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C7E7">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bookmarkStart w:id="118" w:name="_GoBack"/>
      <w:bookmarkEnd w:id="118"/>
    </w:p>
    <w:p w14:paraId="592A088D">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p>
    <w:p w14:paraId="7D12752A">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p>
    <w:p w14:paraId="579072ED">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r>
        <w:rPr>
          <w:rFonts w:hint="eastAsia" w:cs="宋体"/>
          <w:b/>
          <w:spacing w:val="2"/>
          <w:sz w:val="44"/>
          <w:szCs w:val="44"/>
          <w:highlight w:val="none"/>
          <w:lang w:val="en-US" w:eastAsia="zh-CN" w:bidi="ar-SA"/>
          <w14:shadow w14:blurRad="50800" w14:dist="38100" w14:dir="2700000" w14:sx="100000" w14:sy="100000" w14:kx="0" w14:ky="0" w14:algn="tl">
            <w14:srgbClr w14:val="000000">
              <w14:alpha w14:val="60000"/>
            </w14:srgbClr>
          </w14:shadow>
        </w:rPr>
        <w:t>伽师县西克尔库勒镇库木库坦（1）村农村道路建设项目</w:t>
      </w:r>
      <w: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t xml:space="preserve"> </w:t>
      </w:r>
    </w:p>
    <w:p w14:paraId="7287B432">
      <w:pPr>
        <w:kinsoku w:val="0"/>
        <w:overflowPunct w:val="0"/>
        <w:adjustRightInd w:val="0"/>
        <w:spacing w:before="6"/>
        <w:jc w:val="center"/>
        <w:rPr>
          <w:rFonts w:hint="eastAsia" w:ascii="宋体" w:hAnsi="宋体" w:eastAsia="宋体" w:cs="宋体"/>
          <w:b/>
          <w:sz w:val="94"/>
          <w:szCs w:val="24"/>
          <w:highlight w:val="none"/>
          <w:lang w:val="en-US" w:bidi="ar-SA"/>
        </w:rPr>
      </w:pPr>
    </w:p>
    <w:p w14:paraId="125919CF">
      <w:pPr>
        <w:kinsoku w:val="0"/>
        <w:overflowPunct w:val="0"/>
        <w:adjustRightInd w:val="0"/>
        <w:spacing w:before="6"/>
        <w:jc w:val="center"/>
        <w:rPr>
          <w:rFonts w:hint="eastAsia" w:ascii="宋体" w:hAnsi="宋体" w:eastAsia="宋体" w:cs="宋体"/>
          <w:b/>
          <w:sz w:val="94"/>
          <w:szCs w:val="24"/>
          <w:highlight w:val="none"/>
          <w:lang w:val="en-US" w:bidi="ar-SA"/>
        </w:rPr>
      </w:pPr>
      <w:r>
        <w:rPr>
          <w:rFonts w:hint="eastAsia" w:ascii="宋体" w:hAnsi="宋体" w:eastAsia="宋体" w:cs="宋体"/>
          <w:b/>
          <w:sz w:val="94"/>
          <w:szCs w:val="24"/>
          <w:highlight w:val="none"/>
          <w:lang w:val="en-US" w:bidi="ar-SA"/>
        </w:rPr>
        <w:t xml:space="preserve"> </w:t>
      </w:r>
    </w:p>
    <w:p w14:paraId="3A9A7533">
      <w:pPr>
        <w:kinsoku w:val="0"/>
        <w:overflowPunct w:val="0"/>
        <w:adjustRightInd w:val="0"/>
        <w:ind w:right="501"/>
        <w:jc w:val="center"/>
        <w:rPr>
          <w:rFonts w:hint="eastAsia" w:ascii="宋体" w:hAnsi="宋体" w:eastAsia="宋体" w:cs="宋体"/>
          <w:sz w:val="40"/>
          <w:szCs w:val="16"/>
          <w:highlight w:val="none"/>
          <w:lang w:val="en-US" w:bidi="ar-SA"/>
        </w:rPr>
      </w:pPr>
      <w:r>
        <w:rPr>
          <w:rFonts w:hint="eastAsia" w:ascii="宋体" w:hAnsi="宋体" w:eastAsia="宋体" w:cs="宋体"/>
          <w:b/>
          <w:spacing w:val="2"/>
          <w:sz w:val="40"/>
          <w:szCs w:val="16"/>
          <w:highlight w:val="none"/>
          <w:lang w:val="en-US" w:bidi="ar-SA"/>
          <w14:shadow w14:blurRad="50800" w14:dist="38100" w14:dir="2700000" w14:sx="100000" w14:sy="100000" w14:kx="0" w14:ky="0" w14:algn="tl">
            <w14:srgbClr w14:val="000000">
              <w14:alpha w14:val="60000"/>
            </w14:srgbClr>
          </w14:shadow>
        </w:rPr>
        <w:t>竞争</w:t>
      </w:r>
      <w:r>
        <w:rPr>
          <w:rFonts w:hint="eastAsia" w:ascii="宋体" w:hAnsi="宋体" w:eastAsia="宋体" w:cs="宋体"/>
          <w:b/>
          <w:spacing w:val="4"/>
          <w:sz w:val="40"/>
          <w:szCs w:val="16"/>
          <w:highlight w:val="none"/>
          <w:lang w:val="en-US" w:bidi="ar-SA"/>
          <w14:shadow w14:blurRad="50800" w14:dist="38100" w14:dir="2700000" w14:sx="100000" w14:sy="100000" w14:kx="0" w14:ky="0" w14:algn="tl">
            <w14:srgbClr w14:val="000000">
              <w14:alpha w14:val="60000"/>
            </w14:srgbClr>
          </w14:shadow>
        </w:rPr>
        <w:t>性</w:t>
      </w:r>
      <w:r>
        <w:rPr>
          <w:rFonts w:hint="eastAsia" w:ascii="宋体" w:hAnsi="宋体" w:eastAsia="宋体" w:cs="宋体"/>
          <w:b/>
          <w:spacing w:val="2"/>
          <w:sz w:val="40"/>
          <w:szCs w:val="16"/>
          <w:highlight w:val="none"/>
          <w:lang w:val="en-US" w:bidi="ar-SA"/>
          <w14:shadow w14:blurRad="50800" w14:dist="38100" w14:dir="2700000" w14:sx="100000" w14:sy="100000" w14:kx="0" w14:ky="0" w14:algn="tl">
            <w14:srgbClr w14:val="000000">
              <w14:alpha w14:val="60000"/>
            </w14:srgbClr>
          </w14:shadow>
        </w:rPr>
        <w:t>磋商文</w:t>
      </w:r>
      <w:r>
        <w:rPr>
          <w:rFonts w:hint="eastAsia" w:ascii="宋体" w:hAnsi="宋体" w:eastAsia="宋体" w:cs="宋体"/>
          <w:b/>
          <w:sz w:val="40"/>
          <w:szCs w:val="16"/>
          <w:highlight w:val="none"/>
          <w:lang w:val="en-US" w:bidi="ar-SA"/>
          <w14:shadow w14:blurRad="50800" w14:dist="38100" w14:dir="2700000" w14:sx="100000" w14:sy="100000" w14:kx="0" w14:ky="0" w14:algn="tl">
            <w14:srgbClr w14:val="000000">
              <w14:alpha w14:val="60000"/>
            </w14:srgbClr>
          </w14:shadow>
        </w:rPr>
        <w:t>件</w:t>
      </w:r>
    </w:p>
    <w:p w14:paraId="1B0067B8">
      <w:pPr>
        <w:kinsoku w:val="0"/>
        <w:overflowPunct w:val="0"/>
        <w:adjustRightInd w:val="0"/>
        <w:rPr>
          <w:rFonts w:hint="eastAsia" w:ascii="宋体" w:hAnsi="宋体" w:eastAsia="宋体" w:cs="宋体"/>
          <w:b/>
          <w:sz w:val="30"/>
          <w:szCs w:val="24"/>
          <w:highlight w:val="none"/>
          <w:lang w:val="en-US" w:bidi="ar-SA"/>
        </w:rPr>
      </w:pPr>
    </w:p>
    <w:p w14:paraId="68A97F9D">
      <w:pPr>
        <w:spacing w:before="114" w:line="221" w:lineRule="auto"/>
        <w:jc w:val="center"/>
        <w:rPr>
          <w:rFonts w:hint="eastAsia" w:ascii="宋体" w:hAnsi="宋体" w:eastAsia="宋体" w:cs="宋体"/>
          <w:sz w:val="32"/>
          <w:szCs w:val="32"/>
          <w:highlight w:val="none"/>
          <w:lang w:val="en-US" w:eastAsia="zh-CN"/>
        </w:rPr>
      </w:pPr>
      <w:r>
        <w:rPr>
          <w:rFonts w:hint="eastAsia" w:ascii="宋体" w:hAnsi="宋体" w:eastAsia="宋体" w:cs="宋体"/>
          <w:b/>
          <w:bCs/>
          <w:spacing w:val="-13"/>
          <w:sz w:val="32"/>
          <w:szCs w:val="32"/>
          <w:highlight w:val="none"/>
        </w:rPr>
        <w:t>项目编号：</w:t>
      </w:r>
      <w:r>
        <w:rPr>
          <w:rFonts w:hint="eastAsia" w:cs="宋体"/>
          <w:b/>
          <w:bCs/>
          <w:spacing w:val="-13"/>
          <w:sz w:val="32"/>
          <w:szCs w:val="32"/>
          <w:highlight w:val="none"/>
          <w:lang w:eastAsia="zh-CN"/>
        </w:rPr>
        <w:t>HZY（JSX)-202503-CS</w:t>
      </w:r>
      <w:r>
        <w:rPr>
          <w:rFonts w:hint="eastAsia" w:ascii="宋体" w:hAnsi="宋体" w:eastAsia="宋体" w:cs="宋体"/>
          <w:b/>
          <w:bCs/>
          <w:spacing w:val="-13"/>
          <w:sz w:val="32"/>
          <w:szCs w:val="32"/>
          <w:highlight w:val="none"/>
        </w:rPr>
        <w:t> </w:t>
      </w:r>
      <w:r>
        <w:rPr>
          <w:rFonts w:hint="eastAsia" w:ascii="宋体" w:hAnsi="宋体" w:eastAsia="宋体" w:cs="宋体"/>
          <w:i w:val="0"/>
          <w:iCs w:val="0"/>
          <w:caps w:val="0"/>
          <w:spacing w:val="0"/>
          <w:sz w:val="21"/>
          <w:szCs w:val="21"/>
          <w:highlight w:val="none"/>
          <w:shd w:val="clear" w:fill="FFFFFF"/>
        </w:rPr>
        <w:t> </w:t>
      </w:r>
    </w:p>
    <w:p w14:paraId="5C413541">
      <w:pPr>
        <w:kinsoku w:val="0"/>
        <w:overflowPunct w:val="0"/>
        <w:adjustRightInd w:val="0"/>
        <w:rPr>
          <w:rFonts w:hint="eastAsia" w:ascii="宋体" w:hAnsi="宋体" w:eastAsia="宋体" w:cs="宋体"/>
          <w:b/>
          <w:sz w:val="30"/>
          <w:szCs w:val="24"/>
          <w:highlight w:val="none"/>
          <w:lang w:val="en-US" w:bidi="ar-SA"/>
        </w:rPr>
      </w:pPr>
    </w:p>
    <w:p w14:paraId="211663E2">
      <w:pPr>
        <w:kinsoku w:val="0"/>
        <w:overflowPunct w:val="0"/>
        <w:adjustRightInd w:val="0"/>
        <w:spacing w:line="600" w:lineRule="exact"/>
        <w:ind w:firstLine="2281" w:firstLineChars="8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0467F286">
      <w:pPr>
        <w:kinsoku w:val="0"/>
        <w:overflowPunct w:val="0"/>
        <w:adjustRightInd w:val="0"/>
        <w:spacing w:line="600" w:lineRule="exact"/>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61D9F600">
      <w:pPr>
        <w:kinsoku w:val="0"/>
        <w:overflowPunct w:val="0"/>
        <w:adjustRightInd w:val="0"/>
        <w:spacing w:line="600" w:lineRule="exact"/>
        <w:ind w:firstLine="1425" w:firstLineChars="5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5B66B8F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eastAsia="zh-CN"/>
        </w:rPr>
        <w:t>采购单位：</w:t>
      </w:r>
      <w:r>
        <w:rPr>
          <w:rFonts w:hint="eastAsia" w:cs="宋体"/>
          <w:b/>
          <w:bCs/>
          <w:spacing w:val="18"/>
          <w:sz w:val="28"/>
          <w:szCs w:val="28"/>
          <w:highlight w:val="none"/>
          <w:lang w:val="en-US" w:eastAsia="zh-CN"/>
        </w:rPr>
        <w:t>伽师县西克尔库勒镇人民政府</w:t>
      </w:r>
    </w:p>
    <w:p w14:paraId="56FCDF7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联系人：</w:t>
      </w:r>
      <w:r>
        <w:rPr>
          <w:rFonts w:hint="eastAsia" w:cs="宋体"/>
          <w:b/>
          <w:bCs/>
          <w:spacing w:val="18"/>
          <w:sz w:val="28"/>
          <w:szCs w:val="28"/>
          <w:highlight w:val="none"/>
          <w:lang w:val="en-US" w:eastAsia="zh-CN"/>
        </w:rPr>
        <w:t>唐松</w:t>
      </w:r>
    </w:p>
    <w:p w14:paraId="3D8CC8FB">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联系电话：</w:t>
      </w:r>
      <w:r>
        <w:rPr>
          <w:rFonts w:hint="eastAsia" w:cs="宋体"/>
          <w:b/>
          <w:bCs/>
          <w:spacing w:val="18"/>
          <w:sz w:val="28"/>
          <w:szCs w:val="28"/>
          <w:highlight w:val="none"/>
          <w:lang w:val="en-US" w:eastAsia="zh-CN"/>
        </w:rPr>
        <w:t>15099399210</w:t>
      </w:r>
      <w:r>
        <w:rPr>
          <w:rFonts w:hint="eastAsia" w:ascii="宋体" w:hAnsi="宋体" w:eastAsia="宋体" w:cs="宋体"/>
          <w:b/>
          <w:bCs/>
          <w:spacing w:val="18"/>
          <w:sz w:val="28"/>
          <w:szCs w:val="28"/>
          <w:highlight w:val="none"/>
          <w:lang w:val="en-US"/>
        </w:rPr>
        <w:t xml:space="preserve"> </w:t>
      </w:r>
    </w:p>
    <w:p w14:paraId="76511D83">
      <w:pPr>
        <w:pStyle w:val="22"/>
        <w:rPr>
          <w:rFonts w:hint="eastAsia" w:ascii="宋体" w:hAnsi="宋体" w:eastAsia="宋体" w:cs="宋体"/>
          <w:highlight w:val="none"/>
          <w:u w:val="single"/>
          <w:lang w:val="en-US" w:eastAsia="zh-CN"/>
        </w:rPr>
      </w:pPr>
      <w:r>
        <w:rPr>
          <w:rFonts w:hint="eastAsia" w:ascii="宋体" w:hAnsi="宋体" w:eastAsia="宋体" w:cs="宋体"/>
          <w:b/>
          <w:bCs/>
          <w:spacing w:val="-1"/>
          <w:sz w:val="28"/>
          <w:szCs w:val="28"/>
          <w:highlight w:val="none"/>
          <w:u w:val="single"/>
          <w:lang w:val="en-US" w:eastAsia="zh-CN"/>
        </w:rPr>
        <w:t xml:space="preserve">                                                                </w:t>
      </w:r>
    </w:p>
    <w:p w14:paraId="08A30A05">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val="en-US" w:eastAsia="zh-CN"/>
        </w:rPr>
        <w:t>代理公司：</w:t>
      </w:r>
      <w:r>
        <w:rPr>
          <w:rFonts w:hint="eastAsia" w:cs="宋体"/>
          <w:b/>
          <w:bCs/>
          <w:spacing w:val="18"/>
          <w:sz w:val="28"/>
          <w:szCs w:val="28"/>
          <w:highlight w:val="none"/>
          <w:lang w:val="en-US" w:eastAsia="zh-CN"/>
        </w:rPr>
        <w:t>新疆惠中源项目管理有限公司</w:t>
      </w:r>
    </w:p>
    <w:p w14:paraId="4E61DE0E">
      <w:pPr>
        <w:spacing w:before="114" w:line="360" w:lineRule="auto"/>
        <w:ind w:firstLine="634" w:firstLineChars="200"/>
        <w:rPr>
          <w:rFonts w:hint="eastAsia" w:ascii="宋体" w:hAnsi="宋体" w:eastAsia="宋体" w:cs="宋体"/>
          <w:b/>
          <w:bCs/>
          <w:spacing w:val="18"/>
          <w:sz w:val="28"/>
          <w:szCs w:val="28"/>
          <w:highlight w:val="none"/>
          <w:lang w:eastAsia="zh-CN"/>
        </w:rPr>
      </w:pPr>
      <w:r>
        <w:rPr>
          <w:rFonts w:hint="eastAsia" w:ascii="宋体" w:hAnsi="宋体" w:eastAsia="宋体" w:cs="宋体"/>
          <w:b/>
          <w:bCs/>
          <w:spacing w:val="18"/>
          <w:sz w:val="28"/>
          <w:szCs w:val="28"/>
          <w:highlight w:val="none"/>
          <w:lang w:eastAsia="zh-CN"/>
        </w:rPr>
        <w:t>联系人：</w:t>
      </w:r>
      <w:r>
        <w:rPr>
          <w:rFonts w:hint="eastAsia" w:cs="宋体"/>
          <w:b/>
          <w:bCs/>
          <w:spacing w:val="18"/>
          <w:sz w:val="28"/>
          <w:szCs w:val="28"/>
          <w:highlight w:val="none"/>
          <w:lang w:val="en-US" w:eastAsia="zh-CN"/>
        </w:rPr>
        <w:t>于大海</w:t>
      </w:r>
    </w:p>
    <w:p w14:paraId="4F9383F8">
      <w:pPr>
        <w:spacing w:before="114" w:line="360" w:lineRule="auto"/>
        <w:ind w:firstLine="634" w:firstLineChars="200"/>
        <w:rPr>
          <w:rFonts w:hint="eastAsia" w:ascii="宋体" w:hAnsi="宋体" w:eastAsia="宋体" w:cs="宋体"/>
          <w:b/>
          <w:bCs/>
          <w:spacing w:val="-1"/>
          <w:sz w:val="28"/>
          <w:szCs w:val="28"/>
          <w:highlight w:val="none"/>
        </w:rPr>
      </w:pPr>
      <w:r>
        <w:rPr>
          <w:rFonts w:hint="eastAsia" w:ascii="宋体" w:hAnsi="宋体" w:eastAsia="宋体" w:cs="宋体"/>
          <w:b/>
          <w:bCs/>
          <w:spacing w:val="18"/>
          <w:sz w:val="28"/>
          <w:szCs w:val="28"/>
          <w:highlight w:val="none"/>
          <w:lang w:eastAsia="zh-CN"/>
        </w:rPr>
        <w:t>联系电话</w:t>
      </w:r>
      <w:r>
        <w:rPr>
          <w:rFonts w:hint="eastAsia" w:ascii="宋体" w:hAnsi="宋体" w:eastAsia="宋体" w:cs="宋体"/>
          <w:b/>
          <w:bCs/>
          <w:spacing w:val="-1"/>
          <w:sz w:val="28"/>
          <w:szCs w:val="28"/>
          <w:highlight w:val="none"/>
        </w:rPr>
        <w:t>：</w:t>
      </w:r>
      <w:r>
        <w:rPr>
          <w:rFonts w:hint="eastAsia" w:cs="宋体"/>
          <w:b/>
          <w:bCs/>
          <w:spacing w:val="-1"/>
          <w:sz w:val="28"/>
          <w:szCs w:val="28"/>
          <w:highlight w:val="none"/>
          <w:lang w:val="en-US" w:eastAsia="zh-CN"/>
        </w:rPr>
        <w:t>18999110912</w:t>
      </w:r>
    </w:p>
    <w:p w14:paraId="746566FB">
      <w:pPr>
        <w:spacing w:line="480" w:lineRule="auto"/>
        <w:jc w:val="center"/>
        <w:rPr>
          <w:rFonts w:hint="eastAsia" w:ascii="宋体" w:hAnsi="宋体" w:eastAsia="宋体" w:cs="宋体"/>
          <w:b/>
          <w:sz w:val="28"/>
          <w:szCs w:val="28"/>
          <w:highlight w:val="none"/>
          <w:lang w:eastAsia="zh-CN"/>
        </w:rPr>
      </w:pPr>
      <w:r>
        <w:rPr>
          <w:rFonts w:hint="eastAsia" w:cs="宋体"/>
          <w:b/>
          <w:sz w:val="28"/>
          <w:szCs w:val="28"/>
          <w:highlight w:val="none"/>
          <w:lang w:eastAsia="zh-CN"/>
        </w:rPr>
        <w:t>二〇二五年一月</w:t>
      </w:r>
    </w:p>
    <w:p w14:paraId="65C5F0CB">
      <w:pPr>
        <w:tabs>
          <w:tab w:val="left" w:pos="1684"/>
        </w:tabs>
        <w:kinsoku w:val="0"/>
        <w:overflowPunct w:val="0"/>
        <w:adjustRightInd w:val="0"/>
        <w:spacing w:line="580" w:lineRule="exact"/>
        <w:ind w:right="1"/>
        <w:jc w:val="center"/>
        <w:rPr>
          <w:rFonts w:hint="eastAsia" w:ascii="宋体" w:hAnsi="宋体" w:eastAsia="宋体" w:cs="宋体"/>
          <w:sz w:val="32"/>
          <w:szCs w:val="32"/>
          <w:highlight w:val="none"/>
          <w:lang w:val="en-US" w:bidi="ar-SA"/>
        </w:rPr>
      </w:pPr>
      <w:r>
        <w:rPr>
          <w:rFonts w:hint="eastAsia" w:ascii="宋体" w:hAnsi="宋体" w:eastAsia="宋体" w:cs="宋体"/>
          <w:b/>
          <w:w w:val="95"/>
          <w:sz w:val="32"/>
          <w:szCs w:val="32"/>
          <w:highlight w:val="none"/>
          <w:lang w:val="en-US" w:bidi="ar-SA"/>
        </w:rPr>
        <w:t xml:space="preserve">目  </w:t>
      </w:r>
      <w:r>
        <w:rPr>
          <w:rFonts w:hint="eastAsia" w:ascii="宋体" w:hAnsi="宋体" w:eastAsia="宋体" w:cs="宋体"/>
          <w:b/>
          <w:sz w:val="32"/>
          <w:szCs w:val="32"/>
          <w:highlight w:val="none"/>
          <w:lang w:val="en-US" w:bidi="ar-SA"/>
        </w:rPr>
        <w:t>录</w:t>
      </w:r>
    </w:p>
    <w:p w14:paraId="17B2BE3F">
      <w:pPr>
        <w:kinsoku w:val="0"/>
        <w:overflowPunct w:val="0"/>
        <w:adjustRightInd w:val="0"/>
        <w:rPr>
          <w:rFonts w:hint="eastAsia" w:ascii="宋体" w:hAnsi="宋体" w:eastAsia="宋体" w:cs="宋体"/>
          <w:b/>
          <w:sz w:val="20"/>
          <w:szCs w:val="24"/>
          <w:highlight w:val="none"/>
          <w:lang w:val="en-US" w:bidi="ar-SA"/>
        </w:rPr>
      </w:pPr>
    </w:p>
    <w:p w14:paraId="01DD77FF">
      <w:pPr>
        <w:kinsoku w:val="0"/>
        <w:overflowPunct w:val="0"/>
        <w:adjustRightInd w:val="0"/>
        <w:rPr>
          <w:rFonts w:hint="eastAsia" w:ascii="宋体" w:hAnsi="宋体" w:eastAsia="宋体" w:cs="宋体"/>
          <w:b/>
          <w:sz w:val="20"/>
          <w:szCs w:val="24"/>
          <w:highlight w:val="none"/>
          <w:lang w:val="en-US" w:bidi="ar-SA"/>
        </w:rPr>
      </w:pPr>
    </w:p>
    <w:p w14:paraId="0C4AD104">
      <w:pPr>
        <w:kinsoku w:val="0"/>
        <w:overflowPunct w:val="0"/>
        <w:adjustRightInd w:val="0"/>
        <w:rPr>
          <w:rFonts w:hint="eastAsia" w:ascii="宋体" w:hAnsi="宋体" w:eastAsia="宋体" w:cs="宋体"/>
          <w:b/>
          <w:sz w:val="20"/>
          <w:szCs w:val="24"/>
          <w:highlight w:val="none"/>
          <w:lang w:val="en-US" w:bidi="ar-SA"/>
        </w:rPr>
      </w:pPr>
    </w:p>
    <w:p w14:paraId="559AD8C1">
      <w:pPr>
        <w:kinsoku w:val="0"/>
        <w:overflowPunct w:val="0"/>
        <w:adjustRightInd w:val="0"/>
        <w:rPr>
          <w:rFonts w:hint="eastAsia" w:ascii="宋体" w:hAnsi="宋体" w:eastAsia="宋体" w:cs="宋体"/>
          <w:b/>
          <w:sz w:val="20"/>
          <w:szCs w:val="24"/>
          <w:highlight w:val="none"/>
          <w:lang w:val="en-US" w:bidi="ar-SA"/>
        </w:rPr>
      </w:pPr>
    </w:p>
    <w:p w14:paraId="04050FAB">
      <w:pPr>
        <w:kinsoku w:val="0"/>
        <w:overflowPunct w:val="0"/>
        <w:adjustRightInd w:val="0"/>
        <w:spacing w:before="160"/>
        <w:ind w:left="111"/>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竞争性磋商公告</w:t>
      </w:r>
    </w:p>
    <w:p w14:paraId="1915654C">
      <w:pPr>
        <w:kinsoku w:val="0"/>
        <w:overflowPunct w:val="0"/>
        <w:adjustRightInd w:val="0"/>
        <w:spacing w:before="3"/>
        <w:rPr>
          <w:rFonts w:hint="eastAsia" w:ascii="宋体" w:hAnsi="宋体" w:eastAsia="宋体" w:cs="宋体"/>
          <w:sz w:val="28"/>
          <w:szCs w:val="28"/>
          <w:highlight w:val="none"/>
          <w:lang w:val="en-US" w:bidi="ar-SA"/>
        </w:rPr>
      </w:pPr>
    </w:p>
    <w:p w14:paraId="10899CF3">
      <w:pPr>
        <w:tabs>
          <w:tab w:val="left" w:pos="1776"/>
        </w:tabs>
        <w:kinsoku w:val="0"/>
        <w:overflowPunct w:val="0"/>
        <w:adjustRightInd w:val="0"/>
        <w:spacing w:line="488" w:lineRule="auto"/>
        <w:ind w:left="111" w:right="36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第一章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磋商须知前附表及磋商须知第二章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合同条款及格式</w:t>
      </w:r>
    </w:p>
    <w:p w14:paraId="005363F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第三章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w:t>
      </w:r>
    </w:p>
    <w:p w14:paraId="4C939E9D">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第四章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图纸（另卷）</w:t>
      </w:r>
    </w:p>
    <w:p w14:paraId="11E1D3BF">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第五章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技术规范</w:t>
      </w:r>
    </w:p>
    <w:p w14:paraId="283EFEC5">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第六章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工程量清单计量规则</w:t>
      </w:r>
    </w:p>
    <w:p w14:paraId="5E4A874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第七章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响应文件格式</w:t>
      </w:r>
    </w:p>
    <w:p w14:paraId="7CFDC94E">
      <w:pPr>
        <w:tabs>
          <w:tab w:val="left" w:pos="1776"/>
        </w:tabs>
        <w:kinsoku w:val="0"/>
        <w:overflowPunct w:val="0"/>
        <w:spacing w:before="96" w:line="489" w:lineRule="auto"/>
        <w:ind w:left="111" w:right="4267"/>
        <w:rPr>
          <w:rFonts w:hint="eastAsia" w:ascii="宋体" w:hAnsi="宋体" w:eastAsia="宋体" w:cs="宋体"/>
          <w:sz w:val="28"/>
          <w:szCs w:val="28"/>
          <w:highlight w:val="none"/>
        </w:rPr>
        <w:sectPr>
          <w:headerReference r:id="rId3" w:type="default"/>
          <w:footerReference r:id="rId4" w:type="default"/>
          <w:pgSz w:w="11910" w:h="16840"/>
          <w:pgMar w:top="1134" w:right="1417" w:bottom="1134" w:left="1420" w:header="858" w:footer="997" w:gutter="0"/>
          <w:pgNumType w:start="1"/>
          <w:cols w:space="720" w:num="1"/>
        </w:sectPr>
      </w:pPr>
      <w:r>
        <w:rPr>
          <w:rFonts w:hint="eastAsia" w:ascii="宋体" w:hAnsi="宋体" w:eastAsia="宋体" w:cs="宋体"/>
          <w:sz w:val="28"/>
          <w:szCs w:val="28"/>
          <w:highlight w:val="none"/>
          <w:lang w:val="en-US" w:bidi="ar-SA"/>
        </w:rPr>
        <w:t>第八章      评审方法及标准</w:t>
      </w:r>
    </w:p>
    <w:p w14:paraId="10C33EC5">
      <w:pPr>
        <w:ind w:firstLine="480"/>
        <w:jc w:val="center"/>
        <w:rPr>
          <w:rFonts w:hint="eastAsia" w:ascii="宋体" w:hAnsi="宋体" w:eastAsia="宋体" w:cs="宋体"/>
          <w:b/>
          <w:bCs/>
          <w:sz w:val="32"/>
          <w:szCs w:val="32"/>
          <w:highlight w:val="none"/>
          <w:lang w:val="en-US"/>
        </w:rPr>
      </w:pPr>
      <w:r>
        <w:rPr>
          <w:rFonts w:hint="eastAsia" w:cs="宋体"/>
          <w:b/>
          <w:bCs/>
          <w:sz w:val="32"/>
          <w:szCs w:val="32"/>
          <w:highlight w:val="none"/>
          <w:lang w:eastAsia="zh-CN"/>
        </w:rPr>
        <w:t>伽师县西克尔库勒镇库木库坦（1）村农村道路建设项目</w:t>
      </w:r>
      <w:r>
        <w:rPr>
          <w:rFonts w:hint="eastAsia" w:ascii="宋体" w:hAnsi="宋体" w:eastAsia="宋体" w:cs="宋体"/>
          <w:b/>
          <w:bCs/>
          <w:sz w:val="32"/>
          <w:szCs w:val="32"/>
          <w:highlight w:val="none"/>
          <w:lang w:val="en-US"/>
        </w:rPr>
        <w:t>磋商公告</w:t>
      </w:r>
    </w:p>
    <w:p w14:paraId="52E183B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3B00FB8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8"/>
          <w:szCs w:val="28"/>
          <w:highlight w:val="none"/>
        </w:rPr>
      </w:pPr>
      <w:r>
        <w:rPr>
          <w:rFonts w:hint="eastAsia" w:cs="宋体"/>
          <w:sz w:val="24"/>
          <w:szCs w:val="24"/>
          <w:highlight w:val="none"/>
          <w:u w:val="single"/>
          <w:lang w:eastAsia="zh-CN"/>
        </w:rPr>
        <w:t>伽师县西克尔库勒镇库木库坦（1）村农村道路建设项目</w:t>
      </w:r>
      <w:r>
        <w:rPr>
          <w:rFonts w:hint="eastAsia" w:ascii="宋体" w:hAnsi="宋体" w:eastAsia="宋体" w:cs="宋体"/>
          <w:sz w:val="24"/>
          <w:szCs w:val="24"/>
          <w:highlight w:val="none"/>
        </w:rPr>
        <w:t>招标项目的潜在投标人应在供应商登陆政采云平台（登录政府采购云平台→ 项目采购 → 获取磋商文件，通过后可下载磋商文件，如有操作性问题，可与政采云在线客服进行咨询，咨询电话：400-881-7190）在线获取磋商文件，并于</w:t>
      </w:r>
      <w:r>
        <w:rPr>
          <w:rFonts w:hint="eastAsia" w:cs="宋体"/>
          <w:bCs/>
          <w:sz w:val="24"/>
          <w:szCs w:val="24"/>
          <w:highlight w:val="none"/>
          <w:u w:val="single"/>
          <w:lang w:val="en-US" w:eastAsia="zh-CN"/>
        </w:rPr>
        <w:t>2025年02月06日11点30分</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北京时间）前递交投标文件</w:t>
      </w:r>
      <w:r>
        <w:rPr>
          <w:rFonts w:hint="eastAsia" w:ascii="宋体" w:hAnsi="宋体" w:eastAsia="宋体" w:cs="宋体"/>
          <w:sz w:val="28"/>
          <w:szCs w:val="28"/>
          <w:highlight w:val="none"/>
        </w:rPr>
        <w:t>。</w:t>
      </w:r>
    </w:p>
    <w:p w14:paraId="4C2B59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4AC2C9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项目编号：</w:t>
      </w:r>
      <w:r>
        <w:rPr>
          <w:rFonts w:hint="eastAsia" w:cs="宋体"/>
          <w:sz w:val="24"/>
          <w:szCs w:val="24"/>
          <w:highlight w:val="none"/>
          <w:lang w:eastAsia="zh-CN"/>
        </w:rPr>
        <w:t>HZY（JSX)-202503-CS</w:t>
      </w:r>
    </w:p>
    <w:p w14:paraId="041A318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项目名称：</w:t>
      </w:r>
      <w:r>
        <w:rPr>
          <w:rFonts w:hint="eastAsia" w:cs="宋体"/>
          <w:sz w:val="24"/>
          <w:szCs w:val="24"/>
          <w:highlight w:val="none"/>
          <w:lang w:eastAsia="zh-CN"/>
        </w:rPr>
        <w:t>伽师县西克尔库勒镇库木库坦（1）村农村道路建设项目</w:t>
      </w:r>
      <w:r>
        <w:rPr>
          <w:rFonts w:hint="eastAsia" w:ascii="宋体" w:hAnsi="宋体" w:eastAsia="宋体" w:cs="宋体"/>
          <w:sz w:val="24"/>
          <w:szCs w:val="24"/>
          <w:highlight w:val="none"/>
        </w:rPr>
        <w:t> </w:t>
      </w:r>
    </w:p>
    <w:p w14:paraId="6D8A88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   采购方式：</w:t>
      </w:r>
      <w:r>
        <w:rPr>
          <w:rFonts w:hint="eastAsia" w:ascii="宋体" w:hAnsi="宋体" w:eastAsia="宋体" w:cs="宋体"/>
          <w:sz w:val="24"/>
          <w:szCs w:val="24"/>
          <w:highlight w:val="none"/>
          <w:lang w:val="en-US"/>
        </w:rPr>
        <w:t>竞争性磋商</w:t>
      </w:r>
    </w:p>
    <w:p w14:paraId="45C2C449">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cs="宋体"/>
          <w:sz w:val="24"/>
          <w:szCs w:val="24"/>
          <w:highlight w:val="none"/>
          <w:lang w:val="en-US" w:eastAsia="zh-CN"/>
        </w:rPr>
        <w:t>3697151.28</w:t>
      </w:r>
    </w:p>
    <w:p w14:paraId="7545B1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最高限价（元）：</w:t>
      </w:r>
      <w:r>
        <w:rPr>
          <w:rFonts w:hint="eastAsia" w:cs="宋体"/>
          <w:sz w:val="24"/>
          <w:szCs w:val="24"/>
          <w:highlight w:val="none"/>
          <w:lang w:eastAsia="zh-CN"/>
        </w:rPr>
        <w:t>3697151.28</w:t>
      </w:r>
    </w:p>
    <w:p w14:paraId="42B0CA91">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6E51E2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简要规格描述：</w:t>
      </w:r>
      <w:r>
        <w:rPr>
          <w:rFonts w:hint="eastAsia" w:cs="宋体"/>
          <w:sz w:val="24"/>
          <w:szCs w:val="24"/>
          <w:highlight w:val="none"/>
          <w:lang w:eastAsia="zh-CN"/>
        </w:rPr>
        <w:t>新建道路3.3公里;主要建设内容为路基、路面、桥涵及交通安全设施等;桥涵荷载等级为公路-Ⅱ级。工程的工程量清单及施工图纸范围内的全部工作内容。</w:t>
      </w:r>
    </w:p>
    <w:p w14:paraId="2CF84E70">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red"/>
        </w:rPr>
      </w:pPr>
      <w:r>
        <w:rPr>
          <w:rFonts w:hint="eastAsia" w:ascii="宋体" w:hAnsi="宋体" w:eastAsia="宋体" w:cs="宋体"/>
          <w:sz w:val="24"/>
          <w:szCs w:val="24"/>
          <w:highlight w:val="red"/>
        </w:rPr>
        <w:t>合同履行期限：</w:t>
      </w:r>
      <w:r>
        <w:rPr>
          <w:rFonts w:hint="eastAsia" w:cs="宋体"/>
          <w:sz w:val="24"/>
          <w:szCs w:val="24"/>
          <w:highlight w:val="red"/>
          <w:lang w:val="en-US" w:eastAsia="zh-CN"/>
        </w:rPr>
        <w:t>78天（开工日期：2025年3月15日，完工日期：2025年5月31日）</w:t>
      </w:r>
      <w:r>
        <w:rPr>
          <w:rFonts w:hint="eastAsia" w:ascii="宋体" w:hAnsi="宋体" w:eastAsia="宋体" w:cs="宋体"/>
          <w:sz w:val="24"/>
          <w:szCs w:val="24"/>
          <w:highlight w:val="red"/>
        </w:rPr>
        <w:t> </w:t>
      </w:r>
    </w:p>
    <w:p w14:paraId="4A652C7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本项目</w:t>
      </w:r>
      <w:r>
        <w:rPr>
          <w:rFonts w:hint="eastAsia" w:ascii="宋体" w:hAnsi="宋体" w:eastAsia="宋体" w:cs="宋体"/>
          <w:sz w:val="24"/>
          <w:szCs w:val="24"/>
          <w:highlight w:val="none"/>
          <w:lang w:val="en-US"/>
        </w:rPr>
        <w:t>不</w:t>
      </w:r>
      <w:r>
        <w:rPr>
          <w:rFonts w:hint="eastAsia" w:ascii="宋体" w:hAnsi="宋体" w:eastAsia="宋体" w:cs="宋体"/>
          <w:sz w:val="24"/>
          <w:szCs w:val="24"/>
          <w:highlight w:val="none"/>
        </w:rPr>
        <w:t>接受联合体投标。</w:t>
      </w:r>
    </w:p>
    <w:p w14:paraId="547D5D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1C656F25">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27FF50D">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2.落实政府采购政策需满足的资格要求：本项目属于专门面向中小企业采购</w:t>
      </w:r>
    </w:p>
    <w:p w14:paraId="609CE0A3">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 </w:t>
      </w:r>
    </w:p>
    <w:p w14:paraId="74115CDE">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0BDEAB9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2E412D6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475245F4">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2023年财务审计报告</w:t>
      </w:r>
      <w:r>
        <w:rPr>
          <w:rFonts w:hint="eastAsia" w:ascii="宋体" w:hAnsi="宋体" w:eastAsia="宋体" w:cs="宋体"/>
          <w:kern w:val="2"/>
          <w:highlight w:val="none"/>
          <w:lang w:val="en-US" w:bidi="ar-SA"/>
        </w:rPr>
        <w:t>（成立不满一年的提供开标前一个月内有效银行资信证明）；</w:t>
      </w:r>
    </w:p>
    <w:p w14:paraId="40A89EC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70E9FBE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（6）供应商及其法人参加本次采购活动前三年内，在经营活动中没有重大违法记录的声明及反商业受贿承诺。</w:t>
      </w:r>
    </w:p>
    <w:p w14:paraId="20B8D0D9">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11323E5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（8）投标保证金缴纳凭证。</w:t>
      </w:r>
    </w:p>
    <w:p w14:paraId="5E93A594">
      <w:pPr>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三、获取磋商文件</w:t>
      </w:r>
    </w:p>
    <w:p w14:paraId="339A148C">
      <w:pPr>
        <w:pStyle w:val="40"/>
        <w:keepNext w:val="0"/>
        <w:keepLines w:val="0"/>
        <w:pageBreakBefore w:val="0"/>
        <w:kinsoku/>
        <w:wordWrap/>
        <w:overflowPunct/>
        <w:topLinePunct w:val="0"/>
        <w:bidi w:val="0"/>
        <w:spacing w:line="360" w:lineRule="auto"/>
        <w:ind w:left="480" w:leftChars="21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时间：2025年01月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日至2025年0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日，每天00：00至23：59(北京时间)地点：</w:t>
      </w:r>
      <w:r>
        <w:rPr>
          <w:rFonts w:hint="eastAsia" w:ascii="宋体" w:hAnsi="宋体" w:eastAsia="宋体" w:cs="宋体"/>
          <w:color w:val="auto"/>
          <w:sz w:val="24"/>
          <w:szCs w:val="24"/>
          <w:highlight w:val="none"/>
        </w:rPr>
        <w:t>政采云平台线上获取（https://www.zcygov.cn/） </w:t>
      </w:r>
    </w:p>
    <w:p w14:paraId="142C2C5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登录政采云平台https://www.zcygov.cn/在线申请获取采购文件（进入“项目采购”应用，在获取采购文件菜单中选择项目，申请获取采购文件）</w:t>
      </w:r>
    </w:p>
    <w:p w14:paraId="7221AADE">
      <w:pPr>
        <w:keepNext w:val="0"/>
        <w:keepLines w:val="0"/>
        <w:pageBreakBefore w:val="0"/>
        <w:kinsoku/>
        <w:wordWrap/>
        <w:overflowPunct/>
        <w:topLinePunct w:val="0"/>
        <w:autoSpaceDE/>
        <w:autoSpaceDN/>
        <w:bidi w:val="0"/>
        <w:spacing w:line="360" w:lineRule="auto"/>
        <w:ind w:firstLine="547" w:firstLineChars="228"/>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售价：0.00元</w:t>
      </w:r>
    </w:p>
    <w:p w14:paraId="45F350E9">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提交投标文件截止时间、开标时间和地点</w:t>
      </w:r>
    </w:p>
    <w:p w14:paraId="4B5046B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rPr>
        <w:t>时间：</w:t>
      </w:r>
      <w:r>
        <w:rPr>
          <w:rFonts w:hint="eastAsia" w:cs="宋体"/>
          <w:bCs/>
          <w:sz w:val="24"/>
          <w:szCs w:val="24"/>
          <w:highlight w:val="none"/>
          <w:u w:val="single"/>
          <w:lang w:val="en-US" w:eastAsia="zh-CN"/>
        </w:rPr>
        <w:t>2025年02月06日11点30分</w:t>
      </w:r>
      <w:r>
        <w:rPr>
          <w:rFonts w:hint="eastAsia" w:ascii="宋体" w:hAnsi="宋体" w:eastAsia="宋体" w:cs="宋体"/>
          <w:bCs/>
          <w:sz w:val="24"/>
          <w:szCs w:val="24"/>
          <w:highlight w:val="none"/>
        </w:rPr>
        <w:t>（北京时间）</w:t>
      </w:r>
    </w:p>
    <w:p w14:paraId="31383F8B">
      <w:pPr>
        <w:pStyle w:val="19"/>
        <w:keepNext w:val="0"/>
        <w:keepLines w:val="0"/>
        <w:pageBreakBefore w:val="0"/>
        <w:widowControl/>
        <w:kinsoku/>
        <w:wordWrap/>
        <w:overflowPunct/>
        <w:topLinePunct w:val="0"/>
        <w:bidi w:val="0"/>
        <w:adjustRightInd w:val="0"/>
        <w:snapToGrid w:val="0"/>
        <w:spacing w:beforeAutospacing="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rPr>
        <w:t>地点：</w:t>
      </w:r>
      <w:r>
        <w:rPr>
          <w:rFonts w:hint="eastAsia" w:ascii="宋体" w:hAnsi="宋体" w:eastAsia="宋体" w:cs="宋体"/>
          <w:color w:val="auto"/>
          <w:sz w:val="24"/>
          <w:szCs w:val="24"/>
          <w:highlight w:val="none"/>
        </w:rPr>
        <w:t>政采云平台（https://www.zcygov.cn/）不见面开标</w:t>
      </w:r>
    </w:p>
    <w:p w14:paraId="5B2884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14:paraId="69C7BD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自本公告发布之日起5个工作日。</w:t>
      </w:r>
    </w:p>
    <w:p w14:paraId="00777B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14:paraId="511B7CB6">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bookmarkStart w:id="0" w:name="_Toc18258"/>
      <w:bookmarkStart w:id="1" w:name="_Toc35393795"/>
      <w:bookmarkStart w:id="2" w:name="_Toc35393626"/>
      <w:bookmarkStart w:id="3" w:name="_Toc647"/>
      <w:r>
        <w:rPr>
          <w:rFonts w:hint="eastAsia" w:ascii="宋体" w:hAnsi="宋体" w:eastAsia="宋体" w:cs="宋体"/>
          <w:i w:val="0"/>
          <w:caps w:val="0"/>
          <w:color w:val="000000"/>
          <w:spacing w:val="0"/>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9800154">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8F12BA5">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B29854E">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EED1289">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5.供应商在开标时须使用制作加密电子投标文件所使用的CA锁及电脑，电脑须提前配置好浏览器（建议使用谷歌浏览器），以便开标时解锁。</w:t>
      </w:r>
    </w:p>
    <w:p w14:paraId="50B6C6DB">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0D6DB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bookmarkEnd w:id="0"/>
      <w:bookmarkEnd w:id="1"/>
      <w:bookmarkEnd w:id="2"/>
      <w:bookmarkEnd w:id="3"/>
    </w:p>
    <w:p w14:paraId="3E75D2C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　　　　　　　　　　　　</w:t>
      </w:r>
    </w:p>
    <w:p w14:paraId="714542B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1.采购人信息</w:t>
      </w:r>
    </w:p>
    <w:p w14:paraId="50E9BF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名 称：</w:t>
      </w:r>
      <w:r>
        <w:rPr>
          <w:rFonts w:hint="eastAsia" w:cs="宋体"/>
          <w:sz w:val="24"/>
          <w:szCs w:val="24"/>
          <w:highlight w:val="none"/>
          <w:lang w:val="en-US" w:eastAsia="zh-CN"/>
        </w:rPr>
        <w:t>伽师县西克尔库勒镇人民政府</w:t>
      </w:r>
    </w:p>
    <w:p w14:paraId="2979953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地 址：伽师县</w:t>
      </w:r>
      <w:r>
        <w:rPr>
          <w:rFonts w:hint="eastAsia" w:cs="宋体"/>
          <w:color w:val="000000"/>
          <w:sz w:val="24"/>
          <w:szCs w:val="21"/>
          <w:highlight w:val="none"/>
          <w:lang w:val="en-US" w:eastAsia="zh-CN" w:bidi="ar-SA"/>
        </w:rPr>
        <w:t>西克尔库勒镇</w:t>
      </w:r>
    </w:p>
    <w:p w14:paraId="087D70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联系人：</w:t>
      </w:r>
      <w:r>
        <w:rPr>
          <w:rFonts w:hint="eastAsia" w:cs="宋体"/>
          <w:sz w:val="24"/>
          <w:szCs w:val="24"/>
          <w:highlight w:val="none"/>
          <w:lang w:val="en-US" w:eastAsia="zh-CN"/>
        </w:rPr>
        <w:t>唐松</w:t>
      </w:r>
    </w:p>
    <w:p w14:paraId="15C57C2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2.采购代理机构信息</w:t>
      </w:r>
    </w:p>
    <w:p w14:paraId="57896158">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名 称：</w:t>
      </w:r>
      <w:r>
        <w:rPr>
          <w:rFonts w:hint="eastAsia" w:cs="宋体"/>
          <w:sz w:val="24"/>
          <w:szCs w:val="24"/>
          <w:highlight w:val="none"/>
          <w:lang w:val="en-US" w:eastAsia="zh-CN"/>
        </w:rPr>
        <w:t>新疆惠中源项目管理有限公司</w:t>
      </w:r>
    </w:p>
    <w:p w14:paraId="61C0A9B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bidi="ar"/>
        </w:rPr>
      </w:pPr>
      <w:r>
        <w:rPr>
          <w:rFonts w:hint="eastAsia" w:ascii="宋体" w:hAnsi="宋体" w:eastAsia="宋体" w:cs="宋体"/>
          <w:sz w:val="24"/>
          <w:szCs w:val="24"/>
          <w:highlight w:val="none"/>
          <w:lang w:val="en-US"/>
        </w:rPr>
        <w:t>地 址：</w:t>
      </w:r>
      <w:r>
        <w:rPr>
          <w:rFonts w:hint="eastAsia" w:cs="宋体"/>
          <w:i w:val="0"/>
          <w:caps w:val="0"/>
          <w:color w:val="000000"/>
          <w:spacing w:val="0"/>
          <w:sz w:val="24"/>
          <w:szCs w:val="24"/>
          <w:highlight w:val="none"/>
          <w:lang w:val="en-US" w:eastAsia="zh-CN"/>
        </w:rPr>
        <w:t>喀什经济开发区深喀大道陕西大厦10楼1005室</w:t>
      </w:r>
    </w:p>
    <w:p w14:paraId="09D3389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highlight w:val="none"/>
          <w:lang w:val="en-US"/>
        </w:rPr>
      </w:pPr>
      <w:r>
        <w:rPr>
          <w:rFonts w:hint="eastAsia" w:ascii="宋体" w:hAnsi="宋体" w:eastAsia="宋体" w:cs="宋体"/>
          <w:sz w:val="24"/>
          <w:szCs w:val="24"/>
          <w:highlight w:val="none"/>
          <w:lang w:val="en-US"/>
        </w:rPr>
        <w:t>联系方式：</w:t>
      </w:r>
      <w:r>
        <w:rPr>
          <w:rFonts w:hint="eastAsia" w:cs="宋体"/>
          <w:sz w:val="24"/>
          <w:highlight w:val="none"/>
          <w:lang w:val="en-US" w:eastAsia="zh-CN"/>
        </w:rPr>
        <w:t>于大海</w:t>
      </w:r>
      <w:r>
        <w:rPr>
          <w:rFonts w:hint="eastAsia" w:ascii="宋体" w:hAnsi="宋体" w:eastAsia="宋体" w:cs="宋体"/>
          <w:sz w:val="24"/>
          <w:highlight w:val="none"/>
          <w:lang w:val="en-US"/>
        </w:rPr>
        <w:t xml:space="preserve">   </w:t>
      </w:r>
    </w:p>
    <w:p w14:paraId="42F73712">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sz w:val="24"/>
          <w:highlight w:val="none"/>
          <w:lang w:val="en-US" w:eastAsia="zh-CN"/>
        </w:rPr>
      </w:pPr>
      <w:r>
        <w:rPr>
          <w:rFonts w:hint="eastAsia" w:cs="宋体"/>
          <w:sz w:val="24"/>
          <w:highlight w:val="none"/>
          <w:lang w:val="en-US" w:eastAsia="zh-CN"/>
        </w:rPr>
        <w:t>电话：18999110912</w:t>
      </w:r>
    </w:p>
    <w:p w14:paraId="66975C4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3.项目联系方式</w:t>
      </w:r>
    </w:p>
    <w:p w14:paraId="78B723BC">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项目联系人：</w:t>
      </w:r>
      <w:r>
        <w:rPr>
          <w:rFonts w:hint="eastAsia" w:cs="宋体"/>
          <w:sz w:val="24"/>
          <w:highlight w:val="none"/>
          <w:lang w:val="en-US" w:eastAsia="zh-CN"/>
        </w:rPr>
        <w:t>于大海</w:t>
      </w:r>
      <w:r>
        <w:rPr>
          <w:rFonts w:hint="eastAsia" w:ascii="宋体" w:hAnsi="宋体" w:eastAsia="宋体" w:cs="宋体"/>
          <w:sz w:val="24"/>
          <w:highlight w:val="none"/>
          <w:lang w:val="en-US"/>
        </w:rPr>
        <w:t xml:space="preserve">   </w:t>
      </w:r>
    </w:p>
    <w:p w14:paraId="53AC0B07">
      <w:pPr>
        <w:keepNext w:val="0"/>
        <w:keepLines w:val="0"/>
        <w:pageBreakBefore w:val="0"/>
        <w:kinsoku/>
        <w:wordWrap/>
        <w:overflowPunct/>
        <w:topLinePunct w:val="0"/>
        <w:autoSpaceDE/>
        <w:autoSpaceDN/>
        <w:bidi w:val="0"/>
        <w:spacing w:line="240" w:lineRule="auto"/>
        <w:textAlignment w:val="auto"/>
        <w:rPr>
          <w:rFonts w:hint="eastAsia" w:cs="宋体"/>
          <w:sz w:val="24"/>
          <w:szCs w:val="24"/>
          <w:highlight w:val="none"/>
          <w:lang w:val="en-US" w:eastAsia="zh-CN" w:bidi="ar"/>
        </w:rPr>
      </w:pPr>
      <w:r>
        <w:rPr>
          <w:rFonts w:hint="eastAsia" w:ascii="宋体" w:hAnsi="宋体" w:eastAsia="宋体" w:cs="宋体"/>
          <w:sz w:val="24"/>
          <w:szCs w:val="24"/>
          <w:highlight w:val="none"/>
          <w:lang w:val="en-US"/>
        </w:rPr>
        <w:t>电话：</w:t>
      </w:r>
      <w:r>
        <w:rPr>
          <w:rFonts w:hint="eastAsia" w:cs="宋体"/>
          <w:sz w:val="24"/>
          <w:szCs w:val="24"/>
          <w:highlight w:val="none"/>
          <w:lang w:val="en-US" w:eastAsia="zh-CN" w:bidi="ar"/>
        </w:rPr>
        <w:t>18999110912</w:t>
      </w:r>
    </w:p>
    <w:p w14:paraId="759FD842">
      <w:pPr>
        <w:pStyle w:val="22"/>
        <w:rPr>
          <w:rFonts w:hint="eastAsia" w:cs="宋体"/>
          <w:sz w:val="24"/>
          <w:szCs w:val="24"/>
          <w:highlight w:val="none"/>
          <w:lang w:val="en-US" w:eastAsia="zh-CN" w:bidi="ar"/>
        </w:rPr>
      </w:pPr>
    </w:p>
    <w:p w14:paraId="2127DFBA">
      <w:pPr>
        <w:pStyle w:val="21"/>
        <w:rPr>
          <w:rFonts w:hint="eastAsia" w:cs="宋体"/>
          <w:sz w:val="24"/>
          <w:szCs w:val="24"/>
          <w:highlight w:val="none"/>
          <w:lang w:val="en-US" w:eastAsia="zh-CN" w:bidi="ar"/>
        </w:rPr>
      </w:pPr>
    </w:p>
    <w:p w14:paraId="5BFC4D42">
      <w:pPr>
        <w:pStyle w:val="21"/>
        <w:rPr>
          <w:rFonts w:hint="eastAsia" w:cs="宋体"/>
          <w:sz w:val="24"/>
          <w:szCs w:val="24"/>
          <w:highlight w:val="none"/>
          <w:lang w:val="en-US" w:eastAsia="zh-CN" w:bidi="ar"/>
        </w:rPr>
      </w:pPr>
    </w:p>
    <w:p w14:paraId="307D652F">
      <w:pPr>
        <w:pStyle w:val="21"/>
        <w:rPr>
          <w:rFonts w:hint="default" w:cs="宋体"/>
          <w:sz w:val="24"/>
          <w:szCs w:val="24"/>
          <w:highlight w:val="none"/>
          <w:lang w:val="en-US" w:eastAsia="zh-CN" w:bidi="ar"/>
        </w:rPr>
      </w:pPr>
    </w:p>
    <w:p w14:paraId="2BA8F61E">
      <w:pPr>
        <w:rPr>
          <w:rFonts w:hint="eastAsia" w:ascii="宋体" w:hAnsi="宋体" w:eastAsia="宋体" w:cs="宋体"/>
          <w:highlight w:val="none"/>
        </w:rPr>
      </w:pPr>
    </w:p>
    <w:p w14:paraId="741836AD">
      <w:pPr>
        <w:kinsoku w:val="0"/>
        <w:overflowPunct w:val="0"/>
        <w:adjustRightInd w:val="0"/>
        <w:spacing w:line="500" w:lineRule="exact"/>
        <w:jc w:val="center"/>
        <w:rPr>
          <w:rFonts w:hint="eastAsia" w:ascii="宋体" w:hAnsi="宋体" w:eastAsia="宋体" w:cs="宋体"/>
          <w:b/>
          <w:spacing w:val="1"/>
          <w:sz w:val="30"/>
          <w:szCs w:val="30"/>
          <w:highlight w:val="none"/>
          <w:lang w:val="en-US" w:bidi="ar-SA"/>
        </w:rPr>
      </w:pPr>
      <w:r>
        <w:rPr>
          <w:rFonts w:hint="eastAsia" w:ascii="宋体" w:hAnsi="宋体" w:eastAsia="宋体" w:cs="宋体"/>
          <w:b/>
          <w:spacing w:val="1"/>
          <w:sz w:val="30"/>
          <w:szCs w:val="30"/>
          <w:highlight w:val="none"/>
          <w:lang w:val="en-US" w:bidi="ar-SA"/>
        </w:rPr>
        <w:t>第一章</w:t>
      </w:r>
      <w:r>
        <w:rPr>
          <w:rFonts w:hint="eastAsia" w:ascii="宋体" w:hAnsi="宋体" w:eastAsia="宋体" w:cs="宋体"/>
          <w:b/>
          <w:spacing w:val="1"/>
          <w:sz w:val="30"/>
          <w:szCs w:val="30"/>
          <w:highlight w:val="none"/>
          <w:lang w:val="en-US" w:bidi="ar-SA"/>
        </w:rPr>
        <w:tab/>
      </w:r>
      <w:r>
        <w:rPr>
          <w:rFonts w:hint="eastAsia" w:ascii="宋体" w:hAnsi="宋体" w:eastAsia="宋体" w:cs="宋体"/>
          <w:b/>
          <w:spacing w:val="1"/>
          <w:sz w:val="30"/>
          <w:szCs w:val="30"/>
          <w:highlight w:val="none"/>
          <w:lang w:val="en-US" w:bidi="ar-SA"/>
        </w:rPr>
        <w:t>磋商须知前附表及磋商须知</w:t>
      </w:r>
    </w:p>
    <w:p w14:paraId="3E0AF518">
      <w:pPr>
        <w:kinsoku w:val="0"/>
        <w:overflowPunct w:val="0"/>
        <w:adjustRightInd w:val="0"/>
        <w:rPr>
          <w:rFonts w:hint="eastAsia" w:ascii="宋体" w:hAnsi="宋体" w:eastAsia="宋体" w:cs="宋体"/>
          <w:sz w:val="20"/>
          <w:szCs w:val="24"/>
          <w:highlight w:val="none"/>
          <w:lang w:val="en-US" w:bidi="ar-SA"/>
        </w:rPr>
      </w:pPr>
    </w:p>
    <w:p w14:paraId="5214B41D">
      <w:pPr>
        <w:kinsoku w:val="0"/>
        <w:overflowPunct w:val="0"/>
        <w:adjustRightInd w:val="0"/>
        <w:spacing w:before="13"/>
        <w:rPr>
          <w:rFonts w:hint="eastAsia" w:ascii="宋体" w:hAnsi="宋体" w:eastAsia="宋体" w:cs="宋体"/>
          <w:sz w:val="13"/>
          <w:szCs w:val="24"/>
          <w:highlight w:val="none"/>
          <w:lang w:val="en-US" w:bidi="ar-SA"/>
        </w:rPr>
      </w:pPr>
    </w:p>
    <w:p w14:paraId="1C29DC10">
      <w:pPr>
        <w:numPr>
          <w:ilvl w:val="0"/>
          <w:numId w:val="2"/>
        </w:numPr>
        <w:kinsoku w:val="0"/>
        <w:overflowPunct w:val="0"/>
        <w:adjustRightInd w:val="0"/>
        <w:spacing w:before="7"/>
        <w:ind w:left="398"/>
        <w:jc w:val="center"/>
        <w:outlineLvl w:val="1"/>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t>磋商须知前附表</w:t>
      </w:r>
    </w:p>
    <w:tbl>
      <w:tblPr>
        <w:tblStyle w:val="23"/>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142"/>
        <w:gridCol w:w="6357"/>
      </w:tblGrid>
      <w:tr w14:paraId="090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8432855">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条款号</w:t>
            </w:r>
          </w:p>
        </w:tc>
        <w:tc>
          <w:tcPr>
            <w:tcW w:w="2142" w:type="dxa"/>
            <w:vAlign w:val="center"/>
          </w:tcPr>
          <w:p w14:paraId="00D5CD50">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条款名称</w:t>
            </w:r>
          </w:p>
        </w:tc>
        <w:tc>
          <w:tcPr>
            <w:tcW w:w="6357" w:type="dxa"/>
            <w:vAlign w:val="center"/>
          </w:tcPr>
          <w:p w14:paraId="755D30E6">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编列内容</w:t>
            </w:r>
          </w:p>
        </w:tc>
      </w:tr>
      <w:tr w14:paraId="2B36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7E08BB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w:t>
            </w:r>
          </w:p>
        </w:tc>
        <w:tc>
          <w:tcPr>
            <w:tcW w:w="2142" w:type="dxa"/>
            <w:vAlign w:val="center"/>
          </w:tcPr>
          <w:p w14:paraId="13CF346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w:t>
            </w:r>
          </w:p>
        </w:tc>
        <w:tc>
          <w:tcPr>
            <w:tcW w:w="6357" w:type="dxa"/>
            <w:vAlign w:val="center"/>
          </w:tcPr>
          <w:p w14:paraId="66113C84">
            <w:pPr>
              <w:spacing w:line="400" w:lineRule="exact"/>
              <w:rPr>
                <w:rFonts w:hint="eastAsia" w:ascii="宋体" w:hAnsi="宋体" w:eastAsia="宋体" w:cs="宋体"/>
                <w:color w:val="000000"/>
                <w:sz w:val="24"/>
                <w:szCs w:val="21"/>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1"/>
                <w:highlight w:val="none"/>
                <w:lang w:val="en-US" w:eastAsia="zh-CN" w:bidi="ar-SA"/>
              </w:rPr>
              <w:t>伽师县西克尔库勒镇人民政府</w:t>
            </w:r>
          </w:p>
          <w:p w14:paraId="77C3E31A">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地址：伽师县</w:t>
            </w:r>
            <w:r>
              <w:rPr>
                <w:rFonts w:hint="eastAsia" w:cs="宋体"/>
                <w:color w:val="000000"/>
                <w:sz w:val="24"/>
                <w:szCs w:val="21"/>
                <w:highlight w:val="none"/>
                <w:lang w:val="en-US" w:eastAsia="zh-CN" w:bidi="ar-SA"/>
              </w:rPr>
              <w:t>西克尔库勒镇</w:t>
            </w:r>
          </w:p>
          <w:p w14:paraId="428CC184">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1"/>
                <w:highlight w:val="none"/>
                <w:lang w:val="en-US" w:eastAsia="zh-CN" w:bidi="ar-SA"/>
              </w:rPr>
              <w:t>唐松</w:t>
            </w:r>
          </w:p>
          <w:p w14:paraId="6BDA9305">
            <w:pPr>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15099399210</w:t>
            </w:r>
          </w:p>
        </w:tc>
      </w:tr>
      <w:tr w14:paraId="2BD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532A3E0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w:t>
            </w:r>
          </w:p>
        </w:tc>
        <w:tc>
          <w:tcPr>
            <w:tcW w:w="2142" w:type="dxa"/>
            <w:vAlign w:val="center"/>
          </w:tcPr>
          <w:p w14:paraId="6102BEAB">
            <w:pPr>
              <w:adjustRightInd w:val="0"/>
              <w:spacing w:line="400" w:lineRule="exact"/>
              <w:jc w:val="center"/>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采购代理机构</w:t>
            </w:r>
          </w:p>
        </w:tc>
        <w:tc>
          <w:tcPr>
            <w:tcW w:w="6357" w:type="dxa"/>
            <w:vAlign w:val="center"/>
          </w:tcPr>
          <w:p w14:paraId="14361951">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4"/>
                <w:highlight w:val="none"/>
                <w:lang w:val="en-US" w:eastAsia="zh-CN" w:bidi="ar-SA"/>
              </w:rPr>
              <w:t>新疆惠中源项目管理有限公司</w:t>
            </w:r>
          </w:p>
          <w:p w14:paraId="15803F31">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地址：</w:t>
            </w:r>
            <w:r>
              <w:rPr>
                <w:rFonts w:hint="eastAsia" w:cs="宋体"/>
                <w:i w:val="0"/>
                <w:caps w:val="0"/>
                <w:color w:val="000000"/>
                <w:spacing w:val="0"/>
                <w:sz w:val="24"/>
                <w:szCs w:val="24"/>
                <w:highlight w:val="none"/>
                <w:lang w:val="en-US" w:eastAsia="zh-CN"/>
              </w:rPr>
              <w:t>喀什经济开发区深喀大道陕西大厦10楼1005室</w:t>
            </w:r>
            <w:r>
              <w:rPr>
                <w:rFonts w:hint="eastAsia" w:ascii="宋体" w:hAnsi="宋体" w:eastAsia="宋体" w:cs="宋体"/>
                <w:color w:val="000000"/>
                <w:sz w:val="24"/>
                <w:szCs w:val="24"/>
                <w:highlight w:val="none"/>
                <w:lang w:val="en-US" w:bidi="ar-SA"/>
              </w:rPr>
              <w:t xml:space="preserve"> </w:t>
            </w:r>
          </w:p>
          <w:p w14:paraId="65B1DA2B">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4"/>
                <w:highlight w:val="none"/>
                <w:lang w:val="en-US" w:eastAsia="zh-CN" w:bidi="ar-SA"/>
              </w:rPr>
              <w:t>于大海</w:t>
            </w:r>
          </w:p>
          <w:p w14:paraId="2EA567DD">
            <w:pPr>
              <w:adjustRightInd w:val="0"/>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18999110912</w:t>
            </w:r>
          </w:p>
        </w:tc>
      </w:tr>
      <w:tr w14:paraId="2CA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center"/>
          </w:tcPr>
          <w:p w14:paraId="03E5FFB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w:t>
            </w:r>
          </w:p>
        </w:tc>
        <w:tc>
          <w:tcPr>
            <w:tcW w:w="2142" w:type="dxa"/>
            <w:vAlign w:val="center"/>
          </w:tcPr>
          <w:p w14:paraId="2B5EE11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项目名称</w:t>
            </w:r>
          </w:p>
        </w:tc>
        <w:tc>
          <w:tcPr>
            <w:tcW w:w="6357" w:type="dxa"/>
            <w:vAlign w:val="center"/>
          </w:tcPr>
          <w:p w14:paraId="7208759A">
            <w:pPr>
              <w:adjustRightInd w:val="0"/>
              <w:spacing w:line="400" w:lineRule="exact"/>
              <w:rPr>
                <w:rFonts w:hint="eastAsia" w:ascii="宋体" w:hAnsi="宋体" w:eastAsia="宋体" w:cs="宋体"/>
                <w:sz w:val="24"/>
                <w:szCs w:val="24"/>
                <w:highlight w:val="none"/>
                <w:lang w:val="en-US" w:bidi="ar-SA"/>
              </w:rPr>
            </w:pPr>
            <w:r>
              <w:rPr>
                <w:rFonts w:hint="eastAsia" w:cs="宋体"/>
                <w:sz w:val="24"/>
                <w:szCs w:val="24"/>
                <w:highlight w:val="none"/>
                <w:lang w:val="en-US" w:eastAsia="zh-CN" w:bidi="ar-SA"/>
              </w:rPr>
              <w:t>伽师县西克尔库勒镇库木库坦（1）村农村道路建设项目</w:t>
            </w:r>
            <w:r>
              <w:rPr>
                <w:rFonts w:hint="eastAsia" w:ascii="宋体" w:hAnsi="宋体" w:eastAsia="宋体" w:cs="宋体"/>
                <w:sz w:val="24"/>
                <w:szCs w:val="24"/>
                <w:highlight w:val="none"/>
                <w:lang w:val="en-US" w:bidi="ar-SA"/>
              </w:rPr>
              <w:t xml:space="preserve"> </w:t>
            </w:r>
          </w:p>
        </w:tc>
      </w:tr>
      <w:tr w14:paraId="2CC9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7" w:type="dxa"/>
            <w:vAlign w:val="center"/>
          </w:tcPr>
          <w:p w14:paraId="650F06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w:t>
            </w:r>
          </w:p>
        </w:tc>
        <w:tc>
          <w:tcPr>
            <w:tcW w:w="2142" w:type="dxa"/>
            <w:vAlign w:val="center"/>
          </w:tcPr>
          <w:p w14:paraId="6FF3C08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建设地点</w:t>
            </w:r>
          </w:p>
        </w:tc>
        <w:tc>
          <w:tcPr>
            <w:tcW w:w="6357" w:type="dxa"/>
            <w:vAlign w:val="center"/>
          </w:tcPr>
          <w:p w14:paraId="0CA1C0A6">
            <w:pPr>
              <w:adjustRightInd w:val="0"/>
              <w:spacing w:line="400" w:lineRule="exact"/>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伽师县西克尔库勒镇库木库坦（1）村</w:t>
            </w:r>
          </w:p>
        </w:tc>
      </w:tr>
      <w:tr w14:paraId="534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7BD9000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w:t>
            </w:r>
          </w:p>
        </w:tc>
        <w:tc>
          <w:tcPr>
            <w:tcW w:w="2142" w:type="dxa"/>
            <w:vAlign w:val="center"/>
          </w:tcPr>
          <w:p w14:paraId="73D404B1">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资金来源</w:t>
            </w:r>
          </w:p>
        </w:tc>
        <w:tc>
          <w:tcPr>
            <w:tcW w:w="6357" w:type="dxa"/>
            <w:vAlign w:val="center"/>
          </w:tcPr>
          <w:p w14:paraId="450E111B">
            <w:pPr>
              <w:adjustRightInd w:val="0"/>
              <w:spacing w:line="400" w:lineRule="exact"/>
              <w:rPr>
                <w:rFonts w:hint="eastAsia" w:ascii="宋体" w:hAnsi="宋体" w:eastAsia="宋体" w:cs="宋体"/>
                <w:color w:val="0000FF"/>
                <w:sz w:val="24"/>
                <w:szCs w:val="24"/>
                <w:highlight w:val="none"/>
                <w:lang w:val="en-US" w:eastAsia="zh-CN" w:bidi="ar-SA"/>
              </w:rPr>
            </w:pPr>
            <w:r>
              <w:rPr>
                <w:rStyle w:val="30"/>
                <w:rFonts w:hint="eastAsia" w:cs="宋体"/>
                <w:sz w:val="24"/>
                <w:szCs w:val="24"/>
                <w:highlight w:val="none"/>
                <w:lang w:val="en-US" w:eastAsia="zh-CN"/>
              </w:rPr>
              <w:t>衔接资金</w:t>
            </w:r>
          </w:p>
        </w:tc>
      </w:tr>
      <w:tr w14:paraId="562F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E065EB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w:t>
            </w:r>
          </w:p>
        </w:tc>
        <w:tc>
          <w:tcPr>
            <w:tcW w:w="2142" w:type="dxa"/>
            <w:vAlign w:val="center"/>
          </w:tcPr>
          <w:p w14:paraId="7275C4C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出资比例</w:t>
            </w:r>
          </w:p>
        </w:tc>
        <w:tc>
          <w:tcPr>
            <w:tcW w:w="6357" w:type="dxa"/>
            <w:vAlign w:val="center"/>
          </w:tcPr>
          <w:p w14:paraId="24C6CED7">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100%</w:t>
            </w:r>
          </w:p>
        </w:tc>
      </w:tr>
      <w:tr w14:paraId="2E9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02F792E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w:t>
            </w:r>
          </w:p>
        </w:tc>
        <w:tc>
          <w:tcPr>
            <w:tcW w:w="2142" w:type="dxa"/>
            <w:vAlign w:val="center"/>
          </w:tcPr>
          <w:p w14:paraId="3CE905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资金落实情况</w:t>
            </w:r>
          </w:p>
        </w:tc>
        <w:tc>
          <w:tcPr>
            <w:tcW w:w="6357" w:type="dxa"/>
            <w:vAlign w:val="center"/>
          </w:tcPr>
          <w:p w14:paraId="4AD8D6ED">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已落实</w:t>
            </w:r>
          </w:p>
        </w:tc>
      </w:tr>
      <w:tr w14:paraId="08E1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481839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w:t>
            </w:r>
          </w:p>
        </w:tc>
        <w:tc>
          <w:tcPr>
            <w:tcW w:w="2142" w:type="dxa"/>
            <w:vAlign w:val="center"/>
          </w:tcPr>
          <w:p w14:paraId="376FD31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采购预算、内容</w:t>
            </w:r>
          </w:p>
          <w:p w14:paraId="41533B2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及范围</w:t>
            </w:r>
          </w:p>
        </w:tc>
        <w:tc>
          <w:tcPr>
            <w:tcW w:w="6357" w:type="dxa"/>
            <w:vAlign w:val="center"/>
          </w:tcPr>
          <w:p w14:paraId="7533932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w:t>
            </w:r>
            <w:r>
              <w:rPr>
                <w:rFonts w:hint="eastAsia" w:cs="宋体"/>
                <w:sz w:val="24"/>
                <w:szCs w:val="24"/>
                <w:highlight w:val="none"/>
                <w:lang w:val="en-US" w:eastAsia="zh-CN"/>
              </w:rPr>
              <w:t>3697151.28</w:t>
            </w:r>
            <w:r>
              <w:rPr>
                <w:rFonts w:hint="eastAsia" w:ascii="宋体" w:hAnsi="宋体" w:eastAsia="宋体" w:cs="宋体"/>
                <w:sz w:val="24"/>
                <w:szCs w:val="24"/>
                <w:highlight w:val="none"/>
                <w:lang w:val="en-US" w:bidi="ar-SA"/>
              </w:rPr>
              <w:t>元。</w:t>
            </w:r>
          </w:p>
          <w:p w14:paraId="7B948AA2">
            <w:pPr>
              <w:autoSpaceDE/>
              <w:autoSpaceDN/>
              <w:spacing w:line="38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最高投标限价：</w:t>
            </w:r>
            <w:r>
              <w:rPr>
                <w:rFonts w:hint="eastAsia" w:cs="宋体"/>
                <w:sz w:val="24"/>
                <w:szCs w:val="24"/>
                <w:highlight w:val="none"/>
                <w:lang w:val="en-US" w:eastAsia="zh-CN"/>
              </w:rPr>
              <w:t>3697151.28</w:t>
            </w:r>
            <w:r>
              <w:rPr>
                <w:rFonts w:hint="eastAsia" w:ascii="宋体" w:hAnsi="宋体" w:eastAsia="宋体" w:cs="宋体"/>
                <w:sz w:val="24"/>
                <w:szCs w:val="24"/>
                <w:highlight w:val="none"/>
                <w:lang w:val="en-US" w:bidi="ar-SA"/>
              </w:rPr>
              <w:t>元，投标报价不得高于最高投标限价，否则响应文件将被拒绝。</w:t>
            </w:r>
          </w:p>
          <w:p w14:paraId="43E2C5A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1"/>
                <w:highlight w:val="none"/>
                <w:lang w:val="en-US" w:bidi="ar-SA"/>
              </w:rPr>
              <w:t>建设规模：</w:t>
            </w:r>
            <w:r>
              <w:rPr>
                <w:rFonts w:hint="eastAsia" w:cs="宋体"/>
                <w:sz w:val="24"/>
                <w:szCs w:val="24"/>
                <w:highlight w:val="none"/>
                <w:lang w:eastAsia="zh-CN"/>
              </w:rPr>
              <w:t>新建道路3.3公里;主要建设内容为路基、路面、桥涵及交通安全设施等;桥涵荷载等级为公路-Ⅱ级。</w:t>
            </w:r>
          </w:p>
          <w:p w14:paraId="5D82865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采购范围：本工程工程量清单及施工图图纸内全部工作内容。</w:t>
            </w:r>
          </w:p>
        </w:tc>
      </w:tr>
      <w:tr w14:paraId="66F7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42E992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9</w:t>
            </w:r>
          </w:p>
        </w:tc>
        <w:tc>
          <w:tcPr>
            <w:tcW w:w="2142" w:type="dxa"/>
            <w:vAlign w:val="center"/>
          </w:tcPr>
          <w:p w14:paraId="6825575A">
            <w:pPr>
              <w:adjustRightInd w:val="0"/>
              <w:spacing w:line="400" w:lineRule="exact"/>
              <w:ind w:firstLine="720" w:firstLineChars="3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工期</w:t>
            </w:r>
          </w:p>
        </w:tc>
        <w:tc>
          <w:tcPr>
            <w:tcW w:w="6357" w:type="dxa"/>
            <w:vAlign w:val="bottom"/>
          </w:tcPr>
          <w:p w14:paraId="37AF6E7B">
            <w:pPr>
              <w:adjustRightInd w:val="0"/>
              <w:spacing w:before="109" w:line="400" w:lineRule="exact"/>
              <w:rPr>
                <w:rFonts w:hint="eastAsia" w:ascii="宋体" w:hAnsi="宋体" w:eastAsia="宋体" w:cs="宋体"/>
                <w:sz w:val="24"/>
                <w:szCs w:val="24"/>
                <w:highlight w:val="none"/>
                <w:lang w:val="en-US" w:bidi="ar-SA"/>
              </w:rPr>
            </w:pPr>
            <w:r>
              <w:rPr>
                <w:rFonts w:hint="eastAsia" w:ascii="宋体" w:hAnsi="宋体" w:eastAsia="宋体" w:cs="宋体"/>
                <w:b w:val="0"/>
                <w:bCs w:val="0"/>
                <w:sz w:val="24"/>
                <w:szCs w:val="24"/>
                <w:highlight w:val="red"/>
                <w:lang w:val="en-US" w:bidi="ar-SA"/>
              </w:rPr>
              <w:t>工期</w:t>
            </w:r>
            <w:r>
              <w:rPr>
                <w:rFonts w:hint="eastAsia" w:ascii="宋体" w:hAnsi="宋体" w:eastAsia="宋体" w:cs="宋体"/>
                <w:b w:val="0"/>
                <w:bCs w:val="0"/>
                <w:color w:val="auto"/>
                <w:sz w:val="24"/>
                <w:szCs w:val="24"/>
                <w:highlight w:val="red"/>
                <w:lang w:val="en-US" w:bidi="ar-SA"/>
              </w:rPr>
              <w:t>：</w:t>
            </w:r>
            <w:r>
              <w:rPr>
                <w:rFonts w:hint="eastAsia" w:cs="宋体"/>
                <w:b w:val="0"/>
                <w:bCs w:val="0"/>
                <w:color w:val="auto"/>
                <w:sz w:val="24"/>
                <w:szCs w:val="24"/>
                <w:highlight w:val="red"/>
                <w:lang w:val="en-US" w:eastAsia="zh-CN" w:bidi="ar-SA"/>
              </w:rPr>
              <w:t>78天（开工日期：2025年3月15日，完工日期：2025年5月31日）</w:t>
            </w:r>
            <w:r>
              <w:rPr>
                <w:rFonts w:hint="eastAsia" w:ascii="宋体" w:hAnsi="宋体" w:eastAsia="宋体" w:cs="宋体"/>
                <w:b w:val="0"/>
                <w:bCs w:val="0"/>
                <w:color w:val="auto"/>
                <w:sz w:val="24"/>
                <w:szCs w:val="24"/>
                <w:highlight w:val="red"/>
                <w:lang w:val="en-US" w:bidi="ar-SA"/>
              </w:rPr>
              <w:t>。</w:t>
            </w:r>
          </w:p>
        </w:tc>
      </w:tr>
      <w:tr w14:paraId="66AE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7B41C8F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w:t>
            </w:r>
          </w:p>
        </w:tc>
        <w:tc>
          <w:tcPr>
            <w:tcW w:w="2142" w:type="dxa"/>
            <w:vAlign w:val="center"/>
          </w:tcPr>
          <w:p w14:paraId="009B601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质量要求</w:t>
            </w:r>
          </w:p>
        </w:tc>
        <w:tc>
          <w:tcPr>
            <w:tcW w:w="6357" w:type="dxa"/>
            <w:vAlign w:val="bottom"/>
          </w:tcPr>
          <w:p w14:paraId="521D85F4">
            <w:pPr>
              <w:tabs>
                <w:tab w:val="left" w:pos="4112"/>
              </w:tabs>
              <w:adjustRightInd w:val="0"/>
              <w:spacing w:before="110" w:line="400" w:lineRule="exact"/>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标段工程交工验收的质量评定：</w:t>
            </w:r>
            <w:r>
              <w:rPr>
                <w:rFonts w:hint="eastAsia" w:ascii="宋体" w:hAnsi="宋体" w:eastAsia="宋体" w:cs="宋体"/>
                <w:sz w:val="24"/>
                <w:szCs w:val="24"/>
                <w:highlight w:val="none"/>
                <w:u w:val="single"/>
                <w:lang w:val="en-US" w:bidi="ar-SA"/>
              </w:rPr>
              <w:t xml:space="preserve"> 合格。</w:t>
            </w:r>
          </w:p>
          <w:p w14:paraId="4BF4AEDF">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竣工验收的质量评定：</w:t>
            </w:r>
            <w:r>
              <w:rPr>
                <w:rFonts w:hint="eastAsia" w:ascii="宋体" w:hAnsi="宋体" w:eastAsia="宋体" w:cs="宋体"/>
                <w:sz w:val="24"/>
                <w:szCs w:val="24"/>
                <w:highlight w:val="none"/>
                <w:u w:val="single"/>
                <w:lang w:val="en-US" w:bidi="ar-SA"/>
              </w:rPr>
              <w:t>合格</w:t>
            </w:r>
            <w:r>
              <w:rPr>
                <w:rFonts w:hint="eastAsia" w:ascii="宋体" w:hAnsi="宋体" w:eastAsia="宋体" w:cs="宋体"/>
                <w:sz w:val="24"/>
                <w:szCs w:val="24"/>
                <w:highlight w:val="none"/>
                <w:lang w:val="en-US" w:bidi="ar-SA"/>
              </w:rPr>
              <w:t>。</w:t>
            </w:r>
          </w:p>
        </w:tc>
      </w:tr>
      <w:tr w14:paraId="67B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73C62EC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w:t>
            </w:r>
          </w:p>
        </w:tc>
        <w:tc>
          <w:tcPr>
            <w:tcW w:w="2142" w:type="dxa"/>
            <w:vAlign w:val="center"/>
          </w:tcPr>
          <w:p w14:paraId="0AD6A3D1">
            <w:pPr>
              <w:pStyle w:val="27"/>
              <w:spacing w:before="1"/>
              <w:ind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安全目标</w:t>
            </w:r>
          </w:p>
        </w:tc>
        <w:tc>
          <w:tcPr>
            <w:tcW w:w="6357" w:type="dxa"/>
            <w:vAlign w:val="center"/>
          </w:tcPr>
          <w:p w14:paraId="3D968791">
            <w:pPr>
              <w:pStyle w:val="27"/>
              <w:spacing w:before="3" w:line="398" w:lineRule="exact"/>
              <w:ind w:right="97"/>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各类生产安全责任事故死亡人数为零，不发生一般火灾事故。</w:t>
            </w:r>
          </w:p>
        </w:tc>
      </w:tr>
      <w:tr w14:paraId="62C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5391855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w:t>
            </w:r>
          </w:p>
        </w:tc>
        <w:tc>
          <w:tcPr>
            <w:tcW w:w="2142" w:type="dxa"/>
            <w:vAlign w:val="center"/>
          </w:tcPr>
          <w:p w14:paraId="781BD25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付款方式</w:t>
            </w:r>
          </w:p>
        </w:tc>
        <w:tc>
          <w:tcPr>
            <w:tcW w:w="6357" w:type="dxa"/>
            <w:vAlign w:val="bottom"/>
          </w:tcPr>
          <w:p w14:paraId="42827FD4">
            <w:pPr>
              <w:adjustRightInd w:val="0"/>
              <w:spacing w:line="400" w:lineRule="exact"/>
              <w:rPr>
                <w:rFonts w:hint="eastAsia" w:ascii="宋体" w:hAnsi="宋体" w:eastAsia="宋体" w:cs="宋体"/>
                <w:sz w:val="24"/>
                <w:szCs w:val="24"/>
                <w:highlight w:val="red"/>
                <w:lang w:val="en-US" w:bidi="ar-SA"/>
              </w:rPr>
            </w:pPr>
            <w:r>
              <w:rPr>
                <w:rFonts w:hint="eastAsia" w:ascii="宋体" w:hAnsi="宋体" w:eastAsia="宋体" w:cs="宋体"/>
                <w:sz w:val="24"/>
                <w:szCs w:val="24"/>
                <w:highlight w:val="red"/>
                <w:lang w:val="en-US" w:bidi="ar-SA"/>
              </w:rPr>
              <w:t>开工预付款金额：</w:t>
            </w:r>
            <w:r>
              <w:rPr>
                <w:rFonts w:hint="eastAsia" w:ascii="宋体" w:hAnsi="宋体" w:eastAsia="宋体" w:cs="宋体"/>
                <w:sz w:val="24"/>
                <w:szCs w:val="24"/>
                <w:highlight w:val="red"/>
                <w:u w:val="single"/>
                <w:lang w:val="en-US" w:bidi="ar-SA"/>
              </w:rPr>
              <w:t>30 %</w:t>
            </w:r>
            <w:r>
              <w:rPr>
                <w:rFonts w:hint="eastAsia" w:ascii="宋体" w:hAnsi="宋体" w:eastAsia="宋体" w:cs="宋体"/>
                <w:sz w:val="24"/>
                <w:szCs w:val="24"/>
                <w:highlight w:val="red"/>
                <w:lang w:val="en-US" w:bidi="ar-SA"/>
              </w:rPr>
              <w:t>签约合同价；</w:t>
            </w:r>
          </w:p>
          <w:p w14:paraId="3FA14F5F">
            <w:pPr>
              <w:adjustRightInd w:val="0"/>
              <w:spacing w:line="400" w:lineRule="exact"/>
              <w:rPr>
                <w:rFonts w:hint="default" w:ascii="宋体" w:hAnsi="宋体" w:eastAsia="宋体" w:cs="宋体"/>
                <w:sz w:val="24"/>
                <w:szCs w:val="24"/>
                <w:highlight w:val="red"/>
                <w:lang w:val="en-US" w:eastAsia="zh-CN" w:bidi="ar-SA"/>
              </w:rPr>
            </w:pPr>
            <w:r>
              <w:rPr>
                <w:rFonts w:hint="eastAsia" w:cs="宋体"/>
                <w:sz w:val="24"/>
                <w:szCs w:val="24"/>
                <w:highlight w:val="red"/>
                <w:lang w:val="en-US" w:eastAsia="zh-CN" w:bidi="ar-SA"/>
              </w:rPr>
              <w:t>剩余款项按施工进度支付；</w:t>
            </w:r>
          </w:p>
          <w:p w14:paraId="224FBCE1">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red"/>
                <w:lang w:val="en-US" w:bidi="ar-SA"/>
              </w:rPr>
              <w:t>质量保证金限额：</w:t>
            </w:r>
            <w:r>
              <w:rPr>
                <w:rFonts w:hint="eastAsia" w:cs="宋体"/>
                <w:sz w:val="24"/>
                <w:szCs w:val="24"/>
                <w:highlight w:val="red"/>
                <w:u w:val="single"/>
                <w:lang w:val="en-US" w:eastAsia="zh-CN" w:bidi="ar-SA"/>
              </w:rPr>
              <w:t>/</w:t>
            </w:r>
            <w:r>
              <w:rPr>
                <w:rFonts w:hint="eastAsia" w:ascii="宋体" w:hAnsi="宋体" w:eastAsia="宋体" w:cs="宋体"/>
                <w:sz w:val="24"/>
                <w:szCs w:val="24"/>
                <w:highlight w:val="red"/>
                <w:u w:val="single"/>
                <w:lang w:val="en-US" w:bidi="ar-SA"/>
              </w:rPr>
              <w:t>%</w:t>
            </w:r>
            <w:r>
              <w:rPr>
                <w:rFonts w:hint="eastAsia" w:ascii="宋体" w:hAnsi="宋体" w:eastAsia="宋体" w:cs="宋体"/>
                <w:sz w:val="24"/>
                <w:szCs w:val="24"/>
                <w:highlight w:val="red"/>
                <w:lang w:val="en-US" w:bidi="ar-SA"/>
              </w:rPr>
              <w:t>合同价格。</w:t>
            </w:r>
            <w:r>
              <w:rPr>
                <w:rFonts w:hint="eastAsia" w:ascii="宋体" w:hAnsi="宋体" w:eastAsia="宋体" w:cs="宋体"/>
                <w:sz w:val="24"/>
                <w:szCs w:val="24"/>
                <w:highlight w:val="none"/>
                <w:lang w:val="en-US" w:bidi="ar-SA"/>
              </w:rPr>
              <w:t>最终付款方式按中标后合同约定。</w:t>
            </w:r>
          </w:p>
        </w:tc>
      </w:tr>
      <w:tr w14:paraId="653D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7" w:type="dxa"/>
            <w:vAlign w:val="center"/>
          </w:tcPr>
          <w:p w14:paraId="6B7915A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w:t>
            </w:r>
          </w:p>
        </w:tc>
        <w:tc>
          <w:tcPr>
            <w:tcW w:w="2142" w:type="dxa"/>
            <w:vAlign w:val="center"/>
          </w:tcPr>
          <w:p w14:paraId="2A32E68E">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供应商资质条件、能力</w:t>
            </w:r>
          </w:p>
        </w:tc>
        <w:tc>
          <w:tcPr>
            <w:tcW w:w="6357" w:type="dxa"/>
            <w:vAlign w:val="center"/>
          </w:tcPr>
          <w:p w14:paraId="2EC5D946">
            <w:pPr>
              <w:pStyle w:val="19"/>
              <w:autoSpaceDE/>
              <w:autoSpaceDN/>
              <w:spacing w:before="50" w:after="5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21FF421F">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4A168CE3">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21A2AB5B">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2023年财务审计报告</w:t>
            </w:r>
            <w:r>
              <w:rPr>
                <w:rFonts w:hint="eastAsia" w:ascii="宋体" w:hAnsi="宋体" w:eastAsia="宋体" w:cs="宋体"/>
                <w:kern w:val="2"/>
                <w:highlight w:val="none"/>
                <w:lang w:val="en-US" w:bidi="ar-SA"/>
              </w:rPr>
              <w:t>（成立不满一年的提供开标前一个月内有效银行资信证明）；</w:t>
            </w:r>
          </w:p>
          <w:p w14:paraId="634F10A8">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446B3C91">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（6）供应商及其法人参加本次采购活动前三年内，在经营活动中没有重大违法记录的声明及反商业受贿承诺。</w:t>
            </w:r>
          </w:p>
          <w:p w14:paraId="04C1F32C">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0D1F7857">
            <w:pPr>
              <w:pStyle w:val="19"/>
              <w:autoSpaceDE/>
              <w:autoSpaceDN/>
              <w:spacing w:before="40" w:after="40" w:line="380" w:lineRule="exact"/>
              <w:rPr>
                <w:rFonts w:hint="eastAsia" w:ascii="宋体" w:hAnsi="宋体" w:eastAsia="宋体" w:cs="宋体"/>
                <w:color w:val="FF0000"/>
                <w:highlight w:val="none"/>
                <w:lang w:val="en-US" w:bidi="ar-SA"/>
              </w:rPr>
            </w:pPr>
            <w:r>
              <w:rPr>
                <w:rFonts w:hint="eastAsia" w:ascii="宋体" w:hAnsi="宋体" w:eastAsia="宋体" w:cs="宋体"/>
                <w:kern w:val="2"/>
                <w:highlight w:val="none"/>
                <w:lang w:val="en-US" w:bidi="ar-SA"/>
              </w:rPr>
              <w:t>（8）投标保证金缴纳凭证。</w:t>
            </w:r>
          </w:p>
        </w:tc>
      </w:tr>
      <w:tr w14:paraId="32F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F5374A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w:t>
            </w:r>
          </w:p>
        </w:tc>
        <w:tc>
          <w:tcPr>
            <w:tcW w:w="2142" w:type="dxa"/>
            <w:vAlign w:val="center"/>
          </w:tcPr>
          <w:p w14:paraId="1A2BEFC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现场踏勘</w:t>
            </w:r>
          </w:p>
        </w:tc>
        <w:tc>
          <w:tcPr>
            <w:tcW w:w="6357" w:type="dxa"/>
            <w:vAlign w:val="center"/>
          </w:tcPr>
          <w:p w14:paraId="401FBC50">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统一组织踏勘，各投标供应商应认真踏勘施工现场，了解工程建设地点位置，材料运输储存条件，掌握有关可能影响投标报价的因素和情况，投标人一旦中标后不得以不完全了解现场情况为借口而增加造价和延长工期。</w:t>
            </w:r>
          </w:p>
        </w:tc>
      </w:tr>
      <w:tr w14:paraId="31D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3D7A53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w:t>
            </w:r>
          </w:p>
        </w:tc>
        <w:tc>
          <w:tcPr>
            <w:tcW w:w="2142" w:type="dxa"/>
            <w:vAlign w:val="center"/>
          </w:tcPr>
          <w:p w14:paraId="4BC0596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投标预备会</w:t>
            </w:r>
          </w:p>
        </w:tc>
        <w:tc>
          <w:tcPr>
            <w:tcW w:w="6357" w:type="dxa"/>
            <w:vAlign w:val="center"/>
          </w:tcPr>
          <w:p w14:paraId="536C5D2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不召开，</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将对供应商所提出的问题予以解答，并出具书面答疑纪要。答疑纪要为磋商文件的组成部分，与磋商文件具有同等法律效力。</w:t>
            </w:r>
          </w:p>
        </w:tc>
      </w:tr>
      <w:tr w14:paraId="4EB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C29D3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w:t>
            </w:r>
          </w:p>
        </w:tc>
        <w:tc>
          <w:tcPr>
            <w:tcW w:w="2142" w:type="dxa"/>
            <w:vAlign w:val="center"/>
          </w:tcPr>
          <w:p w14:paraId="60F4B97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构成磋商文件的其他材料</w:t>
            </w:r>
          </w:p>
        </w:tc>
        <w:tc>
          <w:tcPr>
            <w:tcW w:w="6357" w:type="dxa"/>
            <w:vAlign w:val="center"/>
          </w:tcPr>
          <w:p w14:paraId="3E6A69F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根据磋商文件相应条款对磋商文件所作的答疑、修改，构成磋商文件的组成部分。</w:t>
            </w:r>
          </w:p>
        </w:tc>
      </w:tr>
      <w:tr w14:paraId="4A0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A3A638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17</w:t>
            </w:r>
          </w:p>
        </w:tc>
        <w:tc>
          <w:tcPr>
            <w:tcW w:w="2142" w:type="dxa"/>
            <w:vAlign w:val="center"/>
          </w:tcPr>
          <w:p w14:paraId="64255656">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澄清或者修改时间</w:t>
            </w:r>
          </w:p>
        </w:tc>
        <w:tc>
          <w:tcPr>
            <w:tcW w:w="6357" w:type="dxa"/>
            <w:vAlign w:val="center"/>
          </w:tcPr>
          <w:p w14:paraId="1FE6E733">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磋商截止时间5日前</w:t>
            </w:r>
          </w:p>
        </w:tc>
      </w:tr>
      <w:tr w14:paraId="593F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37" w:type="dxa"/>
            <w:vAlign w:val="center"/>
          </w:tcPr>
          <w:p w14:paraId="6101B7F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w:t>
            </w:r>
          </w:p>
        </w:tc>
        <w:tc>
          <w:tcPr>
            <w:tcW w:w="2142" w:type="dxa"/>
            <w:vAlign w:val="center"/>
          </w:tcPr>
          <w:p w14:paraId="684A16B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构成响应文件的其他材料</w:t>
            </w:r>
          </w:p>
        </w:tc>
        <w:tc>
          <w:tcPr>
            <w:tcW w:w="6357" w:type="dxa"/>
            <w:vAlign w:val="center"/>
          </w:tcPr>
          <w:p w14:paraId="553EDB7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供应商认为应增加的资料或说明</w:t>
            </w:r>
          </w:p>
        </w:tc>
      </w:tr>
      <w:tr w14:paraId="0CF1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7" w:type="dxa"/>
            <w:vAlign w:val="center"/>
          </w:tcPr>
          <w:p w14:paraId="6D0813F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w:t>
            </w:r>
          </w:p>
        </w:tc>
        <w:tc>
          <w:tcPr>
            <w:tcW w:w="2142" w:type="dxa"/>
            <w:vAlign w:val="center"/>
          </w:tcPr>
          <w:p w14:paraId="283100F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投标有效期</w:t>
            </w:r>
          </w:p>
        </w:tc>
        <w:tc>
          <w:tcPr>
            <w:tcW w:w="6357" w:type="dxa"/>
            <w:vAlign w:val="center"/>
          </w:tcPr>
          <w:p w14:paraId="0A402BA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u w:val="single"/>
                <w:lang w:val="en-US" w:bidi="ar-SA"/>
              </w:rPr>
              <w:t>90</w:t>
            </w:r>
            <w:r>
              <w:rPr>
                <w:rFonts w:hint="eastAsia" w:ascii="宋体" w:hAnsi="宋体" w:eastAsia="宋体" w:cs="宋体"/>
                <w:sz w:val="24"/>
                <w:szCs w:val="24"/>
                <w:highlight w:val="none"/>
                <w:lang w:val="en-US" w:bidi="ar-SA"/>
              </w:rPr>
              <w:t>日历天</w:t>
            </w:r>
          </w:p>
        </w:tc>
      </w:tr>
      <w:tr w14:paraId="295D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37" w:type="dxa"/>
            <w:vAlign w:val="center"/>
          </w:tcPr>
          <w:p w14:paraId="22F2CEF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w:t>
            </w:r>
          </w:p>
        </w:tc>
        <w:tc>
          <w:tcPr>
            <w:tcW w:w="2142" w:type="dxa"/>
            <w:vAlign w:val="center"/>
          </w:tcPr>
          <w:p w14:paraId="3333E4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磋商保证金</w:t>
            </w:r>
          </w:p>
        </w:tc>
        <w:tc>
          <w:tcPr>
            <w:tcW w:w="6357" w:type="dxa"/>
            <w:vAlign w:val="center"/>
          </w:tcPr>
          <w:p w14:paraId="442242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保证金形式：</w:t>
            </w:r>
            <w:r>
              <w:rPr>
                <w:rFonts w:hint="eastAsia" w:ascii="宋体" w:hAnsi="宋体" w:eastAsia="宋体" w:cs="宋体"/>
                <w:b w:val="0"/>
                <w:bCs w:val="0"/>
                <w:color w:val="000000"/>
                <w:sz w:val="24"/>
                <w:szCs w:val="24"/>
                <w:highlight w:val="none"/>
              </w:rPr>
              <w:t>☑电汇 ☑转账</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☑银行保函</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电子</w:t>
            </w:r>
            <w:r>
              <w:rPr>
                <w:rFonts w:hint="eastAsia" w:ascii="宋体" w:hAnsi="宋体" w:eastAsia="宋体" w:cs="宋体"/>
                <w:b w:val="0"/>
                <w:bCs w:val="0"/>
                <w:color w:val="000000"/>
                <w:sz w:val="24"/>
                <w:szCs w:val="24"/>
                <w:highlight w:val="none"/>
              </w:rPr>
              <w:t>保函（本项目允许的其他形式）</w:t>
            </w:r>
          </w:p>
          <w:p w14:paraId="786BAD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保证金数额：</w:t>
            </w:r>
            <w:r>
              <w:rPr>
                <w:rFonts w:hint="eastAsia" w:cs="宋体"/>
                <w:b w:val="0"/>
                <w:bCs w:val="0"/>
                <w:sz w:val="24"/>
                <w:szCs w:val="24"/>
                <w:highlight w:val="none"/>
                <w:lang w:val="en-US" w:eastAsia="zh-CN"/>
              </w:rPr>
              <w:t>72</w:t>
            </w:r>
            <w:r>
              <w:rPr>
                <w:rFonts w:hint="eastAsia" w:ascii="宋体" w:hAnsi="宋体" w:eastAsia="宋体" w:cs="宋体"/>
                <w:b w:val="0"/>
                <w:bCs w:val="0"/>
                <w:sz w:val="24"/>
                <w:szCs w:val="24"/>
                <w:highlight w:val="none"/>
                <w:lang w:val="en-US" w:eastAsia="zh-CN"/>
              </w:rPr>
              <w:t>000.00（</w:t>
            </w:r>
            <w:r>
              <w:rPr>
                <w:rFonts w:hint="eastAsia" w:cs="宋体"/>
                <w:b w:val="0"/>
                <w:bCs w:val="0"/>
                <w:sz w:val="24"/>
                <w:szCs w:val="24"/>
                <w:highlight w:val="none"/>
                <w:lang w:val="en-US" w:eastAsia="zh-CN"/>
              </w:rPr>
              <w:t>柒万贰仟元整</w:t>
            </w:r>
            <w:r>
              <w:rPr>
                <w:rFonts w:hint="eastAsia" w:ascii="宋体" w:hAnsi="宋体" w:eastAsia="宋体" w:cs="宋体"/>
                <w:b w:val="0"/>
                <w:bCs w:val="0"/>
                <w:sz w:val="24"/>
                <w:szCs w:val="24"/>
                <w:highlight w:val="none"/>
                <w:lang w:val="en-US" w:eastAsia="zh-CN"/>
              </w:rPr>
              <w:t>）</w:t>
            </w:r>
          </w:p>
          <w:p w14:paraId="72A4ED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开户名称：</w:t>
            </w:r>
            <w:r>
              <w:rPr>
                <w:rFonts w:hint="eastAsia" w:cs="宋体"/>
                <w:b w:val="0"/>
                <w:bCs w:val="0"/>
                <w:sz w:val="24"/>
                <w:szCs w:val="24"/>
                <w:highlight w:val="none"/>
                <w:lang w:eastAsia="zh-CN"/>
              </w:rPr>
              <w:t>新疆惠中源项目管理有限公司</w:t>
            </w:r>
            <w:r>
              <w:rPr>
                <w:rFonts w:hint="eastAsia" w:ascii="宋体" w:hAnsi="宋体" w:eastAsia="宋体" w:cs="宋体"/>
                <w:b w:val="0"/>
                <w:bCs w:val="0"/>
                <w:sz w:val="24"/>
                <w:szCs w:val="24"/>
                <w:highlight w:val="none"/>
              </w:rPr>
              <w:t xml:space="preserve">                       </w:t>
            </w:r>
          </w:p>
          <w:p w14:paraId="38CABD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账号：860010012010115598702</w:t>
            </w:r>
          </w:p>
          <w:p w14:paraId="5DA76A7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开户银行：新疆喀什农村商业银行股份有限公司</w:t>
            </w:r>
          </w:p>
          <w:p w14:paraId="4768E8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行号：402894000010</w:t>
            </w:r>
          </w:p>
          <w:p w14:paraId="288BE3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val="0"/>
                <w:bCs w:val="0"/>
                <w:sz w:val="24"/>
                <w:szCs w:val="24"/>
                <w:highlight w:val="none"/>
              </w:rPr>
              <w:t>备注：</w:t>
            </w:r>
          </w:p>
          <w:p w14:paraId="30E0A5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w:t>
            </w:r>
            <w:r>
              <w:rPr>
                <w:rFonts w:hint="eastAsia" w:ascii="宋体" w:hAnsi="宋体" w:eastAsia="宋体" w:cs="宋体"/>
                <w:color w:val="auto"/>
                <w:spacing w:val="-5"/>
                <w:sz w:val="24"/>
                <w:szCs w:val="24"/>
                <w:highlight w:val="none"/>
              </w:rPr>
              <w:t>电汇或转账</w:t>
            </w:r>
            <w:r>
              <w:rPr>
                <w:rFonts w:hint="eastAsia" w:ascii="宋体" w:hAnsi="宋体" w:eastAsia="宋体" w:cs="宋体"/>
                <w:spacing w:val="-5"/>
                <w:sz w:val="24"/>
                <w:szCs w:val="24"/>
                <w:highlight w:val="none"/>
              </w:rPr>
              <w:t>时请在汇款备注栏</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项目名称</w:t>
            </w:r>
            <w:r>
              <w:rPr>
                <w:rFonts w:hint="eastAsia" w:ascii="宋体" w:hAnsi="宋体" w:eastAsia="宋体" w:cs="宋体"/>
                <w:spacing w:val="-5"/>
                <w:sz w:val="24"/>
                <w:szCs w:val="24"/>
                <w:highlight w:val="none"/>
                <w:lang w:eastAsia="zh-CN"/>
              </w:rPr>
              <w:t>或</w:t>
            </w:r>
            <w:r>
              <w:rPr>
                <w:rFonts w:hint="eastAsia" w:ascii="宋体" w:hAnsi="宋体" w:eastAsia="宋体" w:cs="宋体"/>
                <w:spacing w:val="-5"/>
                <w:sz w:val="24"/>
                <w:szCs w:val="24"/>
                <w:highlight w:val="none"/>
              </w:rPr>
              <w:t>编号、包号 (如有) ，并注明是</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保证金。</w:t>
            </w:r>
          </w:p>
          <w:p w14:paraId="23AD5C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2、若采用电汇或转账形式</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保证金须于</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截止前转入以上指定账户</w:t>
            </w:r>
            <w:r>
              <w:rPr>
                <w:rFonts w:hint="eastAsia" w:ascii="宋体" w:hAnsi="宋体" w:eastAsia="宋体" w:cs="宋体"/>
                <w:color w:val="auto"/>
                <w:spacing w:val="-5"/>
                <w:sz w:val="24"/>
                <w:szCs w:val="24"/>
                <w:highlight w:val="none"/>
                <w:lang w:eastAsia="zh-CN"/>
              </w:rPr>
              <w:t>（资格审查以代理机构实际收到为准），不接受现金、支票及任何个人、分公司汇款，投标保证金付款</w:t>
            </w:r>
            <w:r>
              <w:rPr>
                <w:rFonts w:hint="eastAsia" w:ascii="宋体" w:hAnsi="宋体" w:eastAsia="宋体" w:cs="宋体"/>
                <w:color w:val="auto"/>
                <w:spacing w:val="-5"/>
                <w:sz w:val="24"/>
                <w:szCs w:val="24"/>
                <w:highlight w:val="none"/>
              </w:rPr>
              <w:t>凭证</w:t>
            </w:r>
            <w:r>
              <w:rPr>
                <w:rFonts w:hint="eastAsia" w:ascii="宋体" w:hAnsi="宋体" w:eastAsia="宋体" w:cs="宋体"/>
                <w:color w:val="auto"/>
                <w:spacing w:val="-5"/>
                <w:sz w:val="24"/>
                <w:szCs w:val="24"/>
                <w:highlight w:val="none"/>
                <w:lang w:eastAsia="zh-CN"/>
              </w:rPr>
              <w:t>（或收据）扫描件</w:t>
            </w:r>
            <w:r>
              <w:rPr>
                <w:rFonts w:hint="eastAsia" w:ascii="宋体" w:hAnsi="宋体" w:eastAsia="宋体" w:cs="宋体"/>
                <w:color w:val="auto"/>
                <w:spacing w:val="-5"/>
                <w:sz w:val="24"/>
                <w:szCs w:val="24"/>
                <w:highlight w:val="none"/>
              </w:rPr>
              <w:t>制作在</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文件中；若采用电子保函形式：按照政采云电子投标流程制作并上传电子保函</w:t>
            </w:r>
            <w:r>
              <w:rPr>
                <w:rFonts w:hint="eastAsia" w:ascii="宋体" w:hAnsi="宋体" w:eastAsia="宋体" w:cs="宋体"/>
                <w:spacing w:val="-5"/>
                <w:sz w:val="24"/>
                <w:szCs w:val="24"/>
                <w:highlight w:val="none"/>
                <w:lang w:eastAsia="zh-CN"/>
              </w:rPr>
              <w:t>；采用银行保函时，出具保函的银行级别：应为国有商业银行或股份制银行的支行及其以上的银行</w:t>
            </w:r>
            <w:r>
              <w:rPr>
                <w:rFonts w:hint="eastAsia" w:ascii="宋体" w:hAnsi="宋体" w:eastAsia="宋体" w:cs="宋体"/>
                <w:sz w:val="24"/>
                <w:szCs w:val="24"/>
                <w:highlight w:val="none"/>
                <w:lang w:val="en-US" w:eastAsia="zh-CN"/>
              </w:rPr>
              <w:t>，应将银行保函正本扫描件</w:t>
            </w:r>
            <w:r>
              <w:rPr>
                <w:rFonts w:hint="eastAsia" w:ascii="宋体" w:hAnsi="宋体" w:eastAsia="宋体" w:cs="宋体"/>
                <w:spacing w:val="-5"/>
                <w:sz w:val="24"/>
                <w:szCs w:val="24"/>
                <w:highlight w:val="none"/>
              </w:rPr>
              <w:t>制作在</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文件中</w:t>
            </w:r>
            <w:r>
              <w:rPr>
                <w:rFonts w:hint="eastAsia" w:ascii="宋体" w:hAnsi="宋体" w:eastAsia="宋体" w:cs="宋体"/>
                <w:spacing w:val="-5"/>
                <w:sz w:val="24"/>
                <w:szCs w:val="24"/>
                <w:highlight w:val="none"/>
                <w:lang w:eastAsia="zh-CN"/>
              </w:rPr>
              <w:t>（采购人如需核实投标人须无条件提供银行保函正本原件）</w:t>
            </w:r>
            <w:r>
              <w:rPr>
                <w:rFonts w:hint="eastAsia" w:ascii="宋体" w:hAnsi="宋体" w:eastAsia="宋体" w:cs="宋体"/>
                <w:color w:val="auto"/>
                <w:spacing w:val="-5"/>
                <w:sz w:val="24"/>
                <w:szCs w:val="24"/>
                <w:highlight w:val="none"/>
              </w:rPr>
              <w:t>。</w:t>
            </w:r>
          </w:p>
          <w:p w14:paraId="24E64706">
            <w:pPr>
              <w:widowControl/>
              <w:tabs>
                <w:tab w:val="left" w:pos="0"/>
              </w:tabs>
              <w:adjustRightInd w:val="0"/>
              <w:spacing w:line="400" w:lineRule="exact"/>
              <w:rPr>
                <w:rFonts w:hint="eastAsia"/>
                <w:lang w:val="en-US"/>
              </w:rPr>
            </w:pP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、退</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2"/>
                <w:sz w:val="24"/>
                <w:szCs w:val="24"/>
                <w:highlight w:val="none"/>
              </w:rPr>
              <w:t>时，请各供应商提供银行开户许可证</w:t>
            </w:r>
            <w:r>
              <w:rPr>
                <w:rFonts w:hint="eastAsia" w:ascii="宋体" w:hAnsi="宋体" w:eastAsia="宋体" w:cs="宋体"/>
                <w:spacing w:val="-2"/>
                <w:sz w:val="24"/>
                <w:szCs w:val="24"/>
                <w:highlight w:val="none"/>
                <w:lang w:eastAsia="zh-CN"/>
              </w:rPr>
              <w:t>扫描件</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5"/>
                <w:sz w:val="24"/>
                <w:szCs w:val="24"/>
                <w:highlight w:val="none"/>
              </w:rPr>
              <w:t>收据原件、供应商出具的收到我公司（</w:t>
            </w:r>
            <w:r>
              <w:rPr>
                <w:rFonts w:hint="eastAsia" w:cs="宋体"/>
                <w:spacing w:val="-5"/>
                <w:sz w:val="24"/>
                <w:szCs w:val="24"/>
                <w:highlight w:val="none"/>
                <w:lang w:eastAsia="zh-CN"/>
              </w:rPr>
              <w:t>新疆惠中源项目管理有限公司</w:t>
            </w:r>
            <w:r>
              <w:rPr>
                <w:rFonts w:hint="eastAsia" w:ascii="宋体" w:hAnsi="宋体" w:eastAsia="宋体" w:cs="宋体"/>
                <w:spacing w:val="-5"/>
                <w:sz w:val="24"/>
                <w:szCs w:val="24"/>
                <w:highlight w:val="none"/>
              </w:rPr>
              <w:t>） 退还该项目名称</w:t>
            </w:r>
            <w:r>
              <w:rPr>
                <w:rFonts w:hint="eastAsia" w:ascii="宋体" w:hAnsi="宋体" w:eastAsia="宋体" w:cs="宋体"/>
                <w:spacing w:val="-5"/>
                <w:sz w:val="24"/>
                <w:szCs w:val="24"/>
                <w:highlight w:val="none"/>
                <w:lang w:eastAsia="zh-CN"/>
              </w:rPr>
              <w:t>投标保证金</w:t>
            </w:r>
            <w:r>
              <w:rPr>
                <w:rFonts w:hint="eastAsia" w:ascii="宋体" w:hAnsi="宋体" w:eastAsia="宋体" w:cs="宋体"/>
                <w:spacing w:val="-5"/>
                <w:sz w:val="24"/>
                <w:szCs w:val="24"/>
                <w:highlight w:val="none"/>
              </w:rPr>
              <w:t>的收据原件（盖公章或财务章） 。（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51D4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3417F6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w:t>
            </w:r>
          </w:p>
        </w:tc>
        <w:tc>
          <w:tcPr>
            <w:tcW w:w="2142" w:type="dxa"/>
            <w:vAlign w:val="center"/>
          </w:tcPr>
          <w:p w14:paraId="1861220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投标前准备</w:t>
            </w:r>
          </w:p>
        </w:tc>
        <w:tc>
          <w:tcPr>
            <w:tcW w:w="6357" w:type="dxa"/>
            <w:vAlign w:val="center"/>
          </w:tcPr>
          <w:p w14:paraId="40FE8626">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1、本项目实行网上投标，采用加密电子投标响应文件。若供应商参与投标，自行承担投标一切费用。</w:t>
            </w:r>
          </w:p>
          <w:p w14:paraId="6CB2A0AA">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36E4ECC1">
            <w:pPr>
              <w:adjustRightInd w:val="0"/>
              <w:spacing w:line="312" w:lineRule="auto"/>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3、供应商将政采云电子交易客户端下载、安装完成后，可通过账号密码或CA登录客户端进行响应文件制作。在使用政采云投标客户端时，建议使用WIN7及以上操作系统。客户端请至新疆政府采购网（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"http://www.ccgp-xinjiang.gov.cn/" </w:instrText>
            </w:r>
            <w:r>
              <w:rPr>
                <w:rFonts w:hint="eastAsia" w:ascii="宋体" w:hAnsi="宋体" w:eastAsia="宋体" w:cs="宋体"/>
                <w:highlight w:val="none"/>
              </w:rPr>
              <w:fldChar w:fldCharType="separate"/>
            </w:r>
            <w:r>
              <w:rPr>
                <w:rFonts w:hint="eastAsia" w:ascii="宋体" w:hAnsi="宋体" w:eastAsia="宋体" w:cs="宋体"/>
                <w:color w:val="000000"/>
                <w:sz w:val="24"/>
                <w:szCs w:val="21"/>
                <w:highlight w:val="none"/>
                <w:lang w:val="en-US" w:bidi="ar-SA"/>
              </w:rPr>
              <w:t>http://www.ccgp-xinjiang.gov.cn/</w:t>
            </w:r>
            <w:r>
              <w:rPr>
                <w:rFonts w:hint="eastAsia" w:ascii="宋体" w:hAnsi="宋体" w:eastAsia="宋体" w:cs="宋体"/>
                <w:color w:val="000000"/>
                <w:sz w:val="24"/>
                <w:szCs w:val="21"/>
                <w:highlight w:val="none"/>
                <w:lang w:val="en-US" w:bidi="ar-SA"/>
              </w:rPr>
              <w:fldChar w:fldCharType="end"/>
            </w:r>
            <w:r>
              <w:rPr>
                <w:rFonts w:hint="eastAsia" w:ascii="宋体" w:hAnsi="宋体" w:eastAsia="宋体" w:cs="宋体"/>
                <w:color w:val="000000"/>
                <w:sz w:val="24"/>
                <w:szCs w:val="21"/>
                <w:highlight w:val="none"/>
                <w:lang w:val="en-US" w:bidi="ar-SA"/>
              </w:rPr>
              <w:t>）下载专区查看，如有问题可拨打政采云客户服务热线400-881-7190进行咨询。</w:t>
            </w:r>
          </w:p>
        </w:tc>
      </w:tr>
      <w:tr w14:paraId="48A6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37" w:type="dxa"/>
            <w:vAlign w:val="center"/>
          </w:tcPr>
          <w:p w14:paraId="0FF95290">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22</w:t>
            </w:r>
          </w:p>
        </w:tc>
        <w:tc>
          <w:tcPr>
            <w:tcW w:w="2142" w:type="dxa"/>
            <w:vAlign w:val="center"/>
          </w:tcPr>
          <w:p w14:paraId="6BF882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磋商响应文件签字、盖章要求</w:t>
            </w:r>
          </w:p>
        </w:tc>
        <w:tc>
          <w:tcPr>
            <w:tcW w:w="6357" w:type="dxa"/>
            <w:vAlign w:val="center"/>
          </w:tcPr>
          <w:p w14:paraId="42F00BC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上传的电子磋商响应文件的盖章可采用CA锁电子签章进行，如办理了法人电子锁，法人签字也可以进行电子签章。</w:t>
            </w:r>
          </w:p>
        </w:tc>
      </w:tr>
      <w:tr w14:paraId="2A4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7" w:type="dxa"/>
            <w:vAlign w:val="center"/>
          </w:tcPr>
          <w:p w14:paraId="72E4BB8E">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w:t>
            </w:r>
          </w:p>
        </w:tc>
        <w:tc>
          <w:tcPr>
            <w:tcW w:w="2142" w:type="dxa"/>
            <w:vAlign w:val="center"/>
          </w:tcPr>
          <w:p w14:paraId="2C6D5C1C">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磋商响应文件数量及制作</w:t>
            </w:r>
          </w:p>
        </w:tc>
        <w:tc>
          <w:tcPr>
            <w:tcW w:w="6357" w:type="dxa"/>
            <w:vAlign w:val="center"/>
          </w:tcPr>
          <w:p w14:paraId="648A7955">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1、供应商投标时须提供：加密的电子响应文件壹份；备份文件壹份，按政采云平台供应商项目采购-电子招投标操作指南(www.zcygov.cn)及本磋商文件要求编制、提交。</w:t>
            </w:r>
          </w:p>
          <w:p w14:paraId="09E91E52">
            <w:pPr>
              <w:adjustRightInd w:val="0"/>
              <w:spacing w:line="400" w:lineRule="exact"/>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2、开标后</w:t>
            </w:r>
            <w:r>
              <w:rPr>
                <w:rFonts w:hint="eastAsia" w:cs="宋体"/>
                <w:color w:val="000000"/>
                <w:sz w:val="24"/>
                <w:szCs w:val="24"/>
                <w:highlight w:val="none"/>
                <w:lang w:val="en-US" w:eastAsia="zh-CN" w:bidi="ar-SA"/>
              </w:rPr>
              <w:t>成交</w:t>
            </w:r>
            <w:r>
              <w:rPr>
                <w:rFonts w:hint="eastAsia" w:ascii="宋体" w:hAnsi="宋体" w:eastAsia="宋体" w:cs="宋体"/>
                <w:color w:val="000000"/>
                <w:sz w:val="24"/>
                <w:szCs w:val="24"/>
                <w:highlight w:val="none"/>
                <w:lang w:val="en-US" w:bidi="ar-SA"/>
              </w:rPr>
              <w:t>供应商需在公示期满后，另行提交纸质版响应文件（正本一份、副本二份）。须与电子版响应文件内容一致，纸质响应文件需留存备案将一律不予退还。</w:t>
            </w:r>
          </w:p>
          <w:p w14:paraId="1F2CF53E">
            <w:pPr>
              <w:autoSpaceDE/>
              <w:autoSpaceDN/>
              <w:spacing w:line="38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3、纸质版标书邮寄地址及收件人：</w:t>
            </w:r>
            <w:r>
              <w:rPr>
                <w:rFonts w:hint="eastAsia" w:cs="宋体"/>
                <w:i w:val="0"/>
                <w:caps w:val="0"/>
                <w:color w:val="000000"/>
                <w:spacing w:val="0"/>
                <w:sz w:val="24"/>
                <w:szCs w:val="24"/>
                <w:highlight w:val="none"/>
                <w:lang w:val="en-US" w:eastAsia="zh-CN"/>
              </w:rPr>
              <w:t>喀什经济开发区深喀大道陕西大厦10楼1005室</w:t>
            </w:r>
            <w:r>
              <w:rPr>
                <w:rFonts w:hint="eastAsia" w:ascii="宋体" w:hAnsi="宋体" w:eastAsia="宋体" w:cs="宋体"/>
                <w:color w:val="000000"/>
                <w:sz w:val="24"/>
                <w:szCs w:val="24"/>
                <w:highlight w:val="none"/>
                <w:lang w:val="en-US" w:bidi="ar-SA"/>
              </w:rPr>
              <w:t>（</w:t>
            </w:r>
            <w:r>
              <w:rPr>
                <w:rFonts w:hint="eastAsia" w:cs="宋体"/>
                <w:color w:val="000000"/>
                <w:sz w:val="24"/>
                <w:szCs w:val="24"/>
                <w:highlight w:val="none"/>
                <w:lang w:val="en-US" w:eastAsia="zh-CN" w:bidi="ar-SA"/>
              </w:rPr>
              <w:t>新疆惠中源项目管理有限公司</w:t>
            </w:r>
            <w:r>
              <w:rPr>
                <w:rFonts w:hint="eastAsia" w:ascii="宋体" w:hAnsi="宋体" w:eastAsia="宋体" w:cs="宋体"/>
                <w:color w:val="000000"/>
                <w:sz w:val="24"/>
                <w:szCs w:val="24"/>
                <w:highlight w:val="none"/>
                <w:lang w:val="en-US" w:bidi="ar-SA"/>
              </w:rPr>
              <w:t>）</w:t>
            </w:r>
          </w:p>
          <w:p w14:paraId="4022A4BA">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收件人：</w:t>
            </w:r>
            <w:r>
              <w:rPr>
                <w:rFonts w:hint="eastAsia" w:cs="宋体"/>
                <w:sz w:val="24"/>
                <w:szCs w:val="21"/>
                <w:highlight w:val="none"/>
                <w:lang w:val="en-US" w:eastAsia="zh-CN" w:bidi="ar-SA"/>
              </w:rPr>
              <w:t>于大海</w:t>
            </w:r>
            <w:r>
              <w:rPr>
                <w:rFonts w:hint="eastAsia" w:ascii="宋体" w:hAnsi="宋体" w:eastAsia="宋体" w:cs="宋体"/>
                <w:sz w:val="24"/>
                <w:szCs w:val="21"/>
                <w:highlight w:val="none"/>
                <w:lang w:val="en-US" w:bidi="ar-SA"/>
              </w:rPr>
              <w:t xml:space="preserve">    </w:t>
            </w:r>
            <w:r>
              <w:rPr>
                <w:rFonts w:hint="eastAsia" w:ascii="宋体" w:hAnsi="宋体" w:eastAsia="宋体" w:cs="宋体"/>
                <w:sz w:val="24"/>
                <w:szCs w:val="24"/>
                <w:highlight w:val="none"/>
                <w:lang w:val="en-US" w:bidi="ar-SA"/>
              </w:rPr>
              <w:t>联系电话：</w:t>
            </w:r>
            <w:r>
              <w:rPr>
                <w:rFonts w:hint="eastAsia" w:cs="宋体"/>
                <w:sz w:val="24"/>
                <w:szCs w:val="24"/>
                <w:highlight w:val="none"/>
                <w:lang w:val="en-US" w:eastAsia="zh-CN" w:bidi="ar-SA"/>
              </w:rPr>
              <w:t>18999110912</w:t>
            </w:r>
          </w:p>
        </w:tc>
      </w:tr>
      <w:tr w14:paraId="530E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6F6D1929">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w:t>
            </w:r>
          </w:p>
        </w:tc>
        <w:tc>
          <w:tcPr>
            <w:tcW w:w="2142" w:type="dxa"/>
            <w:vAlign w:val="center"/>
          </w:tcPr>
          <w:p w14:paraId="3CC37A40">
            <w:pPr>
              <w:adjustRightInd w:val="0"/>
              <w:spacing w:line="400" w:lineRule="exact"/>
              <w:jc w:val="center"/>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响应文件的解密</w:t>
            </w:r>
          </w:p>
        </w:tc>
        <w:tc>
          <w:tcPr>
            <w:tcW w:w="6357" w:type="dxa"/>
            <w:vAlign w:val="center"/>
          </w:tcPr>
          <w:p w14:paraId="1100B626">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67F9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5456F287">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25</w:t>
            </w:r>
          </w:p>
        </w:tc>
        <w:tc>
          <w:tcPr>
            <w:tcW w:w="2142" w:type="dxa"/>
            <w:vAlign w:val="center"/>
          </w:tcPr>
          <w:p w14:paraId="59D65938">
            <w:pPr>
              <w:adjustRightInd w:val="0"/>
              <w:spacing w:line="40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投标报价确认时间要求</w:t>
            </w:r>
          </w:p>
        </w:tc>
        <w:tc>
          <w:tcPr>
            <w:tcW w:w="6357" w:type="dxa"/>
            <w:vAlign w:val="center"/>
          </w:tcPr>
          <w:p w14:paraId="7C23257E">
            <w:pPr>
              <w:adjustRightInd w:val="0"/>
              <w:spacing w:line="400" w:lineRule="exact"/>
              <w:rPr>
                <w:rFonts w:hint="eastAsia" w:ascii="宋体" w:hAnsi="宋体" w:eastAsia="宋体" w:cs="宋体"/>
                <w:color w:val="000000"/>
                <w:sz w:val="24"/>
                <w:szCs w:val="21"/>
                <w:highlight w:val="none"/>
                <w:lang w:val="en-US" w:bidi="ar-SA"/>
              </w:rPr>
            </w:pPr>
            <w:r>
              <w:rPr>
                <w:rFonts w:hint="eastAsia" w:ascii="宋体" w:hAnsi="宋体" w:eastAsia="宋体" w:cs="宋体"/>
                <w:sz w:val="24"/>
                <w:szCs w:val="24"/>
                <w:highlight w:val="none"/>
                <w:lang w:val="en-US" w:bidi="ar-SA"/>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4A6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22AA0D6A">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w:t>
            </w:r>
          </w:p>
        </w:tc>
        <w:tc>
          <w:tcPr>
            <w:tcW w:w="2142" w:type="dxa"/>
            <w:vAlign w:val="center"/>
          </w:tcPr>
          <w:p w14:paraId="205610A3">
            <w:pPr>
              <w:pStyle w:val="12"/>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rPr>
              <w:t>政采云在线最终报价要求</w:t>
            </w:r>
          </w:p>
        </w:tc>
        <w:tc>
          <w:tcPr>
            <w:tcW w:w="6357" w:type="dxa"/>
            <w:vAlign w:val="center"/>
          </w:tcPr>
          <w:p w14:paraId="03199968">
            <w:pPr>
              <w:pStyle w:val="12"/>
              <w:adjustRightInd w:val="0"/>
              <w:spacing w:line="44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本项目磋商报价为二轮报价，</w:t>
            </w:r>
            <w:r>
              <w:rPr>
                <w:rFonts w:hint="eastAsia" w:ascii="宋体" w:hAnsi="宋体" w:eastAsia="宋体" w:cs="宋体"/>
                <w:sz w:val="24"/>
                <w:szCs w:val="24"/>
                <w:highlight w:val="none"/>
              </w:rPr>
              <w:t>首次报价在响应文件中体现；二次报价即最终报价由各磋商供应商在开启最终报价指令发出后</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分钟内在政采云平台在线完成报价，最终报价不得高于首次报价。若逾期未按磋商文件的要求在线提交最终报价，则视同退出磋商。</w:t>
            </w:r>
          </w:p>
          <w:p w14:paraId="5CE9C0C0">
            <w:pPr>
              <w:pStyle w:val="12"/>
              <w:adjustRightInd w:val="0"/>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★投标供应商在线上传最终报价时，须同时上传附件最终报价单（按本磋商文件提供的格式）原件的扫描件。</w:t>
            </w:r>
          </w:p>
          <w:p w14:paraId="60D5C9AB">
            <w:pPr>
              <w:tabs>
                <w:tab w:val="left" w:pos="1409"/>
              </w:tabs>
              <w:autoSpaceDE/>
              <w:autoSpaceDN/>
              <w:spacing w:before="74" w:line="440" w:lineRule="exact"/>
              <w:ind w:right="409"/>
              <w:jc w:val="both"/>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二次报价时需供应商提前准备好二轮已标价的工程量清单，供应商在线上传最终报价时，须同时上传已标价的工程量清单，经法定代表人或授权委托人签署并加盖供应商公章的PDF扫描件。作为报价评审依据，成为其响应文件的组成部分。</w:t>
            </w:r>
          </w:p>
        </w:tc>
      </w:tr>
      <w:tr w14:paraId="30E8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BA5B995">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w:t>
            </w:r>
          </w:p>
        </w:tc>
        <w:tc>
          <w:tcPr>
            <w:tcW w:w="2142" w:type="dxa"/>
            <w:vAlign w:val="center"/>
          </w:tcPr>
          <w:p w14:paraId="2DB4D599">
            <w:pPr>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评标办法</w:t>
            </w:r>
          </w:p>
        </w:tc>
        <w:tc>
          <w:tcPr>
            <w:tcW w:w="6357" w:type="dxa"/>
            <w:vAlign w:val="center"/>
          </w:tcPr>
          <w:p w14:paraId="258771AE">
            <w:pPr>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4"/>
                <w:highlight w:val="none"/>
                <w:lang w:val="en-US" w:bidi="ar-SA"/>
              </w:rPr>
              <w:t>本次竞争性磋商采用综合评分法，综合得分最高的确定成交供应商。</w:t>
            </w:r>
          </w:p>
        </w:tc>
      </w:tr>
      <w:tr w14:paraId="6016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37" w:type="dxa"/>
            <w:vAlign w:val="center"/>
          </w:tcPr>
          <w:p w14:paraId="453184D3">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28</w:t>
            </w:r>
          </w:p>
        </w:tc>
        <w:tc>
          <w:tcPr>
            <w:tcW w:w="2142" w:type="dxa"/>
            <w:vAlign w:val="center"/>
          </w:tcPr>
          <w:p w14:paraId="5643DAB2">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首次递交竞争性磋商响应文件截止时间及磋商时间</w:t>
            </w:r>
          </w:p>
        </w:tc>
        <w:tc>
          <w:tcPr>
            <w:tcW w:w="6357" w:type="dxa"/>
            <w:vAlign w:val="center"/>
          </w:tcPr>
          <w:p w14:paraId="090C7EE1">
            <w:pPr>
              <w:adjustRightInd w:val="0"/>
              <w:spacing w:line="400" w:lineRule="exact"/>
              <w:rPr>
                <w:rFonts w:hint="eastAsia" w:ascii="宋体" w:hAnsi="宋体" w:eastAsia="宋体" w:cs="宋体"/>
                <w:color w:val="FF0000"/>
                <w:sz w:val="24"/>
                <w:szCs w:val="24"/>
                <w:highlight w:val="none"/>
                <w:lang w:val="en-US" w:bidi="ar-SA"/>
              </w:rPr>
            </w:pPr>
            <w:r>
              <w:rPr>
                <w:rFonts w:hint="eastAsia" w:cs="宋体"/>
                <w:b/>
                <w:bCs/>
                <w:color w:val="auto"/>
                <w:sz w:val="24"/>
                <w:szCs w:val="21"/>
                <w:highlight w:val="none"/>
                <w:lang w:val="en-US" w:eastAsia="zh-CN" w:bidi="ar-SA"/>
              </w:rPr>
              <w:t>2025年02月06日上午11:30</w:t>
            </w:r>
            <w:r>
              <w:rPr>
                <w:rFonts w:hint="eastAsia" w:ascii="宋体" w:hAnsi="宋体" w:eastAsia="宋体" w:cs="宋体"/>
                <w:b/>
                <w:bCs/>
                <w:color w:val="auto"/>
                <w:sz w:val="24"/>
                <w:szCs w:val="21"/>
                <w:highlight w:val="none"/>
                <w:lang w:val="en-US" w:bidi="ar-SA"/>
              </w:rPr>
              <w:t>（北京时间)，逾期不接受。</w:t>
            </w:r>
          </w:p>
        </w:tc>
      </w:tr>
      <w:tr w14:paraId="5AF0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37" w:type="dxa"/>
            <w:vAlign w:val="center"/>
          </w:tcPr>
          <w:p w14:paraId="21A623A6">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29</w:t>
            </w:r>
          </w:p>
        </w:tc>
        <w:tc>
          <w:tcPr>
            <w:tcW w:w="2142" w:type="dxa"/>
            <w:vAlign w:val="center"/>
          </w:tcPr>
          <w:p w14:paraId="2C15239E">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首次递交竞争性磋商响应文件地点及磋商地点</w:t>
            </w:r>
          </w:p>
        </w:tc>
        <w:tc>
          <w:tcPr>
            <w:tcW w:w="6357" w:type="dxa"/>
            <w:vAlign w:val="center"/>
          </w:tcPr>
          <w:p w14:paraId="6FECA986">
            <w:pPr>
              <w:adjustRightIn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地点：各供应商应在响应文件提交截止时间前，通过“政采云”平台（https://www.zcygov.cn）上传加密的电子响应文件。</w:t>
            </w:r>
          </w:p>
          <w:p w14:paraId="5B60F3B8">
            <w:pPr>
              <w:adjustRightInd w:val="0"/>
              <w:spacing w:line="440" w:lineRule="exact"/>
              <w:ind w:firstLine="360" w:firstLineChars="150"/>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tc>
      </w:tr>
      <w:tr w14:paraId="2F6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37" w:type="dxa"/>
            <w:vAlign w:val="center"/>
          </w:tcPr>
          <w:p w14:paraId="32D4F85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w:t>
            </w:r>
          </w:p>
        </w:tc>
        <w:tc>
          <w:tcPr>
            <w:tcW w:w="2142" w:type="dxa"/>
            <w:vAlign w:val="center"/>
          </w:tcPr>
          <w:p w14:paraId="2965C6C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磋商小组的组建</w:t>
            </w:r>
          </w:p>
        </w:tc>
        <w:tc>
          <w:tcPr>
            <w:tcW w:w="6357" w:type="dxa"/>
            <w:vAlign w:val="center"/>
          </w:tcPr>
          <w:p w14:paraId="45A5DE8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磋商小组的构成：采购人代表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人，共</w:t>
            </w:r>
            <w:r>
              <w:rPr>
                <w:rFonts w:hint="eastAsia" w:cs="宋体"/>
                <w:sz w:val="24"/>
                <w:szCs w:val="24"/>
                <w:highlight w:val="none"/>
                <w:lang w:val="en-US" w:eastAsia="zh-CN" w:bidi="ar-SA"/>
              </w:rPr>
              <w:t>5</w:t>
            </w:r>
            <w:r>
              <w:rPr>
                <w:rFonts w:hint="eastAsia" w:ascii="宋体" w:hAnsi="宋体" w:eastAsia="宋体" w:cs="宋体"/>
                <w:sz w:val="24"/>
                <w:szCs w:val="24"/>
                <w:highlight w:val="none"/>
                <w:lang w:val="en-US" w:bidi="ar-SA"/>
              </w:rPr>
              <w:t>人组成。</w:t>
            </w:r>
          </w:p>
        </w:tc>
      </w:tr>
      <w:tr w14:paraId="1556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62D037D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w:t>
            </w:r>
          </w:p>
        </w:tc>
        <w:tc>
          <w:tcPr>
            <w:tcW w:w="2142" w:type="dxa"/>
            <w:vAlign w:val="center"/>
          </w:tcPr>
          <w:p w14:paraId="42133D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是否授权磋商小组确定中标人</w:t>
            </w:r>
          </w:p>
        </w:tc>
        <w:tc>
          <w:tcPr>
            <w:tcW w:w="6357" w:type="dxa"/>
            <w:vAlign w:val="center"/>
          </w:tcPr>
          <w:p w14:paraId="2F0F83C2">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否，推荐的中标候选人数</w:t>
            </w:r>
            <w:r>
              <w:rPr>
                <w:rFonts w:hint="eastAsia" w:ascii="宋体" w:hAnsi="宋体" w:eastAsia="宋体" w:cs="宋体"/>
                <w:sz w:val="24"/>
                <w:szCs w:val="24"/>
                <w:highlight w:val="none"/>
                <w:u w:val="single"/>
                <w:lang w:val="en-US" w:bidi="ar-SA"/>
              </w:rPr>
              <w:t>3</w:t>
            </w:r>
            <w:r>
              <w:rPr>
                <w:rFonts w:hint="eastAsia" w:ascii="宋体" w:hAnsi="宋体" w:eastAsia="宋体" w:cs="宋体"/>
                <w:sz w:val="24"/>
                <w:szCs w:val="24"/>
                <w:highlight w:val="none"/>
                <w:lang w:val="en-US" w:bidi="ar-SA"/>
              </w:rPr>
              <w:t>人：</w:t>
            </w:r>
          </w:p>
        </w:tc>
      </w:tr>
      <w:tr w14:paraId="79B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36EDF094">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32</w:t>
            </w:r>
          </w:p>
        </w:tc>
        <w:tc>
          <w:tcPr>
            <w:tcW w:w="2142" w:type="dxa"/>
            <w:vAlign w:val="center"/>
          </w:tcPr>
          <w:p w14:paraId="23742891">
            <w:pPr>
              <w:pStyle w:val="27"/>
              <w:tabs>
                <w:tab w:val="left" w:pos="470"/>
              </w:tabs>
              <w:adjustRightInd w:val="0"/>
              <w:spacing w:line="360" w:lineRule="auto"/>
              <w:ind w:firstLine="240" w:firstLineChars="100"/>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357" w:type="dxa"/>
            <w:vAlign w:val="center"/>
          </w:tcPr>
          <w:p w14:paraId="4249D1F2">
            <w:pPr>
              <w:pStyle w:val="27"/>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是否要求中标人提交履约保证金： </w:t>
            </w:r>
          </w:p>
          <w:p w14:paraId="1D822B55">
            <w:pPr>
              <w:pStyle w:val="27"/>
              <w:tabs>
                <w:tab w:val="left" w:pos="470"/>
              </w:tabs>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要求，履约保证金的形式：银行</w:t>
            </w:r>
            <w:r>
              <w:rPr>
                <w:rFonts w:hint="eastAsia" w:cs="宋体"/>
                <w:color w:val="000000" w:themeColor="text1"/>
                <w:sz w:val="24"/>
                <w:szCs w:val="24"/>
                <w:highlight w:val="none"/>
                <w:lang w:val="en-US" w:eastAsia="zh-CN"/>
                <w14:textFill>
                  <w14:solidFill>
                    <w14:schemeClr w14:val="tx1"/>
                  </w14:solidFill>
                </w14:textFill>
              </w:rPr>
              <w:t>转账</w:t>
            </w:r>
          </w:p>
          <w:p w14:paraId="298FAED1">
            <w:pPr>
              <w:pStyle w:val="27"/>
              <w:tabs>
                <w:tab w:val="left" w:pos="470"/>
              </w:tabs>
              <w:spacing w:line="440" w:lineRule="exact"/>
              <w:ind w:firstLine="240" w:firstLineChars="100"/>
              <w:rPr>
                <w:rFonts w:hint="eastAsia" w:ascii="宋体" w:hAnsi="宋体" w:eastAsia="宋体" w:cs="宋体"/>
                <w:color w:val="000000" w:themeColor="text1"/>
                <w:sz w:val="24"/>
                <w:szCs w:val="24"/>
                <w:highlight w:val="red"/>
                <w:lang w:eastAsia="zh-CN"/>
                <w14:textFill>
                  <w14:solidFill>
                    <w14:schemeClr w14:val="tx1"/>
                  </w14:solidFill>
                </w14:textFill>
              </w:rPr>
            </w:pPr>
            <w:r>
              <w:rPr>
                <w:rFonts w:hint="eastAsia" w:ascii="宋体" w:hAnsi="宋体" w:eastAsia="宋体" w:cs="宋体"/>
                <w:color w:val="000000" w:themeColor="text1"/>
                <w:sz w:val="24"/>
                <w:szCs w:val="24"/>
                <w:highlight w:val="red"/>
                <w:lang w:val="en-US"/>
                <w14:textFill>
                  <w14:solidFill>
                    <w14:schemeClr w14:val="tx1"/>
                  </w14:solidFill>
                </w14:textFill>
              </w:rPr>
              <w:t>履约保证金的金额：</w:t>
            </w:r>
            <w:r>
              <w:rPr>
                <w:rFonts w:hint="eastAsia" w:cs="宋体"/>
                <w:color w:val="000000" w:themeColor="text1"/>
                <w:sz w:val="24"/>
                <w:szCs w:val="24"/>
                <w:highlight w:val="red"/>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red"/>
                <w:u w:val="single"/>
                <w:lang w:val="en-US"/>
                <w14:textFill>
                  <w14:solidFill>
                    <w14:schemeClr w14:val="tx1"/>
                  </w14:solidFill>
                </w14:textFill>
              </w:rPr>
              <w:t>%</w:t>
            </w:r>
            <w:r>
              <w:rPr>
                <w:rFonts w:hint="eastAsia" w:ascii="宋体" w:hAnsi="宋体" w:eastAsia="宋体" w:cs="宋体"/>
                <w:color w:val="000000" w:themeColor="text1"/>
                <w:sz w:val="24"/>
                <w:szCs w:val="24"/>
                <w:highlight w:val="red"/>
                <w:lang w:val="en-US"/>
                <w14:textFill>
                  <w14:solidFill>
                    <w14:schemeClr w14:val="tx1"/>
                  </w14:solidFill>
                </w14:textFill>
              </w:rPr>
              <w:t>签约合同价</w:t>
            </w:r>
            <w:r>
              <w:rPr>
                <w:rFonts w:hint="eastAsia" w:cs="宋体"/>
                <w:color w:val="000000" w:themeColor="text1"/>
                <w:sz w:val="24"/>
                <w:szCs w:val="24"/>
                <w:highlight w:val="red"/>
                <w:lang w:val="en-US" w:eastAsia="zh-CN"/>
                <w14:textFill>
                  <w14:solidFill>
                    <w14:schemeClr w14:val="tx1"/>
                  </w14:solidFill>
                </w14:textFill>
              </w:rPr>
              <w:t>。</w:t>
            </w:r>
          </w:p>
          <w:p w14:paraId="1DFB02DE">
            <w:pPr>
              <w:pStyle w:val="27"/>
              <w:tabs>
                <w:tab w:val="left" w:pos="470"/>
              </w:tabs>
              <w:adjustRightInd w:val="0"/>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01B7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1C34BE0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33</w:t>
            </w:r>
          </w:p>
        </w:tc>
        <w:tc>
          <w:tcPr>
            <w:tcW w:w="2142" w:type="dxa"/>
            <w:vAlign w:val="center"/>
          </w:tcPr>
          <w:p w14:paraId="256E037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农民工工资保证金</w:t>
            </w:r>
          </w:p>
        </w:tc>
        <w:tc>
          <w:tcPr>
            <w:tcW w:w="6357" w:type="dxa"/>
            <w:vAlign w:val="center"/>
          </w:tcPr>
          <w:p w14:paraId="09CB8475">
            <w:pPr>
              <w:pStyle w:val="27"/>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是否要求中标人提交农民工工资保证金： </w:t>
            </w:r>
          </w:p>
          <w:p w14:paraId="313AACD4">
            <w:pPr>
              <w:pStyle w:val="27"/>
              <w:tabs>
                <w:tab w:val="left" w:pos="470"/>
              </w:tabs>
              <w:spacing w:line="440" w:lineRule="exac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w:t>
            </w:r>
          </w:p>
          <w:p w14:paraId="5BA6DDC8">
            <w:pPr>
              <w:pStyle w:val="27"/>
              <w:tabs>
                <w:tab w:val="left" w:pos="47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农民工工资保证金的金额及缴纳形式：</w:t>
            </w:r>
            <w:r>
              <w:rPr>
                <w:rFonts w:hint="eastAsia" w:ascii="宋体" w:hAnsi="宋体" w:eastAsia="宋体" w:cs="宋体"/>
                <w:sz w:val="24"/>
                <w:szCs w:val="24"/>
                <w:highlight w:val="none"/>
                <w:u w:val="single"/>
                <w:lang w:val="en-US"/>
              </w:rPr>
              <w:t>根据当地人社局劳动监察部门的相关规定缴纳，并须按采购人要求提供相关凭证</w:t>
            </w:r>
            <w:r>
              <w:rPr>
                <w:rFonts w:hint="eastAsia" w:ascii="宋体" w:hAnsi="宋体" w:eastAsia="宋体" w:cs="宋体"/>
                <w:sz w:val="24"/>
                <w:szCs w:val="24"/>
                <w:highlight w:val="none"/>
                <w:lang w:val="en-US"/>
              </w:rPr>
              <w:t>。</w:t>
            </w:r>
          </w:p>
          <w:p w14:paraId="7E461CEA">
            <w:pPr>
              <w:pStyle w:val="27"/>
              <w:tabs>
                <w:tab w:val="left" w:pos="470"/>
              </w:tabs>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159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37" w:type="dxa"/>
            <w:vAlign w:val="center"/>
          </w:tcPr>
          <w:p w14:paraId="0C978F7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w:t>
            </w:r>
          </w:p>
        </w:tc>
        <w:tc>
          <w:tcPr>
            <w:tcW w:w="2142" w:type="dxa"/>
            <w:vAlign w:val="center"/>
          </w:tcPr>
          <w:p w14:paraId="3148B55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知识产权</w:t>
            </w:r>
          </w:p>
        </w:tc>
        <w:tc>
          <w:tcPr>
            <w:tcW w:w="6357" w:type="dxa"/>
            <w:vAlign w:val="center"/>
          </w:tcPr>
          <w:p w14:paraId="10BADEE7">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4FE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1137" w:type="dxa"/>
            <w:vAlign w:val="center"/>
          </w:tcPr>
          <w:p w14:paraId="2BEC5708">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w:t>
            </w:r>
          </w:p>
        </w:tc>
        <w:tc>
          <w:tcPr>
            <w:tcW w:w="2142" w:type="dxa"/>
            <w:vAlign w:val="center"/>
          </w:tcPr>
          <w:p w14:paraId="42321CA6">
            <w:pPr>
              <w:adjustRightInd w:val="0"/>
              <w:spacing w:line="400" w:lineRule="exact"/>
              <w:ind w:firstLine="240" w:firstLineChars="100"/>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招标代理服务费</w:t>
            </w:r>
          </w:p>
        </w:tc>
        <w:tc>
          <w:tcPr>
            <w:tcW w:w="6357" w:type="dxa"/>
            <w:vAlign w:val="center"/>
          </w:tcPr>
          <w:p w14:paraId="381F7649">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中标服务费：招标代理服务费按照发改价格〔2015〕299号通知要求，参照国家计委计价格〔2002〕1980号文及发改价格〔2011〕534号文的差额定率累进法计算，由中标供应商支付。</w:t>
            </w:r>
          </w:p>
          <w:p w14:paraId="05A5E8C8">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收费标准：按照本项目成交价的</w:t>
            </w:r>
            <w:r>
              <w:rPr>
                <w:rFonts w:hint="eastAsia" w:cs="宋体"/>
                <w:sz w:val="24"/>
                <w:szCs w:val="24"/>
                <w:highlight w:val="none"/>
                <w:lang w:val="en-US" w:eastAsia="zh-CN" w:bidi="ar-SA"/>
              </w:rPr>
              <w:t>差额累计</w:t>
            </w:r>
            <w:r>
              <w:rPr>
                <w:rFonts w:hint="eastAsia" w:ascii="宋体" w:hAnsi="宋体" w:eastAsia="宋体" w:cs="宋体"/>
                <w:sz w:val="24"/>
                <w:szCs w:val="24"/>
                <w:highlight w:val="none"/>
                <w:lang w:val="en-US" w:eastAsia="zh-CN" w:bidi="ar-SA"/>
              </w:rPr>
              <w:t xml:space="preserve">计取；成交单位在领取成交通知书前向代理机构一次性支付该费用。 </w:t>
            </w:r>
          </w:p>
          <w:p w14:paraId="116475B3">
            <w:pPr>
              <w:adjustRightInd w:val="0"/>
              <w:spacing w:line="400" w:lineRule="exact"/>
              <w:textAlignment w:val="baseline"/>
              <w:rPr>
                <w:rFonts w:hint="eastAsia" w:ascii="宋体" w:hAnsi="宋体" w:eastAsia="宋体" w:cs="宋体"/>
                <w:highlight w:val="none"/>
                <w:lang w:val="en-US"/>
              </w:rPr>
            </w:pPr>
            <w:r>
              <w:rPr>
                <w:rFonts w:hint="eastAsia" w:ascii="宋体" w:hAnsi="宋体" w:eastAsia="宋体" w:cs="宋体"/>
                <w:sz w:val="24"/>
                <w:szCs w:val="24"/>
                <w:highlight w:val="none"/>
                <w:lang w:val="en-US" w:eastAsia="zh-CN" w:bidi="ar-SA"/>
              </w:rPr>
              <w:t>支付时间：领取中标通知书时</w:t>
            </w:r>
          </w:p>
        </w:tc>
      </w:tr>
      <w:tr w14:paraId="18D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7" w:type="dxa"/>
            <w:vAlign w:val="center"/>
          </w:tcPr>
          <w:p w14:paraId="6E0C46B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w:t>
            </w:r>
          </w:p>
        </w:tc>
        <w:tc>
          <w:tcPr>
            <w:tcW w:w="2142" w:type="dxa"/>
            <w:vAlign w:val="center"/>
          </w:tcPr>
          <w:p w14:paraId="2DD7850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解释权</w:t>
            </w:r>
          </w:p>
        </w:tc>
        <w:tc>
          <w:tcPr>
            <w:tcW w:w="6357" w:type="dxa"/>
            <w:vAlign w:val="center"/>
          </w:tcPr>
          <w:p w14:paraId="2E58E190">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由采购人和</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负责解释。</w:t>
            </w:r>
          </w:p>
        </w:tc>
      </w:tr>
      <w:tr w14:paraId="2804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7" w:type="dxa"/>
            <w:vAlign w:val="center"/>
          </w:tcPr>
          <w:p w14:paraId="15107D0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w:t>
            </w:r>
          </w:p>
        </w:tc>
        <w:tc>
          <w:tcPr>
            <w:tcW w:w="2142" w:type="dxa"/>
            <w:vAlign w:val="center"/>
          </w:tcPr>
          <w:p w14:paraId="0D4B8DD5">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政府采购政策支持</w:t>
            </w:r>
          </w:p>
        </w:tc>
        <w:tc>
          <w:tcPr>
            <w:tcW w:w="6357" w:type="dxa"/>
          </w:tcPr>
          <w:p w14:paraId="07E5EF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是否为专门面向中小企业采购：</w:t>
            </w:r>
            <w:r>
              <w:rPr>
                <w:rFonts w:hint="eastAsia" w:ascii="宋体" w:hAnsi="宋体" w:eastAsia="宋体" w:cs="宋体"/>
                <w:b w:val="0"/>
                <w:bCs w:val="0"/>
                <w:sz w:val="24"/>
                <w:szCs w:val="24"/>
                <w:highlight w:val="none"/>
                <w:u w:val="single"/>
              </w:rPr>
              <w:t xml:space="preserve"> </w:t>
            </w:r>
            <w:r>
              <w:rPr>
                <w:rFonts w:hint="eastAsia" w:cs="宋体"/>
                <w:b w:val="0"/>
                <w:bCs w:val="0"/>
                <w:sz w:val="24"/>
                <w:szCs w:val="24"/>
                <w:highlight w:val="none"/>
                <w:u w:val="single"/>
                <w:lang w:eastAsia="zh-CN"/>
              </w:rPr>
              <w:t>是</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（是、否）</w:t>
            </w:r>
          </w:p>
          <w:p w14:paraId="63AF9E5B">
            <w:pPr>
              <w:adjustRightInd w:val="0"/>
              <w:snapToGri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lang w:val="en-US" w:eastAsia="zh-CN"/>
              </w:rPr>
              <w:t>潜在投标企业属于中小微企业的，请在投标文件中提供“中小企业声明函”，如果未提供或提供虚假的“中小企业声明函”，投标企业将承担由此造成的一切不利后果；本项目</w:t>
            </w:r>
            <w:r>
              <w:rPr>
                <w:rFonts w:hint="eastAsia" w:hAnsi="宋体" w:eastAsia="宋体" w:cs="宋体"/>
                <w:b w:val="0"/>
                <w:bCs w:val="0"/>
                <w:color w:val="auto"/>
                <w:sz w:val="24"/>
                <w:szCs w:val="24"/>
                <w:highlight w:val="none"/>
                <w:lang w:val="en-US" w:eastAsia="zh-CN"/>
              </w:rPr>
              <w:t>投标企业类型</w:t>
            </w:r>
            <w:r>
              <w:rPr>
                <w:rFonts w:hint="eastAsia" w:ascii="宋体" w:hAnsi="宋体" w:eastAsia="宋体" w:cs="宋体"/>
                <w:b w:val="0"/>
                <w:bCs w:val="0"/>
                <w:color w:val="auto"/>
                <w:sz w:val="24"/>
                <w:szCs w:val="24"/>
                <w:highlight w:val="none"/>
                <w:lang w:val="en-US" w:eastAsia="zh-CN"/>
              </w:rPr>
              <w:t>属于</w:t>
            </w:r>
            <w:r>
              <w:rPr>
                <w:rFonts w:hint="eastAsia" w:hAnsi="宋体" w:eastAsia="宋体" w:cs="宋体"/>
                <w:b w:val="0"/>
                <w:bCs w:val="0"/>
                <w:color w:val="auto"/>
                <w:sz w:val="24"/>
                <w:szCs w:val="24"/>
                <w:highlight w:val="none"/>
                <w:u w:val="single"/>
                <w:lang w:val="en-US" w:eastAsia="zh-CN"/>
              </w:rPr>
              <w:t>建筑业</w:t>
            </w:r>
            <w:r>
              <w:rPr>
                <w:rFonts w:hint="eastAsia" w:ascii="宋体" w:hAnsi="宋体" w:eastAsia="宋体" w:cs="宋体"/>
                <w:b w:val="0"/>
                <w:bCs w:val="0"/>
                <w:color w:val="auto"/>
                <w:sz w:val="24"/>
                <w:szCs w:val="24"/>
                <w:highlight w:val="none"/>
                <w:lang w:eastAsia="zh-CN"/>
              </w:rPr>
              <w:t>）；</w:t>
            </w:r>
          </w:p>
        </w:tc>
      </w:tr>
    </w:tbl>
    <w:p w14:paraId="2A677836">
      <w:pPr>
        <w:kinsoku w:val="0"/>
        <w:overflowPunct w:val="0"/>
        <w:adjustRightInd w:val="0"/>
        <w:spacing w:before="7" w:line="400" w:lineRule="exact"/>
        <w:jc w:val="both"/>
        <w:outlineLvl w:val="1"/>
        <w:rPr>
          <w:rFonts w:hint="eastAsia" w:ascii="宋体" w:hAnsi="宋体" w:eastAsia="宋体" w:cs="宋体"/>
          <w:b/>
          <w:sz w:val="24"/>
          <w:szCs w:val="24"/>
          <w:highlight w:val="none"/>
          <w:lang w:val="en-US" w:bidi="ar-SA"/>
        </w:rPr>
      </w:pPr>
    </w:p>
    <w:p w14:paraId="035BD8B1">
      <w:pPr>
        <w:kinsoku w:val="0"/>
        <w:overflowPunct w:val="0"/>
        <w:adjustRightInd w:val="0"/>
        <w:spacing w:line="400" w:lineRule="exact"/>
        <w:rPr>
          <w:rFonts w:hint="eastAsia" w:ascii="宋体" w:hAnsi="宋体" w:eastAsia="宋体" w:cs="宋体"/>
          <w:sz w:val="24"/>
          <w:szCs w:val="24"/>
          <w:highlight w:val="none"/>
          <w:lang w:val="en-US" w:bidi="ar-SA"/>
        </w:rPr>
      </w:pPr>
    </w:p>
    <w:p w14:paraId="129EDC84">
      <w:pPr>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br w:type="page"/>
      </w:r>
    </w:p>
    <w:p w14:paraId="6D56D549">
      <w:pPr>
        <w:kinsoku w:val="0"/>
        <w:overflowPunct w:val="0"/>
        <w:adjustRightInd w:val="0"/>
        <w:spacing w:before="7"/>
        <w:ind w:left="3596" w:right="3620"/>
        <w:jc w:val="center"/>
        <w:outlineLvl w:val="1"/>
        <w:rPr>
          <w:rFonts w:hint="eastAsia" w:ascii="宋体" w:hAnsi="宋体" w:eastAsia="宋体" w:cs="宋体"/>
          <w:sz w:val="30"/>
          <w:szCs w:val="24"/>
          <w:highlight w:val="none"/>
          <w:lang w:val="en-US" w:bidi="ar-SA"/>
        </w:rPr>
      </w:pPr>
      <w:r>
        <w:rPr>
          <w:rFonts w:hint="eastAsia" w:ascii="宋体" w:hAnsi="宋体" w:eastAsia="宋体" w:cs="宋体"/>
          <w:b/>
          <w:sz w:val="30"/>
          <w:szCs w:val="24"/>
          <w:highlight w:val="none"/>
          <w:lang w:val="en-US" w:bidi="ar-SA"/>
        </w:rPr>
        <w:t>二、磋商须知</w:t>
      </w:r>
    </w:p>
    <w:p w14:paraId="15F743F8">
      <w:pPr>
        <w:kinsoku w:val="0"/>
        <w:overflowPunct w:val="0"/>
        <w:adjustRightInd w:val="0"/>
        <w:spacing w:before="236"/>
        <w:ind w:left="3596" w:right="3615"/>
        <w:jc w:val="center"/>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（一）总则</w:t>
      </w:r>
    </w:p>
    <w:p w14:paraId="3E9E89FE">
      <w:pPr>
        <w:kinsoku w:val="0"/>
        <w:overflowPunct w:val="0"/>
        <w:adjustRightInd w:val="0"/>
        <w:spacing w:before="10"/>
        <w:rPr>
          <w:rFonts w:hint="eastAsia" w:ascii="宋体" w:hAnsi="宋体" w:eastAsia="宋体" w:cs="宋体"/>
          <w:b/>
          <w:sz w:val="16"/>
          <w:szCs w:val="24"/>
          <w:highlight w:val="none"/>
          <w:lang w:val="en-US" w:bidi="ar-SA"/>
        </w:rPr>
      </w:pPr>
    </w:p>
    <w:p w14:paraId="59C820B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 w:name="_Toc152042306"/>
      <w:bookmarkStart w:id="5" w:name="_Toc152045530"/>
      <w:bookmarkStart w:id="6" w:name="_Toc324362060"/>
      <w:bookmarkStart w:id="7" w:name="_Toc325103231"/>
      <w:bookmarkStart w:id="8" w:name="_Toc324362191"/>
      <w:bookmarkStart w:id="9" w:name="_Toc144974498"/>
      <w:bookmarkStart w:id="10" w:name="_Toc179632547"/>
      <w:r>
        <w:rPr>
          <w:rFonts w:hint="eastAsia" w:ascii="宋体" w:hAnsi="宋体" w:eastAsia="宋体" w:cs="宋体"/>
          <w:b/>
          <w:kern w:val="2"/>
          <w:sz w:val="24"/>
          <w:szCs w:val="24"/>
          <w:highlight w:val="none"/>
          <w:lang w:val="en-US" w:bidi="ar-SA"/>
        </w:rPr>
        <w:t>1.项目概况</w:t>
      </w:r>
      <w:bookmarkEnd w:id="4"/>
      <w:bookmarkEnd w:id="5"/>
      <w:bookmarkEnd w:id="6"/>
      <w:bookmarkEnd w:id="7"/>
      <w:bookmarkEnd w:id="8"/>
      <w:bookmarkEnd w:id="9"/>
      <w:bookmarkEnd w:id="10"/>
    </w:p>
    <w:p w14:paraId="488C5E42">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 本项目按照有关法律、法规和规章，通过竞争性磋商方式，择优选定施工企业。</w:t>
      </w:r>
    </w:p>
    <w:p w14:paraId="01C1B1C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 本项目采购人：见磋商须知前附表。</w:t>
      </w:r>
    </w:p>
    <w:p w14:paraId="295A1BC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 本项目</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：见磋商须知前附表。</w:t>
      </w:r>
    </w:p>
    <w:p w14:paraId="7A109F4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 本项目名称：见磋商须知前附表。</w:t>
      </w:r>
    </w:p>
    <w:p w14:paraId="67B817A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 本项目建设地点：见磋商须知前附表。</w:t>
      </w:r>
    </w:p>
    <w:p w14:paraId="79F43C7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1" w:name="_Toc325103232"/>
      <w:bookmarkStart w:id="12" w:name="_Toc144974499"/>
      <w:bookmarkStart w:id="13" w:name="_Toc152045531"/>
      <w:bookmarkStart w:id="14" w:name="_Toc324362061"/>
      <w:bookmarkStart w:id="15" w:name="_Toc179632548"/>
      <w:bookmarkStart w:id="16" w:name="_Toc324362192"/>
      <w:bookmarkStart w:id="17" w:name="_Toc152042307"/>
      <w:r>
        <w:rPr>
          <w:rFonts w:hint="eastAsia" w:ascii="宋体" w:hAnsi="宋体" w:eastAsia="宋体" w:cs="宋体"/>
          <w:b/>
          <w:kern w:val="2"/>
          <w:sz w:val="24"/>
          <w:szCs w:val="24"/>
          <w:highlight w:val="none"/>
          <w:lang w:val="en-US" w:bidi="ar-SA"/>
        </w:rPr>
        <w:t>2. 资金来源和落实情况</w:t>
      </w:r>
      <w:bookmarkEnd w:id="11"/>
      <w:bookmarkEnd w:id="12"/>
      <w:bookmarkEnd w:id="13"/>
      <w:bookmarkEnd w:id="14"/>
      <w:bookmarkEnd w:id="15"/>
      <w:bookmarkEnd w:id="16"/>
      <w:bookmarkEnd w:id="17"/>
    </w:p>
    <w:p w14:paraId="5668CCF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 本项目的资金来源：见磋商须知前附表。</w:t>
      </w:r>
    </w:p>
    <w:p w14:paraId="51D0DE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 本项目的出资比例：见磋商须知前附表。</w:t>
      </w:r>
    </w:p>
    <w:p w14:paraId="7D8F02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2.3 本项目的资金落实情况：见磋商须知前附表。</w:t>
      </w:r>
    </w:p>
    <w:p w14:paraId="1126AD4B">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8" w:name="_Toc324362193"/>
      <w:bookmarkStart w:id="19" w:name="_Toc179632549"/>
      <w:bookmarkStart w:id="20" w:name="_Toc324362062"/>
      <w:bookmarkStart w:id="21" w:name="_Toc144974500"/>
      <w:bookmarkStart w:id="22" w:name="_Toc325103233"/>
      <w:bookmarkStart w:id="23" w:name="_Toc152045532"/>
      <w:bookmarkStart w:id="24" w:name="_Toc152042308"/>
      <w:r>
        <w:rPr>
          <w:rFonts w:hint="eastAsia" w:ascii="宋体" w:hAnsi="宋体" w:eastAsia="宋体" w:cs="宋体"/>
          <w:b/>
          <w:kern w:val="2"/>
          <w:sz w:val="24"/>
          <w:szCs w:val="24"/>
          <w:highlight w:val="none"/>
          <w:lang w:val="en-US" w:bidi="ar-SA"/>
        </w:rPr>
        <w:t>3. 招标范围</w:t>
      </w:r>
      <w:bookmarkEnd w:id="18"/>
      <w:bookmarkEnd w:id="19"/>
      <w:bookmarkEnd w:id="20"/>
      <w:bookmarkEnd w:id="21"/>
      <w:bookmarkEnd w:id="22"/>
      <w:bookmarkEnd w:id="23"/>
      <w:bookmarkEnd w:id="24"/>
    </w:p>
    <w:p w14:paraId="3F9DB015">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 本次招标范围：见磋商须知前附表。</w:t>
      </w:r>
    </w:p>
    <w:p w14:paraId="5BC8B4F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25" w:name="_Toc179632551"/>
      <w:bookmarkStart w:id="26" w:name="_Toc144974502"/>
      <w:bookmarkStart w:id="27" w:name="_Toc152045534"/>
      <w:bookmarkStart w:id="28" w:name="_Toc152042310"/>
      <w:bookmarkStart w:id="29" w:name="_Toc325103234"/>
      <w:bookmarkStart w:id="30" w:name="_Toc324362194"/>
      <w:bookmarkStart w:id="31" w:name="_Toc324362063"/>
      <w:r>
        <w:rPr>
          <w:rFonts w:hint="eastAsia" w:ascii="宋体" w:hAnsi="宋体" w:eastAsia="宋体" w:cs="宋体"/>
          <w:b/>
          <w:kern w:val="2"/>
          <w:sz w:val="24"/>
          <w:szCs w:val="24"/>
          <w:highlight w:val="none"/>
          <w:lang w:val="en-US" w:bidi="ar-SA"/>
        </w:rPr>
        <w:t>4. 供应商资格要求</w:t>
      </w:r>
      <w:bookmarkEnd w:id="25"/>
      <w:bookmarkEnd w:id="26"/>
      <w:bookmarkEnd w:id="27"/>
      <w:bookmarkEnd w:id="28"/>
      <w:bookmarkEnd w:id="29"/>
      <w:bookmarkEnd w:id="30"/>
      <w:bookmarkEnd w:id="31"/>
    </w:p>
    <w:p w14:paraId="7722638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4.1 供应商应具备的资质条件、能力和信誉：见磋商须知前附表。</w:t>
      </w:r>
    </w:p>
    <w:p w14:paraId="5442D546">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2" w:name="_Toc152042311"/>
      <w:bookmarkStart w:id="33" w:name="_Toc324362195"/>
      <w:bookmarkStart w:id="34" w:name="_Toc325103235"/>
      <w:bookmarkStart w:id="35" w:name="_Toc324362064"/>
      <w:bookmarkStart w:id="36" w:name="_Toc144974503"/>
      <w:bookmarkStart w:id="37" w:name="_Toc179632552"/>
      <w:bookmarkStart w:id="38" w:name="_Toc152045535"/>
      <w:r>
        <w:rPr>
          <w:rFonts w:hint="eastAsia" w:ascii="宋体" w:hAnsi="宋体" w:eastAsia="宋体" w:cs="宋体"/>
          <w:b/>
          <w:kern w:val="2"/>
          <w:sz w:val="24"/>
          <w:szCs w:val="24"/>
          <w:highlight w:val="none"/>
          <w:lang w:val="en-US" w:bidi="ar-SA"/>
        </w:rPr>
        <w:t>5. 费用承担</w:t>
      </w:r>
      <w:bookmarkEnd w:id="32"/>
      <w:bookmarkEnd w:id="33"/>
      <w:bookmarkEnd w:id="34"/>
      <w:bookmarkEnd w:id="35"/>
      <w:bookmarkEnd w:id="36"/>
      <w:bookmarkEnd w:id="37"/>
      <w:bookmarkEnd w:id="38"/>
    </w:p>
    <w:p w14:paraId="361DD8D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供应商准备和参加投标活动发生的费用自理。</w:t>
      </w:r>
    </w:p>
    <w:p w14:paraId="5ECDE10E">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9" w:name="_Toc152042312"/>
      <w:bookmarkStart w:id="40" w:name="_Toc324362196"/>
      <w:bookmarkStart w:id="41" w:name="_Toc325103236"/>
      <w:bookmarkStart w:id="42" w:name="_Toc144974504"/>
      <w:bookmarkStart w:id="43" w:name="_Toc152045536"/>
      <w:bookmarkStart w:id="44" w:name="_Toc324362065"/>
      <w:bookmarkStart w:id="45" w:name="_Toc179632553"/>
      <w:r>
        <w:rPr>
          <w:rFonts w:hint="eastAsia" w:ascii="宋体" w:hAnsi="宋体" w:eastAsia="宋体" w:cs="宋体"/>
          <w:b/>
          <w:kern w:val="2"/>
          <w:sz w:val="24"/>
          <w:szCs w:val="24"/>
          <w:highlight w:val="none"/>
          <w:lang w:val="en-US" w:bidi="ar-SA"/>
        </w:rPr>
        <w:t>6. 保密</w:t>
      </w:r>
      <w:bookmarkEnd w:id="39"/>
      <w:bookmarkEnd w:id="40"/>
      <w:bookmarkEnd w:id="41"/>
      <w:bookmarkEnd w:id="42"/>
      <w:bookmarkEnd w:id="43"/>
      <w:bookmarkEnd w:id="44"/>
      <w:bookmarkEnd w:id="45"/>
    </w:p>
    <w:p w14:paraId="154370A7">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参与招标投标活动的各方应对磋商文件和响应文件中的商业和技术等秘密保密，违者应对由此造成的后果承担法律责任。</w:t>
      </w:r>
    </w:p>
    <w:p w14:paraId="2A7FDE72">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6" w:name="_Toc144974505"/>
      <w:bookmarkStart w:id="47" w:name="_Toc152042313"/>
      <w:bookmarkStart w:id="48" w:name="_Toc324362066"/>
      <w:bookmarkStart w:id="49" w:name="_Toc179632554"/>
      <w:bookmarkStart w:id="50" w:name="_Toc324362197"/>
      <w:bookmarkStart w:id="51" w:name="_Toc325103237"/>
      <w:bookmarkStart w:id="52" w:name="_Toc152045537"/>
      <w:r>
        <w:rPr>
          <w:rFonts w:hint="eastAsia" w:ascii="宋体" w:hAnsi="宋体" w:eastAsia="宋体" w:cs="宋体"/>
          <w:b/>
          <w:kern w:val="2"/>
          <w:sz w:val="24"/>
          <w:szCs w:val="24"/>
          <w:highlight w:val="none"/>
          <w:lang w:val="en-US" w:bidi="ar-SA"/>
        </w:rPr>
        <w:t>7. 语言</w:t>
      </w:r>
      <w:bookmarkEnd w:id="46"/>
      <w:r>
        <w:rPr>
          <w:rFonts w:hint="eastAsia" w:ascii="宋体" w:hAnsi="宋体" w:eastAsia="宋体" w:cs="宋体"/>
          <w:b/>
          <w:kern w:val="2"/>
          <w:sz w:val="24"/>
          <w:szCs w:val="24"/>
          <w:highlight w:val="none"/>
          <w:lang w:val="en-US" w:bidi="ar-SA"/>
        </w:rPr>
        <w:t>文字</w:t>
      </w:r>
      <w:bookmarkEnd w:id="47"/>
      <w:bookmarkEnd w:id="48"/>
      <w:bookmarkEnd w:id="49"/>
      <w:bookmarkEnd w:id="50"/>
      <w:bookmarkEnd w:id="51"/>
      <w:bookmarkEnd w:id="52"/>
    </w:p>
    <w:p w14:paraId="3C16234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除专用术语外，与招标投标有关的语言均使用中文。必要时专用术语应附有中文注释。</w:t>
      </w:r>
    </w:p>
    <w:p w14:paraId="38874787">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53" w:name="_Toc144974506"/>
      <w:bookmarkStart w:id="54" w:name="_Toc324362067"/>
      <w:bookmarkStart w:id="55" w:name="_Toc325103238"/>
      <w:bookmarkStart w:id="56" w:name="_Toc179632555"/>
      <w:bookmarkStart w:id="57" w:name="_Toc324362198"/>
      <w:bookmarkStart w:id="58" w:name="_Toc152042314"/>
      <w:bookmarkStart w:id="59" w:name="_Toc152045538"/>
      <w:r>
        <w:rPr>
          <w:rFonts w:hint="eastAsia" w:ascii="宋体" w:hAnsi="宋体" w:eastAsia="宋体" w:cs="宋体"/>
          <w:b/>
          <w:kern w:val="2"/>
          <w:sz w:val="24"/>
          <w:szCs w:val="24"/>
          <w:highlight w:val="none"/>
          <w:lang w:val="en-US" w:bidi="ar-SA"/>
        </w:rPr>
        <w:t>8.计量单位</w:t>
      </w:r>
      <w:bookmarkEnd w:id="53"/>
      <w:bookmarkEnd w:id="54"/>
      <w:bookmarkEnd w:id="55"/>
      <w:bookmarkEnd w:id="56"/>
      <w:bookmarkEnd w:id="57"/>
      <w:bookmarkEnd w:id="58"/>
      <w:bookmarkEnd w:id="59"/>
    </w:p>
    <w:p w14:paraId="11BB2E6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所有计量均采用中华人民共和国法定计量单位。</w:t>
      </w:r>
    </w:p>
    <w:p w14:paraId="5A84B413">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60" w:name="_Toc152042316"/>
      <w:bookmarkStart w:id="61" w:name="_Toc152045540"/>
      <w:bookmarkStart w:id="62" w:name="_Toc324362069"/>
      <w:bookmarkStart w:id="63" w:name="_Toc144974508"/>
      <w:bookmarkStart w:id="64" w:name="_Toc179632557"/>
      <w:bookmarkStart w:id="65" w:name="_Toc325103240"/>
      <w:bookmarkStart w:id="66" w:name="_Toc324362200"/>
      <w:r>
        <w:rPr>
          <w:rFonts w:hint="eastAsia" w:ascii="宋体" w:hAnsi="宋体" w:eastAsia="宋体" w:cs="宋体"/>
          <w:b/>
          <w:kern w:val="2"/>
          <w:sz w:val="24"/>
          <w:szCs w:val="24"/>
          <w:highlight w:val="none"/>
          <w:lang w:val="en-US" w:bidi="ar-SA"/>
        </w:rPr>
        <w:t xml:space="preserve">9. </w:t>
      </w:r>
      <w:bookmarkEnd w:id="60"/>
      <w:bookmarkEnd w:id="61"/>
      <w:bookmarkEnd w:id="62"/>
      <w:bookmarkEnd w:id="63"/>
      <w:bookmarkEnd w:id="64"/>
      <w:bookmarkEnd w:id="65"/>
      <w:bookmarkEnd w:id="66"/>
      <w:r>
        <w:rPr>
          <w:rFonts w:hint="eastAsia" w:ascii="宋体" w:hAnsi="宋体" w:eastAsia="宋体" w:cs="宋体"/>
          <w:b/>
          <w:kern w:val="2"/>
          <w:sz w:val="24"/>
          <w:szCs w:val="24"/>
          <w:highlight w:val="none"/>
          <w:lang w:val="en-US" w:bidi="ar-SA"/>
        </w:rPr>
        <w:t>投标答疑</w:t>
      </w:r>
    </w:p>
    <w:p w14:paraId="6F40A76C">
      <w:pPr>
        <w:adjustRightInd w:val="0"/>
        <w:spacing w:line="440" w:lineRule="exact"/>
        <w:ind w:firstLine="480" w:firstLineChars="200"/>
        <w:rPr>
          <w:rFonts w:hint="eastAsia" w:ascii="宋体" w:hAnsi="宋体" w:eastAsia="宋体" w:cs="宋体"/>
          <w:sz w:val="24"/>
          <w:szCs w:val="24"/>
          <w:highlight w:val="none"/>
          <w:lang w:val="en-US" w:bidi="ar-SA"/>
        </w:rPr>
      </w:pPr>
      <w:bookmarkStart w:id="67" w:name="_Toc179632558"/>
      <w:bookmarkStart w:id="68" w:name="_Toc325103241"/>
      <w:bookmarkStart w:id="69" w:name="_Toc324362070"/>
      <w:bookmarkStart w:id="70" w:name="_Toc152045541"/>
      <w:bookmarkStart w:id="71" w:name="_Toc152042317"/>
      <w:bookmarkStart w:id="72" w:name="_Toc324362201"/>
      <w:bookmarkStart w:id="73" w:name="_Toc144974509"/>
      <w:r>
        <w:rPr>
          <w:rFonts w:hint="eastAsia" w:ascii="宋体" w:hAnsi="宋体" w:eastAsia="宋体" w:cs="宋体"/>
          <w:sz w:val="24"/>
          <w:szCs w:val="24"/>
          <w:highlight w:val="none"/>
          <w:lang w:val="en-US" w:bidi="ar-SA"/>
        </w:rPr>
        <w:t>供应商应在磋商须知前附表规定的时间前，以书面形式将提出的问题送达采购人，采购人在磋商须知前附表规定的时间内，将对供应商所提问题的澄清，以书面方式通知所有购买磋商文件的供应商。</w:t>
      </w:r>
    </w:p>
    <w:bookmarkEnd w:id="67"/>
    <w:bookmarkEnd w:id="68"/>
    <w:bookmarkEnd w:id="69"/>
    <w:bookmarkEnd w:id="70"/>
    <w:bookmarkEnd w:id="71"/>
    <w:bookmarkEnd w:id="72"/>
    <w:bookmarkEnd w:id="73"/>
    <w:p w14:paraId="1EF8160E">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10、踏勘现场</w:t>
      </w:r>
    </w:p>
    <w:p w14:paraId="0F6A5C73">
      <w:pPr>
        <w:pStyle w:val="10"/>
        <w:kinsoku w:val="0"/>
        <w:overflowPunct w:val="0"/>
        <w:spacing w:line="440" w:lineRule="exact"/>
        <w:ind w:left="111" w:right="110" w:firstLine="480"/>
        <w:rPr>
          <w:rFonts w:hint="eastAsia" w:ascii="宋体" w:hAnsi="宋体" w:eastAsia="宋体" w:cs="宋体"/>
          <w:spacing w:val="-4"/>
          <w:highlight w:val="none"/>
          <w:lang w:val="en-US" w:bidi="ar-SA"/>
        </w:rPr>
      </w:pPr>
      <w:r>
        <w:rPr>
          <w:rFonts w:hint="eastAsia" w:ascii="宋体" w:hAnsi="宋体" w:eastAsia="宋体" w:cs="宋体"/>
          <w:highlight w:val="none"/>
          <w:lang w:val="en-US" w:bidi="ar-SA"/>
        </w:rPr>
        <w:t xml:space="preserve">10.1 </w:t>
      </w:r>
      <w:r>
        <w:rPr>
          <w:rFonts w:hint="eastAsia" w:ascii="宋体" w:hAnsi="宋体" w:eastAsia="宋体" w:cs="宋体"/>
          <w:highlight w:val="none"/>
        </w:rPr>
        <w:t>各投标供应商应认真踏勘施工现场，了解工程建设地点的地形位置，材料运输储存条件，掌握有关可能影响投标报价的因素和情况，投标人一旦中标后不得以不完全了解现场情况为借口而增加造价和延长工期。</w:t>
      </w:r>
    </w:p>
    <w:p w14:paraId="61C72B2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10.2 采购人向供应商提供的有关现场的数据和资料，是采购人现有的能被供应商利用的资料，采购人对供应商做出的任何推论、理解和结论均不负责任。</w:t>
      </w:r>
    </w:p>
    <w:p w14:paraId="0EE61022">
      <w:pPr>
        <w:kinsoku w:val="0"/>
        <w:overflowPunct w:val="0"/>
        <w:adjustRightInd w:val="0"/>
        <w:spacing w:before="57" w:line="440" w:lineRule="exact"/>
        <w:ind w:left="111" w:right="110" w:firstLine="480"/>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10.3 经采购人允许，供应商可为踏勘目的进入采购人的项目现场，但供应商不得因此使采购人承担有关的责任和蒙受损失。供应商应承担踏勘现场的责任和风险。</w:t>
      </w:r>
    </w:p>
    <w:p w14:paraId="041992EB">
      <w:pPr>
        <w:kinsoku w:val="0"/>
        <w:overflowPunct w:val="0"/>
        <w:adjustRightInd w:val="0"/>
        <w:spacing w:before="178"/>
        <w:ind w:right="59"/>
        <w:jc w:val="center"/>
        <w:rPr>
          <w:rFonts w:hint="eastAsia" w:ascii="宋体" w:hAnsi="宋体" w:eastAsia="宋体" w:cs="宋体"/>
          <w:b/>
          <w:sz w:val="24"/>
          <w:szCs w:val="24"/>
          <w:highlight w:val="none"/>
          <w:lang w:val="en-US" w:bidi="ar-SA"/>
        </w:rPr>
      </w:pPr>
    </w:p>
    <w:p w14:paraId="2CE0961C">
      <w:pPr>
        <w:kinsoku w:val="0"/>
        <w:overflowPunct w:val="0"/>
        <w:adjustRightInd w:val="0"/>
        <w:spacing w:before="178"/>
        <w:ind w:right="59"/>
        <w:jc w:val="center"/>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（二）磋商文件</w:t>
      </w:r>
    </w:p>
    <w:p w14:paraId="25DF2520">
      <w:pPr>
        <w:kinsoku w:val="0"/>
        <w:overflowPunct w:val="0"/>
        <w:adjustRightInd w:val="0"/>
        <w:spacing w:before="10"/>
        <w:rPr>
          <w:rFonts w:hint="eastAsia" w:ascii="宋体" w:hAnsi="宋体" w:eastAsia="宋体" w:cs="宋体"/>
          <w:b/>
          <w:sz w:val="18"/>
          <w:szCs w:val="24"/>
          <w:highlight w:val="none"/>
          <w:lang w:val="en-US" w:bidi="ar-SA"/>
        </w:rPr>
      </w:pPr>
    </w:p>
    <w:p w14:paraId="4D516BAD">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11、磋商文件的组成</w:t>
      </w:r>
    </w:p>
    <w:p w14:paraId="3EFC88A6">
      <w:pPr>
        <w:kinsoku w:val="0"/>
        <w:overflowPunct w:val="0"/>
        <w:adjustRightInd w:val="0"/>
        <w:spacing w:line="440" w:lineRule="exact"/>
        <w:ind w:left="591" w:right="4672"/>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11.1磋商文件包括下列内容：</w:t>
      </w:r>
    </w:p>
    <w:p w14:paraId="6B9349E3">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竞争性磋商公告</w:t>
      </w:r>
    </w:p>
    <w:p w14:paraId="35C88734">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磋商须知前附表及磋商须知</w:t>
      </w:r>
    </w:p>
    <w:p w14:paraId="010442C3">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合同条款及格式</w:t>
      </w:r>
    </w:p>
    <w:p w14:paraId="4DE8C0F0">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第三章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工程量清单</w:t>
      </w:r>
    </w:p>
    <w:p w14:paraId="12454927">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第四章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图纸（另卷）</w:t>
      </w:r>
    </w:p>
    <w:p w14:paraId="70E7A30D">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第五章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技术规范</w:t>
      </w:r>
    </w:p>
    <w:p w14:paraId="73322F7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第六章   工程量清单计量规则</w:t>
      </w:r>
    </w:p>
    <w:p w14:paraId="4C0511A1">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第七章   响应文件格式</w:t>
      </w:r>
    </w:p>
    <w:p w14:paraId="08FDBB8F">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第八章   评审方法及标准</w:t>
      </w:r>
    </w:p>
    <w:p w14:paraId="25D2C4F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应详细阅读采购文件中的所有条款内容、格式、表格和所涉及的相关规范。如果供应商不按磋商文件的要求提交响应性文件和资料的，或者响应性文件没有对磋商文件提出的实质性要求和条件作出响应，将导致响应性文件不被接受，其后果由供应商自己负责。</w:t>
      </w:r>
    </w:p>
    <w:p w14:paraId="2461AFF5">
      <w:pPr>
        <w:kinsoku w:val="0"/>
        <w:overflowPunct w:val="0"/>
        <w:adjustRightInd w:val="0"/>
        <w:spacing w:line="440" w:lineRule="exact"/>
        <w:ind w:left="591" w:right="112"/>
        <w:jc w:val="both"/>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12、磋商文件的澄清</w:t>
      </w:r>
    </w:p>
    <w:p w14:paraId="1619D8C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12.1 若磋商供应商对采购文件有疑点或异议，可在知道或应知其权益受到损害之日起 7 个工作日内，将质疑书原件送达采购人或采购代理机构，采购人将视情况确定采用适当方式予以澄清或以书面形式予以答复。</w:t>
      </w:r>
    </w:p>
    <w:p w14:paraId="38751DA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12.2 在首次提交响应文件截止时间前，采购代理机构可以对采购文件进行澄清或者修改，澄清或者修改的内容作为采购文件的组成部分。澄清或者修改的内容可能影响响应文件编制的，将按国家法律规定顺延提交首次响应文件截止时间。</w:t>
      </w:r>
    </w:p>
    <w:p w14:paraId="4113175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12.3 更正或补充文件将作为采购文件的组成部分，对所有磋商供应商有约束力。当采购文件与更正或补充文件相矛盾时，以采购人最后发出的更正或补充文件为准。</w:t>
      </w:r>
    </w:p>
    <w:p w14:paraId="53BC5631">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12.4 供应商在规定的时间内未对采购文件澄清或提出疑问的，采购代理机构将视其为同意。</w:t>
      </w:r>
    </w:p>
    <w:p w14:paraId="2B43C65E">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13、磋商文件的修改</w:t>
      </w:r>
    </w:p>
    <w:p w14:paraId="4912448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13.1磋商文件发出后</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在提交响应文件截止时间5日前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采购人可对磋商文件进行必要的澄清或修改。</w:t>
      </w:r>
    </w:p>
    <w:p w14:paraId="5F240C06">
      <w:pPr>
        <w:kinsoku w:val="0"/>
        <w:overflowPunct w:val="0"/>
        <w:adjustRightInd w:val="0"/>
        <w:spacing w:before="56" w:line="440" w:lineRule="exact"/>
        <w:ind w:left="591"/>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13.2磋商文件的修改将以书面形式发送给所有供应商</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供应商应于收到该修改文件后</w:t>
      </w:r>
      <w:r>
        <w:rPr>
          <w:rFonts w:hint="eastAsia" w:ascii="宋体" w:hAnsi="宋体" w:eastAsia="宋体" w:cs="宋体"/>
          <w:sz w:val="24"/>
          <w:szCs w:val="24"/>
          <w:highlight w:val="none"/>
          <w:u w:val="single"/>
          <w:lang w:val="en-US" w:bidi="ar-SA"/>
        </w:rPr>
        <w:t>1</w:t>
      </w:r>
    </w:p>
    <w:p w14:paraId="7605C3EC">
      <w:pPr>
        <w:kinsoku w:val="0"/>
        <w:overflowPunct w:val="0"/>
        <w:adjustRightInd w:val="0"/>
        <w:spacing w:before="56"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日内以书面形式给予确认</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磋商文件的修改内容作为磋商文件的组成部</w:t>
      </w:r>
      <w:r>
        <w:rPr>
          <w:rFonts w:hint="eastAsia" w:ascii="宋体" w:hAnsi="宋体" w:eastAsia="宋体" w:cs="宋体"/>
          <w:spacing w:val="2"/>
          <w:sz w:val="24"/>
          <w:szCs w:val="24"/>
          <w:highlight w:val="none"/>
          <w:lang w:val="en-US" w:bidi="ar-SA"/>
        </w:rPr>
        <w:t>分</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具有约束作用。</w:t>
      </w:r>
    </w:p>
    <w:p w14:paraId="1B68C986">
      <w:pPr>
        <w:kinsoku w:val="0"/>
        <w:overflowPunct w:val="0"/>
        <w:adjustRightInd w:val="0"/>
        <w:spacing w:before="56"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13.3磋商文件的澄清</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39"/>
          <w:sz w:val="24"/>
          <w:szCs w:val="24"/>
          <w:highlight w:val="none"/>
          <w:lang w:val="en-US" w:bidi="ar-SA"/>
        </w:rPr>
        <w:t>、</w:t>
      </w:r>
      <w:r>
        <w:rPr>
          <w:rFonts w:hint="eastAsia" w:ascii="宋体" w:hAnsi="宋体" w:eastAsia="宋体" w:cs="宋体"/>
          <w:sz w:val="24"/>
          <w:szCs w:val="24"/>
          <w:highlight w:val="none"/>
          <w:lang w:val="en-US" w:bidi="ar-SA"/>
        </w:rPr>
        <w:t>补充等内容均以书面形式明确的内容为准</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当磋商</w:t>
      </w:r>
      <w:r>
        <w:rPr>
          <w:rFonts w:hint="eastAsia" w:ascii="宋体" w:hAnsi="宋体" w:eastAsia="宋体" w:cs="宋体"/>
          <w:spacing w:val="-2"/>
          <w:sz w:val="24"/>
          <w:szCs w:val="24"/>
          <w:highlight w:val="none"/>
          <w:lang w:val="en-US" w:bidi="ar-SA"/>
        </w:rPr>
        <w:t>文件、磋商文件的澄清、修改、补充等在同一内容的表述上不一致时，以最后发出的</w:t>
      </w:r>
      <w:r>
        <w:rPr>
          <w:rFonts w:hint="eastAsia" w:ascii="宋体" w:hAnsi="宋体" w:eastAsia="宋体" w:cs="宋体"/>
          <w:sz w:val="24"/>
          <w:szCs w:val="24"/>
          <w:highlight w:val="none"/>
          <w:lang w:val="en-US" w:bidi="ar-SA"/>
        </w:rPr>
        <w:t>书面文件为准。</w:t>
      </w:r>
    </w:p>
    <w:p w14:paraId="572C993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13.4为使供应商在编制响应文件时有充分时间对磋商文件的澄清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补充等内容进行研究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采购人将酌情延长提交响应文件的截止时</w:t>
      </w:r>
      <w:r>
        <w:rPr>
          <w:rFonts w:hint="eastAsia" w:ascii="宋体" w:hAnsi="宋体" w:eastAsia="宋体" w:cs="宋体"/>
          <w:spacing w:val="2"/>
          <w:sz w:val="24"/>
          <w:szCs w:val="24"/>
          <w:highlight w:val="none"/>
          <w:lang w:val="en-US" w:bidi="ar-SA"/>
        </w:rPr>
        <w:t>间</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具体时间将在磋商文件的修改、补充通知中予以明确。</w:t>
      </w:r>
    </w:p>
    <w:p w14:paraId="420DF1E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p>
    <w:p w14:paraId="63314B41">
      <w:pPr>
        <w:kinsoku w:val="0"/>
        <w:overflowPunct w:val="0"/>
        <w:adjustRightInd w:val="0"/>
        <w:rPr>
          <w:rFonts w:hint="eastAsia" w:ascii="宋体" w:hAnsi="宋体" w:eastAsia="宋体" w:cs="宋体"/>
          <w:sz w:val="24"/>
          <w:szCs w:val="24"/>
          <w:highlight w:val="none"/>
          <w:lang w:val="en-US" w:bidi="ar-SA"/>
        </w:rPr>
      </w:pPr>
    </w:p>
    <w:p w14:paraId="16064CDF">
      <w:pPr>
        <w:numPr>
          <w:ilvl w:val="0"/>
          <w:numId w:val="4"/>
        </w:numPr>
        <w:kinsoku w:val="0"/>
        <w:overflowPunct w:val="0"/>
        <w:adjustRightInd w:val="0"/>
        <w:spacing w:line="429" w:lineRule="auto"/>
        <w:ind w:left="591" w:right="110"/>
        <w:jc w:val="center"/>
        <w:outlineLvl w:val="4"/>
        <w:rPr>
          <w:rFonts w:hint="eastAsia" w:ascii="宋体" w:hAnsi="宋体" w:eastAsia="宋体" w:cs="宋体"/>
          <w:b/>
          <w:spacing w:val="28"/>
          <w:w w:val="99"/>
          <w:sz w:val="24"/>
          <w:szCs w:val="24"/>
          <w:highlight w:val="none"/>
          <w:lang w:val="en-US" w:bidi="ar-SA"/>
        </w:rPr>
      </w:pPr>
      <w:r>
        <w:rPr>
          <w:rFonts w:hint="eastAsia" w:ascii="宋体" w:hAnsi="宋体" w:eastAsia="宋体" w:cs="宋体"/>
          <w:b/>
          <w:w w:val="95"/>
          <w:sz w:val="24"/>
          <w:szCs w:val="24"/>
          <w:highlight w:val="none"/>
          <w:lang w:val="en-US" w:bidi="ar-SA"/>
        </w:rPr>
        <w:t>响应文件的编制</w:t>
      </w:r>
    </w:p>
    <w:p w14:paraId="49B6B532">
      <w:pPr>
        <w:kinsoku w:val="0"/>
        <w:overflowPunct w:val="0"/>
        <w:adjustRightInd w:val="0"/>
        <w:spacing w:line="440" w:lineRule="exact"/>
        <w:ind w:right="110" w:firstLine="482" w:firstLineChars="200"/>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14、响应文件的语言及度量衡单位</w:t>
      </w:r>
    </w:p>
    <w:p w14:paraId="054B2BD1">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14.1</w:t>
      </w:r>
      <w:r>
        <w:rPr>
          <w:rFonts w:hint="eastAsia" w:ascii="宋体" w:hAnsi="宋体" w:eastAsia="宋体" w:cs="宋体"/>
          <w:spacing w:val="-1"/>
          <w:sz w:val="24"/>
          <w:szCs w:val="24"/>
          <w:highlight w:val="none"/>
          <w:lang w:val="en-US" w:bidi="ar-SA"/>
        </w:rPr>
        <w:t>响应文件和与磋商有关的所有文件均应使用</w:t>
      </w:r>
      <w:r>
        <w:rPr>
          <w:rFonts w:hint="eastAsia" w:ascii="宋体" w:hAnsi="宋体" w:eastAsia="宋体" w:cs="宋体"/>
          <w:sz w:val="24"/>
          <w:szCs w:val="24"/>
          <w:highlight w:val="none"/>
          <w:u w:val="single"/>
          <w:lang w:val="en-US" w:bidi="ar-SA"/>
        </w:rPr>
        <w:t>中文</w:t>
      </w:r>
      <w:r>
        <w:rPr>
          <w:rFonts w:hint="eastAsia" w:ascii="宋体" w:hAnsi="宋体" w:eastAsia="宋体" w:cs="宋体"/>
          <w:sz w:val="24"/>
          <w:szCs w:val="24"/>
          <w:highlight w:val="none"/>
          <w:lang w:val="en-US" w:bidi="ar-SA"/>
        </w:rPr>
        <w:t>。</w:t>
      </w:r>
    </w:p>
    <w:p w14:paraId="6977DE30">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14.2除工程规范另有规定外</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响应文件使用的度量衡单位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均采用中华人民共和</w:t>
      </w:r>
    </w:p>
    <w:p w14:paraId="53971784">
      <w:pPr>
        <w:kinsoku w:val="0"/>
        <w:overflowPunct w:val="0"/>
        <w:adjustRightInd w:val="0"/>
        <w:spacing w:before="26" w:line="440" w:lineRule="exact"/>
        <w:ind w:left="591" w:right="5091" w:hanging="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国法定计量单位。</w:t>
      </w:r>
    </w:p>
    <w:p w14:paraId="007E206B">
      <w:pPr>
        <w:kinsoku w:val="0"/>
        <w:overflowPunct w:val="0"/>
        <w:adjustRightInd w:val="0"/>
        <w:spacing w:before="26" w:line="440" w:lineRule="exact"/>
        <w:ind w:left="541" w:leftChars="246" w:right="5091"/>
        <w:rPr>
          <w:rFonts w:hint="eastAsia" w:ascii="宋体" w:hAnsi="宋体" w:eastAsia="宋体" w:cs="宋体"/>
          <w:b/>
          <w:w w:val="95"/>
          <w:sz w:val="24"/>
          <w:szCs w:val="24"/>
          <w:highlight w:val="none"/>
          <w:lang w:val="en-US" w:bidi="ar-SA"/>
        </w:rPr>
      </w:pPr>
      <w:r>
        <w:rPr>
          <w:rFonts w:hint="eastAsia" w:ascii="宋体" w:hAnsi="宋体" w:eastAsia="宋体" w:cs="宋体"/>
          <w:b/>
          <w:w w:val="95"/>
          <w:sz w:val="24"/>
          <w:szCs w:val="24"/>
          <w:highlight w:val="none"/>
          <w:lang w:val="en-US" w:bidi="ar-SA"/>
        </w:rPr>
        <w:t>15、响应文件的组成</w:t>
      </w:r>
    </w:p>
    <w:p w14:paraId="2D740669">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供应商投标时须提供加密的电子响应文件，按政采云平台供应商项目采购-电子招</w:t>
      </w:r>
    </w:p>
    <w:p w14:paraId="7048E6D0">
      <w:pPr>
        <w:kinsoku w:val="0"/>
        <w:overflowPunct w:val="0"/>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投标操作指南(www.zcygov.cn)及本磋商文件要求编制、提交。</w:t>
      </w:r>
    </w:p>
    <w:p w14:paraId="048B59E0">
      <w:pPr>
        <w:kinsoku w:val="0"/>
        <w:overflowPunct w:val="0"/>
        <w:adjustRightInd w:val="0"/>
        <w:spacing w:before="57" w:line="440" w:lineRule="exact"/>
        <w:ind w:left="591"/>
        <w:outlineLvl w:val="4"/>
        <w:rPr>
          <w:rFonts w:hint="eastAsia" w:ascii="宋体" w:hAnsi="宋体" w:eastAsia="宋体" w:cs="宋体"/>
          <w:b/>
          <w:spacing w:val="2"/>
          <w:w w:val="95"/>
          <w:sz w:val="24"/>
          <w:szCs w:val="24"/>
          <w:highlight w:val="none"/>
          <w:lang w:val="en-US" w:bidi="ar-SA"/>
        </w:rPr>
      </w:pPr>
      <w:r>
        <w:rPr>
          <w:rFonts w:hint="eastAsia" w:ascii="宋体" w:hAnsi="宋体" w:eastAsia="宋体" w:cs="宋体"/>
          <w:b/>
          <w:w w:val="95"/>
          <w:sz w:val="24"/>
          <w:szCs w:val="24"/>
          <w:highlight w:val="none"/>
          <w:lang w:val="en-US" w:bidi="ar-SA"/>
        </w:rPr>
        <w:t xml:space="preserve">15.1 </w:t>
      </w:r>
      <w:r>
        <w:rPr>
          <w:rFonts w:hint="eastAsia" w:ascii="宋体" w:hAnsi="宋体" w:eastAsia="宋体" w:cs="宋体"/>
          <w:b/>
          <w:spacing w:val="2"/>
          <w:w w:val="95"/>
          <w:sz w:val="24"/>
          <w:szCs w:val="24"/>
          <w:highlight w:val="none"/>
          <w:lang w:val="en-US" w:bidi="ar-SA"/>
        </w:rPr>
        <w:t>响应文件由商务及技术文件、报价文件构成。</w:t>
      </w:r>
    </w:p>
    <w:p w14:paraId="7963DE5D">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15.2 商务及技术文件</w:t>
      </w:r>
      <w:r>
        <w:rPr>
          <w:rFonts w:hint="eastAsia" w:ascii="宋体" w:hAnsi="宋体" w:eastAsia="宋体" w:cs="宋体"/>
          <w:b/>
          <w:spacing w:val="-9"/>
          <w:sz w:val="24"/>
          <w:szCs w:val="24"/>
          <w:highlight w:val="none"/>
          <w:lang w:val="en-US" w:bidi="ar-SA"/>
        </w:rPr>
        <w:t>：</w:t>
      </w:r>
    </w:p>
    <w:p w14:paraId="51F96967">
      <w:pPr>
        <w:tabs>
          <w:tab w:val="left" w:pos="1410"/>
        </w:tabs>
        <w:autoSpaceDE/>
        <w:autoSpaceDN/>
        <w:spacing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（1）投标函及投标函附录；</w:t>
      </w:r>
    </w:p>
    <w:p w14:paraId="7EB2AAFA">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（2）授权委托书或法定代表人身份证明；</w:t>
      </w:r>
    </w:p>
    <w:p w14:paraId="4E2740AB">
      <w:pPr>
        <w:spacing w:line="440" w:lineRule="exact"/>
        <w:rPr>
          <w:rFonts w:hint="eastAsia" w:ascii="宋体" w:hAnsi="宋体" w:eastAsia="宋体" w:cs="宋体"/>
          <w:sz w:val="24"/>
          <w:highlight w:val="none"/>
        </w:rPr>
        <w:sectPr>
          <w:footerReference r:id="rId5" w:type="default"/>
          <w:pgSz w:w="11910" w:h="16840"/>
          <w:pgMar w:top="1134" w:right="1417" w:bottom="1134" w:left="1417" w:header="882" w:footer="847" w:gutter="0"/>
          <w:cols w:space="720" w:num="1"/>
        </w:sectPr>
      </w:pPr>
    </w:p>
    <w:p w14:paraId="0A27C18F">
      <w:pPr>
        <w:tabs>
          <w:tab w:val="left" w:pos="1410"/>
        </w:tabs>
        <w:autoSpaceDE/>
        <w:autoSpaceDN/>
        <w:spacing w:before="7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（3）投标保证金；</w:t>
      </w:r>
    </w:p>
    <w:p w14:paraId="56709D17">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（4）施工组织设计；</w:t>
      </w:r>
    </w:p>
    <w:p w14:paraId="757682ED">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（5）项目管理机构；</w:t>
      </w:r>
    </w:p>
    <w:p w14:paraId="1E641CB6">
      <w:pPr>
        <w:tabs>
          <w:tab w:val="left" w:pos="1410"/>
        </w:tabs>
        <w:autoSpaceDE/>
        <w:autoSpaceDN/>
        <w:spacing w:before="9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（6）拟分包项目情况表；</w:t>
      </w:r>
    </w:p>
    <w:p w14:paraId="502FFD86">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（7）资格审查资料；</w:t>
      </w:r>
    </w:p>
    <w:p w14:paraId="0175081C">
      <w:pPr>
        <w:tabs>
          <w:tab w:val="left" w:pos="1410"/>
        </w:tabs>
        <w:autoSpaceDE/>
        <w:autoSpaceDN/>
        <w:spacing w:before="91" w:line="440" w:lineRule="exact"/>
        <w:ind w:right="4276" w:firstLine="472" w:firstLineChars="200"/>
        <w:jc w:val="both"/>
        <w:rPr>
          <w:rFonts w:hint="eastAsia" w:ascii="宋体" w:hAnsi="宋体" w:eastAsia="宋体" w:cs="宋体"/>
          <w:spacing w:val="-2"/>
          <w:kern w:val="2"/>
          <w:sz w:val="24"/>
          <w:szCs w:val="24"/>
          <w:highlight w:val="none"/>
          <w:lang w:val="en-US" w:bidi="ar-SA"/>
        </w:rPr>
      </w:pPr>
      <w:r>
        <w:rPr>
          <w:rFonts w:hint="eastAsia" w:ascii="宋体" w:hAnsi="宋体" w:eastAsia="宋体" w:cs="宋体"/>
          <w:spacing w:val="-2"/>
          <w:kern w:val="2"/>
          <w:sz w:val="24"/>
          <w:szCs w:val="24"/>
          <w:highlight w:val="none"/>
          <w:lang w:val="en-US" w:bidi="ar-SA"/>
        </w:rPr>
        <w:t>（8）投标人须知前附表规定的其他资料。</w:t>
      </w:r>
    </w:p>
    <w:p w14:paraId="611CA7C4">
      <w:pPr>
        <w:tabs>
          <w:tab w:val="left" w:pos="1410"/>
        </w:tabs>
        <w:autoSpaceDE/>
        <w:autoSpaceDN/>
        <w:spacing w:before="91" w:line="440" w:lineRule="exact"/>
        <w:ind w:right="4276" w:firstLine="474" w:firstLineChars="200"/>
        <w:jc w:val="both"/>
        <w:rPr>
          <w:rFonts w:hint="eastAsia" w:ascii="宋体" w:hAnsi="宋体" w:eastAsia="宋体" w:cs="宋体"/>
          <w:b/>
          <w:bCs/>
          <w:spacing w:val="-2"/>
          <w:kern w:val="2"/>
          <w:sz w:val="24"/>
          <w:szCs w:val="24"/>
          <w:highlight w:val="none"/>
          <w:lang w:val="en-US" w:bidi="ar-SA"/>
        </w:rPr>
      </w:pPr>
      <w:r>
        <w:rPr>
          <w:rFonts w:hint="eastAsia" w:ascii="宋体" w:hAnsi="宋体" w:eastAsia="宋体" w:cs="宋体"/>
          <w:b/>
          <w:bCs/>
          <w:spacing w:val="-2"/>
          <w:kern w:val="2"/>
          <w:sz w:val="24"/>
          <w:szCs w:val="24"/>
          <w:highlight w:val="none"/>
          <w:lang w:val="en-US" w:bidi="ar-SA"/>
        </w:rPr>
        <w:t>15.3 报价文件：</w:t>
      </w:r>
    </w:p>
    <w:p w14:paraId="27F87EE0">
      <w:pPr>
        <w:tabs>
          <w:tab w:val="left" w:pos="1410"/>
        </w:tabs>
        <w:autoSpaceDE/>
        <w:autoSpaceDN/>
        <w:spacing w:before="2"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w:t>
      </w:r>
    </w:p>
    <w:p w14:paraId="46B3F7AF">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（2）已标价工程量清单（含工程量固化清单电子文件）；</w:t>
      </w:r>
    </w:p>
    <w:p w14:paraId="33244C4E">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（3）合同用款估算表；</w:t>
      </w:r>
    </w:p>
    <w:p w14:paraId="78D497F8">
      <w:pPr>
        <w:tabs>
          <w:tab w:val="left" w:pos="1410"/>
        </w:tabs>
        <w:autoSpaceDE/>
        <w:autoSpaceDN/>
        <w:spacing w:before="93" w:line="440" w:lineRule="exact"/>
        <w:ind w:firstLine="480" w:firstLineChars="200"/>
        <w:jc w:val="both"/>
        <w:rPr>
          <w:rFonts w:hint="eastAsia" w:ascii="宋体" w:hAnsi="宋体" w:eastAsia="宋体" w:cs="宋体"/>
          <w:highlight w:val="none"/>
          <w:lang w:val="en-US"/>
        </w:rPr>
      </w:pPr>
      <w:r>
        <w:rPr>
          <w:rFonts w:hint="eastAsia" w:ascii="宋体" w:hAnsi="宋体" w:eastAsia="宋体" w:cs="宋体"/>
          <w:kern w:val="2"/>
          <w:sz w:val="24"/>
          <w:szCs w:val="24"/>
          <w:highlight w:val="none"/>
          <w:lang w:val="en-US" w:bidi="ar-SA"/>
        </w:rPr>
        <w:t>（4）最终报价单。</w:t>
      </w:r>
    </w:p>
    <w:p w14:paraId="1EE42234">
      <w:pPr>
        <w:kinsoku w:val="0"/>
        <w:overflowPunct w:val="0"/>
        <w:adjustRightInd w:val="0"/>
        <w:spacing w:before="57" w:line="440" w:lineRule="exact"/>
        <w:ind w:right="232"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15.4 开标后各投标供应商需在公示期满后，另行提</w:t>
      </w:r>
      <w:r>
        <w:rPr>
          <w:rFonts w:hint="eastAsia" w:cs="宋体"/>
          <w:sz w:val="24"/>
          <w:szCs w:val="24"/>
          <w:highlight w:val="none"/>
          <w:lang w:val="en-US" w:eastAsia="zh-CN" w:bidi="ar-SA"/>
        </w:rPr>
        <w:t>供</w:t>
      </w:r>
      <w:r>
        <w:rPr>
          <w:rFonts w:hint="eastAsia" w:ascii="宋体" w:hAnsi="宋体" w:eastAsia="宋体" w:cs="宋体"/>
          <w:sz w:val="24"/>
          <w:szCs w:val="24"/>
          <w:highlight w:val="none"/>
          <w:lang w:val="en-US" w:bidi="ar-SA"/>
        </w:rPr>
        <w:t>纸质版响应文件（正本一份、副本二份）。须与电子版响应文件内容一致，纸质响应文件需留存备案将一律不予退还。</w:t>
      </w:r>
    </w:p>
    <w:p w14:paraId="0BDEE10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纸质版标书邮寄地址：</w:t>
      </w:r>
      <w:r>
        <w:rPr>
          <w:rFonts w:hint="eastAsia" w:cs="宋体"/>
          <w:sz w:val="24"/>
          <w:szCs w:val="24"/>
          <w:highlight w:val="none"/>
          <w:lang w:val="en-US" w:eastAsia="zh-CN" w:bidi="ar-SA"/>
        </w:rPr>
        <w:t>喀什经济开发区深喀大道陕西大厦10楼1005室</w:t>
      </w:r>
      <w:r>
        <w:rPr>
          <w:rFonts w:hint="eastAsia" w:ascii="宋体" w:hAnsi="宋体" w:eastAsia="宋体" w:cs="宋体"/>
          <w:sz w:val="24"/>
          <w:szCs w:val="24"/>
          <w:highlight w:val="none"/>
          <w:lang w:val="en-US" w:bidi="ar-SA"/>
        </w:rPr>
        <w:t>（</w:t>
      </w:r>
      <w:r>
        <w:rPr>
          <w:rFonts w:hint="eastAsia" w:cs="宋体"/>
          <w:sz w:val="24"/>
          <w:szCs w:val="24"/>
          <w:highlight w:val="none"/>
          <w:lang w:val="en-US" w:eastAsia="zh-CN" w:bidi="ar-SA"/>
        </w:rPr>
        <w:t>新疆惠中源项目管理有限公司</w:t>
      </w:r>
      <w:r>
        <w:rPr>
          <w:rFonts w:hint="eastAsia" w:ascii="宋体" w:hAnsi="宋体" w:eastAsia="宋体" w:cs="宋体"/>
          <w:sz w:val="24"/>
          <w:szCs w:val="24"/>
          <w:highlight w:val="none"/>
          <w:lang w:val="en-US" w:bidi="ar-SA"/>
        </w:rPr>
        <w:t>）</w:t>
      </w:r>
    </w:p>
    <w:p w14:paraId="1AD15AEA">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收件人：</w:t>
      </w:r>
      <w:r>
        <w:rPr>
          <w:rFonts w:hint="eastAsia" w:cs="宋体"/>
          <w:sz w:val="24"/>
          <w:szCs w:val="24"/>
          <w:highlight w:val="none"/>
          <w:lang w:val="en-US" w:eastAsia="zh-CN" w:bidi="ar-SA"/>
        </w:rPr>
        <w:t>于大海</w:t>
      </w:r>
      <w:r>
        <w:rPr>
          <w:rFonts w:hint="eastAsia" w:ascii="宋体" w:hAnsi="宋体" w:eastAsia="宋体" w:cs="宋体"/>
          <w:sz w:val="24"/>
          <w:szCs w:val="24"/>
          <w:highlight w:val="none"/>
          <w:lang w:val="en-US" w:bidi="ar-SA"/>
        </w:rPr>
        <w:t xml:space="preserve">     联系电话：</w:t>
      </w:r>
      <w:r>
        <w:rPr>
          <w:rFonts w:hint="eastAsia" w:cs="宋体"/>
          <w:sz w:val="24"/>
          <w:szCs w:val="24"/>
          <w:highlight w:val="none"/>
          <w:lang w:val="en-US" w:eastAsia="zh-CN" w:bidi="ar-SA"/>
        </w:rPr>
        <w:t>18999110912</w:t>
      </w:r>
    </w:p>
    <w:p w14:paraId="2C2621A2">
      <w:pPr>
        <w:kinsoku w:val="0"/>
        <w:overflowPunct w:val="0"/>
        <w:adjustRightInd w:val="0"/>
        <w:spacing w:before="57" w:line="440" w:lineRule="exact"/>
        <w:ind w:left="101" w:leftChars="46" w:right="232" w:firstLine="240" w:firstLineChars="1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15.5 若磋商供应商未按采购文件的要求提供资料，或未对采购文件做出实质性响应，将作为无效响应文件。</w:t>
      </w:r>
    </w:p>
    <w:p w14:paraId="3C97E016">
      <w:pPr>
        <w:kinsoku w:val="0"/>
        <w:overflowPunct w:val="0"/>
        <w:adjustRightInd w:val="0"/>
        <w:spacing w:before="57" w:line="440" w:lineRule="exact"/>
        <w:ind w:right="232" w:firstLine="360" w:firstLineChars="15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15.6 磋商响应文件出现下列情形之一的，采购人不予受理或被政采云平台拒收：</w:t>
      </w:r>
    </w:p>
    <w:p w14:paraId="6D4501A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（1）电子磋商响应文件未按磋商文件要求上传的；</w:t>
      </w:r>
    </w:p>
    <w:p w14:paraId="6A406C7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（2）供应商未按照须知前附表规定的时间解密电子磋商响应文件，或解密失败又未提交备份响应文件的。</w:t>
      </w:r>
    </w:p>
    <w:p w14:paraId="20619F2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 响应文件封面要求</w:t>
      </w:r>
    </w:p>
    <w:p w14:paraId="295903A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15.7.1 响应文件封面应按磋商文件规定格式编制。</w:t>
      </w:r>
    </w:p>
    <w:p w14:paraId="1C6D6DE3">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 响应文件目录要求</w:t>
      </w:r>
    </w:p>
    <w:p w14:paraId="51DFDC1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15.8.1 为便于评审，响应文件目录宜按本磋商文件相关内容先后顺序编排。</w:t>
      </w:r>
    </w:p>
    <w:p w14:paraId="44952DB1">
      <w:pPr>
        <w:kinsoku w:val="0"/>
        <w:overflowPunct w:val="0"/>
        <w:adjustRightInd w:val="0"/>
        <w:spacing w:line="440" w:lineRule="exact"/>
        <w:ind w:left="591" w:right="50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16、响应文件格式</w:t>
      </w:r>
    </w:p>
    <w:p w14:paraId="2204A56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16.1响应文件包括本须知第15条中规定的内容，供应商提交的响应文件应当使用磋商文件所提供的响应文件全部格式（表格可以按同样格式扩展）。</w:t>
      </w:r>
    </w:p>
    <w:p w14:paraId="355A3500">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17、投标报价</w:t>
      </w:r>
    </w:p>
    <w:p w14:paraId="79E86F15">
      <w:pPr>
        <w:tabs>
          <w:tab w:val="left" w:pos="1409"/>
        </w:tabs>
        <w:autoSpaceDE/>
        <w:autoSpaceDN/>
        <w:spacing w:before="1" w:line="440" w:lineRule="exact"/>
        <w:ind w:right="289" w:firstLine="678"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spacing w:val="-7"/>
          <w:kern w:val="2"/>
          <w:sz w:val="24"/>
          <w:szCs w:val="24"/>
          <w:highlight w:val="none"/>
          <w:lang w:val="en-US" w:bidi="ar-SA"/>
        </w:rPr>
        <w:t>17.1投标报价应包括国家规定的增值税税金，除磋商须知前附表另有规定外，</w:t>
      </w:r>
      <w:r>
        <w:rPr>
          <w:rFonts w:hint="eastAsia" w:ascii="宋体" w:hAnsi="宋体" w:eastAsia="宋体" w:cs="宋体"/>
          <w:spacing w:val="-5"/>
          <w:kern w:val="2"/>
          <w:sz w:val="24"/>
          <w:szCs w:val="24"/>
          <w:highlight w:val="none"/>
          <w:lang w:val="en-US" w:bidi="ar-SA"/>
        </w:rPr>
        <w:t>发票类型要求为增值税专用发票。投标供应商应按第七章</w:t>
      </w:r>
      <w:r>
        <w:rPr>
          <w:rFonts w:hint="eastAsia" w:ascii="宋体" w:hAnsi="宋体" w:eastAsia="宋体" w:cs="宋体"/>
          <w:kern w:val="2"/>
          <w:sz w:val="24"/>
          <w:szCs w:val="24"/>
          <w:highlight w:val="none"/>
          <w:lang w:val="en-US" w:bidi="ar-SA"/>
        </w:rPr>
        <w:t>“响应文件格式”的要求在投标函中进行报价并填写工程量清单相应表格。</w:t>
      </w:r>
    </w:p>
    <w:p w14:paraId="37B789A0">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本项目招标采用工程量固化清单，采购人向投标供应商提供工程量固化清单电子文件。投标供应商填写工程量清单中各子目的单价及总额价，即可完成投标工程量清单的编制，确定投标报价，并打印出投标工程量清单，编入响应文件。投标供应商未在工程量清单中填入单价或总额价的工程子目，将被认为其已包含在工程量清单其他子目的单价和总额价中，采购人将不予支付。</w:t>
      </w:r>
    </w:p>
    <w:p w14:paraId="273A357B">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投标供应商必须严格遵循工程量固化清单电子文件中的数据、格式及运算定义。</w:t>
      </w:r>
    </w:p>
    <w:p w14:paraId="0B8D312F">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严禁投标供应商修改工程量固化清单电子文件中的数据、格式及运算定义。</w:t>
      </w:r>
    </w:p>
    <w:p w14:paraId="275197C7">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投标供应商根据采购人提供的工程量固化清单电子文件填报完成并打印的投标工程量清单中的投标报价和投标函大写金额报价应一致，如果报价金额出现差异，其</w:t>
      </w:r>
      <w:r>
        <w:rPr>
          <w:rFonts w:hint="eastAsia" w:ascii="宋体" w:hAnsi="宋体" w:eastAsia="宋体" w:cs="宋体"/>
          <w:b/>
          <w:bCs/>
          <w:spacing w:val="-7"/>
          <w:kern w:val="2"/>
          <w:sz w:val="24"/>
          <w:szCs w:val="24"/>
          <w:highlight w:val="none"/>
          <w:lang w:val="en-US" w:bidi="ar-SA"/>
        </w:rPr>
        <w:t>投标将被否决。</w:t>
      </w:r>
    </w:p>
    <w:p w14:paraId="6B3B1E40">
      <w:pPr>
        <w:tabs>
          <w:tab w:val="left" w:pos="1409"/>
        </w:tabs>
        <w:autoSpaceDE/>
        <w:autoSpaceDN/>
        <w:spacing w:line="440" w:lineRule="exact"/>
        <w:ind w:left="440" w:leftChars="200" w:right="676" w:firstLine="238" w:firstLineChars="100"/>
        <w:jc w:val="both"/>
        <w:rPr>
          <w:rFonts w:hint="eastAsia" w:ascii="宋体" w:hAnsi="宋体" w:eastAsia="宋体" w:cs="宋体"/>
          <w:spacing w:val="-1"/>
          <w:kern w:val="2"/>
          <w:sz w:val="24"/>
          <w:szCs w:val="24"/>
          <w:highlight w:val="none"/>
          <w:lang w:val="en-US" w:bidi="ar-SA"/>
        </w:rPr>
      </w:pPr>
      <w:r>
        <w:rPr>
          <w:rFonts w:hint="eastAsia" w:ascii="宋体" w:hAnsi="宋体" w:eastAsia="宋体" w:cs="宋体"/>
          <w:spacing w:val="-1"/>
          <w:kern w:val="2"/>
          <w:sz w:val="24"/>
          <w:szCs w:val="24"/>
          <w:highlight w:val="none"/>
          <w:lang w:val="en-US" w:bidi="ar-SA"/>
        </w:rPr>
        <w:t>17.2工程中涉及的工程一切险和第三方责任险等保险由投标供应商中标后自行</w:t>
      </w:r>
    </w:p>
    <w:p w14:paraId="5E725E9D">
      <w:pPr>
        <w:tabs>
          <w:tab w:val="left" w:pos="1409"/>
        </w:tabs>
        <w:autoSpaceDE/>
        <w:autoSpaceDN/>
        <w:spacing w:line="440" w:lineRule="exact"/>
        <w:ind w:right="676"/>
        <w:jc w:val="both"/>
        <w:rPr>
          <w:rFonts w:hint="eastAsia" w:ascii="宋体" w:hAnsi="宋体" w:eastAsia="宋体" w:cs="宋体"/>
          <w:kern w:val="2"/>
          <w:sz w:val="24"/>
          <w:szCs w:val="24"/>
          <w:highlight w:val="none"/>
          <w:lang w:val="en-US" w:bidi="ar-SA"/>
        </w:rPr>
      </w:pPr>
      <w:r>
        <w:rPr>
          <w:rFonts w:hint="eastAsia" w:ascii="宋体" w:hAnsi="宋体" w:eastAsia="宋体" w:cs="宋体"/>
          <w:spacing w:val="-1"/>
          <w:kern w:val="2"/>
          <w:sz w:val="24"/>
          <w:szCs w:val="24"/>
          <w:highlight w:val="none"/>
          <w:lang w:val="en-US" w:bidi="ar-SA"/>
        </w:rPr>
        <w:t>投</w:t>
      </w:r>
      <w:r>
        <w:rPr>
          <w:rFonts w:hint="eastAsia" w:ascii="宋体" w:hAnsi="宋体" w:eastAsia="宋体" w:cs="宋体"/>
          <w:kern w:val="2"/>
          <w:sz w:val="24"/>
          <w:szCs w:val="24"/>
          <w:highlight w:val="none"/>
          <w:lang w:val="en-US" w:bidi="ar-SA"/>
        </w:rPr>
        <w:t>保，保险费包含在所报的单价或总额价中。</w:t>
      </w:r>
    </w:p>
    <w:p w14:paraId="73EC27DD">
      <w:pPr>
        <w:tabs>
          <w:tab w:val="left" w:pos="1409"/>
        </w:tabs>
        <w:autoSpaceDE/>
        <w:autoSpaceDN/>
        <w:spacing w:before="74" w:line="440" w:lineRule="exact"/>
        <w:ind w:left="660" w:leftChars="300" w:right="409"/>
        <w:jc w:val="both"/>
        <w:rPr>
          <w:rFonts w:hint="eastAsia" w:ascii="宋体" w:hAnsi="宋体" w:eastAsia="宋体" w:cs="宋体"/>
          <w:spacing w:val="-4"/>
          <w:kern w:val="2"/>
          <w:sz w:val="24"/>
          <w:szCs w:val="24"/>
          <w:highlight w:val="none"/>
          <w:lang w:val="en-US" w:bidi="ar-SA"/>
        </w:rPr>
      </w:pPr>
      <w:r>
        <w:rPr>
          <w:rFonts w:hint="eastAsia" w:ascii="宋体" w:hAnsi="宋体" w:eastAsia="宋体" w:cs="宋体"/>
          <w:kern w:val="2"/>
          <w:sz w:val="24"/>
          <w:szCs w:val="24"/>
          <w:highlight w:val="none"/>
          <w:lang w:val="en-US" w:bidi="ar-SA"/>
        </w:rPr>
        <w:t>17.3投标供应商应充分了解本项目的总体情况以及影响投标报价的其他要素。17.4投标供应商在磋商时间截止前修改投</w:t>
      </w:r>
      <w:r>
        <w:rPr>
          <w:rFonts w:hint="eastAsia" w:ascii="宋体" w:hAnsi="宋体" w:eastAsia="宋体" w:cs="宋体"/>
          <w:spacing w:val="-4"/>
          <w:kern w:val="2"/>
          <w:sz w:val="24"/>
          <w:szCs w:val="24"/>
          <w:highlight w:val="none"/>
          <w:lang w:val="en-US" w:bidi="ar-SA"/>
        </w:rPr>
        <w:t>标函中的投标总报价，应同时修改响应文</w:t>
      </w:r>
    </w:p>
    <w:p w14:paraId="4737C043">
      <w:pPr>
        <w:tabs>
          <w:tab w:val="left" w:pos="1409"/>
        </w:tabs>
        <w:autoSpaceDE/>
        <w:autoSpaceDN/>
        <w:spacing w:before="74"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spacing w:val="-4"/>
          <w:kern w:val="2"/>
          <w:sz w:val="24"/>
          <w:szCs w:val="24"/>
          <w:highlight w:val="none"/>
          <w:lang w:val="en-US" w:bidi="ar-SA"/>
        </w:rPr>
        <w:t>件</w:t>
      </w:r>
      <w:r>
        <w:rPr>
          <w:rFonts w:hint="eastAsia" w:ascii="宋体" w:hAnsi="宋体" w:eastAsia="宋体" w:cs="宋体"/>
          <w:kern w:val="2"/>
          <w:sz w:val="24"/>
          <w:szCs w:val="24"/>
          <w:highlight w:val="none"/>
          <w:lang w:val="en-US" w:bidi="ar-SA"/>
        </w:rPr>
        <w:t>“已标价工程量清单”</w:t>
      </w:r>
      <w:r>
        <w:rPr>
          <w:rFonts w:hint="eastAsia" w:ascii="宋体" w:hAnsi="宋体" w:eastAsia="宋体" w:cs="宋体"/>
          <w:spacing w:val="-7"/>
          <w:kern w:val="2"/>
          <w:sz w:val="24"/>
          <w:szCs w:val="24"/>
          <w:highlight w:val="none"/>
          <w:lang w:val="en-US" w:bidi="ar-SA"/>
        </w:rPr>
        <w:t>中的相应报价。</w:t>
      </w:r>
    </w:p>
    <w:p w14:paraId="083D8AE3">
      <w:pPr>
        <w:tabs>
          <w:tab w:val="left" w:pos="1409"/>
        </w:tabs>
        <w:autoSpaceDE/>
        <w:autoSpaceDN/>
        <w:spacing w:before="1" w:line="440" w:lineRule="exact"/>
        <w:ind w:left="440" w:leftChars="200" w:right="409"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17.5投标供应商如果发现工程量清单中的数量与图纸中数量不一致时，应立即通</w:t>
      </w:r>
    </w:p>
    <w:p w14:paraId="6894B684">
      <w:pPr>
        <w:tabs>
          <w:tab w:val="left" w:pos="1409"/>
        </w:tabs>
        <w:autoSpaceDE/>
        <w:autoSpaceDN/>
        <w:spacing w:before="1"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知</w:t>
      </w:r>
      <w:r>
        <w:rPr>
          <w:rFonts w:hint="eastAsia" w:ascii="宋体" w:hAnsi="宋体" w:eastAsia="宋体" w:cs="宋体"/>
          <w:spacing w:val="-10"/>
          <w:kern w:val="2"/>
          <w:sz w:val="24"/>
          <w:szCs w:val="24"/>
          <w:highlight w:val="none"/>
          <w:lang w:val="en-US" w:bidi="ar-SA"/>
        </w:rPr>
        <w:t>采购人核查，除非采购人以书面方式予以更正，否则，应以工程量清单中列出的数量</w:t>
      </w:r>
      <w:r>
        <w:rPr>
          <w:rFonts w:hint="eastAsia" w:ascii="宋体" w:hAnsi="宋体" w:eastAsia="宋体" w:cs="宋体"/>
          <w:kern w:val="2"/>
          <w:sz w:val="24"/>
          <w:szCs w:val="24"/>
          <w:highlight w:val="none"/>
          <w:lang w:val="en-US" w:bidi="ar-SA"/>
        </w:rPr>
        <w:t>为准。</w:t>
      </w:r>
    </w:p>
    <w:p w14:paraId="703D19FD">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17.6投标供应商应根据《公路水运工程安全生产监督管理办法》，在投标总价中计</w:t>
      </w:r>
      <w:r>
        <w:rPr>
          <w:rFonts w:hint="eastAsia" w:ascii="宋体" w:hAnsi="宋体" w:eastAsia="宋体" w:cs="宋体"/>
          <w:spacing w:val="-3"/>
          <w:kern w:val="2"/>
          <w:sz w:val="24"/>
          <w:szCs w:val="24"/>
          <w:highlight w:val="none"/>
          <w:lang w:val="en-US" w:bidi="ar-SA"/>
        </w:rPr>
        <w:t xml:space="preserve">入安全生产费用，安全生产费用应符合合同条款第 </w:t>
      </w:r>
      <w:r>
        <w:rPr>
          <w:rFonts w:hint="eastAsia" w:ascii="宋体" w:hAnsi="宋体" w:eastAsia="宋体" w:cs="宋体"/>
          <w:kern w:val="2"/>
          <w:sz w:val="24"/>
          <w:szCs w:val="24"/>
          <w:highlight w:val="none"/>
          <w:lang w:val="en-US" w:bidi="ar-SA"/>
        </w:rPr>
        <w:t>13.2(6)项的规定。工程量清单100</w:t>
      </w:r>
      <w:r>
        <w:rPr>
          <w:rFonts w:hint="eastAsia" w:ascii="宋体" w:hAnsi="宋体" w:eastAsia="宋体" w:cs="宋体"/>
          <w:spacing w:val="-1"/>
          <w:kern w:val="2"/>
          <w:sz w:val="24"/>
          <w:szCs w:val="24"/>
          <w:highlight w:val="none"/>
          <w:lang w:val="en-US" w:bidi="ar-SA"/>
        </w:rPr>
        <w:t>章内列有上述安全生产费的支付子目，由投标供应商按磋商文件的规定填写总额价。</w:t>
      </w:r>
    </w:p>
    <w:p w14:paraId="5F43CA25">
      <w:pPr>
        <w:tabs>
          <w:tab w:val="left" w:pos="1409"/>
        </w:tabs>
        <w:autoSpaceDE/>
        <w:autoSpaceDN/>
        <w:spacing w:line="440" w:lineRule="exact"/>
        <w:ind w:left="440" w:leftChars="200"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17.7采购人不接受调价函。</w:t>
      </w:r>
    </w:p>
    <w:p w14:paraId="5F6F5C77">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17.8在合同实施期间，投标供应商填写的单价、合价和总额价不会由于物价波动进行价格调整，法律变化引起的价格调整除外。</w:t>
      </w:r>
    </w:p>
    <w:p w14:paraId="409C0CEE">
      <w:pPr>
        <w:tabs>
          <w:tab w:val="left" w:pos="1409"/>
        </w:tabs>
        <w:autoSpaceDE/>
        <w:autoSpaceDN/>
        <w:spacing w:line="440" w:lineRule="exact"/>
        <w:ind w:left="440" w:leftChars="200" w:right="436" w:firstLine="238" w:firstLineChars="100"/>
        <w:jc w:val="both"/>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t>17.9</w:t>
      </w:r>
      <w:r>
        <w:rPr>
          <w:rFonts w:hint="eastAsia" w:ascii="宋体" w:hAnsi="宋体" w:eastAsia="宋体" w:cs="宋体"/>
          <w:b/>
          <w:sz w:val="24"/>
          <w:szCs w:val="24"/>
          <w:highlight w:val="none"/>
          <w:lang w:val="en-US" w:eastAsia="zh-CN" w:bidi="ar-SA"/>
        </w:rPr>
        <w:t>投标供应商的投标报价不得超过最高限价金额，最高限价在磋商须知前附表中载明。</w:t>
      </w:r>
    </w:p>
    <w:p w14:paraId="74FB53E1">
      <w:pPr>
        <w:pStyle w:val="7"/>
        <w:kinsoku w:val="0"/>
        <w:overflowPunct w:val="0"/>
        <w:spacing w:before="60" w:line="440" w:lineRule="exact"/>
        <w:ind w:left="111" w:right="199" w:firstLine="480"/>
        <w:jc w:val="both"/>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17.10 本项目投标报价为二轮报价，首次报价在响应文件中体现；最终报价由各磋商供应商在规定的时间内（发出最终报价指令后的</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30</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分钟内）在政采云平台在线完成；政采云平台在线报价操作失败的，供应商应及时联系采购代理机构（应在政采云平台最终轮报价倒计价结束前，联系电话</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18999110912</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）。因本项目采用竞争性磋商方式，成交价以最终报价为准。</w:t>
      </w:r>
    </w:p>
    <w:p w14:paraId="45C52AB5">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18、磋商货币</w:t>
      </w:r>
    </w:p>
    <w:p w14:paraId="682ABEB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18.1本工程磋商报价采用的币种为</w:t>
      </w:r>
      <w:r>
        <w:rPr>
          <w:rFonts w:hint="eastAsia" w:ascii="宋体" w:hAnsi="宋体" w:eastAsia="宋体" w:cs="宋体"/>
          <w:sz w:val="24"/>
          <w:szCs w:val="24"/>
          <w:highlight w:val="none"/>
          <w:u w:val="single"/>
          <w:lang w:val="en-US" w:bidi="ar-SA"/>
        </w:rPr>
        <w:t>人民币</w:t>
      </w:r>
      <w:r>
        <w:rPr>
          <w:rFonts w:hint="eastAsia" w:ascii="宋体" w:hAnsi="宋体" w:eastAsia="宋体" w:cs="宋体"/>
          <w:sz w:val="24"/>
          <w:szCs w:val="24"/>
          <w:highlight w:val="none"/>
          <w:lang w:val="en-US" w:bidi="ar-SA"/>
        </w:rPr>
        <w:t>。</w:t>
      </w:r>
    </w:p>
    <w:p w14:paraId="760E25B3">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19、磋商有效期</w:t>
      </w:r>
    </w:p>
    <w:p w14:paraId="523911B7">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19.1磋商有效期见本须知前附表第19项所规定的期限，在此期限内，凡符合磋商文件要求的响应文件均保持有效。</w:t>
      </w:r>
    </w:p>
    <w:p w14:paraId="41168C5C">
      <w:pPr>
        <w:kinsoku w:val="0"/>
        <w:overflowPunct w:val="0"/>
        <w:adjustRightInd w:val="0"/>
        <w:spacing w:before="26" w:line="440" w:lineRule="exact"/>
        <w:ind w:left="111" w:right="15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19.2在特殊情况下</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采购人在原定磋商有效期内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可以根据需要以书面形式向供应商提出延长磋商有效期的要求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对此要求供应商须以书面形式予以答</w:t>
      </w:r>
      <w:r>
        <w:rPr>
          <w:rFonts w:hint="eastAsia" w:ascii="宋体" w:hAnsi="宋体" w:eastAsia="宋体" w:cs="宋体"/>
          <w:spacing w:val="2"/>
          <w:sz w:val="24"/>
          <w:szCs w:val="24"/>
          <w:highlight w:val="none"/>
          <w:lang w:val="en-US" w:bidi="ar-SA"/>
        </w:rPr>
        <w:t>复</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供应商可以拒绝采购人这种要求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而不被没收保证</w:t>
      </w:r>
      <w:r>
        <w:rPr>
          <w:rFonts w:hint="eastAsia" w:ascii="宋体" w:hAnsi="宋体" w:eastAsia="宋体" w:cs="宋体"/>
          <w:spacing w:val="2"/>
          <w:sz w:val="24"/>
          <w:szCs w:val="24"/>
          <w:highlight w:val="none"/>
          <w:lang w:val="en-US" w:bidi="ar-SA"/>
        </w:rPr>
        <w:t>金</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同意延长磋商有效期的供应商既不能要求也不允许修改其响应文件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但需要相应地延长磋商保证金的有效</w:t>
      </w:r>
      <w:r>
        <w:rPr>
          <w:rFonts w:hint="eastAsia" w:ascii="宋体" w:hAnsi="宋体" w:eastAsia="宋体" w:cs="宋体"/>
          <w:spacing w:val="2"/>
          <w:sz w:val="24"/>
          <w:szCs w:val="24"/>
          <w:highlight w:val="none"/>
          <w:lang w:val="en-US" w:bidi="ar-SA"/>
        </w:rPr>
        <w:t>期</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在延长的磋商有效期内本须知第20条关于磋商保证金的退还与没收的规定仍然适用。</w:t>
      </w:r>
    </w:p>
    <w:p w14:paraId="3CC3AEC4">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20、磋商保证金</w:t>
      </w:r>
    </w:p>
    <w:p w14:paraId="01AA9CBA">
      <w:pPr>
        <w:keepNext w:val="0"/>
        <w:keepLines w:val="0"/>
        <w:pageBreakBefore w:val="0"/>
        <w:widowControl w:val="0"/>
        <w:tabs>
          <w:tab w:val="left" w:pos="3963"/>
        </w:tabs>
        <w:kinsoku w:val="0"/>
        <w:wordWrap/>
        <w:overflowPunct w:val="0"/>
        <w:topLinePunct w:val="0"/>
        <w:autoSpaceDE w:val="0"/>
        <w:autoSpaceDN w:val="0"/>
        <w:bidi w:val="0"/>
        <w:adjustRightInd w:val="0"/>
        <w:snapToGrid/>
        <w:spacing w:line="360" w:lineRule="auto"/>
        <w:ind w:firstLine="729" w:firstLineChars="300"/>
        <w:textAlignment w:val="auto"/>
        <w:rPr>
          <w:rFonts w:hint="eastAsia" w:ascii="宋体" w:hAnsi="宋体" w:eastAsia="宋体" w:cs="宋体"/>
          <w:b/>
          <w:spacing w:val="1"/>
          <w:sz w:val="24"/>
          <w:szCs w:val="24"/>
          <w:highlight w:val="none"/>
          <w:lang w:val="en-US" w:bidi="ar-SA"/>
        </w:rPr>
      </w:pPr>
      <w:r>
        <w:rPr>
          <w:rFonts w:hint="eastAsia" w:ascii="宋体" w:hAnsi="宋体" w:eastAsia="宋体" w:cs="宋体"/>
          <w:b/>
          <w:spacing w:val="1"/>
          <w:sz w:val="24"/>
          <w:szCs w:val="24"/>
          <w:highlight w:val="none"/>
          <w:lang w:val="en-US" w:bidi="ar-SA"/>
        </w:rPr>
        <w:t>20.1供应商应同时提供前附表第20</w:t>
      </w:r>
      <w:r>
        <w:rPr>
          <w:rFonts w:hint="eastAsia" w:ascii="宋体" w:hAnsi="宋体" w:eastAsia="宋体" w:cs="宋体"/>
          <w:b/>
          <w:spacing w:val="2"/>
          <w:sz w:val="24"/>
          <w:szCs w:val="24"/>
          <w:highlight w:val="none"/>
          <w:lang w:val="en-US" w:bidi="ar-SA"/>
        </w:rPr>
        <w:t>项规</w:t>
      </w:r>
      <w:r>
        <w:rPr>
          <w:rFonts w:hint="eastAsia" w:ascii="宋体" w:hAnsi="宋体" w:eastAsia="宋体" w:cs="宋体"/>
          <w:b/>
          <w:sz w:val="24"/>
          <w:szCs w:val="24"/>
          <w:highlight w:val="none"/>
          <w:lang w:val="en-US" w:bidi="ar-SA"/>
        </w:rPr>
        <w:t>定</w:t>
      </w:r>
      <w:r>
        <w:rPr>
          <w:rFonts w:hint="eastAsia" w:ascii="宋体" w:hAnsi="宋体" w:eastAsia="宋体" w:cs="宋体"/>
          <w:b/>
          <w:spacing w:val="2"/>
          <w:sz w:val="24"/>
          <w:szCs w:val="24"/>
          <w:highlight w:val="none"/>
          <w:lang w:val="en-US" w:bidi="ar-SA"/>
        </w:rPr>
        <w:t>数额的磋商</w:t>
      </w:r>
      <w:r>
        <w:rPr>
          <w:rFonts w:hint="eastAsia" w:ascii="宋体" w:hAnsi="宋体" w:eastAsia="宋体" w:cs="宋体"/>
          <w:b/>
          <w:sz w:val="24"/>
          <w:szCs w:val="24"/>
          <w:highlight w:val="none"/>
          <w:lang w:val="en-US" w:bidi="ar-SA"/>
        </w:rPr>
        <w:t>保</w:t>
      </w:r>
      <w:r>
        <w:rPr>
          <w:rFonts w:hint="eastAsia" w:ascii="宋体" w:hAnsi="宋体" w:eastAsia="宋体" w:cs="宋体"/>
          <w:b/>
          <w:spacing w:val="2"/>
          <w:sz w:val="24"/>
          <w:szCs w:val="24"/>
          <w:highlight w:val="none"/>
          <w:lang w:val="en-US" w:bidi="ar-SA"/>
        </w:rPr>
        <w:t>证金</w:t>
      </w:r>
      <w:r>
        <w:rPr>
          <w:rFonts w:hint="eastAsia" w:ascii="宋体" w:hAnsi="宋体" w:eastAsia="宋体" w:cs="宋体"/>
          <w:b/>
          <w:spacing w:val="-33"/>
          <w:sz w:val="24"/>
          <w:szCs w:val="24"/>
          <w:highlight w:val="none"/>
          <w:lang w:val="en-US" w:bidi="ar-SA"/>
        </w:rPr>
        <w:t>，</w:t>
      </w:r>
      <w:r>
        <w:rPr>
          <w:rFonts w:hint="eastAsia" w:ascii="宋体" w:hAnsi="宋体" w:eastAsia="宋体" w:cs="宋体"/>
          <w:b/>
          <w:spacing w:val="1"/>
          <w:sz w:val="24"/>
          <w:szCs w:val="24"/>
          <w:highlight w:val="none"/>
          <w:lang w:val="en-US" w:bidi="ar-SA"/>
        </w:rPr>
        <w:t>并作为其响应文件的一部分。磋商保证金提交方式为从供应商基本账户以电汇、网银等非现金形式在提交首次响应文件截止时间前交纳。汇款需注明采购项目名称或编号。</w:t>
      </w:r>
    </w:p>
    <w:p w14:paraId="77CFB273">
      <w:pPr>
        <w:kinsoku w:val="0"/>
        <w:overflowPunct w:val="0"/>
        <w:adjustRightInd w:val="0"/>
        <w:spacing w:line="440" w:lineRule="exact"/>
        <w:ind w:left="111" w:firstLine="480"/>
        <w:rPr>
          <w:rFonts w:hint="eastAsia" w:ascii="宋体" w:hAnsi="宋体" w:eastAsia="宋体" w:cs="宋体"/>
          <w:bCs/>
          <w:color w:val="000000"/>
          <w:sz w:val="24"/>
          <w:highlight w:val="none"/>
          <w:lang w:val="en-US" w:bidi="ar-SA"/>
        </w:rPr>
      </w:pPr>
      <w:r>
        <w:rPr>
          <w:rFonts w:hint="eastAsia" w:ascii="宋体" w:hAnsi="宋体" w:eastAsia="宋体" w:cs="宋体"/>
          <w:bCs/>
          <w:color w:val="000000"/>
          <w:sz w:val="24"/>
          <w:szCs w:val="24"/>
          <w:highlight w:val="none"/>
          <w:lang w:val="en-US" w:bidi="ar-SA"/>
        </w:rPr>
        <w:t>磋商保证金以到账信息为准，供应商应充分考虑在途时间，投标供应商未按照磋商文件要求提交磋商保证金的，磋商无效。</w:t>
      </w:r>
      <w:r>
        <w:rPr>
          <w:rFonts w:hint="eastAsia" w:ascii="宋体" w:hAnsi="宋体" w:eastAsia="宋体" w:cs="宋体"/>
          <w:bCs/>
          <w:color w:val="000000"/>
          <w:sz w:val="24"/>
          <w:highlight w:val="none"/>
          <w:lang w:val="en-US" w:bidi="ar-SA"/>
        </w:rPr>
        <w:t>磋商保证金以到账信息为准，供应商应充分考虑在途时间，投标供应商未按照磋商文件要求提交磋商保证金的，磋商无效。</w:t>
      </w:r>
    </w:p>
    <w:p w14:paraId="33848FB1">
      <w:pPr>
        <w:kinsoku w:val="0"/>
        <w:overflowPunct w:val="0"/>
        <w:adjustRightInd w:val="0"/>
        <w:spacing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20.2 </w:t>
      </w:r>
      <w:r>
        <w:rPr>
          <w:rFonts w:hint="eastAsia" w:ascii="宋体" w:hAnsi="宋体" w:eastAsia="宋体" w:cs="宋体"/>
          <w:spacing w:val="1"/>
          <w:sz w:val="24"/>
          <w:szCs w:val="24"/>
          <w:highlight w:val="none"/>
          <w:lang w:val="en-US" w:bidi="ar-SA"/>
        </w:rPr>
        <w:t>对于未能按要求提交磋商保证金的报价，采购人将视为不响应磋商文件而</w:t>
      </w:r>
      <w:r>
        <w:rPr>
          <w:rFonts w:hint="eastAsia" w:ascii="宋体" w:hAnsi="宋体" w:eastAsia="宋体" w:cs="宋体"/>
          <w:sz w:val="24"/>
          <w:szCs w:val="24"/>
          <w:highlight w:val="none"/>
          <w:lang w:val="en-US" w:bidi="ar-SA"/>
        </w:rPr>
        <w:t>予以拒绝。</w:t>
      </w:r>
    </w:p>
    <w:p w14:paraId="7EBF20FB">
      <w:pPr>
        <w:kinsoku w:val="0"/>
        <w:overflowPunct w:val="0"/>
        <w:adjustRightInd w:val="0"/>
        <w:spacing w:before="56"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20.3 </w:t>
      </w:r>
      <w:r>
        <w:rPr>
          <w:rFonts w:hint="eastAsia" w:ascii="宋体" w:hAnsi="宋体" w:eastAsia="宋体" w:cs="宋体"/>
          <w:spacing w:val="1"/>
          <w:sz w:val="24"/>
          <w:szCs w:val="24"/>
          <w:highlight w:val="none"/>
          <w:lang w:val="en-US" w:bidi="ar-SA"/>
        </w:rPr>
        <w:t>未中标的供应商的磋商保证金将在成交通知书发出之日起</w:t>
      </w:r>
      <w:r>
        <w:rPr>
          <w:rFonts w:hint="eastAsia" w:ascii="宋体" w:hAnsi="宋体" w:eastAsia="宋体" w:cs="宋体"/>
          <w:sz w:val="24"/>
          <w:szCs w:val="24"/>
          <w:highlight w:val="none"/>
          <w:lang w:val="en-US" w:bidi="ar-SA"/>
        </w:rPr>
        <w:t>5</w:t>
      </w:r>
      <w:r>
        <w:rPr>
          <w:rFonts w:hint="eastAsia" w:ascii="宋体" w:hAnsi="宋体" w:eastAsia="宋体" w:cs="宋体"/>
          <w:spacing w:val="1"/>
          <w:sz w:val="24"/>
          <w:szCs w:val="24"/>
          <w:highlight w:val="none"/>
          <w:lang w:val="en-US" w:bidi="ar-SA"/>
        </w:rPr>
        <w:t>个工作日内退</w:t>
      </w:r>
      <w:r>
        <w:rPr>
          <w:rFonts w:hint="eastAsia" w:ascii="宋体" w:hAnsi="宋体" w:eastAsia="宋体" w:cs="宋体"/>
          <w:sz w:val="24"/>
          <w:szCs w:val="24"/>
          <w:highlight w:val="none"/>
          <w:lang w:val="en-US" w:bidi="ar-SA"/>
        </w:rPr>
        <w:t>还（无息）。</w:t>
      </w:r>
    </w:p>
    <w:p w14:paraId="792DECE8">
      <w:pPr>
        <w:kinsoku w:val="0"/>
        <w:overflowPunct w:val="0"/>
        <w:adjustRightInd w:val="0"/>
        <w:spacing w:before="60"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20.4 中标人的磋商保证金</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bidi="ar-SA"/>
        </w:rPr>
        <w:t>在采购合同签定后5个工作日内退还，但因供应商自身原因导致无法及时退还的除外。</w:t>
      </w:r>
    </w:p>
    <w:p w14:paraId="072AB2E6">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20.5如供应商有下列情况，将被没收磋商保证金：</w:t>
      </w:r>
    </w:p>
    <w:p w14:paraId="2B4DEE8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20.5.1供应商在磋商有效期内撤销或修改其响应文件；</w:t>
      </w:r>
    </w:p>
    <w:p w14:paraId="270B057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20.5.2中标人未能在规定期限内签署合同协议；</w:t>
      </w:r>
    </w:p>
    <w:p w14:paraId="503226E9">
      <w:pPr>
        <w:kinsoku w:val="0"/>
        <w:overflowPunct w:val="0"/>
        <w:adjustRightInd w:val="0"/>
        <w:spacing w:line="42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20.5.3法律法规规定的其他情形。</w:t>
      </w:r>
    </w:p>
    <w:p w14:paraId="108A0A6C">
      <w:pPr>
        <w:kinsoku w:val="0"/>
        <w:overflowPunct w:val="0"/>
        <w:adjustRightInd w:val="0"/>
        <w:spacing w:before="26" w:line="420" w:lineRule="exact"/>
        <w:ind w:left="59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21、供应商的替代方案：</w:t>
      </w:r>
      <w:r>
        <w:rPr>
          <w:rFonts w:hint="eastAsia" w:ascii="宋体" w:hAnsi="宋体" w:eastAsia="宋体" w:cs="宋体"/>
          <w:sz w:val="24"/>
          <w:szCs w:val="24"/>
          <w:highlight w:val="none"/>
          <w:lang w:val="en-US" w:bidi="ar-SA"/>
        </w:rPr>
        <w:t>无。</w:t>
      </w:r>
    </w:p>
    <w:p w14:paraId="027C31E5">
      <w:pPr>
        <w:kinsoku w:val="0"/>
        <w:overflowPunct w:val="0"/>
        <w:adjustRightInd w:val="0"/>
        <w:spacing w:before="57" w:line="42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22、响应文件的份数和签署</w:t>
      </w:r>
    </w:p>
    <w:p w14:paraId="4695976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22.1  响应文件应按本采购文件第七章有关要求编制，上传的电子磋商响应文件的签署可采用CA锁电子签章进行，如办理了法人电子锁，法人签字也可以进行电子签章。</w:t>
      </w:r>
    </w:p>
    <w:p w14:paraId="097351AE">
      <w:pPr>
        <w:adjustRightInd w:val="0"/>
        <w:spacing w:line="440" w:lineRule="exact"/>
        <w:ind w:firstLine="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22.2 纸质版响应文件均须在封面上清楚标明“正本”或“副本”字样。“正本”和“副本”之间如有差异，以正本为准。纸质版响应文件正本中，文字材料需打印或用不褪色墨水书写。纸质版响应文件的正本须经法人代表或授权委托人签署和加盖磋商供应商公章，副本可以是正本的复印件。纸质版响应文件如有错误必须修改时，修改处须由法人代表或其授权委托人签字或加盖公章。</w:t>
      </w:r>
    </w:p>
    <w:p w14:paraId="17DD2C17">
      <w:pPr>
        <w:kinsoku w:val="0"/>
        <w:overflowPunct w:val="0"/>
        <w:adjustRightInd w:val="0"/>
        <w:spacing w:before="57" w:line="420" w:lineRule="exact"/>
        <w:ind w:right="110"/>
        <w:outlineLvl w:val="4"/>
        <w:rPr>
          <w:rFonts w:hint="eastAsia" w:ascii="宋体" w:hAnsi="宋体" w:eastAsia="宋体" w:cs="宋体"/>
          <w:b/>
          <w:sz w:val="24"/>
          <w:szCs w:val="24"/>
          <w:highlight w:val="none"/>
          <w:lang w:val="en-US" w:bidi="ar-SA"/>
        </w:rPr>
      </w:pPr>
    </w:p>
    <w:p w14:paraId="719D911E">
      <w:pPr>
        <w:numPr>
          <w:ilvl w:val="0"/>
          <w:numId w:val="4"/>
        </w:numPr>
        <w:kinsoku w:val="0"/>
        <w:overflowPunct w:val="0"/>
        <w:adjustRightInd w:val="0"/>
        <w:spacing w:before="57" w:line="440" w:lineRule="exact"/>
        <w:ind w:left="591" w:right="110"/>
        <w:jc w:val="center"/>
        <w:outlineLvl w:val="4"/>
        <w:rPr>
          <w:rFonts w:hint="eastAsia" w:ascii="宋体" w:hAnsi="宋体" w:eastAsia="宋体" w:cs="宋体"/>
          <w:b/>
          <w:spacing w:val="26"/>
          <w:w w:val="99"/>
          <w:sz w:val="24"/>
          <w:szCs w:val="24"/>
          <w:highlight w:val="none"/>
          <w:lang w:val="en-US" w:bidi="ar-SA"/>
        </w:rPr>
      </w:pPr>
      <w:r>
        <w:rPr>
          <w:rFonts w:hint="eastAsia" w:ascii="宋体" w:hAnsi="宋体" w:eastAsia="宋体" w:cs="宋体"/>
          <w:b/>
          <w:sz w:val="24"/>
          <w:szCs w:val="24"/>
          <w:highlight w:val="none"/>
          <w:lang w:val="en-US" w:bidi="ar-SA"/>
        </w:rPr>
        <w:t>响应文件的提交</w:t>
      </w:r>
    </w:p>
    <w:p w14:paraId="6303C54E">
      <w:pPr>
        <w:adjustRightInd w:val="0"/>
        <w:spacing w:line="440" w:lineRule="exact"/>
        <w:ind w:firstLine="48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23、响应文件的密封与标志</w:t>
      </w:r>
    </w:p>
    <w:p w14:paraId="7F88700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23.1 电子投标响应文件按照本项目磋商文件和政采云平台的要求编制、加密传输。</w:t>
      </w:r>
    </w:p>
    <w:p w14:paraId="7ABA2AC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23.2 纸质版响应文件密封不做要求，文件封面须标记清楚：采购编号及项目名称、供应商的名称、地址、联系人、电话和传真等内容。</w:t>
      </w:r>
    </w:p>
    <w:p w14:paraId="745A679E">
      <w:pPr>
        <w:adjustRightInd w:val="0"/>
        <w:spacing w:line="440" w:lineRule="exact"/>
        <w:ind w:firstLine="44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highlight w:val="none"/>
          <w:lang w:val="ru-RU" w:bidi="ar-SA"/>
        </w:rPr>
        <w:t>24、</w:t>
      </w:r>
      <w:r>
        <w:rPr>
          <w:rFonts w:hint="eastAsia" w:ascii="宋体" w:hAnsi="宋体" w:eastAsia="宋体" w:cs="宋体"/>
          <w:b/>
          <w:color w:val="000000"/>
          <w:sz w:val="24"/>
          <w:szCs w:val="24"/>
          <w:highlight w:val="none"/>
          <w:lang w:val="en-US" w:bidi="ar-SA"/>
        </w:rPr>
        <w:t>提交响应文件截止时间</w:t>
      </w:r>
    </w:p>
    <w:p w14:paraId="695B525D">
      <w:pPr>
        <w:kinsoku w:val="0"/>
        <w:overflowPunct w:val="0"/>
        <w:adjustRightInd w:val="0"/>
        <w:spacing w:before="57" w:line="440" w:lineRule="exact"/>
        <w:ind w:left="111" w:right="232" w:firstLine="480"/>
        <w:jc w:val="both"/>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4"/>
          <w:highlight w:val="none"/>
          <w:lang w:val="en-US" w:bidi="ar-SA"/>
        </w:rPr>
        <w:t>24.1供应商应在采购文件第一章“竞争性磋商须知前附表”规定的提交响应文件截止时间前，</w:t>
      </w:r>
      <w:r>
        <w:rPr>
          <w:rFonts w:hint="eastAsia" w:ascii="宋体" w:hAnsi="宋体" w:eastAsia="宋体" w:cs="宋体"/>
          <w:color w:val="000000"/>
          <w:sz w:val="24"/>
          <w:szCs w:val="21"/>
          <w:highlight w:val="none"/>
          <w:lang w:val="en-US" w:bidi="ar-SA"/>
        </w:rPr>
        <w:t>通过“政采云”平台（https://www.zcygov.cn）上传加密的电子响应文件。</w:t>
      </w:r>
    </w:p>
    <w:p w14:paraId="33617DB7">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24.2 采购人可按本须知第 13 条规定以修改补充通知的方式，酌情延长提交响应文件的截止时间。在此情况下，供应商的所有权利和义务以及供应商受制约的截止时间，均以延长后新的磋商截止时间为准。</w:t>
      </w:r>
    </w:p>
    <w:p w14:paraId="29308217">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26、迟交的响应文件</w:t>
      </w:r>
    </w:p>
    <w:p w14:paraId="1B726671">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26.1 在提交首次响应文件截止时间后递交的响应文件，采购人将拒绝接受。</w:t>
      </w:r>
      <w:bookmarkStart w:id="74" w:name="_Toc301187687"/>
    </w:p>
    <w:p w14:paraId="300CF0DE">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26.2 不予接收的磋商响应文件情形：</w:t>
      </w:r>
    </w:p>
    <w:p w14:paraId="18B89C1C">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1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⑴</w:t>
      </w:r>
      <w:r>
        <w:rPr>
          <w:rFonts w:hint="eastAsia" w:ascii="宋体" w:hAnsi="宋体" w:eastAsia="宋体" w:cs="宋体"/>
          <w:b/>
          <w:bCs/>
          <w:color w:val="000000"/>
          <w:sz w:val="24"/>
          <w:szCs w:val="24"/>
          <w:highlight w:val="none"/>
          <w:lang w:val="en-US" w:bidi="ar-SA"/>
        </w:rPr>
        <w:fldChar w:fldCharType="end"/>
      </w:r>
      <w:bookmarkEnd w:id="74"/>
      <w:r>
        <w:rPr>
          <w:rFonts w:hint="eastAsia" w:ascii="宋体" w:hAnsi="宋体" w:eastAsia="宋体" w:cs="宋体"/>
          <w:b/>
          <w:bCs/>
          <w:color w:val="000000"/>
          <w:sz w:val="24"/>
          <w:szCs w:val="24"/>
          <w:highlight w:val="none"/>
          <w:lang w:val="en-US" w:bidi="ar-SA"/>
        </w:rPr>
        <w:t>投标截止时间前未完成传输的电子磋商响应文件；</w:t>
      </w:r>
    </w:p>
    <w:p w14:paraId="6E6AFB1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2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⑵</w:t>
      </w:r>
      <w:r>
        <w:rPr>
          <w:rFonts w:hint="eastAsia" w:ascii="宋体" w:hAnsi="宋体" w:eastAsia="宋体" w:cs="宋体"/>
          <w:b/>
          <w:bCs/>
          <w:color w:val="000000"/>
          <w:sz w:val="24"/>
          <w:szCs w:val="24"/>
          <w:highlight w:val="none"/>
          <w:lang w:val="en-US" w:bidi="ar-SA"/>
        </w:rPr>
        <w:fldChar w:fldCharType="end"/>
      </w:r>
      <w:r>
        <w:rPr>
          <w:rFonts w:hint="eastAsia" w:ascii="宋体" w:hAnsi="宋体" w:eastAsia="宋体" w:cs="宋体"/>
          <w:b/>
          <w:bCs/>
          <w:color w:val="000000"/>
          <w:sz w:val="24"/>
          <w:szCs w:val="24"/>
          <w:highlight w:val="none"/>
          <w:lang w:val="en-US" w:bidi="ar-SA"/>
        </w:rPr>
        <w:t>未生成加密的电子磋商响应文件；</w:t>
      </w:r>
    </w:p>
    <w:p w14:paraId="6E0BBF9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⑶在规定时间内未解密的电子磋商响应文件，或者解密不成功又未提供备份磋商响应文件的。</w:t>
      </w:r>
    </w:p>
    <w:p w14:paraId="643D0769">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27、响应文件的补充、修改和撤回</w:t>
      </w:r>
    </w:p>
    <w:p w14:paraId="6829E12D">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27.1 在投标截止时间前，磋商供应商可对已提交的电子磋商响应文件进行补充、修改或撤回。补充、修改电子磋商响应文件的，应当先行撤回原文件，补充、修改后重新生成加密的电子磋商响应文件并重新传输递交；</w:t>
      </w:r>
    </w:p>
    <w:p w14:paraId="7E014F11">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27.2 补充、修改后重新提交的电子磋商响应文件应按磋商文件的规定编制、导入、加密和提交；</w:t>
      </w:r>
    </w:p>
    <w:p w14:paraId="4843A16F">
      <w:pPr>
        <w:kinsoku w:val="0"/>
        <w:overflowPunct w:val="0"/>
        <w:adjustRightInd w:val="0"/>
        <w:spacing w:line="440" w:lineRule="exact"/>
        <w:ind w:left="111" w:right="232" w:firstLine="480"/>
        <w:jc w:val="both"/>
        <w:rPr>
          <w:rFonts w:hint="eastAsia" w:ascii="宋体" w:hAnsi="宋体" w:eastAsia="宋体" w:cs="宋体"/>
          <w:color w:val="000000"/>
          <w:sz w:val="20"/>
          <w:szCs w:val="24"/>
          <w:highlight w:val="none"/>
          <w:lang w:val="en-US" w:bidi="ar-SA"/>
        </w:rPr>
      </w:pPr>
      <w:r>
        <w:rPr>
          <w:rFonts w:hint="eastAsia" w:ascii="宋体" w:hAnsi="宋体" w:eastAsia="宋体" w:cs="宋体"/>
          <w:color w:val="000000"/>
          <w:sz w:val="24"/>
          <w:szCs w:val="24"/>
          <w:highlight w:val="none"/>
          <w:lang w:val="en-US" w:bidi="ar-SA"/>
        </w:rPr>
        <w:t>27.3 在投标截止时间后，磋商供应商不得修改、撤回已提交的电子磋商响应文件。</w:t>
      </w:r>
    </w:p>
    <w:p w14:paraId="036839C4">
      <w:pPr>
        <w:kinsoku w:val="0"/>
        <w:overflowPunct w:val="0"/>
        <w:adjustRightInd w:val="0"/>
        <w:ind w:left="458" w:right="577"/>
        <w:jc w:val="center"/>
        <w:rPr>
          <w:rFonts w:hint="eastAsia" w:ascii="宋体" w:hAnsi="宋体" w:eastAsia="宋体" w:cs="宋体"/>
          <w:b/>
          <w:color w:val="000000"/>
          <w:sz w:val="24"/>
          <w:szCs w:val="24"/>
          <w:highlight w:val="none"/>
          <w:lang w:val="en-US" w:bidi="ar-SA"/>
        </w:rPr>
      </w:pPr>
    </w:p>
    <w:p w14:paraId="5042FC57">
      <w:pPr>
        <w:kinsoku w:val="0"/>
        <w:overflowPunct w:val="0"/>
        <w:adjustRightInd w:val="0"/>
        <w:ind w:left="458" w:right="577"/>
        <w:jc w:val="center"/>
        <w:rPr>
          <w:rFonts w:hint="eastAsia" w:ascii="宋体" w:hAnsi="宋体" w:eastAsia="宋体" w:cs="宋体"/>
          <w:b/>
          <w:color w:val="000000"/>
          <w:sz w:val="18"/>
          <w:szCs w:val="24"/>
          <w:highlight w:val="none"/>
          <w:lang w:val="en-US" w:bidi="ar-SA"/>
        </w:rPr>
      </w:pPr>
      <w:r>
        <w:rPr>
          <w:rFonts w:hint="eastAsia" w:ascii="宋体" w:hAnsi="宋体" w:eastAsia="宋体" w:cs="宋体"/>
          <w:b/>
          <w:color w:val="000000"/>
          <w:sz w:val="24"/>
          <w:szCs w:val="24"/>
          <w:highlight w:val="none"/>
          <w:lang w:val="en-US" w:bidi="ar-SA"/>
        </w:rPr>
        <w:t>（五）磋商</w:t>
      </w:r>
    </w:p>
    <w:p w14:paraId="5FEBDE78">
      <w:pPr>
        <w:kinsoku w:val="0"/>
        <w:overflowPunct w:val="0"/>
        <w:adjustRightInd w:val="0"/>
        <w:spacing w:line="440" w:lineRule="exact"/>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28、磋商</w:t>
      </w:r>
    </w:p>
    <w:p w14:paraId="653D50A8">
      <w:pPr>
        <w:adjustRightInd w:val="0"/>
        <w:spacing w:line="440" w:lineRule="exact"/>
        <w:ind w:firstLine="480" w:firstLineChars="200"/>
        <w:rPr>
          <w:rFonts w:hint="eastAsia" w:ascii="宋体" w:hAnsi="宋体" w:eastAsia="宋体" w:cs="宋体"/>
          <w:sz w:val="24"/>
          <w:szCs w:val="24"/>
          <w:highlight w:val="none"/>
          <w:lang w:val="en-US" w:bidi="ar-SA"/>
        </w:rPr>
      </w:pPr>
      <w:bookmarkStart w:id="75" w:name="_Toc520356165"/>
      <w:r>
        <w:rPr>
          <w:rFonts w:hint="eastAsia" w:ascii="宋体" w:hAnsi="宋体" w:eastAsia="宋体" w:cs="宋体"/>
          <w:sz w:val="24"/>
          <w:szCs w:val="24"/>
          <w:highlight w:val="none"/>
          <w:lang w:val="en-US" w:bidi="ar-SA"/>
        </w:rPr>
        <w:t>28.1 开标</w:t>
      </w:r>
    </w:p>
    <w:p w14:paraId="6983E1AB">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28.1.1 本项目采用全流程不见面电子开评标，采购人和采购代理机构将按规定的磋商时间和地点组织开评标，监督部门将视情况派代表到现场进行监督。投标供应商不足3家的，不得开标。</w:t>
      </w:r>
    </w:p>
    <w:p w14:paraId="282F045A">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28.1.2 供应商无需到开标现场参加开标会议。供应商在开标前自备可联网电脑及CA锁，电脑须提前配置好浏览器（建议使用360浏览器或谷歌浏览器），以便开标时解锁，提前登录政采云平台做好准备，并保证设备正常，在线准时参加开标活动并进行文件解密、磋商谈判、答疑澄清。</w:t>
      </w:r>
    </w:p>
    <w:p w14:paraId="5633449F">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28.1.3 开标时，采购代理机构主持介绍项目基本情况并宣布有关纪律和磋商程序，并检查所有电子响应文件的加密上传情况，在确认无误后，供应商使用CA锁各自登录政采云平台，用“项目采购-开标评标”功能对电子磋商响应文件进行在线解密。在线解密电子磋商响应文件时间为发出解密指令后30分钟内。若供应商在规定时间内未按时解密的，或解密失败又未提供备份响应文件的视为响应文件撤回。</w:t>
      </w:r>
    </w:p>
    <w:p w14:paraId="27EE40E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28.1.4 为了体现供应商的合法权益，和确保评标工作的公平、公正，投标供应商如果认为参加评标的磋商小组成员及其他与会人员与其他投标供应商有利害关系的，有权在开标现场向采购人申请其回避。如现场不提请采购人申请其回避的，则视同无利害关系。</w:t>
      </w:r>
    </w:p>
    <w:p w14:paraId="595F4E8A">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 投标供应商资格资质审查</w:t>
      </w:r>
    </w:p>
    <w:p w14:paraId="3B1295A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28.2.1 投标供应商必须提交能够证明其具有履行本招标项目合同能力的资质证明文件，作为响应文件的一部分。</w:t>
      </w:r>
    </w:p>
    <w:p w14:paraId="6DAFB3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28.2.2 采购人代表及采购代理机构依据法律法规和磋商文件中规定的内容，对投标供应商的资格进行审查。未通过资格审查的投标供应商不进入磋商；进入磋商的投标供应商不足3家的，不得磋商。资格审查如下：</w:t>
      </w:r>
    </w:p>
    <w:p w14:paraId="3EE543E2">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a、合格有效的法人或非法人组织营业执照；</w:t>
      </w:r>
    </w:p>
    <w:p w14:paraId="0121E8B4">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b、法定代表人资格证明或法定代表人授权委托书及身份证；</w:t>
      </w:r>
    </w:p>
    <w:p w14:paraId="09EDC19F">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c、</w:t>
      </w:r>
      <w:r>
        <w:rPr>
          <w:rFonts w:hint="eastAsia" w:cs="宋体"/>
          <w:b/>
          <w:color w:val="000000" w:themeColor="text1"/>
          <w:sz w:val="24"/>
          <w:szCs w:val="24"/>
          <w:highlight w:val="none"/>
          <w:lang w:val="en-US" w:eastAsia="zh-CN" w:bidi="ar-SA"/>
          <w14:textFill>
            <w14:solidFill>
              <w14:schemeClr w14:val="tx1"/>
            </w14:solidFill>
          </w14:textFill>
        </w:rPr>
        <w:t>近六个月内任意一个月完税证明及近六个月内任意一个月本单位社保缴纳证明</w:t>
      </w:r>
      <w:r>
        <w:rPr>
          <w:rFonts w:hint="eastAsia" w:ascii="宋体" w:hAnsi="宋体" w:eastAsia="宋体" w:cs="宋体"/>
          <w:b/>
          <w:color w:val="000000" w:themeColor="text1"/>
          <w:sz w:val="24"/>
          <w:szCs w:val="24"/>
          <w:highlight w:val="none"/>
          <w:lang w:val="en-US" w:bidi="ar-SA"/>
          <w14:textFill>
            <w14:solidFill>
              <w14:schemeClr w14:val="tx1"/>
            </w14:solidFill>
          </w14:textFill>
        </w:rPr>
        <w:t>（及授权委托人个人明细）、</w:t>
      </w:r>
      <w:r>
        <w:rPr>
          <w:rFonts w:hint="eastAsia" w:cs="宋体"/>
          <w:b/>
          <w:color w:val="000000" w:themeColor="text1"/>
          <w:sz w:val="24"/>
          <w:szCs w:val="24"/>
          <w:highlight w:val="none"/>
          <w:lang w:val="en-US" w:eastAsia="zh-CN" w:bidi="ar-SA"/>
          <w14:textFill>
            <w14:solidFill>
              <w14:schemeClr w14:val="tx1"/>
            </w14:solidFill>
          </w14:textFill>
        </w:rPr>
        <w:t>2023年财务审计报告</w:t>
      </w:r>
      <w:r>
        <w:rPr>
          <w:rFonts w:hint="eastAsia" w:ascii="宋体" w:hAnsi="宋体" w:eastAsia="宋体" w:cs="宋体"/>
          <w:b/>
          <w:color w:val="000000" w:themeColor="text1"/>
          <w:sz w:val="24"/>
          <w:szCs w:val="24"/>
          <w:highlight w:val="none"/>
          <w:lang w:val="en-US" w:bidi="ar-SA"/>
          <w14:textFill>
            <w14:solidFill>
              <w14:schemeClr w14:val="tx1"/>
            </w14:solidFill>
          </w14:textFill>
        </w:rPr>
        <w:t>（成立不满一年的提供开标前一个月内有效银行资信证明）；；</w:t>
      </w:r>
    </w:p>
    <w:p w14:paraId="5E151BD8">
      <w:pPr>
        <w:adjustRightInd w:val="0"/>
        <w:spacing w:line="440" w:lineRule="exact"/>
        <w:ind w:firstLine="723" w:firstLineChars="300"/>
        <w:rPr>
          <w:rFonts w:hint="eastAsia" w:ascii="宋体" w:hAnsi="宋体" w:eastAsia="宋体" w:cs="宋体"/>
          <w:highlight w:val="none"/>
          <w:lang w:val="en-US"/>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d、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367AB471">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e、供应商及其法人参加本次采购活动前三年内，在经营活动中没有重大违法记录的声明及反商业受贿承诺；</w:t>
      </w:r>
    </w:p>
    <w:p w14:paraId="227C688C">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f、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3C29DD88">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g、投标保证金缴纳凭证；</w:t>
      </w:r>
    </w:p>
    <w:bookmarkEnd w:id="75"/>
    <w:p w14:paraId="45DE6522">
      <w:pPr>
        <w:kinsoku w:val="0"/>
        <w:overflowPunct w:val="0"/>
        <w:adjustRightInd w:val="0"/>
        <w:spacing w:line="440" w:lineRule="exact"/>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29、竞争性磋商程序</w:t>
      </w:r>
    </w:p>
    <w:p w14:paraId="753172D3">
      <w:pPr>
        <w:adjustRightInd w:val="0"/>
        <w:spacing w:line="440" w:lineRule="exact"/>
        <w:ind w:left="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29.1 根据公开、公平、公正、诚信科学的原则，组织招标采购。</w:t>
      </w:r>
    </w:p>
    <w:p w14:paraId="3DA5973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29.2 具体工作流程：</w:t>
      </w:r>
    </w:p>
    <w:p w14:paraId="14C793BD">
      <w:pPr>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（1）磋商小组审阅竞争性磋商文件和响应文件；</w:t>
      </w:r>
    </w:p>
    <w:p w14:paraId="7F4674E7">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本项目采用全流程不见面电子开评标，响应文件解密、磋商谈判、答疑澄清等，通过系统在线方式完成。投标供应商在项目开、评标期间应保持在线状态，授权委托人应保持电话畅通，随时通过“政采云”平台接受磋商小组发出的询标等信息，并在规定时间内答复。</w:t>
      </w:r>
    </w:p>
    <w:p w14:paraId="72091088">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（3）磋商小组全体成员集中与单一供应商就采购需求、质量和服务等分别进行磋商。逐家磋商一次为一个轮次，磋商轮次由磋商小组视情况决定。</w:t>
      </w:r>
    </w:p>
    <w:p w14:paraId="74A2EB73">
      <w:pPr>
        <w:pStyle w:val="34"/>
        <w:widowControl w:val="0"/>
        <w:autoSpaceDE w:val="0"/>
        <w:autoSpaceDN w:val="0"/>
        <w:spacing w:before="0" w:after="0"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（4）磋商结束后，磋商小组将要求实质性响应磋商文件的供应商在规定时间内在线提交最后报价，磋商小组将现场公开唱价。</w:t>
      </w:r>
    </w:p>
    <w:p w14:paraId="613A6C9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（5）采购人或采购代理机构将对磋商过程进行记录，由监督部门人员、采购方代表全程监督。</w:t>
      </w:r>
    </w:p>
    <w:p w14:paraId="5398C6D3">
      <w:pPr>
        <w:adjustRightInd w:val="0"/>
        <w:spacing w:line="440" w:lineRule="exact"/>
        <w:ind w:firstLine="550" w:firstLineChars="250"/>
        <w:rPr>
          <w:rFonts w:hint="eastAsia" w:ascii="宋体" w:hAnsi="宋体" w:eastAsia="宋体" w:cs="宋体"/>
          <w:color w:val="000000"/>
          <w:highlight w:val="none"/>
          <w:lang w:val="en-US" w:bidi="ar-SA"/>
        </w:rPr>
      </w:pPr>
    </w:p>
    <w:p w14:paraId="7C2109DF">
      <w:pPr>
        <w:kinsoku w:val="0"/>
        <w:overflowPunct w:val="0"/>
        <w:adjustRightInd w:val="0"/>
        <w:spacing w:before="176"/>
        <w:ind w:left="458" w:right="577"/>
        <w:jc w:val="center"/>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（六）评审</w:t>
      </w:r>
    </w:p>
    <w:p w14:paraId="78EE9E41">
      <w:pPr>
        <w:kinsoku w:val="0"/>
        <w:overflowPunct w:val="0"/>
        <w:adjustRightInd w:val="0"/>
        <w:spacing w:before="12"/>
        <w:rPr>
          <w:rFonts w:hint="eastAsia" w:ascii="宋体" w:hAnsi="宋体" w:eastAsia="宋体" w:cs="宋体"/>
          <w:b/>
          <w:sz w:val="18"/>
          <w:szCs w:val="24"/>
          <w:highlight w:val="none"/>
          <w:lang w:val="en-US" w:bidi="ar-SA"/>
        </w:rPr>
      </w:pPr>
    </w:p>
    <w:p w14:paraId="34C24BD2">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30、磋商小组与评审</w:t>
      </w:r>
    </w:p>
    <w:p w14:paraId="0EC0F46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30.1 采购人按照有关规定程序负责组织成立评标委员会，组成竞争性磋商小组, 磋商小组由采购人代表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w:t>
      </w:r>
      <w:r>
        <w:rPr>
          <w:rFonts w:hint="eastAsia" w:cs="宋体"/>
          <w:sz w:val="24"/>
          <w:szCs w:val="24"/>
          <w:highlight w:val="none"/>
          <w:lang w:val="en-US" w:eastAsia="zh-CN" w:bidi="ar-SA"/>
        </w:rPr>
        <w:t>，共5</w:t>
      </w:r>
      <w:r>
        <w:rPr>
          <w:rFonts w:hint="eastAsia" w:ascii="宋体" w:hAnsi="宋体" w:eastAsia="宋体" w:cs="宋体"/>
          <w:sz w:val="24"/>
          <w:szCs w:val="24"/>
          <w:highlight w:val="none"/>
          <w:lang w:val="en-US" w:bidi="ar-SA"/>
        </w:rPr>
        <w:t>人组成。该磋商小组独立工作，负责评审所有响应文件并确定成交候选供应商。</w:t>
      </w:r>
    </w:p>
    <w:p w14:paraId="6A0BF31C">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30.2磋商结束后，开始评审，评审采用保密方式进行。</w:t>
      </w:r>
    </w:p>
    <w:p w14:paraId="678E5452">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31、评审过程的保密</w:t>
      </w:r>
    </w:p>
    <w:p w14:paraId="1850A7CB">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31.1磋商后，直至授予中标人合同为止，凡属于对响应文件的审查、澄清、评价和比较的有关资料以及成交候选人的推荐情况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与评审有关的其他任何情况均严格保密。</w:t>
      </w:r>
    </w:p>
    <w:p w14:paraId="442F2C49">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31.2在响应文件的评审和比较</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成交候选人推荐以及授予合同的过程中</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供应商向采购人和磋商小组施加影响的任何行为，都将会导致其磋商被拒绝。</w:t>
      </w:r>
    </w:p>
    <w:p w14:paraId="1EFBADEB">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31.3中标人确定后</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采购人不对未中标人就评审过程以及未能成交原因作出任何解释</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未中标人不得向磋商小组组成人员或其他有关人员索问评审过程的情况和材料</w:t>
      </w:r>
      <w:r>
        <w:rPr>
          <w:rFonts w:hint="eastAsia" w:cs="宋体"/>
          <w:sz w:val="24"/>
          <w:szCs w:val="24"/>
          <w:highlight w:val="none"/>
          <w:lang w:val="en-US" w:eastAsia="zh-CN" w:bidi="ar-SA"/>
        </w:rPr>
        <w:t>。</w:t>
      </w:r>
    </w:p>
    <w:p w14:paraId="19B8ECF0">
      <w:pPr>
        <w:kinsoku w:val="0"/>
        <w:overflowPunct w:val="0"/>
        <w:adjustRightInd w:val="0"/>
        <w:spacing w:before="60" w:line="440" w:lineRule="exact"/>
        <w:ind w:left="591" w:right="110"/>
        <w:rPr>
          <w:rFonts w:hint="eastAsia" w:ascii="宋体" w:hAnsi="宋体" w:eastAsia="宋体" w:cs="宋体"/>
          <w:b/>
          <w:spacing w:val="25"/>
          <w:w w:val="99"/>
          <w:sz w:val="24"/>
          <w:szCs w:val="24"/>
          <w:highlight w:val="none"/>
          <w:lang w:val="en-US" w:bidi="ar-SA"/>
        </w:rPr>
      </w:pPr>
      <w:r>
        <w:rPr>
          <w:rFonts w:hint="eastAsia" w:ascii="宋体" w:hAnsi="宋体" w:eastAsia="宋体" w:cs="宋体"/>
          <w:b/>
          <w:sz w:val="24"/>
          <w:szCs w:val="24"/>
          <w:highlight w:val="none"/>
          <w:lang w:val="en-US" w:bidi="ar-SA"/>
        </w:rPr>
        <w:t>32、响应文件的澄清</w:t>
      </w:r>
    </w:p>
    <w:p w14:paraId="6732D2D2">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为有助于响应文件的审查、评价和比较，磋商小组可以书面形式要求供应商对响应文件含义不明确的内容作必要的澄清或说明，供应商应采用书面形式进行澄清或补正，但不得超出响应文件的范围或改变响应文件的实质性内容。根据本须知第34条规定，供应商的澄清或补正内容将作为响应文件的组成部分，供应商拒不按照要求对响应文件进行澄清或补正的，采购人将否决其报价，采购人不接受供应商主动提出的澄清。凡属于磋商小组在评审中发现的计算错误进行核实的修改不在此列。</w:t>
      </w:r>
    </w:p>
    <w:p w14:paraId="6C7A3F28">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33、响应文件的符合性审查</w:t>
      </w:r>
    </w:p>
    <w:p w14:paraId="72339D9C">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33.1经采购人审查，通过资格审查的有效响应文件才能提交磋商小组进行评审。</w:t>
      </w:r>
    </w:p>
    <w:p w14:paraId="66AAFA43">
      <w:pPr>
        <w:kinsoku w:val="0"/>
        <w:overflowPunct w:val="0"/>
        <w:adjustRightInd w:val="0"/>
        <w:spacing w:before="56"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33.2评审时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磋商小组将首先评定每份响应文件是否在实质上响应了磋商文件的</w:t>
      </w:r>
      <w:r>
        <w:rPr>
          <w:rFonts w:hint="eastAsia" w:ascii="宋体" w:hAnsi="宋体" w:eastAsia="宋体" w:cs="宋体"/>
          <w:spacing w:val="-2"/>
          <w:sz w:val="24"/>
          <w:szCs w:val="24"/>
          <w:highlight w:val="none"/>
          <w:lang w:val="en-US" w:bidi="ar-SA"/>
        </w:rPr>
        <w:t>要求。所谓实质上响应，是指响应文件应与磋商文件的所有实质性条款、条件和要求相符，无显著差异或保留。所谓显著差异或保留是指对工程的发包范围、质量标准及</w:t>
      </w:r>
      <w:r>
        <w:rPr>
          <w:rFonts w:hint="eastAsia" w:ascii="宋体" w:hAnsi="宋体" w:eastAsia="宋体" w:cs="宋体"/>
          <w:spacing w:val="4"/>
          <w:sz w:val="24"/>
          <w:szCs w:val="24"/>
          <w:highlight w:val="none"/>
          <w:lang w:val="en-US" w:bidi="ar-SA"/>
        </w:rPr>
        <w:t>使用产生实质性影响或者对合同中规定的采购人的权力及供应商的义务造成实质性</w:t>
      </w:r>
      <w:r>
        <w:rPr>
          <w:rFonts w:hint="eastAsia" w:ascii="宋体" w:hAnsi="宋体" w:eastAsia="宋体" w:cs="宋体"/>
          <w:sz w:val="24"/>
          <w:szCs w:val="24"/>
          <w:highlight w:val="none"/>
          <w:lang w:val="en-US" w:bidi="ar-SA"/>
        </w:rPr>
        <w:t>限制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而且纠正这种差异或保留</w:t>
      </w:r>
      <w:r>
        <w:rPr>
          <w:rFonts w:hint="eastAsia" w:ascii="宋体" w:hAnsi="宋体" w:eastAsia="宋体" w:cs="宋体"/>
          <w:spacing w:val="-29"/>
          <w:sz w:val="24"/>
          <w:szCs w:val="24"/>
          <w:highlight w:val="none"/>
          <w:lang w:val="en-US" w:bidi="ar-SA"/>
        </w:rPr>
        <w:t>，</w:t>
      </w:r>
      <w:r>
        <w:rPr>
          <w:rFonts w:hint="eastAsia" w:ascii="宋体" w:hAnsi="宋体" w:eastAsia="宋体" w:cs="宋体"/>
          <w:sz w:val="24"/>
          <w:szCs w:val="24"/>
          <w:highlight w:val="none"/>
          <w:lang w:val="en-US" w:bidi="ar-SA"/>
        </w:rPr>
        <w:t>将会对其他实质上响应要求的供应商的竞争地位产生不公正的影响。</w:t>
      </w:r>
    </w:p>
    <w:p w14:paraId="5E477E18">
      <w:pPr>
        <w:kinsoku w:val="0"/>
        <w:overflowPunct w:val="0"/>
        <w:adjustRightInd w:val="0"/>
        <w:spacing w:before="57"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33.3如果响应文件实质上不响应磋商文件的各项要求</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磋商小组将予以拒绝</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并且不允许供应商通过修改或撤销其不符合要求的差异或保留</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使之成为具有响应性的报价。</w:t>
      </w:r>
    </w:p>
    <w:p w14:paraId="6FF4F522">
      <w:pPr>
        <w:kinsoku w:val="0"/>
        <w:overflowPunct w:val="0"/>
        <w:adjustRightInd w:val="0"/>
        <w:spacing w:line="440" w:lineRule="exact"/>
        <w:ind w:left="111" w:right="232" w:firstLine="480"/>
        <w:jc w:val="both"/>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33.4响应文件有下列情形之一的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视为未能对磋商文件作出实质性响应</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由磋商小组初审后按无效标处理：</w:t>
      </w:r>
    </w:p>
    <w:p w14:paraId="5B1F7D7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43E71F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73C25AA6">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72BEE73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422356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0D0CD8C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2873400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5DC8FFD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3228138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74C14E58">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2A8C04CE">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（11）响应文件不符合磋商文件规定的其他实质性要求的。</w:t>
      </w:r>
    </w:p>
    <w:p w14:paraId="26071ADB">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33.5 所有供应商报价均超出采购预算价的，本项目废标。</w:t>
      </w:r>
    </w:p>
    <w:p w14:paraId="2A9B3AF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33.6 响应文件在实质上响应磋商文件要求</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但在个别地方存在遗漏或者提供了不完整的技术信息和数据的情况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并且补正这些遗漏或不完整不会对其他供应商造成不公平的结果，这种情况不影响响应文件的有效性。</w:t>
      </w:r>
    </w:p>
    <w:p w14:paraId="70EBE4F0">
      <w:pPr>
        <w:kinsoku w:val="0"/>
        <w:overflowPunct w:val="0"/>
        <w:adjustRightInd w:val="0"/>
        <w:spacing w:before="2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33.7 磋商小组对响应文件的判定</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只依据响应文件本身及按磋商文件规定提供的有关原件为准，不依靠其他任何外来证明。</w:t>
      </w:r>
    </w:p>
    <w:p w14:paraId="2B8B50A7">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34、响应文件计算错误的修正</w:t>
      </w:r>
    </w:p>
    <w:p w14:paraId="68A56349">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 磋商小组将对确定为实质上响应磋商文件要求的响应文件进行校核</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看其是否有计算或表达上的错误，修正错误的原则如下：</w:t>
      </w:r>
    </w:p>
    <w:p w14:paraId="4AA02B21">
      <w:pPr>
        <w:kinsoku w:val="0"/>
        <w:overflowPunct w:val="0"/>
        <w:adjustRightInd w:val="0"/>
        <w:spacing w:before="57"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34.1.1如果数字表示的金额和用文字表示的金额不一致时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应以文字表示的金额为准；</w:t>
      </w:r>
    </w:p>
    <w:p w14:paraId="287899C9">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34.1.2大写金额和小写金额不一致的，应以大写金额为准；</w:t>
      </w:r>
    </w:p>
    <w:p w14:paraId="077C91AB">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34.2 按上述修正错误的原则及方法调整或修正响应文件的磋商报价</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供应商同意</w:t>
      </w:r>
      <w:r>
        <w:rPr>
          <w:rFonts w:hint="eastAsia" w:ascii="宋体" w:hAnsi="宋体" w:eastAsia="宋体" w:cs="宋体"/>
          <w:spacing w:val="-2"/>
          <w:sz w:val="24"/>
          <w:szCs w:val="24"/>
          <w:highlight w:val="none"/>
          <w:lang w:val="en-US" w:bidi="ar-SA"/>
        </w:rPr>
        <w:t>后，调整后的磋商报价对供应商起约束作用。如果供应商不接受修正后的报价，则其</w:t>
      </w:r>
      <w:r>
        <w:rPr>
          <w:rFonts w:hint="eastAsia" w:ascii="宋体" w:hAnsi="宋体" w:eastAsia="宋体" w:cs="宋体"/>
          <w:sz w:val="24"/>
          <w:szCs w:val="24"/>
          <w:highlight w:val="none"/>
          <w:lang w:val="en-US" w:bidi="ar-SA"/>
        </w:rPr>
        <w:t>磋商将被拒绝，并不影响评审工作。</w:t>
      </w:r>
    </w:p>
    <w:p w14:paraId="7BB2F86F">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34.3 对多报的清单子项或报价视为不实质响应磋商文件，按无效标处理。</w:t>
      </w:r>
    </w:p>
    <w:p w14:paraId="2123D14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35、响应文件的评审、比较和否决</w:t>
      </w:r>
    </w:p>
    <w:p w14:paraId="26B07823">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35.1磋商小组将按照本须知第33条规定，仅对在实质上响应磋商文件要求的响应文件进行评估和比较。</w:t>
      </w:r>
    </w:p>
    <w:p w14:paraId="6F61B3A8">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35.2在评审过程中</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磋商小组可以书面形式要求供应商就响应文件中含义不明确的内容进行书面说明并提供相关材料。</w:t>
      </w:r>
    </w:p>
    <w:p w14:paraId="49AB8A24">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35.3磋商开始，磋商小组成员与供应商磋商各项内容：</w:t>
      </w:r>
      <w:r>
        <w:rPr>
          <w:rFonts w:hint="eastAsia" w:ascii="宋体" w:hAnsi="宋体" w:eastAsia="宋体" w:cs="宋体"/>
          <w:spacing w:val="4"/>
          <w:sz w:val="24"/>
          <w:szCs w:val="24"/>
          <w:highlight w:val="none"/>
          <w:lang w:val="en-US" w:bidi="ar-SA"/>
        </w:rPr>
        <w:t>磋商小组所有成员集中与</w:t>
      </w:r>
      <w:r>
        <w:rPr>
          <w:rFonts w:hint="eastAsia" w:ascii="宋体" w:hAnsi="宋体" w:eastAsia="宋体" w:cs="宋体"/>
          <w:sz w:val="24"/>
          <w:szCs w:val="24"/>
          <w:highlight w:val="none"/>
          <w:lang w:val="en-US" w:bidi="ar-SA"/>
        </w:rPr>
        <w:t>单一供应商分别进行磋商。磋商小组根据供应商的报价、响应内容及磋商的情况，给予每个正在参加磋商的供应商相同的机会。</w:t>
      </w:r>
    </w:p>
    <w:p w14:paraId="7F22DB6E">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35.3.1 </w:t>
      </w:r>
      <w:r>
        <w:rPr>
          <w:rFonts w:hint="eastAsia" w:ascii="宋体" w:hAnsi="宋体" w:eastAsia="宋体" w:cs="宋体"/>
          <w:spacing w:val="1"/>
          <w:sz w:val="24"/>
          <w:szCs w:val="24"/>
          <w:highlight w:val="none"/>
          <w:lang w:val="en-US" w:bidi="ar-SA"/>
        </w:rPr>
        <w:t>在磋商过程中，磋商小组可以根据磋商文件和磋商情况变动采购需求中</w:t>
      </w:r>
      <w:r>
        <w:rPr>
          <w:rFonts w:hint="eastAsia" w:ascii="宋体" w:hAnsi="宋体" w:eastAsia="宋体" w:cs="宋体"/>
          <w:sz w:val="24"/>
          <w:szCs w:val="24"/>
          <w:highlight w:val="none"/>
          <w:lang w:val="en-US" w:bidi="ar-SA"/>
        </w:rPr>
        <w:t>的技术、商务要求以及合同草案条款，实质性变动的内容，须经采购人代表确认。</w:t>
      </w:r>
    </w:p>
    <w:p w14:paraId="08661AA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35.3.2 </w:t>
      </w:r>
      <w:r>
        <w:rPr>
          <w:rFonts w:hint="eastAsia" w:ascii="宋体" w:hAnsi="宋体" w:eastAsia="宋体" w:cs="宋体"/>
          <w:spacing w:val="1"/>
          <w:sz w:val="24"/>
          <w:szCs w:val="24"/>
          <w:highlight w:val="none"/>
          <w:lang w:val="en-US" w:bidi="ar-SA"/>
        </w:rPr>
        <w:t>对磋商文件作出的实质性变动是磋商文件的有效组成部分，磋商小组应</w:t>
      </w:r>
      <w:r>
        <w:rPr>
          <w:rFonts w:hint="eastAsia" w:ascii="宋体" w:hAnsi="宋体" w:eastAsia="宋体" w:cs="宋体"/>
          <w:sz w:val="24"/>
          <w:szCs w:val="24"/>
          <w:highlight w:val="none"/>
          <w:lang w:val="en-US" w:bidi="ar-SA"/>
        </w:rPr>
        <w:t>当及时以书面形式同时通知所有参加磋商的供应商。</w:t>
      </w:r>
    </w:p>
    <w:p w14:paraId="3E66462B">
      <w:pPr>
        <w:pStyle w:val="10"/>
        <w:kinsoku w:val="0"/>
        <w:overflowPunct w:val="0"/>
        <w:spacing w:line="440" w:lineRule="exact"/>
        <w:ind w:left="111" w:right="110" w:firstLine="480"/>
        <w:rPr>
          <w:rFonts w:hint="eastAsia" w:ascii="宋体" w:hAnsi="宋体" w:eastAsia="宋体" w:cs="宋体"/>
          <w:color w:val="FF0000"/>
          <w:highlight w:val="none"/>
          <w:lang w:val="en-US" w:bidi="ar-SA"/>
        </w:rPr>
      </w:pPr>
      <w:r>
        <w:rPr>
          <w:rFonts w:hint="eastAsia" w:ascii="宋体" w:hAnsi="宋体" w:eastAsia="宋体" w:cs="宋体"/>
          <w:highlight w:val="none"/>
          <w:lang w:val="en-US" w:bidi="ar-SA"/>
        </w:rPr>
        <w:t>35.3.3</w:t>
      </w:r>
      <w:r>
        <w:rPr>
          <w:rFonts w:hint="eastAsia" w:ascii="宋体" w:hAnsi="宋体" w:eastAsia="宋体" w:cs="宋体"/>
          <w:color w:val="FF0000"/>
          <w:highlight w:val="none"/>
          <w:lang w:val="en-US" w:bidi="ar-SA"/>
        </w:rPr>
        <w:t xml:space="preserve"> </w:t>
      </w:r>
      <w:r>
        <w:rPr>
          <w:rFonts w:hint="eastAsia" w:ascii="宋体" w:hAnsi="宋体" w:eastAsia="宋体" w:cs="宋体"/>
          <w:highlight w:val="none"/>
        </w:rPr>
        <w:t>供应商按照磋商文件实质性变动情况和磋商小组的要求重新提交响应文件，并由其全权代表签章。</w:t>
      </w:r>
    </w:p>
    <w:p w14:paraId="20A79A17">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35.3.4 磋商结束后，参加磋商的供应商应当对磋商达成的意向，以书面形式由全权代表签字确认后提交。</w:t>
      </w:r>
    </w:p>
    <w:p w14:paraId="5E3D111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35.4 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C176F40">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35.5 评审方法及标准</w:t>
      </w:r>
    </w:p>
    <w:p w14:paraId="56D8233D">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35.5.1本次评审采用综合评估法：具体详见“第八章评标方法及标准”。</w:t>
      </w:r>
    </w:p>
    <w:p w14:paraId="13E07C88">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35.6 磋商小组经评审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认为所有磋商都不符合磋商文件要求的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可以否决所有报价。所有报价被否决后，采购人应当依法重新磋商。</w:t>
      </w:r>
    </w:p>
    <w:p w14:paraId="4FF9D9D4">
      <w:pPr>
        <w:kinsoku w:val="0"/>
        <w:overflowPunct w:val="0"/>
        <w:adjustRightInd w:val="0"/>
        <w:ind w:right="56"/>
        <w:jc w:val="center"/>
        <w:outlineLvl w:val="4"/>
        <w:rPr>
          <w:rFonts w:hint="eastAsia" w:ascii="宋体" w:hAnsi="宋体" w:eastAsia="宋体" w:cs="宋体"/>
          <w:b/>
          <w:sz w:val="24"/>
          <w:szCs w:val="24"/>
          <w:highlight w:val="none"/>
          <w:lang w:val="en-US" w:bidi="ar-SA"/>
        </w:rPr>
      </w:pPr>
    </w:p>
    <w:p w14:paraId="30644BB8">
      <w:pPr>
        <w:kinsoku w:val="0"/>
        <w:overflowPunct w:val="0"/>
        <w:adjustRightInd w:val="0"/>
        <w:ind w:right="56"/>
        <w:outlineLvl w:val="4"/>
        <w:rPr>
          <w:rFonts w:hint="eastAsia" w:ascii="宋体" w:hAnsi="宋体" w:eastAsia="宋体" w:cs="宋体"/>
          <w:b/>
          <w:sz w:val="24"/>
          <w:szCs w:val="24"/>
          <w:highlight w:val="none"/>
          <w:lang w:val="en-US" w:bidi="ar-SA"/>
        </w:rPr>
      </w:pPr>
    </w:p>
    <w:p w14:paraId="35DB5176">
      <w:pPr>
        <w:kinsoku w:val="0"/>
        <w:overflowPunct w:val="0"/>
        <w:adjustRightInd w:val="0"/>
        <w:ind w:right="56"/>
        <w:jc w:val="center"/>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（七）合同的授予</w:t>
      </w:r>
    </w:p>
    <w:p w14:paraId="1BA20A4A">
      <w:pPr>
        <w:kinsoku w:val="0"/>
        <w:overflowPunct w:val="0"/>
        <w:adjustRightInd w:val="0"/>
        <w:spacing w:before="10"/>
        <w:rPr>
          <w:rFonts w:hint="eastAsia" w:ascii="宋体" w:hAnsi="宋体" w:eastAsia="宋体" w:cs="宋体"/>
          <w:b/>
          <w:sz w:val="18"/>
          <w:szCs w:val="24"/>
          <w:highlight w:val="none"/>
          <w:lang w:val="en-US" w:bidi="ar-SA"/>
        </w:rPr>
      </w:pPr>
    </w:p>
    <w:p w14:paraId="4159CCA8">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36、合同授予标准</w:t>
      </w:r>
    </w:p>
    <w:p w14:paraId="64732AE6">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36.1本磋商工程的施工合同将授予按本须知第35.5.1款所确定的中标人。</w:t>
      </w:r>
    </w:p>
    <w:p w14:paraId="7382893C">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37、采购人拒绝磋商的权力</w:t>
      </w:r>
    </w:p>
    <w:p w14:paraId="3F775421">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37.1采购人在发出成交通知书前</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有权依据磋商小组的评审报告拒绝不合格的报价。</w:t>
      </w:r>
    </w:p>
    <w:p w14:paraId="2D98D247">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38、成交信息的公布</w:t>
      </w:r>
    </w:p>
    <w:p w14:paraId="2DAEC22E">
      <w:pPr>
        <w:adjustRightInd w:val="0"/>
        <w:spacing w:line="440" w:lineRule="exact"/>
        <w:ind w:firstLine="480" w:firstLineChars="200"/>
        <w:outlineLvl w:val="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38.1 确定成交供应商后，由采购代理机构将中标结果在省级以上财政部门指定的信息发布媒体上公告1个工作日，在公告中标结果的同时，采购代理机构向中标供应商发出《成交通知书》。成交通知书对采购人和成交供应商具有同等法律效力。</w:t>
      </w:r>
    </w:p>
    <w:p w14:paraId="13493EAA">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38.2 供应商对中标公告有异议的，应当在中标公告发布之日起7个工作日内，以书面形式向采购人和采购代理机构提出质疑。质疑供应商对答复不满意或者采购人未在规定时间内答复的，可以在答复期满后十五个工作日内向同级政府采购监督管理部门投诉。</w:t>
      </w:r>
    </w:p>
    <w:p w14:paraId="0B1C2D44">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bidi="ar-SA"/>
        </w:rPr>
        <w:t>3</w:t>
      </w:r>
      <w:r>
        <w:rPr>
          <w:rFonts w:hint="eastAsia" w:ascii="宋体" w:hAnsi="宋体" w:eastAsia="宋体" w:cs="宋体"/>
          <w:sz w:val="24"/>
          <w:szCs w:val="24"/>
          <w:highlight w:val="none"/>
          <w:lang w:bidi="ar-SA"/>
        </w:rPr>
        <w:t>《中标通知书》要作为</w:t>
      </w:r>
      <w:r>
        <w:rPr>
          <w:rFonts w:hint="eastAsia" w:ascii="宋体" w:hAnsi="宋体" w:eastAsia="宋体" w:cs="宋体"/>
          <w:sz w:val="24"/>
          <w:szCs w:val="24"/>
          <w:highlight w:val="none"/>
          <w:lang w:val="en-US" w:bidi="ar-SA"/>
        </w:rPr>
        <w:t>采购人、中标人</w:t>
      </w:r>
      <w:r>
        <w:rPr>
          <w:rFonts w:hint="eastAsia" w:ascii="宋体" w:hAnsi="宋体" w:eastAsia="宋体" w:cs="宋体"/>
          <w:sz w:val="24"/>
          <w:szCs w:val="24"/>
          <w:highlight w:val="none"/>
          <w:lang w:bidi="ar-SA"/>
        </w:rPr>
        <w:t>签订政府采购合同的依据。</w:t>
      </w:r>
    </w:p>
    <w:p w14:paraId="26AE692F">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39、合同协议书的签订</w:t>
      </w:r>
    </w:p>
    <w:p w14:paraId="7192A59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39.1 采购人与中标人将于成交通知书发出之日起30日内，按照磋商文件和中标人的响应文件订立书面工程施工合同</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采购人和中标人不得再行订立背离合同实质性内容的其他协议。</w:t>
      </w:r>
    </w:p>
    <w:p w14:paraId="446E067B">
      <w:pPr>
        <w:kinsoku w:val="0"/>
        <w:overflowPunct w:val="0"/>
        <w:adjustRightInd w:val="0"/>
        <w:spacing w:before="60"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39.2 中标人如不按本磋商须知第39.1款的规定与采购人订立合同，则采购人将废除授标，磋商保证金不予退还，给采购人造成的损失超过磋商保证金数额的，还应当对超过部分予以赔偿，同时依法承担相应法律责任。</w:t>
      </w:r>
    </w:p>
    <w:p w14:paraId="7F50AF7B">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39.3 中标人应当按照合同约定履行义务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完成成交项目施工</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不得将成交项目转让（转包）给他人。</w:t>
      </w:r>
    </w:p>
    <w:p w14:paraId="585EABF7">
      <w:pPr>
        <w:kinsoku w:val="0"/>
        <w:overflowPunct w:val="0"/>
        <w:adjustRightInd w:val="0"/>
        <w:spacing w:line="440" w:lineRule="exact"/>
        <w:ind w:left="591" w:right="50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40、质疑与投诉</w:t>
      </w:r>
    </w:p>
    <w:p w14:paraId="7B870493">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40.1 质疑供应商是指直接参加本项目采购活动的供应商，未参加政府采购活动的供应商或在采购活动中自身权益未受到损害的供应商所提出的质疑不予受理。</w:t>
      </w:r>
    </w:p>
    <w:p w14:paraId="2F5CB889">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40.2 投标供应商认为磋商文件、采购过程、中标和成交结果使自己的合法权益受到损害的，可以在知道或应知道其权益受到损害之日起七个工作日内以书面形式向招采购人或采购代理机构提出质疑。</w:t>
      </w:r>
    </w:p>
    <w:p w14:paraId="408DA95A">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40.3 采购人或采购代理机构在收到投标供应商的书面质疑后七个工作日内作出答复，但答复的内容不得涉及商业秘密。质疑投标供应商对采购人或采购代理机构的答复不满意，可以在答复期满后十五个工作日内向采购监督管理部门投诉。</w:t>
      </w:r>
    </w:p>
    <w:p w14:paraId="77E2CDF1">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40.4 投诉人投诉时，应提交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1D947C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（1）供应商的姓名或者名称、地址、邮编、联系人及联系电话（包括座机、手机、传真号码等）； </w:t>
      </w:r>
    </w:p>
    <w:p w14:paraId="5A6CA280">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（2）质疑项目的名称、项目编号、包号、采购公告发布时间、递交投标文件或响应文件截止时间； </w:t>
      </w:r>
    </w:p>
    <w:p w14:paraId="7BE4F3B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（3）具体、明确的质疑事项和与质疑事项相关的请求； </w:t>
      </w:r>
    </w:p>
    <w:p w14:paraId="1727CA1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（4）事实依据（具体条款，认为自己合法权益受到损害或可能受到损害的相关证据材料。如涉及到产品功能或技术指标的，应出具相关制造商的证明文件）； </w:t>
      </w:r>
    </w:p>
    <w:p w14:paraId="5673980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（5）必要的法律依据； </w:t>
      </w:r>
    </w:p>
    <w:p w14:paraId="4F175126">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（6）提起质疑的日期；</w:t>
      </w:r>
    </w:p>
    <w:p w14:paraId="38C4931D">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（7）质疑文件应当署名，质疑人为自然人的，应当由本人签字并附有效身份证明；质疑人为法人或其他组织的，应当由法定代表人签字并加盖单位公章；</w:t>
      </w:r>
    </w:p>
    <w:p w14:paraId="4598A83E">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（8）供应商委托代理质疑的，应当提交授权委托书，并载明代理人的姓名或者名称、代理事项、 具体权限、期限和相关事项。</w:t>
      </w:r>
    </w:p>
    <w:p w14:paraId="391810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40.5投诉人对质疑/投诉书的真实性负责，恶意投诉将承当相应的法律和民事责任。</w:t>
      </w:r>
    </w:p>
    <w:p w14:paraId="69E24864">
      <w:pPr>
        <w:pStyle w:val="22"/>
        <w:rPr>
          <w:rFonts w:hint="eastAsia"/>
        </w:rPr>
      </w:pPr>
    </w:p>
    <w:p w14:paraId="5A25B800">
      <w:pPr>
        <w:pStyle w:val="3"/>
        <w:tabs>
          <w:tab w:val="left" w:pos="2047"/>
        </w:tabs>
        <w:ind w:left="0" w:leftChars="0" w:firstLine="0" w:firstLine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第二章</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合同条款及格式</w:t>
      </w:r>
    </w:p>
    <w:p w14:paraId="32614334">
      <w:pPr>
        <w:pStyle w:val="6"/>
        <w:tabs>
          <w:tab w:val="left" w:pos="1952"/>
        </w:tabs>
        <w:ind w:left="0" w:leftChars="0" w:firstLine="0" w:firstLineChars="0"/>
        <w:jc w:val="both"/>
        <w:rPr>
          <w:rFonts w:hint="eastAsia" w:ascii="宋体" w:hAnsi="宋体" w:eastAsia="宋体" w:cs="宋体"/>
          <w:sz w:val="28"/>
          <w:szCs w:val="28"/>
          <w:highlight w:val="none"/>
        </w:rPr>
      </w:pPr>
      <w:bookmarkStart w:id="76" w:name="_TOC_250027"/>
      <w:bookmarkEnd w:id="76"/>
      <w:r>
        <w:rPr>
          <w:rFonts w:hint="eastAsia" w:ascii="宋体" w:hAnsi="宋体" w:eastAsia="宋体" w:cs="宋体"/>
          <w:sz w:val="28"/>
          <w:szCs w:val="28"/>
          <w:highlight w:val="none"/>
        </w:rPr>
        <w:t>第一节</w:t>
      </w:r>
      <w:r>
        <w:rPr>
          <w:rFonts w:hint="eastAsia" w:ascii="宋体" w:hAnsi="宋体" w:eastAsia="宋体" w:cs="宋体"/>
          <w:sz w:val="28"/>
          <w:szCs w:val="28"/>
          <w:highlight w:val="none"/>
          <w:lang w:val="en-US"/>
        </w:rPr>
        <w:t xml:space="preserve">  </w:t>
      </w:r>
      <w:r>
        <w:rPr>
          <w:rFonts w:hint="eastAsia" w:ascii="宋体" w:hAnsi="宋体" w:eastAsia="宋体" w:cs="宋体"/>
          <w:sz w:val="28"/>
          <w:szCs w:val="28"/>
          <w:highlight w:val="none"/>
        </w:rPr>
        <w:t>通用合同条款</w:t>
      </w:r>
    </w:p>
    <w:p w14:paraId="5B1F0F0D">
      <w:pPr>
        <w:pStyle w:val="6"/>
        <w:tabs>
          <w:tab w:val="left" w:pos="1952"/>
        </w:tabs>
        <w:ind w:left="0" w:leftChars="0" w:firstLine="0" w:firstLineChars="0"/>
        <w:jc w:val="both"/>
        <w:rPr>
          <w:rFonts w:hint="eastAsia" w:ascii="宋体" w:hAnsi="宋体" w:eastAsia="宋体" w:cs="宋体"/>
          <w:sz w:val="19"/>
          <w:highlight w:val="none"/>
        </w:rPr>
      </w:pPr>
      <w:r>
        <w:rPr>
          <w:rFonts w:hint="eastAsia" w:ascii="宋体" w:hAnsi="宋体" w:eastAsia="宋体" w:cs="宋体"/>
          <w:b w:val="0"/>
          <w:bCs w:val="0"/>
          <w:sz w:val="24"/>
          <w:szCs w:val="24"/>
          <w:highlight w:val="none"/>
          <w:lang w:val="en-US" w:eastAsia="zh-CN" w:bidi="ar-SA"/>
        </w:rPr>
        <w:t>一、适用条件</w:t>
      </w:r>
    </w:p>
    <w:p w14:paraId="4E31B40C">
      <w:pPr>
        <w:pStyle w:val="26"/>
        <w:numPr>
          <w:ilvl w:val="3"/>
          <w:numId w:val="5"/>
        </w:numPr>
        <w:tabs>
          <w:tab w:val="left" w:pos="1005"/>
        </w:tabs>
        <w:ind w:hanging="182"/>
        <w:jc w:val="left"/>
        <w:rPr>
          <w:rFonts w:hint="eastAsia" w:ascii="宋体" w:hAnsi="宋体" w:eastAsia="宋体" w:cs="宋体"/>
          <w:sz w:val="20"/>
          <w:highlight w:val="none"/>
        </w:rPr>
      </w:pPr>
      <w:r>
        <w:rPr>
          <w:rFonts w:hint="eastAsia" w:ascii="宋体" w:hAnsi="宋体" w:eastAsia="宋体" w:cs="宋体"/>
          <w:sz w:val="24"/>
          <w:highlight w:val="none"/>
        </w:rPr>
        <w:t>合同适用条件</w:t>
      </w:r>
    </w:p>
    <w:p w14:paraId="53C4EA69">
      <w:pPr>
        <w:pStyle w:val="26"/>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本合同适用于</w:t>
      </w:r>
      <w:r>
        <w:rPr>
          <w:rFonts w:hint="eastAsia" w:cs="宋体"/>
          <w:sz w:val="24"/>
          <w:szCs w:val="24"/>
          <w:highlight w:val="none"/>
          <w:lang w:val="en-US" w:eastAsia="zh-CN" w:bidi="ar-SA"/>
        </w:rPr>
        <w:t>伽师县西克尔库勒镇库木库坦（1）村农村道路建设项目</w:t>
      </w:r>
      <w:r>
        <w:rPr>
          <w:rFonts w:hint="eastAsia" w:ascii="宋体" w:hAnsi="宋体" w:eastAsia="宋体" w:cs="宋体"/>
          <w:sz w:val="24"/>
          <w:szCs w:val="24"/>
          <w:highlight w:val="none"/>
          <w:lang w:val="en-US" w:bidi="ar-SA"/>
        </w:rPr>
        <w:t xml:space="preserve"> </w:t>
      </w:r>
      <w:r>
        <w:rPr>
          <w:rFonts w:hint="eastAsia" w:ascii="宋体" w:hAnsi="宋体" w:eastAsia="宋体" w:cs="宋体"/>
          <w:sz w:val="24"/>
          <w:highlight w:val="none"/>
        </w:rPr>
        <w:t>。</w:t>
      </w:r>
    </w:p>
    <w:p w14:paraId="19A029E6">
      <w:pPr>
        <w:pStyle w:val="26"/>
        <w:numPr>
          <w:ilvl w:val="4"/>
          <w:numId w:val="5"/>
        </w:numPr>
        <w:tabs>
          <w:tab w:val="left" w:pos="1403"/>
          <w:tab w:val="left" w:pos="1404"/>
        </w:tabs>
        <w:spacing w:before="83"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施工图设计文件经过审查批准，列入建设计划，资金落实到位，征地拆迁</w:t>
      </w:r>
      <w:r>
        <w:rPr>
          <w:rFonts w:hint="eastAsia" w:ascii="宋体" w:hAnsi="宋体" w:eastAsia="宋体" w:cs="宋体"/>
          <w:sz w:val="24"/>
          <w:highlight w:val="none"/>
        </w:rPr>
        <w:t>工作已经完成。</w:t>
      </w:r>
    </w:p>
    <w:p w14:paraId="2C3E824A">
      <w:pPr>
        <w:pStyle w:val="26"/>
        <w:numPr>
          <w:ilvl w:val="3"/>
          <w:numId w:val="5"/>
        </w:numPr>
        <w:tabs>
          <w:tab w:val="left" w:pos="1005"/>
        </w:tabs>
        <w:spacing w:before="174"/>
        <w:ind w:hanging="182"/>
        <w:jc w:val="left"/>
        <w:rPr>
          <w:rFonts w:hint="eastAsia" w:ascii="宋体" w:hAnsi="宋体" w:eastAsia="宋体" w:cs="宋体"/>
          <w:sz w:val="21"/>
          <w:highlight w:val="none"/>
        </w:rPr>
      </w:pPr>
      <w:r>
        <w:rPr>
          <w:rFonts w:hint="eastAsia" w:ascii="宋体" w:hAnsi="宋体" w:eastAsia="宋体" w:cs="宋体"/>
          <w:sz w:val="24"/>
          <w:highlight w:val="none"/>
        </w:rPr>
        <w:t>合同文件及优先顺序</w:t>
      </w:r>
    </w:p>
    <w:p w14:paraId="6F685ED7">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组成合同的各项文件应互相解释，互为说明。除项目专用合同条款另有约定外， 解释合同文件的优先顺序如下：</w:t>
      </w:r>
    </w:p>
    <w:p w14:paraId="74DE27FF">
      <w:pPr>
        <w:pStyle w:val="26"/>
        <w:numPr>
          <w:ilvl w:val="0"/>
          <w:numId w:val="0"/>
        </w:numPr>
        <w:tabs>
          <w:tab w:val="left" w:pos="1465"/>
        </w:tabs>
        <w:spacing w:line="312" w:lineRule="auto"/>
        <w:ind w:left="864" w:leftChars="0"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w:t>
      </w:r>
      <w:r>
        <w:rPr>
          <w:rFonts w:hint="eastAsia" w:cs="宋体"/>
          <w:spacing w:val="-4"/>
          <w:sz w:val="24"/>
          <w:highlight w:val="none"/>
          <w:lang w:eastAsia="zh-CN"/>
        </w:rPr>
        <w:t>）</w:t>
      </w: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70D4ACD4">
      <w:pPr>
        <w:pStyle w:val="26"/>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z w:val="24"/>
          <w:highlight w:val="none"/>
        </w:rPr>
        <w:t>中标通知书；</w:t>
      </w:r>
    </w:p>
    <w:p w14:paraId="7F475DE3">
      <w:pPr>
        <w:pStyle w:val="26"/>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z w:val="24"/>
          <w:highlight w:val="none"/>
        </w:rPr>
        <w:t>投标函及投标函附录；</w:t>
      </w:r>
    </w:p>
    <w:p w14:paraId="2274FFEB">
      <w:pPr>
        <w:pStyle w:val="26"/>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4</w:t>
      </w:r>
      <w:r>
        <w:rPr>
          <w:rFonts w:hint="eastAsia" w:cs="宋体"/>
          <w:spacing w:val="-4"/>
          <w:sz w:val="24"/>
          <w:highlight w:val="none"/>
          <w:lang w:eastAsia="zh-CN"/>
        </w:rPr>
        <w:t>）</w:t>
      </w:r>
      <w:r>
        <w:rPr>
          <w:rFonts w:hint="eastAsia" w:ascii="宋体" w:hAnsi="宋体" w:eastAsia="宋体" w:cs="宋体"/>
          <w:sz w:val="24"/>
          <w:highlight w:val="none"/>
        </w:rPr>
        <w:t>专用合同条款；</w:t>
      </w:r>
    </w:p>
    <w:p w14:paraId="5282515D">
      <w:pPr>
        <w:pStyle w:val="26"/>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z w:val="24"/>
          <w:highlight w:val="none"/>
        </w:rPr>
        <w:t>通用合同条款；</w:t>
      </w:r>
    </w:p>
    <w:p w14:paraId="328E6CE3">
      <w:pPr>
        <w:pStyle w:val="26"/>
        <w:numPr>
          <w:ilvl w:val="0"/>
          <w:numId w:val="0"/>
        </w:numPr>
        <w:tabs>
          <w:tab w:val="left" w:pos="1465"/>
        </w:tabs>
        <w:spacing w:before="91"/>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6</w:t>
      </w:r>
      <w:r>
        <w:rPr>
          <w:rFonts w:hint="eastAsia" w:cs="宋体"/>
          <w:spacing w:val="-4"/>
          <w:sz w:val="24"/>
          <w:highlight w:val="none"/>
          <w:lang w:eastAsia="zh-CN"/>
        </w:rPr>
        <w:t>）</w:t>
      </w:r>
      <w:r>
        <w:rPr>
          <w:rFonts w:hint="eastAsia" w:ascii="宋体" w:hAnsi="宋体" w:eastAsia="宋体" w:cs="宋体"/>
          <w:sz w:val="24"/>
          <w:highlight w:val="none"/>
        </w:rPr>
        <w:t>工程量清单计量规则；</w:t>
      </w:r>
    </w:p>
    <w:p w14:paraId="7EA92285">
      <w:pPr>
        <w:pStyle w:val="26"/>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7</w:t>
      </w:r>
      <w:r>
        <w:rPr>
          <w:rFonts w:hint="eastAsia" w:cs="宋体"/>
          <w:spacing w:val="-4"/>
          <w:sz w:val="24"/>
          <w:highlight w:val="none"/>
          <w:lang w:eastAsia="zh-CN"/>
        </w:rPr>
        <w:t>）</w:t>
      </w:r>
      <w:r>
        <w:rPr>
          <w:rFonts w:hint="eastAsia" w:ascii="宋体" w:hAnsi="宋体" w:eastAsia="宋体" w:cs="宋体"/>
          <w:sz w:val="24"/>
          <w:highlight w:val="none"/>
        </w:rPr>
        <w:t>技术规范；</w:t>
      </w:r>
    </w:p>
    <w:p w14:paraId="19D52380">
      <w:pPr>
        <w:pStyle w:val="26"/>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8</w:t>
      </w:r>
      <w:r>
        <w:rPr>
          <w:rFonts w:hint="eastAsia" w:cs="宋体"/>
          <w:spacing w:val="-4"/>
          <w:sz w:val="24"/>
          <w:highlight w:val="none"/>
          <w:lang w:eastAsia="zh-CN"/>
        </w:rPr>
        <w:t>）</w:t>
      </w:r>
      <w:r>
        <w:rPr>
          <w:rFonts w:hint="eastAsia" w:ascii="宋体" w:hAnsi="宋体" w:eastAsia="宋体" w:cs="宋体"/>
          <w:sz w:val="24"/>
          <w:highlight w:val="none"/>
        </w:rPr>
        <w:t>图纸；</w:t>
      </w:r>
    </w:p>
    <w:p w14:paraId="554DCC5D">
      <w:pPr>
        <w:pStyle w:val="26"/>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9</w:t>
      </w:r>
      <w:r>
        <w:rPr>
          <w:rFonts w:hint="eastAsia" w:cs="宋体"/>
          <w:spacing w:val="-4"/>
          <w:sz w:val="24"/>
          <w:highlight w:val="none"/>
          <w:lang w:eastAsia="zh-CN"/>
        </w:rPr>
        <w:t>）</w:t>
      </w:r>
      <w:r>
        <w:rPr>
          <w:rFonts w:hint="eastAsia" w:ascii="宋体" w:hAnsi="宋体" w:eastAsia="宋体" w:cs="宋体"/>
          <w:sz w:val="24"/>
          <w:highlight w:val="none"/>
        </w:rPr>
        <w:t>已标价工程量清单；</w:t>
      </w:r>
    </w:p>
    <w:p w14:paraId="3AB8F44C">
      <w:pPr>
        <w:pStyle w:val="26"/>
        <w:numPr>
          <w:ilvl w:val="0"/>
          <w:numId w:val="0"/>
        </w:numPr>
        <w:tabs>
          <w:tab w:val="left" w:pos="158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10</w:t>
      </w:r>
      <w:r>
        <w:rPr>
          <w:rFonts w:hint="eastAsia" w:cs="宋体"/>
          <w:spacing w:val="-4"/>
          <w:sz w:val="24"/>
          <w:highlight w:val="none"/>
          <w:lang w:eastAsia="zh-CN"/>
        </w:rPr>
        <w:t>）</w:t>
      </w:r>
      <w:r>
        <w:rPr>
          <w:rFonts w:hint="eastAsia" w:ascii="宋体" w:hAnsi="宋体" w:eastAsia="宋体" w:cs="宋体"/>
          <w:sz w:val="24"/>
          <w:highlight w:val="none"/>
        </w:rPr>
        <w:t>承包人有关人员、设备投入的承诺及投标文件中的施工组织设计；</w:t>
      </w:r>
    </w:p>
    <w:p w14:paraId="41982025">
      <w:pPr>
        <w:pStyle w:val="26"/>
        <w:numPr>
          <w:ilvl w:val="0"/>
          <w:numId w:val="0"/>
        </w:numPr>
        <w:tabs>
          <w:tab w:val="left" w:pos="1585"/>
        </w:tabs>
        <w:spacing w:before="93"/>
        <w:ind w:left="864" w:leftChars="0"/>
        <w:rPr>
          <w:rFonts w:hint="eastAsia" w:ascii="宋体" w:hAnsi="宋体" w:eastAsia="宋体" w:cs="宋体"/>
          <w:sz w:val="19"/>
          <w:highlight w:val="none"/>
        </w:rPr>
      </w:pPr>
      <w:r>
        <w:rPr>
          <w:rFonts w:hint="eastAsia" w:cs="宋体"/>
          <w:spacing w:val="-4"/>
          <w:sz w:val="24"/>
          <w:highlight w:val="none"/>
          <w:lang w:eastAsia="zh-CN"/>
        </w:rPr>
        <w:t>（</w:t>
      </w:r>
      <w:r>
        <w:rPr>
          <w:rFonts w:hint="eastAsia" w:cs="宋体"/>
          <w:spacing w:val="-4"/>
          <w:sz w:val="24"/>
          <w:highlight w:val="none"/>
          <w:lang w:val="en-US" w:eastAsia="zh-CN"/>
        </w:rPr>
        <w:t>11</w:t>
      </w:r>
      <w:r>
        <w:rPr>
          <w:rFonts w:hint="eastAsia" w:cs="宋体"/>
          <w:spacing w:val="-4"/>
          <w:sz w:val="24"/>
          <w:highlight w:val="none"/>
          <w:lang w:eastAsia="zh-CN"/>
        </w:rPr>
        <w:t>）</w:t>
      </w:r>
      <w:r>
        <w:rPr>
          <w:rFonts w:hint="eastAsia" w:ascii="宋体" w:hAnsi="宋体" w:eastAsia="宋体" w:cs="宋体"/>
          <w:sz w:val="24"/>
          <w:highlight w:val="none"/>
        </w:rPr>
        <w:t>其他合同文件。</w:t>
      </w:r>
    </w:p>
    <w:p w14:paraId="0FC467E6">
      <w:pPr>
        <w:pStyle w:val="26"/>
        <w:numPr>
          <w:ilvl w:val="3"/>
          <w:numId w:val="5"/>
        </w:numPr>
        <w:tabs>
          <w:tab w:val="left" w:pos="1005"/>
        </w:tabs>
        <w:spacing w:before="1"/>
        <w:ind w:hanging="182"/>
        <w:jc w:val="left"/>
        <w:rPr>
          <w:rFonts w:hint="eastAsia" w:ascii="宋体" w:hAnsi="宋体" w:eastAsia="宋体" w:cs="宋体"/>
          <w:sz w:val="20"/>
          <w:highlight w:val="none"/>
        </w:rPr>
      </w:pPr>
      <w:r>
        <w:rPr>
          <w:rFonts w:hint="eastAsia" w:ascii="宋体" w:hAnsi="宋体" w:eastAsia="宋体" w:cs="宋体"/>
          <w:sz w:val="24"/>
          <w:highlight w:val="none"/>
        </w:rPr>
        <w:t>适用法律及规范</w:t>
      </w:r>
    </w:p>
    <w:p w14:paraId="05AE8387">
      <w:pPr>
        <w:pStyle w:val="26"/>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适用法律和法规</w:t>
      </w:r>
    </w:p>
    <w:p w14:paraId="0B8205A2">
      <w:pPr>
        <w:pStyle w:val="10"/>
        <w:spacing w:before="86" w:line="304" w:lineRule="auto"/>
        <w:ind w:left="384" w:right="467" w:firstLine="480"/>
        <w:rPr>
          <w:rFonts w:hint="eastAsia" w:ascii="宋体" w:hAnsi="宋体" w:eastAsia="宋体" w:cs="宋体"/>
          <w:highlight w:val="none"/>
        </w:rPr>
      </w:pPr>
      <w:r>
        <w:rPr>
          <w:rFonts w:hint="eastAsia" w:ascii="宋体" w:hAnsi="宋体" w:eastAsia="宋体" w:cs="宋体"/>
          <w:spacing w:val="-1"/>
          <w:highlight w:val="none"/>
        </w:rPr>
        <w:t>本合同服从国家法律和行政法规、部门规章以及新疆维吾尔自治区地方法规、</w:t>
      </w:r>
      <w:r>
        <w:rPr>
          <w:rFonts w:hint="eastAsia" w:ascii="宋体" w:hAnsi="宋体" w:eastAsia="宋体" w:cs="宋体"/>
          <w:highlight w:val="none"/>
        </w:rPr>
        <w:t>自治条例、单行条例和地方政府规章。</w:t>
      </w:r>
    </w:p>
    <w:p w14:paraId="2537A167">
      <w:pPr>
        <w:pStyle w:val="26"/>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适用标准、规范</w:t>
      </w:r>
    </w:p>
    <w:p w14:paraId="3244AD1C">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现行国家标准、规范；交通运输部行业标准、规范；地方标准、规范适用本合同。发包人及承包人应注意标准、规范及规程的变更，在招投标及项目实施期内出现应采用有效版本的标准、规范及规程，不发生由此引起的费用变更。</w:t>
      </w:r>
    </w:p>
    <w:p w14:paraId="1C7FEC88">
      <w:pPr>
        <w:pStyle w:val="26"/>
        <w:numPr>
          <w:ilvl w:val="3"/>
          <w:numId w:val="5"/>
        </w:numPr>
        <w:tabs>
          <w:tab w:val="left" w:pos="1005"/>
        </w:tabs>
        <w:spacing w:before="194"/>
        <w:ind w:hanging="182"/>
        <w:jc w:val="left"/>
        <w:rPr>
          <w:rFonts w:hint="eastAsia" w:ascii="宋体" w:hAnsi="宋体" w:eastAsia="宋体" w:cs="宋体"/>
          <w:sz w:val="18"/>
          <w:highlight w:val="none"/>
        </w:rPr>
      </w:pPr>
      <w:r>
        <w:rPr>
          <w:rFonts w:hint="eastAsia" w:ascii="宋体" w:hAnsi="宋体" w:eastAsia="宋体" w:cs="宋体"/>
          <w:sz w:val="24"/>
          <w:highlight w:val="none"/>
        </w:rPr>
        <w:t>图纸和技术资料</w:t>
      </w:r>
      <w:r>
        <w:rPr>
          <w:rFonts w:hint="eastAsia" w:cs="宋体"/>
          <w:sz w:val="24"/>
          <w:highlight w:val="none"/>
          <w:lang w:eastAsia="zh-CN"/>
        </w:rPr>
        <w:t>。</w:t>
      </w:r>
    </w:p>
    <w:p w14:paraId="4443D936">
      <w:pPr>
        <w:pStyle w:val="26"/>
        <w:numPr>
          <w:ilvl w:val="4"/>
          <w:numId w:val="5"/>
        </w:numPr>
        <w:tabs>
          <w:tab w:val="left" w:pos="1403"/>
          <w:tab w:val="left" w:pos="1404"/>
        </w:tabs>
        <w:spacing w:before="76" w:line="316" w:lineRule="auto"/>
        <w:ind w:left="384" w:right="346" w:firstLine="480"/>
        <w:rPr>
          <w:rFonts w:hint="eastAsia" w:ascii="宋体" w:hAnsi="宋体" w:eastAsia="宋体" w:cs="宋体"/>
          <w:sz w:val="24"/>
          <w:highlight w:val="none"/>
        </w:rPr>
      </w:pPr>
      <w:r>
        <w:rPr>
          <w:rFonts w:hint="eastAsia" w:ascii="宋体" w:hAnsi="宋体" w:eastAsia="宋体" w:cs="宋体"/>
          <w:spacing w:val="-11"/>
          <w:sz w:val="24"/>
          <w:highlight w:val="none"/>
        </w:rPr>
        <w:t>合同协议书签定之后，发包人免费向承包人提供施工图纸</w:t>
      </w:r>
      <w:r>
        <w:rPr>
          <w:rFonts w:hint="eastAsia" w:ascii="宋体" w:hAnsi="宋体" w:eastAsia="宋体" w:cs="宋体"/>
          <w:sz w:val="24"/>
          <w:highlight w:val="none"/>
        </w:rPr>
        <w:t>（相关技术资料</w:t>
      </w:r>
      <w:r>
        <w:rPr>
          <w:rFonts w:hint="eastAsia" w:ascii="宋体" w:hAnsi="宋体" w:eastAsia="宋体" w:cs="宋体"/>
          <w:spacing w:val="-18"/>
          <w:sz w:val="24"/>
          <w:highlight w:val="none"/>
        </w:rPr>
        <w:t xml:space="preserve">） </w:t>
      </w:r>
      <w:r>
        <w:rPr>
          <w:rFonts w:hint="eastAsia" w:ascii="宋体" w:hAnsi="宋体" w:eastAsia="宋体" w:cs="宋体"/>
          <w:sz w:val="24"/>
          <w:highlight w:val="none"/>
        </w:rPr>
        <w:t>两份，向承包人进行技术交底。</w:t>
      </w:r>
    </w:p>
    <w:p w14:paraId="66EC8251">
      <w:pPr>
        <w:pStyle w:val="26"/>
        <w:numPr>
          <w:ilvl w:val="4"/>
          <w:numId w:val="5"/>
        </w:numPr>
        <w:tabs>
          <w:tab w:val="left" w:pos="1415"/>
          <w:tab w:val="left" w:pos="1416"/>
        </w:tabs>
        <w:spacing w:line="316" w:lineRule="auto"/>
        <w:ind w:left="384" w:right="467" w:firstLine="480"/>
        <w:rPr>
          <w:rFonts w:hint="eastAsia" w:ascii="宋体" w:hAnsi="宋体" w:eastAsia="宋体" w:cs="宋体"/>
          <w:sz w:val="24"/>
          <w:highlight w:val="none"/>
        </w:rPr>
      </w:pPr>
      <w:r>
        <w:rPr>
          <w:rFonts w:hint="eastAsia" w:ascii="宋体" w:hAnsi="宋体" w:eastAsia="宋体" w:cs="宋体"/>
          <w:spacing w:val="3"/>
          <w:sz w:val="24"/>
          <w:highlight w:val="none"/>
        </w:rPr>
        <w:t>发包人有权通过监理人向承包人发出为满足本合同工程的正确实施和完成及其缺陷修复所需的补充图纸和有关指示，承包人应予执行。</w:t>
      </w:r>
    </w:p>
    <w:p w14:paraId="6DACAD80">
      <w:pPr>
        <w:pStyle w:val="10"/>
        <w:numPr>
          <w:ilvl w:val="0"/>
          <w:numId w:val="2"/>
        </w:numPr>
        <w:spacing w:before="179"/>
        <w:ind w:left="398" w:leftChars="0" w:firstLine="0" w:firstLineChars="0"/>
        <w:rPr>
          <w:rFonts w:hint="eastAsia" w:ascii="宋体" w:hAnsi="宋体" w:eastAsia="宋体" w:cs="宋体"/>
          <w:highlight w:val="none"/>
        </w:rPr>
      </w:pPr>
      <w:r>
        <w:rPr>
          <w:rFonts w:hint="eastAsia" w:ascii="宋体" w:hAnsi="宋体" w:eastAsia="宋体" w:cs="宋体"/>
          <w:highlight w:val="none"/>
        </w:rPr>
        <w:t>双方一般义务和责任</w:t>
      </w:r>
    </w:p>
    <w:p w14:paraId="0FCB4EC9">
      <w:pPr>
        <w:pStyle w:val="10"/>
        <w:numPr>
          <w:ilvl w:val="0"/>
          <w:numId w:val="0"/>
        </w:numPr>
        <w:spacing w:before="179"/>
        <w:ind w:left="398" w:leftChars="0"/>
        <w:rPr>
          <w:rFonts w:hint="eastAsia" w:ascii="宋体" w:hAnsi="宋体" w:eastAsia="宋体" w:cs="宋体"/>
          <w:sz w:val="24"/>
          <w:highlight w:val="none"/>
        </w:rPr>
      </w:pPr>
      <w:r>
        <w:rPr>
          <w:rFonts w:hint="eastAsia" w:ascii="宋体" w:hAnsi="宋体" w:eastAsia="宋体" w:cs="宋体"/>
          <w:sz w:val="24"/>
          <w:highlight w:val="none"/>
        </w:rPr>
        <w:t>发包人一般义务和责任</w:t>
      </w:r>
    </w:p>
    <w:p w14:paraId="498371F4">
      <w:pPr>
        <w:pStyle w:val="10"/>
        <w:spacing w:before="11"/>
        <w:rPr>
          <w:rFonts w:hint="eastAsia" w:ascii="宋体" w:hAnsi="宋体" w:eastAsia="宋体" w:cs="宋体"/>
          <w:sz w:val="21"/>
          <w:highlight w:val="none"/>
        </w:rPr>
      </w:pPr>
    </w:p>
    <w:p w14:paraId="43B614ED">
      <w:pPr>
        <w:pStyle w:val="26"/>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发包人应在其组织实施本合同的全部工作中遵守与本合同有关的法律、法</w:t>
      </w:r>
      <w:r>
        <w:rPr>
          <w:rFonts w:hint="eastAsia" w:ascii="宋体" w:hAnsi="宋体" w:eastAsia="宋体" w:cs="宋体"/>
          <w:spacing w:val="-1"/>
          <w:sz w:val="24"/>
          <w:highlight w:val="none"/>
        </w:rPr>
        <w:t>规和规章，同时应承担合同条款中规定的一般义务和责任，并应承担由于自身违反</w:t>
      </w:r>
      <w:r>
        <w:rPr>
          <w:rFonts w:hint="eastAsia" w:ascii="宋体" w:hAnsi="宋体" w:eastAsia="宋体" w:cs="宋体"/>
          <w:sz w:val="24"/>
          <w:highlight w:val="none"/>
        </w:rPr>
        <w:t>上述法律、法规和规章的责任。</w:t>
      </w:r>
    </w:p>
    <w:p w14:paraId="035CBFD7">
      <w:pPr>
        <w:pStyle w:val="26"/>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发包人应负责工程用地范围内的征地拆迁工作，并承担相关费用。发包人</w:t>
      </w:r>
      <w:r>
        <w:rPr>
          <w:rFonts w:hint="eastAsia" w:ascii="宋体" w:hAnsi="宋体" w:eastAsia="宋体" w:cs="宋体"/>
          <w:sz w:val="24"/>
          <w:highlight w:val="none"/>
        </w:rPr>
        <w:t>应协助承包人办理法律规定的有关本项目的施工手续。</w:t>
      </w:r>
    </w:p>
    <w:p w14:paraId="44E3E748">
      <w:pPr>
        <w:pStyle w:val="10"/>
        <w:spacing w:line="316"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按时向承包人提供施工用地，保证按时开工。由于发包人未能按照本项规定办妥永久占地征用手续及施工用地，影响承包人及时使用永久占地及施工用地造成的费用增加和(或)工期延误应由发包人承担。</w:t>
      </w:r>
    </w:p>
    <w:p w14:paraId="129076AA">
      <w:pPr>
        <w:pStyle w:val="26"/>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工程实行社会监理的，发包人将委托的监理人、监理内容及监理权限以书</w:t>
      </w:r>
      <w:r>
        <w:rPr>
          <w:rFonts w:hint="eastAsia" w:ascii="宋体" w:hAnsi="宋体" w:eastAsia="宋体" w:cs="宋体"/>
          <w:sz w:val="24"/>
          <w:highlight w:val="none"/>
        </w:rPr>
        <w:t>面形式通知承包人。</w:t>
      </w:r>
    </w:p>
    <w:p w14:paraId="4A121D48">
      <w:pPr>
        <w:pStyle w:val="26"/>
        <w:numPr>
          <w:ilvl w:val="4"/>
          <w:numId w:val="5"/>
        </w:numPr>
        <w:tabs>
          <w:tab w:val="left" w:pos="1404"/>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监理人按合同规定向承包人发出开工通知（应征得发包人同意）。</w:t>
      </w:r>
    </w:p>
    <w:p w14:paraId="60DC0A0C">
      <w:pPr>
        <w:pStyle w:val="26"/>
        <w:numPr>
          <w:ilvl w:val="4"/>
          <w:numId w:val="5"/>
        </w:numPr>
        <w:tabs>
          <w:tab w:val="left" w:pos="1404"/>
        </w:tabs>
        <w:spacing w:before="99"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发包人应及时提供设计图纸及资料</w:t>
      </w:r>
      <w:r>
        <w:rPr>
          <w:rFonts w:hint="eastAsia" w:ascii="宋体" w:hAnsi="宋体" w:eastAsia="宋体" w:cs="宋体"/>
          <w:sz w:val="24"/>
          <w:highlight w:val="none"/>
        </w:rPr>
        <w:t>（包括变更设计</w:t>
      </w:r>
      <w:r>
        <w:rPr>
          <w:rFonts w:hint="eastAsia" w:ascii="宋体" w:hAnsi="宋体" w:eastAsia="宋体" w:cs="宋体"/>
          <w:spacing w:val="-9"/>
          <w:sz w:val="24"/>
          <w:highlight w:val="none"/>
        </w:rPr>
        <w:t>）</w:t>
      </w:r>
      <w:r>
        <w:rPr>
          <w:rFonts w:hint="eastAsia" w:ascii="宋体" w:hAnsi="宋体" w:eastAsia="宋体" w:cs="宋体"/>
          <w:spacing w:val="-5"/>
          <w:sz w:val="24"/>
          <w:highlight w:val="none"/>
        </w:rPr>
        <w:t>，因发包人的原因造</w:t>
      </w:r>
      <w:r>
        <w:rPr>
          <w:rFonts w:hint="eastAsia" w:ascii="宋体" w:hAnsi="宋体" w:eastAsia="宋体" w:cs="宋体"/>
          <w:spacing w:val="-1"/>
          <w:sz w:val="24"/>
          <w:highlight w:val="none"/>
        </w:rPr>
        <w:t>成的停工、窝工，除应允许承包人延长相应工期外，还应补偿由此对承包人造成的</w:t>
      </w:r>
      <w:r>
        <w:rPr>
          <w:rFonts w:hint="eastAsia" w:ascii="宋体" w:hAnsi="宋体" w:eastAsia="宋体" w:cs="宋体"/>
          <w:sz w:val="24"/>
          <w:highlight w:val="none"/>
        </w:rPr>
        <w:t>损失。补偿额由监理人在现场核查后计算其数额，报发包人批准后支付。</w:t>
      </w:r>
    </w:p>
    <w:p w14:paraId="104ACE17">
      <w:pPr>
        <w:pStyle w:val="26"/>
        <w:numPr>
          <w:ilvl w:val="4"/>
          <w:numId w:val="5"/>
        </w:numPr>
        <w:tabs>
          <w:tab w:val="left" w:pos="1404"/>
        </w:tabs>
        <w:spacing w:before="1" w:line="316"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发包人向承包人支付的预付款金额见合同条款数据表。承包人提交的履约</w:t>
      </w:r>
      <w:r>
        <w:rPr>
          <w:rFonts w:hint="eastAsia" w:ascii="宋体" w:hAnsi="宋体" w:eastAsia="宋体" w:cs="宋体"/>
          <w:spacing w:val="-7"/>
          <w:sz w:val="24"/>
          <w:highlight w:val="none"/>
        </w:rPr>
        <w:t>保证金对预付款的正常使用承担保证责任，承包人无再须向发包人提交预付款保函。</w:t>
      </w:r>
    </w:p>
    <w:p w14:paraId="774694A2">
      <w:pPr>
        <w:pStyle w:val="26"/>
        <w:numPr>
          <w:ilvl w:val="4"/>
          <w:numId w:val="5"/>
        </w:numPr>
        <w:tabs>
          <w:tab w:val="left" w:pos="1409"/>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发包人在接到监理人审定的中期支付报告后 </w:t>
      </w:r>
      <w:r>
        <w:rPr>
          <w:rFonts w:hint="eastAsia" w:ascii="宋体" w:hAnsi="宋体" w:eastAsia="宋体" w:cs="宋体"/>
          <w:sz w:val="24"/>
          <w:highlight w:val="none"/>
        </w:rPr>
        <w:t>14</w:t>
      </w:r>
      <w:r>
        <w:rPr>
          <w:rFonts w:hint="eastAsia" w:ascii="宋体" w:hAnsi="宋体" w:eastAsia="宋体" w:cs="宋体"/>
          <w:spacing w:val="20"/>
          <w:sz w:val="24"/>
          <w:highlight w:val="none"/>
        </w:rPr>
        <w:t xml:space="preserve"> </w:t>
      </w:r>
      <w:r>
        <w:rPr>
          <w:rFonts w:hint="eastAsia" w:ascii="宋体" w:hAnsi="宋体" w:eastAsia="宋体" w:cs="宋体"/>
          <w:sz w:val="24"/>
          <w:highlight w:val="none"/>
        </w:rPr>
        <w:t>天内拨付工程进度款。在</w:t>
      </w:r>
      <w:r>
        <w:rPr>
          <w:rFonts w:hint="eastAsia" w:ascii="宋体" w:hAnsi="宋体" w:eastAsia="宋体" w:cs="宋体"/>
          <w:spacing w:val="-4"/>
          <w:sz w:val="24"/>
          <w:highlight w:val="none"/>
        </w:rPr>
        <w:t xml:space="preserve">中期支付中应扣除预付款，预付款的扣回按合同条款 </w:t>
      </w:r>
      <w:r>
        <w:rPr>
          <w:rFonts w:hint="eastAsia" w:ascii="宋体" w:hAnsi="宋体" w:eastAsia="宋体" w:cs="宋体"/>
          <w:sz w:val="24"/>
          <w:highlight w:val="none"/>
        </w:rPr>
        <w:t xml:space="preserve">17.3 </w:t>
      </w:r>
      <w:r>
        <w:rPr>
          <w:rFonts w:hint="eastAsia" w:ascii="宋体" w:hAnsi="宋体" w:eastAsia="宋体" w:cs="宋体"/>
          <w:spacing w:val="-5"/>
          <w:sz w:val="24"/>
          <w:highlight w:val="none"/>
        </w:rPr>
        <w:t>款执行。监理人签发中期</w:t>
      </w:r>
      <w:r>
        <w:rPr>
          <w:rFonts w:hint="eastAsia" w:ascii="宋体" w:hAnsi="宋体" w:eastAsia="宋体" w:cs="宋体"/>
          <w:spacing w:val="-7"/>
          <w:sz w:val="24"/>
          <w:highlight w:val="none"/>
        </w:rPr>
        <w:t xml:space="preserve">支付证书的时限为 </w:t>
      </w:r>
      <w:r>
        <w:rPr>
          <w:rFonts w:hint="eastAsia" w:ascii="宋体" w:hAnsi="宋体" w:eastAsia="宋体" w:cs="宋体"/>
          <w:sz w:val="24"/>
          <w:highlight w:val="none"/>
        </w:rPr>
        <w:t>14 天。</w:t>
      </w:r>
    </w:p>
    <w:p w14:paraId="49639910">
      <w:pPr>
        <w:pStyle w:val="26"/>
        <w:numPr>
          <w:ilvl w:val="4"/>
          <w:numId w:val="5"/>
        </w:numPr>
        <w:tabs>
          <w:tab w:val="left" w:pos="1409"/>
        </w:tabs>
        <w:spacing w:before="1"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发包人在接到监理人交工验收报告后在符合交工验收条件的情况下 </w:t>
      </w:r>
      <w:r>
        <w:rPr>
          <w:rFonts w:hint="eastAsia" w:ascii="宋体" w:hAnsi="宋体" w:eastAsia="宋体" w:cs="宋体"/>
          <w:sz w:val="24"/>
          <w:highlight w:val="none"/>
        </w:rPr>
        <w:t>14</w:t>
      </w:r>
      <w:r>
        <w:rPr>
          <w:rFonts w:hint="eastAsia" w:ascii="宋体" w:hAnsi="宋体" w:eastAsia="宋体" w:cs="宋体"/>
          <w:spacing w:val="23"/>
          <w:sz w:val="24"/>
          <w:highlight w:val="none"/>
        </w:rPr>
        <w:t xml:space="preserve"> </w:t>
      </w:r>
      <w:r>
        <w:rPr>
          <w:rFonts w:hint="eastAsia" w:ascii="宋体" w:hAnsi="宋体" w:eastAsia="宋体" w:cs="宋体"/>
          <w:sz w:val="24"/>
          <w:highlight w:val="none"/>
        </w:rPr>
        <w:t>天</w:t>
      </w:r>
      <w:r>
        <w:rPr>
          <w:rFonts w:hint="eastAsia" w:ascii="宋体" w:hAnsi="宋体" w:eastAsia="宋体" w:cs="宋体"/>
          <w:spacing w:val="-11"/>
          <w:sz w:val="24"/>
          <w:highlight w:val="none"/>
        </w:rPr>
        <w:t xml:space="preserve">内组织交工验收，发包人应在收到承包人缴纳的质量保证金后 </w:t>
      </w:r>
      <w:r>
        <w:rPr>
          <w:rFonts w:hint="eastAsia" w:ascii="宋体" w:hAnsi="宋体" w:eastAsia="宋体" w:cs="宋体"/>
          <w:sz w:val="24"/>
          <w:highlight w:val="none"/>
        </w:rPr>
        <w:t xml:space="preserve">28 </w:t>
      </w:r>
      <w:r>
        <w:rPr>
          <w:rFonts w:hint="eastAsia" w:ascii="宋体" w:hAnsi="宋体" w:eastAsia="宋体" w:cs="宋体"/>
          <w:spacing w:val="-3"/>
          <w:sz w:val="24"/>
          <w:highlight w:val="none"/>
        </w:rPr>
        <w:t>天内将履约保证金</w:t>
      </w:r>
      <w:r>
        <w:rPr>
          <w:rFonts w:hint="eastAsia" w:ascii="宋体" w:hAnsi="宋体" w:eastAsia="宋体" w:cs="宋体"/>
          <w:sz w:val="24"/>
          <w:highlight w:val="none"/>
        </w:rPr>
        <w:t>退还给承包人。</w:t>
      </w:r>
    </w:p>
    <w:p w14:paraId="18D51551">
      <w:pPr>
        <w:pStyle w:val="10"/>
        <w:spacing w:line="316" w:lineRule="auto"/>
        <w:ind w:left="384" w:right="465" w:firstLine="480"/>
        <w:rPr>
          <w:rFonts w:hint="eastAsia" w:ascii="宋体" w:hAnsi="宋体" w:eastAsia="宋体" w:cs="宋体"/>
          <w:highlight w:val="none"/>
        </w:rPr>
      </w:pPr>
      <w:r>
        <w:rPr>
          <w:rFonts w:hint="eastAsia" w:ascii="宋体" w:hAnsi="宋体" w:eastAsia="宋体" w:cs="宋体"/>
          <w:highlight w:val="none"/>
        </w:rPr>
        <w:t>交工后进入缺陷责任期，缺陷责任期见合同条款数据表。发包人应按合同约定及时组织竣工验收，签发缺陷责任终止证书，退返质量保证金。</w:t>
      </w:r>
    </w:p>
    <w:p w14:paraId="6E070CEE">
      <w:pPr>
        <w:pStyle w:val="10"/>
        <w:spacing w:before="8"/>
        <w:ind w:firstLine="480" w:firstLineChars="200"/>
        <w:rPr>
          <w:rFonts w:hint="eastAsia" w:ascii="宋体" w:hAnsi="宋体" w:eastAsia="宋体" w:cs="宋体"/>
          <w:sz w:val="16"/>
          <w:highlight w:val="none"/>
        </w:rPr>
      </w:pPr>
      <w:r>
        <w:rPr>
          <w:rFonts w:hint="eastAsia" w:ascii="宋体" w:hAnsi="宋体" w:eastAsia="宋体" w:cs="宋体"/>
          <w:sz w:val="24"/>
          <w:highlight w:val="none"/>
        </w:rPr>
        <w:t>承包人一般义务和责任</w:t>
      </w:r>
    </w:p>
    <w:p w14:paraId="1DAD7FE4">
      <w:pPr>
        <w:pStyle w:val="26"/>
        <w:numPr>
          <w:ilvl w:val="4"/>
          <w:numId w:val="5"/>
        </w:numPr>
        <w:tabs>
          <w:tab w:val="left" w:pos="1404"/>
        </w:tabs>
        <w:spacing w:before="77"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承包人在执行本工程合同全过程中应遵守与本合同有关的法律、法规和规章，并保证发包人免于承担因承包人违反法律而引起的任何责任。同时应承担合同</w:t>
      </w:r>
      <w:r>
        <w:rPr>
          <w:rFonts w:hint="eastAsia" w:ascii="宋体" w:hAnsi="宋体" w:eastAsia="宋体" w:cs="宋体"/>
          <w:spacing w:val="-8"/>
          <w:sz w:val="24"/>
          <w:highlight w:val="none"/>
        </w:rPr>
        <w:t>条款中规定的义务和责任，并承担由于自身违反上述法律、法规和规章的任何责任。</w:t>
      </w:r>
    </w:p>
    <w:p w14:paraId="4A96EC26">
      <w:pPr>
        <w:pStyle w:val="26"/>
        <w:numPr>
          <w:ilvl w:val="4"/>
          <w:numId w:val="5"/>
        </w:numPr>
        <w:tabs>
          <w:tab w:val="left" w:pos="1404"/>
        </w:tabs>
        <w:spacing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承包人应按合同约定以及监理人根据合同文件作出的指示，实施、完成全</w:t>
      </w:r>
      <w:r>
        <w:rPr>
          <w:rFonts w:hint="eastAsia" w:ascii="宋体" w:hAnsi="宋体" w:eastAsia="宋体" w:cs="宋体"/>
          <w:spacing w:val="-1"/>
          <w:sz w:val="24"/>
          <w:highlight w:val="none"/>
        </w:rPr>
        <w:t>部工程，并修补工程中的任何缺陷。除专用合同条款另有约定外，承包人应提供为完成合同工作所需的劳务、材料、施工设备、工程设备和其他物品，并按合同约定</w:t>
      </w:r>
      <w:r>
        <w:rPr>
          <w:rFonts w:hint="eastAsia" w:ascii="宋体" w:hAnsi="宋体" w:eastAsia="宋体" w:cs="宋体"/>
          <w:sz w:val="24"/>
          <w:highlight w:val="none"/>
        </w:rPr>
        <w:t>负责临时设施的设计、建造、运行、维护、管理和拆除。</w:t>
      </w:r>
    </w:p>
    <w:p w14:paraId="32EF6A08">
      <w:pPr>
        <w:pStyle w:val="26"/>
        <w:numPr>
          <w:ilvl w:val="4"/>
          <w:numId w:val="5"/>
        </w:numPr>
        <w:tabs>
          <w:tab w:val="left" w:pos="1404"/>
        </w:tabs>
        <w:spacing w:before="4"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承包人应仔细核查发包人提供的设计文件，对于存在的错误或疏忽，应及</w:t>
      </w:r>
      <w:r>
        <w:rPr>
          <w:rFonts w:hint="eastAsia" w:ascii="宋体" w:hAnsi="宋体" w:eastAsia="宋体" w:cs="宋体"/>
          <w:sz w:val="24"/>
          <w:highlight w:val="none"/>
        </w:rPr>
        <w:t>时通知监理人。</w:t>
      </w:r>
    </w:p>
    <w:p w14:paraId="0F45377E">
      <w:pPr>
        <w:pStyle w:val="26"/>
        <w:numPr>
          <w:ilvl w:val="4"/>
          <w:numId w:val="5"/>
        </w:numPr>
        <w:tabs>
          <w:tab w:val="left" w:pos="1416"/>
        </w:tabs>
        <w:spacing w:before="27"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承包人应保证其履约保证金在发包人签发交工验收证书且承包人按照合同约定缴纳质量保证金前一直有效。</w:t>
      </w:r>
    </w:p>
    <w:p w14:paraId="2196892C">
      <w:pPr>
        <w:pStyle w:val="26"/>
        <w:numPr>
          <w:ilvl w:val="4"/>
          <w:numId w:val="5"/>
        </w:numPr>
        <w:tabs>
          <w:tab w:val="left" w:pos="1404"/>
        </w:tabs>
        <w:spacing w:line="283" w:lineRule="exact"/>
        <w:jc w:val="both"/>
        <w:rPr>
          <w:rFonts w:hint="eastAsia" w:ascii="宋体" w:hAnsi="宋体" w:eastAsia="宋体" w:cs="宋体"/>
          <w:sz w:val="24"/>
          <w:highlight w:val="none"/>
        </w:rPr>
      </w:pPr>
      <w:r>
        <w:rPr>
          <w:rFonts w:hint="eastAsia" w:ascii="宋体" w:hAnsi="宋体" w:eastAsia="宋体" w:cs="宋体"/>
          <w:spacing w:val="-2"/>
          <w:sz w:val="24"/>
          <w:highlight w:val="none"/>
        </w:rPr>
        <w:t>承包人应设立针对该项目的独立银行账户，所有要求用于该项目的资金不</w:t>
      </w:r>
    </w:p>
    <w:p w14:paraId="2956F82F">
      <w:pPr>
        <w:pStyle w:val="10"/>
        <w:spacing w:before="74"/>
        <w:ind w:left="384"/>
        <w:rPr>
          <w:rFonts w:hint="eastAsia" w:ascii="宋体" w:hAnsi="宋体" w:eastAsia="宋体" w:cs="宋体"/>
          <w:highlight w:val="none"/>
        </w:rPr>
      </w:pPr>
      <w:r>
        <w:rPr>
          <w:rFonts w:hint="eastAsia" w:ascii="宋体" w:hAnsi="宋体" w:eastAsia="宋体" w:cs="宋体"/>
          <w:highlight w:val="none"/>
        </w:rPr>
        <w:t>得挪作他用，否则发包人有权终止合同，没收履约保证金。</w:t>
      </w:r>
    </w:p>
    <w:p w14:paraId="2FDAFF7B">
      <w:pPr>
        <w:pStyle w:val="26"/>
        <w:numPr>
          <w:ilvl w:val="4"/>
          <w:numId w:val="5"/>
        </w:numPr>
        <w:tabs>
          <w:tab w:val="left" w:pos="1403"/>
          <w:tab w:val="left" w:pos="1404"/>
        </w:tabs>
        <w:spacing w:before="74"/>
        <w:rPr>
          <w:rFonts w:hint="eastAsia" w:ascii="宋体" w:hAnsi="宋体" w:eastAsia="宋体" w:cs="宋体"/>
          <w:sz w:val="24"/>
          <w:highlight w:val="none"/>
        </w:rPr>
      </w:pPr>
      <w:r>
        <w:rPr>
          <w:rFonts w:hint="eastAsia" w:ascii="宋体" w:hAnsi="宋体" w:eastAsia="宋体" w:cs="宋体"/>
          <w:sz w:val="24"/>
          <w:highlight w:val="none"/>
        </w:rPr>
        <w:t>承包人应按有关法律规定纳税，其费用包括在合同价格内。</w:t>
      </w:r>
    </w:p>
    <w:p w14:paraId="3E800685">
      <w:pPr>
        <w:pStyle w:val="26"/>
        <w:numPr>
          <w:ilvl w:val="4"/>
          <w:numId w:val="5"/>
        </w:numPr>
        <w:tabs>
          <w:tab w:val="left" w:pos="1403"/>
          <w:tab w:val="left" w:pos="1404"/>
        </w:tabs>
        <w:spacing w:before="74" w:line="297" w:lineRule="auto"/>
        <w:ind w:left="384" w:right="44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承包人应认真执行监理人发出的与合同有关的任何指令，及时进场施工， </w:t>
      </w:r>
      <w:r>
        <w:rPr>
          <w:rFonts w:hint="eastAsia" w:ascii="宋体" w:hAnsi="宋体" w:eastAsia="宋体" w:cs="宋体"/>
          <w:sz w:val="24"/>
          <w:highlight w:val="none"/>
        </w:rPr>
        <w:t>按时完成合同规定的全部承包内容。</w:t>
      </w:r>
    </w:p>
    <w:p w14:paraId="511A00AD">
      <w:pPr>
        <w:pStyle w:val="26"/>
        <w:numPr>
          <w:ilvl w:val="4"/>
          <w:numId w:val="5"/>
        </w:numPr>
        <w:tabs>
          <w:tab w:val="left" w:pos="1403"/>
          <w:tab w:val="left" w:pos="1404"/>
        </w:tabs>
        <w:spacing w:before="1" w:line="29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w:t>
      </w:r>
      <w:r>
        <w:rPr>
          <w:rFonts w:hint="eastAsia" w:ascii="宋体" w:hAnsi="宋体" w:eastAsia="宋体" w:cs="宋体"/>
          <w:spacing w:val="-7"/>
          <w:sz w:val="24"/>
          <w:highlight w:val="none"/>
        </w:rPr>
        <w:t>测设备按时到达施工现场。人员、机械、试验仪器设备不得拖延、短缺或任意更换。</w:t>
      </w:r>
      <w:r>
        <w:rPr>
          <w:rFonts w:hint="eastAsia" w:ascii="宋体" w:hAnsi="宋体" w:eastAsia="宋体" w:cs="宋体"/>
          <w:sz w:val="24"/>
          <w:highlight w:val="none"/>
        </w:rPr>
        <w:t>否则将视为承包人违约。承包人应按有关规定，确保工程及其人员、材料、设备和设施的安全，防止因工程施工造成的人员伤害和财产损失。</w:t>
      </w:r>
    </w:p>
    <w:p w14:paraId="6B21AD7D">
      <w:pPr>
        <w:pStyle w:val="26"/>
        <w:numPr>
          <w:ilvl w:val="4"/>
          <w:numId w:val="5"/>
        </w:numPr>
        <w:tabs>
          <w:tab w:val="left" w:pos="1404"/>
        </w:tabs>
        <w:spacing w:before="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承包人应按设计图纸及相关资料和规范要求，精心组织施工，并对现场文</w:t>
      </w:r>
      <w:r>
        <w:rPr>
          <w:rFonts w:hint="eastAsia" w:ascii="宋体" w:hAnsi="宋体" w:eastAsia="宋体" w:cs="宋体"/>
          <w:spacing w:val="-1"/>
          <w:sz w:val="24"/>
          <w:highlight w:val="none"/>
        </w:rPr>
        <w:t>明施工、环境保护及作业和施工方法的完备性和可靠性负全部责任。不合格的材料</w:t>
      </w:r>
      <w:r>
        <w:rPr>
          <w:rFonts w:hint="eastAsia" w:ascii="宋体" w:hAnsi="宋体" w:eastAsia="宋体" w:cs="宋体"/>
          <w:sz w:val="24"/>
          <w:highlight w:val="none"/>
        </w:rPr>
        <w:t>及机械设备不得运入现场。</w:t>
      </w:r>
    </w:p>
    <w:p w14:paraId="673F7361">
      <w:pPr>
        <w:pStyle w:val="26"/>
        <w:numPr>
          <w:ilvl w:val="4"/>
          <w:numId w:val="5"/>
        </w:numPr>
        <w:tabs>
          <w:tab w:val="left" w:pos="1529"/>
        </w:tabs>
        <w:spacing w:before="1"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承包人不得从为发包人、监理人服务的人员中招聘雇员或工人。雇用员</w:t>
      </w:r>
      <w:r>
        <w:rPr>
          <w:rFonts w:hint="eastAsia" w:ascii="宋体" w:hAnsi="宋体" w:eastAsia="宋体" w:cs="宋体"/>
          <w:spacing w:val="-1"/>
          <w:sz w:val="24"/>
          <w:highlight w:val="none"/>
        </w:rPr>
        <w:t>工应订立劳务合同，执行国家有关劳动保障规定，不得无故克扣或拖欠劳务人员的</w:t>
      </w:r>
      <w:r>
        <w:rPr>
          <w:rFonts w:hint="eastAsia" w:ascii="宋体" w:hAnsi="宋体" w:eastAsia="宋体" w:cs="宋体"/>
          <w:sz w:val="24"/>
          <w:highlight w:val="none"/>
        </w:rPr>
        <w:t>工资。</w:t>
      </w:r>
    </w:p>
    <w:p w14:paraId="7BB9CEBA">
      <w:pPr>
        <w:pStyle w:val="26"/>
        <w:numPr>
          <w:ilvl w:val="4"/>
          <w:numId w:val="5"/>
        </w:numPr>
        <w:tabs>
          <w:tab w:val="left" w:pos="1524"/>
        </w:tabs>
        <w:spacing w:before="3" w:line="297" w:lineRule="auto"/>
        <w:ind w:left="384" w:right="455"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承包人应为本合同的施工建立强有力的质量保证体系和质检体系，建立质量</w:t>
      </w:r>
      <w:r>
        <w:rPr>
          <w:rFonts w:hint="eastAsia" w:ascii="宋体" w:hAnsi="宋体" w:eastAsia="宋体" w:cs="宋体"/>
          <w:spacing w:val="-12"/>
          <w:sz w:val="24"/>
          <w:highlight w:val="none"/>
        </w:rPr>
        <w:t>责任制、加强质量监控，完备检验手段，对现场施工的可靠性、安全性承担全部责任。</w:t>
      </w:r>
    </w:p>
    <w:p w14:paraId="560A5927">
      <w:pPr>
        <w:pStyle w:val="26"/>
        <w:numPr>
          <w:ilvl w:val="4"/>
          <w:numId w:val="5"/>
        </w:numPr>
        <w:tabs>
          <w:tab w:val="left" w:pos="1524"/>
        </w:tabs>
        <w:spacing w:before="1"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批准的设计文件中要求的所有事项应视为合同条款所要求的，若有争议， </w:t>
      </w:r>
      <w:r>
        <w:rPr>
          <w:rFonts w:hint="eastAsia" w:ascii="宋体" w:hAnsi="宋体" w:eastAsia="宋体" w:cs="宋体"/>
          <w:sz w:val="24"/>
          <w:highlight w:val="none"/>
        </w:rPr>
        <w:t>以监理人发出的指令为准。</w:t>
      </w:r>
    </w:p>
    <w:p w14:paraId="6C217D4C">
      <w:pPr>
        <w:pStyle w:val="10"/>
        <w:spacing w:before="8"/>
        <w:rPr>
          <w:rFonts w:hint="eastAsia" w:ascii="宋体" w:hAnsi="宋体" w:eastAsia="宋体" w:cs="宋体"/>
          <w:sz w:val="16"/>
          <w:highlight w:val="none"/>
        </w:rPr>
      </w:pPr>
      <w:r>
        <w:rPr>
          <w:rFonts w:hint="eastAsia" w:ascii="宋体" w:hAnsi="宋体" w:eastAsia="宋体" w:cs="宋体"/>
          <w:sz w:val="24"/>
          <w:highlight w:val="none"/>
        </w:rPr>
        <w:t>承包人应负责工程移交前的照管和维护工作，确保工程正式移交时不受到损坏。</w:t>
      </w:r>
    </w:p>
    <w:p w14:paraId="36ED7C56">
      <w:pPr>
        <w:pStyle w:val="26"/>
        <w:numPr>
          <w:ilvl w:val="4"/>
          <w:numId w:val="5"/>
        </w:numPr>
        <w:tabs>
          <w:tab w:val="left" w:pos="1524"/>
        </w:tabs>
        <w:spacing w:before="7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承包人应在工程交工验收合格证书签发后 </w:t>
      </w:r>
      <w:r>
        <w:rPr>
          <w:rFonts w:hint="eastAsia" w:ascii="宋体" w:hAnsi="宋体" w:eastAsia="宋体" w:cs="宋体"/>
          <w:sz w:val="24"/>
          <w:highlight w:val="none"/>
        </w:rPr>
        <w:t>14</w:t>
      </w:r>
      <w:r>
        <w:rPr>
          <w:rFonts w:hint="eastAsia" w:ascii="宋体" w:hAnsi="宋体" w:eastAsia="宋体" w:cs="宋体"/>
          <w:spacing w:val="-12"/>
          <w:sz w:val="24"/>
          <w:highlight w:val="none"/>
        </w:rPr>
        <w:t xml:space="preserve"> </w:t>
      </w:r>
      <w:r>
        <w:rPr>
          <w:rFonts w:hint="eastAsia" w:ascii="宋体" w:hAnsi="宋体" w:eastAsia="宋体" w:cs="宋体"/>
          <w:spacing w:val="-2"/>
          <w:sz w:val="24"/>
          <w:highlight w:val="none"/>
        </w:rPr>
        <w:t>天内完成工地清理并撤离人</w:t>
      </w:r>
      <w:r>
        <w:rPr>
          <w:rFonts w:hint="eastAsia" w:ascii="宋体" w:hAnsi="宋体" w:eastAsia="宋体" w:cs="宋体"/>
          <w:sz w:val="24"/>
          <w:highlight w:val="none"/>
        </w:rPr>
        <w:t>员、设备和剩余材料。未完成缺陷责任而留置的人员、设备、材料除外。</w:t>
      </w:r>
    </w:p>
    <w:p w14:paraId="46602675">
      <w:pPr>
        <w:pStyle w:val="26"/>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承包人应按国家有关劳动保护的规定，保障其雇佣人员的合法权益。</w:t>
      </w:r>
    </w:p>
    <w:p w14:paraId="44A26D53">
      <w:pPr>
        <w:pStyle w:val="26"/>
        <w:numPr>
          <w:ilvl w:val="0"/>
          <w:numId w:val="0"/>
        </w:numPr>
        <w:tabs>
          <w:tab w:val="left" w:pos="1465"/>
        </w:tabs>
        <w:spacing w:before="74" w:line="297" w:lineRule="auto"/>
        <w:ind w:right="466" w:rightChars="0"/>
        <w:jc w:val="both"/>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承包人应严格遵守国家及地方政府有关解决拖欠工程款和农民工工资的</w:t>
      </w:r>
      <w:r>
        <w:rPr>
          <w:rFonts w:hint="eastAsia" w:ascii="宋体" w:hAnsi="宋体" w:eastAsia="宋体" w:cs="宋体"/>
          <w:spacing w:val="-5"/>
          <w:sz w:val="24"/>
          <w:highlight w:val="none"/>
        </w:rPr>
        <w:t>法律、法规、规章及规范性文件，及时支付工程中的材料、设备货款及农民工工资</w:t>
      </w:r>
      <w:r>
        <w:rPr>
          <w:rFonts w:hint="eastAsia" w:ascii="宋体" w:hAnsi="宋体" w:eastAsia="宋体" w:cs="宋体"/>
          <w:spacing w:val="-4"/>
          <w:sz w:val="24"/>
          <w:highlight w:val="none"/>
        </w:rPr>
        <w:t>等费用。对恶意拖欠和拒不按计划支付的，作为不良记录纳入公路建设市场信用信</w:t>
      </w:r>
      <w:r>
        <w:rPr>
          <w:rFonts w:hint="eastAsia" w:ascii="宋体" w:hAnsi="宋体" w:eastAsia="宋体" w:cs="宋体"/>
          <w:spacing w:val="-3"/>
          <w:sz w:val="24"/>
          <w:highlight w:val="none"/>
        </w:rPr>
        <w:t>息管理系统；</w:t>
      </w:r>
    </w:p>
    <w:p w14:paraId="3B3BB9BC">
      <w:pPr>
        <w:pStyle w:val="26"/>
        <w:numPr>
          <w:ilvl w:val="0"/>
          <w:numId w:val="0"/>
        </w:numPr>
        <w:tabs>
          <w:tab w:val="left" w:pos="1465"/>
        </w:tabs>
        <w:spacing w:before="11" w:line="30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2</w:t>
      </w:r>
      <w:r>
        <w:rPr>
          <w:rFonts w:hint="eastAsia" w:cs="宋体"/>
          <w:spacing w:val="-2"/>
          <w:sz w:val="24"/>
          <w:highlight w:val="none"/>
          <w:lang w:eastAsia="zh-CN"/>
        </w:rPr>
        <w:t>）</w:t>
      </w:r>
      <w:r>
        <w:rPr>
          <w:rFonts w:hint="eastAsia" w:ascii="宋体" w:hAnsi="宋体" w:eastAsia="宋体" w:cs="宋体"/>
          <w:spacing w:val="-2"/>
          <w:sz w:val="24"/>
          <w:highlight w:val="none"/>
        </w:rPr>
        <w:t xml:space="preserve">承包人应当依法与每一名农民工或具有劳务资质的劳务公司签订合同， </w:t>
      </w:r>
      <w:r>
        <w:rPr>
          <w:rFonts w:hint="eastAsia" w:ascii="宋体" w:hAnsi="宋体" w:eastAsia="宋体" w:cs="宋体"/>
          <w:spacing w:val="-5"/>
          <w:sz w:val="24"/>
          <w:highlight w:val="none"/>
        </w:rPr>
        <w:t>合同中应当明确约定工作内容、工作要求、工作条件、工作地点、安全生产要求、</w:t>
      </w:r>
      <w:r>
        <w:rPr>
          <w:rFonts w:hint="eastAsia" w:ascii="宋体" w:hAnsi="宋体" w:eastAsia="宋体" w:cs="宋体"/>
          <w:spacing w:val="-4"/>
          <w:sz w:val="24"/>
          <w:highlight w:val="none"/>
        </w:rPr>
        <w:t>劳动报酬</w:t>
      </w:r>
      <w:r>
        <w:rPr>
          <w:rFonts w:hint="eastAsia" w:ascii="宋体" w:hAnsi="宋体" w:eastAsia="宋体" w:cs="宋体"/>
          <w:sz w:val="24"/>
          <w:highlight w:val="none"/>
        </w:rPr>
        <w:t>（包括工日单价或计量单价）、支付时间和支付方式等内容，在签订劳务</w:t>
      </w:r>
      <w:r>
        <w:rPr>
          <w:rFonts w:hint="eastAsia" w:ascii="宋体" w:hAnsi="宋体" w:eastAsia="宋体" w:cs="宋体"/>
          <w:spacing w:val="-4"/>
          <w:sz w:val="24"/>
          <w:highlight w:val="none"/>
        </w:rPr>
        <w:t>或劳动合同后，农民工方可进场。承包人临时或短期聘用农民工的，应当签订短期</w:t>
      </w:r>
      <w:r>
        <w:rPr>
          <w:rFonts w:hint="eastAsia" w:ascii="宋体" w:hAnsi="宋体" w:eastAsia="宋体" w:cs="宋体"/>
          <w:spacing w:val="-3"/>
          <w:sz w:val="24"/>
          <w:highlight w:val="none"/>
        </w:rPr>
        <w:t>临时合同。</w:t>
      </w:r>
    </w:p>
    <w:p w14:paraId="4DF9D6C6">
      <w:pPr>
        <w:pStyle w:val="26"/>
        <w:numPr>
          <w:ilvl w:val="0"/>
          <w:numId w:val="0"/>
        </w:numPr>
        <w:tabs>
          <w:tab w:val="left" w:pos="1465"/>
        </w:tabs>
        <w:spacing w:line="304" w:lineRule="auto"/>
        <w:ind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承包人项目部应当配备劳资专管员，对农民工实行实名制管理，记录施</w:t>
      </w:r>
      <w:r>
        <w:rPr>
          <w:rFonts w:hint="eastAsia" w:ascii="宋体" w:hAnsi="宋体" w:eastAsia="宋体" w:cs="宋体"/>
          <w:spacing w:val="-5"/>
          <w:sz w:val="24"/>
          <w:highlight w:val="none"/>
        </w:rPr>
        <w:t>工人员进出场情况和施工现场作业农民工的身份信息、劳动考勤，建立工资结算与</w:t>
      </w:r>
      <w:r>
        <w:rPr>
          <w:rFonts w:hint="eastAsia" w:ascii="宋体" w:hAnsi="宋体" w:eastAsia="宋体" w:cs="宋体"/>
          <w:spacing w:val="-4"/>
          <w:sz w:val="24"/>
          <w:highlight w:val="none"/>
        </w:rPr>
        <w:t>支付等管理台账，审核分包人编制的农民工工资支付表，实时掌握施工现场用工及其工资支付情况，不得以包代管。</w:t>
      </w:r>
    </w:p>
    <w:p w14:paraId="1A741F8C">
      <w:pPr>
        <w:pStyle w:val="26"/>
        <w:numPr>
          <w:ilvl w:val="0"/>
          <w:numId w:val="0"/>
        </w:numPr>
        <w:tabs>
          <w:tab w:val="left" w:pos="1465"/>
        </w:tabs>
        <w:spacing w:line="307" w:lineRule="auto"/>
        <w:ind w:right="466" w:rightChars="0"/>
        <w:rPr>
          <w:rFonts w:hint="eastAsia" w:ascii="宋体" w:hAnsi="宋体" w:eastAsia="宋体" w:cs="宋体"/>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4</w:t>
      </w:r>
      <w:r>
        <w:rPr>
          <w:rFonts w:hint="eastAsia" w:cs="宋体"/>
          <w:spacing w:val="-6"/>
          <w:sz w:val="24"/>
          <w:highlight w:val="none"/>
          <w:lang w:eastAsia="zh-CN"/>
        </w:rPr>
        <w:t>）</w:t>
      </w:r>
      <w:r>
        <w:rPr>
          <w:rFonts w:hint="eastAsia" w:ascii="宋体" w:hAnsi="宋体" w:eastAsia="宋体" w:cs="宋体"/>
          <w:spacing w:val="-6"/>
          <w:sz w:val="24"/>
          <w:highlight w:val="none"/>
        </w:rPr>
        <w:t>农民工工资的发放，应严格按照国家及地方政府有关法律、法规、规章及</w:t>
      </w:r>
      <w:r>
        <w:rPr>
          <w:rFonts w:hint="eastAsia" w:ascii="宋体" w:hAnsi="宋体" w:eastAsia="宋体" w:cs="宋体"/>
          <w:sz w:val="24"/>
          <w:highlight w:val="none"/>
        </w:rPr>
        <w:t>规范性文件的规定执行。</w:t>
      </w:r>
    </w:p>
    <w:p w14:paraId="09C4CD55">
      <w:pPr>
        <w:pStyle w:val="10"/>
        <w:spacing w:before="3"/>
        <w:ind w:firstLine="480" w:firstLineChars="200"/>
        <w:rPr>
          <w:rFonts w:hint="eastAsia" w:ascii="宋体" w:hAnsi="宋体" w:eastAsia="宋体" w:cs="宋体"/>
          <w:highlight w:val="none"/>
        </w:rPr>
      </w:pPr>
      <w:r>
        <w:rPr>
          <w:rFonts w:hint="eastAsia" w:ascii="宋体" w:hAnsi="宋体" w:eastAsia="宋体" w:cs="宋体"/>
          <w:highlight w:val="none"/>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8DAC6E3">
      <w:pPr>
        <w:pStyle w:val="10"/>
        <w:spacing w:line="304" w:lineRule="auto"/>
        <w:ind w:right="266" w:firstLine="480" w:firstLineChars="200"/>
        <w:rPr>
          <w:rFonts w:hint="eastAsia" w:ascii="宋体" w:hAnsi="宋体" w:eastAsia="宋体" w:cs="宋体"/>
          <w:highlight w:val="none"/>
        </w:rPr>
      </w:pPr>
      <w:r>
        <w:rPr>
          <w:rFonts w:hint="eastAsia" w:ascii="宋体" w:hAnsi="宋体" w:eastAsia="宋体" w:cs="宋体"/>
          <w:highlight w:val="none"/>
        </w:rPr>
        <w:t>分包人应按月考核农民工工作量并编制工资支付表，经农民工本人签字确认后， 交承包人汇总核定并报发包人。发包人支付工程款中的人工费用后，承包人将核定的分包人工资支付表提交银行，由银行通过专用账户将工资代付到农民工个人银行账户，并向分包人提供代发工资凭证。</w:t>
      </w:r>
    </w:p>
    <w:p w14:paraId="587D500A">
      <w:pPr>
        <w:pStyle w:val="26"/>
        <w:numPr>
          <w:ilvl w:val="0"/>
          <w:numId w:val="0"/>
        </w:numPr>
        <w:tabs>
          <w:tab w:val="left" w:pos="1465"/>
        </w:tabs>
        <w:spacing w:before="1" w:line="304" w:lineRule="auto"/>
        <w:ind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pacing w:val="-4"/>
          <w:sz w:val="24"/>
          <w:highlight w:val="none"/>
        </w:rPr>
        <w:t>为确保施工过程中农民工工资实时、足额发放到位，承包人应按照项目</w:t>
      </w:r>
      <w:r>
        <w:rPr>
          <w:rFonts w:hint="eastAsia" w:ascii="宋体" w:hAnsi="宋体" w:eastAsia="宋体" w:cs="宋体"/>
          <w:spacing w:val="-5"/>
          <w:sz w:val="24"/>
          <w:highlight w:val="none"/>
        </w:rPr>
        <w:t>合同条款约定的时间、金额、形式缴存农民工工资保证金。</w:t>
      </w:r>
    </w:p>
    <w:p w14:paraId="4B8E228B">
      <w:pPr>
        <w:pStyle w:val="10"/>
        <w:spacing w:before="4"/>
        <w:rPr>
          <w:rFonts w:hint="eastAsia" w:ascii="宋体" w:hAnsi="宋体" w:eastAsia="宋体" w:cs="宋体"/>
          <w:highlight w:val="none"/>
        </w:rPr>
      </w:pPr>
      <w:r>
        <w:rPr>
          <w:rFonts w:hint="eastAsia" w:cs="宋体"/>
          <w:highlight w:val="none"/>
          <w:lang w:eastAsia="zh-CN"/>
        </w:rPr>
        <w:t>（</w:t>
      </w:r>
      <w:r>
        <w:rPr>
          <w:rFonts w:hint="eastAsia" w:cs="宋体"/>
          <w:highlight w:val="none"/>
          <w:lang w:val="en-US" w:eastAsia="zh-CN"/>
        </w:rPr>
        <w:t>6</w:t>
      </w:r>
      <w:r>
        <w:rPr>
          <w:rFonts w:hint="eastAsia" w:cs="宋体"/>
          <w:highlight w:val="none"/>
          <w:lang w:eastAsia="zh-CN"/>
        </w:rPr>
        <w:t>）</w:t>
      </w:r>
      <w:r>
        <w:rPr>
          <w:rFonts w:hint="eastAsia" w:ascii="宋体" w:hAnsi="宋体" w:eastAsia="宋体" w:cs="宋体"/>
          <w:highlight w:val="none"/>
        </w:rPr>
        <w:t>农民工工资保证金的缴存时间：承包项目开工前；</w:t>
      </w:r>
    </w:p>
    <w:p w14:paraId="36D2B187">
      <w:pPr>
        <w:pStyle w:val="10"/>
        <w:spacing w:before="84" w:line="304" w:lineRule="auto"/>
        <w:ind w:right="467"/>
        <w:rPr>
          <w:rFonts w:hint="eastAsia" w:ascii="宋体" w:hAnsi="宋体" w:eastAsia="宋体" w:cs="宋体"/>
          <w:sz w:val="18"/>
          <w:highlight w:val="none"/>
        </w:rPr>
      </w:pPr>
      <w:r>
        <w:rPr>
          <w:rFonts w:hint="eastAsia" w:cs="宋体"/>
          <w:spacing w:val="-1"/>
          <w:highlight w:val="none"/>
          <w:lang w:eastAsia="zh-CN"/>
        </w:rPr>
        <w:t>（</w:t>
      </w:r>
      <w:r>
        <w:rPr>
          <w:rFonts w:hint="eastAsia" w:cs="宋体"/>
          <w:spacing w:val="-1"/>
          <w:highlight w:val="none"/>
          <w:lang w:val="en-US" w:eastAsia="zh-CN"/>
        </w:rPr>
        <w:t>7</w:t>
      </w:r>
      <w:r>
        <w:rPr>
          <w:rFonts w:hint="eastAsia" w:cs="宋体"/>
          <w:spacing w:val="-1"/>
          <w:highlight w:val="none"/>
          <w:lang w:eastAsia="zh-CN"/>
        </w:rPr>
        <w:t>）</w:t>
      </w:r>
      <w:r>
        <w:rPr>
          <w:rFonts w:hint="eastAsia" w:ascii="宋体" w:hAnsi="宋体" w:eastAsia="宋体" w:cs="宋体"/>
          <w:spacing w:val="-1"/>
          <w:highlight w:val="none"/>
        </w:rPr>
        <w:t>农民工工资保证金的缴存金额：按《新疆维吾尔自治区农民工工资保证金管理</w:t>
      </w:r>
      <w:r>
        <w:rPr>
          <w:rFonts w:hint="eastAsia" w:ascii="宋体" w:hAnsi="宋体" w:eastAsia="宋体" w:cs="宋体"/>
          <w:highlight w:val="none"/>
        </w:rPr>
        <w:t>暂行办法》（新政办发[2007]114</w:t>
      </w:r>
      <w:r>
        <w:rPr>
          <w:rFonts w:hint="eastAsia" w:ascii="宋体" w:hAnsi="宋体" w:eastAsia="宋体" w:cs="宋体"/>
          <w:spacing w:val="-3"/>
          <w:highlight w:val="none"/>
        </w:rPr>
        <w:t xml:space="preserve"> </w:t>
      </w:r>
      <w:r>
        <w:rPr>
          <w:rFonts w:hint="eastAsia" w:ascii="宋体" w:hAnsi="宋体" w:eastAsia="宋体" w:cs="宋体"/>
          <w:highlight w:val="none"/>
        </w:rPr>
        <w:t>号）的有关规定缴纳；</w:t>
      </w:r>
    </w:p>
    <w:p w14:paraId="64AC77C6">
      <w:pPr>
        <w:pStyle w:val="10"/>
        <w:spacing w:before="66" w:line="307" w:lineRule="auto"/>
        <w:ind w:left="384" w:right="466" w:firstLine="480"/>
        <w:jc w:val="both"/>
        <w:rPr>
          <w:rFonts w:hint="eastAsia" w:ascii="宋体" w:hAnsi="宋体" w:eastAsia="宋体" w:cs="宋体"/>
          <w:highlight w:val="none"/>
        </w:rPr>
      </w:pPr>
      <w:r>
        <w:rPr>
          <w:rFonts w:hint="eastAsia" w:ascii="宋体" w:hAnsi="宋体" w:eastAsia="宋体" w:cs="宋体"/>
          <w:highlight w:val="none"/>
        </w:rPr>
        <w:t>农民工工资保证金的缴存形式：可采用银行保函或现金、支票形式。采用银行保函时，出具保函的银行须具有相应担保能力，且按照发包人批准的格式出具，所需费用由承包人承担。</w:t>
      </w:r>
    </w:p>
    <w:p w14:paraId="7D769726">
      <w:pPr>
        <w:pStyle w:val="10"/>
        <w:spacing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217561B7">
      <w:pPr>
        <w:pStyle w:val="10"/>
        <w:spacing w:before="8" w:line="312" w:lineRule="auto"/>
        <w:ind w:right="346" w:firstLine="452" w:firstLineChars="200"/>
        <w:rPr>
          <w:rFonts w:hint="eastAsia" w:ascii="宋体" w:hAnsi="宋体" w:eastAsia="宋体" w:cs="宋体"/>
          <w:highlight w:val="none"/>
        </w:rPr>
      </w:pPr>
      <w:r>
        <w:rPr>
          <w:rFonts w:hint="eastAsia" w:ascii="宋体" w:hAnsi="宋体" w:eastAsia="宋体" w:cs="宋体"/>
          <w:spacing w:val="-7"/>
          <w:highlight w:val="none"/>
        </w:rPr>
        <w:t>农民工工资保证金的扣留条件：承包人拖欠工资被责令限期支付逾期未支付时；</w:t>
      </w:r>
      <w:r>
        <w:rPr>
          <w:rFonts w:hint="eastAsia" w:ascii="宋体" w:hAnsi="宋体" w:eastAsia="宋体" w:cs="宋体"/>
          <w:highlight w:val="none"/>
        </w:rPr>
        <w:t>民工工资保证金的返还时间：交工证书签发后两个月内无农民工工资纠纷发生，发包人将保证金全额退还给承包人。</w:t>
      </w:r>
    </w:p>
    <w:p w14:paraId="7F32DF7B">
      <w:pPr>
        <w:pStyle w:val="26"/>
        <w:numPr>
          <w:ilvl w:val="0"/>
          <w:numId w:val="0"/>
        </w:numPr>
        <w:tabs>
          <w:tab w:val="left" w:pos="1465"/>
        </w:tabs>
        <w:spacing w:before="76" w:line="29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1</w:t>
      </w:r>
      <w:r>
        <w:rPr>
          <w:rFonts w:hint="eastAsia" w:cs="宋体"/>
          <w:spacing w:val="-2"/>
          <w:sz w:val="24"/>
          <w:highlight w:val="none"/>
          <w:lang w:eastAsia="zh-CN"/>
        </w:rPr>
        <w:t>）</w:t>
      </w:r>
      <w:r>
        <w:rPr>
          <w:rFonts w:hint="eastAsia" w:ascii="宋体" w:hAnsi="宋体" w:eastAsia="宋体" w:cs="宋体"/>
          <w:spacing w:val="-2"/>
          <w:sz w:val="24"/>
          <w:highlight w:val="none"/>
        </w:rPr>
        <w:t>承包人应当在施工现场醒目位置设立维权信息告示牌，按照行政监督部</w:t>
      </w:r>
      <w:r>
        <w:rPr>
          <w:rFonts w:hint="eastAsia" w:ascii="宋体" w:hAnsi="宋体" w:eastAsia="宋体" w:cs="宋体"/>
          <w:spacing w:val="-5"/>
          <w:sz w:val="24"/>
          <w:highlight w:val="none"/>
        </w:rPr>
        <w:t>门和发包人的要求进行维权信息公示明示。工程通过交工验收后，承包人对无拖欠</w:t>
      </w:r>
      <w:r>
        <w:rPr>
          <w:rFonts w:hint="eastAsia" w:ascii="宋体" w:hAnsi="宋体" w:eastAsia="宋体" w:cs="宋体"/>
          <w:spacing w:val="-9"/>
          <w:sz w:val="24"/>
          <w:highlight w:val="none"/>
        </w:rPr>
        <w:t>农民工工资情况进行不少于</w:t>
      </w:r>
      <w:r>
        <w:rPr>
          <w:rFonts w:hint="eastAsia" w:ascii="宋体" w:hAnsi="宋体" w:eastAsia="宋体" w:cs="宋体"/>
          <w:sz w:val="24"/>
          <w:highlight w:val="none"/>
        </w:rPr>
        <w:t>30</w:t>
      </w:r>
      <w:r>
        <w:rPr>
          <w:rFonts w:hint="eastAsia" w:ascii="宋体" w:hAnsi="宋体" w:eastAsia="宋体" w:cs="宋体"/>
          <w:spacing w:val="-10"/>
          <w:sz w:val="24"/>
          <w:highlight w:val="none"/>
        </w:rPr>
        <w:t>日的公示，公示期间无举报投诉的，持发包人审核确</w:t>
      </w:r>
      <w:r>
        <w:rPr>
          <w:rFonts w:hint="eastAsia" w:ascii="宋体" w:hAnsi="宋体" w:eastAsia="宋体" w:cs="宋体"/>
          <w:spacing w:val="-5"/>
          <w:sz w:val="24"/>
          <w:highlight w:val="none"/>
        </w:rPr>
        <w:t>认意见到开户银行办理农民工工资专用账户撤销手续，账户内余额归承包人所有。</w:t>
      </w:r>
    </w:p>
    <w:p w14:paraId="4AB10088">
      <w:pPr>
        <w:pStyle w:val="26"/>
        <w:numPr>
          <w:ilvl w:val="0"/>
          <w:numId w:val="0"/>
        </w:numPr>
        <w:tabs>
          <w:tab w:val="left" w:pos="1465"/>
        </w:tabs>
        <w:spacing w:before="11" w:line="307" w:lineRule="auto"/>
        <w:ind w:right="34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pacing w:val="-4"/>
          <w:sz w:val="24"/>
          <w:highlight w:val="none"/>
        </w:rPr>
        <w:t>为认真贯彻落实自治区党委、人民政府关于使用农民工解决我区农村劳动力了过剩、增加农民收入有关问题的指示精神，承包人应严格按《关于印发自治区固定资产投资项目促进农村劳动力培训就业工作实施方案的通知</w:t>
      </w:r>
      <w:r>
        <w:rPr>
          <w:rFonts w:hint="eastAsia" w:ascii="宋体" w:hAnsi="宋体" w:eastAsia="宋体" w:cs="宋体"/>
          <w:spacing w:val="-216"/>
          <w:sz w:val="24"/>
          <w:highlight w:val="none"/>
        </w:rPr>
        <w:t>》</w:t>
      </w:r>
      <w:r>
        <w:rPr>
          <w:rFonts w:hint="eastAsia" w:ascii="宋体" w:hAnsi="宋体" w:eastAsia="宋体" w:cs="宋体"/>
          <w:sz w:val="24"/>
          <w:highlight w:val="none"/>
        </w:rPr>
        <w:t>（</w:t>
      </w:r>
      <w:r>
        <w:rPr>
          <w:rFonts w:hint="eastAsia" w:ascii="宋体" w:hAnsi="宋体" w:eastAsia="宋体" w:cs="宋体"/>
          <w:spacing w:val="-22"/>
          <w:sz w:val="24"/>
          <w:highlight w:val="none"/>
        </w:rPr>
        <w:t>新政办发〔</w:t>
      </w:r>
      <w:r>
        <w:rPr>
          <w:rFonts w:hint="eastAsia" w:ascii="宋体" w:hAnsi="宋体" w:eastAsia="宋体" w:cs="宋体"/>
          <w:sz w:val="24"/>
          <w:highlight w:val="none"/>
        </w:rPr>
        <w:t>2017</w:t>
      </w:r>
      <w:r>
        <w:rPr>
          <w:rFonts w:hint="eastAsia" w:ascii="宋体" w:hAnsi="宋体" w:eastAsia="宋体" w:cs="宋体"/>
          <w:spacing w:val="-18"/>
          <w:sz w:val="24"/>
          <w:highlight w:val="none"/>
        </w:rPr>
        <w:t>〕</w:t>
      </w:r>
      <w:r>
        <w:rPr>
          <w:rFonts w:hint="eastAsia" w:ascii="宋体" w:hAnsi="宋体" w:eastAsia="宋体" w:cs="宋体"/>
          <w:sz w:val="24"/>
          <w:highlight w:val="none"/>
        </w:rPr>
        <w:t>62 号</w:t>
      </w:r>
      <w:r>
        <w:rPr>
          <w:rFonts w:hint="eastAsia" w:ascii="宋体" w:hAnsi="宋体" w:eastAsia="宋体" w:cs="宋体"/>
          <w:spacing w:val="-84"/>
          <w:sz w:val="24"/>
          <w:highlight w:val="none"/>
        </w:rPr>
        <w:t>）</w:t>
      </w:r>
      <w:r>
        <w:rPr>
          <w:rFonts w:hint="eastAsia" w:ascii="宋体" w:hAnsi="宋体" w:eastAsia="宋体" w:cs="宋体"/>
          <w:spacing w:val="-14"/>
          <w:sz w:val="24"/>
          <w:highlight w:val="none"/>
        </w:rPr>
        <w:t>、《关于在公路基础设施建设中使用农民工有关意见的通知</w:t>
      </w:r>
      <w:r>
        <w:rPr>
          <w:rFonts w:hint="eastAsia" w:ascii="宋体" w:hAnsi="宋体" w:eastAsia="宋体" w:cs="宋体"/>
          <w:spacing w:val="-168"/>
          <w:sz w:val="24"/>
          <w:highlight w:val="none"/>
        </w:rPr>
        <w:t>》</w:t>
      </w:r>
      <w:r>
        <w:rPr>
          <w:rFonts w:hint="eastAsia" w:ascii="宋体" w:hAnsi="宋体" w:eastAsia="宋体" w:cs="宋体"/>
          <w:spacing w:val="-3"/>
          <w:sz w:val="24"/>
          <w:highlight w:val="none"/>
        </w:rPr>
        <w:t>（</w:t>
      </w:r>
      <w:r>
        <w:rPr>
          <w:rFonts w:hint="eastAsia" w:ascii="宋体" w:hAnsi="宋体" w:eastAsia="宋体" w:cs="宋体"/>
          <w:sz w:val="24"/>
          <w:highlight w:val="none"/>
        </w:rPr>
        <w:t>新交综[2003]42 号文）、《新疆维吾尔自治区交通厅关于交通建设项目防止拖欠工程款和农民工工资管理暂行办法（试行）》、《新疆维吾尔自治区公路工程建设农民工用工管理办</w:t>
      </w:r>
      <w:r>
        <w:rPr>
          <w:rFonts w:hint="eastAsia" w:ascii="宋体" w:hAnsi="宋体" w:eastAsia="宋体" w:cs="宋体"/>
          <w:spacing w:val="-3"/>
          <w:sz w:val="24"/>
          <w:highlight w:val="none"/>
        </w:rPr>
        <w:t>法</w:t>
      </w:r>
      <w:r>
        <w:rPr>
          <w:rFonts w:hint="eastAsia" w:ascii="宋体" w:hAnsi="宋体" w:eastAsia="宋体" w:cs="宋体"/>
          <w:sz w:val="24"/>
          <w:highlight w:val="none"/>
        </w:rPr>
        <w:t>（试行</w:t>
      </w:r>
      <w:r>
        <w:rPr>
          <w:rFonts w:hint="eastAsia" w:ascii="宋体" w:hAnsi="宋体" w:eastAsia="宋体" w:cs="宋体"/>
          <w:spacing w:val="-5"/>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新交工程〔</w:t>
      </w:r>
      <w:r>
        <w:rPr>
          <w:rFonts w:hint="eastAsia" w:ascii="宋体" w:hAnsi="宋体" w:eastAsia="宋体" w:cs="宋体"/>
          <w:sz w:val="24"/>
          <w:highlight w:val="none"/>
        </w:rPr>
        <w:t>2017</w:t>
      </w:r>
      <w:r>
        <w:rPr>
          <w:rFonts w:hint="eastAsia" w:ascii="宋体" w:hAnsi="宋体" w:eastAsia="宋体" w:cs="宋体"/>
          <w:spacing w:val="-5"/>
          <w:sz w:val="24"/>
          <w:highlight w:val="none"/>
        </w:rPr>
        <w:t>〕</w:t>
      </w:r>
      <w:r>
        <w:rPr>
          <w:rFonts w:hint="eastAsia" w:ascii="宋体" w:hAnsi="宋体" w:eastAsia="宋体" w:cs="宋体"/>
          <w:sz w:val="24"/>
          <w:highlight w:val="none"/>
        </w:rPr>
        <w:t>16</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号</w:t>
      </w:r>
      <w:r>
        <w:rPr>
          <w:rFonts w:hint="eastAsia" w:ascii="宋体" w:hAnsi="宋体" w:eastAsia="宋体" w:cs="宋体"/>
          <w:spacing w:val="-3"/>
          <w:sz w:val="24"/>
          <w:highlight w:val="none"/>
        </w:rPr>
        <w:t>）</w:t>
      </w:r>
      <w:r>
        <w:rPr>
          <w:rFonts w:hint="eastAsia" w:ascii="宋体" w:hAnsi="宋体" w:eastAsia="宋体" w:cs="宋体"/>
          <w:spacing w:val="-1"/>
          <w:sz w:val="24"/>
          <w:highlight w:val="none"/>
        </w:rPr>
        <w:t>等相关规定，在施工中选用除技术工以外</w:t>
      </w:r>
      <w:r>
        <w:rPr>
          <w:rFonts w:hint="eastAsia" w:ascii="宋体" w:hAnsi="宋体" w:eastAsia="宋体" w:cs="宋体"/>
          <w:spacing w:val="-4"/>
          <w:sz w:val="24"/>
          <w:highlight w:val="none"/>
        </w:rPr>
        <w:t xml:space="preserve">的普工时要使用项目沿线或附近的农民工，且数量不得低于普工总数的 </w:t>
      </w:r>
      <w:r>
        <w:rPr>
          <w:rFonts w:hint="eastAsia" w:ascii="宋体" w:hAnsi="宋体" w:eastAsia="宋体" w:cs="宋体"/>
          <w:spacing w:val="-3"/>
          <w:sz w:val="24"/>
          <w:highlight w:val="none"/>
        </w:rPr>
        <w:t>90</w:t>
      </w:r>
      <w:r>
        <w:rPr>
          <w:rFonts w:hint="eastAsia" w:ascii="宋体" w:hAnsi="宋体" w:eastAsia="宋体" w:cs="宋体"/>
          <w:spacing w:val="-2"/>
          <w:sz w:val="24"/>
          <w:highlight w:val="none"/>
        </w:rPr>
        <w:t>％；要制定相应的计划和措施。</w:t>
      </w:r>
    </w:p>
    <w:p w14:paraId="6788605A">
      <w:pPr>
        <w:pStyle w:val="26"/>
        <w:numPr>
          <w:ilvl w:val="4"/>
          <w:numId w:val="5"/>
        </w:numPr>
        <w:tabs>
          <w:tab w:val="left" w:pos="1523"/>
          <w:tab w:val="left" w:pos="1524"/>
        </w:tabs>
        <w:spacing w:line="293"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承包人应负责处理其雇佣人员因工伤亡事故的善后事宜。</w:t>
      </w:r>
    </w:p>
    <w:p w14:paraId="37A68022">
      <w:pPr>
        <w:pStyle w:val="26"/>
        <w:numPr>
          <w:ilvl w:val="4"/>
          <w:numId w:val="5"/>
        </w:numPr>
        <w:tabs>
          <w:tab w:val="left" w:pos="1523"/>
          <w:tab w:val="left" w:pos="1524"/>
        </w:tabs>
        <w:spacing w:before="84"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承包人应按国家有关劳动保护的规定，采取有效的防止粉尘、降低噪声、</w:t>
      </w:r>
      <w:r>
        <w:rPr>
          <w:rFonts w:hint="eastAsia" w:ascii="宋体" w:hAnsi="宋体" w:eastAsia="宋体" w:cs="宋体"/>
          <w:sz w:val="24"/>
          <w:highlight w:val="none"/>
        </w:rPr>
        <w:t>控制有害气体和保障高温、高寒、高空作业安全等劳动保护措施。其雇佣人员在施工中受到伤害的，承包人应立即采取有效措施进行抢救和治疗。</w:t>
      </w:r>
    </w:p>
    <w:p w14:paraId="6CF8FF4C">
      <w:pPr>
        <w:pStyle w:val="26"/>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承包人应为其雇佣人员提供必要的食宿条件，以及符合环境保护和卫生</w:t>
      </w:r>
      <w:r>
        <w:rPr>
          <w:rFonts w:hint="eastAsia" w:ascii="宋体" w:hAnsi="宋体" w:eastAsia="宋体" w:cs="宋体"/>
          <w:spacing w:val="-1"/>
          <w:sz w:val="24"/>
          <w:highlight w:val="none"/>
        </w:rPr>
        <w:t>要求的生活环境，在远离城镇的施工场地，还应配备必要的伤病防治和急救的医务</w:t>
      </w:r>
      <w:r>
        <w:rPr>
          <w:rFonts w:hint="eastAsia" w:ascii="宋体" w:hAnsi="宋体" w:eastAsia="宋体" w:cs="宋体"/>
          <w:sz w:val="24"/>
          <w:highlight w:val="none"/>
        </w:rPr>
        <w:t>人员与医疗设施。</w:t>
      </w:r>
    </w:p>
    <w:p w14:paraId="20702D40">
      <w:pPr>
        <w:pStyle w:val="26"/>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承包人应履行的其他义务</w:t>
      </w:r>
    </w:p>
    <w:p w14:paraId="1330B391">
      <w:pPr>
        <w:pStyle w:val="10"/>
        <w:rPr>
          <w:rFonts w:hint="eastAsia" w:ascii="宋体" w:hAnsi="宋体" w:eastAsia="宋体" w:cs="宋体"/>
          <w:sz w:val="18"/>
          <w:highlight w:val="none"/>
        </w:rPr>
      </w:pPr>
      <w:r>
        <w:rPr>
          <w:rFonts w:hint="eastAsia" w:ascii="宋体" w:hAnsi="宋体" w:eastAsia="宋体" w:cs="宋体"/>
          <w:spacing w:val="-10"/>
          <w:sz w:val="24"/>
          <w:highlight w:val="none"/>
        </w:rPr>
        <w:t>凡是与已建铁路、公路、堤防、通讯及电力缆线、供水、输油、输气管道、</w:t>
      </w:r>
      <w:r>
        <w:rPr>
          <w:rFonts w:hint="eastAsia" w:ascii="宋体" w:hAnsi="宋体" w:eastAsia="宋体" w:cs="宋体"/>
          <w:spacing w:val="-8"/>
          <w:sz w:val="24"/>
          <w:highlight w:val="none"/>
        </w:rPr>
        <w:t>居民住宅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w:t>
      </w:r>
    </w:p>
    <w:p w14:paraId="796AA948">
      <w:pPr>
        <w:pStyle w:val="10"/>
        <w:spacing w:before="66" w:line="307" w:lineRule="auto"/>
        <w:ind w:left="384" w:right="458"/>
        <w:jc w:val="both"/>
        <w:rPr>
          <w:rFonts w:hint="eastAsia" w:ascii="宋体" w:hAnsi="宋体" w:eastAsia="宋体" w:cs="宋体"/>
          <w:highlight w:val="none"/>
        </w:rPr>
      </w:pPr>
      <w:r>
        <w:rPr>
          <w:rFonts w:hint="eastAsia" w:ascii="宋体" w:hAnsi="宋体" w:eastAsia="宋体" w:cs="宋体"/>
          <w:spacing w:val="-8"/>
          <w:highlight w:val="none"/>
        </w:rPr>
        <w:t>是标段内与其他在建工程有互扰的地段，承包人应做好与其他施工单位的协调工作； 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01109C62">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如因承包人采取的措施不利，影响铁路、公路、通讯及电力缆线、供水、输油、</w:t>
      </w:r>
      <w:r>
        <w:rPr>
          <w:rFonts w:hint="eastAsia" w:ascii="宋体" w:hAnsi="宋体" w:eastAsia="宋体" w:cs="宋体"/>
          <w:highlight w:val="none"/>
        </w:rPr>
        <w:t>输气管道等正常安全营运、居民的正常生活而给其它部门或个人造成的一切损失， 或由于上述原因造成本工程工期的拖延或施工费用的增加，均由承包人自行负责， 发包人不承担任何责任。</w:t>
      </w:r>
    </w:p>
    <w:p w14:paraId="7C011256">
      <w:pPr>
        <w:pStyle w:val="26"/>
        <w:numPr>
          <w:ilvl w:val="0"/>
          <w:numId w:val="6"/>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承包人在进场前及进场施工后，应充分了解工程所在地的民族习惯、宗</w:t>
      </w:r>
      <w:r>
        <w:rPr>
          <w:rFonts w:hint="eastAsia" w:ascii="宋体" w:hAnsi="宋体" w:eastAsia="宋体" w:cs="宋体"/>
          <w:spacing w:val="-5"/>
          <w:sz w:val="24"/>
          <w:highlight w:val="none"/>
        </w:rPr>
        <w:t>教信仰、饮食禁忌等情况，并尊重当地居民的各种习俗，在施工队伍中做好宣传教</w:t>
      </w:r>
      <w:r>
        <w:rPr>
          <w:rFonts w:hint="eastAsia" w:ascii="宋体" w:hAnsi="宋体" w:eastAsia="宋体" w:cs="宋体"/>
          <w:spacing w:val="-4"/>
          <w:sz w:val="24"/>
          <w:highlight w:val="none"/>
        </w:rPr>
        <w:t>育工作，否则，因承包人的员工破坏当地风俗习惯造成的恶劣影响及给发包人带来</w:t>
      </w:r>
      <w:r>
        <w:rPr>
          <w:rFonts w:hint="eastAsia" w:ascii="宋体" w:hAnsi="宋体" w:eastAsia="宋体" w:cs="宋体"/>
          <w:spacing w:val="-3"/>
          <w:sz w:val="24"/>
          <w:highlight w:val="none"/>
        </w:rPr>
        <w:t>的损失由承包人承担。</w:t>
      </w:r>
    </w:p>
    <w:p w14:paraId="76F96CBE">
      <w:pPr>
        <w:pStyle w:val="10"/>
        <w:spacing w:before="190"/>
        <w:ind w:left="583"/>
        <w:rPr>
          <w:rFonts w:hint="eastAsia" w:ascii="宋体" w:hAnsi="宋体" w:eastAsia="宋体" w:cs="宋体"/>
          <w:highlight w:val="none"/>
        </w:rPr>
      </w:pPr>
      <w:r>
        <w:rPr>
          <w:rFonts w:hint="eastAsia" w:ascii="宋体" w:hAnsi="宋体" w:eastAsia="宋体" w:cs="宋体"/>
          <w:highlight w:val="none"/>
        </w:rPr>
        <w:t>三、施工组织计划和工期</w:t>
      </w:r>
    </w:p>
    <w:p w14:paraId="6B6DE993">
      <w:pPr>
        <w:pStyle w:val="10"/>
        <w:spacing w:before="2"/>
        <w:rPr>
          <w:rFonts w:hint="eastAsia" w:ascii="宋体" w:hAnsi="宋体" w:eastAsia="宋体" w:cs="宋体"/>
          <w:sz w:val="21"/>
          <w:highlight w:val="none"/>
        </w:rPr>
      </w:pPr>
    </w:p>
    <w:p w14:paraId="027C31F2">
      <w:pPr>
        <w:pStyle w:val="26"/>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进度计划</w:t>
      </w:r>
    </w:p>
    <w:p w14:paraId="1D2F43D8">
      <w:pPr>
        <w:pStyle w:val="10"/>
        <w:spacing w:before="4"/>
        <w:rPr>
          <w:rFonts w:hint="eastAsia" w:ascii="宋体" w:hAnsi="宋体" w:eastAsia="宋体" w:cs="宋体"/>
          <w:sz w:val="21"/>
          <w:highlight w:val="none"/>
        </w:rPr>
      </w:pPr>
    </w:p>
    <w:p w14:paraId="07709DCC">
      <w:pPr>
        <w:pStyle w:val="26"/>
        <w:numPr>
          <w:ilvl w:val="4"/>
          <w:numId w:val="5"/>
        </w:numPr>
        <w:tabs>
          <w:tab w:val="left" w:pos="140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承包人应在签订合同协议书后</w:t>
      </w:r>
      <w:r>
        <w:rPr>
          <w:rFonts w:hint="eastAsia" w:ascii="宋体" w:hAnsi="宋体" w:eastAsia="宋体" w:cs="宋体"/>
          <w:sz w:val="24"/>
          <w:highlight w:val="none"/>
        </w:rPr>
        <w:t>14天内，向监理人提交两份其格式和内容</w:t>
      </w:r>
      <w:r>
        <w:rPr>
          <w:rFonts w:hint="eastAsia" w:ascii="宋体" w:hAnsi="宋体" w:eastAsia="宋体" w:cs="宋体"/>
          <w:spacing w:val="-1"/>
          <w:sz w:val="24"/>
          <w:highlight w:val="none"/>
        </w:rPr>
        <w:t>符合规定的施工计划，以及为完成该计划而建议采用的实施性施工安排和施工方案</w:t>
      </w:r>
      <w:r>
        <w:rPr>
          <w:rFonts w:hint="eastAsia" w:ascii="宋体" w:hAnsi="宋体" w:eastAsia="宋体" w:cs="宋体"/>
          <w:spacing w:val="-16"/>
          <w:sz w:val="24"/>
          <w:highlight w:val="none"/>
        </w:rPr>
        <w:t>的说明。监理人应在</w:t>
      </w:r>
      <w:r>
        <w:rPr>
          <w:rFonts w:hint="eastAsia" w:ascii="宋体" w:hAnsi="宋体" w:eastAsia="宋体" w:cs="宋体"/>
          <w:sz w:val="24"/>
          <w:highlight w:val="none"/>
        </w:rPr>
        <w:t>14</w:t>
      </w:r>
      <w:r>
        <w:rPr>
          <w:rFonts w:hint="eastAsia" w:ascii="宋体" w:hAnsi="宋体" w:eastAsia="宋体" w:cs="宋体"/>
          <w:spacing w:val="-1"/>
          <w:sz w:val="24"/>
          <w:highlight w:val="none"/>
        </w:rPr>
        <w:t>天内对承包人施工进度计划和施工方案说明予以批复或提出修改意见；经监理人审查后报发包人批准。经批准的施工进度计划是控制合同工程</w:t>
      </w:r>
      <w:r>
        <w:rPr>
          <w:rFonts w:hint="eastAsia" w:ascii="宋体" w:hAnsi="宋体" w:eastAsia="宋体" w:cs="宋体"/>
          <w:sz w:val="24"/>
          <w:highlight w:val="none"/>
        </w:rPr>
        <w:t>进度的依据。</w:t>
      </w:r>
    </w:p>
    <w:p w14:paraId="52182991">
      <w:pPr>
        <w:pStyle w:val="26"/>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承包人应在确保合同工期的前提下，每月对进度计划修订一次，并应在每</w:t>
      </w:r>
      <w:r>
        <w:rPr>
          <w:rFonts w:hint="eastAsia" w:ascii="宋体" w:hAnsi="宋体" w:eastAsia="宋体" w:cs="宋体"/>
          <w:spacing w:val="-20"/>
          <w:sz w:val="24"/>
          <w:highlight w:val="none"/>
        </w:rPr>
        <w:t xml:space="preserve">月的 </w:t>
      </w:r>
      <w:r>
        <w:rPr>
          <w:rFonts w:hint="eastAsia" w:ascii="宋体" w:hAnsi="宋体" w:eastAsia="宋体" w:cs="宋体"/>
          <w:sz w:val="24"/>
          <w:highlight w:val="none"/>
        </w:rPr>
        <w:t xml:space="preserve">25 </w:t>
      </w:r>
      <w:r>
        <w:rPr>
          <w:rFonts w:hint="eastAsia" w:ascii="宋体" w:hAnsi="宋体" w:eastAsia="宋体" w:cs="宋体"/>
          <w:spacing w:val="-7"/>
          <w:sz w:val="24"/>
          <w:highlight w:val="none"/>
        </w:rPr>
        <w:t>日前提交给监理人审查；监理人批复修订合同进度计划的期限：收到修订合</w:t>
      </w:r>
      <w:r>
        <w:rPr>
          <w:rFonts w:hint="eastAsia" w:ascii="宋体" w:hAnsi="宋体" w:eastAsia="宋体" w:cs="宋体"/>
          <w:spacing w:val="-9"/>
          <w:sz w:val="24"/>
          <w:highlight w:val="none"/>
        </w:rPr>
        <w:t>同进度计划后</w:t>
      </w:r>
      <w:r>
        <w:rPr>
          <w:rFonts w:hint="eastAsia" w:ascii="宋体" w:hAnsi="宋体" w:eastAsia="宋体" w:cs="宋体"/>
          <w:sz w:val="24"/>
          <w:highlight w:val="none"/>
        </w:rPr>
        <w:t>3天内。</w:t>
      </w:r>
    </w:p>
    <w:p w14:paraId="1A5A2BE4">
      <w:pPr>
        <w:pStyle w:val="26"/>
        <w:numPr>
          <w:ilvl w:val="4"/>
          <w:numId w:val="5"/>
        </w:numPr>
        <w:tabs>
          <w:tab w:val="left" w:pos="140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承包人编制施工方案中要有确保工程顺利实施的保证措施。</w:t>
      </w:r>
    </w:p>
    <w:p w14:paraId="4E5ED10B">
      <w:pPr>
        <w:pStyle w:val="10"/>
        <w:spacing w:before="4"/>
        <w:rPr>
          <w:rFonts w:hint="eastAsia" w:ascii="宋体" w:hAnsi="宋体" w:eastAsia="宋体" w:cs="宋体"/>
          <w:sz w:val="21"/>
          <w:highlight w:val="none"/>
        </w:rPr>
      </w:pPr>
    </w:p>
    <w:p w14:paraId="378561D1">
      <w:pPr>
        <w:pStyle w:val="26"/>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开工和延误</w:t>
      </w:r>
    </w:p>
    <w:p w14:paraId="0DBF6272">
      <w:pPr>
        <w:pStyle w:val="10"/>
        <w:spacing w:before="4"/>
        <w:rPr>
          <w:rFonts w:hint="eastAsia" w:ascii="宋体" w:hAnsi="宋体" w:eastAsia="宋体" w:cs="宋体"/>
          <w:sz w:val="21"/>
          <w:highlight w:val="none"/>
        </w:rPr>
      </w:pPr>
    </w:p>
    <w:p w14:paraId="3BD2B90E">
      <w:pPr>
        <w:pStyle w:val="26"/>
        <w:numPr>
          <w:ilvl w:val="4"/>
          <w:numId w:val="5"/>
        </w:numPr>
        <w:tabs>
          <w:tab w:val="left" w:pos="1404"/>
        </w:tabs>
        <w:jc w:val="both"/>
        <w:rPr>
          <w:rFonts w:hint="eastAsia" w:ascii="宋体" w:hAnsi="宋体" w:eastAsia="宋体" w:cs="宋体"/>
          <w:sz w:val="24"/>
          <w:highlight w:val="none"/>
        </w:rPr>
      </w:pPr>
      <w:r>
        <w:rPr>
          <w:rFonts w:hint="eastAsia" w:ascii="宋体" w:hAnsi="宋体" w:eastAsia="宋体" w:cs="宋体"/>
          <w:sz w:val="24"/>
          <w:highlight w:val="none"/>
        </w:rPr>
        <w:t>工程开工分项目开工和分部工程开工两种：</w:t>
      </w:r>
    </w:p>
    <w:p w14:paraId="2C5F6E7C">
      <w:pPr>
        <w:pStyle w:val="10"/>
        <w:spacing w:before="12"/>
        <w:rPr>
          <w:rFonts w:hint="eastAsia" w:ascii="宋体" w:hAnsi="宋体" w:eastAsia="宋体" w:cs="宋体"/>
          <w:sz w:val="17"/>
          <w:highlight w:val="none"/>
        </w:rPr>
      </w:pPr>
      <w:r>
        <w:rPr>
          <w:rFonts w:hint="eastAsia" w:cs="宋体"/>
          <w:spacing w:val="-3"/>
          <w:sz w:val="24"/>
          <w:highlight w:val="none"/>
          <w:lang w:eastAsia="zh-CN"/>
        </w:rPr>
        <w:t>（</w:t>
      </w:r>
      <w:r>
        <w:rPr>
          <w:rFonts w:hint="eastAsia" w:cs="宋体"/>
          <w:spacing w:val="-3"/>
          <w:sz w:val="24"/>
          <w:highlight w:val="none"/>
          <w:lang w:val="en-US" w:eastAsia="zh-CN"/>
        </w:rPr>
        <w:t>1</w:t>
      </w:r>
      <w:r>
        <w:rPr>
          <w:rFonts w:hint="eastAsia" w:cs="宋体"/>
          <w:spacing w:val="-3"/>
          <w:sz w:val="24"/>
          <w:highlight w:val="none"/>
          <w:lang w:eastAsia="zh-CN"/>
        </w:rPr>
        <w:t>）</w:t>
      </w:r>
      <w:r>
        <w:rPr>
          <w:rFonts w:hint="eastAsia" w:ascii="宋体" w:hAnsi="宋体" w:eastAsia="宋体" w:cs="宋体"/>
          <w:spacing w:val="-3"/>
          <w:sz w:val="24"/>
          <w:highlight w:val="none"/>
        </w:rPr>
        <w:t>项目开工：承包人应在签订合同协议后</w:t>
      </w:r>
      <w:r>
        <w:rPr>
          <w:rFonts w:hint="eastAsia" w:ascii="宋体" w:hAnsi="宋体" w:eastAsia="宋体" w:cs="宋体"/>
          <w:sz w:val="24"/>
          <w:highlight w:val="none"/>
        </w:rPr>
        <w:t>14</w:t>
      </w:r>
      <w:r>
        <w:rPr>
          <w:rFonts w:hint="eastAsia" w:ascii="宋体" w:hAnsi="宋体" w:eastAsia="宋体" w:cs="宋体"/>
          <w:spacing w:val="-1"/>
          <w:sz w:val="24"/>
          <w:highlight w:val="none"/>
        </w:rPr>
        <w:t>天内向监理人提交开工报告， 主要内容应包括：施工管理机构的建立，劳务、机械设备、材料的进场情况，临时</w:t>
      </w:r>
      <w:r>
        <w:rPr>
          <w:rFonts w:hint="eastAsia" w:ascii="宋体" w:hAnsi="宋体" w:eastAsia="宋体" w:cs="宋体"/>
          <w:sz w:val="24"/>
          <w:highlight w:val="none"/>
        </w:rPr>
        <w:t>设施的修建及总体施工组织计划等；</w:t>
      </w:r>
    </w:p>
    <w:p w14:paraId="71E212F4">
      <w:pPr>
        <w:pStyle w:val="26"/>
        <w:numPr>
          <w:ilvl w:val="0"/>
          <w:numId w:val="0"/>
        </w:numPr>
        <w:tabs>
          <w:tab w:val="left" w:pos="1465"/>
        </w:tabs>
        <w:spacing w:before="74" w:line="312" w:lineRule="auto"/>
        <w:ind w:right="466" w:rightChars="0"/>
        <w:jc w:val="both"/>
        <w:rPr>
          <w:rFonts w:hint="eastAsia" w:ascii="宋体" w:hAnsi="宋体" w:eastAsia="宋体" w:cs="宋体"/>
          <w:sz w:val="24"/>
          <w:highlight w:val="none"/>
        </w:rPr>
      </w:pPr>
      <w:r>
        <w:rPr>
          <w:rFonts w:hint="eastAsia" w:cs="宋体"/>
          <w:spacing w:val="-9"/>
          <w:sz w:val="24"/>
          <w:highlight w:val="none"/>
          <w:lang w:eastAsia="zh-CN"/>
        </w:rPr>
        <w:t>（</w:t>
      </w:r>
      <w:r>
        <w:rPr>
          <w:rFonts w:hint="eastAsia" w:cs="宋体"/>
          <w:spacing w:val="-9"/>
          <w:sz w:val="24"/>
          <w:highlight w:val="none"/>
          <w:lang w:val="en-US" w:eastAsia="zh-CN"/>
        </w:rPr>
        <w:t>2</w:t>
      </w:r>
      <w:r>
        <w:rPr>
          <w:rFonts w:hint="eastAsia" w:cs="宋体"/>
          <w:spacing w:val="-9"/>
          <w:sz w:val="24"/>
          <w:highlight w:val="none"/>
          <w:lang w:eastAsia="zh-CN"/>
        </w:rPr>
        <w:t>）</w:t>
      </w:r>
      <w:r>
        <w:rPr>
          <w:rFonts w:hint="eastAsia" w:ascii="宋体" w:hAnsi="宋体" w:eastAsia="宋体" w:cs="宋体"/>
          <w:spacing w:val="-9"/>
          <w:sz w:val="24"/>
          <w:highlight w:val="none"/>
        </w:rPr>
        <w:t>分部工程开工：承包人应在分部工程开工前</w:t>
      </w:r>
      <w:r>
        <w:rPr>
          <w:rFonts w:hint="eastAsia" w:ascii="宋体" w:hAnsi="宋体" w:eastAsia="宋体" w:cs="宋体"/>
          <w:sz w:val="24"/>
          <w:highlight w:val="none"/>
        </w:rPr>
        <w:t>7天向监理人提交分部工程</w:t>
      </w:r>
      <w:r>
        <w:rPr>
          <w:rFonts w:hint="eastAsia" w:ascii="宋体" w:hAnsi="宋体" w:eastAsia="宋体" w:cs="宋体"/>
          <w:spacing w:val="-5"/>
          <w:sz w:val="24"/>
          <w:highlight w:val="none"/>
        </w:rPr>
        <w:t>开工报告，若承包人的开工准备、工作计划和质量控制方法是可接受的，经监理人</w:t>
      </w:r>
      <w:r>
        <w:rPr>
          <w:rFonts w:hint="eastAsia" w:ascii="宋体" w:hAnsi="宋体" w:eastAsia="宋体" w:cs="宋体"/>
          <w:spacing w:val="-4"/>
          <w:sz w:val="24"/>
          <w:highlight w:val="none"/>
        </w:rPr>
        <w:t>书面同意，分部工程才能开工。</w:t>
      </w:r>
    </w:p>
    <w:p w14:paraId="6BB6E4A6">
      <w:pPr>
        <w:pStyle w:val="26"/>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由于下述原因之一而影响施工进度，承包人有权要求延长工期和</w:t>
      </w:r>
      <w:r>
        <w:rPr>
          <w:rFonts w:hint="eastAsia" w:ascii="宋体" w:hAnsi="宋体" w:eastAsia="宋体" w:cs="宋体"/>
          <w:sz w:val="24"/>
          <w:highlight w:val="none"/>
        </w:rPr>
        <w:t>（或</w:t>
      </w:r>
      <w:r>
        <w:rPr>
          <w:rFonts w:hint="eastAsia" w:ascii="宋体" w:hAnsi="宋体" w:eastAsia="宋体" w:cs="宋体"/>
          <w:spacing w:val="-10"/>
          <w:sz w:val="24"/>
          <w:highlight w:val="none"/>
        </w:rPr>
        <w:t>）</w:t>
      </w:r>
      <w:r>
        <w:rPr>
          <w:rFonts w:hint="eastAsia" w:ascii="宋体" w:hAnsi="宋体" w:eastAsia="宋体" w:cs="宋体"/>
          <w:spacing w:val="-17"/>
          <w:sz w:val="24"/>
          <w:highlight w:val="none"/>
        </w:rPr>
        <w:t>增</w:t>
      </w:r>
      <w:r>
        <w:rPr>
          <w:rFonts w:hint="eastAsia" w:ascii="宋体" w:hAnsi="宋体" w:eastAsia="宋体" w:cs="宋体"/>
          <w:sz w:val="24"/>
          <w:highlight w:val="none"/>
        </w:rPr>
        <w:t>加费用。</w:t>
      </w:r>
    </w:p>
    <w:p w14:paraId="3153444D">
      <w:pPr>
        <w:pStyle w:val="26"/>
        <w:numPr>
          <w:ilvl w:val="0"/>
          <w:numId w:val="7"/>
        </w:numPr>
        <w:tabs>
          <w:tab w:val="left" w:pos="1465"/>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增加合同工作内容；</w:t>
      </w:r>
    </w:p>
    <w:p w14:paraId="1F4EE5CF">
      <w:pPr>
        <w:pStyle w:val="26"/>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改变合同中任何一项工作的质量要求或其他特性；</w:t>
      </w:r>
    </w:p>
    <w:p w14:paraId="54D1CF2D">
      <w:pPr>
        <w:pStyle w:val="26"/>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pacing w:val="-10"/>
          <w:sz w:val="24"/>
          <w:highlight w:val="none"/>
        </w:rPr>
        <w:t>连续降大雨</w:t>
      </w:r>
      <w:r>
        <w:rPr>
          <w:rFonts w:hint="eastAsia" w:ascii="宋体" w:hAnsi="宋体" w:eastAsia="宋体" w:cs="宋体"/>
          <w:sz w:val="24"/>
          <w:highlight w:val="none"/>
        </w:rPr>
        <w:t>3</w:t>
      </w:r>
      <w:r>
        <w:rPr>
          <w:rFonts w:hint="eastAsia" w:ascii="宋体" w:hAnsi="宋体" w:eastAsia="宋体" w:cs="宋体"/>
          <w:spacing w:val="-9"/>
          <w:sz w:val="24"/>
          <w:highlight w:val="none"/>
        </w:rPr>
        <w:t>天以上或特大洪水；连续</w:t>
      </w:r>
      <w:r>
        <w:rPr>
          <w:rFonts w:hint="eastAsia" w:ascii="宋体" w:hAnsi="宋体" w:eastAsia="宋体" w:cs="宋体"/>
          <w:sz w:val="24"/>
          <w:highlight w:val="none"/>
        </w:rPr>
        <w:t>7</w:t>
      </w:r>
      <w:r>
        <w:rPr>
          <w:rFonts w:hint="eastAsia" w:ascii="宋体" w:hAnsi="宋体" w:eastAsia="宋体" w:cs="宋体"/>
          <w:spacing w:val="-30"/>
          <w:sz w:val="24"/>
          <w:highlight w:val="none"/>
        </w:rPr>
        <w:t>天</w:t>
      </w:r>
      <w:r>
        <w:rPr>
          <w:rFonts w:hint="eastAsia" w:ascii="宋体" w:hAnsi="宋体" w:eastAsia="宋体" w:cs="宋体"/>
          <w:sz w:val="24"/>
          <w:highlight w:val="none"/>
        </w:rPr>
        <w:t>8</w:t>
      </w:r>
      <w:r>
        <w:rPr>
          <w:rFonts w:hint="eastAsia" w:ascii="宋体" w:hAnsi="宋体" w:eastAsia="宋体" w:cs="宋体"/>
          <w:spacing w:val="-5"/>
          <w:sz w:val="24"/>
          <w:highlight w:val="none"/>
        </w:rPr>
        <w:t>级以上的大风；或出现其他</w:t>
      </w:r>
    </w:p>
    <w:p w14:paraId="774E42CA">
      <w:pPr>
        <w:pStyle w:val="10"/>
        <w:spacing w:before="90" w:line="312" w:lineRule="auto"/>
        <w:ind w:left="384" w:right="465"/>
        <w:rPr>
          <w:rFonts w:hint="eastAsia" w:ascii="宋体" w:hAnsi="宋体" w:eastAsia="宋体" w:cs="宋体"/>
          <w:highlight w:val="none"/>
        </w:rPr>
      </w:pPr>
      <w:r>
        <w:rPr>
          <w:rFonts w:hint="eastAsia" w:ascii="宋体" w:hAnsi="宋体" w:eastAsia="宋体" w:cs="宋体"/>
          <w:highlight w:val="none"/>
        </w:rPr>
        <w:t>异常恶劣的气候条件(是指项目所在地30年以上一遇的罕见气候现象，包括温度、降水、降雪、风等)；</w:t>
      </w:r>
    </w:p>
    <w:p w14:paraId="6E879E17">
      <w:pPr>
        <w:pStyle w:val="26"/>
        <w:numPr>
          <w:ilvl w:val="0"/>
          <w:numId w:val="7"/>
        </w:numPr>
        <w:tabs>
          <w:tab w:val="left" w:pos="1465"/>
        </w:tabs>
        <w:spacing w:before="3"/>
        <w:rPr>
          <w:rFonts w:hint="eastAsia" w:ascii="宋体" w:hAnsi="宋体" w:eastAsia="宋体" w:cs="宋体"/>
          <w:sz w:val="24"/>
          <w:highlight w:val="none"/>
        </w:rPr>
      </w:pPr>
      <w:r>
        <w:rPr>
          <w:rFonts w:hint="eastAsia" w:ascii="宋体" w:hAnsi="宋体" w:eastAsia="宋体" w:cs="宋体"/>
          <w:sz w:val="24"/>
          <w:highlight w:val="none"/>
        </w:rPr>
        <w:t>提供图纸延误；</w:t>
      </w:r>
    </w:p>
    <w:p w14:paraId="0BA6B615">
      <w:pPr>
        <w:pStyle w:val="26"/>
        <w:numPr>
          <w:ilvl w:val="0"/>
          <w:numId w:val="7"/>
        </w:numPr>
        <w:tabs>
          <w:tab w:val="left" w:pos="1465"/>
        </w:tabs>
        <w:spacing w:before="90"/>
        <w:rPr>
          <w:rFonts w:hint="eastAsia" w:ascii="宋体" w:hAnsi="宋体" w:eastAsia="宋体" w:cs="宋体"/>
          <w:sz w:val="24"/>
          <w:highlight w:val="none"/>
        </w:rPr>
      </w:pPr>
      <w:r>
        <w:rPr>
          <w:rFonts w:hint="eastAsia" w:ascii="宋体" w:hAnsi="宋体" w:eastAsia="宋体" w:cs="宋体"/>
          <w:sz w:val="24"/>
          <w:highlight w:val="none"/>
        </w:rPr>
        <w:t>未按合同约定及时支付预付款、进度款；</w:t>
      </w:r>
    </w:p>
    <w:p w14:paraId="5A3CE4D7">
      <w:pPr>
        <w:pStyle w:val="26"/>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由于发包人原因导致的暂停施工；</w:t>
      </w:r>
    </w:p>
    <w:p w14:paraId="4B2CBF88">
      <w:pPr>
        <w:pStyle w:val="26"/>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不是由于承包人的失误或违约而发生的其他特殊情况。</w:t>
      </w:r>
    </w:p>
    <w:p w14:paraId="562522DF">
      <w:pPr>
        <w:pStyle w:val="26"/>
        <w:numPr>
          <w:ilvl w:val="4"/>
          <w:numId w:val="5"/>
        </w:numPr>
        <w:tabs>
          <w:tab w:val="left" w:pos="1404"/>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承包人应在上述情况发生后</w:t>
      </w:r>
      <w:r>
        <w:rPr>
          <w:rFonts w:hint="eastAsia" w:ascii="宋体" w:hAnsi="宋体" w:eastAsia="宋体" w:cs="宋体"/>
          <w:sz w:val="24"/>
          <w:highlight w:val="none"/>
        </w:rPr>
        <w:t>7</w:t>
      </w:r>
      <w:r>
        <w:rPr>
          <w:rFonts w:hint="eastAsia" w:ascii="宋体" w:hAnsi="宋体" w:eastAsia="宋体" w:cs="宋体"/>
          <w:spacing w:val="-3"/>
          <w:sz w:val="24"/>
          <w:highlight w:val="none"/>
        </w:rPr>
        <w:t>天内向监理人发出要求延期的申请，并提交</w:t>
      </w:r>
      <w:r>
        <w:rPr>
          <w:rFonts w:hint="eastAsia" w:ascii="宋体" w:hAnsi="宋体" w:eastAsia="宋体" w:cs="宋体"/>
          <w:spacing w:val="-2"/>
          <w:sz w:val="24"/>
          <w:highlight w:val="none"/>
        </w:rPr>
        <w:t>延期的详细情况与缘由，监理人在收到最后详细资料后</w:t>
      </w:r>
      <w:r>
        <w:rPr>
          <w:rFonts w:hint="eastAsia" w:ascii="宋体" w:hAnsi="宋体" w:eastAsia="宋体" w:cs="宋体"/>
          <w:sz w:val="24"/>
          <w:highlight w:val="none"/>
        </w:rPr>
        <w:t>7</w:t>
      </w:r>
      <w:r>
        <w:rPr>
          <w:rFonts w:hint="eastAsia" w:ascii="宋体" w:hAnsi="宋体" w:eastAsia="宋体" w:cs="宋体"/>
          <w:spacing w:val="-1"/>
          <w:sz w:val="24"/>
          <w:highlight w:val="none"/>
        </w:rPr>
        <w:t>天内调查核实并经发包人批准后予以答复，逾期不答复也不提出修改意见，则应视为承包人延期请求已获得</w:t>
      </w:r>
      <w:r>
        <w:rPr>
          <w:rFonts w:hint="eastAsia" w:ascii="宋体" w:hAnsi="宋体" w:eastAsia="宋体" w:cs="宋体"/>
          <w:sz w:val="24"/>
          <w:highlight w:val="none"/>
        </w:rPr>
        <w:t>发包人批准。</w:t>
      </w:r>
    </w:p>
    <w:p w14:paraId="3EA854F3">
      <w:pPr>
        <w:pStyle w:val="26"/>
        <w:numPr>
          <w:ilvl w:val="4"/>
          <w:numId w:val="5"/>
        </w:numPr>
        <w:tabs>
          <w:tab w:val="left" w:pos="1409"/>
        </w:tabs>
        <w:spacing w:before="2"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由于承包人原因，未能按合同进度计划完成工作，或监理人认为承包人</w:t>
      </w:r>
      <w:r>
        <w:rPr>
          <w:rFonts w:hint="eastAsia" w:ascii="宋体" w:hAnsi="宋体" w:eastAsia="宋体" w:cs="宋体"/>
          <w:spacing w:val="-6"/>
          <w:sz w:val="24"/>
          <w:highlight w:val="none"/>
        </w:rPr>
        <w:t>施工进度不能满足合同工期要求的，承包人应采取措施加快进度，并承担加快进度所增加的费用。由于承包人原因造成工期延误，承包人应支付逾期违约金。逾期交</w:t>
      </w:r>
      <w:r>
        <w:rPr>
          <w:rFonts w:hint="eastAsia" w:ascii="宋体" w:hAnsi="宋体" w:eastAsia="宋体" w:cs="宋体"/>
          <w:spacing w:val="-5"/>
          <w:sz w:val="24"/>
          <w:highlight w:val="none"/>
        </w:rPr>
        <w:t>工违约金的计算方法在合同条款数据表中约定，时间自预定的交工日期起到交工验</w:t>
      </w:r>
      <w:r>
        <w:rPr>
          <w:rFonts w:hint="eastAsia" w:ascii="宋体" w:hAnsi="宋体" w:eastAsia="宋体" w:cs="宋体"/>
          <w:spacing w:val="-2"/>
          <w:sz w:val="24"/>
          <w:highlight w:val="none"/>
        </w:rPr>
        <w:t>收证书中写明的实际交工日期止</w:t>
      </w:r>
      <w:r>
        <w:rPr>
          <w:rFonts w:hint="eastAsia" w:ascii="宋体" w:hAnsi="宋体" w:eastAsia="宋体" w:cs="宋体"/>
          <w:spacing w:val="4"/>
          <w:sz w:val="24"/>
          <w:highlight w:val="none"/>
        </w:rPr>
        <w:t>（</w:t>
      </w:r>
      <w:r>
        <w:rPr>
          <w:rFonts w:hint="eastAsia" w:ascii="宋体" w:hAnsi="宋体" w:eastAsia="宋体" w:cs="宋体"/>
          <w:sz w:val="24"/>
          <w:highlight w:val="none"/>
        </w:rPr>
        <w:t>扣除已批准的延长工期</w:t>
      </w:r>
      <w:r>
        <w:rPr>
          <w:rFonts w:hint="eastAsia" w:ascii="宋体" w:hAnsi="宋体" w:eastAsia="宋体" w:cs="宋体"/>
          <w:spacing w:val="-23"/>
          <w:sz w:val="24"/>
          <w:highlight w:val="none"/>
        </w:rPr>
        <w:t>）</w:t>
      </w:r>
      <w:r>
        <w:rPr>
          <w:rFonts w:hint="eastAsia" w:ascii="宋体" w:hAnsi="宋体" w:eastAsia="宋体" w:cs="宋体"/>
          <w:spacing w:val="-5"/>
          <w:sz w:val="24"/>
          <w:highlight w:val="none"/>
        </w:rPr>
        <w:t>，按天计算。逾期交工违约金累计金额最高不超过合同条款数据表中写明的限额。但不免除承包人完成工</w:t>
      </w:r>
      <w:r>
        <w:rPr>
          <w:rFonts w:hint="eastAsia" w:ascii="宋体" w:hAnsi="宋体" w:eastAsia="宋体" w:cs="宋体"/>
          <w:sz w:val="24"/>
          <w:highlight w:val="none"/>
        </w:rPr>
        <w:t>程及修补缺陷的义务。</w:t>
      </w:r>
    </w:p>
    <w:p w14:paraId="1A5DD0F6">
      <w:pPr>
        <w:pStyle w:val="26"/>
        <w:numPr>
          <w:ilvl w:val="3"/>
          <w:numId w:val="5"/>
        </w:numPr>
        <w:tabs>
          <w:tab w:val="left" w:pos="1005"/>
        </w:tabs>
        <w:spacing w:before="182"/>
        <w:ind w:hanging="182"/>
        <w:jc w:val="left"/>
        <w:rPr>
          <w:rFonts w:hint="eastAsia" w:ascii="宋体" w:hAnsi="宋体" w:eastAsia="宋体" w:cs="宋体"/>
          <w:sz w:val="24"/>
          <w:highlight w:val="none"/>
        </w:rPr>
      </w:pPr>
      <w:r>
        <w:rPr>
          <w:rFonts w:hint="eastAsia" w:ascii="宋体" w:hAnsi="宋体" w:eastAsia="宋体" w:cs="宋体"/>
          <w:sz w:val="24"/>
          <w:highlight w:val="none"/>
        </w:rPr>
        <w:t>工期提前</w:t>
      </w:r>
    </w:p>
    <w:p w14:paraId="114385D9">
      <w:pPr>
        <w:pStyle w:val="10"/>
        <w:spacing w:before="2"/>
        <w:rPr>
          <w:rFonts w:hint="eastAsia" w:ascii="宋体" w:hAnsi="宋体" w:eastAsia="宋体" w:cs="宋体"/>
          <w:sz w:val="21"/>
          <w:highlight w:val="none"/>
        </w:rPr>
      </w:pPr>
    </w:p>
    <w:p w14:paraId="66517B21">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发包人不得随意要求承包人提前交工，承包人也不得随意提出提前交工的建议。如遇特殊情况，发包人确需将工期提前的，发生的费用由发包人承担，发包人和承包人必须采取有效措施，确保工程质量。</w:t>
      </w:r>
    </w:p>
    <w:p w14:paraId="669906AF">
      <w:pPr>
        <w:pStyle w:val="26"/>
        <w:numPr>
          <w:ilvl w:val="3"/>
          <w:numId w:val="5"/>
        </w:numPr>
        <w:tabs>
          <w:tab w:val="left" w:pos="1125"/>
        </w:tabs>
        <w:spacing w:before="18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暂停施工及复工</w:t>
      </w:r>
    </w:p>
    <w:p w14:paraId="033E77AC">
      <w:pPr>
        <w:pStyle w:val="10"/>
        <w:spacing w:before="4"/>
        <w:rPr>
          <w:rFonts w:hint="eastAsia" w:ascii="宋体" w:hAnsi="宋体" w:eastAsia="宋体" w:cs="宋体"/>
          <w:sz w:val="21"/>
          <w:highlight w:val="none"/>
        </w:rPr>
      </w:pPr>
    </w:p>
    <w:p w14:paraId="39C47505">
      <w:pPr>
        <w:pStyle w:val="26"/>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承包人暂停施工增加的费用和（或）工期延误由承包人承担，包括：</w:t>
      </w:r>
    </w:p>
    <w:p w14:paraId="03CC9B0A">
      <w:pPr>
        <w:pStyle w:val="10"/>
        <w:spacing w:before="12"/>
        <w:rPr>
          <w:rFonts w:hint="eastAsia" w:ascii="宋体" w:hAnsi="宋体" w:eastAsia="宋体" w:cs="宋体"/>
          <w:sz w:val="17"/>
          <w:highlight w:val="none"/>
        </w:rPr>
      </w:pPr>
      <w:r>
        <w:rPr>
          <w:rFonts w:hint="eastAsia" w:ascii="宋体" w:hAnsi="宋体" w:eastAsia="宋体" w:cs="宋体"/>
          <w:sz w:val="24"/>
          <w:highlight w:val="none"/>
        </w:rPr>
        <w:t>承包人违约引起的暂停施工；</w:t>
      </w:r>
    </w:p>
    <w:p w14:paraId="1A1C56A8">
      <w:pPr>
        <w:pStyle w:val="26"/>
        <w:numPr>
          <w:ilvl w:val="0"/>
          <w:numId w:val="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由于承包人原因为工程合理施工和安全保障所必需的暂停施工；</w:t>
      </w:r>
    </w:p>
    <w:p w14:paraId="2D1D20DB">
      <w:pPr>
        <w:pStyle w:val="26"/>
        <w:numPr>
          <w:ilvl w:val="0"/>
          <w:numId w:val="8"/>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承包人擅自暂停施工；</w:t>
      </w:r>
    </w:p>
    <w:p w14:paraId="35C49831">
      <w:pPr>
        <w:pStyle w:val="26"/>
        <w:numPr>
          <w:ilvl w:val="0"/>
          <w:numId w:val="8"/>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承包人其他原因引起的暂停施工；</w:t>
      </w:r>
    </w:p>
    <w:p w14:paraId="6D95214C">
      <w:pPr>
        <w:pStyle w:val="26"/>
        <w:numPr>
          <w:ilvl w:val="0"/>
          <w:numId w:val="8"/>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现场气候条件导致的必要停工（异常恶劣气候条件除外）。</w:t>
      </w:r>
    </w:p>
    <w:p w14:paraId="2C0E0E10">
      <w:pPr>
        <w:pStyle w:val="26"/>
        <w:numPr>
          <w:ilvl w:val="4"/>
          <w:numId w:val="5"/>
        </w:numPr>
        <w:tabs>
          <w:tab w:val="left" w:pos="1529"/>
        </w:tabs>
        <w:spacing w:before="93" w:line="312"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监理人认为有必要时，可向承包人作出暂停施工的指示，承包人应按监</w:t>
      </w:r>
      <w:r>
        <w:rPr>
          <w:rFonts w:hint="eastAsia" w:ascii="宋体" w:hAnsi="宋体" w:eastAsia="宋体" w:cs="宋体"/>
          <w:spacing w:val="-1"/>
          <w:sz w:val="24"/>
          <w:highlight w:val="none"/>
        </w:rPr>
        <w:t>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w:t>
      </w:r>
      <w:r>
        <w:rPr>
          <w:rFonts w:hint="eastAsia" w:ascii="宋体" w:hAnsi="宋体" w:eastAsia="宋体" w:cs="宋体"/>
          <w:sz w:val="24"/>
          <w:highlight w:val="none"/>
        </w:rPr>
        <w:t>担发生的费用，工期不予顺延。</w:t>
      </w:r>
    </w:p>
    <w:p w14:paraId="67FA0007">
      <w:pPr>
        <w:pStyle w:val="26"/>
        <w:numPr>
          <w:ilvl w:val="4"/>
          <w:numId w:val="5"/>
        </w:numPr>
        <w:tabs>
          <w:tab w:val="left" w:pos="152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由于发包人原因引起的暂停施工造成工期延误的，承包人有权要求发包人延长工期和(或)</w:t>
      </w:r>
      <w:r>
        <w:rPr>
          <w:rFonts w:hint="eastAsia" w:ascii="宋体" w:hAnsi="宋体" w:eastAsia="宋体" w:cs="宋体"/>
          <w:spacing w:val="-4"/>
          <w:sz w:val="24"/>
          <w:highlight w:val="none"/>
        </w:rPr>
        <w:t>增加费用，并支付合理利润。在自暂时停工之日起</w:t>
      </w:r>
      <w:r>
        <w:rPr>
          <w:rFonts w:hint="eastAsia" w:ascii="宋体" w:hAnsi="宋体" w:eastAsia="宋体" w:cs="宋体"/>
          <w:sz w:val="24"/>
          <w:highlight w:val="none"/>
        </w:rPr>
        <w:t>28</w:t>
      </w:r>
      <w:r>
        <w:rPr>
          <w:rFonts w:hint="eastAsia" w:ascii="宋体" w:hAnsi="宋体" w:eastAsia="宋体" w:cs="宋体"/>
          <w:spacing w:val="-5"/>
          <w:sz w:val="24"/>
          <w:highlight w:val="none"/>
        </w:rPr>
        <w:t>天内，监理</w:t>
      </w:r>
      <w:r>
        <w:rPr>
          <w:rFonts w:hint="eastAsia" w:ascii="宋体" w:hAnsi="宋体" w:eastAsia="宋体" w:cs="宋体"/>
          <w:spacing w:val="-9"/>
          <w:sz w:val="24"/>
          <w:highlight w:val="none"/>
        </w:rPr>
        <w:t>人仍未发出复工通知，承包人可向监理人提交书面通知，要求自收到该通知后</w:t>
      </w:r>
      <w:r>
        <w:rPr>
          <w:rFonts w:hint="eastAsia" w:ascii="宋体" w:hAnsi="宋体" w:eastAsia="宋体" w:cs="宋体"/>
          <w:sz w:val="24"/>
          <w:highlight w:val="none"/>
        </w:rPr>
        <w:t>14</w:t>
      </w:r>
      <w:r>
        <w:rPr>
          <w:rFonts w:hint="eastAsia" w:ascii="宋体" w:hAnsi="宋体" w:eastAsia="宋体" w:cs="宋体"/>
          <w:spacing w:val="-18"/>
          <w:sz w:val="24"/>
          <w:highlight w:val="none"/>
        </w:rPr>
        <w:t>天</w:t>
      </w:r>
      <w:r>
        <w:rPr>
          <w:rFonts w:hint="eastAsia" w:ascii="宋体" w:hAnsi="宋体" w:eastAsia="宋体" w:cs="宋体"/>
          <w:sz w:val="24"/>
          <w:highlight w:val="none"/>
        </w:rPr>
        <w:t>内准许已经暂停的工程（或其部分工程）</w:t>
      </w:r>
      <w:r>
        <w:rPr>
          <w:rFonts w:hint="eastAsia" w:ascii="宋体" w:hAnsi="宋体" w:eastAsia="宋体" w:cs="宋体"/>
          <w:spacing w:val="-1"/>
          <w:sz w:val="24"/>
          <w:highlight w:val="none"/>
        </w:rPr>
        <w:t>继续施工。如果监理人逾期不予批准，则</w:t>
      </w:r>
      <w:r>
        <w:rPr>
          <w:rFonts w:hint="eastAsia" w:ascii="宋体" w:hAnsi="宋体" w:eastAsia="宋体" w:cs="宋体"/>
          <w:sz w:val="24"/>
          <w:highlight w:val="none"/>
        </w:rPr>
        <w:t>承包人可以（但并非必须）作如下选择：</w:t>
      </w:r>
    </w:p>
    <w:p w14:paraId="077ED9DD">
      <w:pPr>
        <w:pStyle w:val="26"/>
        <w:numPr>
          <w:ilvl w:val="0"/>
          <w:numId w:val="9"/>
        </w:numPr>
        <w:tabs>
          <w:tab w:val="left" w:pos="1465"/>
        </w:tabs>
        <w:spacing w:before="1" w:line="31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如果暂停施工仅涉及本工程的一部分时，则可将该部分工程从本合同中</w:t>
      </w:r>
      <w:r>
        <w:rPr>
          <w:rFonts w:hint="eastAsia" w:ascii="宋体" w:hAnsi="宋体" w:eastAsia="宋体" w:cs="宋体"/>
          <w:spacing w:val="-5"/>
          <w:sz w:val="24"/>
          <w:highlight w:val="none"/>
        </w:rPr>
        <w:t>取消，同时将此事通知监理人；</w:t>
      </w:r>
    </w:p>
    <w:p w14:paraId="05ADE6B6">
      <w:pPr>
        <w:pStyle w:val="26"/>
        <w:numPr>
          <w:ilvl w:val="0"/>
          <w:numId w:val="9"/>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如果暂停施工影响到整个合同工程时，可视为发包人违约，并由发包人</w:t>
      </w:r>
      <w:r>
        <w:rPr>
          <w:rFonts w:hint="eastAsia" w:ascii="宋体" w:hAnsi="宋体" w:eastAsia="宋体" w:cs="宋体"/>
          <w:spacing w:val="-5"/>
          <w:sz w:val="24"/>
          <w:highlight w:val="none"/>
        </w:rPr>
        <w:t>承担违约责任。</w:t>
      </w:r>
    </w:p>
    <w:p w14:paraId="2197CEAB">
      <w:pPr>
        <w:pStyle w:val="26"/>
        <w:numPr>
          <w:ilvl w:val="4"/>
          <w:numId w:val="5"/>
        </w:numPr>
        <w:tabs>
          <w:tab w:val="left" w:pos="1523"/>
          <w:tab w:val="left" w:pos="1524"/>
        </w:tabs>
        <w:spacing w:line="300"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复工</w:t>
      </w:r>
    </w:p>
    <w:p w14:paraId="4FE09929">
      <w:pPr>
        <w:pStyle w:val="26"/>
        <w:numPr>
          <w:ilvl w:val="0"/>
          <w:numId w:val="10"/>
        </w:numPr>
        <w:tabs>
          <w:tab w:val="left" w:pos="1465"/>
        </w:tabs>
        <w:spacing w:before="84" w:line="307" w:lineRule="auto"/>
        <w:ind w:right="346" w:firstLine="480"/>
        <w:rPr>
          <w:rFonts w:hint="eastAsia" w:ascii="宋体" w:hAnsi="宋体" w:eastAsia="宋体" w:cs="宋体"/>
          <w:sz w:val="24"/>
          <w:highlight w:val="none"/>
        </w:rPr>
      </w:pPr>
      <w:r>
        <w:rPr>
          <w:rFonts w:hint="eastAsia" w:ascii="宋体" w:hAnsi="宋体" w:eastAsia="宋体" w:cs="宋体"/>
          <w:spacing w:val="-7"/>
          <w:sz w:val="24"/>
          <w:highlight w:val="none"/>
        </w:rPr>
        <w:t>暂停施工后，发包人、监理人和承包人应积极协商，采取有效措施积极消</w:t>
      </w:r>
      <w:r>
        <w:rPr>
          <w:rFonts w:hint="eastAsia" w:ascii="宋体" w:hAnsi="宋体" w:eastAsia="宋体" w:cs="宋体"/>
          <w:spacing w:val="-13"/>
          <w:sz w:val="24"/>
          <w:highlight w:val="none"/>
        </w:rPr>
        <w:t>除暂停施工的影响。当工程具备复工条件时，监理人应立即向承包人发出复工通知。</w:t>
      </w:r>
      <w:r>
        <w:rPr>
          <w:rFonts w:hint="eastAsia" w:ascii="宋体" w:hAnsi="宋体" w:eastAsia="宋体" w:cs="宋体"/>
          <w:sz w:val="24"/>
          <w:highlight w:val="none"/>
        </w:rPr>
        <w:t>承包人收到复工通知后，应在监理人指定的期限内复工；</w:t>
      </w:r>
    </w:p>
    <w:p w14:paraId="5EFD851B">
      <w:pPr>
        <w:pStyle w:val="26"/>
        <w:numPr>
          <w:ilvl w:val="0"/>
          <w:numId w:val="10"/>
        </w:numPr>
        <w:tabs>
          <w:tab w:val="left" w:pos="1465"/>
        </w:tabs>
        <w:spacing w:line="307"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承包人无故拖延和拒绝复工的，由此增加的费用和工期延误由承包人承担</w:t>
      </w:r>
      <w:r>
        <w:rPr>
          <w:rFonts w:hint="eastAsia" w:ascii="宋体" w:hAnsi="宋体" w:eastAsia="宋体" w:cs="宋体"/>
          <w:spacing w:val="-3"/>
          <w:sz w:val="24"/>
          <w:highlight w:val="none"/>
        </w:rPr>
        <w:t>；因发包人原因无法按时复工的，承包人有权要求发包人延长工期和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增加费用，并支付合理利润。</w:t>
      </w:r>
    </w:p>
    <w:p w14:paraId="0CBDB842">
      <w:pPr>
        <w:pStyle w:val="26"/>
        <w:numPr>
          <w:ilvl w:val="3"/>
          <w:numId w:val="5"/>
        </w:numPr>
        <w:tabs>
          <w:tab w:val="left" w:pos="1125"/>
        </w:tabs>
        <w:spacing w:before="16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工程竣（交）工</w:t>
      </w:r>
    </w:p>
    <w:p w14:paraId="69E7200E">
      <w:pPr>
        <w:pStyle w:val="10"/>
        <w:spacing w:before="7"/>
        <w:rPr>
          <w:rFonts w:hint="eastAsia" w:ascii="宋体" w:hAnsi="宋体" w:eastAsia="宋体" w:cs="宋体"/>
          <w:sz w:val="20"/>
          <w:highlight w:val="none"/>
        </w:rPr>
      </w:pPr>
    </w:p>
    <w:p w14:paraId="5D510237">
      <w:pPr>
        <w:pStyle w:val="10"/>
        <w:spacing w:before="5"/>
        <w:ind w:firstLine="480" w:firstLineChars="200"/>
        <w:rPr>
          <w:rFonts w:hint="eastAsia" w:ascii="宋体" w:hAnsi="宋体" w:eastAsia="宋体" w:cs="宋体"/>
          <w:sz w:val="17"/>
          <w:highlight w:val="none"/>
        </w:rPr>
      </w:pPr>
      <w:r>
        <w:rPr>
          <w:rFonts w:hint="eastAsia" w:ascii="宋体" w:hAnsi="宋体" w:eastAsia="宋体" w:cs="宋体"/>
          <w:sz w:val="24"/>
          <w:highlight w:val="none"/>
        </w:rPr>
        <w:t>工程完工，通过交工验收质量达到合格，并已按《新疆维吾尔自治区重要农村公路竣（交）工验收办法（试行）》的规定和地方交通主管部门的规定编制</w:t>
      </w:r>
      <w:r>
        <w:rPr>
          <w:rFonts w:hint="eastAsia" w:ascii="宋体" w:hAnsi="宋体" w:eastAsia="宋体" w:cs="宋体"/>
          <w:spacing w:val="-7"/>
          <w:sz w:val="24"/>
          <w:highlight w:val="none"/>
        </w:rPr>
        <w:t>了竣工图表和竣工资料后，承包人可就此向监理人申请交工验收，同时抄送发包人。</w:t>
      </w:r>
      <w:r>
        <w:rPr>
          <w:rFonts w:hint="eastAsia" w:ascii="宋体" w:hAnsi="宋体" w:eastAsia="宋体" w:cs="宋体"/>
          <w:spacing w:val="-8"/>
          <w:sz w:val="24"/>
          <w:highlight w:val="none"/>
        </w:rPr>
        <w:t>监理人在收到该申请后，应在</w:t>
      </w:r>
      <w:r>
        <w:rPr>
          <w:rFonts w:hint="eastAsia" w:ascii="宋体" w:hAnsi="宋体" w:eastAsia="宋体" w:cs="宋体"/>
          <w:sz w:val="24"/>
          <w:highlight w:val="none"/>
        </w:rPr>
        <w:t>7</w:t>
      </w:r>
      <w:r>
        <w:rPr>
          <w:rFonts w:hint="eastAsia" w:ascii="宋体" w:hAnsi="宋体" w:eastAsia="宋体" w:cs="宋体"/>
          <w:spacing w:val="-8"/>
          <w:sz w:val="24"/>
          <w:highlight w:val="none"/>
        </w:rPr>
        <w:t>天内审核并报发包人，发包人在收到申请后</w:t>
      </w:r>
      <w:r>
        <w:rPr>
          <w:rFonts w:hint="eastAsia" w:ascii="宋体" w:hAnsi="宋体" w:eastAsia="宋体" w:cs="宋体"/>
          <w:sz w:val="24"/>
          <w:highlight w:val="none"/>
        </w:rPr>
        <w:t>14天内应组织交工验收，并写出交工验收报告报上级主管部门备案，同时发包人在交工验</w:t>
      </w:r>
      <w:r>
        <w:rPr>
          <w:rFonts w:hint="eastAsia" w:ascii="宋体" w:hAnsi="宋体" w:eastAsia="宋体" w:cs="宋体"/>
          <w:spacing w:val="-12"/>
          <w:sz w:val="24"/>
          <w:highlight w:val="none"/>
        </w:rPr>
        <w:t>收合格后</w:t>
      </w:r>
      <w:r>
        <w:rPr>
          <w:rFonts w:hint="eastAsia" w:ascii="宋体" w:hAnsi="宋体" w:eastAsia="宋体" w:cs="宋体"/>
          <w:sz w:val="24"/>
          <w:highlight w:val="none"/>
        </w:rPr>
        <w:t>14</w:t>
      </w:r>
      <w:r>
        <w:rPr>
          <w:rFonts w:hint="eastAsia" w:ascii="宋体" w:hAnsi="宋体" w:eastAsia="宋体" w:cs="宋体"/>
          <w:spacing w:val="-10"/>
          <w:sz w:val="24"/>
          <w:highlight w:val="none"/>
        </w:rPr>
        <w:t>天内，向承包人签发交工证书，各合同段交工验收工作所需费用由承包人承担。并办理合同工程移交管养工作。工程进入缺陷责任期。</w:t>
      </w:r>
    </w:p>
    <w:p w14:paraId="02AF6390">
      <w:pPr>
        <w:pStyle w:val="26"/>
        <w:numPr>
          <w:ilvl w:val="4"/>
          <w:numId w:val="5"/>
        </w:numPr>
        <w:tabs>
          <w:tab w:val="left" w:pos="1529"/>
        </w:tabs>
        <w:spacing w:before="7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全部工程完工后，在全部工程交工证书签发之前，承包人须向发包人提</w:t>
      </w:r>
      <w:r>
        <w:rPr>
          <w:rFonts w:hint="eastAsia" w:ascii="宋体" w:hAnsi="宋体" w:eastAsia="宋体" w:cs="宋体"/>
          <w:spacing w:val="-25"/>
          <w:sz w:val="24"/>
          <w:highlight w:val="none"/>
        </w:rPr>
        <w:t>交</w:t>
      </w:r>
      <w:r>
        <w:rPr>
          <w:rFonts w:hint="eastAsia" w:ascii="宋体" w:hAnsi="宋体" w:eastAsia="宋体" w:cs="宋体"/>
          <w:sz w:val="24"/>
          <w:highlight w:val="none"/>
        </w:rPr>
        <w:t>3</w:t>
      </w:r>
      <w:r>
        <w:rPr>
          <w:rFonts w:hint="eastAsia" w:ascii="宋体" w:hAnsi="宋体" w:eastAsia="宋体" w:cs="宋体"/>
          <w:spacing w:val="-1"/>
          <w:sz w:val="24"/>
          <w:highlight w:val="none"/>
        </w:rPr>
        <w:t>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w:t>
      </w:r>
      <w:r>
        <w:rPr>
          <w:rFonts w:hint="eastAsia" w:ascii="宋体" w:hAnsi="宋体" w:eastAsia="宋体" w:cs="宋体"/>
          <w:spacing w:val="-3"/>
          <w:sz w:val="24"/>
          <w:highlight w:val="none"/>
        </w:rPr>
        <w:t>发包人同意后，由发包人在缺陷责任期终止后</w:t>
      </w:r>
      <w:r>
        <w:rPr>
          <w:rFonts w:hint="eastAsia" w:ascii="宋体" w:hAnsi="宋体" w:eastAsia="宋体" w:cs="宋体"/>
          <w:sz w:val="24"/>
          <w:highlight w:val="none"/>
        </w:rPr>
        <w:t>21天之内发出。</w:t>
      </w:r>
    </w:p>
    <w:p w14:paraId="450042E0">
      <w:pPr>
        <w:pStyle w:val="26"/>
        <w:numPr>
          <w:ilvl w:val="4"/>
          <w:numId w:val="5"/>
        </w:numPr>
        <w:tabs>
          <w:tab w:val="left" w:pos="1529"/>
        </w:tabs>
        <w:spacing w:before="8"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工程全部完工并通过交工验收后，发包人应向上级主管部门申请进行竣工验收。组织办理竣工验收的费用，由发包人承担。</w:t>
      </w:r>
    </w:p>
    <w:p w14:paraId="68B79E89">
      <w:pPr>
        <w:pStyle w:val="26"/>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工程接收证书颁发后，承包人应按要求对施工场地进行清理，直至监理人检验合格为止。竣工清场费用由承包人承担。</w:t>
      </w:r>
    </w:p>
    <w:p w14:paraId="127A9CCE">
      <w:pPr>
        <w:pStyle w:val="26"/>
        <w:numPr>
          <w:ilvl w:val="4"/>
          <w:numId w:val="5"/>
        </w:numPr>
        <w:tabs>
          <w:tab w:val="left" w:pos="1344"/>
        </w:tabs>
        <w:spacing w:line="305" w:lineRule="exact"/>
        <w:ind w:left="1344" w:hanging="480"/>
        <w:jc w:val="both"/>
        <w:rPr>
          <w:rFonts w:hint="eastAsia" w:ascii="宋体" w:hAnsi="宋体" w:eastAsia="宋体" w:cs="宋体"/>
          <w:sz w:val="24"/>
          <w:highlight w:val="none"/>
        </w:rPr>
      </w:pPr>
      <w:r>
        <w:rPr>
          <w:rFonts w:hint="eastAsia" w:ascii="宋体" w:hAnsi="宋体" w:eastAsia="宋体" w:cs="宋体"/>
          <w:sz w:val="24"/>
          <w:highlight w:val="none"/>
        </w:rPr>
        <w:t>施工期运行</w:t>
      </w:r>
    </w:p>
    <w:p w14:paraId="399A58B7">
      <w:pPr>
        <w:pStyle w:val="26"/>
        <w:numPr>
          <w:ilvl w:val="0"/>
          <w:numId w:val="0"/>
        </w:numPr>
        <w:tabs>
          <w:tab w:val="left" w:pos="1584"/>
        </w:tabs>
        <w:spacing w:before="84" w:line="307" w:lineRule="auto"/>
        <w:ind w:right="465" w:rightChars="0" w:firstLine="952" w:firstLineChars="400"/>
        <w:jc w:val="both"/>
        <w:rPr>
          <w:rFonts w:hint="eastAsia" w:ascii="宋体" w:hAnsi="宋体" w:eastAsia="宋体" w:cs="宋体"/>
          <w:sz w:val="24"/>
          <w:highlight w:val="none"/>
        </w:rPr>
      </w:pPr>
      <w:r>
        <w:rPr>
          <w:rFonts w:hint="eastAsia" w:cs="宋体"/>
          <w:spacing w:val="-1"/>
          <w:sz w:val="24"/>
          <w:highlight w:val="none"/>
          <w:lang w:val="en-US" w:eastAsia="zh-CN"/>
        </w:rPr>
        <w:t>9.5.1</w:t>
      </w:r>
      <w:r>
        <w:rPr>
          <w:rFonts w:hint="eastAsia" w:ascii="宋体" w:hAnsi="宋体" w:eastAsia="宋体" w:cs="宋体"/>
          <w:spacing w:val="-1"/>
          <w:sz w:val="24"/>
          <w:highlight w:val="none"/>
        </w:rPr>
        <w:t>施工期运行是指合同工程尚未全部竣工，其中某项或某几项单位工程或工程设备安装已竣工，根据专用合同条款约定，需要投入施工期运行的，经发包人</w:t>
      </w:r>
      <w:r>
        <w:rPr>
          <w:rFonts w:hint="eastAsia" w:ascii="宋体" w:hAnsi="宋体" w:eastAsia="宋体" w:cs="宋体"/>
          <w:spacing w:val="-20"/>
          <w:sz w:val="24"/>
          <w:highlight w:val="none"/>
        </w:rPr>
        <w:t xml:space="preserve">按第 </w:t>
      </w:r>
      <w:r>
        <w:rPr>
          <w:rFonts w:hint="eastAsia" w:ascii="宋体" w:hAnsi="宋体" w:eastAsia="宋体" w:cs="宋体"/>
          <w:sz w:val="24"/>
          <w:highlight w:val="none"/>
        </w:rPr>
        <w:t>11.1 款的约定验收合格，证明能确保安全后，才能在施工期投入运行。</w:t>
      </w:r>
    </w:p>
    <w:p w14:paraId="47D55F83">
      <w:pPr>
        <w:pStyle w:val="26"/>
        <w:numPr>
          <w:ilvl w:val="0"/>
          <w:numId w:val="0"/>
        </w:numPr>
        <w:tabs>
          <w:tab w:val="left" w:pos="1584"/>
        </w:tabs>
        <w:spacing w:line="303" w:lineRule="exact"/>
        <w:ind w:firstLine="960" w:firstLineChars="400"/>
        <w:jc w:val="both"/>
        <w:rPr>
          <w:rFonts w:hint="eastAsia" w:ascii="宋体" w:hAnsi="宋体" w:eastAsia="宋体" w:cs="宋体"/>
          <w:sz w:val="24"/>
          <w:highlight w:val="none"/>
        </w:rPr>
      </w:pPr>
      <w:r>
        <w:rPr>
          <w:rFonts w:hint="eastAsia" w:cs="宋体"/>
          <w:sz w:val="24"/>
          <w:highlight w:val="none"/>
          <w:lang w:val="en-US" w:eastAsia="zh-CN"/>
        </w:rPr>
        <w:t>9.5.2</w:t>
      </w:r>
      <w:r>
        <w:rPr>
          <w:rFonts w:hint="eastAsia" w:ascii="宋体" w:hAnsi="宋体" w:eastAsia="宋体" w:cs="宋体"/>
          <w:sz w:val="24"/>
          <w:highlight w:val="none"/>
        </w:rPr>
        <w:t>在施工期运行中发现工程或工程设备损坏或存在缺陷的，由承包人按第</w:t>
      </w:r>
    </w:p>
    <w:p w14:paraId="5DB776DB">
      <w:pPr>
        <w:pStyle w:val="10"/>
        <w:spacing w:before="86"/>
        <w:ind w:left="384"/>
        <w:jc w:val="both"/>
        <w:rPr>
          <w:rFonts w:hint="eastAsia" w:ascii="宋体" w:hAnsi="宋体" w:eastAsia="宋体" w:cs="宋体"/>
          <w:highlight w:val="none"/>
        </w:rPr>
      </w:pPr>
      <w:r>
        <w:rPr>
          <w:rFonts w:hint="eastAsia" w:ascii="宋体" w:hAnsi="宋体" w:eastAsia="宋体" w:cs="宋体"/>
          <w:highlight w:val="none"/>
        </w:rPr>
        <w:t>21.2 款约定进行修复。</w:t>
      </w:r>
    </w:p>
    <w:p w14:paraId="01E3624E">
      <w:pPr>
        <w:pStyle w:val="26"/>
        <w:numPr>
          <w:ilvl w:val="0"/>
          <w:numId w:val="0"/>
        </w:numPr>
        <w:tabs>
          <w:tab w:val="left" w:pos="1404"/>
        </w:tabs>
        <w:spacing w:before="84"/>
        <w:ind w:left="864" w:leftChars="0"/>
        <w:jc w:val="both"/>
        <w:rPr>
          <w:rFonts w:hint="eastAsia" w:ascii="宋体" w:hAnsi="宋体" w:eastAsia="宋体" w:cs="宋体"/>
          <w:sz w:val="24"/>
          <w:highlight w:val="none"/>
        </w:rPr>
      </w:pPr>
      <w:r>
        <w:rPr>
          <w:rFonts w:hint="eastAsia" w:cs="宋体"/>
          <w:sz w:val="24"/>
          <w:highlight w:val="none"/>
          <w:lang w:val="en-US" w:eastAsia="zh-CN"/>
        </w:rPr>
        <w:t>9.</w:t>
      </w:r>
      <w:r>
        <w:rPr>
          <w:rFonts w:hint="eastAsia" w:ascii="宋体" w:hAnsi="宋体" w:eastAsia="宋体" w:cs="宋体"/>
          <w:sz w:val="24"/>
          <w:highlight w:val="none"/>
        </w:rPr>
        <w:t>试运行</w:t>
      </w:r>
    </w:p>
    <w:p w14:paraId="2AE92EF0">
      <w:pPr>
        <w:pStyle w:val="26"/>
        <w:numPr>
          <w:ilvl w:val="0"/>
          <w:numId w:val="0"/>
        </w:numPr>
        <w:tabs>
          <w:tab w:val="left" w:pos="1584"/>
        </w:tabs>
        <w:spacing w:before="100" w:line="312" w:lineRule="auto"/>
        <w:ind w:left="864" w:leftChars="0" w:right="502" w:rightChars="0"/>
        <w:jc w:val="both"/>
        <w:rPr>
          <w:rFonts w:hint="eastAsia" w:ascii="宋体" w:hAnsi="宋体" w:eastAsia="宋体" w:cs="宋体"/>
          <w:sz w:val="24"/>
          <w:highlight w:val="none"/>
        </w:rPr>
      </w:pPr>
      <w:r>
        <w:rPr>
          <w:rFonts w:hint="eastAsia" w:cs="宋体"/>
          <w:spacing w:val="-1"/>
          <w:sz w:val="24"/>
          <w:highlight w:val="none"/>
          <w:lang w:val="en-US" w:eastAsia="zh-CN"/>
        </w:rPr>
        <w:t>9.6.1</w:t>
      </w:r>
      <w:r>
        <w:rPr>
          <w:rFonts w:hint="eastAsia" w:ascii="宋体" w:hAnsi="宋体" w:eastAsia="宋体" w:cs="宋体"/>
          <w:spacing w:val="-1"/>
          <w:sz w:val="24"/>
          <w:highlight w:val="none"/>
        </w:rPr>
        <w:t>除专用合同条款另有约定外，承包人应按专用合同条款约定进行工程及工程设备试运行，负责提供试运行所需的人员、器材和必要的条件，并承担全部试</w:t>
      </w:r>
      <w:r>
        <w:rPr>
          <w:rFonts w:hint="eastAsia" w:ascii="宋体" w:hAnsi="宋体" w:eastAsia="宋体" w:cs="宋体"/>
          <w:sz w:val="24"/>
          <w:highlight w:val="none"/>
        </w:rPr>
        <w:t>运行费用。</w:t>
      </w:r>
    </w:p>
    <w:p w14:paraId="1EB06091">
      <w:pPr>
        <w:pStyle w:val="26"/>
        <w:numPr>
          <w:ilvl w:val="0"/>
          <w:numId w:val="0"/>
        </w:numPr>
        <w:tabs>
          <w:tab w:val="left" w:pos="1527"/>
        </w:tabs>
        <w:spacing w:line="291" w:lineRule="exact"/>
        <w:ind w:left="863" w:leftChars="0"/>
        <w:jc w:val="both"/>
        <w:rPr>
          <w:rFonts w:hint="eastAsia" w:ascii="宋体" w:hAnsi="宋体" w:eastAsia="宋体" w:cs="宋体"/>
          <w:sz w:val="24"/>
          <w:highlight w:val="none"/>
        </w:rPr>
      </w:pPr>
      <w:r>
        <w:rPr>
          <w:rFonts w:hint="eastAsia" w:cs="宋体"/>
          <w:sz w:val="24"/>
          <w:highlight w:val="none"/>
          <w:lang w:val="en-US" w:eastAsia="zh-CN"/>
        </w:rPr>
        <w:t>9.6.2</w:t>
      </w:r>
      <w:r>
        <w:rPr>
          <w:rFonts w:hint="eastAsia" w:ascii="宋体" w:hAnsi="宋体" w:eastAsia="宋体" w:cs="宋体"/>
          <w:sz w:val="24"/>
          <w:highlight w:val="none"/>
        </w:rPr>
        <w:t>由于承包人的原因导致试运行失败的，承包人应采取措施保证试运行合</w:t>
      </w:r>
    </w:p>
    <w:p w14:paraId="414FC007">
      <w:pPr>
        <w:pStyle w:val="10"/>
        <w:spacing w:before="87" w:line="304" w:lineRule="auto"/>
        <w:ind w:left="384" w:right="465"/>
        <w:rPr>
          <w:rFonts w:hint="eastAsia" w:ascii="宋体" w:hAnsi="宋体" w:eastAsia="宋体" w:cs="宋体"/>
          <w:highlight w:val="none"/>
        </w:rPr>
      </w:pPr>
      <w:r>
        <w:rPr>
          <w:rFonts w:hint="eastAsia" w:ascii="宋体" w:hAnsi="宋体" w:eastAsia="宋体" w:cs="宋体"/>
          <w:highlight w:val="none"/>
        </w:rPr>
        <w:t>格，并承担相应费用。由于发包人的原因导致试运行失败的，承包人应当采取措施保证试运行合格，发包人应承担由此产生的费用，并支付承包人合理利润。</w:t>
      </w:r>
    </w:p>
    <w:p w14:paraId="29D3BF6E">
      <w:pPr>
        <w:pStyle w:val="10"/>
        <w:spacing w:before="174"/>
        <w:ind w:left="583"/>
        <w:rPr>
          <w:rFonts w:hint="eastAsia" w:ascii="宋体" w:hAnsi="宋体" w:eastAsia="宋体" w:cs="宋体"/>
          <w:highlight w:val="none"/>
        </w:rPr>
      </w:pPr>
      <w:r>
        <w:rPr>
          <w:rFonts w:hint="eastAsia" w:ascii="宋体" w:hAnsi="宋体" w:eastAsia="宋体" w:cs="宋体"/>
          <w:highlight w:val="none"/>
        </w:rPr>
        <w:t>四、质量与检验</w:t>
      </w:r>
    </w:p>
    <w:p w14:paraId="5C19A2D1">
      <w:pPr>
        <w:pStyle w:val="10"/>
        <w:spacing w:before="10"/>
        <w:rPr>
          <w:rFonts w:hint="eastAsia" w:ascii="宋体" w:hAnsi="宋体" w:eastAsia="宋体" w:cs="宋体"/>
          <w:sz w:val="19"/>
          <w:highlight w:val="none"/>
        </w:rPr>
      </w:pPr>
    </w:p>
    <w:p w14:paraId="0D56C4C2">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工程质量与检验</w:t>
      </w:r>
    </w:p>
    <w:p w14:paraId="4188E7AD">
      <w:pPr>
        <w:pStyle w:val="10"/>
        <w:spacing w:before="8"/>
        <w:rPr>
          <w:rFonts w:hint="eastAsia" w:ascii="宋体" w:hAnsi="宋体" w:eastAsia="宋体" w:cs="宋体"/>
          <w:sz w:val="20"/>
          <w:highlight w:val="none"/>
        </w:rPr>
      </w:pPr>
    </w:p>
    <w:p w14:paraId="232BA415">
      <w:pPr>
        <w:pStyle w:val="26"/>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承包人应保证其实施的工程质量达到约定的质量标准，质量标准的评定</w:t>
      </w:r>
      <w:r>
        <w:rPr>
          <w:rFonts w:hint="eastAsia" w:ascii="宋体" w:hAnsi="宋体" w:eastAsia="宋体" w:cs="宋体"/>
          <w:spacing w:val="-4"/>
          <w:sz w:val="24"/>
          <w:highlight w:val="none"/>
        </w:rPr>
        <w:t xml:space="preserve">以交通运输部及新疆交通运输厅有关质量检验评定标准规定为依据。因承包人原因， </w:t>
      </w:r>
      <w:r>
        <w:rPr>
          <w:rFonts w:hint="eastAsia" w:ascii="宋体" w:hAnsi="宋体" w:eastAsia="宋体" w:cs="宋体"/>
          <w:sz w:val="24"/>
          <w:highlight w:val="none"/>
        </w:rPr>
        <w:t>工程质量达不到合同约定验收标准的，监理人有权要求承包人返工直至符合合同要求为止，承包人承担由此造成的费用增加和（或）工期延误。</w:t>
      </w:r>
    </w:p>
    <w:p w14:paraId="3854D4F1">
      <w:pPr>
        <w:pStyle w:val="10"/>
        <w:spacing w:before="5"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因发包人原因造成工程质量达不到合同约定验收标准的，发包人应承担由于承包人返工造成的费用增加和（或）工期延误，并支付承包人合理利润。</w:t>
      </w:r>
    </w:p>
    <w:p w14:paraId="6C9DC974">
      <w:pPr>
        <w:pStyle w:val="26"/>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承包人的质量管理</w:t>
      </w:r>
    </w:p>
    <w:p w14:paraId="4BCFDAC4">
      <w:pPr>
        <w:pStyle w:val="10"/>
        <w:rPr>
          <w:rFonts w:hint="eastAsia" w:ascii="宋体" w:hAnsi="宋体" w:eastAsia="宋体" w:cs="宋体"/>
          <w:highlight w:val="none"/>
        </w:rPr>
      </w:pPr>
      <w:r>
        <w:rPr>
          <w:rFonts w:hint="eastAsia" w:ascii="宋体" w:hAnsi="宋体" w:eastAsia="宋体" w:cs="宋体"/>
          <w:spacing w:val="-1"/>
          <w:sz w:val="24"/>
          <w:highlight w:val="none"/>
        </w:rPr>
        <w:t xml:space="preserve">承包人应在施工场地设置专门的质量检查机构，配备专职质量检查人员， </w:t>
      </w:r>
      <w:r>
        <w:rPr>
          <w:rFonts w:hint="eastAsia" w:ascii="宋体" w:hAnsi="宋体" w:eastAsia="宋体" w:cs="宋体"/>
          <w:sz w:val="24"/>
          <w:highlight w:val="none"/>
        </w:rPr>
        <w:t>建立完善的质量检查制度。承包人应在合同约定的期限内，提交工程质量保证措施</w:t>
      </w:r>
      <w:r>
        <w:rPr>
          <w:rFonts w:hint="eastAsia" w:ascii="宋体" w:hAnsi="宋体" w:eastAsia="宋体" w:cs="宋体"/>
          <w:highlight w:val="none"/>
        </w:rPr>
        <w:t>文件，包括质量检查机构的组织和岗位责任、质检人员的组成、质量检查程序和实施细则等，报送监理人审批；</w:t>
      </w:r>
    </w:p>
    <w:p w14:paraId="113B8AC2">
      <w:pPr>
        <w:pStyle w:val="26"/>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发包人和承包人应严格遵守交通运输部和新疆交通运输厅有关公路工程</w:t>
      </w:r>
      <w:r>
        <w:rPr>
          <w:rFonts w:hint="eastAsia" w:ascii="宋体" w:hAnsi="宋体" w:eastAsia="宋体" w:cs="宋体"/>
          <w:spacing w:val="-5"/>
          <w:sz w:val="24"/>
          <w:highlight w:val="none"/>
        </w:rPr>
        <w:t>质量责任制和质量问题责任追究的相关规定，施行质量责任终身制，制定相关质量</w:t>
      </w:r>
      <w:r>
        <w:rPr>
          <w:rFonts w:hint="eastAsia" w:ascii="宋体" w:hAnsi="宋体" w:eastAsia="宋体" w:cs="宋体"/>
          <w:spacing w:val="-3"/>
          <w:sz w:val="24"/>
          <w:highlight w:val="none"/>
        </w:rPr>
        <w:t>保证措施；</w:t>
      </w:r>
    </w:p>
    <w:p w14:paraId="685501C3">
      <w:pPr>
        <w:pStyle w:val="26"/>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用于本工程的材料和设备进场以前，承包人必须向监理人提交生产厂商</w:t>
      </w:r>
      <w:r>
        <w:rPr>
          <w:rFonts w:hint="eastAsia" w:ascii="宋体" w:hAnsi="宋体" w:eastAsia="宋体" w:cs="宋体"/>
          <w:spacing w:val="-5"/>
          <w:sz w:val="24"/>
          <w:highlight w:val="none"/>
        </w:rPr>
        <w:t>出具的质量合格证书和承包人检验合格证书，证明材料、设备质量符合技术规范的规定；</w:t>
      </w:r>
    </w:p>
    <w:p w14:paraId="7A305DB4">
      <w:pPr>
        <w:pStyle w:val="26"/>
        <w:numPr>
          <w:ilvl w:val="0"/>
          <w:numId w:val="11"/>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承包人应随时按监理人的指令在制造、加工或施工现场对材料和设备进</w:t>
      </w:r>
      <w:r>
        <w:rPr>
          <w:rFonts w:hint="eastAsia" w:ascii="宋体" w:hAnsi="宋体" w:eastAsia="宋体" w:cs="宋体"/>
          <w:spacing w:val="-6"/>
          <w:sz w:val="24"/>
          <w:highlight w:val="none"/>
        </w:rPr>
        <w:t>行检验；</w:t>
      </w:r>
    </w:p>
    <w:p w14:paraId="45E1B2A8">
      <w:pPr>
        <w:pStyle w:val="26"/>
        <w:numPr>
          <w:ilvl w:val="0"/>
          <w:numId w:val="11"/>
        </w:numPr>
        <w:tabs>
          <w:tab w:val="left" w:pos="1465"/>
        </w:tabs>
        <w:spacing w:before="1" w:line="30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承包人应为监理人对材料或设备的检验提供一切必要的协助，在材料用</w:t>
      </w:r>
      <w:r>
        <w:rPr>
          <w:rFonts w:hint="eastAsia" w:ascii="宋体" w:hAnsi="宋体" w:eastAsia="宋体" w:cs="宋体"/>
          <w:spacing w:val="-5"/>
          <w:sz w:val="24"/>
          <w:highlight w:val="none"/>
        </w:rPr>
        <w:t>于工程之前，应按监理人的要求提供材料样品以供检验；</w:t>
      </w:r>
    </w:p>
    <w:p w14:paraId="3C85630F">
      <w:pPr>
        <w:pStyle w:val="26"/>
        <w:numPr>
          <w:ilvl w:val="0"/>
          <w:numId w:val="11"/>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承包人应加强质量监控，确保规范规定的检验、抽检频率，现场质检的原</w:t>
      </w:r>
      <w:r>
        <w:rPr>
          <w:rFonts w:hint="eastAsia" w:ascii="宋体" w:hAnsi="宋体" w:eastAsia="宋体" w:cs="宋体"/>
          <w:sz w:val="24"/>
          <w:highlight w:val="none"/>
        </w:rPr>
        <w:t>始资料必须真实、准确、可靠，不得追记，接受质量检查时必须出示原始资料；</w:t>
      </w:r>
    </w:p>
    <w:p w14:paraId="0A0DF5FF">
      <w:pPr>
        <w:pStyle w:val="26"/>
        <w:numPr>
          <w:ilvl w:val="0"/>
          <w:numId w:val="11"/>
        </w:numPr>
        <w:tabs>
          <w:tab w:val="left" w:pos="1465"/>
        </w:tabs>
        <w:spacing w:before="1"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承包人必须完善检验手段，根据技术规范的规定配齐检测和试验仪器、</w:t>
      </w:r>
      <w:r>
        <w:rPr>
          <w:rFonts w:hint="eastAsia" w:ascii="宋体" w:hAnsi="宋体" w:eastAsia="宋体" w:cs="宋体"/>
          <w:spacing w:val="-5"/>
          <w:sz w:val="24"/>
          <w:highlight w:val="none"/>
        </w:rPr>
        <w:t>仪表，并应及时校正确保其精度；根据合同要求加强工地试验室的管理；加强标准</w:t>
      </w:r>
      <w:r>
        <w:rPr>
          <w:rFonts w:hint="eastAsia" w:ascii="宋体" w:hAnsi="宋体" w:eastAsia="宋体" w:cs="宋体"/>
          <w:spacing w:val="-4"/>
          <w:sz w:val="24"/>
          <w:highlight w:val="none"/>
        </w:rPr>
        <w:t>计量基础工作和材料检验工作，不得违规计量，不合格材料严禁用于本工程；</w:t>
      </w:r>
    </w:p>
    <w:p w14:paraId="5D641F09">
      <w:pPr>
        <w:pStyle w:val="26"/>
        <w:numPr>
          <w:ilvl w:val="0"/>
          <w:numId w:val="11"/>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所有施工操作工艺应符合本合同的规定以及监理人的指令；</w:t>
      </w:r>
    </w:p>
    <w:p w14:paraId="5CE8ED09">
      <w:pPr>
        <w:pStyle w:val="26"/>
        <w:numPr>
          <w:ilvl w:val="0"/>
          <w:numId w:val="11"/>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对工程质量有争议，监理人可委托独立的工程质量检测机构鉴定，所需费用及因此造成的损失，由责任方承担。双方均有责任的，由双方根据其责任大小</w:t>
      </w:r>
      <w:r>
        <w:rPr>
          <w:rFonts w:hint="eastAsia" w:ascii="宋体" w:hAnsi="宋体" w:eastAsia="宋体" w:cs="宋体"/>
          <w:spacing w:val="-4"/>
          <w:sz w:val="24"/>
          <w:highlight w:val="none"/>
        </w:rPr>
        <w:t>分别承担；</w:t>
      </w:r>
    </w:p>
    <w:p w14:paraId="00AC759E">
      <w:pPr>
        <w:pStyle w:val="26"/>
        <w:numPr>
          <w:ilvl w:val="0"/>
          <w:numId w:val="11"/>
        </w:numPr>
        <w:tabs>
          <w:tab w:val="left" w:pos="1588"/>
        </w:tabs>
        <w:spacing w:line="307"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承包人应合理安排施工计划，合理安排工期，尽量避免工程越冬施工。如必须越冬，要采取必要的措施，保证工程质量；所发生的费用，承包人在报价中</w:t>
      </w:r>
      <w:r>
        <w:rPr>
          <w:rFonts w:hint="eastAsia" w:ascii="宋体" w:hAnsi="宋体" w:eastAsia="宋体" w:cs="宋体"/>
          <w:sz w:val="24"/>
          <w:highlight w:val="none"/>
        </w:rPr>
        <w:t>要充分考虑，发包人不单独支付。</w:t>
      </w:r>
    </w:p>
    <w:p w14:paraId="43A5DEF4">
      <w:pPr>
        <w:pStyle w:val="26"/>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监理人根据检查或检验结果可以拒收有缺陷或不符合合同要求的材料或</w:t>
      </w:r>
      <w:r>
        <w:rPr>
          <w:rFonts w:hint="eastAsia" w:ascii="宋体" w:hAnsi="宋体" w:eastAsia="宋体" w:cs="宋体"/>
          <w:spacing w:val="-1"/>
          <w:sz w:val="24"/>
          <w:highlight w:val="none"/>
        </w:rPr>
        <w:t>设备，并通知承包人说明拒收的理由；承包人应立即修复所述缺陷或替换被拒收材料或设备使其符合合同规定；如果监理人要求在相同条件下进行被拒收材料或设备</w:t>
      </w:r>
      <w:r>
        <w:rPr>
          <w:rFonts w:hint="eastAsia" w:ascii="宋体" w:hAnsi="宋体" w:eastAsia="宋体" w:cs="宋体"/>
          <w:sz w:val="24"/>
          <w:highlight w:val="none"/>
        </w:rPr>
        <w:t>的检验，其检验所发生的费用由承包人承担。</w:t>
      </w:r>
    </w:p>
    <w:p w14:paraId="5D1DA732">
      <w:pPr>
        <w:pStyle w:val="26"/>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监理人有权随时就下述事项发出指令：</w:t>
      </w:r>
    </w:p>
    <w:p w14:paraId="14890DF3">
      <w:pPr>
        <w:pStyle w:val="26"/>
        <w:numPr>
          <w:ilvl w:val="0"/>
          <w:numId w:val="12"/>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责成承包人在规定的时间内，一次或分次将不符合合同规定的材料或设</w:t>
      </w:r>
      <w:r>
        <w:rPr>
          <w:rFonts w:hint="eastAsia" w:ascii="宋体" w:hAnsi="宋体" w:eastAsia="宋体" w:cs="宋体"/>
          <w:spacing w:val="-5"/>
          <w:sz w:val="24"/>
          <w:highlight w:val="none"/>
        </w:rPr>
        <w:t>备从现场运走，并用合格适用的材料或设备取代；</w:t>
      </w:r>
    </w:p>
    <w:p w14:paraId="7D01F4C7">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不管先前是否已经检验或中期付款，如果监理人认为工程的任何部分由</w:t>
      </w:r>
      <w:r>
        <w:rPr>
          <w:rFonts w:hint="eastAsia" w:ascii="宋体" w:hAnsi="宋体" w:eastAsia="宋体" w:cs="宋体"/>
          <w:spacing w:val="-5"/>
          <w:sz w:val="24"/>
          <w:highlight w:val="none"/>
        </w:rPr>
        <w:t>于材料、设备或操作工艺或承包人设计的局部工程不符合合同规定时，由承包人将</w:t>
      </w:r>
      <w:r>
        <w:rPr>
          <w:rFonts w:hint="eastAsia" w:ascii="宋体" w:hAnsi="宋体" w:eastAsia="宋体" w:cs="宋体"/>
          <w:spacing w:val="-4"/>
          <w:sz w:val="24"/>
          <w:highlight w:val="none"/>
        </w:rPr>
        <w:t>这些工程拆除并彻底重做；</w:t>
      </w:r>
    </w:p>
    <w:p w14:paraId="1DC7E7A5">
      <w:pPr>
        <w:pStyle w:val="26"/>
        <w:numPr>
          <w:ilvl w:val="0"/>
          <w:numId w:val="12"/>
        </w:numPr>
        <w:tabs>
          <w:tab w:val="left" w:pos="1465"/>
        </w:tabs>
        <w:spacing w:before="7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承包人使用不合格材料、工程设备，或采用不适当的施工工艺，或施工不</w:t>
      </w:r>
      <w:r>
        <w:rPr>
          <w:rFonts w:hint="eastAsia" w:ascii="宋体" w:hAnsi="宋体" w:eastAsia="宋体" w:cs="宋体"/>
          <w:spacing w:val="-1"/>
          <w:sz w:val="24"/>
          <w:highlight w:val="none"/>
        </w:rPr>
        <w:t>当，造成工程不合格的，监理人可以随时发出指示，要求承包人立即采取措施进行</w:t>
      </w:r>
      <w:r>
        <w:rPr>
          <w:rFonts w:hint="eastAsia" w:ascii="宋体" w:hAnsi="宋体" w:eastAsia="宋体" w:cs="宋体"/>
          <w:sz w:val="24"/>
          <w:highlight w:val="none"/>
        </w:rPr>
        <w:t>替换、补救或拆除重建，直至达到合同要求的质量标准，由此增加的费用和(或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工期延误由承包人承担；</w:t>
      </w:r>
    </w:p>
    <w:p w14:paraId="5BD99928">
      <w:pPr>
        <w:pStyle w:val="26"/>
        <w:numPr>
          <w:ilvl w:val="0"/>
          <w:numId w:val="12"/>
        </w:numPr>
        <w:tabs>
          <w:tab w:val="left" w:pos="1465"/>
        </w:tabs>
        <w:spacing w:before="5" w:line="307"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如果承包人未在规定时间内执行监理人的指示，发包人有权雇用他人执行，由此增加的费用和</w:t>
      </w:r>
      <w:r>
        <w:rPr>
          <w:rFonts w:hint="eastAsia" w:ascii="宋体" w:hAnsi="宋体" w:eastAsia="宋体" w:cs="宋体"/>
          <w:sz w:val="24"/>
          <w:highlight w:val="none"/>
        </w:rPr>
        <w:t>(或)工期延误由承包人承担。</w:t>
      </w:r>
    </w:p>
    <w:p w14:paraId="05077260">
      <w:pPr>
        <w:pStyle w:val="26"/>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工程隐蔽部位覆盖前的检查</w:t>
      </w:r>
    </w:p>
    <w:p w14:paraId="69312D84">
      <w:pPr>
        <w:pStyle w:val="26"/>
        <w:numPr>
          <w:ilvl w:val="0"/>
          <w:numId w:val="13"/>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没有监理人的批准，任何隐蔽工程均不得覆盖或掩蔽。当任何一部分工</w:t>
      </w:r>
      <w:r>
        <w:rPr>
          <w:rFonts w:hint="eastAsia" w:ascii="宋体" w:hAnsi="宋体" w:eastAsia="宋体" w:cs="宋体"/>
          <w:spacing w:val="-5"/>
          <w:sz w:val="24"/>
          <w:highlight w:val="none"/>
        </w:rPr>
        <w:t>程或基础已经或即将为检查做好准备时，承包人应事先通知监理人，并约定检查的</w:t>
      </w:r>
      <w:r>
        <w:rPr>
          <w:rFonts w:hint="eastAsia" w:ascii="宋体" w:hAnsi="宋体" w:eastAsia="宋体" w:cs="宋体"/>
          <w:spacing w:val="-4"/>
          <w:sz w:val="24"/>
          <w:highlight w:val="none"/>
        </w:rPr>
        <w:t>时间，监理人则应按时派员参加上述工程或基础的检查和量测；如果监理人认为没</w:t>
      </w:r>
      <w:r>
        <w:rPr>
          <w:rFonts w:hint="eastAsia" w:ascii="宋体" w:hAnsi="宋体" w:eastAsia="宋体" w:cs="宋体"/>
          <w:spacing w:val="-6"/>
          <w:sz w:val="24"/>
          <w:highlight w:val="none"/>
        </w:rPr>
        <w:t>有必要参与检查，应就此通知承包人；如果上述约定时间后的</w:t>
      </w:r>
      <w:r>
        <w:rPr>
          <w:rFonts w:hint="eastAsia" w:ascii="宋体" w:hAnsi="宋体" w:eastAsia="宋体" w:cs="宋体"/>
          <w:sz w:val="24"/>
          <w:highlight w:val="none"/>
        </w:rPr>
        <w:t>6小时内，监理人或</w:t>
      </w:r>
      <w:r>
        <w:rPr>
          <w:rFonts w:hint="eastAsia" w:ascii="宋体" w:hAnsi="宋体" w:eastAsia="宋体" w:cs="宋体"/>
          <w:spacing w:val="-3"/>
          <w:sz w:val="24"/>
          <w:highlight w:val="none"/>
        </w:rPr>
        <w:t>其代表未能到场对上述工程或基础进行检查和量测，承包人即可自行检查，并如实</w:t>
      </w:r>
      <w:r>
        <w:rPr>
          <w:rFonts w:hint="eastAsia" w:ascii="宋体" w:hAnsi="宋体" w:eastAsia="宋体" w:cs="宋体"/>
          <w:spacing w:val="-4"/>
          <w:sz w:val="24"/>
          <w:highlight w:val="none"/>
        </w:rPr>
        <w:t>作出自检报告后覆盖或掩蔽，监理人事后应予以认可；</w:t>
      </w:r>
    </w:p>
    <w:p w14:paraId="1E6DA49D">
      <w:pPr>
        <w:pStyle w:val="26"/>
        <w:numPr>
          <w:ilvl w:val="0"/>
          <w:numId w:val="13"/>
        </w:numPr>
        <w:tabs>
          <w:tab w:val="left" w:pos="1465"/>
        </w:tabs>
        <w:spacing w:line="298" w:lineRule="exact"/>
        <w:ind w:left="1465"/>
        <w:rPr>
          <w:rFonts w:hint="eastAsia" w:ascii="宋体" w:hAnsi="宋体" w:eastAsia="宋体" w:cs="宋体"/>
          <w:sz w:val="24"/>
          <w:highlight w:val="none"/>
        </w:rPr>
      </w:pPr>
      <w:r>
        <w:rPr>
          <w:rFonts w:hint="eastAsia" w:ascii="宋体" w:hAnsi="宋体" w:eastAsia="宋体" w:cs="宋体"/>
          <w:sz w:val="24"/>
          <w:highlight w:val="none"/>
        </w:rPr>
        <w:t>重新检验</w:t>
      </w:r>
    </w:p>
    <w:p w14:paraId="7340118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7A21F8E3">
      <w:pPr>
        <w:pStyle w:val="26"/>
        <w:numPr>
          <w:ilvl w:val="0"/>
          <w:numId w:val="13"/>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承包人未通知监理人到场检查，私自将工程隐蔽部位覆盖的，监理人有</w:t>
      </w:r>
      <w:r>
        <w:rPr>
          <w:rFonts w:hint="eastAsia" w:ascii="宋体" w:hAnsi="宋体" w:eastAsia="宋体" w:cs="宋体"/>
          <w:spacing w:val="-5"/>
          <w:sz w:val="24"/>
          <w:highlight w:val="none"/>
        </w:rPr>
        <w:t>权指示承包人钻孔探测或揭开检查，由此增加的费用和</w:t>
      </w:r>
      <w:r>
        <w:rPr>
          <w:rFonts w:hint="eastAsia" w:ascii="宋体" w:hAnsi="宋体" w:eastAsia="宋体" w:cs="宋体"/>
          <w:sz w:val="24"/>
          <w:highlight w:val="none"/>
        </w:rPr>
        <w:t>(或)工期延误由承包人承担。</w:t>
      </w:r>
    </w:p>
    <w:p w14:paraId="5E42651E">
      <w:pPr>
        <w:pStyle w:val="10"/>
        <w:spacing w:before="174"/>
        <w:ind w:left="583"/>
        <w:rPr>
          <w:rFonts w:hint="eastAsia" w:ascii="宋体" w:hAnsi="宋体" w:eastAsia="宋体" w:cs="宋体"/>
          <w:highlight w:val="none"/>
        </w:rPr>
      </w:pPr>
      <w:r>
        <w:rPr>
          <w:rFonts w:hint="eastAsia" w:ascii="宋体" w:hAnsi="宋体" w:eastAsia="宋体" w:cs="宋体"/>
          <w:highlight w:val="none"/>
        </w:rPr>
        <w:t>五、施工安全、治安保卫与环境保护</w:t>
      </w:r>
    </w:p>
    <w:p w14:paraId="6A387868">
      <w:pPr>
        <w:pStyle w:val="10"/>
        <w:rPr>
          <w:rFonts w:hint="eastAsia" w:ascii="宋体" w:hAnsi="宋体" w:eastAsia="宋体" w:cs="宋体"/>
          <w:sz w:val="20"/>
          <w:highlight w:val="none"/>
        </w:rPr>
      </w:pPr>
    </w:p>
    <w:p w14:paraId="08B62252">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施工安全、治安保卫</w:t>
      </w:r>
    </w:p>
    <w:p w14:paraId="77CF1DB0">
      <w:pPr>
        <w:pStyle w:val="10"/>
        <w:spacing w:before="5"/>
        <w:rPr>
          <w:rFonts w:hint="eastAsia" w:ascii="宋体" w:hAnsi="宋体" w:eastAsia="宋体" w:cs="宋体"/>
          <w:sz w:val="20"/>
          <w:highlight w:val="none"/>
        </w:rPr>
      </w:pPr>
    </w:p>
    <w:p w14:paraId="12D0600C">
      <w:pPr>
        <w:pStyle w:val="26"/>
        <w:numPr>
          <w:ilvl w:val="4"/>
          <w:numId w:val="5"/>
        </w:numPr>
        <w:tabs>
          <w:tab w:val="left" w:pos="1404"/>
        </w:tabs>
        <w:rPr>
          <w:rFonts w:hint="eastAsia" w:ascii="宋体" w:hAnsi="宋体" w:eastAsia="宋体" w:cs="宋体"/>
          <w:sz w:val="24"/>
          <w:highlight w:val="none"/>
        </w:rPr>
      </w:pPr>
      <w:r>
        <w:rPr>
          <w:rFonts w:hint="eastAsia" w:ascii="宋体" w:hAnsi="宋体" w:eastAsia="宋体" w:cs="宋体"/>
          <w:sz w:val="24"/>
          <w:highlight w:val="none"/>
        </w:rPr>
        <w:t>发包人的施工安全责任</w:t>
      </w:r>
    </w:p>
    <w:p w14:paraId="5648B5FC">
      <w:pPr>
        <w:pStyle w:val="26"/>
        <w:numPr>
          <w:ilvl w:val="0"/>
          <w:numId w:val="1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发包人应按合同约定履行安全职责，授权监理人按合同约定的安全工作</w:t>
      </w:r>
      <w:r>
        <w:rPr>
          <w:rFonts w:hint="eastAsia" w:ascii="宋体" w:hAnsi="宋体" w:eastAsia="宋体" w:cs="宋体"/>
          <w:spacing w:val="-5"/>
          <w:sz w:val="24"/>
          <w:highlight w:val="none"/>
        </w:rPr>
        <w:t>内容监督、检查承包人安全工作的实施，组织承包人和有关单位进行安全检查；</w:t>
      </w:r>
    </w:p>
    <w:p w14:paraId="59EA8263">
      <w:pPr>
        <w:pStyle w:val="26"/>
        <w:numPr>
          <w:ilvl w:val="0"/>
          <w:numId w:val="1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发包人应对其现场机构雇佣的全部人员的工伤事故承担责任，但由于承</w:t>
      </w:r>
      <w:r>
        <w:rPr>
          <w:rFonts w:hint="eastAsia" w:ascii="宋体" w:hAnsi="宋体" w:eastAsia="宋体" w:cs="宋体"/>
          <w:spacing w:val="-5"/>
          <w:sz w:val="24"/>
          <w:highlight w:val="none"/>
        </w:rPr>
        <w:t>包人原因造成发包人人员工伤的，应由承包人承担责任；</w:t>
      </w:r>
    </w:p>
    <w:p w14:paraId="6C39843B">
      <w:pPr>
        <w:pStyle w:val="26"/>
        <w:numPr>
          <w:ilvl w:val="0"/>
          <w:numId w:val="14"/>
        </w:numPr>
        <w:tabs>
          <w:tab w:val="left" w:pos="1465"/>
        </w:tabs>
        <w:spacing w:before="1" w:line="304" w:lineRule="auto"/>
        <w:ind w:left="864" w:right="862" w:firstLine="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发包人应负责赔偿以下各种情况造成的第三者人身伤亡和财产损失： </w:t>
      </w:r>
      <w:r>
        <w:rPr>
          <w:rFonts w:hint="eastAsia" w:ascii="宋体" w:hAnsi="宋体" w:eastAsia="宋体" w:cs="宋体"/>
          <w:sz w:val="24"/>
          <w:highlight w:val="none"/>
        </w:rPr>
        <w:t>工程或工程的任何部分对土地的占用所造成的第三者财产损失；</w:t>
      </w:r>
    </w:p>
    <w:p w14:paraId="2C296727">
      <w:pPr>
        <w:pStyle w:val="10"/>
        <w:spacing w:before="2"/>
        <w:ind w:left="864"/>
        <w:rPr>
          <w:rFonts w:hint="eastAsia" w:ascii="宋体" w:hAnsi="宋体" w:eastAsia="宋体" w:cs="宋体"/>
          <w:highlight w:val="none"/>
        </w:rPr>
      </w:pPr>
      <w:r>
        <w:rPr>
          <w:rFonts w:hint="eastAsia" w:ascii="宋体" w:hAnsi="宋体" w:eastAsia="宋体" w:cs="宋体"/>
          <w:highlight w:val="none"/>
        </w:rPr>
        <w:t>由于发包人原因在施工场地及其毗邻地带造成的第三者人身伤亡和财产损失。</w:t>
      </w:r>
    </w:p>
    <w:p w14:paraId="13854161">
      <w:pPr>
        <w:pStyle w:val="10"/>
        <w:spacing w:before="5"/>
        <w:rPr>
          <w:rFonts w:hint="eastAsia" w:ascii="宋体" w:hAnsi="宋体" w:eastAsia="宋体" w:cs="宋体"/>
          <w:sz w:val="17"/>
          <w:highlight w:val="none"/>
        </w:rPr>
      </w:pPr>
      <w:r>
        <w:rPr>
          <w:rFonts w:hint="eastAsia" w:ascii="宋体" w:hAnsi="宋体" w:eastAsia="宋体" w:cs="宋体"/>
          <w:sz w:val="24"/>
          <w:highlight w:val="none"/>
        </w:rPr>
        <w:t xml:space="preserve">承包人应遵守工程建设安全生产有关规定，采取有效的安全防护措施， </w:t>
      </w:r>
      <w:r>
        <w:rPr>
          <w:rFonts w:hint="eastAsia" w:ascii="宋体" w:hAnsi="宋体" w:eastAsia="宋体" w:cs="宋体"/>
          <w:spacing w:val="-1"/>
          <w:sz w:val="24"/>
          <w:highlight w:val="none"/>
        </w:rPr>
        <w:t>消除事故隐患，确保所有在现场工作人员及机械设备的安全。由于承包人安全措施</w:t>
      </w:r>
      <w:r>
        <w:rPr>
          <w:rFonts w:hint="eastAsia" w:ascii="宋体" w:hAnsi="宋体" w:eastAsia="宋体" w:cs="宋体"/>
          <w:sz w:val="24"/>
          <w:highlight w:val="none"/>
        </w:rPr>
        <w:t>不力造成事故的责任和由此发生的费用，由承包人承担。承包人还应该：</w:t>
      </w:r>
    </w:p>
    <w:p w14:paraId="6A76E699">
      <w:pPr>
        <w:pStyle w:val="26"/>
        <w:numPr>
          <w:ilvl w:val="0"/>
          <w:numId w:val="15"/>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专职安全员的配备按《公路水运工程安全生产监督管理办法》</w:t>
      </w:r>
      <w:r>
        <w:rPr>
          <w:rFonts w:hint="eastAsia" w:ascii="宋体" w:hAnsi="宋体" w:eastAsia="宋体" w:cs="宋体"/>
          <w:sz w:val="24"/>
          <w:highlight w:val="none"/>
        </w:rPr>
        <w:t>（</w:t>
      </w:r>
      <w:r>
        <w:rPr>
          <w:rFonts w:hint="eastAsia" w:ascii="宋体" w:hAnsi="宋体" w:eastAsia="宋体" w:cs="宋体"/>
          <w:spacing w:val="-4"/>
          <w:sz w:val="24"/>
          <w:highlight w:val="none"/>
        </w:rPr>
        <w:t>交通运输</w:t>
      </w:r>
      <w:r>
        <w:rPr>
          <w:rFonts w:hint="eastAsia" w:ascii="宋体" w:hAnsi="宋体" w:eastAsia="宋体" w:cs="宋体"/>
          <w:spacing w:val="-20"/>
          <w:sz w:val="24"/>
          <w:highlight w:val="none"/>
        </w:rPr>
        <w:t xml:space="preserve">部令 </w:t>
      </w:r>
      <w:r>
        <w:rPr>
          <w:rFonts w:hint="eastAsia" w:ascii="宋体" w:hAnsi="宋体" w:eastAsia="宋体" w:cs="宋体"/>
          <w:sz w:val="24"/>
          <w:highlight w:val="none"/>
        </w:rPr>
        <w:t xml:space="preserve">2017 </w:t>
      </w:r>
      <w:r>
        <w:rPr>
          <w:rFonts w:hint="eastAsia" w:ascii="宋体" w:hAnsi="宋体" w:eastAsia="宋体" w:cs="宋体"/>
          <w:spacing w:val="-20"/>
          <w:sz w:val="24"/>
          <w:highlight w:val="none"/>
        </w:rPr>
        <w:t xml:space="preserve">年第 </w:t>
      </w:r>
      <w:r>
        <w:rPr>
          <w:rFonts w:hint="eastAsia" w:ascii="宋体" w:hAnsi="宋体" w:eastAsia="宋体" w:cs="宋体"/>
          <w:sz w:val="24"/>
          <w:highlight w:val="none"/>
        </w:rPr>
        <w:t>25 号）的规定执行；</w:t>
      </w:r>
    </w:p>
    <w:p w14:paraId="6064E1FD">
      <w:pPr>
        <w:pStyle w:val="26"/>
        <w:numPr>
          <w:ilvl w:val="0"/>
          <w:numId w:val="15"/>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特殊工种(</w:t>
      </w:r>
      <w:r>
        <w:rPr>
          <w:rFonts w:hint="eastAsia" w:ascii="宋体" w:hAnsi="宋体" w:eastAsia="宋体" w:cs="宋体"/>
          <w:spacing w:val="-2"/>
          <w:sz w:val="24"/>
          <w:highlight w:val="none"/>
        </w:rPr>
        <w:t>电工、电梯工、起重工、电焊工、车船驾驶员、爆破工等</w:t>
      </w:r>
      <w:r>
        <w:rPr>
          <w:rFonts w:hint="eastAsia" w:ascii="宋体" w:hAnsi="宋体" w:eastAsia="宋体" w:cs="宋体"/>
          <w:sz w:val="24"/>
          <w:highlight w:val="none"/>
        </w:rPr>
        <w:t>)</w:t>
      </w:r>
      <w:r>
        <w:rPr>
          <w:rFonts w:hint="eastAsia" w:ascii="宋体" w:hAnsi="宋体" w:eastAsia="宋体" w:cs="宋体"/>
          <w:spacing w:val="-9"/>
          <w:sz w:val="24"/>
          <w:highlight w:val="none"/>
        </w:rPr>
        <w:t>要经</w:t>
      </w:r>
      <w:r>
        <w:rPr>
          <w:rFonts w:hint="eastAsia" w:ascii="宋体" w:hAnsi="宋体" w:eastAsia="宋体" w:cs="宋体"/>
          <w:sz w:val="24"/>
          <w:highlight w:val="none"/>
        </w:rPr>
        <w:t>专业培训，并持有专业主管部门签发的合格证上岗；</w:t>
      </w:r>
    </w:p>
    <w:p w14:paraId="0D016402">
      <w:pPr>
        <w:pStyle w:val="26"/>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对于易燃易爆材料的运输、保管必须符合当地安全部门的有关规定，除</w:t>
      </w:r>
      <w:r>
        <w:rPr>
          <w:rFonts w:hint="eastAsia" w:ascii="宋体" w:hAnsi="宋体" w:eastAsia="宋体" w:cs="宋体"/>
          <w:spacing w:val="-5"/>
          <w:sz w:val="24"/>
          <w:highlight w:val="none"/>
        </w:rPr>
        <w:t>应专门妥善保管外，并应配有足够的消防设备，所有施工人员都应熟悉消防设备的</w:t>
      </w:r>
      <w:r>
        <w:rPr>
          <w:rFonts w:hint="eastAsia" w:ascii="宋体" w:hAnsi="宋体" w:eastAsia="宋体" w:cs="宋体"/>
          <w:spacing w:val="-4"/>
          <w:sz w:val="24"/>
          <w:highlight w:val="none"/>
        </w:rPr>
        <w:t>性能和使用方法；</w:t>
      </w:r>
    </w:p>
    <w:p w14:paraId="27C16600">
      <w:pPr>
        <w:pStyle w:val="26"/>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承包人应严格按照国家安全标准关于公路工程施工安全技术规范制定的</w:t>
      </w:r>
      <w:r>
        <w:rPr>
          <w:rFonts w:hint="eastAsia" w:ascii="宋体" w:hAnsi="宋体" w:eastAsia="宋体" w:cs="宋体"/>
          <w:spacing w:val="-5"/>
          <w:sz w:val="24"/>
          <w:highlight w:val="none"/>
        </w:rPr>
        <w:t>施工安全操作规程，配备必要的安全生产和劳动保护设施，加强对承包人人员的安</w:t>
      </w:r>
      <w:r>
        <w:rPr>
          <w:rFonts w:hint="eastAsia" w:ascii="宋体" w:hAnsi="宋体" w:eastAsia="宋体" w:cs="宋体"/>
          <w:spacing w:val="-4"/>
          <w:sz w:val="24"/>
          <w:highlight w:val="none"/>
        </w:rPr>
        <w:t>全教育，并发放安全工作手册和劳动保护用具。由于承包人原因在施工场地内及其毗邻地带造成的第三者人员伤亡和财产损失，由承包人负责赔偿；</w:t>
      </w:r>
    </w:p>
    <w:p w14:paraId="66DBA8E8">
      <w:pPr>
        <w:pStyle w:val="26"/>
        <w:numPr>
          <w:ilvl w:val="0"/>
          <w:numId w:val="15"/>
        </w:numPr>
        <w:tabs>
          <w:tab w:val="left" w:pos="1465"/>
        </w:tabs>
        <w:spacing w:line="29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7"/>
          <w:sz w:val="24"/>
          <w:highlight w:val="none"/>
        </w:rPr>
        <w:t>记录。</w:t>
      </w:r>
    </w:p>
    <w:p w14:paraId="573801E1">
      <w:pPr>
        <w:pStyle w:val="26"/>
        <w:numPr>
          <w:ilvl w:val="0"/>
          <w:numId w:val="15"/>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除项目专用合同条款另有约定外，安全生产费用应为投标价</w:t>
      </w:r>
      <w:r>
        <w:rPr>
          <w:rFonts w:hint="eastAsia" w:ascii="宋体" w:hAnsi="宋体" w:eastAsia="宋体" w:cs="宋体"/>
          <w:sz w:val="24"/>
          <w:highlight w:val="none"/>
        </w:rPr>
        <w:t>（不含安全生</w:t>
      </w:r>
      <w:r>
        <w:rPr>
          <w:rFonts w:hint="eastAsia" w:ascii="宋体" w:hAnsi="宋体" w:eastAsia="宋体" w:cs="宋体"/>
          <w:spacing w:val="2"/>
          <w:sz w:val="24"/>
          <w:highlight w:val="none"/>
        </w:rPr>
        <w:t>产费</w:t>
      </w:r>
      <w:r>
        <w:rPr>
          <w:rFonts w:hint="eastAsia" w:ascii="宋体" w:hAnsi="宋体" w:eastAsia="宋体" w:cs="宋体"/>
          <w:spacing w:val="4"/>
          <w:sz w:val="24"/>
          <w:highlight w:val="none"/>
        </w:rPr>
        <w:t>）</w:t>
      </w:r>
      <w:r>
        <w:rPr>
          <w:rFonts w:hint="eastAsia" w:ascii="宋体" w:hAnsi="宋体" w:eastAsia="宋体" w:cs="宋体"/>
          <w:spacing w:val="-25"/>
          <w:sz w:val="24"/>
          <w:highlight w:val="none"/>
        </w:rPr>
        <w:t>的</w:t>
      </w:r>
      <w:r>
        <w:rPr>
          <w:rFonts w:hint="eastAsia" w:ascii="宋体" w:hAnsi="宋体" w:eastAsia="宋体" w:cs="宋体"/>
          <w:sz w:val="24"/>
          <w:highlight w:val="none"/>
        </w:rPr>
        <w:t>1.5%（</w:t>
      </w:r>
      <w:r>
        <w:rPr>
          <w:rFonts w:hint="eastAsia" w:ascii="宋体" w:hAnsi="宋体" w:eastAsia="宋体" w:cs="宋体"/>
          <w:spacing w:val="-3"/>
          <w:sz w:val="24"/>
          <w:highlight w:val="none"/>
        </w:rPr>
        <w:t>若发包人公布了最高投标限价时，按最高投标限价的</w:t>
      </w:r>
      <w:r>
        <w:rPr>
          <w:rFonts w:hint="eastAsia" w:ascii="宋体" w:hAnsi="宋体" w:eastAsia="宋体" w:cs="宋体"/>
          <w:sz w:val="24"/>
          <w:highlight w:val="none"/>
        </w:rPr>
        <w:t>1.5%</w:t>
      </w:r>
      <w:r>
        <w:rPr>
          <w:rFonts w:hint="eastAsia" w:ascii="宋体" w:hAnsi="宋体" w:eastAsia="宋体" w:cs="宋体"/>
          <w:spacing w:val="4"/>
          <w:sz w:val="24"/>
          <w:highlight w:val="none"/>
        </w:rPr>
        <w:t>计</w:t>
      </w:r>
      <w:r>
        <w:rPr>
          <w:rFonts w:hint="eastAsia" w:ascii="宋体" w:hAnsi="宋体" w:eastAsia="宋体" w:cs="宋体"/>
          <w:sz w:val="24"/>
          <w:highlight w:val="none"/>
        </w:rPr>
        <w:t>）。</w:t>
      </w:r>
      <w:r>
        <w:rPr>
          <w:rFonts w:hint="eastAsia" w:ascii="宋体" w:hAnsi="宋体" w:eastAsia="宋体" w:cs="宋体"/>
          <w:spacing w:val="-5"/>
          <w:sz w:val="24"/>
          <w:highlight w:val="none"/>
        </w:rPr>
        <w:t>安全生产费用应用于施工安全防护用具及设施的采购和更新、安全施工措施的落实、</w:t>
      </w:r>
      <w:r>
        <w:rPr>
          <w:rFonts w:hint="eastAsia" w:ascii="宋体" w:hAnsi="宋体" w:eastAsia="宋体" w:cs="宋体"/>
          <w:sz w:val="24"/>
          <w:highlight w:val="none"/>
        </w:rPr>
        <w:t>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商定或确定。</w:t>
      </w:r>
    </w:p>
    <w:p w14:paraId="41644D0A">
      <w:pPr>
        <w:pStyle w:val="26"/>
        <w:numPr>
          <w:ilvl w:val="4"/>
          <w:numId w:val="5"/>
        </w:numPr>
        <w:tabs>
          <w:tab w:val="left" w:pos="1529"/>
        </w:tabs>
        <w:spacing w:before="5"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为了保护本合同工程免遭破坏或为了现场附近过往人群的安全、方便， </w:t>
      </w:r>
      <w:r>
        <w:rPr>
          <w:rFonts w:hint="eastAsia" w:ascii="宋体" w:hAnsi="宋体" w:eastAsia="宋体" w:cs="宋体"/>
          <w:spacing w:val="-1"/>
          <w:sz w:val="24"/>
          <w:highlight w:val="none"/>
        </w:rPr>
        <w:t>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w:t>
      </w:r>
      <w:r>
        <w:rPr>
          <w:rFonts w:hint="eastAsia" w:ascii="宋体" w:hAnsi="宋体" w:eastAsia="宋体" w:cs="宋体"/>
          <w:sz w:val="24"/>
          <w:highlight w:val="none"/>
        </w:rPr>
        <w:t>生的费用。</w:t>
      </w:r>
    </w:p>
    <w:p w14:paraId="37731FA7">
      <w:pPr>
        <w:pStyle w:val="26"/>
        <w:numPr>
          <w:ilvl w:val="4"/>
          <w:numId w:val="5"/>
        </w:numPr>
        <w:tabs>
          <w:tab w:val="left" w:pos="1529"/>
        </w:tabs>
        <w:spacing w:before="4"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承包人应按监理人的指示制定应对灾害的紧急预案，报送监理人审批。</w:t>
      </w:r>
      <w:r>
        <w:rPr>
          <w:rFonts w:hint="eastAsia" w:ascii="宋体" w:hAnsi="宋体" w:eastAsia="宋体" w:cs="宋体"/>
          <w:spacing w:val="-1"/>
          <w:sz w:val="24"/>
          <w:highlight w:val="none"/>
        </w:rPr>
        <w:t>承包人还应按预案做好安全检查，配置必要的救助物资和器材，切实保护好有关人</w:t>
      </w:r>
      <w:r>
        <w:rPr>
          <w:rFonts w:hint="eastAsia" w:ascii="宋体" w:hAnsi="宋体" w:eastAsia="宋体" w:cs="宋体"/>
          <w:sz w:val="24"/>
          <w:highlight w:val="none"/>
        </w:rPr>
        <w:t>员的人身和财产安全。</w:t>
      </w:r>
    </w:p>
    <w:p w14:paraId="0133DB7F">
      <w:pPr>
        <w:pStyle w:val="26"/>
        <w:numPr>
          <w:ilvl w:val="4"/>
          <w:numId w:val="5"/>
        </w:numPr>
        <w:tabs>
          <w:tab w:val="left" w:pos="1529"/>
        </w:tabs>
        <w:spacing w:before="1" w:line="29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合同约定的安全作业环境及安全施工措施所需费用应遵守有关规定，并包括在相关工作的合同价格中。</w:t>
      </w:r>
    </w:p>
    <w:p w14:paraId="32AAF4D5">
      <w:pPr>
        <w:pStyle w:val="26"/>
        <w:numPr>
          <w:ilvl w:val="4"/>
          <w:numId w:val="5"/>
        </w:numPr>
        <w:tabs>
          <w:tab w:val="left" w:pos="1529"/>
        </w:tabs>
        <w:spacing w:line="300"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承包人应充分关注和保障所有在现场工作的人员安全，采取有效措施， 使现场和本合同工程的实施保持有条不紊，以免使上述人员的安全受到威胁。</w:t>
      </w:r>
    </w:p>
    <w:p w14:paraId="0DA65AB5">
      <w:pPr>
        <w:pStyle w:val="10"/>
        <w:spacing w:before="5"/>
        <w:rPr>
          <w:rFonts w:hint="eastAsia" w:ascii="宋体" w:hAnsi="宋体" w:eastAsia="宋体" w:cs="宋体"/>
          <w:highlight w:val="none"/>
        </w:rPr>
      </w:pPr>
      <w:r>
        <w:rPr>
          <w:rFonts w:hint="eastAsia" w:ascii="宋体" w:hAnsi="宋体" w:eastAsia="宋体" w:cs="宋体"/>
          <w:sz w:val="24"/>
          <w:highlight w:val="none"/>
        </w:rPr>
        <w:t>在整个施工过程中对承包人采取的施工安全措施，发包人和监理人有权</w:t>
      </w:r>
      <w:r>
        <w:rPr>
          <w:rFonts w:hint="eastAsia" w:ascii="宋体" w:hAnsi="宋体" w:eastAsia="宋体" w:cs="宋体"/>
          <w:spacing w:val="-1"/>
          <w:sz w:val="24"/>
          <w:highlight w:val="none"/>
        </w:rPr>
        <w:t>监督，并向承包人提出整改要求。如果由于承包人未能对其负责的上述事项采取各</w:t>
      </w:r>
      <w:r>
        <w:rPr>
          <w:rFonts w:hint="eastAsia" w:ascii="宋体" w:hAnsi="宋体" w:eastAsia="宋体" w:cs="宋体"/>
          <w:highlight w:val="none"/>
        </w:rPr>
        <w:t>种必要的措施而导致或发生与此有关的人身伤亡、罚款、索赔、损失补偿、诉讼费用及其他一切责任应由承包人负责。</w:t>
      </w:r>
    </w:p>
    <w:p w14:paraId="18A30A5B">
      <w:pPr>
        <w:pStyle w:val="26"/>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治安保卫</w:t>
      </w:r>
    </w:p>
    <w:p w14:paraId="350266FE">
      <w:pPr>
        <w:pStyle w:val="26"/>
        <w:numPr>
          <w:ilvl w:val="0"/>
          <w:numId w:val="16"/>
        </w:numPr>
        <w:tabs>
          <w:tab w:val="left" w:pos="1465"/>
        </w:tabs>
        <w:spacing w:before="74" w:line="29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发包人应与当地公安部门协商，在现场建立治安管理机构或联防组织， </w:t>
      </w:r>
      <w:r>
        <w:rPr>
          <w:rFonts w:hint="eastAsia" w:ascii="宋体" w:hAnsi="宋体" w:eastAsia="宋体" w:cs="宋体"/>
          <w:spacing w:val="-5"/>
          <w:sz w:val="24"/>
          <w:highlight w:val="none"/>
        </w:rPr>
        <w:t>统一管理施工场地的治安保卫事项，履行合同工程的治安保卫职责；</w:t>
      </w:r>
    </w:p>
    <w:p w14:paraId="4FEAE303">
      <w:pPr>
        <w:pStyle w:val="26"/>
        <w:numPr>
          <w:ilvl w:val="0"/>
          <w:numId w:val="16"/>
        </w:numPr>
        <w:tabs>
          <w:tab w:val="left" w:pos="1465"/>
        </w:tabs>
        <w:spacing w:before="3"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发包人和承包人除应协助现场治安管理机构或联防组织维护施工场地的</w:t>
      </w:r>
      <w:r>
        <w:rPr>
          <w:rFonts w:hint="eastAsia" w:ascii="宋体" w:hAnsi="宋体" w:eastAsia="宋体" w:cs="宋体"/>
          <w:spacing w:val="-5"/>
          <w:sz w:val="24"/>
          <w:highlight w:val="none"/>
        </w:rPr>
        <w:t>社会治安外，还应做好包括生活区在内的各自管辖区的治安保卫工作；</w:t>
      </w:r>
    </w:p>
    <w:p w14:paraId="12B12CA1">
      <w:pPr>
        <w:pStyle w:val="26"/>
        <w:numPr>
          <w:ilvl w:val="0"/>
          <w:numId w:val="16"/>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发包人和承包人应在工程开工后，共同编制施工场地治安管理计划，并制</w:t>
      </w:r>
      <w:r>
        <w:rPr>
          <w:rFonts w:hint="eastAsia" w:ascii="宋体" w:hAnsi="宋体" w:eastAsia="宋体" w:cs="宋体"/>
          <w:spacing w:val="-8"/>
          <w:sz w:val="24"/>
          <w:highlight w:val="none"/>
        </w:rPr>
        <w:t xml:space="preserve">定应对突发治安事件的紧急预案。在工程施工过程中，发生暴乱、爆炸等恐怖事件， </w:t>
      </w:r>
      <w:r>
        <w:rPr>
          <w:rFonts w:hint="eastAsia" w:ascii="宋体" w:hAnsi="宋体" w:eastAsia="宋体" w:cs="宋体"/>
          <w:spacing w:val="-10"/>
          <w:sz w:val="24"/>
          <w:highlight w:val="none"/>
        </w:rPr>
        <w:t>以及群殴、械斗等群体性突发治安事件的，发包人和承包人应立即向当地政府报告。</w:t>
      </w:r>
      <w:r>
        <w:rPr>
          <w:rFonts w:hint="eastAsia" w:ascii="宋体" w:hAnsi="宋体" w:eastAsia="宋体" w:cs="宋体"/>
          <w:sz w:val="24"/>
          <w:highlight w:val="none"/>
        </w:rPr>
        <w:t>发包人和承包人应积极协助当地有关部门采取措施平息事态，防止事态扩大，尽量减少财产损失和避免人员伤亡。</w:t>
      </w:r>
    </w:p>
    <w:p w14:paraId="593DD8D7">
      <w:pPr>
        <w:pStyle w:val="26"/>
        <w:numPr>
          <w:ilvl w:val="3"/>
          <w:numId w:val="5"/>
        </w:numPr>
        <w:tabs>
          <w:tab w:val="left" w:pos="1125"/>
        </w:tabs>
        <w:spacing w:before="184"/>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环境保护</w:t>
      </w:r>
    </w:p>
    <w:p w14:paraId="02B8C9A1">
      <w:pPr>
        <w:pStyle w:val="10"/>
        <w:spacing w:before="5"/>
        <w:rPr>
          <w:rFonts w:hint="eastAsia" w:ascii="宋体" w:hAnsi="宋体" w:eastAsia="宋体" w:cs="宋体"/>
          <w:sz w:val="20"/>
          <w:highlight w:val="none"/>
        </w:rPr>
      </w:pPr>
    </w:p>
    <w:p w14:paraId="73711E6C">
      <w:pPr>
        <w:pStyle w:val="26"/>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承包人在施工过程中，应遵守有关环境保护的法律，并切实执行环境保</w:t>
      </w:r>
      <w:r>
        <w:rPr>
          <w:rFonts w:hint="eastAsia" w:ascii="宋体" w:hAnsi="宋体" w:eastAsia="宋体" w:cs="宋体"/>
          <w:spacing w:val="-1"/>
          <w:sz w:val="24"/>
          <w:highlight w:val="none"/>
        </w:rPr>
        <w:t>护方面的要求和规定，并对违反法律和合同约定的义务所造成的环境破坏、人为伤</w:t>
      </w:r>
      <w:r>
        <w:rPr>
          <w:rFonts w:hint="eastAsia" w:ascii="宋体" w:hAnsi="宋体" w:eastAsia="宋体" w:cs="宋体"/>
          <w:sz w:val="24"/>
          <w:highlight w:val="none"/>
        </w:rPr>
        <w:t>害和财产损失负责。</w:t>
      </w:r>
    </w:p>
    <w:p w14:paraId="3D00E8A9">
      <w:pPr>
        <w:pStyle w:val="26"/>
        <w:numPr>
          <w:ilvl w:val="0"/>
          <w:numId w:val="1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对于来自施工机械和运输车辆的施工噪声，应遵守《中华人民共和国环</w:t>
      </w:r>
      <w:r>
        <w:rPr>
          <w:rFonts w:hint="eastAsia" w:ascii="宋体" w:hAnsi="宋体" w:eastAsia="宋体" w:cs="宋体"/>
          <w:spacing w:val="-5"/>
          <w:sz w:val="24"/>
          <w:highlight w:val="none"/>
        </w:rPr>
        <w:t>境噪声污染防治法》并依据《工业企业噪声卫生标准》合理安排工作人员轮流操作</w:t>
      </w:r>
      <w:r>
        <w:rPr>
          <w:rFonts w:hint="eastAsia" w:ascii="宋体" w:hAnsi="宋体" w:eastAsia="宋体" w:cs="宋体"/>
          <w:spacing w:val="-4"/>
          <w:sz w:val="24"/>
          <w:highlight w:val="none"/>
        </w:rPr>
        <w:t>筑路机械，减少接触高噪声的时间或穿插安排高噪声的工作。对距噪声源较近的施工人员，除取得防护罩或头盔等有效措施外并应当缩短其劳动时间保护施工人员的</w:t>
      </w:r>
      <w:r>
        <w:rPr>
          <w:rFonts w:hint="eastAsia" w:ascii="宋体" w:hAnsi="宋体" w:eastAsia="宋体" w:cs="宋体"/>
          <w:spacing w:val="-5"/>
          <w:sz w:val="24"/>
          <w:highlight w:val="none"/>
        </w:rPr>
        <w:t>健康。为保护施工现场附近的居民的夜间休息，对居民区</w:t>
      </w:r>
      <w:r>
        <w:rPr>
          <w:rFonts w:hint="eastAsia" w:ascii="宋体" w:hAnsi="宋体" w:eastAsia="宋体" w:cs="宋体"/>
          <w:sz w:val="24"/>
          <w:highlight w:val="none"/>
        </w:rPr>
        <w:t>150m以内的施工现场、施工时间应加以控制。同时，要注意对机械的经常性保养，尽量使其噪声降低到最</w:t>
      </w:r>
      <w:r>
        <w:rPr>
          <w:rFonts w:hint="eastAsia" w:ascii="宋体" w:hAnsi="宋体" w:eastAsia="宋体" w:cs="宋体"/>
          <w:spacing w:val="-4"/>
          <w:sz w:val="24"/>
          <w:highlight w:val="none"/>
        </w:rPr>
        <w:t>低水平；</w:t>
      </w:r>
    </w:p>
    <w:p w14:paraId="6938BC15">
      <w:pPr>
        <w:pStyle w:val="26"/>
        <w:numPr>
          <w:ilvl w:val="0"/>
          <w:numId w:val="17"/>
        </w:numPr>
        <w:tabs>
          <w:tab w:val="left" w:pos="1465"/>
        </w:tabs>
        <w:spacing w:before="7"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应采取有效措施减轻施工现场的灰土拌合、施工车辆和筑路机械运转和</w:t>
      </w:r>
      <w:r>
        <w:rPr>
          <w:rFonts w:hint="eastAsia" w:ascii="宋体" w:hAnsi="宋体" w:eastAsia="宋体" w:cs="宋体"/>
          <w:spacing w:val="-5"/>
          <w:sz w:val="24"/>
          <w:highlight w:val="none"/>
        </w:rPr>
        <w:t>运输产生的扬尘污染，保护人民健康，如：</w:t>
      </w:r>
    </w:p>
    <w:p w14:paraId="637719B4">
      <w:pPr>
        <w:pStyle w:val="10"/>
        <w:spacing w:before="1"/>
        <w:ind w:left="864"/>
        <w:rPr>
          <w:rFonts w:hint="eastAsia" w:ascii="宋体" w:hAnsi="宋体" w:eastAsia="宋体" w:cs="宋体"/>
          <w:highlight w:val="none"/>
        </w:rPr>
      </w:pPr>
      <w:r>
        <w:rPr>
          <w:rFonts w:hint="eastAsia" w:ascii="宋体" w:hAnsi="宋体" w:eastAsia="宋体" w:cs="宋体"/>
          <w:highlight w:val="none"/>
        </w:rPr>
        <w:t>—拌合设备应有较好密封或有防尘设备。</w:t>
      </w:r>
    </w:p>
    <w:p w14:paraId="3967BEED">
      <w:pPr>
        <w:pStyle w:val="10"/>
        <w:spacing w:before="87"/>
        <w:ind w:left="864"/>
        <w:rPr>
          <w:rFonts w:hint="eastAsia" w:ascii="宋体" w:hAnsi="宋体" w:eastAsia="宋体" w:cs="宋体"/>
          <w:highlight w:val="none"/>
        </w:rPr>
      </w:pPr>
      <w:r>
        <w:rPr>
          <w:rFonts w:hint="eastAsia" w:ascii="宋体" w:hAnsi="宋体" w:eastAsia="宋体" w:cs="宋体"/>
          <w:highlight w:val="none"/>
        </w:rPr>
        <w:t>—施工道路、沥青混凝土拌合站及稳定灰土拌合站应经常进行洒水处理。</w:t>
      </w:r>
    </w:p>
    <w:p w14:paraId="6E76A83A">
      <w:pPr>
        <w:pStyle w:val="10"/>
        <w:spacing w:before="83"/>
        <w:ind w:left="864"/>
        <w:rPr>
          <w:rFonts w:hint="eastAsia" w:ascii="宋体" w:hAnsi="宋体" w:eastAsia="宋体" w:cs="宋体"/>
          <w:highlight w:val="none"/>
        </w:rPr>
      </w:pPr>
      <w:r>
        <w:rPr>
          <w:rFonts w:hint="eastAsia" w:ascii="宋体" w:hAnsi="宋体" w:eastAsia="宋体" w:cs="宋体"/>
          <w:highlight w:val="none"/>
        </w:rPr>
        <w:t>—路面施工应注意保持水分，以免扬尘。</w:t>
      </w:r>
    </w:p>
    <w:p w14:paraId="7FD7E765">
      <w:pPr>
        <w:pStyle w:val="10"/>
        <w:spacing w:before="84"/>
        <w:ind w:left="864"/>
        <w:rPr>
          <w:rFonts w:hint="eastAsia" w:ascii="宋体" w:hAnsi="宋体" w:eastAsia="宋体" w:cs="宋体"/>
          <w:highlight w:val="none"/>
        </w:rPr>
      </w:pPr>
      <w:r>
        <w:rPr>
          <w:rFonts w:hint="eastAsia" w:ascii="宋体" w:hAnsi="宋体" w:eastAsia="宋体" w:cs="宋体"/>
          <w:highlight w:val="none"/>
        </w:rPr>
        <w:t>—桥梁钻孔灌注桩施工时排除的泥浆要作妥善处理，严禁向河流或农田排放；</w:t>
      </w:r>
    </w:p>
    <w:p w14:paraId="48A9E1EE">
      <w:pPr>
        <w:pStyle w:val="26"/>
        <w:numPr>
          <w:ilvl w:val="0"/>
          <w:numId w:val="17"/>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采取可靠措施保证原有交通的正常通行和维护沿线村镇的居民饮水、农</w:t>
      </w:r>
      <w:r>
        <w:rPr>
          <w:rFonts w:hint="eastAsia" w:ascii="宋体" w:hAnsi="宋体" w:eastAsia="宋体" w:cs="宋体"/>
          <w:spacing w:val="-5"/>
          <w:sz w:val="24"/>
          <w:highlight w:val="none"/>
        </w:rPr>
        <w:t>田灌溉、生产生活用电及通讯等管线的正常使用。</w:t>
      </w:r>
    </w:p>
    <w:p w14:paraId="7B2F17FE">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承包人应按合同约定的环保工作内容，编制施工环保措施计划，报送监理人审批。</w:t>
      </w:r>
    </w:p>
    <w:p w14:paraId="5B32C7A7">
      <w:pPr>
        <w:pStyle w:val="26"/>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在施工期间，承包人应合理设置取土场和弃土场，做好施工防护措施， </w:t>
      </w:r>
      <w:r>
        <w:rPr>
          <w:rFonts w:hint="eastAsia" w:ascii="宋体" w:hAnsi="宋体" w:eastAsia="宋体" w:cs="宋体"/>
          <w:spacing w:val="-1"/>
          <w:sz w:val="24"/>
          <w:highlight w:val="none"/>
        </w:rPr>
        <w:t>防止水土流失。施工过程中要采取有效措施防止污染农田，项目完工后承包人应将</w:t>
      </w:r>
      <w:r>
        <w:rPr>
          <w:rFonts w:hint="eastAsia" w:ascii="宋体" w:hAnsi="宋体" w:eastAsia="宋体" w:cs="宋体"/>
          <w:sz w:val="24"/>
          <w:highlight w:val="none"/>
        </w:rPr>
        <w:t>临时占地自费恢复到临时占地使用前的状况。</w:t>
      </w:r>
    </w:p>
    <w:p w14:paraId="5F67123C">
      <w:pPr>
        <w:pStyle w:val="26"/>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承包人应严格按照国家有关法规要求，做好施工过程中的生态保护和水土保持工作。施工中要尽可能减少对原地面的扰动，减少对地面草木的破坏，需要</w:t>
      </w:r>
      <w:r>
        <w:rPr>
          <w:rFonts w:hint="eastAsia" w:ascii="宋体" w:hAnsi="宋体" w:eastAsia="宋体" w:cs="宋体"/>
          <w:spacing w:val="-8"/>
          <w:sz w:val="24"/>
          <w:highlight w:val="none"/>
        </w:rPr>
        <w:t>爆破作业的，应按规定进行控爆设计。加强施工便道的管理，严禁在指定的取</w:t>
      </w:r>
      <w:r>
        <w:rPr>
          <w:rFonts w:hint="eastAsia" w:ascii="宋体" w:hAnsi="宋体" w:eastAsia="宋体" w:cs="宋体"/>
          <w:spacing w:val="-3"/>
          <w:sz w:val="24"/>
          <w:highlight w:val="none"/>
        </w:rPr>
        <w:t>（</w:t>
      </w:r>
      <w:r>
        <w:rPr>
          <w:rFonts w:hint="eastAsia" w:ascii="宋体" w:hAnsi="宋体" w:eastAsia="宋体" w:cs="宋体"/>
          <w:sz w:val="24"/>
          <w:highlight w:val="none"/>
        </w:rPr>
        <w:t>弃</w:t>
      </w:r>
      <w:r>
        <w:rPr>
          <w:rFonts w:hint="eastAsia" w:ascii="宋体" w:hAnsi="宋体" w:eastAsia="宋体" w:cs="宋体"/>
          <w:spacing w:val="-16"/>
          <w:sz w:val="24"/>
          <w:highlight w:val="none"/>
        </w:rPr>
        <w:t xml:space="preserve">） </w:t>
      </w:r>
      <w:r>
        <w:rPr>
          <w:rFonts w:hint="eastAsia" w:ascii="宋体" w:hAnsi="宋体" w:eastAsia="宋体" w:cs="宋体"/>
          <w:sz w:val="24"/>
          <w:highlight w:val="none"/>
        </w:rPr>
        <w:t>土场以外的地方乱挖乱弃。</w:t>
      </w:r>
    </w:p>
    <w:p w14:paraId="6FDDC889">
      <w:pPr>
        <w:pStyle w:val="26"/>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在整个施工过程中对承包人采取的环境保护措施，发包人和监理人有权</w:t>
      </w:r>
      <w:r>
        <w:rPr>
          <w:rFonts w:hint="eastAsia" w:ascii="宋体" w:hAnsi="宋体" w:eastAsia="宋体" w:cs="宋体"/>
          <w:spacing w:val="-1"/>
          <w:sz w:val="24"/>
          <w:highlight w:val="none"/>
        </w:rPr>
        <w:t>监督，并向承包人提出整改要求。如果由于承包人未能对其负责的上述事项采取各种必要的措施而导致或发生与此有关的人身伤亡、罚款、索赔、损失补偿、诉讼费</w:t>
      </w:r>
      <w:r>
        <w:rPr>
          <w:rFonts w:hint="eastAsia" w:ascii="宋体" w:hAnsi="宋体" w:eastAsia="宋体" w:cs="宋体"/>
          <w:sz w:val="24"/>
          <w:highlight w:val="none"/>
        </w:rPr>
        <w:t>用及其他一切责任应由承包人负责。</w:t>
      </w:r>
    </w:p>
    <w:p w14:paraId="2E21436C">
      <w:pPr>
        <w:pStyle w:val="26"/>
        <w:numPr>
          <w:ilvl w:val="3"/>
          <w:numId w:val="5"/>
        </w:numPr>
        <w:tabs>
          <w:tab w:val="left" w:pos="1125"/>
        </w:tabs>
        <w:spacing w:before="178"/>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事故处理</w:t>
      </w:r>
    </w:p>
    <w:p w14:paraId="4AFDF7BF">
      <w:pPr>
        <w:pStyle w:val="10"/>
        <w:spacing w:before="10"/>
        <w:rPr>
          <w:rFonts w:hint="eastAsia" w:ascii="宋体" w:hAnsi="宋体" w:eastAsia="宋体" w:cs="宋体"/>
          <w:sz w:val="20"/>
          <w:highlight w:val="none"/>
        </w:rPr>
      </w:pPr>
    </w:p>
    <w:p w14:paraId="4046E4E4">
      <w:pPr>
        <w:pStyle w:val="10"/>
        <w:spacing w:line="307" w:lineRule="auto"/>
        <w:ind w:left="384" w:right="466" w:firstLine="480"/>
        <w:jc w:val="both"/>
        <w:rPr>
          <w:rFonts w:hint="eastAsia" w:ascii="宋体" w:hAnsi="宋体" w:eastAsia="宋体" w:cs="宋体"/>
          <w:highlight w:val="none"/>
        </w:rPr>
      </w:pPr>
      <w:r>
        <w:rPr>
          <w:rFonts w:hint="eastAsia" w:ascii="宋体" w:hAnsi="宋体" w:eastAsia="宋体" w:cs="宋体"/>
          <w:spacing w:val="-2"/>
          <w:highlight w:val="none"/>
        </w:rPr>
        <w:t>如果工程施工过程中，发生重大安全事故、质量事故，承包人必须在</w:t>
      </w:r>
      <w:r>
        <w:rPr>
          <w:rFonts w:hint="eastAsia" w:ascii="宋体" w:hAnsi="宋体" w:eastAsia="宋体" w:cs="宋体"/>
          <w:highlight w:val="none"/>
        </w:rPr>
        <w:t>2</w:t>
      </w:r>
      <w:r>
        <w:rPr>
          <w:rFonts w:hint="eastAsia" w:ascii="宋体" w:hAnsi="宋体" w:eastAsia="宋体" w:cs="宋体"/>
          <w:spacing w:val="-4"/>
          <w:highlight w:val="none"/>
        </w:rPr>
        <w:t>小时内</w:t>
      </w:r>
      <w:r>
        <w:rPr>
          <w:rFonts w:hint="eastAsia" w:ascii="宋体" w:hAnsi="宋体" w:eastAsia="宋体" w:cs="宋体"/>
          <w:spacing w:val="-1"/>
          <w:highlight w:val="none"/>
        </w:rPr>
        <w:t>口头报告，</w:t>
      </w:r>
      <w:r>
        <w:rPr>
          <w:rFonts w:hint="eastAsia" w:ascii="宋体" w:hAnsi="宋体" w:eastAsia="宋体" w:cs="宋体"/>
          <w:spacing w:val="-4"/>
          <w:highlight w:val="none"/>
        </w:rPr>
        <w:t>24</w:t>
      </w:r>
      <w:r>
        <w:rPr>
          <w:rFonts w:hint="eastAsia" w:ascii="宋体" w:hAnsi="宋体" w:eastAsia="宋体" w:cs="宋体"/>
          <w:spacing w:val="-2"/>
          <w:highlight w:val="none"/>
        </w:rPr>
        <w:t>小时内将事故详细情况书面报监理人和发包人。如果现场发生一般安</w:t>
      </w:r>
      <w:r>
        <w:rPr>
          <w:rFonts w:hint="eastAsia" w:ascii="宋体" w:hAnsi="宋体" w:eastAsia="宋体" w:cs="宋体"/>
          <w:spacing w:val="-3"/>
          <w:highlight w:val="none"/>
        </w:rPr>
        <w:t>全事故，或质量事故，承包人必须在</w:t>
      </w:r>
      <w:r>
        <w:rPr>
          <w:rFonts w:hint="eastAsia" w:ascii="宋体" w:hAnsi="宋体" w:eastAsia="宋体" w:cs="宋体"/>
          <w:highlight w:val="none"/>
        </w:rPr>
        <w:t>3</w:t>
      </w:r>
      <w:r>
        <w:rPr>
          <w:rFonts w:hint="eastAsia" w:ascii="宋体" w:hAnsi="宋体" w:eastAsia="宋体" w:cs="宋体"/>
          <w:spacing w:val="-1"/>
          <w:highlight w:val="none"/>
        </w:rPr>
        <w:t>天内将事故详细情况书面报告监理人和发包</w:t>
      </w:r>
      <w:r>
        <w:rPr>
          <w:rFonts w:hint="eastAsia" w:ascii="宋体" w:hAnsi="宋体" w:eastAsia="宋体" w:cs="宋体"/>
          <w:highlight w:val="none"/>
        </w:rPr>
        <w:t>人。如果现场(包括临时道路)发生重大交通事故，承包人应尽快报告监理人，同时</w:t>
      </w:r>
      <w:r>
        <w:rPr>
          <w:rFonts w:hint="eastAsia" w:ascii="宋体" w:hAnsi="宋体" w:eastAsia="宋体" w:cs="宋体"/>
          <w:spacing w:val="-1"/>
          <w:highlight w:val="none"/>
        </w:rPr>
        <w:t>应迅速报告当地交通安全管理部门。质量事故等级划分遵照交通运输部公路工程质</w:t>
      </w:r>
      <w:r>
        <w:rPr>
          <w:rFonts w:hint="eastAsia" w:ascii="宋体" w:hAnsi="宋体" w:eastAsia="宋体" w:cs="宋体"/>
          <w:highlight w:val="none"/>
        </w:rPr>
        <w:t>量管理办法的规定。</w:t>
      </w:r>
    </w:p>
    <w:p w14:paraId="23B2B45D">
      <w:pPr>
        <w:pStyle w:val="10"/>
        <w:spacing w:before="182"/>
        <w:ind w:right="7021"/>
        <w:jc w:val="right"/>
        <w:rPr>
          <w:rFonts w:hint="eastAsia" w:ascii="宋体" w:hAnsi="宋体" w:eastAsia="宋体" w:cs="宋体"/>
          <w:highlight w:val="none"/>
        </w:rPr>
      </w:pPr>
      <w:r>
        <w:rPr>
          <w:rFonts w:hint="eastAsia" w:ascii="宋体" w:hAnsi="宋体" w:eastAsia="宋体" w:cs="宋体"/>
          <w:highlight w:val="none"/>
        </w:rPr>
        <w:t>六、合同价款支付</w:t>
      </w:r>
    </w:p>
    <w:p w14:paraId="0EC7AA73">
      <w:pPr>
        <w:pStyle w:val="10"/>
        <w:spacing w:before="10"/>
        <w:rPr>
          <w:rFonts w:hint="eastAsia" w:ascii="宋体" w:hAnsi="宋体" w:eastAsia="宋体" w:cs="宋体"/>
          <w:sz w:val="20"/>
          <w:highlight w:val="none"/>
        </w:rPr>
      </w:pPr>
    </w:p>
    <w:p w14:paraId="5203CD5D">
      <w:pPr>
        <w:pStyle w:val="26"/>
        <w:numPr>
          <w:ilvl w:val="3"/>
          <w:numId w:val="5"/>
        </w:numPr>
        <w:tabs>
          <w:tab w:val="left" w:pos="301"/>
        </w:tabs>
        <w:ind w:left="1124" w:right="6961" w:hanging="1125"/>
        <w:rPr>
          <w:rFonts w:hint="eastAsia" w:ascii="宋体" w:hAnsi="宋体" w:eastAsia="宋体" w:cs="宋体"/>
          <w:sz w:val="24"/>
          <w:highlight w:val="none"/>
        </w:rPr>
      </w:pPr>
      <w:r>
        <w:rPr>
          <w:rFonts w:hint="eastAsia" w:ascii="宋体" w:hAnsi="宋体" w:eastAsia="宋体" w:cs="宋体"/>
          <w:sz w:val="24"/>
          <w:highlight w:val="none"/>
          <w:lang w:val="en-US"/>
        </w:rPr>
        <w:t xml:space="preserve"> </w:t>
      </w:r>
      <w:r>
        <w:rPr>
          <w:rFonts w:hint="eastAsia" w:ascii="宋体" w:hAnsi="宋体" w:eastAsia="宋体" w:cs="宋体"/>
          <w:sz w:val="24"/>
          <w:highlight w:val="none"/>
        </w:rPr>
        <w:t>合同价款支付</w:t>
      </w:r>
    </w:p>
    <w:p w14:paraId="11C7C991">
      <w:pPr>
        <w:pStyle w:val="10"/>
        <w:spacing w:before="10"/>
        <w:rPr>
          <w:rFonts w:hint="eastAsia" w:ascii="宋体" w:hAnsi="宋体" w:eastAsia="宋体" w:cs="宋体"/>
          <w:sz w:val="20"/>
          <w:highlight w:val="none"/>
        </w:rPr>
      </w:pPr>
    </w:p>
    <w:p w14:paraId="794EB996">
      <w:pPr>
        <w:pStyle w:val="26"/>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发包人与承包人依据中标价在合同协议书内约定合同价款。</w:t>
      </w:r>
    </w:p>
    <w:p w14:paraId="2B5EC60A">
      <w:pPr>
        <w:pStyle w:val="26"/>
        <w:numPr>
          <w:ilvl w:val="4"/>
          <w:numId w:val="5"/>
        </w:numPr>
        <w:tabs>
          <w:tab w:val="left" w:pos="1524"/>
        </w:tabs>
        <w:spacing w:before="86" w:line="307"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承包人应在每月的</w:t>
      </w:r>
      <w:r>
        <w:rPr>
          <w:rFonts w:hint="eastAsia" w:ascii="宋体" w:hAnsi="宋体" w:eastAsia="宋体" w:cs="宋体"/>
          <w:sz w:val="24"/>
          <w:highlight w:val="none"/>
        </w:rPr>
        <w:t>25</w:t>
      </w:r>
      <w:r>
        <w:rPr>
          <w:rFonts w:hint="eastAsia" w:ascii="宋体" w:hAnsi="宋体" w:eastAsia="宋体" w:cs="宋体"/>
          <w:spacing w:val="-1"/>
          <w:sz w:val="24"/>
          <w:highlight w:val="none"/>
        </w:rPr>
        <w:t>日前，按监理人审定的《工程进度中期支付报表》</w:t>
      </w:r>
      <w:r>
        <w:rPr>
          <w:rFonts w:hint="eastAsia" w:ascii="宋体" w:hAnsi="宋体" w:eastAsia="宋体" w:cs="宋体"/>
          <w:sz w:val="24"/>
          <w:highlight w:val="none"/>
        </w:rPr>
        <w:t>的工程数量及相关的支付额报发包人，发包人据以支付工程进度款。除不可抗拒的自然灾害、特殊社会风险及发包人批准的设计变更外，工程总支付金额不应超过合同价（不包括暂列金额）。</w:t>
      </w:r>
    </w:p>
    <w:p w14:paraId="3A59961E">
      <w:pPr>
        <w:pStyle w:val="26"/>
        <w:numPr>
          <w:ilvl w:val="3"/>
          <w:numId w:val="5"/>
        </w:numPr>
        <w:tabs>
          <w:tab w:val="left" w:pos="1125"/>
        </w:tabs>
        <w:spacing w:before="18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预付款</w:t>
      </w:r>
    </w:p>
    <w:p w14:paraId="01CFA5FC">
      <w:pPr>
        <w:pStyle w:val="10"/>
        <w:spacing w:before="9"/>
        <w:rPr>
          <w:rFonts w:hint="eastAsia" w:ascii="宋体" w:hAnsi="宋体" w:eastAsia="宋体" w:cs="宋体"/>
          <w:sz w:val="20"/>
          <w:highlight w:val="none"/>
        </w:rPr>
      </w:pPr>
    </w:p>
    <w:p w14:paraId="26936144">
      <w:pPr>
        <w:pStyle w:val="26"/>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承包人在合同文件载明的人员、主要设备进场后，可得到预付款支付， 预付款必须专用于合同工程。</w:t>
      </w:r>
    </w:p>
    <w:p w14:paraId="1D21B5B8">
      <w:pPr>
        <w:pStyle w:val="10"/>
        <w:spacing w:before="5"/>
        <w:rPr>
          <w:rFonts w:hint="eastAsia" w:ascii="宋体" w:hAnsi="宋体" w:eastAsia="宋体" w:cs="宋体"/>
          <w:sz w:val="17"/>
          <w:highlight w:val="none"/>
        </w:rPr>
      </w:pPr>
      <w:r>
        <w:rPr>
          <w:rFonts w:hint="eastAsia" w:ascii="宋体" w:hAnsi="宋体" w:eastAsia="宋体" w:cs="宋体"/>
          <w:sz w:val="24"/>
          <w:highlight w:val="none"/>
        </w:rPr>
        <w:t>预付款在进度付款中扣回，在颁发工程接收证书前，由于不可抗力或其</w:t>
      </w:r>
      <w:r>
        <w:rPr>
          <w:rFonts w:hint="eastAsia" w:ascii="宋体" w:hAnsi="宋体" w:eastAsia="宋体" w:cs="宋体"/>
          <w:spacing w:val="-1"/>
          <w:sz w:val="24"/>
          <w:highlight w:val="none"/>
        </w:rPr>
        <w:t>他原因解除合同时，预付款尚未扣清的，尚未扣清的预付款余额应作为承包人的到</w:t>
      </w:r>
      <w:r>
        <w:rPr>
          <w:rFonts w:hint="eastAsia" w:ascii="宋体" w:hAnsi="宋体" w:eastAsia="宋体" w:cs="宋体"/>
          <w:sz w:val="24"/>
          <w:highlight w:val="none"/>
        </w:rPr>
        <w:t>期应付款。</w:t>
      </w:r>
    </w:p>
    <w:p w14:paraId="512A36E2">
      <w:pPr>
        <w:pStyle w:val="26"/>
        <w:numPr>
          <w:ilvl w:val="4"/>
          <w:numId w:val="5"/>
        </w:numPr>
        <w:tabs>
          <w:tab w:val="left" w:pos="1409"/>
        </w:tabs>
        <w:spacing w:before="76" w:line="307" w:lineRule="auto"/>
        <w:ind w:left="384" w:right="46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开工预付款在进度付款证书的累计金额未达到签约合同价的</w:t>
      </w:r>
      <w:r>
        <w:rPr>
          <w:rFonts w:hint="eastAsia" w:ascii="宋体" w:hAnsi="宋体" w:eastAsia="宋体" w:cs="宋体"/>
          <w:sz w:val="24"/>
          <w:highlight w:val="none"/>
        </w:rPr>
        <w:t>30%</w:t>
      </w:r>
      <w:r>
        <w:rPr>
          <w:rFonts w:hint="eastAsia" w:ascii="宋体" w:hAnsi="宋体" w:eastAsia="宋体" w:cs="宋体"/>
          <w:spacing w:val="3"/>
          <w:sz w:val="24"/>
          <w:highlight w:val="none"/>
        </w:rPr>
        <w:t>之前不</w:t>
      </w:r>
      <w:r>
        <w:rPr>
          <w:rFonts w:hint="eastAsia" w:ascii="宋体" w:hAnsi="宋体" w:eastAsia="宋体" w:cs="宋体"/>
          <w:spacing w:val="-10"/>
          <w:sz w:val="24"/>
          <w:highlight w:val="none"/>
        </w:rPr>
        <w:t>予扣回，在达到签约合同价</w:t>
      </w:r>
      <w:r>
        <w:rPr>
          <w:rFonts w:hint="eastAsia" w:ascii="宋体" w:hAnsi="宋体" w:eastAsia="宋体" w:cs="宋体"/>
          <w:sz w:val="24"/>
          <w:highlight w:val="none"/>
        </w:rPr>
        <w:t>30%</w:t>
      </w:r>
      <w:r>
        <w:rPr>
          <w:rFonts w:hint="eastAsia" w:ascii="宋体" w:hAnsi="宋体" w:eastAsia="宋体" w:cs="宋体"/>
          <w:spacing w:val="-6"/>
          <w:sz w:val="24"/>
          <w:highlight w:val="none"/>
        </w:rPr>
        <w:t>之后，开始按工程进度以固定比例</w:t>
      </w:r>
      <w:r>
        <w:rPr>
          <w:rFonts w:hint="eastAsia" w:ascii="宋体" w:hAnsi="宋体" w:eastAsia="宋体" w:cs="宋体"/>
          <w:sz w:val="24"/>
          <w:highlight w:val="none"/>
        </w:rPr>
        <w:t>(</w:t>
      </w:r>
      <w:r>
        <w:rPr>
          <w:rFonts w:hint="eastAsia" w:ascii="宋体" w:hAnsi="宋体" w:eastAsia="宋体" w:cs="宋体"/>
          <w:spacing w:val="-2"/>
          <w:sz w:val="24"/>
          <w:highlight w:val="none"/>
        </w:rPr>
        <w:t>即每完成签约合</w:t>
      </w:r>
      <w:r>
        <w:rPr>
          <w:rFonts w:hint="eastAsia" w:ascii="宋体" w:hAnsi="宋体" w:eastAsia="宋体" w:cs="宋体"/>
          <w:spacing w:val="-15"/>
          <w:sz w:val="24"/>
          <w:highlight w:val="none"/>
        </w:rPr>
        <w:t>同价的</w:t>
      </w:r>
      <w:r>
        <w:rPr>
          <w:rFonts w:hint="eastAsia" w:ascii="宋体" w:hAnsi="宋体" w:eastAsia="宋体" w:cs="宋体"/>
          <w:spacing w:val="-14"/>
          <w:sz w:val="24"/>
          <w:highlight w:val="none"/>
        </w:rPr>
        <w:t>1%</w:t>
      </w:r>
      <w:r>
        <w:rPr>
          <w:rFonts w:hint="eastAsia" w:ascii="宋体" w:hAnsi="宋体" w:eastAsia="宋体" w:cs="宋体"/>
          <w:spacing w:val="-10"/>
          <w:sz w:val="24"/>
          <w:highlight w:val="none"/>
        </w:rPr>
        <w:t>，扣回开工预付款的</w:t>
      </w:r>
      <w:r>
        <w:rPr>
          <w:rFonts w:hint="eastAsia" w:ascii="宋体" w:hAnsi="宋体" w:eastAsia="宋体" w:cs="宋体"/>
          <w:sz w:val="24"/>
          <w:highlight w:val="none"/>
        </w:rPr>
        <w:t>2%)</w:t>
      </w:r>
      <w:r>
        <w:rPr>
          <w:rFonts w:hint="eastAsia" w:ascii="宋体" w:hAnsi="宋体" w:eastAsia="宋体" w:cs="宋体"/>
          <w:spacing w:val="-5"/>
          <w:sz w:val="24"/>
          <w:highlight w:val="none"/>
        </w:rPr>
        <w:t>分期从各月的进度付款证书中扣回，全部金额在</w:t>
      </w:r>
      <w:r>
        <w:rPr>
          <w:rFonts w:hint="eastAsia" w:ascii="宋体" w:hAnsi="宋体" w:eastAsia="宋体" w:cs="宋体"/>
          <w:spacing w:val="-4"/>
          <w:sz w:val="24"/>
          <w:highlight w:val="none"/>
        </w:rPr>
        <w:t>进度付款证书的累计金额达到签约合同价的</w:t>
      </w:r>
      <w:r>
        <w:rPr>
          <w:rFonts w:hint="eastAsia" w:ascii="宋体" w:hAnsi="宋体" w:eastAsia="宋体" w:cs="宋体"/>
          <w:sz w:val="24"/>
          <w:highlight w:val="none"/>
        </w:rPr>
        <w:t>80%时扣完。</w:t>
      </w:r>
    </w:p>
    <w:p w14:paraId="11F3E242">
      <w:pPr>
        <w:pStyle w:val="26"/>
        <w:numPr>
          <w:ilvl w:val="4"/>
          <w:numId w:val="5"/>
        </w:numPr>
        <w:tabs>
          <w:tab w:val="left" w:pos="1528"/>
          <w:tab w:val="left" w:pos="1529"/>
        </w:tabs>
        <w:spacing w:before="3" w:line="30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材料预付款按合同条款数据表中所列主要材料单据费用（进口的材料、</w:t>
      </w:r>
      <w:r>
        <w:rPr>
          <w:rFonts w:hint="eastAsia" w:ascii="宋体" w:hAnsi="宋体" w:eastAsia="宋体" w:cs="宋体"/>
          <w:spacing w:val="-11"/>
          <w:sz w:val="24"/>
          <w:highlight w:val="none"/>
        </w:rPr>
        <w:t>设备为到岸价，国内采购的为出厂价或销售价，地方材料为堆场价</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"_bookmark43" </w:instrText>
      </w:r>
      <w:r>
        <w:rPr>
          <w:rFonts w:hint="eastAsia" w:ascii="宋体" w:hAnsi="宋体" w:eastAsia="宋体" w:cs="宋体"/>
          <w:highlight w:val="none"/>
        </w:rPr>
        <w:fldChar w:fldCharType="separate"/>
      </w:r>
      <w:r>
        <w:rPr>
          <w:rFonts w:hint="eastAsia" w:ascii="宋体" w:hAnsi="宋体" w:eastAsia="宋体" w:cs="宋体"/>
          <w:spacing w:val="-1"/>
          <w:w w:val="98"/>
          <w:position w:val="9"/>
          <w:sz w:val="9"/>
          <w:highlight w:val="none"/>
        </w:rPr>
        <w:t>①</w:t>
      </w:r>
      <w:r>
        <w:rPr>
          <w:rFonts w:hint="eastAsia" w:ascii="宋体" w:hAnsi="宋体" w:eastAsia="宋体" w:cs="宋体"/>
          <w:spacing w:val="-1"/>
          <w:w w:val="98"/>
          <w:position w:val="9"/>
          <w:sz w:val="9"/>
          <w:highlight w:val="none"/>
        </w:rPr>
        <w:fldChar w:fldCharType="end"/>
      </w:r>
      <w:r>
        <w:rPr>
          <w:rFonts w:hint="eastAsia" w:ascii="宋体" w:hAnsi="宋体" w:eastAsia="宋体" w:cs="宋体"/>
          <w:spacing w:val="-58"/>
          <w:sz w:val="24"/>
          <w:highlight w:val="none"/>
        </w:rPr>
        <w:t>）</w:t>
      </w:r>
      <w:r>
        <w:rPr>
          <w:rFonts w:hint="eastAsia" w:ascii="宋体" w:hAnsi="宋体" w:eastAsia="宋体" w:cs="宋体"/>
          <w:spacing w:val="-3"/>
          <w:sz w:val="24"/>
          <w:highlight w:val="none"/>
        </w:rPr>
        <w:t>的百分比支付，</w:t>
      </w:r>
      <w:r>
        <w:rPr>
          <w:rFonts w:hint="eastAsia" w:ascii="宋体" w:hAnsi="宋体" w:eastAsia="宋体" w:cs="宋体"/>
          <w:sz w:val="24"/>
          <w:highlight w:val="none"/>
        </w:rPr>
        <w:t>预付款比例按照项目专用合同条款数据表的规定计算。其余附加条件为：</w:t>
      </w:r>
    </w:p>
    <w:p w14:paraId="6AEE1A24">
      <w:pPr>
        <w:pStyle w:val="26"/>
        <w:numPr>
          <w:ilvl w:val="0"/>
          <w:numId w:val="1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材料符合规范要求并经监理人认可；</w:t>
      </w:r>
    </w:p>
    <w:p w14:paraId="1F6DB8E9">
      <w:pPr>
        <w:pStyle w:val="26"/>
        <w:numPr>
          <w:ilvl w:val="0"/>
          <w:numId w:val="18"/>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承包人已出具材料费用凭证或支付单据；</w:t>
      </w:r>
    </w:p>
    <w:p w14:paraId="12B560AD">
      <w:pPr>
        <w:pStyle w:val="26"/>
        <w:numPr>
          <w:ilvl w:val="0"/>
          <w:numId w:val="18"/>
        </w:numPr>
        <w:tabs>
          <w:tab w:val="left" w:pos="1465"/>
        </w:tabs>
        <w:spacing w:before="86" w:line="309" w:lineRule="auto"/>
        <w:ind w:left="864" w:right="382" w:firstLine="0"/>
        <w:rPr>
          <w:rFonts w:hint="eastAsia" w:ascii="宋体" w:hAnsi="宋体" w:eastAsia="宋体" w:cs="宋体"/>
          <w:sz w:val="24"/>
          <w:highlight w:val="none"/>
        </w:rPr>
      </w:pPr>
      <w:r>
        <w:rPr>
          <w:rFonts w:hint="eastAsia" w:ascii="宋体" w:hAnsi="宋体" w:eastAsia="宋体" w:cs="宋体"/>
          <w:spacing w:val="-1"/>
          <w:sz w:val="24"/>
          <w:highlight w:val="none"/>
        </w:rPr>
        <w:t>材料已在现场交货，且存储良好，监理人认为材料的存储方法符合要求。</w:t>
      </w:r>
      <w:r>
        <w:rPr>
          <w:rFonts w:hint="eastAsia" w:ascii="宋体" w:hAnsi="宋体" w:eastAsia="宋体" w:cs="宋体"/>
          <w:sz w:val="24"/>
          <w:highlight w:val="none"/>
        </w:rPr>
        <w:t>则监理人应将此项金额作为材料预付款计入下一次的进度付款证书中，在预计</w:t>
      </w:r>
    </w:p>
    <w:p w14:paraId="425E89B3">
      <w:pPr>
        <w:pStyle w:val="10"/>
        <w:spacing w:line="304" w:lineRule="exact"/>
        <w:ind w:left="384"/>
        <w:rPr>
          <w:rFonts w:hint="eastAsia" w:ascii="宋体" w:hAnsi="宋体" w:eastAsia="宋体" w:cs="宋体"/>
          <w:highlight w:val="none"/>
        </w:rPr>
      </w:pPr>
      <w:r>
        <w:rPr>
          <w:rFonts w:hint="eastAsia" w:ascii="宋体" w:hAnsi="宋体" w:eastAsia="宋体" w:cs="宋体"/>
          <w:highlight w:val="none"/>
        </w:rPr>
        <w:t>交工前3个月，将不再支付材料预付款。</w:t>
      </w:r>
    </w:p>
    <w:p w14:paraId="00CF2394">
      <w:pPr>
        <w:pStyle w:val="10"/>
        <w:spacing w:before="10"/>
        <w:rPr>
          <w:rFonts w:hint="eastAsia" w:ascii="宋体" w:hAnsi="宋体" w:eastAsia="宋体" w:cs="宋体"/>
          <w:sz w:val="20"/>
          <w:highlight w:val="none"/>
        </w:rPr>
      </w:pPr>
    </w:p>
    <w:p w14:paraId="6D129F86">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计量与支付</w:t>
      </w:r>
    </w:p>
    <w:p w14:paraId="3990DD6C">
      <w:pPr>
        <w:pStyle w:val="10"/>
        <w:spacing w:before="9"/>
        <w:rPr>
          <w:rFonts w:hint="eastAsia" w:ascii="宋体" w:hAnsi="宋体" w:eastAsia="宋体" w:cs="宋体"/>
          <w:sz w:val="20"/>
          <w:highlight w:val="none"/>
        </w:rPr>
      </w:pPr>
    </w:p>
    <w:p w14:paraId="394FBBA1">
      <w:pPr>
        <w:pStyle w:val="26"/>
        <w:numPr>
          <w:ilvl w:val="4"/>
          <w:numId w:val="5"/>
        </w:numPr>
        <w:tabs>
          <w:tab w:val="left" w:pos="1523"/>
          <w:tab w:val="left" w:pos="1524"/>
        </w:tabs>
        <w:spacing w:before="1" w:line="307" w:lineRule="auto"/>
        <w:ind w:left="384" w:right="46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承包人应在每月</w:t>
      </w:r>
      <w:r>
        <w:rPr>
          <w:rFonts w:hint="eastAsia" w:ascii="宋体" w:hAnsi="宋体" w:eastAsia="宋体" w:cs="宋体"/>
          <w:sz w:val="24"/>
          <w:highlight w:val="none"/>
        </w:rPr>
        <w:t>25</w:t>
      </w:r>
      <w:r>
        <w:rPr>
          <w:rFonts w:hint="eastAsia" w:ascii="宋体" w:hAnsi="宋体" w:eastAsia="宋体" w:cs="宋体"/>
          <w:spacing w:val="-5"/>
          <w:sz w:val="24"/>
          <w:highlight w:val="none"/>
        </w:rPr>
        <w:t>日前，经监理人现场核实已完成的合格工程数量，确</w:t>
      </w:r>
      <w:r>
        <w:rPr>
          <w:rFonts w:hint="eastAsia" w:ascii="宋体" w:hAnsi="宋体" w:eastAsia="宋体" w:cs="宋体"/>
          <w:sz w:val="24"/>
          <w:highlight w:val="none"/>
        </w:rPr>
        <w:t>定其价款，监理人签字后作为工程价款支付的依据。</w:t>
      </w:r>
    </w:p>
    <w:p w14:paraId="5B5230FB">
      <w:pPr>
        <w:pStyle w:val="10"/>
        <w:spacing w:line="309" w:lineRule="auto"/>
        <w:ind w:left="384" w:right="465" w:firstLine="480"/>
        <w:rPr>
          <w:rFonts w:hint="eastAsia" w:ascii="宋体" w:hAnsi="宋体" w:eastAsia="宋体" w:cs="宋体"/>
          <w:highlight w:val="none"/>
        </w:rPr>
      </w:pPr>
      <w:r>
        <w:rPr>
          <w:rFonts w:hint="eastAsia" w:ascii="宋体" w:hAnsi="宋体" w:eastAsia="宋体" w:cs="宋体"/>
          <w:highlight w:val="none"/>
        </w:rPr>
        <w:t>本项目工程量清单中总额价子目的支付原则和支付进度按实际完成工程量及时限计量支付，并执行以下原则：</w:t>
      </w:r>
    </w:p>
    <w:p w14:paraId="292CF9FF">
      <w:pPr>
        <w:pStyle w:val="26"/>
        <w:numPr>
          <w:ilvl w:val="4"/>
          <w:numId w:val="5"/>
        </w:numPr>
        <w:tabs>
          <w:tab w:val="left" w:pos="1523"/>
          <w:tab w:val="left" w:pos="1524"/>
        </w:tabs>
        <w:spacing w:before="1" w:line="307" w:lineRule="auto"/>
        <w:ind w:left="384" w:right="466" w:firstLine="480"/>
        <w:rPr>
          <w:rFonts w:hint="eastAsia" w:ascii="宋体" w:hAnsi="宋体" w:eastAsia="宋体" w:cs="宋体"/>
          <w:spacing w:val="-5"/>
          <w:sz w:val="24"/>
          <w:highlight w:val="none"/>
        </w:rPr>
      </w:pPr>
      <w:r>
        <w:rPr>
          <w:rFonts w:hint="eastAsia" w:ascii="宋体" w:hAnsi="宋体" w:eastAsia="宋体" w:cs="宋体"/>
          <w:spacing w:val="-5"/>
          <w:sz w:val="24"/>
          <w:highlight w:val="none"/>
        </w:rPr>
        <w:t>竣工文件：按交通运输部及新疆交通运输厅规定的竣工文件和施工文件编制的有关规定，编制出3套完整合格的竣工文件；装订尺寸及方法符合档案管理的有关规定。竣工验收后支付此项费用的90%，剩余部分在缺陷责任期满、应补齐的资料补齐后支付。</w:t>
      </w:r>
    </w:p>
    <w:p w14:paraId="4C28B8CB">
      <w:pPr>
        <w:pStyle w:val="26"/>
        <w:numPr>
          <w:ilvl w:val="4"/>
          <w:numId w:val="5"/>
        </w:numPr>
        <w:tabs>
          <w:tab w:val="left" w:pos="1523"/>
          <w:tab w:val="left" w:pos="1524"/>
        </w:tabs>
        <w:spacing w:before="1" w:line="307" w:lineRule="auto"/>
        <w:ind w:left="384" w:right="466" w:firstLine="48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5"/>
          <w:sz w:val="24"/>
          <w:highlight w:val="none"/>
          <w:lang w:val="zh-CN" w:eastAsia="zh-CN"/>
        </w:rPr>
        <w:t>施工环保费：施工过程中注意保护工程范围以外的土地植被、当地水源、灌溉渠道，污水排放达到国家规定标准；沥青混合料拌合场必须设置在离居民</w:t>
      </w:r>
      <w:r>
        <w:rPr>
          <w:rFonts w:hint="eastAsia" w:ascii="宋体" w:hAnsi="宋体" w:eastAsia="宋体" w:cs="宋体"/>
          <w:spacing w:val="-2"/>
          <w:sz w:val="24"/>
          <w:szCs w:val="24"/>
          <w:highlight w:val="none"/>
          <w:lang w:val="zh-CN" w:eastAsia="zh-CN" w:bidi="zh-CN"/>
        </w:rPr>
        <w:t>区、学校、医院300m以外的下风处；将扬尘、噪音控制在最低水平。工程开工后，监理人对承包人实施环保措施满意，支付此项费用的30%，工程交工验收时没有被投诉，支付剩余的70%。如被罚款费用自负。</w:t>
      </w:r>
    </w:p>
    <w:p w14:paraId="49587243">
      <w:pPr>
        <w:pStyle w:val="26"/>
        <w:numPr>
          <w:ilvl w:val="0"/>
          <w:numId w:val="0"/>
        </w:numPr>
        <w:tabs>
          <w:tab w:val="left" w:pos="1484"/>
        </w:tabs>
        <w:spacing w:before="2" w:line="307" w:lineRule="auto"/>
        <w:ind w:right="462"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道路修建、养护与拆除（包括原道路的养护）：承包人根据需求和需要修建的社会交通便道和施工现场的临时道路，并设置必要的交通标志，临时道路（包括原有道路）应加强养护、降低扬尘。临时道路修建后经监理人签认后支付此项费用的80%，交工后拆除恢复原地貌，工程交工验收后支付剩余的20%。</w:t>
      </w:r>
    </w:p>
    <w:p w14:paraId="42D2BE32">
      <w:pPr>
        <w:pStyle w:val="10"/>
        <w:spacing w:before="5"/>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临时工程用地：承包人根据现场考察和施工组织计划确定临时工程用地及费用。该项费用包含承包人生产、生活用地，施工中取土场、料场用地，临时工程堆场价为材料（或设备）的</w:t>
      </w:r>
    </w:p>
    <w:p w14:paraId="6CD2B76C">
      <w:pPr>
        <w:pStyle w:val="10"/>
        <w:spacing w:before="5"/>
        <w:rPr>
          <w:rFonts w:hint="eastAsia" w:ascii="宋体" w:hAnsi="宋体" w:eastAsia="宋体" w:cs="宋体"/>
          <w:sz w:val="17"/>
          <w:highlight w:val="none"/>
        </w:rPr>
      </w:pPr>
      <w:r>
        <w:rPr>
          <w:rFonts w:hint="eastAsia" w:ascii="宋体" w:hAnsi="宋体" w:eastAsia="宋体" w:cs="宋体"/>
          <w:spacing w:val="-2"/>
          <w:sz w:val="24"/>
          <w:szCs w:val="24"/>
          <w:highlight w:val="none"/>
          <w:lang w:val="zh-CN" w:eastAsia="zh-CN" w:bidi="zh-CN"/>
        </w:rPr>
        <w:t>出厂价或销售价。</w:t>
      </w:r>
    </w:p>
    <w:p w14:paraId="2A4FCBA9">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及附属工作临时用地。经监理人签认后支付此项费用的80%，交工后拆除恢复原地貌后，工程交工验收后支付剩余的20%。</w:t>
      </w:r>
    </w:p>
    <w:p w14:paraId="5EAA72A6">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临时供电设施架设、维护与拆除：开工报告批准的临时供电设施安装后支付此项费用的80%，交工后拆除所安装设备及系统恢复到工程实施前的状态，工程交工验收后支付剩余的20%。</w:t>
      </w:r>
    </w:p>
    <w:p w14:paraId="196FB2D2">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电信设施的提供、维护与拆除：开工报告批准的临时电信设施安装后支付此项费用的80%，交工后拆除所安装设备及系统恢复到工程实施前的状态，工程交工验收后支付剩余的20%。</w:t>
      </w:r>
    </w:p>
    <w:p w14:paraId="4558946B">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临时供水与排污设施：供水与排污设施实施经监理人签认后支付此项费用的 90%，交工后拆除其全部临时排污设施恢复到工程实施前的状态，工程交工验收后支付剩余的10%。</w:t>
      </w:r>
    </w:p>
    <w:p w14:paraId="1D69CF86">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承包人驻地建设：驻地建设完成、开工报告批准、工地试验室制备齐全后支付此项费用的90%，按照合同或协议将驻地移走、清除、恢复原貌后，工程交工验收后支付剩余的10%。</w:t>
      </w:r>
    </w:p>
    <w:p w14:paraId="48A33C85">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全生产费：施工安全设施费用及与此有关的一切作业经监理人对工程安全生产情况检查达到安全合格标准后，以总额的90%按月（合同工期）平均分次支付。交工验收后经监理人同意后支付剩余的10%。如承包人在此基础上增加安全生产费用以满足项目施工需要，则承包人应在本项目工程量清单其他相关子目的单价或总额价中予以考虑，发包人不再另行支付。</w:t>
      </w:r>
    </w:p>
    <w:p w14:paraId="4177FE1C">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对承包人超出设计图纸范围和因承包人原因造成返工的工程量，不予计量。</w:t>
      </w:r>
    </w:p>
    <w:p w14:paraId="3F3AC920">
      <w:pPr>
        <w:pStyle w:val="26"/>
        <w:numPr>
          <w:ilvl w:val="0"/>
          <w:numId w:val="0"/>
        </w:numPr>
        <w:tabs>
          <w:tab w:val="left" w:pos="1484"/>
        </w:tabs>
        <w:spacing w:line="307" w:lineRule="auto"/>
        <w:ind w:right="361" w:rightChars="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月支付：</w:t>
      </w:r>
    </w:p>
    <w:p w14:paraId="40026E8B">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承包人应在每月25日前向监理人提交由其项目经理签署的按《工程进度计量报表》格式填写月结账单一式6份；</w:t>
      </w:r>
    </w:p>
    <w:p w14:paraId="1D30D69D">
      <w:pPr>
        <w:pStyle w:val="26"/>
        <w:numPr>
          <w:ilvl w:val="0"/>
          <w:numId w:val="0"/>
        </w:numPr>
        <w:tabs>
          <w:tab w:val="left" w:pos="1465"/>
        </w:tabs>
        <w:spacing w:before="84" w:line="304" w:lineRule="auto"/>
        <w:ind w:right="466" w:rightChars="0" w:firstLine="460" w:firstLineChars="200"/>
        <w:rPr>
          <w:rFonts w:hint="eastAsia" w:ascii="宋体" w:hAnsi="宋体" w:eastAsia="宋体" w:cs="宋体"/>
          <w:sz w:val="24"/>
          <w:highlight w:val="none"/>
        </w:rPr>
      </w:pPr>
      <w:r>
        <w:rPr>
          <w:rFonts w:hint="eastAsia" w:ascii="宋体" w:hAnsi="宋体" w:eastAsia="宋体" w:cs="宋体"/>
          <w:spacing w:val="-5"/>
          <w:sz w:val="24"/>
          <w:highlight w:val="none"/>
        </w:rPr>
        <w:t>监理人在收到月结账单后</w:t>
      </w:r>
      <w:r>
        <w:rPr>
          <w:rFonts w:hint="eastAsia" w:ascii="宋体" w:hAnsi="宋体" w:eastAsia="宋体" w:cs="宋体"/>
          <w:sz w:val="24"/>
          <w:highlight w:val="none"/>
        </w:rPr>
        <w:t>7</w:t>
      </w:r>
      <w:r>
        <w:rPr>
          <w:rFonts w:hint="eastAsia" w:ascii="宋体" w:hAnsi="宋体" w:eastAsia="宋体" w:cs="宋体"/>
          <w:spacing w:val="-4"/>
          <w:sz w:val="24"/>
          <w:highlight w:val="none"/>
        </w:rPr>
        <w:t>天内签发中期支付证书，签发时应写明其认</w:t>
      </w:r>
      <w:r>
        <w:rPr>
          <w:rFonts w:hint="eastAsia" w:ascii="宋体" w:hAnsi="宋体" w:eastAsia="宋体" w:cs="宋体"/>
          <w:spacing w:val="-5"/>
          <w:sz w:val="24"/>
          <w:highlight w:val="none"/>
        </w:rPr>
        <w:t>为应该到期结算的价款及需要扣留和扣回的款额并报发包人审批；</w:t>
      </w:r>
    </w:p>
    <w:p w14:paraId="2E990D2F">
      <w:pPr>
        <w:pStyle w:val="26"/>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发包人应在收到该中期支付证书后14天内支付给承包人。如果发包人在上述期限内未能付款，发包人应按全国银行间同业拆借中心公布的1年期贷款市场报价利率向承包人支付未付款额的利息，付息时间从应付而未付该款额之日算起。</w:t>
      </w:r>
    </w:p>
    <w:p w14:paraId="789AF2A9">
      <w:pPr>
        <w:pStyle w:val="26"/>
        <w:numPr>
          <w:ilvl w:val="4"/>
          <w:numId w:val="5"/>
        </w:numPr>
        <w:tabs>
          <w:tab w:val="left" w:pos="1523"/>
          <w:tab w:val="left" w:pos="1524"/>
        </w:tabs>
        <w:spacing w:before="4" w:line="304" w:lineRule="auto"/>
        <w:ind w:left="384"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在合同工程交工证书签发后</w:t>
      </w:r>
      <w:r>
        <w:rPr>
          <w:rFonts w:hint="eastAsia" w:ascii="宋体" w:hAnsi="宋体" w:eastAsia="宋体" w:cs="宋体"/>
          <w:sz w:val="24"/>
          <w:highlight w:val="none"/>
        </w:rPr>
        <w:t>42</w:t>
      </w:r>
      <w:r>
        <w:rPr>
          <w:rFonts w:hint="eastAsia" w:ascii="宋体" w:hAnsi="宋体" w:eastAsia="宋体" w:cs="宋体"/>
          <w:spacing w:val="-6"/>
          <w:sz w:val="24"/>
          <w:highlight w:val="none"/>
        </w:rPr>
        <w:t>天之内，承包人应向监理人提交一份交工</w:t>
      </w:r>
      <w:r>
        <w:rPr>
          <w:rFonts w:hint="eastAsia" w:ascii="宋体" w:hAnsi="宋体" w:eastAsia="宋体" w:cs="宋体"/>
          <w:sz w:val="24"/>
          <w:highlight w:val="none"/>
        </w:rPr>
        <w:t>结算单，并附上详细文件，表明：</w:t>
      </w:r>
    </w:p>
    <w:p w14:paraId="59ABE936">
      <w:pPr>
        <w:pStyle w:val="26"/>
        <w:numPr>
          <w:ilvl w:val="0"/>
          <w:numId w:val="19"/>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按交工证书中写明的交工日期，完成的合同全部工程的最终价值；</w:t>
      </w:r>
    </w:p>
    <w:p w14:paraId="46827067">
      <w:pPr>
        <w:pStyle w:val="26"/>
        <w:numPr>
          <w:ilvl w:val="0"/>
          <w:numId w:val="19"/>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承包人认为应支付的其他款项。</w:t>
      </w:r>
    </w:p>
    <w:p w14:paraId="6832B4B6">
      <w:pPr>
        <w:pStyle w:val="26"/>
        <w:numPr>
          <w:ilvl w:val="4"/>
          <w:numId w:val="5"/>
        </w:numPr>
        <w:tabs>
          <w:tab w:val="left" w:pos="1523"/>
          <w:tab w:val="left" w:pos="1524"/>
        </w:tabs>
        <w:spacing w:before="84" w:line="304" w:lineRule="auto"/>
        <w:ind w:left="384"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在缺陷责任期满的</w:t>
      </w:r>
      <w:r>
        <w:rPr>
          <w:rFonts w:hint="eastAsia" w:ascii="宋体" w:hAnsi="宋体" w:eastAsia="宋体" w:cs="宋体"/>
          <w:sz w:val="24"/>
          <w:highlight w:val="none"/>
        </w:rPr>
        <w:t>14</w:t>
      </w:r>
      <w:r>
        <w:rPr>
          <w:rFonts w:hint="eastAsia" w:ascii="宋体" w:hAnsi="宋体" w:eastAsia="宋体" w:cs="宋体"/>
          <w:spacing w:val="-13"/>
          <w:sz w:val="24"/>
          <w:highlight w:val="none"/>
        </w:rPr>
        <w:t xml:space="preserve">天内，承包人应向监理人提交一份最后结账单草案， </w:t>
      </w:r>
      <w:r>
        <w:rPr>
          <w:rFonts w:hint="eastAsia" w:ascii="宋体" w:hAnsi="宋体" w:eastAsia="宋体" w:cs="宋体"/>
          <w:sz w:val="24"/>
          <w:highlight w:val="none"/>
        </w:rPr>
        <w:t>并附上详细的证明文件，供监理人考虑，表明：</w:t>
      </w:r>
    </w:p>
    <w:p w14:paraId="4866E090">
      <w:pPr>
        <w:pStyle w:val="26"/>
        <w:numPr>
          <w:ilvl w:val="0"/>
          <w:numId w:val="20"/>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根据合同规定已经完成的全部工程价值；</w:t>
      </w:r>
    </w:p>
    <w:p w14:paraId="7D444E28">
      <w:pPr>
        <w:pStyle w:val="26"/>
        <w:numPr>
          <w:ilvl w:val="0"/>
          <w:numId w:val="20"/>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承包人根据合同规定认为应该支付的任何其他的款项。</w:t>
      </w:r>
    </w:p>
    <w:p w14:paraId="2FC53613">
      <w:pPr>
        <w:pStyle w:val="26"/>
        <w:numPr>
          <w:ilvl w:val="4"/>
          <w:numId w:val="5"/>
        </w:numPr>
        <w:tabs>
          <w:tab w:val="left" w:pos="1528"/>
          <w:tab w:val="left" w:pos="1529"/>
        </w:tabs>
        <w:spacing w:before="86"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在提交最后结账单的同时，承包人应给发包人一份书面清账书并抄送监理人，确认最后结账单中的总额作为应付给承包人的全部款项的最后结算。</w:t>
      </w:r>
    </w:p>
    <w:p w14:paraId="3346A595">
      <w:pPr>
        <w:pStyle w:val="10"/>
        <w:spacing w:before="1" w:line="307" w:lineRule="auto"/>
        <w:ind w:left="384" w:right="415" w:firstLine="480"/>
        <w:rPr>
          <w:rFonts w:hint="eastAsia" w:ascii="宋体" w:hAnsi="宋体" w:eastAsia="宋体" w:cs="宋体"/>
          <w:highlight w:val="none"/>
        </w:rPr>
      </w:pPr>
      <w:r>
        <w:rPr>
          <w:rFonts w:hint="eastAsia" w:ascii="宋体" w:hAnsi="宋体" w:eastAsia="宋体" w:cs="宋体"/>
          <w:highlight w:val="none"/>
        </w:rPr>
        <w:t>在最后结账单收到7天内，监理人应该签发一份最后支付证书报发包人批准， 并抄送承包人，说明：</w:t>
      </w:r>
    </w:p>
    <w:p w14:paraId="2C1A8B0A">
      <w:pPr>
        <w:pStyle w:val="26"/>
        <w:numPr>
          <w:ilvl w:val="0"/>
          <w:numId w:val="21"/>
        </w:numPr>
        <w:tabs>
          <w:tab w:val="left" w:pos="146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根据合同规定的最后应付的款额；</w:t>
      </w:r>
    </w:p>
    <w:p w14:paraId="1451534A">
      <w:pPr>
        <w:pStyle w:val="26"/>
        <w:numPr>
          <w:ilvl w:val="0"/>
          <w:numId w:val="21"/>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在对发包人以前所付的全部款额和发包人根据合同规定应得的全部款项</w:t>
      </w:r>
      <w:r>
        <w:rPr>
          <w:rFonts w:hint="eastAsia" w:ascii="宋体" w:hAnsi="宋体" w:eastAsia="宋体" w:cs="宋体"/>
          <w:spacing w:val="-5"/>
          <w:sz w:val="24"/>
          <w:highlight w:val="none"/>
        </w:rPr>
        <w:t>予以确认后，发包人欠承包人或承包人欠发包人的差额；</w:t>
      </w:r>
    </w:p>
    <w:p w14:paraId="5035C6C4">
      <w:pPr>
        <w:pStyle w:val="26"/>
        <w:numPr>
          <w:ilvl w:val="0"/>
          <w:numId w:val="21"/>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工程进度付款的修正，在对以往历次已签发的进度付款证书进行汇总和审核中发现错、漏或重复的，监理人有权修正，承包人也有权提出修正申请。经双</w:t>
      </w:r>
      <w:r>
        <w:rPr>
          <w:rFonts w:hint="eastAsia" w:ascii="宋体" w:hAnsi="宋体" w:eastAsia="宋体" w:cs="宋体"/>
          <w:spacing w:val="-4"/>
          <w:sz w:val="24"/>
          <w:highlight w:val="none"/>
        </w:rPr>
        <w:t>方复核同意的修正，应在本次进度付款中支付或扣除。</w:t>
      </w:r>
    </w:p>
    <w:p w14:paraId="1D1A0E7F">
      <w:pPr>
        <w:pStyle w:val="26"/>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质量保证金</w:t>
      </w:r>
    </w:p>
    <w:p w14:paraId="15C86945">
      <w:pPr>
        <w:pStyle w:val="26"/>
        <w:numPr>
          <w:ilvl w:val="0"/>
          <w:numId w:val="0"/>
        </w:numPr>
        <w:tabs>
          <w:tab w:val="left" w:pos="1468"/>
        </w:tabs>
        <w:spacing w:before="81" w:line="304" w:lineRule="auto"/>
        <w:ind w:right="465"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1</w:t>
      </w:r>
      <w:r>
        <w:rPr>
          <w:rFonts w:hint="eastAsia" w:cs="宋体"/>
          <w:spacing w:val="-5"/>
          <w:sz w:val="24"/>
          <w:highlight w:val="none"/>
          <w:lang w:eastAsia="zh-CN"/>
        </w:rPr>
        <w:t>）</w:t>
      </w:r>
      <w:r>
        <w:rPr>
          <w:rFonts w:hint="eastAsia" w:ascii="宋体" w:hAnsi="宋体" w:eastAsia="宋体" w:cs="宋体"/>
          <w:spacing w:val="-5"/>
          <w:sz w:val="24"/>
          <w:highlight w:val="none"/>
        </w:rPr>
        <w:t xml:space="preserve">交工验收证书签发后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天内，承包人应向发包人缴纳质量保证金。质量保证金可采用银行保函或现金、支票形式，金额应符合项目专用合同条款数据表的规定。采用银行保函时，出具保函的银行须具有相应担保能力，且按照发包人批准</w:t>
      </w:r>
      <w:r>
        <w:rPr>
          <w:rFonts w:hint="eastAsia" w:ascii="宋体" w:hAnsi="宋体" w:eastAsia="宋体" w:cs="宋体"/>
          <w:sz w:val="24"/>
          <w:highlight w:val="none"/>
        </w:rPr>
        <w:t>的格式出具，所需费用由承包人承担。</w:t>
      </w:r>
    </w:p>
    <w:p w14:paraId="08446E0E">
      <w:pPr>
        <w:pStyle w:val="10"/>
        <w:spacing w:before="8"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质量保证金采用现金、支票形式提交的，发包人应在项目专用合同条款数据表中明确是否计付利息以及利息的计算方式。</w:t>
      </w:r>
    </w:p>
    <w:p w14:paraId="2403FC7F">
      <w:pPr>
        <w:pStyle w:val="26"/>
        <w:numPr>
          <w:ilvl w:val="0"/>
          <w:numId w:val="0"/>
        </w:numPr>
        <w:tabs>
          <w:tab w:val="left" w:pos="1465"/>
        </w:tabs>
        <w:spacing w:before="1" w:line="304" w:lineRule="auto"/>
        <w:ind w:right="466"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2</w:t>
      </w:r>
      <w:r>
        <w:rPr>
          <w:rFonts w:hint="eastAsia" w:cs="宋体"/>
          <w:spacing w:val="-5"/>
          <w:sz w:val="24"/>
          <w:highlight w:val="none"/>
          <w:lang w:eastAsia="zh-CN"/>
        </w:rPr>
        <w:t>）</w:t>
      </w:r>
      <w:r>
        <w:rPr>
          <w:rFonts w:hint="eastAsia" w:ascii="宋体" w:hAnsi="宋体" w:eastAsia="宋体" w:cs="宋体"/>
          <w:spacing w:val="-5"/>
          <w:sz w:val="24"/>
          <w:highlight w:val="none"/>
        </w:rPr>
        <w:t xml:space="preserve">在缺陷责任期满，且质量监督机构已按规定对工程质量检测鉴定合格， </w:t>
      </w:r>
      <w:r>
        <w:rPr>
          <w:rFonts w:hint="eastAsia" w:ascii="宋体" w:hAnsi="宋体" w:eastAsia="宋体" w:cs="宋体"/>
          <w:spacing w:val="-10"/>
          <w:sz w:val="24"/>
          <w:highlight w:val="none"/>
        </w:rPr>
        <w:t xml:space="preserve">承包人向发包人申请到期应返还承包人剩余的质量保证金金额，发包人应在 </w:t>
      </w:r>
      <w:r>
        <w:rPr>
          <w:rFonts w:hint="eastAsia" w:ascii="宋体" w:hAnsi="宋体" w:eastAsia="宋体" w:cs="宋体"/>
          <w:sz w:val="24"/>
          <w:highlight w:val="none"/>
        </w:rPr>
        <w:t>14 天内</w:t>
      </w:r>
      <w:r>
        <w:rPr>
          <w:rFonts w:hint="eastAsia" w:ascii="宋体" w:hAnsi="宋体" w:eastAsia="宋体" w:cs="宋体"/>
          <w:spacing w:val="-5"/>
          <w:sz w:val="24"/>
          <w:highlight w:val="none"/>
        </w:rPr>
        <w:t>会同承包人按照合同约定的内容核实承包人是否完成缺陷责任。如无异议，发包人</w:t>
      </w:r>
      <w:r>
        <w:rPr>
          <w:rFonts w:hint="eastAsia" w:ascii="宋体" w:hAnsi="宋体" w:eastAsia="宋体" w:cs="宋体"/>
          <w:spacing w:val="-4"/>
          <w:sz w:val="24"/>
          <w:highlight w:val="none"/>
        </w:rPr>
        <w:t>应当在核实后将剩余的质量保证金返还承包人。</w:t>
      </w:r>
    </w:p>
    <w:p w14:paraId="5F0C8992">
      <w:pPr>
        <w:pStyle w:val="26"/>
        <w:numPr>
          <w:ilvl w:val="0"/>
          <w:numId w:val="0"/>
        </w:numPr>
        <w:tabs>
          <w:tab w:val="left" w:pos="1465"/>
        </w:tabs>
        <w:spacing w:before="7" w:line="304" w:lineRule="auto"/>
        <w:ind w:right="466" w:rightChars="0" w:firstLine="456" w:firstLineChars="200"/>
        <w:jc w:val="both"/>
        <w:rPr>
          <w:rFonts w:hint="eastAsia" w:ascii="宋体" w:hAnsi="宋体" w:eastAsia="宋体" w:cs="宋体"/>
          <w:spacing w:val="-5"/>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3</w:t>
      </w:r>
      <w:r>
        <w:rPr>
          <w:rFonts w:hint="eastAsia" w:cs="宋体"/>
          <w:spacing w:val="-6"/>
          <w:sz w:val="24"/>
          <w:highlight w:val="none"/>
          <w:lang w:eastAsia="zh-CN"/>
        </w:rPr>
        <w:t>）</w:t>
      </w:r>
      <w:r>
        <w:rPr>
          <w:rFonts w:hint="eastAsia" w:ascii="宋体" w:hAnsi="宋体" w:eastAsia="宋体" w:cs="宋体"/>
          <w:spacing w:val="-6"/>
          <w:sz w:val="24"/>
          <w:highlight w:val="none"/>
        </w:rPr>
        <w:t>在缺陷责任期满时，承包人没有完成缺陷责任的，发包人有权扣留与未</w:t>
      </w:r>
      <w:r>
        <w:rPr>
          <w:rFonts w:hint="eastAsia" w:ascii="宋体" w:hAnsi="宋体" w:eastAsia="宋体" w:cs="宋体"/>
          <w:spacing w:val="-8"/>
          <w:sz w:val="24"/>
          <w:highlight w:val="none"/>
        </w:rPr>
        <w:t xml:space="preserve">履行责任剩余工作所需金额相应的质量保证金余额，并有权根据第 </w:t>
      </w:r>
      <w:r>
        <w:rPr>
          <w:rFonts w:hint="eastAsia" w:ascii="宋体" w:hAnsi="宋体" w:eastAsia="宋体" w:cs="宋体"/>
          <w:sz w:val="24"/>
          <w:highlight w:val="none"/>
        </w:rPr>
        <w:t>21.4 款约定要求</w:t>
      </w:r>
      <w:r>
        <w:rPr>
          <w:rFonts w:hint="eastAsia" w:ascii="宋体" w:hAnsi="宋体" w:eastAsia="宋体" w:cs="宋体"/>
          <w:spacing w:val="-5"/>
          <w:sz w:val="24"/>
          <w:highlight w:val="none"/>
        </w:rPr>
        <w:t>延长缺陷责任期，直至完成剩余工作为止。</w:t>
      </w:r>
    </w:p>
    <w:p w14:paraId="0E722EDB">
      <w:pPr>
        <w:pStyle w:val="26"/>
        <w:numPr>
          <w:ilvl w:val="0"/>
          <w:numId w:val="0"/>
        </w:numPr>
        <w:tabs>
          <w:tab w:val="left" w:pos="1465"/>
        </w:tabs>
        <w:spacing w:before="7" w:line="304" w:lineRule="auto"/>
        <w:ind w:right="466" w:rightChars="0" w:firstLine="440" w:firstLineChars="200"/>
        <w:jc w:val="both"/>
        <w:rPr>
          <w:rFonts w:hint="eastAsia" w:ascii="宋体" w:hAnsi="宋体" w:eastAsia="宋体" w:cs="宋体"/>
          <w:highlight w:val="none"/>
        </w:rPr>
      </w:pPr>
      <w:r>
        <w:rPr>
          <w:rFonts w:hint="eastAsia" w:ascii="宋体" w:hAnsi="宋体" w:eastAsia="宋体" w:cs="宋体"/>
          <w:highlight w:val="none"/>
        </w:rPr>
        <w:t>七、试验和检验</w:t>
      </w:r>
    </w:p>
    <w:p w14:paraId="3CDFB089">
      <w:pPr>
        <w:pStyle w:val="10"/>
        <w:rPr>
          <w:rFonts w:hint="eastAsia" w:ascii="宋体" w:hAnsi="宋体" w:eastAsia="宋体" w:cs="宋体"/>
          <w:sz w:val="20"/>
          <w:highlight w:val="none"/>
        </w:rPr>
      </w:pPr>
    </w:p>
    <w:p w14:paraId="46B750BE">
      <w:pPr>
        <w:pStyle w:val="26"/>
        <w:numPr>
          <w:ilvl w:val="3"/>
          <w:numId w:val="5"/>
        </w:numPr>
        <w:tabs>
          <w:tab w:val="left" w:pos="1244"/>
        </w:tabs>
        <w:spacing w:before="1"/>
        <w:ind w:left="1243" w:hanging="421"/>
        <w:jc w:val="both"/>
        <w:rPr>
          <w:rFonts w:hint="eastAsia" w:ascii="宋体" w:hAnsi="宋体" w:eastAsia="宋体" w:cs="宋体"/>
          <w:sz w:val="24"/>
          <w:highlight w:val="none"/>
        </w:rPr>
      </w:pPr>
      <w:r>
        <w:rPr>
          <w:rFonts w:hint="eastAsia" w:ascii="宋体" w:hAnsi="宋体" w:eastAsia="宋体" w:cs="宋体"/>
          <w:sz w:val="24"/>
          <w:highlight w:val="none"/>
        </w:rPr>
        <w:t>试验和检验</w:t>
      </w:r>
    </w:p>
    <w:p w14:paraId="1DE145B4">
      <w:pPr>
        <w:pStyle w:val="10"/>
        <w:spacing w:before="4"/>
        <w:rPr>
          <w:rFonts w:hint="eastAsia" w:ascii="宋体" w:hAnsi="宋体" w:eastAsia="宋体" w:cs="宋体"/>
          <w:sz w:val="20"/>
          <w:highlight w:val="none"/>
        </w:rPr>
      </w:pPr>
    </w:p>
    <w:p w14:paraId="36AF59CD">
      <w:pPr>
        <w:pStyle w:val="26"/>
        <w:numPr>
          <w:ilvl w:val="4"/>
          <w:numId w:val="5"/>
        </w:numPr>
        <w:tabs>
          <w:tab w:val="left" w:pos="1524"/>
        </w:tabs>
        <w:spacing w:before="1"/>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材料、工程设备和工程的试验和检验</w:t>
      </w:r>
    </w:p>
    <w:p w14:paraId="0D441FC2">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承包人应按合同约定进行材料、工程设备和工程的试验和检验，并为监</w:t>
      </w:r>
      <w:r>
        <w:rPr>
          <w:rFonts w:hint="eastAsia" w:ascii="宋体" w:hAnsi="宋体" w:eastAsia="宋体" w:cs="宋体"/>
          <w:spacing w:val="-5"/>
          <w:sz w:val="24"/>
          <w:highlight w:val="none"/>
        </w:rPr>
        <w:t>理人对上述材料、工程设备和工程的质量检查提供必要的试验资料和原始记录。按</w:t>
      </w:r>
      <w:r>
        <w:rPr>
          <w:rFonts w:hint="eastAsia" w:ascii="宋体" w:hAnsi="宋体" w:eastAsia="宋体" w:cs="宋体"/>
          <w:spacing w:val="-4"/>
          <w:sz w:val="24"/>
          <w:highlight w:val="none"/>
        </w:rPr>
        <w:t>合同约定应由监理人与承包人共同进行试验和检验的，由承包人负责提供必要的试验资料和原始记录；</w:t>
      </w:r>
    </w:p>
    <w:p w14:paraId="3FDF320A">
      <w:pPr>
        <w:pStyle w:val="26"/>
        <w:numPr>
          <w:ilvl w:val="0"/>
          <w:numId w:val="22"/>
        </w:numPr>
        <w:tabs>
          <w:tab w:val="left" w:pos="1465"/>
        </w:tabs>
        <w:spacing w:before="74" w:line="304"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监理人未按合同约定派员参加试验和检验的，除监理人另有指示外，承包</w:t>
      </w:r>
      <w:r>
        <w:rPr>
          <w:rFonts w:hint="eastAsia" w:ascii="宋体" w:hAnsi="宋体" w:eastAsia="宋体" w:cs="宋体"/>
          <w:spacing w:val="-11"/>
          <w:sz w:val="24"/>
          <w:highlight w:val="none"/>
        </w:rPr>
        <w:t>人可自行试验和检验，并应立即将试验和检验结果报送监理人，监理人应签字确认；</w:t>
      </w:r>
    </w:p>
    <w:p w14:paraId="5C57AF32">
      <w:pPr>
        <w:pStyle w:val="26"/>
        <w:numPr>
          <w:ilvl w:val="0"/>
          <w:numId w:val="22"/>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监理人对承包人的试验和检验结果有疑问的，或为查清承包人试验和检</w:t>
      </w:r>
      <w:r>
        <w:rPr>
          <w:rFonts w:hint="eastAsia" w:ascii="宋体" w:hAnsi="宋体" w:eastAsia="宋体" w:cs="宋体"/>
          <w:spacing w:val="-5"/>
          <w:sz w:val="24"/>
          <w:highlight w:val="none"/>
        </w:rPr>
        <w:t>验成果的可靠性要求承包人重新试验和检验的，可按合同约定由监理人与承包人共</w:t>
      </w:r>
      <w:r>
        <w:rPr>
          <w:rFonts w:hint="eastAsia" w:ascii="宋体" w:hAnsi="宋体" w:eastAsia="宋体" w:cs="宋体"/>
          <w:spacing w:val="-4"/>
          <w:sz w:val="24"/>
          <w:highlight w:val="none"/>
        </w:rPr>
        <w:t>同进行。重新试验和检验的结果证明该项材料、工程设备或工程的质量不符合合同</w:t>
      </w:r>
      <w:r>
        <w:rPr>
          <w:rFonts w:hint="eastAsia" w:ascii="宋体" w:hAnsi="宋体" w:eastAsia="宋体" w:cs="宋体"/>
          <w:spacing w:val="-2"/>
          <w:sz w:val="24"/>
          <w:highlight w:val="none"/>
        </w:rPr>
        <w:t>要求的，由此增加的费用和</w:t>
      </w:r>
      <w:r>
        <w:rPr>
          <w:rFonts w:hint="eastAsia" w:ascii="宋体" w:hAnsi="宋体" w:eastAsia="宋体" w:cs="宋体"/>
          <w:sz w:val="24"/>
          <w:highlight w:val="none"/>
        </w:rPr>
        <w:t>(</w:t>
      </w:r>
      <w:r>
        <w:rPr>
          <w:rFonts w:hint="eastAsia" w:ascii="宋体" w:hAnsi="宋体" w:eastAsia="宋体" w:cs="宋体"/>
          <w:spacing w:val="4"/>
          <w:sz w:val="24"/>
          <w:highlight w:val="none"/>
        </w:rPr>
        <w:t>或</w:t>
      </w:r>
      <w:r>
        <w:rPr>
          <w:rFonts w:hint="eastAsia" w:ascii="宋体" w:hAnsi="宋体" w:eastAsia="宋体" w:cs="宋体"/>
          <w:sz w:val="24"/>
          <w:highlight w:val="none"/>
        </w:rPr>
        <w:t>)工期延误由承包人承担；重新试验和检验结果证明该项材料、工程设备和工程符合合同要求，由发包人承担由此增加的费用和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工期延误，并支付承包人合理利润。</w:t>
      </w:r>
    </w:p>
    <w:p w14:paraId="4F57E460">
      <w:pPr>
        <w:pStyle w:val="26"/>
        <w:numPr>
          <w:ilvl w:val="4"/>
          <w:numId w:val="5"/>
        </w:numPr>
        <w:tabs>
          <w:tab w:val="left" w:pos="1524"/>
        </w:tabs>
        <w:spacing w:before="9"/>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现场材料试验</w:t>
      </w:r>
    </w:p>
    <w:p w14:paraId="74BAB886">
      <w:pPr>
        <w:pStyle w:val="26"/>
        <w:numPr>
          <w:ilvl w:val="0"/>
          <w:numId w:val="23"/>
        </w:numPr>
        <w:tabs>
          <w:tab w:val="left" w:pos="1465"/>
        </w:tabs>
        <w:spacing w:before="83"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承包人根据合同约定或监理人指示进行的现场材料试验，应由承包人提</w:t>
      </w:r>
      <w:r>
        <w:rPr>
          <w:rFonts w:hint="eastAsia" w:ascii="宋体" w:hAnsi="宋体" w:eastAsia="宋体" w:cs="宋体"/>
          <w:spacing w:val="-5"/>
          <w:sz w:val="24"/>
          <w:highlight w:val="none"/>
        </w:rPr>
        <w:t>供试验场所、试验人员、试验设备器材以及其他必要的试验条件；</w:t>
      </w:r>
    </w:p>
    <w:p w14:paraId="6F8BB720">
      <w:pPr>
        <w:pStyle w:val="26"/>
        <w:numPr>
          <w:ilvl w:val="0"/>
          <w:numId w:val="23"/>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监理人在必要时可以使用承包人的试验场所、试验设备器材以及其他试</w:t>
      </w:r>
      <w:r>
        <w:rPr>
          <w:rFonts w:hint="eastAsia" w:ascii="宋体" w:hAnsi="宋体" w:eastAsia="宋体" w:cs="宋体"/>
          <w:spacing w:val="-5"/>
          <w:sz w:val="24"/>
          <w:highlight w:val="none"/>
        </w:rPr>
        <w:t>验条件，进行以工程质量检查为目的的复核性材料试验，承包人应予以协助。</w:t>
      </w:r>
    </w:p>
    <w:p w14:paraId="280E02F4">
      <w:pPr>
        <w:pStyle w:val="26"/>
        <w:numPr>
          <w:ilvl w:val="4"/>
          <w:numId w:val="5"/>
        </w:numPr>
        <w:tabs>
          <w:tab w:val="left" w:pos="1344"/>
        </w:tabs>
        <w:spacing w:before="1"/>
        <w:ind w:left="1344" w:hanging="480"/>
        <w:rPr>
          <w:rFonts w:hint="eastAsia" w:ascii="宋体" w:hAnsi="宋体" w:eastAsia="宋体" w:cs="宋体"/>
          <w:sz w:val="24"/>
          <w:highlight w:val="none"/>
        </w:rPr>
      </w:pPr>
      <w:r>
        <w:rPr>
          <w:rFonts w:hint="eastAsia" w:ascii="宋体" w:hAnsi="宋体" w:eastAsia="宋体" w:cs="宋体"/>
          <w:sz w:val="24"/>
          <w:highlight w:val="none"/>
        </w:rPr>
        <w:t>承包人采购材料设备</w:t>
      </w:r>
    </w:p>
    <w:p w14:paraId="6B21AEFD">
      <w:pPr>
        <w:pStyle w:val="26"/>
        <w:numPr>
          <w:ilvl w:val="0"/>
          <w:numId w:val="24"/>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除合同另有规定外，为完成本合同各项工作所需的材料和工程设备，均由承包人负责采购、验收、运输和保管；</w:t>
      </w:r>
    </w:p>
    <w:p w14:paraId="07417A8A">
      <w:pPr>
        <w:pStyle w:val="26"/>
        <w:numPr>
          <w:ilvl w:val="0"/>
          <w:numId w:val="2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承包人与供货厂家的供货协议一经签订，应将一份副本提交监理人。</w:t>
      </w:r>
    </w:p>
    <w:p w14:paraId="79EC07FB">
      <w:pPr>
        <w:pStyle w:val="26"/>
        <w:numPr>
          <w:ilvl w:val="4"/>
          <w:numId w:val="5"/>
        </w:numPr>
        <w:tabs>
          <w:tab w:val="left" w:pos="1528"/>
          <w:tab w:val="left" w:pos="1529"/>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进场材料、设备必须符合合同规定，并经监理人认可。不合格的材料、设备应立即搬运出施工场地，不得用于本合同工程。</w:t>
      </w:r>
    </w:p>
    <w:p w14:paraId="27A092F2">
      <w:pPr>
        <w:pStyle w:val="10"/>
        <w:spacing w:before="174"/>
        <w:ind w:left="583"/>
        <w:rPr>
          <w:rFonts w:hint="eastAsia" w:ascii="宋体" w:hAnsi="宋体" w:eastAsia="宋体" w:cs="宋体"/>
          <w:highlight w:val="none"/>
        </w:rPr>
      </w:pPr>
      <w:r>
        <w:rPr>
          <w:rFonts w:hint="eastAsia" w:ascii="宋体" w:hAnsi="宋体" w:eastAsia="宋体" w:cs="宋体"/>
          <w:highlight w:val="none"/>
        </w:rPr>
        <w:t>八、工程变更</w:t>
      </w:r>
    </w:p>
    <w:p w14:paraId="182B67C3">
      <w:pPr>
        <w:pStyle w:val="10"/>
        <w:spacing w:before="11"/>
        <w:rPr>
          <w:rFonts w:hint="eastAsia" w:ascii="宋体" w:hAnsi="宋体" w:eastAsia="宋体" w:cs="宋体"/>
          <w:sz w:val="19"/>
          <w:highlight w:val="none"/>
        </w:rPr>
      </w:pPr>
    </w:p>
    <w:p w14:paraId="70E57688">
      <w:pPr>
        <w:pStyle w:val="26"/>
        <w:numPr>
          <w:ilvl w:val="3"/>
          <w:numId w:val="5"/>
        </w:numPr>
        <w:tabs>
          <w:tab w:val="left" w:pos="925"/>
        </w:tabs>
        <w:ind w:left="925" w:hanging="301"/>
        <w:jc w:val="left"/>
        <w:rPr>
          <w:rFonts w:hint="eastAsia" w:ascii="宋体" w:hAnsi="宋体" w:eastAsia="宋体" w:cs="宋体"/>
          <w:sz w:val="24"/>
          <w:highlight w:val="none"/>
        </w:rPr>
      </w:pPr>
      <w:r>
        <w:rPr>
          <w:rFonts w:hint="eastAsia" w:ascii="宋体" w:hAnsi="宋体" w:eastAsia="宋体" w:cs="宋体"/>
          <w:sz w:val="24"/>
          <w:highlight w:val="none"/>
        </w:rPr>
        <w:t>工程数量及价格的变更</w:t>
      </w:r>
    </w:p>
    <w:p w14:paraId="7E726ABD">
      <w:pPr>
        <w:pStyle w:val="10"/>
        <w:spacing w:before="7"/>
        <w:rPr>
          <w:rFonts w:hint="eastAsia" w:ascii="宋体" w:hAnsi="宋体" w:eastAsia="宋体" w:cs="宋体"/>
          <w:sz w:val="20"/>
          <w:highlight w:val="none"/>
        </w:rPr>
      </w:pPr>
    </w:p>
    <w:p w14:paraId="2A608A8B">
      <w:pPr>
        <w:pStyle w:val="26"/>
        <w:numPr>
          <w:ilvl w:val="4"/>
          <w:numId w:val="5"/>
        </w:numPr>
        <w:tabs>
          <w:tab w:val="left" w:pos="1528"/>
          <w:tab w:val="left" w:pos="1529"/>
        </w:tabs>
        <w:spacing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发包人或监理人如认为有必要时，可根据规定对本合同工程中任何部分的结构形式、质量、等级或数量作出变更，包括：</w:t>
      </w:r>
    </w:p>
    <w:p w14:paraId="11159082">
      <w:pPr>
        <w:pStyle w:val="26"/>
        <w:numPr>
          <w:ilvl w:val="0"/>
          <w:numId w:val="25"/>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增加或减少本合同中的任何工程的数量；</w:t>
      </w:r>
    </w:p>
    <w:p w14:paraId="5D27D453">
      <w:pPr>
        <w:pStyle w:val="26"/>
        <w:numPr>
          <w:ilvl w:val="0"/>
          <w:numId w:val="25"/>
        </w:numPr>
        <w:tabs>
          <w:tab w:val="left" w:pos="1465"/>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取消合同中的任何单项工程，但被取消的工程不能转由发包人或其他人</w:t>
      </w:r>
      <w:r>
        <w:rPr>
          <w:rFonts w:hint="eastAsia" w:ascii="宋体" w:hAnsi="宋体" w:eastAsia="宋体" w:cs="宋体"/>
          <w:spacing w:val="-5"/>
          <w:sz w:val="24"/>
          <w:highlight w:val="none"/>
        </w:rPr>
        <w:t>实施，由于承包人违约造成的情况除外；</w:t>
      </w:r>
    </w:p>
    <w:p w14:paraId="5DA44B88">
      <w:pPr>
        <w:pStyle w:val="26"/>
        <w:numPr>
          <w:ilvl w:val="0"/>
          <w:numId w:val="25"/>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改变合同中的任何一项工作的质量或其他特性；</w:t>
      </w:r>
    </w:p>
    <w:p w14:paraId="162FFD33">
      <w:pPr>
        <w:pStyle w:val="26"/>
        <w:numPr>
          <w:ilvl w:val="0"/>
          <w:numId w:val="25"/>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改变本工程任何部分的标高、基线、位置或尺寸；</w:t>
      </w:r>
    </w:p>
    <w:p w14:paraId="6385BF68">
      <w:pPr>
        <w:pStyle w:val="26"/>
        <w:numPr>
          <w:ilvl w:val="0"/>
          <w:numId w:val="25"/>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改变合同中任何一项工作的施工时间或改变已批准的施工工艺或顺序；</w:t>
      </w:r>
    </w:p>
    <w:p w14:paraId="4D2B90E5">
      <w:pPr>
        <w:pStyle w:val="26"/>
        <w:numPr>
          <w:ilvl w:val="0"/>
          <w:numId w:val="25"/>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完成本工程需要追加的额外工作。</w:t>
      </w:r>
    </w:p>
    <w:p w14:paraId="66154F95">
      <w:pPr>
        <w:pStyle w:val="26"/>
        <w:numPr>
          <w:ilvl w:val="4"/>
          <w:numId w:val="5"/>
        </w:numPr>
        <w:tabs>
          <w:tab w:val="left" w:pos="1523"/>
          <w:tab w:val="left" w:pos="1524"/>
        </w:tabs>
        <w:spacing w:before="87"/>
        <w:ind w:left="1524" w:hanging="660"/>
        <w:rPr>
          <w:rFonts w:hint="eastAsia" w:ascii="宋体" w:hAnsi="宋体" w:eastAsia="宋体" w:cs="宋体"/>
          <w:sz w:val="18"/>
          <w:highlight w:val="none"/>
        </w:rPr>
      </w:pPr>
      <w:r>
        <w:rPr>
          <w:rFonts w:hint="eastAsia" w:ascii="宋体" w:hAnsi="宋体" w:eastAsia="宋体" w:cs="宋体"/>
          <w:sz w:val="24"/>
          <w:highlight w:val="none"/>
        </w:rPr>
        <w:t>价格调整</w:t>
      </w:r>
    </w:p>
    <w:p w14:paraId="5DB27E55">
      <w:pPr>
        <w:pStyle w:val="10"/>
        <w:spacing w:before="66"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在合同实施期间，投标人填写的单价、合价和总额价不会由于物价波动进行价格调整；由于法律变化引起的价格调整，监理人应根据法律、国家或自治区有关部门的规定，商定确定需调整的合同价款。</w:t>
      </w:r>
    </w:p>
    <w:p w14:paraId="0F92B6FD">
      <w:pPr>
        <w:pStyle w:val="26"/>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如果发出本工程的变更指令是因承包人过错，承包人违反合同或因承包人责任造成的，则这种违约引起的任何额外费用应由承包人承担。</w:t>
      </w:r>
    </w:p>
    <w:p w14:paraId="58C752C9">
      <w:pPr>
        <w:pStyle w:val="26"/>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没有监理人指令，承包人不得擅自变更。变更指令应说明变更的目的、</w:t>
      </w:r>
      <w:r>
        <w:rPr>
          <w:rFonts w:hint="eastAsia" w:ascii="宋体" w:hAnsi="宋体" w:eastAsia="宋体" w:cs="宋体"/>
          <w:spacing w:val="-1"/>
          <w:sz w:val="24"/>
          <w:highlight w:val="none"/>
        </w:rPr>
        <w:t>范围、变更内容以及变更的工程量及其进度和技术要求，并附有关图纸和文件。承</w:t>
      </w:r>
      <w:r>
        <w:rPr>
          <w:rFonts w:hint="eastAsia" w:ascii="宋体" w:hAnsi="宋体" w:eastAsia="宋体" w:cs="宋体"/>
          <w:sz w:val="24"/>
          <w:highlight w:val="none"/>
        </w:rPr>
        <w:t>包人收到变更指令后，应按变更指令进行变更工作。</w:t>
      </w:r>
    </w:p>
    <w:p w14:paraId="5BBCCC7B">
      <w:pPr>
        <w:pStyle w:val="26"/>
        <w:numPr>
          <w:ilvl w:val="4"/>
          <w:numId w:val="5"/>
        </w:numPr>
        <w:tabs>
          <w:tab w:val="left" w:pos="1529"/>
        </w:tabs>
        <w:spacing w:before="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变更工程的价格增加或减少额，应以已标价工程量清单中的单价或合计为依据。除专用合同条款另有约定外，因变更引起的价格调整按照以下约定处理。</w:t>
      </w:r>
    </w:p>
    <w:p w14:paraId="2504CE47">
      <w:pPr>
        <w:pStyle w:val="26"/>
        <w:numPr>
          <w:ilvl w:val="0"/>
          <w:numId w:val="26"/>
        </w:numPr>
        <w:tabs>
          <w:tab w:val="left" w:pos="1465"/>
        </w:tabs>
        <w:spacing w:before="18"/>
        <w:rPr>
          <w:rFonts w:hint="eastAsia" w:ascii="宋体" w:hAnsi="宋体" w:eastAsia="宋体" w:cs="宋体"/>
          <w:sz w:val="24"/>
          <w:highlight w:val="none"/>
        </w:rPr>
      </w:pPr>
      <w:r>
        <w:rPr>
          <w:rFonts w:hint="eastAsia" w:ascii="宋体" w:hAnsi="宋体" w:eastAsia="宋体" w:cs="宋体"/>
          <w:sz w:val="24"/>
          <w:highlight w:val="none"/>
        </w:rPr>
        <w:t>已标价工程量清单中有适用于变更工作的子目的，采用该子目的单价。</w:t>
      </w:r>
    </w:p>
    <w:p w14:paraId="207ED027">
      <w:pPr>
        <w:pStyle w:val="26"/>
        <w:numPr>
          <w:ilvl w:val="0"/>
          <w:numId w:val="26"/>
        </w:numPr>
        <w:tabs>
          <w:tab w:val="left" w:pos="1465"/>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已标价工程量清单中无适用于变更工作的子目，但有类似子目的，可在</w:t>
      </w:r>
      <w:r>
        <w:rPr>
          <w:rFonts w:hint="eastAsia" w:ascii="宋体" w:hAnsi="宋体" w:eastAsia="宋体" w:cs="宋体"/>
          <w:spacing w:val="-4"/>
          <w:sz w:val="24"/>
          <w:highlight w:val="none"/>
        </w:rPr>
        <w:t>合理范围内参照类似子目的单价，由监理人按商定或确定原则变更工作的单价。</w:t>
      </w:r>
    </w:p>
    <w:p w14:paraId="7610F6ED">
      <w:pPr>
        <w:pStyle w:val="26"/>
        <w:numPr>
          <w:ilvl w:val="0"/>
          <w:numId w:val="26"/>
        </w:numPr>
        <w:tabs>
          <w:tab w:val="left" w:pos="1465"/>
        </w:tabs>
        <w:spacing w:line="290" w:lineRule="exact"/>
        <w:rPr>
          <w:rFonts w:hint="eastAsia" w:ascii="宋体" w:hAnsi="宋体" w:eastAsia="宋体" w:cs="宋体"/>
          <w:sz w:val="24"/>
          <w:highlight w:val="none"/>
        </w:rPr>
      </w:pPr>
      <w:r>
        <w:rPr>
          <w:rFonts w:hint="eastAsia" w:ascii="宋体" w:hAnsi="宋体" w:eastAsia="宋体" w:cs="宋体"/>
          <w:spacing w:val="-5"/>
          <w:sz w:val="24"/>
          <w:highlight w:val="none"/>
        </w:rPr>
        <w:t>已标价工程量清单中无适用或类似子目的单价，可按照成本加利润的原则，</w:t>
      </w:r>
    </w:p>
    <w:p w14:paraId="6A555BC6">
      <w:pPr>
        <w:pStyle w:val="10"/>
        <w:spacing w:before="86" w:line="304" w:lineRule="auto"/>
        <w:ind w:left="384" w:right="465"/>
        <w:rPr>
          <w:rFonts w:hint="eastAsia" w:ascii="宋体" w:hAnsi="宋体" w:eastAsia="宋体" w:cs="宋体"/>
          <w:highlight w:val="none"/>
        </w:rPr>
      </w:pPr>
      <w:r>
        <w:rPr>
          <w:rFonts w:hint="eastAsia" w:ascii="宋体" w:hAnsi="宋体" w:eastAsia="宋体" w:cs="宋体"/>
          <w:highlight w:val="none"/>
        </w:rPr>
        <w:t>由监理人依据交通运输部或新疆交通运输厅的相关概算预算编制办法及定额编制编制单价，按商定或确定原则变更工作的单价。</w:t>
      </w:r>
    </w:p>
    <w:p w14:paraId="6878DFEC">
      <w:pPr>
        <w:pStyle w:val="26"/>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暂列金额只能按监理人的批示使用，并对合同价款进行相应调整。</w:t>
      </w:r>
    </w:p>
    <w:p w14:paraId="2648DFC0">
      <w:pPr>
        <w:pStyle w:val="26"/>
        <w:numPr>
          <w:ilvl w:val="4"/>
          <w:numId w:val="5"/>
        </w:numPr>
        <w:tabs>
          <w:tab w:val="left" w:pos="1523"/>
          <w:tab w:val="left" w:pos="1524"/>
        </w:tabs>
        <w:spacing w:before="87"/>
        <w:ind w:left="1524" w:hanging="660"/>
        <w:rPr>
          <w:rFonts w:hint="eastAsia" w:ascii="宋体" w:hAnsi="宋体" w:eastAsia="宋体" w:cs="宋体"/>
          <w:sz w:val="24"/>
          <w:highlight w:val="none"/>
        </w:rPr>
      </w:pPr>
      <w:r>
        <w:rPr>
          <w:rFonts w:hint="eastAsia" w:ascii="宋体" w:hAnsi="宋体" w:eastAsia="宋体" w:cs="宋体"/>
          <w:sz w:val="24"/>
          <w:highlight w:val="none"/>
        </w:rPr>
        <w:t>未经批准的设计变更，其费用不得进入决算。</w:t>
      </w:r>
    </w:p>
    <w:p w14:paraId="69E1B641">
      <w:pPr>
        <w:pStyle w:val="26"/>
        <w:numPr>
          <w:ilvl w:val="4"/>
          <w:numId w:val="5"/>
        </w:numPr>
        <w:tabs>
          <w:tab w:val="left" w:pos="1528"/>
          <w:tab w:val="left" w:pos="1529"/>
        </w:tabs>
        <w:spacing w:before="83"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变更类型及程序依照《新疆维吾尔自治区农村公路工程设计变更管理办法（试行）》的规定施行。</w:t>
      </w:r>
    </w:p>
    <w:p w14:paraId="41BAAF98">
      <w:pPr>
        <w:pStyle w:val="10"/>
        <w:spacing w:before="174"/>
        <w:ind w:left="583"/>
        <w:rPr>
          <w:rFonts w:hint="eastAsia" w:ascii="宋体" w:hAnsi="宋体" w:eastAsia="宋体" w:cs="宋体"/>
          <w:highlight w:val="none"/>
        </w:rPr>
      </w:pPr>
      <w:r>
        <w:rPr>
          <w:rFonts w:hint="eastAsia" w:ascii="宋体" w:hAnsi="宋体" w:eastAsia="宋体" w:cs="宋体"/>
          <w:highlight w:val="none"/>
        </w:rPr>
        <w:t>九、缺陷责任</w:t>
      </w:r>
    </w:p>
    <w:p w14:paraId="177F0E2F">
      <w:pPr>
        <w:pStyle w:val="10"/>
        <w:rPr>
          <w:rFonts w:hint="eastAsia" w:ascii="宋体" w:hAnsi="宋体" w:eastAsia="宋体" w:cs="宋体"/>
          <w:sz w:val="20"/>
          <w:highlight w:val="none"/>
        </w:rPr>
      </w:pPr>
    </w:p>
    <w:p w14:paraId="6844C414">
      <w:pPr>
        <w:pStyle w:val="26"/>
        <w:numPr>
          <w:ilvl w:val="3"/>
          <w:numId w:val="5"/>
        </w:numPr>
        <w:tabs>
          <w:tab w:val="left" w:pos="1244"/>
        </w:tabs>
        <w:spacing w:before="1"/>
        <w:ind w:left="1243" w:hanging="421"/>
        <w:jc w:val="left"/>
        <w:rPr>
          <w:rFonts w:hint="eastAsia" w:ascii="宋体" w:hAnsi="宋体" w:eastAsia="宋体" w:cs="宋体"/>
          <w:sz w:val="24"/>
          <w:highlight w:val="none"/>
        </w:rPr>
      </w:pPr>
      <w:r>
        <w:rPr>
          <w:rFonts w:hint="eastAsia" w:ascii="宋体" w:hAnsi="宋体" w:eastAsia="宋体" w:cs="宋体"/>
          <w:sz w:val="24"/>
          <w:highlight w:val="none"/>
        </w:rPr>
        <w:t>缺陷责任及修复</w:t>
      </w:r>
    </w:p>
    <w:p w14:paraId="5FFACF6F">
      <w:pPr>
        <w:pStyle w:val="10"/>
        <w:spacing w:before="4"/>
        <w:rPr>
          <w:rFonts w:hint="eastAsia" w:ascii="宋体" w:hAnsi="宋体" w:eastAsia="宋体" w:cs="宋体"/>
          <w:sz w:val="20"/>
          <w:highlight w:val="none"/>
        </w:rPr>
      </w:pPr>
    </w:p>
    <w:p w14:paraId="0FF1A88D">
      <w:pPr>
        <w:pStyle w:val="26"/>
        <w:numPr>
          <w:ilvl w:val="4"/>
          <w:numId w:val="5"/>
        </w:numPr>
        <w:tabs>
          <w:tab w:val="left" w:pos="1529"/>
        </w:tabs>
        <w:spacing w:before="1"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缺陷责任期从本合同工程交工证书签发之日起计算。承包人应在缺陷责任期内对已交付使用的工程承担缺陷责任。</w:t>
      </w:r>
    </w:p>
    <w:p w14:paraId="7FF5D6D9">
      <w:pPr>
        <w:pStyle w:val="26"/>
        <w:numPr>
          <w:ilvl w:val="4"/>
          <w:numId w:val="5"/>
        </w:numPr>
        <w:tabs>
          <w:tab w:val="left" w:pos="1529"/>
        </w:tabs>
        <w:spacing w:before="3"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在缺陷责任期满前，由发包人会同监理人在有关部门参加下，对工程进</w:t>
      </w:r>
      <w:r>
        <w:rPr>
          <w:rFonts w:hint="eastAsia" w:ascii="宋体" w:hAnsi="宋体" w:eastAsia="宋体" w:cs="宋体"/>
          <w:spacing w:val="-1"/>
          <w:sz w:val="24"/>
          <w:highlight w:val="none"/>
        </w:rPr>
        <w:t>行一次全面核查，使本工程按合同所要求的条件，达到发包人和监理人认为合格的</w:t>
      </w:r>
      <w:r>
        <w:rPr>
          <w:rFonts w:hint="eastAsia" w:ascii="宋体" w:hAnsi="宋体" w:eastAsia="宋体" w:cs="宋体"/>
          <w:sz w:val="24"/>
          <w:highlight w:val="none"/>
        </w:rPr>
        <w:t>程度。要求承包人：</w:t>
      </w:r>
    </w:p>
    <w:p w14:paraId="35420BF9">
      <w:pPr>
        <w:pStyle w:val="26"/>
        <w:numPr>
          <w:ilvl w:val="0"/>
          <w:numId w:val="27"/>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在缺陷责任期内，尽快完成在交工证书中写明的未完工作，并完成对本工程缺陷的修复或监理人指令的修补工作；</w:t>
      </w:r>
    </w:p>
    <w:p w14:paraId="6EEFD825">
      <w:pPr>
        <w:pStyle w:val="10"/>
        <w:spacing w:before="5"/>
        <w:rPr>
          <w:rFonts w:hint="eastAsia" w:ascii="宋体" w:hAnsi="宋体" w:eastAsia="宋体" w:cs="宋体"/>
          <w:sz w:val="17"/>
          <w:highlight w:val="none"/>
        </w:rPr>
      </w:pPr>
      <w:r>
        <w:rPr>
          <w:rFonts w:hint="eastAsia" w:ascii="宋体" w:hAnsi="宋体" w:eastAsia="宋体" w:cs="宋体"/>
          <w:spacing w:val="-5"/>
          <w:sz w:val="24"/>
          <w:highlight w:val="none"/>
        </w:rPr>
        <w:t xml:space="preserve">在缺陷责任期满后的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天内，按照发包人和监理人在缺陷责任期满前检查结果而发出的指令，对存在的缺陷或其他不合格之处进行修补、重建及修复。承包人不能在合理时间内修复缺陷的，发包人可自行修复或委托其他人修复，所需费</w:t>
      </w:r>
      <w:r>
        <w:rPr>
          <w:rFonts w:hint="eastAsia" w:ascii="宋体" w:hAnsi="宋体" w:eastAsia="宋体" w:cs="宋体"/>
          <w:sz w:val="24"/>
          <w:highlight w:val="none"/>
        </w:rPr>
        <w:t>用和利润由承包人承担。</w:t>
      </w:r>
    </w:p>
    <w:p w14:paraId="6BEC2441">
      <w:pPr>
        <w:pStyle w:val="26"/>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在缺陷责任期内，因承包人原因造成的缺陷修复费用和复验费用应由承</w:t>
      </w:r>
      <w:r>
        <w:rPr>
          <w:rFonts w:hint="eastAsia" w:ascii="宋体" w:hAnsi="宋体" w:eastAsia="宋体" w:cs="宋体"/>
          <w:spacing w:val="-1"/>
          <w:sz w:val="24"/>
          <w:highlight w:val="none"/>
        </w:rPr>
        <w:t>包人自行负责；不属于承包人原因造成的缺陷修复费用由监理人同承包人协商并报</w:t>
      </w:r>
      <w:r>
        <w:rPr>
          <w:rFonts w:hint="eastAsia" w:ascii="宋体" w:hAnsi="宋体" w:eastAsia="宋体" w:cs="宋体"/>
          <w:sz w:val="24"/>
          <w:highlight w:val="none"/>
        </w:rPr>
        <w:t>发包人批准。</w:t>
      </w:r>
    </w:p>
    <w:p w14:paraId="0BC1CDD9">
      <w:pPr>
        <w:pStyle w:val="26"/>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由于承包人原因造成某项缺陷或损坏使某项工程不能按原定目标使用而</w:t>
      </w:r>
      <w:r>
        <w:rPr>
          <w:rFonts w:hint="eastAsia" w:ascii="宋体" w:hAnsi="宋体" w:eastAsia="宋体" w:cs="宋体"/>
          <w:spacing w:val="-1"/>
          <w:sz w:val="24"/>
          <w:highlight w:val="none"/>
        </w:rPr>
        <w:t>需要再次检查、检验和修复的，发包人有权要求承包人相应延长缺陷责任期，但缺</w:t>
      </w:r>
      <w:r>
        <w:rPr>
          <w:rFonts w:hint="eastAsia" w:ascii="宋体" w:hAnsi="宋体" w:eastAsia="宋体" w:cs="宋体"/>
          <w:spacing w:val="-6"/>
          <w:sz w:val="24"/>
          <w:highlight w:val="none"/>
        </w:rPr>
        <w:t xml:space="preserve">陷责任期最长不超过 </w:t>
      </w:r>
      <w:r>
        <w:rPr>
          <w:rFonts w:hint="eastAsia" w:ascii="宋体" w:hAnsi="宋体" w:eastAsia="宋体" w:cs="宋体"/>
          <w:sz w:val="24"/>
          <w:highlight w:val="none"/>
        </w:rPr>
        <w:t>2 年，自该项工程或设备修复之日算起。</w:t>
      </w:r>
    </w:p>
    <w:p w14:paraId="4D5F0B49">
      <w:pPr>
        <w:pStyle w:val="26"/>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保修期自实际交工日期起计算，具体期限在合同条款数据表中约定。在保修期内承包人应对由于施工质量原因造成的损坏自费进行修复。</w:t>
      </w:r>
    </w:p>
    <w:p w14:paraId="4F79B118">
      <w:pPr>
        <w:pStyle w:val="26"/>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pacing w:val="-7"/>
          <w:sz w:val="24"/>
          <w:highlight w:val="none"/>
        </w:rPr>
        <w:t xml:space="preserve">工程保修期终止后 </w:t>
      </w:r>
      <w:r>
        <w:rPr>
          <w:rFonts w:hint="eastAsia" w:ascii="宋体" w:hAnsi="宋体" w:eastAsia="宋体" w:cs="宋体"/>
          <w:sz w:val="24"/>
          <w:highlight w:val="none"/>
        </w:rPr>
        <w:t>28 天内，监理人签发保修期终止证书。</w:t>
      </w:r>
    </w:p>
    <w:p w14:paraId="0E29EB34">
      <w:pPr>
        <w:pStyle w:val="26"/>
        <w:numPr>
          <w:ilvl w:val="4"/>
          <w:numId w:val="5"/>
        </w:numPr>
        <w:tabs>
          <w:tab w:val="left" w:pos="1529"/>
        </w:tabs>
        <w:spacing w:before="78"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若承包人不履行保修义务和责任，则承包人应承担由于违约造成的法律</w:t>
      </w:r>
      <w:r>
        <w:rPr>
          <w:rFonts w:hint="eastAsia" w:ascii="宋体" w:hAnsi="宋体" w:eastAsia="宋体" w:cs="宋体"/>
          <w:spacing w:val="-1"/>
          <w:sz w:val="24"/>
          <w:highlight w:val="none"/>
        </w:rPr>
        <w:t>后果，并由发包人将其违约行为上报交通运输主管部门，并作为不良记录纳入公路</w:t>
      </w:r>
      <w:r>
        <w:rPr>
          <w:rFonts w:hint="eastAsia" w:ascii="宋体" w:hAnsi="宋体" w:eastAsia="宋体" w:cs="宋体"/>
          <w:sz w:val="24"/>
          <w:highlight w:val="none"/>
        </w:rPr>
        <w:t>建设市场信用信息管理系统。</w:t>
      </w:r>
    </w:p>
    <w:p w14:paraId="6740305E">
      <w:pPr>
        <w:pStyle w:val="26"/>
        <w:numPr>
          <w:ilvl w:val="4"/>
          <w:numId w:val="5"/>
        </w:numPr>
        <w:tabs>
          <w:tab w:val="left" w:pos="1534"/>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缺陷责任期满后 </w:t>
      </w:r>
      <w:r>
        <w:rPr>
          <w:rFonts w:hint="eastAsia" w:ascii="宋体" w:hAnsi="宋体" w:eastAsia="宋体" w:cs="宋体"/>
          <w:sz w:val="24"/>
          <w:highlight w:val="none"/>
        </w:rPr>
        <w:t>14</w:t>
      </w:r>
      <w:r>
        <w:rPr>
          <w:rFonts w:hint="eastAsia" w:ascii="宋体" w:hAnsi="宋体" w:eastAsia="宋体" w:cs="宋体"/>
          <w:spacing w:val="4"/>
          <w:sz w:val="24"/>
          <w:highlight w:val="none"/>
        </w:rPr>
        <w:t xml:space="preserve"> 天内,</w:t>
      </w:r>
      <w:r>
        <w:rPr>
          <w:rFonts w:hint="eastAsia" w:ascii="宋体" w:hAnsi="宋体" w:eastAsia="宋体" w:cs="宋体"/>
          <w:spacing w:val="3"/>
          <w:sz w:val="24"/>
          <w:highlight w:val="none"/>
        </w:rPr>
        <w:t>由监理人向承包人出具经发包人签认的缺陷责任终止证书，并退还剩余的质量保证金。</w:t>
      </w:r>
    </w:p>
    <w:p w14:paraId="3A76D333">
      <w:pPr>
        <w:pStyle w:val="10"/>
        <w:spacing w:before="169"/>
        <w:ind w:left="583"/>
        <w:rPr>
          <w:rFonts w:hint="eastAsia" w:ascii="宋体" w:hAnsi="宋体" w:eastAsia="宋体" w:cs="宋体"/>
          <w:highlight w:val="none"/>
        </w:rPr>
      </w:pPr>
      <w:r>
        <w:rPr>
          <w:rFonts w:hint="eastAsia" w:ascii="宋体" w:hAnsi="宋体" w:eastAsia="宋体" w:cs="宋体"/>
          <w:highlight w:val="none"/>
        </w:rPr>
        <w:t>十、违约、索赔和争议</w:t>
      </w:r>
    </w:p>
    <w:p w14:paraId="76E8D3EE">
      <w:pPr>
        <w:pStyle w:val="10"/>
        <w:rPr>
          <w:rFonts w:hint="eastAsia" w:ascii="宋体" w:hAnsi="宋体" w:eastAsia="宋体" w:cs="宋体"/>
          <w:sz w:val="20"/>
          <w:highlight w:val="none"/>
        </w:rPr>
      </w:pPr>
    </w:p>
    <w:p w14:paraId="098E2D2D">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w:t>
      </w:r>
    </w:p>
    <w:p w14:paraId="194765ED">
      <w:pPr>
        <w:pStyle w:val="10"/>
        <w:spacing w:before="5"/>
        <w:rPr>
          <w:rFonts w:hint="eastAsia" w:ascii="宋体" w:hAnsi="宋体" w:eastAsia="宋体" w:cs="宋体"/>
          <w:sz w:val="20"/>
          <w:highlight w:val="none"/>
        </w:rPr>
      </w:pPr>
    </w:p>
    <w:p w14:paraId="026154C1">
      <w:pPr>
        <w:pStyle w:val="26"/>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发包人违约</w:t>
      </w:r>
    </w:p>
    <w:p w14:paraId="71191B30">
      <w:pPr>
        <w:pStyle w:val="26"/>
        <w:numPr>
          <w:ilvl w:val="0"/>
          <w:numId w:val="0"/>
        </w:numPr>
        <w:tabs>
          <w:tab w:val="left" w:pos="1703"/>
          <w:tab w:val="left" w:pos="1704"/>
        </w:tabs>
        <w:spacing w:before="84"/>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下列情况属发包人违约：</w:t>
      </w:r>
    </w:p>
    <w:p w14:paraId="67F0890B">
      <w:pPr>
        <w:pStyle w:val="26"/>
        <w:numPr>
          <w:ilvl w:val="0"/>
          <w:numId w:val="0"/>
        </w:numPr>
        <w:tabs>
          <w:tab w:val="left" w:pos="1465"/>
        </w:tabs>
        <w:spacing w:before="86" w:line="304" w:lineRule="auto"/>
        <w:ind w:left="864" w:leftChars="0" w:right="346" w:rightChars="0"/>
        <w:rPr>
          <w:rFonts w:hint="eastAsia" w:ascii="宋体" w:hAnsi="宋体" w:eastAsia="宋体" w:cs="宋体"/>
          <w:sz w:val="24"/>
          <w:highlight w:val="none"/>
        </w:rPr>
      </w:pPr>
      <w:r>
        <w:rPr>
          <w:rFonts w:hint="eastAsia" w:cs="宋体"/>
          <w:spacing w:val="-11"/>
          <w:sz w:val="24"/>
          <w:highlight w:val="none"/>
          <w:lang w:eastAsia="zh-CN"/>
        </w:rPr>
        <w:t>（</w:t>
      </w:r>
      <w:r>
        <w:rPr>
          <w:rFonts w:hint="eastAsia" w:cs="宋体"/>
          <w:spacing w:val="-11"/>
          <w:sz w:val="24"/>
          <w:highlight w:val="none"/>
          <w:lang w:val="en-US" w:eastAsia="zh-CN"/>
        </w:rPr>
        <w:t>1</w:t>
      </w:r>
      <w:r>
        <w:rPr>
          <w:rFonts w:hint="eastAsia" w:cs="宋体"/>
          <w:spacing w:val="-11"/>
          <w:sz w:val="24"/>
          <w:highlight w:val="none"/>
          <w:lang w:eastAsia="zh-CN"/>
        </w:rPr>
        <w:t>）</w:t>
      </w:r>
      <w:r>
        <w:rPr>
          <w:rFonts w:hint="eastAsia" w:ascii="宋体" w:hAnsi="宋体" w:eastAsia="宋体" w:cs="宋体"/>
          <w:spacing w:val="-11"/>
          <w:sz w:val="24"/>
          <w:highlight w:val="none"/>
        </w:rPr>
        <w:t>按合同约定，未向承包人支付根据监理人签发的支付证书项下的应付款额</w:t>
      </w:r>
      <w:r>
        <w:rPr>
          <w:rFonts w:hint="eastAsia" w:ascii="宋体" w:hAnsi="宋体" w:eastAsia="宋体" w:cs="宋体"/>
          <w:spacing w:val="-5"/>
          <w:sz w:val="24"/>
          <w:highlight w:val="none"/>
        </w:rPr>
        <w:t>，或拖延、拒绝批准付款申请和支付凭证，导致付款延误的；</w:t>
      </w:r>
    </w:p>
    <w:p w14:paraId="28AD90DD">
      <w:pPr>
        <w:pStyle w:val="26"/>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2</w:t>
      </w:r>
      <w:r>
        <w:rPr>
          <w:rFonts w:hint="eastAsia" w:cs="宋体"/>
          <w:sz w:val="24"/>
          <w:highlight w:val="none"/>
          <w:lang w:eastAsia="zh-CN"/>
        </w:rPr>
        <w:t>）</w:t>
      </w:r>
      <w:r>
        <w:rPr>
          <w:rFonts w:hint="eastAsia" w:ascii="宋体" w:hAnsi="宋体" w:eastAsia="宋体" w:cs="宋体"/>
          <w:sz w:val="24"/>
          <w:highlight w:val="none"/>
        </w:rPr>
        <w:t>发包人原因造成停工的；</w:t>
      </w:r>
    </w:p>
    <w:p w14:paraId="7E7D6AC1">
      <w:pPr>
        <w:pStyle w:val="26"/>
        <w:numPr>
          <w:ilvl w:val="0"/>
          <w:numId w:val="0"/>
        </w:numPr>
        <w:tabs>
          <w:tab w:val="left" w:pos="1465"/>
        </w:tabs>
        <w:spacing w:before="86" w:line="304" w:lineRule="auto"/>
        <w:ind w:right="466" w:rightChars="0" w:firstLine="928" w:firstLineChars="40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pacing w:val="-4"/>
          <w:sz w:val="24"/>
          <w:highlight w:val="none"/>
        </w:rPr>
        <w:t>监理人无正当理由没有在约定期限内，发出复工指示，导致承包人无法</w:t>
      </w:r>
      <w:r>
        <w:rPr>
          <w:rFonts w:hint="eastAsia" w:ascii="宋体" w:hAnsi="宋体" w:eastAsia="宋体" w:cs="宋体"/>
          <w:spacing w:val="-6"/>
          <w:sz w:val="24"/>
          <w:highlight w:val="none"/>
        </w:rPr>
        <w:t>复工的；</w:t>
      </w:r>
    </w:p>
    <w:p w14:paraId="3E59E0B4">
      <w:pPr>
        <w:pStyle w:val="26"/>
        <w:numPr>
          <w:ilvl w:val="0"/>
          <w:numId w:val="0"/>
        </w:numPr>
        <w:tabs>
          <w:tab w:val="left" w:pos="1479"/>
        </w:tabs>
        <w:spacing w:before="1" w:line="304" w:lineRule="auto"/>
        <w:ind w:left="864" w:leftChars="0"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4</w:t>
      </w:r>
      <w:r>
        <w:rPr>
          <w:rFonts w:hint="eastAsia" w:cs="宋体"/>
          <w:spacing w:val="2"/>
          <w:sz w:val="24"/>
          <w:highlight w:val="none"/>
          <w:lang w:eastAsia="zh-CN"/>
        </w:rPr>
        <w:t>）</w:t>
      </w:r>
      <w:r>
        <w:rPr>
          <w:rFonts w:hint="eastAsia" w:ascii="宋体" w:hAnsi="宋体" w:eastAsia="宋体" w:cs="宋体"/>
          <w:spacing w:val="2"/>
          <w:sz w:val="24"/>
          <w:highlight w:val="none"/>
        </w:rPr>
        <w:t>未根据本合同任何条款而无理阻碍或拒绝对任何上述证书颁发的所需批</w:t>
      </w:r>
      <w:r>
        <w:rPr>
          <w:rFonts w:hint="eastAsia" w:ascii="宋体" w:hAnsi="宋体" w:eastAsia="宋体" w:cs="宋体"/>
          <w:spacing w:val="1"/>
          <w:sz w:val="24"/>
          <w:highlight w:val="none"/>
        </w:rPr>
        <w:t>准，则承包人有权终止对本合同项下的承包，并通知发包人，抄送监理人，该终止</w:t>
      </w:r>
      <w:r>
        <w:rPr>
          <w:rFonts w:hint="eastAsia" w:ascii="宋体" w:hAnsi="宋体" w:eastAsia="宋体" w:cs="宋体"/>
          <w:spacing w:val="-10"/>
          <w:sz w:val="24"/>
          <w:highlight w:val="none"/>
        </w:rPr>
        <w:t xml:space="preserve">在发出通知 </w:t>
      </w:r>
      <w:r>
        <w:rPr>
          <w:rFonts w:hint="eastAsia" w:ascii="宋体" w:hAnsi="宋体" w:eastAsia="宋体" w:cs="宋体"/>
          <w:sz w:val="24"/>
          <w:highlight w:val="none"/>
        </w:rPr>
        <w:t xml:space="preserve">14 </w:t>
      </w:r>
      <w:r>
        <w:rPr>
          <w:rFonts w:hint="eastAsia" w:ascii="宋体" w:hAnsi="宋体" w:eastAsia="宋体" w:cs="宋体"/>
          <w:spacing w:val="-11"/>
          <w:sz w:val="24"/>
          <w:highlight w:val="none"/>
        </w:rPr>
        <w:t>天后生效，发包人应承担违约责任，赔偿因其违约给承包人造成的损</w:t>
      </w:r>
      <w:r>
        <w:rPr>
          <w:rFonts w:hint="eastAsia" w:ascii="宋体" w:hAnsi="宋体" w:eastAsia="宋体" w:cs="宋体"/>
          <w:sz w:val="24"/>
          <w:highlight w:val="none"/>
        </w:rPr>
        <w:t>失，顺延延误的工期。</w:t>
      </w:r>
    </w:p>
    <w:p w14:paraId="062D1D0C">
      <w:pPr>
        <w:pStyle w:val="26"/>
        <w:numPr>
          <w:ilvl w:val="0"/>
          <w:numId w:val="0"/>
        </w:numPr>
        <w:tabs>
          <w:tab w:val="left" w:pos="1703"/>
          <w:tab w:val="left" w:pos="1704"/>
        </w:tabs>
        <w:spacing w:before="8" w:line="304" w:lineRule="auto"/>
        <w:ind w:right="346" w:rightChars="0" w:firstLine="456" w:firstLineChars="200"/>
        <w:rPr>
          <w:rFonts w:hint="eastAsia" w:ascii="宋体" w:hAnsi="宋体" w:eastAsia="宋体" w:cs="宋体"/>
          <w:sz w:val="24"/>
          <w:highlight w:val="none"/>
        </w:rPr>
      </w:pPr>
      <w:r>
        <w:rPr>
          <w:rFonts w:hint="eastAsia" w:ascii="宋体" w:hAnsi="宋体" w:eastAsia="宋体" w:cs="宋体"/>
          <w:spacing w:val="-6"/>
          <w:sz w:val="24"/>
          <w:highlight w:val="none"/>
        </w:rPr>
        <w:t>发包人发生违约情况时，承包人可向发包人发出通知，要求发包人采取</w:t>
      </w:r>
      <w:r>
        <w:rPr>
          <w:rFonts w:hint="eastAsia" w:ascii="宋体" w:hAnsi="宋体" w:eastAsia="宋体" w:cs="宋体"/>
          <w:spacing w:val="-13"/>
          <w:sz w:val="24"/>
          <w:highlight w:val="none"/>
        </w:rPr>
        <w:t xml:space="preserve">有效措施纠正违约行为。发包人收到承包人通知后的 </w:t>
      </w:r>
      <w:r>
        <w:rPr>
          <w:rFonts w:hint="eastAsia" w:ascii="宋体" w:hAnsi="宋体" w:eastAsia="宋体" w:cs="宋体"/>
          <w:sz w:val="24"/>
          <w:highlight w:val="none"/>
        </w:rPr>
        <w:t xml:space="preserve">28 </w:t>
      </w:r>
      <w:r>
        <w:rPr>
          <w:rFonts w:hint="eastAsia" w:ascii="宋体" w:hAnsi="宋体" w:eastAsia="宋体" w:cs="宋体"/>
          <w:spacing w:val="-4"/>
          <w:sz w:val="24"/>
          <w:highlight w:val="none"/>
        </w:rPr>
        <w:t>天内仍不履行合同义务，承包人有权暂停施工，并通知监理人，发包人应承担由此增加的费用和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并支付承包人合理利润。</w:t>
      </w:r>
    </w:p>
    <w:p w14:paraId="5803F4CE">
      <w:pPr>
        <w:pStyle w:val="26"/>
        <w:numPr>
          <w:ilvl w:val="4"/>
          <w:numId w:val="5"/>
        </w:numPr>
        <w:tabs>
          <w:tab w:val="left" w:pos="1523"/>
          <w:tab w:val="left" w:pos="1524"/>
        </w:tabs>
        <w:spacing w:before="5"/>
        <w:ind w:left="1524" w:hanging="660"/>
        <w:rPr>
          <w:rFonts w:hint="eastAsia" w:ascii="宋体" w:hAnsi="宋体" w:eastAsia="宋体" w:cs="宋体"/>
          <w:sz w:val="24"/>
          <w:highlight w:val="none"/>
        </w:rPr>
      </w:pPr>
      <w:r>
        <w:rPr>
          <w:rFonts w:hint="eastAsia" w:ascii="宋体" w:hAnsi="宋体" w:eastAsia="宋体" w:cs="宋体"/>
          <w:sz w:val="24"/>
          <w:highlight w:val="none"/>
        </w:rPr>
        <w:t>承包人违约</w:t>
      </w:r>
    </w:p>
    <w:p w14:paraId="6FC8D333">
      <w:pPr>
        <w:pStyle w:val="10"/>
        <w:spacing w:before="5"/>
        <w:rPr>
          <w:rFonts w:hint="eastAsia" w:ascii="宋体" w:hAnsi="宋体" w:eastAsia="宋体" w:cs="宋体"/>
          <w:sz w:val="17"/>
          <w:highlight w:val="none"/>
        </w:rPr>
      </w:pPr>
      <w:r>
        <w:rPr>
          <w:rFonts w:hint="eastAsia" w:ascii="宋体" w:hAnsi="宋体" w:eastAsia="宋体" w:cs="宋体"/>
          <w:sz w:val="24"/>
          <w:highlight w:val="none"/>
        </w:rPr>
        <w:t>下列情况属承包人违约：</w:t>
      </w:r>
    </w:p>
    <w:p w14:paraId="3B9C02EE">
      <w:pPr>
        <w:pStyle w:val="26"/>
        <w:numPr>
          <w:ilvl w:val="0"/>
          <w:numId w:val="2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无视监理人事先的书面警告，不履行其合同规定的义务；</w:t>
      </w:r>
    </w:p>
    <w:p w14:paraId="6C407C8A">
      <w:pPr>
        <w:pStyle w:val="26"/>
        <w:numPr>
          <w:ilvl w:val="0"/>
          <w:numId w:val="28"/>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违反合同规定，私自将合同的全部或部分权利转让给其他人，或私自将</w:t>
      </w:r>
      <w:r>
        <w:rPr>
          <w:rFonts w:hint="eastAsia" w:ascii="宋体" w:hAnsi="宋体" w:eastAsia="宋体" w:cs="宋体"/>
          <w:spacing w:val="-5"/>
          <w:sz w:val="24"/>
          <w:highlight w:val="none"/>
        </w:rPr>
        <w:t>合同的全部或部分义务转让给其他人；</w:t>
      </w:r>
    </w:p>
    <w:p w14:paraId="551835A0">
      <w:pPr>
        <w:pStyle w:val="26"/>
        <w:numPr>
          <w:ilvl w:val="0"/>
          <w:numId w:val="28"/>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未按在合同谈判阶段确定的内容配备其他管理和技术人员、主要机械设</w:t>
      </w:r>
      <w:r>
        <w:rPr>
          <w:rFonts w:hint="eastAsia" w:ascii="宋体" w:hAnsi="宋体" w:eastAsia="宋体" w:cs="宋体"/>
          <w:spacing w:val="-5"/>
          <w:sz w:val="24"/>
          <w:highlight w:val="none"/>
        </w:rPr>
        <w:t>备和试验检测设备、未按期提交施工组织计划；私自将已按合同约定进入场地的施</w:t>
      </w:r>
      <w:r>
        <w:rPr>
          <w:rFonts w:hint="eastAsia" w:ascii="宋体" w:hAnsi="宋体" w:eastAsia="宋体" w:cs="宋体"/>
          <w:spacing w:val="-4"/>
          <w:sz w:val="24"/>
          <w:highlight w:val="none"/>
        </w:rPr>
        <w:t>工设备、临时设备或材料撤离施工场地；</w:t>
      </w:r>
    </w:p>
    <w:p w14:paraId="70D17781">
      <w:pPr>
        <w:pStyle w:val="26"/>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在监理人通知或指令发出 </w:t>
      </w:r>
      <w:r>
        <w:rPr>
          <w:rFonts w:hint="eastAsia" w:ascii="宋体" w:hAnsi="宋体" w:eastAsia="宋体" w:cs="宋体"/>
          <w:sz w:val="24"/>
          <w:highlight w:val="none"/>
        </w:rPr>
        <w:t>28</w:t>
      </w:r>
      <w:r>
        <w:rPr>
          <w:rFonts w:hint="eastAsia" w:ascii="宋体" w:hAnsi="宋体" w:eastAsia="宋体" w:cs="宋体"/>
          <w:spacing w:val="10"/>
          <w:sz w:val="24"/>
          <w:highlight w:val="none"/>
        </w:rPr>
        <w:t xml:space="preserve"> </w:t>
      </w:r>
      <w:r>
        <w:rPr>
          <w:rFonts w:hint="eastAsia" w:ascii="宋体" w:hAnsi="宋体" w:eastAsia="宋体" w:cs="宋体"/>
          <w:spacing w:val="-1"/>
          <w:sz w:val="24"/>
          <w:highlight w:val="none"/>
        </w:rPr>
        <w:t>天内不遵守该通知或指令修复或运走、替换</w:t>
      </w:r>
      <w:r>
        <w:rPr>
          <w:rFonts w:hint="eastAsia" w:ascii="宋体" w:hAnsi="宋体" w:eastAsia="宋体" w:cs="宋体"/>
          <w:sz w:val="24"/>
          <w:highlight w:val="none"/>
        </w:rPr>
        <w:t>不合格材料、设备的；</w:t>
      </w:r>
    </w:p>
    <w:p w14:paraId="4DAFAFBD">
      <w:pPr>
        <w:pStyle w:val="26"/>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无正当理由延期开工或因进度滞后，在接到监理人加快进度通知 </w:t>
      </w:r>
      <w:r>
        <w:rPr>
          <w:rFonts w:hint="eastAsia" w:ascii="宋体" w:hAnsi="宋体" w:eastAsia="宋体" w:cs="宋体"/>
          <w:sz w:val="24"/>
          <w:highlight w:val="none"/>
        </w:rPr>
        <w:t>28</w:t>
      </w:r>
      <w:r>
        <w:rPr>
          <w:rFonts w:hint="eastAsia" w:ascii="宋体" w:hAnsi="宋体" w:eastAsia="宋体" w:cs="宋体"/>
          <w:spacing w:val="12"/>
          <w:sz w:val="24"/>
          <w:highlight w:val="none"/>
        </w:rPr>
        <w:t xml:space="preserve"> </w:t>
      </w:r>
      <w:r>
        <w:rPr>
          <w:rFonts w:hint="eastAsia" w:ascii="宋体" w:hAnsi="宋体" w:eastAsia="宋体" w:cs="宋体"/>
          <w:spacing w:val="-6"/>
          <w:sz w:val="24"/>
          <w:highlight w:val="none"/>
        </w:rPr>
        <w:t>天内</w:t>
      </w:r>
      <w:r>
        <w:rPr>
          <w:rFonts w:hint="eastAsia" w:ascii="宋体" w:hAnsi="宋体" w:eastAsia="宋体" w:cs="宋体"/>
          <w:sz w:val="24"/>
          <w:highlight w:val="none"/>
        </w:rPr>
        <w:t>无正当理由、未能采取措施加快进行本工程或其关键部分的施工；</w:t>
      </w:r>
    </w:p>
    <w:p w14:paraId="323E5FC1">
      <w:pPr>
        <w:pStyle w:val="26"/>
        <w:numPr>
          <w:ilvl w:val="0"/>
          <w:numId w:val="2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未达到规定质量目标的；</w:t>
      </w:r>
    </w:p>
    <w:p w14:paraId="53C9F065">
      <w:pPr>
        <w:pStyle w:val="26"/>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出现三级一般质量事故以上的；</w:t>
      </w:r>
    </w:p>
    <w:p w14:paraId="005F82C9">
      <w:pPr>
        <w:pStyle w:val="26"/>
        <w:numPr>
          <w:ilvl w:val="0"/>
          <w:numId w:val="28"/>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发生野蛮施工，造成环保事件或损坏原有建筑物的；</w:t>
      </w:r>
    </w:p>
    <w:p w14:paraId="18299B2A">
      <w:pPr>
        <w:pStyle w:val="26"/>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因通行便道维护不力，造成社会恶劣影响的；</w:t>
      </w:r>
    </w:p>
    <w:p w14:paraId="638B2E20">
      <w:pPr>
        <w:pStyle w:val="26"/>
        <w:numPr>
          <w:ilvl w:val="0"/>
          <w:numId w:val="28"/>
        </w:numPr>
        <w:tabs>
          <w:tab w:val="left" w:pos="1585"/>
        </w:tabs>
        <w:spacing w:before="86"/>
        <w:ind w:left="1585" w:hanging="721"/>
        <w:rPr>
          <w:rFonts w:hint="eastAsia" w:ascii="宋体" w:hAnsi="宋体" w:eastAsia="宋体" w:cs="宋体"/>
          <w:sz w:val="24"/>
          <w:highlight w:val="none"/>
        </w:rPr>
      </w:pPr>
      <w:r>
        <w:rPr>
          <w:rFonts w:hint="eastAsia" w:ascii="宋体" w:hAnsi="宋体" w:eastAsia="宋体" w:cs="宋体"/>
          <w:sz w:val="24"/>
          <w:highlight w:val="none"/>
        </w:rPr>
        <w:t>拖欠劳务工资、设备、材料款，造成恶劣影响的；</w:t>
      </w:r>
    </w:p>
    <w:p w14:paraId="483E9421">
      <w:pPr>
        <w:pStyle w:val="26"/>
        <w:numPr>
          <w:ilvl w:val="0"/>
          <w:numId w:val="28"/>
        </w:numPr>
        <w:tabs>
          <w:tab w:val="left" w:pos="1585"/>
        </w:tabs>
        <w:spacing w:before="84"/>
        <w:ind w:left="1585" w:hanging="721"/>
        <w:rPr>
          <w:rFonts w:hint="eastAsia" w:ascii="宋体" w:hAnsi="宋体" w:eastAsia="宋体" w:cs="宋体"/>
          <w:sz w:val="24"/>
          <w:highlight w:val="none"/>
        </w:rPr>
      </w:pPr>
      <w:r>
        <w:rPr>
          <w:rFonts w:hint="eastAsia" w:ascii="宋体" w:hAnsi="宋体" w:eastAsia="宋体" w:cs="宋体"/>
          <w:sz w:val="24"/>
          <w:highlight w:val="none"/>
        </w:rPr>
        <w:t>违反分包、转包规定的；</w:t>
      </w:r>
    </w:p>
    <w:p w14:paraId="10E695EF">
      <w:pPr>
        <w:pStyle w:val="26"/>
        <w:numPr>
          <w:ilvl w:val="0"/>
          <w:numId w:val="28"/>
        </w:numPr>
        <w:tabs>
          <w:tab w:val="left" w:pos="1588"/>
        </w:tabs>
        <w:spacing w:before="84" w:line="307" w:lineRule="auto"/>
        <w:ind w:left="384" w:right="467" w:firstLine="480"/>
        <w:rPr>
          <w:rFonts w:hint="eastAsia" w:ascii="宋体" w:hAnsi="宋体" w:eastAsia="宋体" w:cs="宋体"/>
          <w:sz w:val="24"/>
          <w:highlight w:val="none"/>
        </w:rPr>
      </w:pPr>
      <w:r>
        <w:rPr>
          <w:rFonts w:hint="eastAsia" w:ascii="宋体" w:hAnsi="宋体" w:eastAsia="宋体" w:cs="宋体"/>
          <w:spacing w:val="-1"/>
          <w:sz w:val="24"/>
          <w:highlight w:val="none"/>
        </w:rPr>
        <w:t>承包人在缺陷责任期内，未能对工程接收证书所列的缺陷清单的内容或</w:t>
      </w:r>
      <w:r>
        <w:rPr>
          <w:rFonts w:hint="eastAsia" w:ascii="宋体" w:hAnsi="宋体" w:eastAsia="宋体" w:cs="宋体"/>
          <w:sz w:val="24"/>
          <w:highlight w:val="none"/>
        </w:rPr>
        <w:t>缺陷责任期内发生的缺陷进行修复，而又拒绝按监理人指示再进行修补的；</w:t>
      </w:r>
    </w:p>
    <w:p w14:paraId="2FEEB7B5">
      <w:pPr>
        <w:pStyle w:val="26"/>
        <w:numPr>
          <w:ilvl w:val="0"/>
          <w:numId w:val="28"/>
        </w:numPr>
        <w:tabs>
          <w:tab w:val="left" w:pos="1585"/>
        </w:tabs>
        <w:spacing w:line="305" w:lineRule="exact"/>
        <w:ind w:left="1585" w:hanging="721"/>
        <w:rPr>
          <w:rFonts w:hint="eastAsia" w:ascii="宋体" w:hAnsi="宋体" w:eastAsia="宋体" w:cs="宋体"/>
          <w:sz w:val="24"/>
          <w:highlight w:val="none"/>
        </w:rPr>
      </w:pPr>
      <w:r>
        <w:rPr>
          <w:rFonts w:hint="eastAsia" w:ascii="宋体" w:hAnsi="宋体" w:eastAsia="宋体" w:cs="宋体"/>
          <w:sz w:val="24"/>
          <w:highlight w:val="none"/>
        </w:rPr>
        <w:t>违反其他合同规定履约义务的。</w:t>
      </w:r>
    </w:p>
    <w:p w14:paraId="2B0CAE30">
      <w:pPr>
        <w:pStyle w:val="26"/>
        <w:numPr>
          <w:ilvl w:val="5"/>
          <w:numId w:val="5"/>
        </w:numPr>
        <w:tabs>
          <w:tab w:val="left" w:pos="1704"/>
        </w:tabs>
        <w:spacing w:before="83"/>
        <w:ind w:left="1704" w:hanging="840"/>
        <w:jc w:val="both"/>
        <w:rPr>
          <w:rFonts w:hint="eastAsia" w:ascii="宋体" w:hAnsi="宋体" w:eastAsia="宋体" w:cs="宋体"/>
          <w:sz w:val="24"/>
          <w:highlight w:val="none"/>
        </w:rPr>
      </w:pPr>
      <w:r>
        <w:rPr>
          <w:rFonts w:hint="eastAsia" w:ascii="宋体" w:hAnsi="宋体" w:eastAsia="宋体" w:cs="宋体"/>
          <w:sz w:val="24"/>
          <w:highlight w:val="none"/>
        </w:rPr>
        <w:t>承包人承担违约责任，赔偿因其违约给发包人造成的损失。</w:t>
      </w:r>
    </w:p>
    <w:p w14:paraId="7A928E22">
      <w:pPr>
        <w:pStyle w:val="26"/>
        <w:numPr>
          <w:ilvl w:val="5"/>
          <w:numId w:val="5"/>
        </w:numPr>
        <w:tabs>
          <w:tab w:val="left" w:pos="1707"/>
        </w:tabs>
        <w:spacing w:before="86"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监理人发出整改通知 </w:t>
      </w:r>
      <w:r>
        <w:rPr>
          <w:rFonts w:hint="eastAsia" w:ascii="宋体" w:hAnsi="宋体" w:eastAsia="宋体" w:cs="宋体"/>
          <w:sz w:val="24"/>
          <w:highlight w:val="none"/>
        </w:rPr>
        <w:t>28</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w:t>
      </w:r>
      <w:r>
        <w:rPr>
          <w:rFonts w:hint="eastAsia" w:ascii="宋体" w:hAnsi="宋体" w:eastAsia="宋体" w:cs="宋体"/>
          <w:sz w:val="24"/>
          <w:highlight w:val="none"/>
        </w:rPr>
        <w:t>约责任，也不影响发包人根据合同约定享有的索赔权利。</w:t>
      </w:r>
    </w:p>
    <w:p w14:paraId="07A5CFD3">
      <w:pPr>
        <w:pStyle w:val="26"/>
        <w:numPr>
          <w:ilvl w:val="4"/>
          <w:numId w:val="5"/>
        </w:numPr>
        <w:tabs>
          <w:tab w:val="left" w:pos="1529"/>
        </w:tabs>
        <w:spacing w:before="6"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在履行合同过程中，一方当事人因第三人的原因造成违约的，应当向对</w:t>
      </w:r>
      <w:r>
        <w:rPr>
          <w:rFonts w:hint="eastAsia" w:ascii="宋体" w:hAnsi="宋体" w:eastAsia="宋体" w:cs="宋体"/>
          <w:spacing w:val="-1"/>
          <w:sz w:val="24"/>
          <w:highlight w:val="none"/>
        </w:rPr>
        <w:t>方当事人承担违约责任。一方当事人和第三人之间的纠纷，依照法律规定或者按照</w:t>
      </w:r>
      <w:r>
        <w:rPr>
          <w:rFonts w:hint="eastAsia" w:ascii="宋体" w:hAnsi="宋体" w:eastAsia="宋体" w:cs="宋体"/>
          <w:sz w:val="24"/>
          <w:highlight w:val="none"/>
        </w:rPr>
        <w:t>约定解决。</w:t>
      </w:r>
    </w:p>
    <w:p w14:paraId="0F793E3F">
      <w:pPr>
        <w:pStyle w:val="26"/>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合同解除后的估价、付款和结清</w:t>
      </w:r>
    </w:p>
    <w:p w14:paraId="33E969E2">
      <w:pPr>
        <w:pStyle w:val="26"/>
        <w:numPr>
          <w:ilvl w:val="0"/>
          <w:numId w:val="29"/>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合同解除后，监理人商定或确定承包人实际完成工作的价值，以及承包</w:t>
      </w:r>
      <w:r>
        <w:rPr>
          <w:rFonts w:hint="eastAsia" w:ascii="宋体" w:hAnsi="宋体" w:eastAsia="宋体" w:cs="宋体"/>
          <w:spacing w:val="-5"/>
          <w:sz w:val="24"/>
          <w:highlight w:val="none"/>
        </w:rPr>
        <w:t>人已提供的材料、施工设备、工程设备和临时工程等的价值；</w:t>
      </w:r>
    </w:p>
    <w:p w14:paraId="5EA9257F">
      <w:pPr>
        <w:pStyle w:val="26"/>
        <w:numPr>
          <w:ilvl w:val="0"/>
          <w:numId w:val="29"/>
        </w:numPr>
        <w:tabs>
          <w:tab w:val="left" w:pos="1465"/>
        </w:tabs>
        <w:spacing w:before="2" w:line="307"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合同解除后，发包人应暂停对承包人的一切付款，查清各项付款和已扣</w:t>
      </w:r>
      <w:r>
        <w:rPr>
          <w:rFonts w:hint="eastAsia" w:ascii="宋体" w:hAnsi="宋体" w:eastAsia="宋体" w:cs="宋体"/>
          <w:spacing w:val="-5"/>
          <w:sz w:val="24"/>
          <w:highlight w:val="none"/>
        </w:rPr>
        <w:t>款金额，包括承包人应支付的违约金；</w:t>
      </w:r>
    </w:p>
    <w:p w14:paraId="2DA34214">
      <w:pPr>
        <w:pStyle w:val="10"/>
        <w:spacing w:before="5"/>
        <w:rPr>
          <w:rFonts w:hint="eastAsia" w:ascii="宋体" w:hAnsi="宋体" w:eastAsia="宋体" w:cs="宋体"/>
          <w:sz w:val="17"/>
          <w:highlight w:val="none"/>
        </w:rPr>
      </w:pPr>
      <w:r>
        <w:rPr>
          <w:rFonts w:hint="eastAsia" w:ascii="宋体" w:hAnsi="宋体" w:eastAsia="宋体" w:cs="宋体"/>
          <w:spacing w:val="-6"/>
          <w:sz w:val="24"/>
          <w:highlight w:val="none"/>
        </w:rPr>
        <w:t>合同解除后，发包人应约定向承包人索赔由于解除合同给发包人造成的</w:t>
      </w:r>
      <w:r>
        <w:rPr>
          <w:rFonts w:hint="eastAsia" w:ascii="宋体" w:hAnsi="宋体" w:eastAsia="宋体" w:cs="宋体"/>
          <w:spacing w:val="-7"/>
          <w:sz w:val="24"/>
          <w:highlight w:val="none"/>
        </w:rPr>
        <w:t>损失；</w:t>
      </w:r>
    </w:p>
    <w:p w14:paraId="6209F549">
      <w:pPr>
        <w:pStyle w:val="26"/>
        <w:numPr>
          <w:ilvl w:val="0"/>
          <w:numId w:val="29"/>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合同双方确认上述往来款项后，出具最终结清付款证书，结清全部合同</w:t>
      </w:r>
      <w:r>
        <w:rPr>
          <w:rFonts w:hint="eastAsia" w:ascii="宋体" w:hAnsi="宋体" w:eastAsia="宋体" w:cs="宋体"/>
          <w:spacing w:val="-7"/>
          <w:sz w:val="24"/>
          <w:highlight w:val="none"/>
        </w:rPr>
        <w:t>款项；</w:t>
      </w:r>
    </w:p>
    <w:p w14:paraId="31BE0083">
      <w:pPr>
        <w:pStyle w:val="26"/>
        <w:numPr>
          <w:ilvl w:val="0"/>
          <w:numId w:val="29"/>
        </w:numPr>
        <w:tabs>
          <w:tab w:val="left" w:pos="1470"/>
        </w:tabs>
        <w:spacing w:before="4"/>
        <w:ind w:left="1469" w:hanging="606"/>
        <w:rPr>
          <w:rFonts w:hint="eastAsia" w:ascii="宋体" w:hAnsi="宋体" w:eastAsia="宋体" w:cs="宋体"/>
          <w:sz w:val="24"/>
          <w:highlight w:val="none"/>
        </w:rPr>
      </w:pPr>
      <w:r>
        <w:rPr>
          <w:rFonts w:hint="eastAsia" w:ascii="宋体" w:hAnsi="宋体" w:eastAsia="宋体" w:cs="宋体"/>
          <w:spacing w:val="-12"/>
          <w:sz w:val="24"/>
          <w:highlight w:val="none"/>
        </w:rPr>
        <w:t>发包人和承包人未能就解除合同后的结清达成一致而形成争议的，按约定办</w:t>
      </w:r>
    </w:p>
    <w:p w14:paraId="64257006">
      <w:pPr>
        <w:pStyle w:val="10"/>
        <w:spacing w:before="83"/>
        <w:ind w:left="384"/>
        <w:rPr>
          <w:rFonts w:hint="eastAsia" w:ascii="宋体" w:hAnsi="宋体" w:eastAsia="宋体" w:cs="宋体"/>
          <w:highlight w:val="none"/>
        </w:rPr>
      </w:pPr>
      <w:r>
        <w:rPr>
          <w:rFonts w:hint="eastAsia" w:ascii="宋体" w:hAnsi="宋体" w:eastAsia="宋体" w:cs="宋体"/>
          <w:highlight w:val="none"/>
        </w:rPr>
        <w:t>理。</w:t>
      </w:r>
    </w:p>
    <w:p w14:paraId="3AD05DFE">
      <w:pPr>
        <w:pStyle w:val="10"/>
        <w:rPr>
          <w:rFonts w:hint="eastAsia" w:ascii="宋体" w:hAnsi="宋体" w:eastAsia="宋体" w:cs="宋体"/>
          <w:sz w:val="20"/>
          <w:highlight w:val="none"/>
        </w:rPr>
      </w:pPr>
    </w:p>
    <w:p w14:paraId="0DF361AD">
      <w:pPr>
        <w:pStyle w:val="26"/>
        <w:numPr>
          <w:ilvl w:val="3"/>
          <w:numId w:val="5"/>
        </w:numPr>
        <w:tabs>
          <w:tab w:val="left" w:pos="1125"/>
        </w:tabs>
        <w:spacing w:before="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索赔</w:t>
      </w:r>
    </w:p>
    <w:p w14:paraId="39600C42">
      <w:pPr>
        <w:pStyle w:val="10"/>
        <w:spacing w:before="7"/>
        <w:rPr>
          <w:rFonts w:hint="eastAsia" w:ascii="宋体" w:hAnsi="宋体" w:eastAsia="宋体" w:cs="宋体"/>
          <w:sz w:val="20"/>
          <w:highlight w:val="none"/>
        </w:rPr>
      </w:pPr>
    </w:p>
    <w:p w14:paraId="042BD237">
      <w:pPr>
        <w:pStyle w:val="26"/>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当一方向另一方提出索赔时，要有正当索赔理由，并向监理人提交索赔事件发生时的有效证据。</w:t>
      </w:r>
    </w:p>
    <w:p w14:paraId="69FECBBF">
      <w:pPr>
        <w:pStyle w:val="26"/>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发包人未能按合同约定履行自己的各项义务或发生错误，造成工期延误和承包人经济损失，承包人可按下列程序以书面形式申请索赔：</w:t>
      </w:r>
    </w:p>
    <w:p w14:paraId="6F1969E1">
      <w:pPr>
        <w:pStyle w:val="26"/>
        <w:numPr>
          <w:ilvl w:val="0"/>
          <w:numId w:val="30"/>
        </w:numPr>
        <w:tabs>
          <w:tab w:val="left" w:pos="1468"/>
        </w:tabs>
        <w:spacing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索赔事件首次发生的 </w:t>
      </w:r>
      <w:r>
        <w:rPr>
          <w:rFonts w:hint="eastAsia" w:ascii="宋体" w:hAnsi="宋体" w:eastAsia="宋体" w:cs="宋体"/>
          <w:sz w:val="24"/>
          <w:highlight w:val="none"/>
        </w:rPr>
        <w:t>21</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天之内，向监理人提出索赔意向书，并抄送发包</w:t>
      </w:r>
      <w:r>
        <w:rPr>
          <w:rFonts w:hint="eastAsia" w:ascii="宋体" w:hAnsi="宋体" w:eastAsia="宋体" w:cs="宋体"/>
          <w:sz w:val="24"/>
          <w:highlight w:val="none"/>
        </w:rPr>
        <w:t>人；</w:t>
      </w:r>
    </w:p>
    <w:p w14:paraId="71B6C286">
      <w:pPr>
        <w:pStyle w:val="26"/>
        <w:numPr>
          <w:ilvl w:val="0"/>
          <w:numId w:val="30"/>
        </w:numPr>
        <w:tabs>
          <w:tab w:val="left" w:pos="1468"/>
        </w:tabs>
        <w:spacing w:before="2"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发出索赔意向通知后 </w:t>
      </w:r>
      <w:r>
        <w:rPr>
          <w:rFonts w:hint="eastAsia" w:ascii="宋体" w:hAnsi="宋体" w:eastAsia="宋体" w:cs="宋体"/>
          <w:sz w:val="24"/>
          <w:highlight w:val="none"/>
        </w:rPr>
        <w:t>21</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天内或监理人同意的另一期限内，承包人应送交</w:t>
      </w:r>
      <w:r>
        <w:rPr>
          <w:rFonts w:hint="eastAsia" w:ascii="宋体" w:hAnsi="宋体" w:eastAsia="宋体" w:cs="宋体"/>
          <w:sz w:val="24"/>
          <w:highlight w:val="none"/>
        </w:rPr>
        <w:t>监理人一份拟索赔款额的详细账目，并说明索赔所依据的理由；</w:t>
      </w:r>
    </w:p>
    <w:p w14:paraId="0283131C">
      <w:pPr>
        <w:pStyle w:val="26"/>
        <w:numPr>
          <w:ilvl w:val="0"/>
          <w:numId w:val="30"/>
        </w:numPr>
        <w:tabs>
          <w:tab w:val="left" w:pos="1468"/>
        </w:tabs>
        <w:spacing w:before="1" w:line="307" w:lineRule="auto"/>
        <w:ind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在索赔事件影响结束后的 </w:t>
      </w:r>
      <w:r>
        <w:rPr>
          <w:rFonts w:hint="eastAsia" w:ascii="宋体" w:hAnsi="宋体" w:eastAsia="宋体" w:cs="宋体"/>
          <w:sz w:val="24"/>
          <w:highlight w:val="none"/>
        </w:rPr>
        <w:t>28</w:t>
      </w:r>
      <w:r>
        <w:rPr>
          <w:rFonts w:hint="eastAsia" w:ascii="宋体" w:hAnsi="宋体" w:eastAsia="宋体" w:cs="宋体"/>
          <w:spacing w:val="6"/>
          <w:sz w:val="24"/>
          <w:highlight w:val="none"/>
        </w:rPr>
        <w:t xml:space="preserve"> </w:t>
      </w:r>
      <w:r>
        <w:rPr>
          <w:rFonts w:hint="eastAsia" w:ascii="宋体" w:hAnsi="宋体" w:eastAsia="宋体" w:cs="宋体"/>
          <w:sz w:val="24"/>
          <w:highlight w:val="none"/>
        </w:rPr>
        <w:t>天内，承包人应向监理人递交最终索赔通知</w:t>
      </w:r>
      <w:r>
        <w:rPr>
          <w:rFonts w:hint="eastAsia" w:ascii="宋体" w:hAnsi="宋体" w:eastAsia="宋体" w:cs="宋体"/>
          <w:spacing w:val="-10"/>
          <w:sz w:val="24"/>
          <w:highlight w:val="none"/>
        </w:rPr>
        <w:t>书，说明最终要求索赔的追加付款金额和延长的工期，并附必要的记录和证明材料；</w:t>
      </w:r>
    </w:p>
    <w:p w14:paraId="1691B4E9">
      <w:pPr>
        <w:pStyle w:val="26"/>
        <w:numPr>
          <w:ilvl w:val="0"/>
          <w:numId w:val="30"/>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监理人应对承包人按规定提供的索赔证据和详细账目进行审查核实，查</w:t>
      </w:r>
      <w:r>
        <w:rPr>
          <w:rFonts w:hint="eastAsia" w:ascii="宋体" w:hAnsi="宋体" w:eastAsia="宋体" w:cs="宋体"/>
          <w:spacing w:val="-5"/>
          <w:sz w:val="24"/>
          <w:highlight w:val="none"/>
        </w:rPr>
        <w:t xml:space="preserve">验承包人的记录和证明材料，必要时监理人可要求承包人提交全部原始记录副本； </w:t>
      </w:r>
      <w:r>
        <w:rPr>
          <w:rFonts w:hint="eastAsia" w:ascii="宋体" w:hAnsi="宋体" w:eastAsia="宋体" w:cs="宋体"/>
          <w:spacing w:val="-4"/>
          <w:sz w:val="24"/>
          <w:highlight w:val="none"/>
        </w:rPr>
        <w:t>在与承包人协商并报发包人批准后，确定承包人有权得到的全部的索赔款额，并按规定列入中期支付证书或最后支付证书内予以支付。监理人将此决定通知承包人， 并抄送发包人。</w:t>
      </w:r>
    </w:p>
    <w:p w14:paraId="20823533">
      <w:pPr>
        <w:pStyle w:val="26"/>
        <w:numPr>
          <w:ilvl w:val="4"/>
          <w:numId w:val="5"/>
        </w:numPr>
        <w:tabs>
          <w:tab w:val="left" w:pos="1524"/>
        </w:tabs>
        <w:spacing w:before="6"/>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承包人提出索赔的期限</w:t>
      </w:r>
    </w:p>
    <w:p w14:paraId="2030C214">
      <w:pPr>
        <w:pStyle w:val="26"/>
        <w:numPr>
          <w:ilvl w:val="0"/>
          <w:numId w:val="31"/>
        </w:numPr>
        <w:tabs>
          <w:tab w:val="left" w:pos="1465"/>
        </w:tabs>
        <w:spacing w:before="8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承包人按约定接受了竣工付款证书后，应被认为已无权再提出在合同工</w:t>
      </w:r>
      <w:r>
        <w:rPr>
          <w:rFonts w:hint="eastAsia" w:ascii="宋体" w:hAnsi="宋体" w:eastAsia="宋体" w:cs="宋体"/>
          <w:spacing w:val="-5"/>
          <w:sz w:val="24"/>
          <w:highlight w:val="none"/>
        </w:rPr>
        <w:t>程接收证书颁发前所发生的任何索赔；</w:t>
      </w:r>
    </w:p>
    <w:p w14:paraId="040270EE">
      <w:pPr>
        <w:pStyle w:val="26"/>
        <w:numPr>
          <w:ilvl w:val="0"/>
          <w:numId w:val="31"/>
        </w:numPr>
        <w:tabs>
          <w:tab w:val="left" w:pos="1465"/>
        </w:tabs>
        <w:spacing w:before="3"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承包人按约定提交的最终结清申请单中，只限于提出工程接收证书颁发</w:t>
      </w:r>
      <w:r>
        <w:rPr>
          <w:rFonts w:hint="eastAsia" w:ascii="宋体" w:hAnsi="宋体" w:eastAsia="宋体" w:cs="宋体"/>
          <w:spacing w:val="-5"/>
          <w:sz w:val="24"/>
          <w:highlight w:val="none"/>
        </w:rPr>
        <w:t>后发生的索赔。提出索赔的期限自接受最终结清证书时终止。</w:t>
      </w:r>
    </w:p>
    <w:p w14:paraId="0BEEA81A">
      <w:pPr>
        <w:pStyle w:val="26"/>
        <w:numPr>
          <w:ilvl w:val="4"/>
          <w:numId w:val="5"/>
        </w:numPr>
        <w:tabs>
          <w:tab w:val="left" w:pos="1523"/>
          <w:tab w:val="left" w:pos="1524"/>
        </w:tabs>
        <w:spacing w:before="2"/>
        <w:ind w:left="1524" w:hanging="660"/>
        <w:rPr>
          <w:rFonts w:hint="eastAsia" w:ascii="宋体" w:hAnsi="宋体" w:eastAsia="宋体" w:cs="宋体"/>
          <w:sz w:val="24"/>
          <w:highlight w:val="none"/>
        </w:rPr>
      </w:pPr>
      <w:r>
        <w:rPr>
          <w:rFonts w:hint="eastAsia" w:ascii="宋体" w:hAnsi="宋体" w:eastAsia="宋体" w:cs="宋体"/>
          <w:sz w:val="24"/>
          <w:highlight w:val="none"/>
        </w:rPr>
        <w:t>发包人的索赔</w:t>
      </w:r>
    </w:p>
    <w:p w14:paraId="478E4452">
      <w:pPr>
        <w:pStyle w:val="26"/>
        <w:numPr>
          <w:ilvl w:val="0"/>
          <w:numId w:val="32"/>
        </w:numPr>
        <w:tabs>
          <w:tab w:val="left" w:pos="1465"/>
        </w:tabs>
        <w:spacing w:before="86"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发生索赔事件后，监理人应及时书面通知承包人，详细说明发包人有权</w:t>
      </w:r>
      <w:r>
        <w:rPr>
          <w:rFonts w:hint="eastAsia" w:ascii="宋体" w:hAnsi="宋体" w:eastAsia="宋体" w:cs="宋体"/>
          <w:spacing w:val="-3"/>
          <w:sz w:val="24"/>
          <w:highlight w:val="none"/>
        </w:rPr>
        <w:t>得到的索赔金额和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延长缺陷责任期的细节和依据。发包人提出索赔的期限和要求与承包人提出索赔期限和要求约定相同，延长缺陷责任期的通知应在缺陷责任期</w:t>
      </w:r>
      <w:r>
        <w:rPr>
          <w:rFonts w:hint="eastAsia" w:ascii="宋体" w:hAnsi="宋体" w:eastAsia="宋体" w:cs="宋体"/>
          <w:spacing w:val="-4"/>
          <w:sz w:val="24"/>
          <w:highlight w:val="none"/>
        </w:rPr>
        <w:t>届满前发出；</w:t>
      </w:r>
    </w:p>
    <w:p w14:paraId="4A7F4BB8">
      <w:pPr>
        <w:pStyle w:val="26"/>
        <w:numPr>
          <w:ilvl w:val="0"/>
          <w:numId w:val="32"/>
        </w:numPr>
        <w:tabs>
          <w:tab w:val="left" w:pos="1465"/>
        </w:tabs>
        <w:spacing w:before="5" w:line="307" w:lineRule="auto"/>
        <w:ind w:right="466" w:firstLine="480"/>
        <w:jc w:val="both"/>
        <w:rPr>
          <w:rFonts w:hint="eastAsia" w:ascii="宋体" w:hAnsi="宋体" w:eastAsia="宋体" w:cs="宋体"/>
          <w:sz w:val="20"/>
          <w:highlight w:val="none"/>
        </w:rPr>
      </w:pPr>
      <w:r>
        <w:rPr>
          <w:rFonts w:hint="eastAsia" w:ascii="宋体" w:hAnsi="宋体" w:eastAsia="宋体" w:cs="宋体"/>
          <w:spacing w:val="-1"/>
          <w:sz w:val="24"/>
          <w:highlight w:val="none"/>
        </w:rPr>
        <w:t>监理人按商定或确定发包人从承包人处得到赔付的金额和</w:t>
      </w:r>
      <w:r>
        <w:rPr>
          <w:rFonts w:hint="eastAsia" w:ascii="宋体" w:hAnsi="宋体" w:eastAsia="宋体" w:cs="宋体"/>
          <w:sz w:val="24"/>
          <w:highlight w:val="none"/>
        </w:rPr>
        <w:t>(或)</w:t>
      </w:r>
      <w:r>
        <w:rPr>
          <w:rFonts w:hint="eastAsia" w:ascii="宋体" w:hAnsi="宋体" w:eastAsia="宋体" w:cs="宋体"/>
          <w:spacing w:val="-4"/>
          <w:sz w:val="24"/>
          <w:highlight w:val="none"/>
        </w:rPr>
        <w:t>缺陷责任期</w:t>
      </w:r>
      <w:r>
        <w:rPr>
          <w:rFonts w:hint="eastAsia" w:ascii="宋体" w:hAnsi="宋体" w:eastAsia="宋体" w:cs="宋体"/>
          <w:spacing w:val="-1"/>
          <w:sz w:val="24"/>
          <w:highlight w:val="none"/>
        </w:rPr>
        <w:t>的延长期。承包人应付给发包人的金额可从拟支付给承包人的合同价款中扣除，或</w:t>
      </w:r>
      <w:r>
        <w:rPr>
          <w:rFonts w:hint="eastAsia" w:ascii="宋体" w:hAnsi="宋体" w:eastAsia="宋体" w:cs="宋体"/>
          <w:sz w:val="24"/>
          <w:highlight w:val="none"/>
        </w:rPr>
        <w:t>由承包人以其他方式支付给发包人。</w:t>
      </w:r>
    </w:p>
    <w:p w14:paraId="39A363EE">
      <w:pPr>
        <w:pStyle w:val="26"/>
        <w:numPr>
          <w:ilvl w:val="4"/>
          <w:numId w:val="5"/>
        </w:numPr>
        <w:tabs>
          <w:tab w:val="left" w:pos="1529"/>
        </w:tabs>
        <w:spacing w:before="1"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无论在施工过程中或在工程竣工之后，无论在本合同的失效或终止之前</w:t>
      </w:r>
      <w:r>
        <w:rPr>
          <w:rFonts w:hint="eastAsia" w:ascii="宋体" w:hAnsi="宋体" w:eastAsia="宋体" w:cs="宋体"/>
          <w:spacing w:val="-1"/>
          <w:sz w:val="24"/>
          <w:highlight w:val="none"/>
        </w:rPr>
        <w:t>或之后，如果发包人和承包人之间就本合同文件的条款、规定、规范、图纸、质量与进度要求，支付与扣除，延期与索赔发生任何法律上、经济上或技术上的纠纷，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w:t>
      </w:r>
      <w:r>
        <w:rPr>
          <w:rFonts w:hint="eastAsia" w:ascii="宋体" w:hAnsi="宋体" w:eastAsia="宋体" w:cs="宋体"/>
          <w:spacing w:val="-9"/>
          <w:sz w:val="24"/>
          <w:highlight w:val="none"/>
        </w:rPr>
        <w:t xml:space="preserve">此提交文件后 </w:t>
      </w:r>
      <w:r>
        <w:rPr>
          <w:rFonts w:hint="eastAsia" w:ascii="宋体" w:hAnsi="宋体" w:eastAsia="宋体" w:cs="宋体"/>
          <w:sz w:val="24"/>
          <w:highlight w:val="none"/>
        </w:rPr>
        <w:t>42 天之内应将自己的裁定通知发包人和承包人。</w:t>
      </w:r>
    </w:p>
    <w:p w14:paraId="0150337F">
      <w:pPr>
        <w:pStyle w:val="26"/>
        <w:numPr>
          <w:ilvl w:val="4"/>
          <w:numId w:val="5"/>
        </w:numPr>
        <w:tabs>
          <w:tab w:val="left" w:pos="1529"/>
        </w:tabs>
        <w:spacing w:line="307" w:lineRule="auto"/>
        <w:ind w:left="384" w:right="382" w:firstLine="480"/>
        <w:jc w:val="both"/>
        <w:rPr>
          <w:rFonts w:hint="eastAsia" w:ascii="宋体" w:hAnsi="宋体" w:eastAsia="宋体" w:cs="宋体"/>
          <w:sz w:val="24"/>
          <w:highlight w:val="none"/>
        </w:rPr>
      </w:pPr>
      <w:r>
        <w:rPr>
          <w:rFonts w:hint="eastAsia" w:ascii="宋体" w:hAnsi="宋体" w:eastAsia="宋体" w:cs="宋体"/>
          <w:sz w:val="24"/>
          <w:highlight w:val="none"/>
        </w:rPr>
        <w:t>如果发包人或承包人有一方对监理人的裁定有异议，或如果监理人在收</w:t>
      </w:r>
      <w:r>
        <w:rPr>
          <w:rFonts w:hint="eastAsia" w:ascii="宋体" w:hAnsi="宋体" w:eastAsia="宋体" w:cs="宋体"/>
          <w:spacing w:val="-9"/>
          <w:sz w:val="24"/>
          <w:highlight w:val="none"/>
        </w:rPr>
        <w:t xml:space="preserve">到提交文件后 </w:t>
      </w:r>
      <w:r>
        <w:rPr>
          <w:rFonts w:hint="eastAsia" w:ascii="宋体" w:hAnsi="宋体" w:eastAsia="宋体" w:cs="宋体"/>
          <w:sz w:val="24"/>
          <w:highlight w:val="none"/>
        </w:rPr>
        <w:t xml:space="preserve">42 </w:t>
      </w:r>
      <w:r>
        <w:rPr>
          <w:rFonts w:hint="eastAsia" w:ascii="宋体" w:hAnsi="宋体" w:eastAsia="宋体" w:cs="宋体"/>
          <w:spacing w:val="-1"/>
          <w:sz w:val="24"/>
          <w:highlight w:val="none"/>
        </w:rPr>
        <w:t>天内，没有发出自己裁定通知，则双方可采取下列程序解决争议：</w:t>
      </w:r>
    </w:p>
    <w:p w14:paraId="018DB3DD">
      <w:pPr>
        <w:pStyle w:val="26"/>
        <w:numPr>
          <w:ilvl w:val="0"/>
          <w:numId w:val="0"/>
        </w:numPr>
        <w:tabs>
          <w:tab w:val="left" w:pos="1465"/>
        </w:tabs>
        <w:spacing w:line="304" w:lineRule="auto"/>
        <w:ind w:left="864" w:leftChars="0" w:right="466" w:righ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双方就纠纷事项进行友好协商解决或通过双方上级主管部门进行调解或</w:t>
      </w:r>
      <w:r>
        <w:rPr>
          <w:rFonts w:hint="eastAsia" w:ascii="宋体" w:hAnsi="宋体" w:eastAsia="宋体" w:cs="宋体"/>
          <w:spacing w:val="-5"/>
          <w:sz w:val="24"/>
          <w:highlight w:val="none"/>
        </w:rPr>
        <w:t>争议评审解决；</w:t>
      </w:r>
    </w:p>
    <w:p w14:paraId="6C0C6F06">
      <w:pPr>
        <w:pStyle w:val="26"/>
        <w:numPr>
          <w:ilvl w:val="0"/>
          <w:numId w:val="0"/>
        </w:numPr>
        <w:tabs>
          <w:tab w:val="left" w:pos="1465"/>
        </w:tabs>
        <w:spacing w:before="6" w:line="319" w:lineRule="auto"/>
        <w:ind w:left="864" w:leftChars="0" w:right="382" w:rightChars="0"/>
        <w:rPr>
          <w:rFonts w:hint="eastAsia" w:ascii="宋体" w:hAnsi="宋体" w:eastAsia="宋体" w:cs="宋体"/>
          <w:sz w:val="24"/>
          <w:highlight w:val="none"/>
        </w:rPr>
      </w:pPr>
      <w:r>
        <w:rPr>
          <w:rFonts w:hint="eastAsia" w:cs="宋体"/>
          <w:spacing w:val="-1"/>
          <w:sz w:val="24"/>
          <w:highlight w:val="none"/>
          <w:lang w:eastAsia="zh-CN"/>
        </w:rPr>
        <w:t>（</w:t>
      </w:r>
      <w:r>
        <w:rPr>
          <w:rFonts w:hint="eastAsia" w:cs="宋体"/>
          <w:spacing w:val="-1"/>
          <w:sz w:val="24"/>
          <w:highlight w:val="none"/>
          <w:lang w:val="en-US" w:eastAsia="zh-CN"/>
        </w:rPr>
        <w:t>2</w:t>
      </w:r>
      <w:r>
        <w:rPr>
          <w:rFonts w:hint="eastAsia" w:cs="宋体"/>
          <w:spacing w:val="-1"/>
          <w:sz w:val="24"/>
          <w:highlight w:val="none"/>
          <w:lang w:eastAsia="zh-CN"/>
        </w:rPr>
        <w:t>）</w:t>
      </w:r>
      <w:r>
        <w:rPr>
          <w:rFonts w:hint="eastAsia" w:ascii="宋体" w:hAnsi="宋体" w:eastAsia="宋体" w:cs="宋体"/>
          <w:spacing w:val="-1"/>
          <w:sz w:val="24"/>
          <w:highlight w:val="none"/>
        </w:rPr>
        <w:t xml:space="preserve">发包人和承包人接受评审意见的，由监理人根据评审意见拟定执行协议， </w:t>
      </w:r>
      <w:r>
        <w:rPr>
          <w:rFonts w:hint="eastAsia" w:ascii="宋体" w:hAnsi="宋体" w:eastAsia="宋体" w:cs="宋体"/>
          <w:sz w:val="24"/>
          <w:highlight w:val="none"/>
        </w:rPr>
        <w:t>经争议双方签字后作为合同的补充文件，并遵照执行；</w:t>
      </w:r>
    </w:p>
    <w:p w14:paraId="7A965694">
      <w:pPr>
        <w:pStyle w:val="26"/>
        <w:numPr>
          <w:ilvl w:val="0"/>
          <w:numId w:val="0"/>
        </w:numPr>
        <w:tabs>
          <w:tab w:val="left" w:pos="1465"/>
        </w:tabs>
        <w:spacing w:line="319" w:lineRule="auto"/>
        <w:ind w:left="864" w:leftChars="0"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发包人或承包人不接受评审意见，并要求提交仲裁或提起诉讼的，应在</w:t>
      </w:r>
      <w:r>
        <w:rPr>
          <w:rFonts w:hint="eastAsia" w:ascii="宋体" w:hAnsi="宋体" w:eastAsia="宋体" w:cs="宋体"/>
          <w:spacing w:val="-12"/>
          <w:sz w:val="24"/>
          <w:highlight w:val="none"/>
        </w:rPr>
        <w:t xml:space="preserve">收到评审意见后的 </w:t>
      </w:r>
      <w:r>
        <w:rPr>
          <w:rFonts w:hint="eastAsia" w:ascii="宋体" w:hAnsi="宋体" w:eastAsia="宋体" w:cs="宋体"/>
          <w:sz w:val="24"/>
          <w:highlight w:val="none"/>
        </w:rPr>
        <w:t xml:space="preserve">14 </w:t>
      </w:r>
      <w:r>
        <w:rPr>
          <w:rFonts w:hint="eastAsia" w:ascii="宋体" w:hAnsi="宋体" w:eastAsia="宋体" w:cs="宋体"/>
          <w:spacing w:val="-5"/>
          <w:sz w:val="24"/>
          <w:highlight w:val="none"/>
        </w:rPr>
        <w:t>天内将仲裁或起诉意向书面通知另一方，并抄送监理人，但在仲裁或诉讼结束前应暂按监理人的确定执行。</w:t>
      </w:r>
    </w:p>
    <w:p w14:paraId="696978C4">
      <w:pPr>
        <w:pStyle w:val="26"/>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除非本合同已被终止，承包人无论在什么情况下都应尽一切努力继续完</w:t>
      </w:r>
      <w:r>
        <w:rPr>
          <w:rFonts w:hint="eastAsia" w:ascii="宋体" w:hAnsi="宋体" w:eastAsia="宋体" w:cs="宋体"/>
          <w:spacing w:val="-1"/>
          <w:sz w:val="24"/>
          <w:highlight w:val="none"/>
        </w:rPr>
        <w:t>成本工程，承包人和发包人应使监理人的裁定付诸实施，除非监理人对裁定作出新</w:t>
      </w:r>
      <w:r>
        <w:rPr>
          <w:rFonts w:hint="eastAsia" w:ascii="宋体" w:hAnsi="宋体" w:eastAsia="宋体" w:cs="宋体"/>
          <w:sz w:val="24"/>
          <w:highlight w:val="none"/>
        </w:rPr>
        <w:t>的更改。</w:t>
      </w:r>
    </w:p>
    <w:p w14:paraId="44B251CD">
      <w:pPr>
        <w:pStyle w:val="10"/>
        <w:spacing w:before="182"/>
        <w:ind w:left="372" w:right="7530"/>
        <w:jc w:val="center"/>
        <w:rPr>
          <w:rFonts w:hint="eastAsia" w:ascii="宋体" w:hAnsi="宋体" w:eastAsia="宋体" w:cs="宋体"/>
          <w:highlight w:val="none"/>
        </w:rPr>
      </w:pPr>
      <w:r>
        <w:rPr>
          <w:rFonts w:hint="eastAsia" w:ascii="宋体" w:hAnsi="宋体" w:eastAsia="宋体" w:cs="宋体"/>
          <w:highlight w:val="none"/>
        </w:rPr>
        <w:t>十一、其他</w:t>
      </w:r>
    </w:p>
    <w:p w14:paraId="44369A50">
      <w:pPr>
        <w:pStyle w:val="10"/>
        <w:spacing w:before="1"/>
        <w:rPr>
          <w:rFonts w:hint="eastAsia" w:ascii="宋体" w:hAnsi="宋体" w:eastAsia="宋体" w:cs="宋体"/>
          <w:sz w:val="22"/>
          <w:highlight w:val="none"/>
        </w:rPr>
      </w:pPr>
    </w:p>
    <w:p w14:paraId="4EA3F0D0">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转让与分包</w:t>
      </w:r>
    </w:p>
    <w:p w14:paraId="522F60FF">
      <w:pPr>
        <w:pStyle w:val="10"/>
        <w:spacing w:before="4"/>
        <w:rPr>
          <w:rFonts w:hint="eastAsia" w:ascii="宋体" w:hAnsi="宋体" w:eastAsia="宋体" w:cs="宋体"/>
          <w:sz w:val="22"/>
          <w:highlight w:val="none"/>
        </w:rPr>
      </w:pPr>
    </w:p>
    <w:p w14:paraId="3DD99F0B">
      <w:pPr>
        <w:pStyle w:val="26"/>
        <w:numPr>
          <w:ilvl w:val="4"/>
          <w:numId w:val="5"/>
        </w:numPr>
        <w:tabs>
          <w:tab w:val="left" w:pos="1523"/>
          <w:tab w:val="left" w:pos="1524"/>
        </w:tabs>
        <w:spacing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除合同另有约定外，未经对方当事人同意，一方当事人不得将合同权利</w:t>
      </w:r>
      <w:r>
        <w:rPr>
          <w:rFonts w:hint="eastAsia" w:ascii="宋体" w:hAnsi="宋体" w:eastAsia="宋体" w:cs="宋体"/>
          <w:sz w:val="24"/>
          <w:highlight w:val="none"/>
        </w:rPr>
        <w:t>全部或部分转让给第三人，也不得全部或部分转移合同义务。</w:t>
      </w:r>
    </w:p>
    <w:p w14:paraId="386684CB">
      <w:pPr>
        <w:pStyle w:val="26"/>
        <w:numPr>
          <w:ilvl w:val="4"/>
          <w:numId w:val="5"/>
        </w:numPr>
        <w:tabs>
          <w:tab w:val="left" w:pos="1523"/>
          <w:tab w:val="left" w:pos="1524"/>
        </w:tabs>
        <w:spacing w:line="312"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承包人不得将其承包的全部工程转包给第三人，或将其承包的全部工程</w:t>
      </w:r>
      <w:r>
        <w:rPr>
          <w:rFonts w:hint="eastAsia" w:ascii="宋体" w:hAnsi="宋体" w:eastAsia="宋体" w:cs="宋体"/>
          <w:spacing w:val="-6"/>
          <w:sz w:val="24"/>
          <w:highlight w:val="none"/>
        </w:rPr>
        <w:t>肢解后以分包的名义转包给第三人。本工程严禁转包和违规分包，且不得再次分包。</w:t>
      </w:r>
    </w:p>
    <w:p w14:paraId="10267057">
      <w:pPr>
        <w:pStyle w:val="26"/>
        <w:numPr>
          <w:ilvl w:val="4"/>
          <w:numId w:val="5"/>
        </w:numPr>
        <w:tabs>
          <w:tab w:val="left" w:pos="1523"/>
          <w:tab w:val="left" w:pos="1524"/>
        </w:tabs>
        <w:spacing w:before="2"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承包人不得将工程主体、关键性工作分包给第三人。未经发包人同意， </w:t>
      </w:r>
      <w:r>
        <w:rPr>
          <w:rFonts w:hint="eastAsia" w:ascii="宋体" w:hAnsi="宋体" w:eastAsia="宋体" w:cs="宋体"/>
          <w:sz w:val="24"/>
          <w:highlight w:val="none"/>
        </w:rPr>
        <w:t>承包人不得将工程的其他部分或工作分包给第三人。</w:t>
      </w:r>
    </w:p>
    <w:p w14:paraId="76BF6273">
      <w:pPr>
        <w:pStyle w:val="26"/>
        <w:numPr>
          <w:ilvl w:val="4"/>
          <w:numId w:val="5"/>
        </w:numPr>
        <w:tabs>
          <w:tab w:val="left" w:pos="1523"/>
          <w:tab w:val="left" w:pos="1524"/>
        </w:tabs>
        <w:spacing w:line="307"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分包人的资格能力应与其分包工程的标准和规模相适应。</w:t>
      </w:r>
    </w:p>
    <w:p w14:paraId="6EE24794">
      <w:pPr>
        <w:pStyle w:val="26"/>
        <w:numPr>
          <w:ilvl w:val="4"/>
          <w:numId w:val="5"/>
        </w:numPr>
        <w:tabs>
          <w:tab w:val="left" w:pos="1523"/>
          <w:tab w:val="left" w:pos="1524"/>
        </w:tabs>
        <w:spacing w:before="93"/>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承包人应与分包人就分包工程向发包人承担连带责任。</w:t>
      </w:r>
    </w:p>
    <w:p w14:paraId="4F269A10">
      <w:pPr>
        <w:pStyle w:val="26"/>
        <w:numPr>
          <w:ilvl w:val="4"/>
          <w:numId w:val="5"/>
        </w:numPr>
        <w:tabs>
          <w:tab w:val="left" w:pos="1545"/>
          <w:tab w:val="left" w:pos="1546"/>
        </w:tabs>
        <w:spacing w:before="91" w:line="312" w:lineRule="auto"/>
        <w:ind w:left="384" w:right="465" w:firstLine="480"/>
        <w:rPr>
          <w:rFonts w:hint="eastAsia" w:ascii="宋体" w:hAnsi="宋体" w:eastAsia="宋体" w:cs="宋体"/>
          <w:sz w:val="24"/>
          <w:highlight w:val="none"/>
        </w:rPr>
      </w:pPr>
      <w:r>
        <w:rPr>
          <w:rFonts w:hint="eastAsia" w:ascii="宋体" w:hAnsi="宋体" w:eastAsia="宋体" w:cs="宋体"/>
          <w:spacing w:val="8"/>
          <w:sz w:val="24"/>
          <w:highlight w:val="none"/>
        </w:rPr>
        <w:t>发包人对承包人与分包人之间的法律与经济纠纷不承担任何责任和义务。</w:t>
      </w:r>
    </w:p>
    <w:p w14:paraId="63F246DF">
      <w:pPr>
        <w:pStyle w:val="26"/>
        <w:numPr>
          <w:ilvl w:val="4"/>
          <w:numId w:val="5"/>
        </w:numPr>
        <w:tabs>
          <w:tab w:val="left" w:pos="1523"/>
          <w:tab w:val="left" w:pos="1524"/>
        </w:tabs>
        <w:spacing w:before="2"/>
        <w:ind w:left="1524" w:hanging="660"/>
        <w:rPr>
          <w:rFonts w:hint="eastAsia" w:ascii="宋体" w:hAnsi="宋体" w:eastAsia="宋体" w:cs="宋体"/>
          <w:sz w:val="18"/>
          <w:highlight w:val="none"/>
        </w:rPr>
      </w:pPr>
      <w:r>
        <w:rPr>
          <w:rFonts w:hint="eastAsia" w:ascii="宋体" w:hAnsi="宋体" w:eastAsia="宋体" w:cs="宋体"/>
          <w:sz w:val="24"/>
          <w:highlight w:val="none"/>
        </w:rPr>
        <w:t>各项分包工作均应遵守《公路工程施工分包管理办法》的有关规定。</w:t>
      </w:r>
    </w:p>
    <w:p w14:paraId="2ED369B5">
      <w:pPr>
        <w:pStyle w:val="26"/>
        <w:numPr>
          <w:ilvl w:val="3"/>
          <w:numId w:val="5"/>
        </w:numPr>
        <w:tabs>
          <w:tab w:val="left" w:pos="1125"/>
        </w:tabs>
        <w:spacing w:before="75"/>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保险</w:t>
      </w:r>
    </w:p>
    <w:p w14:paraId="77AF96D8">
      <w:pPr>
        <w:pStyle w:val="10"/>
        <w:rPr>
          <w:rFonts w:hint="eastAsia" w:ascii="宋体" w:hAnsi="宋体" w:eastAsia="宋体" w:cs="宋体"/>
          <w:sz w:val="22"/>
          <w:highlight w:val="none"/>
        </w:rPr>
      </w:pPr>
    </w:p>
    <w:p w14:paraId="4331C94A">
      <w:pPr>
        <w:pStyle w:val="26"/>
        <w:numPr>
          <w:ilvl w:val="4"/>
          <w:numId w:val="5"/>
        </w:numPr>
        <w:tabs>
          <w:tab w:val="left" w:pos="1528"/>
          <w:tab w:val="left" w:pos="1529"/>
        </w:tabs>
        <w:spacing w:before="1"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承包人应为承包工程投保建筑工程一切险、安装工程一切险等工程保险</w:t>
      </w:r>
      <w:r>
        <w:rPr>
          <w:rFonts w:hint="eastAsia" w:ascii="宋体" w:hAnsi="宋体" w:eastAsia="宋体" w:cs="宋体"/>
          <w:spacing w:val="-10"/>
          <w:sz w:val="24"/>
          <w:highlight w:val="none"/>
        </w:rPr>
        <w:t>及第三者责任险，保险期限为开工日起直至本合同工程签发缺陷责任期终止证书止。</w:t>
      </w:r>
      <w:r>
        <w:rPr>
          <w:rFonts w:hint="eastAsia" w:ascii="宋体" w:hAnsi="宋体" w:eastAsia="宋体" w:cs="宋体"/>
          <w:sz w:val="24"/>
          <w:highlight w:val="none"/>
        </w:rPr>
        <w:t>相关费用均包含在工程量清单的单价及总额价中，发包人不单独支付。</w:t>
      </w:r>
    </w:p>
    <w:p w14:paraId="5BAE1DFD">
      <w:pPr>
        <w:pStyle w:val="26"/>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承包人应依照有关法律规定参加工伤保险，为其履行合同所雇用的全部</w:t>
      </w:r>
      <w:r>
        <w:rPr>
          <w:rFonts w:hint="eastAsia" w:ascii="宋体" w:hAnsi="宋体" w:eastAsia="宋体" w:cs="宋体"/>
          <w:spacing w:val="-1"/>
          <w:sz w:val="24"/>
          <w:highlight w:val="none"/>
        </w:rPr>
        <w:t>人员缴纳工伤保险费，并要求其分包人也进行此项保险。保险的一切费用应由承包</w:t>
      </w:r>
      <w:r>
        <w:rPr>
          <w:rFonts w:hint="eastAsia" w:ascii="宋体" w:hAnsi="宋体" w:eastAsia="宋体" w:cs="宋体"/>
          <w:sz w:val="24"/>
          <w:highlight w:val="none"/>
        </w:rPr>
        <w:t>人承担并支付。</w:t>
      </w:r>
    </w:p>
    <w:p w14:paraId="0BD6F27B">
      <w:pPr>
        <w:pStyle w:val="26"/>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承包人应在整个施工期间为其现场机构雇用的全部人员，投保人身意外</w:t>
      </w:r>
      <w:r>
        <w:rPr>
          <w:rFonts w:hint="eastAsia" w:ascii="宋体" w:hAnsi="宋体" w:eastAsia="宋体" w:cs="宋体"/>
          <w:spacing w:val="-1"/>
          <w:sz w:val="24"/>
          <w:highlight w:val="none"/>
        </w:rPr>
        <w:t>伤害险，缴纳保险费，并要求其分包人也进行此项保险。保险的一切费用应由承包</w:t>
      </w:r>
      <w:r>
        <w:rPr>
          <w:rFonts w:hint="eastAsia" w:ascii="宋体" w:hAnsi="宋体" w:eastAsia="宋体" w:cs="宋体"/>
          <w:sz w:val="24"/>
          <w:highlight w:val="none"/>
        </w:rPr>
        <w:t>人承担并支付。</w:t>
      </w:r>
    </w:p>
    <w:p w14:paraId="5891AC99">
      <w:pPr>
        <w:pStyle w:val="26"/>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承包人应为其施工设备等办理保险，其投保金额应足以现场重置。办理</w:t>
      </w:r>
      <w:r>
        <w:rPr>
          <w:rFonts w:hint="eastAsia" w:ascii="宋体" w:hAnsi="宋体" w:eastAsia="宋体" w:cs="宋体"/>
          <w:spacing w:val="-1"/>
          <w:sz w:val="24"/>
          <w:highlight w:val="none"/>
        </w:rPr>
        <w:t>本款保险的一切费用均由承包人承担，并包括在工程量清单的单价及总额价中，发</w:t>
      </w:r>
      <w:r>
        <w:rPr>
          <w:rFonts w:hint="eastAsia" w:ascii="宋体" w:hAnsi="宋体" w:eastAsia="宋体" w:cs="宋体"/>
          <w:sz w:val="24"/>
          <w:highlight w:val="none"/>
        </w:rPr>
        <w:t>包人不单独支付。</w:t>
      </w:r>
    </w:p>
    <w:p w14:paraId="3FFCD44C">
      <w:pPr>
        <w:pStyle w:val="26"/>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承包人应在办理有关保险后，尽快向发包人提供按合同要求所报各种保</w:t>
      </w:r>
      <w:r>
        <w:rPr>
          <w:rFonts w:hint="eastAsia" w:ascii="宋体" w:hAnsi="宋体" w:eastAsia="宋体" w:cs="宋体"/>
          <w:spacing w:val="-5"/>
          <w:sz w:val="24"/>
          <w:highlight w:val="none"/>
        </w:rPr>
        <w:t xml:space="preserve">险的生效证明，并在开工后 </w:t>
      </w:r>
      <w:r>
        <w:rPr>
          <w:rFonts w:hint="eastAsia" w:ascii="宋体" w:hAnsi="宋体" w:eastAsia="宋体" w:cs="宋体"/>
          <w:sz w:val="24"/>
          <w:highlight w:val="none"/>
        </w:rPr>
        <w:t>56 天内提交保险单，同时向监理人提交副本。</w:t>
      </w:r>
    </w:p>
    <w:p w14:paraId="3795DC5D">
      <w:pPr>
        <w:pStyle w:val="26"/>
        <w:numPr>
          <w:ilvl w:val="4"/>
          <w:numId w:val="5"/>
        </w:numPr>
        <w:tabs>
          <w:tab w:val="left" w:pos="1524"/>
        </w:tabs>
        <w:spacing w:before="3"/>
        <w:ind w:left="1524" w:hanging="660"/>
        <w:jc w:val="both"/>
        <w:rPr>
          <w:rFonts w:hint="eastAsia" w:ascii="宋体" w:hAnsi="宋体" w:eastAsia="宋体" w:cs="宋体"/>
          <w:sz w:val="24"/>
          <w:highlight w:val="none"/>
        </w:rPr>
      </w:pPr>
      <w:r>
        <w:rPr>
          <w:rFonts w:hint="eastAsia" w:ascii="宋体" w:hAnsi="宋体" w:eastAsia="宋体" w:cs="宋体"/>
          <w:spacing w:val="-3"/>
          <w:sz w:val="24"/>
          <w:highlight w:val="none"/>
        </w:rPr>
        <w:t>保险事故发生时，承包人有责任尽力采取必要措施，防止或者减少损失。</w:t>
      </w:r>
    </w:p>
    <w:p w14:paraId="458D6B86">
      <w:pPr>
        <w:pStyle w:val="10"/>
        <w:spacing w:before="1"/>
        <w:rPr>
          <w:rFonts w:hint="eastAsia" w:ascii="宋体" w:hAnsi="宋体" w:eastAsia="宋体" w:cs="宋体"/>
          <w:sz w:val="22"/>
          <w:highlight w:val="none"/>
        </w:rPr>
      </w:pPr>
    </w:p>
    <w:p w14:paraId="1D50AB68">
      <w:pPr>
        <w:pStyle w:val="26"/>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不利物质条件</w:t>
      </w:r>
    </w:p>
    <w:p w14:paraId="27664CF4">
      <w:pPr>
        <w:pStyle w:val="10"/>
        <w:spacing w:before="11"/>
        <w:rPr>
          <w:rFonts w:hint="eastAsia" w:ascii="宋体" w:hAnsi="宋体" w:eastAsia="宋体" w:cs="宋体"/>
          <w:sz w:val="21"/>
          <w:highlight w:val="none"/>
        </w:rPr>
      </w:pPr>
    </w:p>
    <w:p w14:paraId="04EDD657">
      <w:pPr>
        <w:pStyle w:val="26"/>
        <w:numPr>
          <w:ilvl w:val="4"/>
          <w:numId w:val="5"/>
        </w:numPr>
        <w:tabs>
          <w:tab w:val="left" w:pos="1523"/>
          <w:tab w:val="left" w:pos="1524"/>
        </w:tabs>
        <w:spacing w:line="319" w:lineRule="auto"/>
        <w:ind w:left="384"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不利物质条件，是指承包人在施工场地遇到的不可预见的自然物质条件、</w:t>
      </w:r>
      <w:r>
        <w:rPr>
          <w:rFonts w:hint="eastAsia" w:ascii="宋体" w:hAnsi="宋体" w:eastAsia="宋体" w:cs="宋体"/>
          <w:sz w:val="24"/>
          <w:highlight w:val="none"/>
        </w:rPr>
        <w:t>非自然的物质障碍和污染物，包括地下和水文条件，但不包括气候条件。</w:t>
      </w:r>
    </w:p>
    <w:p w14:paraId="74112A67">
      <w:pPr>
        <w:pStyle w:val="26"/>
        <w:numPr>
          <w:ilvl w:val="4"/>
          <w:numId w:val="5"/>
        </w:numPr>
        <w:tabs>
          <w:tab w:val="left" w:pos="1528"/>
          <w:tab w:val="left" w:pos="1529"/>
        </w:tabs>
        <w:spacing w:before="3"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承包人遇到不利物质条件时，应采取适应不利物质条件的合理措施继续施工，并及时通知监理人。监理人应当及时发出指示，指示构成变更的，按约定办</w:t>
      </w:r>
      <w:r>
        <w:rPr>
          <w:rFonts w:hint="eastAsia" w:ascii="宋体" w:hAnsi="宋体" w:eastAsia="宋体" w:cs="宋体"/>
          <w:spacing w:val="-3"/>
          <w:sz w:val="24"/>
          <w:highlight w:val="none"/>
        </w:rPr>
        <w:t>理。监理人没有发出指示的，承包人因采取合理措施而增加的费用和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由发包人承担。</w:t>
      </w:r>
    </w:p>
    <w:p w14:paraId="4AFAF655">
      <w:pPr>
        <w:pStyle w:val="26"/>
        <w:numPr>
          <w:ilvl w:val="3"/>
          <w:numId w:val="5"/>
        </w:numPr>
        <w:tabs>
          <w:tab w:val="left" w:pos="1125"/>
        </w:tabs>
        <w:spacing w:before="162"/>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不可抗力后果及其处理</w:t>
      </w:r>
    </w:p>
    <w:p w14:paraId="5C931CE8">
      <w:pPr>
        <w:pStyle w:val="10"/>
        <w:spacing w:before="5"/>
        <w:rPr>
          <w:rFonts w:hint="eastAsia" w:ascii="宋体" w:hAnsi="宋体" w:eastAsia="宋体" w:cs="宋体"/>
          <w:sz w:val="20"/>
          <w:highlight w:val="none"/>
        </w:rPr>
      </w:pPr>
    </w:p>
    <w:p w14:paraId="1F2A47BF">
      <w:pPr>
        <w:pStyle w:val="26"/>
        <w:numPr>
          <w:ilvl w:val="4"/>
          <w:numId w:val="5"/>
        </w:numPr>
        <w:tabs>
          <w:tab w:val="left" w:pos="1528"/>
          <w:tab w:val="left" w:pos="1529"/>
        </w:tabs>
        <w:spacing w:line="307"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不可抗力是指承包人和发包人在订立合同时不可预见，在工程施工过程中不可避免发生并不能克服的自然灾害和社会性突发事件。包括但不限于：</w:t>
      </w:r>
    </w:p>
    <w:p w14:paraId="5DC436A3">
      <w:pPr>
        <w:pStyle w:val="26"/>
        <w:numPr>
          <w:ilvl w:val="0"/>
          <w:numId w:val="33"/>
        </w:numPr>
        <w:tabs>
          <w:tab w:val="left" w:pos="1465"/>
        </w:tabs>
        <w:spacing w:line="304"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地震、海啸、火山爆发、泥石流、暴雨(雪)</w:t>
      </w:r>
      <w:r>
        <w:rPr>
          <w:rFonts w:hint="eastAsia" w:ascii="宋体" w:hAnsi="宋体" w:eastAsia="宋体" w:cs="宋体"/>
          <w:spacing w:val="-4"/>
          <w:sz w:val="24"/>
          <w:highlight w:val="none"/>
        </w:rPr>
        <w:t>、台风、龙卷风、水灾等自然</w:t>
      </w:r>
      <w:r>
        <w:rPr>
          <w:rFonts w:hint="eastAsia" w:ascii="宋体" w:hAnsi="宋体" w:eastAsia="宋体" w:cs="宋体"/>
          <w:sz w:val="24"/>
          <w:highlight w:val="none"/>
        </w:rPr>
        <w:t>灾害；</w:t>
      </w:r>
    </w:p>
    <w:p w14:paraId="23028542">
      <w:pPr>
        <w:pStyle w:val="26"/>
        <w:numPr>
          <w:ilvl w:val="0"/>
          <w:numId w:val="33"/>
        </w:numPr>
        <w:tabs>
          <w:tab w:val="left" w:pos="1465"/>
        </w:tabs>
        <w:spacing w:before="1" w:line="304" w:lineRule="auto"/>
        <w:ind w:right="462" w:firstLine="480"/>
        <w:rPr>
          <w:rFonts w:hint="eastAsia" w:ascii="宋体" w:hAnsi="宋体" w:eastAsia="宋体" w:cs="宋体"/>
          <w:sz w:val="24"/>
          <w:highlight w:val="none"/>
        </w:rPr>
      </w:pPr>
      <w:r>
        <w:rPr>
          <w:rFonts w:hint="eastAsia" w:ascii="宋体" w:hAnsi="宋体" w:eastAsia="宋体" w:cs="宋体"/>
          <w:spacing w:val="-9"/>
          <w:sz w:val="24"/>
          <w:highlight w:val="none"/>
        </w:rPr>
        <w:t xml:space="preserve">战争、骚乱、暴动，但纯属承包人或其分包人派遣与雇用的人员由于本 </w:t>
      </w:r>
      <w:r>
        <w:rPr>
          <w:rFonts w:hint="eastAsia" w:ascii="宋体" w:hAnsi="宋体" w:eastAsia="宋体" w:cs="宋体"/>
          <w:spacing w:val="-4"/>
          <w:sz w:val="24"/>
          <w:highlight w:val="none"/>
        </w:rPr>
        <w:t>合同工程施工原因引起者除外；</w:t>
      </w:r>
    </w:p>
    <w:p w14:paraId="3D1C8B7C">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核反应、辐射或放射性污染；</w:t>
      </w:r>
    </w:p>
    <w:p w14:paraId="0A05FFF3">
      <w:pPr>
        <w:pStyle w:val="26"/>
        <w:numPr>
          <w:ilvl w:val="0"/>
          <w:numId w:val="33"/>
        </w:numPr>
        <w:tabs>
          <w:tab w:val="left" w:pos="1465"/>
        </w:tabs>
        <w:spacing w:before="74"/>
        <w:ind w:left="1465"/>
        <w:rPr>
          <w:rFonts w:hint="eastAsia" w:ascii="宋体" w:hAnsi="宋体" w:eastAsia="宋体" w:cs="宋体"/>
          <w:sz w:val="24"/>
          <w:highlight w:val="none"/>
        </w:rPr>
      </w:pPr>
      <w:r>
        <w:rPr>
          <w:rFonts w:hint="eastAsia" w:ascii="宋体" w:hAnsi="宋体" w:eastAsia="宋体" w:cs="宋体"/>
          <w:sz w:val="24"/>
          <w:highlight w:val="none"/>
        </w:rPr>
        <w:t>空中飞行物体坠落或非发包人或承包人责任造成的爆炸、火灾；</w:t>
      </w:r>
    </w:p>
    <w:p w14:paraId="12CC2E88">
      <w:pPr>
        <w:pStyle w:val="26"/>
        <w:numPr>
          <w:ilvl w:val="0"/>
          <w:numId w:val="33"/>
        </w:numPr>
        <w:tabs>
          <w:tab w:val="left" w:pos="1465"/>
        </w:tabs>
        <w:spacing w:before="84"/>
        <w:ind w:left="1465"/>
        <w:rPr>
          <w:rFonts w:hint="eastAsia" w:ascii="宋体" w:hAnsi="宋体" w:eastAsia="宋体" w:cs="宋体"/>
          <w:sz w:val="24"/>
          <w:highlight w:val="none"/>
        </w:rPr>
      </w:pPr>
      <w:r>
        <w:rPr>
          <w:rFonts w:hint="eastAsia" w:ascii="宋体" w:hAnsi="宋体" w:eastAsia="宋体" w:cs="宋体"/>
          <w:sz w:val="24"/>
          <w:highlight w:val="none"/>
        </w:rPr>
        <w:t>瘟疫；</w:t>
      </w:r>
    </w:p>
    <w:p w14:paraId="247CF6F9">
      <w:pPr>
        <w:pStyle w:val="26"/>
        <w:numPr>
          <w:ilvl w:val="0"/>
          <w:numId w:val="33"/>
        </w:numPr>
        <w:tabs>
          <w:tab w:val="left" w:pos="1465"/>
        </w:tabs>
        <w:spacing w:before="86"/>
        <w:ind w:left="1465"/>
        <w:rPr>
          <w:rFonts w:hint="eastAsia" w:ascii="宋体" w:hAnsi="宋体" w:eastAsia="宋体" w:cs="宋体"/>
          <w:sz w:val="24"/>
          <w:highlight w:val="none"/>
        </w:rPr>
      </w:pPr>
      <w:r>
        <w:rPr>
          <w:rFonts w:hint="eastAsia" w:ascii="宋体" w:hAnsi="宋体" w:eastAsia="宋体" w:cs="宋体"/>
          <w:sz w:val="24"/>
          <w:highlight w:val="none"/>
        </w:rPr>
        <w:t>合同条款约定的其他情形。</w:t>
      </w:r>
    </w:p>
    <w:p w14:paraId="11425FB9">
      <w:pPr>
        <w:pStyle w:val="26"/>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不可抗力造成损害的责任</w:t>
      </w:r>
    </w:p>
    <w:p w14:paraId="3BCE3010">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不可抗力导致的人员伤亡、财产损失、费用增加和(或)工期延误等后果，由合同双方按以下原则承担：</w:t>
      </w:r>
    </w:p>
    <w:p w14:paraId="42EA134E">
      <w:pPr>
        <w:pStyle w:val="26"/>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永久工程，包括已运至施工场地的材料和工程设备的损害，以及因工程</w:t>
      </w:r>
      <w:r>
        <w:rPr>
          <w:rFonts w:hint="eastAsia" w:ascii="宋体" w:hAnsi="宋体" w:eastAsia="宋体" w:cs="宋体"/>
          <w:spacing w:val="-5"/>
          <w:sz w:val="24"/>
          <w:highlight w:val="none"/>
        </w:rPr>
        <w:t>损害造成的第三者人员伤亡和财产损失由发包人承担；</w:t>
      </w:r>
    </w:p>
    <w:p w14:paraId="30F84353">
      <w:pPr>
        <w:pStyle w:val="26"/>
        <w:numPr>
          <w:ilvl w:val="0"/>
          <w:numId w:val="3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承包人设备的损坏由承包人承担；</w:t>
      </w:r>
    </w:p>
    <w:p w14:paraId="158D7A97">
      <w:pPr>
        <w:pStyle w:val="26"/>
        <w:numPr>
          <w:ilvl w:val="0"/>
          <w:numId w:val="34"/>
        </w:numPr>
        <w:tabs>
          <w:tab w:val="left" w:pos="1465"/>
        </w:tabs>
        <w:spacing w:before="83"/>
        <w:ind w:left="1465"/>
        <w:rPr>
          <w:rFonts w:hint="eastAsia" w:ascii="宋体" w:hAnsi="宋体" w:eastAsia="宋体" w:cs="宋体"/>
          <w:sz w:val="24"/>
          <w:highlight w:val="none"/>
        </w:rPr>
      </w:pPr>
      <w:r>
        <w:rPr>
          <w:rFonts w:hint="eastAsia" w:ascii="宋体" w:hAnsi="宋体" w:eastAsia="宋体" w:cs="宋体"/>
          <w:sz w:val="24"/>
          <w:highlight w:val="none"/>
        </w:rPr>
        <w:t>发包人和承包人各自承担其人员伤亡和其他财产损失及其相关费用；</w:t>
      </w:r>
    </w:p>
    <w:p w14:paraId="172A3CDB">
      <w:pPr>
        <w:pStyle w:val="26"/>
        <w:numPr>
          <w:ilvl w:val="0"/>
          <w:numId w:val="3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承包人的停工损失由承包人承担，但停工期间应监理人要求照管工程和</w:t>
      </w:r>
      <w:r>
        <w:rPr>
          <w:rFonts w:hint="eastAsia" w:ascii="宋体" w:hAnsi="宋体" w:eastAsia="宋体" w:cs="宋体"/>
          <w:spacing w:val="-5"/>
          <w:sz w:val="24"/>
          <w:highlight w:val="none"/>
        </w:rPr>
        <w:t>清理、修复工程的金额由发包人承担；</w:t>
      </w:r>
    </w:p>
    <w:p w14:paraId="4A291347">
      <w:pPr>
        <w:pStyle w:val="26"/>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不能按期竣工的，应合理延长工期，承包人不需支付逾期竣工违约金。发</w:t>
      </w:r>
      <w:r>
        <w:rPr>
          <w:rFonts w:hint="eastAsia" w:ascii="宋体" w:hAnsi="宋体" w:eastAsia="宋体" w:cs="宋体"/>
          <w:sz w:val="24"/>
          <w:highlight w:val="none"/>
        </w:rPr>
        <w:t>包人要求赶工的，承包人应采取赶工措施，赶工费用由发包人承担。</w:t>
      </w:r>
    </w:p>
    <w:p w14:paraId="2BA14C1E">
      <w:pPr>
        <w:pStyle w:val="26"/>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延迟履行期间发生的不可抗力</w:t>
      </w:r>
    </w:p>
    <w:p w14:paraId="45501235">
      <w:pPr>
        <w:pStyle w:val="10"/>
        <w:spacing w:before="84"/>
        <w:ind w:left="864"/>
        <w:rPr>
          <w:rFonts w:hint="eastAsia" w:ascii="宋体" w:hAnsi="宋体" w:eastAsia="宋体" w:cs="宋体"/>
          <w:highlight w:val="none"/>
        </w:rPr>
      </w:pPr>
      <w:r>
        <w:rPr>
          <w:rFonts w:hint="eastAsia" w:ascii="宋体" w:hAnsi="宋体" w:eastAsia="宋体" w:cs="宋体"/>
          <w:highlight w:val="none"/>
        </w:rPr>
        <w:t>合同一方当事人延迟履行，在延迟履行期间发生不可抗力的，不免除其责任。</w:t>
      </w:r>
    </w:p>
    <w:p w14:paraId="081D3521">
      <w:pPr>
        <w:pStyle w:val="26"/>
        <w:numPr>
          <w:ilvl w:val="4"/>
          <w:numId w:val="5"/>
        </w:numPr>
        <w:tabs>
          <w:tab w:val="left" w:pos="1523"/>
          <w:tab w:val="left" w:pos="1524"/>
        </w:tabs>
        <w:spacing w:before="84"/>
        <w:ind w:left="1524" w:hanging="660"/>
        <w:rPr>
          <w:rFonts w:hint="eastAsia" w:ascii="宋体" w:hAnsi="宋体" w:eastAsia="宋体" w:cs="宋体"/>
          <w:sz w:val="24"/>
          <w:highlight w:val="none"/>
        </w:rPr>
      </w:pPr>
      <w:r>
        <w:rPr>
          <w:rFonts w:hint="eastAsia" w:ascii="宋体" w:hAnsi="宋体" w:eastAsia="宋体" w:cs="宋体"/>
          <w:sz w:val="24"/>
          <w:highlight w:val="none"/>
        </w:rPr>
        <w:t>避免和减少不可抗力损失</w:t>
      </w:r>
    </w:p>
    <w:p w14:paraId="598BE5D3">
      <w:pPr>
        <w:pStyle w:val="10"/>
        <w:spacing w:before="86"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不可抗力发生后，发包人和承包人均应采取措施尽量避免和减少损失的扩大， 任何一方没有采取有效措施导致损失扩大的，应对扩大的损失承担责任。</w:t>
      </w:r>
    </w:p>
    <w:p w14:paraId="66EB1F82">
      <w:pPr>
        <w:pStyle w:val="26"/>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因不可抗力解除合同</w:t>
      </w:r>
    </w:p>
    <w:p w14:paraId="0828309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spacing w:val="-1"/>
          <w:highlight w:val="none"/>
        </w:rPr>
        <w:t xml:space="preserve">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 </w:t>
      </w:r>
      <w:r>
        <w:rPr>
          <w:rFonts w:hint="eastAsia" w:ascii="宋体" w:hAnsi="宋体" w:eastAsia="宋体" w:cs="宋体"/>
          <w:highlight w:val="none"/>
        </w:rPr>
        <w:t>由监理人按商定确定。</w:t>
      </w:r>
    </w:p>
    <w:p w14:paraId="7783DF51">
      <w:pPr>
        <w:pStyle w:val="26"/>
        <w:numPr>
          <w:ilvl w:val="3"/>
          <w:numId w:val="5"/>
        </w:numPr>
        <w:tabs>
          <w:tab w:val="left" w:pos="1125"/>
        </w:tabs>
        <w:spacing w:before="179"/>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文物</w:t>
      </w:r>
    </w:p>
    <w:p w14:paraId="146271DC">
      <w:pPr>
        <w:pStyle w:val="10"/>
        <w:spacing w:before="7"/>
        <w:rPr>
          <w:rFonts w:hint="eastAsia" w:ascii="宋体" w:hAnsi="宋体" w:eastAsia="宋体" w:cs="宋体"/>
          <w:sz w:val="20"/>
          <w:highlight w:val="none"/>
        </w:rPr>
      </w:pPr>
    </w:p>
    <w:p w14:paraId="3081894B">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在施工场地发掘出的所有文物、古迹以及具有地质研究或考古价值的其他遗迹、</w:t>
      </w:r>
      <w:r>
        <w:rPr>
          <w:rFonts w:hint="eastAsia" w:ascii="宋体" w:hAnsi="宋体" w:eastAsia="宋体" w:cs="宋体"/>
          <w:highlight w:val="none"/>
        </w:rPr>
        <w:t>化石、钱币或物品属于国家财产。承包人一旦发现上述文物时，应采取一切必要的措施保护现场，防止任何人员移动或损坏任何该类物品，并立即将此发现通知监理人，并执行监理人关于此事的指令。如果由于这样的指令使承包人工期受到拖延和</w:t>
      </w:r>
    </w:p>
    <w:p w14:paraId="13B66354">
      <w:pPr>
        <w:pStyle w:val="10"/>
        <w:spacing w:before="5" w:line="307" w:lineRule="auto"/>
        <w:ind w:left="384" w:right="465"/>
        <w:jc w:val="both"/>
        <w:rPr>
          <w:rFonts w:hint="eastAsia" w:ascii="宋体" w:hAnsi="宋体" w:eastAsia="宋体" w:cs="宋体"/>
          <w:highlight w:val="none"/>
        </w:rPr>
      </w:pPr>
      <w:r>
        <w:rPr>
          <w:rFonts w:hint="eastAsia" w:ascii="宋体" w:hAnsi="宋体" w:eastAsia="宋体" w:cs="宋体"/>
          <w:highlight w:val="none"/>
        </w:rPr>
        <w:t>（或）增加了费用，则监理人在与承包人和发包人协商后应确定延长工期和（或）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4882F436">
      <w:pPr>
        <w:spacing w:line="307" w:lineRule="auto"/>
        <w:jc w:val="both"/>
        <w:rPr>
          <w:rFonts w:hint="eastAsia" w:ascii="宋体" w:hAnsi="宋体" w:eastAsia="宋体" w:cs="宋体"/>
          <w:highlight w:val="none"/>
        </w:rPr>
        <w:sectPr>
          <w:headerReference r:id="rId6" w:type="default"/>
          <w:footerReference r:id="rId7" w:type="default"/>
          <w:pgSz w:w="11910" w:h="16840"/>
          <w:pgMar w:top="1360" w:right="1120" w:bottom="1080" w:left="1260" w:header="882" w:footer="880" w:gutter="0"/>
          <w:cols w:space="720" w:num="1"/>
        </w:sectPr>
      </w:pPr>
    </w:p>
    <w:p w14:paraId="3CB9A071">
      <w:pPr>
        <w:pStyle w:val="10"/>
        <w:spacing w:before="8"/>
        <w:rPr>
          <w:rFonts w:hint="eastAsia" w:ascii="宋体" w:hAnsi="宋体" w:eastAsia="宋体" w:cs="宋体"/>
          <w:sz w:val="16"/>
          <w:highlight w:val="none"/>
        </w:rPr>
      </w:pPr>
    </w:p>
    <w:p w14:paraId="6508A89A">
      <w:pPr>
        <w:pStyle w:val="26"/>
        <w:numPr>
          <w:ilvl w:val="3"/>
          <w:numId w:val="5"/>
        </w:numPr>
        <w:tabs>
          <w:tab w:val="left" w:pos="1125"/>
        </w:tabs>
        <w:spacing w:before="77"/>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违约赔偿</w:t>
      </w:r>
    </w:p>
    <w:p w14:paraId="3830CB91">
      <w:pPr>
        <w:pStyle w:val="10"/>
        <w:spacing w:before="4"/>
        <w:rPr>
          <w:rFonts w:hint="eastAsia" w:ascii="宋体" w:hAnsi="宋体" w:eastAsia="宋体" w:cs="宋体"/>
          <w:sz w:val="20"/>
          <w:highlight w:val="none"/>
        </w:rPr>
      </w:pPr>
    </w:p>
    <w:p w14:paraId="64559A96">
      <w:pPr>
        <w:pStyle w:val="26"/>
        <w:numPr>
          <w:ilvl w:val="4"/>
          <w:numId w:val="5"/>
        </w:numPr>
        <w:tabs>
          <w:tab w:val="left" w:pos="1524"/>
        </w:tabs>
        <w:spacing w:before="1" w:line="30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施工过程中发包人或监理人、质监机构抽检连续 </w:t>
      </w:r>
      <w:r>
        <w:rPr>
          <w:rFonts w:hint="eastAsia" w:ascii="宋体" w:hAnsi="宋体" w:eastAsia="宋体" w:cs="宋体"/>
          <w:sz w:val="24"/>
          <w:highlight w:val="none"/>
        </w:rPr>
        <w:t xml:space="preserve">2 </w:t>
      </w:r>
      <w:r>
        <w:rPr>
          <w:rFonts w:hint="eastAsia" w:ascii="宋体" w:hAnsi="宋体" w:eastAsia="宋体" w:cs="宋体"/>
          <w:spacing w:val="-2"/>
          <w:sz w:val="24"/>
          <w:highlight w:val="none"/>
        </w:rPr>
        <w:t xml:space="preserve">个分项工程不合格者， </w:t>
      </w:r>
      <w:r>
        <w:rPr>
          <w:rFonts w:hint="eastAsia" w:ascii="宋体" w:hAnsi="宋体" w:eastAsia="宋体" w:cs="宋体"/>
          <w:spacing w:val="-7"/>
          <w:sz w:val="24"/>
          <w:highlight w:val="none"/>
        </w:rPr>
        <w:t xml:space="preserve">按合同条款的有关要求，承包人对不合格分项工程补做或返工，使其达到合格标准， </w:t>
      </w:r>
      <w:r>
        <w:rPr>
          <w:rFonts w:hint="eastAsia" w:ascii="宋体" w:hAnsi="宋体" w:eastAsia="宋体" w:cs="宋体"/>
          <w:spacing w:val="-6"/>
          <w:sz w:val="24"/>
          <w:highlight w:val="none"/>
        </w:rPr>
        <w:t xml:space="preserve">并赔偿每个分项工程 </w:t>
      </w:r>
      <w:r>
        <w:rPr>
          <w:rFonts w:hint="eastAsia" w:ascii="宋体" w:hAnsi="宋体" w:eastAsia="宋体" w:cs="宋体"/>
          <w:sz w:val="24"/>
          <w:highlight w:val="none"/>
        </w:rPr>
        <w:t>10000 元的违约金。</w:t>
      </w:r>
    </w:p>
    <w:p w14:paraId="11698B96">
      <w:pPr>
        <w:pStyle w:val="26"/>
        <w:numPr>
          <w:ilvl w:val="4"/>
          <w:numId w:val="5"/>
        </w:numPr>
        <w:tabs>
          <w:tab w:val="left" w:pos="1523"/>
          <w:tab w:val="left" w:pos="1524"/>
        </w:tabs>
        <w:spacing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承包人未按规定工期完成本合同工程，拖期损失赔偿见合同条款数据表。</w:t>
      </w:r>
      <w:r>
        <w:rPr>
          <w:rFonts w:hint="eastAsia" w:ascii="宋体" w:hAnsi="宋体" w:eastAsia="宋体" w:cs="宋体"/>
          <w:sz w:val="24"/>
          <w:highlight w:val="none"/>
        </w:rPr>
        <w:t>工程进度严重滞后，承包人即使采取措施也不能保证工程按期完工，发包人有权指定分包并没收履约保证金。</w:t>
      </w:r>
    </w:p>
    <w:p w14:paraId="3D91B87F">
      <w:pPr>
        <w:pStyle w:val="26"/>
        <w:numPr>
          <w:ilvl w:val="4"/>
          <w:numId w:val="5"/>
        </w:numPr>
        <w:tabs>
          <w:tab w:val="left" w:pos="1524"/>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9"/>
          <w:sz w:val="24"/>
          <w:highlight w:val="none"/>
        </w:rPr>
        <w:t xml:space="preserve">承包人主要管理人员、机械设备未按投标文件约定时间进场，人员按 </w:t>
      </w:r>
      <w:r>
        <w:rPr>
          <w:rFonts w:hint="eastAsia" w:ascii="宋体" w:hAnsi="宋体" w:eastAsia="宋体" w:cs="宋体"/>
          <w:spacing w:val="-6"/>
          <w:sz w:val="24"/>
          <w:highlight w:val="none"/>
        </w:rPr>
        <w:t xml:space="preserve">200 </w:t>
      </w:r>
      <w:r>
        <w:rPr>
          <w:rFonts w:hint="eastAsia" w:ascii="宋体" w:hAnsi="宋体" w:eastAsia="宋体" w:cs="宋体"/>
          <w:sz w:val="24"/>
          <w:highlight w:val="none"/>
        </w:rPr>
        <w:t>元/人·</w:t>
      </w:r>
      <w:r>
        <w:rPr>
          <w:rFonts w:hint="eastAsia" w:ascii="宋体" w:hAnsi="宋体" w:eastAsia="宋体" w:cs="宋体"/>
          <w:spacing w:val="-12"/>
          <w:sz w:val="24"/>
          <w:highlight w:val="none"/>
        </w:rPr>
        <w:t>天，机械设备每天按《公路工程机械台班费用定额》台班基价两倍支付违约赔</w:t>
      </w:r>
      <w:r>
        <w:rPr>
          <w:rFonts w:hint="eastAsia" w:ascii="宋体" w:hAnsi="宋体" w:eastAsia="宋体" w:cs="宋体"/>
          <w:sz w:val="24"/>
          <w:highlight w:val="none"/>
        </w:rPr>
        <w:t>偿。</w:t>
      </w:r>
    </w:p>
    <w:p w14:paraId="46BC7B3F">
      <w:pPr>
        <w:pStyle w:val="26"/>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发生克扣、拖欠劳务工资、设备材料款，造成恶劣影响的，承包人在限期内不予支付时，发包人将从其履约保证金中支付。</w:t>
      </w:r>
    </w:p>
    <w:p w14:paraId="617B3906">
      <w:pPr>
        <w:pStyle w:val="26"/>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便道未按合同管养，影响社会车辆通行，造成恶劣影响的，承包人在限期内不予整改的，发包人可另行实施，其发生的费用从承包人工程款中扣回。</w:t>
      </w:r>
    </w:p>
    <w:p w14:paraId="69792B0D">
      <w:pPr>
        <w:pStyle w:val="26"/>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承包人违约转让或变相转让合同，发包人将没收履约保证金，并将其清除出场。</w:t>
      </w:r>
    </w:p>
    <w:p w14:paraId="08A4E48F">
      <w:pPr>
        <w:pStyle w:val="26"/>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w:t>
      </w:r>
      <w:r>
        <w:rPr>
          <w:rFonts w:hint="eastAsia" w:ascii="宋体" w:hAnsi="宋体" w:eastAsia="宋体" w:cs="宋体"/>
          <w:spacing w:val="-10"/>
          <w:sz w:val="24"/>
          <w:highlight w:val="none"/>
        </w:rPr>
        <w:t xml:space="preserve">每人次扣除 </w:t>
      </w:r>
      <w:r>
        <w:rPr>
          <w:rFonts w:hint="eastAsia" w:ascii="宋体" w:hAnsi="宋体" w:eastAsia="宋体" w:cs="宋体"/>
          <w:sz w:val="24"/>
          <w:highlight w:val="none"/>
        </w:rPr>
        <w:t>6</w:t>
      </w:r>
      <w:r>
        <w:rPr>
          <w:rFonts w:hint="eastAsia" w:ascii="宋体" w:hAnsi="宋体" w:eastAsia="宋体" w:cs="宋体"/>
          <w:spacing w:val="5"/>
          <w:sz w:val="24"/>
          <w:highlight w:val="none"/>
        </w:rPr>
        <w:t xml:space="preserve"> </w:t>
      </w:r>
      <w:r>
        <w:rPr>
          <w:rFonts w:hint="eastAsia" w:ascii="宋体" w:hAnsi="宋体" w:eastAsia="宋体" w:cs="宋体"/>
          <w:spacing w:val="-5"/>
          <w:sz w:val="24"/>
          <w:highlight w:val="none"/>
        </w:rPr>
        <w:t xml:space="preserve">万元，项目总工每人次扣除 </w:t>
      </w:r>
      <w:r>
        <w:rPr>
          <w:rFonts w:hint="eastAsia" w:ascii="宋体" w:hAnsi="宋体" w:eastAsia="宋体" w:cs="宋体"/>
          <w:sz w:val="24"/>
          <w:highlight w:val="none"/>
        </w:rPr>
        <w:t>5</w:t>
      </w:r>
      <w:r>
        <w:rPr>
          <w:rFonts w:hint="eastAsia" w:ascii="宋体" w:hAnsi="宋体" w:eastAsia="宋体" w:cs="宋体"/>
          <w:spacing w:val="7"/>
          <w:sz w:val="24"/>
          <w:highlight w:val="none"/>
        </w:rPr>
        <w:t xml:space="preserve"> </w:t>
      </w:r>
      <w:r>
        <w:rPr>
          <w:rFonts w:hint="eastAsia" w:ascii="宋体" w:hAnsi="宋体" w:eastAsia="宋体" w:cs="宋体"/>
          <w:sz w:val="24"/>
          <w:highlight w:val="none"/>
        </w:rPr>
        <w:t>万元，路基工程师、路面工程师、结构</w:t>
      </w:r>
      <w:r>
        <w:rPr>
          <w:rFonts w:hint="eastAsia" w:ascii="宋体" w:hAnsi="宋体" w:eastAsia="宋体" w:cs="宋体"/>
          <w:spacing w:val="-11"/>
          <w:sz w:val="24"/>
          <w:highlight w:val="none"/>
        </w:rPr>
        <w:t xml:space="preserve">工程师、计量计划负责人、试验检测工程师每人次扣除 </w:t>
      </w:r>
      <w:r>
        <w:rPr>
          <w:rFonts w:hint="eastAsia" w:ascii="宋体" w:hAnsi="宋体" w:eastAsia="宋体" w:cs="宋体"/>
          <w:sz w:val="24"/>
          <w:highlight w:val="none"/>
        </w:rPr>
        <w:t xml:space="preserve">3 </w:t>
      </w:r>
      <w:r>
        <w:rPr>
          <w:rFonts w:hint="eastAsia" w:ascii="宋体" w:hAnsi="宋体" w:eastAsia="宋体" w:cs="宋体"/>
          <w:spacing w:val="-7"/>
          <w:sz w:val="24"/>
          <w:highlight w:val="none"/>
        </w:rPr>
        <w:t xml:space="preserve">万元。即使交纳了违约金， </w:t>
      </w:r>
      <w:r>
        <w:rPr>
          <w:rFonts w:hint="eastAsia" w:ascii="宋体" w:hAnsi="宋体" w:eastAsia="宋体" w:cs="宋体"/>
          <w:spacing w:val="-3"/>
          <w:sz w:val="24"/>
          <w:highlight w:val="none"/>
        </w:rPr>
        <w:t xml:space="preserve">承包人仍有义务按合同规定纠正其违约行为；更换率达到 </w:t>
      </w:r>
      <w:r>
        <w:rPr>
          <w:rFonts w:hint="eastAsia" w:ascii="宋体" w:hAnsi="宋体" w:eastAsia="宋体" w:cs="宋体"/>
          <w:sz w:val="24"/>
          <w:highlight w:val="none"/>
        </w:rPr>
        <w:t>50%的按照《新疆维吾尔自治区农村公路建设从业单位信用评价实施细则》的规定评价。</w:t>
      </w:r>
    </w:p>
    <w:p w14:paraId="51EEAE12">
      <w:pPr>
        <w:pStyle w:val="26"/>
        <w:numPr>
          <w:ilvl w:val="3"/>
          <w:numId w:val="5"/>
        </w:numPr>
        <w:tabs>
          <w:tab w:val="left" w:pos="1125"/>
        </w:tabs>
        <w:spacing w:before="170"/>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承包人需遵循的其他规定和要求</w:t>
      </w:r>
    </w:p>
    <w:p w14:paraId="0CC38436">
      <w:pPr>
        <w:pStyle w:val="10"/>
        <w:spacing w:before="8"/>
        <w:rPr>
          <w:rFonts w:hint="eastAsia" w:ascii="宋体" w:hAnsi="宋体" w:eastAsia="宋体" w:cs="宋体"/>
          <w:sz w:val="20"/>
          <w:highlight w:val="none"/>
        </w:rPr>
      </w:pPr>
    </w:p>
    <w:p w14:paraId="2ECC9680">
      <w:pPr>
        <w:pStyle w:val="26"/>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新疆公路工程现行通知、办法详见附件。</w:t>
      </w:r>
    </w:p>
    <w:p w14:paraId="2066C205">
      <w:pPr>
        <w:pStyle w:val="26"/>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临时排水设施</w:t>
      </w:r>
    </w:p>
    <w:p w14:paraId="5446957F">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承包人在施工中，道路的临时排水设施要与路基的施工同步，所需费用报价中要充分考虑。如因承包人排水设施不当，造成的工程损失由承包人承担。</w:t>
      </w:r>
    </w:p>
    <w:p w14:paraId="1C46B1EE">
      <w:pPr>
        <w:pStyle w:val="26"/>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突发公共卫生事件</w:t>
      </w:r>
    </w:p>
    <w:p w14:paraId="3FE61BA5">
      <w:pPr>
        <w:pStyle w:val="10"/>
        <w:spacing w:before="84"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为了有效预防、及时控制和消除公共卫生事件的危害，保障全体施工人员（</w:t>
      </w:r>
      <w:r>
        <w:rPr>
          <w:rFonts w:hint="eastAsia" w:ascii="宋体" w:hAnsi="宋体" w:eastAsia="宋体" w:cs="宋体"/>
          <w:spacing w:val="-12"/>
          <w:highlight w:val="none"/>
        </w:rPr>
        <w:t>包</w:t>
      </w:r>
      <w:r>
        <w:rPr>
          <w:rFonts w:hint="eastAsia" w:ascii="宋体" w:hAnsi="宋体" w:eastAsia="宋体" w:cs="宋体"/>
          <w:highlight w:val="none"/>
        </w:rPr>
        <w:t>括雇用劳务人员）</w:t>
      </w:r>
      <w:r>
        <w:rPr>
          <w:rFonts w:hint="eastAsia" w:ascii="宋体" w:hAnsi="宋体" w:eastAsia="宋体" w:cs="宋体"/>
          <w:spacing w:val="-1"/>
          <w:highlight w:val="none"/>
        </w:rPr>
        <w:t>及周围群众身体健康和生命安全，维持正常社会秩序，承包人应</w:t>
      </w:r>
      <w:r>
        <w:rPr>
          <w:rFonts w:hint="eastAsia" w:ascii="宋体" w:hAnsi="宋体" w:eastAsia="宋体" w:cs="宋体"/>
          <w:spacing w:val="-6"/>
          <w:highlight w:val="none"/>
        </w:rPr>
        <w:t xml:space="preserve">全面贯彻国务院第 </w:t>
      </w:r>
      <w:r>
        <w:rPr>
          <w:rFonts w:hint="eastAsia" w:ascii="宋体" w:hAnsi="宋体" w:eastAsia="宋体" w:cs="宋体"/>
          <w:highlight w:val="none"/>
        </w:rPr>
        <w:t xml:space="preserve">376 </w:t>
      </w:r>
      <w:r>
        <w:rPr>
          <w:rFonts w:hint="eastAsia" w:ascii="宋体" w:hAnsi="宋体" w:eastAsia="宋体" w:cs="宋体"/>
          <w:spacing w:val="-1"/>
          <w:highlight w:val="none"/>
        </w:rPr>
        <w:t>号令《突发公共卫生事件应急条例》，其涉及内容均不单独</w:t>
      </w:r>
    </w:p>
    <w:p w14:paraId="18936340">
      <w:pPr>
        <w:spacing w:line="307" w:lineRule="auto"/>
        <w:jc w:val="both"/>
        <w:rPr>
          <w:rFonts w:hint="eastAsia" w:ascii="宋体" w:hAnsi="宋体" w:eastAsia="宋体" w:cs="宋体"/>
          <w:highlight w:val="none"/>
        </w:rPr>
        <w:sectPr>
          <w:pgSz w:w="11910" w:h="16840"/>
          <w:pgMar w:top="1360" w:right="1120" w:bottom="1080" w:left="1260" w:header="882" w:footer="880" w:gutter="0"/>
          <w:cols w:space="720" w:num="1"/>
        </w:sectPr>
      </w:pPr>
    </w:p>
    <w:p w14:paraId="2A71915A">
      <w:pPr>
        <w:pStyle w:val="10"/>
        <w:rPr>
          <w:rFonts w:hint="eastAsia" w:ascii="宋体" w:hAnsi="宋体" w:eastAsia="宋体" w:cs="宋体"/>
          <w:sz w:val="18"/>
          <w:highlight w:val="none"/>
        </w:rPr>
      </w:pPr>
    </w:p>
    <w:p w14:paraId="741ECF99">
      <w:pPr>
        <w:pStyle w:val="10"/>
        <w:spacing w:before="66" w:line="304" w:lineRule="auto"/>
        <w:ind w:left="384" w:right="465"/>
        <w:rPr>
          <w:rFonts w:hint="eastAsia" w:ascii="宋体" w:hAnsi="宋体" w:eastAsia="宋体" w:cs="宋体"/>
          <w:highlight w:val="none"/>
        </w:rPr>
      </w:pPr>
      <w:r>
        <w:rPr>
          <w:rFonts w:hint="eastAsia" w:ascii="宋体" w:hAnsi="宋体" w:eastAsia="宋体" w:cs="宋体"/>
          <w:highlight w:val="none"/>
        </w:rPr>
        <w:t>计量与支付，投标人报价时综合考虑其费用，所涉及的费用均包括在与之相关的工程细目的单价之中，发包人不单独支付。</w:t>
      </w:r>
    </w:p>
    <w:p w14:paraId="44330EFE">
      <w:pPr>
        <w:pStyle w:val="26"/>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反商业贿赂</w:t>
      </w:r>
    </w:p>
    <w:p w14:paraId="6161EB6F">
      <w:pPr>
        <w:pStyle w:val="10"/>
        <w:spacing w:before="84" w:line="304" w:lineRule="auto"/>
        <w:ind w:left="384" w:right="467" w:firstLine="480"/>
        <w:rPr>
          <w:rFonts w:hint="eastAsia" w:ascii="宋体" w:hAnsi="宋体" w:eastAsia="宋体" w:cs="宋体"/>
          <w:sz w:val="30"/>
          <w:highlight w:val="none"/>
        </w:rPr>
      </w:pPr>
      <w:r>
        <w:rPr>
          <w:rFonts w:hint="eastAsia" w:ascii="宋体" w:hAnsi="宋体" w:eastAsia="宋体" w:cs="宋体"/>
          <w:highlight w:val="none"/>
        </w:rPr>
        <w:t>严格执行国家、自治区、交通运输厅关于反商业贿赂的有关规定。承包人应严格按照廉政建设责任制度执行，并将廉政合同落到实处，制定相应的计划和措施。</w:t>
      </w:r>
    </w:p>
    <w:p w14:paraId="28B11547">
      <w:pPr>
        <w:pStyle w:val="10"/>
        <w:ind w:left="864"/>
        <w:rPr>
          <w:rFonts w:hint="eastAsia" w:ascii="宋体" w:hAnsi="宋体" w:eastAsia="宋体" w:cs="宋体"/>
          <w:highlight w:val="none"/>
        </w:rPr>
      </w:pPr>
      <w:r>
        <w:rPr>
          <w:rFonts w:hint="eastAsia" w:ascii="宋体" w:hAnsi="宋体" w:eastAsia="宋体" w:cs="宋体"/>
          <w:highlight w:val="none"/>
        </w:rPr>
        <w:t>附件：</w:t>
      </w:r>
    </w:p>
    <w:p w14:paraId="5857DD3B">
      <w:pPr>
        <w:pStyle w:val="26"/>
        <w:numPr>
          <w:ilvl w:val="0"/>
          <w:numId w:val="35"/>
        </w:numPr>
        <w:tabs>
          <w:tab w:val="left" w:pos="1145"/>
        </w:tabs>
        <w:spacing w:before="84"/>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《新疆维吾尔自治区农村公路建设管理办法》</w:t>
      </w:r>
    </w:p>
    <w:p w14:paraId="6A2E8F12">
      <w:pPr>
        <w:pStyle w:val="26"/>
        <w:numPr>
          <w:ilvl w:val="0"/>
          <w:numId w:val="35"/>
        </w:numPr>
        <w:tabs>
          <w:tab w:val="left" w:pos="1145"/>
        </w:tabs>
        <w:spacing w:before="86" w:line="304" w:lineRule="auto"/>
        <w:ind w:left="864" w:right="942" w:firstLine="0"/>
        <w:rPr>
          <w:rFonts w:hint="eastAsia" w:ascii="宋体" w:hAnsi="宋体" w:eastAsia="宋体" w:cs="宋体"/>
          <w:sz w:val="24"/>
          <w:highlight w:val="none"/>
        </w:rPr>
      </w:pPr>
      <w:r>
        <w:rPr>
          <w:rFonts w:hint="eastAsia" w:ascii="宋体" w:hAnsi="宋体" w:eastAsia="宋体" w:cs="宋体"/>
          <w:spacing w:val="-1"/>
          <w:sz w:val="24"/>
          <w:highlight w:val="none"/>
        </w:rPr>
        <w:t>《新疆维吾尔自治区农村公路建设工程质量监督机构和人员考核办法》</w:t>
      </w:r>
      <w:r>
        <w:rPr>
          <w:rFonts w:hint="eastAsia" w:ascii="宋体" w:hAnsi="宋体" w:eastAsia="宋体" w:cs="宋体"/>
          <w:sz w:val="24"/>
          <w:highlight w:val="none"/>
        </w:rPr>
        <w:t>(3)《新疆维吾尔自治区农村公路工程质量监督管理细则》</w:t>
      </w:r>
    </w:p>
    <w:p w14:paraId="150C8803">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(4)《新疆维吾尔自治区农村公路工程设计变更管理办法（试行）》</w:t>
      </w:r>
    </w:p>
    <w:p w14:paraId="649DCEE1">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(5)《新疆维吾尔自治区农村公路工程施工监理工作规定》</w:t>
      </w:r>
    </w:p>
    <w:p w14:paraId="5836EBF7">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(6)《新疆维吾尔自治区农村公路工程试验检测工作规定》</w:t>
      </w:r>
    </w:p>
    <w:p w14:paraId="1735513D">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(7)《新疆小交通量农村公路工程技术指南》</w:t>
      </w:r>
    </w:p>
    <w:p w14:paraId="50EC8104">
      <w:pPr>
        <w:pStyle w:val="26"/>
        <w:numPr>
          <w:ilvl w:val="0"/>
          <w:numId w:val="36"/>
        </w:numPr>
        <w:tabs>
          <w:tab w:val="left" w:pos="1145"/>
        </w:tabs>
        <w:spacing w:before="2"/>
        <w:rPr>
          <w:rFonts w:hint="eastAsia" w:ascii="宋体" w:hAnsi="宋体" w:eastAsia="宋体" w:cs="宋体"/>
          <w:sz w:val="24"/>
          <w:highlight w:val="none"/>
        </w:rPr>
      </w:pPr>
      <w:r>
        <w:rPr>
          <w:rFonts w:hint="eastAsia" w:ascii="宋体" w:hAnsi="宋体" w:eastAsia="宋体" w:cs="宋体"/>
          <w:sz w:val="24"/>
          <w:highlight w:val="none"/>
        </w:rPr>
        <w:t>《新疆农村公路施工图设计外业勘察验收指南》</w:t>
      </w:r>
    </w:p>
    <w:p w14:paraId="4700EE45">
      <w:pPr>
        <w:pStyle w:val="26"/>
        <w:numPr>
          <w:ilvl w:val="0"/>
          <w:numId w:val="36"/>
        </w:numPr>
        <w:tabs>
          <w:tab w:val="left" w:pos="1152"/>
        </w:tabs>
        <w:spacing w:before="83"/>
        <w:ind w:left="1152" w:hanging="288"/>
        <w:rPr>
          <w:rFonts w:hint="eastAsia" w:ascii="宋体" w:hAnsi="宋体" w:eastAsia="宋体" w:cs="宋体"/>
          <w:sz w:val="24"/>
          <w:highlight w:val="none"/>
        </w:rPr>
      </w:pPr>
      <w:r>
        <w:rPr>
          <w:rFonts w:hint="eastAsia" w:ascii="宋体" w:hAnsi="宋体" w:eastAsia="宋体" w:cs="宋体"/>
          <w:spacing w:val="7"/>
          <w:sz w:val="24"/>
          <w:highlight w:val="none"/>
        </w:rPr>
        <w:t>《关于在公路改建改造工程中加强便道管理保障通行的通知》（</w:t>
      </w:r>
      <w:r>
        <w:rPr>
          <w:rFonts w:hint="eastAsia" w:ascii="宋体" w:hAnsi="宋体" w:eastAsia="宋体" w:cs="宋体"/>
          <w:spacing w:val="5"/>
          <w:sz w:val="24"/>
          <w:highlight w:val="none"/>
        </w:rPr>
        <w:t>新交监察</w:t>
      </w:r>
    </w:p>
    <w:p w14:paraId="3739B232">
      <w:pPr>
        <w:pStyle w:val="10"/>
        <w:spacing w:before="84"/>
        <w:ind w:left="384"/>
        <w:rPr>
          <w:rFonts w:hint="eastAsia" w:ascii="宋体" w:hAnsi="宋体" w:eastAsia="宋体" w:cs="宋体"/>
          <w:highlight w:val="none"/>
        </w:rPr>
      </w:pPr>
      <w:r>
        <w:rPr>
          <w:rFonts w:hint="eastAsia" w:ascii="宋体" w:hAnsi="宋体" w:eastAsia="宋体" w:cs="宋体"/>
          <w:highlight w:val="none"/>
        </w:rPr>
        <w:t>〔2001〕5 号文）；</w:t>
      </w:r>
    </w:p>
    <w:p w14:paraId="41EAD736">
      <w:pPr>
        <w:pStyle w:val="26"/>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z w:val="24"/>
          <w:highlight w:val="none"/>
        </w:rPr>
        <w:t xml:space="preserve">《新疆公路工程台背回填管理办法》； </w:t>
      </w:r>
    </w:p>
    <w:p w14:paraId="4FB23DE5">
      <w:pPr>
        <w:pStyle w:val="26"/>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pacing w:val="-1"/>
          <w:sz w:val="24"/>
          <w:highlight w:val="none"/>
        </w:rPr>
        <w:t>《新疆公路工程建设项目便道管理办法》；</w:t>
      </w:r>
    </w:p>
    <w:p w14:paraId="6404B8FC">
      <w:pPr>
        <w:pStyle w:val="26"/>
        <w:numPr>
          <w:ilvl w:val="0"/>
          <w:numId w:val="37"/>
        </w:numPr>
        <w:tabs>
          <w:tab w:val="left" w:pos="1268"/>
        </w:tabs>
        <w:spacing w:before="2"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《新疆维吾尔自治区公路工程路基下沉、路面破损、桥涵处跳车等质量问题责任追究》（新交政法〔2001〕20 号）；</w:t>
      </w:r>
    </w:p>
    <w:p w14:paraId="30098C8D">
      <w:pPr>
        <w:pStyle w:val="26"/>
        <w:numPr>
          <w:ilvl w:val="0"/>
          <w:numId w:val="37"/>
        </w:numPr>
        <w:tabs>
          <w:tab w:val="left" w:pos="12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《关于提高新疆公路工程路基、路面压实度指标的通知》</w:t>
      </w:r>
      <w:r>
        <w:rPr>
          <w:rFonts w:hint="eastAsia" w:ascii="宋体" w:hAnsi="宋体" w:eastAsia="宋体" w:cs="宋体"/>
          <w:spacing w:val="-3"/>
          <w:sz w:val="24"/>
          <w:highlight w:val="none"/>
        </w:rPr>
        <w:t>（</w:t>
      </w:r>
      <w:r>
        <w:rPr>
          <w:rFonts w:hint="eastAsia" w:ascii="宋体" w:hAnsi="宋体" w:eastAsia="宋体" w:cs="宋体"/>
          <w:spacing w:val="-10"/>
          <w:sz w:val="24"/>
          <w:highlight w:val="none"/>
        </w:rPr>
        <w:t>新交质监〔</w:t>
      </w:r>
      <w:r>
        <w:rPr>
          <w:rFonts w:hint="eastAsia" w:ascii="宋体" w:hAnsi="宋体" w:eastAsia="宋体" w:cs="宋体"/>
          <w:sz w:val="24"/>
          <w:highlight w:val="none"/>
        </w:rPr>
        <w:t>2002</w:t>
      </w:r>
      <w:r>
        <w:rPr>
          <w:rFonts w:hint="eastAsia" w:ascii="宋体" w:hAnsi="宋体" w:eastAsia="宋体" w:cs="宋体"/>
          <w:spacing w:val="-9"/>
          <w:sz w:val="24"/>
          <w:highlight w:val="none"/>
        </w:rPr>
        <w:t xml:space="preserve">〕 </w:t>
      </w:r>
      <w:r>
        <w:rPr>
          <w:rFonts w:hint="eastAsia" w:ascii="宋体" w:hAnsi="宋体" w:eastAsia="宋体" w:cs="宋体"/>
          <w:sz w:val="24"/>
          <w:highlight w:val="none"/>
        </w:rPr>
        <w:t>2号）；</w:t>
      </w:r>
    </w:p>
    <w:p w14:paraId="24E06B5D">
      <w:pPr>
        <w:pStyle w:val="26"/>
        <w:numPr>
          <w:ilvl w:val="0"/>
          <w:numId w:val="37"/>
        </w:numPr>
        <w:tabs>
          <w:tab w:val="left" w:pos="1268"/>
        </w:tabs>
        <w:spacing w:before="1"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《新疆维吾尔自治区公路路面透层油和下封层质量控制施工机械配套指导意见》（新交质监〔2008〕22 号）；</w:t>
      </w:r>
    </w:p>
    <w:p w14:paraId="5D3E019F">
      <w:pPr>
        <w:pStyle w:val="26"/>
        <w:numPr>
          <w:ilvl w:val="0"/>
          <w:numId w:val="37"/>
        </w:numPr>
        <w:tabs>
          <w:tab w:val="left" w:pos="1268"/>
        </w:tabs>
        <w:spacing w:before="1"/>
        <w:ind w:left="1267"/>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《新疆维吾尔自治区农村公路建设廉政工作实施办法</w:t>
      </w:r>
      <w:r>
        <w:rPr>
          <w:rFonts w:hint="eastAsia" w:ascii="宋体" w:hAnsi="宋体" w:eastAsia="宋体" w:cs="宋体"/>
          <w:spacing w:val="4"/>
          <w:sz w:val="24"/>
          <w:highlight w:val="none"/>
        </w:rPr>
        <w:t>（</w:t>
      </w:r>
      <w:r>
        <w:rPr>
          <w:rFonts w:hint="eastAsia" w:ascii="宋体" w:hAnsi="宋体" w:eastAsia="宋体" w:cs="宋体"/>
          <w:spacing w:val="2"/>
          <w:sz w:val="24"/>
          <w:highlight w:val="none"/>
        </w:rPr>
        <w:t>试行</w:t>
      </w:r>
      <w:r>
        <w:rPr>
          <w:rFonts w:hint="eastAsia" w:ascii="宋体" w:hAnsi="宋体" w:eastAsia="宋体" w:cs="宋体"/>
          <w:sz w:val="24"/>
          <w:highlight w:val="none"/>
        </w:rPr>
        <w:t>）</w:t>
      </w:r>
      <w:r>
        <w:rPr>
          <w:rFonts w:hint="eastAsia" w:ascii="宋体" w:hAnsi="宋体" w:eastAsia="宋体" w:cs="宋体"/>
          <w:spacing w:val="4"/>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新交办</w:t>
      </w:r>
    </w:p>
    <w:p w14:paraId="5F581C90">
      <w:pPr>
        <w:pStyle w:val="10"/>
        <w:spacing w:before="86"/>
        <w:ind w:left="384"/>
        <w:rPr>
          <w:rFonts w:hint="eastAsia" w:ascii="宋体" w:hAnsi="宋体" w:eastAsia="宋体" w:cs="宋体"/>
          <w:highlight w:val="none"/>
        </w:rPr>
      </w:pPr>
      <w:r>
        <w:rPr>
          <w:rFonts w:hint="eastAsia" w:ascii="宋体" w:hAnsi="宋体" w:eastAsia="宋体" w:cs="宋体"/>
          <w:highlight w:val="none"/>
        </w:rPr>
        <w:t>〔2008〕80 号）；</w:t>
      </w:r>
    </w:p>
    <w:p w14:paraId="7CDF66A9">
      <w:pPr>
        <w:pStyle w:val="26"/>
        <w:numPr>
          <w:ilvl w:val="0"/>
          <w:numId w:val="37"/>
        </w:numPr>
        <w:tabs>
          <w:tab w:val="left" w:pos="1268"/>
        </w:tabs>
        <w:spacing w:before="84"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关于印发《新疆维吾尔自治区公路工程施工质量责任和责任追究制度》的通知（新交工程〔2016〕28 号）；</w:t>
      </w:r>
    </w:p>
    <w:p w14:paraId="3DCB539E">
      <w:pPr>
        <w:pStyle w:val="26"/>
        <w:numPr>
          <w:ilvl w:val="0"/>
          <w:numId w:val="37"/>
        </w:numPr>
        <w:tabs>
          <w:tab w:val="left" w:pos="1265"/>
        </w:tabs>
        <w:spacing w:before="4"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《关于在公路基础设施建设中使用农民工有关意见的通知》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2003</w:t>
      </w:r>
      <w:r>
        <w:rPr>
          <w:rFonts w:hint="eastAsia" w:ascii="宋体" w:hAnsi="宋体" w:eastAsia="宋体" w:cs="宋体"/>
          <w:spacing w:val="-8"/>
          <w:sz w:val="24"/>
          <w:highlight w:val="none"/>
        </w:rPr>
        <w:t>〕</w:t>
      </w:r>
      <w:r>
        <w:rPr>
          <w:rFonts w:hint="eastAsia" w:ascii="宋体" w:hAnsi="宋体" w:eastAsia="宋体" w:cs="宋体"/>
          <w:sz w:val="24"/>
          <w:highlight w:val="none"/>
        </w:rPr>
        <w:t>42号）；</w:t>
      </w:r>
    </w:p>
    <w:p w14:paraId="1BAB3718">
      <w:pPr>
        <w:pStyle w:val="26"/>
        <w:numPr>
          <w:ilvl w:val="0"/>
          <w:numId w:val="37"/>
        </w:numPr>
        <w:tabs>
          <w:tab w:val="left" w:pos="1268"/>
        </w:tabs>
        <w:spacing w:before="1"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关于印发《新疆维吾尔自治区交通厅关于交通建设项目防止拖欠工程款和农民工工资管理暂行办法（试行）》（新交综〔2005〕42 号）；</w:t>
      </w:r>
    </w:p>
    <w:p w14:paraId="69638DD9">
      <w:pPr>
        <w:pStyle w:val="26"/>
        <w:numPr>
          <w:ilvl w:val="0"/>
          <w:numId w:val="37"/>
        </w:numPr>
        <w:tabs>
          <w:tab w:val="left" w:pos="1265"/>
        </w:tabs>
        <w:spacing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《关于在公路基础设施建设中使用农民工有关事宜的通知》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2006</w:t>
      </w:r>
      <w:r>
        <w:rPr>
          <w:rFonts w:hint="eastAsia" w:ascii="宋体" w:hAnsi="宋体" w:eastAsia="宋体" w:cs="宋体"/>
          <w:spacing w:val="-8"/>
          <w:sz w:val="24"/>
          <w:highlight w:val="none"/>
        </w:rPr>
        <w:t>〕</w:t>
      </w:r>
      <w:r>
        <w:rPr>
          <w:rFonts w:hint="eastAsia" w:ascii="宋体" w:hAnsi="宋体" w:eastAsia="宋体" w:cs="宋体"/>
          <w:sz w:val="24"/>
          <w:highlight w:val="none"/>
        </w:rPr>
        <w:t>139号）；</w:t>
      </w:r>
    </w:p>
    <w:p w14:paraId="02538D1E">
      <w:pPr>
        <w:spacing w:line="304" w:lineRule="auto"/>
        <w:rPr>
          <w:rFonts w:hint="eastAsia" w:ascii="宋体" w:hAnsi="宋体" w:eastAsia="宋体" w:cs="宋体"/>
          <w:sz w:val="24"/>
          <w:highlight w:val="none"/>
        </w:rPr>
        <w:sectPr>
          <w:pgSz w:w="11910" w:h="16840"/>
          <w:pgMar w:top="1360" w:right="1120" w:bottom="1080" w:left="1260" w:header="882" w:footer="880" w:gutter="0"/>
          <w:cols w:space="720" w:num="1"/>
        </w:sectPr>
      </w:pPr>
    </w:p>
    <w:p w14:paraId="3D9E1DC5">
      <w:pPr>
        <w:pStyle w:val="10"/>
        <w:spacing w:before="5"/>
        <w:rPr>
          <w:rFonts w:hint="eastAsia" w:ascii="宋体" w:hAnsi="宋体" w:eastAsia="宋体" w:cs="宋体"/>
          <w:sz w:val="17"/>
          <w:highlight w:val="none"/>
        </w:rPr>
      </w:pPr>
    </w:p>
    <w:p w14:paraId="4DEA542C">
      <w:pPr>
        <w:pStyle w:val="26"/>
        <w:numPr>
          <w:ilvl w:val="0"/>
          <w:numId w:val="37"/>
        </w:numPr>
        <w:tabs>
          <w:tab w:val="left" w:pos="1265"/>
        </w:tabs>
        <w:spacing w:before="74"/>
        <w:ind w:left="1264" w:hanging="401"/>
        <w:rPr>
          <w:rFonts w:hint="eastAsia" w:ascii="宋体" w:hAnsi="宋体" w:eastAsia="宋体" w:cs="宋体"/>
          <w:sz w:val="24"/>
          <w:highlight w:val="none"/>
        </w:rPr>
      </w:pPr>
      <w:r>
        <w:rPr>
          <w:rFonts w:hint="eastAsia" w:ascii="宋体" w:hAnsi="宋体" w:eastAsia="宋体" w:cs="宋体"/>
          <w:spacing w:val="-5"/>
          <w:sz w:val="24"/>
          <w:highlight w:val="none"/>
        </w:rPr>
        <w:t>《新疆维吾尔自治区农民工工资保证金管理暂行办法》</w:t>
      </w:r>
      <w:r>
        <w:rPr>
          <w:rFonts w:hint="eastAsia" w:ascii="宋体" w:hAnsi="宋体" w:eastAsia="宋体" w:cs="宋体"/>
          <w:spacing w:val="-3"/>
          <w:sz w:val="24"/>
          <w:highlight w:val="none"/>
        </w:rPr>
        <w:t>（</w:t>
      </w:r>
      <w:r>
        <w:rPr>
          <w:rFonts w:hint="eastAsia" w:ascii="宋体" w:hAnsi="宋体" w:eastAsia="宋体" w:cs="宋体"/>
          <w:sz w:val="24"/>
          <w:highlight w:val="none"/>
        </w:rPr>
        <w:t>新政办发[2007]114</w:t>
      </w:r>
    </w:p>
    <w:p w14:paraId="0B566AC6">
      <w:pPr>
        <w:pStyle w:val="10"/>
        <w:spacing w:before="84"/>
        <w:ind w:left="384"/>
        <w:rPr>
          <w:rFonts w:hint="eastAsia" w:ascii="宋体" w:hAnsi="宋体" w:eastAsia="宋体" w:cs="宋体"/>
          <w:highlight w:val="none"/>
        </w:rPr>
      </w:pPr>
      <w:r>
        <w:rPr>
          <w:rFonts w:hint="eastAsia" w:ascii="宋体" w:hAnsi="宋体" w:eastAsia="宋体" w:cs="宋体"/>
          <w:highlight w:val="none"/>
        </w:rPr>
        <w:t>号）</w:t>
      </w:r>
    </w:p>
    <w:p w14:paraId="78F5D509">
      <w:pPr>
        <w:pStyle w:val="26"/>
        <w:numPr>
          <w:ilvl w:val="0"/>
          <w:numId w:val="37"/>
        </w:numPr>
        <w:tabs>
          <w:tab w:val="left" w:pos="1275"/>
        </w:tabs>
        <w:spacing w:before="86"/>
        <w:ind w:left="1274" w:hanging="411"/>
        <w:rPr>
          <w:rFonts w:hint="eastAsia" w:ascii="宋体" w:hAnsi="宋体" w:eastAsia="宋体" w:cs="宋体"/>
          <w:sz w:val="24"/>
          <w:highlight w:val="none"/>
        </w:rPr>
      </w:pPr>
      <w:r>
        <w:rPr>
          <w:rFonts w:hint="eastAsia" w:ascii="宋体" w:hAnsi="宋体" w:eastAsia="宋体" w:cs="宋体"/>
          <w:spacing w:val="9"/>
          <w:sz w:val="24"/>
          <w:highlight w:val="none"/>
        </w:rPr>
        <w:t>《关于做好农村公路建设项目农民工使用有关事宜的通知》</w:t>
      </w:r>
      <w:r>
        <w:rPr>
          <w:rFonts w:hint="eastAsia" w:ascii="宋体" w:hAnsi="宋体" w:eastAsia="宋体" w:cs="宋体"/>
          <w:spacing w:val="12"/>
          <w:sz w:val="24"/>
          <w:highlight w:val="none"/>
        </w:rPr>
        <w:t>（</w:t>
      </w:r>
      <w:r>
        <w:rPr>
          <w:rFonts w:hint="eastAsia" w:ascii="宋体" w:hAnsi="宋体" w:eastAsia="宋体" w:cs="宋体"/>
          <w:spacing w:val="7"/>
          <w:sz w:val="24"/>
          <w:highlight w:val="none"/>
        </w:rPr>
        <w:t>新交农路</w:t>
      </w:r>
    </w:p>
    <w:p w14:paraId="7499C6CA">
      <w:pPr>
        <w:pStyle w:val="10"/>
        <w:spacing w:before="83"/>
        <w:ind w:left="384"/>
        <w:rPr>
          <w:rFonts w:hint="eastAsia" w:ascii="宋体" w:hAnsi="宋体" w:eastAsia="宋体" w:cs="宋体"/>
          <w:highlight w:val="none"/>
        </w:rPr>
      </w:pPr>
      <w:r>
        <w:rPr>
          <w:rFonts w:hint="eastAsia" w:ascii="宋体" w:hAnsi="宋体" w:eastAsia="宋体" w:cs="宋体"/>
          <w:highlight w:val="none"/>
        </w:rPr>
        <w:t>〔2016〕16 号）；</w:t>
      </w:r>
    </w:p>
    <w:p w14:paraId="239D086B">
      <w:pPr>
        <w:pStyle w:val="26"/>
        <w:numPr>
          <w:ilvl w:val="0"/>
          <w:numId w:val="37"/>
        </w:numPr>
        <w:tabs>
          <w:tab w:val="left" w:pos="1268"/>
        </w:tabs>
        <w:spacing w:before="84"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新疆维吾尔自治区人社、住建、交通、水利四部门联合印发的《关于在工程建设领域实行农民工工资专用账户管理和银行代发工资制度的通知》（</w:t>
      </w:r>
      <w:r>
        <w:rPr>
          <w:rFonts w:hint="eastAsia" w:ascii="宋体" w:hAnsi="宋体" w:eastAsia="宋体" w:cs="宋体"/>
          <w:spacing w:val="-3"/>
          <w:sz w:val="24"/>
          <w:highlight w:val="none"/>
        </w:rPr>
        <w:t>新人社发</w:t>
      </w:r>
    </w:p>
    <w:p w14:paraId="79FD4E17">
      <w:pPr>
        <w:pStyle w:val="10"/>
        <w:spacing w:line="305" w:lineRule="exact"/>
        <w:ind w:left="384"/>
        <w:rPr>
          <w:rFonts w:hint="eastAsia" w:ascii="宋体" w:hAnsi="宋体" w:eastAsia="宋体" w:cs="宋体"/>
          <w:highlight w:val="none"/>
        </w:rPr>
      </w:pPr>
      <w:r>
        <w:rPr>
          <w:rFonts w:hint="eastAsia" w:ascii="宋体" w:hAnsi="宋体" w:eastAsia="宋体" w:cs="宋体"/>
          <w:highlight w:val="none"/>
        </w:rPr>
        <w:t>〔2018〕4 号）</w:t>
      </w:r>
    </w:p>
    <w:p w14:paraId="5EEB6BB6">
      <w:pPr>
        <w:pStyle w:val="10"/>
        <w:rPr>
          <w:rFonts w:hint="eastAsia" w:ascii="宋体" w:hAnsi="宋体" w:eastAsia="宋体" w:cs="宋体"/>
          <w:sz w:val="20"/>
          <w:highlight w:val="none"/>
        </w:rPr>
      </w:pPr>
      <w:r>
        <w:rPr>
          <w:rFonts w:hint="eastAsia" w:ascii="宋体" w:hAnsi="宋体" w:eastAsia="宋体" w:cs="宋体"/>
          <w:highlight w:val="none"/>
        </w:rPr>
        <w:t>承包人在施工中应严格执行国家、交通运输部、新疆维吾尔自治区、新疆交通</w:t>
      </w:r>
      <w:r>
        <w:rPr>
          <w:rFonts w:hint="eastAsia" w:ascii="宋体" w:hAnsi="宋体" w:eastAsia="宋体" w:cs="宋体"/>
          <w:spacing w:val="-10"/>
          <w:highlight w:val="none"/>
        </w:rPr>
        <w:t xml:space="preserve">运输厅现行通知、办法的相关规定，涉及报价因素的应在投标报价中充分予以考虑， </w:t>
      </w:r>
      <w:r>
        <w:rPr>
          <w:rFonts w:hint="eastAsia" w:ascii="宋体" w:hAnsi="宋体" w:eastAsia="宋体" w:cs="宋体"/>
          <w:highlight w:val="none"/>
        </w:rPr>
        <w:t>发包人将不另行支付。</w:t>
      </w:r>
    </w:p>
    <w:p w14:paraId="5373A82E">
      <w:pPr>
        <w:pStyle w:val="10"/>
        <w:spacing w:before="5"/>
        <w:rPr>
          <w:rFonts w:hint="eastAsia" w:ascii="宋体" w:hAnsi="宋体" w:eastAsia="宋体" w:cs="宋体"/>
          <w:sz w:val="29"/>
          <w:highlight w:val="none"/>
        </w:rPr>
      </w:pPr>
    </w:p>
    <w:p w14:paraId="07EC89F9">
      <w:pPr>
        <w:rPr>
          <w:rFonts w:hint="eastAsia"/>
          <w:highlight w:val="none"/>
        </w:rPr>
      </w:pPr>
    </w:p>
    <w:p w14:paraId="38C537CF">
      <w:pPr>
        <w:pStyle w:val="6"/>
        <w:tabs>
          <w:tab w:val="left" w:pos="1952"/>
        </w:tabs>
        <w:rPr>
          <w:rFonts w:hint="eastAsia" w:ascii="宋体" w:hAnsi="宋体" w:eastAsia="宋体" w:cs="宋体"/>
          <w:b/>
          <w:sz w:val="18"/>
          <w:highlight w:val="none"/>
        </w:rPr>
      </w:pPr>
      <w:bookmarkStart w:id="77" w:name="_TOC_250026"/>
      <w:bookmarkEnd w:id="77"/>
      <w:r>
        <w:rPr>
          <w:rFonts w:hint="eastAsia" w:ascii="宋体" w:hAnsi="宋体" w:eastAsia="宋体" w:cs="宋体"/>
          <w:sz w:val="30"/>
          <w:szCs w:val="30"/>
          <w:highlight w:val="none"/>
        </w:rPr>
        <w:t>第二节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专用合同条款</w:t>
      </w:r>
    </w:p>
    <w:p w14:paraId="2E7A95B1">
      <w:pPr>
        <w:pStyle w:val="22"/>
        <w:rPr>
          <w:rFonts w:hint="eastAsia"/>
          <w:highlight w:val="none"/>
        </w:rPr>
      </w:pPr>
    </w:p>
    <w:p w14:paraId="6514B716">
      <w:pPr>
        <w:pStyle w:val="10"/>
        <w:spacing w:before="66"/>
        <w:rPr>
          <w:rFonts w:hint="eastAsia" w:ascii="宋体" w:hAnsi="宋体" w:eastAsia="宋体" w:cs="宋体"/>
          <w:highlight w:val="none"/>
        </w:rPr>
      </w:pPr>
      <w:r>
        <w:rPr>
          <w:rFonts w:hint="eastAsia" w:ascii="宋体" w:hAnsi="宋体" w:eastAsia="宋体" w:cs="宋体"/>
          <w:highlight w:val="none"/>
        </w:rPr>
        <w:t>说明：</w:t>
      </w:r>
    </w:p>
    <w:p w14:paraId="265CB32F">
      <w:pPr>
        <w:pStyle w:val="10"/>
        <w:spacing w:before="84"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发包人可根据招标项目的具体特点和实际需要，对“通用合同条款”进行补充和细化，补充和细化的内容不得与“通用合同条款”强制性规定相抵触。同时，细化、补充或约定的不同内容，不得违反法律、行政法规的强制性规定和平等、自愿、公平和诚实信用原则。</w:t>
      </w:r>
    </w:p>
    <w:p w14:paraId="6ABA13E7">
      <w:pPr>
        <w:pStyle w:val="10"/>
        <w:spacing w:before="7"/>
        <w:ind w:left="864"/>
        <w:rPr>
          <w:rFonts w:hint="eastAsia" w:ascii="宋体" w:hAnsi="宋体" w:eastAsia="宋体" w:cs="宋体"/>
          <w:highlight w:val="none"/>
        </w:rPr>
      </w:pPr>
      <w:r>
        <w:rPr>
          <w:rFonts w:hint="eastAsia" w:ascii="宋体" w:hAnsi="宋体" w:eastAsia="宋体" w:cs="宋体"/>
          <w:highlight w:val="none"/>
        </w:rPr>
        <w:t>专用合同条款的编号应与通用合同条款号一致。</w:t>
      </w:r>
    </w:p>
    <w:p w14:paraId="0CC576BC">
      <w:pPr>
        <w:rPr>
          <w:rFonts w:hint="eastAsia" w:ascii="宋体" w:hAnsi="宋体" w:eastAsia="宋体" w:cs="宋体"/>
          <w:highlight w:val="none"/>
        </w:rPr>
        <w:sectPr>
          <w:footerReference r:id="rId8" w:type="default"/>
          <w:pgSz w:w="11910" w:h="16840"/>
          <w:pgMar w:top="1360" w:right="1120" w:bottom="1080" w:left="1260" w:header="882" w:footer="880" w:gutter="0"/>
          <w:cols w:space="720" w:num="1"/>
        </w:sectPr>
      </w:pPr>
    </w:p>
    <w:p w14:paraId="37134DD4">
      <w:pPr>
        <w:pStyle w:val="10"/>
        <w:rPr>
          <w:rFonts w:hint="eastAsia" w:ascii="宋体" w:hAnsi="宋体" w:eastAsia="宋体" w:cs="宋体"/>
          <w:sz w:val="18"/>
          <w:highlight w:val="none"/>
        </w:rPr>
      </w:pPr>
    </w:p>
    <w:p w14:paraId="558EF664">
      <w:pPr>
        <w:pStyle w:val="10"/>
        <w:spacing w:before="66"/>
        <w:ind w:left="3880"/>
        <w:rPr>
          <w:rFonts w:hint="eastAsia" w:ascii="宋体" w:hAnsi="宋体" w:eastAsia="宋体" w:cs="宋体"/>
          <w:b/>
          <w:bCs/>
          <w:highlight w:val="none"/>
        </w:rPr>
      </w:pPr>
      <w:r>
        <w:rPr>
          <w:rFonts w:hint="eastAsia" w:ascii="宋体" w:hAnsi="宋体" w:eastAsia="宋体" w:cs="宋体"/>
          <w:b/>
          <w:bCs/>
          <w:highlight w:val="none"/>
        </w:rPr>
        <w:t>合同条款数据表</w:t>
      </w:r>
    </w:p>
    <w:p w14:paraId="47159CB4">
      <w:pPr>
        <w:pStyle w:val="10"/>
        <w:spacing w:before="84" w:line="307" w:lineRule="auto"/>
        <w:ind w:left="384" w:right="382" w:firstLine="480"/>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7696" behindDoc="0" locked="0" layoutInCell="1" allowOverlap="1">
                <wp:simplePos x="0" y="0"/>
                <wp:positionH relativeFrom="page">
                  <wp:posOffset>972185</wp:posOffset>
                </wp:positionH>
                <wp:positionV relativeFrom="paragraph">
                  <wp:posOffset>504190</wp:posOffset>
                </wp:positionV>
                <wp:extent cx="5655310" cy="6537325"/>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5655310" cy="6537325"/>
                        </a:xfrm>
                        <a:prstGeom prst="rect">
                          <a:avLst/>
                        </a:prstGeom>
                        <a:noFill/>
                        <a:ln>
                          <a:noFill/>
                        </a:ln>
                      </wps:spPr>
                      <wps:txbx>
                        <w:txbxContent>
                          <w:tbl>
                            <w:tblPr>
                              <w:tblStyle w:val="23"/>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7"/>
                                    <w:spacing w:before="12"/>
                                    <w:rPr>
                                      <w:sz w:val="15"/>
                                    </w:rPr>
                                  </w:pPr>
                                </w:p>
                                <w:p w14:paraId="040F61E9">
                                  <w:pPr>
                                    <w:pStyle w:val="27"/>
                                    <w:ind w:left="356" w:right="346"/>
                                    <w:jc w:val="center"/>
                                    <w:rPr>
                                      <w:sz w:val="20"/>
                                    </w:rPr>
                                  </w:pPr>
                                  <w:r>
                                    <w:rPr>
                                      <w:sz w:val="20"/>
                                    </w:rPr>
                                    <w:t>条款号</w:t>
                                  </w:r>
                                </w:p>
                              </w:tc>
                              <w:tc>
                                <w:tcPr>
                                  <w:tcW w:w="7512" w:type="dxa"/>
                                </w:tcPr>
                                <w:p w14:paraId="79078EC2">
                                  <w:pPr>
                                    <w:pStyle w:val="27"/>
                                    <w:spacing w:before="12"/>
                                    <w:rPr>
                                      <w:sz w:val="15"/>
                                    </w:rPr>
                                  </w:pPr>
                                </w:p>
                                <w:p w14:paraId="23E4D063">
                                  <w:pPr>
                                    <w:pStyle w:val="27"/>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7"/>
                                    <w:rPr>
                                      <w:rFonts w:ascii="Times New Roman"/>
                                      <w:sz w:val="20"/>
                                    </w:rPr>
                                  </w:pPr>
                                </w:p>
                              </w:tc>
                              <w:tc>
                                <w:tcPr>
                                  <w:tcW w:w="7512" w:type="dxa"/>
                                </w:tcPr>
                                <w:p w14:paraId="6BF0F7AF">
                                  <w:pPr>
                                    <w:pStyle w:val="27"/>
                                    <w:spacing w:before="76"/>
                                    <w:ind w:left="282"/>
                                    <w:rPr>
                                      <w:rFonts w:hint="eastAsia" w:eastAsia="宋体"/>
                                      <w:sz w:val="21"/>
                                      <w:lang w:val="en-US" w:eastAsia="zh-CN"/>
                                    </w:rPr>
                                  </w:pPr>
                                  <w:r>
                                    <w:rPr>
                                      <w:sz w:val="21"/>
                                    </w:rPr>
                                    <w:t>发包人：</w:t>
                                  </w:r>
                                  <w:r>
                                    <w:rPr>
                                      <w:rFonts w:hint="eastAsia"/>
                                      <w:sz w:val="21"/>
                                      <w:lang w:val="en-US" w:eastAsia="zh-CN"/>
                                    </w:rPr>
                                    <w:t>伽师县西克尔库勒镇人民政府</w:t>
                                  </w:r>
                                </w:p>
                                <w:p w14:paraId="7643DB32">
                                  <w:pPr>
                                    <w:pStyle w:val="27"/>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7"/>
                                    <w:rPr>
                                      <w:rFonts w:ascii="Times New Roman"/>
                                      <w:sz w:val="20"/>
                                    </w:rPr>
                                  </w:pPr>
                                </w:p>
                              </w:tc>
                              <w:tc>
                                <w:tcPr>
                                  <w:tcW w:w="7512" w:type="dxa"/>
                                </w:tcPr>
                                <w:p w14:paraId="534075D5">
                                  <w:pPr>
                                    <w:pStyle w:val="27"/>
                                    <w:spacing w:before="75"/>
                                    <w:ind w:left="282"/>
                                    <w:rPr>
                                      <w:sz w:val="21"/>
                                      <w:lang w:val="en-US"/>
                                    </w:rPr>
                                  </w:pPr>
                                  <w:r>
                                    <w:rPr>
                                      <w:sz w:val="21"/>
                                    </w:rPr>
                                    <w:t>监理人：</w:t>
                                  </w:r>
                                  <w:r>
                                    <w:rPr>
                                      <w:rFonts w:hint="eastAsia"/>
                                      <w:sz w:val="21"/>
                                      <w:lang w:val="en-US"/>
                                    </w:rPr>
                                    <w:t>/</w:t>
                                  </w:r>
                                </w:p>
                                <w:p w14:paraId="17263391">
                                  <w:pPr>
                                    <w:pStyle w:val="27"/>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7"/>
                                    <w:spacing w:before="6"/>
                                    <w:rPr>
                                      <w:sz w:val="17"/>
                                    </w:rPr>
                                  </w:pPr>
                                </w:p>
                                <w:p w14:paraId="7BADB33F">
                                  <w:pPr>
                                    <w:pStyle w:val="27"/>
                                    <w:spacing w:before="1"/>
                                    <w:ind w:left="355" w:right="346"/>
                                    <w:jc w:val="center"/>
                                    <w:rPr>
                                      <w:rFonts w:ascii="Times New Roman"/>
                                      <w:sz w:val="20"/>
                                    </w:rPr>
                                  </w:pPr>
                                  <w:r>
                                    <w:rPr>
                                      <w:rFonts w:ascii="Times New Roman"/>
                                      <w:sz w:val="20"/>
                                    </w:rPr>
                                    <w:t>21.1</w:t>
                                  </w:r>
                                </w:p>
                              </w:tc>
                              <w:tc>
                                <w:tcPr>
                                  <w:tcW w:w="7512" w:type="dxa"/>
                                </w:tcPr>
                                <w:p w14:paraId="27A4523A">
                                  <w:pPr>
                                    <w:pStyle w:val="27"/>
                                    <w:spacing w:before="12"/>
                                    <w:rPr>
                                      <w:sz w:val="9"/>
                                    </w:rPr>
                                  </w:pPr>
                                </w:p>
                                <w:p w14:paraId="139AB8B3">
                                  <w:pPr>
                                    <w:pStyle w:val="27"/>
                                    <w:spacing w:line="132" w:lineRule="exact"/>
                                    <w:ind w:left="1273"/>
                                    <w:rPr>
                                      <w:sz w:val="14"/>
                                    </w:rPr>
                                  </w:pPr>
                                </w:p>
                                <w:p w14:paraId="6CF24980">
                                  <w:pPr>
                                    <w:pStyle w:val="27"/>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7"/>
                                    <w:rPr>
                                      <w:rFonts w:ascii="Times New Roman"/>
                                      <w:sz w:val="20"/>
                                    </w:rPr>
                                  </w:pPr>
                                </w:p>
                              </w:tc>
                              <w:tc>
                                <w:tcPr>
                                  <w:tcW w:w="7512" w:type="dxa"/>
                                </w:tcPr>
                                <w:p w14:paraId="347473BB">
                                  <w:pPr>
                                    <w:pStyle w:val="27"/>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7"/>
                                    <w:rPr>
                                      <w:rFonts w:ascii="Times New Roman"/>
                                      <w:sz w:val="20"/>
                                    </w:rPr>
                                  </w:pPr>
                                </w:p>
                              </w:tc>
                              <w:tc>
                                <w:tcPr>
                                  <w:tcW w:w="7512" w:type="dxa"/>
                                </w:tcPr>
                                <w:p w14:paraId="14819800">
                                  <w:pPr>
                                    <w:pStyle w:val="27"/>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7"/>
                                    <w:spacing w:before="10"/>
                                    <w:rPr>
                                      <w:sz w:val="15"/>
                                    </w:rPr>
                                  </w:pPr>
                                </w:p>
                                <w:p w14:paraId="6AC65A9F">
                                  <w:pPr>
                                    <w:pStyle w:val="27"/>
                                    <w:ind w:left="356" w:right="344"/>
                                    <w:jc w:val="center"/>
                                    <w:rPr>
                                      <w:rFonts w:ascii="Times New Roman"/>
                                      <w:sz w:val="20"/>
                                    </w:rPr>
                                  </w:pPr>
                                  <w:r>
                                    <w:rPr>
                                      <w:rFonts w:ascii="Times New Roman"/>
                                      <w:sz w:val="20"/>
                                    </w:rPr>
                                    <w:t>6.2</w:t>
                                  </w:r>
                                </w:p>
                              </w:tc>
                              <w:tc>
                                <w:tcPr>
                                  <w:tcW w:w="7512" w:type="dxa"/>
                                </w:tcPr>
                                <w:p w14:paraId="24900981">
                                  <w:pPr>
                                    <w:pStyle w:val="27"/>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7"/>
                                    <w:spacing w:before="9"/>
                                    <w:rPr>
                                      <w:sz w:val="15"/>
                                    </w:rPr>
                                  </w:pPr>
                                </w:p>
                                <w:p w14:paraId="69CC2CE8">
                                  <w:pPr>
                                    <w:pStyle w:val="27"/>
                                    <w:ind w:left="356" w:right="344"/>
                                    <w:jc w:val="center"/>
                                    <w:rPr>
                                      <w:rFonts w:ascii="Times New Roman"/>
                                      <w:sz w:val="20"/>
                                    </w:rPr>
                                  </w:pPr>
                                  <w:r>
                                    <w:rPr>
                                      <w:rFonts w:ascii="Times New Roman"/>
                                      <w:sz w:val="20"/>
                                    </w:rPr>
                                    <w:t>6.2</w:t>
                                  </w:r>
                                </w:p>
                              </w:tc>
                              <w:tc>
                                <w:tcPr>
                                  <w:tcW w:w="7512" w:type="dxa"/>
                                </w:tcPr>
                                <w:p w14:paraId="191FDF1C">
                                  <w:pPr>
                                    <w:pStyle w:val="27"/>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7"/>
                                    <w:spacing w:before="1"/>
                                    <w:rPr>
                                      <w:sz w:val="26"/>
                                      <w:highlight w:val="none"/>
                                    </w:rPr>
                                  </w:pPr>
                                </w:p>
                                <w:p w14:paraId="57691172">
                                  <w:pPr>
                                    <w:pStyle w:val="27"/>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7"/>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7"/>
                                    <w:spacing w:before="9"/>
                                    <w:rPr>
                                      <w:sz w:val="15"/>
                                    </w:rPr>
                                  </w:pPr>
                                </w:p>
                                <w:p w14:paraId="7912DA0C">
                                  <w:pPr>
                                    <w:pStyle w:val="27"/>
                                    <w:ind w:left="356" w:right="344"/>
                                    <w:jc w:val="center"/>
                                    <w:rPr>
                                      <w:rFonts w:ascii="Times New Roman"/>
                                      <w:sz w:val="20"/>
                                    </w:rPr>
                                  </w:pPr>
                                  <w:r>
                                    <w:rPr>
                                      <w:rFonts w:ascii="Times New Roman"/>
                                      <w:sz w:val="20"/>
                                    </w:rPr>
                                    <w:t>8.4</w:t>
                                  </w:r>
                                </w:p>
                              </w:tc>
                              <w:tc>
                                <w:tcPr>
                                  <w:tcW w:w="7512" w:type="dxa"/>
                                </w:tcPr>
                                <w:p w14:paraId="0A0F949C">
                                  <w:pPr>
                                    <w:pStyle w:val="27"/>
                                    <w:spacing w:before="106" w:line="125" w:lineRule="exact"/>
                                    <w:ind w:left="662"/>
                                    <w:jc w:val="center"/>
                                    <w:rPr>
                                      <w:sz w:val="14"/>
                                    </w:rPr>
                                  </w:pPr>
                                </w:p>
                                <w:p w14:paraId="4FB8BC55">
                                  <w:pPr>
                                    <w:pStyle w:val="27"/>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7"/>
                                    <w:spacing w:before="10"/>
                                    <w:rPr>
                                      <w:sz w:val="15"/>
                                    </w:rPr>
                                  </w:pPr>
                                </w:p>
                                <w:p w14:paraId="242FD817">
                                  <w:pPr>
                                    <w:pStyle w:val="27"/>
                                    <w:ind w:left="356" w:right="344"/>
                                    <w:jc w:val="center"/>
                                    <w:rPr>
                                      <w:rFonts w:ascii="Times New Roman"/>
                                      <w:sz w:val="20"/>
                                    </w:rPr>
                                  </w:pPr>
                                  <w:r>
                                    <w:rPr>
                                      <w:rFonts w:ascii="Times New Roman"/>
                                      <w:sz w:val="20"/>
                                    </w:rPr>
                                    <w:t>5.6</w:t>
                                  </w:r>
                                </w:p>
                              </w:tc>
                              <w:tc>
                                <w:tcPr>
                                  <w:tcW w:w="7512" w:type="dxa"/>
                                </w:tcPr>
                                <w:p w14:paraId="4BB3F715">
                                  <w:pPr>
                                    <w:pStyle w:val="27"/>
                                    <w:spacing w:before="105" w:line="125" w:lineRule="exact"/>
                                    <w:ind w:left="33"/>
                                    <w:jc w:val="center"/>
                                    <w:rPr>
                                      <w:sz w:val="14"/>
                                    </w:rPr>
                                  </w:pPr>
                                </w:p>
                                <w:p w14:paraId="69AF4926">
                                  <w:pPr>
                                    <w:pStyle w:val="27"/>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7"/>
                                    <w:spacing w:before="9"/>
                                    <w:rPr>
                                      <w:sz w:val="15"/>
                                    </w:rPr>
                                  </w:pPr>
                                </w:p>
                                <w:p w14:paraId="65F00333">
                                  <w:pPr>
                                    <w:pStyle w:val="27"/>
                                    <w:ind w:left="355" w:right="346"/>
                                    <w:jc w:val="center"/>
                                    <w:rPr>
                                      <w:rFonts w:ascii="Times New Roman"/>
                                      <w:sz w:val="20"/>
                                    </w:rPr>
                                  </w:pPr>
                                  <w:r>
                                    <w:rPr>
                                      <w:rFonts w:ascii="Times New Roman"/>
                                      <w:sz w:val="20"/>
                                    </w:rPr>
                                    <w:t>17.5</w:t>
                                  </w:r>
                                </w:p>
                              </w:tc>
                              <w:tc>
                                <w:tcPr>
                                  <w:tcW w:w="7512" w:type="dxa"/>
                                </w:tcPr>
                                <w:p w14:paraId="18C400ED">
                                  <w:pPr>
                                    <w:pStyle w:val="27"/>
                                    <w:spacing w:before="106" w:line="125" w:lineRule="exact"/>
                                    <w:ind w:right="426"/>
                                    <w:jc w:val="right"/>
                                    <w:rPr>
                                      <w:sz w:val="14"/>
                                    </w:rPr>
                                  </w:pPr>
                                </w:p>
                                <w:p w14:paraId="6B544FFF">
                                  <w:pPr>
                                    <w:pStyle w:val="27"/>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7"/>
                                    <w:spacing w:before="10"/>
                                    <w:rPr>
                                      <w:sz w:val="15"/>
                                    </w:rPr>
                                  </w:pPr>
                                </w:p>
                                <w:p w14:paraId="74269234">
                                  <w:pPr>
                                    <w:pStyle w:val="27"/>
                                    <w:ind w:left="355" w:right="346"/>
                                    <w:jc w:val="center"/>
                                    <w:rPr>
                                      <w:rFonts w:ascii="Times New Roman"/>
                                      <w:sz w:val="20"/>
                                    </w:rPr>
                                  </w:pPr>
                                  <w:r>
                                    <w:rPr>
                                      <w:rFonts w:ascii="Times New Roman"/>
                                      <w:sz w:val="20"/>
                                    </w:rPr>
                                    <w:t>18.3</w:t>
                                  </w:r>
                                </w:p>
                              </w:tc>
                              <w:tc>
                                <w:tcPr>
                                  <w:tcW w:w="7512" w:type="dxa"/>
                                </w:tcPr>
                                <w:p w14:paraId="1BA78765">
                                  <w:pPr>
                                    <w:pStyle w:val="27"/>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7"/>
                                    <w:spacing w:before="10"/>
                                    <w:rPr>
                                      <w:sz w:val="20"/>
                                    </w:rPr>
                                  </w:pPr>
                                </w:p>
                                <w:p w14:paraId="0DD70520">
                                  <w:pPr>
                                    <w:pStyle w:val="27"/>
                                    <w:ind w:left="356" w:right="346"/>
                                    <w:jc w:val="center"/>
                                    <w:rPr>
                                      <w:rFonts w:ascii="Times New Roman"/>
                                      <w:sz w:val="20"/>
                                    </w:rPr>
                                  </w:pPr>
                                  <w:r>
                                    <w:rPr>
                                      <w:rFonts w:ascii="Times New Roman"/>
                                      <w:sz w:val="20"/>
                                    </w:rPr>
                                    <w:t>18.3(3)</w:t>
                                  </w:r>
                                </w:p>
                              </w:tc>
                              <w:tc>
                                <w:tcPr>
                                  <w:tcW w:w="7512" w:type="dxa"/>
                                </w:tcPr>
                                <w:p w14:paraId="6F37B6A3">
                                  <w:pPr>
                                    <w:pStyle w:val="27"/>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7"/>
                                  </w:pPr>
                                </w:p>
                                <w:p w14:paraId="54950B4D">
                                  <w:pPr>
                                    <w:pStyle w:val="27"/>
                                  </w:pPr>
                                </w:p>
                                <w:p w14:paraId="58173D75">
                                  <w:pPr>
                                    <w:pStyle w:val="27"/>
                                    <w:spacing w:before="183"/>
                                    <w:ind w:left="356" w:right="346"/>
                                    <w:jc w:val="center"/>
                                    <w:rPr>
                                      <w:rFonts w:ascii="Times New Roman"/>
                                      <w:sz w:val="20"/>
                                    </w:rPr>
                                  </w:pPr>
                                  <w:r>
                                    <w:rPr>
                                      <w:rFonts w:ascii="Times New Roman"/>
                                      <w:sz w:val="20"/>
                                    </w:rPr>
                                    <w:t>18.7(1)</w:t>
                                  </w:r>
                                </w:p>
                              </w:tc>
                              <w:tc>
                                <w:tcPr>
                                  <w:tcW w:w="7512" w:type="dxa"/>
                                </w:tcPr>
                                <w:p w14:paraId="2E70B476">
                                  <w:pPr>
                                    <w:pStyle w:val="27"/>
                                    <w:spacing w:line="100" w:lineRule="exact"/>
                                    <w:ind w:left="1750"/>
                                    <w:rPr>
                                      <w:sz w:val="14"/>
                                    </w:rPr>
                                  </w:pPr>
                                </w:p>
                                <w:p w14:paraId="5A498E15">
                                  <w:pPr>
                                    <w:pStyle w:val="27"/>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7"/>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7"/>
                                    <w:spacing w:line="260" w:lineRule="exact"/>
                                    <w:rPr>
                                      <w:sz w:val="21"/>
                                    </w:rPr>
                                  </w:pPr>
                                  <w:r>
                                    <w:rPr>
                                      <w:sz w:val="21"/>
                                    </w:rPr>
                                    <w:t>合同价格质量保证金的优惠 ：</w:t>
                                  </w:r>
                                </w:p>
                                <w:p w14:paraId="16E6561F">
                                  <w:pPr>
                                    <w:pStyle w:val="27"/>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7"/>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wps:txbx>
                      <wps:bodyPr lIns="0" tIns="0" rIns="0" bIns="0" upright="1"/>
                    </wps:wsp>
                  </a:graphicData>
                </a:graphic>
              </wp:anchor>
            </w:drawing>
          </mc:Choice>
          <mc:Fallback>
            <w:pict>
              <v:shape id="文本框 30" o:spid="_x0000_s1026" o:spt="202" type="#_x0000_t202" style="position:absolute;left:0pt;margin-left:76.55pt;margin-top:39.7pt;height:514.75pt;width:445.3pt;mso-position-horizontal-relative:page;z-index:251677696;mso-width-relative:page;mso-height-relative:page;" filled="f" stroked="f" coordsize="21600,21600" o:gfxdata="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4NoIzaAAAADAEAAA8AAAAAAAAAAQAgAAAAIgAAAGRycy9kb3ducmV2LnhtbFBL&#10;AQIUABQAAAAIAIdO4kBcJKVbuwEAAHUDAAAOAAAAAAAAAAEAIAAAACkBAABkcnMvZTJvRG9jLnht&#10;bFBLBQYAAAAABgAGAFkBAABWBQAAAAA=&#10;">
                <v:fill on="f" focussize="0,0"/>
                <v:stroke on="f"/>
                <v:imagedata o:title=""/>
                <o:lock v:ext="edit" aspectratio="f"/>
                <v:textbox inset="0mm,0mm,0mm,0mm">
                  <w:txbxContent>
                    <w:tbl>
                      <w:tblPr>
                        <w:tblStyle w:val="23"/>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7"/>
                              <w:spacing w:before="12"/>
                              <w:rPr>
                                <w:sz w:val="15"/>
                              </w:rPr>
                            </w:pPr>
                          </w:p>
                          <w:p w14:paraId="040F61E9">
                            <w:pPr>
                              <w:pStyle w:val="27"/>
                              <w:ind w:left="356" w:right="346"/>
                              <w:jc w:val="center"/>
                              <w:rPr>
                                <w:sz w:val="20"/>
                              </w:rPr>
                            </w:pPr>
                            <w:r>
                              <w:rPr>
                                <w:sz w:val="20"/>
                              </w:rPr>
                              <w:t>条款号</w:t>
                            </w:r>
                          </w:p>
                        </w:tc>
                        <w:tc>
                          <w:tcPr>
                            <w:tcW w:w="7512" w:type="dxa"/>
                          </w:tcPr>
                          <w:p w14:paraId="79078EC2">
                            <w:pPr>
                              <w:pStyle w:val="27"/>
                              <w:spacing w:before="12"/>
                              <w:rPr>
                                <w:sz w:val="15"/>
                              </w:rPr>
                            </w:pPr>
                          </w:p>
                          <w:p w14:paraId="23E4D063">
                            <w:pPr>
                              <w:pStyle w:val="27"/>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7"/>
                              <w:rPr>
                                <w:rFonts w:ascii="Times New Roman"/>
                                <w:sz w:val="20"/>
                              </w:rPr>
                            </w:pPr>
                          </w:p>
                        </w:tc>
                        <w:tc>
                          <w:tcPr>
                            <w:tcW w:w="7512" w:type="dxa"/>
                          </w:tcPr>
                          <w:p w14:paraId="6BF0F7AF">
                            <w:pPr>
                              <w:pStyle w:val="27"/>
                              <w:spacing w:before="76"/>
                              <w:ind w:left="282"/>
                              <w:rPr>
                                <w:rFonts w:hint="eastAsia" w:eastAsia="宋体"/>
                                <w:sz w:val="21"/>
                                <w:lang w:val="en-US" w:eastAsia="zh-CN"/>
                              </w:rPr>
                            </w:pPr>
                            <w:r>
                              <w:rPr>
                                <w:sz w:val="21"/>
                              </w:rPr>
                              <w:t>发包人：</w:t>
                            </w:r>
                            <w:r>
                              <w:rPr>
                                <w:rFonts w:hint="eastAsia"/>
                                <w:sz w:val="21"/>
                                <w:lang w:val="en-US" w:eastAsia="zh-CN"/>
                              </w:rPr>
                              <w:t>伽师县西克尔库勒镇人民政府</w:t>
                            </w:r>
                          </w:p>
                          <w:p w14:paraId="7643DB32">
                            <w:pPr>
                              <w:pStyle w:val="27"/>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7"/>
                              <w:rPr>
                                <w:rFonts w:ascii="Times New Roman"/>
                                <w:sz w:val="20"/>
                              </w:rPr>
                            </w:pPr>
                          </w:p>
                        </w:tc>
                        <w:tc>
                          <w:tcPr>
                            <w:tcW w:w="7512" w:type="dxa"/>
                          </w:tcPr>
                          <w:p w14:paraId="534075D5">
                            <w:pPr>
                              <w:pStyle w:val="27"/>
                              <w:spacing w:before="75"/>
                              <w:ind w:left="282"/>
                              <w:rPr>
                                <w:sz w:val="21"/>
                                <w:lang w:val="en-US"/>
                              </w:rPr>
                            </w:pPr>
                            <w:r>
                              <w:rPr>
                                <w:sz w:val="21"/>
                              </w:rPr>
                              <w:t>监理人：</w:t>
                            </w:r>
                            <w:r>
                              <w:rPr>
                                <w:rFonts w:hint="eastAsia"/>
                                <w:sz w:val="21"/>
                                <w:lang w:val="en-US"/>
                              </w:rPr>
                              <w:t>/</w:t>
                            </w:r>
                          </w:p>
                          <w:p w14:paraId="17263391">
                            <w:pPr>
                              <w:pStyle w:val="27"/>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7"/>
                              <w:spacing w:before="6"/>
                              <w:rPr>
                                <w:sz w:val="17"/>
                              </w:rPr>
                            </w:pPr>
                          </w:p>
                          <w:p w14:paraId="7BADB33F">
                            <w:pPr>
                              <w:pStyle w:val="27"/>
                              <w:spacing w:before="1"/>
                              <w:ind w:left="355" w:right="346"/>
                              <w:jc w:val="center"/>
                              <w:rPr>
                                <w:rFonts w:ascii="Times New Roman"/>
                                <w:sz w:val="20"/>
                              </w:rPr>
                            </w:pPr>
                            <w:r>
                              <w:rPr>
                                <w:rFonts w:ascii="Times New Roman"/>
                                <w:sz w:val="20"/>
                              </w:rPr>
                              <w:t>21.1</w:t>
                            </w:r>
                          </w:p>
                        </w:tc>
                        <w:tc>
                          <w:tcPr>
                            <w:tcW w:w="7512" w:type="dxa"/>
                          </w:tcPr>
                          <w:p w14:paraId="27A4523A">
                            <w:pPr>
                              <w:pStyle w:val="27"/>
                              <w:spacing w:before="12"/>
                              <w:rPr>
                                <w:sz w:val="9"/>
                              </w:rPr>
                            </w:pPr>
                          </w:p>
                          <w:p w14:paraId="139AB8B3">
                            <w:pPr>
                              <w:pStyle w:val="27"/>
                              <w:spacing w:line="132" w:lineRule="exact"/>
                              <w:ind w:left="1273"/>
                              <w:rPr>
                                <w:sz w:val="14"/>
                              </w:rPr>
                            </w:pPr>
                          </w:p>
                          <w:p w14:paraId="6CF24980">
                            <w:pPr>
                              <w:pStyle w:val="27"/>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7"/>
                              <w:rPr>
                                <w:rFonts w:ascii="Times New Roman"/>
                                <w:sz w:val="20"/>
                              </w:rPr>
                            </w:pPr>
                          </w:p>
                        </w:tc>
                        <w:tc>
                          <w:tcPr>
                            <w:tcW w:w="7512" w:type="dxa"/>
                          </w:tcPr>
                          <w:p w14:paraId="347473BB">
                            <w:pPr>
                              <w:pStyle w:val="27"/>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7"/>
                              <w:rPr>
                                <w:rFonts w:ascii="Times New Roman"/>
                                <w:sz w:val="20"/>
                              </w:rPr>
                            </w:pPr>
                          </w:p>
                        </w:tc>
                        <w:tc>
                          <w:tcPr>
                            <w:tcW w:w="7512" w:type="dxa"/>
                          </w:tcPr>
                          <w:p w14:paraId="14819800">
                            <w:pPr>
                              <w:pStyle w:val="27"/>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7"/>
                              <w:spacing w:before="10"/>
                              <w:rPr>
                                <w:sz w:val="15"/>
                              </w:rPr>
                            </w:pPr>
                          </w:p>
                          <w:p w14:paraId="6AC65A9F">
                            <w:pPr>
                              <w:pStyle w:val="27"/>
                              <w:ind w:left="356" w:right="344"/>
                              <w:jc w:val="center"/>
                              <w:rPr>
                                <w:rFonts w:ascii="Times New Roman"/>
                                <w:sz w:val="20"/>
                              </w:rPr>
                            </w:pPr>
                            <w:r>
                              <w:rPr>
                                <w:rFonts w:ascii="Times New Roman"/>
                                <w:sz w:val="20"/>
                              </w:rPr>
                              <w:t>6.2</w:t>
                            </w:r>
                          </w:p>
                        </w:tc>
                        <w:tc>
                          <w:tcPr>
                            <w:tcW w:w="7512" w:type="dxa"/>
                          </w:tcPr>
                          <w:p w14:paraId="24900981">
                            <w:pPr>
                              <w:pStyle w:val="27"/>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7"/>
                              <w:spacing w:before="9"/>
                              <w:rPr>
                                <w:sz w:val="15"/>
                              </w:rPr>
                            </w:pPr>
                          </w:p>
                          <w:p w14:paraId="69CC2CE8">
                            <w:pPr>
                              <w:pStyle w:val="27"/>
                              <w:ind w:left="356" w:right="344"/>
                              <w:jc w:val="center"/>
                              <w:rPr>
                                <w:rFonts w:ascii="Times New Roman"/>
                                <w:sz w:val="20"/>
                              </w:rPr>
                            </w:pPr>
                            <w:r>
                              <w:rPr>
                                <w:rFonts w:ascii="Times New Roman"/>
                                <w:sz w:val="20"/>
                              </w:rPr>
                              <w:t>6.2</w:t>
                            </w:r>
                          </w:p>
                        </w:tc>
                        <w:tc>
                          <w:tcPr>
                            <w:tcW w:w="7512" w:type="dxa"/>
                          </w:tcPr>
                          <w:p w14:paraId="191FDF1C">
                            <w:pPr>
                              <w:pStyle w:val="27"/>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7"/>
                              <w:spacing w:before="1"/>
                              <w:rPr>
                                <w:sz w:val="26"/>
                                <w:highlight w:val="none"/>
                              </w:rPr>
                            </w:pPr>
                          </w:p>
                          <w:p w14:paraId="57691172">
                            <w:pPr>
                              <w:pStyle w:val="27"/>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7"/>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7"/>
                              <w:spacing w:before="9"/>
                              <w:rPr>
                                <w:sz w:val="15"/>
                              </w:rPr>
                            </w:pPr>
                          </w:p>
                          <w:p w14:paraId="7912DA0C">
                            <w:pPr>
                              <w:pStyle w:val="27"/>
                              <w:ind w:left="356" w:right="344"/>
                              <w:jc w:val="center"/>
                              <w:rPr>
                                <w:rFonts w:ascii="Times New Roman"/>
                                <w:sz w:val="20"/>
                              </w:rPr>
                            </w:pPr>
                            <w:r>
                              <w:rPr>
                                <w:rFonts w:ascii="Times New Roman"/>
                                <w:sz w:val="20"/>
                              </w:rPr>
                              <w:t>8.4</w:t>
                            </w:r>
                          </w:p>
                        </w:tc>
                        <w:tc>
                          <w:tcPr>
                            <w:tcW w:w="7512" w:type="dxa"/>
                          </w:tcPr>
                          <w:p w14:paraId="0A0F949C">
                            <w:pPr>
                              <w:pStyle w:val="27"/>
                              <w:spacing w:before="106" w:line="125" w:lineRule="exact"/>
                              <w:ind w:left="662"/>
                              <w:jc w:val="center"/>
                              <w:rPr>
                                <w:sz w:val="14"/>
                              </w:rPr>
                            </w:pPr>
                          </w:p>
                          <w:p w14:paraId="4FB8BC55">
                            <w:pPr>
                              <w:pStyle w:val="27"/>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7"/>
                              <w:spacing w:before="10"/>
                              <w:rPr>
                                <w:sz w:val="15"/>
                              </w:rPr>
                            </w:pPr>
                          </w:p>
                          <w:p w14:paraId="242FD817">
                            <w:pPr>
                              <w:pStyle w:val="27"/>
                              <w:ind w:left="356" w:right="344"/>
                              <w:jc w:val="center"/>
                              <w:rPr>
                                <w:rFonts w:ascii="Times New Roman"/>
                                <w:sz w:val="20"/>
                              </w:rPr>
                            </w:pPr>
                            <w:r>
                              <w:rPr>
                                <w:rFonts w:ascii="Times New Roman"/>
                                <w:sz w:val="20"/>
                              </w:rPr>
                              <w:t>5.6</w:t>
                            </w:r>
                          </w:p>
                        </w:tc>
                        <w:tc>
                          <w:tcPr>
                            <w:tcW w:w="7512" w:type="dxa"/>
                          </w:tcPr>
                          <w:p w14:paraId="4BB3F715">
                            <w:pPr>
                              <w:pStyle w:val="27"/>
                              <w:spacing w:before="105" w:line="125" w:lineRule="exact"/>
                              <w:ind w:left="33"/>
                              <w:jc w:val="center"/>
                              <w:rPr>
                                <w:sz w:val="14"/>
                              </w:rPr>
                            </w:pPr>
                          </w:p>
                          <w:p w14:paraId="69AF4926">
                            <w:pPr>
                              <w:pStyle w:val="27"/>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7"/>
                              <w:spacing w:before="9"/>
                              <w:rPr>
                                <w:sz w:val="15"/>
                              </w:rPr>
                            </w:pPr>
                          </w:p>
                          <w:p w14:paraId="65F00333">
                            <w:pPr>
                              <w:pStyle w:val="27"/>
                              <w:ind w:left="355" w:right="346"/>
                              <w:jc w:val="center"/>
                              <w:rPr>
                                <w:rFonts w:ascii="Times New Roman"/>
                                <w:sz w:val="20"/>
                              </w:rPr>
                            </w:pPr>
                            <w:r>
                              <w:rPr>
                                <w:rFonts w:ascii="Times New Roman"/>
                                <w:sz w:val="20"/>
                              </w:rPr>
                              <w:t>17.5</w:t>
                            </w:r>
                          </w:p>
                        </w:tc>
                        <w:tc>
                          <w:tcPr>
                            <w:tcW w:w="7512" w:type="dxa"/>
                          </w:tcPr>
                          <w:p w14:paraId="18C400ED">
                            <w:pPr>
                              <w:pStyle w:val="27"/>
                              <w:spacing w:before="106" w:line="125" w:lineRule="exact"/>
                              <w:ind w:right="426"/>
                              <w:jc w:val="right"/>
                              <w:rPr>
                                <w:sz w:val="14"/>
                              </w:rPr>
                            </w:pPr>
                          </w:p>
                          <w:p w14:paraId="6B544FFF">
                            <w:pPr>
                              <w:pStyle w:val="27"/>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7"/>
                              <w:spacing w:before="10"/>
                              <w:rPr>
                                <w:sz w:val="15"/>
                              </w:rPr>
                            </w:pPr>
                          </w:p>
                          <w:p w14:paraId="74269234">
                            <w:pPr>
                              <w:pStyle w:val="27"/>
                              <w:ind w:left="355" w:right="346"/>
                              <w:jc w:val="center"/>
                              <w:rPr>
                                <w:rFonts w:ascii="Times New Roman"/>
                                <w:sz w:val="20"/>
                              </w:rPr>
                            </w:pPr>
                            <w:r>
                              <w:rPr>
                                <w:rFonts w:ascii="Times New Roman"/>
                                <w:sz w:val="20"/>
                              </w:rPr>
                              <w:t>18.3</w:t>
                            </w:r>
                          </w:p>
                        </w:tc>
                        <w:tc>
                          <w:tcPr>
                            <w:tcW w:w="7512" w:type="dxa"/>
                          </w:tcPr>
                          <w:p w14:paraId="1BA78765">
                            <w:pPr>
                              <w:pStyle w:val="27"/>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7"/>
                              <w:spacing w:before="10"/>
                              <w:rPr>
                                <w:sz w:val="20"/>
                              </w:rPr>
                            </w:pPr>
                          </w:p>
                          <w:p w14:paraId="0DD70520">
                            <w:pPr>
                              <w:pStyle w:val="27"/>
                              <w:ind w:left="356" w:right="346"/>
                              <w:jc w:val="center"/>
                              <w:rPr>
                                <w:rFonts w:ascii="Times New Roman"/>
                                <w:sz w:val="20"/>
                              </w:rPr>
                            </w:pPr>
                            <w:r>
                              <w:rPr>
                                <w:rFonts w:ascii="Times New Roman"/>
                                <w:sz w:val="20"/>
                              </w:rPr>
                              <w:t>18.3(3)</w:t>
                            </w:r>
                          </w:p>
                        </w:tc>
                        <w:tc>
                          <w:tcPr>
                            <w:tcW w:w="7512" w:type="dxa"/>
                          </w:tcPr>
                          <w:p w14:paraId="6F37B6A3">
                            <w:pPr>
                              <w:pStyle w:val="27"/>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7"/>
                            </w:pPr>
                          </w:p>
                          <w:p w14:paraId="54950B4D">
                            <w:pPr>
                              <w:pStyle w:val="27"/>
                            </w:pPr>
                          </w:p>
                          <w:p w14:paraId="58173D75">
                            <w:pPr>
                              <w:pStyle w:val="27"/>
                              <w:spacing w:before="183"/>
                              <w:ind w:left="356" w:right="346"/>
                              <w:jc w:val="center"/>
                              <w:rPr>
                                <w:rFonts w:ascii="Times New Roman"/>
                                <w:sz w:val="20"/>
                              </w:rPr>
                            </w:pPr>
                            <w:r>
                              <w:rPr>
                                <w:rFonts w:ascii="Times New Roman"/>
                                <w:sz w:val="20"/>
                              </w:rPr>
                              <w:t>18.7(1)</w:t>
                            </w:r>
                          </w:p>
                        </w:tc>
                        <w:tc>
                          <w:tcPr>
                            <w:tcW w:w="7512" w:type="dxa"/>
                          </w:tcPr>
                          <w:p w14:paraId="2E70B476">
                            <w:pPr>
                              <w:pStyle w:val="27"/>
                              <w:spacing w:line="100" w:lineRule="exact"/>
                              <w:ind w:left="1750"/>
                              <w:rPr>
                                <w:sz w:val="14"/>
                              </w:rPr>
                            </w:pPr>
                          </w:p>
                          <w:p w14:paraId="5A498E15">
                            <w:pPr>
                              <w:pStyle w:val="27"/>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7"/>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7"/>
                              <w:spacing w:line="260" w:lineRule="exact"/>
                              <w:rPr>
                                <w:sz w:val="21"/>
                              </w:rPr>
                            </w:pPr>
                            <w:r>
                              <w:rPr>
                                <w:sz w:val="21"/>
                              </w:rPr>
                              <w:t>合同价格质量保证金的优惠 ：</w:t>
                            </w:r>
                          </w:p>
                          <w:p w14:paraId="16E6561F">
                            <w:pPr>
                              <w:pStyle w:val="27"/>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7"/>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v:textbox>
              </v:shape>
            </w:pict>
          </mc:Fallback>
        </mc:AlternateContent>
      </w:r>
      <w:r>
        <w:rPr>
          <w:rFonts w:hint="eastAsia" w:ascii="宋体" w:hAnsi="宋体" w:eastAsia="宋体" w:cs="宋体"/>
          <w:highlight w:val="none"/>
        </w:rPr>
        <w:t>说明： 本数据表是项目合同条款中适用于本项目的信息和数据的归纳与提示， 是项目合同条款的组成部分。</w:t>
      </w:r>
    </w:p>
    <w:p w14:paraId="63F49A09">
      <w:pPr>
        <w:pStyle w:val="10"/>
        <w:rPr>
          <w:rFonts w:hint="eastAsia" w:ascii="宋体" w:hAnsi="宋体" w:eastAsia="宋体" w:cs="宋体"/>
          <w:sz w:val="20"/>
          <w:highlight w:val="none"/>
        </w:rPr>
      </w:pPr>
    </w:p>
    <w:p w14:paraId="12726715">
      <w:pPr>
        <w:pStyle w:val="10"/>
        <w:rPr>
          <w:rFonts w:hint="eastAsia" w:ascii="宋体" w:hAnsi="宋体" w:eastAsia="宋体" w:cs="宋体"/>
          <w:sz w:val="20"/>
          <w:highlight w:val="none"/>
        </w:rPr>
      </w:pPr>
    </w:p>
    <w:p w14:paraId="6EADFFB5">
      <w:pPr>
        <w:pStyle w:val="10"/>
        <w:rPr>
          <w:rFonts w:hint="eastAsia" w:ascii="宋体" w:hAnsi="宋体" w:eastAsia="宋体" w:cs="宋体"/>
          <w:sz w:val="20"/>
          <w:highlight w:val="none"/>
        </w:rPr>
      </w:pPr>
    </w:p>
    <w:p w14:paraId="7768A5D8">
      <w:pPr>
        <w:pStyle w:val="10"/>
        <w:rPr>
          <w:rFonts w:hint="eastAsia" w:ascii="宋体" w:hAnsi="宋体" w:eastAsia="宋体" w:cs="宋体"/>
          <w:sz w:val="20"/>
          <w:highlight w:val="none"/>
        </w:rPr>
      </w:pPr>
    </w:p>
    <w:p w14:paraId="5EE4C200">
      <w:pPr>
        <w:pStyle w:val="10"/>
        <w:rPr>
          <w:rFonts w:hint="eastAsia" w:ascii="宋体" w:hAnsi="宋体" w:eastAsia="宋体" w:cs="宋体"/>
          <w:sz w:val="20"/>
          <w:highlight w:val="none"/>
        </w:rPr>
      </w:pPr>
    </w:p>
    <w:p w14:paraId="1C761AFC">
      <w:pPr>
        <w:pStyle w:val="10"/>
        <w:rPr>
          <w:rFonts w:hint="eastAsia" w:ascii="宋体" w:hAnsi="宋体" w:eastAsia="宋体" w:cs="宋体"/>
          <w:sz w:val="20"/>
          <w:highlight w:val="none"/>
        </w:rPr>
      </w:pPr>
    </w:p>
    <w:p w14:paraId="0FC7C5F8">
      <w:pPr>
        <w:pStyle w:val="10"/>
        <w:rPr>
          <w:rFonts w:hint="eastAsia" w:ascii="宋体" w:hAnsi="宋体" w:eastAsia="宋体" w:cs="宋体"/>
          <w:sz w:val="20"/>
          <w:highlight w:val="none"/>
        </w:rPr>
      </w:pPr>
    </w:p>
    <w:p w14:paraId="70F7F0CD">
      <w:pPr>
        <w:pStyle w:val="10"/>
        <w:rPr>
          <w:rFonts w:hint="eastAsia" w:ascii="宋体" w:hAnsi="宋体" w:eastAsia="宋体" w:cs="宋体"/>
          <w:sz w:val="20"/>
          <w:highlight w:val="none"/>
        </w:rPr>
      </w:pPr>
    </w:p>
    <w:p w14:paraId="5DE3FAD5">
      <w:pPr>
        <w:pStyle w:val="10"/>
        <w:rPr>
          <w:rFonts w:hint="eastAsia" w:ascii="宋体" w:hAnsi="宋体" w:eastAsia="宋体" w:cs="宋体"/>
          <w:sz w:val="20"/>
          <w:highlight w:val="none"/>
        </w:rPr>
      </w:pPr>
    </w:p>
    <w:p w14:paraId="34E2810E">
      <w:pPr>
        <w:pStyle w:val="10"/>
        <w:rPr>
          <w:rFonts w:hint="eastAsia" w:ascii="宋体" w:hAnsi="宋体" w:eastAsia="宋体" w:cs="宋体"/>
          <w:sz w:val="20"/>
          <w:highlight w:val="none"/>
        </w:rPr>
      </w:pPr>
    </w:p>
    <w:p w14:paraId="0AE58F69">
      <w:pPr>
        <w:pStyle w:val="10"/>
        <w:rPr>
          <w:rFonts w:hint="eastAsia" w:ascii="宋体" w:hAnsi="宋体" w:eastAsia="宋体" w:cs="宋体"/>
          <w:sz w:val="20"/>
          <w:highlight w:val="none"/>
        </w:rPr>
      </w:pPr>
    </w:p>
    <w:p w14:paraId="016B3893">
      <w:pPr>
        <w:pStyle w:val="10"/>
        <w:rPr>
          <w:rFonts w:hint="eastAsia" w:ascii="宋体" w:hAnsi="宋体" w:eastAsia="宋体" w:cs="宋体"/>
          <w:sz w:val="20"/>
          <w:highlight w:val="none"/>
        </w:rPr>
      </w:pPr>
    </w:p>
    <w:p w14:paraId="00597553">
      <w:pPr>
        <w:pStyle w:val="10"/>
        <w:rPr>
          <w:rFonts w:hint="eastAsia" w:ascii="宋体" w:hAnsi="宋体" w:eastAsia="宋体" w:cs="宋体"/>
          <w:sz w:val="20"/>
          <w:highlight w:val="none"/>
        </w:rPr>
      </w:pPr>
    </w:p>
    <w:p w14:paraId="4E58B6F9">
      <w:pPr>
        <w:pStyle w:val="10"/>
        <w:rPr>
          <w:rFonts w:hint="eastAsia" w:ascii="宋体" w:hAnsi="宋体" w:eastAsia="宋体" w:cs="宋体"/>
          <w:sz w:val="20"/>
          <w:highlight w:val="none"/>
        </w:rPr>
      </w:pPr>
    </w:p>
    <w:p w14:paraId="107FD204">
      <w:pPr>
        <w:pStyle w:val="10"/>
        <w:rPr>
          <w:rFonts w:hint="eastAsia" w:ascii="宋体" w:hAnsi="宋体" w:eastAsia="宋体" w:cs="宋体"/>
          <w:sz w:val="20"/>
          <w:highlight w:val="none"/>
        </w:rPr>
      </w:pPr>
    </w:p>
    <w:p w14:paraId="64F27FF7">
      <w:pPr>
        <w:pStyle w:val="10"/>
        <w:rPr>
          <w:rFonts w:hint="eastAsia" w:ascii="宋体" w:hAnsi="宋体" w:eastAsia="宋体" w:cs="宋体"/>
          <w:sz w:val="20"/>
          <w:highlight w:val="none"/>
        </w:rPr>
      </w:pPr>
    </w:p>
    <w:p w14:paraId="6380D93C">
      <w:pPr>
        <w:pStyle w:val="10"/>
        <w:rPr>
          <w:rFonts w:hint="eastAsia" w:ascii="宋体" w:hAnsi="宋体" w:eastAsia="宋体" w:cs="宋体"/>
          <w:sz w:val="20"/>
          <w:highlight w:val="none"/>
        </w:rPr>
      </w:pPr>
    </w:p>
    <w:p w14:paraId="38BADD87">
      <w:pPr>
        <w:pStyle w:val="10"/>
        <w:rPr>
          <w:rFonts w:hint="eastAsia" w:ascii="宋体" w:hAnsi="宋体" w:eastAsia="宋体" w:cs="宋体"/>
          <w:sz w:val="20"/>
          <w:highlight w:val="none"/>
        </w:rPr>
      </w:pPr>
    </w:p>
    <w:p w14:paraId="6BE17244">
      <w:pPr>
        <w:pStyle w:val="10"/>
        <w:rPr>
          <w:rFonts w:hint="eastAsia" w:ascii="宋体" w:hAnsi="宋体" w:eastAsia="宋体" w:cs="宋体"/>
          <w:sz w:val="20"/>
          <w:highlight w:val="none"/>
        </w:rPr>
      </w:pPr>
    </w:p>
    <w:p w14:paraId="47FB7B26">
      <w:pPr>
        <w:pStyle w:val="10"/>
        <w:rPr>
          <w:rFonts w:hint="eastAsia" w:ascii="宋体" w:hAnsi="宋体" w:eastAsia="宋体" w:cs="宋体"/>
          <w:sz w:val="20"/>
          <w:highlight w:val="none"/>
        </w:rPr>
      </w:pPr>
    </w:p>
    <w:p w14:paraId="36F9309A">
      <w:pPr>
        <w:pStyle w:val="10"/>
        <w:rPr>
          <w:rFonts w:hint="eastAsia" w:ascii="宋体" w:hAnsi="宋体" w:eastAsia="宋体" w:cs="宋体"/>
          <w:sz w:val="20"/>
          <w:highlight w:val="none"/>
        </w:rPr>
      </w:pPr>
    </w:p>
    <w:p w14:paraId="5630F44A">
      <w:pPr>
        <w:pStyle w:val="10"/>
        <w:rPr>
          <w:rFonts w:hint="eastAsia" w:ascii="宋体" w:hAnsi="宋体" w:eastAsia="宋体" w:cs="宋体"/>
          <w:sz w:val="20"/>
          <w:highlight w:val="none"/>
        </w:rPr>
      </w:pPr>
    </w:p>
    <w:p w14:paraId="00CE127A">
      <w:pPr>
        <w:pStyle w:val="10"/>
        <w:rPr>
          <w:rFonts w:hint="eastAsia" w:ascii="宋体" w:hAnsi="宋体" w:eastAsia="宋体" w:cs="宋体"/>
          <w:sz w:val="20"/>
          <w:highlight w:val="none"/>
        </w:rPr>
      </w:pPr>
    </w:p>
    <w:p w14:paraId="7222D123">
      <w:pPr>
        <w:pStyle w:val="10"/>
        <w:rPr>
          <w:rFonts w:hint="eastAsia" w:ascii="宋体" w:hAnsi="宋体" w:eastAsia="宋体" w:cs="宋体"/>
          <w:sz w:val="20"/>
          <w:highlight w:val="none"/>
        </w:rPr>
      </w:pPr>
    </w:p>
    <w:p w14:paraId="0D0616FF">
      <w:pPr>
        <w:pStyle w:val="10"/>
        <w:rPr>
          <w:rFonts w:hint="eastAsia" w:ascii="宋体" w:hAnsi="宋体" w:eastAsia="宋体" w:cs="宋体"/>
          <w:sz w:val="20"/>
          <w:highlight w:val="none"/>
        </w:rPr>
      </w:pPr>
    </w:p>
    <w:p w14:paraId="1482CC22">
      <w:pPr>
        <w:pStyle w:val="10"/>
        <w:rPr>
          <w:rFonts w:hint="eastAsia" w:ascii="宋体" w:hAnsi="宋体" w:eastAsia="宋体" w:cs="宋体"/>
          <w:sz w:val="20"/>
          <w:highlight w:val="none"/>
        </w:rPr>
      </w:pPr>
    </w:p>
    <w:p w14:paraId="60FE1A2B">
      <w:pPr>
        <w:pStyle w:val="10"/>
        <w:rPr>
          <w:rFonts w:hint="eastAsia" w:ascii="宋体" w:hAnsi="宋体" w:eastAsia="宋体" w:cs="宋体"/>
          <w:sz w:val="20"/>
          <w:highlight w:val="none"/>
        </w:rPr>
      </w:pPr>
    </w:p>
    <w:p w14:paraId="34CA5522">
      <w:pPr>
        <w:pStyle w:val="10"/>
        <w:rPr>
          <w:rFonts w:hint="eastAsia" w:ascii="宋体" w:hAnsi="宋体" w:eastAsia="宋体" w:cs="宋体"/>
          <w:sz w:val="20"/>
          <w:highlight w:val="none"/>
        </w:rPr>
      </w:pPr>
    </w:p>
    <w:p w14:paraId="42387768">
      <w:pPr>
        <w:pStyle w:val="10"/>
        <w:rPr>
          <w:rFonts w:hint="eastAsia" w:ascii="宋体" w:hAnsi="宋体" w:eastAsia="宋体" w:cs="宋体"/>
          <w:sz w:val="20"/>
          <w:highlight w:val="none"/>
        </w:rPr>
      </w:pPr>
    </w:p>
    <w:p w14:paraId="591D700B">
      <w:pPr>
        <w:pStyle w:val="10"/>
        <w:rPr>
          <w:rFonts w:hint="eastAsia" w:ascii="宋体" w:hAnsi="宋体" w:eastAsia="宋体" w:cs="宋体"/>
          <w:sz w:val="20"/>
          <w:highlight w:val="none"/>
        </w:rPr>
      </w:pPr>
    </w:p>
    <w:p w14:paraId="1197BF83">
      <w:pPr>
        <w:pStyle w:val="10"/>
        <w:rPr>
          <w:rFonts w:hint="eastAsia" w:ascii="宋体" w:hAnsi="宋体" w:eastAsia="宋体" w:cs="宋体"/>
          <w:sz w:val="20"/>
          <w:highlight w:val="none"/>
        </w:rPr>
      </w:pPr>
    </w:p>
    <w:p w14:paraId="457E6D3F">
      <w:pPr>
        <w:pStyle w:val="10"/>
        <w:rPr>
          <w:rFonts w:hint="eastAsia" w:ascii="宋体" w:hAnsi="宋体" w:eastAsia="宋体" w:cs="宋体"/>
          <w:sz w:val="20"/>
          <w:highlight w:val="none"/>
        </w:rPr>
      </w:pPr>
    </w:p>
    <w:p w14:paraId="73DFE337">
      <w:pPr>
        <w:pStyle w:val="10"/>
        <w:rPr>
          <w:rFonts w:hint="eastAsia" w:ascii="宋体" w:hAnsi="宋体" w:eastAsia="宋体" w:cs="宋体"/>
          <w:sz w:val="20"/>
          <w:highlight w:val="none"/>
        </w:rPr>
      </w:pPr>
    </w:p>
    <w:p w14:paraId="007C7D91">
      <w:pPr>
        <w:pStyle w:val="10"/>
        <w:rPr>
          <w:rFonts w:hint="eastAsia" w:ascii="宋体" w:hAnsi="宋体" w:eastAsia="宋体" w:cs="宋体"/>
          <w:sz w:val="20"/>
          <w:highlight w:val="none"/>
        </w:rPr>
      </w:pPr>
    </w:p>
    <w:p w14:paraId="3077E45B">
      <w:pPr>
        <w:pStyle w:val="10"/>
        <w:rPr>
          <w:rFonts w:hint="eastAsia" w:ascii="宋体" w:hAnsi="宋体" w:eastAsia="宋体" w:cs="宋体"/>
          <w:sz w:val="20"/>
          <w:highlight w:val="none"/>
        </w:rPr>
      </w:pPr>
    </w:p>
    <w:p w14:paraId="1F12682B">
      <w:pPr>
        <w:pStyle w:val="10"/>
        <w:rPr>
          <w:rFonts w:hint="eastAsia" w:ascii="宋体" w:hAnsi="宋体" w:eastAsia="宋体" w:cs="宋体"/>
          <w:sz w:val="20"/>
          <w:highlight w:val="none"/>
        </w:rPr>
      </w:pPr>
    </w:p>
    <w:p w14:paraId="756B442F">
      <w:pPr>
        <w:pStyle w:val="10"/>
        <w:rPr>
          <w:rFonts w:hint="eastAsia" w:ascii="宋体" w:hAnsi="宋体" w:eastAsia="宋体" w:cs="宋体"/>
          <w:sz w:val="20"/>
          <w:highlight w:val="none"/>
        </w:rPr>
      </w:pPr>
    </w:p>
    <w:p w14:paraId="3753DE03">
      <w:pPr>
        <w:pStyle w:val="10"/>
        <w:spacing w:before="9"/>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6672" behindDoc="1" locked="0" layoutInCell="1" allowOverlap="1">
                <wp:simplePos x="0" y="0"/>
                <wp:positionH relativeFrom="page">
                  <wp:posOffset>1043305</wp:posOffset>
                </wp:positionH>
                <wp:positionV relativeFrom="paragraph">
                  <wp:posOffset>168910</wp:posOffset>
                </wp:positionV>
                <wp:extent cx="1828800" cy="0"/>
                <wp:effectExtent l="0" t="0" r="0" b="0"/>
                <wp:wrapTopAndBottom/>
                <wp:docPr id="13" name="直线 31"/>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82.15pt;margin-top:13.3pt;height:0pt;width:144pt;mso-position-horizontal-relative:page;mso-wrap-distance-bottom:0pt;mso-wrap-distance-top:0pt;z-index:-251639808;mso-width-relative:page;mso-height-relative:page;" filled="f" stroked="t" coordsize="21600,21600" o:gfxdata="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AfQ4dYAAAAJAQAADwAAAAAA&#10;AAABACAAAAAiAAAAZHJzL2Rvd25yZXYueG1sUEsBAhQAFAAAAAgAh07iQIRizMzcAQAAzgMAAA4A&#10;AAAAAAAAAQAgAAAAJQEAAGRycy9lMm9Eb2MueG1sUEsFBgAAAAAGAAYAWQEAAHMFAAAAAA==&#10;">
                <v:fill on="f" focussize="0,0"/>
                <v:stroke weight="0pt" color="#000000" joinstyle="round"/>
                <v:imagedata o:title=""/>
                <o:lock v:ext="edit" aspectratio="f"/>
                <w10:wrap type="topAndBottom"/>
              </v:line>
            </w:pict>
          </mc:Fallback>
        </mc:AlternateContent>
      </w:r>
    </w:p>
    <w:tbl>
      <w:tblPr>
        <w:tblStyle w:val="23"/>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7539"/>
      </w:tblGrid>
      <w:tr w14:paraId="7321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76BE42BB">
            <w:pPr>
              <w:pStyle w:val="27"/>
              <w:rPr>
                <w:rFonts w:hint="eastAsia" w:ascii="宋体" w:hAnsi="宋体" w:eastAsia="宋体" w:cs="宋体"/>
                <w:sz w:val="20"/>
                <w:highlight w:val="none"/>
              </w:rPr>
            </w:pPr>
          </w:p>
        </w:tc>
        <w:tc>
          <w:tcPr>
            <w:tcW w:w="7539" w:type="dxa"/>
          </w:tcPr>
          <w:p w14:paraId="59062907">
            <w:pPr>
              <w:pStyle w:val="27"/>
              <w:spacing w:before="142"/>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承包人向监理人提交交工付款申请单(包括相关证明材料)的份数：</w:t>
            </w:r>
            <w:r>
              <w:rPr>
                <w:rFonts w:hint="eastAsia" w:ascii="宋体" w:hAnsi="宋体" w:eastAsia="宋体" w:cs="宋体"/>
                <w:sz w:val="21"/>
                <w:highlight w:val="none"/>
                <w:u w:val="single"/>
              </w:rPr>
              <w:t xml:space="preserve"> 1</w:t>
            </w:r>
            <w:r>
              <w:rPr>
                <w:rFonts w:hint="eastAsia" w:ascii="宋体" w:hAnsi="宋体" w:eastAsia="宋体" w:cs="宋体"/>
                <w:spacing w:val="52"/>
                <w:sz w:val="21"/>
                <w:highlight w:val="none"/>
                <w:u w:val="single"/>
              </w:rPr>
              <w:t xml:space="preserve"> </w:t>
            </w:r>
            <w:r>
              <w:rPr>
                <w:rFonts w:hint="eastAsia" w:ascii="宋体" w:hAnsi="宋体" w:eastAsia="宋体" w:cs="宋体"/>
                <w:sz w:val="21"/>
                <w:highlight w:val="none"/>
              </w:rPr>
              <w:t>份</w:t>
            </w:r>
          </w:p>
        </w:tc>
      </w:tr>
      <w:tr w14:paraId="2EC4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tcPr>
          <w:p w14:paraId="6525DE36">
            <w:pPr>
              <w:pStyle w:val="27"/>
              <w:rPr>
                <w:rFonts w:hint="eastAsia" w:ascii="宋体" w:hAnsi="宋体" w:eastAsia="宋体" w:cs="宋体"/>
                <w:sz w:val="20"/>
                <w:highlight w:val="none"/>
              </w:rPr>
            </w:pPr>
          </w:p>
        </w:tc>
        <w:tc>
          <w:tcPr>
            <w:tcW w:w="7539" w:type="dxa"/>
          </w:tcPr>
          <w:p w14:paraId="4847A96B">
            <w:pPr>
              <w:pStyle w:val="27"/>
              <w:spacing w:before="141"/>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承包人向监理人提交最终结清申请单(包括相关证明材料)的份数：</w:t>
            </w:r>
            <w:r>
              <w:rPr>
                <w:rFonts w:hint="eastAsia" w:ascii="宋体" w:hAnsi="宋体" w:eastAsia="宋体" w:cs="宋体"/>
                <w:sz w:val="21"/>
                <w:highlight w:val="none"/>
                <w:u w:val="single"/>
              </w:rPr>
              <w:t xml:space="preserve"> 1 </w:t>
            </w:r>
            <w:r>
              <w:rPr>
                <w:rFonts w:hint="eastAsia" w:ascii="宋体" w:hAnsi="宋体" w:eastAsia="宋体" w:cs="宋体"/>
                <w:sz w:val="21"/>
                <w:highlight w:val="none"/>
              </w:rPr>
              <w:t>份</w:t>
            </w:r>
          </w:p>
        </w:tc>
      </w:tr>
      <w:tr w14:paraId="133E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3065E087">
            <w:pPr>
              <w:pStyle w:val="27"/>
              <w:rPr>
                <w:rFonts w:hint="eastAsia" w:ascii="宋体" w:hAnsi="宋体" w:eastAsia="宋体" w:cs="宋体"/>
                <w:sz w:val="17"/>
                <w:highlight w:val="none"/>
              </w:rPr>
            </w:pPr>
          </w:p>
          <w:p w14:paraId="468F7CB3">
            <w:pPr>
              <w:pStyle w:val="27"/>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11.2</w:t>
            </w:r>
          </w:p>
        </w:tc>
        <w:tc>
          <w:tcPr>
            <w:tcW w:w="7539" w:type="dxa"/>
          </w:tcPr>
          <w:p w14:paraId="29E99D6C">
            <w:pPr>
              <w:pStyle w:val="27"/>
              <w:spacing w:before="142"/>
              <w:ind w:left="282"/>
              <w:rPr>
                <w:rFonts w:hint="eastAsia" w:ascii="宋体" w:hAnsi="宋体" w:eastAsia="宋体" w:cs="宋体"/>
                <w:sz w:val="21"/>
                <w:highlight w:val="none"/>
              </w:rPr>
            </w:pPr>
            <w:r>
              <w:rPr>
                <w:rFonts w:hint="eastAsia" w:ascii="宋体" w:hAnsi="宋体" w:eastAsia="宋体" w:cs="宋体"/>
                <w:spacing w:val="-8"/>
                <w:sz w:val="21"/>
                <w:highlight w:val="none"/>
              </w:rPr>
              <w:t xml:space="preserve">竣工资料的份数：原始资料 </w:t>
            </w:r>
            <w:r>
              <w:rPr>
                <w:rFonts w:hint="eastAsia" w:ascii="宋体" w:hAnsi="宋体" w:eastAsia="宋体" w:cs="宋体"/>
                <w:sz w:val="21"/>
                <w:highlight w:val="none"/>
              </w:rPr>
              <w:t xml:space="preserve">1 </w:t>
            </w:r>
            <w:r>
              <w:rPr>
                <w:rFonts w:hint="eastAsia" w:ascii="宋体" w:hAnsi="宋体" w:eastAsia="宋体" w:cs="宋体"/>
                <w:spacing w:val="-15"/>
                <w:sz w:val="21"/>
                <w:highlight w:val="none"/>
              </w:rPr>
              <w:t xml:space="preserve">份，复印件 </w:t>
            </w:r>
            <w:r>
              <w:rPr>
                <w:rFonts w:hint="eastAsia" w:ascii="宋体" w:hAnsi="宋体" w:eastAsia="宋体" w:cs="宋体"/>
                <w:sz w:val="21"/>
                <w:highlight w:val="none"/>
              </w:rPr>
              <w:t xml:space="preserve">2 </w:t>
            </w:r>
            <w:r>
              <w:rPr>
                <w:rFonts w:hint="eastAsia" w:ascii="宋体" w:hAnsi="宋体" w:eastAsia="宋体" w:cs="宋体"/>
                <w:spacing w:val="-10"/>
                <w:sz w:val="21"/>
                <w:highlight w:val="none"/>
              </w:rPr>
              <w:t>份，电子文件</w:t>
            </w:r>
            <w:r>
              <w:rPr>
                <w:rFonts w:hint="eastAsia" w:ascii="宋体" w:hAnsi="宋体" w:eastAsia="宋体" w:cs="宋体"/>
                <w:sz w:val="21"/>
                <w:highlight w:val="none"/>
              </w:rPr>
              <w:t>（</w:t>
            </w:r>
            <w:r>
              <w:rPr>
                <w:rFonts w:hint="eastAsia" w:ascii="宋体" w:hAnsi="宋体" w:eastAsia="宋体" w:cs="宋体"/>
                <w:spacing w:val="-14"/>
                <w:sz w:val="21"/>
                <w:highlight w:val="none"/>
              </w:rPr>
              <w:t xml:space="preserve">光盘或 </w:t>
            </w:r>
            <w:r>
              <w:rPr>
                <w:rFonts w:hint="eastAsia" w:ascii="宋体" w:hAnsi="宋体" w:eastAsia="宋体" w:cs="宋体"/>
                <w:sz w:val="21"/>
                <w:highlight w:val="none"/>
              </w:rPr>
              <w:t>U 盘</w:t>
            </w:r>
            <w:r>
              <w:rPr>
                <w:rFonts w:hint="eastAsia" w:ascii="宋体" w:hAnsi="宋体" w:eastAsia="宋体" w:cs="宋体"/>
                <w:spacing w:val="-29"/>
                <w:sz w:val="21"/>
                <w:highlight w:val="none"/>
              </w:rPr>
              <w:t>）</w:t>
            </w:r>
            <w:r>
              <w:rPr>
                <w:rFonts w:hint="eastAsia" w:ascii="宋体" w:hAnsi="宋体" w:eastAsia="宋体" w:cs="宋体"/>
                <w:spacing w:val="-29"/>
                <w:sz w:val="21"/>
                <w:highlight w:val="none"/>
                <w:u w:val="single"/>
              </w:rPr>
              <w:t xml:space="preserve"> </w:t>
            </w:r>
            <w:r>
              <w:rPr>
                <w:rFonts w:hint="eastAsia" w:ascii="宋体" w:hAnsi="宋体" w:eastAsia="宋体" w:cs="宋体"/>
                <w:sz w:val="21"/>
                <w:highlight w:val="none"/>
                <w:u w:val="single"/>
              </w:rPr>
              <w:t xml:space="preserve">2 </w:t>
            </w:r>
            <w:r>
              <w:rPr>
                <w:rFonts w:hint="eastAsia" w:ascii="宋体" w:hAnsi="宋体" w:eastAsia="宋体" w:cs="宋体"/>
                <w:sz w:val="21"/>
                <w:highlight w:val="none"/>
              </w:rPr>
              <w:t>份</w:t>
            </w:r>
          </w:p>
        </w:tc>
      </w:tr>
      <w:tr w14:paraId="5048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352" w:type="dxa"/>
          </w:tcPr>
          <w:p w14:paraId="6B5C84C7">
            <w:pPr>
              <w:pStyle w:val="27"/>
              <w:spacing w:before="9"/>
              <w:rPr>
                <w:rFonts w:hint="eastAsia" w:ascii="宋体" w:hAnsi="宋体" w:eastAsia="宋体" w:cs="宋体"/>
                <w:sz w:val="23"/>
                <w:highlight w:val="none"/>
              </w:rPr>
            </w:pPr>
          </w:p>
          <w:p w14:paraId="3E3DD2AA">
            <w:pPr>
              <w:pStyle w:val="27"/>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11.5</w:t>
            </w:r>
          </w:p>
        </w:tc>
        <w:tc>
          <w:tcPr>
            <w:tcW w:w="7539" w:type="dxa"/>
          </w:tcPr>
          <w:p w14:paraId="74966DB6">
            <w:pPr>
              <w:pStyle w:val="27"/>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单位工程是否需投入施工期运行：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60BAE53E">
            <w:pPr>
              <w:pStyle w:val="27"/>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如单位工程需要进行施工期运行，需要施工期运行的单位工程规定如下：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32AB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52" w:type="dxa"/>
          </w:tcPr>
          <w:p w14:paraId="30095C3C">
            <w:pPr>
              <w:pStyle w:val="27"/>
              <w:spacing w:before="5"/>
              <w:rPr>
                <w:rFonts w:hint="eastAsia" w:ascii="宋体" w:hAnsi="宋体" w:eastAsia="宋体" w:cs="宋体"/>
                <w:sz w:val="23"/>
                <w:highlight w:val="none"/>
              </w:rPr>
            </w:pPr>
          </w:p>
          <w:p w14:paraId="7B756CD5">
            <w:pPr>
              <w:pStyle w:val="27"/>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11.6</w:t>
            </w:r>
          </w:p>
        </w:tc>
        <w:tc>
          <w:tcPr>
            <w:tcW w:w="7539" w:type="dxa"/>
          </w:tcPr>
          <w:p w14:paraId="4318564B">
            <w:pPr>
              <w:pStyle w:val="27"/>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本工程是否进行试运行：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3EB1DE24">
            <w:pPr>
              <w:pStyle w:val="27"/>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如本工程需要进行试运行，试运行的具体规定如下：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113E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52" w:type="dxa"/>
          </w:tcPr>
          <w:p w14:paraId="633A17B4">
            <w:pPr>
              <w:pStyle w:val="27"/>
              <w:spacing w:before="1"/>
              <w:rPr>
                <w:rFonts w:hint="eastAsia" w:ascii="宋体" w:hAnsi="宋体" w:eastAsia="宋体" w:cs="宋体"/>
                <w:sz w:val="17"/>
                <w:highlight w:val="none"/>
              </w:rPr>
            </w:pPr>
          </w:p>
          <w:p w14:paraId="00FF3315">
            <w:pPr>
              <w:pStyle w:val="27"/>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7539" w:type="dxa"/>
          </w:tcPr>
          <w:p w14:paraId="16D51445">
            <w:pPr>
              <w:pStyle w:val="27"/>
              <w:spacing w:before="69" w:line="127" w:lineRule="exact"/>
              <w:ind w:left="105"/>
              <w:jc w:val="both"/>
              <w:rPr>
                <w:rFonts w:hint="eastAsia" w:ascii="宋体" w:hAnsi="宋体" w:eastAsia="宋体" w:cs="宋体"/>
                <w:sz w:val="14"/>
                <w:highlight w:val="none"/>
              </w:rPr>
            </w:pPr>
          </w:p>
          <w:p w14:paraId="0E6BADA4">
            <w:pPr>
              <w:pStyle w:val="27"/>
              <w:tabs>
                <w:tab w:val="left" w:pos="3536"/>
              </w:tabs>
              <w:spacing w:line="360" w:lineRule="auto"/>
              <w:ind w:left="282"/>
              <w:rPr>
                <w:rFonts w:hint="eastAsia" w:ascii="宋体" w:hAnsi="宋体" w:eastAsia="宋体" w:cs="宋体"/>
                <w:sz w:val="21"/>
                <w:highlight w:val="none"/>
              </w:rPr>
            </w:pPr>
            <w:r>
              <w:rPr>
                <w:rFonts w:hint="eastAsia" w:ascii="宋体" w:hAnsi="宋体" w:eastAsia="宋体" w:cs="宋体"/>
                <w:sz w:val="21"/>
                <w:highlight w:val="none"/>
              </w:rPr>
              <w:t>保修期：自实际交工日期起计算</w:t>
            </w:r>
            <w:r>
              <w:rPr>
                <w:rFonts w:hint="eastAsia" w:ascii="宋体" w:hAnsi="宋体" w:eastAsia="宋体" w:cs="宋体"/>
                <w:sz w:val="21"/>
                <w:highlight w:val="none"/>
                <w:u w:val="single"/>
              </w:rPr>
              <w:t xml:space="preserve"> </w:t>
            </w:r>
            <w:r>
              <w:rPr>
                <w:rFonts w:hint="eastAsia" w:ascii="宋体" w:hAnsi="宋体" w:eastAsia="宋体" w:cs="宋体"/>
                <w:sz w:val="21"/>
                <w:highlight w:val="none"/>
                <w:u w:val="single"/>
                <w:lang w:val="en-US"/>
              </w:rPr>
              <w:t xml:space="preserve">1 </w:t>
            </w:r>
            <w:r>
              <w:rPr>
                <w:rFonts w:hint="eastAsia" w:ascii="宋体" w:hAnsi="宋体" w:eastAsia="宋体" w:cs="宋体"/>
                <w:sz w:val="21"/>
                <w:highlight w:val="none"/>
              </w:rPr>
              <w:t>年</w:t>
            </w:r>
          </w:p>
        </w:tc>
      </w:tr>
      <w:tr w14:paraId="77B5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tcPr>
          <w:p w14:paraId="73D385BD">
            <w:pPr>
              <w:pStyle w:val="27"/>
              <w:spacing w:before="11"/>
              <w:rPr>
                <w:rFonts w:hint="eastAsia" w:ascii="宋体" w:hAnsi="宋体" w:eastAsia="宋体" w:cs="宋体"/>
                <w:sz w:val="20"/>
                <w:highlight w:val="none"/>
              </w:rPr>
            </w:pPr>
          </w:p>
          <w:p w14:paraId="0B972C33">
            <w:pPr>
              <w:pStyle w:val="27"/>
              <w:ind w:right="346"/>
              <w:jc w:val="center"/>
              <w:rPr>
                <w:rFonts w:hint="eastAsia" w:ascii="宋体" w:hAnsi="宋体" w:eastAsia="宋体" w:cs="宋体"/>
                <w:sz w:val="20"/>
                <w:highlight w:val="none"/>
              </w:rPr>
            </w:pPr>
            <w:r>
              <w:rPr>
                <w:rFonts w:hint="eastAsia" w:ascii="宋体" w:hAnsi="宋体" w:eastAsia="宋体" w:cs="宋体"/>
                <w:sz w:val="20"/>
                <w:highlight w:val="none"/>
                <w:lang w:val="en-US"/>
              </w:rPr>
              <w:t xml:space="preserve">  </w:t>
            </w:r>
            <w:r>
              <w:rPr>
                <w:rFonts w:hint="eastAsia" w:ascii="宋体" w:hAnsi="宋体" w:eastAsia="宋体" w:cs="宋体"/>
                <w:sz w:val="20"/>
                <w:highlight w:val="none"/>
              </w:rPr>
              <w:t>24.2(3)</w:t>
            </w:r>
          </w:p>
        </w:tc>
        <w:tc>
          <w:tcPr>
            <w:tcW w:w="7539" w:type="dxa"/>
          </w:tcPr>
          <w:p w14:paraId="5352F95F">
            <w:pPr>
              <w:pStyle w:val="27"/>
              <w:spacing w:before="45"/>
              <w:ind w:left="282"/>
              <w:rPr>
                <w:rFonts w:hint="eastAsia" w:ascii="宋体" w:hAnsi="宋体" w:eastAsia="宋体" w:cs="宋体"/>
                <w:sz w:val="21"/>
                <w:highlight w:val="none"/>
              </w:rPr>
            </w:pPr>
            <w:r>
              <w:rPr>
                <w:rFonts w:hint="eastAsia" w:ascii="宋体" w:hAnsi="宋体" w:eastAsia="宋体" w:cs="宋体"/>
                <w:sz w:val="21"/>
                <w:highlight w:val="none"/>
              </w:rPr>
              <w:t>争议的最终解决方式：诉讼</w:t>
            </w:r>
          </w:p>
          <w:p w14:paraId="7B859988">
            <w:pPr>
              <w:pStyle w:val="27"/>
              <w:tabs>
                <w:tab w:val="left" w:pos="3699"/>
              </w:tabs>
              <w:spacing w:before="52" w:line="253" w:lineRule="exact"/>
              <w:ind w:left="282"/>
              <w:rPr>
                <w:rFonts w:hint="eastAsia" w:ascii="宋体" w:hAnsi="宋体" w:eastAsia="宋体" w:cs="宋体"/>
                <w:sz w:val="21"/>
                <w:highlight w:val="none"/>
              </w:rPr>
            </w:pPr>
            <w:r>
              <w:rPr>
                <w:rFonts w:hint="eastAsia" w:ascii="宋体" w:hAnsi="宋体" w:eastAsia="宋体" w:cs="宋体"/>
                <w:sz w:val="21"/>
                <w:highlight w:val="none"/>
              </w:rPr>
              <w:t>如采用仲裁，仲裁委员会名称：</w:t>
            </w:r>
            <w:r>
              <w:rPr>
                <w:rFonts w:hint="eastAsia" w:ascii="宋体" w:hAnsi="宋体" w:eastAsia="宋体" w:cs="宋体"/>
                <w:spacing w:val="95"/>
                <w:sz w:val="21"/>
                <w:highlight w:val="none"/>
                <w:u w:val="single"/>
              </w:rPr>
              <w:t xml:space="preserve"> </w:t>
            </w:r>
            <w:r>
              <w:rPr>
                <w:rFonts w:hint="eastAsia" w:ascii="宋体" w:hAnsi="宋体" w:eastAsia="宋体" w:cs="宋体"/>
                <w:spacing w:val="95"/>
                <w:sz w:val="21"/>
                <w:highlight w:val="none"/>
                <w:u w:val="single"/>
                <w:lang w:val="en-US"/>
              </w:rPr>
              <w:t>/</w:t>
            </w:r>
            <w:r>
              <w:rPr>
                <w:rFonts w:hint="eastAsia" w:ascii="宋体" w:hAnsi="宋体" w:eastAsia="宋体" w:cs="宋体"/>
                <w:sz w:val="21"/>
                <w:highlight w:val="none"/>
                <w:u w:val="single"/>
              </w:rPr>
              <w:tab/>
            </w:r>
          </w:p>
        </w:tc>
      </w:tr>
      <w:tr w14:paraId="2081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vAlign w:val="top"/>
          </w:tcPr>
          <w:p w14:paraId="478D741A">
            <w:pPr>
              <w:pStyle w:val="27"/>
              <w:ind w:right="346" w:rightChars="0"/>
              <w:jc w:val="center"/>
              <w:rPr>
                <w:rFonts w:hint="eastAsia" w:ascii="宋体" w:hAnsi="宋体" w:eastAsia="宋体" w:cs="宋体"/>
                <w:sz w:val="20"/>
                <w:highlight w:val="none"/>
                <w:lang w:val="en-US"/>
              </w:rPr>
            </w:pPr>
            <w:r>
              <w:rPr>
                <w:rFonts w:hint="eastAsia" w:cs="宋体"/>
                <w:sz w:val="20"/>
                <w:highlight w:val="none"/>
                <w:lang w:val="en-US" w:eastAsia="zh-CN"/>
              </w:rPr>
              <w:t>特别说明</w:t>
            </w:r>
          </w:p>
        </w:tc>
        <w:tc>
          <w:tcPr>
            <w:tcW w:w="7539" w:type="dxa"/>
            <w:vAlign w:val="top"/>
          </w:tcPr>
          <w:p w14:paraId="4FC9CE45">
            <w:pPr>
              <w:pStyle w:val="27"/>
              <w:tabs>
                <w:tab w:val="left" w:pos="3699"/>
              </w:tabs>
              <w:spacing w:before="52" w:line="253" w:lineRule="exact"/>
              <w:rPr>
                <w:rFonts w:hint="eastAsia" w:ascii="宋体" w:hAnsi="宋体" w:eastAsia="宋体" w:cs="宋体"/>
                <w:sz w:val="21"/>
                <w:highlight w:val="none"/>
              </w:rPr>
            </w:pPr>
            <w:r>
              <w:rPr>
                <w:rFonts w:hint="eastAsia" w:ascii="宋体" w:hAnsi="宋体" w:eastAsia="宋体" w:cs="宋体"/>
                <w:sz w:val="21"/>
                <w:highlight w:val="none"/>
              </w:rPr>
              <w:t>如项目执行过程中因存在工期延误、工程质量问题、拖欠工资等事项采购人提出异议或要求时，供应商应当在2小时内响应，并在24小时内提出切实可行的解决方案供应商应当在响应文件中予以说明，否则视为未响应磋商文件。</w:t>
            </w:r>
          </w:p>
        </w:tc>
      </w:tr>
    </w:tbl>
    <w:p w14:paraId="5A492887">
      <w:pPr>
        <w:spacing w:before="103"/>
        <w:ind w:left="384"/>
        <w:rPr>
          <w:rFonts w:hint="eastAsia" w:ascii="宋体" w:hAnsi="宋体" w:eastAsia="宋体" w:cs="宋体"/>
          <w:sz w:val="21"/>
          <w:highlight w:val="none"/>
        </w:rPr>
      </w:pPr>
      <w:r>
        <w:rPr>
          <w:rFonts w:hint="eastAsia" w:ascii="宋体" w:hAnsi="宋体" w:eastAsia="宋体" w:cs="宋体"/>
          <w:sz w:val="21"/>
          <w:highlight w:val="none"/>
        </w:rPr>
        <w:t>说明：招标人编制的“项目合同条款”不限于本部分所列内容。</w:t>
      </w:r>
    </w:p>
    <w:p w14:paraId="1608F985">
      <w:pPr>
        <w:pStyle w:val="10"/>
        <w:rPr>
          <w:rFonts w:hint="eastAsia" w:ascii="宋体" w:hAnsi="宋体" w:eastAsia="宋体" w:cs="宋体"/>
          <w:sz w:val="20"/>
          <w:highlight w:val="none"/>
        </w:rPr>
      </w:pPr>
    </w:p>
    <w:p w14:paraId="6021D1F4">
      <w:pPr>
        <w:pStyle w:val="10"/>
        <w:rPr>
          <w:rFonts w:hint="eastAsia" w:ascii="宋体" w:hAnsi="宋体" w:eastAsia="宋体" w:cs="宋体"/>
          <w:sz w:val="20"/>
          <w:highlight w:val="none"/>
        </w:rPr>
      </w:pPr>
    </w:p>
    <w:p w14:paraId="6AD2CF6C">
      <w:pPr>
        <w:pStyle w:val="10"/>
        <w:rPr>
          <w:rFonts w:hint="eastAsia" w:ascii="宋体" w:hAnsi="宋体" w:eastAsia="宋体" w:cs="宋体"/>
          <w:sz w:val="20"/>
          <w:highlight w:val="none"/>
        </w:rPr>
      </w:pPr>
    </w:p>
    <w:p w14:paraId="40312740">
      <w:pPr>
        <w:pStyle w:val="10"/>
        <w:rPr>
          <w:rFonts w:hint="eastAsia" w:ascii="宋体" w:hAnsi="宋体" w:eastAsia="宋体" w:cs="宋体"/>
          <w:sz w:val="20"/>
          <w:highlight w:val="none"/>
        </w:rPr>
      </w:pPr>
    </w:p>
    <w:p w14:paraId="24C08100">
      <w:pPr>
        <w:pStyle w:val="10"/>
        <w:rPr>
          <w:rFonts w:hint="eastAsia" w:ascii="宋体" w:hAnsi="宋体" w:eastAsia="宋体" w:cs="宋体"/>
          <w:sz w:val="20"/>
          <w:highlight w:val="none"/>
        </w:rPr>
      </w:pPr>
    </w:p>
    <w:p w14:paraId="2333D0BE">
      <w:pPr>
        <w:pStyle w:val="10"/>
        <w:rPr>
          <w:rFonts w:hint="eastAsia" w:ascii="宋体" w:hAnsi="宋体" w:eastAsia="宋体" w:cs="宋体"/>
          <w:sz w:val="20"/>
          <w:highlight w:val="none"/>
        </w:rPr>
      </w:pPr>
    </w:p>
    <w:p w14:paraId="17399FE1">
      <w:pPr>
        <w:pStyle w:val="10"/>
        <w:rPr>
          <w:rFonts w:hint="eastAsia" w:ascii="宋体" w:hAnsi="宋体" w:eastAsia="宋体" w:cs="宋体"/>
          <w:sz w:val="20"/>
          <w:highlight w:val="none"/>
        </w:rPr>
      </w:pPr>
    </w:p>
    <w:p w14:paraId="0804EA89">
      <w:pPr>
        <w:pStyle w:val="10"/>
        <w:rPr>
          <w:rFonts w:hint="eastAsia" w:ascii="宋体" w:hAnsi="宋体" w:eastAsia="宋体" w:cs="宋体"/>
          <w:sz w:val="20"/>
          <w:highlight w:val="none"/>
        </w:rPr>
      </w:pPr>
    </w:p>
    <w:p w14:paraId="086638CA">
      <w:pPr>
        <w:pStyle w:val="10"/>
        <w:rPr>
          <w:rFonts w:hint="eastAsia" w:ascii="宋体" w:hAnsi="宋体" w:eastAsia="宋体" w:cs="宋体"/>
          <w:sz w:val="20"/>
          <w:highlight w:val="none"/>
        </w:rPr>
      </w:pPr>
    </w:p>
    <w:p w14:paraId="6E48ECA5">
      <w:pPr>
        <w:pStyle w:val="10"/>
        <w:rPr>
          <w:rFonts w:hint="eastAsia" w:ascii="宋体" w:hAnsi="宋体" w:eastAsia="宋体" w:cs="宋体"/>
          <w:sz w:val="20"/>
          <w:highlight w:val="none"/>
        </w:rPr>
      </w:pPr>
    </w:p>
    <w:p w14:paraId="0C595DE6">
      <w:pPr>
        <w:pStyle w:val="10"/>
        <w:rPr>
          <w:rFonts w:hint="eastAsia" w:ascii="宋体" w:hAnsi="宋体" w:eastAsia="宋体" w:cs="宋体"/>
          <w:sz w:val="20"/>
          <w:highlight w:val="none"/>
        </w:rPr>
      </w:pPr>
    </w:p>
    <w:p w14:paraId="0FFB03A6">
      <w:pPr>
        <w:pStyle w:val="10"/>
        <w:rPr>
          <w:rFonts w:hint="eastAsia" w:ascii="宋体" w:hAnsi="宋体" w:eastAsia="宋体" w:cs="宋体"/>
          <w:sz w:val="20"/>
          <w:highlight w:val="none"/>
        </w:rPr>
      </w:pPr>
    </w:p>
    <w:p w14:paraId="50603669">
      <w:pPr>
        <w:pStyle w:val="10"/>
        <w:rPr>
          <w:rFonts w:hint="eastAsia" w:ascii="宋体" w:hAnsi="宋体" w:eastAsia="宋体" w:cs="宋体"/>
          <w:sz w:val="20"/>
          <w:highlight w:val="none"/>
        </w:rPr>
      </w:pPr>
    </w:p>
    <w:p w14:paraId="3AEC1F76">
      <w:pPr>
        <w:pStyle w:val="10"/>
        <w:rPr>
          <w:rFonts w:hint="eastAsia" w:ascii="宋体" w:hAnsi="宋体" w:eastAsia="宋体" w:cs="宋体"/>
          <w:sz w:val="20"/>
          <w:highlight w:val="none"/>
        </w:rPr>
      </w:pPr>
    </w:p>
    <w:p w14:paraId="5FF33DE3">
      <w:pPr>
        <w:pStyle w:val="10"/>
        <w:rPr>
          <w:rFonts w:hint="eastAsia" w:ascii="宋体" w:hAnsi="宋体" w:eastAsia="宋体" w:cs="宋体"/>
          <w:sz w:val="20"/>
          <w:highlight w:val="none"/>
        </w:rPr>
      </w:pPr>
    </w:p>
    <w:p w14:paraId="580DCBB7">
      <w:pPr>
        <w:pStyle w:val="10"/>
        <w:rPr>
          <w:rFonts w:hint="eastAsia" w:ascii="宋体" w:hAnsi="宋体" w:eastAsia="宋体" w:cs="宋体"/>
          <w:sz w:val="20"/>
          <w:highlight w:val="none"/>
        </w:rPr>
      </w:pPr>
    </w:p>
    <w:p w14:paraId="75AA4FBE">
      <w:pPr>
        <w:pStyle w:val="10"/>
        <w:rPr>
          <w:rFonts w:hint="eastAsia" w:ascii="宋体" w:hAnsi="宋体" w:eastAsia="宋体" w:cs="宋体"/>
          <w:sz w:val="20"/>
          <w:highlight w:val="none"/>
        </w:rPr>
      </w:pPr>
    </w:p>
    <w:p w14:paraId="5BFF683C">
      <w:pPr>
        <w:pStyle w:val="10"/>
        <w:rPr>
          <w:rFonts w:hint="eastAsia" w:ascii="宋体" w:hAnsi="宋体" w:eastAsia="宋体" w:cs="宋体"/>
          <w:sz w:val="20"/>
          <w:highlight w:val="none"/>
        </w:rPr>
      </w:pPr>
    </w:p>
    <w:p w14:paraId="513210F9">
      <w:pPr>
        <w:pStyle w:val="10"/>
        <w:rPr>
          <w:rFonts w:hint="eastAsia" w:ascii="宋体" w:hAnsi="宋体" w:eastAsia="宋体" w:cs="宋体"/>
          <w:sz w:val="20"/>
          <w:highlight w:val="none"/>
        </w:rPr>
      </w:pPr>
    </w:p>
    <w:p w14:paraId="60C0592B">
      <w:pPr>
        <w:pStyle w:val="10"/>
        <w:rPr>
          <w:rFonts w:hint="eastAsia" w:ascii="宋体" w:hAnsi="宋体" w:eastAsia="宋体" w:cs="宋体"/>
          <w:sz w:val="20"/>
          <w:highlight w:val="none"/>
        </w:rPr>
      </w:pPr>
    </w:p>
    <w:p w14:paraId="3BBA4E0B">
      <w:pPr>
        <w:pStyle w:val="10"/>
        <w:rPr>
          <w:rFonts w:hint="eastAsia" w:ascii="宋体" w:hAnsi="宋体" w:eastAsia="宋体" w:cs="宋体"/>
          <w:sz w:val="20"/>
          <w:highlight w:val="none"/>
        </w:rPr>
      </w:pPr>
    </w:p>
    <w:p w14:paraId="3F689F76">
      <w:pPr>
        <w:pStyle w:val="10"/>
        <w:rPr>
          <w:rFonts w:hint="eastAsia" w:ascii="宋体" w:hAnsi="宋体" w:eastAsia="宋体" w:cs="宋体"/>
          <w:sz w:val="20"/>
          <w:highlight w:val="none"/>
        </w:rPr>
      </w:pPr>
    </w:p>
    <w:p w14:paraId="380BAF5A">
      <w:pPr>
        <w:pStyle w:val="10"/>
        <w:rPr>
          <w:rFonts w:hint="eastAsia" w:ascii="宋体" w:hAnsi="宋体" w:eastAsia="宋体" w:cs="宋体"/>
          <w:sz w:val="20"/>
          <w:highlight w:val="none"/>
        </w:rPr>
      </w:pPr>
    </w:p>
    <w:p w14:paraId="412476EA">
      <w:pPr>
        <w:pStyle w:val="10"/>
        <w:rPr>
          <w:rFonts w:hint="eastAsia" w:ascii="宋体" w:hAnsi="宋体" w:eastAsia="宋体" w:cs="宋体"/>
          <w:sz w:val="20"/>
          <w:highlight w:val="none"/>
        </w:rPr>
      </w:pPr>
    </w:p>
    <w:p w14:paraId="50C0263E">
      <w:pPr>
        <w:pStyle w:val="10"/>
        <w:rPr>
          <w:rFonts w:hint="eastAsia" w:ascii="宋体" w:hAnsi="宋体" w:eastAsia="宋体" w:cs="宋体"/>
          <w:sz w:val="20"/>
          <w:highlight w:val="none"/>
        </w:rPr>
      </w:pPr>
    </w:p>
    <w:p w14:paraId="7E2B00BA">
      <w:pPr>
        <w:pStyle w:val="10"/>
        <w:rPr>
          <w:rFonts w:hint="eastAsia" w:ascii="宋体" w:hAnsi="宋体" w:eastAsia="宋体" w:cs="宋体"/>
          <w:sz w:val="20"/>
          <w:highlight w:val="none"/>
        </w:rPr>
      </w:pPr>
    </w:p>
    <w:p w14:paraId="752B224D">
      <w:pPr>
        <w:pStyle w:val="10"/>
        <w:rPr>
          <w:rFonts w:hint="eastAsia" w:ascii="宋体" w:hAnsi="宋体" w:eastAsia="宋体" w:cs="宋体"/>
          <w:sz w:val="20"/>
          <w:highlight w:val="none"/>
        </w:rPr>
      </w:pPr>
    </w:p>
    <w:p w14:paraId="6C553408">
      <w:pPr>
        <w:pStyle w:val="10"/>
        <w:rPr>
          <w:rFonts w:hint="eastAsia" w:ascii="宋体" w:hAnsi="宋体" w:eastAsia="宋体" w:cs="宋体"/>
          <w:sz w:val="20"/>
          <w:highlight w:val="none"/>
        </w:rPr>
      </w:pPr>
    </w:p>
    <w:p w14:paraId="7CF2FB99">
      <w:pPr>
        <w:pStyle w:val="10"/>
        <w:rPr>
          <w:rFonts w:hint="eastAsia" w:ascii="宋体" w:hAnsi="宋体" w:eastAsia="宋体" w:cs="宋体"/>
          <w:sz w:val="20"/>
          <w:highlight w:val="none"/>
        </w:rPr>
      </w:pPr>
    </w:p>
    <w:p w14:paraId="040133C8">
      <w:pPr>
        <w:pStyle w:val="10"/>
        <w:rPr>
          <w:rFonts w:hint="eastAsia" w:ascii="宋体" w:hAnsi="宋体" w:eastAsia="宋体" w:cs="宋体"/>
          <w:sz w:val="20"/>
          <w:highlight w:val="none"/>
        </w:rPr>
      </w:pPr>
    </w:p>
    <w:p w14:paraId="22E49A31">
      <w:pPr>
        <w:pStyle w:val="10"/>
        <w:rPr>
          <w:rFonts w:hint="eastAsia" w:ascii="宋体" w:hAnsi="宋体" w:eastAsia="宋体" w:cs="宋体"/>
          <w:sz w:val="20"/>
          <w:highlight w:val="none"/>
        </w:rPr>
      </w:pPr>
    </w:p>
    <w:p w14:paraId="7A0BCB33">
      <w:pPr>
        <w:pStyle w:val="10"/>
        <w:rPr>
          <w:rFonts w:hint="eastAsia" w:ascii="宋体" w:hAnsi="宋体" w:eastAsia="宋体" w:cs="宋体"/>
          <w:sz w:val="20"/>
          <w:highlight w:val="none"/>
        </w:rPr>
      </w:pPr>
    </w:p>
    <w:p w14:paraId="4FC25245">
      <w:pPr>
        <w:pStyle w:val="10"/>
        <w:rPr>
          <w:rFonts w:hint="eastAsia" w:ascii="宋体" w:hAnsi="宋体" w:eastAsia="宋体" w:cs="宋体"/>
          <w:sz w:val="20"/>
          <w:highlight w:val="none"/>
        </w:rPr>
      </w:pPr>
    </w:p>
    <w:p w14:paraId="6A870379">
      <w:pPr>
        <w:pStyle w:val="10"/>
        <w:spacing w:before="1"/>
        <w:rPr>
          <w:rFonts w:hint="eastAsia" w:ascii="宋体" w:hAnsi="宋体" w:eastAsia="宋体" w:cs="宋体"/>
          <w:sz w:val="13"/>
          <w:highlight w:val="none"/>
        </w:rPr>
      </w:pPr>
    </w:p>
    <w:p w14:paraId="64A1907E">
      <w:pPr>
        <w:pStyle w:val="10"/>
        <w:spacing w:before="8"/>
        <w:rPr>
          <w:rFonts w:hint="eastAsia" w:ascii="宋体" w:hAnsi="宋体" w:eastAsia="宋体" w:cs="宋体"/>
          <w:sz w:val="5"/>
          <w:highlight w:val="none"/>
        </w:rPr>
      </w:pPr>
    </w:p>
    <w:p w14:paraId="5E6D1B4C">
      <w:pPr>
        <w:rPr>
          <w:rFonts w:hint="eastAsia" w:ascii="宋体" w:hAnsi="宋体" w:eastAsia="宋体" w:cs="宋体"/>
          <w:sz w:val="18"/>
          <w:highlight w:val="none"/>
        </w:rPr>
        <w:sectPr>
          <w:pgSz w:w="11910" w:h="16840"/>
          <w:pgMar w:top="1360" w:right="1120" w:bottom="1080" w:left="1260" w:header="882" w:footer="880" w:gutter="0"/>
          <w:cols w:space="720" w:num="1"/>
        </w:sectPr>
      </w:pPr>
    </w:p>
    <w:p w14:paraId="1ABC885A">
      <w:pPr>
        <w:pStyle w:val="10"/>
        <w:rPr>
          <w:rFonts w:hint="eastAsia" w:ascii="宋体" w:hAnsi="宋体" w:eastAsia="宋体" w:cs="宋体"/>
          <w:sz w:val="20"/>
          <w:highlight w:val="none"/>
        </w:rPr>
      </w:pPr>
    </w:p>
    <w:p w14:paraId="509AD4CB">
      <w:pPr>
        <w:pStyle w:val="10"/>
        <w:spacing w:before="9"/>
        <w:rPr>
          <w:rFonts w:hint="eastAsia" w:ascii="宋体" w:hAnsi="宋体" w:eastAsia="宋体" w:cs="宋体"/>
          <w:sz w:val="17"/>
          <w:highlight w:val="none"/>
        </w:rPr>
      </w:pPr>
    </w:p>
    <w:p w14:paraId="52C92B32">
      <w:pPr>
        <w:pStyle w:val="6"/>
        <w:tabs>
          <w:tab w:val="left" w:pos="1952"/>
        </w:tabs>
        <w:rPr>
          <w:rFonts w:hint="eastAsia" w:ascii="宋体" w:hAnsi="宋体" w:eastAsia="宋体" w:cs="宋体"/>
          <w:sz w:val="30"/>
          <w:szCs w:val="30"/>
          <w:highlight w:val="none"/>
        </w:rPr>
      </w:pPr>
      <w:bookmarkStart w:id="78" w:name="_TOC_250025"/>
      <w:bookmarkEnd w:id="78"/>
    </w:p>
    <w:p w14:paraId="5BC480A6">
      <w:pPr>
        <w:pStyle w:val="6"/>
        <w:tabs>
          <w:tab w:val="left" w:pos="1952"/>
        </w:tabs>
        <w:rPr>
          <w:rFonts w:hint="eastAsia" w:ascii="宋体" w:hAnsi="宋体" w:eastAsia="宋体" w:cs="宋体"/>
          <w:sz w:val="30"/>
          <w:szCs w:val="30"/>
          <w:highlight w:val="none"/>
        </w:rPr>
      </w:pPr>
    </w:p>
    <w:p w14:paraId="0F1C6674">
      <w:pPr>
        <w:pStyle w:val="6"/>
        <w:tabs>
          <w:tab w:val="left" w:pos="1952"/>
        </w:tabs>
        <w:rPr>
          <w:rFonts w:hint="eastAsia" w:ascii="宋体" w:hAnsi="宋体" w:eastAsia="宋体" w:cs="宋体"/>
          <w:sz w:val="30"/>
          <w:szCs w:val="30"/>
          <w:highlight w:val="none"/>
        </w:rPr>
      </w:pPr>
    </w:p>
    <w:p w14:paraId="1A9CB660">
      <w:pPr>
        <w:pStyle w:val="6"/>
        <w:tabs>
          <w:tab w:val="left" w:pos="1952"/>
        </w:tabs>
        <w:rPr>
          <w:rFonts w:hint="eastAsia" w:ascii="宋体" w:hAnsi="宋体" w:eastAsia="宋体" w:cs="宋体"/>
          <w:sz w:val="30"/>
          <w:szCs w:val="30"/>
          <w:highlight w:val="none"/>
        </w:rPr>
        <w:sectPr>
          <w:pgSz w:w="11910" w:h="16840"/>
          <w:pgMar w:top="1360" w:right="1120" w:bottom="1080" w:left="1260" w:header="882" w:footer="880" w:gutter="0"/>
          <w:cols w:space="720" w:num="1"/>
        </w:sectPr>
      </w:pPr>
      <w:r>
        <w:rPr>
          <w:rFonts w:hint="eastAsia" w:ascii="宋体" w:hAnsi="宋体" w:eastAsia="宋体" w:cs="宋体"/>
          <w:sz w:val="30"/>
          <w:szCs w:val="30"/>
          <w:highlight w:val="none"/>
        </w:rPr>
        <w:t>第三节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合同附件格式</w:t>
      </w:r>
    </w:p>
    <w:p w14:paraId="62B8A552">
      <w:pPr>
        <w:pStyle w:val="10"/>
        <w:rPr>
          <w:rFonts w:hint="eastAsia" w:ascii="宋体" w:hAnsi="宋体" w:eastAsia="宋体" w:cs="宋体"/>
          <w:b/>
          <w:sz w:val="20"/>
          <w:highlight w:val="none"/>
        </w:rPr>
      </w:pPr>
    </w:p>
    <w:p w14:paraId="04358206">
      <w:pPr>
        <w:pStyle w:val="10"/>
        <w:tabs>
          <w:tab w:val="left" w:pos="1343"/>
        </w:tabs>
        <w:spacing w:before="66"/>
        <w:ind w:left="384"/>
        <w:rPr>
          <w:rFonts w:hint="eastAsia" w:ascii="宋体" w:hAnsi="宋体" w:eastAsia="宋体" w:cs="宋体"/>
          <w:highlight w:val="none"/>
        </w:rPr>
      </w:pPr>
      <w:r>
        <w:rPr>
          <w:rFonts w:hint="eastAsia" w:ascii="宋体" w:hAnsi="宋体" w:eastAsia="宋体" w:cs="宋体"/>
          <w:highlight w:val="none"/>
        </w:rPr>
        <w:t>附件一</w:t>
      </w:r>
      <w:r>
        <w:rPr>
          <w:rFonts w:hint="eastAsia" w:ascii="宋体" w:hAnsi="宋体" w:eastAsia="宋体" w:cs="宋体"/>
          <w:highlight w:val="none"/>
        </w:rPr>
        <w:tab/>
      </w:r>
      <w:r>
        <w:rPr>
          <w:rFonts w:hint="eastAsia" w:ascii="宋体" w:hAnsi="宋体" w:eastAsia="宋体" w:cs="宋体"/>
          <w:highlight w:val="none"/>
        </w:rPr>
        <w:t>合同协议书</w:t>
      </w:r>
    </w:p>
    <w:p w14:paraId="42E0BF2E">
      <w:pPr>
        <w:pStyle w:val="10"/>
        <w:rPr>
          <w:rFonts w:hint="eastAsia" w:ascii="宋体" w:hAnsi="宋体" w:eastAsia="宋体" w:cs="宋体"/>
          <w:sz w:val="20"/>
          <w:highlight w:val="none"/>
        </w:rPr>
      </w:pPr>
    </w:p>
    <w:p w14:paraId="23621944">
      <w:pPr>
        <w:pStyle w:val="10"/>
        <w:spacing w:before="3"/>
        <w:rPr>
          <w:rFonts w:hint="eastAsia" w:ascii="宋体" w:hAnsi="宋体" w:eastAsia="宋体" w:cs="宋体"/>
          <w:sz w:val="17"/>
          <w:highlight w:val="none"/>
        </w:rPr>
      </w:pPr>
    </w:p>
    <w:p w14:paraId="4A044CE0">
      <w:pPr>
        <w:pStyle w:val="10"/>
        <w:ind w:left="372" w:right="455"/>
        <w:jc w:val="center"/>
        <w:rPr>
          <w:rFonts w:hint="eastAsia" w:ascii="宋体" w:hAnsi="宋体" w:eastAsia="宋体" w:cs="宋体"/>
          <w:highlight w:val="none"/>
        </w:rPr>
      </w:pPr>
      <w:r>
        <w:rPr>
          <w:rFonts w:hint="eastAsia" w:ascii="宋体" w:hAnsi="宋体" w:eastAsia="宋体" w:cs="宋体"/>
          <w:highlight w:val="none"/>
        </w:rPr>
        <w:t>合同协议书</w:t>
      </w:r>
    </w:p>
    <w:p w14:paraId="666D56D0">
      <w:pPr>
        <w:pStyle w:val="10"/>
        <w:rPr>
          <w:rFonts w:hint="eastAsia" w:ascii="宋体" w:hAnsi="宋体" w:eastAsia="宋体" w:cs="宋体"/>
          <w:sz w:val="20"/>
          <w:highlight w:val="none"/>
        </w:rPr>
      </w:pPr>
    </w:p>
    <w:p w14:paraId="15AADB66">
      <w:pPr>
        <w:pStyle w:val="10"/>
        <w:tabs>
          <w:tab w:val="left" w:pos="3203"/>
          <w:tab w:val="left" w:pos="8975"/>
        </w:tabs>
        <w:spacing w:before="221"/>
        <w:ind w:left="8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w:t>
      </w:r>
      <w:r>
        <w:rPr>
          <w:rFonts w:hint="eastAsia" w:ascii="宋体" w:hAnsi="宋体" w:eastAsia="宋体" w:cs="宋体"/>
          <w:spacing w:val="-1"/>
          <w:highlight w:val="none"/>
        </w:rPr>
        <w:t>(发</w:t>
      </w:r>
      <w:r>
        <w:rPr>
          <w:rFonts w:hint="eastAsia" w:ascii="宋体" w:hAnsi="宋体" w:eastAsia="宋体" w:cs="宋体"/>
          <w:highlight w:val="none"/>
        </w:rPr>
        <w:t>包人名称，以下简称“发包人”)为实施</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5BB988B">
      <w:pPr>
        <w:pStyle w:val="10"/>
        <w:tabs>
          <w:tab w:val="left" w:pos="1523"/>
          <w:tab w:val="left" w:pos="4382"/>
          <w:tab w:val="left" w:pos="9119"/>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(项目名称)，已接受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w:t>
      </w:r>
      <w:r>
        <w:rPr>
          <w:rFonts w:hint="eastAsia" w:ascii="宋体" w:hAnsi="宋体" w:eastAsia="宋体" w:cs="宋体"/>
          <w:highlight w:val="none"/>
        </w:rPr>
        <w:t>承包人名称，以下简称“承包人”)对该项目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07F3254C">
      <w:pPr>
        <w:pStyle w:val="10"/>
        <w:tabs>
          <w:tab w:val="left" w:pos="2303"/>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标段施工的投标。发包人和承包人共同达成如下协议：</w:t>
      </w:r>
    </w:p>
    <w:p w14:paraId="2E3538B8">
      <w:pPr>
        <w:pStyle w:val="26"/>
        <w:numPr>
          <w:ilvl w:val="0"/>
          <w:numId w:val="38"/>
        </w:numPr>
        <w:tabs>
          <w:tab w:val="left" w:pos="1045"/>
          <w:tab w:val="left" w:pos="1343"/>
          <w:tab w:val="left" w:pos="1763"/>
          <w:tab w:val="left" w:pos="2063"/>
          <w:tab w:val="left" w:pos="2776"/>
          <w:tab w:val="left" w:pos="2843"/>
          <w:tab w:val="left" w:pos="3196"/>
          <w:tab w:val="left" w:pos="3916"/>
          <w:tab w:val="left" w:pos="4211"/>
          <w:tab w:val="left" w:pos="4288"/>
          <w:tab w:val="left" w:pos="4871"/>
          <w:tab w:val="left" w:pos="5171"/>
          <w:tab w:val="left" w:pos="5591"/>
          <w:tab w:val="left" w:pos="5787"/>
          <w:tab w:val="left" w:pos="6752"/>
          <w:tab w:val="left" w:pos="6847"/>
          <w:tab w:val="left" w:pos="8341"/>
          <w:tab w:val="left" w:pos="8939"/>
        </w:tabs>
        <w:spacing w:before="86" w:line="304" w:lineRule="auto"/>
        <w:ind w:right="346" w:firstLine="480"/>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标段由</w:t>
      </w:r>
      <w:r>
        <w:rPr>
          <w:rFonts w:hint="eastAsia" w:ascii="宋体" w:hAnsi="宋体" w:eastAsia="宋体" w:cs="宋体"/>
          <w:spacing w:val="-60"/>
          <w:sz w:val="24"/>
          <w:highlight w:val="none"/>
        </w:rPr>
        <w:t xml:space="preserve"> </w:t>
      </w:r>
      <w:r>
        <w:rPr>
          <w:rFonts w:hint="eastAsia" w:ascii="宋体" w:hAnsi="宋体" w:eastAsia="宋体" w:cs="宋体"/>
          <w:spacing w:val="-2"/>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1"/>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至</w:t>
      </w:r>
      <w:r>
        <w:rPr>
          <w:rFonts w:hint="eastAsia" w:ascii="宋体" w:hAnsi="宋体" w:eastAsia="宋体" w:cs="宋体"/>
          <w:spacing w:val="-60"/>
          <w:sz w:val="24"/>
          <w:highlight w:val="none"/>
        </w:rPr>
        <w:t xml:space="preserve"> </w:t>
      </w:r>
      <w:r>
        <w:rPr>
          <w:rFonts w:hint="eastAsia" w:ascii="宋体" w:hAnsi="宋体" w:eastAsia="宋体" w:cs="宋体"/>
          <w:spacing w:val="1"/>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99"/>
          <w:sz w:val="24"/>
          <w:highlight w:val="none"/>
        </w:rPr>
        <w:t>，</w:t>
      </w:r>
      <w:r>
        <w:rPr>
          <w:rFonts w:hint="eastAsia" w:ascii="宋体" w:hAnsi="宋体" w:eastAsia="宋体" w:cs="宋体"/>
          <w:sz w:val="24"/>
          <w:highlight w:val="none"/>
        </w:rPr>
        <w:t>长</w:t>
      </w:r>
      <w:r>
        <w:rPr>
          <w:rFonts w:hint="eastAsia" w:ascii="宋体" w:hAnsi="宋体" w:eastAsia="宋体" w:cs="宋体"/>
          <w:spacing w:val="-1"/>
          <w:sz w:val="24"/>
          <w:highlight w:val="none"/>
        </w:rPr>
        <w:t>约</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km</w:t>
      </w:r>
      <w:r>
        <w:rPr>
          <w:rFonts w:hint="eastAsia" w:ascii="宋体" w:hAnsi="宋体" w:eastAsia="宋体" w:cs="宋体"/>
          <w:spacing w:val="-101"/>
          <w:sz w:val="24"/>
          <w:highlight w:val="none"/>
        </w:rPr>
        <w:t>，</w:t>
      </w:r>
      <w:r>
        <w:rPr>
          <w:rFonts w:hint="eastAsia" w:ascii="宋体" w:hAnsi="宋体" w:eastAsia="宋体" w:cs="宋体"/>
          <w:sz w:val="24"/>
          <w:highlight w:val="none"/>
        </w:rPr>
        <w:t>公路等级为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18"/>
          <w:sz w:val="24"/>
          <w:highlight w:val="none"/>
        </w:rPr>
        <w:t>，</w:t>
      </w:r>
      <w:r>
        <w:rPr>
          <w:rFonts w:hint="eastAsia" w:ascii="宋体" w:hAnsi="宋体" w:eastAsia="宋体" w:cs="宋体"/>
          <w:sz w:val="24"/>
          <w:highlight w:val="none"/>
        </w:rPr>
        <w:t>设计时速为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8"/>
          <w:sz w:val="24"/>
          <w:highlight w:val="none"/>
        </w:rPr>
        <w:t>，</w:t>
      </w:r>
      <w:r>
        <w:rPr>
          <w:rFonts w:hint="eastAsia" w:ascii="宋体" w:hAnsi="宋体" w:eastAsia="宋体" w:cs="宋体"/>
          <w:spacing w:val="-8"/>
          <w:sz w:val="24"/>
          <w:highlight w:val="none"/>
          <w:u w:val="single"/>
        </w:rPr>
        <w:t xml:space="preserve"> </w:t>
      </w:r>
      <w:r>
        <w:rPr>
          <w:rFonts w:hint="eastAsia" w:ascii="宋体" w:hAnsi="宋体" w:eastAsia="宋体" w:cs="宋体"/>
          <w:spacing w:val="-8"/>
          <w:sz w:val="24"/>
          <w:highlight w:val="none"/>
          <w:u w:val="single"/>
        </w:rPr>
        <w:tab/>
      </w:r>
      <w:r>
        <w:rPr>
          <w:rFonts w:hint="eastAsia" w:ascii="宋体" w:hAnsi="宋体" w:eastAsia="宋体" w:cs="宋体"/>
          <w:sz w:val="24"/>
          <w:highlight w:val="none"/>
        </w:rPr>
        <w:t>路面</w:t>
      </w:r>
      <w:r>
        <w:rPr>
          <w:rFonts w:hint="eastAsia" w:ascii="宋体" w:hAnsi="宋体" w:eastAsia="宋体" w:cs="宋体"/>
          <w:spacing w:val="-5"/>
          <w:sz w:val="24"/>
          <w:highlight w:val="none"/>
        </w:rPr>
        <w:t>，</w:t>
      </w:r>
      <w:r>
        <w:rPr>
          <w:rFonts w:hint="eastAsia" w:ascii="宋体" w:hAnsi="宋体" w:eastAsia="宋体" w:cs="宋体"/>
          <w:sz w:val="24"/>
          <w:highlight w:val="none"/>
        </w:rPr>
        <w:t>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立交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处</w:t>
      </w:r>
      <w:r>
        <w:rPr>
          <w:rFonts w:hint="eastAsia" w:ascii="宋体" w:hAnsi="宋体" w:eastAsia="宋体" w:cs="宋体"/>
          <w:spacing w:val="-5"/>
          <w:sz w:val="24"/>
          <w:highlight w:val="none"/>
        </w:rPr>
        <w:t>；</w:t>
      </w:r>
      <w:r>
        <w:rPr>
          <w:rFonts w:hint="eastAsia" w:ascii="宋体" w:hAnsi="宋体" w:eastAsia="宋体" w:cs="宋体"/>
          <w:sz w:val="24"/>
          <w:highlight w:val="none"/>
        </w:rPr>
        <w:t>特大桥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w:t>
      </w:r>
      <w:r>
        <w:rPr>
          <w:rFonts w:hint="eastAsia" w:ascii="宋体" w:hAnsi="宋体" w:eastAsia="宋体" w:cs="宋体"/>
          <w:spacing w:val="-8"/>
          <w:sz w:val="24"/>
          <w:highlight w:val="none"/>
        </w:rPr>
        <w:t>，</w:t>
      </w:r>
      <w:r>
        <w:rPr>
          <w:rFonts w:hint="eastAsia" w:ascii="宋体" w:hAnsi="宋体" w:eastAsia="宋体" w:cs="宋体"/>
          <w:sz w:val="24"/>
          <w:highlight w:val="none"/>
        </w:rPr>
        <w:t>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4"/>
          <w:sz w:val="24"/>
          <w:highlight w:val="none"/>
        </w:rPr>
        <w:t>m；</w:t>
      </w:r>
      <w:r>
        <w:rPr>
          <w:rFonts w:hint="eastAsia" w:ascii="宋体" w:hAnsi="宋体" w:eastAsia="宋体" w:cs="宋体"/>
          <w:sz w:val="24"/>
          <w:highlight w:val="none"/>
        </w:rPr>
        <w:t>大中桥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m；隧道</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 以及其他构造物工程等。</w:t>
      </w:r>
    </w:p>
    <w:p w14:paraId="301DAB43">
      <w:pPr>
        <w:pStyle w:val="26"/>
        <w:numPr>
          <w:ilvl w:val="0"/>
          <w:numId w:val="38"/>
        </w:numPr>
        <w:tabs>
          <w:tab w:val="left" w:pos="1164"/>
        </w:tabs>
        <w:spacing w:before="4"/>
        <w:ind w:left="1164" w:hanging="300"/>
        <w:rPr>
          <w:rFonts w:hint="eastAsia" w:ascii="宋体" w:hAnsi="宋体" w:eastAsia="宋体" w:cs="宋体"/>
          <w:sz w:val="24"/>
          <w:highlight w:val="none"/>
        </w:rPr>
      </w:pPr>
      <w:r>
        <w:rPr>
          <w:rFonts w:hint="eastAsia" w:ascii="宋体" w:hAnsi="宋体" w:eastAsia="宋体" w:cs="宋体"/>
          <w:sz w:val="24"/>
          <w:highlight w:val="none"/>
        </w:rPr>
        <w:t>下列文件应视为构成合同文件的组成部分：</w:t>
      </w:r>
    </w:p>
    <w:p w14:paraId="6A99B532">
      <w:pPr>
        <w:pStyle w:val="26"/>
        <w:numPr>
          <w:ilvl w:val="0"/>
          <w:numId w:val="39"/>
        </w:numPr>
        <w:tabs>
          <w:tab w:val="left" w:pos="1465"/>
        </w:tabs>
        <w:spacing w:before="101"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4D7DA0D9">
      <w:pPr>
        <w:pStyle w:val="26"/>
        <w:numPr>
          <w:ilvl w:val="0"/>
          <w:numId w:val="39"/>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中标通知书；</w:t>
      </w:r>
    </w:p>
    <w:p w14:paraId="452EB4DF">
      <w:pPr>
        <w:pStyle w:val="26"/>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投标函及投标函附录；</w:t>
      </w:r>
    </w:p>
    <w:p w14:paraId="6DCDC1BB">
      <w:pPr>
        <w:pStyle w:val="26"/>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专用合同条款；</w:t>
      </w:r>
    </w:p>
    <w:p w14:paraId="6BDA42F5">
      <w:pPr>
        <w:pStyle w:val="26"/>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通用合同条款；</w:t>
      </w:r>
    </w:p>
    <w:p w14:paraId="3F547CAF">
      <w:pPr>
        <w:pStyle w:val="26"/>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工程量清单计量规则；</w:t>
      </w:r>
    </w:p>
    <w:p w14:paraId="46456B4B">
      <w:pPr>
        <w:pStyle w:val="26"/>
        <w:numPr>
          <w:ilvl w:val="0"/>
          <w:numId w:val="39"/>
        </w:numPr>
        <w:tabs>
          <w:tab w:val="left" w:pos="1465"/>
        </w:tabs>
        <w:spacing w:before="94"/>
        <w:ind w:left="1465"/>
        <w:rPr>
          <w:rFonts w:hint="eastAsia" w:ascii="宋体" w:hAnsi="宋体" w:eastAsia="宋体" w:cs="宋体"/>
          <w:sz w:val="24"/>
          <w:highlight w:val="none"/>
        </w:rPr>
      </w:pPr>
      <w:r>
        <w:rPr>
          <w:rFonts w:hint="eastAsia" w:ascii="宋体" w:hAnsi="宋体" w:eastAsia="宋体" w:cs="宋体"/>
          <w:sz w:val="24"/>
          <w:highlight w:val="none"/>
        </w:rPr>
        <w:t>技术规范；</w:t>
      </w:r>
    </w:p>
    <w:p w14:paraId="7BD6E22B">
      <w:pPr>
        <w:pStyle w:val="26"/>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图纸；</w:t>
      </w:r>
    </w:p>
    <w:p w14:paraId="5284EE14">
      <w:pPr>
        <w:pStyle w:val="26"/>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已标价工程量清单；</w:t>
      </w:r>
    </w:p>
    <w:p w14:paraId="12674365">
      <w:pPr>
        <w:pStyle w:val="26"/>
        <w:numPr>
          <w:ilvl w:val="0"/>
          <w:numId w:val="39"/>
        </w:numPr>
        <w:tabs>
          <w:tab w:val="left" w:pos="1585"/>
        </w:tabs>
        <w:spacing w:before="93"/>
        <w:ind w:left="1585" w:hanging="721"/>
        <w:rPr>
          <w:rFonts w:hint="eastAsia" w:ascii="宋体" w:hAnsi="宋体" w:eastAsia="宋体" w:cs="宋体"/>
          <w:sz w:val="24"/>
          <w:highlight w:val="none"/>
        </w:rPr>
      </w:pPr>
      <w:r>
        <w:rPr>
          <w:rFonts w:hint="eastAsia" w:ascii="宋体" w:hAnsi="宋体" w:eastAsia="宋体" w:cs="宋体"/>
          <w:sz w:val="24"/>
          <w:highlight w:val="none"/>
        </w:rPr>
        <w:t>承包人有关人员、设备投入的承诺及投标文件中的施工组织设计；</w:t>
      </w:r>
    </w:p>
    <w:p w14:paraId="3EA99562">
      <w:pPr>
        <w:pStyle w:val="26"/>
        <w:numPr>
          <w:ilvl w:val="0"/>
          <w:numId w:val="39"/>
        </w:numPr>
        <w:tabs>
          <w:tab w:val="left" w:pos="1585"/>
        </w:tabs>
        <w:spacing w:before="91"/>
        <w:ind w:left="1585" w:hanging="721"/>
        <w:rPr>
          <w:rFonts w:hint="eastAsia" w:ascii="宋体" w:hAnsi="宋体" w:eastAsia="宋体" w:cs="宋体"/>
          <w:sz w:val="24"/>
          <w:highlight w:val="none"/>
        </w:rPr>
      </w:pPr>
      <w:r>
        <w:rPr>
          <w:rFonts w:hint="eastAsia" w:ascii="宋体" w:hAnsi="宋体" w:eastAsia="宋体" w:cs="宋体"/>
          <w:sz w:val="24"/>
          <w:highlight w:val="none"/>
        </w:rPr>
        <w:t>其他合同文件。</w:t>
      </w:r>
    </w:p>
    <w:p w14:paraId="52DD6319">
      <w:pPr>
        <w:pStyle w:val="10"/>
        <w:spacing w:before="3"/>
        <w:rPr>
          <w:rFonts w:hint="eastAsia" w:ascii="宋体" w:hAnsi="宋体" w:eastAsia="宋体" w:cs="宋体"/>
          <w:sz w:val="37"/>
          <w:highlight w:val="none"/>
        </w:rPr>
      </w:pPr>
    </w:p>
    <w:p w14:paraId="47B2CF1A">
      <w:pPr>
        <w:pStyle w:val="26"/>
        <w:numPr>
          <w:ilvl w:val="0"/>
          <w:numId w:val="38"/>
        </w:numPr>
        <w:tabs>
          <w:tab w:val="left" w:pos="1164"/>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上述文件互相补充和解释，如有不明确或不一致之处，以合同约定次序在先</w:t>
      </w:r>
      <w:r>
        <w:rPr>
          <w:rFonts w:hint="eastAsia" w:ascii="宋体" w:hAnsi="宋体" w:eastAsia="宋体" w:cs="宋体"/>
          <w:sz w:val="24"/>
          <w:highlight w:val="none"/>
        </w:rPr>
        <w:t>者为准。</w:t>
      </w:r>
    </w:p>
    <w:p w14:paraId="43DC9C2C">
      <w:pPr>
        <w:pStyle w:val="26"/>
        <w:numPr>
          <w:ilvl w:val="0"/>
          <w:numId w:val="38"/>
        </w:numPr>
        <w:tabs>
          <w:tab w:val="left" w:pos="1164"/>
        </w:tabs>
        <w:spacing w:before="2"/>
        <w:ind w:left="1164" w:hanging="300"/>
        <w:rPr>
          <w:rFonts w:hint="eastAsia" w:ascii="宋体" w:hAnsi="宋体" w:eastAsia="宋体" w:cs="宋体"/>
          <w:sz w:val="24"/>
          <w:highlight w:val="none"/>
        </w:rPr>
      </w:pPr>
      <w:r>
        <w:rPr>
          <w:rFonts w:hint="eastAsia" w:ascii="宋体" w:hAnsi="宋体" w:eastAsia="宋体" w:cs="宋体"/>
          <w:spacing w:val="-1"/>
          <w:sz w:val="24"/>
          <w:highlight w:val="none"/>
        </w:rPr>
        <w:t>根据工程量清单所列的预计数量和单价或总额价计算的签约合同价：人民币</w:t>
      </w:r>
    </w:p>
    <w:p w14:paraId="2E8FC3D6">
      <w:pPr>
        <w:pStyle w:val="10"/>
        <w:tabs>
          <w:tab w:val="left" w:pos="2462"/>
          <w:tab w:val="left" w:pos="4463"/>
        </w:tabs>
        <w:spacing w:before="86"/>
        <w:ind w:left="384"/>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p>
    <w:p w14:paraId="513369D8">
      <w:pPr>
        <w:pStyle w:val="26"/>
        <w:numPr>
          <w:ilvl w:val="0"/>
          <w:numId w:val="38"/>
        </w:numPr>
        <w:tabs>
          <w:tab w:val="left" w:pos="1164"/>
          <w:tab w:val="left" w:pos="4523"/>
          <w:tab w:val="left" w:pos="8123"/>
        </w:tabs>
        <w:spacing w:before="84"/>
        <w:ind w:left="1164" w:hanging="300"/>
        <w:rPr>
          <w:rFonts w:hint="eastAsia" w:ascii="宋体" w:hAnsi="宋体" w:eastAsia="宋体" w:cs="宋体"/>
          <w:sz w:val="24"/>
          <w:highlight w:val="none"/>
        </w:rPr>
      </w:pPr>
      <w:r>
        <w:rPr>
          <w:rFonts w:hint="eastAsia" w:ascii="宋体" w:hAnsi="宋体" w:eastAsia="宋体" w:cs="宋体"/>
          <w:sz w:val="24"/>
          <w:highlight w:val="none"/>
        </w:rPr>
        <w:t>承包人项目经理：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。承包人项目总工：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2B6D7B7">
      <w:pPr>
        <w:pStyle w:val="26"/>
        <w:numPr>
          <w:ilvl w:val="0"/>
          <w:numId w:val="38"/>
        </w:numPr>
        <w:tabs>
          <w:tab w:val="left" w:pos="1045"/>
          <w:tab w:val="left" w:pos="4403"/>
          <w:tab w:val="left" w:pos="8723"/>
        </w:tabs>
        <w:spacing w:before="83"/>
        <w:ind w:left="1045"/>
        <w:rPr>
          <w:rFonts w:hint="eastAsia" w:ascii="宋体" w:hAnsi="宋体" w:eastAsia="宋体" w:cs="宋体"/>
          <w:sz w:val="24"/>
          <w:highlight w:val="none"/>
        </w:rPr>
      </w:pPr>
      <w:r>
        <w:rPr>
          <w:rFonts w:hint="eastAsia" w:ascii="宋体" w:hAnsi="宋体" w:eastAsia="宋体" w:cs="宋体"/>
          <w:sz w:val="24"/>
          <w:highlight w:val="none"/>
        </w:rPr>
        <w:t>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标准。工程安全目标：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7F2A7FA">
      <w:pPr>
        <w:pStyle w:val="26"/>
        <w:numPr>
          <w:ilvl w:val="0"/>
          <w:numId w:val="38"/>
        </w:numPr>
        <w:tabs>
          <w:tab w:val="left" w:pos="1045"/>
        </w:tabs>
        <w:spacing w:before="86"/>
        <w:ind w:left="1045"/>
        <w:rPr>
          <w:rFonts w:hint="eastAsia" w:ascii="宋体" w:hAnsi="宋体" w:eastAsia="宋体" w:cs="宋体"/>
          <w:sz w:val="24"/>
          <w:highlight w:val="none"/>
        </w:rPr>
      </w:pPr>
      <w:r>
        <w:rPr>
          <w:rFonts w:hint="eastAsia" w:ascii="宋体" w:hAnsi="宋体" w:eastAsia="宋体" w:cs="宋体"/>
          <w:sz w:val="24"/>
          <w:highlight w:val="none"/>
        </w:rPr>
        <w:t>承包人承诺按合同约定承担工程的实施、完成及缺陷修复。</w:t>
      </w:r>
    </w:p>
    <w:p w14:paraId="35774596">
      <w:pPr>
        <w:pStyle w:val="26"/>
        <w:numPr>
          <w:ilvl w:val="0"/>
          <w:numId w:val="38"/>
        </w:numPr>
        <w:tabs>
          <w:tab w:val="left" w:pos="1045"/>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发包人承诺按合同约定的条件、时间和方式向承包人支付合同价款。</w:t>
      </w:r>
    </w:p>
    <w:p w14:paraId="392A4BAA">
      <w:pPr>
        <w:pStyle w:val="26"/>
        <w:numPr>
          <w:ilvl w:val="0"/>
          <w:numId w:val="38"/>
        </w:numPr>
        <w:tabs>
          <w:tab w:val="left" w:pos="1045"/>
          <w:tab w:val="left" w:pos="5603"/>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承包人应按照监理人指示开工，工期为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165D5392">
      <w:pPr>
        <w:rPr>
          <w:rFonts w:hint="eastAsia" w:ascii="宋体" w:hAnsi="宋体" w:eastAsia="宋体" w:cs="宋体"/>
          <w:sz w:val="24"/>
          <w:highlight w:val="none"/>
        </w:rPr>
        <w:sectPr>
          <w:pgSz w:w="11910" w:h="16840"/>
          <w:pgMar w:top="1360" w:right="1120" w:bottom="1080" w:left="1260" w:header="882" w:footer="880" w:gutter="0"/>
          <w:cols w:space="720" w:num="1"/>
        </w:sectPr>
      </w:pPr>
    </w:p>
    <w:p w14:paraId="18665389">
      <w:pPr>
        <w:pStyle w:val="10"/>
        <w:spacing w:before="5"/>
        <w:rPr>
          <w:rFonts w:hint="eastAsia" w:ascii="宋体" w:hAnsi="宋体" w:eastAsia="宋体" w:cs="宋体"/>
          <w:sz w:val="17"/>
          <w:highlight w:val="none"/>
        </w:rPr>
      </w:pPr>
    </w:p>
    <w:p w14:paraId="6BE5FBF8">
      <w:pPr>
        <w:pStyle w:val="26"/>
        <w:numPr>
          <w:ilvl w:val="0"/>
          <w:numId w:val="38"/>
        </w:numPr>
        <w:tabs>
          <w:tab w:val="left" w:pos="1165"/>
        </w:tabs>
        <w:spacing w:before="7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本协议书在承包人提供履约保证金后，由双方法定代表人或其委托代理人签</w:t>
      </w:r>
      <w:r>
        <w:rPr>
          <w:rFonts w:hint="eastAsia" w:ascii="宋体" w:hAnsi="宋体" w:eastAsia="宋体" w:cs="宋体"/>
          <w:spacing w:val="-1"/>
          <w:sz w:val="24"/>
          <w:highlight w:val="none"/>
        </w:rPr>
        <w:t>署并加盖单位章后生效。全部工程完工后经交工验收合格、缺陷责任期满签发缺陷</w:t>
      </w:r>
      <w:r>
        <w:rPr>
          <w:rFonts w:hint="eastAsia" w:ascii="宋体" w:hAnsi="宋体" w:eastAsia="宋体" w:cs="宋体"/>
          <w:sz w:val="24"/>
          <w:highlight w:val="none"/>
        </w:rPr>
        <w:t>责任终止证书后失效。</w:t>
      </w:r>
    </w:p>
    <w:p w14:paraId="1D8CDA53">
      <w:pPr>
        <w:pStyle w:val="26"/>
        <w:numPr>
          <w:ilvl w:val="0"/>
          <w:numId w:val="38"/>
        </w:numPr>
        <w:tabs>
          <w:tab w:val="left" w:pos="11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本协议书正本二份、副本</w:t>
      </w:r>
      <w:r>
        <w:rPr>
          <w:rFonts w:hint="eastAsia" w:ascii="宋体" w:hAnsi="宋体" w:eastAsia="宋体" w:cs="宋体"/>
          <w:sz w:val="24"/>
          <w:highlight w:val="none"/>
          <w:u w:val="single"/>
        </w:rPr>
        <w:t xml:space="preserve">  </w:t>
      </w:r>
      <w:r>
        <w:rPr>
          <w:rFonts w:hint="eastAsia" w:ascii="宋体" w:hAnsi="宋体" w:eastAsia="宋体" w:cs="宋体"/>
          <w:spacing w:val="-3"/>
          <w:sz w:val="24"/>
          <w:highlight w:val="none"/>
        </w:rPr>
        <w:t xml:space="preserve"> 份，合同双方各执正本一份，副本</w:t>
      </w:r>
      <w:r>
        <w:rPr>
          <w:rFonts w:hint="eastAsia" w:ascii="宋体" w:hAnsi="宋体" w:eastAsia="宋体" w:cs="宋体"/>
          <w:sz w:val="24"/>
          <w:highlight w:val="none"/>
          <w:u w:val="single"/>
        </w:rPr>
        <w:t xml:space="preserve">  </w:t>
      </w:r>
      <w:r>
        <w:rPr>
          <w:rFonts w:hint="eastAsia" w:ascii="宋体" w:hAnsi="宋体" w:eastAsia="宋体" w:cs="宋体"/>
          <w:spacing w:val="23"/>
          <w:sz w:val="24"/>
          <w:highlight w:val="none"/>
        </w:rPr>
        <w:t xml:space="preserve"> 份，当</w:t>
      </w:r>
      <w:r>
        <w:rPr>
          <w:rFonts w:hint="eastAsia" w:ascii="宋体" w:hAnsi="宋体" w:eastAsia="宋体" w:cs="宋体"/>
          <w:sz w:val="24"/>
          <w:highlight w:val="none"/>
        </w:rPr>
        <w:t>正本与副本的内容不一致时，以正本为准。</w:t>
      </w:r>
    </w:p>
    <w:p w14:paraId="5C8B96D4">
      <w:pPr>
        <w:pStyle w:val="26"/>
        <w:numPr>
          <w:ilvl w:val="0"/>
          <w:numId w:val="38"/>
        </w:numPr>
        <w:tabs>
          <w:tab w:val="left" w:pos="1165"/>
        </w:tabs>
        <w:ind w:left="1165" w:hanging="301"/>
        <w:rPr>
          <w:rFonts w:hint="eastAsia" w:ascii="宋体" w:hAnsi="宋体" w:eastAsia="宋体" w:cs="宋体"/>
          <w:sz w:val="24"/>
          <w:highlight w:val="none"/>
        </w:rPr>
      </w:pPr>
      <w:r>
        <w:rPr>
          <w:rFonts w:hint="eastAsia" w:ascii="宋体" w:hAnsi="宋体" w:eastAsia="宋体" w:cs="宋体"/>
          <w:sz w:val="24"/>
          <w:highlight w:val="none"/>
        </w:rPr>
        <w:t>合同未尽事宜，双方另行签订补充协议。补充协议是合同的组成部分。</w:t>
      </w:r>
    </w:p>
    <w:p w14:paraId="00E5D0D2">
      <w:pPr>
        <w:pStyle w:val="10"/>
        <w:rPr>
          <w:rFonts w:hint="eastAsia" w:ascii="宋体" w:hAnsi="宋体" w:eastAsia="宋体" w:cs="宋体"/>
          <w:sz w:val="37"/>
          <w:highlight w:val="none"/>
        </w:rPr>
      </w:pPr>
    </w:p>
    <w:p w14:paraId="061B4B0F">
      <w:pPr>
        <w:pStyle w:val="10"/>
        <w:tabs>
          <w:tab w:val="left" w:pos="3503"/>
          <w:tab w:val="left" w:pos="5063"/>
          <w:tab w:val="left" w:pos="5102"/>
          <w:tab w:val="left" w:pos="7742"/>
        </w:tabs>
        <w:spacing w:line="307" w:lineRule="auto"/>
        <w:ind w:left="864" w:right="66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法定代表人</w:t>
      </w:r>
    </w:p>
    <w:p w14:paraId="63A31C7B">
      <w:pPr>
        <w:pStyle w:val="10"/>
        <w:tabs>
          <w:tab w:val="left" w:pos="3503"/>
          <w:tab w:val="left" w:pos="5102"/>
          <w:tab w:val="left" w:pos="7742"/>
        </w:tabs>
        <w:spacing w:line="305" w:lineRule="exact"/>
        <w:ind w:left="864"/>
        <w:rPr>
          <w:rFonts w:hint="eastAsia" w:ascii="宋体" w:hAnsi="宋体" w:eastAsia="宋体" w:cs="宋体"/>
          <w:highlight w:val="none"/>
        </w:rPr>
      </w:pP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highlight w:val="none"/>
        </w:rPr>
        <w:tab/>
      </w: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p>
    <w:p w14:paraId="7187C69D">
      <w:pPr>
        <w:pStyle w:val="10"/>
        <w:rPr>
          <w:rFonts w:hint="eastAsia" w:ascii="宋体" w:hAnsi="宋体" w:eastAsia="宋体" w:cs="宋体"/>
          <w:sz w:val="20"/>
          <w:highlight w:val="none"/>
        </w:rPr>
      </w:pPr>
    </w:p>
    <w:p w14:paraId="06F8F477">
      <w:pPr>
        <w:pStyle w:val="10"/>
        <w:spacing w:before="8"/>
        <w:rPr>
          <w:rFonts w:hint="eastAsia" w:ascii="宋体" w:hAnsi="宋体" w:eastAsia="宋体" w:cs="宋体"/>
          <w:sz w:val="15"/>
          <w:highlight w:val="none"/>
        </w:rPr>
      </w:pPr>
    </w:p>
    <w:p w14:paraId="4262F896">
      <w:pPr>
        <w:pStyle w:val="10"/>
        <w:tabs>
          <w:tab w:val="left" w:pos="2543"/>
          <w:tab w:val="left" w:pos="3263"/>
          <w:tab w:val="left" w:pos="3983"/>
          <w:tab w:val="left" w:pos="6143"/>
          <w:tab w:val="left" w:pos="7103"/>
          <w:tab w:val="left" w:pos="7823"/>
          <w:tab w:val="left" w:pos="8543"/>
        </w:tabs>
        <w:spacing w:before="67"/>
        <w:ind w:left="158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78BC5054">
      <w:pPr>
        <w:rPr>
          <w:rFonts w:hint="eastAsia" w:ascii="宋体" w:hAnsi="宋体" w:eastAsia="宋体" w:cs="宋体"/>
          <w:highlight w:val="none"/>
        </w:rPr>
        <w:sectPr>
          <w:pgSz w:w="11910" w:h="16840"/>
          <w:pgMar w:top="1360" w:right="1120" w:bottom="1080" w:left="1260" w:header="882" w:footer="880" w:gutter="0"/>
          <w:cols w:space="720" w:num="1"/>
        </w:sectPr>
      </w:pPr>
    </w:p>
    <w:p w14:paraId="14318369">
      <w:pPr>
        <w:pStyle w:val="10"/>
        <w:spacing w:before="10"/>
        <w:rPr>
          <w:rFonts w:hint="eastAsia" w:ascii="宋体" w:hAnsi="宋体" w:eastAsia="宋体" w:cs="宋体"/>
          <w:sz w:val="17"/>
          <w:highlight w:val="none"/>
        </w:rPr>
      </w:pPr>
    </w:p>
    <w:p w14:paraId="2E850ADE">
      <w:pPr>
        <w:pStyle w:val="10"/>
        <w:spacing w:before="67"/>
        <w:ind w:left="583"/>
        <w:rPr>
          <w:rFonts w:hint="eastAsia" w:ascii="宋体" w:hAnsi="宋体" w:eastAsia="宋体" w:cs="宋体"/>
          <w:highlight w:val="none"/>
        </w:rPr>
      </w:pPr>
      <w:bookmarkStart w:id="79" w:name="附件二_廉政合同"/>
      <w:bookmarkEnd w:id="79"/>
    </w:p>
    <w:p w14:paraId="7E807776">
      <w:pPr>
        <w:pStyle w:val="10"/>
        <w:spacing w:before="67"/>
        <w:ind w:left="583"/>
        <w:rPr>
          <w:rFonts w:hint="eastAsia" w:ascii="宋体" w:hAnsi="宋体" w:eastAsia="宋体" w:cs="宋体"/>
          <w:highlight w:val="none"/>
        </w:rPr>
      </w:pPr>
    </w:p>
    <w:p w14:paraId="3C7CAB5C">
      <w:pPr>
        <w:pStyle w:val="10"/>
        <w:spacing w:before="67"/>
        <w:ind w:left="583"/>
        <w:rPr>
          <w:rFonts w:hint="eastAsia" w:ascii="宋体" w:hAnsi="宋体" w:eastAsia="宋体" w:cs="宋体"/>
          <w:highlight w:val="none"/>
        </w:rPr>
      </w:pPr>
    </w:p>
    <w:p w14:paraId="7A3A2607">
      <w:pPr>
        <w:pStyle w:val="25"/>
        <w:rPr>
          <w:rFonts w:hint="eastAsia" w:ascii="宋体" w:hAnsi="宋体" w:eastAsia="宋体" w:cs="宋体"/>
          <w:highlight w:val="none"/>
        </w:rPr>
      </w:pPr>
    </w:p>
    <w:p w14:paraId="7F341268">
      <w:pPr>
        <w:rPr>
          <w:rFonts w:hint="eastAsia" w:ascii="宋体" w:hAnsi="宋体" w:eastAsia="宋体" w:cs="宋体"/>
          <w:highlight w:val="none"/>
        </w:rPr>
      </w:pPr>
    </w:p>
    <w:p w14:paraId="5E0FABAD">
      <w:pPr>
        <w:pStyle w:val="5"/>
        <w:rPr>
          <w:rFonts w:hint="eastAsia" w:ascii="宋体" w:hAnsi="宋体" w:eastAsia="宋体" w:cs="宋体"/>
          <w:highlight w:val="none"/>
        </w:rPr>
      </w:pPr>
    </w:p>
    <w:p w14:paraId="1838D028">
      <w:pPr>
        <w:rPr>
          <w:rFonts w:hint="eastAsia" w:ascii="宋体" w:hAnsi="宋体" w:eastAsia="宋体" w:cs="宋体"/>
          <w:highlight w:val="none"/>
        </w:rPr>
      </w:pPr>
    </w:p>
    <w:p w14:paraId="183909DD">
      <w:pPr>
        <w:pStyle w:val="5"/>
        <w:rPr>
          <w:rFonts w:hint="eastAsia" w:ascii="宋体" w:hAnsi="宋体" w:eastAsia="宋体" w:cs="宋体"/>
          <w:highlight w:val="none"/>
        </w:rPr>
      </w:pPr>
    </w:p>
    <w:p w14:paraId="30D77B1D">
      <w:pPr>
        <w:pStyle w:val="10"/>
        <w:spacing w:before="67"/>
        <w:ind w:left="583"/>
        <w:rPr>
          <w:rFonts w:hint="eastAsia" w:ascii="宋体" w:hAnsi="宋体" w:eastAsia="宋体" w:cs="宋体"/>
          <w:highlight w:val="none"/>
        </w:rPr>
      </w:pPr>
    </w:p>
    <w:p w14:paraId="47957A45">
      <w:pPr>
        <w:pStyle w:val="10"/>
        <w:rPr>
          <w:rFonts w:hint="eastAsia" w:ascii="宋体" w:hAnsi="宋体" w:eastAsia="宋体" w:cs="宋体"/>
          <w:highlight w:val="none"/>
        </w:rPr>
      </w:pPr>
      <w:r>
        <w:rPr>
          <w:rFonts w:hint="eastAsia" w:ascii="宋体" w:hAnsi="宋体" w:eastAsia="宋体" w:cs="宋体"/>
          <w:highlight w:val="none"/>
        </w:rPr>
        <w:br w:type="column"/>
      </w:r>
    </w:p>
    <w:p w14:paraId="090F93C9">
      <w:pPr>
        <w:pStyle w:val="25"/>
        <w:rPr>
          <w:rFonts w:hint="eastAsia" w:ascii="宋体" w:hAnsi="宋体" w:eastAsia="宋体" w:cs="宋体"/>
          <w:highlight w:val="none"/>
        </w:rPr>
      </w:pPr>
    </w:p>
    <w:p w14:paraId="2F0A6001">
      <w:pPr>
        <w:rPr>
          <w:rFonts w:hint="eastAsia" w:ascii="宋体" w:hAnsi="宋体" w:eastAsia="宋体" w:cs="宋体"/>
          <w:highlight w:val="none"/>
        </w:rPr>
      </w:pPr>
    </w:p>
    <w:p w14:paraId="1FFC0CF9">
      <w:pPr>
        <w:pStyle w:val="5"/>
        <w:rPr>
          <w:rFonts w:hint="eastAsia" w:ascii="宋体" w:hAnsi="宋体" w:eastAsia="宋体" w:cs="宋体"/>
          <w:highlight w:val="none"/>
        </w:rPr>
      </w:pPr>
    </w:p>
    <w:p w14:paraId="29A62112">
      <w:pPr>
        <w:rPr>
          <w:rFonts w:hint="eastAsia" w:ascii="宋体" w:hAnsi="宋体" w:eastAsia="宋体" w:cs="宋体"/>
          <w:highlight w:val="none"/>
        </w:rPr>
      </w:pPr>
    </w:p>
    <w:p w14:paraId="48D909F1">
      <w:pPr>
        <w:pStyle w:val="5"/>
        <w:rPr>
          <w:rFonts w:hint="eastAsia" w:ascii="宋体" w:hAnsi="宋体" w:eastAsia="宋体" w:cs="宋体"/>
          <w:highlight w:val="none"/>
        </w:rPr>
      </w:pPr>
    </w:p>
    <w:p w14:paraId="55DD81AB">
      <w:pPr>
        <w:spacing w:before="1"/>
        <w:ind w:left="583"/>
        <w:rPr>
          <w:rFonts w:hint="eastAsia" w:ascii="宋体" w:hAnsi="宋体" w:eastAsia="宋体" w:cs="宋体"/>
          <w:sz w:val="28"/>
          <w:highlight w:val="none"/>
        </w:rPr>
      </w:pPr>
    </w:p>
    <w:p w14:paraId="6746F71B">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424" w:space="1061"/>
            <w:col w:w="6045"/>
          </w:cols>
        </w:sectPr>
      </w:pPr>
    </w:p>
    <w:p w14:paraId="52FB1189">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附件二 廉政合同</w:t>
      </w:r>
    </w:p>
    <w:p w14:paraId="36F0341E">
      <w:pPr>
        <w:pStyle w:val="25"/>
        <w:jc w:val="center"/>
        <w:rPr>
          <w:rFonts w:hint="eastAsia" w:ascii="宋体" w:hAnsi="宋体" w:eastAsia="宋体" w:cs="宋体"/>
          <w:highlight w:val="none"/>
        </w:rPr>
      </w:pPr>
      <w:r>
        <w:rPr>
          <w:rFonts w:hint="eastAsia" w:ascii="宋体" w:hAnsi="宋体" w:eastAsia="宋体" w:cs="宋体"/>
          <w:sz w:val="28"/>
          <w:highlight w:val="none"/>
        </w:rPr>
        <w:t>廉 政 合 同</w:t>
      </w:r>
    </w:p>
    <w:p w14:paraId="03AA48BC">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根据《关于在交通基础设施建设中加强廉政建设的若干意见》以及有关工程建设</w:t>
      </w:r>
      <w:r>
        <w:rPr>
          <w:rFonts w:hint="eastAsia" w:ascii="宋体" w:hAnsi="宋体" w:eastAsia="宋体" w:cs="宋体"/>
          <w:spacing w:val="-29"/>
          <w:highlight w:val="none"/>
        </w:rPr>
        <w:t>、</w:t>
      </w:r>
      <w:r>
        <w:rPr>
          <w:rFonts w:hint="eastAsia" w:ascii="宋体" w:hAnsi="宋体" w:eastAsia="宋体" w:cs="宋体"/>
          <w:highlight w:val="none"/>
        </w:rPr>
        <w:t>廉政建设的规定</w:t>
      </w:r>
      <w:r>
        <w:rPr>
          <w:rFonts w:hint="eastAsia" w:ascii="宋体" w:hAnsi="宋体" w:eastAsia="宋体" w:cs="宋体"/>
          <w:spacing w:val="-29"/>
          <w:highlight w:val="none"/>
        </w:rPr>
        <w:t>，</w:t>
      </w:r>
      <w:r>
        <w:rPr>
          <w:rFonts w:hint="eastAsia" w:ascii="宋体" w:hAnsi="宋体" w:eastAsia="宋体" w:cs="宋体"/>
          <w:highlight w:val="none"/>
        </w:rPr>
        <w:t>为做好工程建设中的党风廉政建设</w:t>
      </w:r>
      <w:r>
        <w:rPr>
          <w:rFonts w:hint="eastAsia" w:ascii="宋体" w:hAnsi="宋体" w:eastAsia="宋体" w:cs="宋体"/>
          <w:spacing w:val="-29"/>
          <w:highlight w:val="none"/>
        </w:rPr>
        <w:t>，</w:t>
      </w:r>
      <w:r>
        <w:rPr>
          <w:rFonts w:hint="eastAsia" w:ascii="宋体" w:hAnsi="宋体" w:eastAsia="宋体" w:cs="宋体"/>
          <w:highlight w:val="none"/>
        </w:rPr>
        <w:t>保证工程建设高效优质</w:t>
      </w:r>
      <w:r>
        <w:rPr>
          <w:rFonts w:hint="eastAsia" w:ascii="宋体" w:hAnsi="宋体" w:eastAsia="宋体" w:cs="宋体"/>
          <w:spacing w:val="-18"/>
          <w:highlight w:val="none"/>
        </w:rPr>
        <w:t xml:space="preserve">， </w:t>
      </w:r>
      <w:r>
        <w:rPr>
          <w:rFonts w:hint="eastAsia" w:ascii="宋体" w:hAnsi="宋体" w:eastAsia="宋体" w:cs="宋体"/>
          <w:highlight w:val="none"/>
        </w:rPr>
        <w:t>保证建设资金的安全和有效使用以及投资效益，</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（项目名称）的项目法人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（项目法人名称，以下简称“发包人”）与该项目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标段的施工单位</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（施工单位名称，以下简称“承包人”），特订立如下合同。</w:t>
      </w:r>
    </w:p>
    <w:p w14:paraId="15ABE830">
      <w:pPr>
        <w:pStyle w:val="26"/>
        <w:numPr>
          <w:ilvl w:val="0"/>
          <w:numId w:val="40"/>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发包人和承包人双方的权利和义务</w:t>
      </w:r>
    </w:p>
    <w:p w14:paraId="442FBA8F">
      <w:pPr>
        <w:pStyle w:val="26"/>
        <w:numPr>
          <w:ilvl w:val="0"/>
          <w:numId w:val="41"/>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严格遵守党的政策规定和国家有关法律法规及交通运输部的有关规定。</w:t>
      </w:r>
    </w:p>
    <w:p w14:paraId="50ED7D1B">
      <w:pPr>
        <w:pStyle w:val="26"/>
        <w:numPr>
          <w:ilvl w:val="0"/>
          <w:numId w:val="41"/>
        </w:numPr>
        <w:tabs>
          <w:tab w:val="left" w:pos="1465"/>
          <w:tab w:val="left" w:pos="3460"/>
          <w:tab w:val="left" w:pos="5481"/>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严格执行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3"/>
          <w:sz w:val="24"/>
          <w:highlight w:val="none"/>
        </w:rPr>
        <w:t>）</w:t>
      </w:r>
      <w:r>
        <w:rPr>
          <w:rFonts w:hint="eastAsia" w:ascii="宋体" w:hAnsi="宋体" w:eastAsia="宋体" w:cs="宋体"/>
          <w:spacing w:val="-23"/>
          <w:sz w:val="24"/>
          <w:highlight w:val="none"/>
          <w:u w:val="single"/>
        </w:rPr>
        <w:t xml:space="preserve"> </w:t>
      </w:r>
      <w:r>
        <w:rPr>
          <w:rFonts w:hint="eastAsia" w:ascii="宋体" w:hAnsi="宋体" w:eastAsia="宋体" w:cs="宋体"/>
          <w:spacing w:val="-23"/>
          <w:sz w:val="24"/>
          <w:highlight w:val="none"/>
          <w:u w:val="single"/>
        </w:rPr>
        <w:tab/>
      </w:r>
      <w:r>
        <w:rPr>
          <w:rFonts w:hint="eastAsia" w:ascii="宋体" w:hAnsi="宋体" w:eastAsia="宋体" w:cs="宋体"/>
          <w:sz w:val="24"/>
          <w:highlight w:val="none"/>
        </w:rPr>
        <w:t>标段施工合同文件</w:t>
      </w:r>
      <w:r>
        <w:rPr>
          <w:rFonts w:hint="eastAsia" w:ascii="宋体" w:hAnsi="宋体" w:eastAsia="宋体" w:cs="宋体"/>
          <w:spacing w:val="-22"/>
          <w:sz w:val="24"/>
          <w:highlight w:val="none"/>
        </w:rPr>
        <w:t>，</w:t>
      </w:r>
      <w:r>
        <w:rPr>
          <w:rFonts w:hint="eastAsia" w:ascii="宋体" w:hAnsi="宋体" w:eastAsia="宋体" w:cs="宋体"/>
          <w:sz w:val="24"/>
          <w:highlight w:val="none"/>
        </w:rPr>
        <w:t>自觉按合同</w:t>
      </w:r>
      <w:r>
        <w:rPr>
          <w:rFonts w:hint="eastAsia" w:ascii="宋体" w:hAnsi="宋体" w:eastAsia="宋体" w:cs="宋体"/>
          <w:spacing w:val="-18"/>
          <w:sz w:val="24"/>
          <w:highlight w:val="none"/>
        </w:rPr>
        <w:t>办</w:t>
      </w:r>
      <w:r>
        <w:rPr>
          <w:rFonts w:hint="eastAsia" w:ascii="宋体" w:hAnsi="宋体" w:eastAsia="宋体" w:cs="宋体"/>
          <w:sz w:val="24"/>
          <w:highlight w:val="none"/>
        </w:rPr>
        <w:t>事。</w:t>
      </w:r>
    </w:p>
    <w:p w14:paraId="197C7A6C">
      <w:pPr>
        <w:pStyle w:val="26"/>
        <w:numPr>
          <w:ilvl w:val="0"/>
          <w:numId w:val="41"/>
        </w:numPr>
        <w:tabs>
          <w:tab w:val="left" w:pos="1465"/>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双方的业务活动坚持公开、公正、诚信、透明的原则</w:t>
      </w:r>
      <w:r>
        <w:rPr>
          <w:rFonts w:hint="eastAsia" w:ascii="宋体" w:hAnsi="宋体" w:eastAsia="宋体" w:cs="宋体"/>
          <w:sz w:val="24"/>
          <w:highlight w:val="none"/>
        </w:rPr>
        <w:t>（</w:t>
      </w:r>
      <w:r>
        <w:rPr>
          <w:rFonts w:hint="eastAsia" w:ascii="宋体" w:hAnsi="宋体" w:eastAsia="宋体" w:cs="宋体"/>
          <w:spacing w:val="-3"/>
          <w:sz w:val="24"/>
          <w:highlight w:val="none"/>
        </w:rPr>
        <w:t>法律认定的商业秘</w:t>
      </w:r>
      <w:r>
        <w:rPr>
          <w:rFonts w:hint="eastAsia" w:ascii="宋体" w:hAnsi="宋体" w:eastAsia="宋体" w:cs="宋体"/>
          <w:sz w:val="24"/>
          <w:highlight w:val="none"/>
        </w:rPr>
        <w:t>密和合同文件另有规定除外）</w:t>
      </w:r>
      <w:r>
        <w:rPr>
          <w:rFonts w:hint="eastAsia" w:ascii="宋体" w:hAnsi="宋体" w:eastAsia="宋体" w:cs="宋体"/>
          <w:spacing w:val="-1"/>
          <w:sz w:val="24"/>
          <w:highlight w:val="none"/>
        </w:rPr>
        <w:t>，不得损害国家和集体利益，不得违反工程建设管理</w:t>
      </w:r>
      <w:r>
        <w:rPr>
          <w:rFonts w:hint="eastAsia" w:ascii="宋体" w:hAnsi="宋体" w:eastAsia="宋体" w:cs="宋体"/>
          <w:sz w:val="24"/>
          <w:highlight w:val="none"/>
        </w:rPr>
        <w:t>规章制度。</w:t>
      </w:r>
    </w:p>
    <w:p w14:paraId="540F4795">
      <w:pPr>
        <w:pStyle w:val="26"/>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建立健全廉政制度，开展廉政教育，设立廉政告示牌，公布举报电话，监</w:t>
      </w:r>
      <w:r>
        <w:rPr>
          <w:rFonts w:hint="eastAsia" w:ascii="宋体" w:hAnsi="宋体" w:eastAsia="宋体" w:cs="宋体"/>
          <w:sz w:val="24"/>
          <w:highlight w:val="none"/>
        </w:rPr>
        <w:t>督并认真查处违法违纪行为。</w:t>
      </w:r>
    </w:p>
    <w:p w14:paraId="23BFBE7B">
      <w:pPr>
        <w:pStyle w:val="26"/>
        <w:numPr>
          <w:ilvl w:val="0"/>
          <w:numId w:val="41"/>
        </w:numPr>
        <w:tabs>
          <w:tab w:val="left" w:pos="1465"/>
        </w:tabs>
        <w:spacing w:before="2" w:line="312"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发现对方在业务活动中有违反廉政规定的行为，有及时提醒对方纠正的</w:t>
      </w:r>
      <w:r>
        <w:rPr>
          <w:rFonts w:hint="eastAsia" w:ascii="宋体" w:hAnsi="宋体" w:eastAsia="宋体" w:cs="宋体"/>
          <w:spacing w:val="-5"/>
          <w:sz w:val="24"/>
          <w:highlight w:val="none"/>
        </w:rPr>
        <w:t>权利和义务。</w:t>
      </w:r>
    </w:p>
    <w:p w14:paraId="16420151">
      <w:pPr>
        <w:pStyle w:val="26"/>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发现对方严重违反本合同义务条款的行为，有向其上级有关部门举报、</w:t>
      </w:r>
      <w:r>
        <w:rPr>
          <w:rFonts w:hint="eastAsia" w:ascii="宋体" w:hAnsi="宋体" w:eastAsia="宋体" w:cs="宋体"/>
          <w:spacing w:val="-5"/>
          <w:sz w:val="24"/>
          <w:highlight w:val="none"/>
        </w:rPr>
        <w:t>建议给予处理并要求告知处理结果的权利。</w:t>
      </w:r>
    </w:p>
    <w:p w14:paraId="2F6C5862">
      <w:pPr>
        <w:pStyle w:val="26"/>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发包人的义务</w:t>
      </w:r>
    </w:p>
    <w:p w14:paraId="2BFCFF6C">
      <w:pPr>
        <w:pStyle w:val="26"/>
        <w:numPr>
          <w:ilvl w:val="0"/>
          <w:numId w:val="42"/>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发包人及其工作人员不得索要或接受承包人的礼金、有价证券和贵重物品，不得让承包人报销任何应由发包人或发包人工作人员个人支付的费用等。</w:t>
      </w:r>
    </w:p>
    <w:p w14:paraId="1B529937">
      <w:pPr>
        <w:pStyle w:val="26"/>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发包人工作人员不得参加承包人安排的超标准宴请和娱乐活动；不得接</w:t>
      </w:r>
      <w:r>
        <w:rPr>
          <w:rFonts w:hint="eastAsia" w:ascii="宋体" w:hAnsi="宋体" w:eastAsia="宋体" w:cs="宋体"/>
          <w:spacing w:val="-5"/>
          <w:sz w:val="24"/>
          <w:highlight w:val="none"/>
        </w:rPr>
        <w:t>受承包人提供的通信工具、交通工具和高档办公用品等。</w:t>
      </w:r>
    </w:p>
    <w:p w14:paraId="00F69071">
      <w:pPr>
        <w:pStyle w:val="26"/>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发包人及其工作人员不得要求或者接受承包人为其住房装修、婚丧嫁娶</w:t>
      </w:r>
      <w:r>
        <w:rPr>
          <w:rFonts w:hint="eastAsia" w:ascii="宋体" w:hAnsi="宋体" w:eastAsia="宋体" w:cs="宋体"/>
          <w:spacing w:val="-5"/>
          <w:sz w:val="24"/>
          <w:highlight w:val="none"/>
        </w:rPr>
        <w:t>活动、配偶子女的工作安排以及出国出境、旅游等提供方便等。</w:t>
      </w:r>
    </w:p>
    <w:p w14:paraId="2EDD839B">
      <w:pPr>
        <w:pStyle w:val="26"/>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发包人工作人员及其配偶、子女不得从事与发包人工程有关的材料设备</w:t>
      </w:r>
      <w:r>
        <w:rPr>
          <w:rFonts w:hint="eastAsia" w:ascii="宋体" w:hAnsi="宋体" w:eastAsia="宋体" w:cs="宋体"/>
          <w:spacing w:val="-5"/>
          <w:sz w:val="24"/>
          <w:highlight w:val="none"/>
        </w:rPr>
        <w:t>供应、工程分包、劳务等经济活动等。</w:t>
      </w:r>
    </w:p>
    <w:p w14:paraId="73F62D5E">
      <w:pPr>
        <w:pStyle w:val="26"/>
        <w:numPr>
          <w:ilvl w:val="0"/>
          <w:numId w:val="42"/>
        </w:numPr>
        <w:tabs>
          <w:tab w:val="left" w:pos="1465"/>
        </w:tabs>
        <w:spacing w:line="312"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发包人及其工作人员不得以任何理由向承包人推荐分包单位或推销材料， </w:t>
      </w:r>
      <w:r>
        <w:rPr>
          <w:rFonts w:hint="eastAsia" w:ascii="宋体" w:hAnsi="宋体" w:eastAsia="宋体" w:cs="宋体"/>
          <w:sz w:val="24"/>
          <w:highlight w:val="none"/>
        </w:rPr>
        <w:t>不得要求承包人购买合同规定外的材料和设备。</w:t>
      </w:r>
    </w:p>
    <w:p w14:paraId="22980F49">
      <w:pPr>
        <w:pStyle w:val="26"/>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发包人工作人员要秉公办事，不准营私舞弊，不准利用职权从事各种个人有偿中介活动和安排个人施工队伍。</w:t>
      </w:r>
    </w:p>
    <w:p w14:paraId="031C1CA9">
      <w:pPr>
        <w:pStyle w:val="26"/>
        <w:numPr>
          <w:ilvl w:val="0"/>
          <w:numId w:val="40"/>
        </w:numPr>
        <w:tabs>
          <w:tab w:val="left" w:pos="1164"/>
        </w:tabs>
        <w:spacing w:before="74"/>
        <w:rPr>
          <w:rFonts w:hint="eastAsia" w:ascii="宋体" w:hAnsi="宋体" w:eastAsia="宋体" w:cs="宋体"/>
          <w:sz w:val="24"/>
          <w:highlight w:val="none"/>
        </w:rPr>
      </w:pPr>
      <w:r>
        <w:rPr>
          <w:rFonts w:hint="eastAsia" w:ascii="宋体" w:hAnsi="宋体" w:eastAsia="宋体" w:cs="宋体"/>
          <w:sz w:val="24"/>
          <w:highlight w:val="none"/>
        </w:rPr>
        <w:t>承包人的义务</w:t>
      </w:r>
    </w:p>
    <w:p w14:paraId="3B08525E">
      <w:pPr>
        <w:pStyle w:val="26"/>
        <w:numPr>
          <w:ilvl w:val="0"/>
          <w:numId w:val="43"/>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承包人不得以任何理由向发包人及其工作人员行贿或馈赠礼金、有价证券</w:t>
      </w:r>
      <w:r>
        <w:rPr>
          <w:rFonts w:hint="eastAsia" w:ascii="宋体" w:hAnsi="宋体" w:eastAsia="宋体" w:cs="宋体"/>
          <w:spacing w:val="-5"/>
          <w:sz w:val="24"/>
          <w:highlight w:val="none"/>
        </w:rPr>
        <w:t>、贵重礼品。</w:t>
      </w:r>
    </w:p>
    <w:p w14:paraId="58750CFB">
      <w:pPr>
        <w:pStyle w:val="26"/>
        <w:numPr>
          <w:ilvl w:val="0"/>
          <w:numId w:val="43"/>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承包人不得以任何名义为发包人及其工作人员报销应由发包人单位或个</w:t>
      </w:r>
      <w:r>
        <w:rPr>
          <w:rFonts w:hint="eastAsia" w:ascii="宋体" w:hAnsi="宋体" w:eastAsia="宋体" w:cs="宋体"/>
          <w:spacing w:val="-5"/>
          <w:sz w:val="24"/>
          <w:highlight w:val="none"/>
        </w:rPr>
        <w:t>人支付的任何费用。</w:t>
      </w:r>
    </w:p>
    <w:p w14:paraId="7C11D2CC">
      <w:pPr>
        <w:pStyle w:val="26"/>
        <w:numPr>
          <w:ilvl w:val="0"/>
          <w:numId w:val="43"/>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承包人不得以任何理由安排发包人工作人员参加超标准宴请及娱乐活动。</w:t>
      </w:r>
    </w:p>
    <w:p w14:paraId="0E331F9E">
      <w:pPr>
        <w:pStyle w:val="26"/>
        <w:numPr>
          <w:ilvl w:val="0"/>
          <w:numId w:val="43"/>
        </w:numPr>
        <w:tabs>
          <w:tab w:val="left" w:pos="1465"/>
        </w:tabs>
        <w:spacing w:before="93"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承包人不得为发包人单位和个人购置或提供通信工具、交通工具和高档</w:t>
      </w:r>
      <w:r>
        <w:rPr>
          <w:rFonts w:hint="eastAsia" w:ascii="宋体" w:hAnsi="宋体" w:eastAsia="宋体" w:cs="宋体"/>
          <w:spacing w:val="-5"/>
          <w:sz w:val="24"/>
          <w:highlight w:val="none"/>
        </w:rPr>
        <w:t>办公用品等。</w:t>
      </w:r>
    </w:p>
    <w:p w14:paraId="426717F1">
      <w:pPr>
        <w:pStyle w:val="26"/>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3E8A6F60">
      <w:pPr>
        <w:pStyle w:val="26"/>
        <w:numPr>
          <w:ilvl w:val="0"/>
          <w:numId w:val="44"/>
        </w:numPr>
        <w:tabs>
          <w:tab w:val="left" w:pos="1468"/>
        </w:tabs>
        <w:spacing w:before="94"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发包人及其工作人员违反本合同第 </w:t>
      </w:r>
      <w:r>
        <w:rPr>
          <w:rFonts w:hint="eastAsia" w:ascii="宋体" w:hAnsi="宋体" w:eastAsia="宋体" w:cs="宋体"/>
          <w:sz w:val="24"/>
          <w:highlight w:val="none"/>
        </w:rPr>
        <w:t>1、2</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条，按管理权限，依据有关规定给予党纪、政纪或组织处理；涉嫌犯罪的，移交司法机关追究刑事责任；给承包人</w:t>
      </w:r>
      <w:r>
        <w:rPr>
          <w:rFonts w:hint="eastAsia" w:ascii="宋体" w:hAnsi="宋体" w:eastAsia="宋体" w:cs="宋体"/>
          <w:sz w:val="24"/>
          <w:highlight w:val="none"/>
        </w:rPr>
        <w:t>单位造成经济损失的，应予以赔偿。</w:t>
      </w:r>
    </w:p>
    <w:p w14:paraId="38CF01F7">
      <w:pPr>
        <w:pStyle w:val="26"/>
        <w:numPr>
          <w:ilvl w:val="0"/>
          <w:numId w:val="44"/>
        </w:numPr>
        <w:tabs>
          <w:tab w:val="left" w:pos="1468"/>
        </w:tabs>
        <w:spacing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承包人及其工作人员违反本合同第 </w:t>
      </w:r>
      <w:r>
        <w:rPr>
          <w:rFonts w:hint="eastAsia" w:ascii="宋体" w:hAnsi="宋体" w:eastAsia="宋体" w:cs="宋体"/>
          <w:sz w:val="24"/>
          <w:highlight w:val="none"/>
        </w:rPr>
        <w:t>1、3</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条，按管理权限，依据有关规定给予党纪、政纪或组织处理；给发包人单位造成经济损失的，应予以赔偿；情节严重的，发包人建议交通运输主管部门给予承包人一至三年内不得进入其主管的公路</w:t>
      </w:r>
      <w:r>
        <w:rPr>
          <w:rFonts w:hint="eastAsia" w:ascii="宋体" w:hAnsi="宋体" w:eastAsia="宋体" w:cs="宋体"/>
          <w:sz w:val="24"/>
          <w:highlight w:val="none"/>
        </w:rPr>
        <w:t>建设市场的处罚。</w:t>
      </w:r>
    </w:p>
    <w:p w14:paraId="7F09A6F5">
      <w:pPr>
        <w:pStyle w:val="26"/>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双方约定：本合同由双方或双方上级单位的纪检监察部门负责监督执行。由</w:t>
      </w:r>
      <w:r>
        <w:rPr>
          <w:rFonts w:hint="eastAsia" w:ascii="宋体" w:hAnsi="宋体" w:eastAsia="宋体" w:cs="宋体"/>
          <w:spacing w:val="-1"/>
          <w:sz w:val="24"/>
          <w:highlight w:val="none"/>
        </w:rPr>
        <w:t>发包人或发包人上级单位的纪检监察部门约请承包人或承包人上级单位纪检监察部</w:t>
      </w:r>
      <w:r>
        <w:rPr>
          <w:rFonts w:hint="eastAsia" w:ascii="宋体" w:hAnsi="宋体" w:eastAsia="宋体" w:cs="宋体"/>
          <w:sz w:val="24"/>
          <w:highlight w:val="none"/>
        </w:rPr>
        <w:t>门对本合同执行情况进行检查，提出在本合同规定范围内的裁定意见。</w:t>
      </w:r>
    </w:p>
    <w:p w14:paraId="169CA6EF">
      <w:pPr>
        <w:pStyle w:val="26"/>
        <w:numPr>
          <w:ilvl w:val="0"/>
          <w:numId w:val="40"/>
        </w:numPr>
        <w:tabs>
          <w:tab w:val="left" w:pos="116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本合同有效期为发包人和承包人签署之日起至该工程项目竣工验收后止。</w:t>
      </w:r>
    </w:p>
    <w:p w14:paraId="557ABF3B">
      <w:pPr>
        <w:pStyle w:val="26"/>
        <w:numPr>
          <w:ilvl w:val="0"/>
          <w:numId w:val="40"/>
        </w:numPr>
        <w:tabs>
          <w:tab w:val="left" w:pos="1164"/>
          <w:tab w:val="left" w:pos="3436"/>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本合同作为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0"/>
          <w:sz w:val="24"/>
          <w:highlight w:val="none"/>
        </w:rPr>
        <w:t>）</w:t>
      </w:r>
      <w:r>
        <w:rPr>
          <w:rFonts w:hint="eastAsia" w:ascii="宋体" w:hAnsi="宋体" w:eastAsia="宋体" w:cs="宋体"/>
          <w:spacing w:val="-10"/>
          <w:sz w:val="24"/>
          <w:highlight w:val="none"/>
          <w:u w:val="single"/>
        </w:rPr>
        <w:t xml:space="preserve">   </w:t>
      </w:r>
      <w:r>
        <w:rPr>
          <w:rFonts w:hint="eastAsia" w:ascii="宋体" w:hAnsi="宋体" w:eastAsia="宋体" w:cs="宋体"/>
          <w:spacing w:val="41"/>
          <w:sz w:val="24"/>
          <w:highlight w:val="none"/>
        </w:rPr>
        <w:t xml:space="preserve"> </w:t>
      </w:r>
      <w:r>
        <w:rPr>
          <w:rFonts w:hint="eastAsia" w:ascii="宋体" w:hAnsi="宋体" w:eastAsia="宋体" w:cs="宋体"/>
          <w:sz w:val="24"/>
          <w:highlight w:val="none"/>
        </w:rPr>
        <w:t>标段施工合同的附件</w:t>
      </w:r>
      <w:r>
        <w:rPr>
          <w:rFonts w:hint="eastAsia" w:ascii="宋体" w:hAnsi="宋体" w:eastAsia="宋体" w:cs="宋体"/>
          <w:spacing w:val="-10"/>
          <w:sz w:val="24"/>
          <w:highlight w:val="none"/>
        </w:rPr>
        <w:t>，</w:t>
      </w:r>
      <w:r>
        <w:rPr>
          <w:rFonts w:hint="eastAsia" w:ascii="宋体" w:hAnsi="宋体" w:eastAsia="宋体" w:cs="宋体"/>
          <w:sz w:val="24"/>
          <w:highlight w:val="none"/>
        </w:rPr>
        <w:t>与工程施</w:t>
      </w:r>
      <w:r>
        <w:rPr>
          <w:rFonts w:hint="eastAsia" w:ascii="宋体" w:hAnsi="宋体" w:eastAsia="宋体" w:cs="宋体"/>
          <w:spacing w:val="-17"/>
          <w:sz w:val="24"/>
          <w:highlight w:val="none"/>
        </w:rPr>
        <w:t>工</w:t>
      </w:r>
      <w:r>
        <w:rPr>
          <w:rFonts w:hint="eastAsia" w:ascii="宋体" w:hAnsi="宋体" w:eastAsia="宋体" w:cs="宋体"/>
          <w:sz w:val="24"/>
          <w:highlight w:val="none"/>
        </w:rPr>
        <w:t>合同具有同等的法律效力，经合同双方签署后立即生效。</w:t>
      </w:r>
    </w:p>
    <w:p w14:paraId="637AC0BC">
      <w:pPr>
        <w:pStyle w:val="26"/>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本合同一式四份，由发包人和承包人各执一份，送交发包人和承包人的监督</w:t>
      </w:r>
      <w:r>
        <w:rPr>
          <w:rFonts w:hint="eastAsia" w:ascii="宋体" w:hAnsi="宋体" w:eastAsia="宋体" w:cs="宋体"/>
          <w:sz w:val="24"/>
          <w:highlight w:val="none"/>
        </w:rPr>
        <w:t>单位各一份。</w:t>
      </w:r>
    </w:p>
    <w:p w14:paraId="61784463">
      <w:pPr>
        <w:pStyle w:val="10"/>
        <w:spacing w:before="12"/>
        <w:rPr>
          <w:rFonts w:hint="eastAsia" w:ascii="宋体" w:hAnsi="宋体" w:eastAsia="宋体" w:cs="宋体"/>
          <w:sz w:val="32"/>
          <w:highlight w:val="none"/>
        </w:rPr>
      </w:pPr>
    </w:p>
    <w:p w14:paraId="259447A0">
      <w:pPr>
        <w:pStyle w:val="10"/>
        <w:tabs>
          <w:tab w:val="left" w:pos="3110"/>
          <w:tab w:val="left" w:pos="5133"/>
          <w:tab w:val="left" w:pos="7739"/>
          <w:tab w:val="left" w:pos="8219"/>
        </w:tabs>
        <w:spacing w:line="343" w:lineRule="auto"/>
        <w:ind w:left="384"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7"/>
          <w:highlight w:val="none"/>
        </w:rPr>
        <w:t>：</w:t>
      </w:r>
      <w:r>
        <w:rPr>
          <w:rFonts w:hint="eastAsia" w:ascii="宋体" w:hAnsi="宋体" w:eastAsia="宋体" w:cs="宋体"/>
          <w:spacing w:val="-17"/>
          <w:highlight w:val="none"/>
          <w:u w:val="single"/>
        </w:rPr>
        <w:t xml:space="preserve"> </w:t>
      </w:r>
      <w:r>
        <w:rPr>
          <w:rFonts w:hint="eastAsia" w:ascii="宋体" w:hAnsi="宋体" w:eastAsia="宋体" w:cs="宋体"/>
          <w:spacing w:val="-17"/>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8"/>
          <w:highlight w:val="none"/>
        </w:rPr>
        <w:t>：</w:t>
      </w:r>
      <w:r>
        <w:rPr>
          <w:rFonts w:hint="eastAsia" w:ascii="宋体" w:hAnsi="宋体" w:eastAsia="宋体" w:cs="宋体"/>
          <w:spacing w:val="-18"/>
          <w:highlight w:val="none"/>
          <w:u w:val="single"/>
        </w:rPr>
        <w:t xml:space="preserve"> </w:t>
      </w:r>
      <w:r>
        <w:rPr>
          <w:rFonts w:hint="eastAsia" w:ascii="宋体" w:hAnsi="宋体" w:eastAsia="宋体" w:cs="宋体"/>
          <w:spacing w:val="-18"/>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38"/>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79"/>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rPr>
        <w:tab/>
      </w:r>
      <w:r>
        <w:rPr>
          <w:rFonts w:hint="eastAsia" w:ascii="宋体" w:hAnsi="宋体" w:eastAsia="宋体" w:cs="宋体"/>
          <w:highlight w:val="none"/>
        </w:rPr>
        <w:t>（签字</w:t>
      </w:r>
      <w:r>
        <w:rPr>
          <w:rFonts w:hint="eastAsia" w:ascii="宋体" w:hAnsi="宋体" w:eastAsia="宋体" w:cs="宋体"/>
          <w:spacing w:val="-18"/>
          <w:highlight w:val="none"/>
        </w:rPr>
        <w:t>）</w:t>
      </w:r>
    </w:p>
    <w:p w14:paraId="209475E1">
      <w:pPr>
        <w:pStyle w:val="10"/>
        <w:tabs>
          <w:tab w:val="left" w:pos="2303"/>
          <w:tab w:val="left" w:pos="3143"/>
          <w:tab w:val="left" w:pos="3983"/>
          <w:tab w:val="left" w:pos="4948"/>
          <w:tab w:val="left" w:pos="5903"/>
          <w:tab w:val="left" w:pos="6983"/>
          <w:tab w:val="left" w:pos="7823"/>
          <w:tab w:val="left" w:pos="8663"/>
        </w:tabs>
        <w:spacing w:before="1" w:line="669" w:lineRule="auto"/>
        <w:ind w:left="384" w:right="346" w:firstLine="84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 发包人监督单位</w:t>
      </w:r>
      <w:r>
        <w:rPr>
          <w:rFonts w:hint="eastAsia" w:ascii="宋体" w:hAnsi="宋体" w:eastAsia="宋体" w:cs="宋体"/>
          <w:spacing w:val="-23"/>
          <w:highlight w:val="none"/>
        </w:rPr>
        <w:t>：</w:t>
      </w:r>
      <w:r>
        <w:rPr>
          <w:rFonts w:hint="eastAsia" w:ascii="宋体" w:hAnsi="宋体" w:eastAsia="宋体" w:cs="宋体"/>
          <w:spacing w:val="-23"/>
          <w:highlight w:val="none"/>
          <w:u w:val="single"/>
        </w:rPr>
        <w:t>（</w:t>
      </w:r>
      <w:r>
        <w:rPr>
          <w:rFonts w:hint="eastAsia" w:ascii="宋体" w:hAnsi="宋体" w:eastAsia="宋体" w:cs="宋体"/>
          <w:highlight w:val="none"/>
          <w:u w:val="single"/>
        </w:rPr>
        <w:t>全称</w:t>
      </w:r>
      <w:r>
        <w:rPr>
          <w:rFonts w:hint="eastAsia" w:ascii="宋体" w:hAnsi="宋体" w:eastAsia="宋体" w:cs="宋体"/>
          <w:spacing w:val="-23"/>
          <w:highlight w:val="none"/>
          <w:u w:val="single"/>
        </w:rPr>
        <w:t>）（</w:t>
      </w:r>
      <w:r>
        <w:rPr>
          <w:rFonts w:hint="eastAsia" w:ascii="宋体" w:hAnsi="宋体" w:eastAsia="宋体" w:cs="宋体"/>
          <w:highlight w:val="none"/>
          <w:u w:val="single"/>
        </w:rPr>
        <w:t>盖单位章）</w:t>
      </w:r>
      <w:r>
        <w:rPr>
          <w:rFonts w:hint="eastAsia" w:ascii="宋体" w:hAnsi="宋体" w:eastAsia="宋体" w:cs="宋体"/>
          <w:highlight w:val="none"/>
        </w:rPr>
        <w:tab/>
      </w:r>
      <w:r>
        <w:rPr>
          <w:rFonts w:hint="eastAsia" w:ascii="宋体" w:hAnsi="宋体" w:eastAsia="宋体" w:cs="宋体"/>
          <w:highlight w:val="none"/>
        </w:rPr>
        <w:t>承包人监督单位</w:t>
      </w:r>
      <w:r>
        <w:rPr>
          <w:rFonts w:hint="eastAsia" w:ascii="宋体" w:hAnsi="宋体" w:eastAsia="宋体" w:cs="宋体"/>
          <w:spacing w:val="-24"/>
          <w:highlight w:val="none"/>
        </w:rPr>
        <w:t>：</w:t>
      </w:r>
      <w:r>
        <w:rPr>
          <w:rFonts w:hint="eastAsia" w:ascii="宋体" w:hAnsi="宋体" w:eastAsia="宋体" w:cs="宋体"/>
          <w:spacing w:val="-24"/>
          <w:highlight w:val="none"/>
          <w:u w:val="single"/>
        </w:rPr>
        <w:t>（</w:t>
      </w:r>
      <w:r>
        <w:rPr>
          <w:rFonts w:hint="eastAsia" w:ascii="宋体" w:hAnsi="宋体" w:eastAsia="宋体" w:cs="宋体"/>
          <w:highlight w:val="none"/>
          <w:u w:val="single"/>
        </w:rPr>
        <w:t>全称</w:t>
      </w:r>
      <w:r>
        <w:rPr>
          <w:rFonts w:hint="eastAsia" w:ascii="宋体" w:hAnsi="宋体" w:eastAsia="宋体" w:cs="宋体"/>
          <w:spacing w:val="-22"/>
          <w:highlight w:val="none"/>
          <w:u w:val="single"/>
        </w:rPr>
        <w:t>）（</w:t>
      </w:r>
      <w:r>
        <w:rPr>
          <w:rFonts w:hint="eastAsia" w:ascii="宋体" w:hAnsi="宋体" w:eastAsia="宋体" w:cs="宋体"/>
          <w:highlight w:val="none"/>
          <w:u w:val="single"/>
        </w:rPr>
        <w:t>盖单位章</w:t>
      </w:r>
      <w:r>
        <w:rPr>
          <w:rFonts w:hint="eastAsia" w:ascii="宋体" w:hAnsi="宋体" w:eastAsia="宋体" w:cs="宋体"/>
          <w:spacing w:val="-16"/>
          <w:highlight w:val="none"/>
          <w:u w:val="single"/>
        </w:rPr>
        <w:t>）</w:t>
      </w:r>
    </w:p>
    <w:p w14:paraId="522EB330">
      <w:pPr>
        <w:spacing w:line="669" w:lineRule="auto"/>
        <w:rPr>
          <w:rFonts w:hint="eastAsia" w:ascii="宋体" w:hAnsi="宋体" w:eastAsia="宋体" w:cs="宋体"/>
          <w:highlight w:val="none"/>
        </w:rPr>
        <w:sectPr>
          <w:pgSz w:w="11910" w:h="16840"/>
          <w:pgMar w:top="1360" w:right="1120" w:bottom="1080" w:left="1260" w:header="882" w:footer="880" w:gutter="0"/>
          <w:cols w:space="720" w:num="1"/>
        </w:sectPr>
      </w:pPr>
    </w:p>
    <w:p w14:paraId="13EB5C41">
      <w:pPr>
        <w:pStyle w:val="10"/>
        <w:spacing w:before="10"/>
        <w:rPr>
          <w:rFonts w:hint="eastAsia" w:ascii="宋体" w:hAnsi="宋体" w:eastAsia="宋体" w:cs="宋体"/>
          <w:sz w:val="17"/>
          <w:highlight w:val="none"/>
        </w:rPr>
      </w:pPr>
    </w:p>
    <w:p w14:paraId="75C9512F">
      <w:pPr>
        <w:rPr>
          <w:rFonts w:hint="eastAsia" w:ascii="宋体" w:hAnsi="宋体" w:eastAsia="宋体" w:cs="宋体"/>
          <w:sz w:val="17"/>
          <w:highlight w:val="none"/>
        </w:rPr>
        <w:sectPr>
          <w:pgSz w:w="11910" w:h="16840"/>
          <w:pgMar w:top="1360" w:right="1120" w:bottom="1080" w:left="1260" w:header="882" w:footer="880" w:gutter="0"/>
          <w:cols w:space="720" w:num="1"/>
        </w:sectPr>
      </w:pPr>
    </w:p>
    <w:p w14:paraId="756BFEE0">
      <w:pPr>
        <w:pStyle w:val="10"/>
        <w:spacing w:before="67"/>
        <w:ind w:left="583"/>
        <w:rPr>
          <w:rFonts w:hint="eastAsia" w:ascii="宋体" w:hAnsi="宋体" w:eastAsia="宋体" w:cs="宋体"/>
          <w:highlight w:val="none"/>
        </w:rPr>
      </w:pPr>
      <w:bookmarkStart w:id="80" w:name="附件三_安全生产合同"/>
      <w:bookmarkEnd w:id="80"/>
      <w:r>
        <w:rPr>
          <w:rFonts w:hint="eastAsia" w:ascii="宋体" w:hAnsi="宋体" w:eastAsia="宋体" w:cs="宋体"/>
          <w:highlight w:val="none"/>
        </w:rPr>
        <w:t>附件三 安全生产合同</w:t>
      </w:r>
    </w:p>
    <w:p w14:paraId="7FC3B9F6">
      <w:pPr>
        <w:pStyle w:val="10"/>
        <w:spacing w:before="8"/>
        <w:rPr>
          <w:rFonts w:hint="eastAsia" w:ascii="宋体" w:hAnsi="宋体" w:eastAsia="宋体" w:cs="宋体"/>
          <w:sz w:val="31"/>
          <w:highlight w:val="none"/>
        </w:rPr>
      </w:pPr>
      <w:r>
        <w:rPr>
          <w:rFonts w:hint="eastAsia" w:ascii="宋体" w:hAnsi="宋体" w:eastAsia="宋体" w:cs="宋体"/>
          <w:highlight w:val="none"/>
        </w:rPr>
        <w:br w:type="column"/>
      </w:r>
    </w:p>
    <w:p w14:paraId="6C675111">
      <w:pPr>
        <w:spacing w:before="1"/>
        <w:ind w:left="583"/>
        <w:rPr>
          <w:rFonts w:hint="eastAsia" w:ascii="宋体" w:hAnsi="宋体" w:eastAsia="宋体" w:cs="宋体"/>
          <w:sz w:val="28"/>
          <w:highlight w:val="none"/>
        </w:rPr>
      </w:pPr>
      <w:r>
        <w:rPr>
          <w:rFonts w:hint="eastAsia" w:ascii="宋体" w:hAnsi="宋体" w:eastAsia="宋体" w:cs="宋体"/>
          <w:sz w:val="28"/>
          <w:highlight w:val="none"/>
        </w:rPr>
        <w:t>安全生产合同</w:t>
      </w:r>
    </w:p>
    <w:p w14:paraId="2BCB58CC">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904" w:space="509"/>
            <w:col w:w="6117"/>
          </w:cols>
        </w:sectPr>
      </w:pPr>
    </w:p>
    <w:p w14:paraId="7D7B9533">
      <w:pPr>
        <w:pStyle w:val="10"/>
        <w:rPr>
          <w:rFonts w:hint="eastAsia" w:ascii="宋体" w:hAnsi="宋体" w:eastAsia="宋体" w:cs="宋体"/>
          <w:sz w:val="20"/>
          <w:highlight w:val="none"/>
        </w:rPr>
      </w:pPr>
    </w:p>
    <w:p w14:paraId="72BE93D2">
      <w:pPr>
        <w:pStyle w:val="10"/>
        <w:tabs>
          <w:tab w:val="left" w:pos="2915"/>
          <w:tab w:val="left" w:pos="6086"/>
          <w:tab w:val="left" w:pos="8579"/>
        </w:tabs>
        <w:spacing w:before="214" w:line="304" w:lineRule="auto"/>
        <w:ind w:left="384" w:right="462" w:firstLine="480"/>
        <w:jc w:val="both"/>
        <w:rPr>
          <w:rFonts w:hint="eastAsia" w:ascii="宋体" w:hAnsi="宋体" w:eastAsia="宋体" w:cs="宋体"/>
          <w:highlight w:val="none"/>
        </w:rPr>
      </w:pPr>
      <w:r>
        <w:rPr>
          <w:rFonts w:hint="eastAsia" w:ascii="宋体" w:hAnsi="宋体" w:eastAsia="宋体" w:cs="宋体"/>
          <w:highlight w:val="none"/>
        </w:rPr>
        <w:t>为在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spacing w:val="19"/>
          <w:highlight w:val="none"/>
          <w:u w:val="single"/>
        </w:rPr>
        <w:t xml:space="preserve"> </w:t>
      </w:r>
      <w:r>
        <w:rPr>
          <w:rFonts w:hint="eastAsia" w:ascii="宋体" w:hAnsi="宋体" w:eastAsia="宋体" w:cs="宋体"/>
          <w:highlight w:val="none"/>
        </w:rPr>
        <w:t>标段施工合同的实施过程中创造安全</w:t>
      </w:r>
      <w:r>
        <w:rPr>
          <w:rFonts w:hint="eastAsia" w:ascii="宋体" w:hAnsi="宋体" w:eastAsia="宋体" w:cs="宋体"/>
          <w:spacing w:val="-10"/>
          <w:highlight w:val="none"/>
        </w:rPr>
        <w:t>、</w:t>
      </w:r>
      <w:r>
        <w:rPr>
          <w:rFonts w:hint="eastAsia" w:ascii="宋体" w:hAnsi="宋体" w:eastAsia="宋体" w:cs="宋体"/>
          <w:highlight w:val="none"/>
        </w:rPr>
        <w:t>高效的施工环境</w:t>
      </w:r>
      <w:r>
        <w:rPr>
          <w:rFonts w:hint="eastAsia" w:ascii="宋体" w:hAnsi="宋体" w:eastAsia="宋体" w:cs="宋体"/>
          <w:spacing w:val="-29"/>
          <w:highlight w:val="none"/>
        </w:rPr>
        <w:t>，</w:t>
      </w:r>
      <w:r>
        <w:rPr>
          <w:rFonts w:hint="eastAsia" w:ascii="宋体" w:hAnsi="宋体" w:eastAsia="宋体" w:cs="宋体"/>
          <w:highlight w:val="none"/>
        </w:rPr>
        <w:t>切实搞好本项目的安全管理工作</w:t>
      </w:r>
      <w:r>
        <w:rPr>
          <w:rFonts w:hint="eastAsia" w:ascii="宋体" w:hAnsi="宋体" w:eastAsia="宋体" w:cs="宋体"/>
          <w:spacing w:val="-27"/>
          <w:highlight w:val="none"/>
        </w:rPr>
        <w:t>，</w:t>
      </w:r>
      <w:r>
        <w:rPr>
          <w:rFonts w:hint="eastAsia" w:ascii="宋体" w:hAnsi="宋体" w:eastAsia="宋体" w:cs="宋体"/>
          <w:highlight w:val="none"/>
        </w:rPr>
        <w:t>本项目发包人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4"/>
          <w:highlight w:val="none"/>
        </w:rPr>
        <w:t>发</w:t>
      </w:r>
      <w:r>
        <w:rPr>
          <w:rFonts w:hint="eastAsia" w:ascii="宋体" w:hAnsi="宋体" w:eastAsia="宋体" w:cs="宋体"/>
          <w:highlight w:val="none"/>
        </w:rPr>
        <w:t>包人名称</w:t>
      </w:r>
      <w:r>
        <w:rPr>
          <w:rFonts w:hint="eastAsia" w:ascii="宋体" w:hAnsi="宋体" w:eastAsia="宋体" w:cs="宋体"/>
          <w:spacing w:val="-12"/>
          <w:highlight w:val="none"/>
        </w:rPr>
        <w:t>，</w:t>
      </w:r>
      <w:r>
        <w:rPr>
          <w:rFonts w:hint="eastAsia" w:ascii="宋体" w:hAnsi="宋体" w:eastAsia="宋体" w:cs="宋体"/>
          <w:highlight w:val="none"/>
        </w:rPr>
        <w:t>以下简称“发包人</w:t>
      </w:r>
      <w:r>
        <w:rPr>
          <w:rFonts w:hint="eastAsia" w:ascii="宋体" w:hAnsi="宋体" w:eastAsia="宋体" w:cs="宋体"/>
          <w:spacing w:val="-6"/>
          <w:highlight w:val="none"/>
        </w:rPr>
        <w:t>”）</w:t>
      </w:r>
      <w:r>
        <w:rPr>
          <w:rFonts w:hint="eastAsia" w:ascii="宋体" w:hAnsi="宋体" w:eastAsia="宋体" w:cs="宋体"/>
          <w:highlight w:val="none"/>
        </w:rPr>
        <w:t>与承包人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（承包人名称</w:t>
      </w:r>
      <w:r>
        <w:rPr>
          <w:rFonts w:hint="eastAsia" w:ascii="宋体" w:hAnsi="宋体" w:eastAsia="宋体" w:cs="宋体"/>
          <w:spacing w:val="-10"/>
          <w:highlight w:val="none"/>
        </w:rPr>
        <w:t>，</w:t>
      </w:r>
      <w:r>
        <w:rPr>
          <w:rFonts w:hint="eastAsia" w:ascii="宋体" w:hAnsi="宋体" w:eastAsia="宋体" w:cs="宋体"/>
          <w:highlight w:val="none"/>
        </w:rPr>
        <w:t>以下简称“</w:t>
      </w:r>
      <w:r>
        <w:rPr>
          <w:rFonts w:hint="eastAsia" w:ascii="宋体" w:hAnsi="宋体" w:eastAsia="宋体" w:cs="宋体"/>
          <w:spacing w:val="-17"/>
          <w:highlight w:val="none"/>
        </w:rPr>
        <w:t>承</w:t>
      </w:r>
      <w:r>
        <w:rPr>
          <w:rFonts w:hint="eastAsia" w:ascii="宋体" w:hAnsi="宋体" w:eastAsia="宋体" w:cs="宋体"/>
          <w:highlight w:val="none"/>
        </w:rPr>
        <w:t>包人”）特此签订安全生产合同。</w:t>
      </w:r>
    </w:p>
    <w:p w14:paraId="0FC92EC7">
      <w:pPr>
        <w:pStyle w:val="26"/>
        <w:numPr>
          <w:ilvl w:val="0"/>
          <w:numId w:val="45"/>
        </w:numPr>
        <w:tabs>
          <w:tab w:val="left" w:pos="104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发包人职责</w:t>
      </w:r>
    </w:p>
    <w:p w14:paraId="432ADBA9">
      <w:pPr>
        <w:pStyle w:val="26"/>
        <w:numPr>
          <w:ilvl w:val="0"/>
          <w:numId w:val="46"/>
        </w:numPr>
        <w:tabs>
          <w:tab w:val="left" w:pos="1465"/>
        </w:tabs>
        <w:spacing w:before="84" w:line="30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严格遵守国家有关安全生产的法律法规，认真执行工程承包合同中的有</w:t>
      </w:r>
      <w:r>
        <w:rPr>
          <w:rFonts w:hint="eastAsia" w:ascii="宋体" w:hAnsi="宋体" w:eastAsia="宋体" w:cs="宋体"/>
          <w:spacing w:val="-5"/>
          <w:sz w:val="24"/>
          <w:highlight w:val="none"/>
        </w:rPr>
        <w:t>关安全要求。</w:t>
      </w:r>
    </w:p>
    <w:p w14:paraId="55308834">
      <w:pPr>
        <w:pStyle w:val="26"/>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”和坚持“管生产必须管安全”</w:t>
      </w:r>
      <w:r>
        <w:rPr>
          <w:rFonts w:hint="eastAsia" w:ascii="宋体" w:hAnsi="宋体" w:eastAsia="宋体" w:cs="宋体"/>
          <w:spacing w:val="-6"/>
          <w:sz w:val="24"/>
          <w:highlight w:val="none"/>
        </w:rPr>
        <w:t>的原则</w:t>
      </w:r>
      <w:r>
        <w:rPr>
          <w:rFonts w:hint="eastAsia" w:ascii="宋体" w:hAnsi="宋体" w:eastAsia="宋体" w:cs="宋体"/>
          <w:sz w:val="24"/>
          <w:highlight w:val="none"/>
        </w:rPr>
        <w:t>进行安全生产管理，做到生产与安全工作同时计划、布置、检查、总结和评比。</w:t>
      </w:r>
    </w:p>
    <w:p w14:paraId="090A1B6F">
      <w:pPr>
        <w:pStyle w:val="26"/>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重要的安全设施必须坚持与主体工程“三同时”</w:t>
      </w:r>
      <w:r>
        <w:rPr>
          <w:rFonts w:hint="eastAsia" w:ascii="宋体" w:hAnsi="宋体" w:eastAsia="宋体" w:cs="宋体"/>
          <w:spacing w:val="-8"/>
          <w:sz w:val="24"/>
          <w:highlight w:val="none"/>
        </w:rPr>
        <w:t>的原则，即：同时设计、审</w:t>
      </w:r>
      <w:r>
        <w:rPr>
          <w:rFonts w:hint="eastAsia" w:ascii="宋体" w:hAnsi="宋体" w:eastAsia="宋体" w:cs="宋体"/>
          <w:sz w:val="24"/>
          <w:highlight w:val="none"/>
        </w:rPr>
        <w:t>批，同时施工，同时验收，投入使用。</w:t>
      </w:r>
    </w:p>
    <w:p w14:paraId="26E9E22C">
      <w:pPr>
        <w:pStyle w:val="26"/>
        <w:numPr>
          <w:ilvl w:val="0"/>
          <w:numId w:val="46"/>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定期召开安全生产调度会，及时传达中央及地方有关安全生产的精神。</w:t>
      </w:r>
    </w:p>
    <w:p w14:paraId="34D4CA23">
      <w:pPr>
        <w:pStyle w:val="26"/>
        <w:numPr>
          <w:ilvl w:val="0"/>
          <w:numId w:val="46"/>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组织对承包人施工现场进行安全生产检查，监督承包人及时处理发现的</w:t>
      </w:r>
      <w:r>
        <w:rPr>
          <w:rFonts w:hint="eastAsia" w:ascii="宋体" w:hAnsi="宋体" w:eastAsia="宋体" w:cs="宋体"/>
          <w:spacing w:val="-5"/>
          <w:sz w:val="24"/>
          <w:highlight w:val="none"/>
        </w:rPr>
        <w:t>各种安全隐患。</w:t>
      </w:r>
    </w:p>
    <w:p w14:paraId="146453A2">
      <w:pPr>
        <w:pStyle w:val="26"/>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承包人职责</w:t>
      </w:r>
    </w:p>
    <w:p w14:paraId="7A490E1D">
      <w:pPr>
        <w:pStyle w:val="26"/>
        <w:numPr>
          <w:ilvl w:val="0"/>
          <w:numId w:val="47"/>
        </w:numPr>
        <w:tabs>
          <w:tab w:val="left" w:pos="1465"/>
        </w:tabs>
        <w:spacing w:before="84" w:line="304"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严格遵守《中华人民共和国安全生产法》《建设工程安全生产管理条例》</w:t>
      </w:r>
      <w:r>
        <w:rPr>
          <w:rFonts w:hint="eastAsia" w:ascii="宋体" w:hAnsi="宋体" w:eastAsia="宋体" w:cs="宋体"/>
          <w:sz w:val="24"/>
          <w:highlight w:val="none"/>
        </w:rPr>
        <w:t>等国家有关安全生产的法律法规、《公路水运工程安全生产监督管理办法》和《公路工程施工安全技术规范》等有关安全生产的规定。认真执行工程承包合同中的有关安全要求。</w:t>
      </w:r>
    </w:p>
    <w:p w14:paraId="24F9CA6B">
      <w:pPr>
        <w:pStyle w:val="26"/>
        <w:numPr>
          <w:ilvl w:val="0"/>
          <w:numId w:val="4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坚持“</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”和“管生产必须管安全”</w:t>
      </w:r>
      <w:r>
        <w:rPr>
          <w:rFonts w:hint="eastAsia" w:ascii="宋体" w:hAnsi="宋体" w:eastAsia="宋体" w:cs="宋体"/>
          <w:spacing w:val="-6"/>
          <w:sz w:val="24"/>
          <w:highlight w:val="none"/>
        </w:rPr>
        <w:t>的原则，加</w:t>
      </w:r>
      <w:r>
        <w:rPr>
          <w:rFonts w:hint="eastAsia" w:ascii="宋体" w:hAnsi="宋体" w:eastAsia="宋体" w:cs="宋体"/>
          <w:spacing w:val="-1"/>
          <w:sz w:val="24"/>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w:t>
      </w:r>
      <w:r>
        <w:rPr>
          <w:rFonts w:hint="eastAsia" w:ascii="宋体" w:hAnsi="宋体" w:eastAsia="宋体" w:cs="宋体"/>
          <w:sz w:val="24"/>
          <w:highlight w:val="none"/>
        </w:rPr>
        <w:t>守本合同的各项规定，做到生产与安全工作同时计划、布置、检查、总结和评比。</w:t>
      </w:r>
    </w:p>
    <w:p w14:paraId="1271E7EF">
      <w:pPr>
        <w:pStyle w:val="26"/>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建立健全安全生产责任制。从派往项目实施的项目经理到生产工人</w:t>
      </w:r>
      <w:r>
        <w:rPr>
          <w:rFonts w:hint="eastAsia" w:ascii="宋体" w:hAnsi="宋体" w:eastAsia="宋体" w:cs="宋体"/>
          <w:sz w:val="24"/>
          <w:highlight w:val="none"/>
        </w:rPr>
        <w:t>（包括临时雇请的民工</w:t>
      </w:r>
      <w:r>
        <w:rPr>
          <w:rFonts w:hint="eastAsia" w:ascii="宋体" w:hAnsi="宋体" w:eastAsia="宋体" w:cs="宋体"/>
          <w:spacing w:val="-29"/>
          <w:sz w:val="24"/>
          <w:highlight w:val="none"/>
        </w:rPr>
        <w:t>）</w:t>
      </w:r>
      <w:r>
        <w:rPr>
          <w:rFonts w:hint="eastAsia" w:ascii="宋体" w:hAnsi="宋体" w:eastAsia="宋体" w:cs="宋体"/>
          <w:spacing w:val="-5"/>
          <w:sz w:val="24"/>
          <w:highlight w:val="none"/>
        </w:rPr>
        <w:t>的安全生产管理系统必须做到纵向到底，一环不漏；各职能部门、</w:t>
      </w:r>
      <w:r>
        <w:rPr>
          <w:rFonts w:hint="eastAsia" w:ascii="宋体" w:hAnsi="宋体" w:eastAsia="宋体" w:cs="宋体"/>
          <w:sz w:val="24"/>
          <w:highlight w:val="none"/>
        </w:rPr>
        <w:t>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4B7D83B">
      <w:pPr>
        <w:spacing w:line="304" w:lineRule="auto"/>
        <w:rPr>
          <w:rFonts w:hint="eastAsia" w:ascii="宋体" w:hAnsi="宋体" w:eastAsia="宋体" w:cs="宋体"/>
          <w:sz w:val="24"/>
          <w:highlight w:val="none"/>
        </w:rPr>
        <w:sectPr>
          <w:type w:val="continuous"/>
          <w:pgSz w:w="11910" w:h="16840"/>
          <w:pgMar w:top="1580" w:right="1120" w:bottom="280" w:left="1260" w:header="720" w:footer="720" w:gutter="0"/>
          <w:cols w:space="720" w:num="1"/>
        </w:sectPr>
      </w:pPr>
    </w:p>
    <w:p w14:paraId="653B66D2">
      <w:pPr>
        <w:pStyle w:val="10"/>
        <w:spacing w:before="12"/>
        <w:rPr>
          <w:rFonts w:hint="eastAsia" w:ascii="宋体" w:hAnsi="宋体" w:eastAsia="宋体" w:cs="宋体"/>
          <w:sz w:val="17"/>
          <w:highlight w:val="none"/>
        </w:rPr>
      </w:pPr>
    </w:p>
    <w:p w14:paraId="20853C3D">
      <w:pPr>
        <w:pStyle w:val="26"/>
        <w:numPr>
          <w:ilvl w:val="0"/>
          <w:numId w:val="47"/>
        </w:numPr>
        <w:tabs>
          <w:tab w:val="left" w:pos="1465"/>
        </w:tabs>
        <w:spacing w:before="74" w:line="302" w:lineRule="auto"/>
        <w:ind w:right="466" w:firstLine="480"/>
        <w:rPr>
          <w:rFonts w:hint="eastAsia" w:ascii="宋体" w:hAnsi="宋体" w:eastAsia="宋体" w:cs="宋体"/>
          <w:sz w:val="24"/>
          <w:highlight w:val="none"/>
        </w:rPr>
      </w:pPr>
      <w:bookmarkStart w:id="81" w:name="附件四_其他管理和技术人员最低要求__"/>
      <w:bookmarkEnd w:id="81"/>
      <w:r>
        <w:rPr>
          <w:rFonts w:hint="eastAsia" w:ascii="宋体" w:hAnsi="宋体" w:eastAsia="宋体" w:cs="宋体"/>
          <w:spacing w:val="-2"/>
          <w:sz w:val="24"/>
          <w:highlight w:val="none"/>
        </w:rPr>
        <w:t>承包人在任何时候都应采取各种合理的预防措施，防止其员工发生任何</w:t>
      </w:r>
      <w:r>
        <w:rPr>
          <w:rFonts w:hint="eastAsia" w:ascii="宋体" w:hAnsi="宋体" w:eastAsia="宋体" w:cs="宋体"/>
          <w:spacing w:val="-5"/>
          <w:sz w:val="24"/>
          <w:highlight w:val="none"/>
        </w:rPr>
        <w:t>违法、违禁、暴力或妨碍治安的行为。</w:t>
      </w:r>
    </w:p>
    <w:p w14:paraId="356DACCC">
      <w:pPr>
        <w:pStyle w:val="26"/>
        <w:numPr>
          <w:ilvl w:val="0"/>
          <w:numId w:val="47"/>
        </w:numPr>
        <w:tabs>
          <w:tab w:val="left" w:pos="1465"/>
        </w:tabs>
        <w:spacing w:before="5"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承包人必须具有劳动安全管理部门颁发的安全生产考核合格证书，参加</w:t>
      </w:r>
      <w:r>
        <w:rPr>
          <w:rFonts w:hint="eastAsia" w:ascii="宋体" w:hAnsi="宋体" w:eastAsia="宋体" w:cs="宋体"/>
          <w:spacing w:val="-5"/>
          <w:sz w:val="24"/>
          <w:highlight w:val="none"/>
        </w:rPr>
        <w:t>施工的人员，必须接受安全技术教育，熟知和遵守本工种的各项安全技术操作规程</w:t>
      </w:r>
      <w:r>
        <w:rPr>
          <w:rFonts w:hint="eastAsia" w:ascii="宋体" w:hAnsi="宋体" w:eastAsia="宋体" w:cs="宋体"/>
          <w:spacing w:val="-4"/>
          <w:sz w:val="24"/>
          <w:highlight w:val="none"/>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894545">
      <w:pPr>
        <w:pStyle w:val="26"/>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6"/>
          <w:sz w:val="24"/>
          <w:highlight w:val="none"/>
        </w:rPr>
        <w:t>对于易燃易爆的材料除应专门妥善保管之外，还应配备有足够的消防设施</w:t>
      </w:r>
      <w:r>
        <w:rPr>
          <w:rFonts w:hint="eastAsia" w:ascii="宋体" w:hAnsi="宋体" w:eastAsia="宋体" w:cs="宋体"/>
          <w:spacing w:val="-5"/>
          <w:sz w:val="24"/>
          <w:highlight w:val="none"/>
        </w:rPr>
        <w:t>，所有施工人员都应熟悉消防设备的性能和使用方法；承包人不得将任何种类的爆炸物给予、易货或以其他方式转让给任何其他人，或允许、容忍上述同样行为。</w:t>
      </w:r>
    </w:p>
    <w:p w14:paraId="2686A01D">
      <w:pPr>
        <w:pStyle w:val="26"/>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操作人员上岗，必须按规定穿戴防护用品。施工负责人和安全检查员应</w:t>
      </w:r>
      <w:r>
        <w:rPr>
          <w:rFonts w:hint="eastAsia" w:ascii="宋体" w:hAnsi="宋体" w:eastAsia="宋体" w:cs="宋体"/>
          <w:spacing w:val="-5"/>
          <w:sz w:val="24"/>
          <w:highlight w:val="none"/>
        </w:rPr>
        <w:t>随时检查劳动防护用品的穿戴情况，不按规定穿戴防护用品的人员不得上岗。</w:t>
      </w:r>
    </w:p>
    <w:p w14:paraId="0DA158B5">
      <w:pPr>
        <w:pStyle w:val="26"/>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5"/>
          <w:sz w:val="24"/>
          <w:highlight w:val="none"/>
        </w:rPr>
        <w:t>记录，保证其经常处于完好状态；不合格的机具、设备和劳动保护用品严禁使用。</w:t>
      </w:r>
    </w:p>
    <w:p w14:paraId="450869DC">
      <w:pPr>
        <w:pStyle w:val="26"/>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施工中采用新技术、新工艺、新设备、新材料时，必须制定相应的安全技</w:t>
      </w:r>
      <w:r>
        <w:rPr>
          <w:rFonts w:hint="eastAsia" w:ascii="宋体" w:hAnsi="宋体" w:eastAsia="宋体" w:cs="宋体"/>
          <w:sz w:val="24"/>
          <w:highlight w:val="none"/>
        </w:rPr>
        <w:t>术措施，施工现场必须具有相关的安全标志牌。</w:t>
      </w:r>
    </w:p>
    <w:p w14:paraId="304941AA">
      <w:pPr>
        <w:pStyle w:val="26"/>
        <w:numPr>
          <w:ilvl w:val="0"/>
          <w:numId w:val="47"/>
        </w:numPr>
        <w:tabs>
          <w:tab w:val="left" w:pos="1588"/>
        </w:tabs>
        <w:spacing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承包人必须按照本工程项目特点，组织制定本工程实施中的生产安全事故应急救援预案；如果发生安全事故，应按照《国务院关于特大安全事故行政责任</w:t>
      </w:r>
      <w:r>
        <w:rPr>
          <w:rFonts w:hint="eastAsia" w:ascii="宋体" w:hAnsi="宋体" w:eastAsia="宋体" w:cs="宋体"/>
          <w:sz w:val="24"/>
          <w:highlight w:val="none"/>
        </w:rPr>
        <w:t>追究的规定》以及其他有关规定，及时上报有关部门，并坚持“四不放过”的原则， 严肃处理相关责任人。</w:t>
      </w:r>
    </w:p>
    <w:p w14:paraId="43D3F20D">
      <w:pPr>
        <w:pStyle w:val="26"/>
        <w:numPr>
          <w:ilvl w:val="0"/>
          <w:numId w:val="47"/>
        </w:numPr>
        <w:tabs>
          <w:tab w:val="left" w:pos="1588"/>
        </w:tabs>
        <w:spacing w:line="304" w:lineRule="auto"/>
        <w:ind w:right="465" w:firstLine="480"/>
        <w:rPr>
          <w:rFonts w:hint="eastAsia" w:ascii="宋体" w:hAnsi="宋体" w:eastAsia="宋体" w:cs="宋体"/>
          <w:sz w:val="24"/>
          <w:highlight w:val="none"/>
        </w:rPr>
      </w:pPr>
      <w:r>
        <w:rPr>
          <w:rFonts w:hint="eastAsia" w:ascii="宋体" w:hAnsi="宋体" w:eastAsia="宋体" w:cs="宋体"/>
          <w:spacing w:val="-1"/>
          <w:sz w:val="24"/>
          <w:highlight w:val="none"/>
        </w:rPr>
        <w:t>安全生产费用按照《公路水运工程安全生产监督管理办法》的相关规定</w:t>
      </w:r>
      <w:r>
        <w:rPr>
          <w:rFonts w:hint="eastAsia" w:ascii="宋体" w:hAnsi="宋体" w:eastAsia="宋体" w:cs="宋体"/>
          <w:sz w:val="24"/>
          <w:highlight w:val="none"/>
        </w:rPr>
        <w:t>使用和管理。</w:t>
      </w:r>
    </w:p>
    <w:p w14:paraId="39730885">
      <w:pPr>
        <w:pStyle w:val="26"/>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6BD35E02">
      <w:pPr>
        <w:pStyle w:val="10"/>
        <w:spacing w:before="73"/>
        <w:ind w:left="864"/>
        <w:rPr>
          <w:rFonts w:hint="eastAsia" w:ascii="宋体" w:hAnsi="宋体" w:eastAsia="宋体" w:cs="宋体"/>
          <w:highlight w:val="none"/>
        </w:rPr>
      </w:pPr>
      <w:r>
        <w:rPr>
          <w:rFonts w:hint="eastAsia" w:ascii="宋体" w:hAnsi="宋体" w:eastAsia="宋体" w:cs="宋体"/>
          <w:highlight w:val="none"/>
        </w:rPr>
        <w:t>如因发包人或承包人违约造成安全事故，将依法追究责任。</w:t>
      </w:r>
    </w:p>
    <w:p w14:paraId="1246D973">
      <w:pPr>
        <w:pStyle w:val="26"/>
        <w:numPr>
          <w:ilvl w:val="0"/>
          <w:numId w:val="45"/>
        </w:numPr>
        <w:tabs>
          <w:tab w:val="left" w:pos="1164"/>
        </w:tabs>
        <w:spacing w:before="81" w:line="304"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本合同由双方法定代表人或其授权的代理人签署并加盖单位章后生效，全部</w:t>
      </w:r>
      <w:r>
        <w:rPr>
          <w:rFonts w:hint="eastAsia" w:ascii="宋体" w:hAnsi="宋体" w:eastAsia="宋体" w:cs="宋体"/>
          <w:sz w:val="24"/>
          <w:highlight w:val="none"/>
        </w:rPr>
        <w:t>工程竣工验收后失效。</w:t>
      </w:r>
    </w:p>
    <w:p w14:paraId="40051F9E">
      <w:pPr>
        <w:pStyle w:val="26"/>
        <w:numPr>
          <w:ilvl w:val="0"/>
          <w:numId w:val="45"/>
        </w:numPr>
        <w:tabs>
          <w:tab w:val="left" w:pos="1164"/>
          <w:tab w:val="left" w:pos="4036"/>
          <w:tab w:val="left" w:pos="8107"/>
        </w:tabs>
        <w:spacing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本合同正本二份</w:t>
      </w:r>
      <w:r>
        <w:rPr>
          <w:rFonts w:hint="eastAsia" w:ascii="宋体" w:hAnsi="宋体" w:eastAsia="宋体" w:cs="宋体"/>
          <w:spacing w:val="-8"/>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合同双方各执正本一份</w:t>
      </w:r>
      <w:r>
        <w:rPr>
          <w:rFonts w:hint="eastAsia" w:ascii="宋体" w:hAnsi="宋体" w:eastAsia="宋体" w:cs="宋体"/>
          <w:spacing w:val="-5"/>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当</w:t>
      </w:r>
      <w:r>
        <w:rPr>
          <w:rFonts w:hint="eastAsia" w:ascii="宋体" w:hAnsi="宋体" w:eastAsia="宋体" w:cs="宋体"/>
          <w:spacing w:val="-18"/>
          <w:sz w:val="24"/>
          <w:highlight w:val="none"/>
        </w:rPr>
        <w:t>正</w:t>
      </w:r>
      <w:r>
        <w:rPr>
          <w:rFonts w:hint="eastAsia" w:ascii="宋体" w:hAnsi="宋体" w:eastAsia="宋体" w:cs="宋体"/>
          <w:sz w:val="24"/>
          <w:highlight w:val="none"/>
        </w:rPr>
        <w:t>本与副本的内容不一致时，以正本为准。</w:t>
      </w:r>
    </w:p>
    <w:p w14:paraId="132FEA97">
      <w:pPr>
        <w:pStyle w:val="10"/>
        <w:rPr>
          <w:rFonts w:hint="eastAsia" w:ascii="宋体" w:hAnsi="宋体" w:eastAsia="宋体" w:cs="宋体"/>
          <w:highlight w:val="none"/>
        </w:rPr>
      </w:pPr>
    </w:p>
    <w:p w14:paraId="1DF80A67">
      <w:pPr>
        <w:pStyle w:val="10"/>
        <w:rPr>
          <w:rFonts w:hint="eastAsia" w:ascii="宋体" w:hAnsi="宋体" w:eastAsia="宋体" w:cs="宋体"/>
          <w:highlight w:val="none"/>
        </w:rPr>
      </w:pPr>
    </w:p>
    <w:p w14:paraId="43FBAF38">
      <w:pPr>
        <w:pStyle w:val="10"/>
        <w:spacing w:before="11"/>
        <w:rPr>
          <w:rFonts w:hint="eastAsia" w:ascii="宋体" w:hAnsi="宋体" w:eastAsia="宋体" w:cs="宋体"/>
          <w:sz w:val="16"/>
          <w:highlight w:val="none"/>
        </w:rPr>
      </w:pPr>
    </w:p>
    <w:p w14:paraId="092051EB">
      <w:pPr>
        <w:pStyle w:val="10"/>
        <w:tabs>
          <w:tab w:val="left" w:pos="3206"/>
          <w:tab w:val="left" w:pos="5236"/>
          <w:tab w:val="left" w:pos="7739"/>
        </w:tabs>
        <w:spacing w:line="343" w:lineRule="auto"/>
        <w:ind w:left="583"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1"/>
          <w:highlight w:val="none"/>
        </w:rPr>
        <w:t>：</w:t>
      </w:r>
      <w:r>
        <w:rPr>
          <w:rFonts w:hint="eastAsia" w:ascii="宋体" w:hAnsi="宋体" w:eastAsia="宋体" w:cs="宋体"/>
          <w:spacing w:val="-11"/>
          <w:highlight w:val="none"/>
          <w:u w:val="single"/>
        </w:rPr>
        <w:t xml:space="preserve"> </w:t>
      </w:r>
      <w:r>
        <w:rPr>
          <w:rFonts w:hint="eastAsia" w:ascii="宋体" w:hAnsi="宋体" w:eastAsia="宋体" w:cs="宋体"/>
          <w:spacing w:val="-11"/>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0"/>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10"/>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8"/>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3"/>
          <w:highlight w:val="none"/>
        </w:rPr>
        <w:t>（</w:t>
      </w:r>
      <w:r>
        <w:rPr>
          <w:rFonts w:hint="eastAsia" w:ascii="宋体" w:hAnsi="宋体" w:eastAsia="宋体" w:cs="宋体"/>
          <w:highlight w:val="none"/>
        </w:rPr>
        <w:t>签字）</w:t>
      </w:r>
      <w:r>
        <w:rPr>
          <w:rFonts w:hint="eastAsia" w:ascii="宋体" w:hAnsi="宋体" w:eastAsia="宋体" w:cs="宋体"/>
          <w:spacing w:val="-32"/>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9"/>
          <w:highlight w:val="none"/>
        </w:rPr>
        <w:t>：</w:t>
      </w:r>
      <w:r>
        <w:rPr>
          <w:rFonts w:hint="eastAsia" w:ascii="宋体" w:hAnsi="宋体" w:eastAsia="宋体" w:cs="宋体"/>
          <w:spacing w:val="-7"/>
          <w:highlight w:val="none"/>
          <w:u w:val="single"/>
        </w:rPr>
        <w:t xml:space="preserve"> </w:t>
      </w:r>
      <w:r>
        <w:rPr>
          <w:rFonts w:hint="eastAsia" w:ascii="宋体" w:hAnsi="宋体" w:eastAsia="宋体" w:cs="宋体"/>
          <w:highlight w:val="none"/>
        </w:rPr>
        <w:t>（签字</w:t>
      </w:r>
      <w:r>
        <w:rPr>
          <w:rFonts w:hint="eastAsia" w:ascii="宋体" w:hAnsi="宋体" w:eastAsia="宋体" w:cs="宋体"/>
          <w:spacing w:val="-16"/>
          <w:highlight w:val="none"/>
        </w:rPr>
        <w:t>）</w:t>
      </w:r>
    </w:p>
    <w:p w14:paraId="4CA9C9F2">
      <w:pPr>
        <w:pStyle w:val="10"/>
        <w:tabs>
          <w:tab w:val="left" w:pos="2303"/>
          <w:tab w:val="left" w:pos="3143"/>
          <w:tab w:val="left" w:pos="3983"/>
          <w:tab w:val="left" w:pos="5903"/>
          <w:tab w:val="left" w:pos="6983"/>
          <w:tab w:val="left" w:pos="7823"/>
          <w:tab w:val="left" w:pos="8663"/>
        </w:tabs>
        <w:spacing w:before="1"/>
        <w:ind w:left="1224"/>
        <w:rPr>
          <w:rFonts w:hint="eastAsia" w:ascii="宋体" w:hAnsi="宋体" w:eastAsia="宋体" w:cs="宋体"/>
          <w:highlight w:val="none"/>
        </w:rPr>
        <w:sectPr>
          <w:pgSz w:w="11910" w:h="16840"/>
          <w:pgMar w:top="1360" w:right="1120" w:bottom="1080" w:left="1260" w:header="882" w:footer="880"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FE8BFF8">
      <w:pPr>
        <w:pStyle w:val="10"/>
        <w:spacing w:before="4"/>
        <w:rPr>
          <w:rFonts w:hint="eastAsia" w:ascii="宋体" w:hAnsi="宋体" w:eastAsia="宋体" w:cs="宋体"/>
          <w:sz w:val="16"/>
          <w:highlight w:val="none"/>
        </w:rPr>
      </w:pPr>
    </w:p>
    <w:p w14:paraId="2766BB94">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 xml:space="preserve">附件四 其他管理和技术人员最低要求 </w:t>
      </w:r>
    </w:p>
    <w:p w14:paraId="7BEBF637">
      <w:pPr>
        <w:pStyle w:val="10"/>
        <w:rPr>
          <w:rFonts w:hint="eastAsia" w:ascii="宋体" w:hAnsi="宋体" w:eastAsia="宋体" w:cs="宋体"/>
          <w:sz w:val="20"/>
          <w:highlight w:val="none"/>
        </w:rPr>
      </w:pPr>
    </w:p>
    <w:p w14:paraId="60DFD7AB">
      <w:pPr>
        <w:pStyle w:val="10"/>
        <w:spacing w:before="4"/>
        <w:rPr>
          <w:rFonts w:hint="eastAsia" w:ascii="宋体" w:hAnsi="宋体" w:eastAsia="宋体" w:cs="宋体"/>
          <w:sz w:val="11"/>
          <w:highlight w:val="none"/>
        </w:rPr>
      </w:pPr>
    </w:p>
    <w:tbl>
      <w:tblPr>
        <w:tblStyle w:val="23"/>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61"/>
        <w:gridCol w:w="4282"/>
      </w:tblGrid>
      <w:tr w14:paraId="457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48" w:type="dxa"/>
          </w:tcPr>
          <w:p w14:paraId="19391277">
            <w:pPr>
              <w:pStyle w:val="27"/>
              <w:spacing w:before="8"/>
              <w:rPr>
                <w:rFonts w:hint="eastAsia" w:ascii="宋体" w:hAnsi="宋体" w:eastAsia="宋体" w:cs="宋体"/>
                <w:sz w:val="24"/>
                <w:highlight w:val="none"/>
              </w:rPr>
            </w:pPr>
          </w:p>
          <w:p w14:paraId="573C8A15">
            <w:pPr>
              <w:pStyle w:val="27"/>
              <w:tabs>
                <w:tab w:val="left" w:pos="489"/>
              </w:tabs>
              <w:ind w:left="9"/>
              <w:jc w:val="center"/>
              <w:rPr>
                <w:rFonts w:hint="eastAsia" w:ascii="宋体" w:hAnsi="宋体" w:eastAsia="宋体" w:cs="宋体"/>
                <w:sz w:val="24"/>
                <w:highlight w:val="none"/>
              </w:rPr>
            </w:pPr>
            <w:r>
              <w:rPr>
                <w:rFonts w:hint="eastAsia" w:ascii="宋体" w:hAnsi="宋体" w:eastAsia="宋体" w:cs="宋体"/>
                <w:sz w:val="24"/>
                <w:highlight w:val="none"/>
              </w:rPr>
              <w:t>人</w:t>
            </w:r>
            <w:r>
              <w:rPr>
                <w:rFonts w:hint="eastAsia" w:ascii="宋体" w:hAnsi="宋体" w:eastAsia="宋体" w:cs="宋体"/>
                <w:sz w:val="24"/>
                <w:highlight w:val="none"/>
              </w:rPr>
              <w:tab/>
            </w:r>
            <w:r>
              <w:rPr>
                <w:rFonts w:hint="eastAsia" w:ascii="宋体" w:hAnsi="宋体" w:eastAsia="宋体" w:cs="宋体"/>
                <w:sz w:val="24"/>
                <w:highlight w:val="none"/>
              </w:rPr>
              <w:t>员</w:t>
            </w:r>
          </w:p>
        </w:tc>
        <w:tc>
          <w:tcPr>
            <w:tcW w:w="2161" w:type="dxa"/>
          </w:tcPr>
          <w:p w14:paraId="6CB992F2">
            <w:pPr>
              <w:pStyle w:val="27"/>
              <w:spacing w:before="8"/>
              <w:rPr>
                <w:rFonts w:hint="eastAsia" w:ascii="宋体" w:hAnsi="宋体" w:eastAsia="宋体" w:cs="宋体"/>
                <w:sz w:val="24"/>
                <w:highlight w:val="none"/>
              </w:rPr>
            </w:pPr>
          </w:p>
          <w:p w14:paraId="48A8DC9C">
            <w:pPr>
              <w:pStyle w:val="27"/>
              <w:tabs>
                <w:tab w:val="left" w:pos="1199"/>
              </w:tabs>
              <w:ind w:left="719"/>
              <w:rPr>
                <w:rFonts w:hint="eastAsia" w:ascii="宋体" w:hAnsi="宋体" w:eastAsia="宋体" w:cs="宋体"/>
                <w:sz w:val="24"/>
                <w:highlight w:val="none"/>
              </w:rPr>
            </w:pPr>
            <w:r>
              <w:rPr>
                <w:rFonts w:hint="eastAsia" w:ascii="宋体" w:hAnsi="宋体" w:eastAsia="宋体" w:cs="宋体"/>
                <w:sz w:val="24"/>
                <w:highlight w:val="none"/>
              </w:rPr>
              <w:t>数</w:t>
            </w:r>
            <w:r>
              <w:rPr>
                <w:rFonts w:hint="eastAsia" w:ascii="宋体" w:hAnsi="宋体" w:eastAsia="宋体" w:cs="宋体"/>
                <w:sz w:val="24"/>
                <w:highlight w:val="none"/>
              </w:rPr>
              <w:tab/>
            </w:r>
            <w:r>
              <w:rPr>
                <w:rFonts w:hint="eastAsia" w:ascii="宋体" w:hAnsi="宋体" w:eastAsia="宋体" w:cs="宋体"/>
                <w:sz w:val="24"/>
                <w:highlight w:val="none"/>
              </w:rPr>
              <w:t>量</w:t>
            </w:r>
          </w:p>
        </w:tc>
        <w:tc>
          <w:tcPr>
            <w:tcW w:w="4282" w:type="dxa"/>
          </w:tcPr>
          <w:p w14:paraId="40688ECC">
            <w:pPr>
              <w:pStyle w:val="27"/>
              <w:spacing w:before="8"/>
              <w:rPr>
                <w:rFonts w:hint="eastAsia" w:ascii="宋体" w:hAnsi="宋体" w:eastAsia="宋体" w:cs="宋体"/>
                <w:sz w:val="24"/>
                <w:highlight w:val="none"/>
              </w:rPr>
            </w:pPr>
          </w:p>
          <w:p w14:paraId="2F910CA7">
            <w:pPr>
              <w:pStyle w:val="27"/>
              <w:ind w:left="1459" w:right="1452"/>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14:paraId="6EE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448" w:type="dxa"/>
            <w:vAlign w:val="center"/>
          </w:tcPr>
          <w:p w14:paraId="565AD604">
            <w:pPr>
              <w:pStyle w:val="27"/>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项目总工（技术负责人）</w:t>
            </w:r>
          </w:p>
        </w:tc>
        <w:tc>
          <w:tcPr>
            <w:tcW w:w="2161" w:type="dxa"/>
            <w:vAlign w:val="center"/>
          </w:tcPr>
          <w:p w14:paraId="4228D477">
            <w:pPr>
              <w:pStyle w:val="27"/>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4282" w:type="dxa"/>
            <w:vAlign w:val="center"/>
          </w:tcPr>
          <w:p w14:paraId="692CA103">
            <w:pPr>
              <w:pStyle w:val="27"/>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公路工程相关专业工程师及以上职称；持有有效的安全生产考核合格证书(B 类)；</w:t>
            </w:r>
          </w:p>
        </w:tc>
      </w:tr>
      <w:tr w14:paraId="722A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vAlign w:val="center"/>
          </w:tcPr>
          <w:p w14:paraId="36DBA382">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道路工程师</w:t>
            </w:r>
          </w:p>
        </w:tc>
        <w:tc>
          <w:tcPr>
            <w:tcW w:w="2161" w:type="dxa"/>
            <w:vAlign w:val="center"/>
          </w:tcPr>
          <w:p w14:paraId="0A8C9C05">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64EF04E6">
            <w:pPr>
              <w:pStyle w:val="27"/>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w:t>
            </w:r>
          </w:p>
        </w:tc>
      </w:tr>
      <w:tr w14:paraId="2BC9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448" w:type="dxa"/>
            <w:vAlign w:val="center"/>
          </w:tcPr>
          <w:p w14:paraId="18798679">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试验工程师</w:t>
            </w:r>
          </w:p>
        </w:tc>
        <w:tc>
          <w:tcPr>
            <w:tcW w:w="2161" w:type="dxa"/>
            <w:vAlign w:val="center"/>
          </w:tcPr>
          <w:p w14:paraId="2651E486">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4C154657">
            <w:pPr>
              <w:pStyle w:val="27"/>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公路工程及公路相关专业初级及以上职称，持有路桥工程专业试验员资格证书</w:t>
            </w:r>
          </w:p>
        </w:tc>
      </w:tr>
      <w:tr w14:paraId="2F53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vAlign w:val="center"/>
          </w:tcPr>
          <w:p w14:paraId="36712B9E">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安全员</w:t>
            </w:r>
          </w:p>
        </w:tc>
        <w:tc>
          <w:tcPr>
            <w:tcW w:w="2161" w:type="dxa"/>
            <w:vAlign w:val="center"/>
          </w:tcPr>
          <w:p w14:paraId="45D3B002">
            <w:pPr>
              <w:pStyle w:val="27"/>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7C7F945D">
            <w:pPr>
              <w:pStyle w:val="27"/>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安全员C证</w:t>
            </w:r>
          </w:p>
        </w:tc>
      </w:tr>
      <w:tr w14:paraId="414C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5829753">
            <w:pPr>
              <w:pStyle w:val="27"/>
              <w:rPr>
                <w:rFonts w:hint="eastAsia" w:ascii="宋体" w:hAnsi="宋体" w:eastAsia="宋体" w:cs="宋体"/>
                <w:sz w:val="18"/>
                <w:highlight w:val="none"/>
              </w:rPr>
            </w:pPr>
          </w:p>
        </w:tc>
        <w:tc>
          <w:tcPr>
            <w:tcW w:w="2161" w:type="dxa"/>
          </w:tcPr>
          <w:p w14:paraId="2909CE9D">
            <w:pPr>
              <w:pStyle w:val="27"/>
              <w:rPr>
                <w:rFonts w:hint="eastAsia" w:ascii="宋体" w:hAnsi="宋体" w:eastAsia="宋体" w:cs="宋体"/>
                <w:sz w:val="18"/>
                <w:highlight w:val="none"/>
              </w:rPr>
            </w:pPr>
          </w:p>
        </w:tc>
        <w:tc>
          <w:tcPr>
            <w:tcW w:w="4282" w:type="dxa"/>
          </w:tcPr>
          <w:p w14:paraId="4660A841">
            <w:pPr>
              <w:pStyle w:val="27"/>
              <w:rPr>
                <w:rFonts w:hint="eastAsia" w:ascii="宋体" w:hAnsi="宋体" w:eastAsia="宋体" w:cs="宋体"/>
                <w:sz w:val="18"/>
                <w:highlight w:val="none"/>
              </w:rPr>
            </w:pPr>
          </w:p>
        </w:tc>
      </w:tr>
      <w:tr w14:paraId="0857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B7C7B3C">
            <w:pPr>
              <w:pStyle w:val="27"/>
              <w:rPr>
                <w:rFonts w:hint="eastAsia" w:ascii="宋体" w:hAnsi="宋体" w:eastAsia="宋体" w:cs="宋体"/>
                <w:sz w:val="18"/>
                <w:highlight w:val="none"/>
              </w:rPr>
            </w:pPr>
          </w:p>
        </w:tc>
        <w:tc>
          <w:tcPr>
            <w:tcW w:w="2161" w:type="dxa"/>
          </w:tcPr>
          <w:p w14:paraId="3ABEDCB1">
            <w:pPr>
              <w:pStyle w:val="27"/>
              <w:rPr>
                <w:rFonts w:hint="eastAsia" w:ascii="宋体" w:hAnsi="宋体" w:eastAsia="宋体" w:cs="宋体"/>
                <w:sz w:val="18"/>
                <w:highlight w:val="none"/>
              </w:rPr>
            </w:pPr>
          </w:p>
        </w:tc>
        <w:tc>
          <w:tcPr>
            <w:tcW w:w="4282" w:type="dxa"/>
          </w:tcPr>
          <w:p w14:paraId="14515110">
            <w:pPr>
              <w:pStyle w:val="27"/>
              <w:rPr>
                <w:rFonts w:hint="eastAsia" w:ascii="宋体" w:hAnsi="宋体" w:eastAsia="宋体" w:cs="宋体"/>
                <w:sz w:val="18"/>
                <w:highlight w:val="none"/>
              </w:rPr>
            </w:pPr>
          </w:p>
        </w:tc>
      </w:tr>
      <w:tr w14:paraId="42CD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A87016F">
            <w:pPr>
              <w:pStyle w:val="27"/>
              <w:rPr>
                <w:rFonts w:hint="eastAsia" w:ascii="宋体" w:hAnsi="宋体" w:eastAsia="宋体" w:cs="宋体"/>
                <w:sz w:val="18"/>
                <w:highlight w:val="none"/>
              </w:rPr>
            </w:pPr>
          </w:p>
        </w:tc>
        <w:tc>
          <w:tcPr>
            <w:tcW w:w="2161" w:type="dxa"/>
          </w:tcPr>
          <w:p w14:paraId="48521837">
            <w:pPr>
              <w:pStyle w:val="27"/>
              <w:rPr>
                <w:rFonts w:hint="eastAsia" w:ascii="宋体" w:hAnsi="宋体" w:eastAsia="宋体" w:cs="宋体"/>
                <w:sz w:val="18"/>
                <w:highlight w:val="none"/>
              </w:rPr>
            </w:pPr>
          </w:p>
        </w:tc>
        <w:tc>
          <w:tcPr>
            <w:tcW w:w="4282" w:type="dxa"/>
          </w:tcPr>
          <w:p w14:paraId="5F2D89C3">
            <w:pPr>
              <w:pStyle w:val="27"/>
              <w:rPr>
                <w:rFonts w:hint="eastAsia" w:ascii="宋体" w:hAnsi="宋体" w:eastAsia="宋体" w:cs="宋体"/>
                <w:sz w:val="18"/>
                <w:highlight w:val="none"/>
              </w:rPr>
            </w:pPr>
          </w:p>
        </w:tc>
      </w:tr>
      <w:tr w14:paraId="4885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1D8187A6">
            <w:pPr>
              <w:pStyle w:val="27"/>
              <w:rPr>
                <w:rFonts w:hint="eastAsia" w:ascii="宋体" w:hAnsi="宋体" w:eastAsia="宋体" w:cs="宋体"/>
                <w:sz w:val="18"/>
                <w:highlight w:val="none"/>
              </w:rPr>
            </w:pPr>
          </w:p>
        </w:tc>
        <w:tc>
          <w:tcPr>
            <w:tcW w:w="2161" w:type="dxa"/>
          </w:tcPr>
          <w:p w14:paraId="3FFEA20F">
            <w:pPr>
              <w:pStyle w:val="27"/>
              <w:rPr>
                <w:rFonts w:hint="eastAsia" w:ascii="宋体" w:hAnsi="宋体" w:eastAsia="宋体" w:cs="宋体"/>
                <w:sz w:val="18"/>
                <w:highlight w:val="none"/>
              </w:rPr>
            </w:pPr>
          </w:p>
        </w:tc>
        <w:tc>
          <w:tcPr>
            <w:tcW w:w="4282" w:type="dxa"/>
          </w:tcPr>
          <w:p w14:paraId="0602541A">
            <w:pPr>
              <w:pStyle w:val="27"/>
              <w:rPr>
                <w:rFonts w:hint="eastAsia" w:ascii="宋体" w:hAnsi="宋体" w:eastAsia="宋体" w:cs="宋体"/>
                <w:sz w:val="18"/>
                <w:highlight w:val="none"/>
              </w:rPr>
            </w:pPr>
          </w:p>
        </w:tc>
      </w:tr>
      <w:tr w14:paraId="41F4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1A186F8">
            <w:pPr>
              <w:pStyle w:val="27"/>
              <w:rPr>
                <w:rFonts w:hint="eastAsia" w:ascii="宋体" w:hAnsi="宋体" w:eastAsia="宋体" w:cs="宋体"/>
                <w:sz w:val="18"/>
                <w:highlight w:val="none"/>
              </w:rPr>
            </w:pPr>
          </w:p>
        </w:tc>
        <w:tc>
          <w:tcPr>
            <w:tcW w:w="2161" w:type="dxa"/>
          </w:tcPr>
          <w:p w14:paraId="4E0585A5">
            <w:pPr>
              <w:pStyle w:val="27"/>
              <w:rPr>
                <w:rFonts w:hint="eastAsia" w:ascii="宋体" w:hAnsi="宋体" w:eastAsia="宋体" w:cs="宋体"/>
                <w:sz w:val="18"/>
                <w:highlight w:val="none"/>
              </w:rPr>
            </w:pPr>
          </w:p>
        </w:tc>
        <w:tc>
          <w:tcPr>
            <w:tcW w:w="4282" w:type="dxa"/>
          </w:tcPr>
          <w:p w14:paraId="47E3AF94">
            <w:pPr>
              <w:pStyle w:val="27"/>
              <w:rPr>
                <w:rFonts w:hint="eastAsia" w:ascii="宋体" w:hAnsi="宋体" w:eastAsia="宋体" w:cs="宋体"/>
                <w:sz w:val="18"/>
                <w:highlight w:val="none"/>
              </w:rPr>
            </w:pPr>
          </w:p>
        </w:tc>
      </w:tr>
      <w:tr w14:paraId="637D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7A0A7E61">
            <w:pPr>
              <w:pStyle w:val="27"/>
              <w:rPr>
                <w:rFonts w:hint="eastAsia" w:ascii="宋体" w:hAnsi="宋体" w:eastAsia="宋体" w:cs="宋体"/>
                <w:sz w:val="18"/>
                <w:highlight w:val="none"/>
              </w:rPr>
            </w:pPr>
          </w:p>
        </w:tc>
        <w:tc>
          <w:tcPr>
            <w:tcW w:w="2161" w:type="dxa"/>
          </w:tcPr>
          <w:p w14:paraId="325C5578">
            <w:pPr>
              <w:pStyle w:val="27"/>
              <w:rPr>
                <w:rFonts w:hint="eastAsia" w:ascii="宋体" w:hAnsi="宋体" w:eastAsia="宋体" w:cs="宋体"/>
                <w:sz w:val="18"/>
                <w:highlight w:val="none"/>
              </w:rPr>
            </w:pPr>
          </w:p>
        </w:tc>
        <w:tc>
          <w:tcPr>
            <w:tcW w:w="4282" w:type="dxa"/>
          </w:tcPr>
          <w:p w14:paraId="0C3D7884">
            <w:pPr>
              <w:pStyle w:val="27"/>
              <w:rPr>
                <w:rFonts w:hint="eastAsia" w:ascii="宋体" w:hAnsi="宋体" w:eastAsia="宋体" w:cs="宋体"/>
                <w:sz w:val="18"/>
                <w:highlight w:val="none"/>
              </w:rPr>
            </w:pPr>
          </w:p>
        </w:tc>
      </w:tr>
    </w:tbl>
    <w:p w14:paraId="754E0496">
      <w:pPr>
        <w:pStyle w:val="28"/>
        <w:ind w:firstLine="0" w:firstLineChars="0"/>
        <w:rPr>
          <w:rFonts w:hint="eastAsia" w:ascii="宋体" w:hAnsi="宋体" w:eastAsia="宋体" w:cs="宋体"/>
          <w:highlight w:val="none"/>
        </w:rPr>
      </w:pPr>
    </w:p>
    <w:p w14:paraId="6BE78294">
      <w:pPr>
        <w:pStyle w:val="28"/>
        <w:ind w:firstLine="0" w:firstLineChars="0"/>
        <w:rPr>
          <w:rFonts w:hint="eastAsia" w:ascii="宋体" w:hAnsi="宋体" w:eastAsia="宋体" w:cs="宋体"/>
          <w:highlight w:val="none"/>
        </w:rPr>
      </w:pPr>
      <w:r>
        <w:rPr>
          <w:rFonts w:hint="eastAsia" w:ascii="宋体" w:hAnsi="宋体" w:eastAsia="宋体" w:cs="宋体"/>
          <w:highlight w:val="none"/>
        </w:rPr>
        <w:t>注：1、以上所列人员须为投标人的本单位人员，需提供人员职称证书、相关专业毕业证书的扫描件。</w:t>
      </w:r>
    </w:p>
    <w:p w14:paraId="1130B23F">
      <w:pPr>
        <w:pStyle w:val="28"/>
        <w:rPr>
          <w:rFonts w:hint="eastAsia" w:ascii="宋体" w:hAnsi="宋体" w:eastAsia="宋体" w:cs="宋体"/>
          <w:highlight w:val="none"/>
        </w:rPr>
      </w:pPr>
      <w:r>
        <w:rPr>
          <w:rFonts w:hint="eastAsia" w:ascii="宋体" w:hAnsi="宋体" w:eastAsia="宋体" w:cs="宋体"/>
          <w:highlight w:val="none"/>
        </w:rPr>
        <w:t>2、试验工程师需提供毕业证书、职称证书、路桥工程专业试业员资格证书扫描件。</w:t>
      </w:r>
    </w:p>
    <w:p w14:paraId="103D9B25">
      <w:pPr>
        <w:pStyle w:val="28"/>
        <w:rPr>
          <w:rFonts w:hint="eastAsia" w:ascii="宋体" w:hAnsi="宋体" w:eastAsia="宋体" w:cs="宋体"/>
          <w:highlight w:val="none"/>
        </w:rPr>
      </w:pPr>
      <w:r>
        <w:rPr>
          <w:rFonts w:hint="eastAsia" w:ascii="宋体" w:hAnsi="宋体" w:eastAsia="宋体" w:cs="宋体"/>
          <w:highlight w:val="none"/>
        </w:rPr>
        <w:t>3、安全员须提供安全员C类及以上证书扫描件，且在有效期内。</w:t>
      </w:r>
    </w:p>
    <w:p w14:paraId="236609C2">
      <w:pPr>
        <w:pStyle w:val="10"/>
        <w:spacing w:before="3"/>
        <w:rPr>
          <w:rFonts w:hint="eastAsia" w:ascii="宋体" w:hAnsi="宋体" w:eastAsia="宋体" w:cs="宋体"/>
          <w:sz w:val="5"/>
          <w:highlight w:val="none"/>
        </w:rPr>
      </w:pPr>
    </w:p>
    <w:p w14:paraId="6D04CD3A">
      <w:pPr>
        <w:pStyle w:val="10"/>
        <w:spacing w:before="4"/>
        <w:rPr>
          <w:rFonts w:hint="eastAsia" w:ascii="宋体" w:hAnsi="宋体" w:eastAsia="宋体" w:cs="宋体"/>
          <w:sz w:val="16"/>
          <w:highlight w:val="none"/>
        </w:rPr>
      </w:pPr>
      <w:bookmarkStart w:id="82" w:name="附件五_主要机械设备和试验检测设备最低要求_"/>
      <w:bookmarkEnd w:id="82"/>
    </w:p>
    <w:p w14:paraId="2A00EC00">
      <w:pPr>
        <w:pStyle w:val="25"/>
        <w:rPr>
          <w:rFonts w:hint="eastAsia" w:ascii="宋体" w:hAnsi="宋体" w:eastAsia="宋体" w:cs="宋体"/>
          <w:highlight w:val="none"/>
        </w:rPr>
      </w:pPr>
    </w:p>
    <w:p w14:paraId="3449CCCC">
      <w:pPr>
        <w:pStyle w:val="25"/>
        <w:rPr>
          <w:rFonts w:hint="eastAsia" w:ascii="宋体" w:hAnsi="宋体" w:eastAsia="宋体" w:cs="宋体"/>
          <w:sz w:val="16"/>
          <w:highlight w:val="none"/>
        </w:rPr>
      </w:pPr>
    </w:p>
    <w:p w14:paraId="41A0A742">
      <w:pPr>
        <w:rPr>
          <w:rFonts w:hint="eastAsia" w:ascii="宋体" w:hAnsi="宋体" w:eastAsia="宋体" w:cs="宋体"/>
          <w:sz w:val="16"/>
          <w:highlight w:val="none"/>
        </w:rPr>
      </w:pPr>
    </w:p>
    <w:p w14:paraId="6A85D8F1">
      <w:pPr>
        <w:pStyle w:val="22"/>
        <w:ind w:firstLine="320"/>
        <w:rPr>
          <w:rFonts w:hint="eastAsia" w:ascii="宋体" w:hAnsi="宋体" w:eastAsia="宋体" w:cs="宋体"/>
          <w:sz w:val="16"/>
          <w:highlight w:val="none"/>
        </w:rPr>
      </w:pPr>
    </w:p>
    <w:p w14:paraId="453DF6B1">
      <w:pPr>
        <w:pStyle w:val="22"/>
        <w:ind w:firstLine="320"/>
        <w:rPr>
          <w:rFonts w:hint="eastAsia" w:ascii="宋体" w:hAnsi="宋体" w:eastAsia="宋体" w:cs="宋体"/>
          <w:sz w:val="16"/>
          <w:highlight w:val="none"/>
        </w:rPr>
      </w:pPr>
    </w:p>
    <w:p w14:paraId="05580595">
      <w:pPr>
        <w:pStyle w:val="22"/>
        <w:ind w:firstLine="320"/>
        <w:rPr>
          <w:rFonts w:hint="eastAsia" w:ascii="宋体" w:hAnsi="宋体" w:eastAsia="宋体" w:cs="宋体"/>
          <w:sz w:val="16"/>
          <w:highlight w:val="none"/>
        </w:rPr>
      </w:pPr>
    </w:p>
    <w:p w14:paraId="0B492C66">
      <w:pPr>
        <w:pStyle w:val="22"/>
        <w:ind w:firstLine="320"/>
        <w:rPr>
          <w:rFonts w:hint="eastAsia" w:ascii="宋体" w:hAnsi="宋体" w:eastAsia="宋体" w:cs="宋体"/>
          <w:sz w:val="16"/>
          <w:highlight w:val="none"/>
        </w:rPr>
      </w:pPr>
    </w:p>
    <w:p w14:paraId="0FA2096B">
      <w:pPr>
        <w:pStyle w:val="22"/>
        <w:ind w:firstLine="320"/>
        <w:rPr>
          <w:rFonts w:hint="eastAsia" w:ascii="宋体" w:hAnsi="宋体" w:eastAsia="宋体" w:cs="宋体"/>
          <w:sz w:val="16"/>
          <w:highlight w:val="none"/>
        </w:rPr>
      </w:pPr>
    </w:p>
    <w:p w14:paraId="2B744D80">
      <w:pPr>
        <w:pStyle w:val="22"/>
        <w:ind w:firstLine="320"/>
        <w:rPr>
          <w:rFonts w:hint="eastAsia" w:ascii="宋体" w:hAnsi="宋体" w:eastAsia="宋体" w:cs="宋体"/>
          <w:sz w:val="16"/>
          <w:highlight w:val="none"/>
        </w:rPr>
      </w:pPr>
    </w:p>
    <w:p w14:paraId="6D7C44BA">
      <w:pPr>
        <w:pStyle w:val="10"/>
        <w:spacing w:before="85"/>
        <w:ind w:left="583"/>
        <w:rPr>
          <w:rFonts w:hint="eastAsia" w:ascii="宋体" w:hAnsi="宋体" w:eastAsia="宋体" w:cs="宋体"/>
          <w:highlight w:val="none"/>
        </w:rPr>
      </w:pPr>
    </w:p>
    <w:p w14:paraId="4FC6ACD3">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附件五 主要机械设备和试验检测设备最低要求</w:t>
      </w:r>
    </w:p>
    <w:p w14:paraId="11B00B20">
      <w:pPr>
        <w:pStyle w:val="10"/>
        <w:rPr>
          <w:rFonts w:hint="eastAsia" w:ascii="宋体" w:hAnsi="宋体" w:eastAsia="宋体" w:cs="宋体"/>
          <w:sz w:val="20"/>
          <w:highlight w:val="none"/>
        </w:rPr>
      </w:pPr>
    </w:p>
    <w:p w14:paraId="5A5A723A">
      <w:pPr>
        <w:pStyle w:val="10"/>
        <w:spacing w:before="4"/>
        <w:rPr>
          <w:rFonts w:hint="eastAsia" w:ascii="宋体" w:hAnsi="宋体" w:eastAsia="宋体" w:cs="宋体"/>
          <w:sz w:val="11"/>
          <w:highlight w:val="none"/>
        </w:rPr>
      </w:pPr>
    </w:p>
    <w:tbl>
      <w:tblPr>
        <w:tblStyle w:val="23"/>
        <w:tblW w:w="8557"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745"/>
        <w:gridCol w:w="1386"/>
        <w:gridCol w:w="2194"/>
      </w:tblGrid>
      <w:tr w14:paraId="3D0E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232" w:type="dxa"/>
          </w:tcPr>
          <w:p w14:paraId="7CED03F3">
            <w:pPr>
              <w:pStyle w:val="27"/>
              <w:spacing w:before="203"/>
              <w:ind w:left="636"/>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5" w:type="dxa"/>
          </w:tcPr>
          <w:p w14:paraId="66B4C749">
            <w:pPr>
              <w:pStyle w:val="27"/>
              <w:spacing w:before="203"/>
              <w:ind w:left="411"/>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6" w:type="dxa"/>
          </w:tcPr>
          <w:p w14:paraId="398BE006">
            <w:pPr>
              <w:pStyle w:val="27"/>
              <w:spacing w:before="203"/>
              <w:ind w:left="452"/>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tcPr>
          <w:p w14:paraId="7F24CD22">
            <w:pPr>
              <w:pStyle w:val="27"/>
              <w:spacing w:before="203"/>
              <w:ind w:left="376"/>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14:paraId="6977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2DDCB55">
            <w:pPr>
              <w:pStyle w:val="27"/>
              <w:rPr>
                <w:rFonts w:hint="eastAsia" w:ascii="宋体" w:hAnsi="宋体" w:eastAsia="宋体" w:cs="宋体"/>
                <w:sz w:val="18"/>
                <w:highlight w:val="none"/>
              </w:rPr>
            </w:pPr>
          </w:p>
        </w:tc>
        <w:tc>
          <w:tcPr>
            <w:tcW w:w="2745" w:type="dxa"/>
          </w:tcPr>
          <w:p w14:paraId="7E9AE9D8">
            <w:pPr>
              <w:pStyle w:val="27"/>
              <w:rPr>
                <w:rFonts w:hint="eastAsia" w:ascii="宋体" w:hAnsi="宋体" w:eastAsia="宋体" w:cs="宋体"/>
                <w:sz w:val="18"/>
                <w:highlight w:val="none"/>
              </w:rPr>
            </w:pPr>
          </w:p>
        </w:tc>
        <w:tc>
          <w:tcPr>
            <w:tcW w:w="1386" w:type="dxa"/>
          </w:tcPr>
          <w:p w14:paraId="7530BBF6">
            <w:pPr>
              <w:pStyle w:val="27"/>
              <w:rPr>
                <w:rFonts w:hint="eastAsia" w:ascii="宋体" w:hAnsi="宋体" w:eastAsia="宋体" w:cs="宋体"/>
                <w:sz w:val="18"/>
                <w:highlight w:val="none"/>
              </w:rPr>
            </w:pPr>
          </w:p>
        </w:tc>
        <w:tc>
          <w:tcPr>
            <w:tcW w:w="2194" w:type="dxa"/>
          </w:tcPr>
          <w:p w14:paraId="3EAF1D2A">
            <w:pPr>
              <w:pStyle w:val="27"/>
              <w:rPr>
                <w:rFonts w:hint="eastAsia" w:ascii="宋体" w:hAnsi="宋体" w:eastAsia="宋体" w:cs="宋体"/>
                <w:sz w:val="18"/>
                <w:highlight w:val="none"/>
              </w:rPr>
            </w:pPr>
          </w:p>
        </w:tc>
      </w:tr>
      <w:tr w14:paraId="5E01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093451F5">
            <w:pPr>
              <w:pStyle w:val="27"/>
              <w:rPr>
                <w:rFonts w:hint="eastAsia" w:ascii="宋体" w:hAnsi="宋体" w:eastAsia="宋体" w:cs="宋体"/>
                <w:sz w:val="18"/>
                <w:highlight w:val="none"/>
              </w:rPr>
            </w:pPr>
          </w:p>
        </w:tc>
        <w:tc>
          <w:tcPr>
            <w:tcW w:w="2745" w:type="dxa"/>
          </w:tcPr>
          <w:p w14:paraId="0C872A10">
            <w:pPr>
              <w:pStyle w:val="27"/>
              <w:rPr>
                <w:rFonts w:hint="eastAsia" w:ascii="宋体" w:hAnsi="宋体" w:eastAsia="宋体" w:cs="宋体"/>
                <w:sz w:val="18"/>
                <w:highlight w:val="none"/>
              </w:rPr>
            </w:pPr>
          </w:p>
        </w:tc>
        <w:tc>
          <w:tcPr>
            <w:tcW w:w="1386" w:type="dxa"/>
          </w:tcPr>
          <w:p w14:paraId="71B96CD1">
            <w:pPr>
              <w:pStyle w:val="27"/>
              <w:rPr>
                <w:rFonts w:hint="eastAsia" w:ascii="宋体" w:hAnsi="宋体" w:eastAsia="宋体" w:cs="宋体"/>
                <w:sz w:val="18"/>
                <w:highlight w:val="none"/>
              </w:rPr>
            </w:pPr>
          </w:p>
        </w:tc>
        <w:tc>
          <w:tcPr>
            <w:tcW w:w="2194" w:type="dxa"/>
          </w:tcPr>
          <w:p w14:paraId="0A798F3C">
            <w:pPr>
              <w:pStyle w:val="27"/>
              <w:rPr>
                <w:rFonts w:hint="eastAsia" w:ascii="宋体" w:hAnsi="宋体" w:eastAsia="宋体" w:cs="宋体"/>
                <w:sz w:val="18"/>
                <w:highlight w:val="none"/>
              </w:rPr>
            </w:pPr>
          </w:p>
        </w:tc>
      </w:tr>
      <w:tr w14:paraId="1DD7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6032B7BF">
            <w:pPr>
              <w:pStyle w:val="27"/>
              <w:rPr>
                <w:rFonts w:hint="eastAsia" w:ascii="宋体" w:hAnsi="宋体" w:eastAsia="宋体" w:cs="宋体"/>
                <w:sz w:val="18"/>
                <w:highlight w:val="none"/>
              </w:rPr>
            </w:pPr>
          </w:p>
        </w:tc>
        <w:tc>
          <w:tcPr>
            <w:tcW w:w="2745" w:type="dxa"/>
          </w:tcPr>
          <w:p w14:paraId="68D1356C">
            <w:pPr>
              <w:pStyle w:val="27"/>
              <w:rPr>
                <w:rFonts w:hint="eastAsia" w:ascii="宋体" w:hAnsi="宋体" w:eastAsia="宋体" w:cs="宋体"/>
                <w:sz w:val="18"/>
                <w:highlight w:val="none"/>
              </w:rPr>
            </w:pPr>
          </w:p>
        </w:tc>
        <w:tc>
          <w:tcPr>
            <w:tcW w:w="1386" w:type="dxa"/>
          </w:tcPr>
          <w:p w14:paraId="4B655678">
            <w:pPr>
              <w:pStyle w:val="27"/>
              <w:rPr>
                <w:rFonts w:hint="eastAsia" w:ascii="宋体" w:hAnsi="宋体" w:eastAsia="宋体" w:cs="宋体"/>
                <w:sz w:val="18"/>
                <w:highlight w:val="none"/>
              </w:rPr>
            </w:pPr>
          </w:p>
        </w:tc>
        <w:tc>
          <w:tcPr>
            <w:tcW w:w="2194" w:type="dxa"/>
          </w:tcPr>
          <w:p w14:paraId="515C99D8">
            <w:pPr>
              <w:pStyle w:val="27"/>
              <w:rPr>
                <w:rFonts w:hint="eastAsia" w:ascii="宋体" w:hAnsi="宋体" w:eastAsia="宋体" w:cs="宋体"/>
                <w:sz w:val="18"/>
                <w:highlight w:val="none"/>
              </w:rPr>
            </w:pPr>
          </w:p>
        </w:tc>
      </w:tr>
      <w:tr w14:paraId="1675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5BB35D4B">
            <w:pPr>
              <w:pStyle w:val="27"/>
              <w:rPr>
                <w:rFonts w:hint="eastAsia" w:ascii="宋体" w:hAnsi="宋体" w:eastAsia="宋体" w:cs="宋体"/>
                <w:sz w:val="18"/>
                <w:highlight w:val="none"/>
              </w:rPr>
            </w:pPr>
          </w:p>
        </w:tc>
        <w:tc>
          <w:tcPr>
            <w:tcW w:w="2745" w:type="dxa"/>
          </w:tcPr>
          <w:p w14:paraId="73702A03">
            <w:pPr>
              <w:pStyle w:val="27"/>
              <w:rPr>
                <w:rFonts w:hint="eastAsia" w:ascii="宋体" w:hAnsi="宋体" w:eastAsia="宋体" w:cs="宋体"/>
                <w:sz w:val="18"/>
                <w:highlight w:val="none"/>
              </w:rPr>
            </w:pPr>
          </w:p>
        </w:tc>
        <w:tc>
          <w:tcPr>
            <w:tcW w:w="1386" w:type="dxa"/>
          </w:tcPr>
          <w:p w14:paraId="4DBB84E1">
            <w:pPr>
              <w:pStyle w:val="27"/>
              <w:rPr>
                <w:rFonts w:hint="eastAsia" w:ascii="宋体" w:hAnsi="宋体" w:eastAsia="宋体" w:cs="宋体"/>
                <w:sz w:val="18"/>
                <w:highlight w:val="none"/>
              </w:rPr>
            </w:pPr>
          </w:p>
        </w:tc>
        <w:tc>
          <w:tcPr>
            <w:tcW w:w="2194" w:type="dxa"/>
          </w:tcPr>
          <w:p w14:paraId="68155930">
            <w:pPr>
              <w:pStyle w:val="27"/>
              <w:rPr>
                <w:rFonts w:hint="eastAsia" w:ascii="宋体" w:hAnsi="宋体" w:eastAsia="宋体" w:cs="宋体"/>
                <w:sz w:val="18"/>
                <w:highlight w:val="none"/>
              </w:rPr>
            </w:pPr>
          </w:p>
        </w:tc>
      </w:tr>
      <w:tr w14:paraId="49D9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7929AD6">
            <w:pPr>
              <w:pStyle w:val="27"/>
              <w:rPr>
                <w:rFonts w:hint="eastAsia" w:ascii="宋体" w:hAnsi="宋体" w:eastAsia="宋体" w:cs="宋体"/>
                <w:sz w:val="18"/>
                <w:highlight w:val="none"/>
              </w:rPr>
            </w:pPr>
          </w:p>
        </w:tc>
        <w:tc>
          <w:tcPr>
            <w:tcW w:w="2745" w:type="dxa"/>
          </w:tcPr>
          <w:p w14:paraId="097A150E">
            <w:pPr>
              <w:pStyle w:val="27"/>
              <w:rPr>
                <w:rFonts w:hint="eastAsia" w:ascii="宋体" w:hAnsi="宋体" w:eastAsia="宋体" w:cs="宋体"/>
                <w:sz w:val="18"/>
                <w:highlight w:val="none"/>
              </w:rPr>
            </w:pPr>
          </w:p>
        </w:tc>
        <w:tc>
          <w:tcPr>
            <w:tcW w:w="1386" w:type="dxa"/>
          </w:tcPr>
          <w:p w14:paraId="02AE1078">
            <w:pPr>
              <w:pStyle w:val="27"/>
              <w:rPr>
                <w:rFonts w:hint="eastAsia" w:ascii="宋体" w:hAnsi="宋体" w:eastAsia="宋体" w:cs="宋体"/>
                <w:sz w:val="18"/>
                <w:highlight w:val="none"/>
              </w:rPr>
            </w:pPr>
          </w:p>
        </w:tc>
        <w:tc>
          <w:tcPr>
            <w:tcW w:w="2194" w:type="dxa"/>
          </w:tcPr>
          <w:p w14:paraId="7551F475">
            <w:pPr>
              <w:pStyle w:val="27"/>
              <w:rPr>
                <w:rFonts w:hint="eastAsia" w:ascii="宋体" w:hAnsi="宋体" w:eastAsia="宋体" w:cs="宋体"/>
                <w:sz w:val="18"/>
                <w:highlight w:val="none"/>
              </w:rPr>
            </w:pPr>
          </w:p>
        </w:tc>
      </w:tr>
      <w:tr w14:paraId="5024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1F55216A">
            <w:pPr>
              <w:pStyle w:val="27"/>
              <w:rPr>
                <w:rFonts w:hint="eastAsia" w:ascii="宋体" w:hAnsi="宋体" w:eastAsia="宋体" w:cs="宋体"/>
                <w:sz w:val="18"/>
                <w:highlight w:val="none"/>
              </w:rPr>
            </w:pPr>
          </w:p>
        </w:tc>
        <w:tc>
          <w:tcPr>
            <w:tcW w:w="2745" w:type="dxa"/>
          </w:tcPr>
          <w:p w14:paraId="18E4411F">
            <w:pPr>
              <w:pStyle w:val="27"/>
              <w:rPr>
                <w:rFonts w:hint="eastAsia" w:ascii="宋体" w:hAnsi="宋体" w:eastAsia="宋体" w:cs="宋体"/>
                <w:sz w:val="18"/>
                <w:highlight w:val="none"/>
              </w:rPr>
            </w:pPr>
          </w:p>
        </w:tc>
        <w:tc>
          <w:tcPr>
            <w:tcW w:w="1386" w:type="dxa"/>
          </w:tcPr>
          <w:p w14:paraId="00BE939A">
            <w:pPr>
              <w:pStyle w:val="27"/>
              <w:rPr>
                <w:rFonts w:hint="eastAsia" w:ascii="宋体" w:hAnsi="宋体" w:eastAsia="宋体" w:cs="宋体"/>
                <w:sz w:val="18"/>
                <w:highlight w:val="none"/>
              </w:rPr>
            </w:pPr>
          </w:p>
        </w:tc>
        <w:tc>
          <w:tcPr>
            <w:tcW w:w="2194" w:type="dxa"/>
          </w:tcPr>
          <w:p w14:paraId="272F6E90">
            <w:pPr>
              <w:pStyle w:val="27"/>
              <w:rPr>
                <w:rFonts w:hint="eastAsia" w:ascii="宋体" w:hAnsi="宋体" w:eastAsia="宋体" w:cs="宋体"/>
                <w:sz w:val="18"/>
                <w:highlight w:val="none"/>
              </w:rPr>
            </w:pPr>
          </w:p>
        </w:tc>
      </w:tr>
      <w:tr w14:paraId="2CD2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F26415A">
            <w:pPr>
              <w:pStyle w:val="27"/>
              <w:rPr>
                <w:rFonts w:hint="eastAsia" w:ascii="宋体" w:hAnsi="宋体" w:eastAsia="宋体" w:cs="宋体"/>
                <w:sz w:val="18"/>
                <w:highlight w:val="none"/>
              </w:rPr>
            </w:pPr>
          </w:p>
        </w:tc>
        <w:tc>
          <w:tcPr>
            <w:tcW w:w="2745" w:type="dxa"/>
          </w:tcPr>
          <w:p w14:paraId="5B905B1B">
            <w:pPr>
              <w:pStyle w:val="27"/>
              <w:rPr>
                <w:rFonts w:hint="eastAsia" w:ascii="宋体" w:hAnsi="宋体" w:eastAsia="宋体" w:cs="宋体"/>
                <w:sz w:val="18"/>
                <w:highlight w:val="none"/>
              </w:rPr>
            </w:pPr>
          </w:p>
        </w:tc>
        <w:tc>
          <w:tcPr>
            <w:tcW w:w="1386" w:type="dxa"/>
          </w:tcPr>
          <w:p w14:paraId="2528C68A">
            <w:pPr>
              <w:pStyle w:val="27"/>
              <w:rPr>
                <w:rFonts w:hint="eastAsia" w:ascii="宋体" w:hAnsi="宋体" w:eastAsia="宋体" w:cs="宋体"/>
                <w:sz w:val="18"/>
                <w:highlight w:val="none"/>
              </w:rPr>
            </w:pPr>
          </w:p>
        </w:tc>
        <w:tc>
          <w:tcPr>
            <w:tcW w:w="2194" w:type="dxa"/>
          </w:tcPr>
          <w:p w14:paraId="719659FF">
            <w:pPr>
              <w:pStyle w:val="27"/>
              <w:rPr>
                <w:rFonts w:hint="eastAsia" w:ascii="宋体" w:hAnsi="宋体" w:eastAsia="宋体" w:cs="宋体"/>
                <w:sz w:val="18"/>
                <w:highlight w:val="none"/>
              </w:rPr>
            </w:pPr>
          </w:p>
        </w:tc>
      </w:tr>
      <w:tr w14:paraId="6C79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28700C5E">
            <w:pPr>
              <w:pStyle w:val="27"/>
              <w:rPr>
                <w:rFonts w:hint="eastAsia" w:ascii="宋体" w:hAnsi="宋体" w:eastAsia="宋体" w:cs="宋体"/>
                <w:sz w:val="18"/>
                <w:highlight w:val="none"/>
              </w:rPr>
            </w:pPr>
          </w:p>
        </w:tc>
        <w:tc>
          <w:tcPr>
            <w:tcW w:w="2745" w:type="dxa"/>
          </w:tcPr>
          <w:p w14:paraId="2964849A">
            <w:pPr>
              <w:pStyle w:val="27"/>
              <w:rPr>
                <w:rFonts w:hint="eastAsia" w:ascii="宋体" w:hAnsi="宋体" w:eastAsia="宋体" w:cs="宋体"/>
                <w:sz w:val="18"/>
                <w:highlight w:val="none"/>
              </w:rPr>
            </w:pPr>
          </w:p>
        </w:tc>
        <w:tc>
          <w:tcPr>
            <w:tcW w:w="1386" w:type="dxa"/>
          </w:tcPr>
          <w:p w14:paraId="62A0ADB3">
            <w:pPr>
              <w:pStyle w:val="27"/>
              <w:rPr>
                <w:rFonts w:hint="eastAsia" w:ascii="宋体" w:hAnsi="宋体" w:eastAsia="宋体" w:cs="宋体"/>
                <w:sz w:val="18"/>
                <w:highlight w:val="none"/>
              </w:rPr>
            </w:pPr>
          </w:p>
        </w:tc>
        <w:tc>
          <w:tcPr>
            <w:tcW w:w="2194" w:type="dxa"/>
          </w:tcPr>
          <w:p w14:paraId="0A46DF03">
            <w:pPr>
              <w:pStyle w:val="27"/>
              <w:rPr>
                <w:rFonts w:hint="eastAsia" w:ascii="宋体" w:hAnsi="宋体" w:eastAsia="宋体" w:cs="宋体"/>
                <w:sz w:val="18"/>
                <w:highlight w:val="none"/>
              </w:rPr>
            </w:pPr>
          </w:p>
        </w:tc>
      </w:tr>
      <w:tr w14:paraId="2C1D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9E1B32D">
            <w:pPr>
              <w:pStyle w:val="27"/>
              <w:rPr>
                <w:rFonts w:hint="eastAsia" w:ascii="宋体" w:hAnsi="宋体" w:eastAsia="宋体" w:cs="宋体"/>
                <w:sz w:val="18"/>
                <w:highlight w:val="none"/>
              </w:rPr>
            </w:pPr>
          </w:p>
        </w:tc>
        <w:tc>
          <w:tcPr>
            <w:tcW w:w="2745" w:type="dxa"/>
          </w:tcPr>
          <w:p w14:paraId="6CB1ED6E">
            <w:pPr>
              <w:pStyle w:val="27"/>
              <w:rPr>
                <w:rFonts w:hint="eastAsia" w:ascii="宋体" w:hAnsi="宋体" w:eastAsia="宋体" w:cs="宋体"/>
                <w:sz w:val="18"/>
                <w:highlight w:val="none"/>
              </w:rPr>
            </w:pPr>
          </w:p>
        </w:tc>
        <w:tc>
          <w:tcPr>
            <w:tcW w:w="1386" w:type="dxa"/>
          </w:tcPr>
          <w:p w14:paraId="30B318D5">
            <w:pPr>
              <w:pStyle w:val="27"/>
              <w:rPr>
                <w:rFonts w:hint="eastAsia" w:ascii="宋体" w:hAnsi="宋体" w:eastAsia="宋体" w:cs="宋体"/>
                <w:sz w:val="18"/>
                <w:highlight w:val="none"/>
              </w:rPr>
            </w:pPr>
          </w:p>
        </w:tc>
        <w:tc>
          <w:tcPr>
            <w:tcW w:w="2194" w:type="dxa"/>
          </w:tcPr>
          <w:p w14:paraId="125A52E6">
            <w:pPr>
              <w:pStyle w:val="27"/>
              <w:rPr>
                <w:rFonts w:hint="eastAsia" w:ascii="宋体" w:hAnsi="宋体" w:eastAsia="宋体" w:cs="宋体"/>
                <w:sz w:val="18"/>
                <w:highlight w:val="none"/>
              </w:rPr>
            </w:pPr>
          </w:p>
        </w:tc>
      </w:tr>
      <w:tr w14:paraId="48E1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D159DFF">
            <w:pPr>
              <w:pStyle w:val="27"/>
              <w:rPr>
                <w:rFonts w:hint="eastAsia" w:ascii="宋体" w:hAnsi="宋体" w:eastAsia="宋体" w:cs="宋体"/>
                <w:sz w:val="18"/>
                <w:highlight w:val="none"/>
              </w:rPr>
            </w:pPr>
          </w:p>
        </w:tc>
        <w:tc>
          <w:tcPr>
            <w:tcW w:w="2745" w:type="dxa"/>
          </w:tcPr>
          <w:p w14:paraId="0BBE516B">
            <w:pPr>
              <w:pStyle w:val="27"/>
              <w:rPr>
                <w:rFonts w:hint="eastAsia" w:ascii="宋体" w:hAnsi="宋体" w:eastAsia="宋体" w:cs="宋体"/>
                <w:sz w:val="18"/>
                <w:highlight w:val="none"/>
              </w:rPr>
            </w:pPr>
          </w:p>
        </w:tc>
        <w:tc>
          <w:tcPr>
            <w:tcW w:w="1386" w:type="dxa"/>
          </w:tcPr>
          <w:p w14:paraId="2CA983B8">
            <w:pPr>
              <w:pStyle w:val="27"/>
              <w:rPr>
                <w:rFonts w:hint="eastAsia" w:ascii="宋体" w:hAnsi="宋体" w:eastAsia="宋体" w:cs="宋体"/>
                <w:sz w:val="18"/>
                <w:highlight w:val="none"/>
              </w:rPr>
            </w:pPr>
          </w:p>
        </w:tc>
        <w:tc>
          <w:tcPr>
            <w:tcW w:w="2194" w:type="dxa"/>
          </w:tcPr>
          <w:p w14:paraId="7E9B9EB1">
            <w:pPr>
              <w:pStyle w:val="27"/>
              <w:rPr>
                <w:rFonts w:hint="eastAsia" w:ascii="宋体" w:hAnsi="宋体" w:eastAsia="宋体" w:cs="宋体"/>
                <w:sz w:val="18"/>
                <w:highlight w:val="none"/>
              </w:rPr>
            </w:pPr>
          </w:p>
        </w:tc>
      </w:tr>
      <w:tr w14:paraId="044E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4332C07">
            <w:pPr>
              <w:pStyle w:val="27"/>
              <w:rPr>
                <w:rFonts w:hint="eastAsia" w:ascii="宋体" w:hAnsi="宋体" w:eastAsia="宋体" w:cs="宋体"/>
                <w:sz w:val="18"/>
                <w:highlight w:val="none"/>
              </w:rPr>
            </w:pPr>
          </w:p>
        </w:tc>
        <w:tc>
          <w:tcPr>
            <w:tcW w:w="2745" w:type="dxa"/>
          </w:tcPr>
          <w:p w14:paraId="492070DB">
            <w:pPr>
              <w:pStyle w:val="27"/>
              <w:rPr>
                <w:rFonts w:hint="eastAsia" w:ascii="宋体" w:hAnsi="宋体" w:eastAsia="宋体" w:cs="宋体"/>
                <w:sz w:val="18"/>
                <w:highlight w:val="none"/>
              </w:rPr>
            </w:pPr>
          </w:p>
        </w:tc>
        <w:tc>
          <w:tcPr>
            <w:tcW w:w="1386" w:type="dxa"/>
          </w:tcPr>
          <w:p w14:paraId="2F1CBDE8">
            <w:pPr>
              <w:pStyle w:val="27"/>
              <w:rPr>
                <w:rFonts w:hint="eastAsia" w:ascii="宋体" w:hAnsi="宋体" w:eastAsia="宋体" w:cs="宋体"/>
                <w:sz w:val="18"/>
                <w:highlight w:val="none"/>
              </w:rPr>
            </w:pPr>
          </w:p>
        </w:tc>
        <w:tc>
          <w:tcPr>
            <w:tcW w:w="2194" w:type="dxa"/>
          </w:tcPr>
          <w:p w14:paraId="1061AB5B">
            <w:pPr>
              <w:pStyle w:val="27"/>
              <w:rPr>
                <w:rFonts w:hint="eastAsia" w:ascii="宋体" w:hAnsi="宋体" w:eastAsia="宋体" w:cs="宋体"/>
                <w:sz w:val="18"/>
                <w:highlight w:val="none"/>
              </w:rPr>
            </w:pPr>
          </w:p>
        </w:tc>
      </w:tr>
      <w:tr w14:paraId="1BA8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44DEBD97">
            <w:pPr>
              <w:pStyle w:val="27"/>
              <w:rPr>
                <w:rFonts w:hint="eastAsia" w:ascii="宋体" w:hAnsi="宋体" w:eastAsia="宋体" w:cs="宋体"/>
                <w:sz w:val="18"/>
                <w:highlight w:val="none"/>
              </w:rPr>
            </w:pPr>
          </w:p>
        </w:tc>
        <w:tc>
          <w:tcPr>
            <w:tcW w:w="2745" w:type="dxa"/>
          </w:tcPr>
          <w:p w14:paraId="7CE87FF5">
            <w:pPr>
              <w:pStyle w:val="27"/>
              <w:rPr>
                <w:rFonts w:hint="eastAsia" w:ascii="宋体" w:hAnsi="宋体" w:eastAsia="宋体" w:cs="宋体"/>
                <w:sz w:val="18"/>
                <w:highlight w:val="none"/>
              </w:rPr>
            </w:pPr>
          </w:p>
        </w:tc>
        <w:tc>
          <w:tcPr>
            <w:tcW w:w="1386" w:type="dxa"/>
          </w:tcPr>
          <w:p w14:paraId="5549F422">
            <w:pPr>
              <w:pStyle w:val="27"/>
              <w:rPr>
                <w:rFonts w:hint="eastAsia" w:ascii="宋体" w:hAnsi="宋体" w:eastAsia="宋体" w:cs="宋体"/>
                <w:sz w:val="18"/>
                <w:highlight w:val="none"/>
              </w:rPr>
            </w:pPr>
          </w:p>
        </w:tc>
        <w:tc>
          <w:tcPr>
            <w:tcW w:w="2194" w:type="dxa"/>
          </w:tcPr>
          <w:p w14:paraId="5475E295">
            <w:pPr>
              <w:pStyle w:val="27"/>
              <w:rPr>
                <w:rFonts w:hint="eastAsia" w:ascii="宋体" w:hAnsi="宋体" w:eastAsia="宋体" w:cs="宋体"/>
                <w:sz w:val="18"/>
                <w:highlight w:val="none"/>
              </w:rPr>
            </w:pPr>
          </w:p>
        </w:tc>
      </w:tr>
      <w:tr w14:paraId="0AD0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36ABF7AA">
            <w:pPr>
              <w:pStyle w:val="27"/>
              <w:rPr>
                <w:rFonts w:hint="eastAsia" w:ascii="宋体" w:hAnsi="宋体" w:eastAsia="宋体" w:cs="宋体"/>
                <w:sz w:val="18"/>
                <w:highlight w:val="none"/>
              </w:rPr>
            </w:pPr>
          </w:p>
        </w:tc>
        <w:tc>
          <w:tcPr>
            <w:tcW w:w="2745" w:type="dxa"/>
          </w:tcPr>
          <w:p w14:paraId="6C106E69">
            <w:pPr>
              <w:pStyle w:val="27"/>
              <w:rPr>
                <w:rFonts w:hint="eastAsia" w:ascii="宋体" w:hAnsi="宋体" w:eastAsia="宋体" w:cs="宋体"/>
                <w:sz w:val="18"/>
                <w:highlight w:val="none"/>
              </w:rPr>
            </w:pPr>
          </w:p>
        </w:tc>
        <w:tc>
          <w:tcPr>
            <w:tcW w:w="1386" w:type="dxa"/>
          </w:tcPr>
          <w:p w14:paraId="5A458CCB">
            <w:pPr>
              <w:pStyle w:val="27"/>
              <w:rPr>
                <w:rFonts w:hint="eastAsia" w:ascii="宋体" w:hAnsi="宋体" w:eastAsia="宋体" w:cs="宋体"/>
                <w:sz w:val="18"/>
                <w:highlight w:val="none"/>
              </w:rPr>
            </w:pPr>
          </w:p>
        </w:tc>
        <w:tc>
          <w:tcPr>
            <w:tcW w:w="2194" w:type="dxa"/>
          </w:tcPr>
          <w:p w14:paraId="2262891E">
            <w:pPr>
              <w:pStyle w:val="27"/>
              <w:rPr>
                <w:rFonts w:hint="eastAsia" w:ascii="宋体" w:hAnsi="宋体" w:eastAsia="宋体" w:cs="宋体"/>
                <w:sz w:val="18"/>
                <w:highlight w:val="none"/>
              </w:rPr>
            </w:pPr>
          </w:p>
        </w:tc>
      </w:tr>
      <w:tr w14:paraId="7C4F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095020E">
            <w:pPr>
              <w:pStyle w:val="27"/>
              <w:rPr>
                <w:rFonts w:hint="eastAsia" w:ascii="宋体" w:hAnsi="宋体" w:eastAsia="宋体" w:cs="宋体"/>
                <w:sz w:val="18"/>
                <w:highlight w:val="none"/>
              </w:rPr>
            </w:pPr>
          </w:p>
        </w:tc>
        <w:tc>
          <w:tcPr>
            <w:tcW w:w="2745" w:type="dxa"/>
          </w:tcPr>
          <w:p w14:paraId="2A749498">
            <w:pPr>
              <w:pStyle w:val="27"/>
              <w:rPr>
                <w:rFonts w:hint="eastAsia" w:ascii="宋体" w:hAnsi="宋体" w:eastAsia="宋体" w:cs="宋体"/>
                <w:sz w:val="18"/>
                <w:highlight w:val="none"/>
              </w:rPr>
            </w:pPr>
          </w:p>
        </w:tc>
        <w:tc>
          <w:tcPr>
            <w:tcW w:w="1386" w:type="dxa"/>
          </w:tcPr>
          <w:p w14:paraId="702C915E">
            <w:pPr>
              <w:pStyle w:val="27"/>
              <w:rPr>
                <w:rFonts w:hint="eastAsia" w:ascii="宋体" w:hAnsi="宋体" w:eastAsia="宋体" w:cs="宋体"/>
                <w:sz w:val="18"/>
                <w:highlight w:val="none"/>
              </w:rPr>
            </w:pPr>
          </w:p>
        </w:tc>
        <w:tc>
          <w:tcPr>
            <w:tcW w:w="2194" w:type="dxa"/>
          </w:tcPr>
          <w:p w14:paraId="0D758077">
            <w:pPr>
              <w:pStyle w:val="27"/>
              <w:rPr>
                <w:rFonts w:hint="eastAsia" w:ascii="宋体" w:hAnsi="宋体" w:eastAsia="宋体" w:cs="宋体"/>
                <w:sz w:val="18"/>
                <w:highlight w:val="none"/>
              </w:rPr>
            </w:pPr>
          </w:p>
        </w:tc>
      </w:tr>
      <w:tr w14:paraId="0BA9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1195BD8">
            <w:pPr>
              <w:pStyle w:val="27"/>
              <w:rPr>
                <w:rFonts w:hint="eastAsia" w:ascii="宋体" w:hAnsi="宋体" w:eastAsia="宋体" w:cs="宋体"/>
                <w:sz w:val="18"/>
                <w:highlight w:val="none"/>
              </w:rPr>
            </w:pPr>
          </w:p>
        </w:tc>
        <w:tc>
          <w:tcPr>
            <w:tcW w:w="2745" w:type="dxa"/>
          </w:tcPr>
          <w:p w14:paraId="7A54A1E2">
            <w:pPr>
              <w:pStyle w:val="27"/>
              <w:rPr>
                <w:rFonts w:hint="eastAsia" w:ascii="宋体" w:hAnsi="宋体" w:eastAsia="宋体" w:cs="宋体"/>
                <w:sz w:val="18"/>
                <w:highlight w:val="none"/>
              </w:rPr>
            </w:pPr>
          </w:p>
        </w:tc>
        <w:tc>
          <w:tcPr>
            <w:tcW w:w="1386" w:type="dxa"/>
          </w:tcPr>
          <w:p w14:paraId="2918A406">
            <w:pPr>
              <w:pStyle w:val="27"/>
              <w:rPr>
                <w:rFonts w:hint="eastAsia" w:ascii="宋体" w:hAnsi="宋体" w:eastAsia="宋体" w:cs="宋体"/>
                <w:sz w:val="18"/>
                <w:highlight w:val="none"/>
              </w:rPr>
            </w:pPr>
          </w:p>
        </w:tc>
        <w:tc>
          <w:tcPr>
            <w:tcW w:w="2194" w:type="dxa"/>
          </w:tcPr>
          <w:p w14:paraId="6F34DA1E">
            <w:pPr>
              <w:pStyle w:val="27"/>
              <w:rPr>
                <w:rFonts w:hint="eastAsia" w:ascii="宋体" w:hAnsi="宋体" w:eastAsia="宋体" w:cs="宋体"/>
                <w:sz w:val="18"/>
                <w:highlight w:val="none"/>
              </w:rPr>
            </w:pPr>
          </w:p>
        </w:tc>
      </w:tr>
    </w:tbl>
    <w:p w14:paraId="266CB6E1">
      <w:pPr>
        <w:pStyle w:val="10"/>
        <w:rPr>
          <w:rFonts w:hint="eastAsia" w:ascii="宋体" w:hAnsi="宋体" w:eastAsia="宋体" w:cs="宋体"/>
          <w:sz w:val="20"/>
          <w:highlight w:val="none"/>
        </w:rPr>
      </w:pPr>
    </w:p>
    <w:p w14:paraId="45982BDA">
      <w:pPr>
        <w:pStyle w:val="10"/>
        <w:rPr>
          <w:rFonts w:hint="eastAsia" w:ascii="宋体" w:hAnsi="宋体" w:eastAsia="宋体" w:cs="宋体"/>
          <w:sz w:val="20"/>
          <w:highlight w:val="none"/>
        </w:rPr>
      </w:pPr>
    </w:p>
    <w:p w14:paraId="053D1243">
      <w:pPr>
        <w:pStyle w:val="10"/>
        <w:rPr>
          <w:rFonts w:hint="eastAsia" w:ascii="宋体" w:hAnsi="宋体" w:eastAsia="宋体" w:cs="宋体"/>
          <w:sz w:val="20"/>
          <w:highlight w:val="none"/>
        </w:rPr>
      </w:pPr>
    </w:p>
    <w:p w14:paraId="284A3921">
      <w:pPr>
        <w:pStyle w:val="10"/>
        <w:spacing w:before="12"/>
        <w:rPr>
          <w:rFonts w:hint="eastAsia" w:ascii="宋体" w:hAnsi="宋体" w:eastAsia="宋体" w:cs="宋体"/>
          <w:sz w:val="22"/>
          <w:highlight w:val="none"/>
        </w:rPr>
      </w:pPr>
    </w:p>
    <w:p w14:paraId="18FCE678">
      <w:pPr>
        <w:pStyle w:val="10"/>
        <w:spacing w:before="10"/>
        <w:rPr>
          <w:rFonts w:hint="eastAsia" w:ascii="宋体" w:hAnsi="宋体" w:eastAsia="宋体" w:cs="宋体"/>
          <w:sz w:val="17"/>
          <w:highlight w:val="none"/>
        </w:rPr>
      </w:pPr>
    </w:p>
    <w:p w14:paraId="72B15AFC">
      <w:pPr>
        <w:rPr>
          <w:rFonts w:hint="eastAsia" w:ascii="宋体" w:hAnsi="宋体" w:eastAsia="宋体" w:cs="宋体"/>
          <w:sz w:val="17"/>
          <w:highlight w:val="none"/>
        </w:rPr>
        <w:sectPr>
          <w:footerReference r:id="rId9" w:type="default"/>
          <w:pgSz w:w="11910" w:h="16840"/>
          <w:pgMar w:top="1360" w:right="1120" w:bottom="1080" w:left="1260" w:header="882" w:footer="845" w:gutter="0"/>
          <w:cols w:space="720" w:num="1"/>
        </w:sectPr>
      </w:pPr>
    </w:p>
    <w:p w14:paraId="1985A565">
      <w:pPr>
        <w:pStyle w:val="10"/>
        <w:spacing w:before="67"/>
        <w:ind w:left="583"/>
        <w:rPr>
          <w:rFonts w:hint="eastAsia" w:ascii="宋体" w:hAnsi="宋体" w:eastAsia="宋体" w:cs="宋体"/>
          <w:highlight w:val="none"/>
        </w:rPr>
      </w:pPr>
      <w:bookmarkStart w:id="83" w:name="附件六_项目经理委任书"/>
      <w:bookmarkEnd w:id="83"/>
    </w:p>
    <w:p w14:paraId="4DEB626B">
      <w:pPr>
        <w:pStyle w:val="10"/>
        <w:spacing w:before="67"/>
        <w:ind w:left="583"/>
        <w:rPr>
          <w:rFonts w:hint="eastAsia" w:ascii="宋体" w:hAnsi="宋体" w:eastAsia="宋体" w:cs="宋体"/>
          <w:highlight w:val="none"/>
        </w:rPr>
      </w:pPr>
    </w:p>
    <w:p w14:paraId="54F4F068">
      <w:pPr>
        <w:pStyle w:val="10"/>
        <w:spacing w:before="67"/>
        <w:ind w:left="583"/>
        <w:rPr>
          <w:rFonts w:hint="eastAsia" w:ascii="宋体" w:hAnsi="宋体" w:eastAsia="宋体" w:cs="宋体"/>
          <w:highlight w:val="none"/>
        </w:rPr>
      </w:pPr>
    </w:p>
    <w:p w14:paraId="6B59BB79">
      <w:pPr>
        <w:pStyle w:val="10"/>
        <w:spacing w:before="67"/>
        <w:ind w:left="583"/>
        <w:rPr>
          <w:rFonts w:hint="eastAsia" w:ascii="宋体" w:hAnsi="宋体" w:eastAsia="宋体" w:cs="宋体"/>
          <w:highlight w:val="none"/>
        </w:rPr>
      </w:pPr>
    </w:p>
    <w:p w14:paraId="64C2FFBB">
      <w:pPr>
        <w:pStyle w:val="10"/>
        <w:spacing w:before="67"/>
        <w:ind w:left="583"/>
        <w:rPr>
          <w:rFonts w:hint="eastAsia" w:ascii="宋体" w:hAnsi="宋体" w:eastAsia="宋体" w:cs="宋体"/>
          <w:highlight w:val="none"/>
        </w:rPr>
      </w:pPr>
    </w:p>
    <w:p w14:paraId="3844EFBC">
      <w:pPr>
        <w:pStyle w:val="10"/>
        <w:spacing w:before="67"/>
        <w:ind w:left="583"/>
        <w:rPr>
          <w:rFonts w:hint="eastAsia" w:ascii="宋体" w:hAnsi="宋体" w:eastAsia="宋体" w:cs="宋体"/>
          <w:highlight w:val="none"/>
        </w:rPr>
      </w:pPr>
    </w:p>
    <w:p w14:paraId="390ED3E1">
      <w:pPr>
        <w:pStyle w:val="10"/>
        <w:spacing w:before="67"/>
        <w:ind w:left="583"/>
        <w:rPr>
          <w:rFonts w:hint="eastAsia" w:ascii="宋体" w:hAnsi="宋体" w:eastAsia="宋体" w:cs="宋体"/>
          <w:highlight w:val="none"/>
        </w:rPr>
      </w:pPr>
    </w:p>
    <w:p w14:paraId="788E9D3C">
      <w:pPr>
        <w:pStyle w:val="10"/>
        <w:spacing w:before="67"/>
        <w:ind w:left="583"/>
        <w:rPr>
          <w:rFonts w:hint="eastAsia" w:ascii="宋体" w:hAnsi="宋体" w:eastAsia="宋体" w:cs="宋体"/>
          <w:highlight w:val="none"/>
        </w:rPr>
      </w:pPr>
    </w:p>
    <w:p w14:paraId="46682D22">
      <w:pPr>
        <w:pStyle w:val="10"/>
        <w:spacing w:before="67"/>
        <w:ind w:left="583"/>
        <w:rPr>
          <w:rFonts w:hint="eastAsia" w:ascii="宋体" w:hAnsi="宋体" w:eastAsia="宋体" w:cs="宋体"/>
          <w:highlight w:val="none"/>
        </w:rPr>
      </w:pPr>
    </w:p>
    <w:p w14:paraId="73831245">
      <w:pPr>
        <w:pStyle w:val="25"/>
        <w:rPr>
          <w:rFonts w:hint="eastAsia" w:ascii="宋体" w:hAnsi="宋体" w:eastAsia="宋体" w:cs="宋体"/>
          <w:highlight w:val="none"/>
        </w:rPr>
      </w:pPr>
    </w:p>
    <w:p w14:paraId="667A62AE">
      <w:pPr>
        <w:pStyle w:val="10"/>
        <w:spacing w:before="67"/>
        <w:ind w:left="583"/>
        <w:rPr>
          <w:rFonts w:hint="eastAsia" w:ascii="宋体" w:hAnsi="宋体" w:eastAsia="宋体" w:cs="宋体"/>
          <w:highlight w:val="none"/>
        </w:rPr>
      </w:pPr>
    </w:p>
    <w:p w14:paraId="0E2DF7B8">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附件六 项目经理委任书</w:t>
      </w:r>
    </w:p>
    <w:p w14:paraId="4EC32780">
      <w:pPr>
        <w:pStyle w:val="10"/>
        <w:spacing w:before="5"/>
        <w:rPr>
          <w:rFonts w:hint="eastAsia" w:ascii="宋体" w:hAnsi="宋体" w:eastAsia="宋体" w:cs="宋体"/>
          <w:sz w:val="32"/>
          <w:highlight w:val="none"/>
        </w:rPr>
      </w:pPr>
      <w:r>
        <w:rPr>
          <w:rFonts w:hint="eastAsia" w:ascii="宋体" w:hAnsi="宋体" w:eastAsia="宋体" w:cs="宋体"/>
          <w:highlight w:val="none"/>
        </w:rPr>
        <w:br w:type="column"/>
      </w:r>
    </w:p>
    <w:p w14:paraId="194EEDBE">
      <w:pPr>
        <w:ind w:left="583"/>
        <w:rPr>
          <w:rFonts w:hint="eastAsia" w:ascii="宋体" w:hAnsi="宋体" w:eastAsia="宋体" w:cs="宋体"/>
          <w:sz w:val="28"/>
          <w:highlight w:val="none"/>
          <w:u w:val="single"/>
        </w:rPr>
      </w:pPr>
    </w:p>
    <w:p w14:paraId="4E5181B5">
      <w:pPr>
        <w:ind w:left="583"/>
        <w:rPr>
          <w:rFonts w:hint="eastAsia" w:ascii="宋体" w:hAnsi="宋体" w:eastAsia="宋体" w:cs="宋体"/>
          <w:sz w:val="28"/>
          <w:highlight w:val="none"/>
        </w:rPr>
      </w:pPr>
      <w:r>
        <w:rPr>
          <w:rFonts w:hint="eastAsia" w:ascii="宋体" w:hAnsi="宋体" w:eastAsia="宋体" w:cs="宋体"/>
          <w:sz w:val="28"/>
          <w:highlight w:val="none"/>
          <w:u w:val="single"/>
        </w:rPr>
        <w:t>（承包人全称）</w:t>
      </w:r>
    </w:p>
    <w:p w14:paraId="0A0C0F09">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3144" w:space="130"/>
            <w:col w:w="6256"/>
          </w:cols>
        </w:sectPr>
      </w:pPr>
    </w:p>
    <w:p w14:paraId="4CD82A59">
      <w:pPr>
        <w:spacing w:before="42"/>
        <w:ind w:left="147"/>
        <w:jc w:val="center"/>
        <w:rPr>
          <w:rFonts w:hint="eastAsia" w:ascii="宋体" w:hAnsi="宋体" w:eastAsia="宋体" w:cs="宋体"/>
          <w:sz w:val="28"/>
          <w:highlight w:val="none"/>
        </w:rPr>
      </w:pPr>
      <w:r>
        <w:rPr>
          <w:rFonts w:hint="eastAsia" w:ascii="宋体" w:hAnsi="宋体" w:eastAsia="宋体" w:cs="宋体"/>
          <w:sz w:val="28"/>
          <w:highlight w:val="none"/>
          <w:u w:val="single"/>
        </w:rPr>
        <w:t xml:space="preserve">（合同工程名称） </w:t>
      </w:r>
      <w:r>
        <w:rPr>
          <w:rFonts w:hint="eastAsia" w:ascii="宋体" w:hAnsi="宋体" w:eastAsia="宋体" w:cs="宋体"/>
          <w:sz w:val="28"/>
          <w:highlight w:val="none"/>
        </w:rPr>
        <w:t>项目经理委任书</w:t>
      </w:r>
    </w:p>
    <w:p w14:paraId="211F6468">
      <w:pPr>
        <w:pStyle w:val="10"/>
        <w:rPr>
          <w:rFonts w:hint="eastAsia" w:ascii="宋体" w:hAnsi="宋体" w:eastAsia="宋体" w:cs="宋体"/>
          <w:sz w:val="28"/>
          <w:highlight w:val="none"/>
        </w:rPr>
      </w:pPr>
    </w:p>
    <w:p w14:paraId="40E9F2FA">
      <w:pPr>
        <w:pStyle w:val="10"/>
        <w:spacing w:before="7"/>
        <w:rPr>
          <w:rFonts w:hint="eastAsia" w:ascii="宋体" w:hAnsi="宋体" w:eastAsia="宋体" w:cs="宋体"/>
          <w:sz w:val="41"/>
          <w:highlight w:val="none"/>
        </w:rPr>
      </w:pPr>
    </w:p>
    <w:p w14:paraId="15A14531">
      <w:pPr>
        <w:pStyle w:val="10"/>
        <w:ind w:left="583"/>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（发包人全称）</w:t>
      </w:r>
    </w:p>
    <w:p w14:paraId="20B87743">
      <w:pPr>
        <w:pStyle w:val="10"/>
        <w:spacing w:before="93" w:line="312" w:lineRule="auto"/>
        <w:ind w:left="384" w:right="382" w:firstLine="616"/>
        <w:jc w:val="both"/>
        <w:rPr>
          <w:rFonts w:hint="eastAsia" w:ascii="宋体" w:hAnsi="宋体" w:eastAsia="宋体" w:cs="宋体"/>
          <w:highlight w:val="none"/>
        </w:rPr>
      </w:pPr>
      <w:r>
        <w:rPr>
          <w:rFonts w:hint="eastAsia" w:ascii="宋体" w:hAnsi="宋体" w:eastAsia="宋体" w:cs="宋体"/>
          <w:highlight w:val="none"/>
          <w:u w:val="single"/>
        </w:rPr>
        <w:t xml:space="preserve">    （承包人全称）</w:t>
      </w:r>
      <w:r>
        <w:rPr>
          <w:rFonts w:hint="eastAsia" w:ascii="宋体" w:hAnsi="宋体" w:eastAsia="宋体" w:cs="宋体"/>
          <w:spacing w:val="-5"/>
          <w:highlight w:val="none"/>
        </w:rPr>
        <w:t xml:space="preserve"> 法定代表人</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4"/>
          <w:highlight w:val="none"/>
          <w:u w:val="single"/>
        </w:rPr>
        <w:t>职务、姓名</w:t>
      </w:r>
      <w:r>
        <w:rPr>
          <w:rFonts w:hint="eastAsia" w:ascii="宋体" w:hAnsi="宋体" w:eastAsia="宋体" w:cs="宋体"/>
          <w:highlight w:val="none"/>
          <w:u w:val="single"/>
        </w:rPr>
        <w:t>）</w:t>
      </w:r>
      <w:r>
        <w:rPr>
          <w:rFonts w:hint="eastAsia" w:ascii="宋体" w:hAnsi="宋体" w:eastAsia="宋体" w:cs="宋体"/>
          <w:spacing w:val="-4"/>
          <w:highlight w:val="none"/>
        </w:rPr>
        <w:t xml:space="preserve"> 代表本单位委任</w:t>
      </w:r>
      <w:r>
        <w:rPr>
          <w:rFonts w:hint="eastAsia" w:ascii="宋体" w:hAnsi="宋体" w:eastAsia="宋体" w:cs="宋体"/>
          <w:spacing w:val="-4"/>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5"/>
          <w:highlight w:val="none"/>
          <w:u w:val="single"/>
        </w:rPr>
        <w:t>职务、姓</w:t>
      </w:r>
      <w:r>
        <w:rPr>
          <w:rFonts w:hint="eastAsia" w:ascii="宋体" w:hAnsi="宋体" w:eastAsia="宋体" w:cs="宋体"/>
          <w:spacing w:val="-172"/>
          <w:highlight w:val="none"/>
          <w:u w:val="single"/>
        </w:rPr>
        <w:t>名</w:t>
      </w:r>
      <w:r>
        <w:rPr>
          <w:rFonts w:hint="eastAsia" w:ascii="宋体" w:hAnsi="宋体" w:eastAsia="宋体" w:cs="宋体"/>
          <w:spacing w:val="-220"/>
          <w:highlight w:val="none"/>
          <w:u w:val="single"/>
        </w:rPr>
        <w:t>）</w:t>
      </w:r>
      <w:r>
        <w:rPr>
          <w:rFonts w:hint="eastAsia" w:ascii="宋体" w:hAnsi="宋体" w:eastAsia="宋体" w:cs="宋体"/>
          <w:spacing w:val="-118"/>
          <w:highlight w:val="none"/>
        </w:rPr>
        <w:t xml:space="preserve"> </w:t>
      </w:r>
      <w:r>
        <w:rPr>
          <w:rFonts w:hint="eastAsia" w:ascii="宋体" w:hAnsi="宋体" w:eastAsia="宋体" w:cs="宋体"/>
          <w:spacing w:val="-15"/>
          <w:highlight w:val="none"/>
        </w:rPr>
        <w:t>为</w:t>
      </w:r>
      <w:r>
        <w:rPr>
          <w:rFonts w:hint="eastAsia" w:ascii="宋体" w:hAnsi="宋体" w:eastAsia="宋体" w:cs="宋体"/>
          <w:highlight w:val="none"/>
          <w:u w:val="single"/>
        </w:rPr>
        <w:t>（合同工程名称</w:t>
      </w:r>
      <w:r>
        <w:rPr>
          <w:rFonts w:hint="eastAsia" w:ascii="宋体" w:hAnsi="宋体" w:eastAsia="宋体" w:cs="宋体"/>
          <w:spacing w:val="-15"/>
          <w:highlight w:val="none"/>
          <w:u w:val="single"/>
        </w:rPr>
        <w:t>）</w:t>
      </w:r>
      <w:r>
        <w:rPr>
          <w:rFonts w:hint="eastAsia" w:ascii="宋体" w:hAnsi="宋体" w:eastAsia="宋体" w:cs="宋体"/>
          <w:spacing w:val="-5"/>
          <w:highlight w:val="none"/>
        </w:rPr>
        <w:t>的项目经理。凡本合同执行中的有关技术、工程进度、现场管理、质量检验、结算与支付等方面工作，由</w:t>
      </w:r>
      <w:r>
        <w:rPr>
          <w:rFonts w:hint="eastAsia" w:ascii="宋体" w:hAnsi="宋体" w:eastAsia="宋体" w:cs="宋体"/>
          <w:spacing w:val="-5"/>
          <w:highlight w:val="none"/>
          <w:u w:val="single"/>
        </w:rPr>
        <w:t xml:space="preserve"> （姓名） </w:t>
      </w:r>
      <w:r>
        <w:rPr>
          <w:rFonts w:hint="eastAsia" w:ascii="宋体" w:hAnsi="宋体" w:eastAsia="宋体" w:cs="宋体"/>
          <w:spacing w:val="-5"/>
          <w:highlight w:val="none"/>
        </w:rPr>
        <w:t>代表本单位全面负责。</w:t>
      </w:r>
    </w:p>
    <w:p w14:paraId="79092DA2">
      <w:pPr>
        <w:pStyle w:val="10"/>
        <w:spacing w:before="2"/>
        <w:rPr>
          <w:rFonts w:hint="eastAsia" w:ascii="宋体" w:hAnsi="宋体" w:eastAsia="宋体" w:cs="宋体"/>
          <w:sz w:val="31"/>
          <w:highlight w:val="none"/>
        </w:rPr>
      </w:pPr>
    </w:p>
    <w:p w14:paraId="2C82653C">
      <w:pPr>
        <w:pStyle w:val="10"/>
        <w:tabs>
          <w:tab w:val="left" w:pos="7267"/>
          <w:tab w:val="left" w:pos="7739"/>
          <w:tab w:val="left" w:pos="9059"/>
        </w:tabs>
        <w:spacing w:line="312" w:lineRule="auto"/>
        <w:ind w:left="4987" w:right="346" w:hanging="564"/>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（职务）</w:t>
      </w:r>
      <w:r>
        <w:rPr>
          <w:rFonts w:hint="eastAsia" w:ascii="宋体" w:hAnsi="宋体" w:eastAsia="宋体" w:cs="宋体"/>
          <w:highlight w:val="none"/>
          <w:u w:val="single"/>
        </w:rPr>
        <w:tab/>
      </w:r>
    </w:p>
    <w:p w14:paraId="07F3B88A">
      <w:pPr>
        <w:pStyle w:val="10"/>
        <w:tabs>
          <w:tab w:val="left" w:pos="7543"/>
          <w:tab w:val="left" w:pos="9059"/>
        </w:tabs>
        <w:spacing w:before="3"/>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（姓名）</w:t>
      </w:r>
      <w:r>
        <w:rPr>
          <w:rFonts w:hint="eastAsia" w:ascii="宋体" w:hAnsi="宋体" w:eastAsia="宋体" w:cs="宋体"/>
          <w:highlight w:val="none"/>
          <w:u w:val="single"/>
        </w:rPr>
        <w:tab/>
      </w:r>
    </w:p>
    <w:p w14:paraId="52834630">
      <w:pPr>
        <w:pStyle w:val="10"/>
        <w:tabs>
          <w:tab w:val="left" w:pos="7543"/>
          <w:tab w:val="left" w:pos="9059"/>
        </w:tabs>
        <w:spacing w:before="90"/>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（签字）</w:t>
      </w:r>
      <w:r>
        <w:rPr>
          <w:rFonts w:hint="eastAsia" w:ascii="宋体" w:hAnsi="宋体" w:eastAsia="宋体" w:cs="宋体"/>
          <w:highlight w:val="none"/>
          <w:u w:val="single"/>
        </w:rPr>
        <w:tab/>
      </w:r>
    </w:p>
    <w:p w14:paraId="27F109CE">
      <w:pPr>
        <w:pStyle w:val="10"/>
        <w:tabs>
          <w:tab w:val="left" w:pos="7063"/>
          <w:tab w:val="left" w:pos="7903"/>
          <w:tab w:val="left" w:pos="8743"/>
        </w:tabs>
        <w:spacing w:before="94"/>
        <w:ind w:left="62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5F8D3B7D">
      <w:pPr>
        <w:pStyle w:val="10"/>
        <w:rPr>
          <w:rFonts w:hint="eastAsia" w:ascii="宋体" w:hAnsi="宋体" w:eastAsia="宋体" w:cs="宋体"/>
          <w:sz w:val="20"/>
          <w:highlight w:val="none"/>
        </w:rPr>
      </w:pPr>
    </w:p>
    <w:p w14:paraId="58A5076B">
      <w:pPr>
        <w:pStyle w:val="10"/>
        <w:rPr>
          <w:rFonts w:hint="eastAsia" w:ascii="宋体" w:hAnsi="宋体" w:eastAsia="宋体" w:cs="宋体"/>
          <w:sz w:val="20"/>
          <w:highlight w:val="none"/>
        </w:rPr>
      </w:pPr>
    </w:p>
    <w:p w14:paraId="76116908">
      <w:pPr>
        <w:pStyle w:val="10"/>
        <w:rPr>
          <w:rFonts w:hint="eastAsia" w:ascii="宋体" w:hAnsi="宋体" w:eastAsia="宋体" w:cs="宋体"/>
          <w:sz w:val="21"/>
          <w:highlight w:val="none"/>
        </w:rPr>
      </w:pPr>
      <w:r>
        <w:rPr>
          <w:rFonts w:hint="eastAsia" w:ascii="宋体" w:hAnsi="宋体" w:eastAsia="宋体" w:cs="宋体"/>
          <w:highlight w:val="none"/>
        </w:rPr>
        <mc:AlternateContent>
          <mc:Choice Requires="wps">
            <w:drawing>
              <wp:anchor distT="0" distB="0" distL="114300" distR="114300" simplePos="0" relativeHeight="251663360" behindDoc="1" locked="0" layoutInCell="1" allowOverlap="1">
                <wp:simplePos x="0" y="0"/>
                <wp:positionH relativeFrom="page">
                  <wp:posOffset>1043305</wp:posOffset>
                </wp:positionH>
                <wp:positionV relativeFrom="paragraph">
                  <wp:posOffset>200660</wp:posOffset>
                </wp:positionV>
                <wp:extent cx="5508625" cy="0"/>
                <wp:effectExtent l="0" t="0" r="0" b="0"/>
                <wp:wrapTopAndBottom/>
                <wp:docPr id="18" name="直线 35"/>
                <wp:cNvGraphicFramePr/>
                <a:graphic xmlns:a="http://schemas.openxmlformats.org/drawingml/2006/main">
                  <a:graphicData uri="http://schemas.microsoft.com/office/word/2010/wordprocessingShape">
                    <wps:wsp>
                      <wps:cNvCnPr/>
                      <wps:spPr>
                        <a:xfrm>
                          <a:off x="0" y="0"/>
                          <a:ext cx="550862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left:82.15pt;margin-top:15.8pt;height:0pt;width:433.75pt;mso-position-horizontal-relative:page;mso-wrap-distance-bottom:0pt;mso-wrap-distance-top:0pt;z-index:-251653120;mso-width-relative:page;mso-height-relative:page;" filled="f" stroked="t" coordsize="21600,21600" o:gfxdata="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RKd1QAAAAoBAAAP&#10;AAAAAAAAAAEAIAAAACIAAABkcnMvZG93bnJldi54bWxQSwECFAAUAAAACACHTuJAKAG2buIBAADR&#10;AwAADgAAAAAAAAABACAAAAAkAQAAZHJzL2Uyb0RvYy54bWxQSwUGAAAAAAYABgBZAQAAeAUAAAAA&#10;">
                <v:fill on="f" focussize="0,0"/>
                <v:stroke weight="0.72pt" color="#000000" joinstyle="round"/>
                <v:imagedata o:title=""/>
                <o:lock v:ext="edit" aspectratio="f"/>
                <w10:wrap type="topAndBottom"/>
              </v:line>
            </w:pict>
          </mc:Fallback>
        </mc:AlternateContent>
      </w:r>
    </w:p>
    <w:p w14:paraId="27D93F12">
      <w:pPr>
        <w:pStyle w:val="10"/>
        <w:rPr>
          <w:rFonts w:hint="eastAsia" w:ascii="宋体" w:hAnsi="宋体" w:eastAsia="宋体" w:cs="宋体"/>
          <w:sz w:val="20"/>
          <w:highlight w:val="none"/>
        </w:rPr>
      </w:pPr>
    </w:p>
    <w:p w14:paraId="6689892C">
      <w:pPr>
        <w:pStyle w:val="10"/>
        <w:tabs>
          <w:tab w:val="left" w:pos="2982"/>
        </w:tabs>
        <w:spacing w:before="204"/>
        <w:ind w:left="583"/>
        <w:rPr>
          <w:rFonts w:hint="eastAsia" w:ascii="宋体" w:hAnsi="宋体" w:eastAsia="宋体" w:cs="宋体"/>
          <w:highlight w:val="none"/>
        </w:rPr>
      </w:pPr>
      <w:r>
        <w:rPr>
          <w:rFonts w:hint="eastAsia" w:ascii="宋体" w:hAnsi="宋体" w:eastAsia="宋体" w:cs="宋体"/>
          <w:highlight w:val="none"/>
        </w:rPr>
        <w:t>抄送：</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（监理人）</w:t>
      </w:r>
      <w:r>
        <w:rPr>
          <w:rFonts w:hint="eastAsia" w:ascii="宋体" w:hAnsi="宋体" w:eastAsia="宋体" w:cs="宋体"/>
          <w:highlight w:val="none"/>
          <w:u w:val="single"/>
        </w:rPr>
        <w:tab/>
      </w:r>
    </w:p>
    <w:p w14:paraId="20AE73FF">
      <w:pPr>
        <w:rPr>
          <w:rFonts w:hint="eastAsia" w:ascii="宋体" w:hAnsi="宋体" w:eastAsia="宋体" w:cs="宋体"/>
          <w:highlight w:val="none"/>
        </w:rPr>
        <w:sectPr>
          <w:type w:val="continuous"/>
          <w:pgSz w:w="11910" w:h="16840"/>
          <w:pgMar w:top="1580" w:right="1120" w:bottom="280" w:left="1260" w:header="720" w:footer="720" w:gutter="0"/>
          <w:cols w:space="720" w:num="1"/>
        </w:sectPr>
      </w:pPr>
    </w:p>
    <w:p w14:paraId="49D0CEA7">
      <w:pPr>
        <w:pStyle w:val="10"/>
        <w:spacing w:before="4"/>
        <w:rPr>
          <w:rFonts w:hint="eastAsia" w:ascii="宋体" w:hAnsi="宋体" w:eastAsia="宋体" w:cs="宋体"/>
          <w:sz w:val="19"/>
          <w:highlight w:val="none"/>
        </w:rPr>
      </w:pPr>
    </w:p>
    <w:p w14:paraId="27A79C75">
      <w:pPr>
        <w:pStyle w:val="10"/>
        <w:spacing w:before="66"/>
        <w:ind w:left="384"/>
        <w:rPr>
          <w:rFonts w:hint="eastAsia" w:ascii="宋体" w:hAnsi="宋体" w:eastAsia="宋体" w:cs="宋体"/>
          <w:highlight w:val="none"/>
        </w:rPr>
      </w:pPr>
      <w:r>
        <w:rPr>
          <w:rFonts w:hint="eastAsia" w:ascii="宋体" w:hAnsi="宋体" w:eastAsia="宋体" w:cs="宋体"/>
          <w:highlight w:val="none"/>
        </w:rPr>
        <w:t>附件七 履约保证金格式</w:t>
      </w:r>
    </w:p>
    <w:p w14:paraId="0A80F889">
      <w:pPr>
        <w:pStyle w:val="10"/>
        <w:spacing w:before="93"/>
        <w:ind w:left="583"/>
        <w:rPr>
          <w:rFonts w:hint="eastAsia" w:ascii="宋体" w:hAnsi="宋体" w:eastAsia="宋体" w:cs="宋体"/>
          <w:highlight w:val="none"/>
        </w:rPr>
      </w:pPr>
      <w:r>
        <w:rPr>
          <w:rFonts w:hint="eastAsia" w:ascii="宋体" w:hAnsi="宋体" w:eastAsia="宋体" w:cs="宋体"/>
          <w:highlight w:val="none"/>
        </w:rPr>
        <w:t>如采用银行保函，格式如下。</w:t>
      </w:r>
    </w:p>
    <w:p w14:paraId="0304EEA0">
      <w:pPr>
        <w:pStyle w:val="10"/>
        <w:spacing w:before="9"/>
        <w:rPr>
          <w:rFonts w:hint="eastAsia" w:ascii="宋体" w:hAnsi="宋体" w:eastAsia="宋体" w:cs="宋体"/>
          <w:sz w:val="29"/>
          <w:highlight w:val="none"/>
        </w:rPr>
      </w:pPr>
    </w:p>
    <w:p w14:paraId="783E1CC6">
      <w:pPr>
        <w:spacing w:before="62"/>
        <w:ind w:left="149"/>
        <w:jc w:val="center"/>
        <w:rPr>
          <w:rFonts w:hint="eastAsia" w:ascii="宋体" w:hAnsi="宋体" w:eastAsia="宋体" w:cs="宋体"/>
          <w:sz w:val="28"/>
          <w:highlight w:val="none"/>
        </w:rPr>
      </w:pPr>
      <w:r>
        <w:rPr>
          <w:rFonts w:hint="eastAsia" w:ascii="宋体" w:hAnsi="宋体" w:eastAsia="宋体" w:cs="宋体"/>
          <w:sz w:val="28"/>
          <w:highlight w:val="none"/>
        </w:rPr>
        <w:t>履约保证金</w:t>
      </w:r>
    </w:p>
    <w:p w14:paraId="417CA0A6">
      <w:pPr>
        <w:pStyle w:val="10"/>
        <w:rPr>
          <w:rFonts w:hint="eastAsia" w:ascii="宋体" w:hAnsi="宋体" w:eastAsia="宋体" w:cs="宋体"/>
          <w:sz w:val="20"/>
          <w:highlight w:val="none"/>
        </w:rPr>
      </w:pPr>
    </w:p>
    <w:p w14:paraId="2F318F0E">
      <w:pPr>
        <w:pStyle w:val="10"/>
        <w:spacing w:before="3"/>
        <w:rPr>
          <w:rFonts w:hint="eastAsia" w:ascii="宋体" w:hAnsi="宋体" w:eastAsia="宋体" w:cs="宋体"/>
          <w:sz w:val="18"/>
          <w:highlight w:val="none"/>
        </w:rPr>
      </w:pPr>
    </w:p>
    <w:p w14:paraId="57CD6B0E">
      <w:pPr>
        <w:pStyle w:val="10"/>
        <w:tabs>
          <w:tab w:val="left" w:pos="3143"/>
        </w:tabs>
        <w:ind w:left="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（发包人名称）：</w:t>
      </w:r>
    </w:p>
    <w:p w14:paraId="357CA2CB">
      <w:pPr>
        <w:pStyle w:val="10"/>
        <w:spacing w:before="7"/>
        <w:rPr>
          <w:rFonts w:hint="eastAsia" w:ascii="宋体" w:hAnsi="宋体" w:eastAsia="宋体" w:cs="宋体"/>
          <w:sz w:val="38"/>
          <w:highlight w:val="none"/>
        </w:rPr>
      </w:pPr>
    </w:p>
    <w:p w14:paraId="4F0C7FF6">
      <w:pPr>
        <w:pStyle w:val="10"/>
        <w:tabs>
          <w:tab w:val="left" w:pos="2073"/>
          <w:tab w:val="left" w:pos="3371"/>
          <w:tab w:val="left" w:pos="8095"/>
          <w:tab w:val="left" w:pos="8582"/>
        </w:tabs>
        <w:spacing w:line="312" w:lineRule="auto"/>
        <w:ind w:left="384" w:right="462" w:firstLine="600"/>
        <w:jc w:val="both"/>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发包人名称</w:t>
      </w:r>
      <w:r>
        <w:rPr>
          <w:rFonts w:hint="eastAsia" w:ascii="宋体" w:hAnsi="宋体" w:eastAsia="宋体" w:cs="宋体"/>
          <w:spacing w:val="-17"/>
          <w:highlight w:val="none"/>
        </w:rPr>
        <w:t>，</w:t>
      </w:r>
      <w:r>
        <w:rPr>
          <w:rFonts w:hint="eastAsia" w:ascii="宋体" w:hAnsi="宋体" w:eastAsia="宋体" w:cs="宋体"/>
          <w:highlight w:val="none"/>
        </w:rPr>
        <w:t>以下简称“发包人</w:t>
      </w:r>
      <w:r>
        <w:rPr>
          <w:rFonts w:hint="eastAsia" w:ascii="宋体" w:hAnsi="宋体" w:eastAsia="宋体" w:cs="宋体"/>
          <w:spacing w:val="-8"/>
          <w:highlight w:val="none"/>
        </w:rPr>
        <w:t>”）</w:t>
      </w:r>
      <w:r>
        <w:rPr>
          <w:rFonts w:hint="eastAsia" w:ascii="宋体" w:hAnsi="宋体" w:eastAsia="宋体" w:cs="宋体"/>
          <w:highlight w:val="none"/>
        </w:rPr>
        <w:t>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7"/>
          <w:highlight w:val="none"/>
        </w:rPr>
        <w:t>承</w:t>
      </w:r>
      <w:r>
        <w:rPr>
          <w:rFonts w:hint="eastAsia" w:ascii="宋体" w:hAnsi="宋体" w:eastAsia="宋体" w:cs="宋体"/>
          <w:highlight w:val="none"/>
        </w:rPr>
        <w:t>包人名称，以下简称“承包人”）于</w:t>
      </w:r>
      <w:r>
        <w:rPr>
          <w:rFonts w:hint="eastAsia" w:ascii="宋体" w:hAnsi="宋体" w:eastAsia="宋体" w:cs="宋体"/>
          <w:highlight w:val="none"/>
          <w:u w:val="single"/>
        </w:rPr>
        <w:t xml:space="preserve">    </w:t>
      </w:r>
      <w:r>
        <w:rPr>
          <w:rFonts w:hint="eastAsia" w:ascii="宋体" w:hAnsi="宋体" w:eastAsia="宋体" w:cs="宋体"/>
          <w:spacing w:val="14"/>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spacing w:val="12"/>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spacing w:val="10"/>
          <w:highlight w:val="none"/>
          <w:u w:val="single"/>
        </w:rPr>
        <w:t xml:space="preserve"> </w:t>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w:t>
      </w:r>
      <w:r>
        <w:rPr>
          <w:rFonts w:hint="eastAsia" w:ascii="宋体" w:hAnsi="宋体" w:eastAsia="宋体" w:cs="宋体"/>
          <w:spacing w:val="-14"/>
          <w:highlight w:val="none"/>
        </w:rPr>
        <w:t>名</w:t>
      </w:r>
      <w:r>
        <w:rPr>
          <w:rFonts w:hint="eastAsia" w:ascii="宋体" w:hAnsi="宋体" w:eastAsia="宋体" w:cs="宋体"/>
          <w:highlight w:val="none"/>
        </w:rPr>
        <w:t>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标段施工的投标。我方愿意无条件地、不可撤销地就承包人履行与你方订立的合同，向你方提供担保。</w:t>
      </w:r>
    </w:p>
    <w:p w14:paraId="4A9E7042">
      <w:pPr>
        <w:pStyle w:val="26"/>
        <w:numPr>
          <w:ilvl w:val="0"/>
          <w:numId w:val="48"/>
        </w:numPr>
        <w:tabs>
          <w:tab w:val="left" w:pos="1164"/>
          <w:tab w:val="left" w:pos="5783"/>
          <w:tab w:val="left" w:pos="8003"/>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1B92ACAD">
      <w:pPr>
        <w:pStyle w:val="26"/>
        <w:numPr>
          <w:ilvl w:val="0"/>
          <w:numId w:val="48"/>
        </w:numPr>
        <w:tabs>
          <w:tab w:val="left" w:pos="1169"/>
        </w:tabs>
        <w:spacing w:before="94" w:line="312" w:lineRule="auto"/>
        <w:ind w:left="384" w:right="467" w:firstLine="480"/>
        <w:jc w:val="both"/>
        <w:rPr>
          <w:rFonts w:hint="eastAsia" w:ascii="宋体" w:hAnsi="宋体" w:eastAsia="宋体" w:cs="宋体"/>
          <w:sz w:val="10"/>
          <w:highlight w:val="none"/>
        </w:rPr>
      </w:pPr>
      <w:r>
        <w:rPr>
          <w:rFonts w:hint="eastAsia" w:ascii="宋体" w:hAnsi="宋体" w:eastAsia="宋体" w:cs="宋体"/>
          <w:spacing w:val="3"/>
          <w:sz w:val="24"/>
          <w:highlight w:val="none"/>
        </w:rPr>
        <w:t>担保有效期自发包人与承包人签订的合同生效之日起至发包人签发交工验收证书且承包人按照合同约定缴纳质量保证金之日止。</w:t>
      </w:r>
    </w:p>
    <w:p w14:paraId="66BB9EC4">
      <w:pPr>
        <w:pStyle w:val="26"/>
        <w:numPr>
          <w:ilvl w:val="0"/>
          <w:numId w:val="48"/>
        </w:numPr>
        <w:tabs>
          <w:tab w:val="left" w:pos="1164"/>
        </w:tabs>
        <w:spacing w:line="312"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 xml:space="preserve">在本担保有效期内，因承包人违反合同约定的义务给你方造成经济损失时， </w:t>
      </w:r>
      <w:r>
        <w:rPr>
          <w:rFonts w:hint="eastAsia" w:ascii="宋体" w:hAnsi="宋体" w:eastAsia="宋体" w:cs="宋体"/>
          <w:spacing w:val="-2"/>
          <w:sz w:val="24"/>
          <w:highlight w:val="none"/>
        </w:rPr>
        <w:t xml:space="preserve">我方在收到你方以书面形式提出的在担保金额内的赔偿要求后，在 </w:t>
      </w:r>
      <w:r>
        <w:rPr>
          <w:rFonts w:hint="eastAsia" w:ascii="宋体" w:hAnsi="宋体" w:eastAsia="宋体" w:cs="宋体"/>
          <w:sz w:val="24"/>
          <w:highlight w:val="none"/>
        </w:rPr>
        <w:t>7</w:t>
      </w:r>
      <w:r>
        <w:rPr>
          <w:rFonts w:hint="eastAsia" w:ascii="宋体" w:hAnsi="宋体" w:eastAsia="宋体" w:cs="宋体"/>
          <w:spacing w:val="11"/>
          <w:sz w:val="24"/>
          <w:highlight w:val="none"/>
        </w:rPr>
        <w:t xml:space="preserve"> </w:t>
      </w:r>
      <w:r>
        <w:rPr>
          <w:rFonts w:hint="eastAsia" w:ascii="宋体" w:hAnsi="宋体" w:eastAsia="宋体" w:cs="宋体"/>
          <w:sz w:val="24"/>
          <w:highlight w:val="none"/>
        </w:rPr>
        <w:t>日内无条件支付，无须你方出具证明或陈述理由。</w:t>
      </w:r>
    </w:p>
    <w:p w14:paraId="135A3F21">
      <w:pPr>
        <w:pStyle w:val="26"/>
        <w:numPr>
          <w:ilvl w:val="0"/>
          <w:numId w:val="48"/>
        </w:numPr>
        <w:tabs>
          <w:tab w:val="left" w:pos="1164"/>
        </w:tabs>
        <w:spacing w:line="312"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发包人和承包人按合同条款第 </w:t>
      </w:r>
      <w:r>
        <w:rPr>
          <w:rFonts w:hint="eastAsia" w:ascii="宋体" w:hAnsi="宋体" w:eastAsia="宋体" w:cs="宋体"/>
          <w:sz w:val="24"/>
          <w:highlight w:val="none"/>
        </w:rPr>
        <w:t xml:space="preserve">20 </w:t>
      </w:r>
      <w:r>
        <w:rPr>
          <w:rFonts w:hint="eastAsia" w:ascii="宋体" w:hAnsi="宋体" w:eastAsia="宋体" w:cs="宋体"/>
          <w:spacing w:val="-5"/>
          <w:sz w:val="24"/>
          <w:highlight w:val="none"/>
        </w:rPr>
        <w:t xml:space="preserve">条变更合同时，无论我方是否收到该变更， </w:t>
      </w:r>
      <w:r>
        <w:rPr>
          <w:rFonts w:hint="eastAsia" w:ascii="宋体" w:hAnsi="宋体" w:eastAsia="宋体" w:cs="宋体"/>
          <w:sz w:val="24"/>
          <w:highlight w:val="none"/>
        </w:rPr>
        <w:t>我方承担本担保规定的义务不变。</w:t>
      </w:r>
    </w:p>
    <w:p w14:paraId="3D53B764">
      <w:pPr>
        <w:pStyle w:val="10"/>
        <w:rPr>
          <w:rFonts w:hint="eastAsia" w:ascii="宋体" w:hAnsi="宋体" w:eastAsia="宋体" w:cs="宋体"/>
          <w:highlight w:val="none"/>
        </w:rPr>
      </w:pPr>
    </w:p>
    <w:p w14:paraId="6FCAC8E5">
      <w:pPr>
        <w:pStyle w:val="10"/>
        <w:rPr>
          <w:rFonts w:hint="eastAsia" w:ascii="宋体" w:hAnsi="宋体" w:eastAsia="宋体" w:cs="宋体"/>
          <w:highlight w:val="none"/>
        </w:rPr>
      </w:pPr>
    </w:p>
    <w:p w14:paraId="6A9CC819">
      <w:pPr>
        <w:pStyle w:val="10"/>
        <w:tabs>
          <w:tab w:val="left" w:pos="7739"/>
          <w:tab w:val="left" w:pos="8843"/>
        </w:tabs>
        <w:spacing w:before="186" w:line="312" w:lineRule="auto"/>
        <w:ind w:left="3880" w:right="346"/>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法定代表人或其委托代理人：       </w:t>
      </w:r>
      <w:r>
        <w:rPr>
          <w:rFonts w:hint="eastAsia" w:ascii="宋体" w:hAnsi="宋体" w:eastAsia="宋体" w:cs="宋体"/>
          <w:spacing w:val="19"/>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02512AD">
      <w:pPr>
        <w:pStyle w:val="10"/>
        <w:tabs>
          <w:tab w:val="left" w:pos="4600"/>
          <w:tab w:val="left" w:pos="8843"/>
          <w:tab w:val="left" w:pos="8979"/>
        </w:tabs>
        <w:spacing w:before="1" w:line="312" w:lineRule="auto"/>
        <w:ind w:left="3880" w:right="545"/>
        <w:rPr>
          <w:rFonts w:hint="eastAsia" w:ascii="宋体" w:hAnsi="宋体" w:eastAsia="宋体" w:cs="宋体"/>
          <w:highlight w:val="none"/>
        </w:rPr>
      </w:pP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spacing w:val="-1"/>
          <w:highlight w:val="none"/>
        </w:rPr>
        <w:t>话</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w:t>
      </w:r>
      <w:r>
        <w:rPr>
          <w:rFonts w:hint="eastAsia" w:ascii="宋体" w:hAnsi="宋体" w:eastAsia="宋体" w:cs="宋体"/>
          <w:highlight w:val="none"/>
        </w:rPr>
        <w:tab/>
      </w:r>
      <w:r>
        <w:rPr>
          <w:rFonts w:hint="eastAsia" w:ascii="宋体" w:hAnsi="宋体" w:eastAsia="宋体" w:cs="宋体"/>
          <w:spacing w:val="-1"/>
          <w:highlight w:val="none"/>
        </w:rPr>
        <w:t>真</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AFC60CA">
      <w:pPr>
        <w:pStyle w:val="10"/>
        <w:tabs>
          <w:tab w:val="left" w:pos="5499"/>
          <w:tab w:val="left" w:pos="6520"/>
          <w:tab w:val="left" w:pos="7480"/>
        </w:tabs>
        <w:spacing w:before="1"/>
        <w:ind w:left="46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F09A6B2">
      <w:pPr>
        <w:pStyle w:val="10"/>
        <w:rPr>
          <w:rFonts w:hint="eastAsia" w:ascii="宋体" w:hAnsi="宋体" w:eastAsia="宋体" w:cs="宋体"/>
          <w:sz w:val="20"/>
          <w:highlight w:val="none"/>
        </w:rPr>
      </w:pPr>
    </w:p>
    <w:p w14:paraId="4DE3A9C8">
      <w:pPr>
        <w:pStyle w:val="10"/>
        <w:rPr>
          <w:rFonts w:hint="eastAsia" w:ascii="宋体" w:hAnsi="宋体" w:eastAsia="宋体" w:cs="宋体"/>
          <w:sz w:val="20"/>
          <w:highlight w:val="none"/>
        </w:rPr>
      </w:pPr>
    </w:p>
    <w:p w14:paraId="0C706298">
      <w:pPr>
        <w:pStyle w:val="10"/>
        <w:rPr>
          <w:rFonts w:hint="eastAsia" w:ascii="宋体" w:hAnsi="宋体" w:eastAsia="宋体" w:cs="宋体"/>
          <w:sz w:val="20"/>
          <w:highlight w:val="none"/>
        </w:rPr>
      </w:pPr>
    </w:p>
    <w:p w14:paraId="08361E61">
      <w:pPr>
        <w:pStyle w:val="10"/>
        <w:spacing w:before="8"/>
        <w:rPr>
          <w:rFonts w:hint="eastAsia" w:ascii="宋体" w:hAnsi="宋体" w:eastAsia="宋体" w:cs="宋体"/>
          <w:sz w:val="22"/>
          <w:highlight w:val="none"/>
        </w:rPr>
      </w:pPr>
    </w:p>
    <w:p w14:paraId="7BA7C52F">
      <w:pPr>
        <w:pStyle w:val="10"/>
        <w:spacing w:before="9"/>
        <w:rPr>
          <w:rFonts w:hint="eastAsia" w:ascii="宋体" w:hAnsi="宋体" w:eastAsia="宋体" w:cs="宋体"/>
          <w:sz w:val="8"/>
          <w:highlight w:val="none"/>
        </w:rPr>
      </w:pPr>
    </w:p>
    <w:p w14:paraId="4D3F5100">
      <w:pPr>
        <w:pStyle w:val="10"/>
        <w:spacing w:before="10"/>
        <w:rPr>
          <w:rFonts w:hint="eastAsia" w:ascii="宋体" w:hAnsi="宋体" w:eastAsia="宋体" w:cs="宋体"/>
          <w:sz w:val="17"/>
          <w:highlight w:val="none"/>
        </w:rPr>
      </w:pPr>
      <w:bookmarkStart w:id="84" w:name="附件八_工程资金监管协议格式"/>
      <w:bookmarkEnd w:id="84"/>
    </w:p>
    <w:p w14:paraId="0A46FE61">
      <w:pPr>
        <w:pStyle w:val="25"/>
        <w:rPr>
          <w:rFonts w:hint="eastAsia" w:ascii="宋体" w:hAnsi="宋体" w:eastAsia="宋体" w:cs="宋体"/>
          <w:sz w:val="17"/>
          <w:highlight w:val="none"/>
        </w:rPr>
      </w:pPr>
    </w:p>
    <w:p w14:paraId="64FB20C2">
      <w:pPr>
        <w:rPr>
          <w:rFonts w:hint="eastAsia" w:ascii="宋体" w:hAnsi="宋体" w:eastAsia="宋体" w:cs="宋体"/>
          <w:sz w:val="17"/>
          <w:highlight w:val="none"/>
        </w:rPr>
      </w:pPr>
    </w:p>
    <w:p w14:paraId="6135603A">
      <w:pPr>
        <w:pStyle w:val="22"/>
        <w:ind w:firstLine="340"/>
        <w:rPr>
          <w:rFonts w:hint="eastAsia" w:ascii="宋体" w:hAnsi="宋体" w:eastAsia="宋体" w:cs="宋体"/>
          <w:sz w:val="17"/>
          <w:highlight w:val="none"/>
        </w:rPr>
      </w:pPr>
    </w:p>
    <w:p w14:paraId="4A7EBB26">
      <w:pPr>
        <w:pStyle w:val="22"/>
        <w:ind w:firstLine="340"/>
        <w:rPr>
          <w:rFonts w:hint="eastAsia" w:ascii="宋体" w:hAnsi="宋体" w:eastAsia="宋体" w:cs="宋体"/>
          <w:sz w:val="17"/>
          <w:highlight w:val="none"/>
        </w:rPr>
      </w:pPr>
    </w:p>
    <w:p w14:paraId="22366D04">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附件八 工程资金监管协议格式</w:t>
      </w:r>
    </w:p>
    <w:p w14:paraId="408A456F">
      <w:pPr>
        <w:pStyle w:val="10"/>
        <w:spacing w:before="71" w:line="295" w:lineRule="auto"/>
        <w:ind w:left="384" w:right="346" w:firstLine="480"/>
        <w:rPr>
          <w:rFonts w:hint="eastAsia" w:ascii="宋体" w:hAnsi="宋体" w:eastAsia="宋体" w:cs="宋体"/>
          <w:highlight w:val="none"/>
        </w:rPr>
      </w:pPr>
      <w:r>
        <w:rPr>
          <w:rFonts w:hint="eastAsia" w:ascii="宋体" w:hAnsi="宋体" w:eastAsia="宋体" w:cs="宋体"/>
          <w:highlight w:val="none"/>
        </w:rPr>
        <w:t>（发包人与承包人签订合同协议书时应与发包人指定的银行签署工程资金监管</w:t>
      </w:r>
      <w:r>
        <w:rPr>
          <w:rFonts w:hint="eastAsia" w:ascii="宋体" w:hAnsi="宋体" w:eastAsia="宋体" w:cs="宋体"/>
          <w:spacing w:val="-10"/>
          <w:highlight w:val="none"/>
        </w:rPr>
        <w:t>协议，工程资金监管协议内容在保证本项目资金有效监管的前提下由三方共同商定</w:t>
      </w:r>
      <w:r>
        <w:rPr>
          <w:rFonts w:hint="eastAsia" w:ascii="宋体" w:hAnsi="宋体" w:eastAsia="宋体" w:cs="宋体"/>
          <w:spacing w:val="-19"/>
          <w:highlight w:val="none"/>
        </w:rPr>
        <w:t>）</w:t>
      </w:r>
    </w:p>
    <w:p w14:paraId="10072B5E">
      <w:pPr>
        <w:pStyle w:val="10"/>
        <w:spacing w:before="1"/>
        <w:rPr>
          <w:rFonts w:hint="eastAsia" w:ascii="宋体" w:hAnsi="宋体" w:eastAsia="宋体" w:cs="宋体"/>
          <w:sz w:val="26"/>
          <w:highlight w:val="none"/>
        </w:rPr>
      </w:pPr>
    </w:p>
    <w:p w14:paraId="41054C37">
      <w:pPr>
        <w:ind w:left="149"/>
        <w:jc w:val="center"/>
        <w:rPr>
          <w:rFonts w:hint="eastAsia" w:ascii="宋体" w:hAnsi="宋体" w:eastAsia="宋体" w:cs="宋体"/>
          <w:sz w:val="28"/>
          <w:highlight w:val="none"/>
        </w:rPr>
      </w:pPr>
      <w:r>
        <w:rPr>
          <w:rFonts w:hint="eastAsia" w:ascii="宋体" w:hAnsi="宋体" w:eastAsia="宋体" w:cs="宋体"/>
          <w:sz w:val="28"/>
          <w:highlight w:val="none"/>
        </w:rPr>
        <w:t>工程资金监管协议</w:t>
      </w:r>
    </w:p>
    <w:p w14:paraId="57099845">
      <w:pPr>
        <w:pStyle w:val="10"/>
        <w:spacing w:before="3"/>
        <w:rPr>
          <w:rFonts w:hint="eastAsia" w:ascii="宋体" w:hAnsi="宋体" w:eastAsia="宋体" w:cs="宋体"/>
          <w:sz w:val="35"/>
          <w:highlight w:val="none"/>
        </w:rPr>
      </w:pPr>
    </w:p>
    <w:p w14:paraId="199D8D1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（以下简称“甲方</w:t>
      </w:r>
      <w:r>
        <w:rPr>
          <w:rFonts w:hint="eastAsia" w:ascii="宋体" w:hAnsi="宋体" w:eastAsia="宋体" w:cs="宋体"/>
          <w:spacing w:val="-9"/>
          <w:highlight w:val="none"/>
        </w:rPr>
        <w:t>”）</w:t>
      </w:r>
    </w:p>
    <w:p w14:paraId="047700D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（以下简称“乙方</w:t>
      </w:r>
      <w:r>
        <w:rPr>
          <w:rFonts w:hint="eastAsia" w:ascii="宋体" w:hAnsi="宋体" w:eastAsia="宋体" w:cs="宋体"/>
          <w:spacing w:val="-9"/>
          <w:highlight w:val="none"/>
        </w:rPr>
        <w:t xml:space="preserve">”） </w:t>
      </w:r>
    </w:p>
    <w:p w14:paraId="3295BA98">
      <w:pPr>
        <w:pStyle w:val="10"/>
        <w:tabs>
          <w:tab w:val="left" w:pos="3463"/>
        </w:tabs>
        <w:spacing w:line="296" w:lineRule="auto"/>
        <w:ind w:left="584"/>
        <w:jc w:val="both"/>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（以下简称“丙方</w:t>
      </w:r>
      <w:r>
        <w:rPr>
          <w:rFonts w:hint="eastAsia" w:ascii="宋体" w:hAnsi="宋体" w:eastAsia="宋体" w:cs="宋体"/>
          <w:spacing w:val="-9"/>
          <w:highlight w:val="none"/>
        </w:rPr>
        <w:t>”）</w:t>
      </w:r>
    </w:p>
    <w:p w14:paraId="0BEF4635">
      <w:pPr>
        <w:pStyle w:val="10"/>
        <w:rPr>
          <w:rFonts w:hint="eastAsia" w:ascii="宋体" w:hAnsi="宋体" w:eastAsia="宋体" w:cs="宋体"/>
          <w:sz w:val="30"/>
          <w:highlight w:val="none"/>
        </w:rPr>
      </w:pPr>
    </w:p>
    <w:p w14:paraId="2BBCD9B9">
      <w:pPr>
        <w:pStyle w:val="10"/>
        <w:tabs>
          <w:tab w:val="left" w:pos="2795"/>
          <w:tab w:val="left" w:pos="7739"/>
        </w:tabs>
        <w:spacing w:line="297" w:lineRule="auto"/>
        <w:ind w:left="384" w:right="346" w:firstLine="480"/>
        <w:rPr>
          <w:rFonts w:hint="eastAsia" w:ascii="宋体" w:hAnsi="宋体" w:eastAsia="宋体" w:cs="宋体"/>
          <w:highlight w:val="none"/>
        </w:rPr>
      </w:pPr>
      <w:r>
        <w:rPr>
          <w:rFonts w:hint="eastAsia" w:ascii="宋体" w:hAnsi="宋体" w:eastAsia="宋体" w:cs="宋体"/>
          <w:highlight w:val="none"/>
        </w:rPr>
        <w:t>为了促进</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（项目名称）的顺利实施，管好用好建设资金，确保工程资金专款专用</w:t>
      </w:r>
      <w:r>
        <w:rPr>
          <w:rFonts w:hint="eastAsia" w:ascii="宋体" w:hAnsi="宋体" w:eastAsia="宋体" w:cs="宋体"/>
          <w:spacing w:val="-70"/>
          <w:highlight w:val="none"/>
        </w:rPr>
        <w:t>，</w:t>
      </w:r>
      <w:r>
        <w:rPr>
          <w:rFonts w:hint="eastAsia" w:ascii="宋体" w:hAnsi="宋体" w:eastAsia="宋体" w:cs="宋体"/>
          <w:highlight w:val="none"/>
        </w:rPr>
        <w:t>同时为承包人提供便捷有效的银行业务服务</w:t>
      </w:r>
      <w:r>
        <w:rPr>
          <w:rFonts w:hint="eastAsia" w:ascii="宋体" w:hAnsi="宋体" w:eastAsia="宋体" w:cs="宋体"/>
          <w:spacing w:val="-70"/>
          <w:highlight w:val="none"/>
        </w:rPr>
        <w:t>，</w:t>
      </w:r>
      <w:r>
        <w:rPr>
          <w:rFonts w:hint="eastAsia" w:ascii="宋体" w:hAnsi="宋体" w:eastAsia="宋体" w:cs="宋体"/>
          <w:highlight w:val="none"/>
        </w:rPr>
        <w:t>根据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w:t>
      </w:r>
      <w:r>
        <w:rPr>
          <w:rFonts w:hint="eastAsia" w:ascii="宋体" w:hAnsi="宋体" w:eastAsia="宋体" w:cs="宋体"/>
          <w:highlight w:val="none"/>
        </w:rPr>
        <w:t>项目名称</w:t>
      </w:r>
      <w:r>
        <w:rPr>
          <w:rFonts w:hint="eastAsia" w:ascii="宋体" w:hAnsi="宋体" w:eastAsia="宋体" w:cs="宋体"/>
          <w:spacing w:val="-18"/>
          <w:highlight w:val="none"/>
        </w:rPr>
        <w:t xml:space="preserve">） </w:t>
      </w:r>
      <w:r>
        <w:rPr>
          <w:rFonts w:hint="eastAsia" w:ascii="宋体" w:hAnsi="宋体" w:eastAsia="宋体" w:cs="宋体"/>
          <w:highlight w:val="none"/>
        </w:rPr>
        <w:t>合同条款有关规定，经甲、乙、丙三方协商，达成协议如下：</w:t>
      </w:r>
    </w:p>
    <w:p w14:paraId="7864A1B6">
      <w:pPr>
        <w:pStyle w:val="26"/>
        <w:numPr>
          <w:ilvl w:val="0"/>
          <w:numId w:val="49"/>
        </w:numPr>
        <w:tabs>
          <w:tab w:val="left" w:pos="1164"/>
        </w:tabs>
        <w:spacing w:line="304" w:lineRule="exact"/>
        <w:rPr>
          <w:rFonts w:hint="eastAsia" w:ascii="宋体" w:hAnsi="宋体" w:eastAsia="宋体" w:cs="宋体"/>
          <w:sz w:val="24"/>
          <w:highlight w:val="none"/>
        </w:rPr>
      </w:pPr>
      <w:r>
        <w:rPr>
          <w:rFonts w:hint="eastAsia" w:ascii="宋体" w:hAnsi="宋体" w:eastAsia="宋体" w:cs="宋体"/>
          <w:sz w:val="24"/>
          <w:highlight w:val="none"/>
        </w:rPr>
        <w:t>资金管理的内容</w:t>
      </w:r>
    </w:p>
    <w:p w14:paraId="480B9861">
      <w:pPr>
        <w:pStyle w:val="26"/>
        <w:numPr>
          <w:ilvl w:val="0"/>
          <w:numId w:val="50"/>
        </w:numPr>
        <w:tabs>
          <w:tab w:val="left" w:pos="1465"/>
          <w:tab w:val="left" w:pos="3568"/>
        </w:tabs>
        <w:spacing w:before="72"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乙方为完成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9"/>
          <w:sz w:val="24"/>
          <w:highlight w:val="none"/>
        </w:rPr>
        <w:t>）</w:t>
      </w:r>
      <w:r>
        <w:rPr>
          <w:rFonts w:hint="eastAsia" w:ascii="宋体" w:hAnsi="宋体" w:eastAsia="宋体" w:cs="宋体"/>
          <w:sz w:val="24"/>
          <w:highlight w:val="none"/>
        </w:rPr>
        <w:t>工程成立的项目经理部在丙方开设基</w:t>
      </w:r>
      <w:r>
        <w:rPr>
          <w:rFonts w:hint="eastAsia" w:ascii="宋体" w:hAnsi="宋体" w:eastAsia="宋体" w:cs="宋体"/>
          <w:spacing w:val="-18"/>
          <w:sz w:val="24"/>
          <w:highlight w:val="none"/>
        </w:rPr>
        <w:t>本</w:t>
      </w:r>
      <w:r>
        <w:rPr>
          <w:rFonts w:hint="eastAsia" w:ascii="宋体" w:hAnsi="宋体" w:eastAsia="宋体" w:cs="宋体"/>
          <w:sz w:val="24"/>
          <w:highlight w:val="none"/>
        </w:rPr>
        <w:t>结算户；</w:t>
      </w:r>
    </w:p>
    <w:p w14:paraId="1367A630">
      <w:pPr>
        <w:pStyle w:val="26"/>
        <w:numPr>
          <w:ilvl w:val="0"/>
          <w:numId w:val="50"/>
        </w:numPr>
        <w:tabs>
          <w:tab w:val="left" w:pos="1465"/>
        </w:tabs>
        <w:spacing w:line="306" w:lineRule="exact"/>
        <w:ind w:left="1465"/>
        <w:rPr>
          <w:rFonts w:hint="eastAsia" w:ascii="宋体" w:hAnsi="宋体" w:eastAsia="宋体" w:cs="宋体"/>
          <w:sz w:val="24"/>
          <w:highlight w:val="none"/>
        </w:rPr>
      </w:pPr>
      <w:r>
        <w:rPr>
          <w:rFonts w:hint="eastAsia" w:ascii="宋体" w:hAnsi="宋体" w:eastAsia="宋体" w:cs="宋体"/>
          <w:sz w:val="24"/>
          <w:highlight w:val="none"/>
        </w:rPr>
        <w:t>甲方应按合同规定将工程款汇入乙方在丙方开设的账户；</w:t>
      </w:r>
    </w:p>
    <w:p w14:paraId="5F22EFC5">
      <w:pPr>
        <w:pStyle w:val="26"/>
        <w:numPr>
          <w:ilvl w:val="0"/>
          <w:numId w:val="50"/>
        </w:numPr>
        <w:tabs>
          <w:tab w:val="left" w:pos="1465"/>
          <w:tab w:val="left" w:pos="7223"/>
        </w:tabs>
        <w:spacing w:before="72"/>
        <w:ind w:left="1465"/>
        <w:rPr>
          <w:rFonts w:hint="eastAsia" w:ascii="宋体" w:hAnsi="宋体" w:eastAsia="宋体" w:cs="宋体"/>
          <w:sz w:val="24"/>
          <w:highlight w:val="none"/>
        </w:rPr>
      </w:pPr>
      <w:r>
        <w:rPr>
          <w:rFonts w:hint="eastAsia" w:ascii="宋体" w:hAnsi="宋体" w:eastAsia="宋体" w:cs="宋体"/>
          <w:sz w:val="24"/>
          <w:highlight w:val="none"/>
        </w:rPr>
        <w:t>乙方应将流动资金及甲方所拨付资金专项用于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p>
    <w:p w14:paraId="104F624B">
      <w:pPr>
        <w:pStyle w:val="26"/>
        <w:numPr>
          <w:ilvl w:val="0"/>
          <w:numId w:val="50"/>
        </w:numPr>
        <w:tabs>
          <w:tab w:val="left" w:pos="1465"/>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丙方应为乙方提供便捷有效的银行业务服务，并接受甲方委托对乙方在</w:t>
      </w:r>
      <w:r>
        <w:rPr>
          <w:rFonts w:hint="eastAsia" w:ascii="宋体" w:hAnsi="宋体" w:eastAsia="宋体" w:cs="宋体"/>
          <w:spacing w:val="-5"/>
          <w:sz w:val="24"/>
          <w:highlight w:val="none"/>
        </w:rPr>
        <w:t>丙方开设的基本结算户资金使用情况进行监督。</w:t>
      </w:r>
    </w:p>
    <w:p w14:paraId="1F86747F">
      <w:pPr>
        <w:pStyle w:val="26"/>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甲方的权责</w:t>
      </w:r>
    </w:p>
    <w:p w14:paraId="6CFAB1B5">
      <w:pPr>
        <w:pStyle w:val="26"/>
        <w:numPr>
          <w:ilvl w:val="0"/>
          <w:numId w:val="51"/>
        </w:numPr>
        <w:tabs>
          <w:tab w:val="left" w:pos="1465"/>
          <w:tab w:val="left" w:pos="286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0"/>
          <w:sz w:val="24"/>
          <w:highlight w:val="none"/>
        </w:rPr>
        <w:t>）</w:t>
      </w:r>
      <w:r>
        <w:rPr>
          <w:rFonts w:hint="eastAsia" w:ascii="宋体" w:hAnsi="宋体" w:eastAsia="宋体" w:cs="宋体"/>
          <w:sz w:val="24"/>
          <w:highlight w:val="none"/>
        </w:rPr>
        <w:t>合同有关条款规定的时间和方式</w:t>
      </w:r>
      <w:r>
        <w:rPr>
          <w:rFonts w:hint="eastAsia" w:ascii="宋体" w:hAnsi="宋体" w:eastAsia="宋体" w:cs="宋体"/>
          <w:spacing w:val="-22"/>
          <w:sz w:val="24"/>
          <w:highlight w:val="none"/>
        </w:rPr>
        <w:t>，</w:t>
      </w:r>
      <w:r>
        <w:rPr>
          <w:rFonts w:hint="eastAsia" w:ascii="宋体" w:hAnsi="宋体" w:eastAsia="宋体" w:cs="宋体"/>
          <w:sz w:val="24"/>
          <w:highlight w:val="none"/>
        </w:rPr>
        <w:t>向乙方支</w:t>
      </w:r>
      <w:r>
        <w:rPr>
          <w:rFonts w:hint="eastAsia" w:ascii="宋体" w:hAnsi="宋体" w:eastAsia="宋体" w:cs="宋体"/>
          <w:spacing w:val="-17"/>
          <w:sz w:val="24"/>
          <w:highlight w:val="none"/>
        </w:rPr>
        <w:t>付</w:t>
      </w:r>
      <w:r>
        <w:rPr>
          <w:rFonts w:hint="eastAsia" w:ascii="宋体" w:hAnsi="宋体" w:eastAsia="宋体" w:cs="宋体"/>
          <w:sz w:val="24"/>
          <w:highlight w:val="none"/>
        </w:rPr>
        <w:t>工程款；</w:t>
      </w:r>
    </w:p>
    <w:p w14:paraId="015B87CA">
      <w:pPr>
        <w:pStyle w:val="26"/>
        <w:numPr>
          <w:ilvl w:val="0"/>
          <w:numId w:val="51"/>
        </w:numPr>
        <w:tabs>
          <w:tab w:val="left" w:pos="1465"/>
        </w:tabs>
        <w:spacing w:before="2" w:line="297"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在发现乙方将本项目资金挪用、转移时，甲方有权中止工程支付，直至乙</w:t>
      </w:r>
      <w:r>
        <w:rPr>
          <w:rFonts w:hint="eastAsia" w:ascii="宋体" w:hAnsi="宋体" w:eastAsia="宋体" w:cs="宋体"/>
          <w:sz w:val="24"/>
          <w:highlight w:val="none"/>
        </w:rPr>
        <w:t>方改正为止；</w:t>
      </w:r>
    </w:p>
    <w:p w14:paraId="11D3E727">
      <w:pPr>
        <w:pStyle w:val="26"/>
        <w:numPr>
          <w:ilvl w:val="0"/>
          <w:numId w:val="51"/>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不定期审查丙方对乙方的资金使用监督情况，如丙方不能履行其责任， </w:t>
      </w:r>
      <w:r>
        <w:rPr>
          <w:rFonts w:hint="eastAsia" w:ascii="宋体" w:hAnsi="宋体" w:eastAsia="宋体" w:cs="宋体"/>
          <w:spacing w:val="-5"/>
          <w:sz w:val="24"/>
          <w:highlight w:val="none"/>
        </w:rPr>
        <w:t>甲方有权随时终止本协议；</w:t>
      </w:r>
    </w:p>
    <w:p w14:paraId="5C2F654D">
      <w:pPr>
        <w:pStyle w:val="26"/>
        <w:numPr>
          <w:ilvl w:val="0"/>
          <w:numId w:val="51"/>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在乙、丙双方发生争议时，甲方应负责协调、解决。</w:t>
      </w:r>
    </w:p>
    <w:p w14:paraId="6E273180">
      <w:pPr>
        <w:pStyle w:val="26"/>
        <w:numPr>
          <w:ilvl w:val="0"/>
          <w:numId w:val="49"/>
        </w:numPr>
        <w:tabs>
          <w:tab w:val="left" w:pos="1164"/>
        </w:tabs>
        <w:spacing w:before="72"/>
        <w:rPr>
          <w:rFonts w:hint="eastAsia" w:ascii="宋体" w:hAnsi="宋体" w:eastAsia="宋体" w:cs="宋体"/>
          <w:sz w:val="24"/>
          <w:highlight w:val="none"/>
        </w:rPr>
      </w:pPr>
      <w:r>
        <w:rPr>
          <w:rFonts w:hint="eastAsia" w:ascii="宋体" w:hAnsi="宋体" w:eastAsia="宋体" w:cs="宋体"/>
          <w:sz w:val="24"/>
          <w:highlight w:val="none"/>
        </w:rPr>
        <w:t>乙方的权责</w:t>
      </w:r>
    </w:p>
    <w:p w14:paraId="12C14CCE">
      <w:pPr>
        <w:pStyle w:val="26"/>
        <w:numPr>
          <w:ilvl w:val="0"/>
          <w:numId w:val="52"/>
        </w:numPr>
        <w:tabs>
          <w:tab w:val="left" w:pos="1465"/>
        </w:tabs>
        <w:spacing w:before="72"/>
        <w:rPr>
          <w:rFonts w:hint="eastAsia" w:ascii="宋体" w:hAnsi="宋体" w:eastAsia="宋体" w:cs="宋体"/>
          <w:sz w:val="24"/>
          <w:highlight w:val="none"/>
        </w:rPr>
      </w:pPr>
      <w:r>
        <w:rPr>
          <w:rFonts w:hint="eastAsia" w:ascii="宋体" w:hAnsi="宋体" w:eastAsia="宋体" w:cs="宋体"/>
          <w:sz w:val="24"/>
          <w:highlight w:val="none"/>
        </w:rPr>
        <w:t>项目经理部成立以后，乙方应尽快在丙方开设基本结算户；</w:t>
      </w:r>
    </w:p>
    <w:p w14:paraId="3E3E39BD">
      <w:pPr>
        <w:pStyle w:val="26"/>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确保本项目资金专款专用，不发生挪用、转移资金的现象；保证不通过权</w:t>
      </w:r>
      <w:r>
        <w:rPr>
          <w:rFonts w:hint="eastAsia" w:ascii="宋体" w:hAnsi="宋体" w:eastAsia="宋体" w:cs="宋体"/>
          <w:sz w:val="24"/>
          <w:highlight w:val="none"/>
        </w:rPr>
        <w:t>益转让、抵押、担保承担债务等任何其他方式使用基本结算户的资金；</w:t>
      </w:r>
    </w:p>
    <w:p w14:paraId="2BA477BC">
      <w:pPr>
        <w:pStyle w:val="26"/>
        <w:numPr>
          <w:ilvl w:val="0"/>
          <w:numId w:val="52"/>
        </w:numPr>
        <w:tabs>
          <w:tab w:val="left" w:pos="1465"/>
        </w:tabs>
        <w:spacing w:before="2"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办理材料、设备等采购业务金额在</w:t>
      </w:r>
      <w:r>
        <w:rPr>
          <w:rFonts w:hint="eastAsia" w:ascii="宋体" w:hAnsi="宋体" w:eastAsia="宋体" w:cs="宋体"/>
          <w:spacing w:val="-6"/>
          <w:sz w:val="24"/>
          <w:highlight w:val="none"/>
        </w:rPr>
        <w:t xml:space="preserve"> 万元以上的，应出示购货合同、协议和发票；在办理总额超过</w:t>
      </w:r>
      <w:r>
        <w:rPr>
          <w:rFonts w:hint="eastAsia" w:ascii="宋体" w:hAnsi="宋体" w:eastAsia="宋体" w:cs="宋体"/>
          <w:spacing w:val="-6"/>
          <w:sz w:val="24"/>
          <w:highlight w:val="none"/>
          <w:u w:val="single"/>
        </w:rPr>
        <w:t xml:space="preserve"> </w:t>
      </w:r>
      <w:r>
        <w:rPr>
          <w:rFonts w:hint="eastAsia" w:ascii="宋体" w:hAnsi="宋体" w:eastAsia="宋体" w:cs="宋体"/>
          <w:sz w:val="24"/>
          <w:highlight w:val="none"/>
        </w:rPr>
        <w:t xml:space="preserve"> 万元以上的采购业务时，应将合同、协议和发票复印件</w:t>
      </w:r>
      <w:r>
        <w:rPr>
          <w:rFonts w:hint="eastAsia" w:ascii="宋体" w:hAnsi="宋体" w:eastAsia="宋体" w:cs="宋体"/>
          <w:spacing w:val="-9"/>
          <w:sz w:val="24"/>
          <w:highlight w:val="none"/>
        </w:rPr>
        <w:t>送丙方备案；购买应急材料、设备时可先办理支付手续，但事后必须补备有关资料；</w:t>
      </w:r>
    </w:p>
    <w:p w14:paraId="2112D203">
      <w:pPr>
        <w:spacing w:line="297" w:lineRule="auto"/>
        <w:jc w:val="both"/>
        <w:rPr>
          <w:rFonts w:hint="eastAsia" w:ascii="宋体" w:hAnsi="宋体" w:eastAsia="宋体" w:cs="宋体"/>
          <w:sz w:val="24"/>
          <w:highlight w:val="none"/>
        </w:rPr>
        <w:sectPr>
          <w:pgSz w:w="11910" w:h="16840"/>
          <w:pgMar w:top="1360" w:right="1120" w:bottom="1080" w:left="1260" w:header="882" w:footer="845" w:gutter="0"/>
          <w:cols w:space="720" w:num="1"/>
        </w:sectPr>
      </w:pPr>
    </w:p>
    <w:p w14:paraId="008AEBD9">
      <w:pPr>
        <w:pStyle w:val="10"/>
        <w:rPr>
          <w:rFonts w:hint="eastAsia" w:ascii="宋体" w:hAnsi="宋体" w:eastAsia="宋体" w:cs="宋体"/>
          <w:sz w:val="17"/>
          <w:highlight w:val="none"/>
        </w:rPr>
      </w:pPr>
    </w:p>
    <w:p w14:paraId="409EEC47">
      <w:pPr>
        <w:pStyle w:val="26"/>
        <w:numPr>
          <w:ilvl w:val="0"/>
          <w:numId w:val="52"/>
        </w:numPr>
        <w:tabs>
          <w:tab w:val="left" w:pos="1465"/>
        </w:tabs>
        <w:spacing w:before="77"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用银行转账支票办理支付款项时，必须将转账支票送交丙方，由丙方负</w:t>
      </w:r>
      <w:r>
        <w:rPr>
          <w:rFonts w:hint="eastAsia" w:ascii="宋体" w:hAnsi="宋体" w:eastAsia="宋体" w:cs="宋体"/>
          <w:spacing w:val="-5"/>
          <w:sz w:val="24"/>
          <w:highlight w:val="none"/>
        </w:rPr>
        <w:t>责办理支票转付手续；</w:t>
      </w:r>
    </w:p>
    <w:p w14:paraId="15AAFA1A">
      <w:pPr>
        <w:pStyle w:val="26"/>
        <w:numPr>
          <w:ilvl w:val="0"/>
          <w:numId w:val="52"/>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向分包单位支付工程进度款时，应附甲方批准分包的文件；</w:t>
      </w:r>
    </w:p>
    <w:p w14:paraId="15F83ED8">
      <w:pPr>
        <w:pStyle w:val="26"/>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向上级单位缴纳管理费、机械设备及周转材料租赁摊销费等款项时，应</w:t>
      </w:r>
      <w:r>
        <w:rPr>
          <w:rFonts w:hint="eastAsia" w:ascii="宋体" w:hAnsi="宋体" w:eastAsia="宋体" w:cs="宋体"/>
          <w:spacing w:val="-5"/>
          <w:sz w:val="24"/>
          <w:highlight w:val="none"/>
        </w:rPr>
        <w:t>附上级单位出具的转账通知等有关资料，以确保资金专款专用。</w:t>
      </w:r>
    </w:p>
    <w:p w14:paraId="01A5CCEA">
      <w:pPr>
        <w:pStyle w:val="26"/>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丙方的权责</w:t>
      </w:r>
    </w:p>
    <w:p w14:paraId="4ED8DE4F">
      <w:pPr>
        <w:pStyle w:val="26"/>
        <w:numPr>
          <w:ilvl w:val="0"/>
          <w:numId w:val="53"/>
        </w:numPr>
        <w:tabs>
          <w:tab w:val="left" w:pos="1465"/>
          <w:tab w:val="left" w:pos="287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成立</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7"/>
          <w:sz w:val="24"/>
          <w:highlight w:val="none"/>
        </w:rPr>
        <w:t>）</w:t>
      </w:r>
      <w:r>
        <w:rPr>
          <w:rFonts w:hint="eastAsia" w:ascii="宋体" w:hAnsi="宋体" w:eastAsia="宋体" w:cs="宋体"/>
          <w:sz w:val="24"/>
          <w:highlight w:val="none"/>
        </w:rPr>
        <w:t>工程资金管理服务小组</w:t>
      </w:r>
      <w:r>
        <w:rPr>
          <w:rFonts w:hint="eastAsia" w:ascii="宋体" w:hAnsi="宋体" w:eastAsia="宋体" w:cs="宋体"/>
          <w:spacing w:val="-17"/>
          <w:sz w:val="24"/>
          <w:highlight w:val="none"/>
        </w:rPr>
        <w:t>，</w:t>
      </w:r>
      <w:r>
        <w:rPr>
          <w:rFonts w:hint="eastAsia" w:ascii="宋体" w:hAnsi="宋体" w:eastAsia="宋体" w:cs="宋体"/>
          <w:sz w:val="24"/>
          <w:highlight w:val="none"/>
        </w:rPr>
        <w:t>明确业务流程</w:t>
      </w:r>
      <w:r>
        <w:rPr>
          <w:rFonts w:hint="eastAsia" w:ascii="宋体" w:hAnsi="宋体" w:eastAsia="宋体" w:cs="宋体"/>
          <w:spacing w:val="-17"/>
          <w:sz w:val="24"/>
          <w:highlight w:val="none"/>
        </w:rPr>
        <w:t>，</w:t>
      </w:r>
      <w:r>
        <w:rPr>
          <w:rFonts w:hint="eastAsia" w:ascii="宋体" w:hAnsi="宋体" w:eastAsia="宋体" w:cs="宋体"/>
          <w:sz w:val="24"/>
          <w:highlight w:val="none"/>
        </w:rPr>
        <w:t>提</w:t>
      </w:r>
      <w:r>
        <w:rPr>
          <w:rFonts w:hint="eastAsia" w:ascii="宋体" w:hAnsi="宋体" w:eastAsia="宋体" w:cs="宋体"/>
          <w:spacing w:val="-18"/>
          <w:sz w:val="24"/>
          <w:highlight w:val="none"/>
        </w:rPr>
        <w:t>高</w:t>
      </w:r>
      <w:r>
        <w:rPr>
          <w:rFonts w:hint="eastAsia" w:ascii="宋体" w:hAnsi="宋体" w:eastAsia="宋体" w:cs="宋体"/>
          <w:sz w:val="24"/>
          <w:highlight w:val="none"/>
        </w:rPr>
        <w:t>工作效率，杜绝“压票”现象；</w:t>
      </w:r>
    </w:p>
    <w:p w14:paraId="01B22F0C">
      <w:pPr>
        <w:pStyle w:val="26"/>
        <w:numPr>
          <w:ilvl w:val="0"/>
          <w:numId w:val="53"/>
        </w:numPr>
        <w:tabs>
          <w:tab w:val="left" w:pos="1465"/>
        </w:tabs>
        <w:spacing w:before="2" w:line="297" w:lineRule="auto"/>
        <w:ind w:right="462" w:firstLine="480"/>
        <w:rPr>
          <w:rFonts w:hint="eastAsia" w:ascii="宋体" w:hAnsi="宋体" w:eastAsia="宋体" w:cs="宋体"/>
          <w:sz w:val="24"/>
          <w:highlight w:val="none"/>
        </w:rPr>
      </w:pPr>
      <w:r>
        <w:rPr>
          <w:rFonts w:hint="eastAsia" w:ascii="宋体" w:hAnsi="宋体" w:eastAsia="宋体" w:cs="宋体"/>
          <w:spacing w:val="-31"/>
          <w:sz w:val="24"/>
          <w:highlight w:val="none"/>
        </w:rPr>
        <w:t>根据乙方提供的购货合同、协议和发票，检查其所购材料、设备是否用于</w:t>
      </w:r>
      <w:r>
        <w:rPr>
          <w:rFonts w:hint="eastAsia" w:ascii="宋体" w:hAnsi="宋体" w:eastAsia="宋体" w:cs="宋体"/>
          <w:spacing w:val="8"/>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pacing w:val="-4"/>
          <w:sz w:val="24"/>
          <w:highlight w:val="none"/>
        </w:rPr>
        <w:t>项目名称</w:t>
      </w:r>
      <w:r>
        <w:rPr>
          <w:rFonts w:hint="eastAsia" w:ascii="宋体" w:hAnsi="宋体" w:eastAsia="宋体" w:cs="宋体"/>
          <w:sz w:val="24"/>
          <w:highlight w:val="none"/>
        </w:rPr>
        <w:t>）工程建设，对本标段以外的购货款项，有权拒绝办理，并及时报告甲方；</w:t>
      </w:r>
    </w:p>
    <w:p w14:paraId="653315B9">
      <w:pPr>
        <w:pStyle w:val="26"/>
        <w:numPr>
          <w:ilvl w:val="0"/>
          <w:numId w:val="53"/>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根据乙方与分包单位签订的合同及支付文件，检查其支付款项是否符合</w:t>
      </w:r>
      <w:r>
        <w:rPr>
          <w:rFonts w:hint="eastAsia" w:ascii="宋体" w:hAnsi="宋体" w:eastAsia="宋体" w:cs="宋体"/>
          <w:spacing w:val="-5"/>
          <w:sz w:val="24"/>
          <w:highlight w:val="none"/>
        </w:rPr>
        <w:t>有关条件，向分包单位以外单位的支付有权拒绝办理，并及时报告甲方；</w:t>
      </w:r>
    </w:p>
    <w:p w14:paraId="4849B7CA">
      <w:pPr>
        <w:pStyle w:val="26"/>
        <w:numPr>
          <w:ilvl w:val="0"/>
          <w:numId w:val="53"/>
        </w:numPr>
        <w:tabs>
          <w:tab w:val="left" w:pos="1465"/>
        </w:tabs>
        <w:spacing w:before="2" w:line="295"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根据乙方提供的上级单位出具的转账通知等有关资料，办理管理费、机械</w:t>
      </w:r>
      <w:r>
        <w:rPr>
          <w:rFonts w:hint="eastAsia" w:ascii="宋体" w:hAnsi="宋体" w:eastAsia="宋体" w:cs="宋体"/>
          <w:spacing w:val="-9"/>
          <w:sz w:val="24"/>
          <w:highlight w:val="none"/>
        </w:rPr>
        <w:t xml:space="preserve">设备及周转材料租赁摊销费等款项的支付；对超出转账通知等有关资料以外的支付， </w:t>
      </w:r>
      <w:r>
        <w:rPr>
          <w:rFonts w:hint="eastAsia" w:ascii="宋体" w:hAnsi="宋体" w:eastAsia="宋体" w:cs="宋体"/>
          <w:sz w:val="24"/>
          <w:highlight w:val="none"/>
        </w:rPr>
        <w:t>有权拒绝办理，并及时报告甲方；</w:t>
      </w:r>
    </w:p>
    <w:p w14:paraId="79D9D2C1">
      <w:pPr>
        <w:pStyle w:val="26"/>
        <w:numPr>
          <w:ilvl w:val="0"/>
          <w:numId w:val="53"/>
        </w:numPr>
        <w:tabs>
          <w:tab w:val="left" w:pos="1465"/>
        </w:tabs>
        <w:spacing w:before="5" w:line="295"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定期将乙方前一个周期的支付情况，整理后书面报送甲方；乙方复印备</w:t>
      </w:r>
      <w:r>
        <w:rPr>
          <w:rFonts w:hint="eastAsia" w:ascii="宋体" w:hAnsi="宋体" w:eastAsia="宋体" w:cs="宋体"/>
          <w:spacing w:val="-5"/>
          <w:sz w:val="24"/>
          <w:highlight w:val="none"/>
        </w:rPr>
        <w:t>案的材料一并送甲方。</w:t>
      </w:r>
    </w:p>
    <w:p w14:paraId="772B9704">
      <w:pPr>
        <w:pStyle w:val="26"/>
        <w:numPr>
          <w:ilvl w:val="0"/>
          <w:numId w:val="49"/>
        </w:numPr>
        <w:tabs>
          <w:tab w:val="left" w:pos="1164"/>
        </w:tabs>
        <w:spacing w:before="2" w:line="29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甲、乙、丙三方都应履行保密责任，不得将其他两方的业务情况透露给三方</w:t>
      </w:r>
      <w:r>
        <w:rPr>
          <w:rFonts w:hint="eastAsia" w:ascii="宋体" w:hAnsi="宋体" w:eastAsia="宋体" w:cs="宋体"/>
          <w:sz w:val="24"/>
          <w:highlight w:val="none"/>
        </w:rPr>
        <w:t>以外的其他单位或个人。</w:t>
      </w:r>
    </w:p>
    <w:p w14:paraId="3462C349">
      <w:pPr>
        <w:pStyle w:val="26"/>
        <w:numPr>
          <w:ilvl w:val="0"/>
          <w:numId w:val="49"/>
        </w:numPr>
        <w:tabs>
          <w:tab w:val="left" w:pos="1164"/>
        </w:tabs>
        <w:spacing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本协议有效期自乙方在丙方开户起，至工程交工验收甲方向乙方颁发交工验</w:t>
      </w:r>
      <w:r>
        <w:rPr>
          <w:rFonts w:hint="eastAsia" w:ascii="宋体" w:hAnsi="宋体" w:eastAsia="宋体" w:cs="宋体"/>
          <w:sz w:val="24"/>
          <w:highlight w:val="none"/>
        </w:rPr>
        <w:t>收证书后结束。</w:t>
      </w:r>
    </w:p>
    <w:p w14:paraId="4050AE4D">
      <w:pPr>
        <w:pStyle w:val="26"/>
        <w:numPr>
          <w:ilvl w:val="0"/>
          <w:numId w:val="49"/>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本协议未尽事宜，由甲方牵头，三方协商解决。</w:t>
      </w:r>
    </w:p>
    <w:p w14:paraId="4B31EC6F">
      <w:pPr>
        <w:pStyle w:val="26"/>
        <w:numPr>
          <w:ilvl w:val="0"/>
          <w:numId w:val="49"/>
        </w:numPr>
        <w:tabs>
          <w:tab w:val="left" w:pos="1164"/>
        </w:tabs>
        <w:spacing w:before="72" w:line="295" w:lineRule="auto"/>
        <w:ind w:left="384" w:right="466" w:firstLine="480"/>
        <w:rPr>
          <w:rFonts w:hint="eastAsia" w:ascii="宋体" w:hAnsi="宋体" w:eastAsia="宋体" w:cs="宋体"/>
          <w:sz w:val="24"/>
          <w:highlight w:val="none"/>
        </w:rPr>
      </w:pPr>
      <w:r>
        <w:rPr>
          <w:rFonts w:hint="eastAsia" w:ascii="宋体" w:hAnsi="宋体" w:eastAsia="宋体" w:cs="宋体"/>
          <w:spacing w:val="-1"/>
          <w:sz w:val="24"/>
          <w:highlight w:val="none"/>
        </w:rPr>
        <w:t>本协议正本三份、副本</w:t>
      </w:r>
      <w:r>
        <w:rPr>
          <w:rFonts w:hint="eastAsia" w:ascii="宋体" w:hAnsi="宋体" w:eastAsia="宋体" w:cs="宋体"/>
          <w:spacing w:val="3"/>
          <w:sz w:val="24"/>
          <w:highlight w:val="none"/>
        </w:rPr>
        <w:t xml:space="preserve"> 份。合同三方各执正本一份、副本</w:t>
      </w:r>
      <w:r>
        <w:rPr>
          <w:rFonts w:hint="eastAsia" w:ascii="宋体" w:hAnsi="宋体" w:eastAsia="宋体" w:cs="宋体"/>
          <w:spacing w:val="12"/>
          <w:sz w:val="24"/>
          <w:highlight w:val="none"/>
        </w:rPr>
        <w:t xml:space="preserve"> 份，当正本与</w:t>
      </w:r>
      <w:r>
        <w:rPr>
          <w:rFonts w:hint="eastAsia" w:ascii="宋体" w:hAnsi="宋体" w:eastAsia="宋体" w:cs="宋体"/>
          <w:sz w:val="24"/>
          <w:highlight w:val="none"/>
        </w:rPr>
        <w:t>副本内容不一致时，以正本为准。</w:t>
      </w:r>
    </w:p>
    <w:p w14:paraId="47164790">
      <w:pPr>
        <w:pStyle w:val="10"/>
        <w:spacing w:before="9"/>
        <w:rPr>
          <w:rFonts w:hint="eastAsia" w:ascii="宋体" w:hAnsi="宋体" w:eastAsia="宋体" w:cs="宋体"/>
          <w:sz w:val="23"/>
          <w:highlight w:val="none"/>
        </w:rPr>
      </w:pPr>
    </w:p>
    <w:p w14:paraId="1E477F28">
      <w:pPr>
        <w:pStyle w:val="10"/>
        <w:tabs>
          <w:tab w:val="left" w:pos="4663"/>
          <w:tab w:val="left" w:pos="5143"/>
        </w:tabs>
        <w:spacing w:line="264" w:lineRule="auto"/>
        <w:ind w:left="583" w:right="342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5EC5DE0D">
      <w:pPr>
        <w:pStyle w:val="10"/>
        <w:tabs>
          <w:tab w:val="left" w:pos="3623"/>
          <w:tab w:val="left" w:pos="4703"/>
          <w:tab w:val="left" w:pos="5603"/>
        </w:tabs>
        <w:spacing w:before="3"/>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080E73E">
      <w:pPr>
        <w:pStyle w:val="10"/>
        <w:rPr>
          <w:rFonts w:hint="eastAsia" w:ascii="宋体" w:hAnsi="宋体" w:eastAsia="宋体" w:cs="宋体"/>
          <w:sz w:val="29"/>
          <w:highlight w:val="none"/>
        </w:rPr>
      </w:pPr>
    </w:p>
    <w:p w14:paraId="521BAB3B">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69D18475">
      <w:pPr>
        <w:pStyle w:val="10"/>
        <w:tabs>
          <w:tab w:val="left" w:pos="3623"/>
          <w:tab w:val="left" w:pos="4703"/>
          <w:tab w:val="left" w:pos="5603"/>
        </w:tabs>
        <w:spacing w:line="306" w:lineRule="exact"/>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72B28199">
      <w:pPr>
        <w:pStyle w:val="10"/>
        <w:rPr>
          <w:rFonts w:hint="eastAsia" w:ascii="宋体" w:hAnsi="宋体" w:eastAsia="宋体" w:cs="宋体"/>
          <w:sz w:val="29"/>
          <w:highlight w:val="none"/>
        </w:rPr>
      </w:pPr>
    </w:p>
    <w:p w14:paraId="32F580A5">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379D52F5">
      <w:pPr>
        <w:pStyle w:val="10"/>
        <w:tabs>
          <w:tab w:val="left" w:pos="3623"/>
          <w:tab w:val="left" w:pos="4703"/>
          <w:tab w:val="left" w:pos="5603"/>
        </w:tabs>
        <w:spacing w:line="304" w:lineRule="exact"/>
        <w:ind w:left="2543"/>
        <w:rPr>
          <w:rFonts w:hint="eastAsia" w:ascii="宋体" w:hAnsi="宋体" w:eastAsia="宋体" w:cs="宋体"/>
          <w:highlight w:val="none"/>
        </w:rPr>
        <w:sectPr>
          <w:pgSz w:w="11910" w:h="16840"/>
          <w:pgMar w:top="1360" w:right="1120" w:bottom="1080" w:left="1260" w:header="882" w:footer="845"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B3BCD33">
      <w:pPr>
        <w:pStyle w:val="10"/>
        <w:rPr>
          <w:rFonts w:hint="eastAsia" w:ascii="宋体" w:hAnsi="宋体" w:eastAsia="宋体" w:cs="宋体"/>
          <w:sz w:val="20"/>
          <w:highlight w:val="none"/>
        </w:rPr>
      </w:pPr>
      <w:bookmarkStart w:id="85" w:name="_TOC_250024"/>
      <w:bookmarkEnd w:id="85"/>
    </w:p>
    <w:p w14:paraId="74B83E62">
      <w:pPr>
        <w:pStyle w:val="10"/>
        <w:spacing w:before="7"/>
        <w:rPr>
          <w:rFonts w:hint="eastAsia" w:ascii="宋体" w:hAnsi="宋体" w:eastAsia="宋体" w:cs="宋体"/>
          <w:sz w:val="18"/>
          <w:highlight w:val="none"/>
        </w:rPr>
      </w:pPr>
    </w:p>
    <w:p w14:paraId="4B1EC1B4">
      <w:pPr>
        <w:pStyle w:val="8"/>
        <w:tabs>
          <w:tab w:val="left" w:pos="1594"/>
        </w:tabs>
        <w:spacing w:before="50"/>
        <w:ind w:left="154"/>
        <w:rPr>
          <w:rFonts w:hint="eastAsia" w:ascii="宋体" w:hAnsi="宋体" w:eastAsia="宋体" w:cs="宋体"/>
          <w:b/>
          <w:bCs/>
          <w:sz w:val="30"/>
          <w:szCs w:val="30"/>
          <w:highlight w:val="none"/>
        </w:rPr>
      </w:pPr>
      <w:bookmarkStart w:id="86" w:name="第五章__工程量清单"/>
      <w:bookmarkEnd w:id="86"/>
      <w:r>
        <w:rPr>
          <w:rFonts w:hint="eastAsia" w:ascii="宋体" w:hAnsi="宋体" w:eastAsia="宋体" w:cs="宋体"/>
          <w:b/>
          <w:bCs/>
          <w:sz w:val="30"/>
          <w:szCs w:val="30"/>
          <w:highlight w:val="none"/>
        </w:rPr>
        <w:t>第三章</w:t>
      </w:r>
      <w:r>
        <w:rPr>
          <w:rFonts w:hint="eastAsia" w:ascii="宋体" w:hAnsi="宋体" w:eastAsia="宋体" w:cs="宋体"/>
          <w:b/>
          <w:bCs/>
          <w:sz w:val="30"/>
          <w:szCs w:val="30"/>
          <w:highlight w:val="none"/>
          <w:lang w:val="en-US"/>
        </w:rPr>
        <w:t xml:space="preserve">  </w:t>
      </w:r>
      <w:r>
        <w:rPr>
          <w:rFonts w:hint="eastAsia" w:ascii="宋体" w:hAnsi="宋体" w:eastAsia="宋体" w:cs="宋体"/>
          <w:b/>
          <w:bCs/>
          <w:sz w:val="30"/>
          <w:szCs w:val="30"/>
          <w:highlight w:val="none"/>
        </w:rPr>
        <w:t>工程量清单</w:t>
      </w:r>
    </w:p>
    <w:p w14:paraId="65BA14BB">
      <w:pPr>
        <w:pStyle w:val="10"/>
        <w:rPr>
          <w:rFonts w:hint="eastAsia" w:ascii="宋体" w:hAnsi="宋体" w:eastAsia="宋体" w:cs="宋体"/>
          <w:sz w:val="20"/>
          <w:highlight w:val="none"/>
        </w:rPr>
      </w:pPr>
    </w:p>
    <w:p w14:paraId="244C1ACA">
      <w:pPr>
        <w:pStyle w:val="10"/>
        <w:spacing w:before="11"/>
        <w:rPr>
          <w:rFonts w:hint="eastAsia" w:ascii="宋体" w:hAnsi="宋体" w:eastAsia="宋体" w:cs="宋体"/>
          <w:sz w:val="22"/>
          <w:highlight w:val="none"/>
        </w:rPr>
      </w:pPr>
    </w:p>
    <w:p w14:paraId="7B8291A0">
      <w:pPr>
        <w:pStyle w:val="26"/>
        <w:numPr>
          <w:ilvl w:val="0"/>
          <w:numId w:val="54"/>
        </w:numPr>
        <w:tabs>
          <w:tab w:val="left" w:pos="995"/>
        </w:tabs>
        <w:spacing w:before="74"/>
        <w:ind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工程量清单说明</w:t>
      </w:r>
    </w:p>
    <w:p w14:paraId="55C3B9DC">
      <w:pPr>
        <w:pStyle w:val="10"/>
        <w:spacing w:before="7"/>
        <w:rPr>
          <w:rFonts w:hint="eastAsia" w:ascii="宋体" w:hAnsi="宋体" w:eastAsia="宋体" w:cs="宋体"/>
          <w:sz w:val="20"/>
          <w:highlight w:val="none"/>
        </w:rPr>
      </w:pPr>
    </w:p>
    <w:p w14:paraId="577BF22C">
      <w:pPr>
        <w:pStyle w:val="26"/>
        <w:numPr>
          <w:ilvl w:val="1"/>
          <w:numId w:val="55"/>
        </w:numPr>
        <w:tabs>
          <w:tab w:val="left" w:pos="1114"/>
        </w:tabs>
        <w:spacing w:before="1" w:line="304" w:lineRule="auto"/>
        <w:ind w:right="251" w:firstLine="480"/>
        <w:rPr>
          <w:rFonts w:hint="eastAsia" w:ascii="宋体" w:hAnsi="宋体" w:eastAsia="宋体" w:cs="宋体"/>
          <w:sz w:val="24"/>
          <w:highlight w:val="none"/>
        </w:rPr>
      </w:pPr>
      <w:r>
        <w:rPr>
          <w:rFonts w:hint="eastAsia" w:ascii="宋体" w:hAnsi="宋体" w:eastAsia="宋体" w:cs="宋体"/>
          <w:spacing w:val="-1"/>
          <w:sz w:val="24"/>
          <w:highlight w:val="none"/>
        </w:rPr>
        <w:t>本工程量清单是根据磋商文件中包括的有合同约束力的工程量清单计量规则、</w:t>
      </w:r>
      <w:r>
        <w:rPr>
          <w:rFonts w:hint="eastAsia" w:ascii="宋体" w:hAnsi="宋体" w:eastAsia="宋体" w:cs="宋体"/>
          <w:sz w:val="24"/>
          <w:highlight w:val="none"/>
        </w:rPr>
        <w:t>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C71E63F">
      <w:pPr>
        <w:pStyle w:val="26"/>
        <w:numPr>
          <w:ilvl w:val="1"/>
          <w:numId w:val="55"/>
        </w:numPr>
        <w:tabs>
          <w:tab w:val="left" w:pos="1114"/>
        </w:tabs>
        <w:spacing w:before="5" w:line="304" w:lineRule="auto"/>
        <w:ind w:right="232" w:firstLine="480"/>
        <w:rPr>
          <w:rFonts w:hint="eastAsia" w:ascii="宋体" w:hAnsi="宋体" w:eastAsia="宋体" w:cs="宋体"/>
          <w:sz w:val="24"/>
          <w:highlight w:val="none"/>
        </w:rPr>
      </w:pPr>
      <w:r>
        <w:rPr>
          <w:rFonts w:hint="eastAsia" w:ascii="宋体" w:hAnsi="宋体" w:eastAsia="宋体" w:cs="宋体"/>
          <w:spacing w:val="-12"/>
          <w:sz w:val="24"/>
          <w:highlight w:val="none"/>
        </w:rPr>
        <w:t>本工程量清单应与磋商文件中的磋商须知、合同条款、工程量清单计量规则、</w:t>
      </w:r>
      <w:r>
        <w:rPr>
          <w:rFonts w:hint="eastAsia" w:ascii="宋体" w:hAnsi="宋体" w:eastAsia="宋体" w:cs="宋体"/>
          <w:sz w:val="24"/>
          <w:highlight w:val="none"/>
        </w:rPr>
        <w:t>技术规范及图纸等一起阅读和理解。</w:t>
      </w:r>
    </w:p>
    <w:p w14:paraId="1AE23D75">
      <w:pPr>
        <w:pStyle w:val="26"/>
        <w:numPr>
          <w:ilvl w:val="1"/>
          <w:numId w:val="55"/>
        </w:numPr>
        <w:tabs>
          <w:tab w:val="left" w:pos="1114"/>
        </w:tabs>
        <w:spacing w:before="3" w:line="304" w:lineRule="auto"/>
        <w:ind w:right="352" w:firstLine="480"/>
        <w:rPr>
          <w:rFonts w:hint="eastAsia" w:ascii="宋体" w:hAnsi="宋体" w:eastAsia="宋体" w:cs="宋体"/>
          <w:sz w:val="24"/>
          <w:highlight w:val="none"/>
        </w:rPr>
      </w:pPr>
      <w:r>
        <w:rPr>
          <w:rFonts w:hint="eastAsia" w:ascii="宋体" w:hAnsi="宋体" w:eastAsia="宋体" w:cs="宋体"/>
          <w:spacing w:val="-5"/>
          <w:sz w:val="24"/>
          <w:highlight w:val="none"/>
        </w:rPr>
        <w:t>本工程量清单中所列工程数量是估算的或设计的预计数量，仅作为投标报价的</w:t>
      </w:r>
      <w:r>
        <w:rPr>
          <w:rFonts w:hint="eastAsia" w:ascii="宋体" w:hAnsi="宋体" w:eastAsia="宋体" w:cs="宋体"/>
          <w:sz w:val="24"/>
          <w:highlight w:val="none"/>
        </w:rPr>
        <w:t>共同基础，不能作为最终结算与支付的依据。实际支付应按实际完成的工程量，由承包人按工程量清单计量规则规定的计量方法，以监理人认可的尺寸、断面计量，按本工程量清单的单价和总额价计算支付金额；或者根据具体情况，按合同条款的规定， 由监理人确定的单价或总额价计算支付额。</w:t>
      </w:r>
    </w:p>
    <w:p w14:paraId="6D885871">
      <w:pPr>
        <w:pStyle w:val="26"/>
        <w:numPr>
          <w:ilvl w:val="1"/>
          <w:numId w:val="55"/>
        </w:numPr>
        <w:tabs>
          <w:tab w:val="left" w:pos="1114"/>
        </w:tabs>
        <w:spacing w:before="6" w:line="307" w:lineRule="auto"/>
        <w:ind w:right="457" w:firstLine="480"/>
        <w:jc w:val="both"/>
        <w:rPr>
          <w:rFonts w:hint="eastAsia" w:ascii="宋体" w:hAnsi="宋体" w:eastAsia="宋体" w:cs="宋体"/>
          <w:sz w:val="24"/>
          <w:highlight w:val="none"/>
        </w:rPr>
      </w:pPr>
      <w:r>
        <w:rPr>
          <w:rFonts w:hint="eastAsia" w:ascii="宋体" w:hAnsi="宋体" w:eastAsia="宋体" w:cs="宋体"/>
          <w:sz w:val="24"/>
          <w:highlight w:val="none"/>
        </w:rPr>
        <w:t>工程量清单各章是与第六章“工程量清单计量规则”的章次编号相对应的，因此，工程量清单中各章的工程子目的范围与计量等应与“工程量清单计量规则”</w:t>
      </w:r>
      <w:r>
        <w:rPr>
          <w:rFonts w:hint="eastAsia" w:ascii="宋体" w:hAnsi="宋体" w:eastAsia="宋体" w:cs="宋体"/>
          <w:spacing w:val="-6"/>
          <w:sz w:val="24"/>
          <w:highlight w:val="none"/>
        </w:rPr>
        <w:t>相应章</w:t>
      </w:r>
      <w:r>
        <w:rPr>
          <w:rFonts w:hint="eastAsia" w:ascii="宋体" w:hAnsi="宋体" w:eastAsia="宋体" w:cs="宋体"/>
          <w:sz w:val="24"/>
          <w:highlight w:val="none"/>
        </w:rPr>
        <w:t>节的范围、计量与支付条款结合起来理解或解释。</w:t>
      </w:r>
    </w:p>
    <w:p w14:paraId="539963BC">
      <w:pPr>
        <w:pStyle w:val="26"/>
        <w:numPr>
          <w:ilvl w:val="1"/>
          <w:numId w:val="55"/>
        </w:numPr>
        <w:tabs>
          <w:tab w:val="left" w:pos="1114"/>
        </w:tabs>
        <w:spacing w:line="307"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对作业和材料的一般说明或规定，未重复写入工程量清单内，在给工程量清单</w:t>
      </w:r>
      <w:r>
        <w:rPr>
          <w:rFonts w:hint="eastAsia" w:ascii="宋体" w:hAnsi="宋体" w:eastAsia="宋体" w:cs="宋体"/>
          <w:sz w:val="24"/>
          <w:highlight w:val="none"/>
        </w:rPr>
        <w:t>各子目标价前，应参阅第五章“技术规范”的有关内容。</w:t>
      </w:r>
    </w:p>
    <w:p w14:paraId="15EEFC14">
      <w:pPr>
        <w:pStyle w:val="26"/>
        <w:numPr>
          <w:ilvl w:val="1"/>
          <w:numId w:val="55"/>
        </w:numPr>
        <w:tabs>
          <w:tab w:val="left" w:pos="1114"/>
        </w:tabs>
        <w:spacing w:line="304"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工程量清单中所列工程量的变动，丝毫不会降低或影响合同条款的效力，也不</w:t>
      </w:r>
      <w:r>
        <w:rPr>
          <w:rFonts w:hint="eastAsia" w:ascii="宋体" w:hAnsi="宋体" w:eastAsia="宋体" w:cs="宋体"/>
          <w:sz w:val="24"/>
          <w:highlight w:val="none"/>
        </w:rPr>
        <w:t>免除承包人按规定的标准进行施工和修复缺陷的责任。</w:t>
      </w:r>
    </w:p>
    <w:p w14:paraId="7953DFF6">
      <w:pPr>
        <w:pStyle w:val="26"/>
        <w:numPr>
          <w:ilvl w:val="1"/>
          <w:numId w:val="55"/>
        </w:numPr>
        <w:tabs>
          <w:tab w:val="left" w:pos="1114"/>
        </w:tabs>
        <w:spacing w:line="304" w:lineRule="auto"/>
        <w:ind w:right="232" w:firstLine="480"/>
        <w:jc w:val="both"/>
        <w:rPr>
          <w:rFonts w:hint="eastAsia" w:ascii="宋体" w:hAnsi="宋体" w:eastAsia="宋体" w:cs="宋体"/>
          <w:sz w:val="24"/>
          <w:highlight w:val="none"/>
        </w:rPr>
      </w:pPr>
      <w:r>
        <w:rPr>
          <w:rFonts w:hint="eastAsia" w:ascii="宋体" w:hAnsi="宋体" w:eastAsia="宋体" w:cs="宋体"/>
          <w:sz w:val="24"/>
          <w:highlight w:val="none"/>
        </w:rPr>
        <w:t>图纸中所列的工程数量表及数量汇总表仅是提供资料，不是工程量清单的外</w:t>
      </w:r>
      <w:r>
        <w:rPr>
          <w:rFonts w:hint="eastAsia" w:ascii="宋体" w:hAnsi="宋体" w:eastAsia="宋体" w:cs="宋体"/>
          <w:spacing w:val="-7"/>
          <w:sz w:val="24"/>
          <w:highlight w:val="none"/>
        </w:rPr>
        <w:t>延。当图纸与工程量清单所列数量不一致时，以工程量清单所列数量作为报价的依据。</w:t>
      </w:r>
    </w:p>
    <w:p w14:paraId="1CB99708">
      <w:pPr>
        <w:pStyle w:val="26"/>
        <w:numPr>
          <w:ilvl w:val="0"/>
          <w:numId w:val="54"/>
        </w:numPr>
        <w:tabs>
          <w:tab w:val="left" w:pos="875"/>
        </w:tabs>
        <w:spacing w:before="171"/>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投标报价说明</w:t>
      </w:r>
    </w:p>
    <w:p w14:paraId="2C994057">
      <w:pPr>
        <w:pStyle w:val="10"/>
        <w:spacing w:before="7"/>
        <w:rPr>
          <w:rFonts w:hint="eastAsia" w:ascii="宋体" w:hAnsi="宋体" w:eastAsia="宋体" w:cs="宋体"/>
          <w:sz w:val="20"/>
          <w:highlight w:val="none"/>
        </w:rPr>
      </w:pPr>
    </w:p>
    <w:p w14:paraId="5C4E2751">
      <w:pPr>
        <w:pStyle w:val="26"/>
        <w:numPr>
          <w:ilvl w:val="1"/>
          <w:numId w:val="54"/>
        </w:numPr>
        <w:tabs>
          <w:tab w:val="left" w:pos="1114"/>
        </w:tabs>
        <w:ind w:hanging="421"/>
        <w:rPr>
          <w:rFonts w:hint="eastAsia" w:ascii="宋体" w:hAnsi="宋体" w:eastAsia="宋体" w:cs="宋体"/>
          <w:sz w:val="24"/>
          <w:highlight w:val="none"/>
        </w:rPr>
      </w:pPr>
      <w:r>
        <w:rPr>
          <w:rFonts w:hint="eastAsia" w:ascii="宋体" w:hAnsi="宋体" w:eastAsia="宋体" w:cs="宋体"/>
          <w:sz w:val="24"/>
          <w:highlight w:val="none"/>
        </w:rPr>
        <w:t>工程量清单中的每一子目须填入单价或价格，且只允许有一个报价。</w:t>
      </w:r>
    </w:p>
    <w:p w14:paraId="4D846FE9">
      <w:pPr>
        <w:pStyle w:val="26"/>
        <w:numPr>
          <w:ilvl w:val="1"/>
          <w:numId w:val="54"/>
        </w:numPr>
        <w:tabs>
          <w:tab w:val="left" w:pos="1114"/>
        </w:tabs>
        <w:spacing w:before="84" w:line="304" w:lineRule="auto"/>
        <w:ind w:left="213" w:right="274" w:firstLine="480"/>
        <w:rPr>
          <w:rFonts w:hint="eastAsia" w:ascii="宋体" w:hAnsi="宋体" w:eastAsia="宋体" w:cs="宋体"/>
          <w:sz w:val="24"/>
          <w:highlight w:val="none"/>
        </w:rPr>
      </w:pPr>
      <w:r>
        <w:rPr>
          <w:rFonts w:hint="eastAsia" w:ascii="宋体" w:hAnsi="宋体" w:eastAsia="宋体" w:cs="宋体"/>
          <w:spacing w:val="-10"/>
          <w:sz w:val="24"/>
          <w:highlight w:val="none"/>
        </w:rPr>
        <w:t>除非合同另有规定，工程量清单中有标价的单价和总额价均已包括了为实施和完成合同工程所需的劳务、材料、机械、质检(自检)</w:t>
      </w:r>
      <w:r>
        <w:rPr>
          <w:rFonts w:hint="eastAsia" w:ascii="宋体" w:hAnsi="宋体" w:eastAsia="宋体" w:cs="宋体"/>
          <w:spacing w:val="-11"/>
          <w:sz w:val="24"/>
          <w:highlight w:val="none"/>
        </w:rPr>
        <w:t>、安装、缺陷修复、管理、保险、</w:t>
      </w:r>
      <w:r>
        <w:rPr>
          <w:rFonts w:hint="eastAsia" w:ascii="宋体" w:hAnsi="宋体" w:eastAsia="宋体" w:cs="宋体"/>
          <w:sz w:val="24"/>
          <w:highlight w:val="none"/>
        </w:rPr>
        <w:t>税费、利润等费用，以及合同明示或暗示的所有责任、义务和一般风险；还包括现场考察时对工程的理解与认识，以及材料采集供应、运输情况、地理环境、水文地质、工程地质、自然条件、社会情况等的影响与风险。</w:t>
      </w:r>
    </w:p>
    <w:p w14:paraId="3CE9F493">
      <w:pPr>
        <w:pStyle w:val="26"/>
        <w:numPr>
          <w:ilvl w:val="1"/>
          <w:numId w:val="54"/>
        </w:numPr>
        <w:tabs>
          <w:tab w:val="left" w:pos="1114"/>
        </w:tabs>
        <w:spacing w:before="8"/>
        <w:ind w:hanging="421"/>
        <w:rPr>
          <w:rFonts w:hint="eastAsia" w:ascii="宋体" w:hAnsi="宋体" w:eastAsia="宋体" w:cs="宋体"/>
          <w:sz w:val="24"/>
          <w:highlight w:val="none"/>
        </w:rPr>
      </w:pPr>
      <w:r>
        <w:rPr>
          <w:rFonts w:hint="eastAsia" w:ascii="宋体" w:hAnsi="宋体" w:eastAsia="宋体" w:cs="宋体"/>
          <w:sz w:val="24"/>
          <w:highlight w:val="none"/>
        </w:rPr>
        <w:t>所有保险及保险费，均隐含在其他工程报价中，不在报价中单列。</w:t>
      </w:r>
    </w:p>
    <w:p w14:paraId="7B7DB0FB">
      <w:pPr>
        <w:rPr>
          <w:rFonts w:hint="eastAsia" w:ascii="宋体" w:hAnsi="宋体" w:eastAsia="宋体" w:cs="宋体"/>
          <w:sz w:val="24"/>
          <w:highlight w:val="none"/>
        </w:rPr>
        <w:sectPr>
          <w:headerReference r:id="rId10" w:type="default"/>
          <w:pgSz w:w="11910" w:h="16840"/>
          <w:pgMar w:top="1360" w:right="1119" w:bottom="1040" w:left="1260" w:header="882" w:footer="845" w:gutter="0"/>
          <w:cols w:space="720" w:num="1"/>
        </w:sectPr>
      </w:pPr>
    </w:p>
    <w:p w14:paraId="50A6F69F">
      <w:pPr>
        <w:pStyle w:val="10"/>
        <w:spacing w:before="7"/>
        <w:rPr>
          <w:rFonts w:hint="eastAsia" w:ascii="宋体" w:hAnsi="宋体" w:eastAsia="宋体" w:cs="宋体"/>
          <w:sz w:val="8"/>
          <w:highlight w:val="none"/>
        </w:rPr>
      </w:pPr>
    </w:p>
    <w:p w14:paraId="31C24251">
      <w:pPr>
        <w:pStyle w:val="26"/>
        <w:numPr>
          <w:ilvl w:val="1"/>
          <w:numId w:val="54"/>
        </w:numPr>
        <w:tabs>
          <w:tab w:val="left" w:pos="1114"/>
        </w:tabs>
        <w:spacing w:before="76" w:line="304" w:lineRule="auto"/>
        <w:ind w:left="213" w:right="352" w:firstLine="480"/>
        <w:rPr>
          <w:rFonts w:hint="eastAsia" w:ascii="宋体" w:hAnsi="宋体" w:eastAsia="宋体" w:cs="宋体"/>
          <w:sz w:val="24"/>
          <w:highlight w:val="none"/>
        </w:rPr>
      </w:pPr>
      <w:r>
        <w:rPr>
          <w:rFonts w:hint="eastAsia" w:ascii="宋体" w:hAnsi="宋体" w:eastAsia="宋体" w:cs="宋体"/>
          <w:spacing w:val="-6"/>
          <w:sz w:val="24"/>
          <w:highlight w:val="none"/>
        </w:rPr>
        <w:t>工程量清单中投标供应商没有填入单价或价格的子目，其费用视为已分摊在工程量</w:t>
      </w:r>
      <w:r>
        <w:rPr>
          <w:rFonts w:hint="eastAsia" w:ascii="宋体" w:hAnsi="宋体" w:eastAsia="宋体" w:cs="宋体"/>
          <w:sz w:val="24"/>
          <w:highlight w:val="none"/>
        </w:rPr>
        <w:t>清单中其他相关子目的单价或价格之中。承包人必须按监理人指令完成工程量清单中未填入单价或价格的子目，但不能得到结算与支付。</w:t>
      </w:r>
    </w:p>
    <w:p w14:paraId="17431391">
      <w:pPr>
        <w:pStyle w:val="26"/>
        <w:numPr>
          <w:ilvl w:val="1"/>
          <w:numId w:val="54"/>
        </w:numPr>
        <w:tabs>
          <w:tab w:val="left" w:pos="1114"/>
        </w:tabs>
        <w:spacing w:line="297" w:lineRule="auto"/>
        <w:ind w:left="213" w:right="407"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工程量清单中本合同工程的每一个细目，凡有工程数量者，都应填入单价，投标供应商亦应按要求填入总额价。符合合同条款规定的全部费用应认为已被计入有标价的工程量清单所列各子目之中，未列子目不予计量的工作，其费用应视为已分摊在本合同工程的有</w:t>
      </w:r>
      <w:r>
        <w:rPr>
          <w:rFonts w:hint="eastAsia" w:ascii="宋体" w:hAnsi="宋体" w:eastAsia="宋体" w:cs="宋体"/>
          <w:spacing w:val="-12"/>
          <w:sz w:val="24"/>
          <w:highlight w:val="none"/>
        </w:rPr>
        <w:t>关子目的单价或总额价之中。</w:t>
      </w:r>
    </w:p>
    <w:p w14:paraId="3144DAAA">
      <w:pPr>
        <w:pStyle w:val="26"/>
        <w:numPr>
          <w:ilvl w:val="1"/>
          <w:numId w:val="54"/>
        </w:numPr>
        <w:tabs>
          <w:tab w:val="left" w:pos="1114"/>
        </w:tabs>
        <w:spacing w:line="297" w:lineRule="auto"/>
        <w:ind w:left="213" w:right="352"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承包人用于本合同工程的各类装备的提供、运输、维护、拆卸、拼装等支付的</w:t>
      </w:r>
      <w:r>
        <w:rPr>
          <w:rFonts w:hint="eastAsia" w:ascii="宋体" w:hAnsi="宋体" w:eastAsia="宋体" w:cs="宋体"/>
          <w:sz w:val="24"/>
          <w:highlight w:val="none"/>
        </w:rPr>
        <w:t>费用，已包括在工程量清单的单价与总额价之中。</w:t>
      </w:r>
    </w:p>
    <w:p w14:paraId="5183403A">
      <w:pPr>
        <w:pStyle w:val="26"/>
        <w:numPr>
          <w:ilvl w:val="1"/>
          <w:numId w:val="54"/>
        </w:numPr>
        <w:tabs>
          <w:tab w:val="left" w:pos="1114"/>
          <w:tab w:val="left" w:pos="7233"/>
        </w:tabs>
        <w:spacing w:line="297" w:lineRule="auto"/>
        <w:ind w:left="213" w:right="352" w:firstLine="480"/>
        <w:rPr>
          <w:rFonts w:hint="eastAsia" w:ascii="宋体" w:hAnsi="宋体" w:eastAsia="宋体" w:cs="宋体"/>
          <w:sz w:val="24"/>
          <w:highlight w:val="none"/>
        </w:rPr>
      </w:pPr>
      <w:r>
        <w:rPr>
          <w:rFonts w:hint="eastAsia" w:ascii="宋体" w:hAnsi="宋体" w:eastAsia="宋体" w:cs="宋体"/>
          <w:sz w:val="24"/>
          <w:highlight w:val="none"/>
        </w:rPr>
        <w:t>工程量清单中标明的暂列金额以</w:t>
      </w:r>
      <w:r>
        <w:rPr>
          <w:rFonts w:hint="eastAsia" w:ascii="宋体" w:hAnsi="宋体" w:eastAsia="宋体" w:cs="宋体"/>
          <w:spacing w:val="-61"/>
          <w:sz w:val="24"/>
          <w:highlight w:val="none"/>
        </w:rPr>
        <w:t xml:space="preserve"> </w:t>
      </w:r>
      <w:r>
        <w:rPr>
          <w:rFonts w:hint="eastAsia" w:ascii="宋体" w:hAnsi="宋体" w:eastAsia="宋体" w:cs="宋体"/>
          <w:sz w:val="24"/>
          <w:highlight w:val="none"/>
        </w:rPr>
        <w:t>100 章至</w:t>
      </w:r>
      <w:r>
        <w:rPr>
          <w:rFonts w:hint="eastAsia" w:ascii="宋体" w:hAnsi="宋体" w:eastAsia="宋体" w:cs="宋体"/>
          <w:spacing w:val="-60"/>
          <w:sz w:val="24"/>
          <w:highlight w:val="none"/>
        </w:rPr>
        <w:t xml:space="preserve"> </w:t>
      </w:r>
      <w:r>
        <w:rPr>
          <w:rFonts w:hint="eastAsia" w:ascii="宋体" w:hAnsi="宋体" w:eastAsia="宋体" w:cs="宋体"/>
          <w:sz w:val="24"/>
          <w:highlight w:val="none"/>
        </w:rPr>
        <w:t>700 章合计的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rPr>
        <w:t>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"_bookmark54" </w:instrText>
      </w:r>
      <w:r>
        <w:rPr>
          <w:rFonts w:hint="eastAsia" w:ascii="宋体" w:hAnsi="宋体" w:eastAsia="宋体" w:cs="宋体"/>
          <w:highlight w:val="none"/>
        </w:rPr>
        <w:fldChar w:fldCharType="separate"/>
      </w:r>
      <w:r>
        <w:rPr>
          <w:rFonts w:hint="eastAsia" w:ascii="宋体" w:hAnsi="宋体" w:eastAsia="宋体" w:cs="宋体"/>
          <w:position w:val="12"/>
          <w:sz w:val="12"/>
          <w:highlight w:val="none"/>
        </w:rPr>
        <w:t>①</w:t>
      </w:r>
      <w:r>
        <w:rPr>
          <w:rFonts w:hint="eastAsia" w:ascii="宋体" w:hAnsi="宋体" w:eastAsia="宋体" w:cs="宋体"/>
          <w:position w:val="12"/>
          <w:sz w:val="12"/>
          <w:highlight w:val="none"/>
        </w:rPr>
        <w:fldChar w:fldCharType="end"/>
      </w:r>
      <w:r>
        <w:rPr>
          <w:rFonts w:hint="eastAsia" w:ascii="宋体" w:hAnsi="宋体" w:eastAsia="宋体" w:cs="宋体"/>
          <w:sz w:val="24"/>
          <w:highlight w:val="none"/>
        </w:rPr>
        <w:t>计列</w:t>
      </w:r>
      <w:r>
        <w:rPr>
          <w:rFonts w:hint="eastAsia" w:ascii="宋体" w:hAnsi="宋体" w:eastAsia="宋体" w:cs="宋体"/>
          <w:spacing w:val="-60"/>
          <w:sz w:val="24"/>
          <w:highlight w:val="none"/>
        </w:rPr>
        <w:t>，</w:t>
      </w:r>
      <w:r>
        <w:rPr>
          <w:rFonts w:hint="eastAsia" w:ascii="宋体" w:hAnsi="宋体" w:eastAsia="宋体" w:cs="宋体"/>
          <w:sz w:val="24"/>
          <w:highlight w:val="none"/>
        </w:rPr>
        <w:t>用于工</w:t>
      </w:r>
      <w:r>
        <w:rPr>
          <w:rFonts w:hint="eastAsia" w:ascii="宋体" w:hAnsi="宋体" w:eastAsia="宋体" w:cs="宋体"/>
          <w:spacing w:val="-17"/>
          <w:sz w:val="24"/>
          <w:highlight w:val="none"/>
        </w:rPr>
        <w:t>程</w:t>
      </w:r>
      <w:r>
        <w:rPr>
          <w:rFonts w:hint="eastAsia" w:ascii="宋体" w:hAnsi="宋体" w:eastAsia="宋体" w:cs="宋体"/>
          <w:sz w:val="24"/>
          <w:highlight w:val="none"/>
        </w:rPr>
        <w:t>变更费，应由监理人按合同规定，结合工程具体情况，报经发包人批准后全部或部分的使用，或者不予动用。</w:t>
      </w:r>
    </w:p>
    <w:p w14:paraId="49B74440">
      <w:pPr>
        <w:pStyle w:val="26"/>
        <w:numPr>
          <w:ilvl w:val="1"/>
          <w:numId w:val="54"/>
        </w:numPr>
        <w:tabs>
          <w:tab w:val="left" w:pos="1114"/>
        </w:tabs>
        <w:spacing w:before="3"/>
        <w:ind w:hanging="421"/>
        <w:rPr>
          <w:rFonts w:hint="eastAsia" w:ascii="宋体" w:hAnsi="宋体" w:eastAsia="宋体" w:cs="宋体"/>
          <w:sz w:val="24"/>
          <w:highlight w:val="none"/>
        </w:rPr>
      </w:pPr>
      <w:r>
        <w:rPr>
          <w:rFonts w:hint="eastAsia" w:ascii="宋体" w:hAnsi="宋体" w:eastAsia="宋体" w:cs="宋体"/>
          <w:sz w:val="24"/>
          <w:highlight w:val="none"/>
        </w:rPr>
        <w:t>工程量清单中各项金额均以人民币（元） 结算。</w:t>
      </w:r>
    </w:p>
    <w:p w14:paraId="0080E7B1">
      <w:pPr>
        <w:pStyle w:val="10"/>
        <w:rPr>
          <w:rFonts w:hint="eastAsia" w:ascii="宋体" w:hAnsi="宋体" w:eastAsia="宋体" w:cs="宋体"/>
          <w:sz w:val="20"/>
          <w:highlight w:val="none"/>
        </w:rPr>
      </w:pPr>
    </w:p>
    <w:p w14:paraId="42E8DA58">
      <w:pPr>
        <w:pStyle w:val="10"/>
        <w:rPr>
          <w:rFonts w:hint="eastAsia" w:ascii="宋体" w:hAnsi="宋体" w:eastAsia="宋体" w:cs="宋体"/>
          <w:sz w:val="20"/>
          <w:highlight w:val="none"/>
        </w:rPr>
      </w:pPr>
    </w:p>
    <w:p w14:paraId="291FBB62">
      <w:pPr>
        <w:pStyle w:val="10"/>
        <w:rPr>
          <w:rFonts w:hint="eastAsia" w:ascii="宋体" w:hAnsi="宋体" w:eastAsia="宋体" w:cs="宋体"/>
          <w:sz w:val="20"/>
          <w:highlight w:val="none"/>
        </w:rPr>
      </w:pPr>
    </w:p>
    <w:p w14:paraId="005E0992">
      <w:pPr>
        <w:pStyle w:val="10"/>
        <w:rPr>
          <w:rFonts w:hint="eastAsia" w:ascii="宋体" w:hAnsi="宋体" w:eastAsia="宋体" w:cs="宋体"/>
          <w:sz w:val="20"/>
          <w:highlight w:val="none"/>
        </w:rPr>
      </w:pPr>
    </w:p>
    <w:p w14:paraId="006ECE2F">
      <w:pPr>
        <w:pStyle w:val="10"/>
        <w:rPr>
          <w:rFonts w:hint="eastAsia" w:ascii="宋体" w:hAnsi="宋体" w:eastAsia="宋体" w:cs="宋体"/>
          <w:sz w:val="20"/>
          <w:highlight w:val="none"/>
        </w:rPr>
      </w:pPr>
    </w:p>
    <w:p w14:paraId="0B0C72C6">
      <w:pPr>
        <w:pStyle w:val="10"/>
        <w:rPr>
          <w:rFonts w:hint="eastAsia" w:ascii="宋体" w:hAnsi="宋体" w:eastAsia="宋体" w:cs="宋体"/>
          <w:sz w:val="20"/>
          <w:highlight w:val="none"/>
        </w:rPr>
      </w:pPr>
    </w:p>
    <w:p w14:paraId="0CC75582">
      <w:pPr>
        <w:pStyle w:val="10"/>
        <w:rPr>
          <w:rFonts w:hint="eastAsia" w:ascii="宋体" w:hAnsi="宋体" w:eastAsia="宋体" w:cs="宋体"/>
          <w:sz w:val="20"/>
          <w:highlight w:val="none"/>
        </w:rPr>
      </w:pPr>
    </w:p>
    <w:p w14:paraId="663FF814">
      <w:pPr>
        <w:pStyle w:val="10"/>
        <w:rPr>
          <w:rFonts w:hint="eastAsia" w:ascii="宋体" w:hAnsi="宋体" w:eastAsia="宋体" w:cs="宋体"/>
          <w:sz w:val="20"/>
          <w:highlight w:val="none"/>
        </w:rPr>
      </w:pPr>
    </w:p>
    <w:p w14:paraId="569275B5">
      <w:pPr>
        <w:pStyle w:val="10"/>
        <w:rPr>
          <w:rFonts w:hint="eastAsia" w:ascii="宋体" w:hAnsi="宋体" w:eastAsia="宋体" w:cs="宋体"/>
          <w:sz w:val="20"/>
          <w:highlight w:val="none"/>
        </w:rPr>
      </w:pPr>
    </w:p>
    <w:p w14:paraId="623EAA1D">
      <w:pPr>
        <w:pStyle w:val="10"/>
        <w:rPr>
          <w:rFonts w:hint="eastAsia" w:ascii="宋体" w:hAnsi="宋体" w:eastAsia="宋体" w:cs="宋体"/>
          <w:sz w:val="20"/>
          <w:highlight w:val="none"/>
        </w:rPr>
      </w:pPr>
    </w:p>
    <w:p w14:paraId="043288D3">
      <w:pPr>
        <w:pStyle w:val="10"/>
        <w:rPr>
          <w:rFonts w:hint="eastAsia" w:ascii="宋体" w:hAnsi="宋体" w:eastAsia="宋体" w:cs="宋体"/>
          <w:sz w:val="20"/>
          <w:highlight w:val="none"/>
        </w:rPr>
      </w:pPr>
    </w:p>
    <w:p w14:paraId="69341D7B">
      <w:pPr>
        <w:pStyle w:val="10"/>
        <w:rPr>
          <w:rFonts w:hint="eastAsia" w:ascii="宋体" w:hAnsi="宋体" w:eastAsia="宋体" w:cs="宋体"/>
          <w:sz w:val="20"/>
          <w:highlight w:val="none"/>
        </w:rPr>
      </w:pPr>
    </w:p>
    <w:p w14:paraId="05F2CCC6">
      <w:pPr>
        <w:pStyle w:val="10"/>
        <w:rPr>
          <w:rFonts w:hint="eastAsia" w:ascii="宋体" w:hAnsi="宋体" w:eastAsia="宋体" w:cs="宋体"/>
          <w:sz w:val="20"/>
          <w:highlight w:val="none"/>
        </w:rPr>
      </w:pPr>
    </w:p>
    <w:p w14:paraId="1246100D">
      <w:pPr>
        <w:pStyle w:val="10"/>
        <w:rPr>
          <w:rFonts w:hint="eastAsia" w:ascii="宋体" w:hAnsi="宋体" w:eastAsia="宋体" w:cs="宋体"/>
          <w:sz w:val="20"/>
          <w:highlight w:val="none"/>
        </w:rPr>
      </w:pPr>
    </w:p>
    <w:p w14:paraId="40C0603A">
      <w:pPr>
        <w:pStyle w:val="10"/>
        <w:rPr>
          <w:rFonts w:hint="eastAsia" w:ascii="宋体" w:hAnsi="宋体" w:eastAsia="宋体" w:cs="宋体"/>
          <w:sz w:val="20"/>
          <w:highlight w:val="none"/>
        </w:rPr>
      </w:pPr>
    </w:p>
    <w:p w14:paraId="662C8B1A">
      <w:pPr>
        <w:pStyle w:val="10"/>
        <w:rPr>
          <w:rFonts w:hint="eastAsia" w:ascii="宋体" w:hAnsi="宋体" w:eastAsia="宋体" w:cs="宋体"/>
          <w:sz w:val="20"/>
          <w:highlight w:val="none"/>
        </w:rPr>
      </w:pPr>
    </w:p>
    <w:p w14:paraId="5E9049ED">
      <w:pPr>
        <w:pStyle w:val="10"/>
        <w:rPr>
          <w:rFonts w:hint="eastAsia" w:ascii="宋体" w:hAnsi="宋体" w:eastAsia="宋体" w:cs="宋体"/>
          <w:sz w:val="20"/>
          <w:highlight w:val="none"/>
        </w:rPr>
      </w:pPr>
    </w:p>
    <w:p w14:paraId="6F23C7CA">
      <w:pPr>
        <w:pStyle w:val="10"/>
        <w:rPr>
          <w:rFonts w:hint="eastAsia" w:ascii="宋体" w:hAnsi="宋体" w:eastAsia="宋体" w:cs="宋体"/>
          <w:sz w:val="20"/>
          <w:highlight w:val="none"/>
        </w:rPr>
      </w:pPr>
    </w:p>
    <w:p w14:paraId="0AAAE928">
      <w:pPr>
        <w:pStyle w:val="10"/>
        <w:rPr>
          <w:rFonts w:hint="eastAsia" w:ascii="宋体" w:hAnsi="宋体" w:eastAsia="宋体" w:cs="宋体"/>
          <w:sz w:val="20"/>
          <w:highlight w:val="none"/>
        </w:rPr>
      </w:pPr>
    </w:p>
    <w:p w14:paraId="3C92E9DD">
      <w:pPr>
        <w:pStyle w:val="10"/>
        <w:rPr>
          <w:rFonts w:hint="eastAsia" w:ascii="宋体" w:hAnsi="宋体" w:eastAsia="宋体" w:cs="宋体"/>
          <w:sz w:val="20"/>
          <w:highlight w:val="none"/>
        </w:rPr>
      </w:pPr>
    </w:p>
    <w:p w14:paraId="2A2E16F4">
      <w:pPr>
        <w:pStyle w:val="10"/>
        <w:rPr>
          <w:rFonts w:hint="eastAsia" w:ascii="宋体" w:hAnsi="宋体" w:eastAsia="宋体" w:cs="宋体"/>
          <w:sz w:val="20"/>
          <w:highlight w:val="none"/>
        </w:rPr>
      </w:pPr>
    </w:p>
    <w:p w14:paraId="3573793D">
      <w:pPr>
        <w:pStyle w:val="10"/>
        <w:rPr>
          <w:rFonts w:hint="eastAsia" w:ascii="宋体" w:hAnsi="宋体" w:eastAsia="宋体" w:cs="宋体"/>
          <w:sz w:val="20"/>
          <w:highlight w:val="none"/>
        </w:rPr>
      </w:pPr>
    </w:p>
    <w:p w14:paraId="3F3F2DC6">
      <w:pPr>
        <w:pStyle w:val="10"/>
        <w:rPr>
          <w:rFonts w:hint="eastAsia" w:ascii="宋体" w:hAnsi="宋体" w:eastAsia="宋体" w:cs="宋体"/>
          <w:sz w:val="20"/>
          <w:highlight w:val="none"/>
        </w:rPr>
      </w:pPr>
    </w:p>
    <w:p w14:paraId="27CD6874">
      <w:pPr>
        <w:pStyle w:val="10"/>
        <w:rPr>
          <w:rFonts w:hint="eastAsia" w:ascii="宋体" w:hAnsi="宋体" w:eastAsia="宋体" w:cs="宋体"/>
          <w:sz w:val="20"/>
          <w:highlight w:val="none"/>
        </w:rPr>
      </w:pPr>
    </w:p>
    <w:p w14:paraId="71CE8C0F">
      <w:pPr>
        <w:pStyle w:val="10"/>
        <w:rPr>
          <w:rFonts w:hint="eastAsia" w:ascii="宋体" w:hAnsi="宋体" w:eastAsia="宋体" w:cs="宋体"/>
          <w:sz w:val="20"/>
          <w:highlight w:val="none"/>
        </w:rPr>
      </w:pPr>
    </w:p>
    <w:p w14:paraId="2DDB6029">
      <w:pPr>
        <w:pStyle w:val="10"/>
        <w:rPr>
          <w:rFonts w:hint="eastAsia" w:ascii="宋体" w:hAnsi="宋体" w:eastAsia="宋体" w:cs="宋体"/>
          <w:sz w:val="20"/>
          <w:highlight w:val="none"/>
        </w:rPr>
      </w:pPr>
    </w:p>
    <w:p w14:paraId="18D777B8">
      <w:pPr>
        <w:pStyle w:val="10"/>
        <w:rPr>
          <w:rFonts w:hint="eastAsia" w:ascii="宋体" w:hAnsi="宋体" w:eastAsia="宋体" w:cs="宋体"/>
          <w:sz w:val="20"/>
          <w:highlight w:val="none"/>
        </w:rPr>
      </w:pPr>
    </w:p>
    <w:p w14:paraId="7675A30F">
      <w:pPr>
        <w:pStyle w:val="10"/>
        <w:rPr>
          <w:rFonts w:hint="eastAsia" w:ascii="宋体" w:hAnsi="宋体" w:eastAsia="宋体" w:cs="宋体"/>
          <w:sz w:val="20"/>
          <w:highlight w:val="none"/>
        </w:rPr>
      </w:pPr>
    </w:p>
    <w:p w14:paraId="6A7318E1">
      <w:pPr>
        <w:pStyle w:val="10"/>
        <w:rPr>
          <w:rFonts w:hint="eastAsia" w:ascii="宋体" w:hAnsi="宋体" w:eastAsia="宋体" w:cs="宋体"/>
          <w:sz w:val="20"/>
          <w:highlight w:val="none"/>
        </w:rPr>
      </w:pPr>
    </w:p>
    <w:p w14:paraId="309FF980">
      <w:pPr>
        <w:pStyle w:val="10"/>
        <w:rPr>
          <w:rFonts w:hint="eastAsia" w:ascii="宋体" w:hAnsi="宋体" w:eastAsia="宋体" w:cs="宋体"/>
          <w:sz w:val="20"/>
          <w:highlight w:val="none"/>
        </w:rPr>
      </w:pPr>
    </w:p>
    <w:p w14:paraId="62F8FF15">
      <w:pPr>
        <w:pStyle w:val="10"/>
        <w:rPr>
          <w:rFonts w:hint="eastAsia" w:ascii="宋体" w:hAnsi="宋体" w:eastAsia="宋体" w:cs="宋体"/>
          <w:sz w:val="20"/>
          <w:highlight w:val="none"/>
        </w:rPr>
      </w:pPr>
    </w:p>
    <w:p w14:paraId="0A279561">
      <w:pPr>
        <w:pStyle w:val="10"/>
        <w:rPr>
          <w:rFonts w:hint="eastAsia" w:ascii="宋体" w:hAnsi="宋体" w:eastAsia="宋体" w:cs="宋体"/>
          <w:sz w:val="20"/>
          <w:highlight w:val="none"/>
        </w:rPr>
      </w:pPr>
    </w:p>
    <w:p w14:paraId="2A93E96A">
      <w:pPr>
        <w:pStyle w:val="10"/>
        <w:rPr>
          <w:rFonts w:hint="eastAsia" w:ascii="宋体" w:hAnsi="宋体" w:eastAsia="宋体" w:cs="宋体"/>
          <w:sz w:val="20"/>
          <w:highlight w:val="none"/>
        </w:rPr>
      </w:pPr>
    </w:p>
    <w:p w14:paraId="29517D70">
      <w:pPr>
        <w:pStyle w:val="10"/>
        <w:spacing w:before="6"/>
        <w:rPr>
          <w:rFonts w:hint="eastAsia" w:ascii="宋体" w:hAnsi="宋体" w:eastAsia="宋体" w:cs="宋体"/>
          <w:sz w:val="11"/>
          <w:highlight w:val="none"/>
        </w:rPr>
      </w:pPr>
    </w:p>
    <w:p w14:paraId="643CEF79">
      <w:pPr>
        <w:pStyle w:val="10"/>
        <w:spacing w:before="12"/>
        <w:rPr>
          <w:rFonts w:hint="eastAsia" w:ascii="宋体" w:hAnsi="宋体" w:eastAsia="宋体" w:cs="宋体"/>
          <w:sz w:val="14"/>
          <w:highlight w:val="none"/>
        </w:rPr>
      </w:pPr>
    </w:p>
    <w:p w14:paraId="68140D0A">
      <w:pPr>
        <w:pStyle w:val="10"/>
        <w:spacing w:before="7"/>
        <w:rPr>
          <w:rFonts w:hint="eastAsia" w:ascii="宋体" w:hAnsi="宋体" w:eastAsia="宋体" w:cs="宋体"/>
          <w:sz w:val="8"/>
          <w:highlight w:val="none"/>
        </w:rPr>
      </w:pPr>
    </w:p>
    <w:p w14:paraId="55AACB46">
      <w:pPr>
        <w:pStyle w:val="10"/>
        <w:spacing w:before="7"/>
        <w:rPr>
          <w:rFonts w:hint="eastAsia" w:ascii="宋体" w:hAnsi="宋体" w:eastAsia="宋体" w:cs="宋体"/>
          <w:sz w:val="8"/>
          <w:highlight w:val="none"/>
        </w:rPr>
      </w:pPr>
    </w:p>
    <w:p w14:paraId="42BFA6DD">
      <w:pPr>
        <w:pStyle w:val="26"/>
        <w:numPr>
          <w:ilvl w:val="0"/>
          <w:numId w:val="54"/>
        </w:numPr>
        <w:tabs>
          <w:tab w:val="left" w:pos="875"/>
        </w:tabs>
        <w:spacing w:before="76"/>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w:t>
      </w:r>
    </w:p>
    <w:p w14:paraId="674221DC">
      <w:pPr>
        <w:pStyle w:val="26"/>
        <w:tabs>
          <w:tab w:val="left" w:pos="1114"/>
        </w:tabs>
        <w:spacing w:before="84"/>
        <w:ind w:left="692" w:firstLine="0"/>
        <w:rPr>
          <w:rFonts w:hint="eastAsia" w:ascii="宋体" w:hAnsi="宋体" w:eastAsia="宋体" w:cs="宋体"/>
          <w:sz w:val="24"/>
          <w:highlight w:val="none"/>
        </w:rPr>
      </w:pPr>
      <w:r>
        <w:rPr>
          <w:rFonts w:hint="eastAsia" w:ascii="宋体" w:hAnsi="宋体" w:eastAsia="宋体" w:cs="宋体"/>
          <w:sz w:val="24"/>
          <w:highlight w:val="none"/>
          <w:lang w:val="en-US"/>
        </w:rPr>
        <w:t xml:space="preserve">3.1 </w:t>
      </w:r>
      <w:r>
        <w:rPr>
          <w:rFonts w:hint="eastAsia" w:ascii="宋体" w:hAnsi="宋体" w:eastAsia="宋体" w:cs="宋体"/>
          <w:sz w:val="24"/>
          <w:highlight w:val="none"/>
        </w:rPr>
        <w:t>工程量清单表</w:t>
      </w:r>
    </w:p>
    <w:p w14:paraId="4D780EF2">
      <w:pPr>
        <w:pStyle w:val="26"/>
        <w:tabs>
          <w:tab w:val="left" w:pos="1114"/>
        </w:tabs>
        <w:spacing w:before="84"/>
        <w:ind w:left="692" w:firstLine="0"/>
        <w:rPr>
          <w:rFonts w:hint="eastAsia" w:ascii="宋体" w:hAnsi="宋体" w:eastAsia="宋体" w:cs="宋体"/>
          <w:b/>
          <w:bCs/>
          <w:sz w:val="24"/>
          <w:highlight w:val="none"/>
          <w:lang w:eastAsia="zh-CN"/>
        </w:rPr>
      </w:pPr>
      <w:r>
        <w:rPr>
          <w:rFonts w:hint="eastAsia" w:cs="宋体"/>
          <w:b/>
          <w:bCs/>
          <w:sz w:val="24"/>
          <w:highlight w:val="none"/>
          <w:lang w:eastAsia="zh-CN"/>
        </w:rPr>
        <w:t>详见附件</w:t>
      </w:r>
    </w:p>
    <w:p w14:paraId="33334C08">
      <w:pPr>
        <w:pStyle w:val="10"/>
        <w:rPr>
          <w:rFonts w:hint="eastAsia" w:ascii="宋体" w:hAnsi="宋体" w:eastAsia="宋体" w:cs="宋体"/>
          <w:sz w:val="20"/>
          <w:highlight w:val="none"/>
        </w:rPr>
      </w:pPr>
    </w:p>
    <w:p w14:paraId="0FFB0F71">
      <w:pPr>
        <w:pStyle w:val="22"/>
        <w:ind w:firstLine="360"/>
        <w:rPr>
          <w:rFonts w:hint="eastAsia" w:ascii="宋体" w:hAnsi="宋体" w:eastAsia="宋体" w:cs="宋体"/>
          <w:sz w:val="18"/>
          <w:highlight w:val="none"/>
        </w:rPr>
        <w:sectPr>
          <w:footerReference r:id="rId11" w:type="default"/>
          <w:pgSz w:w="11910" w:h="16840"/>
          <w:pgMar w:top="1360" w:right="1119" w:bottom="1040" w:left="1260" w:header="882" w:footer="845" w:gutter="0"/>
          <w:cols w:space="720" w:num="1"/>
        </w:sectPr>
      </w:pPr>
    </w:p>
    <w:p w14:paraId="74D29EF1">
      <w:pPr>
        <w:rPr>
          <w:rFonts w:hint="eastAsia" w:ascii="宋体" w:hAnsi="宋体" w:eastAsia="宋体" w:cs="宋体"/>
          <w:highlight w:val="none"/>
        </w:rPr>
      </w:pPr>
    </w:p>
    <w:p w14:paraId="69FBBEFF">
      <w:pPr>
        <w:pStyle w:val="10"/>
        <w:rPr>
          <w:rFonts w:hint="eastAsia" w:ascii="宋体" w:hAnsi="宋体" w:eastAsia="宋体" w:cs="宋体"/>
          <w:sz w:val="20"/>
          <w:highlight w:val="none"/>
        </w:rPr>
      </w:pPr>
    </w:p>
    <w:p w14:paraId="46DA0144">
      <w:pPr>
        <w:pStyle w:val="10"/>
        <w:rPr>
          <w:rFonts w:hint="eastAsia" w:ascii="宋体" w:hAnsi="宋体" w:eastAsia="宋体" w:cs="宋体"/>
          <w:sz w:val="20"/>
          <w:highlight w:val="none"/>
        </w:rPr>
      </w:pPr>
    </w:p>
    <w:p w14:paraId="1F4F9399">
      <w:pPr>
        <w:pStyle w:val="8"/>
        <w:tabs>
          <w:tab w:val="left" w:pos="1439"/>
          <w:tab w:val="left" w:pos="2159"/>
        </w:tabs>
        <w:ind w:right="43" w:firstLine="3000" w:firstLineChars="1000"/>
        <w:jc w:val="both"/>
        <w:rPr>
          <w:rFonts w:hint="eastAsia" w:ascii="宋体" w:hAnsi="宋体" w:eastAsia="宋体" w:cs="宋体"/>
          <w:sz w:val="30"/>
          <w:szCs w:val="30"/>
          <w:highlight w:val="none"/>
        </w:rPr>
      </w:pPr>
    </w:p>
    <w:p w14:paraId="5CBFE016">
      <w:pPr>
        <w:pStyle w:val="8"/>
        <w:numPr>
          <w:ilvl w:val="0"/>
          <w:numId w:val="3"/>
        </w:numPr>
        <w:tabs>
          <w:tab w:val="left" w:pos="1439"/>
          <w:tab w:val="left" w:pos="2159"/>
        </w:tabs>
        <w:ind w:left="111" w:leftChars="0" w:right="43" w:firstLine="480" w:firstLineChars="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图</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t>纸（另册）</w:t>
      </w:r>
    </w:p>
    <w:p w14:paraId="6CF0D26F">
      <w:pPr>
        <w:widowControl w:val="0"/>
        <w:numPr>
          <w:ilvl w:val="0"/>
          <w:numId w:val="0"/>
        </w:numPr>
        <w:autoSpaceDE w:val="0"/>
        <w:autoSpaceDN w:val="0"/>
        <w:rPr>
          <w:rFonts w:hint="eastAsia"/>
        </w:rPr>
      </w:pPr>
    </w:p>
    <w:p w14:paraId="5F3DD30F">
      <w:pPr>
        <w:pStyle w:val="22"/>
        <w:rPr>
          <w:rFonts w:hint="eastAsia" w:eastAsia="宋体"/>
          <w:b/>
          <w:bCs/>
          <w:lang w:eastAsia="zh-CN"/>
        </w:rPr>
        <w:sectPr>
          <w:headerReference r:id="rId12" w:type="default"/>
          <w:footerReference r:id="rId13" w:type="default"/>
          <w:pgSz w:w="11910" w:h="16840"/>
          <w:pgMar w:top="1440" w:right="1079" w:bottom="1040" w:left="1420" w:header="882" w:footer="845" w:gutter="0"/>
          <w:cols w:space="720" w:num="1"/>
        </w:sectPr>
      </w:pPr>
      <w:r>
        <w:rPr>
          <w:rFonts w:hint="eastAsia"/>
          <w:b/>
          <w:bCs/>
          <w:lang w:eastAsia="zh-CN"/>
        </w:rPr>
        <w:t>详见附件</w:t>
      </w:r>
    </w:p>
    <w:p w14:paraId="120F44C0">
      <w:pPr>
        <w:tabs>
          <w:tab w:val="left" w:pos="1442"/>
        </w:tabs>
        <w:spacing w:before="50"/>
        <w:ind w:right="338" w:firstLine="3614" w:firstLineChars="1200"/>
        <w:jc w:val="both"/>
        <w:rPr>
          <w:rFonts w:hint="eastAsia" w:ascii="宋体" w:hAnsi="宋体" w:eastAsia="宋体" w:cs="宋体"/>
          <w:sz w:val="30"/>
          <w:szCs w:val="30"/>
          <w:highlight w:val="none"/>
        </w:rPr>
      </w:pPr>
      <w:bookmarkStart w:id="87" w:name="_TOC_250023"/>
      <w:bookmarkEnd w:id="87"/>
      <w:r>
        <w:rPr>
          <w:rFonts w:hint="eastAsia" w:ascii="宋体" w:hAnsi="宋体" w:eastAsia="宋体" w:cs="宋体"/>
          <w:b/>
          <w:sz w:val="30"/>
          <w:szCs w:val="30"/>
          <w:highlight w:val="none"/>
        </w:rPr>
        <w:t>第五章</w:t>
      </w:r>
      <w:r>
        <w:rPr>
          <w:rFonts w:hint="eastAsia" w:ascii="宋体" w:hAnsi="宋体" w:eastAsia="宋体" w:cs="宋体"/>
          <w:b/>
          <w:sz w:val="30"/>
          <w:szCs w:val="30"/>
          <w:highlight w:val="none"/>
          <w:lang w:val="en-US"/>
        </w:rPr>
        <w:t xml:space="preserve">  </w:t>
      </w:r>
      <w:r>
        <w:rPr>
          <w:rFonts w:hint="eastAsia" w:ascii="宋体" w:hAnsi="宋体" w:eastAsia="宋体" w:cs="宋体"/>
          <w:b/>
          <w:sz w:val="30"/>
          <w:szCs w:val="30"/>
          <w:highlight w:val="none"/>
        </w:rPr>
        <w:t>技术规范</w:t>
      </w:r>
    </w:p>
    <w:p w14:paraId="43F4CB15">
      <w:pPr>
        <w:pStyle w:val="10"/>
        <w:spacing w:before="313"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一、交通运输部行业标准</w:t>
      </w:r>
    </w:p>
    <w:p w14:paraId="28D663F6">
      <w:pPr>
        <w:pStyle w:val="26"/>
        <w:numPr>
          <w:ilvl w:val="1"/>
          <w:numId w:val="56"/>
        </w:numPr>
        <w:tabs>
          <w:tab w:val="left" w:pos="1041"/>
        </w:tabs>
        <w:spacing w:line="300" w:lineRule="exact"/>
        <w:rPr>
          <w:rFonts w:hint="eastAsia" w:ascii="宋体" w:hAnsi="宋体" w:eastAsia="宋体" w:cs="宋体"/>
          <w:sz w:val="24"/>
          <w:highlight w:val="none"/>
        </w:rPr>
      </w:pPr>
      <w:r>
        <w:rPr>
          <w:rFonts w:hint="eastAsia" w:ascii="宋体" w:hAnsi="宋体" w:eastAsia="宋体" w:cs="宋体"/>
          <w:sz w:val="24"/>
          <w:highlight w:val="none"/>
        </w:rPr>
        <w:t>《公路工程技术标准》（JTG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B01-2014）</w:t>
      </w:r>
    </w:p>
    <w:p w14:paraId="74245F90">
      <w:pPr>
        <w:pStyle w:val="26"/>
        <w:numPr>
          <w:ilvl w:val="1"/>
          <w:numId w:val="56"/>
        </w:numPr>
        <w:tabs>
          <w:tab w:val="left" w:pos="1041"/>
          <w:tab w:val="left" w:pos="5369"/>
        </w:tabs>
        <w:spacing w:before="84" w:line="300" w:lineRule="exact"/>
        <w:rPr>
          <w:rFonts w:hint="eastAsia" w:ascii="宋体" w:hAnsi="宋体" w:eastAsia="宋体" w:cs="宋体"/>
          <w:sz w:val="24"/>
          <w:highlight w:val="none"/>
        </w:rPr>
      </w:pPr>
      <w:r>
        <w:rPr>
          <w:rFonts w:hint="eastAsia" w:ascii="宋体" w:hAnsi="宋体" w:eastAsia="宋体" w:cs="宋体"/>
          <w:spacing w:val="-3"/>
          <w:sz w:val="24"/>
          <w:highlight w:val="none"/>
        </w:rPr>
        <w:t>《</w:t>
      </w:r>
      <w:r>
        <w:rPr>
          <w:rFonts w:hint="eastAsia" w:ascii="宋体" w:hAnsi="宋体" w:eastAsia="宋体" w:cs="宋体"/>
          <w:sz w:val="24"/>
          <w:highlight w:val="none"/>
        </w:rPr>
        <w:t>公路工程质量检验评定标准》</w:t>
      </w:r>
      <w:r>
        <w:rPr>
          <w:rFonts w:hint="eastAsia" w:ascii="宋体" w:hAnsi="宋体" w:eastAsia="宋体" w:cs="宋体"/>
          <w:spacing w:val="-36"/>
          <w:sz w:val="24"/>
          <w:highlight w:val="none"/>
        </w:rPr>
        <w:t xml:space="preserve"> </w:t>
      </w:r>
      <w:r>
        <w:rPr>
          <w:rFonts w:hint="eastAsia" w:ascii="宋体" w:hAnsi="宋体" w:eastAsia="宋体" w:cs="宋体"/>
          <w:sz w:val="24"/>
          <w:highlight w:val="none"/>
        </w:rPr>
        <w:t>第一册</w:t>
      </w:r>
      <w:r>
        <w:rPr>
          <w:rFonts w:hint="eastAsia" w:ascii="宋体" w:hAnsi="宋体" w:eastAsia="宋体" w:cs="宋体"/>
          <w:sz w:val="24"/>
          <w:highlight w:val="none"/>
        </w:rPr>
        <w:tab/>
      </w:r>
      <w:r>
        <w:rPr>
          <w:rFonts w:hint="eastAsia" w:ascii="宋体" w:hAnsi="宋体" w:eastAsia="宋体" w:cs="宋体"/>
          <w:spacing w:val="-3"/>
          <w:sz w:val="24"/>
          <w:highlight w:val="none"/>
        </w:rPr>
        <w:t>（</w:t>
      </w:r>
      <w:r>
        <w:rPr>
          <w:rFonts w:hint="eastAsia" w:ascii="宋体" w:hAnsi="宋体" w:eastAsia="宋体" w:cs="宋体"/>
          <w:sz w:val="24"/>
          <w:highlight w:val="none"/>
        </w:rPr>
        <w:t>土建工程</w:t>
      </w:r>
      <w:r>
        <w:rPr>
          <w:rFonts w:hint="eastAsia" w:ascii="宋体" w:hAnsi="宋体" w:eastAsia="宋体" w:cs="宋体"/>
          <w:spacing w:val="-16"/>
          <w:sz w:val="24"/>
          <w:highlight w:val="none"/>
        </w:rPr>
        <w:t>）（JTG</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F80/1-2017）</w:t>
      </w:r>
    </w:p>
    <w:p w14:paraId="729B0C6F">
      <w:pPr>
        <w:pStyle w:val="26"/>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《公路沥青路面施工技术规范》（JTG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F40-2004）</w:t>
      </w:r>
    </w:p>
    <w:p w14:paraId="7B565E7C">
      <w:pPr>
        <w:pStyle w:val="26"/>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《公路路基施工技术规范》（JTG/T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3610-2019）</w:t>
      </w:r>
    </w:p>
    <w:p w14:paraId="09794611">
      <w:pPr>
        <w:pStyle w:val="26"/>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《公路土工合成材料应用技术规范》（JTG/T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D32-2012）</w:t>
      </w:r>
    </w:p>
    <w:p w14:paraId="4B4ABCB5">
      <w:pPr>
        <w:pStyle w:val="26"/>
        <w:numPr>
          <w:ilvl w:val="1"/>
          <w:numId w:val="56"/>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《公路路面基层施工技术细则》（JTG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F20-2015）</w:t>
      </w:r>
    </w:p>
    <w:p w14:paraId="561925D9">
      <w:pPr>
        <w:pStyle w:val="26"/>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《公路桥涵施工技术规范》（JTG/T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F50-2011）</w:t>
      </w:r>
    </w:p>
    <w:p w14:paraId="3E4534B4">
      <w:pPr>
        <w:pStyle w:val="26"/>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《公路土工试验规程》（JTG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E40-2007）</w:t>
      </w:r>
    </w:p>
    <w:p w14:paraId="21A609B4">
      <w:pPr>
        <w:pStyle w:val="26"/>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《公路工程沥青及沥青混合料试验规程》（JTG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E20-2011）</w:t>
      </w:r>
    </w:p>
    <w:p w14:paraId="2A872514">
      <w:pPr>
        <w:pStyle w:val="26"/>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《公路工程水泥混凝土试验规程》（JTGE30-2005）</w:t>
      </w:r>
    </w:p>
    <w:p w14:paraId="772388A6">
      <w:pPr>
        <w:pStyle w:val="26"/>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《公路工程岩石试验规程》（JTG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E41-2005）</w:t>
      </w:r>
    </w:p>
    <w:p w14:paraId="3FD075F0">
      <w:pPr>
        <w:pStyle w:val="26"/>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《公路工程无机结合料稳定材料试验规程》（JTG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02DFFA7A">
      <w:pPr>
        <w:pStyle w:val="26"/>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《公路工程集料试验规程》（JTG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E42-2005）</w:t>
      </w:r>
    </w:p>
    <w:p w14:paraId="53D9E772">
      <w:pPr>
        <w:pStyle w:val="26"/>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《公路路基路面现场测试规程》（JTG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3450-2019）</w:t>
      </w:r>
    </w:p>
    <w:p w14:paraId="2B030A3E">
      <w:pPr>
        <w:pStyle w:val="26"/>
        <w:numPr>
          <w:ilvl w:val="1"/>
          <w:numId w:val="56"/>
        </w:numPr>
        <w:tabs>
          <w:tab w:val="left" w:pos="1161"/>
        </w:tabs>
        <w:spacing w:before="86"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《公路土工合成材料试验规程》（JTG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E50-2006）</w:t>
      </w:r>
    </w:p>
    <w:p w14:paraId="13F92EAC">
      <w:pPr>
        <w:pStyle w:val="26"/>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《公路交通安全设施施工技术规范》（JTG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F71-2006）</w:t>
      </w:r>
    </w:p>
    <w:p w14:paraId="6E16EC79">
      <w:pPr>
        <w:pStyle w:val="26"/>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《公路工程施工监理规范》（JTG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G10-2016）</w:t>
      </w:r>
    </w:p>
    <w:p w14:paraId="1CE10F95">
      <w:pPr>
        <w:pStyle w:val="26"/>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《小交通量农村公路工程技术标准》（JTG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2111-2019）</w:t>
      </w:r>
    </w:p>
    <w:p w14:paraId="429A421F">
      <w:pPr>
        <w:pStyle w:val="26"/>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《公路工程无结合机料稳定材料试验规程》（JTG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20E44995">
      <w:pPr>
        <w:pStyle w:val="26"/>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《公路水泥混凝土路面施工技术细则》（JTG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F30-2014）</w:t>
      </w:r>
    </w:p>
    <w:p w14:paraId="413FA26D">
      <w:pPr>
        <w:pStyle w:val="26"/>
        <w:numPr>
          <w:ilvl w:val="1"/>
          <w:numId w:val="56"/>
        </w:numPr>
        <w:tabs>
          <w:tab w:val="left" w:pos="1161"/>
        </w:tabs>
        <w:spacing w:before="86" w:line="300" w:lineRule="exact"/>
        <w:ind w:left="579" w:right="2998" w:firstLine="280"/>
        <w:rPr>
          <w:rFonts w:hint="eastAsia" w:ascii="宋体" w:hAnsi="宋体" w:eastAsia="宋体" w:cs="宋体"/>
          <w:sz w:val="24"/>
          <w:highlight w:val="none"/>
        </w:rPr>
      </w:pPr>
      <w:r>
        <w:rPr>
          <w:rFonts w:hint="eastAsia" w:ascii="宋体" w:hAnsi="宋体" w:eastAsia="宋体" w:cs="宋体"/>
          <w:sz w:val="24"/>
          <w:highlight w:val="none"/>
        </w:rPr>
        <w:t>《公路工程施工安全技术规范》（JTG</w:t>
      </w:r>
      <w:r>
        <w:rPr>
          <w:rFonts w:hint="eastAsia" w:ascii="宋体" w:hAnsi="宋体" w:eastAsia="宋体" w:cs="宋体"/>
          <w:spacing w:val="7"/>
          <w:sz w:val="24"/>
          <w:highlight w:val="none"/>
        </w:rPr>
        <w:t xml:space="preserve"> </w:t>
      </w:r>
      <w:r>
        <w:rPr>
          <w:rFonts w:hint="eastAsia" w:ascii="宋体" w:hAnsi="宋体" w:eastAsia="宋体" w:cs="宋体"/>
          <w:spacing w:val="-3"/>
          <w:sz w:val="24"/>
          <w:highlight w:val="none"/>
        </w:rPr>
        <w:t xml:space="preserve">F902015） </w:t>
      </w:r>
    </w:p>
    <w:p w14:paraId="2E801896">
      <w:pPr>
        <w:pStyle w:val="26"/>
        <w:tabs>
          <w:tab w:val="left" w:pos="1161"/>
        </w:tabs>
        <w:spacing w:before="86" w:line="300" w:lineRule="exact"/>
        <w:ind w:left="0" w:right="2998" w:firstLineChars="200"/>
        <w:rPr>
          <w:rFonts w:hint="eastAsia" w:ascii="宋体" w:hAnsi="宋体" w:eastAsia="宋体" w:cs="宋体"/>
          <w:sz w:val="24"/>
          <w:highlight w:val="none"/>
        </w:rPr>
      </w:pPr>
      <w:r>
        <w:rPr>
          <w:rFonts w:hint="eastAsia" w:ascii="宋体" w:hAnsi="宋体" w:eastAsia="宋体" w:cs="宋体"/>
          <w:sz w:val="24"/>
          <w:highlight w:val="none"/>
        </w:rPr>
        <w:t>二、相关国标</w:t>
      </w:r>
    </w:p>
    <w:p w14:paraId="6D885B7E">
      <w:pPr>
        <w:pStyle w:val="26"/>
        <w:numPr>
          <w:ilvl w:val="0"/>
          <w:numId w:val="57"/>
        </w:numPr>
        <w:tabs>
          <w:tab w:val="left" w:pos="1041"/>
        </w:tabs>
        <w:spacing w:before="5"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1 部分：热轧光圆钢筋》（GB/T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1499.1-2017）</w:t>
      </w:r>
    </w:p>
    <w:p w14:paraId="62C02998">
      <w:pPr>
        <w:pStyle w:val="26"/>
        <w:numPr>
          <w:ilvl w:val="0"/>
          <w:numId w:val="57"/>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2 部分：热轧带肋钢筋》（GB/T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1499.2-2018）</w:t>
      </w:r>
    </w:p>
    <w:p w14:paraId="61B9B527">
      <w:pPr>
        <w:pStyle w:val="26"/>
        <w:numPr>
          <w:ilvl w:val="0"/>
          <w:numId w:val="57"/>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《道路工程制图标准》（GB50162-92）</w:t>
      </w:r>
    </w:p>
    <w:p w14:paraId="37FF4BA1">
      <w:pPr>
        <w:pStyle w:val="26"/>
        <w:numPr>
          <w:ilvl w:val="0"/>
          <w:numId w:val="57"/>
        </w:numPr>
        <w:tabs>
          <w:tab w:val="left" w:pos="1041"/>
        </w:tabs>
        <w:spacing w:before="83" w:line="300" w:lineRule="exact"/>
        <w:ind w:left="579" w:right="4479" w:firstLine="280"/>
        <w:rPr>
          <w:rFonts w:hint="eastAsia" w:ascii="宋体" w:hAnsi="宋体" w:eastAsia="宋体" w:cs="宋体"/>
          <w:sz w:val="24"/>
          <w:highlight w:val="none"/>
        </w:rPr>
      </w:pPr>
      <w:r>
        <w:rPr>
          <w:rFonts w:hint="eastAsia" w:ascii="宋体" w:hAnsi="宋体" w:eastAsia="宋体" w:cs="宋体"/>
          <w:sz w:val="24"/>
          <w:highlight w:val="none"/>
        </w:rPr>
        <w:t>《普通螺纹公差》(GB/T</w:t>
      </w:r>
      <w:r>
        <w:rPr>
          <w:rFonts w:hint="eastAsia" w:ascii="宋体" w:hAnsi="宋体" w:eastAsia="宋体" w:cs="宋体"/>
          <w:spacing w:val="2"/>
          <w:sz w:val="24"/>
          <w:highlight w:val="none"/>
        </w:rPr>
        <w:t xml:space="preserve"> </w:t>
      </w:r>
      <w:r>
        <w:rPr>
          <w:rFonts w:hint="eastAsia" w:ascii="宋体" w:hAnsi="宋体" w:eastAsia="宋体" w:cs="宋体"/>
          <w:spacing w:val="-3"/>
          <w:sz w:val="24"/>
          <w:highlight w:val="none"/>
        </w:rPr>
        <w:t>197</w:t>
      </w:r>
      <w:r>
        <w:rPr>
          <w:rFonts w:hint="eastAsia" w:ascii="宋体" w:hAnsi="宋体" w:eastAsia="宋体" w:cs="宋体"/>
          <w:spacing w:val="-3"/>
          <w:sz w:val="24"/>
          <w:highlight w:val="none"/>
          <w:lang w:val="en-US"/>
        </w:rPr>
        <w:t>-</w:t>
      </w:r>
      <w:r>
        <w:rPr>
          <w:rFonts w:hint="eastAsia" w:ascii="宋体" w:hAnsi="宋体" w:eastAsia="宋体" w:cs="宋体"/>
          <w:spacing w:val="-3"/>
          <w:sz w:val="24"/>
          <w:highlight w:val="none"/>
        </w:rPr>
        <w:t>2018）</w:t>
      </w:r>
    </w:p>
    <w:p w14:paraId="59A4A75B">
      <w:pPr>
        <w:pStyle w:val="26"/>
        <w:tabs>
          <w:tab w:val="left" w:pos="1041"/>
        </w:tabs>
        <w:spacing w:before="83" w:line="300" w:lineRule="exact"/>
        <w:ind w:left="0" w:right="4479" w:firstLine="468" w:firstLineChars="200"/>
        <w:rPr>
          <w:rFonts w:hint="eastAsia" w:ascii="宋体" w:hAnsi="宋体" w:eastAsia="宋体" w:cs="宋体"/>
          <w:sz w:val="24"/>
          <w:highlight w:val="none"/>
        </w:rPr>
      </w:pP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三、相关地方行业标准规范、</w:t>
      </w:r>
      <w:r>
        <w:rPr>
          <w:rFonts w:hint="eastAsia" w:ascii="宋体" w:hAnsi="宋体" w:eastAsia="宋体" w:cs="宋体"/>
          <w:sz w:val="24"/>
          <w:highlight w:val="none"/>
          <w:lang w:val="en-US"/>
        </w:rPr>
        <w:t>规</w:t>
      </w:r>
      <w:r>
        <w:rPr>
          <w:rFonts w:hint="eastAsia" w:ascii="宋体" w:hAnsi="宋体" w:eastAsia="宋体" w:cs="宋体"/>
          <w:sz w:val="24"/>
          <w:highlight w:val="none"/>
        </w:rPr>
        <w:t>定</w:t>
      </w:r>
    </w:p>
    <w:p w14:paraId="1AC8BBD9">
      <w:pPr>
        <w:pStyle w:val="26"/>
        <w:numPr>
          <w:ilvl w:val="0"/>
          <w:numId w:val="58"/>
        </w:numPr>
        <w:tabs>
          <w:tab w:val="left" w:pos="1041"/>
        </w:tabs>
        <w:spacing w:before="7" w:line="300" w:lineRule="exact"/>
        <w:rPr>
          <w:rFonts w:hint="eastAsia" w:ascii="宋体" w:hAnsi="宋体" w:eastAsia="宋体" w:cs="宋体"/>
          <w:sz w:val="24"/>
          <w:highlight w:val="none"/>
        </w:rPr>
      </w:pPr>
      <w:r>
        <w:rPr>
          <w:rFonts w:hint="eastAsia" w:ascii="宋体" w:hAnsi="宋体" w:eastAsia="宋体" w:cs="宋体"/>
          <w:sz w:val="24"/>
          <w:highlight w:val="none"/>
        </w:rPr>
        <w:t>《交通建设项目竣工档案编制办法》（新交办〔2009〕83 号）</w:t>
      </w:r>
    </w:p>
    <w:p w14:paraId="10E4D7B5">
      <w:pPr>
        <w:pStyle w:val="26"/>
        <w:numPr>
          <w:ilvl w:val="0"/>
          <w:numId w:val="58"/>
        </w:numPr>
        <w:tabs>
          <w:tab w:val="left" w:pos="1041"/>
        </w:tabs>
        <w:spacing w:before="64" w:line="300" w:lineRule="exact"/>
        <w:jc w:val="both"/>
        <w:rPr>
          <w:rFonts w:hint="eastAsia" w:ascii="宋体" w:hAnsi="宋体" w:eastAsia="宋体" w:cs="宋体"/>
          <w:sz w:val="24"/>
          <w:highlight w:val="none"/>
        </w:rPr>
      </w:pPr>
      <w:r>
        <w:rPr>
          <w:rFonts w:hint="eastAsia" w:ascii="宋体" w:hAnsi="宋体" w:eastAsia="宋体" w:cs="宋体"/>
          <w:sz w:val="24"/>
          <w:highlight w:val="none"/>
        </w:rPr>
        <w:t>新疆盐渍土地区公路路基路面设计与施工规范（XJT</w:t>
      </w: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J01-2001）</w:t>
      </w:r>
    </w:p>
    <w:p w14:paraId="55CE87D2">
      <w:pPr>
        <w:pStyle w:val="10"/>
        <w:spacing w:before="124" w:line="300" w:lineRule="exact"/>
        <w:ind w:left="380" w:right="718" w:firstLine="199"/>
        <w:jc w:val="both"/>
        <w:rPr>
          <w:rFonts w:hint="eastAsia" w:ascii="宋体" w:hAnsi="宋体" w:eastAsia="宋体" w:cs="宋体"/>
          <w:highlight w:val="none"/>
        </w:rPr>
      </w:pPr>
      <w:bookmarkStart w:id="88" w:name="注：技术规范包括但不限于上述标准、规范。在投标文件递交截止时间前与本工程相关的标"/>
      <w:bookmarkEnd w:id="88"/>
      <w:r>
        <w:rPr>
          <w:rFonts w:hint="eastAsia" w:ascii="宋体" w:hAnsi="宋体" w:eastAsia="宋体" w:cs="宋体"/>
          <w:spacing w:val="-8"/>
          <w:highlight w:val="none"/>
        </w:rPr>
        <w:t>注：技术规范包括但不限于上述标准、规范。在投标文件递交截止时间前与本</w:t>
      </w:r>
      <w:r>
        <w:rPr>
          <w:rFonts w:hint="eastAsia" w:ascii="宋体" w:hAnsi="宋体" w:eastAsia="宋体" w:cs="宋体"/>
          <w:spacing w:val="-2"/>
          <w:highlight w:val="none"/>
        </w:rPr>
        <w:t>工程相关的标准或规范如果有修改或新颁</w:t>
      </w:r>
      <w:r>
        <w:rPr>
          <w:rFonts w:hint="eastAsia" w:ascii="宋体" w:hAnsi="宋体" w:eastAsia="宋体" w:cs="宋体"/>
          <w:highlight w:val="none"/>
        </w:rPr>
        <w:t>（无论招标文件中是否引用</w:t>
      </w:r>
      <w:r>
        <w:rPr>
          <w:rFonts w:hint="eastAsia" w:ascii="宋体" w:hAnsi="宋体" w:eastAsia="宋体" w:cs="宋体"/>
          <w:spacing w:val="-32"/>
          <w:highlight w:val="none"/>
        </w:rPr>
        <w:t>）</w:t>
      </w:r>
      <w:r>
        <w:rPr>
          <w:rFonts w:hint="eastAsia" w:ascii="宋体" w:hAnsi="宋体" w:eastAsia="宋体" w:cs="宋体"/>
          <w:spacing w:val="-13"/>
          <w:highlight w:val="none"/>
        </w:rPr>
        <w:t>，则按新</w:t>
      </w:r>
      <w:r>
        <w:rPr>
          <w:rFonts w:hint="eastAsia" w:ascii="宋体" w:hAnsi="宋体" w:eastAsia="宋体" w:cs="宋体"/>
          <w:spacing w:val="-9"/>
          <w:highlight w:val="none"/>
        </w:rPr>
        <w:t>标准或规范执行，相关费用视为已包含在相关工程子目的单价或总额价中，不另</w:t>
      </w:r>
      <w:r>
        <w:rPr>
          <w:rFonts w:hint="eastAsia" w:ascii="宋体" w:hAnsi="宋体" w:eastAsia="宋体" w:cs="宋体"/>
          <w:highlight w:val="none"/>
        </w:rPr>
        <w:t>行计量与支付。</w:t>
      </w:r>
    </w:p>
    <w:p w14:paraId="2A3EBBC4">
      <w:pPr>
        <w:spacing w:line="343" w:lineRule="auto"/>
        <w:jc w:val="both"/>
        <w:rPr>
          <w:rFonts w:hint="eastAsia" w:ascii="宋体" w:hAnsi="宋体" w:eastAsia="宋体" w:cs="宋体"/>
          <w:highlight w:val="none"/>
        </w:rPr>
        <w:sectPr>
          <w:headerReference r:id="rId14" w:type="default"/>
          <w:pgSz w:w="11910" w:h="16840"/>
          <w:pgMar w:top="1440" w:right="1079" w:bottom="1040" w:left="1420" w:header="882" w:footer="845" w:gutter="0"/>
          <w:cols w:space="720" w:num="1"/>
        </w:sectPr>
      </w:pPr>
    </w:p>
    <w:p w14:paraId="7FE2D9A2">
      <w:pPr>
        <w:pStyle w:val="3"/>
        <w:numPr>
          <w:ilvl w:val="0"/>
          <w:numId w:val="59"/>
        </w:numPr>
        <w:tabs>
          <w:tab w:val="left" w:pos="1852"/>
        </w:tabs>
        <w:spacing w:before="183"/>
        <w:rPr>
          <w:rFonts w:hint="eastAsia" w:ascii="宋体" w:hAnsi="宋体" w:eastAsia="宋体" w:cs="宋体"/>
          <w:sz w:val="30"/>
          <w:szCs w:val="30"/>
          <w:highlight w:val="none"/>
        </w:rPr>
      </w:pP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工程量清单计量规则</w:t>
      </w:r>
    </w:p>
    <w:p w14:paraId="40D4E769">
      <w:pPr>
        <w:spacing w:line="347"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一、说明</w:t>
      </w:r>
    </w:p>
    <w:p w14:paraId="2B31664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  一般要求</w:t>
      </w:r>
    </w:p>
    <w:p w14:paraId="0B58C10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(1)本计量规则各章节是按第五章“工程量清单”的相应章节编号的，因此，各章</w:t>
      </w:r>
    </w:p>
    <w:p w14:paraId="6DC5C9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节工程子目的工程量计量规则与工程量清单中相对应的工程子目的“子目号”、“子目</w:t>
      </w:r>
    </w:p>
    <w:p w14:paraId="2868315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名称”、“单位”一致，“工程量计量”、“工程内容”是相应的工程子目的计量依据。</w:t>
      </w:r>
    </w:p>
    <w:p w14:paraId="63A4412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(2)本规则所有工程项目，除个别注明者外，均采用我国法定的计量单位，即</w:t>
      </w:r>
    </w:p>
    <w:p w14:paraId="776BCC1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国际单位及国际单位制导出的辅助单位进行计量。</w:t>
      </w:r>
    </w:p>
    <w:p w14:paraId="701DBA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(3)本规则的计量与支付，应与合同条款、工程量清单以及图纸同时阅读，工</w:t>
      </w:r>
    </w:p>
    <w:p w14:paraId="0F175DD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程量清单中的支付项目号和本规则的章节编号是一致的。</w:t>
      </w:r>
    </w:p>
    <w:p w14:paraId="742D78D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(4)任何工程项目的计量，均应按本规则规定或监理人书面指示进行。</w:t>
      </w:r>
    </w:p>
    <w:p w14:paraId="6F52EC7D">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(5)按合同提供的材料数量和完成的工程数量所采用的测量与计算方法，应符</w:t>
      </w:r>
    </w:p>
    <w:p w14:paraId="6AC96F5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合本规则规定。所有这些方法，应经监理人批准或指示。承包人应提供一切计量设</w:t>
      </w:r>
    </w:p>
    <w:p w14:paraId="0D9A8E0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备和条件，并保证其设备精度符合要求。</w:t>
      </w:r>
    </w:p>
    <w:p w14:paraId="4637645C">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(6)除非监理人另有准许，一切计量工作都应在监理人在场情况下，由承包人</w:t>
      </w:r>
    </w:p>
    <w:p w14:paraId="43AF003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测量、记录。有承包人签名的计量记录原本，应提交给监理人审查和保存。</w:t>
      </w:r>
    </w:p>
    <w:p w14:paraId="79B8E60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(7)工程量应由承包人计算，由监理人审核。工程量计算的副本应提交给监理</w:t>
      </w:r>
    </w:p>
    <w:p w14:paraId="6068DC5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人并由监理人保存。</w:t>
      </w:r>
    </w:p>
    <w:p w14:paraId="007B9C4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(8)除合同特殊约定单独计量之外，全部必需的模板、脚手架、装备、机具、</w:t>
      </w:r>
    </w:p>
    <w:p w14:paraId="41FE7F2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螺栓、垫圈和钢制件等其他材料，应包括在工程量清单中所列的有关支付项目中，均不单独计量。</w:t>
      </w:r>
    </w:p>
    <w:p w14:paraId="1672D9A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(9)除监理人另有批准外，凡超过图纸所示的面积或体积，都不予计量与支付。</w:t>
      </w:r>
    </w:p>
    <w:p w14:paraId="36143537">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(10)承包人应严格标准计量基础工作和材料采购检验工作。沥青混凝土、沥青</w:t>
      </w:r>
    </w:p>
    <w:p w14:paraId="5564D84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碎石、水泥混凝土、高强度等级水泥砂浆的施工现场必须使用电子计量设备称重。</w:t>
      </w:r>
    </w:p>
    <w:p w14:paraId="3381839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因不符合计量规定引发质量问题，所发生的费用由承包人承担。</w:t>
      </w:r>
    </w:p>
    <w:p w14:paraId="07CC443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  质量</w:t>
      </w:r>
    </w:p>
    <w:p w14:paraId="142CBEA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(1)凡以质量计量或以质量作为配合比设计的材料，都应在精确与批准的磅秤</w:t>
      </w:r>
    </w:p>
    <w:p w14:paraId="3606547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上，由称职合格的人员在监理人指定或批准的地点进行称重。</w:t>
      </w:r>
    </w:p>
    <w:p w14:paraId="6A4CF1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(2)称重计量时应满足以下条件：监理人在场；称重记录；载明包装材料、支撑装置、垫块、捆束物等质量的说明书在称重前提交给监理人作为依据。</w:t>
      </w:r>
    </w:p>
    <w:p w14:paraId="5C91649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钢筋、钢板或型钢计量时，应按图纸或其他资料标示的尺寸和净长计算。搭接、接头套筒、焊接材料、下脚料和固定、定位架立钢筋等，则不予另行计量。钢筋、钢板或型钢应以千克计量，四舍五入，不计小数。钢筋、钢板或型钢由于理论单位质量与实际单位质量的差异而引起材料质量与数量不相匹配的情况，计量时不予考虑。</w:t>
      </w:r>
    </w:p>
    <w:p w14:paraId="3F12934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(4)金属材料的质量不得包括施工需要加放或使用的灰浆、楔块、填缝料、垫衬物、油料、接缝料、焊条、涂敷料等质量。</w:t>
      </w:r>
    </w:p>
    <w:p w14:paraId="36ACAEA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(5)承运按质量计量的材料的货车，应每天在监理人指定的时间和地点称出空</w:t>
      </w:r>
    </w:p>
    <w:p w14:paraId="7BD66B7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车质量，每辆货车还应标示清晰易辨的标记。</w:t>
      </w:r>
    </w:p>
    <w:p w14:paraId="5F876B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对有规定标准的项目，例如钢筋、金属线、钢板、型钢、管材等，均有规定的规格、质量、截面尺寸等指标，这类指标应视为通常的质量或尺寸；除非引用规范中的允许偏差值加以控制，否则可用制造商的允许偏差。</w:t>
      </w:r>
    </w:p>
    <w:p w14:paraId="41D469D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  面积</w:t>
      </w:r>
    </w:p>
    <w:p w14:paraId="11D3B89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除非另有规定，计算面积时，其长、宽应按图纸所示尺寸线或按监理人指示计量。对于面积在1m2以下的固定物(如检查井等)不予扣除。</w:t>
      </w:r>
    </w:p>
    <w:p w14:paraId="5BEE46D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  结构物</w:t>
      </w:r>
    </w:p>
    <w:p w14:paraId="73B8C0F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(1)结构物应按图纸所示净尺寸线，或根据监理人指示修改的尺寸线计量。</w:t>
      </w:r>
    </w:p>
    <w:p w14:paraId="7DBB5CA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(2)水泥混凝土的计量应按监理人认可的并已完工工程的净尺寸计算，钢筋的体积不扣除，倒角不超过0.15m×0.15m时不扣除，体积不超过0.03m3的开孔及开口不扣除，面积不超过0.15m×0.15m的填角部分也不增加。</w:t>
      </w:r>
    </w:p>
    <w:p w14:paraId="17745CA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(3)所有以米计量的结构物(如管涵等)，除非图纸另有表示，应按平行于该结构</w:t>
      </w:r>
    </w:p>
    <w:p w14:paraId="7CF7F53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物位置的基面或基础的中心方向计量。</w:t>
      </w:r>
    </w:p>
    <w:p w14:paraId="74BFC8D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  土方</w:t>
      </w:r>
    </w:p>
    <w:p w14:paraId="5ABD64B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(1)土方体积可采用平均断面积法计算，但与似棱体公式(prismoidal formula)计算结果比较，如果误差超过±5%时，监理人可指示采用似棱体公式。</w:t>
      </w:r>
    </w:p>
    <w:p w14:paraId="769C8445">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(2)各种不同类别的挖方与填方计量，应以图纸所示界线为限，而且应在批准的横断面图上标明。</w:t>
      </w:r>
    </w:p>
    <w:p w14:paraId="1A2A188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(3)用于填方的土方量，应按压实后的纵断面高程和路床面为准来计量。承包人报价时，应考虑在挖方或运输过程中引起的体积差。</w:t>
      </w:r>
    </w:p>
    <w:p w14:paraId="2BC5B56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在现场钉桩后56d内，承包人应将设计和进场复测的土方横断面图连同土方的面积与体积计算表一并提交监理人批准。所有横断面图都应标有图题框，其大小由监理人指定。一旦横断面图得到最后批准，承包人应交给监理人原版图及三份复制图。</w:t>
      </w:r>
    </w:p>
    <w:p w14:paraId="5C61B96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  运输车辆体积</w:t>
      </w:r>
    </w:p>
    <w:p w14:paraId="369B425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(1)用体积计量的材料，应以经监理人批准的车辆装运，并在运到地点进行计量。</w:t>
      </w:r>
    </w:p>
    <w:p w14:paraId="350222FC">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(2)用于体积运输的车辆，其车厢的形状和尺寸应使其容量能够容易而准确地测定并应保证精确度。每辆车都应有明显标记。每车所运材料的体积应于事前由监理人与承包人相互达成书面协议。</w:t>
      </w:r>
    </w:p>
    <w:p w14:paraId="399CE22E">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所有车辆都应装载成水平容积高度，车辆到达送货点时，监理人可以要求将其装载物重新整平，对超过定量运送的材料将不支付。运量达不到定量的车辆，应被拒绝或按监理人确定减少的体积接收。根据监理人的指示，承包人应在货物交付点，随机将一车材料刮平，在刮平后如发现货车运送的材料少于定量时，从前一车起所有运到的材料的计量都按同样比率减为目前的车载量。</w:t>
      </w:r>
    </w:p>
    <w:p w14:paraId="3CA750A6">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7.  质量与体积换算</w:t>
      </w:r>
    </w:p>
    <w:p w14:paraId="161F1886">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(1)如承包人提出要求并得到监理人的书面批准，已规定要用立方米计量的材料可以称重，并将此质量换算为立方米计量。</w:t>
      </w:r>
    </w:p>
    <w:p w14:paraId="18F71230">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(2)将质量计量换算为体积计量的换算系数应由监理人确定，并应在此种计量方法使用之前征得承包人的同意。</w:t>
      </w:r>
    </w:p>
    <w:p w14:paraId="25201583">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8.  沥青和水泥</w:t>
      </w:r>
    </w:p>
    <w:p w14:paraId="6A42E720">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(1)沥青和水泥应以千克为单位计量。</w:t>
      </w:r>
    </w:p>
    <w:p w14:paraId="1CF06D62">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(2)如用货车或其他运输工具装运沥青材料，可以按经过检定的质量或体积计算沥青材料的数量，但要对漏失量或泡沫进行校正。</w:t>
      </w:r>
    </w:p>
    <w:p w14:paraId="521FC4C9">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(3)水泥可以以袋作为计量的依据，但一袋的标准应为50kg。散装水泥应称重计量。</w:t>
      </w:r>
    </w:p>
    <w:p w14:paraId="60A2E000">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9. </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成套的结构单元</w:t>
      </w:r>
    </w:p>
    <w:p w14:paraId="1DFE4390">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如规定的计量单位是一成套的结构物或结构单元（实际上就是按“总额”或称“一次支付”计的工程子目），该单元应包括了所有必需的设备、配件和附属物及相关作业。</w:t>
      </w:r>
    </w:p>
    <w:p w14:paraId="5B9C1F5B">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10.  标准制品项目</w:t>
      </w:r>
    </w:p>
    <w:p w14:paraId="5C7A4DD0">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(1)如规定采用标准制品(如护栏、钢丝、钢板、轧制型材、管子等)，而这类项目又是以标准规格(单位重、截面尺寸等)标识的，则这种标识可以作为计量的标准。</w:t>
      </w:r>
    </w:p>
    <w:p w14:paraId="1C1B590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  除非所采用标准制品的允许误差比规范的允许误差要求更严格，否则，生产厂确立的制造允许误差不予认可。</w:t>
      </w:r>
    </w:p>
    <w:p w14:paraId="02AE181C">
      <w:pPr>
        <w:rPr>
          <w:rFonts w:hint="eastAsia" w:ascii="宋体" w:hAnsi="宋体" w:eastAsia="宋体" w:cs="宋体"/>
          <w:b/>
          <w:bCs/>
          <w:w w:val="95"/>
          <w:sz w:val="28"/>
          <w:szCs w:val="28"/>
          <w:highlight w:val="none"/>
        </w:rPr>
      </w:pPr>
      <w:bookmarkStart w:id="89" w:name="_TOC_250019"/>
      <w:bookmarkEnd w:id="89"/>
      <w:r>
        <w:rPr>
          <w:rFonts w:hint="eastAsia" w:ascii="宋体" w:hAnsi="宋体" w:eastAsia="宋体" w:cs="宋体"/>
          <w:b/>
          <w:bCs/>
          <w:w w:val="95"/>
          <w:sz w:val="28"/>
          <w:szCs w:val="28"/>
          <w:highlight w:val="none"/>
        </w:rPr>
        <w:br w:type="page"/>
      </w:r>
    </w:p>
    <w:p w14:paraId="02B367AD">
      <w:pPr>
        <w:pStyle w:val="9"/>
        <w:ind w:left="31" w:right="50"/>
        <w:rPr>
          <w:rFonts w:hint="eastAsia" w:ascii="宋体" w:hAnsi="宋体" w:eastAsia="宋体" w:cs="宋体"/>
          <w:b/>
          <w:bCs/>
          <w:sz w:val="28"/>
          <w:szCs w:val="28"/>
          <w:highlight w:val="none"/>
        </w:rPr>
      </w:pPr>
      <w:r>
        <w:rPr>
          <w:rFonts w:hint="eastAsia" w:ascii="宋体" w:hAnsi="宋体" w:eastAsia="宋体" w:cs="宋体"/>
          <w:b/>
          <w:bCs/>
          <w:w w:val="95"/>
          <w:sz w:val="28"/>
          <w:szCs w:val="28"/>
          <w:highlight w:val="none"/>
        </w:rPr>
        <w:t>二、计量规则</w:t>
      </w:r>
    </w:p>
    <w:p w14:paraId="36B271B5">
      <w:pPr>
        <w:pStyle w:val="10"/>
        <w:spacing w:before="6"/>
        <w:rPr>
          <w:rFonts w:hint="eastAsia" w:ascii="宋体" w:hAnsi="宋体" w:eastAsia="宋体" w:cs="宋体"/>
          <w:sz w:val="34"/>
          <w:highlight w:val="none"/>
        </w:rPr>
      </w:pPr>
    </w:p>
    <w:p w14:paraId="3EFF2249">
      <w:pPr>
        <w:tabs>
          <w:tab w:val="left" w:pos="1399"/>
        </w:tabs>
        <w:ind w:right="50"/>
        <w:jc w:val="center"/>
        <w:rPr>
          <w:rFonts w:hint="eastAsia" w:ascii="宋体" w:hAnsi="宋体" w:eastAsia="宋体" w:cs="宋体"/>
          <w:sz w:val="28"/>
          <w:highlight w:val="none"/>
        </w:rPr>
      </w:pPr>
      <w:r>
        <w:rPr>
          <w:rFonts w:hint="eastAsia" w:ascii="宋体" w:hAnsi="宋体" w:eastAsia="宋体" w:cs="宋体"/>
          <w:sz w:val="28"/>
          <w:highlight w:val="none"/>
        </w:rPr>
        <w:t>第</w:t>
      </w:r>
      <w:r>
        <w:rPr>
          <w:rFonts w:hint="eastAsia" w:ascii="宋体" w:hAnsi="宋体" w:eastAsia="宋体" w:cs="宋体"/>
          <w:spacing w:val="-71"/>
          <w:sz w:val="28"/>
          <w:highlight w:val="none"/>
        </w:rPr>
        <w:t xml:space="preserve"> </w:t>
      </w:r>
      <w:r>
        <w:rPr>
          <w:rFonts w:hint="eastAsia" w:ascii="宋体" w:hAnsi="宋体" w:eastAsia="宋体" w:cs="宋体"/>
          <w:sz w:val="28"/>
          <w:highlight w:val="none"/>
        </w:rPr>
        <w:t>100</w:t>
      </w:r>
      <w:r>
        <w:rPr>
          <w:rFonts w:hint="eastAsia" w:ascii="宋体" w:hAnsi="宋体" w:eastAsia="宋体" w:cs="宋体"/>
          <w:spacing w:val="-1"/>
          <w:sz w:val="28"/>
          <w:highlight w:val="none"/>
        </w:rPr>
        <w:t xml:space="preserve"> </w:t>
      </w:r>
      <w:r>
        <w:rPr>
          <w:rFonts w:hint="eastAsia" w:ascii="宋体" w:hAnsi="宋体" w:eastAsia="宋体" w:cs="宋体"/>
          <w:sz w:val="28"/>
          <w:highlight w:val="none"/>
        </w:rPr>
        <w:t>章</w:t>
      </w:r>
      <w:r>
        <w:rPr>
          <w:rFonts w:hint="eastAsia" w:ascii="宋体" w:hAnsi="宋体" w:eastAsia="宋体" w:cs="宋体"/>
          <w:sz w:val="28"/>
          <w:highlight w:val="none"/>
        </w:rPr>
        <w:tab/>
      </w:r>
      <w:r>
        <w:rPr>
          <w:rFonts w:hint="eastAsia" w:ascii="宋体" w:hAnsi="宋体" w:eastAsia="宋体" w:cs="宋体"/>
          <w:spacing w:val="-1"/>
          <w:sz w:val="28"/>
          <w:highlight w:val="none"/>
        </w:rPr>
        <w:t>总</w:t>
      </w:r>
      <w:r>
        <w:rPr>
          <w:rFonts w:hint="eastAsia" w:ascii="宋体" w:hAnsi="宋体" w:eastAsia="宋体" w:cs="宋体"/>
          <w:sz w:val="28"/>
          <w:highlight w:val="none"/>
        </w:rPr>
        <w:t>则</w:t>
      </w:r>
    </w:p>
    <w:p w14:paraId="37C307D1">
      <w:pPr>
        <w:pStyle w:val="10"/>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934"/>
        <w:gridCol w:w="2091"/>
        <w:gridCol w:w="3060"/>
      </w:tblGrid>
      <w:tr w14:paraId="79FF6B16">
        <w:tblPrEx>
          <w:tblCellMar>
            <w:top w:w="0" w:type="dxa"/>
            <w:left w:w="108" w:type="dxa"/>
            <w:bottom w:w="0" w:type="dxa"/>
            <w:right w:w="108" w:type="dxa"/>
          </w:tblCellMar>
        </w:tblPrEx>
        <w:trPr>
          <w:trHeight w:val="59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2C71C8">
            <w:pPr>
              <w:spacing w:line="399"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6EBA49">
            <w:pPr>
              <w:spacing w:line="399"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9E28A4">
            <w:pPr>
              <w:spacing w:line="399"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CF65A2">
            <w:pPr>
              <w:spacing w:line="399" w:lineRule="exact"/>
              <w:ind w:left="447"/>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2FD47">
            <w:pPr>
              <w:spacing w:line="399" w:lineRule="exact"/>
              <w:ind w:left="1109"/>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00F4BA5">
        <w:tblPrEx>
          <w:tblCellMar>
            <w:top w:w="0" w:type="dxa"/>
            <w:left w:w="108" w:type="dxa"/>
            <w:bottom w:w="0" w:type="dxa"/>
            <w:right w:w="108" w:type="dxa"/>
          </w:tblCellMar>
        </w:tblPrEx>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0A4FF1">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FFE1C">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竣工文件</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F8EC86">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4E102">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4C7827">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按《公路工程竣（交）工验收</w:t>
            </w:r>
          </w:p>
          <w:p w14:paraId="72506627">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办法》、《公路工程竣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交</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工验</w:t>
            </w:r>
          </w:p>
          <w:p w14:paraId="445DA6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收办法实施细则》及合同条款规</w:t>
            </w:r>
          </w:p>
          <w:p w14:paraId="4724900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定进行编制</w:t>
            </w:r>
          </w:p>
        </w:tc>
      </w:tr>
      <w:tr w14:paraId="04375D88">
        <w:tblPrEx>
          <w:tblCellMar>
            <w:top w:w="0" w:type="dxa"/>
            <w:left w:w="108" w:type="dxa"/>
            <w:bottom w:w="0" w:type="dxa"/>
            <w:right w:w="108" w:type="dxa"/>
          </w:tblCellMar>
        </w:tblPrEx>
        <w:trPr>
          <w:trHeight w:val="110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F5ABE">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D202D">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施工环保费</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91D92">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F6D4F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26D10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严格遵守国家环境保护部门</w:t>
            </w:r>
          </w:p>
          <w:p w14:paraId="46EAE6A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及合同条款的相关规定，落实环</w:t>
            </w:r>
          </w:p>
          <w:p w14:paraId="6405582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境保护。包括实施过程中直接的</w:t>
            </w:r>
          </w:p>
          <w:p w14:paraId="389274B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或间接的费用</w:t>
            </w:r>
          </w:p>
        </w:tc>
      </w:tr>
      <w:tr w14:paraId="0303AB0C">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A1034">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C45936">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临时道路修建、</w:t>
            </w:r>
          </w:p>
          <w:p w14:paraId="68EE8BB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养护与拆除（包</w:t>
            </w:r>
          </w:p>
          <w:p w14:paraId="7B8AA914">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括原道路的养</w:t>
            </w:r>
          </w:p>
          <w:p w14:paraId="695D13FA">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B017D4">
            <w:pPr>
              <w:spacing w:line="1196"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941DE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853F4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承包人根据要求和需要修建</w:t>
            </w:r>
          </w:p>
          <w:p w14:paraId="143D8406">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的社会交通便道和施工现场的</w:t>
            </w:r>
          </w:p>
          <w:p w14:paraId="34C493F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便道、便桥（涵），并设置必要</w:t>
            </w:r>
          </w:p>
          <w:p w14:paraId="6A07051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的交通标志，便道应加强养护、</w:t>
            </w:r>
          </w:p>
          <w:p w14:paraId="6731440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降低扬尘。施工结束时，原有道</w:t>
            </w:r>
          </w:p>
          <w:p w14:paraId="65053FC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路应做一次全面维修保养，临时</w:t>
            </w:r>
          </w:p>
          <w:p w14:paraId="768BF5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增加的道路应拆除，并经检验合</w:t>
            </w:r>
          </w:p>
          <w:p w14:paraId="1152F3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格</w:t>
            </w:r>
          </w:p>
        </w:tc>
      </w:tr>
      <w:tr w14:paraId="18647F52">
        <w:tblPrEx>
          <w:tblCellMar>
            <w:top w:w="0" w:type="dxa"/>
            <w:left w:w="108" w:type="dxa"/>
            <w:bottom w:w="0" w:type="dxa"/>
            <w:right w:w="108" w:type="dxa"/>
          </w:tblCellMar>
        </w:tblPrEx>
        <w:trPr>
          <w:trHeight w:val="463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53AC1">
            <w:pPr>
              <w:spacing w:line="2457" w:lineRule="exact"/>
              <w:ind w:left="337"/>
              <w:rPr>
                <w:rFonts w:hint="eastAsia" w:ascii="宋体" w:hAnsi="宋体" w:eastAsia="宋体" w:cs="宋体"/>
                <w:highlight w:val="none"/>
              </w:rPr>
            </w:pPr>
            <w:r>
              <w:rPr>
                <w:rFonts w:hint="eastAsia" w:ascii="宋体" w:hAnsi="宋体" w:eastAsia="宋体" w:cs="宋体"/>
                <w:spacing w:val="-1"/>
                <w:sz w:val="20"/>
                <w:highlight w:val="none"/>
              </w:rPr>
              <w:t>103-2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54B61D">
            <w:pPr>
              <w:spacing w:line="2422"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临时工程用地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A8F0C">
            <w:pPr>
              <w:spacing w:line="242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84565">
            <w:pPr>
              <w:spacing w:line="228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32D498">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临时占地包含承包人生产、</w:t>
            </w:r>
          </w:p>
          <w:p w14:paraId="70BBA6D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生活用地，施工中的取、弃土场</w:t>
            </w:r>
          </w:p>
          <w:p w14:paraId="6AFDEE1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及料场用地，临时工程及附属工</w:t>
            </w:r>
          </w:p>
          <w:p w14:paraId="76D4A7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作临时用地等。</w:t>
            </w:r>
          </w:p>
          <w:p w14:paraId="719A45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临时占地由承包人向当地</w:t>
            </w:r>
          </w:p>
          <w:p w14:paraId="329174B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政府土地管理部门申请，并办理</w:t>
            </w:r>
          </w:p>
          <w:p w14:paraId="1E27EC4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租用手续，承包人按有关规定直</w:t>
            </w:r>
          </w:p>
          <w:p w14:paraId="0144A4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接支付其费用，发包人对此将予</w:t>
            </w:r>
          </w:p>
          <w:p w14:paraId="281F2D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以协调。</w:t>
            </w:r>
          </w:p>
          <w:p w14:paraId="5E5A59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临时占地退还前，承包人应</w:t>
            </w:r>
          </w:p>
          <w:p w14:paraId="3837861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自费恢复到临时占地使用前的</w:t>
            </w:r>
          </w:p>
          <w:p w14:paraId="5C819A5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状态。如因承包人撤离后未按要</w:t>
            </w:r>
          </w:p>
          <w:p w14:paraId="1C54C8F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求对临时占地进行恢复或虽进</w:t>
            </w:r>
          </w:p>
          <w:p w14:paraId="7AF8A23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行了恢复但未达到使用标准的，</w:t>
            </w:r>
          </w:p>
          <w:p w14:paraId="3B1A078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将由发包人委托第三方对其恢</w:t>
            </w:r>
          </w:p>
          <w:p w14:paraId="684AAB7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复，所发生的费用将从应付给承</w:t>
            </w:r>
          </w:p>
          <w:p w14:paraId="7A7F315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包人的任何款项内扣除。</w:t>
            </w:r>
          </w:p>
        </w:tc>
      </w:tr>
      <w:tr w14:paraId="7E2CAB8D">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DE1A36">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634671">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临时供电设施</w:t>
            </w:r>
          </w:p>
          <w:p w14:paraId="42A9B75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架设、维护与拆</w:t>
            </w:r>
          </w:p>
          <w:p w14:paraId="0937B505">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3197F7">
            <w:pPr>
              <w:spacing w:line="1198"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B420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B40F3F">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p w14:paraId="61D19DC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下，与当地电力部门联系，建立</w:t>
            </w:r>
          </w:p>
          <w:p w14:paraId="642607F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临时电力系统，并配备发电设备</w:t>
            </w:r>
          </w:p>
          <w:p w14:paraId="4D83374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作为备用电源，并承担安装、操</w:t>
            </w:r>
          </w:p>
          <w:p w14:paraId="69BCC9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作、维修、燃料等相关工作及费</w:t>
            </w:r>
          </w:p>
          <w:p w14:paraId="44D25E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用。工程交工后，承包人应负责</w:t>
            </w:r>
          </w:p>
          <w:p w14:paraId="564E9C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拆除所安装设备及系统，恢复到</w:t>
            </w:r>
          </w:p>
          <w:p w14:paraId="78D2FEC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工程实施前的状态。</w:t>
            </w:r>
          </w:p>
        </w:tc>
      </w:tr>
      <w:tr w14:paraId="3EBF0100">
        <w:tblPrEx>
          <w:tblCellMar>
            <w:top w:w="0" w:type="dxa"/>
            <w:left w:w="108" w:type="dxa"/>
            <w:bottom w:w="0" w:type="dxa"/>
            <w:right w:w="108" w:type="dxa"/>
          </w:tblCellMar>
        </w:tblPrEx>
        <w:trPr>
          <w:trHeight w:val="28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9E22DD">
            <w:pPr>
              <w:spacing w:line="280" w:lineRule="exact"/>
              <w:ind w:left="337"/>
              <w:rPr>
                <w:rFonts w:hint="eastAsia" w:ascii="宋体" w:hAnsi="宋体" w:eastAsia="宋体" w:cs="宋体"/>
                <w:highlight w:val="none"/>
              </w:rPr>
            </w:pPr>
            <w:r>
              <w:rPr>
                <w:rFonts w:hint="eastAsia" w:ascii="宋体" w:hAnsi="宋体" w:eastAsia="宋体" w:cs="宋体"/>
                <w:spacing w:val="-1"/>
                <w:sz w:val="20"/>
                <w:highlight w:val="none"/>
              </w:rPr>
              <w:t>103-4</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E552D">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电信设施的提</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56654D">
            <w:pPr>
              <w:spacing w:line="24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2F123">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E50F40">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tc>
      </w:tr>
    </w:tbl>
    <w:p w14:paraId="2212F566">
      <w:pPr>
        <w:spacing w:line="250" w:lineRule="exact"/>
        <w:jc w:val="center"/>
        <w:rPr>
          <w:rFonts w:hint="eastAsia" w:ascii="宋体" w:hAnsi="宋体" w:eastAsia="宋体" w:cs="宋体"/>
          <w:sz w:val="21"/>
          <w:highlight w:val="none"/>
        </w:rPr>
        <w:sectPr>
          <w:pgSz w:w="11910" w:h="16840"/>
          <w:pgMar w:top="1440" w:right="1080" w:bottom="1040" w:left="1420" w:header="882" w:footer="845" w:gutter="0"/>
          <w:cols w:space="720" w:num="1"/>
        </w:sectPr>
      </w:pPr>
    </w:p>
    <w:p w14:paraId="51205F84">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1945"/>
        <w:gridCol w:w="3060"/>
      </w:tblGrid>
      <w:tr w14:paraId="65BA74BA">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AA268A">
            <w:pPr>
              <w:spacing w:line="245"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E94E9F">
            <w:pPr>
              <w:spacing w:line="245" w:lineRule="exact"/>
              <w:ind w:left="107"/>
              <w:rPr>
                <w:rFonts w:hint="eastAsia" w:ascii="宋体" w:hAnsi="宋体" w:eastAsia="宋体" w:cs="宋体"/>
                <w:highlight w:val="none"/>
              </w:rPr>
            </w:pPr>
            <w:r>
              <w:rPr>
                <w:rFonts w:hint="eastAsia" w:ascii="宋体" w:hAnsi="宋体" w:eastAsia="宋体" w:cs="宋体"/>
                <w:spacing w:val="-1"/>
                <w:sz w:val="20"/>
                <w:highlight w:val="none"/>
              </w:rPr>
              <w:t>供、维修与拆除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258E0">
            <w:pPr>
              <w:spacing w:line="245" w:lineRule="exact"/>
              <w:rPr>
                <w:rFonts w:hint="eastAsia" w:ascii="宋体" w:hAnsi="宋体" w:eastAsia="宋体" w:cs="宋体"/>
                <w:highlight w:val="none"/>
              </w:rPr>
            </w:pP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3118EE">
            <w:pPr>
              <w:spacing w:line="245" w:lineRule="exact"/>
              <w:rPr>
                <w:rFonts w:hint="eastAsia" w:ascii="宋体" w:hAnsi="宋体" w:eastAsia="宋体" w:cs="宋体"/>
                <w:highlight w:val="none"/>
              </w:rPr>
            </w:pP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3BE01">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下，与当地电信部门联系，建立</w:t>
            </w:r>
          </w:p>
          <w:p w14:paraId="7447710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临时电信系统，并承担安装、操</w:t>
            </w:r>
          </w:p>
          <w:p w14:paraId="1C9501D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作、维修等相关工作及费用。工</w:t>
            </w:r>
          </w:p>
          <w:p w14:paraId="34A2CC9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程交工后，承包人应负责拆除所</w:t>
            </w:r>
          </w:p>
          <w:p w14:paraId="1980C5C5">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安装设备及系统，恢复到工程实</w:t>
            </w:r>
          </w:p>
          <w:p w14:paraId="468E1B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施前的状态。</w:t>
            </w:r>
          </w:p>
        </w:tc>
      </w:tr>
      <w:tr w14:paraId="0DA3DA3E">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3C4BAB">
            <w:pPr>
              <w:spacing w:line="1777" w:lineRule="exact"/>
              <w:ind w:left="337"/>
              <w:rPr>
                <w:rFonts w:hint="eastAsia" w:ascii="宋体" w:hAnsi="宋体" w:eastAsia="宋体" w:cs="宋体"/>
                <w:highlight w:val="none"/>
              </w:rPr>
            </w:pPr>
            <w:r>
              <w:rPr>
                <w:rFonts w:hint="eastAsia" w:ascii="宋体" w:hAnsi="宋体" w:eastAsia="宋体" w:cs="宋体"/>
                <w:spacing w:val="-1"/>
                <w:sz w:val="20"/>
                <w:highlight w:val="none"/>
              </w:rPr>
              <w:t>103-5</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BDBFE5">
            <w:pPr>
              <w:spacing w:line="480" w:lineRule="auto"/>
              <w:jc w:val="center"/>
              <w:rPr>
                <w:rFonts w:hint="eastAsia" w:ascii="宋体" w:hAnsi="宋体" w:eastAsia="宋体" w:cs="宋体"/>
                <w:spacing w:val="-1"/>
                <w:sz w:val="20"/>
                <w:highlight w:val="none"/>
              </w:rPr>
            </w:pPr>
          </w:p>
          <w:p w14:paraId="47CD198F">
            <w:pPr>
              <w:spacing w:line="480" w:lineRule="auto"/>
              <w:jc w:val="center"/>
              <w:rPr>
                <w:rFonts w:hint="eastAsia" w:ascii="宋体" w:hAnsi="宋体" w:eastAsia="宋体" w:cs="宋体"/>
                <w:spacing w:val="-1"/>
                <w:sz w:val="20"/>
                <w:highlight w:val="none"/>
              </w:rPr>
            </w:pPr>
          </w:p>
          <w:p w14:paraId="717321E1">
            <w:pPr>
              <w:spacing w:line="480" w:lineRule="auto"/>
              <w:jc w:val="center"/>
              <w:rPr>
                <w:rFonts w:hint="eastAsia" w:ascii="宋体" w:hAnsi="宋体" w:eastAsia="宋体" w:cs="宋体"/>
                <w:highlight w:val="none"/>
              </w:rPr>
            </w:pPr>
            <w:r>
              <w:rPr>
                <w:rFonts w:hint="eastAsia" w:ascii="宋体" w:hAnsi="宋体" w:eastAsia="宋体" w:cs="宋体"/>
                <w:spacing w:val="-1"/>
                <w:sz w:val="20"/>
                <w:highlight w:val="none"/>
              </w:rPr>
              <w:t>临时供水与排污设施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109197">
            <w:pPr>
              <w:spacing w:line="174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11E79C">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6D2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承包人应负责提供、安装和</w:t>
            </w:r>
          </w:p>
          <w:p w14:paraId="6040F5F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保养全部施工和生活用水设施，</w:t>
            </w:r>
          </w:p>
          <w:p w14:paraId="0D3218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保证按施工和生活用水标准供</w:t>
            </w:r>
          </w:p>
          <w:p w14:paraId="29BD26E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水，并承担相关费用；工程交工</w:t>
            </w:r>
          </w:p>
          <w:p w14:paraId="30E494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后，承包人应拆除全部临时供水</w:t>
            </w:r>
          </w:p>
          <w:p w14:paraId="4DCA79B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设施；</w:t>
            </w:r>
          </w:p>
          <w:p w14:paraId="6879A63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承包人应负责安装、维修和</w:t>
            </w:r>
          </w:p>
          <w:p w14:paraId="1A399D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管理临时排污系统，并按国家相</w:t>
            </w:r>
          </w:p>
          <w:p w14:paraId="28E8E45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关标准实施排放施工和生活的</w:t>
            </w:r>
          </w:p>
          <w:p w14:paraId="6D545E0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污水、废水，并承担相关费用；</w:t>
            </w:r>
          </w:p>
          <w:p w14:paraId="63A4E39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工程交工后，承包人应拆除全部</w:t>
            </w:r>
          </w:p>
          <w:p w14:paraId="6CAF084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临时排污设施</w:t>
            </w:r>
          </w:p>
        </w:tc>
      </w:tr>
      <w:tr w14:paraId="27DA199B">
        <w:tblPrEx>
          <w:tblCellMar>
            <w:top w:w="0" w:type="dxa"/>
            <w:left w:w="108" w:type="dxa"/>
            <w:bottom w:w="0" w:type="dxa"/>
            <w:right w:w="108" w:type="dxa"/>
          </w:tblCellMar>
        </w:tblPrEx>
        <w:trPr>
          <w:trHeight w:val="246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49BFC">
            <w:pPr>
              <w:spacing w:line="1369" w:lineRule="exact"/>
              <w:ind w:left="337"/>
              <w:rPr>
                <w:rFonts w:hint="eastAsia" w:ascii="宋体" w:hAnsi="宋体" w:eastAsia="宋体" w:cs="宋体"/>
                <w:highlight w:val="none"/>
              </w:rPr>
            </w:pPr>
            <w:r>
              <w:rPr>
                <w:rFonts w:hint="eastAsia" w:ascii="宋体" w:hAnsi="宋体" w:eastAsia="宋体" w:cs="宋体"/>
                <w:spacing w:val="-1"/>
                <w:sz w:val="20"/>
                <w:highlight w:val="none"/>
              </w:rPr>
              <w:t>104-1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8B7815">
            <w:pPr>
              <w:spacing w:line="1198" w:lineRule="exact"/>
              <w:jc w:val="center"/>
              <w:rPr>
                <w:rFonts w:hint="eastAsia" w:ascii="宋体" w:hAnsi="宋体" w:eastAsia="宋体" w:cs="宋体"/>
                <w:highlight w:val="none"/>
              </w:rPr>
            </w:pPr>
            <w:r>
              <w:rPr>
                <w:rFonts w:hint="eastAsia" w:ascii="宋体" w:hAnsi="宋体" w:eastAsia="宋体" w:cs="宋体"/>
                <w:spacing w:val="-1"/>
                <w:sz w:val="20"/>
                <w:highlight w:val="none"/>
              </w:rPr>
              <w:t>承包人驻地建设</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92A90F">
            <w:pPr>
              <w:spacing w:line="133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E53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1520D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承包人驻地建设包括：施工</w:t>
            </w:r>
          </w:p>
          <w:p w14:paraId="4A4347D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与管理所需的办公室、住房、工</w:t>
            </w:r>
          </w:p>
          <w:p w14:paraId="75B605A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地试验室、车间、工作场地、预</w:t>
            </w:r>
          </w:p>
          <w:p w14:paraId="5DAECB2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制场地、仓库与储料场、拌和场、</w:t>
            </w:r>
          </w:p>
          <w:p w14:paraId="644CCF0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医疗卫生与消防设施等；</w:t>
            </w:r>
          </w:p>
          <w:p w14:paraId="28F7D76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驻地的建设、管理与维护；</w:t>
            </w:r>
          </w:p>
          <w:p w14:paraId="587731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工程交工后，按照合同或协</w:t>
            </w:r>
          </w:p>
          <w:p w14:paraId="662BBAF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议要求将驻地移走、清除、恢复</w:t>
            </w:r>
          </w:p>
          <w:p w14:paraId="7D82ABD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原貌</w:t>
            </w:r>
          </w:p>
        </w:tc>
      </w:tr>
      <w:tr w14:paraId="0FE11D63">
        <w:tblPrEx>
          <w:tblCellMar>
            <w:top w:w="0" w:type="dxa"/>
            <w:left w:w="108" w:type="dxa"/>
            <w:bottom w:w="0" w:type="dxa"/>
            <w:right w:w="108" w:type="dxa"/>
          </w:tblCellMar>
        </w:tblPrEx>
        <w:trPr>
          <w:trHeight w:val="191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8B279">
            <w:pPr>
              <w:spacing w:line="1097" w:lineRule="exact"/>
              <w:ind w:left="337"/>
              <w:rPr>
                <w:rFonts w:hint="eastAsia" w:ascii="宋体" w:hAnsi="宋体" w:eastAsia="宋体" w:cs="宋体"/>
                <w:highlight w:val="none"/>
              </w:rPr>
            </w:pPr>
            <w:r>
              <w:rPr>
                <w:rFonts w:hint="eastAsia" w:ascii="宋体" w:hAnsi="宋体" w:eastAsia="宋体" w:cs="宋体"/>
                <w:spacing w:val="-1"/>
                <w:sz w:val="20"/>
                <w:highlight w:val="none"/>
              </w:rPr>
              <w:t>105-1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C2298E">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安全生产费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1A814">
            <w:pPr>
              <w:spacing w:line="106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10C9EC">
            <w:pPr>
              <w:spacing w:line="246" w:lineRule="exact"/>
              <w:ind w:left="282"/>
              <w:rPr>
                <w:rFonts w:hint="eastAsia" w:ascii="宋体" w:hAnsi="宋体" w:eastAsia="宋体" w:cs="宋体"/>
                <w:highlight w:val="none"/>
              </w:rPr>
            </w:pPr>
            <w:r>
              <w:rPr>
                <w:rFonts w:hint="eastAsia" w:ascii="宋体" w:hAnsi="宋体" w:eastAsia="宋体" w:cs="宋体"/>
                <w:spacing w:val="-1"/>
                <w:sz w:val="20"/>
                <w:highlight w:val="none"/>
              </w:rPr>
              <w:t>按投标价（不含</w:t>
            </w:r>
          </w:p>
          <w:p w14:paraId="5E0073B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安全生产费）的</w:t>
            </w:r>
          </w:p>
          <w:p w14:paraId="6ADB716A">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（若招标人公</w:t>
            </w:r>
          </w:p>
          <w:p w14:paraId="624900B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布了最高投标限价</w:t>
            </w:r>
          </w:p>
          <w:p w14:paraId="7896B42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时，按最高投标限</w:t>
            </w:r>
          </w:p>
          <w:p w14:paraId="7AD4A543">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价的</w:t>
            </w:r>
            <w:r>
              <w:rPr>
                <w:rFonts w:hint="eastAsia" w:ascii="宋体" w:hAnsi="宋体" w:eastAsia="宋体" w:cs="宋体"/>
                <w:sz w:val="20"/>
                <w:highlight w:val="none"/>
              </w:rPr>
              <w:t> </w:t>
            </w: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）以总额</w:t>
            </w:r>
          </w:p>
          <w:p w14:paraId="4BFA1C2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7407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按《中华人民共和国安全生产</w:t>
            </w:r>
          </w:p>
          <w:p w14:paraId="7E452A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法》、《建设工程安全生产管理</w:t>
            </w:r>
          </w:p>
          <w:p w14:paraId="3394F22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条例》、《公路水运工程安全生</w:t>
            </w:r>
          </w:p>
          <w:p w14:paraId="466EC4A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产监督管理办法》、《公路工程</w:t>
            </w:r>
          </w:p>
          <w:p w14:paraId="47E625A8">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施工安全技术规范》（</w:t>
            </w:r>
            <w:r>
              <w:rPr>
                <w:rFonts w:hint="eastAsia" w:ascii="宋体" w:hAnsi="宋体" w:eastAsia="宋体" w:cs="宋体"/>
                <w:sz w:val="20"/>
                <w:highlight w:val="none"/>
              </w:rPr>
              <w:t>JTG</w:t>
            </w:r>
          </w:p>
          <w:p w14:paraId="241881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F90-2015</w:t>
            </w:r>
            <w:r>
              <w:rPr>
                <w:rFonts w:hint="eastAsia" w:ascii="宋体" w:hAnsi="宋体" w:eastAsia="宋体" w:cs="宋体"/>
                <w:position w:val="1"/>
                <w:sz w:val="20"/>
                <w:highlight w:val="none"/>
              </w:rPr>
              <w:t>）及合同条款规定落实</w:t>
            </w:r>
          </w:p>
          <w:p w14:paraId="2C6532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安全生产</w:t>
            </w:r>
          </w:p>
        </w:tc>
      </w:tr>
    </w:tbl>
    <w:p w14:paraId="1D60BE27">
      <w:pPr>
        <w:spacing w:line="270" w:lineRule="atLeast"/>
        <w:rPr>
          <w:rFonts w:hint="eastAsia" w:ascii="宋体" w:hAnsi="宋体" w:eastAsia="宋体" w:cs="宋体"/>
          <w:sz w:val="21"/>
          <w:highlight w:val="none"/>
        </w:rPr>
        <w:sectPr>
          <w:pgSz w:w="11910" w:h="16840"/>
          <w:pgMar w:top="1440" w:right="1080" w:bottom="1040" w:left="1420" w:header="882" w:footer="845" w:gutter="0"/>
          <w:cols w:space="720" w:num="1"/>
        </w:sectPr>
      </w:pPr>
    </w:p>
    <w:p w14:paraId="1374AC17">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200 章 路基</w:t>
      </w:r>
    </w:p>
    <w:p w14:paraId="46982715">
      <w:pPr>
        <w:pStyle w:val="10"/>
        <w:spacing w:before="1"/>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008"/>
        <w:gridCol w:w="1422"/>
        <w:gridCol w:w="720"/>
        <w:gridCol w:w="3110"/>
        <w:gridCol w:w="2755"/>
      </w:tblGrid>
      <w:tr w14:paraId="3FF0B7BD">
        <w:tblPrEx>
          <w:tblCellMar>
            <w:top w:w="0" w:type="dxa"/>
            <w:left w:w="108" w:type="dxa"/>
            <w:bottom w:w="0" w:type="dxa"/>
            <w:right w:w="108" w:type="dxa"/>
          </w:tblCellMar>
        </w:tblPrEx>
        <w:trPr>
          <w:trHeight w:val="4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C3C13">
            <w:pPr>
              <w:spacing w:line="345" w:lineRule="exact"/>
              <w:ind w:left="188"/>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F414B0">
            <w:pPr>
              <w:spacing w:line="345" w:lineRule="exact"/>
              <w:ind w:left="430"/>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429EE4">
            <w:pPr>
              <w:spacing w:line="345" w:lineRule="exact"/>
              <w:ind w:left="215"/>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C0609C">
            <w:pPr>
              <w:spacing w:line="345" w:lineRule="exact"/>
              <w:ind w:left="94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C0C8F">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BCF9BCD">
        <w:tblPrEx>
          <w:tblCellMar>
            <w:top w:w="0" w:type="dxa"/>
            <w:left w:w="108" w:type="dxa"/>
            <w:bottom w:w="0" w:type="dxa"/>
            <w:right w:w="108" w:type="dxa"/>
          </w:tblCellMar>
        </w:tblPrEx>
        <w:trPr>
          <w:trHeight w:val="44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C132">
            <w:pPr>
              <w:spacing w:line="361" w:lineRule="exact"/>
              <w:ind w:left="260"/>
              <w:rPr>
                <w:rFonts w:hint="eastAsia" w:ascii="宋体" w:hAnsi="宋体" w:eastAsia="宋体" w:cs="宋体"/>
                <w:highlight w:val="none"/>
              </w:rPr>
            </w:pPr>
            <w:r>
              <w:rPr>
                <w:rFonts w:hint="eastAsia" w:ascii="宋体" w:hAnsi="宋体" w:eastAsia="宋体" w:cs="宋体"/>
                <w:spacing w:val="-1"/>
                <w:sz w:val="20"/>
                <w:highlight w:val="none"/>
              </w:rPr>
              <w:t>202-1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06C55D">
            <w:pPr>
              <w:spacing w:line="326"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清理与掘除</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62E625">
            <w:pPr>
              <w:spacing w:line="326"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CDA5BC">
            <w:pPr>
              <w:spacing w:line="326"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BF941C">
            <w:pPr>
              <w:spacing w:line="326" w:lineRule="exact"/>
              <w:rPr>
                <w:rFonts w:hint="eastAsia" w:ascii="宋体" w:hAnsi="宋体" w:eastAsia="宋体" w:cs="宋体"/>
                <w:highlight w:val="none"/>
              </w:rPr>
            </w:pPr>
          </w:p>
        </w:tc>
      </w:tr>
      <w:tr w14:paraId="5446BFFB">
        <w:tblPrEx>
          <w:tblCellMar>
            <w:top w:w="0" w:type="dxa"/>
            <w:left w:w="108" w:type="dxa"/>
            <w:bottom w:w="0" w:type="dxa"/>
            <w:right w:w="108" w:type="dxa"/>
          </w:tblCellMar>
        </w:tblPrEx>
        <w:trPr>
          <w:trHeight w:val="287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DD20B7">
            <w:pPr>
              <w:spacing w:line="2186"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4906B">
            <w:pPr>
              <w:spacing w:line="2151"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清理现场</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B5C188">
            <w:pPr>
              <w:spacing w:line="209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F04A73">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依据图纸所示位置及范围</w:t>
            </w:r>
          </w:p>
          <w:p w14:paraId="2787A25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（路基范围以外临时工程用</w:t>
            </w:r>
          </w:p>
          <w:p w14:paraId="7FAE64C4">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地清场等除外），按路基开挖</w:t>
            </w:r>
          </w:p>
          <w:p w14:paraId="196CE6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线或填筑边线之间的水平投</w:t>
            </w:r>
          </w:p>
          <w:p w14:paraId="3B2E3408">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影面积以平方米为单位计量；</w:t>
            </w:r>
          </w:p>
          <w:p w14:paraId="4DB53AA4">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因压实而产生的下沉量，</w:t>
            </w:r>
          </w:p>
          <w:p w14:paraId="05FF269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ACD849">
            <w:pPr>
              <w:spacing w:line="260" w:lineRule="exact"/>
              <w:ind w:right="-220" w:rightChars="-100"/>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灌木、竹林、胸径小于</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树木的砍伐及挖</w:t>
            </w:r>
            <w:r>
              <w:rPr>
                <w:rFonts w:hint="eastAsia" w:ascii="宋体" w:hAnsi="宋体" w:eastAsia="宋体" w:cs="宋体"/>
                <w:spacing w:val="-1"/>
                <w:sz w:val="20"/>
                <w:highlight w:val="none"/>
              </w:rPr>
              <w:t>根；</w:t>
            </w:r>
          </w:p>
          <w:p w14:paraId="3A0C68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清除场地表面</w:t>
            </w:r>
            <w:r>
              <w:rPr>
                <w:rFonts w:hint="eastAsia" w:ascii="宋体" w:hAnsi="宋体" w:eastAsia="宋体" w:cs="宋体"/>
                <w:spacing w:val="-10"/>
                <w:sz w:val="20"/>
                <w:highlight w:val="none"/>
              </w:rPr>
              <w:t> </w:t>
            </w:r>
            <w:r>
              <w:rPr>
                <w:rFonts w:hint="eastAsia" w:ascii="宋体" w:hAnsi="宋体" w:eastAsia="宋体" w:cs="宋体"/>
                <w:spacing w:val="-1"/>
                <w:sz w:val="20"/>
                <w:highlight w:val="none"/>
              </w:rPr>
              <w:t>0~30cm范围内的垃圾、废料、表土（腐殖土）、石头、草皮；</w:t>
            </w:r>
          </w:p>
          <w:p w14:paraId="34C44FE0">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与清理现场有关的一</w:t>
            </w:r>
            <w:r>
              <w:rPr>
                <w:rFonts w:hint="eastAsia" w:ascii="宋体" w:hAnsi="宋体" w:eastAsia="宋体" w:cs="宋体"/>
                <w:spacing w:val="-1"/>
                <w:sz w:val="20"/>
                <w:highlight w:val="none"/>
              </w:rPr>
              <w:t>切挖方、坑穴的回填、清理现场后回填至原地面、整平、压实；</w:t>
            </w:r>
          </w:p>
          <w:p w14:paraId="64BDAB8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适用材料的装卸、移</w:t>
            </w:r>
            <w:r>
              <w:rPr>
                <w:rFonts w:hint="eastAsia" w:ascii="宋体" w:hAnsi="宋体" w:eastAsia="宋体" w:cs="宋体"/>
                <w:spacing w:val="-1"/>
                <w:sz w:val="20"/>
                <w:highlight w:val="none"/>
              </w:rPr>
              <w:t>运、堆放及非适用材料的移运处理；</w:t>
            </w:r>
          </w:p>
          <w:p w14:paraId="6D60A22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现场清理</w:t>
            </w:r>
          </w:p>
        </w:tc>
      </w:tr>
      <w:tr w14:paraId="7F0E9692">
        <w:tblPrEx>
          <w:tblCellMar>
            <w:top w:w="0" w:type="dxa"/>
            <w:left w:w="108" w:type="dxa"/>
            <w:bottom w:w="0" w:type="dxa"/>
            <w:right w:w="108" w:type="dxa"/>
          </w:tblCellMar>
        </w:tblPrEx>
        <w:trPr>
          <w:trHeight w:val="16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D754D7">
            <w:pPr>
              <w:spacing w:line="109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48A7">
            <w:pPr>
              <w:spacing w:line="924" w:lineRule="exact"/>
              <w:rPr>
                <w:rFonts w:hint="eastAsia" w:ascii="宋体" w:hAnsi="宋体" w:eastAsia="宋体" w:cs="宋体"/>
                <w:highlight w:val="none"/>
              </w:rPr>
            </w:pPr>
            <w:r>
              <w:rPr>
                <w:rFonts w:hint="eastAsia" w:ascii="宋体" w:hAnsi="宋体" w:eastAsia="宋体" w:cs="宋体"/>
                <w:spacing w:val="-1"/>
                <w:sz w:val="20"/>
                <w:highlight w:val="none"/>
              </w:rPr>
              <w:t>砍伐树木、挖</w:t>
            </w:r>
          </w:p>
          <w:p w14:paraId="5340F9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除树根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031DB4">
            <w:pPr>
              <w:spacing w:line="1061" w:lineRule="exact"/>
              <w:ind w:left="320"/>
              <w:rPr>
                <w:rFonts w:hint="eastAsia" w:ascii="宋体" w:hAnsi="宋体" w:eastAsia="宋体" w:cs="宋体"/>
                <w:highlight w:val="none"/>
              </w:rPr>
            </w:pPr>
            <w:r>
              <w:rPr>
                <w:rFonts w:hint="eastAsia" w:ascii="宋体" w:hAnsi="宋体" w:eastAsia="宋体" w:cs="宋体"/>
                <w:spacing w:val="-1"/>
                <w:sz w:val="20"/>
                <w:highlight w:val="none"/>
              </w:rPr>
              <w:t>棵</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FAA125">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依据图纸所示路基范围内胸</w:t>
            </w:r>
          </w:p>
          <w:p w14:paraId="457153BF">
            <w:pPr>
              <w:spacing w:line="260"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以上（含</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position w:val="1"/>
                <w:sz w:val="20"/>
                <w:highlight w:val="none"/>
              </w:rPr>
              <w:t>）的树</w:t>
            </w:r>
          </w:p>
          <w:p w14:paraId="210A93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木及树根，按实际砍伐及挖除</w:t>
            </w:r>
          </w:p>
          <w:p w14:paraId="36DB2C0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数量以棵为单位计量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1A5ED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砍伐；</w:t>
            </w:r>
          </w:p>
          <w:p w14:paraId="05265812">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截锯；</w:t>
            </w:r>
          </w:p>
          <w:p w14:paraId="706E2618">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挖除树根；</w:t>
            </w:r>
          </w:p>
          <w:p w14:paraId="5B0BFF82">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装卸、移运至指定地</w:t>
            </w:r>
            <w:r>
              <w:rPr>
                <w:rFonts w:hint="eastAsia" w:ascii="宋体" w:hAnsi="宋体" w:eastAsia="宋体" w:cs="宋体"/>
                <w:spacing w:val="-1"/>
                <w:sz w:val="20"/>
                <w:highlight w:val="none"/>
              </w:rPr>
              <w:t>点堆放；</w:t>
            </w:r>
          </w:p>
          <w:p w14:paraId="5EDB836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树坑回填、夯实；</w:t>
            </w:r>
          </w:p>
          <w:p w14:paraId="08771A9F">
            <w:pPr>
              <w:spacing w:line="26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现场清理</w:t>
            </w:r>
          </w:p>
        </w:tc>
      </w:tr>
      <w:tr w14:paraId="5EFC98E2">
        <w:tblPrEx>
          <w:tblCellMar>
            <w:top w:w="0" w:type="dxa"/>
            <w:left w:w="108" w:type="dxa"/>
            <w:bottom w:w="0" w:type="dxa"/>
            <w:right w:w="108" w:type="dxa"/>
          </w:tblCellMar>
        </w:tblPrEx>
        <w:trPr>
          <w:trHeight w:val="2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5685ED">
            <w:pPr>
              <w:spacing w:line="1368" w:lineRule="exact"/>
              <w:ind w:left="260"/>
              <w:rPr>
                <w:rFonts w:hint="eastAsia" w:ascii="宋体" w:hAnsi="宋体" w:eastAsia="宋体" w:cs="宋体"/>
                <w:highlight w:val="none"/>
              </w:rPr>
            </w:pPr>
            <w:r>
              <w:rPr>
                <w:rFonts w:hint="eastAsia" w:ascii="宋体" w:hAnsi="宋体" w:eastAsia="宋体" w:cs="宋体"/>
                <w:spacing w:val="-1"/>
                <w:sz w:val="20"/>
                <w:highlight w:val="none"/>
              </w:rPr>
              <w:t>202-2</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1F30C">
            <w:pPr>
              <w:spacing w:line="1333"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挖除旧路面</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F7630">
            <w:pPr>
              <w:spacing w:line="12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35178">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依据图纸所示位置，挖除</w:t>
            </w:r>
          </w:p>
          <w:p w14:paraId="1FEBB9DA">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路基范围内原有的旧路面，按</w:t>
            </w:r>
          </w:p>
          <w:p w14:paraId="1EDD2DD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不同的路面结构类型以立方</w:t>
            </w:r>
          </w:p>
          <w:p w14:paraId="7B1EFDF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p w14:paraId="3A140360">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挖除旧路面后的借方或利</w:t>
            </w:r>
          </w:p>
          <w:p w14:paraId="16768F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用方回填至原路面标高并压</w:t>
            </w:r>
          </w:p>
          <w:p w14:paraId="0F0128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实、面层以下各结构层的挖除</w:t>
            </w:r>
          </w:p>
          <w:p w14:paraId="4AB7E8AE">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费用应列入挖除旧路面单价</w:t>
            </w:r>
          </w:p>
          <w:p w14:paraId="4CAA9E5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之内，不另行计量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F16995">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38CBA460">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装卸、移运、掩埋处</w:t>
            </w:r>
            <w:r>
              <w:rPr>
                <w:rFonts w:hint="eastAsia" w:ascii="宋体" w:hAnsi="宋体" w:eastAsia="宋体" w:cs="宋体"/>
                <w:spacing w:val="-1"/>
                <w:sz w:val="20"/>
                <w:highlight w:val="none"/>
              </w:rPr>
              <w:t>理；</w:t>
            </w:r>
          </w:p>
          <w:p w14:paraId="4AEF1B4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路床碾压、回填至原</w:t>
            </w:r>
            <w:r>
              <w:rPr>
                <w:rFonts w:hint="eastAsia" w:ascii="宋体" w:hAnsi="宋体" w:eastAsia="宋体" w:cs="宋体"/>
                <w:spacing w:val="-1"/>
                <w:sz w:val="20"/>
                <w:highlight w:val="none"/>
              </w:rPr>
              <w:t>地面标高；</w:t>
            </w:r>
          </w:p>
          <w:p w14:paraId="4EB3BEC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场地清理、平整、压</w:t>
            </w:r>
            <w:r>
              <w:rPr>
                <w:rFonts w:hint="eastAsia" w:ascii="宋体" w:hAnsi="宋体" w:eastAsia="宋体" w:cs="宋体"/>
                <w:spacing w:val="-1"/>
                <w:sz w:val="20"/>
                <w:highlight w:val="none"/>
              </w:rPr>
              <w:t>实</w:t>
            </w:r>
          </w:p>
        </w:tc>
      </w:tr>
      <w:tr w14:paraId="1B6BA36C">
        <w:tblPrEx>
          <w:tblCellMar>
            <w:top w:w="0" w:type="dxa"/>
            <w:left w:w="108" w:type="dxa"/>
            <w:bottom w:w="0" w:type="dxa"/>
            <w:right w:w="108" w:type="dxa"/>
          </w:tblCellMar>
        </w:tblPrEx>
        <w:trPr>
          <w:trHeight w:val="15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D6839">
            <w:pPr>
              <w:spacing w:line="822" w:lineRule="exact"/>
              <w:ind w:left="260"/>
              <w:rPr>
                <w:rFonts w:hint="eastAsia" w:ascii="宋体" w:hAnsi="宋体" w:eastAsia="宋体" w:cs="宋体"/>
                <w:highlight w:val="none"/>
              </w:rPr>
            </w:pPr>
            <w:r>
              <w:rPr>
                <w:rFonts w:hint="eastAsia" w:ascii="宋体" w:hAnsi="宋体" w:eastAsia="宋体" w:cs="宋体"/>
                <w:spacing w:val="-1"/>
                <w:sz w:val="20"/>
                <w:highlight w:val="none"/>
              </w:rPr>
              <w:t>202-3</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A5DD26">
            <w:pPr>
              <w:spacing w:line="833" w:lineRule="exact"/>
              <w:ind w:left="281"/>
              <w:rPr>
                <w:rFonts w:hint="eastAsia" w:ascii="宋体" w:hAnsi="宋体" w:eastAsia="宋体" w:cs="宋体"/>
                <w:highlight w:val="none"/>
              </w:rPr>
            </w:pPr>
            <w:r>
              <w:rPr>
                <w:rFonts w:hint="eastAsia" w:ascii="宋体" w:hAnsi="宋体" w:eastAsia="宋体" w:cs="宋体"/>
                <w:spacing w:val="-1"/>
                <w:sz w:val="20"/>
                <w:highlight w:val="none"/>
              </w:rPr>
              <w:t>拆除结构物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8DB483">
            <w:pPr>
              <w:spacing w:line="79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C2914">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依据图纸所示位置，拆除路</w:t>
            </w:r>
          </w:p>
          <w:p w14:paraId="5C97F9B7">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基范围内原有的结构物，分不</w:t>
            </w:r>
          </w:p>
          <w:p w14:paraId="0E5BC6BF">
            <w:pPr>
              <w:spacing w:line="260" w:lineRule="exact"/>
              <w:ind w:left="109"/>
              <w:rPr>
                <w:rFonts w:hint="eastAsia" w:ascii="宋体" w:hAnsi="宋体" w:eastAsia="宋体" w:cs="宋体"/>
                <w:highlight w:val="none"/>
              </w:rPr>
            </w:pPr>
            <w:r>
              <w:rPr>
                <w:rFonts w:hint="eastAsia" w:ascii="宋体" w:hAnsi="宋体" w:eastAsia="宋体" w:cs="宋体"/>
                <w:sz w:val="20"/>
                <w:highlight w:val="none"/>
              </w:rPr>
              <w:t>同类型（钢筋混凝土、混凝土、</w:t>
            </w:r>
            <w:r>
              <w:rPr>
                <w:rFonts w:hint="eastAsia" w:ascii="宋体" w:hAnsi="宋体" w:eastAsia="宋体" w:cs="宋体"/>
                <w:spacing w:val="-1"/>
                <w:sz w:val="20"/>
                <w:highlight w:val="none"/>
              </w:rPr>
              <w:t>砖石及其他砌体），以立方米</w:t>
            </w:r>
          </w:p>
          <w:p w14:paraId="18CCABD1">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DAD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207F8F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装卸、移运、废料处</w:t>
            </w:r>
            <w:r>
              <w:rPr>
                <w:rFonts w:hint="eastAsia" w:ascii="宋体" w:hAnsi="宋体" w:eastAsia="宋体" w:cs="宋体"/>
                <w:spacing w:val="-1"/>
                <w:sz w:val="20"/>
                <w:highlight w:val="none"/>
              </w:rPr>
              <w:t>理；</w:t>
            </w:r>
          </w:p>
          <w:p w14:paraId="77C1F144">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坑穴回填、压实；</w:t>
            </w:r>
          </w:p>
          <w:p w14:paraId="531A8C47">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w:t>
            </w:r>
          </w:p>
        </w:tc>
      </w:tr>
      <w:tr w14:paraId="6B1C677B">
        <w:tblPrEx>
          <w:tblCellMar>
            <w:top w:w="0" w:type="dxa"/>
            <w:left w:w="108" w:type="dxa"/>
            <w:bottom w:w="0" w:type="dxa"/>
            <w:right w:w="108" w:type="dxa"/>
          </w:tblCellMar>
        </w:tblPrEx>
        <w:trPr>
          <w:trHeight w:val="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1B6B90">
            <w:pPr>
              <w:spacing w:line="325" w:lineRule="exact"/>
              <w:ind w:left="260"/>
              <w:rPr>
                <w:rFonts w:hint="eastAsia" w:ascii="宋体" w:hAnsi="宋体" w:eastAsia="宋体" w:cs="宋体"/>
                <w:highlight w:val="none"/>
              </w:rPr>
            </w:pPr>
            <w:r>
              <w:rPr>
                <w:rFonts w:hint="eastAsia" w:ascii="宋体" w:hAnsi="宋体" w:eastAsia="宋体" w:cs="宋体"/>
                <w:spacing w:val="-1"/>
                <w:sz w:val="20"/>
                <w:highlight w:val="none"/>
              </w:rPr>
              <w:t>203-1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B0B75">
            <w:pPr>
              <w:spacing w:line="333"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路基挖方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D080F2">
            <w:pPr>
              <w:spacing w:line="333"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357392">
            <w:pPr>
              <w:spacing w:line="333"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237100">
            <w:pPr>
              <w:spacing w:line="333" w:lineRule="exact"/>
              <w:rPr>
                <w:rFonts w:hint="eastAsia" w:ascii="宋体" w:hAnsi="宋体" w:eastAsia="宋体" w:cs="宋体"/>
                <w:highlight w:val="none"/>
              </w:rPr>
            </w:pPr>
          </w:p>
        </w:tc>
      </w:tr>
      <w:tr w14:paraId="040914B2">
        <w:tblPrEx>
          <w:tblCellMar>
            <w:top w:w="0" w:type="dxa"/>
            <w:left w:w="108" w:type="dxa"/>
            <w:bottom w:w="0" w:type="dxa"/>
            <w:right w:w="108" w:type="dxa"/>
          </w:tblCellMar>
        </w:tblPrEx>
        <w:trPr>
          <w:trHeight w:val="231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81D49A">
            <w:pPr>
              <w:spacing w:line="1097"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8CE085">
            <w:pPr>
              <w:spacing w:line="1105"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5F0D4D">
            <w:pPr>
              <w:spacing w:line="106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8C34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9E79451">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5F54C7F">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DC00D45">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350F9D49">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4F618ABC">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0A9CAA0C">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5587E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3455AEDF">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r>
              <w:rPr>
                <w:rFonts w:hint="eastAsia" w:ascii="宋体" w:hAnsi="宋体" w:eastAsia="宋体" w:cs="宋体"/>
                <w:spacing w:val="-1"/>
                <w:sz w:val="20"/>
                <w:highlight w:val="none"/>
              </w:rPr>
              <w:t>压实；</w:t>
            </w:r>
          </w:p>
          <w:p w14:paraId="0B35050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61C9B70B">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r>
              <w:rPr>
                <w:rFonts w:hint="eastAsia" w:ascii="宋体" w:hAnsi="宋体" w:eastAsia="宋体" w:cs="宋体"/>
                <w:spacing w:val="-1"/>
                <w:sz w:val="20"/>
                <w:highlight w:val="none"/>
              </w:rPr>
              <w:t>实、路床清理</w:t>
            </w:r>
          </w:p>
        </w:tc>
      </w:tr>
    </w:tbl>
    <w:p w14:paraId="751957BE">
      <w:pPr>
        <w:spacing w:line="242" w:lineRule="auto"/>
        <w:jc w:val="both"/>
        <w:rPr>
          <w:rFonts w:hint="eastAsia" w:ascii="宋体" w:hAnsi="宋体" w:eastAsia="宋体" w:cs="宋体"/>
          <w:sz w:val="21"/>
          <w:highlight w:val="none"/>
        </w:rPr>
        <w:sectPr>
          <w:footerReference r:id="rId15" w:type="default"/>
          <w:pgSz w:w="11910" w:h="16840"/>
          <w:pgMar w:top="1440" w:right="1080" w:bottom="1040" w:left="1420" w:header="882" w:footer="847" w:gutter="0"/>
          <w:cols w:space="720" w:num="1"/>
        </w:sectPr>
      </w:pPr>
    </w:p>
    <w:p w14:paraId="14BDE9D1">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38EB108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C694EC">
            <w:pPr>
              <w:spacing w:line="237"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99DE21">
            <w:pPr>
              <w:spacing w:line="237"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9E90">
            <w:pPr>
              <w:spacing w:line="2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E11D7">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04BE367E">
            <w:pPr>
              <w:spacing w:line="308"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099DFCC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p w14:paraId="381511B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3B4F4D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8CFAC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55BC8A7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09DF404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3734497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6D34C39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0CCC376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4685F4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4052984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56C10793">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FCEED">
            <w:pPr>
              <w:spacing w:line="236" w:lineRule="exact"/>
              <w:rPr>
                <w:rFonts w:hint="eastAsia" w:ascii="宋体" w:hAnsi="宋体" w:eastAsia="宋体" w:cs="宋体"/>
                <w:highlight w:val="none"/>
              </w:rPr>
            </w:pPr>
          </w:p>
        </w:tc>
      </w:tr>
      <w:tr w14:paraId="5C3DB75C">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46828E">
            <w:pPr>
              <w:spacing w:line="2185"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42094D">
            <w:pPr>
              <w:spacing w:line="2194"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771D90">
            <w:pPr>
              <w:spacing w:line="21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7422C">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22928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3FF11CC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6783CF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55A2D6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5C2B3D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7F77A5A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37769F6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4D3AF0F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6574DF78">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736C325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0A77D9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35538A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3973FE46">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76A2090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C3993">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42A51B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7AB182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6D87CE0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6575B9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3F38F50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36366F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1DD39C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07F11A5F">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FD70F5">
            <w:pPr>
              <w:spacing w:line="687"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7AB71D">
            <w:pPr>
              <w:spacing w:line="515"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072755DC">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AFBCB">
            <w:pPr>
              <w:spacing w:line="65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5BB171">
            <w:pPr>
              <w:spacing w:line="37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3C1EC1D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5CB52EE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10E3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41208C3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4577A1F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1DEAB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546F798">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9308C9">
            <w:pPr>
              <w:spacing w:line="68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263D88">
            <w:pPr>
              <w:spacing w:line="698"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FB2B18">
            <w:pPr>
              <w:spacing w:line="65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0D97BF">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5753E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28136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5BFC7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60CE51C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18E9E2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99773E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67E27C2A">
        <w:tblPrEx>
          <w:tblCellMar>
            <w:top w:w="0" w:type="dxa"/>
            <w:left w:w="108" w:type="dxa"/>
            <w:bottom w:w="0" w:type="dxa"/>
            <w:right w:w="108" w:type="dxa"/>
          </w:tblCellMar>
        </w:tblPrEx>
        <w:trPr>
          <w:trHeight w:val="73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09DF5">
            <w:pPr>
              <w:spacing w:line="504" w:lineRule="exact"/>
              <w:ind w:left="260"/>
              <w:rPr>
                <w:rFonts w:hint="eastAsia" w:ascii="宋体" w:hAnsi="宋体" w:eastAsia="宋体" w:cs="宋体"/>
                <w:highlight w:val="none"/>
              </w:rPr>
            </w:pPr>
            <w:r>
              <w:rPr>
                <w:rFonts w:hint="eastAsia" w:ascii="宋体" w:hAnsi="宋体" w:eastAsia="宋体" w:cs="宋体"/>
                <w:spacing w:val="-1"/>
                <w:sz w:val="20"/>
                <w:highlight w:val="none"/>
              </w:rPr>
              <w:t>203-2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CD41D8">
            <w:pPr>
              <w:spacing w:line="332"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6E75EF6A">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改路挖方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8D0CC4">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163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99249">
            <w:pPr>
              <w:spacing w:line="360" w:lineRule="exact"/>
              <w:rPr>
                <w:rFonts w:hint="eastAsia" w:ascii="宋体" w:hAnsi="宋体" w:eastAsia="宋体" w:cs="宋体"/>
                <w:highlight w:val="none"/>
              </w:rPr>
            </w:pPr>
          </w:p>
        </w:tc>
      </w:tr>
      <w:tr w14:paraId="7C1B0435">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C30A41">
            <w:pPr>
              <w:spacing w:line="150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A05417">
            <w:pPr>
              <w:spacing w:line="1513"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00D875">
            <w:pPr>
              <w:spacing w:line="147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E13AC4">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534F1C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0AA75DD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E10287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28EC12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23B7FE7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7034B56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p w14:paraId="641E4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4DFDCEFE">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264C89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1B31B">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161501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p>
          <w:p w14:paraId="2D86E2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29DE62B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17E595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w:t>
            </w:r>
          </w:p>
          <w:p w14:paraId="1FB22EB7">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p>
          <w:p w14:paraId="490EB22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实、路床清理</w:t>
            </w:r>
          </w:p>
        </w:tc>
      </w:tr>
    </w:tbl>
    <w:p w14:paraId="399F8A1A">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0F313B88">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AA87123">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165DE">
            <w:pPr>
              <w:spacing w:line="236"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99A494">
            <w:pPr>
              <w:spacing w:line="236"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042E0F">
            <w:pPr>
              <w:spacing w:line="23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D48D8">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0A11C44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222F14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6F2D093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6D039FF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73BE8EC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7341A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389B9BA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37A00B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034E294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6719165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DB85F3">
            <w:pPr>
              <w:spacing w:line="236" w:lineRule="exact"/>
              <w:rPr>
                <w:rFonts w:hint="eastAsia" w:ascii="宋体" w:hAnsi="宋体" w:eastAsia="宋体" w:cs="宋体"/>
                <w:highlight w:val="none"/>
              </w:rPr>
            </w:pPr>
          </w:p>
        </w:tc>
      </w:tr>
      <w:tr w14:paraId="4FF56CC7">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32CFE">
            <w:pPr>
              <w:spacing w:line="218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FB706">
            <w:pPr>
              <w:spacing w:line="2195"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ECF1E">
            <w:pPr>
              <w:spacing w:line="215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410655">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489A75C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AE4A6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724D0F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19263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3062897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1A156A3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5F666683">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05493A1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18DF274B">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07EC274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4D6741C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72B34AE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79FD767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43D2E0E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D60B59">
            <w:pPr>
              <w:spacing w:line="123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7A0A42D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3E79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0092E85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4C5D34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5CA848F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0FB548E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77FB20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5C54D05E">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C7DCD2">
            <w:pPr>
              <w:spacing w:line="688"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F10B57">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4A0463A9">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4356">
            <w:pPr>
              <w:spacing w:line="6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2E755">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6F0096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4156B95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108B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3BAFC4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529881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1F795CA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2E7CC3C5">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D6B6D6">
            <w:pPr>
              <w:spacing w:line="688"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2AB439">
            <w:pPr>
              <w:spacing w:line="697"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2B6D04">
            <w:pPr>
              <w:spacing w:line="6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67AB01">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711112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07825B3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BE0FA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08FE03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01CEEB8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427B0D8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90F9A85">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1ABCFE">
            <w:pPr>
              <w:spacing w:line="416" w:lineRule="exact"/>
              <w:ind w:left="260"/>
              <w:rPr>
                <w:rFonts w:hint="eastAsia" w:ascii="宋体" w:hAnsi="宋体" w:eastAsia="宋体" w:cs="宋体"/>
                <w:highlight w:val="none"/>
              </w:rPr>
            </w:pPr>
            <w:r>
              <w:rPr>
                <w:rFonts w:hint="eastAsia" w:ascii="宋体" w:hAnsi="宋体" w:eastAsia="宋体" w:cs="宋体"/>
                <w:spacing w:val="-1"/>
                <w:sz w:val="20"/>
                <w:highlight w:val="none"/>
              </w:rPr>
              <w:t>204-1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0D29B1">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路基填筑（包</w:t>
            </w:r>
          </w:p>
          <w:p w14:paraId="3DA785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括填前压实）</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F27141">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9B364">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424C7F">
            <w:pPr>
              <w:spacing w:line="271" w:lineRule="exact"/>
              <w:rPr>
                <w:rFonts w:hint="eastAsia" w:ascii="宋体" w:hAnsi="宋体" w:eastAsia="宋体" w:cs="宋体"/>
                <w:highlight w:val="none"/>
              </w:rPr>
            </w:pPr>
          </w:p>
        </w:tc>
      </w:tr>
      <w:tr w14:paraId="6C54F252">
        <w:tblPrEx>
          <w:tblCellMar>
            <w:top w:w="0" w:type="dxa"/>
            <w:left w:w="108" w:type="dxa"/>
            <w:bottom w:w="0" w:type="dxa"/>
            <w:right w:w="108" w:type="dxa"/>
          </w:tblCellMar>
        </w:tblPrEx>
        <w:trPr>
          <w:trHeight w:val="382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29A925">
            <w:pPr>
              <w:spacing w:line="205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51A0F0">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D174CF">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85E9B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3BC330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3525A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1BEA09B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3412DF56">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39AE21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2100ED22">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10E63C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59DEDA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53B7F5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0D7E1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6C84DD7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14C46E1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507D564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45AC8">
            <w:pPr>
              <w:spacing w:line="123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0E7B6B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7D044A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0DBF36F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4CDFCD3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36ACEF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CF9E29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bl>
    <w:p w14:paraId="28F21A7A">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13F5C8F2">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ACAF2A5">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78887">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BF78C8">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BC49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AAF53E">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7127E55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7A14D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3098E6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239D40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D6D57">
            <w:pPr>
              <w:spacing w:line="271" w:lineRule="exact"/>
              <w:rPr>
                <w:rFonts w:hint="eastAsia" w:ascii="宋体" w:hAnsi="宋体" w:eastAsia="宋体" w:cs="宋体"/>
                <w:highlight w:val="none"/>
              </w:rPr>
            </w:pPr>
          </w:p>
        </w:tc>
      </w:tr>
      <w:tr w14:paraId="20CEE3F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7D1CB8">
            <w:pPr>
              <w:spacing w:line="2049"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193DAD">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92D484">
            <w:pPr>
              <w:spacing w:line="19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55D9A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B5A48C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34F39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750DE3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4A1E49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7AC596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22CAC83C">
            <w:pPr>
              <w:spacing w:line="271"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39747B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3E69E40D">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结构物台背回填的回填材</w:t>
            </w:r>
          </w:p>
          <w:p w14:paraId="5F2B2D8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2C5B1E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06D094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62B716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FB3EC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6F52EA">
            <w:pPr>
              <w:spacing w:line="82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215D5C4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731567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1C587A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036F2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698D42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73654DE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14649B9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61B0E1A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3902CE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5D0E3319">
        <w:tblPrEx>
          <w:tblCellMar>
            <w:top w:w="0" w:type="dxa"/>
            <w:left w:w="108" w:type="dxa"/>
            <w:bottom w:w="0" w:type="dxa"/>
            <w:right w:w="108" w:type="dxa"/>
          </w:tblCellMar>
        </w:tblPrEx>
        <w:trPr>
          <w:trHeight w:val="545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D81694">
            <w:pPr>
              <w:spacing w:line="286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D6F0FF">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99C70">
            <w:pPr>
              <w:spacing w:line="27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FD5397">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1E38A1A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E0CF5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20A07C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1BABA3E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881FDD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F0CC7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404FCB0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240AD12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540B8A8">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3C26542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2B7D0D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DC4F9D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33B57D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4EC343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2B4F48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729FAA3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11340E2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1F6D571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1131C6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0A42AF">
            <w:pPr>
              <w:spacing w:line="177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9288B6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7E96A4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34B794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5F8461B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0062E66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0441F09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3777087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2164E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4193759A">
        <w:tblPrEx>
          <w:tblCellMar>
            <w:top w:w="0" w:type="dxa"/>
            <w:left w:w="108" w:type="dxa"/>
            <w:bottom w:w="0" w:type="dxa"/>
            <w:right w:w="108" w:type="dxa"/>
          </w:tblCellMar>
        </w:tblPrEx>
        <w:trPr>
          <w:trHeight w:val="316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A10795">
            <w:pPr>
              <w:spacing w:line="1640"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A7F1A0">
            <w:pPr>
              <w:spacing w:line="1606"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5612C">
            <w:pPr>
              <w:spacing w:line="155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5BF9FB">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1.  </w:t>
            </w:r>
            <w:r>
              <w:rPr>
                <w:rFonts w:hint="eastAsia" w:ascii="宋体" w:hAnsi="宋体" w:eastAsia="宋体" w:cs="宋体"/>
                <w:spacing w:val="-1"/>
                <w:position w:val="1"/>
                <w:sz w:val="20"/>
                <w:highlight w:val="none"/>
              </w:rPr>
              <w:t>依据图纸所示地面线、路</w:t>
            </w:r>
          </w:p>
          <w:p w14:paraId="02549D0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84D2BB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686554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D9396D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773B726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C05DFA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23788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949DF9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5C441D6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4019400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4A6FC2">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FCC54F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2F76822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65BE406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2A84FB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8BB414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185A36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36FC259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32041E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0EB05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04B0EA64">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4C443F5A">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04305FA6">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D395E">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BCACB">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88A538">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84B0E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769B58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0DB72AC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74A7918C">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583E48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5A478DC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CAA5C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0B51AC5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2687F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57EED8">
            <w:pPr>
              <w:spacing w:line="274" w:lineRule="exact"/>
              <w:rPr>
                <w:rFonts w:hint="eastAsia" w:ascii="宋体" w:hAnsi="宋体" w:eastAsia="宋体" w:cs="宋体"/>
                <w:highlight w:val="none"/>
              </w:rPr>
            </w:pPr>
          </w:p>
        </w:tc>
      </w:tr>
      <w:tr w14:paraId="04EA5115">
        <w:tblPrEx>
          <w:tblCellMar>
            <w:top w:w="0" w:type="dxa"/>
            <w:left w:w="108" w:type="dxa"/>
            <w:bottom w:w="0" w:type="dxa"/>
            <w:right w:w="108" w:type="dxa"/>
          </w:tblCellMar>
        </w:tblPrEx>
        <w:trPr>
          <w:trHeight w:val="273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6E3A5">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335EF5">
            <w:pPr>
              <w:spacing w:line="1470" w:lineRule="exact"/>
              <w:ind w:left="281"/>
              <w:rPr>
                <w:rFonts w:hint="eastAsia" w:ascii="宋体" w:hAnsi="宋体" w:eastAsia="宋体" w:cs="宋体"/>
                <w:highlight w:val="none"/>
              </w:rPr>
            </w:pPr>
            <w:r>
              <w:rPr>
                <w:rFonts w:hint="eastAsia" w:ascii="宋体" w:hAnsi="宋体" w:eastAsia="宋体" w:cs="宋体"/>
                <w:spacing w:val="-1"/>
                <w:sz w:val="20"/>
                <w:highlight w:val="none"/>
              </w:rPr>
              <w:t>反压护坡道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6ACA6">
            <w:pPr>
              <w:spacing w:line="141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566ECC">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依据图纸所示路基设计横</w:t>
            </w:r>
          </w:p>
          <w:p w14:paraId="3EF822D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断面图，按平均断面面积法计</w:t>
            </w:r>
          </w:p>
          <w:p w14:paraId="5331CF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算压实的体积，以立方米为单</w:t>
            </w:r>
          </w:p>
          <w:p w14:paraId="3423EDE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3DCFE6F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满足施工需要，预留路基</w:t>
            </w:r>
          </w:p>
          <w:p w14:paraId="3E869C60">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6283E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53CF1D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EC0C19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0838D41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AB9363">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1226A96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457FD3D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2B296FE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06D47E1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609EC1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2BCD6A2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34BEDD1A">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41C208">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204-2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CAC8BA">
            <w:pPr>
              <w:spacing w:line="243"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53E6D45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改路填筑</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2C6A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AD045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67181E">
            <w:pPr>
              <w:spacing w:line="274" w:lineRule="exact"/>
              <w:rPr>
                <w:rFonts w:hint="eastAsia" w:ascii="宋体" w:hAnsi="宋体" w:eastAsia="宋体" w:cs="宋体"/>
                <w:highlight w:val="none"/>
              </w:rPr>
            </w:pPr>
          </w:p>
        </w:tc>
      </w:tr>
      <w:tr w14:paraId="060A5029">
        <w:tblPrEx>
          <w:tblCellMar>
            <w:top w:w="0" w:type="dxa"/>
            <w:left w:w="108" w:type="dxa"/>
            <w:bottom w:w="0" w:type="dxa"/>
            <w:right w:w="108" w:type="dxa"/>
          </w:tblCellMar>
        </w:tblPrEx>
        <w:trPr>
          <w:trHeight w:val="518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4E2C6B">
            <w:pPr>
              <w:spacing w:line="273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F5F15D">
            <w:pPr>
              <w:spacing w:line="2696"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290A1B">
            <w:pPr>
              <w:spacing w:line="264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1A7743">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65718F1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4A052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5712AD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0E8D831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64C5CB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40CF1DC4">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4ECD97E6">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BC4F81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483305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35A28A8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744B866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137796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1530CC0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13C0A6D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AC3470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DC15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590C7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5A048F3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338E1C">
            <w:pPr>
              <w:spacing w:line="19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7F41D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586AF0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BFE58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35DDC75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51E6AD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2BC40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23E80D24">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146F55">
            <w:pPr>
              <w:spacing w:line="1504"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7F7582">
            <w:pPr>
              <w:spacing w:line="1469"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6FF356">
            <w:pPr>
              <w:spacing w:line="141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182FA">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68F1A8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26120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41F369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5EB7A9D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1C923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154A5EAD">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6ADD611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AA4C09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92242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F2A972">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4819436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AA6E6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56BF94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1841388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306E7B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5264988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788938A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08345AC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6F5C37C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4FD168EC">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527CE74E">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6DA9B5D3">
        <w:tblPrEx>
          <w:tblCellMar>
            <w:top w:w="0" w:type="dxa"/>
            <w:left w:w="108" w:type="dxa"/>
            <w:bottom w:w="0" w:type="dxa"/>
            <w:right w:w="108" w:type="dxa"/>
          </w:tblCellMar>
        </w:tblPrEx>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7613">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A6D8FC">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D7130">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F41DC1">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470DDDB">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5C9221A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7DFE93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050B23E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6B5B1A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43E38C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7AB971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5D77B5">
            <w:pPr>
              <w:spacing w:line="271" w:lineRule="exact"/>
              <w:rPr>
                <w:rFonts w:hint="eastAsia" w:ascii="宋体" w:hAnsi="宋体" w:eastAsia="宋体" w:cs="宋体"/>
                <w:highlight w:val="none"/>
              </w:rPr>
            </w:pPr>
          </w:p>
        </w:tc>
      </w:tr>
      <w:tr w14:paraId="1F36206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FC0D0">
            <w:pPr>
              <w:spacing w:line="2866"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E0CA1">
            <w:pPr>
              <w:spacing w:line="2829"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DD19">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8937">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49E7B4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7A8CF5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4266439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635AE8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06B10E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7D1F81F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3ED1F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514564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2606588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2694DC2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1C55C5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AFE137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008057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4BECC23">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3261EA3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E356B0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E887C9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ACF6B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613A952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2DE2F">
            <w:pPr>
              <w:spacing w:line="17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88880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5654885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7DD439C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1910C8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5D33948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27BA5ED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1A4E5A5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2BFBE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5A5D928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8EB8B4">
            <w:pPr>
              <w:spacing w:line="286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41D20">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88CD7">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FEE140">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1.  </w:t>
            </w:r>
            <w:r>
              <w:rPr>
                <w:rFonts w:hint="eastAsia" w:ascii="宋体" w:hAnsi="宋体" w:eastAsia="宋体" w:cs="宋体"/>
                <w:spacing w:val="-1"/>
                <w:position w:val="1"/>
                <w:sz w:val="20"/>
                <w:highlight w:val="none"/>
              </w:rPr>
              <w:t>依据图纸所示地面线、路</w:t>
            </w:r>
          </w:p>
          <w:p w14:paraId="4C1CDB1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1B781E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0085F0A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A50F2A1">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6FEFB96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917254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99271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98E82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7700762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7A182D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B06817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58D18C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1E759F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BFC900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CA1404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A3F959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FCCA38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CD8E6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215A3FF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ECA28">
            <w:pPr>
              <w:spacing w:line="164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E6031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ED50F0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19F898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02C47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FFB6EB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3B04436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746031D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143044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07DE9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702C4CF8">
        <w:tblPrEx>
          <w:tblCellMar>
            <w:top w:w="0" w:type="dxa"/>
            <w:left w:w="108" w:type="dxa"/>
            <w:bottom w:w="0" w:type="dxa"/>
            <w:right w:w="108" w:type="dxa"/>
          </w:tblCellMar>
        </w:tblPrEx>
        <w:trPr>
          <w:trHeight w:val="51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B3D7BB">
            <w:pPr>
              <w:spacing w:line="393" w:lineRule="exact"/>
              <w:ind w:left="260"/>
              <w:rPr>
                <w:rFonts w:hint="eastAsia" w:ascii="宋体" w:hAnsi="宋体" w:eastAsia="宋体" w:cs="宋体"/>
                <w:highlight w:val="none"/>
              </w:rPr>
            </w:pPr>
            <w:r>
              <w:rPr>
                <w:rFonts w:hint="eastAsia" w:ascii="宋体" w:hAnsi="宋体" w:eastAsia="宋体" w:cs="宋体"/>
                <w:spacing w:val="-1"/>
                <w:sz w:val="20"/>
                <w:highlight w:val="none"/>
              </w:rPr>
              <w:t>205-1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E8509">
            <w:pPr>
              <w:spacing w:line="358" w:lineRule="exact"/>
              <w:ind w:left="281"/>
              <w:rPr>
                <w:rFonts w:hint="eastAsia" w:ascii="宋体" w:hAnsi="宋体" w:eastAsia="宋体" w:cs="宋体"/>
                <w:highlight w:val="none"/>
              </w:rPr>
            </w:pPr>
            <w:r>
              <w:rPr>
                <w:rFonts w:hint="eastAsia" w:ascii="宋体" w:hAnsi="宋体" w:eastAsia="宋体" w:cs="宋体"/>
                <w:spacing w:val="-1"/>
                <w:sz w:val="20"/>
                <w:highlight w:val="none"/>
              </w:rPr>
              <w:t>软土路基处理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775590">
            <w:pPr>
              <w:spacing w:line="35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DBEF7">
            <w:pPr>
              <w:spacing w:line="35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0FFF6">
            <w:pPr>
              <w:spacing w:line="358" w:lineRule="exact"/>
              <w:rPr>
                <w:rFonts w:hint="eastAsia" w:ascii="宋体" w:hAnsi="宋体" w:eastAsia="宋体" w:cs="宋体"/>
                <w:highlight w:val="none"/>
              </w:rPr>
            </w:pPr>
          </w:p>
        </w:tc>
      </w:tr>
    </w:tbl>
    <w:p w14:paraId="4D97F55C">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13D658C9">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F760813">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DF8762">
            <w:pPr>
              <w:spacing w:line="82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316C0C">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抛石挤淤</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9C22B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7B2644">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依据图纸所示位置和范围，</w:t>
            </w:r>
          </w:p>
          <w:p w14:paraId="2A02458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按照抛石体积的片石数量，以</w:t>
            </w:r>
          </w:p>
          <w:p w14:paraId="64D9E9E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85A38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7EAA2A8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抛填片石；</w:t>
            </w:r>
          </w:p>
          <w:p w14:paraId="0A63988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小石块、石屑填塞垫</w:t>
            </w:r>
          </w:p>
          <w:p w14:paraId="6994A3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w:t>
            </w:r>
          </w:p>
          <w:p w14:paraId="0D8568F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重型压路机压实</w:t>
            </w:r>
          </w:p>
        </w:tc>
      </w:tr>
      <w:tr w14:paraId="2BA82959">
        <w:tblPrEx>
          <w:tblCellMar>
            <w:top w:w="0" w:type="dxa"/>
            <w:left w:w="108" w:type="dxa"/>
            <w:bottom w:w="0" w:type="dxa"/>
            <w:right w:w="108" w:type="dxa"/>
          </w:tblCellMar>
        </w:tblPrEx>
        <w:trPr>
          <w:trHeight w:val="46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DD435D">
            <w:pPr>
              <w:spacing w:line="37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DAFE2">
            <w:pPr>
              <w:spacing w:line="337" w:lineRule="exact"/>
              <w:ind w:left="281"/>
              <w:rPr>
                <w:rFonts w:hint="eastAsia" w:ascii="宋体" w:hAnsi="宋体" w:eastAsia="宋体" w:cs="宋体"/>
                <w:highlight w:val="none"/>
              </w:rPr>
            </w:pPr>
            <w:r>
              <w:rPr>
                <w:rFonts w:hint="eastAsia" w:ascii="宋体" w:hAnsi="宋体" w:eastAsia="宋体" w:cs="宋体"/>
                <w:spacing w:val="-1"/>
                <w:sz w:val="20"/>
                <w:highlight w:val="none"/>
              </w:rPr>
              <w:t>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20878">
            <w:pPr>
              <w:spacing w:line="3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5098C">
            <w:pPr>
              <w:spacing w:line="33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D1810">
            <w:pPr>
              <w:spacing w:line="337" w:lineRule="exact"/>
              <w:rPr>
                <w:rFonts w:hint="eastAsia" w:ascii="宋体" w:hAnsi="宋体" w:eastAsia="宋体" w:cs="宋体"/>
                <w:highlight w:val="none"/>
              </w:rPr>
            </w:pPr>
          </w:p>
        </w:tc>
      </w:tr>
      <w:tr w14:paraId="3F4846EF">
        <w:tblPrEx>
          <w:tblCellMar>
            <w:top w:w="0" w:type="dxa"/>
            <w:left w:w="108" w:type="dxa"/>
            <w:bottom w:w="0" w:type="dxa"/>
            <w:right w:w="108" w:type="dxa"/>
          </w:tblCellMar>
        </w:tblPrEx>
        <w:trPr>
          <w:trHeight w:val="137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6304AF">
            <w:pPr>
              <w:spacing w:line="824"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696378">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8309E7">
            <w:pPr>
              <w:spacing w:line="73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E1B77F">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A549791">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尺寸，按图示砂垫层密实体积</w:t>
            </w:r>
          </w:p>
          <w:p w14:paraId="0F7C87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1DFF524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307E1286">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3708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5607A35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3E7EB40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02AF1D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6770EF31">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40D7A6">
            <w:pPr>
              <w:spacing w:line="823"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EA61C2">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砂砾垫层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AF47CB">
            <w:pPr>
              <w:spacing w:line="73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812892">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574E92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尺寸，按图示砂砾垫层密实体</w:t>
            </w:r>
          </w:p>
          <w:p w14:paraId="0188E7B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p w14:paraId="176E5A2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720EC949">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3BA251">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1D59994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85B752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E333D3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0B9BD51E">
        <w:tblPrEx>
          <w:tblCellMar>
            <w:top w:w="0" w:type="dxa"/>
            <w:left w:w="108" w:type="dxa"/>
            <w:bottom w:w="0" w:type="dxa"/>
            <w:right w:w="108" w:type="dxa"/>
          </w:tblCellMar>
        </w:tblPrEx>
        <w:trPr>
          <w:trHeight w:val="151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4AD9A5">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5D07F">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碎石（砂砾）</w:t>
            </w:r>
          </w:p>
          <w:p w14:paraId="5DF349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D2C51">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DEFAD3">
            <w:pPr>
              <w:spacing w:line="51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3C5C8B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寸，按图示不同桩径的碎石</w:t>
            </w:r>
          </w:p>
          <w:p w14:paraId="11FD65F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（砂砾）桩长度以米为单位计</w:t>
            </w:r>
          </w:p>
          <w:p w14:paraId="2EC26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15A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4C5E6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08887BF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6E2BD2F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灌碎石（砂砾）；</w:t>
            </w:r>
          </w:p>
          <w:p w14:paraId="7F96ED9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19A2C007">
        <w:tblPrEx>
          <w:tblCellMar>
            <w:top w:w="0" w:type="dxa"/>
            <w:left w:w="108" w:type="dxa"/>
            <w:bottom w:w="0" w:type="dxa"/>
            <w:right w:w="108" w:type="dxa"/>
          </w:tblCellMar>
        </w:tblPrEx>
        <w:trPr>
          <w:trHeight w:val="142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7D600">
            <w:pPr>
              <w:spacing w:line="961"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A8356">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砂桩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A56627">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1F3B0">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256BDE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寸，按图示不同桩径的砂桩长</w:t>
            </w:r>
          </w:p>
          <w:p w14:paraId="38D8031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3E4889">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F897C2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7740B4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347EA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灌砂；</w:t>
            </w:r>
          </w:p>
          <w:p w14:paraId="798EFB2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0BEC120C">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510226">
            <w:pPr>
              <w:spacing w:line="416"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CA5FF">
            <w:pPr>
              <w:spacing w:line="381"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土工合成材料</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4F328">
            <w:pPr>
              <w:spacing w:line="38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DA9DD">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CB33D7">
            <w:pPr>
              <w:spacing w:line="381" w:lineRule="exact"/>
              <w:rPr>
                <w:rFonts w:hint="eastAsia" w:ascii="宋体" w:hAnsi="宋体" w:eastAsia="宋体" w:cs="宋体"/>
                <w:highlight w:val="none"/>
              </w:rPr>
            </w:pPr>
          </w:p>
        </w:tc>
      </w:tr>
      <w:tr w14:paraId="2AE38CE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875F5">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E855">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反滤土工布</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EB28DD">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A73C8">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0985DD6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格，按土层中分层铺设反滤土</w:t>
            </w:r>
          </w:p>
          <w:p w14:paraId="6326288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工布的累计净面积以平方米</w:t>
            </w:r>
          </w:p>
          <w:p w14:paraId="7D04BE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3566737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61DF5A6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2551F9">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20DC0E6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03B6578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40BDEE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57BFBE9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FA2D01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65962">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DE668">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A201A">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6DED6">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551B607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BE4F5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58F3DF8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62F05CAA">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20C2F71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CA2E37">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16DC5C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2D0B61C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7C914A1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28DE6B2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567E2CB">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2882D">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43564">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80DF9">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CDB5E">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736D73E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3A3A54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8E9F0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4FAC93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5A7EAD8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9E4465">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842D8C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8FDF7A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CFA09A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E6201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3F9A317">
        <w:tblPrEx>
          <w:tblCellMar>
            <w:top w:w="0" w:type="dxa"/>
            <w:left w:w="108" w:type="dxa"/>
            <w:bottom w:w="0" w:type="dxa"/>
            <w:right w:w="108" w:type="dxa"/>
          </w:tblCellMar>
        </w:tblPrEx>
        <w:trPr>
          <w:trHeight w:val="28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BA7101">
            <w:pPr>
              <w:spacing w:line="280" w:lineRule="exact"/>
              <w:ind w:left="435"/>
              <w:rPr>
                <w:rFonts w:hint="eastAsia" w:ascii="宋体" w:hAnsi="宋体" w:eastAsia="宋体" w:cs="宋体"/>
                <w:highlight w:val="none"/>
              </w:rPr>
            </w:pPr>
            <w:r>
              <w:rPr>
                <w:rFonts w:hint="eastAsia" w:ascii="宋体" w:hAnsi="宋体" w:eastAsia="宋体" w:cs="宋体"/>
                <w:spacing w:val="-1"/>
                <w:sz w:val="20"/>
                <w:highlight w:val="none"/>
              </w:rPr>
              <w:t>-f</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5F4795">
            <w:pPr>
              <w:spacing w:line="245" w:lineRule="exact"/>
              <w:rPr>
                <w:rFonts w:hint="eastAsia" w:ascii="宋体" w:hAnsi="宋体" w:eastAsia="宋体" w:cs="宋体"/>
                <w:highlight w:val="none"/>
              </w:rPr>
            </w:pPr>
            <w:r>
              <w:rPr>
                <w:rFonts w:hint="eastAsia" w:ascii="宋体" w:hAnsi="宋体" w:eastAsia="宋体" w:cs="宋体"/>
                <w:spacing w:val="-1"/>
                <w:sz w:val="20"/>
                <w:highlight w:val="none"/>
              </w:rPr>
              <w:t>强夯及强夯置换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917B1">
            <w:pPr>
              <w:spacing w:line="245"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A76EE">
            <w:pPr>
              <w:spacing w:line="245"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5A14">
            <w:pPr>
              <w:spacing w:line="245" w:lineRule="exact"/>
              <w:rPr>
                <w:rFonts w:hint="eastAsia" w:ascii="宋体" w:hAnsi="宋体" w:eastAsia="宋体" w:cs="宋体"/>
                <w:highlight w:val="none"/>
              </w:rPr>
            </w:pPr>
          </w:p>
        </w:tc>
      </w:tr>
    </w:tbl>
    <w:p w14:paraId="75DE634A">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7945718">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40EE6D11">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73CFF">
            <w:pPr>
              <w:spacing w:line="1641" w:lineRule="exact"/>
              <w:ind w:left="349"/>
              <w:rPr>
                <w:rFonts w:hint="eastAsia" w:ascii="宋体" w:hAnsi="宋体" w:eastAsia="宋体" w:cs="宋体"/>
                <w:highlight w:val="none"/>
              </w:rPr>
            </w:pPr>
            <w:r>
              <w:rPr>
                <w:rFonts w:hint="eastAsia" w:ascii="宋体" w:hAnsi="宋体" w:eastAsia="宋体" w:cs="宋体"/>
                <w:spacing w:val="-1"/>
                <w:sz w:val="20"/>
                <w:highlight w:val="none"/>
              </w:rPr>
              <w:t>-f-1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BF67A5">
            <w:pPr>
              <w:spacing w:line="1607"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0395E">
            <w:pPr>
              <w:spacing w:line="155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AAE56A">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依据图纸所示位置和处理</w:t>
            </w:r>
          </w:p>
          <w:p w14:paraId="73F13E8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面积，按图示路堤底面积以平</w:t>
            </w:r>
          </w:p>
          <w:p w14:paraId="5084BB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4E3F76A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施工前的地表处理、拦截</w:t>
            </w:r>
          </w:p>
          <w:p w14:paraId="5883E68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地表和地下水、强夯和强夯后</w:t>
            </w:r>
          </w:p>
          <w:p w14:paraId="50E20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的标准贯入、静力触探测试等</w:t>
            </w:r>
          </w:p>
          <w:p w14:paraId="1CA418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为附属工作，不另行计量；</w:t>
            </w:r>
          </w:p>
          <w:p w14:paraId="107AAC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强夯后沉降部分回填至原</w:t>
            </w:r>
          </w:p>
          <w:p w14:paraId="79707BFB">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标高的借方或利用方挖运、整</w:t>
            </w:r>
          </w:p>
          <w:p w14:paraId="1BBDA3A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平、压实等相关作业为附属工</w:t>
            </w:r>
          </w:p>
          <w:p w14:paraId="238233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A9C42">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DF8D6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04B5401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00F2706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7EACC40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强夯处理；</w:t>
            </w:r>
          </w:p>
          <w:p w14:paraId="75C2C0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路基整型；</w:t>
            </w:r>
          </w:p>
          <w:p w14:paraId="46A7C9C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压实；</w:t>
            </w:r>
          </w:p>
          <w:p w14:paraId="642877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沉降观测</w:t>
            </w:r>
          </w:p>
        </w:tc>
      </w:tr>
      <w:tr w14:paraId="5C083462">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B6F46E">
            <w:pPr>
              <w:spacing w:line="2051" w:lineRule="exact"/>
              <w:ind w:left="349"/>
              <w:rPr>
                <w:rFonts w:hint="eastAsia" w:ascii="宋体" w:hAnsi="宋体" w:eastAsia="宋体" w:cs="宋体"/>
                <w:highlight w:val="none"/>
              </w:rPr>
            </w:pPr>
            <w:r>
              <w:rPr>
                <w:rFonts w:hint="eastAsia" w:ascii="宋体" w:hAnsi="宋体" w:eastAsia="宋体" w:cs="宋体"/>
                <w:spacing w:val="-1"/>
                <w:sz w:val="20"/>
                <w:highlight w:val="none"/>
              </w:rPr>
              <w:t>-f-2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50A4E2">
            <w:pPr>
              <w:spacing w:line="2013"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E4077">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A64B72">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依据图纸所示位置，按图</w:t>
            </w:r>
          </w:p>
          <w:p w14:paraId="6233369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示置换的体积以立方米为单</w:t>
            </w:r>
          </w:p>
          <w:p w14:paraId="033E5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5AA1CC9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与强夯置换有关的试夯、</w:t>
            </w:r>
          </w:p>
          <w:p w14:paraId="502E9B4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试验、观测、检测等为附属工</w:t>
            </w:r>
          </w:p>
          <w:p w14:paraId="13C648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p w14:paraId="334834C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场地整平、开挖隔震沟（包</w:t>
            </w:r>
          </w:p>
          <w:p w14:paraId="135573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括竣工后回填）和因强夯置换</w:t>
            </w:r>
          </w:p>
          <w:p w14:paraId="773DC0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对周围构造物的影响（包括恢</w:t>
            </w:r>
          </w:p>
          <w:p w14:paraId="6D966F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复或赔付）及因强夯置换而引</w:t>
            </w:r>
          </w:p>
          <w:p w14:paraId="48E885A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起的原地表的下沉和隆起发</w:t>
            </w:r>
          </w:p>
          <w:p w14:paraId="08CA283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生的土方等所涉及费用已包</w:t>
            </w:r>
          </w:p>
          <w:p w14:paraId="59905DF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含在相关工程子目的单价中，</w:t>
            </w:r>
          </w:p>
          <w:p w14:paraId="1F0DED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47D897">
            <w:pPr>
              <w:spacing w:line="96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5B620F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5F6863F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1E007FF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0A05662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挖除材料；</w:t>
            </w:r>
          </w:p>
          <w:p w14:paraId="7D1F00C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铺设置换材料；</w:t>
            </w:r>
          </w:p>
          <w:p w14:paraId="36629D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强夯；</w:t>
            </w:r>
          </w:p>
          <w:p w14:paraId="0612BC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路基整型；</w:t>
            </w:r>
          </w:p>
          <w:p w14:paraId="1D62853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承载力检测</w:t>
            </w:r>
          </w:p>
        </w:tc>
      </w:tr>
      <w:tr w14:paraId="458897FE">
        <w:tblPrEx>
          <w:tblCellMar>
            <w:top w:w="0" w:type="dxa"/>
            <w:left w:w="108" w:type="dxa"/>
            <w:bottom w:w="0" w:type="dxa"/>
            <w:right w:w="108" w:type="dxa"/>
          </w:tblCellMar>
        </w:tblPrEx>
        <w:trPr>
          <w:trHeight w:val="117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AB596A">
            <w:pPr>
              <w:spacing w:line="959"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-g</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11812A">
            <w:pPr>
              <w:spacing w:line="377" w:lineRule="exact"/>
              <w:ind w:left="281"/>
              <w:jc w:val="both"/>
              <w:rPr>
                <w:rFonts w:hint="eastAsia" w:ascii="宋体" w:hAnsi="宋体" w:eastAsia="宋体" w:cs="宋体"/>
                <w:spacing w:val="-1"/>
                <w:sz w:val="20"/>
                <w:highlight w:val="none"/>
              </w:rPr>
            </w:pPr>
            <w:r>
              <w:rPr>
                <w:rFonts w:hint="eastAsia" w:ascii="宋体" w:hAnsi="宋体" w:eastAsia="宋体" w:cs="宋体"/>
                <w:spacing w:val="-1"/>
                <w:sz w:val="20"/>
                <w:highlight w:val="none"/>
              </w:rPr>
              <w:t>路基平整碾压</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A2EB15">
            <w:pPr>
              <w:spacing w:line="792" w:lineRule="exact"/>
              <w:jc w:val="center"/>
              <w:rPr>
                <w:rFonts w:hint="eastAsia" w:ascii="宋体" w:hAnsi="宋体" w:eastAsia="宋体" w:cs="宋体"/>
                <w:position w:val="-4"/>
                <w:sz w:val="20"/>
                <w:highlight w:val="none"/>
                <w:lang w:val="en-US"/>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lang w:val="en-US"/>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EDE0B1">
            <w:pPr>
              <w:spacing w:line="381" w:lineRule="exact"/>
              <w:jc w:val="both"/>
              <w:rPr>
                <w:rFonts w:hint="eastAsia" w:ascii="宋体" w:hAnsi="宋体" w:eastAsia="宋体" w:cs="宋体"/>
                <w:sz w:val="20"/>
                <w:highlight w:val="none"/>
              </w:rPr>
            </w:pPr>
            <w:r>
              <w:rPr>
                <w:rFonts w:hint="eastAsia" w:ascii="宋体" w:hAnsi="宋体" w:eastAsia="宋体" w:cs="宋体"/>
                <w:spacing w:val="-1"/>
                <w:sz w:val="20"/>
                <w:highlight w:val="none"/>
              </w:rPr>
              <w:t>依据图纸所示压实厚度，按照铺筑的顶面面积以平方米为单位计量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0A9B5A">
            <w:pPr>
              <w:spacing w:line="279" w:lineRule="exact"/>
              <w:jc w:val="both"/>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5154AB16">
            <w:pPr>
              <w:spacing w:line="239" w:lineRule="exact"/>
              <w:ind w:left="108"/>
              <w:jc w:val="center"/>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795CAF2F">
            <w:pPr>
              <w:spacing w:line="306" w:lineRule="exact"/>
              <w:jc w:val="both"/>
              <w:rPr>
                <w:rFonts w:hint="eastAsia" w:ascii="宋体" w:hAnsi="宋体" w:eastAsia="宋体" w:cs="宋体"/>
                <w:sz w:val="20"/>
                <w:highlight w:val="none"/>
              </w:rPr>
            </w:pPr>
            <w:r>
              <w:rPr>
                <w:rFonts w:hint="eastAsia" w:ascii="宋体" w:hAnsi="宋体" w:eastAsia="宋体" w:cs="宋体"/>
                <w:sz w:val="20"/>
                <w:highlight w:val="none"/>
              </w:rPr>
              <w:t>2.</w:t>
            </w:r>
            <w:r>
              <w:rPr>
                <w:rFonts w:hint="eastAsia" w:ascii="宋体" w:hAnsi="宋体" w:eastAsia="宋体" w:cs="宋体"/>
                <w:sz w:val="20"/>
                <w:highlight w:val="none"/>
                <w:lang w:val="en-US"/>
              </w:rPr>
              <w:t>对路基进行翻松、</w:t>
            </w:r>
            <w:r>
              <w:rPr>
                <w:rFonts w:hint="eastAsia" w:ascii="宋体" w:hAnsi="宋体" w:eastAsia="宋体" w:cs="宋体"/>
                <w:spacing w:val="-1"/>
                <w:position w:val="1"/>
                <w:sz w:val="20"/>
                <w:highlight w:val="none"/>
              </w:rPr>
              <w:t>整平、整型、洒水、碾压、整修</w:t>
            </w:r>
          </w:p>
        </w:tc>
      </w:tr>
      <w:tr w14:paraId="0DAB8EEA">
        <w:tblPrEx>
          <w:tblCellMar>
            <w:top w:w="0" w:type="dxa"/>
            <w:left w:w="108" w:type="dxa"/>
            <w:bottom w:w="0" w:type="dxa"/>
            <w:right w:w="108" w:type="dxa"/>
          </w:tblCellMar>
        </w:tblPrEx>
        <w:trPr>
          <w:trHeight w:val="5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3B34">
            <w:pPr>
              <w:spacing w:line="412" w:lineRule="exact"/>
              <w:ind w:left="260"/>
              <w:rPr>
                <w:rFonts w:hint="eastAsia" w:ascii="宋体" w:hAnsi="宋体" w:eastAsia="宋体" w:cs="宋体"/>
                <w:highlight w:val="none"/>
              </w:rPr>
            </w:pPr>
            <w:r>
              <w:rPr>
                <w:rFonts w:hint="eastAsia" w:ascii="宋体" w:hAnsi="宋体" w:eastAsia="宋体" w:cs="宋体"/>
                <w:spacing w:val="-1"/>
                <w:sz w:val="20"/>
                <w:highlight w:val="none"/>
              </w:rPr>
              <w:t>205-2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E2CE6C">
            <w:pPr>
              <w:spacing w:line="377" w:lineRule="exact"/>
              <w:ind w:left="281"/>
              <w:rPr>
                <w:rFonts w:hint="eastAsia" w:ascii="宋体" w:hAnsi="宋体" w:eastAsia="宋体" w:cs="宋体"/>
                <w:highlight w:val="none"/>
              </w:rPr>
            </w:pPr>
            <w:r>
              <w:rPr>
                <w:rFonts w:hint="eastAsia" w:ascii="宋体" w:hAnsi="宋体" w:eastAsia="宋体" w:cs="宋体"/>
                <w:spacing w:val="-1"/>
                <w:sz w:val="20"/>
                <w:highlight w:val="none"/>
              </w:rPr>
              <w:t>滑坡处理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0C228C">
            <w:pPr>
              <w:spacing w:line="37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1BD423">
            <w:pPr>
              <w:spacing w:line="37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11626">
            <w:pPr>
              <w:spacing w:line="377" w:lineRule="exact"/>
              <w:rPr>
                <w:rFonts w:hint="eastAsia" w:ascii="宋体" w:hAnsi="宋体" w:eastAsia="宋体" w:cs="宋体"/>
                <w:highlight w:val="none"/>
              </w:rPr>
            </w:pPr>
          </w:p>
        </w:tc>
      </w:tr>
      <w:tr w14:paraId="73F112C4">
        <w:tblPrEx>
          <w:tblCellMar>
            <w:top w:w="0" w:type="dxa"/>
            <w:left w:w="108" w:type="dxa"/>
            <w:bottom w:w="0" w:type="dxa"/>
            <w:right w:w="108" w:type="dxa"/>
          </w:tblCellMar>
        </w:tblPrEx>
        <w:trPr>
          <w:trHeight w:val="144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6D1122">
            <w:pPr>
              <w:spacing w:line="959"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62F8C5">
            <w:pPr>
              <w:spacing w:line="970" w:lineRule="exact"/>
              <w:ind w:left="281"/>
              <w:rPr>
                <w:rFonts w:hint="eastAsia" w:ascii="宋体" w:hAnsi="宋体" w:eastAsia="宋体" w:cs="宋体"/>
                <w:highlight w:val="none"/>
              </w:rPr>
            </w:pPr>
            <w:r>
              <w:rPr>
                <w:rFonts w:hint="eastAsia" w:ascii="宋体" w:hAnsi="宋体" w:eastAsia="宋体" w:cs="宋体"/>
                <w:spacing w:val="-1"/>
                <w:sz w:val="20"/>
                <w:highlight w:val="none"/>
              </w:rPr>
              <w:t>清除滑坡体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0CD607">
            <w:pPr>
              <w:spacing w:line="92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BBA9">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依据图纸所示位置，按照清</w:t>
            </w:r>
          </w:p>
          <w:p w14:paraId="0F732AF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除滑坡体土方与石方的天然</w:t>
            </w:r>
          </w:p>
          <w:p w14:paraId="3BA412B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体积分别以立方米为单位计</w:t>
            </w:r>
          </w:p>
          <w:p w14:paraId="3231A0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588483">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地表水引排、防渗、</w:t>
            </w:r>
          </w:p>
          <w:p w14:paraId="1896E2F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地下水疏导引离；</w:t>
            </w:r>
          </w:p>
          <w:p w14:paraId="2BC11D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w:t>
            </w:r>
          </w:p>
          <w:p w14:paraId="4FC9410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运输到指定地点堆</w:t>
            </w:r>
            <w:r>
              <w:rPr>
                <w:rFonts w:hint="eastAsia" w:ascii="宋体" w:hAnsi="宋体" w:eastAsia="宋体" w:cs="宋体"/>
                <w:spacing w:val="-1"/>
                <w:sz w:val="20"/>
                <w:highlight w:val="none"/>
              </w:rPr>
              <w:t>放；</w:t>
            </w:r>
          </w:p>
          <w:p w14:paraId="039BEB2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现场清理</w:t>
            </w:r>
          </w:p>
        </w:tc>
      </w:tr>
      <w:tr w14:paraId="25B693E2">
        <w:tblPrEx>
          <w:tblCellMar>
            <w:top w:w="0" w:type="dxa"/>
            <w:left w:w="108" w:type="dxa"/>
            <w:bottom w:w="0" w:type="dxa"/>
            <w:right w:w="108" w:type="dxa"/>
          </w:tblCellMar>
        </w:tblPrEx>
        <w:trPr>
          <w:trHeight w:val="48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bottom"/>
          </w:tcPr>
          <w:p w14:paraId="1CD103DD">
            <w:pPr>
              <w:spacing w:line="503" w:lineRule="exact"/>
              <w:jc w:val="center"/>
              <w:rPr>
                <w:rFonts w:hint="eastAsia" w:ascii="宋体" w:hAnsi="宋体" w:eastAsia="宋体" w:cs="宋体"/>
                <w:highlight w:val="none"/>
              </w:rPr>
            </w:pPr>
            <w:r>
              <w:rPr>
                <w:rFonts w:hint="eastAsia" w:ascii="宋体" w:hAnsi="宋体" w:eastAsia="宋体" w:cs="宋体"/>
                <w:spacing w:val="-1"/>
                <w:sz w:val="20"/>
                <w:highlight w:val="none"/>
              </w:rPr>
              <w:t>205-3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93DF3">
            <w:pPr>
              <w:spacing w:line="334" w:lineRule="exact"/>
              <w:rPr>
                <w:rFonts w:hint="eastAsia" w:ascii="宋体" w:hAnsi="宋体" w:eastAsia="宋体" w:cs="宋体"/>
                <w:highlight w:val="none"/>
              </w:rPr>
            </w:pPr>
            <w:r>
              <w:rPr>
                <w:rFonts w:hint="eastAsia" w:ascii="宋体" w:hAnsi="宋体" w:eastAsia="宋体" w:cs="宋体"/>
                <w:spacing w:val="-1"/>
                <w:sz w:val="20"/>
                <w:highlight w:val="none"/>
              </w:rPr>
              <w:t>盐渍土路基处理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0132A2">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7A954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0AE183">
            <w:pPr>
              <w:spacing w:line="360" w:lineRule="exact"/>
              <w:rPr>
                <w:rFonts w:hint="eastAsia" w:ascii="宋体" w:hAnsi="宋体" w:eastAsia="宋体" w:cs="宋体"/>
                <w:highlight w:val="none"/>
              </w:rPr>
            </w:pPr>
          </w:p>
        </w:tc>
      </w:tr>
      <w:tr w14:paraId="49A2D69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E6CBDF">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492EEF">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卵砾石隔断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B2563">
            <w:pPr>
              <w:spacing w:line="86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E317E">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091D5F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尺寸，按图示设置卵砾石隔</w:t>
            </w:r>
          </w:p>
          <w:p w14:paraId="2AD3AD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断，密实体积以立方米为单位</w:t>
            </w:r>
          </w:p>
          <w:p w14:paraId="634CD72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4754CB6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4734108A">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25894">
            <w:pPr>
              <w:spacing w:line="55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27E2997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36FFF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0634CD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1F97687A">
        <w:tblPrEx>
          <w:tblCellMar>
            <w:top w:w="0" w:type="dxa"/>
            <w:left w:w="108" w:type="dxa"/>
            <w:bottom w:w="0" w:type="dxa"/>
            <w:right w:w="108" w:type="dxa"/>
          </w:tblCellMar>
        </w:tblPrEx>
        <w:trPr>
          <w:trHeight w:val="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AAA3FD">
            <w:pPr>
              <w:spacing w:line="43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A32987">
            <w:pPr>
              <w:spacing w:line="396"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土工织物隔断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FB28C5">
            <w:pPr>
              <w:spacing w:line="39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57E82">
            <w:pPr>
              <w:spacing w:line="39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C03A1">
            <w:pPr>
              <w:spacing w:line="396" w:lineRule="exact"/>
              <w:rPr>
                <w:rFonts w:hint="eastAsia" w:ascii="宋体" w:hAnsi="宋体" w:eastAsia="宋体" w:cs="宋体"/>
                <w:highlight w:val="none"/>
              </w:rPr>
            </w:pPr>
          </w:p>
        </w:tc>
      </w:tr>
      <w:tr w14:paraId="5437FB13">
        <w:tblPrEx>
          <w:tblCellMar>
            <w:top w:w="0" w:type="dxa"/>
            <w:left w:w="108" w:type="dxa"/>
            <w:bottom w:w="0" w:type="dxa"/>
            <w:right w:w="108" w:type="dxa"/>
          </w:tblCellMar>
        </w:tblPrEx>
        <w:trPr>
          <w:trHeight w:val="1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EC506">
            <w:pPr>
              <w:spacing w:line="825"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93D8B">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A21DC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B2E181">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2F0B109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6B367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677DB0A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241388E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069C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70140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40061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6F568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0087D0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bl>
    <w:p w14:paraId="48933696">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tbl>
      <w:tblPr>
        <w:tblStyle w:val="23"/>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6BE3134">
        <w:tblPrEx>
          <w:tblCellMar>
            <w:top w:w="0" w:type="dxa"/>
            <w:left w:w="108" w:type="dxa"/>
            <w:bottom w:w="0" w:type="dxa"/>
            <w:right w:w="108" w:type="dxa"/>
          </w:tblCellMar>
        </w:tblPrEx>
        <w:trPr>
          <w:trHeight w:val="2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30DEAC">
            <w:pPr>
              <w:spacing w:line="308"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D9BEB5">
            <w:pPr>
              <w:spacing w:line="308"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C23B6E">
            <w:pPr>
              <w:spacing w:line="30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4CDDC9">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D3288">
            <w:pPr>
              <w:spacing w:line="245" w:lineRule="exact"/>
              <w:rPr>
                <w:rFonts w:hint="eastAsia" w:ascii="宋体" w:hAnsi="宋体" w:eastAsia="宋体" w:cs="宋体"/>
                <w:highlight w:val="none"/>
              </w:rPr>
            </w:pPr>
          </w:p>
        </w:tc>
      </w:tr>
      <w:tr w14:paraId="24F43047">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68FA87">
            <w:pPr>
              <w:spacing w:line="962"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F470E">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E3A0A2">
            <w:pPr>
              <w:spacing w:line="87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1387C6">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14E316A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7C32D6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6B8541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9E8BD72">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177CB88C">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D51EB">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57D270B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3924346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6CE65B4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10E3F5C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28E16C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394B2">
            <w:pPr>
              <w:spacing w:line="962" w:lineRule="exact"/>
              <w:ind w:left="260"/>
              <w:rPr>
                <w:rFonts w:hint="eastAsia" w:ascii="宋体" w:hAnsi="宋体" w:eastAsia="宋体" w:cs="宋体"/>
                <w:highlight w:val="none"/>
              </w:rPr>
            </w:pPr>
            <w:r>
              <w:rPr>
                <w:rFonts w:hint="eastAsia" w:ascii="宋体" w:hAnsi="宋体" w:eastAsia="宋体" w:cs="宋体"/>
                <w:spacing w:val="-1"/>
                <w:sz w:val="20"/>
                <w:highlight w:val="none"/>
              </w:rPr>
              <w:t>205-4</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3A209D">
            <w:pPr>
              <w:spacing w:line="791" w:lineRule="exact"/>
              <w:ind w:left="281"/>
              <w:rPr>
                <w:rFonts w:hint="eastAsia" w:ascii="宋体" w:hAnsi="宋体" w:eastAsia="宋体" w:cs="宋体"/>
                <w:highlight w:val="none"/>
              </w:rPr>
            </w:pPr>
            <w:r>
              <w:rPr>
                <w:rFonts w:hint="eastAsia" w:ascii="宋体" w:hAnsi="宋体" w:eastAsia="宋体" w:cs="宋体"/>
                <w:spacing w:val="-1"/>
                <w:sz w:val="20"/>
                <w:highlight w:val="none"/>
              </w:rPr>
              <w:t>风积沙填筑路</w:t>
            </w:r>
          </w:p>
          <w:p w14:paraId="17DAAC73">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345DC">
            <w:pPr>
              <w:spacing w:line="92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504383">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依据图纸所示地面线、路基</w:t>
            </w:r>
          </w:p>
          <w:p w14:paraId="2EE2294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设计横断面图，按平均断面面</w:t>
            </w:r>
          </w:p>
          <w:p w14:paraId="0D1E14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积法计算压实体积，以立方米</w:t>
            </w:r>
          </w:p>
          <w:p w14:paraId="786ECBF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12C8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62F9A9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2E4DB2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586C6D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分层摊铺；</w:t>
            </w:r>
          </w:p>
          <w:p w14:paraId="3EAC2D2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12AFC38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403A8173">
        <w:tblPrEx>
          <w:tblCellMar>
            <w:top w:w="0" w:type="dxa"/>
            <w:left w:w="108" w:type="dxa"/>
            <w:bottom w:w="0" w:type="dxa"/>
            <w:right w:w="108" w:type="dxa"/>
          </w:tblCellMar>
        </w:tblPrEx>
        <w:trPr>
          <w:trHeight w:val="55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508433">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206-1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0321EB">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涵洞上下游改</w:t>
            </w:r>
          </w:p>
          <w:p w14:paraId="6EB718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沟、改渠铺砌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62F89E">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11B025">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DA29C">
            <w:pPr>
              <w:spacing w:line="271" w:lineRule="exact"/>
              <w:rPr>
                <w:rFonts w:hint="eastAsia" w:ascii="宋体" w:hAnsi="宋体" w:eastAsia="宋体" w:cs="宋体"/>
                <w:highlight w:val="none"/>
              </w:rPr>
            </w:pPr>
          </w:p>
        </w:tc>
      </w:tr>
      <w:tr w14:paraId="73D56A9C">
        <w:tblPrEx>
          <w:tblCellMar>
            <w:top w:w="0" w:type="dxa"/>
            <w:left w:w="108" w:type="dxa"/>
            <w:bottom w:w="0" w:type="dxa"/>
            <w:right w:w="108" w:type="dxa"/>
          </w:tblCellMar>
        </w:tblPrEx>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CCA46A">
            <w:pPr>
              <w:spacing w:line="1233"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02187F">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467B">
            <w:pPr>
              <w:spacing w:line="114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4E7F93">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63C519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寸，按照不同强度等级水泥砂</w:t>
            </w:r>
          </w:p>
          <w:p w14:paraId="50EF43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浆铺砌的片石体积，以立方米</w:t>
            </w:r>
          </w:p>
          <w:p w14:paraId="155C6A0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82C6A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B6C95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B780D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5A7AE04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54D85B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154C4C1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656016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1BACC4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29971BE">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E8B1EF">
            <w:pPr>
              <w:spacing w:line="1367"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63159">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现浇混凝土铺</w:t>
            </w:r>
          </w:p>
          <w:p w14:paraId="7517F3A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08C56">
            <w:pPr>
              <w:spacing w:line="127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EA780">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5FE2E3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3C03290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浇筑的沟、渠铺砌体积，以立</w:t>
            </w:r>
          </w:p>
          <w:p w14:paraId="1A115AC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045B3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32FB53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21B7F1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00F97B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41DEDD5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3935D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37B0F96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混凝土拌合、运输、</w:t>
            </w:r>
          </w:p>
          <w:p w14:paraId="16BF8D4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56E1709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F1C1F38">
        <w:tblPrEx>
          <w:tblCellMar>
            <w:top w:w="0" w:type="dxa"/>
            <w:left w:w="108" w:type="dxa"/>
            <w:bottom w:w="0" w:type="dxa"/>
            <w:right w:w="108" w:type="dxa"/>
          </w:tblCellMar>
        </w:tblPrEx>
        <w:trPr>
          <w:trHeight w:val="273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3B92D">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11077D">
            <w:pPr>
              <w:spacing w:line="1334" w:lineRule="exact"/>
              <w:ind w:left="281"/>
              <w:rPr>
                <w:rFonts w:hint="eastAsia" w:ascii="宋体" w:hAnsi="宋体" w:eastAsia="宋体" w:cs="宋体"/>
                <w:highlight w:val="none"/>
              </w:rPr>
            </w:pPr>
            <w:r>
              <w:rPr>
                <w:rFonts w:hint="eastAsia" w:ascii="宋体" w:hAnsi="宋体" w:eastAsia="宋体" w:cs="宋体"/>
                <w:spacing w:val="-1"/>
                <w:sz w:val="20"/>
                <w:highlight w:val="none"/>
              </w:rPr>
              <w:t>预制混凝土铺</w:t>
            </w:r>
          </w:p>
          <w:p w14:paraId="369923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52E281">
            <w:pPr>
              <w:spacing w:line="141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A642B">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28D9EBC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6531719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预制的沟、渠铺砌体积，以立</w:t>
            </w:r>
          </w:p>
          <w:p w14:paraId="09BDB67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AAF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09A6B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3C9DCA4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146C3C4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AC89C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39F5EB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65A6E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4FB4EE9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w:t>
            </w:r>
          </w:p>
          <w:p w14:paraId="4121CF5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2D145C5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回填、压实</w:t>
            </w:r>
          </w:p>
        </w:tc>
      </w:tr>
    </w:tbl>
    <w:p w14:paraId="2B14D2CD">
      <w:pPr>
        <w:spacing w:before="139"/>
        <w:ind w:left="86" w:right="194"/>
        <w:jc w:val="center"/>
        <w:rPr>
          <w:rFonts w:hint="eastAsia" w:ascii="宋体" w:hAnsi="宋体" w:eastAsia="宋体" w:cs="宋体"/>
          <w:sz w:val="28"/>
          <w:highlight w:val="none"/>
        </w:rPr>
      </w:pPr>
    </w:p>
    <w:p w14:paraId="3AE91C7E">
      <w:pPr>
        <w:spacing w:before="139"/>
        <w:ind w:left="86" w:right="194"/>
        <w:jc w:val="center"/>
        <w:rPr>
          <w:rFonts w:hint="eastAsia" w:ascii="宋体" w:hAnsi="宋体" w:eastAsia="宋体" w:cs="宋体"/>
          <w:sz w:val="28"/>
          <w:highlight w:val="none"/>
        </w:rPr>
      </w:pPr>
    </w:p>
    <w:p w14:paraId="0E789EC4">
      <w:pPr>
        <w:spacing w:before="139"/>
        <w:ind w:left="86" w:right="194"/>
        <w:jc w:val="center"/>
        <w:rPr>
          <w:rFonts w:hint="eastAsia" w:ascii="宋体" w:hAnsi="宋体" w:eastAsia="宋体" w:cs="宋体"/>
          <w:sz w:val="28"/>
          <w:highlight w:val="none"/>
        </w:rPr>
      </w:pPr>
    </w:p>
    <w:p w14:paraId="3D02722C">
      <w:pPr>
        <w:spacing w:before="139"/>
        <w:ind w:left="86" w:right="194"/>
        <w:jc w:val="center"/>
        <w:rPr>
          <w:rFonts w:hint="eastAsia" w:ascii="宋体" w:hAnsi="宋体" w:eastAsia="宋体" w:cs="宋体"/>
          <w:sz w:val="28"/>
          <w:highlight w:val="none"/>
        </w:rPr>
      </w:pPr>
    </w:p>
    <w:p w14:paraId="51F523B6">
      <w:pPr>
        <w:spacing w:before="139"/>
        <w:ind w:right="194"/>
        <w:jc w:val="both"/>
        <w:rPr>
          <w:rFonts w:hint="eastAsia" w:ascii="宋体" w:hAnsi="宋体" w:eastAsia="宋体" w:cs="宋体"/>
          <w:sz w:val="28"/>
          <w:highlight w:val="none"/>
        </w:rPr>
      </w:pPr>
    </w:p>
    <w:p w14:paraId="00521B16">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300 章 路面</w:t>
      </w:r>
    </w:p>
    <w:p w14:paraId="4D7027CF">
      <w:pPr>
        <w:pStyle w:val="10"/>
        <w:spacing w:before="1"/>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125"/>
        <w:gridCol w:w="2880"/>
      </w:tblGrid>
      <w:tr w14:paraId="190A7A5D">
        <w:tblPrEx>
          <w:tblCellMar>
            <w:top w:w="0" w:type="dxa"/>
            <w:left w:w="108" w:type="dxa"/>
            <w:bottom w:w="0" w:type="dxa"/>
            <w:right w:w="108" w:type="dxa"/>
          </w:tblCellMar>
        </w:tblPrEx>
        <w:trPr>
          <w:trHeight w:val="62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AFE53">
            <w:pPr>
              <w:spacing w:line="460"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3D437B">
            <w:pPr>
              <w:spacing w:line="460"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891A63">
            <w:pPr>
              <w:spacing w:line="460"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3DD958">
            <w:pPr>
              <w:spacing w:line="460" w:lineRule="exact"/>
              <w:ind w:left="53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2D78B1">
            <w:pPr>
              <w:spacing w:line="460" w:lineRule="exact"/>
              <w:ind w:left="102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368A57A">
        <w:tblPrEx>
          <w:tblCellMar>
            <w:top w:w="0" w:type="dxa"/>
            <w:left w:w="108" w:type="dxa"/>
            <w:bottom w:w="0" w:type="dxa"/>
            <w:right w:w="108" w:type="dxa"/>
          </w:tblCellMar>
        </w:tblPrEx>
        <w:trPr>
          <w:trHeight w:val="134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F10D0">
            <w:pPr>
              <w:spacing w:line="884" w:lineRule="exact"/>
              <w:ind w:left="337"/>
              <w:rPr>
                <w:rFonts w:hint="eastAsia" w:ascii="宋体" w:hAnsi="宋体" w:eastAsia="宋体" w:cs="宋体"/>
                <w:highlight w:val="none"/>
              </w:rPr>
            </w:pPr>
            <w:r>
              <w:rPr>
                <w:rFonts w:hint="eastAsia" w:ascii="宋体" w:hAnsi="宋体" w:eastAsia="宋体" w:cs="宋体"/>
                <w:spacing w:val="-1"/>
                <w:sz w:val="20"/>
                <w:highlight w:val="none"/>
              </w:rPr>
              <w:t>302-1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7BD540">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砂砾垫层（底基</w:t>
            </w:r>
          </w:p>
          <w:p w14:paraId="003A1193">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9DF3A">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D0B53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3B5C4E1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6BB3B17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7A6661D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BF666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08D415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03ECF0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摊铺；</w:t>
            </w:r>
          </w:p>
          <w:p w14:paraId="7D561F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72664AF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洒水、碾压、整修</w:t>
            </w:r>
          </w:p>
        </w:tc>
      </w:tr>
      <w:tr w14:paraId="3FFDF704">
        <w:tblPrEx>
          <w:tblCellMar>
            <w:top w:w="0" w:type="dxa"/>
            <w:left w:w="108" w:type="dxa"/>
            <w:bottom w:w="0" w:type="dxa"/>
            <w:right w:w="108" w:type="dxa"/>
          </w:tblCellMar>
        </w:tblPrEx>
        <w:trPr>
          <w:trHeight w:val="13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4A03D4">
            <w:pPr>
              <w:spacing w:line="882" w:lineRule="exact"/>
              <w:ind w:left="337"/>
              <w:rPr>
                <w:rFonts w:hint="eastAsia" w:ascii="宋体" w:hAnsi="宋体" w:eastAsia="宋体" w:cs="宋体"/>
                <w:highlight w:val="none"/>
              </w:rPr>
            </w:pPr>
            <w:r>
              <w:rPr>
                <w:rFonts w:hint="eastAsia" w:ascii="宋体" w:hAnsi="宋体" w:eastAsia="宋体" w:cs="宋体"/>
                <w:spacing w:val="-1"/>
                <w:sz w:val="20"/>
                <w:highlight w:val="none"/>
              </w:rPr>
              <w:t>303-1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FFB82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级配碎石（砂</w:t>
            </w:r>
          </w:p>
          <w:p w14:paraId="41EAC3C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砾）基层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5F1395">
            <w:pPr>
              <w:spacing w:line="79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796E70">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1598C52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56A3075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649053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FB622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7B8924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铺筑材料拌和、运输、摊</w:t>
            </w:r>
          </w:p>
          <w:p w14:paraId="4EEBA1A4">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铺；</w:t>
            </w:r>
          </w:p>
          <w:p w14:paraId="3E960B8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5B41200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w:t>
            </w:r>
          </w:p>
        </w:tc>
      </w:tr>
      <w:tr w14:paraId="5FAAD50B">
        <w:tblPrEx>
          <w:tblCellMar>
            <w:top w:w="0" w:type="dxa"/>
            <w:left w:w="108" w:type="dxa"/>
            <w:bottom w:w="0" w:type="dxa"/>
            <w:right w:w="108" w:type="dxa"/>
          </w:tblCellMar>
        </w:tblPrEx>
        <w:trPr>
          <w:trHeight w:val="105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9B375">
            <w:pPr>
              <w:spacing w:line="746" w:lineRule="exact"/>
              <w:ind w:left="337"/>
              <w:rPr>
                <w:rFonts w:hint="eastAsia" w:ascii="宋体" w:hAnsi="宋体" w:eastAsia="宋体" w:cs="宋体"/>
                <w:highlight w:val="none"/>
              </w:rPr>
            </w:pPr>
            <w:r>
              <w:rPr>
                <w:rFonts w:hint="eastAsia" w:ascii="宋体" w:hAnsi="宋体" w:eastAsia="宋体" w:cs="宋体"/>
                <w:spacing w:val="-1"/>
                <w:sz w:val="20"/>
                <w:highlight w:val="none"/>
              </w:rPr>
              <w:t>304-1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81B16">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水泥稳定砂砾</w:t>
            </w:r>
          </w:p>
          <w:p w14:paraId="024EE63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C22792">
            <w:pPr>
              <w:spacing w:line="65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099BC">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229D5EA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3F6290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0E2D0A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7808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2805DF4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拌和、运输、摊铺；</w:t>
            </w:r>
          </w:p>
          <w:p w14:paraId="1CC227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6158C6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洒水、碾压、初期养护</w:t>
            </w:r>
          </w:p>
        </w:tc>
      </w:tr>
      <w:tr w14:paraId="40871C70">
        <w:tblPrEx>
          <w:tblCellMar>
            <w:top w:w="0" w:type="dxa"/>
            <w:left w:w="108" w:type="dxa"/>
            <w:bottom w:w="0" w:type="dxa"/>
            <w:right w:w="108" w:type="dxa"/>
          </w:tblCellMar>
        </w:tblPrEx>
        <w:trPr>
          <w:trHeight w:val="162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343911">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DC617">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2B906E">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AD242D">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D8092F1">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130B1E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43FE4A3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D9C4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5A0A9F2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31EC33F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7DCEDAA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7CCAE8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13E616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5A758141">
        <w:tblPrEx>
          <w:tblCellMar>
            <w:top w:w="0" w:type="dxa"/>
            <w:left w:w="108" w:type="dxa"/>
            <w:bottom w:w="0" w:type="dxa"/>
            <w:right w:w="108" w:type="dxa"/>
          </w:tblCellMar>
        </w:tblPrEx>
        <w:trPr>
          <w:trHeight w:val="160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01F080">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9F5F55">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37580F">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B72A8">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50C88F4">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5B5912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3E1A24E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4B7E9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24DB44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1B6572E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4EEC51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4C92D39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76C4FE2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4F6516A7">
        <w:tblPrEx>
          <w:tblCellMar>
            <w:top w:w="0" w:type="dxa"/>
            <w:left w:w="108" w:type="dxa"/>
            <w:bottom w:w="0" w:type="dxa"/>
            <w:right w:w="108" w:type="dxa"/>
          </w:tblCellMar>
        </w:tblPrEx>
        <w:trPr>
          <w:trHeight w:val="16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46C916">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8988E">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封层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614BD">
            <w:pPr>
              <w:spacing w:line="87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7BB82A">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1EF81A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种类、厚度，按照封</w:t>
            </w:r>
          </w:p>
          <w:p w14:paraId="507B72B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层面积以平方米为单</w:t>
            </w:r>
          </w:p>
          <w:p w14:paraId="6F5D0D6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74C9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161346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试验段施工；</w:t>
            </w:r>
          </w:p>
          <w:p w14:paraId="5602BB1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专用设备洒布或施工封</w:t>
            </w:r>
          </w:p>
          <w:p w14:paraId="4F6DE8A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层；</w:t>
            </w:r>
          </w:p>
          <w:p w14:paraId="6B80B58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整型、碾压、找补；</w:t>
            </w:r>
          </w:p>
          <w:p w14:paraId="1518918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1988C8BB">
        <w:tblPrEx>
          <w:tblCellMar>
            <w:top w:w="0" w:type="dxa"/>
            <w:left w:w="108" w:type="dxa"/>
            <w:bottom w:w="0" w:type="dxa"/>
            <w:right w:w="108" w:type="dxa"/>
          </w:tblCellMar>
        </w:tblPrEx>
        <w:trPr>
          <w:trHeight w:val="167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FD3E40">
            <w:pPr>
              <w:spacing w:line="1020" w:lineRule="exact"/>
              <w:ind w:left="337"/>
              <w:rPr>
                <w:rFonts w:hint="eastAsia" w:ascii="宋体" w:hAnsi="宋体" w:eastAsia="宋体" w:cs="宋体"/>
                <w:highlight w:val="none"/>
              </w:rPr>
            </w:pPr>
            <w:r>
              <w:rPr>
                <w:rFonts w:hint="eastAsia" w:ascii="宋体" w:hAnsi="宋体" w:eastAsia="宋体" w:cs="宋体"/>
                <w:spacing w:val="-1"/>
                <w:sz w:val="20"/>
                <w:highlight w:val="none"/>
              </w:rPr>
              <w:t>306-1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272C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沥青表面处治</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0C077C">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5A6F3">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3F8C7137">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种类、厚度、喷油量，</w:t>
            </w:r>
          </w:p>
          <w:p w14:paraId="6E08E61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按照沥青表面处治面</w:t>
            </w:r>
          </w:p>
          <w:p w14:paraId="1A9E3F9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积以平方米为单位计</w:t>
            </w:r>
          </w:p>
          <w:p w14:paraId="202D75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60BD9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6E142EE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安拆除熬油设备；</w:t>
            </w:r>
          </w:p>
          <w:p w14:paraId="19E5B0F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熬油、运油；</w:t>
            </w:r>
          </w:p>
          <w:p w14:paraId="387A078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沥青洒布车洒油；</w:t>
            </w:r>
          </w:p>
          <w:p w14:paraId="19CB19E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整型、碾压、找补；</w:t>
            </w:r>
          </w:p>
          <w:p w14:paraId="5F58ECB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39A11DB2">
        <w:tblPrEx>
          <w:tblCellMar>
            <w:top w:w="0" w:type="dxa"/>
            <w:left w:w="108" w:type="dxa"/>
            <w:bottom w:w="0" w:type="dxa"/>
            <w:right w:w="108" w:type="dxa"/>
          </w:tblCellMar>
        </w:tblPrEx>
        <w:trPr>
          <w:trHeight w:val="21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2785D">
            <w:pPr>
              <w:spacing w:line="1157" w:lineRule="exact"/>
              <w:ind w:left="337"/>
              <w:rPr>
                <w:rFonts w:hint="eastAsia" w:ascii="宋体" w:hAnsi="宋体" w:eastAsia="宋体" w:cs="宋体"/>
                <w:highlight w:val="none"/>
              </w:rPr>
            </w:pPr>
            <w:r>
              <w:rPr>
                <w:rFonts w:hint="eastAsia" w:ascii="宋体" w:hAnsi="宋体" w:eastAsia="宋体" w:cs="宋体"/>
                <w:spacing w:val="-1"/>
                <w:sz w:val="20"/>
                <w:highlight w:val="none"/>
              </w:rPr>
              <w:t>307-1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2C672">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细粒式沥青混</w:t>
            </w:r>
          </w:p>
          <w:p w14:paraId="67E5868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F279AB">
            <w:pPr>
              <w:spacing w:line="1065" w:lineRule="exact"/>
              <w:ind w:left="510"/>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7B4AD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818B21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3598668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04B3B2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08F3A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589858">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1.检查和清理下承层；</w:t>
            </w:r>
          </w:p>
          <w:p w14:paraId="64ED62D9">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2.拌和设备安装、调试、拆除；</w:t>
            </w:r>
          </w:p>
          <w:p w14:paraId="2F3C63F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3.沥青加热、保温、输送，配运料，矿料加热烘干，拌和、出料；</w:t>
            </w:r>
          </w:p>
          <w:p w14:paraId="512C339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4.运输、摊铺、碾压、成型；</w:t>
            </w:r>
          </w:p>
          <w:p w14:paraId="5F78F4C5">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5.接缝处理；</w:t>
            </w:r>
          </w:p>
          <w:p w14:paraId="0BC71354">
            <w:pPr>
              <w:spacing w:line="271" w:lineRule="exact"/>
              <w:rPr>
                <w:rFonts w:hint="eastAsia" w:ascii="宋体" w:hAnsi="宋体" w:eastAsia="宋体" w:cs="宋体"/>
                <w:highlight w:val="none"/>
              </w:rPr>
            </w:pPr>
            <w:r>
              <w:rPr>
                <w:rFonts w:hint="eastAsia" w:ascii="宋体" w:hAnsi="宋体" w:eastAsia="宋体" w:cs="宋体"/>
                <w:spacing w:val="-1"/>
                <w:position w:val="1"/>
                <w:sz w:val="20"/>
                <w:highlight w:val="none"/>
              </w:rPr>
              <w:t>6.初期养护</w:t>
            </w:r>
          </w:p>
        </w:tc>
      </w:tr>
    </w:tbl>
    <w:p w14:paraId="690E2BB0">
      <w:pPr>
        <w:spacing w:line="251"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B27CA22">
      <w:pPr>
        <w:pStyle w:val="10"/>
        <w:spacing w:before="10"/>
        <w:rPr>
          <w:rFonts w:hint="eastAsia" w:ascii="宋体" w:hAnsi="宋体" w:eastAsia="宋体" w:cs="宋体"/>
          <w:sz w:val="11"/>
          <w:highlight w:val="none"/>
        </w:rPr>
      </w:pPr>
    </w:p>
    <w:tbl>
      <w:tblPr>
        <w:tblStyle w:val="23"/>
        <w:tblW w:w="9026" w:type="dxa"/>
        <w:tblInd w:w="0" w:type="dxa"/>
        <w:tblLayout w:type="fixed"/>
        <w:tblCellMar>
          <w:top w:w="0" w:type="dxa"/>
          <w:left w:w="108" w:type="dxa"/>
          <w:bottom w:w="0" w:type="dxa"/>
          <w:right w:w="108" w:type="dxa"/>
        </w:tblCellMar>
      </w:tblPr>
      <w:tblGrid>
        <w:gridCol w:w="1166"/>
        <w:gridCol w:w="1769"/>
        <w:gridCol w:w="1071"/>
        <w:gridCol w:w="9"/>
        <w:gridCol w:w="2125"/>
        <w:gridCol w:w="2886"/>
      </w:tblGrid>
      <w:tr w14:paraId="5E5B1423">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5618D9">
            <w:pPr>
              <w:spacing w:line="1426" w:lineRule="exact"/>
              <w:ind w:left="337"/>
              <w:rPr>
                <w:rFonts w:hint="eastAsia" w:ascii="宋体" w:hAnsi="宋体" w:eastAsia="宋体" w:cs="宋体"/>
                <w:highlight w:val="none"/>
              </w:rPr>
            </w:pPr>
            <w:r>
              <w:rPr>
                <w:rFonts w:hint="eastAsia" w:ascii="宋体" w:hAnsi="宋体" w:eastAsia="宋体" w:cs="宋体"/>
                <w:spacing w:val="-1"/>
                <w:sz w:val="20"/>
                <w:highlight w:val="none"/>
              </w:rPr>
              <w:t>307-2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35839C">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中粒式沥青混</w:t>
            </w:r>
          </w:p>
          <w:p w14:paraId="2AD0118D">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917D06">
            <w:pPr>
              <w:spacing w:line="133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3E1C5B">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32E2348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0BD7EF5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550371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5FDE281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5B041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7B4335E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0FAD43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B28FE4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BC0E333">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61D2737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52BD9C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09F2CD1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1A23E8A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196BCAFD">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63669">
            <w:pPr>
              <w:spacing w:line="1427" w:lineRule="exact"/>
              <w:ind w:left="337"/>
              <w:rPr>
                <w:rFonts w:hint="eastAsia" w:ascii="宋体" w:hAnsi="宋体" w:eastAsia="宋体" w:cs="宋体"/>
                <w:highlight w:val="none"/>
              </w:rPr>
            </w:pPr>
            <w:r>
              <w:rPr>
                <w:rFonts w:hint="eastAsia" w:ascii="宋体" w:hAnsi="宋体" w:eastAsia="宋体" w:cs="宋体"/>
                <w:spacing w:val="-1"/>
                <w:sz w:val="20"/>
                <w:highlight w:val="none"/>
              </w:rPr>
              <w:t>307-3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0A1A6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粗粒式沥青混</w:t>
            </w:r>
          </w:p>
          <w:p w14:paraId="73060E9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BB2DA">
            <w:pPr>
              <w:spacing w:line="133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08EAB3">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93573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66CE4B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32D91A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30954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A6C01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425C5E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71220F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2160CE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D45CC5F">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3250F3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7FF8BE4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2538ADB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254FDC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75B1BDF0">
        <w:tblPrEx>
          <w:tblCellMar>
            <w:top w:w="0" w:type="dxa"/>
            <w:left w:w="108" w:type="dxa"/>
            <w:bottom w:w="0" w:type="dxa"/>
            <w:right w:w="108" w:type="dxa"/>
          </w:tblCellMar>
        </w:tblPrEx>
        <w:trPr>
          <w:trHeight w:val="2919"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B7187">
            <w:pPr>
              <w:spacing w:line="1837" w:lineRule="exact"/>
              <w:ind w:left="337"/>
              <w:rPr>
                <w:rFonts w:hint="eastAsia" w:ascii="宋体" w:hAnsi="宋体" w:eastAsia="宋体" w:cs="宋体"/>
                <w:highlight w:val="none"/>
              </w:rPr>
            </w:pPr>
            <w:r>
              <w:rPr>
                <w:rFonts w:hint="eastAsia" w:ascii="宋体" w:hAnsi="宋体" w:eastAsia="宋体" w:cs="宋体"/>
                <w:spacing w:val="-1"/>
                <w:sz w:val="20"/>
                <w:highlight w:val="none"/>
              </w:rPr>
              <w:t>308-1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F9116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水泥混凝土路</w:t>
            </w:r>
          </w:p>
          <w:p w14:paraId="2F3D004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EC08D">
            <w:pPr>
              <w:spacing w:line="174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AEE257">
            <w:pPr>
              <w:spacing w:line="133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依据图纸所示厚度</w:t>
            </w:r>
          </w:p>
          <w:p w14:paraId="263221E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和混凝土强度等级，</w:t>
            </w:r>
          </w:p>
          <w:p w14:paraId="38C94B6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按照铺筑体积以立方</w:t>
            </w:r>
          </w:p>
          <w:p w14:paraId="3286F66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56F1DC">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检查和清理下承层、洒水</w:t>
            </w:r>
            <w:r>
              <w:rPr>
                <w:rFonts w:hint="eastAsia" w:ascii="宋体" w:hAnsi="宋体" w:eastAsia="宋体" w:cs="宋体"/>
                <w:spacing w:val="-1"/>
                <w:sz w:val="20"/>
                <w:highlight w:val="none"/>
              </w:rPr>
              <w:t>湿润；</w:t>
            </w:r>
          </w:p>
          <w:p w14:paraId="5E6C7923">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模板制作、架设、安装、</w:t>
            </w:r>
            <w:r>
              <w:rPr>
                <w:rFonts w:hint="eastAsia" w:ascii="宋体" w:hAnsi="宋体" w:eastAsia="宋体" w:cs="宋体"/>
                <w:spacing w:val="-1"/>
                <w:sz w:val="20"/>
                <w:highlight w:val="none"/>
              </w:rPr>
              <w:t>修理、拆除；</w:t>
            </w:r>
          </w:p>
          <w:p w14:paraId="02CB8377">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钢筋截断、弯曲、安设、</w:t>
            </w:r>
            <w:r>
              <w:rPr>
                <w:rFonts w:hint="eastAsia" w:ascii="宋体" w:hAnsi="宋体" w:eastAsia="宋体" w:cs="宋体"/>
                <w:spacing w:val="-1"/>
                <w:sz w:val="20"/>
                <w:highlight w:val="none"/>
              </w:rPr>
              <w:t>支承及固定</w:t>
            </w:r>
          </w:p>
          <w:p w14:paraId="1219A0E4">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混凝土拌和物配合比设</w:t>
            </w:r>
            <w:r>
              <w:rPr>
                <w:rFonts w:hint="eastAsia" w:ascii="宋体" w:hAnsi="宋体" w:eastAsia="宋体" w:cs="宋体"/>
                <w:sz w:val="20"/>
                <w:highlight w:val="none"/>
              </w:rPr>
              <w:t>计、配料、拌和、运输、浇筑、</w:t>
            </w:r>
            <w:r>
              <w:rPr>
                <w:rFonts w:hint="eastAsia" w:ascii="宋体" w:hAnsi="宋体" w:eastAsia="宋体" w:cs="宋体"/>
                <w:spacing w:val="-6"/>
                <w:sz w:val="20"/>
                <w:highlight w:val="none"/>
              </w:rPr>
              <w:t>振捣、真空吸水、抹平、压（刻）</w:t>
            </w:r>
            <w:r>
              <w:rPr>
                <w:rFonts w:hint="eastAsia" w:ascii="宋体" w:hAnsi="宋体" w:eastAsia="宋体" w:cs="宋体"/>
                <w:spacing w:val="-1"/>
                <w:sz w:val="20"/>
                <w:highlight w:val="none"/>
              </w:rPr>
              <w:t>纹，养护；</w:t>
            </w:r>
          </w:p>
          <w:p w14:paraId="259C8188">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切缝、灌缝；</w:t>
            </w:r>
          </w:p>
          <w:p w14:paraId="0BAD4F5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28D1CB04">
        <w:tblPrEx>
          <w:tblCellMar>
            <w:top w:w="0" w:type="dxa"/>
            <w:left w:w="108" w:type="dxa"/>
            <w:bottom w:w="0" w:type="dxa"/>
            <w:right w:w="108" w:type="dxa"/>
          </w:tblCellMar>
        </w:tblPrEx>
        <w:trPr>
          <w:trHeight w:val="2189" w:hRule="exact"/>
        </w:trPr>
        <w:tc>
          <w:tcPr>
            <w:tcW w:w="1166" w:type="dxa"/>
            <w:tcBorders>
              <w:top w:val="single" w:color="000000" w:sz="6" w:space="0"/>
              <w:left w:val="single" w:color="000000" w:sz="6" w:space="0"/>
              <w:bottom w:val="single" w:color="auto" w:sz="8" w:space="0"/>
              <w:right w:val="single" w:color="auto" w:sz="4" w:space="0"/>
            </w:tcBorders>
            <w:shd w:val="clear" w:color="auto" w:fill="auto"/>
            <w:tcMar>
              <w:left w:w="0" w:type="dxa"/>
              <w:right w:w="0" w:type="dxa"/>
            </w:tcMar>
          </w:tcPr>
          <w:p w14:paraId="4859782A">
            <w:pPr>
              <w:spacing w:line="1292" w:lineRule="exact"/>
              <w:ind w:left="337"/>
              <w:rPr>
                <w:rFonts w:hint="eastAsia" w:ascii="宋体" w:hAnsi="宋体" w:eastAsia="宋体" w:cs="宋体"/>
                <w:highlight w:val="none"/>
              </w:rPr>
            </w:pPr>
            <w:r>
              <w:rPr>
                <w:rFonts w:hint="eastAsia" w:ascii="宋体" w:hAnsi="宋体" w:eastAsia="宋体" w:cs="宋体"/>
                <w:spacing w:val="-1"/>
                <w:sz w:val="20"/>
                <w:highlight w:val="none"/>
              </w:rPr>
              <w:t>309-1</w:t>
            </w:r>
          </w:p>
        </w:tc>
        <w:tc>
          <w:tcPr>
            <w:tcW w:w="1769"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6A4E4807">
            <w:pPr>
              <w:spacing w:line="1063"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混凝土预制块</w:t>
            </w:r>
          </w:p>
          <w:p w14:paraId="745E7B2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路缘（牙）石</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B0F60F">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auto" w:sz="4" w:space="0"/>
            </w:tcBorders>
            <w:shd w:val="clear" w:color="auto" w:fill="auto"/>
            <w:tcMar>
              <w:left w:w="0" w:type="dxa"/>
              <w:right w:w="0" w:type="dxa"/>
            </w:tcMar>
          </w:tcPr>
          <w:p w14:paraId="4463613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依据图纸所示断面</w:t>
            </w:r>
          </w:p>
          <w:p w14:paraId="7731D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尺寸和混凝土强度等</w:t>
            </w:r>
          </w:p>
          <w:p w14:paraId="6761AB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级，按照预制安装体</w:t>
            </w:r>
          </w:p>
          <w:p w14:paraId="3BC113A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w:t>
            </w:r>
          </w:p>
          <w:p w14:paraId="384A8B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6"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5DBA585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预制场地平整，硬化处理；</w:t>
            </w:r>
          </w:p>
          <w:p w14:paraId="24597D8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路缘（牙）石预制、装运；</w:t>
            </w:r>
          </w:p>
          <w:p w14:paraId="3C004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路基整修、基槽开挖与回</w:t>
            </w:r>
          </w:p>
          <w:p w14:paraId="61BC16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填，废方弃运；</w:t>
            </w:r>
          </w:p>
          <w:p w14:paraId="14879C8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基槽夯实；</w:t>
            </w:r>
          </w:p>
          <w:p w14:paraId="22892F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路缘石铺砌、勾缝；</w:t>
            </w:r>
          </w:p>
          <w:p w14:paraId="6A2F8C9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路缘（牙）石后背回填夯</w:t>
            </w:r>
          </w:p>
          <w:p w14:paraId="4FEE9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实</w:t>
            </w:r>
          </w:p>
        </w:tc>
      </w:tr>
      <w:tr w14:paraId="174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66" w:type="dxa"/>
            <w:tcBorders>
              <w:top w:val="single" w:color="auto" w:sz="8" w:space="0"/>
              <w:left w:val="single" w:color="auto" w:sz="8" w:space="0"/>
            </w:tcBorders>
          </w:tcPr>
          <w:p w14:paraId="23547EFE">
            <w:pPr>
              <w:spacing w:line="1292" w:lineRule="exact"/>
              <w:jc w:val="center"/>
              <w:rPr>
                <w:rFonts w:hint="eastAsia" w:ascii="宋体" w:hAnsi="宋体" w:eastAsia="宋体" w:cs="宋体"/>
                <w:highlight w:val="none"/>
              </w:rPr>
            </w:pPr>
            <w:r>
              <w:rPr>
                <w:rFonts w:hint="eastAsia" w:ascii="宋体" w:hAnsi="宋体" w:eastAsia="宋体" w:cs="宋体"/>
                <w:spacing w:val="-1"/>
                <w:sz w:val="20"/>
                <w:highlight w:val="none"/>
              </w:rPr>
              <w:t>310-1</w:t>
            </w:r>
          </w:p>
        </w:tc>
        <w:tc>
          <w:tcPr>
            <w:tcW w:w="1769" w:type="dxa"/>
            <w:tcBorders>
              <w:right w:val="single" w:color="auto" w:sz="8" w:space="0"/>
            </w:tcBorders>
          </w:tcPr>
          <w:p w14:paraId="769C0F58">
            <w:pPr>
              <w:rPr>
                <w:rFonts w:hint="eastAsia" w:ascii="宋体" w:hAnsi="宋体" w:eastAsia="宋体" w:cs="宋体"/>
                <w:highlight w:val="none"/>
              </w:rPr>
            </w:pPr>
          </w:p>
          <w:p w14:paraId="12638FBD">
            <w:pPr>
              <w:rPr>
                <w:rFonts w:hint="eastAsia" w:ascii="宋体" w:hAnsi="宋体" w:eastAsia="宋体" w:cs="宋体"/>
                <w:highlight w:val="none"/>
              </w:rPr>
            </w:pPr>
            <w:r>
              <w:rPr>
                <w:rFonts w:hint="eastAsia" w:ascii="宋体" w:hAnsi="宋体" w:eastAsia="宋体" w:cs="宋体"/>
                <w:highlight w:val="none"/>
              </w:rPr>
              <w:t xml:space="preserve">培路肩 </w:t>
            </w:r>
          </w:p>
        </w:tc>
        <w:tc>
          <w:tcPr>
            <w:tcW w:w="1071" w:type="dxa"/>
            <w:tcBorders>
              <w:left w:val="single" w:color="auto" w:sz="8" w:space="0"/>
              <w:right w:val="single" w:color="auto" w:sz="8" w:space="0"/>
            </w:tcBorders>
          </w:tcPr>
          <w:p w14:paraId="139A5CA0">
            <w:pPr>
              <w:jc w:val="center"/>
              <w:rPr>
                <w:rFonts w:hint="eastAsia" w:ascii="宋体" w:hAnsi="宋体" w:eastAsia="宋体" w:cs="宋体"/>
                <w:position w:val="-4"/>
                <w:sz w:val="20"/>
                <w:highlight w:val="none"/>
              </w:rPr>
            </w:pPr>
          </w:p>
          <w:p w14:paraId="476CE998">
            <w:pPr>
              <w:jc w:val="center"/>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34" w:type="dxa"/>
            <w:gridSpan w:val="2"/>
            <w:tcBorders>
              <w:left w:val="single" w:color="auto" w:sz="8" w:space="0"/>
              <w:right w:val="single" w:color="auto" w:sz="8" w:space="0"/>
            </w:tcBorders>
          </w:tcPr>
          <w:p w14:paraId="48152EE9">
            <w:pPr>
              <w:rPr>
                <w:rFonts w:hint="eastAsia" w:ascii="宋体" w:hAnsi="宋体" w:eastAsia="宋体" w:cs="宋体"/>
                <w:highlight w:val="none"/>
              </w:rPr>
            </w:pPr>
            <w:r>
              <w:rPr>
                <w:rFonts w:hint="eastAsia" w:ascii="宋体" w:hAnsi="宋体" w:eastAsia="宋体" w:cs="宋体"/>
                <w:spacing w:val="-1"/>
                <w:sz w:val="20"/>
                <w:highlight w:val="none"/>
              </w:rPr>
              <w:t>依据图纸所示断面尺寸，按照设计厚度以平方米为单位计量</w:t>
            </w:r>
          </w:p>
        </w:tc>
        <w:tc>
          <w:tcPr>
            <w:tcW w:w="2886" w:type="dxa"/>
            <w:tcBorders>
              <w:left w:val="single" w:color="auto" w:sz="8" w:space="0"/>
              <w:right w:val="single" w:color="auto" w:sz="8" w:space="0"/>
            </w:tcBorders>
          </w:tcPr>
          <w:p w14:paraId="00ECB60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路肩材料的装运、</w:t>
            </w:r>
            <w:r>
              <w:rPr>
                <w:rFonts w:hint="eastAsia" w:ascii="宋体" w:hAnsi="宋体" w:eastAsia="宋体" w:cs="宋体"/>
                <w:spacing w:val="-1"/>
                <w:position w:val="1"/>
                <w:sz w:val="20"/>
                <w:highlight w:val="none"/>
                <w:lang w:val="en-US"/>
              </w:rPr>
              <w:t>卸料</w:t>
            </w:r>
            <w:r>
              <w:rPr>
                <w:rFonts w:hint="eastAsia" w:ascii="宋体" w:hAnsi="宋体" w:eastAsia="宋体" w:cs="宋体"/>
                <w:spacing w:val="-1"/>
                <w:position w:val="1"/>
                <w:sz w:val="20"/>
                <w:highlight w:val="none"/>
              </w:rPr>
              <w:t>；</w:t>
            </w:r>
          </w:p>
          <w:p w14:paraId="686B47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路肩材料的摊铺、洒水、压实；</w:t>
            </w:r>
          </w:p>
          <w:p w14:paraId="09341F08">
            <w:pPr>
              <w:spacing w:line="239" w:lineRule="exact"/>
              <w:ind w:left="112" w:leftChars="51" w:firstLine="200" w:firstLineChars="100"/>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路肩的整修</w:t>
            </w:r>
            <w:r>
              <w:rPr>
                <w:rFonts w:hint="eastAsia" w:ascii="宋体" w:hAnsi="宋体" w:eastAsia="宋体" w:cs="宋体"/>
                <w:spacing w:val="-1"/>
                <w:sz w:val="20"/>
                <w:highlight w:val="none"/>
              </w:rPr>
              <w:t>；</w:t>
            </w:r>
          </w:p>
          <w:p w14:paraId="195ECD53">
            <w:pPr>
              <w:rPr>
                <w:rFonts w:hint="eastAsia" w:ascii="宋体" w:hAnsi="宋体" w:eastAsia="宋体" w:cs="宋体"/>
                <w:highlight w:val="none"/>
              </w:rPr>
            </w:pPr>
          </w:p>
        </w:tc>
      </w:tr>
    </w:tbl>
    <w:p w14:paraId="7BED5296">
      <w:pPr>
        <w:spacing w:line="270" w:lineRule="atLeast"/>
        <w:rPr>
          <w:rFonts w:hint="eastAsia" w:ascii="宋体" w:hAnsi="宋体" w:eastAsia="宋体" w:cs="宋体"/>
          <w:sz w:val="21"/>
          <w:highlight w:val="none"/>
        </w:rPr>
        <w:sectPr>
          <w:footerReference r:id="rId16" w:type="default"/>
          <w:pgSz w:w="11910" w:h="16840"/>
          <w:pgMar w:top="1440" w:right="1080" w:bottom="1040" w:left="1420" w:header="882" w:footer="847" w:gutter="0"/>
          <w:cols w:space="720" w:num="1"/>
        </w:sectPr>
      </w:pPr>
    </w:p>
    <w:p w14:paraId="35E7EF1A">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400 章 桥梁通道</w:t>
      </w:r>
    </w:p>
    <w:p w14:paraId="4467FF60">
      <w:pPr>
        <w:pStyle w:val="10"/>
        <w:spacing w:before="1"/>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E6F6F7">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F14D9">
            <w:pPr>
              <w:spacing w:line="393" w:lineRule="exact"/>
              <w:ind w:left="24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6F473">
            <w:pPr>
              <w:spacing w:line="393" w:lineRule="exact"/>
              <w:ind w:left="467"/>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4DA10">
            <w:pPr>
              <w:spacing w:line="393" w:lineRule="exact"/>
              <w:ind w:left="329"/>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74837">
            <w:pPr>
              <w:spacing w:line="393" w:lineRule="exact"/>
              <w:ind w:left="91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72F68">
            <w:pPr>
              <w:spacing w:line="393" w:lineRule="exact"/>
              <w:ind w:left="66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047103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B5429C">
            <w:pPr>
              <w:spacing w:line="445" w:lineRule="exact"/>
              <w:ind w:left="401"/>
              <w:rPr>
                <w:rFonts w:hint="eastAsia" w:ascii="宋体" w:hAnsi="宋体" w:eastAsia="宋体" w:cs="宋体"/>
                <w:highlight w:val="none"/>
              </w:rPr>
            </w:pPr>
            <w:r>
              <w:rPr>
                <w:rFonts w:hint="eastAsia" w:ascii="宋体" w:hAnsi="宋体" w:eastAsia="宋体" w:cs="宋体"/>
                <w:spacing w:val="-1"/>
                <w:sz w:val="20"/>
                <w:highlight w:val="none"/>
              </w:rPr>
              <w:t>401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E8224">
            <w:pPr>
              <w:spacing w:line="393"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基础部分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D42FD">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DADAED">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587C5">
            <w:pPr>
              <w:spacing w:line="393" w:lineRule="exact"/>
              <w:rPr>
                <w:rFonts w:hint="eastAsia" w:ascii="宋体" w:hAnsi="宋体" w:eastAsia="宋体" w:cs="宋体"/>
                <w:highlight w:val="none"/>
              </w:rPr>
            </w:pPr>
          </w:p>
        </w:tc>
      </w:tr>
      <w:tr w14:paraId="62F562B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9511ED">
            <w:pPr>
              <w:spacing w:line="445" w:lineRule="exact"/>
              <w:ind w:left="315"/>
              <w:rPr>
                <w:rFonts w:hint="eastAsia" w:ascii="宋体" w:hAnsi="宋体" w:eastAsia="宋体" w:cs="宋体"/>
                <w:highlight w:val="none"/>
              </w:rPr>
            </w:pPr>
            <w:r>
              <w:rPr>
                <w:rFonts w:hint="eastAsia" w:ascii="宋体" w:hAnsi="宋体" w:eastAsia="宋体" w:cs="宋体"/>
                <w:spacing w:val="-1"/>
                <w:sz w:val="20"/>
                <w:highlight w:val="none"/>
              </w:rPr>
              <w:t>401-1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71E2AF">
            <w:pPr>
              <w:spacing w:line="393" w:lineRule="exact"/>
              <w:ind w:left="282"/>
              <w:rPr>
                <w:rFonts w:hint="eastAsia" w:ascii="宋体" w:hAnsi="宋体" w:eastAsia="宋体" w:cs="宋体"/>
                <w:highlight w:val="none"/>
              </w:rPr>
            </w:pPr>
            <w:r>
              <w:rPr>
                <w:rFonts w:hint="eastAsia" w:ascii="宋体" w:hAnsi="宋体" w:eastAsia="宋体" w:cs="宋体"/>
                <w:sz w:val="20"/>
                <w:highlight w:val="none"/>
              </w:rPr>
              <w:t>挖基土（石）方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EE12F">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12D6B">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9559D8">
            <w:pPr>
              <w:spacing w:line="393" w:lineRule="exact"/>
              <w:rPr>
                <w:rFonts w:hint="eastAsia" w:ascii="宋体" w:hAnsi="宋体" w:eastAsia="宋体" w:cs="宋体"/>
                <w:highlight w:val="none"/>
              </w:rPr>
            </w:pPr>
          </w:p>
        </w:tc>
      </w:tr>
      <w:tr w14:paraId="3C78A251">
        <w:tblPrEx>
          <w:tblCellMar>
            <w:top w:w="0" w:type="dxa"/>
            <w:left w:w="108" w:type="dxa"/>
            <w:bottom w:w="0" w:type="dxa"/>
            <w:right w:w="108" w:type="dxa"/>
          </w:tblCellMar>
        </w:tblPrEx>
        <w:trPr>
          <w:trHeight w:val="11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38CB5E">
            <w:pPr>
              <w:spacing w:line="778"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A0AB1">
            <w:pPr>
              <w:spacing w:line="729"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干处挖土方</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4AB282">
            <w:pPr>
              <w:spacing w:line="242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D80D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根据图示，取用底、顶面</w:t>
            </w:r>
          </w:p>
          <w:p w14:paraId="03D2EE0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间平均高度的棱柱体体积，分</w:t>
            </w:r>
          </w:p>
          <w:p w14:paraId="6A38BD8D">
            <w:pPr>
              <w:spacing w:line="271" w:lineRule="exact"/>
              <w:ind w:left="108"/>
              <w:rPr>
                <w:rFonts w:hint="eastAsia" w:ascii="宋体" w:hAnsi="宋体" w:eastAsia="宋体" w:cs="宋体"/>
                <w:highlight w:val="none"/>
              </w:rPr>
            </w:pPr>
            <w:r>
              <w:rPr>
                <w:rFonts w:hint="eastAsia" w:ascii="宋体" w:hAnsi="宋体" w:eastAsia="宋体" w:cs="宋体"/>
                <w:sz w:val="20"/>
                <w:highlight w:val="none"/>
              </w:rPr>
              <w:t>干处、水下及土、石不同类型，</w:t>
            </w:r>
          </w:p>
          <w:p w14:paraId="3B4CA90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696B55B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在地下水位以上开挖的为</w:t>
            </w:r>
          </w:p>
          <w:p w14:paraId="5C968DF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干处挖方，在地下水位以下开</w:t>
            </w:r>
          </w:p>
          <w:p w14:paraId="5A4A131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挖的为水下挖方；</w:t>
            </w:r>
          </w:p>
          <w:p w14:paraId="5F89794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基坑底面、顶面及侧面的</w:t>
            </w:r>
          </w:p>
          <w:p w14:paraId="49FF8FB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确定应符合下列规定：</w:t>
            </w:r>
          </w:p>
          <w:p w14:paraId="1F1C8EF7">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a.</w:t>
            </w:r>
            <w:r>
              <w:rPr>
                <w:rFonts w:hint="eastAsia" w:ascii="宋体" w:hAnsi="宋体" w:eastAsia="宋体" w:cs="宋体"/>
                <w:spacing w:val="-1"/>
                <w:position w:val="1"/>
                <w:sz w:val="20"/>
                <w:highlight w:val="none"/>
              </w:rPr>
              <w:t>基坑开挖底面：按图纸所</w:t>
            </w:r>
          </w:p>
          <w:p w14:paraId="0601C3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示的基底高程线计算。</w:t>
            </w:r>
          </w:p>
          <w:p w14:paraId="513745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b.</w:t>
            </w:r>
            <w:r>
              <w:rPr>
                <w:rFonts w:hint="eastAsia" w:ascii="宋体" w:hAnsi="宋体" w:eastAsia="宋体" w:cs="宋体"/>
                <w:spacing w:val="-1"/>
                <w:position w:val="1"/>
                <w:sz w:val="20"/>
                <w:highlight w:val="none"/>
              </w:rPr>
              <w:t>基坑开挖顶面：按设计图</w:t>
            </w:r>
          </w:p>
          <w:p w14:paraId="004FE8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纸横断面上所标示的原地面</w:t>
            </w:r>
          </w:p>
          <w:p w14:paraId="62BDB7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线计算。</w:t>
            </w:r>
          </w:p>
          <w:p w14:paraId="656F2AC5">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基坑开挖侧面：按顶面到</w:t>
            </w:r>
          </w:p>
          <w:p w14:paraId="3F3840A7">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底面，以超出基底周边</w:t>
            </w:r>
            <w:r>
              <w:rPr>
                <w:rFonts w:hint="eastAsia" w:ascii="宋体" w:hAnsi="宋体" w:eastAsia="宋体" w:cs="宋体"/>
                <w:sz w:val="20"/>
                <w:highlight w:val="none"/>
              </w:rPr>
              <w:t> 0.5m</w:t>
            </w:r>
          </w:p>
          <w:p w14:paraId="3E0F903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的竖直面为界</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BB87F5">
            <w:pPr>
              <w:spacing w:line="45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1D20F46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52B1D68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基坑开挖；</w:t>
            </w:r>
          </w:p>
          <w:p w14:paraId="1E7D0D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02C1453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3AB6F6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0F9EF4D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2F4D0C50">
        <w:tblPrEx>
          <w:tblCellMar>
            <w:top w:w="0" w:type="dxa"/>
            <w:left w:w="108" w:type="dxa"/>
            <w:bottom w:w="0" w:type="dxa"/>
            <w:right w:w="108" w:type="dxa"/>
          </w:tblCellMar>
        </w:tblPrEx>
        <w:trPr>
          <w:trHeight w:val="110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583505">
            <w:pPr>
              <w:spacing w:line="75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885C3C">
            <w:pPr>
              <w:spacing w:line="70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水下挖土方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6F2AFA">
            <w:pPr>
              <w:spacing w:line="70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DED78C">
            <w:pPr>
              <w:spacing w:line="70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01FBD">
            <w:pPr>
              <w:spacing w:line="701" w:lineRule="exact"/>
              <w:rPr>
                <w:rFonts w:hint="eastAsia" w:ascii="宋体" w:hAnsi="宋体" w:eastAsia="宋体" w:cs="宋体"/>
                <w:highlight w:val="none"/>
              </w:rPr>
            </w:pPr>
          </w:p>
        </w:tc>
      </w:tr>
      <w:tr w14:paraId="0C2CABF6">
        <w:tblPrEx>
          <w:tblCellMar>
            <w:top w:w="0" w:type="dxa"/>
            <w:left w:w="108" w:type="dxa"/>
            <w:bottom w:w="0" w:type="dxa"/>
            <w:right w:w="108" w:type="dxa"/>
          </w:tblCellMar>
        </w:tblPrEx>
        <w:trPr>
          <w:trHeight w:val="114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82F819">
            <w:pPr>
              <w:spacing w:line="773"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693735">
            <w:pPr>
              <w:spacing w:line="722"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EA0C9F">
            <w:pPr>
              <w:spacing w:line="722"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3DB84D">
            <w:pPr>
              <w:spacing w:line="722" w:lineRule="exact"/>
              <w:rPr>
                <w:rFonts w:hint="eastAsia" w:ascii="宋体" w:hAnsi="宋体" w:eastAsia="宋体" w:cs="宋体"/>
                <w:highlight w:val="none"/>
              </w:rPr>
            </w:pP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E985">
            <w:pPr>
              <w:spacing w:line="50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38838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2FB1C3D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钻爆、出渣；</w:t>
            </w:r>
          </w:p>
          <w:p w14:paraId="37175B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4DA198E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1A0EB77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3F20EB1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6944C877">
        <w:tblPrEx>
          <w:tblCellMar>
            <w:top w:w="0" w:type="dxa"/>
            <w:left w:w="108" w:type="dxa"/>
            <w:bottom w:w="0" w:type="dxa"/>
            <w:right w:w="108" w:type="dxa"/>
          </w:tblCellMar>
        </w:tblPrEx>
        <w:trPr>
          <w:trHeight w:val="122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496D3B">
            <w:pPr>
              <w:spacing w:line="810" w:lineRule="exact"/>
              <w:ind w:left="473"/>
              <w:rPr>
                <w:rFonts w:hint="eastAsia" w:ascii="宋体" w:hAnsi="宋体" w:eastAsia="宋体" w:cs="宋体"/>
                <w:highlight w:val="none"/>
              </w:rPr>
            </w:pPr>
            <w:r>
              <w:rPr>
                <w:rFonts w:hint="eastAsia" w:ascii="宋体" w:hAnsi="宋体" w:eastAsia="宋体" w:cs="宋体"/>
                <w:spacing w:val="-1"/>
                <w:sz w:val="20"/>
                <w:highlight w:val="none"/>
              </w:rPr>
              <w:t>-d</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3688D9">
            <w:pPr>
              <w:spacing w:line="76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DB289">
            <w:pPr>
              <w:spacing w:line="76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A6934">
            <w:pPr>
              <w:spacing w:line="76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18F6D8">
            <w:pPr>
              <w:spacing w:line="761" w:lineRule="exact"/>
              <w:rPr>
                <w:rFonts w:hint="eastAsia" w:ascii="宋体" w:hAnsi="宋体" w:eastAsia="宋体" w:cs="宋体"/>
                <w:highlight w:val="none"/>
              </w:rPr>
            </w:pPr>
          </w:p>
        </w:tc>
      </w:tr>
      <w:tr w14:paraId="48A3DDE7">
        <w:tblPrEx>
          <w:tblCellMar>
            <w:top w:w="0" w:type="dxa"/>
            <w:left w:w="108" w:type="dxa"/>
            <w:bottom w:w="0" w:type="dxa"/>
            <w:right w:w="108" w:type="dxa"/>
          </w:tblCellMar>
        </w:tblPrEx>
        <w:trPr>
          <w:trHeight w:val="416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93DFB">
            <w:pPr>
              <w:spacing w:line="2244" w:lineRule="exact"/>
              <w:ind w:left="315"/>
              <w:rPr>
                <w:rFonts w:hint="eastAsia" w:ascii="宋体" w:hAnsi="宋体" w:eastAsia="宋体" w:cs="宋体"/>
                <w:highlight w:val="none"/>
              </w:rPr>
            </w:pPr>
            <w:r>
              <w:rPr>
                <w:rFonts w:hint="eastAsia" w:ascii="宋体" w:hAnsi="宋体" w:eastAsia="宋体" w:cs="宋体"/>
                <w:spacing w:val="-1"/>
                <w:sz w:val="20"/>
                <w:highlight w:val="none"/>
              </w:rPr>
              <w:t>401-2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B44F37">
            <w:pPr>
              <w:spacing w:line="1475" w:lineRule="exact"/>
              <w:ind w:left="282"/>
              <w:rPr>
                <w:rFonts w:hint="eastAsia" w:ascii="宋体" w:hAnsi="宋体" w:eastAsia="宋体" w:cs="宋体"/>
                <w:highlight w:val="none"/>
              </w:rPr>
            </w:pPr>
            <w:r>
              <w:rPr>
                <w:rFonts w:hint="eastAsia" w:ascii="宋体" w:hAnsi="宋体" w:eastAsia="宋体" w:cs="宋体"/>
                <w:sz w:val="20"/>
                <w:highlight w:val="none"/>
              </w:rPr>
              <w:t>混凝土基础（包</w:t>
            </w:r>
          </w:p>
          <w:p w14:paraId="08A81A8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括支撑梁、桩基</w:t>
            </w:r>
          </w:p>
          <w:p w14:paraId="53C9C30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承台、桩系梁，</w:t>
            </w:r>
          </w:p>
          <w:p w14:paraId="180001D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但不包括桩基</w:t>
            </w:r>
          </w:p>
          <w:p w14:paraId="76CAB0D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CC3016">
            <w:pPr>
              <w:spacing w:line="215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FFF99B">
            <w:pPr>
              <w:spacing w:line="187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依据图纸所示体积，分不同</w:t>
            </w:r>
          </w:p>
          <w:p w14:paraId="5B0BA1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B135B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EBAE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1B4CD4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64EC005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2FCAB1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安拆套箱或模板；</w:t>
            </w:r>
          </w:p>
          <w:p w14:paraId="5934A20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安设预埋件；</w:t>
            </w:r>
          </w:p>
          <w:p w14:paraId="0C82EB4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6E7D795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16A69E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捣、养护、试验测试；</w:t>
            </w:r>
          </w:p>
          <w:p w14:paraId="112F92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施工缝、沉降缝设</w:t>
            </w:r>
          </w:p>
          <w:p w14:paraId="601036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566AA82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混凝土的冷却管</w:t>
            </w:r>
          </w:p>
          <w:p w14:paraId="68CD964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制作安装，通水、降</w:t>
            </w:r>
          </w:p>
          <w:p w14:paraId="30FC9F4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温；</w:t>
            </w:r>
          </w:p>
          <w:p w14:paraId="7BC2DE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6"/>
                <w:position w:val="1"/>
                <w:sz w:val="20"/>
                <w:highlight w:val="none"/>
              </w:rPr>
              <w:t>排水、防水、防冻、</w:t>
            </w:r>
            <w:r>
              <w:rPr>
                <w:rFonts w:hint="eastAsia" w:ascii="宋体" w:hAnsi="宋体" w:eastAsia="宋体" w:cs="宋体"/>
                <w:spacing w:val="-1"/>
                <w:sz w:val="20"/>
                <w:highlight w:val="none"/>
              </w:rPr>
              <w:t>防腐措施</w:t>
            </w:r>
          </w:p>
        </w:tc>
      </w:tr>
      <w:tr w14:paraId="673FDFC1">
        <w:tblPrEx>
          <w:tblCellMar>
            <w:top w:w="0" w:type="dxa"/>
            <w:left w:w="108" w:type="dxa"/>
            <w:bottom w:w="0" w:type="dxa"/>
            <w:right w:w="108" w:type="dxa"/>
          </w:tblCellMar>
        </w:tblPrEx>
        <w:trPr>
          <w:trHeight w:val="276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53F9A1">
            <w:pPr>
              <w:spacing w:line="1564" w:lineRule="exact"/>
              <w:ind w:left="315"/>
              <w:rPr>
                <w:rFonts w:hint="eastAsia" w:ascii="宋体" w:hAnsi="宋体" w:eastAsia="宋体" w:cs="宋体"/>
                <w:highlight w:val="none"/>
              </w:rPr>
            </w:pPr>
            <w:r>
              <w:rPr>
                <w:rFonts w:hint="eastAsia" w:ascii="宋体" w:hAnsi="宋体" w:eastAsia="宋体" w:cs="宋体"/>
                <w:spacing w:val="-1"/>
                <w:sz w:val="20"/>
                <w:highlight w:val="none"/>
              </w:rPr>
              <w:t>401-3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4B8BD">
            <w:pPr>
              <w:spacing w:line="1515" w:lineRule="exact"/>
              <w:ind w:left="282"/>
              <w:rPr>
                <w:rFonts w:hint="eastAsia" w:ascii="宋体" w:hAnsi="宋体" w:eastAsia="宋体" w:cs="宋体"/>
                <w:highlight w:val="none"/>
              </w:rPr>
            </w:pPr>
            <w:r>
              <w:rPr>
                <w:rFonts w:hint="eastAsia" w:ascii="宋体" w:hAnsi="宋体" w:eastAsia="宋体" w:cs="宋体"/>
                <w:spacing w:val="-1"/>
                <w:sz w:val="20"/>
                <w:highlight w:val="none"/>
              </w:rPr>
              <w:t>桩基础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7AC5CA">
            <w:pPr>
              <w:spacing w:line="1564"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26A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依据图纸所示桩长及混凝</w:t>
            </w:r>
          </w:p>
          <w:p w14:paraId="3E6859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土强度等级，按照不同桩径的</w:t>
            </w:r>
          </w:p>
          <w:p w14:paraId="1EA556E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桩长以米为单位计量；</w:t>
            </w:r>
          </w:p>
          <w:p w14:paraId="49C7780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施工图设计水深小于</w:t>
            </w:r>
            <w:r>
              <w:rPr>
                <w:rFonts w:hint="eastAsia" w:ascii="宋体" w:hAnsi="宋体" w:eastAsia="宋体" w:cs="宋体"/>
                <w:sz w:val="20"/>
                <w:highlight w:val="none"/>
              </w:rPr>
              <w:t> </w:t>
            </w:r>
            <w:r>
              <w:rPr>
                <w:rFonts w:hint="eastAsia" w:ascii="宋体" w:hAnsi="宋体" w:eastAsia="宋体" w:cs="宋体"/>
                <w:spacing w:val="-1"/>
                <w:sz w:val="20"/>
                <w:highlight w:val="none"/>
              </w:rPr>
              <w:t>2</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米</w:t>
            </w:r>
          </w:p>
          <w:p w14:paraId="42D7F349">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（含</w:t>
            </w:r>
            <w:r>
              <w:rPr>
                <w:rFonts w:hint="eastAsia" w:ascii="宋体" w:hAnsi="宋体" w:eastAsia="宋体" w:cs="宋体"/>
                <w:sz w:val="20"/>
                <w:highlight w:val="none"/>
              </w:rPr>
              <w:t> </w:t>
            </w:r>
            <w:r>
              <w:rPr>
                <w:rFonts w:hint="eastAsia" w:ascii="宋体" w:hAnsi="宋体" w:eastAsia="宋体" w:cs="宋体"/>
                <w:spacing w:val="-1"/>
                <w:sz w:val="20"/>
                <w:highlight w:val="none"/>
              </w:rPr>
              <w:t>2</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米）的为陆上钻孔灌注</w:t>
            </w:r>
          </w:p>
          <w:p w14:paraId="4910CF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桩；</w:t>
            </w:r>
          </w:p>
          <w:p w14:paraId="7BCBC7A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桩长为桩底高程至承台底</w:t>
            </w:r>
          </w:p>
          <w:p w14:paraId="2AE8D29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面或系梁底面。对于与桩连为</w:t>
            </w:r>
          </w:p>
          <w:p w14:paraId="14D06D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一体的柱式墩台，如无承台或</w:t>
            </w:r>
          </w:p>
          <w:p w14:paraId="3EC3672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系梁时，则以桩位处原始地面</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078FC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安设护筒及设置</w:t>
            </w:r>
          </w:p>
          <w:p w14:paraId="546DCEF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钻孔平台；</w:t>
            </w:r>
          </w:p>
          <w:p w14:paraId="5BB7B6E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钻机安拆，就位；</w:t>
            </w:r>
          </w:p>
          <w:p w14:paraId="5374292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钻孔、成孔、成孔</w:t>
            </w:r>
          </w:p>
          <w:p w14:paraId="5C5204E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检查；</w:t>
            </w:r>
          </w:p>
          <w:p w14:paraId="10CF09E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安装声测管；</w:t>
            </w:r>
          </w:p>
          <w:p w14:paraId="24EF33B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混凝土制拌、运</w:t>
            </w:r>
          </w:p>
          <w:p w14:paraId="54E518C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w:t>
            </w:r>
          </w:p>
          <w:p w14:paraId="5067FBA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破桩头；</w:t>
            </w:r>
          </w:p>
          <w:p w14:paraId="595E007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按相关规定进行</w:t>
            </w:r>
          </w:p>
        </w:tc>
      </w:tr>
    </w:tbl>
    <w:p w14:paraId="248F8C86">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0623ECF">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7FFD95B6">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CF280">
            <w:pPr>
              <w:spacing w:line="274"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01EC78">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C0C76C">
            <w:pPr>
              <w:spacing w:line="274"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47034D">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线为分界线，地面线以下部分</w:t>
            </w:r>
          </w:p>
          <w:p w14:paraId="6511235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为灌注桩桩长。若图纸有标示</w:t>
            </w:r>
          </w:p>
          <w:p w14:paraId="13A0D70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的，按图纸标示为准；</w:t>
            </w:r>
          </w:p>
          <w:p w14:paraId="49F269A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由于超钻深于所需桩长部</w:t>
            </w:r>
          </w:p>
          <w:p w14:paraId="1B989A6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6847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桩基检测</w:t>
            </w:r>
          </w:p>
        </w:tc>
      </w:tr>
      <w:tr w14:paraId="723672FF">
        <w:tblPrEx>
          <w:tblCellMar>
            <w:top w:w="0" w:type="dxa"/>
            <w:left w:w="108" w:type="dxa"/>
            <w:bottom w:w="0" w:type="dxa"/>
            <w:right w:w="108" w:type="dxa"/>
          </w:tblCellMar>
        </w:tblPrEx>
        <w:trPr>
          <w:trHeight w:val="188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2B958">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401-4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1EAF26">
            <w:pPr>
              <w:spacing w:line="745" w:lineRule="exact"/>
              <w:ind w:left="282"/>
              <w:rPr>
                <w:rFonts w:hint="eastAsia" w:ascii="宋体" w:hAnsi="宋体" w:eastAsia="宋体" w:cs="宋体"/>
                <w:highlight w:val="none"/>
              </w:rPr>
            </w:pPr>
            <w:r>
              <w:rPr>
                <w:rFonts w:hint="eastAsia" w:ascii="宋体" w:hAnsi="宋体" w:eastAsia="宋体" w:cs="宋体"/>
                <w:sz w:val="20"/>
                <w:highlight w:val="none"/>
              </w:rPr>
              <w:t>钢筋（包括灌注</w:t>
            </w:r>
          </w:p>
          <w:p w14:paraId="5403C275">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桩、承台、桩系</w:t>
            </w:r>
          </w:p>
          <w:p w14:paraId="7AC6A6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梁、支撑梁等）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C99BBD">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E8B7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59367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12FF19E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085135B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57F1445B">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39ED5D9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5914C6D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EB6C06">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4FD9442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4F52171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CA81E9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F0B5B3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5CD9E13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5739463C">
        <w:tblPrEx>
          <w:tblCellMar>
            <w:top w:w="0" w:type="dxa"/>
            <w:left w:w="108" w:type="dxa"/>
            <w:bottom w:w="0" w:type="dxa"/>
            <w:right w:w="108" w:type="dxa"/>
          </w:tblCellMar>
        </w:tblPrEx>
        <w:trPr>
          <w:trHeight w:val="109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3E33D0">
            <w:pPr>
              <w:spacing w:line="743" w:lineRule="exact"/>
              <w:ind w:left="401"/>
              <w:rPr>
                <w:rFonts w:hint="eastAsia" w:ascii="宋体" w:hAnsi="宋体" w:eastAsia="宋体" w:cs="宋体"/>
                <w:highlight w:val="none"/>
              </w:rPr>
            </w:pPr>
            <w:r>
              <w:rPr>
                <w:rFonts w:hint="eastAsia" w:ascii="宋体" w:hAnsi="宋体" w:eastAsia="宋体" w:cs="宋体"/>
                <w:spacing w:val="-1"/>
                <w:sz w:val="20"/>
                <w:highlight w:val="none"/>
              </w:rPr>
              <w:t>402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7A3E41">
            <w:pPr>
              <w:spacing w:line="333" w:lineRule="exact"/>
              <w:ind w:left="282"/>
              <w:rPr>
                <w:rFonts w:hint="eastAsia" w:ascii="宋体" w:hAnsi="宋体" w:eastAsia="宋体" w:cs="宋体"/>
                <w:highlight w:val="none"/>
              </w:rPr>
            </w:pPr>
            <w:r>
              <w:rPr>
                <w:rFonts w:hint="eastAsia" w:ascii="宋体" w:hAnsi="宋体" w:eastAsia="宋体" w:cs="宋体"/>
                <w:sz w:val="20"/>
                <w:highlight w:val="none"/>
              </w:rPr>
              <w:t>下部结构（包含</w:t>
            </w:r>
          </w:p>
          <w:p w14:paraId="5E935B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桥台、桥墩、盖</w:t>
            </w:r>
          </w:p>
          <w:p w14:paraId="22898B7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梁、台帽等）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2506F8">
            <w:pPr>
              <w:spacing w:line="360"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B4DE7">
            <w:pPr>
              <w:spacing w:line="360"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B3F988">
            <w:pPr>
              <w:spacing w:line="360" w:lineRule="exact"/>
              <w:rPr>
                <w:rFonts w:hint="eastAsia" w:ascii="宋体" w:hAnsi="宋体" w:eastAsia="宋体" w:cs="宋体"/>
                <w:highlight w:val="none"/>
              </w:rPr>
            </w:pPr>
          </w:p>
        </w:tc>
      </w:tr>
      <w:tr w14:paraId="17428750">
        <w:tblPrEx>
          <w:tblCellMar>
            <w:top w:w="0" w:type="dxa"/>
            <w:left w:w="108" w:type="dxa"/>
            <w:bottom w:w="0" w:type="dxa"/>
            <w:right w:w="108" w:type="dxa"/>
          </w:tblCellMar>
        </w:tblPrEx>
        <w:trPr>
          <w:trHeight w:val="38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3608AA">
            <w:pPr>
              <w:spacing w:line="2110" w:lineRule="exact"/>
              <w:ind w:left="315"/>
              <w:rPr>
                <w:rFonts w:hint="eastAsia" w:ascii="宋体" w:hAnsi="宋体" w:eastAsia="宋体" w:cs="宋体"/>
                <w:highlight w:val="none"/>
              </w:rPr>
            </w:pPr>
            <w:r>
              <w:rPr>
                <w:rFonts w:hint="eastAsia" w:ascii="宋体" w:hAnsi="宋体" w:eastAsia="宋体" w:cs="宋体"/>
                <w:spacing w:val="-1"/>
                <w:sz w:val="20"/>
                <w:highlight w:val="none"/>
              </w:rPr>
              <w:t>402-1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9AE1AF">
            <w:pPr>
              <w:spacing w:line="2059" w:lineRule="exact"/>
              <w:ind w:left="282"/>
              <w:rPr>
                <w:rFonts w:hint="eastAsia" w:ascii="宋体" w:hAnsi="宋体" w:eastAsia="宋体" w:cs="宋体"/>
                <w:highlight w:val="none"/>
              </w:rPr>
            </w:pPr>
            <w:r>
              <w:rPr>
                <w:rFonts w:hint="eastAsia" w:ascii="宋体" w:hAnsi="宋体" w:eastAsia="宋体" w:cs="宋体"/>
                <w:spacing w:val="-1"/>
                <w:sz w:val="20"/>
                <w:highlight w:val="none"/>
              </w:rPr>
              <w:t>下部混凝土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1B881E">
            <w:pPr>
              <w:spacing w:line="2019"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FA9242">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2304B4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5C71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5B662F6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5F1DE7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10D7E88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6BEA8EB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C6A79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5A9186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搭拆作业平台、支</w:t>
            </w:r>
          </w:p>
          <w:p w14:paraId="78B5ED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w:t>
            </w:r>
          </w:p>
          <w:p w14:paraId="1E00239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安拆模板；安设预</w:t>
            </w:r>
          </w:p>
          <w:p w14:paraId="683461A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埋件</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包括支座预埋</w:t>
            </w:r>
          </w:p>
          <w:p w14:paraId="574CEE2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件、防震锚栓及套筒</w:t>
            </w:r>
          </w:p>
          <w:p w14:paraId="5A5D3B3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w:t>
            </w:r>
          </w:p>
          <w:p w14:paraId="7E70DE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C3F54E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4A26B60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782B7FB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施工缝、沉降缝设</w:t>
            </w:r>
          </w:p>
          <w:p w14:paraId="05F58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3EF859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防水、防冻、防腐</w:t>
            </w:r>
          </w:p>
          <w:p w14:paraId="7A21BA5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措施</w:t>
            </w:r>
          </w:p>
        </w:tc>
      </w:tr>
      <w:tr w14:paraId="2369DE41">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81A51">
            <w:pPr>
              <w:spacing w:line="1426" w:lineRule="exact"/>
              <w:ind w:left="315"/>
              <w:rPr>
                <w:rFonts w:hint="eastAsia" w:ascii="宋体" w:hAnsi="宋体" w:eastAsia="宋体" w:cs="宋体"/>
                <w:highlight w:val="none"/>
              </w:rPr>
            </w:pPr>
            <w:r>
              <w:rPr>
                <w:rFonts w:hint="eastAsia" w:ascii="宋体" w:hAnsi="宋体" w:eastAsia="宋体" w:cs="宋体"/>
                <w:spacing w:val="-1"/>
                <w:sz w:val="20"/>
                <w:highlight w:val="none"/>
              </w:rPr>
              <w:t>402-2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5732B4">
            <w:pPr>
              <w:spacing w:line="1377" w:lineRule="exact"/>
              <w:ind w:left="282"/>
              <w:rPr>
                <w:rFonts w:hint="eastAsia" w:ascii="宋体" w:hAnsi="宋体" w:eastAsia="宋体" w:cs="宋体"/>
                <w:highlight w:val="none"/>
              </w:rPr>
            </w:pPr>
            <w:r>
              <w:rPr>
                <w:rFonts w:hint="eastAsia" w:ascii="宋体" w:hAnsi="宋体" w:eastAsia="宋体" w:cs="宋体"/>
                <w:sz w:val="20"/>
                <w:highlight w:val="none"/>
              </w:rPr>
              <w:t>浆砌片（块）石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D39BDE">
            <w:pPr>
              <w:spacing w:line="133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6E9BB0">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3E9228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砌筑体积分不同砂浆强度等</w:t>
            </w:r>
          </w:p>
          <w:p w14:paraId="62307AA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级以立方米为单位计量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C343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基础清理；</w:t>
            </w:r>
          </w:p>
          <w:p w14:paraId="361462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基底检查；</w:t>
            </w:r>
          </w:p>
          <w:p w14:paraId="1DF9909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选修石料；</w:t>
            </w:r>
          </w:p>
          <w:p w14:paraId="3CB3F10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铺筑垫层；</w:t>
            </w:r>
          </w:p>
          <w:p w14:paraId="3A51C5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搭、拆脚手架；</w:t>
            </w:r>
          </w:p>
          <w:p w14:paraId="29E96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配、拌、运砂浆；</w:t>
            </w:r>
          </w:p>
          <w:p w14:paraId="63930E6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6"/>
                <w:position w:val="1"/>
                <w:sz w:val="20"/>
                <w:highlight w:val="none"/>
              </w:rPr>
              <w:t>砌筑、勾缝、抹面、</w:t>
            </w:r>
            <w:r>
              <w:rPr>
                <w:rFonts w:hint="eastAsia" w:ascii="宋体" w:hAnsi="宋体" w:eastAsia="宋体" w:cs="宋体"/>
                <w:spacing w:val="-1"/>
                <w:sz w:val="20"/>
                <w:highlight w:val="none"/>
              </w:rPr>
              <w:t>养护；</w:t>
            </w:r>
          </w:p>
          <w:p w14:paraId="10DC606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沉降缝设置</w:t>
            </w:r>
          </w:p>
        </w:tc>
      </w:tr>
      <w:tr w14:paraId="7526B213">
        <w:tblPrEx>
          <w:tblCellMar>
            <w:top w:w="0" w:type="dxa"/>
            <w:left w:w="108" w:type="dxa"/>
            <w:bottom w:w="0" w:type="dxa"/>
            <w:right w:w="108" w:type="dxa"/>
          </w:tblCellMar>
        </w:tblPrEx>
        <w:trPr>
          <w:trHeight w:val="186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B68633">
            <w:pPr>
              <w:spacing w:line="1157" w:lineRule="exact"/>
              <w:ind w:left="315"/>
              <w:rPr>
                <w:rFonts w:hint="eastAsia" w:ascii="宋体" w:hAnsi="宋体" w:eastAsia="宋体" w:cs="宋体"/>
                <w:highlight w:val="none"/>
              </w:rPr>
            </w:pPr>
            <w:r>
              <w:rPr>
                <w:rFonts w:hint="eastAsia" w:ascii="宋体" w:hAnsi="宋体" w:eastAsia="宋体" w:cs="宋体"/>
                <w:spacing w:val="-1"/>
                <w:sz w:val="20"/>
                <w:highlight w:val="none"/>
              </w:rPr>
              <w:t>402-3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985F0">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C07D9">
            <w:pPr>
              <w:spacing w:line="1157"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0EDB6E">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13CF02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4E77078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670437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6680C94B">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E768EE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176830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25609A">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28A358F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1FF32C2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7EABC8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E3BFF0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7CA2A8C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C1D1C88">
        <w:tblPrEx>
          <w:tblCellMar>
            <w:top w:w="0" w:type="dxa"/>
            <w:left w:w="108" w:type="dxa"/>
            <w:bottom w:w="0" w:type="dxa"/>
            <w:right w:w="108" w:type="dxa"/>
          </w:tblCellMar>
        </w:tblPrEx>
        <w:trPr>
          <w:trHeight w:val="52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9CF783">
            <w:pPr>
              <w:spacing w:line="457" w:lineRule="exact"/>
              <w:ind w:left="401"/>
              <w:rPr>
                <w:rFonts w:hint="eastAsia" w:ascii="宋体" w:hAnsi="宋体" w:eastAsia="宋体" w:cs="宋体"/>
                <w:highlight w:val="none"/>
              </w:rPr>
            </w:pPr>
            <w:r>
              <w:rPr>
                <w:rFonts w:hint="eastAsia" w:ascii="宋体" w:hAnsi="宋体" w:eastAsia="宋体" w:cs="宋体"/>
                <w:spacing w:val="-1"/>
                <w:sz w:val="20"/>
                <w:highlight w:val="none"/>
              </w:rPr>
              <w:t>403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578EC">
            <w:pPr>
              <w:spacing w:line="408" w:lineRule="exact"/>
              <w:ind w:left="282"/>
              <w:rPr>
                <w:rFonts w:hint="eastAsia" w:ascii="宋体" w:hAnsi="宋体" w:eastAsia="宋体" w:cs="宋体"/>
                <w:highlight w:val="none"/>
              </w:rPr>
            </w:pPr>
            <w:r>
              <w:rPr>
                <w:rFonts w:hint="eastAsia" w:ascii="宋体" w:hAnsi="宋体" w:eastAsia="宋体" w:cs="宋体"/>
                <w:spacing w:val="-1"/>
                <w:sz w:val="20"/>
                <w:highlight w:val="none"/>
              </w:rPr>
              <w:t>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69F7C6">
            <w:pPr>
              <w:spacing w:line="408"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6099D8">
            <w:pPr>
              <w:spacing w:line="408"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A2574">
            <w:pPr>
              <w:spacing w:line="408" w:lineRule="exact"/>
              <w:rPr>
                <w:rFonts w:hint="eastAsia" w:ascii="宋体" w:hAnsi="宋体" w:eastAsia="宋体" w:cs="宋体"/>
                <w:highlight w:val="none"/>
              </w:rPr>
            </w:pPr>
          </w:p>
        </w:tc>
      </w:tr>
      <w:tr w14:paraId="2A579D12">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F6B741">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403-1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7C6FB8">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4B3BF">
            <w:pPr>
              <w:spacing w:line="383"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C427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322CFB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77B0">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3797758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tc>
      </w:tr>
    </w:tbl>
    <w:p w14:paraId="69703B8F">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8D658AC">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22BC4C">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56B124">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7ABED8">
            <w:pPr>
              <w:spacing w:line="333"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09488C">
            <w:pPr>
              <w:spacing w:line="33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BAE7C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67FFC8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5FB2D89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2AC3447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2ABF221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48150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支架搭设、预压与</w:t>
            </w:r>
          </w:p>
          <w:p w14:paraId="3DB6D3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w:t>
            </w:r>
          </w:p>
          <w:p w14:paraId="1C9834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安拆模板；安设预</w:t>
            </w:r>
          </w:p>
          <w:p w14:paraId="2FA2D93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w:t>
            </w:r>
          </w:p>
          <w:p w14:paraId="1CA701D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73C1C7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63F5FC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16B3172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施工缝、伸缩缝设</w:t>
            </w:r>
          </w:p>
          <w:p w14:paraId="6561587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FBDAF3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3FB6E2">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A4FD52">
            <w:pPr>
              <w:spacing w:line="1199"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预制混凝土上</w:t>
            </w:r>
          </w:p>
          <w:p w14:paraId="2C6EB14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5767E">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DB94DC">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CBE498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3D96586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31834FC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1367F0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60B8C1B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11F2106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1066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搭拆工作平台；</w:t>
            </w:r>
          </w:p>
          <w:p w14:paraId="239F58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安拆模板；安设预</w:t>
            </w:r>
          </w:p>
          <w:p w14:paraId="3CFB7C2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埋件（吊环、预埋连</w:t>
            </w:r>
          </w:p>
          <w:p w14:paraId="03A1CD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接件）；</w:t>
            </w:r>
          </w:p>
          <w:p w14:paraId="52F349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混凝土配运料、拌</w:t>
            </w:r>
          </w:p>
          <w:p w14:paraId="00897EC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5344AB5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4914B9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构件预制、运输、</w:t>
            </w:r>
          </w:p>
          <w:p w14:paraId="1EF96A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tc>
      </w:tr>
      <w:tr w14:paraId="08ABE565">
        <w:tblPrEx>
          <w:tblCellMar>
            <w:top w:w="0" w:type="dxa"/>
            <w:left w:w="108" w:type="dxa"/>
            <w:bottom w:w="0" w:type="dxa"/>
            <w:right w:w="108" w:type="dxa"/>
          </w:tblCellMar>
        </w:tblPrEx>
        <w:trPr>
          <w:trHeight w:val="184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35C5E">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403-3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CC9FA">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851852">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C5B357">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3BF349A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242BFB2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2D0A3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2CEAD2A0">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7DCFA9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06CED77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44367">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6178F12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7E29AA0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ECD7DC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431EE12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44E892E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7765758">
        <w:tblPrEx>
          <w:tblCellMar>
            <w:top w:w="0" w:type="dxa"/>
            <w:left w:w="108" w:type="dxa"/>
            <w:bottom w:w="0" w:type="dxa"/>
            <w:right w:w="108" w:type="dxa"/>
          </w:tblCellMar>
        </w:tblPrEx>
        <w:trPr>
          <w:trHeight w:val="242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094E">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8B71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现浇预应力混</w:t>
            </w:r>
          </w:p>
          <w:p w14:paraId="557155B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F7697">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7B62AE">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24B72E76">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强度等级以立方米为单位计</w:t>
            </w:r>
          </w:p>
          <w:p w14:paraId="23FECAA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量；</w:t>
            </w:r>
          </w:p>
          <w:p w14:paraId="3CE04E93">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E9B41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个面积在0.</w:t>
            </w:r>
            <w:r>
              <w:rPr>
                <w:rFonts w:hint="eastAsia" w:ascii="宋体" w:hAnsi="宋体" w:eastAsia="宋体" w:cs="宋体"/>
                <w:spacing w:val="-1"/>
                <w:position w:val="1"/>
                <w:sz w:val="20"/>
                <w:highlight w:val="none"/>
              </w:rPr>
              <w:t>03m以内的孔洞不予扣除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7C7CED">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5040F7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搭拆工作平台；支</w:t>
            </w:r>
          </w:p>
          <w:p w14:paraId="5F5C2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架搭设、预压与拆除；</w:t>
            </w:r>
          </w:p>
          <w:p w14:paraId="46968C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56CD73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5E4D354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08B378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2C07C6C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施工缝、伸缩缝设</w:t>
            </w:r>
          </w:p>
          <w:p w14:paraId="42E7D5F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2E26107">
        <w:tblPrEx>
          <w:tblCellMar>
            <w:top w:w="0" w:type="dxa"/>
            <w:left w:w="108" w:type="dxa"/>
            <w:bottom w:w="0" w:type="dxa"/>
            <w:right w:w="108" w:type="dxa"/>
          </w:tblCellMar>
        </w:tblPrEx>
        <w:trPr>
          <w:trHeight w:val="203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FFFC53">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403-5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4B3D1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预制预应力混</w:t>
            </w:r>
          </w:p>
          <w:p w14:paraId="5454483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BBAC8">
            <w:pPr>
              <w:spacing w:line="1201"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0C661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13C1F7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7C748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4F3D518">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A34FE9">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个面积在0.03m以内的孔洞</w:t>
            </w:r>
          </w:p>
          <w:p w14:paraId="040677F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不予扣除；</w:t>
            </w:r>
          </w:p>
          <w:p w14:paraId="0BBC482C">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3.后张法预应力混凝土梁封</w:t>
            </w:r>
          </w:p>
          <w:p w14:paraId="5B4D2A8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端混凝土工程量列入本子目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9998D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6EE8CCD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p w14:paraId="67B7034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4650C81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5D4AE4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41DB821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321DDB3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预制件运输、安装</w:t>
            </w:r>
          </w:p>
        </w:tc>
      </w:tr>
      <w:tr w14:paraId="79AB40FA">
        <w:tblPrEx>
          <w:tblCellMar>
            <w:top w:w="0" w:type="dxa"/>
            <w:left w:w="108" w:type="dxa"/>
            <w:bottom w:w="0" w:type="dxa"/>
            <w:right w:w="108" w:type="dxa"/>
          </w:tblCellMar>
        </w:tblPrEx>
        <w:trPr>
          <w:trHeight w:val="110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A88B5C">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403-6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97E18F">
            <w:pPr>
              <w:spacing w:line="519"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75A127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2BA12">
            <w:pPr>
              <w:spacing w:line="1300"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E65455">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依据图纸所示构件长度计</w:t>
            </w:r>
          </w:p>
          <w:p w14:paraId="3547BC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算的预应力钢材质量，分不同</w:t>
            </w:r>
          </w:p>
          <w:p w14:paraId="1521ADC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材质以千克为单位计量。</w:t>
            </w:r>
          </w:p>
          <w:p w14:paraId="65D0F25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4591AAB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62199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BC4EC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E93C23">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D64C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2204F0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DE8F6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54267A8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49C705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放张；</w:t>
            </w:r>
          </w:p>
          <w:p w14:paraId="6DCD699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15C660A9">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FFF44">
            <w:pPr>
              <w:spacing w:line="749" w:lineRule="exact"/>
              <w:ind w:left="315"/>
              <w:rPr>
                <w:rFonts w:hint="eastAsia" w:ascii="宋体" w:hAnsi="宋体" w:eastAsia="宋体" w:cs="宋体"/>
                <w:highlight w:val="none"/>
              </w:rPr>
            </w:pPr>
            <w:r>
              <w:rPr>
                <w:rFonts w:hint="eastAsia" w:ascii="宋体" w:hAnsi="宋体" w:eastAsia="宋体" w:cs="宋体"/>
                <w:spacing w:val="-1"/>
                <w:sz w:val="20"/>
                <w:highlight w:val="none"/>
              </w:rPr>
              <w:t>403-7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D1B9BF">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4CD708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61C33C">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BEACE">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ABAA7A">
            <w:pPr>
              <w:spacing w:line="360" w:lineRule="exact"/>
              <w:rPr>
                <w:rFonts w:hint="eastAsia" w:ascii="宋体" w:hAnsi="宋体" w:eastAsia="宋体" w:cs="宋体"/>
                <w:highlight w:val="none"/>
              </w:rPr>
            </w:pPr>
          </w:p>
        </w:tc>
      </w:tr>
    </w:tbl>
    <w:p w14:paraId="79FBC84C">
      <w:pPr>
        <w:rPr>
          <w:rFonts w:hint="eastAsia" w:ascii="宋体" w:hAnsi="宋体" w:eastAsia="宋体" w:cs="宋体"/>
          <w:sz w:val="2"/>
          <w:szCs w:val="2"/>
          <w:highlight w:val="none"/>
        </w:rPr>
        <w:sectPr>
          <w:pgSz w:w="11910" w:h="16840"/>
          <w:pgMar w:top="1440" w:right="1080" w:bottom="1040" w:left="1420" w:header="882" w:footer="847" w:gutter="0"/>
          <w:cols w:space="720" w:num="1"/>
        </w:sectPr>
      </w:pPr>
    </w:p>
    <w:p w14:paraId="1954F91E">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1CDF0D15">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99E257">
            <w:pPr>
              <w:spacing w:line="827" w:lineRule="exact"/>
              <w:ind w:left="315"/>
              <w:rPr>
                <w:rFonts w:hint="eastAsia" w:ascii="宋体" w:hAnsi="宋体" w:eastAsia="宋体" w:cs="宋体"/>
                <w:highlight w:val="none"/>
              </w:rPr>
            </w:pPr>
            <w:r>
              <w:rPr>
                <w:rFonts w:hint="eastAsia" w:ascii="宋体" w:hAnsi="宋体" w:eastAsia="宋体" w:cs="宋体"/>
                <w:spacing w:val="-1"/>
                <w:sz w:val="20"/>
                <w:highlight w:val="none"/>
              </w:rPr>
              <w:t>403-8</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A650A1">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71F5EE1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BBF97D">
            <w:pPr>
              <w:spacing w:line="1453"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71681">
            <w:pPr>
              <w:spacing w:line="44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按图示两端锚具间的理论</w:t>
            </w:r>
          </w:p>
          <w:p w14:paraId="6E33AF4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长度计算的预应力钢材质量，</w:t>
            </w:r>
          </w:p>
          <w:p w14:paraId="26B43E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分不同材质以千克为单位计</w:t>
            </w:r>
          </w:p>
          <w:p w14:paraId="791C854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4415B2B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5DA1876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1E53A9E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78CAA8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ED385">
            <w:pPr>
              <w:spacing w:line="5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3D4F4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50CCF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62B1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0B4DBBB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69EF46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压浆；</w:t>
            </w:r>
          </w:p>
          <w:p w14:paraId="33B6487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08CFCC81">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60DF79">
            <w:pPr>
              <w:spacing w:line="826" w:lineRule="exact"/>
              <w:ind w:left="315"/>
              <w:rPr>
                <w:rFonts w:hint="eastAsia" w:ascii="宋体" w:hAnsi="宋体" w:eastAsia="宋体" w:cs="宋体"/>
                <w:highlight w:val="none"/>
              </w:rPr>
            </w:pPr>
            <w:r>
              <w:rPr>
                <w:rFonts w:hint="eastAsia" w:ascii="宋体" w:hAnsi="宋体" w:eastAsia="宋体" w:cs="宋体"/>
                <w:spacing w:val="-1"/>
                <w:sz w:val="20"/>
                <w:highlight w:val="none"/>
              </w:rPr>
              <w:t>403-9</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28F38">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4C762E6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CA6301">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071F10">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8D0D5">
            <w:pPr>
              <w:spacing w:line="360" w:lineRule="exact"/>
              <w:rPr>
                <w:rFonts w:hint="eastAsia" w:ascii="宋体" w:hAnsi="宋体" w:eastAsia="宋体" w:cs="宋体"/>
                <w:highlight w:val="none"/>
              </w:rPr>
            </w:pPr>
          </w:p>
        </w:tc>
      </w:tr>
      <w:tr w14:paraId="2762427A">
        <w:tblPrEx>
          <w:tblCellMar>
            <w:top w:w="0" w:type="dxa"/>
            <w:left w:w="108" w:type="dxa"/>
            <w:bottom w:w="0" w:type="dxa"/>
            <w:right w:w="108" w:type="dxa"/>
          </w:tblCellMar>
        </w:tblPrEx>
        <w:trPr>
          <w:trHeight w:val="5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C307EA">
            <w:pPr>
              <w:spacing w:line="460" w:lineRule="exact"/>
              <w:ind w:left="401"/>
              <w:rPr>
                <w:rFonts w:hint="eastAsia" w:ascii="宋体" w:hAnsi="宋体" w:eastAsia="宋体" w:cs="宋体"/>
                <w:highlight w:val="none"/>
              </w:rPr>
            </w:pPr>
            <w:r>
              <w:rPr>
                <w:rFonts w:hint="eastAsia" w:ascii="宋体" w:hAnsi="宋体" w:eastAsia="宋体" w:cs="宋体"/>
                <w:spacing w:val="-1"/>
                <w:sz w:val="20"/>
                <w:highlight w:val="none"/>
              </w:rPr>
              <w:t>404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FB4C00">
            <w:pPr>
              <w:spacing w:line="409" w:lineRule="exact"/>
              <w:ind w:left="282"/>
              <w:rPr>
                <w:rFonts w:hint="eastAsia" w:ascii="宋体" w:hAnsi="宋体" w:eastAsia="宋体" w:cs="宋体"/>
                <w:highlight w:val="none"/>
              </w:rPr>
            </w:pPr>
            <w:r>
              <w:rPr>
                <w:rFonts w:hint="eastAsia" w:ascii="宋体" w:hAnsi="宋体" w:eastAsia="宋体" w:cs="宋体"/>
                <w:spacing w:val="-1"/>
                <w:sz w:val="20"/>
                <w:highlight w:val="none"/>
              </w:rPr>
              <w:t>附属结构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45694">
            <w:pPr>
              <w:spacing w:line="409"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11962E">
            <w:pPr>
              <w:spacing w:line="409"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1A27B">
            <w:pPr>
              <w:spacing w:line="409" w:lineRule="exact"/>
              <w:rPr>
                <w:rFonts w:hint="eastAsia" w:ascii="宋体" w:hAnsi="宋体" w:eastAsia="宋体" w:cs="宋体"/>
                <w:highlight w:val="none"/>
              </w:rPr>
            </w:pPr>
          </w:p>
        </w:tc>
      </w:tr>
      <w:tr w14:paraId="1B1FFD7D">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41FA2E">
            <w:pPr>
              <w:spacing w:line="1701" w:lineRule="exact"/>
              <w:ind w:left="315"/>
              <w:rPr>
                <w:rFonts w:hint="eastAsia" w:ascii="宋体" w:hAnsi="宋体" w:eastAsia="宋体" w:cs="宋体"/>
                <w:highlight w:val="none"/>
              </w:rPr>
            </w:pPr>
            <w:r>
              <w:rPr>
                <w:rFonts w:hint="eastAsia" w:ascii="宋体" w:hAnsi="宋体" w:eastAsia="宋体" w:cs="宋体"/>
                <w:spacing w:val="-1"/>
                <w:sz w:val="20"/>
                <w:highlight w:val="none"/>
              </w:rPr>
              <w:t>404-1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D6B71">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现浇混凝土附</w:t>
            </w:r>
          </w:p>
          <w:p w14:paraId="14996A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28D20">
            <w:pPr>
              <w:spacing w:line="161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619081">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EBF5E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F6C747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27D3438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378793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32C29B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50209CC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AAE43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DA22C8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778FCDC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5C20ADB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4E7545">
            <w:pPr>
              <w:spacing w:line="96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604FAE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716828A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14FAC71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2ACC48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941C99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64A068D5">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0139F">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404-2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21A616">
            <w:pPr>
              <w:spacing w:line="1468"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预制混凝土附</w:t>
            </w:r>
          </w:p>
          <w:p w14:paraId="2962EF0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F640DC">
            <w:pPr>
              <w:spacing w:line="160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C784A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096B78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83CF45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0789BD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32B978B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033E41B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02CDAD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FA55A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3A1A82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37F3B5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7FC82D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0190E">
            <w:pPr>
              <w:spacing w:line="95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54B9CE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5ED3F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5DB3255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791675E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22DA7C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3142F692">
        <w:tblPrEx>
          <w:tblCellMar>
            <w:top w:w="0" w:type="dxa"/>
            <w:left w:w="108" w:type="dxa"/>
            <w:bottom w:w="0" w:type="dxa"/>
            <w:right w:w="108" w:type="dxa"/>
          </w:tblCellMar>
        </w:tblPrEx>
        <w:trPr>
          <w:trHeight w:val="270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75BBF1">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404-3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13E361">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211CCB">
            <w:pPr>
              <w:spacing w:line="1428"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8A09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8825D8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5C9D4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1AD03E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0BBA1EE8">
            <w:pPr>
              <w:spacing w:line="237"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66D9B7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646CE33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p w14:paraId="6713B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钢管作为附属工作，不另</w:t>
            </w:r>
          </w:p>
          <w:p w14:paraId="30E1056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FC500">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0F8D6A1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2DDD39F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6B3ED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594B0FD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2004D23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2E9AD691">
        <w:tblPrEx>
          <w:tblCellMar>
            <w:top w:w="0" w:type="dxa"/>
            <w:left w:w="108" w:type="dxa"/>
            <w:bottom w:w="0" w:type="dxa"/>
            <w:right w:w="108" w:type="dxa"/>
          </w:tblCellMar>
        </w:tblPrEx>
        <w:trPr>
          <w:trHeight w:val="53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A710C">
            <w:pPr>
              <w:spacing w:line="464" w:lineRule="exact"/>
              <w:ind w:left="401"/>
              <w:rPr>
                <w:rFonts w:hint="eastAsia" w:ascii="宋体" w:hAnsi="宋体" w:eastAsia="宋体" w:cs="宋体"/>
                <w:highlight w:val="none"/>
              </w:rPr>
            </w:pPr>
            <w:r>
              <w:rPr>
                <w:rFonts w:hint="eastAsia" w:ascii="宋体" w:hAnsi="宋体" w:eastAsia="宋体" w:cs="宋体"/>
                <w:spacing w:val="-1"/>
                <w:sz w:val="20"/>
                <w:highlight w:val="none"/>
              </w:rPr>
              <w:t>405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EC0265">
            <w:pPr>
              <w:spacing w:line="415" w:lineRule="exact"/>
              <w:ind w:left="282"/>
              <w:rPr>
                <w:rFonts w:hint="eastAsia" w:ascii="宋体" w:hAnsi="宋体" w:eastAsia="宋体" w:cs="宋体"/>
                <w:highlight w:val="none"/>
              </w:rPr>
            </w:pPr>
            <w:r>
              <w:rPr>
                <w:rFonts w:hint="eastAsia" w:ascii="宋体" w:hAnsi="宋体" w:eastAsia="宋体" w:cs="宋体"/>
                <w:spacing w:val="-1"/>
                <w:sz w:val="20"/>
                <w:highlight w:val="none"/>
              </w:rPr>
              <w:t>桥面铺装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A106BB">
            <w:pPr>
              <w:spacing w:line="415"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A6F36">
            <w:pPr>
              <w:spacing w:line="415"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5301F">
            <w:pPr>
              <w:spacing w:line="415" w:lineRule="exact"/>
              <w:rPr>
                <w:rFonts w:hint="eastAsia" w:ascii="宋体" w:hAnsi="宋体" w:eastAsia="宋体" w:cs="宋体"/>
                <w:highlight w:val="none"/>
              </w:rPr>
            </w:pPr>
          </w:p>
        </w:tc>
      </w:tr>
      <w:tr w14:paraId="390690DF">
        <w:tblPrEx>
          <w:tblCellMar>
            <w:top w:w="0" w:type="dxa"/>
            <w:left w:w="108" w:type="dxa"/>
            <w:bottom w:w="0" w:type="dxa"/>
            <w:right w:w="108" w:type="dxa"/>
          </w:tblCellMar>
        </w:tblPrEx>
        <w:trPr>
          <w:trHeight w:val="164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B50E20">
            <w:pPr>
              <w:spacing w:line="1020" w:lineRule="exact"/>
              <w:ind w:left="315"/>
              <w:rPr>
                <w:rFonts w:hint="eastAsia" w:ascii="宋体" w:hAnsi="宋体" w:eastAsia="宋体" w:cs="宋体"/>
                <w:highlight w:val="none"/>
              </w:rPr>
            </w:pPr>
            <w:r>
              <w:rPr>
                <w:rFonts w:hint="eastAsia" w:ascii="宋体" w:hAnsi="宋体" w:eastAsia="宋体" w:cs="宋体"/>
                <w:spacing w:val="-1"/>
                <w:sz w:val="20"/>
                <w:highlight w:val="none"/>
              </w:rPr>
              <w:t>405-1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4106F5">
            <w:pPr>
              <w:spacing w:line="608"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沥青混凝土桥</w:t>
            </w:r>
          </w:p>
          <w:p w14:paraId="48146C8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面铺装</w:t>
            </w:r>
          </w:p>
          <w:p w14:paraId="3F6BAB51">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（厚</w:t>
            </w:r>
            <w:r>
              <w:rPr>
                <w:rFonts w:hint="eastAsia" w:ascii="宋体" w:hAnsi="宋体" w:eastAsia="宋体" w:cs="宋体"/>
                <w:spacing w:val="-1"/>
                <w:sz w:val="20"/>
                <w:highlight w:val="none"/>
              </w:rPr>
              <w:t>…mm</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35DAED">
            <w:pPr>
              <w:spacing w:line="92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009A6">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按图纸所示的位置、尺寸，</w:t>
            </w:r>
          </w:p>
          <w:p w14:paraId="1A6766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分别按不同材料类型，按铺筑</w:t>
            </w:r>
          </w:p>
          <w:p w14:paraId="361BE2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厚度以平方米计量；</w:t>
            </w:r>
          </w:p>
          <w:p w14:paraId="328F098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4672E84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311C65F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774B0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74F3DB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拌和设备安装、调</w:t>
            </w:r>
          </w:p>
          <w:p w14:paraId="54414A1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试、拆除；</w:t>
            </w:r>
          </w:p>
          <w:p w14:paraId="47256A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沥青混合料拌和、</w:t>
            </w:r>
          </w:p>
          <w:p w14:paraId="105F936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运输、摊铺、压实、</w:t>
            </w:r>
          </w:p>
          <w:p w14:paraId="0EC07D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成型；</w:t>
            </w:r>
          </w:p>
        </w:tc>
      </w:tr>
    </w:tbl>
    <w:p w14:paraId="55DFBD40">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41397C3E">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343E8AAA">
        <w:tblPrEx>
          <w:tblCellMar>
            <w:top w:w="0" w:type="dxa"/>
            <w:left w:w="108" w:type="dxa"/>
            <w:bottom w:w="0" w:type="dxa"/>
            <w:right w:w="108" w:type="dxa"/>
          </w:tblCellMar>
        </w:tblPrEx>
        <w:trPr>
          <w:trHeight w:val="55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D81143">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E1979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1B0B57">
            <w:pPr>
              <w:spacing w:line="271"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07587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60DDACD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1BDEE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w:t>
            </w:r>
          </w:p>
          <w:p w14:paraId="02198B1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3A230E25">
        <w:tblPrEx>
          <w:tblCellMar>
            <w:top w:w="0" w:type="dxa"/>
            <w:left w:w="108" w:type="dxa"/>
            <w:bottom w:w="0" w:type="dxa"/>
            <w:right w:w="108" w:type="dxa"/>
          </w:tblCellMar>
        </w:tblPrEx>
        <w:trPr>
          <w:trHeight w:val="2188"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F337D7">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405-2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D5732A">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水泥混凝土桥</w:t>
            </w:r>
          </w:p>
          <w:p w14:paraId="210EA2B0">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面铺装（</w:t>
            </w: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F8300B">
            <w:pPr>
              <w:spacing w:line="120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F645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依据图纸所示位置、尺寸，</w:t>
            </w:r>
          </w:p>
          <w:p w14:paraId="4A4006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分不同混凝土强度等级，按铺</w:t>
            </w:r>
          </w:p>
          <w:p w14:paraId="7850A2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筑厚度以平方米为单位计量；</w:t>
            </w:r>
          </w:p>
          <w:p w14:paraId="316836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3BA3F8B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612832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p w14:paraId="2FAF268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4AECFA1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2BAC0B">
            <w:pPr>
              <w:spacing w:line="55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8674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混凝土配运料、拌</w:t>
            </w:r>
          </w:p>
          <w:p w14:paraId="647FF0A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665B49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635195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施工缝、沉降缝设</w:t>
            </w:r>
          </w:p>
          <w:p w14:paraId="19CA246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154E741F">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73CBE">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083E0F">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桥梁支座</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020FF">
            <w:pPr>
              <w:spacing w:line="1243"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A1D1AC">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74CD6B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安装图纸所示类型及规格支</w:t>
            </w:r>
          </w:p>
          <w:p w14:paraId="43BC836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座就位，按图示数量分不同型</w:t>
            </w:r>
          </w:p>
          <w:p w14:paraId="0C32FF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号、支座反力以个为单位计量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A0674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清洁整平混凝土</w:t>
            </w:r>
          </w:p>
          <w:p w14:paraId="2C5C98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表面；</w:t>
            </w:r>
          </w:p>
          <w:p w14:paraId="73ACC7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砂浆配运料、拌</w:t>
            </w:r>
          </w:p>
          <w:p w14:paraId="1C3B0B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和，接触面抹平；</w:t>
            </w:r>
          </w:p>
          <w:p w14:paraId="446DF52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钢板制作与安装；</w:t>
            </w:r>
          </w:p>
          <w:p w14:paraId="4AE8AE7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吊装设备安拆；</w:t>
            </w:r>
          </w:p>
          <w:p w14:paraId="7F4192E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支座定位安装；</w:t>
            </w:r>
          </w:p>
          <w:p w14:paraId="7EDF86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支座焊接固定</w:t>
            </w:r>
          </w:p>
        </w:tc>
      </w:tr>
      <w:tr w14:paraId="2B7B1339">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B713F">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BA547">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桥梁伸缩装置</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3C611F">
            <w:pPr>
              <w:spacing w:line="1292"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54351A">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4631EDB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安装图示类型和规格的伸缩</w:t>
            </w:r>
          </w:p>
          <w:p w14:paraId="6AD8A7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装置，按图示长度（包括人行</w:t>
            </w:r>
          </w:p>
          <w:p w14:paraId="60A46A8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道、缘石、护栏底座与行车道</w:t>
            </w:r>
          </w:p>
          <w:p w14:paraId="0EFD19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等全部长度），分不同伸缩量</w:t>
            </w:r>
          </w:p>
          <w:p w14:paraId="39590CD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ACF3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切割清理伸缩装</w:t>
            </w:r>
          </w:p>
          <w:p w14:paraId="1EF609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置范围内混凝土；设</w:t>
            </w:r>
          </w:p>
          <w:p w14:paraId="545C77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置预埋件；</w:t>
            </w:r>
          </w:p>
          <w:p w14:paraId="043844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伸缩装置定位、安</w:t>
            </w:r>
          </w:p>
          <w:p w14:paraId="742AD8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063125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混凝土拌和、运</w:t>
            </w:r>
          </w:p>
          <w:p w14:paraId="77C8D0C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输、浇筑、压纹、养</w:t>
            </w:r>
          </w:p>
          <w:p w14:paraId="3FA58A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bl>
    <w:p w14:paraId="6E4C699E">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2E498ED8">
      <w:pPr>
        <w:spacing w:before="139"/>
        <w:ind w:left="86" w:right="203"/>
        <w:jc w:val="center"/>
        <w:rPr>
          <w:rFonts w:hint="eastAsia" w:ascii="宋体" w:hAnsi="宋体" w:eastAsia="宋体" w:cs="宋体"/>
          <w:sz w:val="28"/>
          <w:highlight w:val="none"/>
        </w:rPr>
      </w:pPr>
      <w:r>
        <w:rPr>
          <w:rFonts w:hint="eastAsia" w:ascii="宋体" w:hAnsi="宋体" w:eastAsia="宋体" w:cs="宋体"/>
          <w:sz w:val="28"/>
          <w:highlight w:val="none"/>
        </w:rPr>
        <w:t>第 500 章 排水与涵洞</w:t>
      </w:r>
    </w:p>
    <w:p w14:paraId="2F6F1CF6">
      <w:pPr>
        <w:pStyle w:val="10"/>
        <w:spacing w:before="1"/>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6173C6CF">
        <w:tblPrEx>
          <w:tblCellMar>
            <w:top w:w="0" w:type="dxa"/>
            <w:left w:w="108" w:type="dxa"/>
            <w:bottom w:w="0" w:type="dxa"/>
            <w:right w:w="108" w:type="dxa"/>
          </w:tblCellMar>
        </w:tblPrEx>
        <w:trPr>
          <w:trHeight w:val="48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19467">
            <w:pPr>
              <w:spacing w:line="345"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C7F05A">
            <w:pPr>
              <w:spacing w:line="345"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E353D">
            <w:pPr>
              <w:spacing w:line="345"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CB8B25">
            <w:pPr>
              <w:spacing w:line="345"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7E6A7">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3FED956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230C1B">
            <w:pPr>
              <w:spacing w:line="416" w:lineRule="exact"/>
              <w:ind w:left="337"/>
              <w:rPr>
                <w:rFonts w:hint="eastAsia" w:ascii="宋体" w:hAnsi="宋体" w:eastAsia="宋体" w:cs="宋体"/>
                <w:highlight w:val="none"/>
              </w:rPr>
            </w:pPr>
            <w:r>
              <w:rPr>
                <w:rFonts w:hint="eastAsia" w:ascii="宋体" w:hAnsi="宋体" w:eastAsia="宋体" w:cs="宋体"/>
                <w:spacing w:val="-1"/>
                <w:sz w:val="20"/>
                <w:highlight w:val="none"/>
              </w:rPr>
              <w:t>501-1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4ADF0">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边沟、排水沟、</w:t>
            </w:r>
          </w:p>
          <w:p w14:paraId="150A9E62">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截水沟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752BC">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171DDA">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D4864F">
            <w:pPr>
              <w:spacing w:line="274" w:lineRule="exact"/>
              <w:rPr>
                <w:rFonts w:hint="eastAsia" w:ascii="宋体" w:hAnsi="宋体" w:eastAsia="宋体" w:cs="宋体"/>
                <w:highlight w:val="none"/>
              </w:rPr>
            </w:pPr>
          </w:p>
        </w:tc>
      </w:tr>
      <w:tr w14:paraId="7F470D55">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798F1">
            <w:pPr>
              <w:spacing w:line="1292"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5359B">
            <w:pPr>
              <w:spacing w:line="1240"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F9F9E">
            <w:pPr>
              <w:spacing w:line="120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A390C">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847543">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p w14:paraId="7EADE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3E5C376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0F056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6350B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0DA7176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20643A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8D91DD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7BC3AF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59852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4F76E4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tc>
      </w:tr>
      <w:tr w14:paraId="1AAC9A84">
        <w:tblPrEx>
          <w:tblCellMar>
            <w:top w:w="0" w:type="dxa"/>
            <w:left w:w="108" w:type="dxa"/>
            <w:bottom w:w="0" w:type="dxa"/>
            <w:right w:w="108" w:type="dxa"/>
          </w:tblCellMar>
        </w:tblPrEx>
        <w:trPr>
          <w:trHeight w:val="282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7318AA">
            <w:pPr>
              <w:spacing w:line="160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A29800">
            <w:pPr>
              <w:spacing w:line="1557"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78059">
            <w:pPr>
              <w:spacing w:line="151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E58488">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549405E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606006B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等级混凝土浇筑的边沟</w:t>
            </w:r>
          </w:p>
          <w:p w14:paraId="5F5927B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198CEE1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D99B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07B1D9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6099CCA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6116D57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652D6A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BA064F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AC0DC52">
            <w:pPr>
              <w:spacing w:line="397"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钢筋制作与安装；</w:t>
            </w:r>
          </w:p>
          <w:p w14:paraId="12F860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混凝土拌和、运输、</w:t>
            </w:r>
          </w:p>
          <w:p w14:paraId="06FA47C5">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2FFFBB7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AEBD59B">
        <w:tblPrEx>
          <w:tblCellMar>
            <w:top w:w="0" w:type="dxa"/>
            <w:left w:w="108" w:type="dxa"/>
            <w:bottom w:w="0" w:type="dxa"/>
            <w:right w:w="108" w:type="dxa"/>
          </w:tblCellMar>
        </w:tblPrEx>
        <w:trPr>
          <w:trHeight w:val="27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D5EF7">
            <w:pPr>
              <w:spacing w:line="1564"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76B2B5">
            <w:pPr>
              <w:spacing w:line="1513"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23677A">
            <w:pPr>
              <w:spacing w:line="141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10BB8C">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2C86F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1CC1C34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等级混凝土预制的边沟</w:t>
            </w:r>
          </w:p>
          <w:p w14:paraId="18AA6F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6488EB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3C7C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77E7B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3D2BBA5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13796A2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6D55A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6BE1C25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1C9B74F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7B2D3D4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4C327C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51B095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DBDC520">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54D6">
            <w:pPr>
              <w:spacing w:line="1836" w:lineRule="exact"/>
              <w:ind w:left="337"/>
              <w:rPr>
                <w:rFonts w:hint="eastAsia" w:ascii="宋体" w:hAnsi="宋体" w:eastAsia="宋体" w:cs="宋体"/>
                <w:highlight w:val="none"/>
              </w:rPr>
            </w:pPr>
            <w:r>
              <w:rPr>
                <w:rFonts w:hint="eastAsia" w:ascii="宋体" w:hAnsi="宋体" w:eastAsia="宋体" w:cs="宋体"/>
                <w:spacing w:val="-1"/>
                <w:sz w:val="20"/>
                <w:highlight w:val="none"/>
              </w:rPr>
              <w:t>502-1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23CFFA">
            <w:pPr>
              <w:spacing w:line="1787" w:lineRule="exact"/>
              <w:ind w:left="282"/>
              <w:rPr>
                <w:rFonts w:hint="eastAsia" w:ascii="宋体" w:hAnsi="宋体" w:eastAsia="宋体" w:cs="宋体"/>
                <w:highlight w:val="none"/>
              </w:rPr>
            </w:pPr>
            <w:r>
              <w:rPr>
                <w:rFonts w:hint="eastAsia" w:ascii="宋体" w:hAnsi="宋体" w:eastAsia="宋体" w:cs="宋体"/>
                <w:spacing w:val="-1"/>
                <w:sz w:val="20"/>
                <w:highlight w:val="none"/>
              </w:rPr>
              <w:t>埋设排水管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FBB0C">
            <w:pPr>
              <w:spacing w:line="1778"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5501BA">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w:t>
            </w:r>
          </w:p>
          <w:p w14:paraId="6C670D6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不同材质、不同孔径的排</w:t>
            </w:r>
          </w:p>
          <w:p w14:paraId="0EA6029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水管长度计算，以米为单</w:t>
            </w:r>
          </w:p>
          <w:p w14:paraId="2CD9B1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21E5D2">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76BA4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37A3043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垫层材料铺筑；</w:t>
            </w:r>
          </w:p>
          <w:p w14:paraId="52EE4BB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基座砌筑或浇筑；</w:t>
            </w:r>
          </w:p>
          <w:p w14:paraId="59911E3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排水管制作或购买、</w:t>
            </w:r>
          </w:p>
          <w:p w14:paraId="6AE147F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运输、保存；</w:t>
            </w:r>
          </w:p>
          <w:p w14:paraId="692B1C6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排水管安装、接缝处</w:t>
            </w:r>
          </w:p>
          <w:p w14:paraId="09E1DB5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p w14:paraId="378638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防水、防冻、防腐等</w:t>
            </w:r>
          </w:p>
          <w:p w14:paraId="642E131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处理；</w:t>
            </w:r>
          </w:p>
          <w:p w14:paraId="2F88192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分层回填、压实；</w:t>
            </w:r>
          </w:p>
          <w:p w14:paraId="5416D2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现场清理、废方弃运</w:t>
            </w:r>
          </w:p>
        </w:tc>
      </w:tr>
      <w:tr w14:paraId="399A5238">
        <w:tblPrEx>
          <w:tblCellMar>
            <w:top w:w="0" w:type="dxa"/>
            <w:left w:w="108" w:type="dxa"/>
            <w:bottom w:w="0" w:type="dxa"/>
            <w:right w:w="108" w:type="dxa"/>
          </w:tblCellMar>
        </w:tblPrEx>
        <w:trPr>
          <w:trHeight w:val="5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D58772">
            <w:pPr>
              <w:spacing w:line="452" w:lineRule="exact"/>
              <w:ind w:left="337"/>
              <w:rPr>
                <w:rFonts w:hint="eastAsia" w:ascii="宋体" w:hAnsi="宋体" w:eastAsia="宋体" w:cs="宋体"/>
                <w:highlight w:val="none"/>
              </w:rPr>
            </w:pPr>
            <w:r>
              <w:rPr>
                <w:rFonts w:hint="eastAsia" w:ascii="宋体" w:hAnsi="宋体" w:eastAsia="宋体" w:cs="宋体"/>
                <w:spacing w:val="-1"/>
                <w:sz w:val="20"/>
                <w:highlight w:val="none"/>
              </w:rPr>
              <w:t>503-1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D79DE8">
            <w:pPr>
              <w:spacing w:line="402" w:lineRule="exact"/>
              <w:ind w:left="282"/>
              <w:rPr>
                <w:rFonts w:hint="eastAsia" w:ascii="宋体" w:hAnsi="宋体" w:eastAsia="宋体" w:cs="宋体"/>
                <w:highlight w:val="none"/>
              </w:rPr>
            </w:pPr>
            <w:r>
              <w:rPr>
                <w:rFonts w:hint="eastAsia" w:ascii="宋体" w:hAnsi="宋体" w:eastAsia="宋体" w:cs="宋体"/>
                <w:spacing w:val="-1"/>
                <w:sz w:val="20"/>
                <w:highlight w:val="none"/>
              </w:rPr>
              <w:t>过水路面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6535E">
            <w:pPr>
              <w:spacing w:line="402"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212D8">
            <w:pPr>
              <w:spacing w:line="402"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19448A">
            <w:pPr>
              <w:spacing w:line="402" w:lineRule="exact"/>
              <w:rPr>
                <w:rFonts w:hint="eastAsia" w:ascii="宋体" w:hAnsi="宋体" w:eastAsia="宋体" w:cs="宋体"/>
                <w:highlight w:val="none"/>
              </w:rPr>
            </w:pPr>
          </w:p>
        </w:tc>
      </w:tr>
      <w:tr w14:paraId="4CD5257A">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3E4F">
            <w:pPr>
              <w:spacing w:line="476"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207AFD">
            <w:pPr>
              <w:spacing w:line="424"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BD099A">
            <w:pPr>
              <w:spacing w:line="32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C74C6">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33540E39">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C2738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场地清理、开挖基坑；</w:t>
            </w:r>
          </w:p>
          <w:p w14:paraId="16ED05C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w:t>
            </w:r>
          </w:p>
        </w:tc>
      </w:tr>
    </w:tbl>
    <w:p w14:paraId="74FE78AA">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1A31947">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10D682B">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CF17F">
            <w:pPr>
              <w:spacing w:line="274"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72A6E6">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49FE1">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A709F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5EA1B42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F6DD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BBD4E9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484CD62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浆砌片（卵）石、勾</w:t>
            </w:r>
          </w:p>
          <w:p w14:paraId="76A07EC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缝、抹面、养护；</w:t>
            </w:r>
          </w:p>
          <w:p w14:paraId="28E5C46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清理现场，废方弃运</w:t>
            </w:r>
          </w:p>
        </w:tc>
      </w:tr>
      <w:tr w14:paraId="648CB16D">
        <w:tblPrEx>
          <w:tblCellMar>
            <w:top w:w="0" w:type="dxa"/>
            <w:left w:w="108" w:type="dxa"/>
            <w:bottom w:w="0" w:type="dxa"/>
            <w:right w:w="108" w:type="dxa"/>
          </w:tblCellMar>
        </w:tblPrEx>
        <w:trPr>
          <w:trHeight w:val="26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94825">
            <w:pPr>
              <w:spacing w:line="1427"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910B5">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432A76">
            <w:pPr>
              <w:spacing w:line="127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2F69BF">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A6C5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断面尺寸，按混凝土不同</w:t>
            </w:r>
          </w:p>
          <w:p w14:paraId="1255EA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强度等级的铺筑体积，以</w:t>
            </w:r>
          </w:p>
          <w:p w14:paraId="1E02A5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641E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1DF0ADC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洒水湿润；</w:t>
            </w:r>
          </w:p>
          <w:p w14:paraId="5D869C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w:t>
            </w:r>
          </w:p>
          <w:p w14:paraId="3436F58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装、拆除；</w:t>
            </w:r>
          </w:p>
          <w:p w14:paraId="0D866E0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混凝土拌合、运输、</w:t>
            </w:r>
          </w:p>
          <w:p w14:paraId="1997267C">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浇筑、振捣、抹平、养护；</w:t>
            </w:r>
          </w:p>
          <w:p w14:paraId="168C0A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切缝、灌缝处理；</w:t>
            </w:r>
          </w:p>
          <w:p w14:paraId="16BFDB1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p w14:paraId="43E3ACB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22E0964A">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BB758">
            <w:pPr>
              <w:spacing w:line="474" w:lineRule="exact"/>
              <w:ind w:left="337"/>
              <w:rPr>
                <w:rFonts w:hint="eastAsia" w:ascii="宋体" w:hAnsi="宋体" w:eastAsia="宋体" w:cs="宋体"/>
                <w:highlight w:val="none"/>
              </w:rPr>
            </w:pPr>
            <w:r>
              <w:rPr>
                <w:rFonts w:hint="eastAsia" w:ascii="宋体" w:hAnsi="宋体" w:eastAsia="宋体" w:cs="宋体"/>
                <w:spacing w:val="-1"/>
                <w:sz w:val="20"/>
                <w:highlight w:val="none"/>
              </w:rPr>
              <w:t>504-1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E08331">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钢筋混凝土圆</w:t>
            </w:r>
          </w:p>
          <w:p w14:paraId="2F331D91">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0380B">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4E65E8">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C3E92">
            <w:pPr>
              <w:spacing w:line="271" w:lineRule="exact"/>
              <w:rPr>
                <w:rFonts w:hint="eastAsia" w:ascii="宋体" w:hAnsi="宋体" w:eastAsia="宋体" w:cs="宋体"/>
                <w:highlight w:val="none"/>
              </w:rPr>
            </w:pPr>
          </w:p>
        </w:tc>
      </w:tr>
      <w:tr w14:paraId="2D4319F0">
        <w:tblPrEx>
          <w:tblCellMar>
            <w:top w:w="0" w:type="dxa"/>
            <w:left w:w="108" w:type="dxa"/>
            <w:bottom w:w="0" w:type="dxa"/>
            <w:right w:w="108" w:type="dxa"/>
          </w:tblCellMar>
        </w:tblPrEx>
        <w:trPr>
          <w:trHeight w:val="234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546C8">
            <w:pPr>
              <w:spacing w:line="13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33E07E">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单孔钢筋</w:t>
            </w:r>
          </w:p>
          <w:p w14:paraId="170B48C8">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F55E7A">
            <w:pPr>
              <w:spacing w:line="131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A5BCE2">
            <w:pPr>
              <w:spacing w:line="203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709CA7FF">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ABF2024">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7E0EC62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0B370E">
            <w:pPr>
              <w:spacing w:line="7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1CA029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6A7FAC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11DCB6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78A605C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56E319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3EA9532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71190B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21C2603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6BDE3D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4F20D1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1081F63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375FF9F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EF63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65D2692D">
        <w:tblPrEx>
          <w:tblCellMar>
            <w:top w:w="0" w:type="dxa"/>
            <w:left w:w="108" w:type="dxa"/>
            <w:bottom w:w="0" w:type="dxa"/>
            <w:right w:w="108" w:type="dxa"/>
          </w:tblCellMar>
        </w:tblPrEx>
        <w:trPr>
          <w:trHeight w:val="19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D7EE59">
            <w:pPr>
              <w:spacing w:line="1368"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E05B1">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双孔钢筋</w:t>
            </w:r>
          </w:p>
          <w:p w14:paraId="2DD8E00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E5CF47">
            <w:pPr>
              <w:spacing w:line="131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D909A8">
            <w:pPr>
              <w:spacing w:line="131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8E0067">
            <w:pPr>
              <w:spacing w:line="1310" w:lineRule="exact"/>
              <w:rPr>
                <w:rFonts w:hint="eastAsia" w:ascii="宋体" w:hAnsi="宋体" w:eastAsia="宋体" w:cs="宋体"/>
                <w:highlight w:val="none"/>
              </w:rPr>
            </w:pPr>
          </w:p>
        </w:tc>
      </w:tr>
      <w:tr w14:paraId="44EF55A6">
        <w:tblPrEx>
          <w:tblCellMar>
            <w:top w:w="0" w:type="dxa"/>
            <w:left w:w="108" w:type="dxa"/>
            <w:bottom w:w="0" w:type="dxa"/>
            <w:right w:w="108" w:type="dxa"/>
          </w:tblCellMar>
        </w:tblPrEx>
        <w:trPr>
          <w:trHeight w:val="382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397E90">
            <w:pPr>
              <w:spacing w:line="2107" w:lineRule="exact"/>
              <w:ind w:left="337"/>
              <w:rPr>
                <w:rFonts w:hint="eastAsia" w:ascii="宋体" w:hAnsi="宋体" w:eastAsia="宋体" w:cs="宋体"/>
                <w:highlight w:val="none"/>
              </w:rPr>
            </w:pPr>
            <w:r>
              <w:rPr>
                <w:rFonts w:hint="eastAsia" w:ascii="宋体" w:hAnsi="宋体" w:eastAsia="宋体" w:cs="宋体"/>
                <w:spacing w:val="-1"/>
                <w:sz w:val="20"/>
                <w:highlight w:val="none"/>
              </w:rPr>
              <w:t>505-1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AA43D9">
            <w:pPr>
              <w:spacing w:line="1878" w:lineRule="exact"/>
              <w:ind w:left="282"/>
              <w:rPr>
                <w:rFonts w:hint="eastAsia" w:ascii="宋体" w:hAnsi="宋体" w:eastAsia="宋体" w:cs="宋体"/>
                <w:highlight w:val="none"/>
              </w:rPr>
            </w:pPr>
            <w:r>
              <w:rPr>
                <w:rFonts w:hint="eastAsia" w:ascii="宋体" w:hAnsi="宋体" w:eastAsia="宋体" w:cs="宋体"/>
                <w:spacing w:val="-1"/>
                <w:sz w:val="20"/>
                <w:highlight w:val="none"/>
              </w:rPr>
              <w:t>倒虹吸（不分孔</w:t>
            </w:r>
          </w:p>
          <w:p w14:paraId="2D38D34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6F2C9">
            <w:pPr>
              <w:spacing w:line="204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439B1">
            <w:pPr>
              <w:spacing w:line="160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依据图纸所示，不分孔</w:t>
            </w:r>
          </w:p>
          <w:p w14:paraId="3C7F4BE9">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径按涵身长度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进出口端</w:t>
            </w:r>
          </w:p>
          <w:p w14:paraId="150D5031">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计算，以</w:t>
            </w:r>
          </w:p>
          <w:p w14:paraId="2B9472B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56508E">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42B974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5FBE3D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7D7693E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D47ED5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D5A646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41862E3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69BC06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0D0838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108F690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5ED2C710">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884D9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686CDAA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251FDF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06DFD122">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F876E">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A6F084">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钢筋混凝土盖</w:t>
            </w:r>
          </w:p>
          <w:p w14:paraId="11614B7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966F30">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8204A5">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ACBB22">
            <w:pPr>
              <w:spacing w:line="274" w:lineRule="exact"/>
              <w:rPr>
                <w:rFonts w:hint="eastAsia" w:ascii="宋体" w:hAnsi="宋体" w:eastAsia="宋体" w:cs="宋体"/>
                <w:highlight w:val="none"/>
              </w:rPr>
            </w:pPr>
          </w:p>
        </w:tc>
      </w:tr>
    </w:tbl>
    <w:p w14:paraId="3A832828">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0FC71754">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5A02BB9B">
        <w:tblPrEx>
          <w:tblCellMar>
            <w:top w:w="0" w:type="dxa"/>
            <w:left w:w="108" w:type="dxa"/>
            <w:bottom w:w="0" w:type="dxa"/>
            <w:right w:w="108" w:type="dxa"/>
          </w:tblCellMar>
        </w:tblPrEx>
        <w:trPr>
          <w:trHeight w:val="162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6FFF5F">
            <w:pPr>
              <w:spacing w:line="1009"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54C21E">
            <w:pPr>
              <w:spacing w:line="815"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7F55B4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4A0318">
            <w:pPr>
              <w:spacing w:line="95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03FAC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A2A9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跨径的盖板涵长度以米</w:t>
            </w:r>
          </w:p>
          <w:p w14:paraId="116F606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BDF54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8938D2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0148F7E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挖，基坑支护；</w:t>
            </w:r>
          </w:p>
          <w:p w14:paraId="66378DC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基础、地基处理、涵</w:t>
            </w:r>
          </w:p>
          <w:p w14:paraId="75EF51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台施工；</w:t>
            </w:r>
          </w:p>
          <w:p w14:paraId="3C1AED6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施工缝设置、处理；</w:t>
            </w:r>
          </w:p>
          <w:p w14:paraId="67E89B5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盖板预制，运输，安</w:t>
            </w:r>
          </w:p>
          <w:p w14:paraId="1CD135D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B028E9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砂浆制作、填缝；</w:t>
            </w:r>
          </w:p>
          <w:p w14:paraId="6A47351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493B49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6BC67BA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回填</w:t>
            </w:r>
          </w:p>
        </w:tc>
      </w:tr>
      <w:tr w14:paraId="047F161C">
        <w:tblPrEx>
          <w:tblCellMar>
            <w:top w:w="0" w:type="dxa"/>
            <w:left w:w="108" w:type="dxa"/>
            <w:bottom w:w="0" w:type="dxa"/>
            <w:right w:w="108" w:type="dxa"/>
          </w:tblCellMar>
        </w:tblPrEx>
        <w:trPr>
          <w:trHeight w:val="162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5486">
            <w:pPr>
              <w:spacing w:line="1160"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3955">
            <w:pPr>
              <w:spacing w:line="966"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73DA77AA">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AB3172">
            <w:pPr>
              <w:spacing w:line="110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53C9F">
            <w:pPr>
              <w:spacing w:line="110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90AC1">
            <w:pPr>
              <w:spacing w:line="1100" w:lineRule="exact"/>
              <w:rPr>
                <w:rFonts w:hint="eastAsia" w:ascii="宋体" w:hAnsi="宋体" w:eastAsia="宋体" w:cs="宋体"/>
                <w:highlight w:val="none"/>
              </w:rPr>
            </w:pPr>
          </w:p>
        </w:tc>
      </w:tr>
      <w:tr w14:paraId="66D3C00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F2AC5">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26BD59">
            <w:pPr>
              <w:spacing w:line="244" w:lineRule="exact"/>
              <w:jc w:val="center"/>
              <w:rPr>
                <w:rFonts w:hint="eastAsia" w:ascii="宋体" w:hAnsi="宋体" w:eastAsia="宋体" w:cs="宋体"/>
                <w:highlight w:val="none"/>
              </w:rPr>
            </w:pPr>
            <w:r>
              <w:rPr>
                <w:rFonts w:hint="eastAsia" w:ascii="宋体" w:hAnsi="宋体" w:eastAsia="宋体" w:cs="宋体"/>
                <w:spacing w:val="-1"/>
                <w:sz w:val="20"/>
                <w:highlight w:val="none"/>
              </w:rPr>
              <w:t>钢筋混凝土箱涵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C2D8E8">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E7AE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C8A84">
            <w:pPr>
              <w:spacing w:line="274" w:lineRule="exact"/>
              <w:rPr>
                <w:rFonts w:hint="eastAsia" w:ascii="宋体" w:hAnsi="宋体" w:eastAsia="宋体" w:cs="宋体"/>
                <w:highlight w:val="none"/>
              </w:rPr>
            </w:pPr>
          </w:p>
        </w:tc>
      </w:tr>
      <w:tr w14:paraId="022497D4">
        <w:tblPrEx>
          <w:tblCellMar>
            <w:top w:w="0" w:type="dxa"/>
            <w:left w:w="108" w:type="dxa"/>
            <w:bottom w:w="0" w:type="dxa"/>
            <w:right w:w="108" w:type="dxa"/>
          </w:tblCellMar>
        </w:tblPrEx>
        <w:trPr>
          <w:trHeight w:val="182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C5B097">
            <w:pPr>
              <w:spacing w:line="1111"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5D5DB">
            <w:pPr>
              <w:spacing w:line="917"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22F29452">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8D0D49">
            <w:pPr>
              <w:spacing w:line="1054"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BA78E">
            <w:pPr>
              <w:spacing w:line="174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B9D260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跨径的箱涵长度以米为</w:t>
            </w:r>
          </w:p>
          <w:p w14:paraId="078FF8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A9E79">
            <w:pPr>
              <w:spacing w:line="281"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围堰、排水，基坑开</w:t>
            </w:r>
            <w:r>
              <w:rPr>
                <w:rFonts w:hint="eastAsia" w:ascii="宋体" w:hAnsi="宋体" w:eastAsia="宋体" w:cs="宋体"/>
                <w:spacing w:val="-1"/>
                <w:sz w:val="20"/>
                <w:highlight w:val="none"/>
              </w:rPr>
              <w:t>挖；</w:t>
            </w:r>
          </w:p>
          <w:p w14:paraId="77BEF794">
            <w:pPr>
              <w:spacing w:line="306"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垫层、基础施工；</w:t>
            </w:r>
          </w:p>
          <w:p w14:paraId="7374A298">
            <w:pPr>
              <w:spacing w:line="274"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搭拆作业平台；</w:t>
            </w:r>
          </w:p>
          <w:p w14:paraId="5A16D814">
            <w:pPr>
              <w:spacing w:line="271"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模板安设、加固、检</w:t>
            </w:r>
            <w:r>
              <w:rPr>
                <w:rFonts w:hint="eastAsia" w:ascii="宋体" w:hAnsi="宋体" w:eastAsia="宋体" w:cs="宋体"/>
                <w:spacing w:val="-1"/>
                <w:sz w:val="20"/>
                <w:highlight w:val="none"/>
              </w:rPr>
              <w:t>查；</w:t>
            </w:r>
          </w:p>
          <w:p w14:paraId="318F47AC">
            <w:pPr>
              <w:spacing w:line="308"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钢筋安设、支承及固</w:t>
            </w:r>
            <w:r>
              <w:rPr>
                <w:rFonts w:hint="eastAsia" w:ascii="宋体" w:hAnsi="宋体" w:eastAsia="宋体" w:cs="宋体"/>
                <w:spacing w:val="-1"/>
                <w:sz w:val="20"/>
                <w:highlight w:val="none"/>
              </w:rPr>
              <w:t>定；</w:t>
            </w:r>
          </w:p>
          <w:p w14:paraId="7609EDA0">
            <w:pPr>
              <w:spacing w:line="306"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混凝土配运料、拌和、</w:t>
            </w:r>
          </w:p>
          <w:p w14:paraId="78D9835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运输、浇筑、养护；</w:t>
            </w:r>
          </w:p>
          <w:p w14:paraId="200228AC">
            <w:pPr>
              <w:spacing w:line="306"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施工缝设置、处理；</w:t>
            </w:r>
          </w:p>
          <w:p w14:paraId="5BEFA19E">
            <w:pPr>
              <w:spacing w:line="274"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防水、防冻、防腐措</w:t>
            </w:r>
            <w:r>
              <w:rPr>
                <w:rFonts w:hint="eastAsia" w:ascii="宋体" w:hAnsi="宋体" w:eastAsia="宋体" w:cs="宋体"/>
                <w:spacing w:val="-1"/>
                <w:sz w:val="20"/>
                <w:highlight w:val="none"/>
              </w:rPr>
              <w:t>施；</w:t>
            </w:r>
          </w:p>
          <w:p w14:paraId="4CA2B326">
            <w:pPr>
              <w:spacing w:line="308" w:lineRule="exact"/>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回填</w:t>
            </w:r>
          </w:p>
        </w:tc>
      </w:tr>
      <w:tr w14:paraId="251026CC">
        <w:tblPrEx>
          <w:tblCellMar>
            <w:top w:w="0" w:type="dxa"/>
            <w:left w:w="108" w:type="dxa"/>
            <w:bottom w:w="0" w:type="dxa"/>
            <w:right w:w="108" w:type="dxa"/>
          </w:tblCellMar>
        </w:tblPrEx>
        <w:trPr>
          <w:trHeight w:val="12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515841">
            <w:pPr>
              <w:spacing w:line="119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BAA5D5">
            <w:pPr>
              <w:spacing w:line="999"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66447A9">
            <w:pPr>
              <w:spacing w:line="236"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C6CCF8">
            <w:pPr>
              <w:spacing w:line="1136"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4921D8">
            <w:pPr>
              <w:spacing w:line="1136"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50937">
            <w:pPr>
              <w:spacing w:line="1136" w:lineRule="exact"/>
              <w:rPr>
                <w:rFonts w:hint="eastAsia" w:ascii="宋体" w:hAnsi="宋体" w:eastAsia="宋体" w:cs="宋体"/>
                <w:highlight w:val="none"/>
              </w:rPr>
            </w:pPr>
          </w:p>
        </w:tc>
      </w:tr>
      <w:tr w14:paraId="1E08BEE8">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926E9">
            <w:pPr>
              <w:spacing w:line="1699" w:lineRule="exact"/>
              <w:ind w:left="337"/>
              <w:rPr>
                <w:rFonts w:hint="eastAsia" w:ascii="宋体" w:hAnsi="宋体" w:eastAsia="宋体" w:cs="宋体"/>
                <w:highlight w:val="none"/>
              </w:rPr>
            </w:pPr>
            <w:r>
              <w:rPr>
                <w:rFonts w:hint="eastAsia" w:ascii="宋体" w:hAnsi="宋体" w:eastAsia="宋体" w:cs="宋体"/>
                <w:spacing w:val="-1"/>
                <w:sz w:val="20"/>
                <w:highlight w:val="none"/>
              </w:rPr>
              <w:t>508-1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40151">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44726">
            <w:pPr>
              <w:spacing w:line="163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E08B">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0EE97C1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跨径的混凝土拱涵长度</w:t>
            </w:r>
          </w:p>
          <w:p w14:paraId="235059D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EDAD6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242A13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7D0E75D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挖，</w:t>
            </w:r>
          </w:p>
          <w:p w14:paraId="5E7B6EEE">
            <w:pPr>
              <w:spacing w:line="274" w:lineRule="exact"/>
              <w:ind w:left="281"/>
              <w:rPr>
                <w:rFonts w:hint="eastAsia" w:ascii="宋体" w:hAnsi="宋体" w:eastAsia="宋体" w:cs="宋体"/>
                <w:highlight w:val="none"/>
              </w:rPr>
            </w:pPr>
            <w:r>
              <w:rPr>
                <w:rFonts w:hint="eastAsia" w:ascii="宋体" w:hAnsi="宋体" w:eastAsia="宋体" w:cs="宋体"/>
                <w:spacing w:val="-1"/>
                <w:sz w:val="20"/>
                <w:highlight w:val="none"/>
              </w:rPr>
              <w:t>基坑支护；</w:t>
            </w:r>
          </w:p>
          <w:p w14:paraId="3B0412A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基础及涵台施工；</w:t>
            </w:r>
          </w:p>
          <w:p w14:paraId="73B0CEE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搭拆作业平台；</w:t>
            </w:r>
          </w:p>
          <w:p w14:paraId="6D5A4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安拆支架、拱盔；</w:t>
            </w:r>
          </w:p>
          <w:p w14:paraId="38F4E1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配、拌、运混凝土、</w:t>
            </w:r>
          </w:p>
          <w:p w14:paraId="4A1785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1356890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15584E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tc>
      </w:tr>
      <w:tr w14:paraId="13D12174">
        <w:tblPrEx>
          <w:tblCellMar>
            <w:top w:w="0" w:type="dxa"/>
            <w:left w:w="108" w:type="dxa"/>
            <w:bottom w:w="0" w:type="dxa"/>
            <w:right w:w="108" w:type="dxa"/>
          </w:tblCellMar>
        </w:tblPrEx>
        <w:trPr>
          <w:trHeight w:val="3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DE0DCF8">
            <w:pPr>
              <w:spacing w:line="476" w:lineRule="exact"/>
              <w:ind w:left="33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rPr>
              <w:t>50</w:t>
            </w:r>
            <w:r>
              <w:rPr>
                <w:rFonts w:hint="eastAsia" w:ascii="宋体" w:hAnsi="宋体" w:eastAsia="宋体" w:cs="宋体"/>
                <w:spacing w:val="-1"/>
                <w:sz w:val="20"/>
                <w:highlight w:val="none"/>
                <w:lang w:val="en-US"/>
              </w:rPr>
              <w:t>9</w:t>
            </w:r>
            <w:r>
              <w:rPr>
                <w:rFonts w:hint="eastAsia" w:ascii="宋体" w:hAnsi="宋体" w:eastAsia="宋体" w:cs="宋体"/>
                <w:spacing w:val="-1"/>
                <w:sz w:val="20"/>
                <w:highlight w:val="none"/>
              </w:rPr>
              <w:t>-1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B1A203">
            <w:pPr>
              <w:spacing w:line="244"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钢管涵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D10B252">
            <w:pPr>
              <w:spacing w:line="274" w:lineRule="exact"/>
              <w:jc w:val="center"/>
              <w:rPr>
                <w:rFonts w:hint="eastAsia" w:ascii="宋体" w:hAnsi="宋体" w:eastAsia="宋体" w:cs="宋体"/>
                <w:sz w:val="20"/>
                <w:highlight w:val="none"/>
              </w:rPr>
            </w:pPr>
            <w:r>
              <w:rPr>
                <w:rFonts w:hint="eastAsia" w:ascii="宋体" w:hAnsi="宋体" w:eastAsia="宋体" w:cs="宋体"/>
                <w:position w:val="-4"/>
                <w:sz w:val="20"/>
                <w:highlight w:val="none"/>
                <w:lang w:val="en-US"/>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253BB97">
            <w:pPr>
              <w:autoSpaceDE/>
              <w:autoSpaceDN/>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137D8915">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8F151D2">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0A6A1BBB">
            <w:pPr>
              <w:spacing w:line="274" w:lineRule="exact"/>
              <w:rPr>
                <w:rFonts w:hint="eastAsia" w:ascii="宋体" w:hAnsi="宋体" w:eastAsia="宋体" w:cs="宋体"/>
                <w:spacing w:val="-1"/>
                <w:sz w:val="20"/>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2125D6">
            <w:pPr>
              <w:autoSpaceDE/>
              <w:autoSpaceDN/>
              <w:spacing w:line="240" w:lineRule="atLeast"/>
              <w:ind w:left="283"/>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6DF0D3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3686294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6637230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197C4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B3DCEDF">
            <w:pPr>
              <w:spacing w:line="237" w:lineRule="exact"/>
              <w:ind w:left="108" w:firstLine="200" w:firstLineChars="100"/>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制作钢管涵</w:t>
            </w:r>
            <w:r>
              <w:rPr>
                <w:rFonts w:hint="eastAsia" w:ascii="宋体" w:hAnsi="宋体" w:eastAsia="宋体" w:cs="宋体"/>
                <w:spacing w:val="-1"/>
                <w:sz w:val="20"/>
                <w:highlight w:val="none"/>
              </w:rPr>
              <w:t>；</w:t>
            </w:r>
          </w:p>
          <w:p w14:paraId="370E663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1C3A964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37E8D5E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38E2CFB">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C626C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52B971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11B09712">
            <w:pPr>
              <w:spacing w:line="274" w:lineRule="exact"/>
              <w:ind w:firstLine="200" w:firstLineChars="100"/>
              <w:rPr>
                <w:rFonts w:hint="eastAsia" w:ascii="宋体" w:hAnsi="宋体" w:eastAsia="宋体" w:cs="宋体"/>
                <w:spacing w:val="-1"/>
                <w:sz w:val="20"/>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bl>
    <w:p w14:paraId="1EAE0F41">
      <w:pPr>
        <w:spacing w:line="252"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74C046A">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600 章 防护</w:t>
      </w:r>
    </w:p>
    <w:p w14:paraId="40115BE6">
      <w:pPr>
        <w:pStyle w:val="10"/>
        <w:spacing w:before="1"/>
        <w:rPr>
          <w:rFonts w:hint="eastAsia" w:ascii="宋体" w:hAnsi="宋体" w:eastAsia="宋体" w:cs="宋体"/>
          <w:sz w:val="18"/>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70401B57">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82047">
            <w:pPr>
              <w:spacing w:line="367"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E02543">
            <w:pPr>
              <w:spacing w:line="367"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ED307">
            <w:pPr>
              <w:spacing w:line="367"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4CB03">
            <w:pPr>
              <w:spacing w:line="367"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807F9">
            <w:pPr>
              <w:spacing w:line="367"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71DC149">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84E5D7">
            <w:pPr>
              <w:spacing w:line="403" w:lineRule="exact"/>
              <w:ind w:left="337"/>
              <w:rPr>
                <w:rFonts w:hint="eastAsia" w:ascii="宋体" w:hAnsi="宋体" w:eastAsia="宋体" w:cs="宋体"/>
                <w:highlight w:val="none"/>
              </w:rPr>
            </w:pPr>
            <w:r>
              <w:rPr>
                <w:rFonts w:hint="eastAsia" w:ascii="宋体" w:hAnsi="宋体" w:eastAsia="宋体" w:cs="宋体"/>
                <w:spacing w:val="-1"/>
                <w:sz w:val="20"/>
                <w:highlight w:val="none"/>
              </w:rPr>
              <w:t>601-1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8C5B4B">
            <w:pPr>
              <w:spacing w:line="368" w:lineRule="exact"/>
              <w:ind w:left="282"/>
              <w:rPr>
                <w:rFonts w:hint="eastAsia" w:ascii="宋体" w:hAnsi="宋体" w:eastAsia="宋体" w:cs="宋体"/>
                <w:highlight w:val="none"/>
              </w:rPr>
            </w:pPr>
            <w:r>
              <w:rPr>
                <w:rFonts w:hint="eastAsia" w:ascii="宋体" w:hAnsi="宋体" w:eastAsia="宋体" w:cs="宋体"/>
                <w:spacing w:val="-1"/>
                <w:sz w:val="20"/>
                <w:highlight w:val="none"/>
              </w:rPr>
              <w:t>喷锚护面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3204E5">
            <w:pPr>
              <w:spacing w:line="368"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BB23D4">
            <w:pPr>
              <w:spacing w:line="36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86C606">
            <w:pPr>
              <w:spacing w:line="368" w:lineRule="exact"/>
              <w:rPr>
                <w:rFonts w:hint="eastAsia" w:ascii="宋体" w:hAnsi="宋体" w:eastAsia="宋体" w:cs="宋体"/>
                <w:highlight w:val="none"/>
              </w:rPr>
            </w:pPr>
          </w:p>
        </w:tc>
      </w:tr>
      <w:tr w14:paraId="1710B24C">
        <w:tblPrEx>
          <w:tblCellMar>
            <w:top w:w="0" w:type="dxa"/>
            <w:left w:w="108" w:type="dxa"/>
            <w:bottom w:w="0" w:type="dxa"/>
            <w:right w:w="108" w:type="dxa"/>
          </w:tblCellMar>
        </w:tblPrEx>
        <w:trPr>
          <w:trHeight w:val="273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2D3217">
            <w:pPr>
              <w:spacing w:line="150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19C7A7">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挂网喷锚</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C3922">
            <w:pPr>
              <w:spacing w:line="141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81726B">
            <w:pPr>
              <w:spacing w:line="92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D5B15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602B1A3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011B1E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4935ABD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AB24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31B78D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钻孔，制作、安放、</w:t>
            </w:r>
          </w:p>
          <w:p w14:paraId="436A1A6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固定锚杆；</w:t>
            </w:r>
          </w:p>
          <w:p w14:paraId="7A86271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挂网、支承及固定；</w:t>
            </w:r>
          </w:p>
          <w:p w14:paraId="18742A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混凝土或砂浆拌制；</w:t>
            </w:r>
          </w:p>
          <w:p w14:paraId="74F7A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喷射；</w:t>
            </w:r>
          </w:p>
          <w:p w14:paraId="424E8E3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沉降缝设置；</w:t>
            </w:r>
          </w:p>
          <w:p w14:paraId="11F7676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设备安装与拆除；</w:t>
            </w:r>
          </w:p>
          <w:p w14:paraId="5B98833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养护；</w:t>
            </w:r>
          </w:p>
          <w:p w14:paraId="42D2FAA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现场清理</w:t>
            </w:r>
          </w:p>
        </w:tc>
      </w:tr>
      <w:tr w14:paraId="0268B215">
        <w:tblPrEx>
          <w:tblCellMar>
            <w:top w:w="0" w:type="dxa"/>
            <w:left w:w="108" w:type="dxa"/>
            <w:bottom w:w="0" w:type="dxa"/>
            <w:right w:w="108" w:type="dxa"/>
          </w:tblCellMar>
        </w:tblPrEx>
        <w:trPr>
          <w:trHeight w:val="21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0622D6">
            <w:pPr>
              <w:spacing w:line="1231"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5BF3C8">
            <w:pPr>
              <w:spacing w:line="1196" w:lineRule="exact"/>
              <w:ind w:left="282"/>
              <w:rPr>
                <w:rFonts w:hint="eastAsia" w:ascii="宋体" w:hAnsi="宋体" w:eastAsia="宋体" w:cs="宋体"/>
                <w:highlight w:val="none"/>
              </w:rPr>
            </w:pPr>
            <w:r>
              <w:rPr>
                <w:rFonts w:hint="eastAsia" w:ascii="宋体" w:hAnsi="宋体" w:eastAsia="宋体" w:cs="宋体"/>
                <w:spacing w:val="-1"/>
                <w:sz w:val="20"/>
                <w:highlight w:val="none"/>
              </w:rPr>
              <w:t>素喷（不挂网）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E0E39">
            <w:pPr>
              <w:spacing w:line="114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3EB">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329F6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18A6FE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5C459B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745672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F6111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6B053BA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2.  </w:t>
            </w:r>
            <w:r>
              <w:rPr>
                <w:rFonts w:hint="eastAsia" w:ascii="宋体" w:hAnsi="宋体" w:eastAsia="宋体" w:cs="宋体"/>
                <w:spacing w:val="-1"/>
                <w:position w:val="1"/>
                <w:sz w:val="20"/>
                <w:highlight w:val="none"/>
              </w:rPr>
              <w:t>混凝土或水泥砂浆</w:t>
            </w:r>
          </w:p>
          <w:p w14:paraId="24371EB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拌制；</w:t>
            </w:r>
          </w:p>
          <w:p w14:paraId="143C73B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喷射；</w:t>
            </w:r>
          </w:p>
          <w:p w14:paraId="03AA78B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沉降缝设置；</w:t>
            </w:r>
          </w:p>
          <w:p w14:paraId="616283C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设备安装与拆除；</w:t>
            </w:r>
          </w:p>
          <w:p w14:paraId="7D7905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养护；</w:t>
            </w:r>
          </w:p>
          <w:p w14:paraId="7E5C496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现场清理</w:t>
            </w:r>
          </w:p>
        </w:tc>
      </w:tr>
      <w:tr w14:paraId="53763AFD">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DA28F9">
            <w:pPr>
              <w:spacing w:line="394" w:lineRule="exact"/>
              <w:ind w:left="337"/>
              <w:rPr>
                <w:rFonts w:hint="eastAsia" w:ascii="宋体" w:hAnsi="宋体" w:eastAsia="宋体" w:cs="宋体"/>
                <w:highlight w:val="none"/>
              </w:rPr>
            </w:pPr>
            <w:r>
              <w:rPr>
                <w:rFonts w:hint="eastAsia" w:ascii="宋体" w:hAnsi="宋体" w:eastAsia="宋体" w:cs="宋体"/>
                <w:spacing w:val="-1"/>
                <w:sz w:val="20"/>
                <w:highlight w:val="none"/>
              </w:rPr>
              <w:t>602-1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1DF829">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D3C0C">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95662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D4226D">
            <w:pPr>
              <w:spacing w:line="360" w:lineRule="exact"/>
              <w:rPr>
                <w:rFonts w:hint="eastAsia" w:ascii="宋体" w:hAnsi="宋体" w:eastAsia="宋体" w:cs="宋体"/>
                <w:highlight w:val="none"/>
              </w:rPr>
            </w:pPr>
          </w:p>
        </w:tc>
      </w:tr>
      <w:tr w14:paraId="0178701E">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DFF4B4">
            <w:pPr>
              <w:spacing w:line="39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CFBE2">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D46B86">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467073">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66E017">
            <w:pPr>
              <w:spacing w:line="360" w:lineRule="exact"/>
              <w:rPr>
                <w:rFonts w:hint="eastAsia" w:ascii="宋体" w:hAnsi="宋体" w:eastAsia="宋体" w:cs="宋体"/>
                <w:highlight w:val="none"/>
              </w:rPr>
            </w:pPr>
          </w:p>
        </w:tc>
      </w:tr>
      <w:tr w14:paraId="23467A6B">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11106C">
            <w:pPr>
              <w:spacing w:line="1641"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3A205E">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现浇混凝土护</w:t>
            </w:r>
          </w:p>
          <w:p w14:paraId="0C2E905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962A22">
            <w:pPr>
              <w:spacing w:line="161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09F63">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32BF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9F43FF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等级混凝土浇筑的实体</w:t>
            </w:r>
          </w:p>
          <w:p w14:paraId="386D161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体积以立方米为单位计</w:t>
            </w:r>
          </w:p>
          <w:p w14:paraId="2940BC3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40EB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7DD777F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2C68343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0AF1D7D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0CD5796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0318687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2D859D0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30E4A7A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勾缝、填缝、沉降缝、</w:t>
            </w:r>
          </w:p>
          <w:p w14:paraId="0F3265E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1258946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p w14:paraId="133E7E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w:t>
            </w:r>
          </w:p>
        </w:tc>
      </w:tr>
      <w:tr w14:paraId="578152F5">
        <w:tblPrEx>
          <w:tblCellMar>
            <w:top w:w="0" w:type="dxa"/>
            <w:left w:w="108" w:type="dxa"/>
            <w:bottom w:w="0" w:type="dxa"/>
            <w:right w:w="108" w:type="dxa"/>
          </w:tblCellMar>
        </w:tblPrEx>
        <w:trPr>
          <w:trHeight w:val="300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36F437">
            <w:pPr>
              <w:spacing w:line="1640"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CEA354">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混凝土预制件</w:t>
            </w:r>
          </w:p>
          <w:p w14:paraId="12B0A72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1B71AD">
            <w:pPr>
              <w:spacing w:line="155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30F82C">
            <w:pPr>
              <w:spacing w:line="10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59D4615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构造尺寸，按照不同强度</w:t>
            </w:r>
          </w:p>
          <w:p w14:paraId="63C9F6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等级混凝土预制件铺砌</w:t>
            </w:r>
          </w:p>
          <w:p w14:paraId="576D506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坡面的实体体积以立方</w:t>
            </w:r>
          </w:p>
          <w:p w14:paraId="5F2A52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B7A3F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53929FD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5F9CA7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D6B5D5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预制场建设；</w:t>
            </w:r>
          </w:p>
          <w:p w14:paraId="114A2A7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预制件预制、运输、</w:t>
            </w:r>
          </w:p>
          <w:p w14:paraId="169F756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02B7FD0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预制件安装；</w:t>
            </w:r>
          </w:p>
          <w:p w14:paraId="53A0C7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勾缝、填缝、沉降缝、</w:t>
            </w:r>
          </w:p>
          <w:p w14:paraId="26903C57">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29FAE3E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p w14:paraId="579660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w:t>
            </w:r>
          </w:p>
        </w:tc>
      </w:tr>
    </w:tbl>
    <w:p w14:paraId="7F31D489">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8CA60A1">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130"/>
        <w:gridCol w:w="2875"/>
      </w:tblGrid>
      <w:tr w14:paraId="4FF9003C">
        <w:tblPrEx>
          <w:tblCellMar>
            <w:top w:w="0" w:type="dxa"/>
            <w:left w:w="108" w:type="dxa"/>
            <w:bottom w:w="0" w:type="dxa"/>
            <w:right w:w="108" w:type="dxa"/>
          </w:tblCellMar>
        </w:tblPrEx>
        <w:trPr>
          <w:trHeight w:val="170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2ABA6">
            <w:pPr>
              <w:spacing w:line="1232"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194F08">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p w14:paraId="61B43F20">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D25BD3">
            <w:pPr>
              <w:spacing w:line="114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660A6D">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77A669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34C97A1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F2E3FD">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12B77D39">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5C78950">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浆砌片石；</w:t>
            </w:r>
          </w:p>
          <w:p w14:paraId="6ACDCAC8">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勾缝、抹面、泄水管、</w:t>
            </w:r>
            <w:r>
              <w:rPr>
                <w:rFonts w:hint="eastAsia" w:ascii="宋体" w:hAnsi="宋体" w:eastAsia="宋体" w:cs="宋体"/>
                <w:spacing w:val="-1"/>
                <w:sz w:val="20"/>
                <w:highlight w:val="none"/>
              </w:rPr>
              <w:t>养护；</w:t>
            </w:r>
          </w:p>
          <w:p w14:paraId="059A161A">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回填；</w:t>
            </w:r>
          </w:p>
          <w:p w14:paraId="06BF790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5E655252">
        <w:tblPrEx>
          <w:tblCellMar>
            <w:top w:w="0" w:type="dxa"/>
            <w:left w:w="108" w:type="dxa"/>
            <w:bottom w:w="0" w:type="dxa"/>
            <w:right w:w="108" w:type="dxa"/>
          </w:tblCellMar>
        </w:tblPrEx>
        <w:trPr>
          <w:trHeight w:val="170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55AAF8">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5AC3E5B">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铅丝石笼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7CC56">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8F350E">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580079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6DFD8795">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4E7B">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51ABBB33">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lang w:val="en-US"/>
              </w:rPr>
              <w:t>2.铺设钢筋镀锌铁丝网；</w:t>
            </w:r>
          </w:p>
          <w:p w14:paraId="0AD86F8F">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lang w:val="en-US"/>
              </w:rPr>
              <w:t>填装卵石</w:t>
            </w:r>
            <w:r>
              <w:rPr>
                <w:rFonts w:hint="eastAsia" w:ascii="宋体" w:hAnsi="宋体" w:eastAsia="宋体" w:cs="宋体"/>
                <w:spacing w:val="-1"/>
                <w:position w:val="1"/>
                <w:sz w:val="20"/>
                <w:highlight w:val="none"/>
              </w:rPr>
              <w:t>；</w:t>
            </w:r>
          </w:p>
          <w:p w14:paraId="4269B8E3">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lang w:val="en-US"/>
              </w:rPr>
              <w:t>铅丝笼捆扎及连接</w:t>
            </w:r>
            <w:r>
              <w:rPr>
                <w:rFonts w:hint="eastAsia" w:ascii="宋体" w:hAnsi="宋体" w:eastAsia="宋体" w:cs="宋体"/>
                <w:spacing w:val="-1"/>
                <w:sz w:val="20"/>
                <w:highlight w:val="none"/>
              </w:rPr>
              <w:t>；</w:t>
            </w:r>
          </w:p>
          <w:p w14:paraId="184196FD">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石笼四周</w:t>
            </w:r>
            <w:r>
              <w:rPr>
                <w:rFonts w:hint="eastAsia" w:ascii="宋体" w:hAnsi="宋体" w:eastAsia="宋体" w:cs="宋体"/>
                <w:spacing w:val="-1"/>
                <w:position w:val="1"/>
                <w:sz w:val="20"/>
                <w:highlight w:val="none"/>
              </w:rPr>
              <w:t>回填；</w:t>
            </w:r>
          </w:p>
          <w:p w14:paraId="6F94F976">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1554DC33">
        <w:tblPrEx>
          <w:tblCellMar>
            <w:top w:w="0" w:type="dxa"/>
            <w:left w:w="108" w:type="dxa"/>
            <w:bottom w:w="0" w:type="dxa"/>
            <w:right w:w="108" w:type="dxa"/>
          </w:tblCellMar>
        </w:tblPrEx>
        <w:trPr>
          <w:trHeight w:val="17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B18682">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-d</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D4F30E2">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干砌卵石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9F5C3">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087CF">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474F251C">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lang w:val="en-US"/>
              </w:rPr>
              <w:t>断面尺度</w:t>
            </w:r>
            <w:r>
              <w:rPr>
                <w:rFonts w:hint="eastAsia" w:ascii="宋体" w:hAnsi="宋体" w:eastAsia="宋体" w:cs="宋体"/>
                <w:spacing w:val="-1"/>
                <w:sz w:val="20"/>
                <w:highlight w:val="none"/>
              </w:rPr>
              <w:t>，按</w:t>
            </w:r>
            <w:r>
              <w:rPr>
                <w:rFonts w:hint="eastAsia" w:ascii="宋体" w:hAnsi="宋体" w:eastAsia="宋体" w:cs="宋体"/>
                <w:spacing w:val="-1"/>
                <w:sz w:val="20"/>
                <w:highlight w:val="none"/>
                <w:lang w:val="en-US"/>
              </w:rPr>
              <w:t>图示</w:t>
            </w:r>
            <w:r>
              <w:rPr>
                <w:rFonts w:hint="eastAsia" w:ascii="宋体" w:hAnsi="宋体" w:eastAsia="宋体" w:cs="宋体"/>
                <w:spacing w:val="-1"/>
                <w:sz w:val="20"/>
                <w:highlight w:val="none"/>
              </w:rPr>
              <w:t>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67502A">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4AC4391B">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70213C59">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sz w:val="20"/>
                <w:highlight w:val="none"/>
                <w:lang w:val="en-US"/>
              </w:rPr>
              <w:t>干</w:t>
            </w:r>
            <w:r>
              <w:rPr>
                <w:rFonts w:hint="eastAsia" w:ascii="宋体" w:hAnsi="宋体" w:eastAsia="宋体" w:cs="宋体"/>
                <w:spacing w:val="-1"/>
                <w:position w:val="1"/>
                <w:sz w:val="20"/>
                <w:highlight w:val="none"/>
              </w:rPr>
              <w:t>砌片（块）石，设</w:t>
            </w:r>
            <w:r>
              <w:rPr>
                <w:rFonts w:hint="eastAsia" w:ascii="宋体" w:hAnsi="宋体" w:eastAsia="宋体" w:cs="宋体"/>
                <w:spacing w:val="-1"/>
                <w:sz w:val="20"/>
                <w:highlight w:val="none"/>
              </w:rPr>
              <w:t>泄水孔及其滤水层；</w:t>
            </w:r>
          </w:p>
          <w:p w14:paraId="3C075C00">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sz w:val="20"/>
                <w:highlight w:val="none"/>
              </w:rPr>
              <w:t>墙背填料分层填筑；</w:t>
            </w:r>
          </w:p>
          <w:p w14:paraId="7878DAC6">
            <w:pPr>
              <w:spacing w:line="240" w:lineRule="exact"/>
              <w:rPr>
                <w:rFonts w:hint="eastAsia" w:ascii="宋体" w:hAnsi="宋体" w:eastAsia="宋体" w:cs="宋体"/>
                <w:sz w:val="20"/>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2BA60C3E">
        <w:tblPrEx>
          <w:tblCellMar>
            <w:top w:w="0" w:type="dxa"/>
            <w:left w:w="108" w:type="dxa"/>
            <w:bottom w:w="0" w:type="dxa"/>
            <w:right w:w="108" w:type="dxa"/>
          </w:tblCellMar>
        </w:tblPrEx>
        <w:trPr>
          <w:trHeight w:val="34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4D53">
            <w:pPr>
              <w:spacing w:line="387" w:lineRule="exact"/>
              <w:ind w:left="337"/>
              <w:rPr>
                <w:rFonts w:hint="eastAsia" w:ascii="宋体" w:hAnsi="宋体" w:eastAsia="宋体" w:cs="宋体"/>
                <w:highlight w:val="none"/>
              </w:rPr>
            </w:pPr>
            <w:r>
              <w:rPr>
                <w:rFonts w:hint="eastAsia" w:ascii="宋体" w:hAnsi="宋体" w:eastAsia="宋体" w:cs="宋体"/>
                <w:spacing w:val="-1"/>
                <w:sz w:val="20"/>
                <w:highlight w:val="none"/>
              </w:rPr>
              <w:t>603-1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275B4">
            <w:pPr>
              <w:spacing w:line="352" w:lineRule="exact"/>
              <w:ind w:left="282"/>
              <w:rPr>
                <w:rFonts w:hint="eastAsia" w:ascii="宋体" w:hAnsi="宋体" w:eastAsia="宋体" w:cs="宋体"/>
                <w:highlight w:val="none"/>
              </w:rPr>
            </w:pPr>
            <w:r>
              <w:rPr>
                <w:rFonts w:hint="eastAsia" w:ascii="宋体" w:hAnsi="宋体" w:eastAsia="宋体" w:cs="宋体"/>
                <w:spacing w:val="-1"/>
                <w:sz w:val="20"/>
                <w:highlight w:val="none"/>
              </w:rPr>
              <w:t>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AD4A6">
            <w:pPr>
              <w:spacing w:line="352"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1CA521">
            <w:pPr>
              <w:spacing w:line="352"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3DC126">
            <w:pPr>
              <w:spacing w:line="352" w:lineRule="exact"/>
              <w:rPr>
                <w:rFonts w:hint="eastAsia" w:ascii="宋体" w:hAnsi="宋体" w:eastAsia="宋体" w:cs="宋体"/>
                <w:highlight w:val="none"/>
              </w:rPr>
            </w:pPr>
          </w:p>
        </w:tc>
      </w:tr>
      <w:tr w14:paraId="31D1C9CF">
        <w:tblPrEx>
          <w:tblCellMar>
            <w:top w:w="0" w:type="dxa"/>
            <w:left w:w="108" w:type="dxa"/>
            <w:bottom w:w="0" w:type="dxa"/>
            <w:right w:w="108" w:type="dxa"/>
          </w:tblCellMar>
        </w:tblPrEx>
        <w:trPr>
          <w:trHeight w:val="21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413D1A">
            <w:pPr>
              <w:spacing w:line="1504"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E70A33">
            <w:pPr>
              <w:spacing w:line="1332" w:lineRule="exact"/>
              <w:ind w:left="282"/>
              <w:rPr>
                <w:rFonts w:hint="eastAsia" w:ascii="宋体" w:hAnsi="宋体" w:eastAsia="宋体" w:cs="宋体"/>
                <w:highlight w:val="none"/>
              </w:rPr>
            </w:pPr>
            <w:r>
              <w:rPr>
                <w:rFonts w:hint="eastAsia" w:ascii="宋体" w:hAnsi="宋体" w:eastAsia="宋体" w:cs="宋体"/>
                <w:spacing w:val="-1"/>
                <w:sz w:val="20"/>
                <w:highlight w:val="none"/>
              </w:rPr>
              <w:t>砌片（块、卵）</w:t>
            </w:r>
          </w:p>
          <w:p w14:paraId="457FC64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4F4E1">
            <w:pPr>
              <w:spacing w:line="141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02989F">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27D82760">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断面尺寸，按图示不同强度等级水泥砂浆砌石体积以立方米为单位计量；</w:t>
            </w:r>
          </w:p>
          <w:p w14:paraId="2D597F34">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2EB4E9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w:t>
            </w:r>
            <w:r>
              <w:rPr>
                <w:rFonts w:hint="eastAsia" w:ascii="宋体" w:hAnsi="宋体" w:eastAsia="宋体" w:cs="宋体"/>
                <w:highlight w:val="none"/>
              </w:rPr>
              <w:t>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8DDAE">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02094C1A">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25DD5018">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浆砌片（块）石，设</w:t>
            </w:r>
            <w:r>
              <w:rPr>
                <w:rFonts w:hint="eastAsia" w:ascii="宋体" w:hAnsi="宋体" w:eastAsia="宋体" w:cs="宋体"/>
                <w:spacing w:val="-1"/>
                <w:sz w:val="20"/>
                <w:highlight w:val="none"/>
              </w:rPr>
              <w:t>泄水孔及其滤水层；</w:t>
            </w:r>
          </w:p>
          <w:p w14:paraId="74CD2F0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接缝处理；</w:t>
            </w:r>
          </w:p>
          <w:p w14:paraId="13C84070">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勾缝、抹面、墙背排</w:t>
            </w:r>
            <w:r>
              <w:rPr>
                <w:rFonts w:hint="eastAsia" w:ascii="宋体" w:hAnsi="宋体" w:eastAsia="宋体" w:cs="宋体"/>
                <w:spacing w:val="-1"/>
                <w:sz w:val="20"/>
                <w:highlight w:val="none"/>
              </w:rPr>
              <w:t>水设施设置、墙背填料分层填筑；</w:t>
            </w:r>
          </w:p>
          <w:p w14:paraId="69612926">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15D1A536">
        <w:tblPrEx>
          <w:tblCellMar>
            <w:top w:w="0" w:type="dxa"/>
            <w:left w:w="108" w:type="dxa"/>
            <w:bottom w:w="0" w:type="dxa"/>
            <w:right w:w="108" w:type="dxa"/>
          </w:tblCellMar>
        </w:tblPrEx>
        <w:trPr>
          <w:trHeight w:val="29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4702E7">
            <w:pPr>
              <w:spacing w:line="2049"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67B74">
            <w:pPr>
              <w:spacing w:line="2014"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15A029">
            <w:pPr>
              <w:spacing w:line="19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7C9A5">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64337D7A">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断面尺寸，按图示不同强度等级混凝土体积以立方米为单位计量；</w:t>
            </w:r>
          </w:p>
          <w:p w14:paraId="6AD99901">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58147CD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8F59">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36B304B4">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35B92FF5">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钢筋的运输、保护、</w:t>
            </w:r>
            <w:r>
              <w:rPr>
                <w:rFonts w:hint="eastAsia" w:ascii="宋体" w:hAnsi="宋体" w:eastAsia="宋体" w:cs="宋体"/>
                <w:sz w:val="20"/>
                <w:highlight w:val="none"/>
              </w:rPr>
              <w:t>存储、加工及安设、支承、</w:t>
            </w:r>
            <w:r>
              <w:rPr>
                <w:rFonts w:hint="eastAsia" w:ascii="宋体" w:hAnsi="宋体" w:eastAsia="宋体" w:cs="宋体"/>
                <w:spacing w:val="-1"/>
                <w:sz w:val="20"/>
                <w:highlight w:val="none"/>
              </w:rPr>
              <w:t>固定；</w:t>
            </w:r>
          </w:p>
          <w:p w14:paraId="2C55592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3BAC8B95">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混凝土拌和、运输、</w:t>
            </w:r>
            <w:r>
              <w:rPr>
                <w:rFonts w:hint="eastAsia" w:ascii="宋体" w:hAnsi="宋体" w:eastAsia="宋体" w:cs="宋体"/>
                <w:spacing w:val="-1"/>
                <w:sz w:val="20"/>
                <w:highlight w:val="none"/>
              </w:rPr>
              <w:t>浇筑、养护；</w:t>
            </w:r>
          </w:p>
          <w:p w14:paraId="0704BF01">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泄水孔及其滤水层、</w:t>
            </w:r>
            <w:r>
              <w:rPr>
                <w:rFonts w:hint="eastAsia" w:ascii="宋体" w:hAnsi="宋体" w:eastAsia="宋体" w:cs="宋体"/>
                <w:spacing w:val="-1"/>
                <w:sz w:val="20"/>
                <w:highlight w:val="none"/>
              </w:rPr>
              <w:t>沉降缝设置；</w:t>
            </w:r>
          </w:p>
          <w:p w14:paraId="46CE7135">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墙背填料分层填筑；</w:t>
            </w:r>
          </w:p>
          <w:p w14:paraId="301537D4">
            <w:pPr>
              <w:spacing w:line="240"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清理场地，废方弃运</w:t>
            </w:r>
          </w:p>
        </w:tc>
      </w:tr>
      <w:tr w14:paraId="1DCB4695">
        <w:tblPrEx>
          <w:tblCellMar>
            <w:top w:w="0" w:type="dxa"/>
            <w:left w:w="108" w:type="dxa"/>
            <w:bottom w:w="0" w:type="dxa"/>
            <w:right w:w="108" w:type="dxa"/>
          </w:tblCellMar>
        </w:tblPrEx>
        <w:trPr>
          <w:trHeight w:val="3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835F87">
            <w:pPr>
              <w:spacing w:line="401"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5BAD4">
            <w:pPr>
              <w:spacing w:line="366" w:lineRule="exact"/>
              <w:ind w:left="282"/>
              <w:rPr>
                <w:rFonts w:hint="eastAsia" w:ascii="宋体" w:hAnsi="宋体" w:eastAsia="宋体" w:cs="宋体"/>
                <w:highlight w:val="none"/>
              </w:rPr>
            </w:pPr>
            <w:r>
              <w:rPr>
                <w:rFonts w:hint="eastAsia" w:ascii="宋体" w:hAnsi="宋体" w:eastAsia="宋体" w:cs="宋体"/>
                <w:spacing w:val="-1"/>
                <w:sz w:val="20"/>
                <w:highlight w:val="none"/>
              </w:rPr>
              <w:t>加筋土挡土墙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E351D2">
            <w:pPr>
              <w:spacing w:line="366"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05DF26">
            <w:pPr>
              <w:spacing w:line="366"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99DEB7">
            <w:pPr>
              <w:spacing w:line="366" w:lineRule="exact"/>
              <w:rPr>
                <w:rFonts w:hint="eastAsia" w:ascii="宋体" w:hAnsi="宋体" w:eastAsia="宋体" w:cs="宋体"/>
                <w:highlight w:val="none"/>
              </w:rPr>
            </w:pPr>
          </w:p>
        </w:tc>
      </w:tr>
      <w:tr w14:paraId="420C9BF5">
        <w:tblPrEx>
          <w:tblCellMar>
            <w:top w:w="0" w:type="dxa"/>
            <w:left w:w="108" w:type="dxa"/>
            <w:bottom w:w="0" w:type="dxa"/>
            <w:right w:w="108" w:type="dxa"/>
          </w:tblCellMar>
        </w:tblPrEx>
        <w:trPr>
          <w:trHeight w:val="195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371843">
            <w:pPr>
              <w:spacing w:line="1642" w:lineRule="exact"/>
              <w:ind w:left="411"/>
              <w:rPr>
                <w:rFonts w:hint="eastAsia" w:ascii="宋体" w:hAnsi="宋体" w:eastAsia="宋体" w:cs="宋体"/>
                <w:highlight w:val="none"/>
              </w:rPr>
            </w:pPr>
            <w:r>
              <w:rPr>
                <w:rFonts w:hint="eastAsia" w:ascii="宋体" w:hAnsi="宋体" w:eastAsia="宋体" w:cs="宋体"/>
                <w:spacing w:val="-1"/>
                <w:sz w:val="20"/>
                <w:highlight w:val="none"/>
              </w:rPr>
              <w:t>-c-1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3519">
            <w:pPr>
              <w:spacing w:line="1607"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基础及帽石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A363E2">
            <w:pPr>
              <w:spacing w:line="155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C393CC">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根据图纸所示位置和</w:t>
            </w:r>
          </w:p>
          <w:p w14:paraId="3F0E686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断面尺寸，按图示不同强度等级水泥砂浆砌体或混凝土体积，以立方米为单位计量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F85E3">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整、夯实，废方弃运；</w:t>
            </w:r>
          </w:p>
          <w:p w14:paraId="2F9F06DD">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混凝土或砂浆制作、</w:t>
            </w:r>
            <w:r>
              <w:rPr>
                <w:rFonts w:hint="eastAsia" w:ascii="宋体" w:hAnsi="宋体" w:eastAsia="宋体" w:cs="宋体"/>
                <w:spacing w:val="-1"/>
                <w:sz w:val="20"/>
                <w:highlight w:val="none"/>
              </w:rPr>
              <w:t>运输；</w:t>
            </w:r>
          </w:p>
          <w:p w14:paraId="17D5D373">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73A979FC">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砌筑片石或振捣浇筑</w:t>
            </w:r>
            <w:r>
              <w:rPr>
                <w:rFonts w:hint="eastAsia" w:ascii="宋体" w:hAnsi="宋体" w:eastAsia="宋体" w:cs="宋体"/>
                <w:spacing w:val="-1"/>
                <w:sz w:val="20"/>
                <w:highlight w:val="none"/>
              </w:rPr>
              <w:t>混凝土；</w:t>
            </w:r>
          </w:p>
          <w:p w14:paraId="53A15A24">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5F71F7CF">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回填、夯实；</w:t>
            </w:r>
          </w:p>
          <w:p w14:paraId="023AD4CA">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清理现场，废方弃运</w:t>
            </w:r>
          </w:p>
        </w:tc>
      </w:tr>
      <w:tr w14:paraId="312674FE">
        <w:tblPrEx>
          <w:tblCellMar>
            <w:top w:w="0" w:type="dxa"/>
            <w:left w:w="108" w:type="dxa"/>
            <w:bottom w:w="0" w:type="dxa"/>
            <w:right w:w="108" w:type="dxa"/>
          </w:tblCellMar>
        </w:tblPrEx>
        <w:trPr>
          <w:trHeight w:val="103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1D725">
            <w:pPr>
              <w:spacing w:line="551" w:lineRule="exact"/>
              <w:ind w:left="411"/>
              <w:rPr>
                <w:rFonts w:hint="eastAsia" w:ascii="宋体" w:hAnsi="宋体" w:eastAsia="宋体" w:cs="宋体"/>
                <w:highlight w:val="none"/>
              </w:rPr>
            </w:pPr>
            <w:r>
              <w:rPr>
                <w:rFonts w:hint="eastAsia" w:ascii="宋体" w:hAnsi="宋体" w:eastAsia="宋体" w:cs="宋体"/>
                <w:spacing w:val="-1"/>
                <w:sz w:val="20"/>
                <w:highlight w:val="none"/>
              </w:rPr>
              <w:t>-c-2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665F8">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预制安装混凝</w:t>
            </w:r>
          </w:p>
          <w:p w14:paraId="15EFFB58">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土墙面板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28B78">
            <w:pPr>
              <w:spacing w:line="4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8EA0E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根据图纸所示位置及</w:t>
            </w:r>
          </w:p>
          <w:p w14:paraId="5F5EBF2E">
            <w:pPr>
              <w:spacing w:line="237" w:lineRule="exact"/>
              <w:ind w:left="109"/>
              <w:rPr>
                <w:rFonts w:hint="eastAsia" w:ascii="宋体" w:hAnsi="宋体" w:eastAsia="宋体" w:cs="宋体"/>
                <w:highlight w:val="none"/>
                <w:lang w:val="en-US"/>
              </w:rPr>
            </w:pPr>
            <w:r>
              <w:rPr>
                <w:rFonts w:hint="eastAsia" w:ascii="宋体" w:hAnsi="宋体" w:eastAsia="宋体" w:cs="宋体"/>
                <w:spacing w:val="-1"/>
                <w:sz w:val="20"/>
                <w:highlight w:val="none"/>
              </w:rPr>
              <w:t>断面尺寸，按照不同强度等级混凝土体积，以立方</w:t>
            </w:r>
            <w:r>
              <w:rPr>
                <w:rFonts w:hint="eastAsia" w:ascii="宋体" w:hAnsi="宋体" w:eastAsia="宋体" w:cs="宋体"/>
                <w:spacing w:val="-1"/>
                <w:sz w:val="20"/>
                <w:highlight w:val="none"/>
                <w:lang w:val="en-US"/>
              </w:rPr>
              <w:t>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B2B0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沟槽开挖；</w:t>
            </w:r>
          </w:p>
          <w:p w14:paraId="4E7E5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预制场建设；</w:t>
            </w:r>
          </w:p>
          <w:p w14:paraId="49C5380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预制件预制、运输、</w:t>
            </w:r>
          </w:p>
        </w:tc>
      </w:tr>
    </w:tbl>
    <w:p w14:paraId="713C4A43">
      <w:pPr>
        <w:spacing w:line="252" w:lineRule="exact"/>
        <w:rPr>
          <w:rFonts w:hint="eastAsia" w:ascii="宋体" w:hAnsi="宋体" w:eastAsia="宋体" w:cs="宋体"/>
          <w:sz w:val="21"/>
          <w:highlight w:val="none"/>
        </w:rPr>
        <w:sectPr>
          <w:footerReference r:id="rId17" w:type="default"/>
          <w:pgSz w:w="11910" w:h="16840"/>
          <w:pgMar w:top="1440" w:right="1080" w:bottom="1040" w:left="1420" w:header="882" w:footer="847" w:gutter="0"/>
          <w:cols w:space="720" w:num="1"/>
        </w:sectPr>
      </w:pPr>
    </w:p>
    <w:p w14:paraId="60EA5984">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50DF449">
        <w:tblPrEx>
          <w:tblCellMar>
            <w:top w:w="0" w:type="dxa"/>
            <w:left w:w="108" w:type="dxa"/>
            <w:bottom w:w="0" w:type="dxa"/>
            <w:right w:w="108" w:type="dxa"/>
          </w:tblCellMar>
        </w:tblPrEx>
        <w:trPr>
          <w:trHeight w:val="323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FEB6B">
            <w:pPr>
              <w:spacing w:line="271"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5BAE9">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4C2025">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0370B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加筋挡土墙的路堤填</w:t>
            </w:r>
          </w:p>
          <w:p w14:paraId="69E12545">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料在</w:t>
            </w:r>
            <w:r>
              <w:rPr>
                <w:rFonts w:hint="eastAsia" w:ascii="宋体" w:hAnsi="宋体" w:eastAsia="宋体" w:cs="宋体"/>
                <w:sz w:val="20"/>
                <w:highlight w:val="none"/>
              </w:rPr>
              <w:t> </w:t>
            </w:r>
            <w:r>
              <w:rPr>
                <w:rFonts w:hint="eastAsia" w:ascii="宋体" w:hAnsi="宋体" w:eastAsia="宋体" w:cs="宋体"/>
                <w:spacing w:val="-1"/>
                <w:sz w:val="20"/>
                <w:highlight w:val="none"/>
              </w:rPr>
              <w:t>204-1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中计量；</w:t>
            </w:r>
          </w:p>
          <w:p w14:paraId="37B11FD5">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钢筋、加筋带等不单</w:t>
            </w:r>
          </w:p>
          <w:p w14:paraId="1A8BE76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独计量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F51CB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6E335D6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预制件安装；</w:t>
            </w:r>
          </w:p>
          <w:p w14:paraId="16B91B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钢筋的运输、保护、</w:t>
            </w:r>
          </w:p>
          <w:p w14:paraId="5FD1FA0F">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存储、加工及安设、支承、</w:t>
            </w:r>
          </w:p>
          <w:p w14:paraId="42FFC9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p w14:paraId="49BF70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铺设加筋带、填料摊</w:t>
            </w:r>
          </w:p>
          <w:p w14:paraId="5D77E4F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平及分层压实；</w:t>
            </w:r>
          </w:p>
          <w:p w14:paraId="5FB3BE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墙背回填（不含路堤</w:t>
            </w:r>
          </w:p>
          <w:p w14:paraId="798D5A8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填料回填）及排水系统施</w:t>
            </w:r>
          </w:p>
          <w:p w14:paraId="115E818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工；</w:t>
            </w:r>
          </w:p>
          <w:p w14:paraId="14C545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清理现场、废方弃运</w:t>
            </w:r>
          </w:p>
        </w:tc>
      </w:tr>
      <w:tr w14:paraId="7A9CD960">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22FD17">
            <w:pPr>
              <w:spacing w:line="468" w:lineRule="exact"/>
              <w:ind w:left="337"/>
              <w:rPr>
                <w:rFonts w:hint="eastAsia" w:ascii="宋体" w:hAnsi="宋体" w:eastAsia="宋体" w:cs="宋体"/>
                <w:highlight w:val="none"/>
              </w:rPr>
            </w:pPr>
            <w:r>
              <w:rPr>
                <w:rFonts w:hint="eastAsia" w:ascii="宋体" w:hAnsi="宋体" w:eastAsia="宋体" w:cs="宋体"/>
                <w:spacing w:val="-1"/>
                <w:sz w:val="20"/>
                <w:highlight w:val="none"/>
              </w:rPr>
              <w:t>604-1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E89BEA">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河道防护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EECA8A">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71D8CD">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A23A9">
            <w:pPr>
              <w:spacing w:line="419" w:lineRule="exact"/>
              <w:rPr>
                <w:rFonts w:hint="eastAsia" w:ascii="宋体" w:hAnsi="宋体" w:eastAsia="宋体" w:cs="宋体"/>
                <w:highlight w:val="none"/>
              </w:rPr>
            </w:pPr>
          </w:p>
        </w:tc>
      </w:tr>
      <w:tr w14:paraId="7A021115">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FA9D2">
            <w:pPr>
              <w:spacing w:line="4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0A674E">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河床铺砌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441172">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087C43">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49F92E">
            <w:pPr>
              <w:spacing w:line="419" w:lineRule="exact"/>
              <w:rPr>
                <w:rFonts w:hint="eastAsia" w:ascii="宋体" w:hAnsi="宋体" w:eastAsia="宋体" w:cs="宋体"/>
                <w:highlight w:val="none"/>
              </w:rPr>
            </w:pPr>
          </w:p>
        </w:tc>
      </w:tr>
      <w:tr w14:paraId="683C136E">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375C38">
            <w:pPr>
              <w:spacing w:line="1018"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298EB6">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3A1B10">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1E7463">
            <w:pPr>
              <w:spacing w:line="51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3DA9068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w:t>
            </w:r>
          </w:p>
          <w:p w14:paraId="4FB1194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度等级水泥砂浆铺砌体</w:t>
            </w:r>
          </w:p>
          <w:p w14:paraId="48945A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D2F8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4ABE53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07F2804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365036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w:t>
            </w:r>
          </w:p>
          <w:p w14:paraId="131DC0C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3EA3D74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685BA6D3">
        <w:tblPrEx>
          <w:tblCellMar>
            <w:top w:w="0" w:type="dxa"/>
            <w:left w:w="108" w:type="dxa"/>
            <w:bottom w:w="0" w:type="dxa"/>
            <w:right w:w="108" w:type="dxa"/>
          </w:tblCellMar>
        </w:tblPrEx>
        <w:trPr>
          <w:trHeight w:val="191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45C11">
            <w:pPr>
              <w:spacing w:line="1155"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23CDED">
            <w:pPr>
              <w:spacing w:line="1106"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4E79E">
            <w:pPr>
              <w:spacing w:line="106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0C04F">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9F216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010FAD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等级混凝土铺筑体积以</w:t>
            </w:r>
          </w:p>
          <w:p w14:paraId="14F77F1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DFDE5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502B8E9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442C00F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6AB856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91B50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4943E6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0B3362B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1BA71E1">
        <w:tblPrEx>
          <w:tblCellMar>
            <w:top w:w="0" w:type="dxa"/>
            <w:left w:w="108" w:type="dxa"/>
            <w:bottom w:w="0" w:type="dxa"/>
            <w:right w:w="108" w:type="dxa"/>
          </w:tblCellMar>
        </w:tblPrEx>
        <w:trPr>
          <w:trHeight w:val="109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0E974">
            <w:pPr>
              <w:spacing w:line="744"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1E25DD">
            <w:pPr>
              <w:spacing w:line="332" w:lineRule="exact"/>
              <w:ind w:left="282"/>
              <w:rPr>
                <w:rFonts w:hint="eastAsia" w:ascii="宋体" w:hAnsi="宋体" w:eastAsia="宋体" w:cs="宋体"/>
                <w:highlight w:val="none"/>
              </w:rPr>
            </w:pPr>
            <w:r>
              <w:rPr>
                <w:rFonts w:hint="eastAsia" w:ascii="宋体" w:hAnsi="宋体" w:eastAsia="宋体" w:cs="宋体"/>
                <w:spacing w:val="-1"/>
                <w:sz w:val="20"/>
                <w:highlight w:val="none"/>
              </w:rPr>
              <w:t>导流设施（护岸</w:t>
            </w:r>
          </w:p>
          <w:p w14:paraId="0948BE9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墙、顺坝、丁坝、</w:t>
            </w:r>
          </w:p>
          <w:p w14:paraId="0364C24B">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调水坝、锥坡）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EA137">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898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A1A24">
            <w:pPr>
              <w:spacing w:line="360" w:lineRule="exact"/>
              <w:rPr>
                <w:rFonts w:hint="eastAsia" w:ascii="宋体" w:hAnsi="宋体" w:eastAsia="宋体" w:cs="宋体"/>
                <w:highlight w:val="none"/>
              </w:rPr>
            </w:pPr>
          </w:p>
        </w:tc>
      </w:tr>
      <w:tr w14:paraId="61D099B3">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73DE0A">
            <w:pPr>
              <w:spacing w:line="1293" w:lineRule="exact"/>
              <w:ind w:left="406"/>
              <w:rPr>
                <w:rFonts w:hint="eastAsia" w:ascii="宋体" w:hAnsi="宋体" w:eastAsia="宋体" w:cs="宋体"/>
                <w:highlight w:val="none"/>
              </w:rPr>
            </w:pPr>
            <w:r>
              <w:rPr>
                <w:rFonts w:hint="eastAsia" w:ascii="宋体" w:hAnsi="宋体" w:eastAsia="宋体" w:cs="宋体"/>
                <w:spacing w:val="-1"/>
                <w:sz w:val="20"/>
                <w:highlight w:val="none"/>
              </w:rPr>
              <w:t>-b-1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A271A">
            <w:pPr>
              <w:spacing w:line="124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34A75D">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5867C">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图纸所示位置和断面</w:t>
            </w:r>
          </w:p>
          <w:p w14:paraId="140A2D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尺寸，按图示不同强度等</w:t>
            </w:r>
          </w:p>
          <w:p w14:paraId="40992B7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级水泥砂浆砌石体积以</w:t>
            </w:r>
          </w:p>
          <w:p w14:paraId="463AF54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7830F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3D8FD4BC">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48B41BC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1F394DE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7AF4D2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12D96B9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砌筑、勾缝、抹面、</w:t>
            </w:r>
          </w:p>
          <w:p w14:paraId="4963FB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养护；</w:t>
            </w:r>
          </w:p>
          <w:p w14:paraId="067752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r w14:paraId="61D52D31">
        <w:tblPrEx>
          <w:tblCellMar>
            <w:top w:w="0" w:type="dxa"/>
            <w:left w:w="108" w:type="dxa"/>
            <w:bottom w:w="0" w:type="dxa"/>
            <w:right w:w="108" w:type="dxa"/>
          </w:tblCellMar>
        </w:tblPrEx>
        <w:trPr>
          <w:trHeight w:val="245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04E2D">
            <w:pPr>
              <w:spacing w:line="1427" w:lineRule="exact"/>
              <w:ind w:left="406"/>
              <w:rPr>
                <w:rFonts w:hint="eastAsia" w:ascii="宋体" w:hAnsi="宋体" w:eastAsia="宋体" w:cs="宋体"/>
                <w:highlight w:val="none"/>
              </w:rPr>
            </w:pPr>
            <w:r>
              <w:rPr>
                <w:rFonts w:hint="eastAsia" w:ascii="宋体" w:hAnsi="宋体" w:eastAsia="宋体" w:cs="宋体"/>
                <w:spacing w:val="-1"/>
                <w:sz w:val="20"/>
                <w:highlight w:val="none"/>
              </w:rPr>
              <w:t>-b-2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924BCB">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007D95">
            <w:pPr>
              <w:spacing w:line="133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C4B04">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C9252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F294F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等级混凝土浇筑体积以</w:t>
            </w:r>
          </w:p>
          <w:p w14:paraId="1107AB3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F7962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65BD3D6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29C4AAF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69E490A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6268485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24BB0F0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除、修理及保养；</w:t>
            </w:r>
          </w:p>
          <w:p w14:paraId="43A8A66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混凝土制作、运输、</w:t>
            </w:r>
          </w:p>
          <w:p w14:paraId="7A66B2C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浇筑、振捣、养护；</w:t>
            </w:r>
          </w:p>
          <w:p w14:paraId="3C81CA7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bl>
    <w:p w14:paraId="00070D5B">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3EB29E6">
      <w:pPr>
        <w:pStyle w:val="10"/>
        <w:spacing w:before="10"/>
        <w:rPr>
          <w:rFonts w:hint="eastAsia" w:ascii="宋体" w:hAnsi="宋体" w:eastAsia="宋体" w:cs="宋体"/>
          <w:sz w:val="11"/>
          <w:highlight w:val="none"/>
        </w:rPr>
      </w:pPr>
    </w:p>
    <w:tbl>
      <w:tblPr>
        <w:tblStyle w:val="23"/>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3E02B7E7">
        <w:tblPrEx>
          <w:tblCellMar>
            <w:top w:w="0" w:type="dxa"/>
            <w:left w:w="108" w:type="dxa"/>
            <w:bottom w:w="0" w:type="dxa"/>
            <w:right w:w="108" w:type="dxa"/>
          </w:tblCellMar>
        </w:tblPrEx>
        <w:trPr>
          <w:trHeight w:val="46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605316">
            <w:pPr>
              <w:spacing w:line="433" w:lineRule="exact"/>
              <w:ind w:left="337"/>
              <w:rPr>
                <w:rFonts w:hint="eastAsia" w:ascii="宋体" w:hAnsi="宋体" w:eastAsia="宋体" w:cs="宋体"/>
                <w:highlight w:val="none"/>
              </w:rPr>
            </w:pPr>
            <w:r>
              <w:rPr>
                <w:rFonts w:hint="eastAsia" w:ascii="宋体" w:hAnsi="宋体" w:eastAsia="宋体" w:cs="宋体"/>
                <w:spacing w:val="-1"/>
                <w:sz w:val="20"/>
                <w:highlight w:val="none"/>
              </w:rPr>
              <w:t>605-1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6B1A2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防风固沙设施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12DEA">
            <w:pPr>
              <w:spacing w:line="38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4B6DCA">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2EE9FB">
            <w:pPr>
              <w:spacing w:line="381" w:lineRule="exact"/>
              <w:rPr>
                <w:rFonts w:hint="eastAsia" w:ascii="宋体" w:hAnsi="宋体" w:eastAsia="宋体" w:cs="宋体"/>
                <w:highlight w:val="none"/>
              </w:rPr>
            </w:pPr>
          </w:p>
        </w:tc>
      </w:tr>
      <w:tr w14:paraId="396ECCDA">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FEEA6">
            <w:pPr>
              <w:spacing w:line="1020"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16626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芦苇栅栏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EDAF46">
            <w:pPr>
              <w:spacing w:line="102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650C9">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1F9167E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尺寸，设置芦苇栅栏，按</w:t>
            </w:r>
          </w:p>
          <w:p w14:paraId="1153ED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单排长度以米为单位计</w:t>
            </w:r>
          </w:p>
          <w:p w14:paraId="4F48902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B67489">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41B4C8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387504E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设置木桩；</w:t>
            </w:r>
          </w:p>
          <w:p w14:paraId="0611A3E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埋设芦苇；</w:t>
            </w:r>
          </w:p>
          <w:p w14:paraId="493B8FF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夯实、整平、固定；</w:t>
            </w:r>
          </w:p>
          <w:p w14:paraId="766DE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81E9415">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F15455">
            <w:pPr>
              <w:spacing w:line="883"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3BA0E">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芦苇草方格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7702FF">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91E97C">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75F185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尺寸，设置芦苇草方格，</w:t>
            </w:r>
          </w:p>
          <w:p w14:paraId="30CD518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6AB15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1C4B47D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0F7C9B5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埋设芦苇；</w:t>
            </w:r>
          </w:p>
          <w:p w14:paraId="4A0E38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整形、封砂、夯实；</w:t>
            </w:r>
          </w:p>
          <w:p w14:paraId="5322375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清理现场</w:t>
            </w:r>
          </w:p>
        </w:tc>
      </w:tr>
      <w:tr w14:paraId="4287B95E">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3B402">
            <w:pPr>
              <w:spacing w:line="747"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EABAEA">
            <w:pPr>
              <w:spacing w:line="696" w:lineRule="exact"/>
              <w:ind w:left="282"/>
              <w:rPr>
                <w:rFonts w:hint="eastAsia" w:ascii="宋体" w:hAnsi="宋体" w:eastAsia="宋体" w:cs="宋体"/>
                <w:highlight w:val="none"/>
              </w:rPr>
            </w:pPr>
            <w:r>
              <w:rPr>
                <w:rFonts w:hint="eastAsia" w:ascii="宋体" w:hAnsi="宋体" w:eastAsia="宋体" w:cs="宋体"/>
                <w:spacing w:val="-1"/>
                <w:sz w:val="20"/>
                <w:highlight w:val="none"/>
              </w:rPr>
              <w:t>边坡覆盖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3E0B5">
            <w:pPr>
              <w:spacing w:line="65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4B5CCB">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根据图纸所示位置及</w:t>
            </w:r>
          </w:p>
          <w:p w14:paraId="1F9E06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断面尺寸，按照边坡覆盖</w:t>
            </w:r>
          </w:p>
          <w:p w14:paraId="228B56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的面积，以平方米为单位</w:t>
            </w:r>
          </w:p>
          <w:p w14:paraId="498DDB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8ABA4">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修整路基表层；</w:t>
            </w:r>
          </w:p>
          <w:p w14:paraId="2C0CD8D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覆盖砂砾、片石等并</w:t>
            </w:r>
          </w:p>
          <w:p w14:paraId="0F828A0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进行整形；</w:t>
            </w:r>
          </w:p>
          <w:p w14:paraId="449C83E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清理现场</w:t>
            </w:r>
          </w:p>
        </w:tc>
      </w:tr>
    </w:tbl>
    <w:p w14:paraId="74408B4B">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A8CDE2F">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700 章 安全设施</w:t>
      </w:r>
    </w:p>
    <w:p w14:paraId="451B4D73">
      <w:pPr>
        <w:pStyle w:val="10"/>
        <w:spacing w:before="1"/>
        <w:rPr>
          <w:rFonts w:hint="eastAsia" w:ascii="宋体" w:hAnsi="宋体" w:eastAsia="宋体" w:cs="宋体"/>
          <w:sz w:val="18"/>
          <w:highlight w:val="none"/>
        </w:rPr>
      </w:pPr>
    </w:p>
    <w:tbl>
      <w:tblPr>
        <w:tblStyle w:val="23"/>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76FBDEA9">
        <w:tblPrEx>
          <w:tblCellMar>
            <w:top w:w="0" w:type="dxa"/>
            <w:left w:w="108" w:type="dxa"/>
            <w:bottom w:w="0" w:type="dxa"/>
            <w:right w:w="108" w:type="dxa"/>
          </w:tblCellMar>
        </w:tblPrEx>
        <w:trPr>
          <w:trHeight w:val="62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FC4518">
            <w:pPr>
              <w:spacing w:line="415" w:lineRule="exact"/>
              <w:ind w:left="24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828F41">
            <w:pPr>
              <w:spacing w:line="415" w:lineRule="exact"/>
              <w:ind w:left="467"/>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E6342">
            <w:pPr>
              <w:spacing w:line="415" w:lineRule="exact"/>
              <w:ind w:left="329"/>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1F0056">
            <w:pPr>
              <w:spacing w:line="415" w:lineRule="exact"/>
              <w:ind w:left="73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3FE44">
            <w:pPr>
              <w:spacing w:line="415" w:lineRule="exact"/>
              <w:ind w:left="876"/>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4C6F7ED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077C00">
            <w:pPr>
              <w:spacing w:line="1369" w:lineRule="exact"/>
              <w:ind w:left="315"/>
              <w:rPr>
                <w:rFonts w:hint="eastAsia" w:ascii="宋体" w:hAnsi="宋体" w:eastAsia="宋体" w:cs="宋体"/>
                <w:highlight w:val="none"/>
              </w:rPr>
            </w:pPr>
            <w:r>
              <w:rPr>
                <w:rFonts w:hint="eastAsia" w:ascii="宋体" w:hAnsi="宋体" w:eastAsia="宋体" w:cs="宋体"/>
                <w:spacing w:val="-1"/>
                <w:sz w:val="20"/>
                <w:highlight w:val="none"/>
              </w:rPr>
              <w:t>701-1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985B05">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钢筋混凝土柱</w:t>
            </w:r>
          </w:p>
          <w:p w14:paraId="3F7B6C61">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26E14C">
            <w:pPr>
              <w:spacing w:line="1334" w:lineRule="exact"/>
              <w:ind w:left="434"/>
              <w:rPr>
                <w:rFonts w:hint="eastAsia" w:ascii="宋体" w:hAnsi="宋体" w:eastAsia="宋体" w:cs="宋体"/>
                <w:highlight w:val="none"/>
              </w:rPr>
            </w:pPr>
            <w:r>
              <w:rPr>
                <w:rFonts w:hint="eastAsia" w:ascii="宋体" w:hAnsi="宋体" w:eastAsia="宋体" w:cs="宋体"/>
                <w:spacing w:val="-1"/>
                <w:sz w:val="20"/>
                <w:highlight w:val="none"/>
              </w:rPr>
              <w:t>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649523">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按图示预制并依据图纸</w:t>
            </w:r>
          </w:p>
          <w:p w14:paraId="1880DFA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所示位置施工，以根为单</w:t>
            </w:r>
          </w:p>
          <w:p w14:paraId="1E8A240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DBBB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38A8749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6ACA3C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钢筋混凝土护栏的预</w:t>
            </w:r>
          </w:p>
          <w:p w14:paraId="6BC99E5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制、运输；</w:t>
            </w:r>
          </w:p>
          <w:p w14:paraId="49385FB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62FC6B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钢筋混凝土护栏安装；</w:t>
            </w:r>
          </w:p>
          <w:p w14:paraId="1079002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2431370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45298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油漆保护处理</w:t>
            </w:r>
          </w:p>
        </w:tc>
      </w:tr>
      <w:tr w14:paraId="1C30A38E">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74891A">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702-1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61A2BD">
            <w:pPr>
              <w:spacing w:line="1379" w:lineRule="exact"/>
              <w:ind w:left="282"/>
              <w:rPr>
                <w:rFonts w:hint="eastAsia" w:ascii="宋体" w:hAnsi="宋体" w:eastAsia="宋体" w:cs="宋体"/>
                <w:highlight w:val="none"/>
              </w:rPr>
            </w:pPr>
            <w:r>
              <w:rPr>
                <w:rFonts w:hint="eastAsia" w:ascii="宋体" w:hAnsi="宋体" w:eastAsia="宋体" w:cs="宋体"/>
                <w:spacing w:val="-1"/>
                <w:sz w:val="20"/>
                <w:highlight w:val="none"/>
              </w:rPr>
              <w:t>墙式护栏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A01C44">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FDCECC">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4C33870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面尺寸，按图示浇筑的不</w:t>
            </w:r>
          </w:p>
          <w:p w14:paraId="120186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同强度的混凝土体积，以</w:t>
            </w:r>
          </w:p>
          <w:p w14:paraId="4E3900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B6FC33">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基槽开挖、基底清理；</w:t>
            </w:r>
          </w:p>
          <w:p w14:paraId="7CD63D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铺筑碎（砾）石垫层；</w:t>
            </w:r>
          </w:p>
          <w:p w14:paraId="5966B4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模板架立，钢筋的运</w:t>
            </w:r>
          </w:p>
          <w:p w14:paraId="7D7B3B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输、存储、加工、安设；</w:t>
            </w:r>
          </w:p>
          <w:p w14:paraId="76223D0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混凝土浇筑、养护；</w:t>
            </w:r>
          </w:p>
          <w:p w14:paraId="341DF6D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灌缝处理，勾缝抹面；</w:t>
            </w:r>
          </w:p>
          <w:p w14:paraId="4D9729E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基坑回填，夯实；</w:t>
            </w:r>
          </w:p>
          <w:p w14:paraId="3DE59AF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清理场地，弃方处理；</w:t>
            </w:r>
          </w:p>
          <w:p w14:paraId="2ABAE6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油漆保护处理</w:t>
            </w:r>
          </w:p>
        </w:tc>
      </w:tr>
      <w:tr w14:paraId="4F36BC00">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65595D">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703-1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C1AA7">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钢筋混凝土标</w:t>
            </w:r>
          </w:p>
          <w:p w14:paraId="046D28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8CDE3">
            <w:pPr>
              <w:spacing w:line="165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21867D">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F002EF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CD04E7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53ACE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5CB1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60C0FC5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746157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钢筋混凝土立柱、板面</w:t>
            </w:r>
          </w:p>
          <w:p w14:paraId="7F4FA8D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的预制、运输；</w:t>
            </w:r>
          </w:p>
          <w:p w14:paraId="74FADAE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783523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钢筋混凝土立柱、板面</w:t>
            </w:r>
          </w:p>
          <w:p w14:paraId="3C876BE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p w14:paraId="72AA7A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48F7A8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B27B73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标志板面涂漆、印字处</w:t>
            </w:r>
          </w:p>
          <w:p w14:paraId="45C4D2E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69FB5DDC">
        <w:tblPrEx>
          <w:tblCellMar>
            <w:top w:w="0" w:type="dxa"/>
            <w:left w:w="108" w:type="dxa"/>
            <w:bottom w:w="0" w:type="dxa"/>
            <w:right w:w="108" w:type="dxa"/>
          </w:tblCellMar>
        </w:tblPrEx>
        <w:trPr>
          <w:trHeight w:val="55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EE2AA6">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704-1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BB9ED7">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钢板标志牌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C78B61">
            <w:pPr>
              <w:spacing w:line="42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E07824">
            <w:pPr>
              <w:spacing w:line="426"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4C8A16">
            <w:pPr>
              <w:spacing w:line="426" w:lineRule="exact"/>
              <w:rPr>
                <w:rFonts w:hint="eastAsia" w:ascii="宋体" w:hAnsi="宋体" w:eastAsia="宋体" w:cs="宋体"/>
                <w:highlight w:val="none"/>
              </w:rPr>
            </w:pPr>
          </w:p>
        </w:tc>
      </w:tr>
      <w:tr w14:paraId="54A90766">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1A6B8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90B3A3">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24EA8">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88A58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39A377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1ADB50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07B26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24FF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CA5314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21B14C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3ABA46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0A6576E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004D16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EC76B20">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B2C1C">
            <w:pPr>
              <w:spacing w:line="102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9B61A">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B69907">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14CD">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B1B3D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7003FD7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5017EF6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218F9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29518A4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79560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7EDBEFD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4EC1D463">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F98890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1635D870">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A85D2">
            <w:pPr>
              <w:spacing w:line="476"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3DB8FA">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80226F">
            <w:pPr>
              <w:spacing w:line="426"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68E2F">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4A3D8F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7795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6CCAD1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tc>
      </w:tr>
    </w:tbl>
    <w:p w14:paraId="53AAF57D">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5057741">
      <w:pPr>
        <w:pStyle w:val="10"/>
        <w:spacing w:before="10"/>
        <w:rPr>
          <w:rFonts w:hint="eastAsia" w:ascii="宋体" w:hAnsi="宋体" w:eastAsia="宋体" w:cs="宋体"/>
          <w:sz w:val="11"/>
          <w:highlight w:val="none"/>
        </w:rPr>
      </w:pPr>
    </w:p>
    <w:tbl>
      <w:tblPr>
        <w:tblStyle w:val="23"/>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0BB31A5A">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5D45E6">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07825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DA142A">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7A6D6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40C0DA1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9277F">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E14758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3B648E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4E1336F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A923A2E">
        <w:tblPrEx>
          <w:tblCellMar>
            <w:top w:w="0" w:type="dxa"/>
            <w:left w:w="108" w:type="dxa"/>
            <w:bottom w:w="0" w:type="dxa"/>
            <w:right w:w="108" w:type="dxa"/>
          </w:tblCellMar>
        </w:tblPrEx>
        <w:trPr>
          <w:trHeight w:val="47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6AFC86">
            <w:pPr>
              <w:spacing w:line="433" w:lineRule="exact"/>
              <w:ind w:left="315"/>
              <w:rPr>
                <w:rFonts w:hint="eastAsia" w:ascii="宋体" w:hAnsi="宋体" w:eastAsia="宋体" w:cs="宋体"/>
                <w:highlight w:val="none"/>
              </w:rPr>
            </w:pPr>
            <w:r>
              <w:rPr>
                <w:rFonts w:hint="eastAsia" w:ascii="宋体" w:hAnsi="宋体" w:eastAsia="宋体" w:cs="宋体"/>
                <w:spacing w:val="-1"/>
                <w:sz w:val="20"/>
                <w:highlight w:val="none"/>
              </w:rPr>
              <w:t>705-1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CC44D3">
            <w:pPr>
              <w:spacing w:line="384" w:lineRule="exact"/>
              <w:ind w:left="282"/>
              <w:rPr>
                <w:rFonts w:hint="eastAsia" w:ascii="宋体" w:hAnsi="宋体" w:eastAsia="宋体" w:cs="宋体"/>
                <w:highlight w:val="none"/>
              </w:rPr>
            </w:pPr>
            <w:r>
              <w:rPr>
                <w:rFonts w:hint="eastAsia" w:ascii="宋体" w:hAnsi="宋体" w:eastAsia="宋体" w:cs="宋体"/>
                <w:spacing w:val="-1"/>
                <w:sz w:val="20"/>
                <w:highlight w:val="none"/>
              </w:rPr>
              <w:t>铝合金标志牌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B4B71">
            <w:pPr>
              <w:spacing w:line="38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D06850">
            <w:pPr>
              <w:spacing w:line="384"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52B70">
            <w:pPr>
              <w:spacing w:line="384" w:lineRule="exact"/>
              <w:rPr>
                <w:rFonts w:hint="eastAsia" w:ascii="宋体" w:hAnsi="宋体" w:eastAsia="宋体" w:cs="宋体"/>
                <w:highlight w:val="none"/>
              </w:rPr>
            </w:pPr>
          </w:p>
        </w:tc>
      </w:tr>
      <w:tr w14:paraId="7DB65551">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EFFA1">
            <w:pPr>
              <w:spacing w:line="1021"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86E3EC">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4D6FA7">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A91A">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642B3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21C916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A1F2F2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D3D6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7D99CAA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4EA63D8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29D611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722B714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E29CD9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35F58C15">
        <w:tblPrEx>
          <w:tblCellMar>
            <w:top w:w="0" w:type="dxa"/>
            <w:left w:w="108" w:type="dxa"/>
            <w:bottom w:w="0" w:type="dxa"/>
            <w:right w:w="108" w:type="dxa"/>
          </w:tblCellMar>
        </w:tblPrEx>
        <w:trPr>
          <w:trHeight w:val="164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7F9B1D">
            <w:pPr>
              <w:spacing w:line="1021"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73BBAF">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2C08C">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BB9F2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01F4A5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67BFC4A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68BDD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7A3B9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AA996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150CF8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3263F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5DD8843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943F2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00B3DF9">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04BA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39409">
            <w:pPr>
              <w:spacing w:line="968"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8E0E5">
            <w:pPr>
              <w:spacing w:line="96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CB448E">
            <w:pPr>
              <w:spacing w:line="517"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58E7C5A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48D26E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B40A02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EBD12">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0D64AC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6384301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0F2180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0B73AA8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0A0BEFF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5613D40">
        <w:tblPrEx>
          <w:tblCellMar>
            <w:top w:w="0" w:type="dxa"/>
            <w:left w:w="108" w:type="dxa"/>
            <w:bottom w:w="0" w:type="dxa"/>
            <w:right w:w="108" w:type="dxa"/>
          </w:tblCellMar>
        </w:tblPrEx>
        <w:trPr>
          <w:trHeight w:val="137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2BF11D">
            <w:pPr>
              <w:spacing w:line="883" w:lineRule="exact"/>
              <w:ind w:left="315"/>
              <w:rPr>
                <w:rFonts w:hint="eastAsia" w:ascii="宋体" w:hAnsi="宋体" w:eastAsia="宋体" w:cs="宋体"/>
                <w:highlight w:val="none"/>
              </w:rPr>
            </w:pPr>
            <w:r>
              <w:rPr>
                <w:rFonts w:hint="eastAsia" w:ascii="宋体" w:hAnsi="宋体" w:eastAsia="宋体" w:cs="宋体"/>
                <w:spacing w:val="-1"/>
                <w:sz w:val="20"/>
                <w:highlight w:val="none"/>
              </w:rPr>
              <w:t>706-1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8B9E92">
            <w:pPr>
              <w:spacing w:line="832" w:lineRule="exact"/>
              <w:ind w:left="282"/>
              <w:rPr>
                <w:rFonts w:hint="eastAsia" w:ascii="宋体" w:hAnsi="宋体" w:eastAsia="宋体" w:cs="宋体"/>
                <w:highlight w:val="none"/>
              </w:rPr>
            </w:pPr>
            <w:r>
              <w:rPr>
                <w:rFonts w:hint="eastAsia" w:ascii="宋体" w:hAnsi="宋体" w:eastAsia="宋体" w:cs="宋体"/>
                <w:spacing w:val="-1"/>
                <w:sz w:val="20"/>
                <w:highlight w:val="none"/>
              </w:rPr>
              <w:t>路面标线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F0478B">
            <w:pPr>
              <w:spacing w:line="79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F423F">
            <w:pPr>
              <w:spacing w:line="38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120D9B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09D61C8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图示标线面积以平方米</w:t>
            </w:r>
          </w:p>
          <w:p w14:paraId="1954A59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2244E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路面清扫；</w:t>
            </w:r>
          </w:p>
          <w:p w14:paraId="10D48E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刮涂底油，涂料加热溶</w:t>
            </w:r>
          </w:p>
          <w:p w14:paraId="7D6F1B4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解，喷（刮）标线，撒布</w:t>
            </w:r>
          </w:p>
          <w:p w14:paraId="702C795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玻璃珠（反光标线），初</w:t>
            </w:r>
          </w:p>
          <w:p w14:paraId="16AF053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期养护</w:t>
            </w:r>
          </w:p>
        </w:tc>
      </w:tr>
      <w:tr w14:paraId="442A354B">
        <w:tblPrEx>
          <w:tblCellMar>
            <w:top w:w="0" w:type="dxa"/>
            <w:left w:w="108" w:type="dxa"/>
            <w:bottom w:w="0" w:type="dxa"/>
            <w:right w:w="108" w:type="dxa"/>
          </w:tblCellMar>
        </w:tblPrEx>
        <w:trPr>
          <w:trHeight w:val="827"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68FE19">
            <w:pPr>
              <w:spacing w:line="611" w:lineRule="exact"/>
              <w:ind w:left="315"/>
              <w:rPr>
                <w:rFonts w:hint="eastAsia" w:ascii="宋体" w:hAnsi="宋体" w:eastAsia="宋体" w:cs="宋体"/>
                <w:highlight w:val="none"/>
              </w:rPr>
            </w:pPr>
            <w:r>
              <w:rPr>
                <w:rFonts w:hint="eastAsia" w:ascii="宋体" w:hAnsi="宋体" w:eastAsia="宋体" w:cs="宋体"/>
                <w:spacing w:val="-1"/>
                <w:sz w:val="20"/>
                <w:highlight w:val="none"/>
              </w:rPr>
              <w:t>707-1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F406A">
            <w:pPr>
              <w:spacing w:line="562" w:lineRule="exact"/>
              <w:ind w:left="282"/>
              <w:rPr>
                <w:rFonts w:hint="eastAsia" w:ascii="宋体" w:hAnsi="宋体" w:eastAsia="宋体" w:cs="宋体"/>
                <w:highlight w:val="none"/>
              </w:rPr>
            </w:pPr>
            <w:r>
              <w:rPr>
                <w:rFonts w:hint="eastAsia" w:ascii="宋体" w:hAnsi="宋体" w:eastAsia="宋体" w:cs="宋体"/>
                <w:spacing w:val="-1"/>
                <w:sz w:val="20"/>
                <w:highlight w:val="none"/>
              </w:rPr>
              <w:t>里程碑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5A8DE1">
            <w:pPr>
              <w:spacing w:line="562"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C6C56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7C628A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面尺寸，按图示里程碑数</w:t>
            </w:r>
          </w:p>
          <w:p w14:paraId="7F6218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F1B31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基础施工或设置连接</w:t>
            </w:r>
            <w:r>
              <w:rPr>
                <w:rFonts w:hint="eastAsia" w:ascii="宋体" w:hAnsi="宋体" w:eastAsia="宋体" w:cs="宋体"/>
                <w:spacing w:val="-1"/>
                <w:sz w:val="20"/>
                <w:highlight w:val="none"/>
              </w:rPr>
              <w:t>件；</w:t>
            </w:r>
          </w:p>
          <w:p w14:paraId="390E16F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里程碑制作与安装</w:t>
            </w:r>
          </w:p>
        </w:tc>
      </w:tr>
      <w:tr w14:paraId="0B099107">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2CE02F">
            <w:pPr>
              <w:spacing w:line="884" w:lineRule="exact"/>
              <w:ind w:left="315"/>
              <w:rPr>
                <w:rFonts w:hint="eastAsia" w:ascii="宋体" w:hAnsi="宋体" w:eastAsia="宋体" w:cs="宋体"/>
                <w:highlight w:val="none"/>
              </w:rPr>
            </w:pPr>
            <w:r>
              <w:rPr>
                <w:rFonts w:hint="eastAsia" w:ascii="宋体" w:hAnsi="宋体" w:eastAsia="宋体" w:cs="宋体"/>
                <w:spacing w:val="-1"/>
                <w:sz w:val="20"/>
                <w:highlight w:val="none"/>
              </w:rPr>
              <w:t>708-1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4CFB76">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公路界碑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A07">
            <w:pPr>
              <w:spacing w:line="834"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2F85A6">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6D6B761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面尺寸，按图示公路界碑</w:t>
            </w:r>
          </w:p>
          <w:p w14:paraId="5C2ED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054125">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界碑制作；</w:t>
            </w:r>
          </w:p>
          <w:p w14:paraId="14441A6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基槽开挖、基槽混凝土</w:t>
            </w:r>
          </w:p>
          <w:p w14:paraId="1C3D15F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浇筑、界碑埋设；</w:t>
            </w:r>
          </w:p>
          <w:p w14:paraId="0F75C80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基坑回填、夯实；</w:t>
            </w:r>
          </w:p>
          <w:p w14:paraId="570D266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4BD930AE">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905819">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709-1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4F3278">
            <w:pPr>
              <w:spacing w:line="698" w:lineRule="exact"/>
              <w:ind w:left="282"/>
              <w:rPr>
                <w:rFonts w:hint="eastAsia" w:ascii="宋体" w:hAnsi="宋体" w:eastAsia="宋体" w:cs="宋体"/>
                <w:highlight w:val="none"/>
              </w:rPr>
            </w:pPr>
            <w:r>
              <w:rPr>
                <w:rFonts w:hint="eastAsia" w:ascii="宋体" w:hAnsi="宋体" w:eastAsia="宋体" w:cs="宋体"/>
                <w:spacing w:val="-1"/>
                <w:sz w:val="20"/>
                <w:highlight w:val="none"/>
              </w:rPr>
              <w:t>百米桩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C246B">
            <w:pPr>
              <w:spacing w:line="69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6ABB44">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9F1A72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432FFA7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图示百米桩数量以个为</w:t>
            </w:r>
          </w:p>
          <w:p w14:paraId="2B08D1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6B025B">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百米桩制作、运输、安</w:t>
            </w:r>
          </w:p>
          <w:p w14:paraId="3C344F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tc>
      </w:tr>
      <w:tr w14:paraId="3610CF6F">
        <w:tblPrEx>
          <w:tblCellMar>
            <w:top w:w="0" w:type="dxa"/>
            <w:left w:w="108" w:type="dxa"/>
            <w:bottom w:w="0" w:type="dxa"/>
            <w:right w:w="108" w:type="dxa"/>
          </w:tblCellMar>
        </w:tblPrEx>
        <w:trPr>
          <w:trHeight w:val="87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9E7221">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772F2E">
            <w:pPr>
              <w:spacing w:line="698" w:lineRule="exact"/>
              <w:ind w:left="282"/>
              <w:rPr>
                <w:rFonts w:hint="eastAsia" w:ascii="宋体" w:hAnsi="宋体" w:eastAsia="宋体" w:cs="宋体"/>
                <w:spacing w:val="-1"/>
                <w:sz w:val="20"/>
                <w:highlight w:val="none"/>
              </w:rPr>
            </w:pPr>
            <w:r>
              <w:rPr>
                <w:rFonts w:hint="eastAsia" w:ascii="宋体" w:hAnsi="宋体" w:eastAsia="宋体" w:cs="宋体"/>
                <w:spacing w:val="-1"/>
                <w:sz w:val="20"/>
                <w:highlight w:val="none"/>
              </w:rPr>
              <w:t>减速垄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ACF423">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29B9B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依据图纸所示位置和断面尺寸，按图示以长度为单位计量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FEEE60">
            <w:pPr>
              <w:spacing w:line="271"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减速垄的制作，运输、安装</w:t>
            </w:r>
          </w:p>
        </w:tc>
      </w:tr>
      <w:tr w14:paraId="14195E54">
        <w:tblPrEx>
          <w:tblCellMar>
            <w:top w:w="0" w:type="dxa"/>
            <w:left w:w="108" w:type="dxa"/>
            <w:bottom w:w="0" w:type="dxa"/>
            <w:right w:w="108" w:type="dxa"/>
          </w:tblCellMar>
        </w:tblPrEx>
        <w:trPr>
          <w:trHeight w:val="164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F54ADF">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05A84F">
            <w:pPr>
              <w:widowControl/>
              <w:jc w:val="center"/>
              <w:textAlignment w:val="center"/>
              <w:rPr>
                <w:rFonts w:hint="eastAsia" w:ascii="宋体" w:hAnsi="宋体" w:eastAsia="宋体" w:cs="宋体"/>
                <w:kern w:val="2"/>
                <w:sz w:val="20"/>
                <w:szCs w:val="20"/>
                <w:highlight w:val="none"/>
                <w:lang w:val="en-US" w:bidi="ar-SA"/>
              </w:rPr>
            </w:pPr>
            <w:r>
              <w:rPr>
                <w:rFonts w:hint="eastAsia" w:ascii="宋体" w:hAnsi="宋体" w:eastAsia="宋体" w:cs="宋体"/>
                <w:sz w:val="20"/>
                <w:szCs w:val="20"/>
                <w:highlight w:val="none"/>
                <w:lang w:val="en-US" w:bidi="ar"/>
              </w:rPr>
              <w:t>波形梁护栏（含端头）</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8F2199">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16876E">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依据图纸所示位置、防撞 </w:t>
            </w:r>
          </w:p>
          <w:p w14:paraId="3FDB474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等级、构造形式代号，按 </w:t>
            </w:r>
          </w:p>
          <w:p w14:paraId="27CD52D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图示长度以米为单位计量 </w:t>
            </w:r>
          </w:p>
          <w:p w14:paraId="14F2E9B5">
            <w:pPr>
              <w:spacing w:line="274" w:lineRule="exact"/>
              <w:rPr>
                <w:rFonts w:hint="eastAsia" w:ascii="宋体" w:hAnsi="宋体" w:eastAsia="宋体" w:cs="宋体"/>
                <w:spacing w:val="-1"/>
                <w:sz w:val="20"/>
                <w:highlight w:val="none"/>
                <w:lang w:val="en-US"/>
              </w:rPr>
            </w:pPr>
          </w:p>
          <w:p w14:paraId="344BF1C8">
            <w:pPr>
              <w:spacing w:line="274" w:lineRule="exact"/>
              <w:ind w:left="108"/>
              <w:rPr>
                <w:rFonts w:hint="eastAsia" w:ascii="宋体" w:hAnsi="宋体" w:eastAsia="宋体" w:cs="宋体"/>
                <w:spacing w:val="-1"/>
                <w:sz w:val="20"/>
                <w:highlight w:val="none"/>
                <w:lang w:val="en-US"/>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BF4882">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1.基础施工（成孔、埋入 </w:t>
            </w:r>
          </w:p>
          <w:p w14:paraId="5A3ADBC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或预埋套筒或预埋地脚 </w:t>
            </w:r>
          </w:p>
          <w:p w14:paraId="16E7D0A4">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螺栓等）； </w:t>
            </w:r>
          </w:p>
          <w:p w14:paraId="7921026F">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2.波形梁及其匹配件安装； </w:t>
            </w:r>
          </w:p>
          <w:p w14:paraId="5517F1DD">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3.场地清理，弃方处理； </w:t>
            </w:r>
          </w:p>
          <w:p w14:paraId="0C4235E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4.补涂防腐涂装</w:t>
            </w:r>
          </w:p>
          <w:p w14:paraId="76F25DC6">
            <w:pPr>
              <w:spacing w:line="274" w:lineRule="exact"/>
              <w:ind w:left="108"/>
              <w:rPr>
                <w:rFonts w:hint="eastAsia" w:ascii="宋体" w:hAnsi="宋体" w:eastAsia="宋体" w:cs="宋体"/>
                <w:spacing w:val="-1"/>
                <w:sz w:val="20"/>
                <w:highlight w:val="none"/>
                <w:lang w:val="en-US"/>
              </w:rPr>
            </w:pPr>
          </w:p>
        </w:tc>
      </w:tr>
    </w:tbl>
    <w:p w14:paraId="2EE8D0FE">
      <w:pPr>
        <w:pStyle w:val="10"/>
        <w:spacing w:before="6"/>
        <w:rPr>
          <w:rFonts w:hint="eastAsia" w:ascii="宋体" w:hAnsi="宋体" w:eastAsia="宋体" w:cs="宋体"/>
          <w:sz w:val="34"/>
          <w:highlight w:val="none"/>
        </w:rPr>
      </w:pPr>
    </w:p>
    <w:p w14:paraId="25519EA6">
      <w:pPr>
        <w:pStyle w:val="22"/>
        <w:ind w:firstLine="600"/>
        <w:rPr>
          <w:rFonts w:hint="eastAsia" w:ascii="宋体" w:hAnsi="宋体" w:eastAsia="宋体" w:cs="宋体"/>
          <w:sz w:val="30"/>
          <w:szCs w:val="30"/>
          <w:highlight w:val="none"/>
        </w:rPr>
        <w:sectPr>
          <w:headerReference r:id="rId18" w:type="default"/>
          <w:footerReference r:id="rId19" w:type="default"/>
          <w:pgSz w:w="11910" w:h="16840"/>
          <w:pgMar w:top="1440" w:right="1079" w:bottom="1040" w:left="1420" w:header="882" w:footer="845" w:gutter="0"/>
          <w:cols w:space="720" w:num="1"/>
        </w:sectPr>
      </w:pPr>
    </w:p>
    <w:p w14:paraId="14B8EA29">
      <w:pPr>
        <w:tabs>
          <w:tab w:val="left" w:pos="1840"/>
        </w:tabs>
        <w:spacing w:before="38"/>
        <w:ind w:left="81"/>
        <w:jc w:val="center"/>
        <w:rPr>
          <w:rFonts w:hint="eastAsia" w:ascii="宋体" w:hAnsi="宋体" w:eastAsia="宋体" w:cs="宋体"/>
          <w:b/>
          <w:bCs/>
          <w:sz w:val="32"/>
          <w:szCs w:val="32"/>
          <w:highlight w:val="none"/>
        </w:rPr>
      </w:pPr>
    </w:p>
    <w:p w14:paraId="5C01168C">
      <w:pPr>
        <w:tabs>
          <w:tab w:val="left" w:pos="1840"/>
        </w:tabs>
        <w:spacing w:before="38"/>
        <w:ind w:left="81"/>
        <w:jc w:val="center"/>
        <w:rPr>
          <w:rFonts w:hint="eastAsia" w:ascii="宋体" w:hAnsi="宋体" w:eastAsia="宋体" w:cs="宋体"/>
          <w:b/>
          <w:bCs/>
          <w:sz w:val="32"/>
          <w:szCs w:val="32"/>
          <w:highlight w:val="none"/>
        </w:rPr>
      </w:pPr>
    </w:p>
    <w:p w14:paraId="52F82AF5">
      <w:pPr>
        <w:tabs>
          <w:tab w:val="left" w:pos="1840"/>
        </w:tabs>
        <w:spacing w:before="38"/>
        <w:ind w:left="81"/>
        <w:jc w:val="center"/>
        <w:rPr>
          <w:rFonts w:hint="eastAsia" w:ascii="宋体" w:hAnsi="宋体" w:eastAsia="宋体" w:cs="宋体"/>
          <w:b/>
          <w:bCs/>
          <w:sz w:val="32"/>
          <w:szCs w:val="32"/>
          <w:highlight w:val="none"/>
        </w:rPr>
      </w:pPr>
    </w:p>
    <w:p w14:paraId="527A6C67">
      <w:pPr>
        <w:tabs>
          <w:tab w:val="left" w:pos="1840"/>
        </w:tabs>
        <w:spacing w:before="38"/>
        <w:ind w:left="81"/>
        <w:jc w:val="center"/>
        <w:rPr>
          <w:rFonts w:hint="eastAsia" w:ascii="宋体" w:hAnsi="宋体" w:eastAsia="宋体" w:cs="宋体"/>
          <w:b/>
          <w:bCs/>
          <w:sz w:val="32"/>
          <w:szCs w:val="32"/>
          <w:highlight w:val="none"/>
        </w:rPr>
      </w:pPr>
    </w:p>
    <w:p w14:paraId="0963B327">
      <w:pPr>
        <w:tabs>
          <w:tab w:val="left" w:pos="1840"/>
        </w:tabs>
        <w:spacing w:before="38"/>
        <w:ind w:left="81"/>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第七章</w:t>
      </w:r>
      <w:r>
        <w:rPr>
          <w:rFonts w:hint="eastAsia" w:ascii="宋体" w:hAnsi="宋体" w:eastAsia="宋体" w:cs="宋体"/>
          <w:b/>
          <w:bCs/>
          <w:sz w:val="32"/>
          <w:szCs w:val="32"/>
          <w:highlight w:val="none"/>
          <w:lang w:val="en-US"/>
        </w:rPr>
        <w:t xml:space="preserve">  </w:t>
      </w:r>
      <w:r>
        <w:rPr>
          <w:rFonts w:hint="eastAsia" w:ascii="宋体" w:hAnsi="宋体" w:eastAsia="宋体" w:cs="宋体"/>
          <w:b/>
          <w:bCs/>
          <w:sz w:val="32"/>
          <w:szCs w:val="32"/>
          <w:highlight w:val="none"/>
        </w:rPr>
        <w:t>响应文件格式</w:t>
      </w:r>
    </w:p>
    <w:p w14:paraId="157FDDBC">
      <w:pPr>
        <w:jc w:val="center"/>
        <w:rPr>
          <w:rFonts w:hint="eastAsia" w:ascii="宋体" w:hAnsi="宋体" w:eastAsia="宋体" w:cs="宋体"/>
          <w:b/>
          <w:bCs/>
          <w:sz w:val="32"/>
          <w:szCs w:val="32"/>
          <w:highlight w:val="none"/>
        </w:rPr>
        <w:sectPr>
          <w:headerReference r:id="rId20" w:type="default"/>
          <w:pgSz w:w="11910" w:h="16840"/>
          <w:pgMar w:top="1440" w:right="1080" w:bottom="1040" w:left="1420" w:header="882" w:footer="847" w:gutter="0"/>
          <w:cols w:space="720" w:num="1"/>
        </w:sectPr>
      </w:pPr>
    </w:p>
    <w:p w14:paraId="5A8E1FC9">
      <w:pPr>
        <w:pStyle w:val="10"/>
        <w:rPr>
          <w:rFonts w:hint="eastAsia" w:ascii="宋体" w:hAnsi="宋体" w:eastAsia="宋体" w:cs="宋体"/>
          <w:sz w:val="20"/>
          <w:highlight w:val="none"/>
        </w:rPr>
      </w:pPr>
    </w:p>
    <w:p w14:paraId="424166E5">
      <w:pPr>
        <w:pStyle w:val="10"/>
        <w:rPr>
          <w:rFonts w:hint="eastAsia" w:ascii="宋体" w:hAnsi="宋体" w:eastAsia="宋体" w:cs="宋体"/>
          <w:sz w:val="20"/>
          <w:highlight w:val="none"/>
        </w:rPr>
      </w:pPr>
    </w:p>
    <w:p w14:paraId="2D048F3C">
      <w:pPr>
        <w:pStyle w:val="10"/>
        <w:rPr>
          <w:rFonts w:hint="eastAsia" w:ascii="宋体" w:hAnsi="宋体" w:eastAsia="宋体" w:cs="宋体"/>
          <w:sz w:val="20"/>
          <w:highlight w:val="none"/>
        </w:rPr>
      </w:pPr>
    </w:p>
    <w:p w14:paraId="4E44EAED">
      <w:pPr>
        <w:pStyle w:val="10"/>
        <w:rPr>
          <w:rFonts w:hint="eastAsia" w:ascii="宋体" w:hAnsi="宋体" w:eastAsia="宋体" w:cs="宋体"/>
          <w:sz w:val="20"/>
          <w:highlight w:val="none"/>
        </w:rPr>
      </w:pPr>
    </w:p>
    <w:p w14:paraId="7A54AE45">
      <w:pPr>
        <w:pStyle w:val="10"/>
        <w:tabs>
          <w:tab w:val="left" w:pos="3821"/>
          <w:tab w:val="left" w:pos="5981"/>
        </w:tabs>
        <w:spacing w:before="74"/>
        <w:ind w:firstLine="2880" w:firstLineChars="900"/>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u w:val="single"/>
          <w:lang w:val="en-US"/>
        </w:rPr>
        <w:t xml:space="preserve">      </w:t>
      </w:r>
      <w:r>
        <w:rPr>
          <w:rFonts w:hint="eastAsia" w:ascii="宋体" w:hAnsi="宋体" w:eastAsia="宋体" w:cs="宋体"/>
          <w:sz w:val="32"/>
          <w:szCs w:val="32"/>
          <w:highlight w:val="none"/>
        </w:rPr>
        <w:t>（项目名称）</w:t>
      </w:r>
    </w:p>
    <w:p w14:paraId="10E1AAF6">
      <w:pPr>
        <w:pStyle w:val="10"/>
        <w:rPr>
          <w:rFonts w:hint="eastAsia" w:ascii="宋体" w:hAnsi="宋体" w:eastAsia="宋体" w:cs="宋体"/>
          <w:sz w:val="32"/>
          <w:szCs w:val="32"/>
          <w:highlight w:val="none"/>
        </w:rPr>
      </w:pPr>
    </w:p>
    <w:p w14:paraId="368F777D">
      <w:pPr>
        <w:pStyle w:val="10"/>
        <w:rPr>
          <w:rFonts w:hint="eastAsia" w:ascii="宋体" w:hAnsi="宋体" w:eastAsia="宋体" w:cs="宋体"/>
          <w:sz w:val="26"/>
          <w:highlight w:val="none"/>
        </w:rPr>
      </w:pPr>
    </w:p>
    <w:p w14:paraId="1636054A">
      <w:pPr>
        <w:pStyle w:val="10"/>
        <w:rPr>
          <w:rFonts w:hint="eastAsia" w:ascii="宋体" w:hAnsi="宋体" w:eastAsia="宋体" w:cs="宋体"/>
          <w:sz w:val="26"/>
          <w:highlight w:val="none"/>
        </w:rPr>
      </w:pPr>
    </w:p>
    <w:p w14:paraId="16D45673">
      <w:pPr>
        <w:pStyle w:val="10"/>
        <w:rPr>
          <w:rFonts w:hint="eastAsia" w:ascii="宋体" w:hAnsi="宋体" w:eastAsia="宋体" w:cs="宋体"/>
          <w:sz w:val="26"/>
          <w:highlight w:val="none"/>
        </w:rPr>
      </w:pPr>
    </w:p>
    <w:p w14:paraId="79A894C6">
      <w:pPr>
        <w:pStyle w:val="10"/>
        <w:rPr>
          <w:rFonts w:hint="eastAsia" w:ascii="宋体" w:hAnsi="宋体" w:eastAsia="宋体" w:cs="宋体"/>
          <w:sz w:val="26"/>
          <w:highlight w:val="none"/>
        </w:rPr>
      </w:pPr>
    </w:p>
    <w:p w14:paraId="7FC968A8">
      <w:pPr>
        <w:pStyle w:val="10"/>
        <w:spacing w:before="3"/>
        <w:rPr>
          <w:rFonts w:hint="eastAsia" w:ascii="宋体" w:hAnsi="宋体" w:eastAsia="宋体" w:cs="宋体"/>
          <w:sz w:val="20"/>
          <w:highlight w:val="none"/>
        </w:rPr>
      </w:pPr>
    </w:p>
    <w:p w14:paraId="7542B308">
      <w:pPr>
        <w:tabs>
          <w:tab w:val="left" w:pos="3648"/>
          <w:tab w:val="left" w:pos="5328"/>
          <w:tab w:val="left" w:pos="7008"/>
        </w:tabs>
        <w:ind w:firstLine="2520" w:firstLineChars="300"/>
        <w:rPr>
          <w:rFonts w:hint="eastAsia" w:ascii="宋体" w:hAnsi="宋体" w:eastAsia="宋体" w:cs="宋体"/>
          <w:sz w:val="84"/>
          <w:highlight w:val="none"/>
        </w:rPr>
      </w:pPr>
      <w:r>
        <w:rPr>
          <w:rFonts w:hint="eastAsia" w:ascii="宋体" w:hAnsi="宋体" w:eastAsia="宋体" w:cs="宋体"/>
          <w:sz w:val="84"/>
          <w:highlight w:val="none"/>
        </w:rPr>
        <w:t>响</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应</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文</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件</w:t>
      </w:r>
    </w:p>
    <w:p w14:paraId="4269DF07">
      <w:pPr>
        <w:spacing w:before="332"/>
        <w:ind w:left="36" w:right="50"/>
        <w:jc w:val="center"/>
        <w:rPr>
          <w:rFonts w:hint="eastAsia" w:ascii="宋体" w:hAnsi="宋体" w:eastAsia="宋体" w:cs="宋体"/>
          <w:b/>
          <w:sz w:val="44"/>
          <w:szCs w:val="44"/>
          <w:highlight w:val="none"/>
        </w:rPr>
      </w:pPr>
      <w:bookmarkStart w:id="90" w:name="_TOC_250017"/>
      <w:bookmarkEnd w:id="90"/>
      <w:r>
        <w:rPr>
          <w:rFonts w:hint="eastAsia" w:ascii="宋体" w:hAnsi="宋体" w:eastAsia="宋体" w:cs="宋体"/>
          <w:b/>
          <w:sz w:val="44"/>
          <w:szCs w:val="44"/>
          <w:highlight w:val="none"/>
        </w:rPr>
        <w:t>（商务及技术文件）</w:t>
      </w:r>
    </w:p>
    <w:p w14:paraId="7C29B290">
      <w:pPr>
        <w:pStyle w:val="10"/>
        <w:rPr>
          <w:rFonts w:hint="eastAsia" w:ascii="宋体" w:hAnsi="宋体" w:eastAsia="宋体" w:cs="宋体"/>
          <w:b/>
          <w:sz w:val="44"/>
          <w:szCs w:val="44"/>
          <w:highlight w:val="none"/>
        </w:rPr>
      </w:pPr>
    </w:p>
    <w:p w14:paraId="79801412">
      <w:pPr>
        <w:pStyle w:val="10"/>
        <w:rPr>
          <w:rFonts w:hint="eastAsia" w:ascii="宋体" w:hAnsi="宋体" w:eastAsia="宋体" w:cs="宋体"/>
          <w:b/>
          <w:sz w:val="32"/>
          <w:highlight w:val="none"/>
        </w:rPr>
      </w:pPr>
    </w:p>
    <w:p w14:paraId="46C6B734">
      <w:pPr>
        <w:pStyle w:val="10"/>
        <w:rPr>
          <w:rFonts w:hint="eastAsia" w:ascii="宋体" w:hAnsi="宋体" w:eastAsia="宋体" w:cs="宋体"/>
          <w:b/>
          <w:sz w:val="32"/>
          <w:highlight w:val="none"/>
        </w:rPr>
      </w:pPr>
    </w:p>
    <w:p w14:paraId="7B36332A">
      <w:pPr>
        <w:pStyle w:val="10"/>
        <w:rPr>
          <w:rFonts w:hint="eastAsia" w:ascii="宋体" w:hAnsi="宋体" w:eastAsia="宋体" w:cs="宋体"/>
          <w:b/>
          <w:sz w:val="32"/>
          <w:highlight w:val="none"/>
        </w:rPr>
      </w:pPr>
    </w:p>
    <w:p w14:paraId="763CC26C">
      <w:pPr>
        <w:pStyle w:val="10"/>
        <w:rPr>
          <w:rFonts w:hint="eastAsia" w:ascii="宋体" w:hAnsi="宋体" w:eastAsia="宋体" w:cs="宋体"/>
          <w:b/>
          <w:sz w:val="32"/>
          <w:highlight w:val="none"/>
        </w:rPr>
      </w:pPr>
    </w:p>
    <w:p w14:paraId="182409E1">
      <w:pPr>
        <w:pStyle w:val="10"/>
        <w:rPr>
          <w:rFonts w:hint="eastAsia" w:ascii="宋体" w:hAnsi="宋体" w:eastAsia="宋体" w:cs="宋体"/>
          <w:b/>
          <w:sz w:val="32"/>
          <w:highlight w:val="none"/>
        </w:rPr>
      </w:pPr>
    </w:p>
    <w:p w14:paraId="7A1383E4">
      <w:pPr>
        <w:pStyle w:val="10"/>
        <w:rPr>
          <w:rFonts w:hint="eastAsia" w:ascii="宋体" w:hAnsi="宋体" w:eastAsia="宋体" w:cs="宋体"/>
          <w:b/>
          <w:sz w:val="32"/>
          <w:highlight w:val="none"/>
        </w:rPr>
      </w:pPr>
    </w:p>
    <w:p w14:paraId="6023685C">
      <w:pPr>
        <w:pStyle w:val="10"/>
        <w:rPr>
          <w:rFonts w:hint="eastAsia" w:ascii="宋体" w:hAnsi="宋体" w:eastAsia="宋体" w:cs="宋体"/>
          <w:b/>
          <w:sz w:val="32"/>
          <w:highlight w:val="none"/>
        </w:rPr>
      </w:pPr>
    </w:p>
    <w:p w14:paraId="7FF029CD">
      <w:pPr>
        <w:pStyle w:val="10"/>
        <w:rPr>
          <w:rFonts w:hint="eastAsia" w:ascii="宋体" w:hAnsi="宋体" w:eastAsia="宋体" w:cs="宋体"/>
          <w:b/>
          <w:sz w:val="32"/>
          <w:highlight w:val="none"/>
        </w:rPr>
      </w:pPr>
    </w:p>
    <w:p w14:paraId="1241231A">
      <w:pPr>
        <w:pStyle w:val="10"/>
        <w:rPr>
          <w:rFonts w:hint="eastAsia" w:ascii="宋体" w:hAnsi="宋体" w:eastAsia="宋体" w:cs="宋体"/>
          <w:b/>
          <w:sz w:val="32"/>
          <w:highlight w:val="none"/>
        </w:rPr>
      </w:pPr>
    </w:p>
    <w:p w14:paraId="504B86AB">
      <w:pPr>
        <w:pStyle w:val="10"/>
        <w:rPr>
          <w:rFonts w:hint="eastAsia" w:ascii="宋体" w:hAnsi="宋体" w:eastAsia="宋体" w:cs="宋体"/>
          <w:b/>
          <w:sz w:val="32"/>
          <w:highlight w:val="none"/>
        </w:rPr>
      </w:pPr>
    </w:p>
    <w:p w14:paraId="0F5EA01D">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1AC73D86">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法定代表人或其委托代理人：（签字或盖章）</w:t>
      </w:r>
    </w:p>
    <w:p w14:paraId="03DDCDC7">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76E8966C">
      <w:pPr>
        <w:pStyle w:val="10"/>
        <w:rPr>
          <w:rFonts w:hint="eastAsia" w:ascii="宋体" w:hAnsi="宋体" w:eastAsia="宋体" w:cs="宋体"/>
          <w:sz w:val="20"/>
          <w:highlight w:val="none"/>
        </w:rPr>
      </w:pPr>
    </w:p>
    <w:p w14:paraId="254A9FB2">
      <w:pPr>
        <w:pStyle w:val="25"/>
        <w:rPr>
          <w:rFonts w:hint="eastAsia" w:ascii="宋体" w:hAnsi="宋体" w:eastAsia="宋体" w:cs="宋体"/>
          <w:sz w:val="20"/>
          <w:highlight w:val="none"/>
        </w:rPr>
      </w:pPr>
    </w:p>
    <w:p w14:paraId="561207CA">
      <w:pPr>
        <w:rPr>
          <w:rFonts w:hint="eastAsia" w:ascii="宋体" w:hAnsi="宋体" w:eastAsia="宋体" w:cs="宋体"/>
          <w:sz w:val="20"/>
          <w:highlight w:val="none"/>
        </w:rPr>
      </w:pPr>
    </w:p>
    <w:p w14:paraId="3F825F69">
      <w:pPr>
        <w:pStyle w:val="22"/>
        <w:ind w:firstLine="440"/>
        <w:rPr>
          <w:rFonts w:hint="eastAsia" w:ascii="宋体" w:hAnsi="宋体" w:eastAsia="宋体" w:cs="宋体"/>
          <w:highlight w:val="none"/>
        </w:rPr>
      </w:pPr>
    </w:p>
    <w:p w14:paraId="1F8FEC4B">
      <w:pPr>
        <w:pStyle w:val="10"/>
        <w:rPr>
          <w:rFonts w:hint="eastAsia" w:ascii="宋体" w:hAnsi="宋体" w:eastAsia="宋体" w:cs="宋体"/>
          <w:sz w:val="20"/>
          <w:highlight w:val="none"/>
        </w:rPr>
      </w:pPr>
    </w:p>
    <w:p w14:paraId="4BBA569F">
      <w:pPr>
        <w:pStyle w:val="10"/>
        <w:spacing w:before="10"/>
        <w:rPr>
          <w:rFonts w:hint="eastAsia" w:ascii="宋体" w:hAnsi="宋体" w:eastAsia="宋体" w:cs="宋体"/>
          <w:sz w:val="15"/>
          <w:highlight w:val="none"/>
        </w:rPr>
      </w:pPr>
    </w:p>
    <w:p w14:paraId="4CFE0EDE">
      <w:pPr>
        <w:tabs>
          <w:tab w:val="left" w:pos="1048"/>
        </w:tabs>
        <w:spacing w:before="58"/>
        <w:ind w:right="33"/>
        <w:jc w:val="center"/>
        <w:rPr>
          <w:rFonts w:hint="eastAsia" w:ascii="宋体" w:hAnsi="宋体" w:eastAsia="宋体" w:cs="宋体"/>
          <w:sz w:val="30"/>
          <w:highlight w:val="none"/>
        </w:rPr>
      </w:pPr>
      <w:bookmarkStart w:id="91" w:name="_TOC_250016"/>
      <w:bookmarkEnd w:id="91"/>
      <w:r>
        <w:rPr>
          <w:rFonts w:hint="eastAsia" w:ascii="宋体" w:hAnsi="宋体" w:eastAsia="宋体" w:cs="宋体"/>
          <w:sz w:val="30"/>
          <w:highlight w:val="none"/>
        </w:rPr>
        <w:t>目</w:t>
      </w:r>
      <w:r>
        <w:rPr>
          <w:rFonts w:hint="eastAsia" w:ascii="宋体" w:hAnsi="宋体" w:eastAsia="宋体" w:cs="宋体"/>
          <w:sz w:val="30"/>
          <w:highlight w:val="none"/>
        </w:rPr>
        <w:tab/>
      </w:r>
      <w:r>
        <w:rPr>
          <w:rFonts w:hint="eastAsia" w:ascii="宋体" w:hAnsi="宋体" w:eastAsia="宋体" w:cs="宋体"/>
          <w:sz w:val="30"/>
          <w:highlight w:val="none"/>
        </w:rPr>
        <w:t>录</w:t>
      </w:r>
    </w:p>
    <w:p w14:paraId="126D17BB">
      <w:pPr>
        <w:pStyle w:val="10"/>
        <w:rPr>
          <w:rFonts w:hint="eastAsia" w:ascii="宋体" w:hAnsi="宋体" w:eastAsia="宋体" w:cs="宋体"/>
          <w:sz w:val="30"/>
          <w:highlight w:val="none"/>
        </w:rPr>
      </w:pPr>
    </w:p>
    <w:p w14:paraId="0B42D628">
      <w:pPr>
        <w:pStyle w:val="10"/>
        <w:spacing w:before="3"/>
        <w:rPr>
          <w:rFonts w:hint="eastAsia" w:ascii="宋体" w:hAnsi="宋体" w:eastAsia="宋体" w:cs="宋体"/>
          <w:sz w:val="31"/>
          <w:highlight w:val="none"/>
        </w:rPr>
      </w:pPr>
    </w:p>
    <w:p w14:paraId="4325588D">
      <w:pPr>
        <w:pStyle w:val="10"/>
        <w:ind w:left="1963"/>
        <w:rPr>
          <w:rFonts w:hint="eastAsia" w:ascii="宋体" w:hAnsi="宋体" w:eastAsia="宋体" w:cs="宋体"/>
          <w:highlight w:val="none"/>
        </w:rPr>
      </w:pPr>
      <w:r>
        <w:rPr>
          <w:rFonts w:hint="eastAsia" w:ascii="宋体" w:hAnsi="宋体" w:eastAsia="宋体" w:cs="宋体"/>
          <w:highlight w:val="none"/>
        </w:rPr>
        <w:t>一、投标函及投标函附录</w:t>
      </w:r>
    </w:p>
    <w:p w14:paraId="603785D1">
      <w:pPr>
        <w:pStyle w:val="10"/>
        <w:spacing w:before="132" w:line="343" w:lineRule="auto"/>
        <w:ind w:left="1963" w:right="3362"/>
        <w:rPr>
          <w:rFonts w:hint="eastAsia" w:ascii="宋体" w:hAnsi="宋体" w:eastAsia="宋体" w:cs="宋体"/>
          <w:highlight w:val="none"/>
        </w:rPr>
      </w:pPr>
      <w:r>
        <w:rPr>
          <w:rFonts w:hint="eastAsia" w:ascii="宋体" w:hAnsi="宋体" w:eastAsia="宋体" w:cs="宋体"/>
          <w:highlight w:val="none"/>
        </w:rPr>
        <w:t>二、授权委托书或法定代表人身份证明三、投标保证金</w:t>
      </w:r>
    </w:p>
    <w:p w14:paraId="1A8EA94B">
      <w:pPr>
        <w:pStyle w:val="10"/>
        <w:spacing w:before="1" w:line="343" w:lineRule="auto"/>
        <w:ind w:left="1963" w:right="5522"/>
        <w:rPr>
          <w:rFonts w:hint="eastAsia" w:ascii="宋体" w:hAnsi="宋体" w:eastAsia="宋体" w:cs="宋体"/>
          <w:highlight w:val="none"/>
        </w:rPr>
      </w:pPr>
      <w:r>
        <w:rPr>
          <w:rFonts w:hint="eastAsia" w:ascii="宋体" w:hAnsi="宋体" w:eastAsia="宋体" w:cs="宋体"/>
          <w:spacing w:val="-3"/>
          <w:highlight w:val="none"/>
        </w:rPr>
        <w:t>四、施工组织设计五、项目管理机构</w:t>
      </w:r>
    </w:p>
    <w:p w14:paraId="637479D8">
      <w:pPr>
        <w:pStyle w:val="10"/>
        <w:spacing w:line="345" w:lineRule="auto"/>
        <w:ind w:left="1963" w:right="5042"/>
        <w:rPr>
          <w:rFonts w:hint="eastAsia" w:ascii="宋体" w:hAnsi="宋体" w:eastAsia="宋体" w:cs="宋体"/>
          <w:highlight w:val="none"/>
        </w:rPr>
      </w:pPr>
      <w:r>
        <w:rPr>
          <w:rFonts w:hint="eastAsia" w:ascii="宋体" w:hAnsi="宋体" w:eastAsia="宋体" w:cs="宋体"/>
          <w:spacing w:val="-2"/>
          <w:highlight w:val="none"/>
        </w:rPr>
        <w:t>六、拟分包项目情况表</w:t>
      </w:r>
      <w:r>
        <w:rPr>
          <w:rFonts w:hint="eastAsia" w:ascii="宋体" w:hAnsi="宋体" w:eastAsia="宋体" w:cs="宋体"/>
          <w:highlight w:val="none"/>
        </w:rPr>
        <w:t>七、资格审查资料</w:t>
      </w:r>
    </w:p>
    <w:p w14:paraId="6BB4F0B8">
      <w:pPr>
        <w:pStyle w:val="10"/>
        <w:spacing w:line="303" w:lineRule="exact"/>
        <w:ind w:left="1963"/>
        <w:rPr>
          <w:rFonts w:hint="eastAsia" w:ascii="宋体" w:hAnsi="宋体" w:eastAsia="宋体" w:cs="宋体"/>
          <w:highlight w:val="none"/>
        </w:rPr>
      </w:pPr>
      <w:r>
        <w:rPr>
          <w:rFonts w:hint="eastAsia" w:ascii="宋体" w:hAnsi="宋体" w:eastAsia="宋体" w:cs="宋体"/>
          <w:highlight w:val="none"/>
        </w:rPr>
        <w:t>八、其他资料</w:t>
      </w:r>
    </w:p>
    <w:p w14:paraId="33EDBB16">
      <w:pPr>
        <w:spacing w:line="303" w:lineRule="exact"/>
        <w:rPr>
          <w:rFonts w:hint="eastAsia" w:ascii="宋体" w:hAnsi="宋体" w:eastAsia="宋体" w:cs="宋体"/>
          <w:highlight w:val="none"/>
        </w:rPr>
        <w:sectPr>
          <w:pgSz w:w="11910" w:h="16840"/>
          <w:pgMar w:top="1440" w:right="1080" w:bottom="1040" w:left="1420" w:header="882" w:footer="847" w:gutter="0"/>
          <w:cols w:space="720" w:num="1"/>
        </w:sectPr>
      </w:pPr>
    </w:p>
    <w:p w14:paraId="58D116CB">
      <w:pPr>
        <w:spacing w:before="130"/>
        <w:ind w:left="86" w:right="369"/>
        <w:jc w:val="center"/>
        <w:rPr>
          <w:rFonts w:hint="eastAsia" w:ascii="宋体" w:hAnsi="宋体" w:eastAsia="宋体" w:cs="宋体"/>
          <w:sz w:val="32"/>
          <w:highlight w:val="none"/>
        </w:rPr>
      </w:pPr>
      <w:r>
        <w:rPr>
          <w:rFonts w:hint="eastAsia" w:ascii="宋体" w:hAnsi="宋体" w:eastAsia="宋体" w:cs="宋体"/>
          <w:sz w:val="32"/>
          <w:highlight w:val="none"/>
        </w:rPr>
        <w:t>一、投标函及投标函附录</w:t>
      </w:r>
    </w:p>
    <w:p w14:paraId="7F8B8C04">
      <w:pPr>
        <w:pStyle w:val="10"/>
        <w:spacing w:before="3"/>
        <w:rPr>
          <w:rFonts w:hint="eastAsia" w:ascii="宋体" w:hAnsi="宋体" w:eastAsia="宋体" w:cs="宋体"/>
          <w:sz w:val="29"/>
          <w:highlight w:val="none"/>
        </w:rPr>
      </w:pPr>
    </w:p>
    <w:p w14:paraId="1EF3D327">
      <w:pPr>
        <w:ind w:left="86" w:right="138"/>
        <w:jc w:val="center"/>
        <w:rPr>
          <w:rFonts w:hint="eastAsia" w:ascii="宋体" w:hAnsi="宋体" w:eastAsia="宋体" w:cs="宋体"/>
          <w:sz w:val="28"/>
          <w:highlight w:val="none"/>
        </w:rPr>
      </w:pPr>
      <w:bookmarkStart w:id="92" w:name="_TOC_250015"/>
      <w:bookmarkEnd w:id="92"/>
      <w:r>
        <w:rPr>
          <w:rFonts w:hint="eastAsia" w:ascii="宋体" w:hAnsi="宋体" w:eastAsia="宋体" w:cs="宋体"/>
          <w:sz w:val="28"/>
          <w:highlight w:val="none"/>
        </w:rPr>
        <w:t>（一）投标函</w:t>
      </w:r>
    </w:p>
    <w:p w14:paraId="14F0790A">
      <w:pPr>
        <w:pStyle w:val="10"/>
        <w:spacing w:before="7"/>
        <w:rPr>
          <w:rFonts w:hint="eastAsia" w:ascii="宋体" w:hAnsi="宋体" w:eastAsia="宋体" w:cs="宋体"/>
          <w:sz w:val="16"/>
          <w:highlight w:val="none"/>
        </w:rPr>
      </w:pPr>
    </w:p>
    <w:p w14:paraId="707E5981">
      <w:pPr>
        <w:pStyle w:val="10"/>
        <w:tabs>
          <w:tab w:val="left" w:pos="330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0CFA6885">
      <w:pPr>
        <w:pStyle w:val="26"/>
        <w:numPr>
          <w:ilvl w:val="0"/>
          <w:numId w:val="60"/>
        </w:numPr>
        <w:tabs>
          <w:tab w:val="left" w:pos="1065"/>
          <w:tab w:val="left" w:pos="4903"/>
          <w:tab w:val="left" w:pos="7423"/>
        </w:tabs>
        <w:spacing w:before="172" w:line="280" w:lineRule="auto"/>
        <w:ind w:right="542" w:firstLine="480"/>
        <w:jc w:val="both"/>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w:t>
      </w:r>
      <w:r>
        <w:rPr>
          <w:rFonts w:hint="eastAsia" w:ascii="宋体" w:hAnsi="宋体" w:eastAsia="宋体" w:cs="宋体"/>
          <w:spacing w:val="-18"/>
          <w:sz w:val="24"/>
          <w:highlight w:val="none"/>
        </w:rPr>
        <w:t>标竞争性磋商</w:t>
      </w:r>
      <w:r>
        <w:rPr>
          <w:rFonts w:hint="eastAsia" w:ascii="宋体" w:hAnsi="宋体" w:eastAsia="宋体" w:cs="宋体"/>
          <w:sz w:val="24"/>
          <w:highlight w:val="none"/>
        </w:rPr>
        <w:t>文件的全部内容（含补遗书），在考察工程现场后，愿意以报价文件中的投标总报价，按合同约定实施和完成承包工程，修补工</w:t>
      </w:r>
      <w:r>
        <w:rPr>
          <w:rFonts w:hint="eastAsia" w:ascii="宋体" w:hAnsi="宋体" w:eastAsia="宋体" w:cs="宋体"/>
          <w:spacing w:val="-19"/>
          <w:sz w:val="24"/>
          <w:highlight w:val="none"/>
        </w:rPr>
        <w:t>程</w:t>
      </w:r>
      <w:r>
        <w:rPr>
          <w:rFonts w:hint="eastAsia" w:ascii="宋体" w:hAnsi="宋体" w:eastAsia="宋体" w:cs="宋体"/>
          <w:sz w:val="24"/>
          <w:highlight w:val="none"/>
        </w:rPr>
        <w:t>中的任何缺陷。</w:t>
      </w:r>
    </w:p>
    <w:p w14:paraId="7F862EE2">
      <w:pPr>
        <w:pStyle w:val="26"/>
        <w:numPr>
          <w:ilvl w:val="0"/>
          <w:numId w:val="60"/>
        </w:numPr>
        <w:tabs>
          <w:tab w:val="left" w:pos="1065"/>
        </w:tabs>
        <w:spacing w:before="1"/>
        <w:ind w:left="1065"/>
        <w:rPr>
          <w:rFonts w:hint="eastAsia" w:ascii="宋体" w:hAnsi="宋体" w:eastAsia="宋体" w:cs="宋体"/>
          <w:sz w:val="24"/>
          <w:highlight w:val="none"/>
        </w:rPr>
      </w:pPr>
      <w:r>
        <w:rPr>
          <w:rFonts w:hint="eastAsia" w:ascii="宋体" w:hAnsi="宋体" w:eastAsia="宋体" w:cs="宋体"/>
          <w:sz w:val="24"/>
          <w:highlight w:val="none"/>
        </w:rPr>
        <w:t>我方承诺在磋商文件规定的投标有效期内不撤销响应文件。</w:t>
      </w:r>
    </w:p>
    <w:p w14:paraId="32E4F0C4">
      <w:pPr>
        <w:pStyle w:val="26"/>
        <w:numPr>
          <w:ilvl w:val="0"/>
          <w:numId w:val="60"/>
        </w:numPr>
        <w:tabs>
          <w:tab w:val="left" w:pos="1065"/>
          <w:tab w:val="left" w:pos="3583"/>
          <w:tab w:val="left" w:pos="6343"/>
          <w:tab w:val="left" w:pos="7783"/>
        </w:tabs>
        <w:spacing w:before="53"/>
        <w:ind w:left="1065"/>
        <w:rPr>
          <w:rFonts w:hint="eastAsia" w:ascii="宋体" w:hAnsi="宋体" w:eastAsia="宋体" w:cs="宋体"/>
          <w:sz w:val="24"/>
          <w:highlight w:val="none"/>
        </w:rPr>
      </w:pPr>
      <w:r>
        <w:rPr>
          <w:rFonts w:hint="eastAsia" w:ascii="宋体" w:hAnsi="宋体" w:eastAsia="宋体" w:cs="宋体"/>
          <w:sz w:val="24"/>
          <w:highlight w:val="none"/>
        </w:rPr>
        <w:t>工程质量：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2F0E68D3">
      <w:pPr>
        <w:pStyle w:val="26"/>
        <w:numPr>
          <w:ilvl w:val="0"/>
          <w:numId w:val="60"/>
        </w:numPr>
        <w:tabs>
          <w:tab w:val="left" w:pos="1065"/>
        </w:tabs>
        <w:spacing w:before="52"/>
        <w:ind w:left="1065"/>
        <w:rPr>
          <w:rFonts w:hint="eastAsia" w:ascii="宋体" w:hAnsi="宋体" w:eastAsia="宋体" w:cs="宋体"/>
          <w:sz w:val="24"/>
          <w:highlight w:val="none"/>
        </w:rPr>
      </w:pPr>
      <w:r>
        <w:rPr>
          <w:rFonts w:hint="eastAsia" w:ascii="宋体" w:hAnsi="宋体" w:eastAsia="宋体" w:cs="宋体"/>
          <w:sz w:val="24"/>
          <w:highlight w:val="none"/>
        </w:rPr>
        <w:t>如我方中标，我方承诺：</w:t>
      </w:r>
    </w:p>
    <w:p w14:paraId="1F2A2402">
      <w:pPr>
        <w:pStyle w:val="26"/>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在收到中标通知书后，在中标通知书规定的期限内与你方签订合同；</w:t>
      </w:r>
    </w:p>
    <w:p w14:paraId="62180C49">
      <w:pPr>
        <w:pStyle w:val="26"/>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在签订合同时不向你方提出附加条件；</w:t>
      </w:r>
    </w:p>
    <w:p w14:paraId="17D1A8ED">
      <w:pPr>
        <w:pStyle w:val="26"/>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lang w:val="en-US"/>
        </w:rPr>
        <w:t>磋商</w:t>
      </w:r>
      <w:r>
        <w:rPr>
          <w:rFonts w:hint="eastAsia" w:ascii="宋体" w:hAnsi="宋体" w:eastAsia="宋体" w:cs="宋体"/>
          <w:sz w:val="24"/>
          <w:highlight w:val="none"/>
        </w:rPr>
        <w:t>文件要求提交履约保证金</w:t>
      </w:r>
      <w:r>
        <w:rPr>
          <w:rFonts w:hint="eastAsia" w:ascii="宋体" w:hAnsi="宋体" w:eastAsia="宋体" w:cs="宋体"/>
          <w:sz w:val="24"/>
          <w:highlight w:val="none"/>
          <w:lang w:val="en-US"/>
        </w:rPr>
        <w:t>和农民工工资保证金</w:t>
      </w:r>
      <w:r>
        <w:rPr>
          <w:rFonts w:hint="eastAsia" w:ascii="宋体" w:hAnsi="宋体" w:eastAsia="宋体" w:cs="宋体"/>
          <w:sz w:val="24"/>
          <w:highlight w:val="none"/>
        </w:rPr>
        <w:t>；</w:t>
      </w:r>
    </w:p>
    <w:p w14:paraId="5A14E2DD">
      <w:pPr>
        <w:pStyle w:val="26"/>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在合同约定的期限内完成合同规定的全部义务；</w:t>
      </w:r>
    </w:p>
    <w:p w14:paraId="396E9366">
      <w:pPr>
        <w:pStyle w:val="26"/>
        <w:numPr>
          <w:ilvl w:val="0"/>
          <w:numId w:val="61"/>
        </w:numPr>
        <w:tabs>
          <w:tab w:val="left" w:pos="1305"/>
        </w:tabs>
        <w:spacing w:before="53" w:line="280" w:lineRule="auto"/>
        <w:ind w:left="224" w:right="50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在你方和我方进行合同谈判之前，我方将按照合同附件提出的最低要求</w:t>
      </w:r>
      <w:r>
        <w:rPr>
          <w:rFonts w:hint="eastAsia" w:ascii="宋体" w:hAnsi="宋体" w:eastAsia="宋体" w:cs="宋体"/>
          <w:spacing w:val="-5"/>
          <w:sz w:val="24"/>
          <w:highlight w:val="none"/>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0DB8E7EE">
      <w:pPr>
        <w:pStyle w:val="26"/>
        <w:numPr>
          <w:ilvl w:val="0"/>
          <w:numId w:val="60"/>
        </w:numPr>
        <w:tabs>
          <w:tab w:val="left" w:pos="1065"/>
        </w:tabs>
        <w:spacing w:before="1" w:line="280" w:lineRule="auto"/>
        <w:ind w:right="506"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我方在此声明，所递交的响应文件及有关资料内容完整、真实和准确</w:t>
      </w:r>
      <w:r>
        <w:rPr>
          <w:rFonts w:hint="eastAsia" w:ascii="宋体" w:hAnsi="宋体" w:eastAsia="宋体" w:cs="宋体"/>
          <w:sz w:val="24"/>
          <w:highlight w:val="none"/>
        </w:rPr>
        <w:t>。</w:t>
      </w:r>
    </w:p>
    <w:p w14:paraId="5BF7EAD6">
      <w:pPr>
        <w:pStyle w:val="26"/>
        <w:numPr>
          <w:ilvl w:val="0"/>
          <w:numId w:val="60"/>
        </w:numPr>
        <w:tabs>
          <w:tab w:val="left" w:pos="1065"/>
        </w:tabs>
        <w:spacing w:line="280" w:lineRule="auto"/>
        <w:ind w:right="506"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w:t>
      </w:r>
      <w:r>
        <w:rPr>
          <w:rFonts w:hint="eastAsia" w:ascii="宋体" w:hAnsi="宋体" w:eastAsia="宋体" w:cs="宋体"/>
          <w:spacing w:val="-5"/>
          <w:sz w:val="24"/>
          <w:highlight w:val="none"/>
        </w:rPr>
        <w:t>我们双方之间共同遵守的文件，对双方具有约束力。</w:t>
      </w:r>
    </w:p>
    <w:p w14:paraId="0613F8E7">
      <w:pPr>
        <w:pStyle w:val="26"/>
        <w:numPr>
          <w:ilvl w:val="0"/>
          <w:numId w:val="60"/>
        </w:numPr>
        <w:tabs>
          <w:tab w:val="left" w:pos="1065"/>
          <w:tab w:val="left" w:pos="5743"/>
        </w:tabs>
        <w:spacing w:before="1"/>
        <w:ind w:left="1065"/>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4789ACFA">
      <w:pPr>
        <w:pStyle w:val="10"/>
        <w:spacing w:before="2"/>
        <w:rPr>
          <w:rFonts w:hint="eastAsia" w:ascii="宋体" w:hAnsi="宋体" w:eastAsia="宋体" w:cs="宋体"/>
          <w:sz w:val="32"/>
          <w:highlight w:val="none"/>
        </w:rPr>
      </w:pPr>
    </w:p>
    <w:p w14:paraId="32738C5F">
      <w:pPr>
        <w:pStyle w:val="35"/>
        <w:spacing w:after="0" w:line="500" w:lineRule="exact"/>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5485C26">
      <w:pPr>
        <w:pStyle w:val="35"/>
        <w:spacing w:after="0" w:line="500" w:lineRule="exac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p>
    <w:p w14:paraId="6A11E658">
      <w:pPr>
        <w:pStyle w:val="35"/>
        <w:spacing w:after="0" w:line="500" w:lineRule="exact"/>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0F99148B">
      <w:pPr>
        <w:pStyle w:val="35"/>
        <w:spacing w:after="0" w:line="500" w:lineRule="exact"/>
        <w:rPr>
          <w:rFonts w:hint="eastAsia" w:ascii="宋体" w:hAnsi="宋体" w:eastAsia="宋体" w:cs="宋体"/>
          <w:highlight w:val="none"/>
          <w:u w:val="single"/>
        </w:rPr>
      </w:pPr>
      <w:r>
        <w:rPr>
          <w:rFonts w:hint="eastAsia" w:ascii="宋体" w:hAnsi="宋体" w:eastAsia="宋体" w:cs="宋体"/>
          <w:highlight w:val="none"/>
        </w:rPr>
        <w:t>网址：</w:t>
      </w:r>
      <w:r>
        <w:rPr>
          <w:rFonts w:hint="eastAsia" w:ascii="宋体" w:hAnsi="宋体" w:eastAsia="宋体" w:cs="宋体"/>
          <w:highlight w:val="none"/>
          <w:u w:val="single"/>
        </w:rPr>
        <w:t xml:space="preserve">                                                </w:t>
      </w:r>
    </w:p>
    <w:p w14:paraId="73731ECD">
      <w:pPr>
        <w:pStyle w:val="35"/>
        <w:spacing w:after="0" w:line="500" w:lineRule="exact"/>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168D0E0A">
      <w:pPr>
        <w:pStyle w:val="35"/>
        <w:spacing w:after="0" w:line="500" w:lineRule="exact"/>
        <w:rPr>
          <w:rFonts w:hint="eastAsia" w:ascii="宋体" w:hAnsi="宋体" w:eastAsia="宋体" w:cs="宋体"/>
          <w:highlight w:val="none"/>
          <w:u w:val="single"/>
        </w:rPr>
      </w:pPr>
      <w:r>
        <w:rPr>
          <w:rFonts w:hint="eastAsia" w:ascii="宋体" w:hAnsi="宋体" w:eastAsia="宋体" w:cs="宋体"/>
          <w:highlight w:val="none"/>
        </w:rPr>
        <w:t>传真：</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7A3C7188">
      <w:pPr>
        <w:pStyle w:val="35"/>
        <w:spacing w:after="0" w:line="500" w:lineRule="exact"/>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41FF7EA3">
      <w:pPr>
        <w:pStyle w:val="36"/>
        <w:spacing w:line="500" w:lineRule="exact"/>
        <w:ind w:firstLine="6120" w:firstLineChars="2550"/>
        <w:rPr>
          <w:rFonts w:hint="eastAsia" w:ascii="宋体" w:hAnsi="宋体" w:eastAsia="宋体" w:cs="宋体"/>
          <w:highlight w:val="none"/>
        </w:rPr>
      </w:pPr>
      <w:r>
        <w:rPr>
          <w:rFonts w:hint="eastAsia" w:ascii="宋体" w:hAnsi="宋体" w:eastAsia="宋体" w:cs="宋体"/>
          <w:highlight w:val="none"/>
        </w:rPr>
        <w:t>年      月       日</w:t>
      </w:r>
    </w:p>
    <w:p w14:paraId="33B578A0">
      <w:pPr>
        <w:pStyle w:val="10"/>
        <w:rPr>
          <w:rFonts w:hint="eastAsia" w:ascii="宋体" w:hAnsi="宋体" w:eastAsia="宋体" w:cs="宋体"/>
          <w:sz w:val="20"/>
          <w:highlight w:val="none"/>
        </w:rPr>
      </w:pPr>
    </w:p>
    <w:p w14:paraId="6CE133D8">
      <w:pPr>
        <w:pStyle w:val="10"/>
        <w:rPr>
          <w:rFonts w:hint="eastAsia" w:ascii="宋体" w:hAnsi="宋体" w:eastAsia="宋体" w:cs="宋体"/>
          <w:sz w:val="20"/>
          <w:highlight w:val="none"/>
        </w:rPr>
      </w:pPr>
    </w:p>
    <w:p w14:paraId="257900B3">
      <w:pPr>
        <w:pStyle w:val="10"/>
        <w:rPr>
          <w:rFonts w:hint="eastAsia" w:ascii="宋体" w:hAnsi="宋体" w:eastAsia="宋体" w:cs="宋体"/>
          <w:sz w:val="20"/>
          <w:highlight w:val="none"/>
        </w:rPr>
      </w:pPr>
    </w:p>
    <w:p w14:paraId="2312E6D5">
      <w:pPr>
        <w:pStyle w:val="10"/>
        <w:spacing w:before="3"/>
        <w:rPr>
          <w:rFonts w:hint="eastAsia" w:ascii="宋体" w:hAnsi="宋体" w:eastAsia="宋体" w:cs="宋体"/>
          <w:sz w:val="18"/>
          <w:highlight w:val="none"/>
        </w:rPr>
      </w:pPr>
    </w:p>
    <w:p w14:paraId="04ED780E">
      <w:pPr>
        <w:pStyle w:val="10"/>
        <w:spacing w:before="8"/>
        <w:rPr>
          <w:rFonts w:hint="eastAsia" w:ascii="宋体" w:hAnsi="宋体" w:eastAsia="宋体" w:cs="宋体"/>
          <w:sz w:val="5"/>
          <w:highlight w:val="none"/>
        </w:rPr>
      </w:pPr>
    </w:p>
    <w:p w14:paraId="38838071">
      <w:pPr>
        <w:spacing w:before="161"/>
        <w:ind w:left="2" w:right="50"/>
        <w:jc w:val="center"/>
        <w:rPr>
          <w:rFonts w:hint="eastAsia" w:ascii="宋体" w:hAnsi="宋体" w:eastAsia="宋体" w:cs="宋体"/>
          <w:sz w:val="28"/>
          <w:highlight w:val="none"/>
        </w:rPr>
      </w:pPr>
      <w:bookmarkStart w:id="93" w:name="_TOC_250014"/>
      <w:bookmarkEnd w:id="93"/>
    </w:p>
    <w:p w14:paraId="4100C72C">
      <w:pPr>
        <w:spacing w:before="161"/>
        <w:ind w:left="2" w:right="50"/>
        <w:jc w:val="center"/>
        <w:rPr>
          <w:rFonts w:hint="eastAsia" w:ascii="宋体" w:hAnsi="宋体" w:eastAsia="宋体" w:cs="宋体"/>
          <w:sz w:val="28"/>
          <w:highlight w:val="none"/>
        </w:rPr>
      </w:pPr>
      <w:r>
        <w:rPr>
          <w:rFonts w:hint="eastAsia" w:ascii="宋体" w:hAnsi="宋体" w:eastAsia="宋体" w:cs="宋体"/>
          <w:sz w:val="28"/>
          <w:highlight w:val="none"/>
        </w:rPr>
        <w:t>（二）投标函附录</w:t>
      </w:r>
    </w:p>
    <w:p w14:paraId="693C2FEF">
      <w:pPr>
        <w:pStyle w:val="10"/>
        <w:rPr>
          <w:rFonts w:hint="eastAsia" w:ascii="宋体" w:hAnsi="宋体" w:eastAsia="宋体" w:cs="宋体"/>
          <w:sz w:val="20"/>
          <w:highlight w:val="none"/>
        </w:rPr>
      </w:pPr>
    </w:p>
    <w:p w14:paraId="7E320AB1">
      <w:pPr>
        <w:pStyle w:val="10"/>
        <w:spacing w:before="1"/>
        <w:rPr>
          <w:rFonts w:hint="eastAsia" w:ascii="宋体" w:hAnsi="宋体" w:eastAsia="宋体" w:cs="宋体"/>
          <w:sz w:val="29"/>
          <w:highlight w:val="none"/>
        </w:rPr>
      </w:pPr>
    </w:p>
    <w:tbl>
      <w:tblPr>
        <w:tblStyle w:val="23"/>
        <w:tblW w:w="90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1276"/>
        <w:gridCol w:w="3118"/>
        <w:gridCol w:w="993"/>
      </w:tblGrid>
      <w:tr w14:paraId="29F9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E80B922">
            <w:pPr>
              <w:pStyle w:val="27"/>
              <w:spacing w:before="128"/>
              <w:ind w:left="187" w:right="179"/>
              <w:jc w:val="center"/>
              <w:rPr>
                <w:rFonts w:hint="eastAsia" w:ascii="宋体" w:hAnsi="宋体" w:eastAsia="宋体" w:cs="宋体"/>
                <w:sz w:val="20"/>
                <w:highlight w:val="none"/>
              </w:rPr>
            </w:pPr>
            <w:r>
              <w:rPr>
                <w:rFonts w:hint="eastAsia" w:ascii="宋体" w:hAnsi="宋体" w:eastAsia="宋体" w:cs="宋体"/>
                <w:sz w:val="20"/>
                <w:highlight w:val="none"/>
              </w:rPr>
              <w:t>序号</w:t>
            </w:r>
          </w:p>
        </w:tc>
        <w:tc>
          <w:tcPr>
            <w:tcW w:w="2835" w:type="dxa"/>
          </w:tcPr>
          <w:p w14:paraId="4E843C6D">
            <w:pPr>
              <w:pStyle w:val="27"/>
              <w:spacing w:before="128"/>
              <w:ind w:left="995" w:right="989"/>
              <w:jc w:val="center"/>
              <w:rPr>
                <w:rFonts w:hint="eastAsia" w:ascii="宋体" w:hAnsi="宋体" w:eastAsia="宋体" w:cs="宋体"/>
                <w:sz w:val="20"/>
                <w:highlight w:val="none"/>
              </w:rPr>
            </w:pPr>
            <w:r>
              <w:rPr>
                <w:rFonts w:hint="eastAsia" w:ascii="宋体" w:hAnsi="宋体" w:eastAsia="宋体" w:cs="宋体"/>
                <w:sz w:val="20"/>
                <w:highlight w:val="none"/>
              </w:rPr>
              <w:t>条款名称</w:t>
            </w:r>
          </w:p>
        </w:tc>
        <w:tc>
          <w:tcPr>
            <w:tcW w:w="1276" w:type="dxa"/>
          </w:tcPr>
          <w:p w14:paraId="3F94A17E">
            <w:pPr>
              <w:pStyle w:val="27"/>
              <w:spacing w:before="128"/>
              <w:ind w:left="116" w:right="110"/>
              <w:jc w:val="center"/>
              <w:rPr>
                <w:rFonts w:hint="eastAsia" w:ascii="宋体" w:hAnsi="宋体" w:eastAsia="宋体" w:cs="宋体"/>
                <w:sz w:val="20"/>
                <w:highlight w:val="none"/>
              </w:rPr>
            </w:pPr>
            <w:r>
              <w:rPr>
                <w:rFonts w:hint="eastAsia" w:ascii="宋体" w:hAnsi="宋体" w:eastAsia="宋体" w:cs="宋体"/>
                <w:sz w:val="20"/>
                <w:highlight w:val="none"/>
              </w:rPr>
              <w:t>合同条目号</w:t>
            </w:r>
          </w:p>
        </w:tc>
        <w:tc>
          <w:tcPr>
            <w:tcW w:w="3118" w:type="dxa"/>
          </w:tcPr>
          <w:p w14:paraId="24FBD480">
            <w:pPr>
              <w:pStyle w:val="27"/>
              <w:spacing w:before="128"/>
              <w:ind w:right="1148"/>
              <w:jc w:val="right"/>
              <w:rPr>
                <w:rFonts w:hint="eastAsia" w:ascii="宋体" w:hAnsi="宋体" w:eastAsia="宋体" w:cs="宋体"/>
                <w:sz w:val="20"/>
                <w:highlight w:val="none"/>
              </w:rPr>
            </w:pPr>
            <w:r>
              <w:rPr>
                <w:rFonts w:hint="eastAsia" w:ascii="宋体" w:hAnsi="宋体" w:eastAsia="宋体" w:cs="宋体"/>
                <w:w w:val="95"/>
                <w:sz w:val="20"/>
                <w:highlight w:val="none"/>
              </w:rPr>
              <w:t>约定内容</w:t>
            </w:r>
          </w:p>
        </w:tc>
        <w:tc>
          <w:tcPr>
            <w:tcW w:w="993" w:type="dxa"/>
          </w:tcPr>
          <w:p w14:paraId="3A34364D">
            <w:pPr>
              <w:pStyle w:val="27"/>
              <w:spacing w:before="128"/>
              <w:ind w:left="296"/>
              <w:rPr>
                <w:rFonts w:hint="eastAsia" w:ascii="宋体" w:hAnsi="宋体" w:eastAsia="宋体" w:cs="宋体"/>
                <w:sz w:val="20"/>
                <w:highlight w:val="none"/>
              </w:rPr>
            </w:pPr>
            <w:r>
              <w:rPr>
                <w:rFonts w:hint="eastAsia" w:ascii="宋体" w:hAnsi="宋体" w:eastAsia="宋体" w:cs="宋体"/>
                <w:sz w:val="20"/>
                <w:highlight w:val="none"/>
              </w:rPr>
              <w:t>备注</w:t>
            </w:r>
          </w:p>
        </w:tc>
      </w:tr>
      <w:tr w14:paraId="3B1F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8993C4B">
            <w:pPr>
              <w:pStyle w:val="27"/>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1</w:t>
            </w:r>
          </w:p>
        </w:tc>
        <w:tc>
          <w:tcPr>
            <w:tcW w:w="2835" w:type="dxa"/>
          </w:tcPr>
          <w:p w14:paraId="1098C3F8">
            <w:pPr>
              <w:pStyle w:val="27"/>
              <w:spacing w:before="127"/>
              <w:ind w:left="10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276" w:type="dxa"/>
          </w:tcPr>
          <w:p w14:paraId="75A0DA94">
            <w:pPr>
              <w:pStyle w:val="27"/>
              <w:spacing w:before="141"/>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21.1</w:t>
            </w:r>
          </w:p>
        </w:tc>
        <w:tc>
          <w:tcPr>
            <w:tcW w:w="3118" w:type="dxa"/>
          </w:tcPr>
          <w:p w14:paraId="7482F065">
            <w:pPr>
              <w:pStyle w:val="27"/>
              <w:spacing w:before="75" w:line="130" w:lineRule="exact"/>
              <w:ind w:right="258"/>
              <w:jc w:val="right"/>
              <w:rPr>
                <w:rFonts w:hint="eastAsia" w:ascii="宋体" w:hAnsi="宋体" w:eastAsia="宋体" w:cs="宋体"/>
                <w:sz w:val="14"/>
                <w:highlight w:val="none"/>
              </w:rPr>
            </w:pPr>
          </w:p>
          <w:p w14:paraId="1549269A">
            <w:pPr>
              <w:pStyle w:val="27"/>
              <w:tabs>
                <w:tab w:val="left" w:pos="25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1208C7EC">
            <w:pPr>
              <w:pStyle w:val="27"/>
              <w:rPr>
                <w:rFonts w:hint="eastAsia" w:ascii="宋体" w:hAnsi="宋体" w:eastAsia="宋体" w:cs="宋体"/>
                <w:sz w:val="18"/>
                <w:highlight w:val="none"/>
              </w:rPr>
            </w:pPr>
          </w:p>
        </w:tc>
      </w:tr>
      <w:tr w14:paraId="1494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17" w:type="dxa"/>
          </w:tcPr>
          <w:p w14:paraId="7E2E8A76">
            <w:pPr>
              <w:pStyle w:val="27"/>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2</w:t>
            </w:r>
          </w:p>
        </w:tc>
        <w:tc>
          <w:tcPr>
            <w:tcW w:w="2835" w:type="dxa"/>
          </w:tcPr>
          <w:p w14:paraId="6335353F">
            <w:pPr>
              <w:pStyle w:val="27"/>
              <w:spacing w:before="129"/>
              <w:ind w:left="106"/>
              <w:rPr>
                <w:rFonts w:hint="eastAsia" w:ascii="宋体" w:hAnsi="宋体" w:eastAsia="宋体" w:cs="宋体"/>
                <w:sz w:val="20"/>
                <w:highlight w:val="none"/>
              </w:rPr>
            </w:pPr>
            <w:r>
              <w:rPr>
                <w:rFonts w:hint="eastAsia" w:ascii="宋体" w:hAnsi="宋体" w:eastAsia="宋体" w:cs="宋体"/>
                <w:sz w:val="20"/>
                <w:highlight w:val="none"/>
              </w:rPr>
              <w:t>逾期交工违约金</w:t>
            </w:r>
          </w:p>
        </w:tc>
        <w:tc>
          <w:tcPr>
            <w:tcW w:w="1276" w:type="dxa"/>
          </w:tcPr>
          <w:p w14:paraId="4849BC19">
            <w:pPr>
              <w:pStyle w:val="27"/>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7D650917">
            <w:pPr>
              <w:pStyle w:val="27"/>
              <w:tabs>
                <w:tab w:val="left" w:pos="400"/>
              </w:tabs>
              <w:spacing w:before="129"/>
              <w:ind w:right="1177"/>
              <w:jc w:val="right"/>
              <w:rPr>
                <w:rFonts w:hint="eastAsia" w:ascii="宋体" w:hAnsi="宋体" w:eastAsia="宋体" w:cs="宋体"/>
                <w:sz w:val="20"/>
                <w:highlight w:val="none"/>
              </w:rPr>
            </w:pPr>
            <w:r>
              <w:rPr>
                <w:rFonts w:hint="eastAsia" w:ascii="宋体" w:hAnsi="宋体" w:eastAsia="宋体" w:cs="宋体"/>
                <w:sz w:val="20"/>
                <w:highlight w:val="none"/>
                <w:lang w:val="en-US"/>
              </w:rPr>
              <w:t>0.3</w:t>
            </w:r>
            <w:r>
              <w:rPr>
                <w:rFonts w:hint="eastAsia" w:ascii="宋体" w:hAnsi="宋体" w:eastAsia="宋体" w:cs="宋体"/>
                <w:sz w:val="20"/>
                <w:highlight w:val="none"/>
              </w:rPr>
              <w:t>%签约合同价/天</w:t>
            </w:r>
          </w:p>
        </w:tc>
        <w:tc>
          <w:tcPr>
            <w:tcW w:w="993" w:type="dxa"/>
          </w:tcPr>
          <w:p w14:paraId="35BC3C10">
            <w:pPr>
              <w:pStyle w:val="27"/>
              <w:rPr>
                <w:rFonts w:hint="eastAsia" w:ascii="宋体" w:hAnsi="宋体" w:eastAsia="宋体" w:cs="宋体"/>
                <w:sz w:val="18"/>
                <w:highlight w:val="none"/>
              </w:rPr>
            </w:pPr>
          </w:p>
        </w:tc>
      </w:tr>
      <w:tr w14:paraId="1A0E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01161AC5">
            <w:pPr>
              <w:pStyle w:val="27"/>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3</w:t>
            </w:r>
          </w:p>
        </w:tc>
        <w:tc>
          <w:tcPr>
            <w:tcW w:w="2835" w:type="dxa"/>
          </w:tcPr>
          <w:p w14:paraId="1CC42DB7">
            <w:pPr>
              <w:pStyle w:val="27"/>
              <w:spacing w:before="127"/>
              <w:ind w:left="106"/>
              <w:rPr>
                <w:rFonts w:hint="eastAsia" w:ascii="宋体" w:hAnsi="宋体" w:eastAsia="宋体" w:cs="宋体"/>
                <w:sz w:val="20"/>
                <w:highlight w:val="none"/>
              </w:rPr>
            </w:pPr>
            <w:r>
              <w:rPr>
                <w:rFonts w:hint="eastAsia" w:ascii="宋体" w:hAnsi="宋体" w:eastAsia="宋体" w:cs="宋体"/>
                <w:sz w:val="20"/>
                <w:highlight w:val="none"/>
              </w:rPr>
              <w:t>逾期交工违约金限额</w:t>
            </w:r>
          </w:p>
        </w:tc>
        <w:tc>
          <w:tcPr>
            <w:tcW w:w="1276" w:type="dxa"/>
          </w:tcPr>
          <w:p w14:paraId="307F1FD0">
            <w:pPr>
              <w:pStyle w:val="27"/>
              <w:spacing w:before="141"/>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30226227">
            <w:pPr>
              <w:pStyle w:val="27"/>
              <w:spacing w:before="75" w:line="130" w:lineRule="exact"/>
              <w:ind w:left="379"/>
              <w:jc w:val="center"/>
              <w:rPr>
                <w:rFonts w:hint="eastAsia" w:ascii="宋体" w:hAnsi="宋体" w:eastAsia="宋体" w:cs="宋体"/>
                <w:sz w:val="14"/>
                <w:highlight w:val="none"/>
              </w:rPr>
            </w:pPr>
          </w:p>
          <w:p w14:paraId="0C15BD22">
            <w:pPr>
              <w:pStyle w:val="27"/>
              <w:tabs>
                <w:tab w:val="left" w:pos="507"/>
              </w:tabs>
              <w:spacing w:line="207" w:lineRule="exact"/>
              <w:ind w:firstLine="200" w:firstLineChars="100"/>
              <w:rPr>
                <w:rFonts w:hint="eastAsia" w:ascii="宋体" w:hAnsi="宋体" w:eastAsia="宋体" w:cs="宋体"/>
                <w:sz w:val="20"/>
                <w:highlight w:val="none"/>
              </w:rPr>
            </w:pPr>
            <w:r>
              <w:rPr>
                <w:rFonts w:hint="eastAsia" w:ascii="宋体" w:hAnsi="宋体" w:eastAsia="宋体" w:cs="宋体"/>
                <w:sz w:val="20"/>
                <w:highlight w:val="none"/>
                <w:u w:val="single"/>
                <w:lang w:val="en-US"/>
              </w:rPr>
              <w:t>10</w:t>
            </w:r>
            <w:r>
              <w:rPr>
                <w:rFonts w:hint="eastAsia" w:ascii="宋体" w:hAnsi="宋体" w:eastAsia="宋体" w:cs="宋体"/>
                <w:sz w:val="20"/>
                <w:highlight w:val="none"/>
              </w:rPr>
              <w:t>%签约合同价</w:t>
            </w:r>
          </w:p>
        </w:tc>
        <w:tc>
          <w:tcPr>
            <w:tcW w:w="993" w:type="dxa"/>
          </w:tcPr>
          <w:p w14:paraId="00CC9726">
            <w:pPr>
              <w:pStyle w:val="27"/>
              <w:rPr>
                <w:rFonts w:hint="eastAsia" w:ascii="宋体" w:hAnsi="宋体" w:eastAsia="宋体" w:cs="宋体"/>
                <w:sz w:val="18"/>
                <w:highlight w:val="none"/>
              </w:rPr>
            </w:pPr>
          </w:p>
        </w:tc>
      </w:tr>
      <w:tr w14:paraId="2F68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373A6F20">
            <w:pPr>
              <w:pStyle w:val="27"/>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4</w:t>
            </w:r>
          </w:p>
        </w:tc>
        <w:tc>
          <w:tcPr>
            <w:tcW w:w="2835" w:type="dxa"/>
          </w:tcPr>
          <w:p w14:paraId="61D5D17A">
            <w:pPr>
              <w:pStyle w:val="27"/>
              <w:spacing w:before="129"/>
              <w:ind w:left="106"/>
              <w:rPr>
                <w:rFonts w:hint="eastAsia" w:ascii="宋体" w:hAnsi="宋体" w:eastAsia="宋体" w:cs="宋体"/>
                <w:sz w:val="20"/>
                <w:highlight w:val="none"/>
              </w:rPr>
            </w:pPr>
            <w:r>
              <w:rPr>
                <w:rFonts w:hint="eastAsia" w:ascii="宋体" w:hAnsi="宋体" w:eastAsia="宋体" w:cs="宋体"/>
                <w:sz w:val="20"/>
                <w:highlight w:val="none"/>
              </w:rPr>
              <w:t>开工预付款金额</w:t>
            </w:r>
          </w:p>
        </w:tc>
        <w:tc>
          <w:tcPr>
            <w:tcW w:w="1276" w:type="dxa"/>
          </w:tcPr>
          <w:p w14:paraId="020F75FF">
            <w:pPr>
              <w:pStyle w:val="27"/>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5.6</w:t>
            </w:r>
          </w:p>
        </w:tc>
        <w:tc>
          <w:tcPr>
            <w:tcW w:w="3118" w:type="dxa"/>
          </w:tcPr>
          <w:p w14:paraId="122F6EAD">
            <w:pPr>
              <w:pStyle w:val="27"/>
              <w:spacing w:before="73" w:line="132" w:lineRule="exact"/>
              <w:ind w:left="379"/>
              <w:jc w:val="center"/>
              <w:rPr>
                <w:rFonts w:hint="eastAsia" w:ascii="宋体" w:hAnsi="宋体" w:eastAsia="宋体" w:cs="宋体"/>
                <w:sz w:val="14"/>
                <w:highlight w:val="none"/>
              </w:rPr>
            </w:pPr>
          </w:p>
          <w:p w14:paraId="5967A07B">
            <w:pPr>
              <w:pStyle w:val="27"/>
              <w:tabs>
                <w:tab w:val="left" w:pos="507"/>
              </w:tabs>
              <w:spacing w:line="209" w:lineRule="exact"/>
              <w:ind w:firstLine="198" w:firstLineChars="100"/>
              <w:rPr>
                <w:rFonts w:hint="eastAsia" w:ascii="宋体" w:hAnsi="宋体" w:eastAsia="宋体" w:cs="宋体"/>
                <w:sz w:val="20"/>
                <w:highlight w:val="none"/>
              </w:rPr>
            </w:pPr>
            <w:r>
              <w:rPr>
                <w:rFonts w:hint="eastAsia" w:ascii="宋体" w:hAnsi="宋体" w:eastAsia="宋体" w:cs="宋体"/>
                <w:w w:val="99"/>
                <w:sz w:val="20"/>
                <w:highlight w:val="none"/>
                <w:u w:val="single"/>
              </w:rPr>
              <w:t xml:space="preserve"> </w:t>
            </w:r>
            <w:r>
              <w:rPr>
                <w:rFonts w:hint="eastAsia" w:ascii="宋体" w:hAnsi="宋体" w:eastAsia="宋体" w:cs="宋体"/>
                <w:w w:val="99"/>
                <w:sz w:val="20"/>
                <w:highlight w:val="none"/>
                <w:u w:val="single"/>
                <w:lang w:val="en-US"/>
              </w:rPr>
              <w:t>30</w:t>
            </w:r>
            <w:r>
              <w:rPr>
                <w:rFonts w:hint="eastAsia" w:ascii="宋体" w:hAnsi="宋体" w:eastAsia="宋体" w:cs="宋体"/>
                <w:sz w:val="20"/>
                <w:highlight w:val="none"/>
              </w:rPr>
              <w:t>%签约合同价</w:t>
            </w:r>
          </w:p>
        </w:tc>
        <w:tc>
          <w:tcPr>
            <w:tcW w:w="993" w:type="dxa"/>
          </w:tcPr>
          <w:p w14:paraId="0DA374CF">
            <w:pPr>
              <w:pStyle w:val="27"/>
              <w:rPr>
                <w:rFonts w:hint="eastAsia" w:ascii="宋体" w:hAnsi="宋体" w:eastAsia="宋体" w:cs="宋体"/>
                <w:sz w:val="18"/>
                <w:highlight w:val="none"/>
              </w:rPr>
            </w:pPr>
          </w:p>
        </w:tc>
      </w:tr>
      <w:tr w14:paraId="37127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7" w:type="dxa"/>
          </w:tcPr>
          <w:p w14:paraId="3F5E17FB">
            <w:pPr>
              <w:pStyle w:val="27"/>
              <w:spacing w:before="11"/>
              <w:rPr>
                <w:rFonts w:hint="eastAsia" w:ascii="宋体" w:hAnsi="宋体" w:eastAsia="宋体" w:cs="宋体"/>
                <w:sz w:val="15"/>
                <w:highlight w:val="none"/>
              </w:rPr>
            </w:pPr>
          </w:p>
          <w:p w14:paraId="38A88C76">
            <w:pPr>
              <w:pStyle w:val="27"/>
              <w:ind w:left="7"/>
              <w:jc w:val="center"/>
              <w:rPr>
                <w:rFonts w:hint="eastAsia" w:ascii="宋体" w:hAnsi="宋体" w:eastAsia="宋体" w:cs="宋体"/>
                <w:sz w:val="20"/>
                <w:highlight w:val="none"/>
              </w:rPr>
            </w:pPr>
            <w:r>
              <w:rPr>
                <w:rFonts w:hint="eastAsia" w:ascii="宋体" w:hAnsi="宋体" w:eastAsia="宋体" w:cs="宋体"/>
                <w:w w:val="99"/>
                <w:sz w:val="20"/>
                <w:highlight w:val="none"/>
              </w:rPr>
              <w:t>5</w:t>
            </w:r>
          </w:p>
        </w:tc>
        <w:tc>
          <w:tcPr>
            <w:tcW w:w="2835" w:type="dxa"/>
          </w:tcPr>
          <w:p w14:paraId="68BA0D22">
            <w:pPr>
              <w:pStyle w:val="27"/>
              <w:spacing w:before="10"/>
              <w:rPr>
                <w:rFonts w:hint="eastAsia" w:ascii="宋体" w:hAnsi="宋体" w:eastAsia="宋体" w:cs="宋体"/>
                <w:sz w:val="14"/>
                <w:highlight w:val="none"/>
              </w:rPr>
            </w:pPr>
          </w:p>
          <w:p w14:paraId="468B4B85">
            <w:pPr>
              <w:pStyle w:val="27"/>
              <w:ind w:left="106"/>
              <w:rPr>
                <w:rFonts w:hint="eastAsia" w:ascii="宋体" w:hAnsi="宋体" w:eastAsia="宋体" w:cs="宋体"/>
                <w:sz w:val="20"/>
                <w:highlight w:val="none"/>
              </w:rPr>
            </w:pPr>
            <w:r>
              <w:rPr>
                <w:rFonts w:hint="eastAsia" w:ascii="宋体" w:hAnsi="宋体" w:eastAsia="宋体" w:cs="宋体"/>
                <w:sz w:val="20"/>
                <w:highlight w:val="none"/>
              </w:rPr>
              <w:t>材料预付款比例</w:t>
            </w:r>
          </w:p>
        </w:tc>
        <w:tc>
          <w:tcPr>
            <w:tcW w:w="1276" w:type="dxa"/>
          </w:tcPr>
          <w:p w14:paraId="7F17C8F2">
            <w:pPr>
              <w:pStyle w:val="27"/>
              <w:spacing w:before="11"/>
              <w:rPr>
                <w:rFonts w:hint="eastAsia" w:ascii="宋体" w:hAnsi="宋体" w:eastAsia="宋体" w:cs="宋体"/>
                <w:sz w:val="15"/>
                <w:highlight w:val="none"/>
              </w:rPr>
            </w:pPr>
          </w:p>
          <w:p w14:paraId="3C4D759E">
            <w:pPr>
              <w:pStyle w:val="27"/>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17.5</w:t>
            </w:r>
          </w:p>
        </w:tc>
        <w:tc>
          <w:tcPr>
            <w:tcW w:w="3118" w:type="dxa"/>
          </w:tcPr>
          <w:p w14:paraId="6DAB97AE">
            <w:pPr>
              <w:pStyle w:val="27"/>
              <w:spacing w:before="7"/>
              <w:ind w:left="106"/>
              <w:rPr>
                <w:rFonts w:hint="eastAsia" w:ascii="宋体" w:hAnsi="宋体" w:eastAsia="宋体" w:cs="宋体"/>
                <w:sz w:val="20"/>
                <w:highlight w:val="none"/>
              </w:rPr>
            </w:pPr>
            <w:r>
              <w:rPr>
                <w:rFonts w:hint="eastAsia" w:ascii="宋体" w:hAnsi="宋体" w:eastAsia="宋体" w:cs="宋体"/>
                <w:sz w:val="20"/>
                <w:highlight w:val="none"/>
              </w:rPr>
              <w:t>沥青、水泥、钢筋等主要材料单据</w:t>
            </w:r>
          </w:p>
          <w:p w14:paraId="6E554C5F">
            <w:pPr>
              <w:pStyle w:val="27"/>
              <w:spacing w:before="1" w:line="130" w:lineRule="exact"/>
              <w:ind w:left="576"/>
              <w:jc w:val="center"/>
              <w:rPr>
                <w:rFonts w:hint="eastAsia" w:ascii="宋体" w:hAnsi="宋体" w:eastAsia="宋体" w:cs="宋体"/>
                <w:sz w:val="14"/>
                <w:highlight w:val="none"/>
              </w:rPr>
            </w:pPr>
          </w:p>
          <w:p w14:paraId="2000043B">
            <w:pPr>
              <w:pStyle w:val="27"/>
              <w:tabs>
                <w:tab w:val="left" w:pos="16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所列费用的</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w:t>
            </w:r>
          </w:p>
        </w:tc>
        <w:tc>
          <w:tcPr>
            <w:tcW w:w="993" w:type="dxa"/>
          </w:tcPr>
          <w:p w14:paraId="63DD837C">
            <w:pPr>
              <w:pStyle w:val="27"/>
              <w:rPr>
                <w:rFonts w:hint="eastAsia" w:ascii="宋体" w:hAnsi="宋体" w:eastAsia="宋体" w:cs="宋体"/>
                <w:sz w:val="18"/>
                <w:highlight w:val="none"/>
              </w:rPr>
            </w:pPr>
          </w:p>
        </w:tc>
      </w:tr>
      <w:tr w14:paraId="6622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17" w:type="dxa"/>
          </w:tcPr>
          <w:p w14:paraId="575D2E08">
            <w:pPr>
              <w:pStyle w:val="27"/>
              <w:spacing w:before="157"/>
              <w:ind w:left="7"/>
              <w:jc w:val="center"/>
              <w:rPr>
                <w:rFonts w:hint="eastAsia" w:ascii="宋体" w:hAnsi="宋体" w:eastAsia="宋体" w:cs="宋体"/>
                <w:sz w:val="20"/>
                <w:highlight w:val="none"/>
              </w:rPr>
            </w:pPr>
            <w:r>
              <w:rPr>
                <w:rFonts w:hint="eastAsia" w:ascii="宋体" w:hAnsi="宋体" w:eastAsia="宋体" w:cs="宋体"/>
                <w:w w:val="99"/>
                <w:sz w:val="20"/>
                <w:highlight w:val="none"/>
              </w:rPr>
              <w:t>6</w:t>
            </w:r>
          </w:p>
        </w:tc>
        <w:tc>
          <w:tcPr>
            <w:tcW w:w="2835" w:type="dxa"/>
          </w:tcPr>
          <w:p w14:paraId="4EAF9875">
            <w:pPr>
              <w:pStyle w:val="27"/>
              <w:spacing w:before="143"/>
              <w:ind w:left="106"/>
              <w:rPr>
                <w:rFonts w:hint="eastAsia" w:ascii="宋体" w:hAnsi="宋体" w:eastAsia="宋体" w:cs="宋体"/>
                <w:sz w:val="20"/>
                <w:highlight w:val="none"/>
              </w:rPr>
            </w:pPr>
            <w:r>
              <w:rPr>
                <w:rFonts w:hint="eastAsia" w:ascii="宋体" w:hAnsi="宋体" w:eastAsia="宋体" w:cs="宋体"/>
                <w:sz w:val="20"/>
                <w:highlight w:val="none"/>
              </w:rPr>
              <w:t>逾期付款违约金的利率</w:t>
            </w:r>
          </w:p>
        </w:tc>
        <w:tc>
          <w:tcPr>
            <w:tcW w:w="1276" w:type="dxa"/>
          </w:tcPr>
          <w:p w14:paraId="5FF70A6C">
            <w:pPr>
              <w:pStyle w:val="27"/>
              <w:spacing w:before="157"/>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18.3</w:t>
            </w:r>
          </w:p>
        </w:tc>
        <w:tc>
          <w:tcPr>
            <w:tcW w:w="3118" w:type="dxa"/>
          </w:tcPr>
          <w:p w14:paraId="729BAA67">
            <w:pPr>
              <w:pStyle w:val="27"/>
              <w:spacing w:before="14"/>
              <w:ind w:left="106"/>
              <w:rPr>
                <w:rFonts w:hint="eastAsia" w:ascii="宋体" w:hAnsi="宋体" w:eastAsia="宋体" w:cs="宋体"/>
                <w:sz w:val="20"/>
                <w:highlight w:val="none"/>
              </w:rPr>
            </w:pPr>
            <w:r>
              <w:rPr>
                <w:rFonts w:hint="eastAsia" w:ascii="宋体" w:hAnsi="宋体" w:eastAsia="宋体" w:cs="宋体"/>
                <w:sz w:val="20"/>
                <w:highlight w:val="none"/>
              </w:rPr>
              <w:t>全国银行间同业拆借中心公布的</w:t>
            </w:r>
          </w:p>
          <w:p w14:paraId="62A2C09B">
            <w:pPr>
              <w:pStyle w:val="27"/>
              <w:spacing w:before="3" w:line="251" w:lineRule="exact"/>
              <w:ind w:left="106"/>
              <w:rPr>
                <w:rFonts w:hint="eastAsia" w:ascii="宋体" w:hAnsi="宋体" w:eastAsia="宋体" w:cs="宋体"/>
                <w:sz w:val="20"/>
                <w:highlight w:val="none"/>
              </w:rPr>
            </w:pPr>
            <w:r>
              <w:rPr>
                <w:rFonts w:hint="eastAsia" w:ascii="宋体" w:hAnsi="宋体" w:eastAsia="宋体" w:cs="宋体"/>
                <w:sz w:val="20"/>
                <w:highlight w:val="none"/>
              </w:rPr>
              <w:t>1 年期贷款市场报价利率</w:t>
            </w:r>
          </w:p>
        </w:tc>
        <w:tc>
          <w:tcPr>
            <w:tcW w:w="993" w:type="dxa"/>
          </w:tcPr>
          <w:p w14:paraId="677B6503">
            <w:pPr>
              <w:pStyle w:val="27"/>
              <w:rPr>
                <w:rFonts w:hint="eastAsia" w:ascii="宋体" w:hAnsi="宋体" w:eastAsia="宋体" w:cs="宋体"/>
                <w:sz w:val="18"/>
                <w:highlight w:val="none"/>
              </w:rPr>
            </w:pPr>
          </w:p>
        </w:tc>
      </w:tr>
      <w:tr w14:paraId="02E3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817" w:type="dxa"/>
          </w:tcPr>
          <w:p w14:paraId="29663AE7">
            <w:pPr>
              <w:pStyle w:val="27"/>
              <w:rPr>
                <w:rFonts w:hint="eastAsia" w:ascii="宋体" w:hAnsi="宋体" w:eastAsia="宋体" w:cs="宋体"/>
                <w:highlight w:val="none"/>
              </w:rPr>
            </w:pPr>
          </w:p>
          <w:p w14:paraId="2AC2492F">
            <w:pPr>
              <w:pStyle w:val="27"/>
              <w:rPr>
                <w:rFonts w:hint="eastAsia" w:ascii="宋体" w:hAnsi="宋体" w:eastAsia="宋体" w:cs="宋体"/>
                <w:highlight w:val="none"/>
              </w:rPr>
            </w:pPr>
          </w:p>
          <w:p w14:paraId="6D3AF253">
            <w:pPr>
              <w:pStyle w:val="27"/>
              <w:spacing w:before="4"/>
              <w:rPr>
                <w:rFonts w:hint="eastAsia" w:ascii="宋体" w:hAnsi="宋体" w:eastAsia="宋体" w:cs="宋体"/>
                <w:sz w:val="17"/>
                <w:highlight w:val="none"/>
              </w:rPr>
            </w:pPr>
          </w:p>
          <w:p w14:paraId="33082F63">
            <w:pPr>
              <w:pStyle w:val="27"/>
              <w:ind w:left="7"/>
              <w:jc w:val="center"/>
              <w:rPr>
                <w:rFonts w:hint="eastAsia" w:ascii="宋体" w:hAnsi="宋体" w:eastAsia="宋体" w:cs="宋体"/>
                <w:sz w:val="20"/>
                <w:highlight w:val="none"/>
              </w:rPr>
            </w:pPr>
            <w:r>
              <w:rPr>
                <w:rFonts w:hint="eastAsia" w:ascii="宋体" w:hAnsi="宋体" w:eastAsia="宋体" w:cs="宋体"/>
                <w:w w:val="99"/>
                <w:sz w:val="20"/>
                <w:highlight w:val="none"/>
              </w:rPr>
              <w:t>7</w:t>
            </w:r>
          </w:p>
        </w:tc>
        <w:tc>
          <w:tcPr>
            <w:tcW w:w="2835" w:type="dxa"/>
          </w:tcPr>
          <w:p w14:paraId="31DDA314">
            <w:pPr>
              <w:pStyle w:val="27"/>
              <w:rPr>
                <w:rFonts w:hint="eastAsia" w:ascii="宋体" w:hAnsi="宋体" w:eastAsia="宋体" w:cs="宋体"/>
                <w:sz w:val="20"/>
                <w:highlight w:val="none"/>
              </w:rPr>
            </w:pPr>
          </w:p>
          <w:p w14:paraId="4D40E27E">
            <w:pPr>
              <w:pStyle w:val="27"/>
              <w:rPr>
                <w:rFonts w:hint="eastAsia" w:ascii="宋体" w:hAnsi="宋体" w:eastAsia="宋体" w:cs="宋体"/>
                <w:sz w:val="20"/>
                <w:highlight w:val="none"/>
              </w:rPr>
            </w:pPr>
          </w:p>
          <w:p w14:paraId="47097220">
            <w:pPr>
              <w:pStyle w:val="27"/>
              <w:spacing w:before="4"/>
              <w:rPr>
                <w:rFonts w:hint="eastAsia" w:ascii="宋体" w:hAnsi="宋体" w:eastAsia="宋体" w:cs="宋体"/>
                <w:sz w:val="20"/>
                <w:highlight w:val="none"/>
              </w:rPr>
            </w:pPr>
          </w:p>
          <w:p w14:paraId="3D893DFF">
            <w:pPr>
              <w:pStyle w:val="27"/>
              <w:ind w:left="106"/>
              <w:rPr>
                <w:rFonts w:hint="eastAsia" w:ascii="宋体" w:hAnsi="宋体" w:eastAsia="宋体" w:cs="宋体"/>
                <w:sz w:val="20"/>
                <w:highlight w:val="none"/>
              </w:rPr>
            </w:pPr>
            <w:r>
              <w:rPr>
                <w:rFonts w:hint="eastAsia" w:ascii="宋体" w:hAnsi="宋体" w:eastAsia="宋体" w:cs="宋体"/>
                <w:sz w:val="20"/>
                <w:highlight w:val="none"/>
              </w:rPr>
              <w:t>质量保证金金额</w:t>
            </w:r>
          </w:p>
        </w:tc>
        <w:tc>
          <w:tcPr>
            <w:tcW w:w="1276" w:type="dxa"/>
          </w:tcPr>
          <w:p w14:paraId="1C07DCE7">
            <w:pPr>
              <w:pStyle w:val="27"/>
              <w:rPr>
                <w:rFonts w:hint="eastAsia" w:ascii="宋体" w:hAnsi="宋体" w:eastAsia="宋体" w:cs="宋体"/>
                <w:highlight w:val="none"/>
              </w:rPr>
            </w:pPr>
          </w:p>
          <w:p w14:paraId="75922072">
            <w:pPr>
              <w:pStyle w:val="27"/>
              <w:rPr>
                <w:rFonts w:hint="eastAsia" w:ascii="宋体" w:hAnsi="宋体" w:eastAsia="宋体" w:cs="宋体"/>
                <w:highlight w:val="none"/>
              </w:rPr>
            </w:pPr>
          </w:p>
          <w:p w14:paraId="01EDAD2D">
            <w:pPr>
              <w:pStyle w:val="27"/>
              <w:spacing w:before="4"/>
              <w:rPr>
                <w:rFonts w:hint="eastAsia" w:ascii="宋体" w:hAnsi="宋体" w:eastAsia="宋体" w:cs="宋体"/>
                <w:sz w:val="17"/>
                <w:highlight w:val="none"/>
              </w:rPr>
            </w:pPr>
          </w:p>
          <w:p w14:paraId="5A9E7E3C">
            <w:pPr>
              <w:pStyle w:val="27"/>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18.7</w:t>
            </w:r>
          </w:p>
        </w:tc>
        <w:tc>
          <w:tcPr>
            <w:tcW w:w="3118" w:type="dxa"/>
          </w:tcPr>
          <w:p w14:paraId="0198B65A">
            <w:pPr>
              <w:pStyle w:val="27"/>
              <w:spacing w:line="240" w:lineRule="auto"/>
              <w:ind w:left="673"/>
              <w:rPr>
                <w:rFonts w:hint="eastAsia" w:ascii="宋体" w:hAnsi="宋体" w:eastAsia="宋体" w:cs="宋体"/>
                <w:sz w:val="14"/>
                <w:highlight w:val="none"/>
              </w:rPr>
            </w:pPr>
          </w:p>
          <w:p w14:paraId="7CFAD642">
            <w:pPr>
              <w:pStyle w:val="27"/>
              <w:tabs>
                <w:tab w:val="left" w:pos="507"/>
              </w:tabs>
              <w:spacing w:line="240" w:lineRule="auto"/>
              <w:ind w:left="106"/>
              <w:rPr>
                <w:rFonts w:hint="eastAsia" w:ascii="宋体" w:hAnsi="宋体" w:eastAsia="宋体" w:cs="宋体"/>
                <w:sz w:val="20"/>
                <w:highlight w:val="none"/>
              </w:rPr>
            </w:pPr>
            <w:r>
              <w:rPr>
                <w:rFonts w:hint="eastAsia" w:cs="宋体"/>
                <w:w w:val="99"/>
                <w:sz w:val="20"/>
                <w:highlight w:val="none"/>
                <w:u w:val="single"/>
                <w:lang w:val="en-US" w:eastAsia="zh-CN"/>
              </w:rPr>
              <w:t>/</w:t>
            </w:r>
            <w:r>
              <w:rPr>
                <w:rFonts w:hint="eastAsia" w:ascii="宋体" w:hAnsi="宋体" w:eastAsia="宋体" w:cs="宋体"/>
                <w:spacing w:val="18"/>
                <w:sz w:val="20"/>
                <w:highlight w:val="none"/>
                <w:u w:val="single"/>
              </w:rPr>
              <w:t xml:space="preserve"> </w:t>
            </w:r>
            <w:r>
              <w:rPr>
                <w:rFonts w:hint="eastAsia" w:ascii="宋体" w:hAnsi="宋体" w:eastAsia="宋体" w:cs="宋体"/>
                <w:spacing w:val="-1"/>
                <w:sz w:val="20"/>
                <w:highlight w:val="none"/>
              </w:rPr>
              <w:t>合同价格</w:t>
            </w:r>
            <w:r>
              <w:rPr>
                <w:rFonts w:hint="eastAsia" w:cs="宋体"/>
                <w:spacing w:val="-1"/>
                <w:sz w:val="20"/>
                <w:highlight w:val="none"/>
                <w:lang w:eastAsia="zh-CN"/>
              </w:rPr>
              <w:t>（</w:t>
            </w:r>
            <w:r>
              <w:rPr>
                <w:rFonts w:hint="eastAsia" w:cs="宋体"/>
                <w:spacing w:val="-1"/>
                <w:sz w:val="20"/>
                <w:highlight w:val="none"/>
                <w:lang w:val="en-US" w:eastAsia="zh-CN"/>
              </w:rPr>
              <w:t>以签订合同为准</w:t>
            </w:r>
            <w:r>
              <w:rPr>
                <w:rFonts w:hint="eastAsia" w:cs="宋体"/>
                <w:spacing w:val="-1"/>
                <w:sz w:val="20"/>
                <w:highlight w:val="none"/>
                <w:lang w:eastAsia="zh-CN"/>
              </w:rPr>
              <w:t>）</w:t>
            </w:r>
            <w:r>
              <w:rPr>
                <w:rFonts w:hint="eastAsia" w:ascii="宋体" w:hAnsi="宋体" w:eastAsia="宋体" w:cs="宋体"/>
                <w:spacing w:val="-1"/>
                <w:sz w:val="20"/>
                <w:highlight w:val="none"/>
              </w:rPr>
              <w:t>，若交工验收时</w:t>
            </w:r>
          </w:p>
          <w:p w14:paraId="59B24458">
            <w:pPr>
              <w:pStyle w:val="27"/>
              <w:tabs>
                <w:tab w:val="left" w:pos="1306"/>
              </w:tabs>
              <w:spacing w:before="24" w:line="240" w:lineRule="auto"/>
              <w:ind w:left="106" w:right="109"/>
              <w:rPr>
                <w:rFonts w:hint="eastAsia" w:ascii="宋体" w:hAnsi="宋体" w:eastAsia="宋体" w:cs="宋体"/>
                <w:sz w:val="20"/>
                <w:highlight w:val="none"/>
              </w:rPr>
            </w:pPr>
            <w:r>
              <w:rPr>
                <w:rFonts w:hint="eastAsia" w:ascii="宋体" w:hAnsi="宋体" w:eastAsia="宋体" w:cs="宋体"/>
                <w:sz w:val="20"/>
                <w:highlight w:val="none"/>
              </w:rPr>
              <w:t>承包人具备</w:t>
            </w:r>
            <w:r>
              <w:rPr>
                <w:rFonts w:hint="eastAsia" w:ascii="宋体" w:hAnsi="宋体" w:eastAsia="宋体" w:cs="宋体"/>
                <w:sz w:val="21"/>
                <w:highlight w:val="none"/>
              </w:rPr>
              <w:t>交通运输厅农村公</w:t>
            </w:r>
            <w:r>
              <w:rPr>
                <w:rFonts w:hint="eastAsia" w:ascii="宋体" w:hAnsi="宋体" w:eastAsia="宋体" w:cs="宋体"/>
                <w:spacing w:val="-11"/>
                <w:sz w:val="21"/>
                <w:highlight w:val="none"/>
              </w:rPr>
              <w:t>路</w:t>
            </w:r>
            <w:r>
              <w:rPr>
                <w:rFonts w:hint="eastAsia" w:ascii="宋体" w:hAnsi="宋体" w:eastAsia="宋体" w:cs="宋体"/>
                <w:sz w:val="21"/>
                <w:highlight w:val="none"/>
              </w:rPr>
              <w:t>建设从业单位信用信息评价体系</w:t>
            </w:r>
            <w:r>
              <w:rPr>
                <w:rFonts w:hint="eastAsia" w:ascii="宋体" w:hAnsi="宋体" w:eastAsia="宋体" w:cs="宋体"/>
                <w:sz w:val="20"/>
                <w:highlight w:val="none"/>
              </w:rPr>
              <w:t>评定的最高信用等级，发包人可以给予</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%合同价格质量保</w:t>
            </w:r>
          </w:p>
          <w:p w14:paraId="201E772F">
            <w:pPr>
              <w:pStyle w:val="27"/>
              <w:spacing w:before="1" w:line="240" w:lineRule="auto"/>
              <w:ind w:right="751"/>
              <w:jc w:val="center"/>
              <w:rPr>
                <w:rFonts w:hint="eastAsia" w:ascii="宋体" w:hAnsi="宋体" w:eastAsia="宋体" w:cs="宋体"/>
                <w:sz w:val="14"/>
                <w:highlight w:val="none"/>
              </w:rPr>
            </w:pPr>
          </w:p>
          <w:p w14:paraId="1A3D17BB">
            <w:pPr>
              <w:pStyle w:val="27"/>
              <w:spacing w:line="240" w:lineRule="auto"/>
              <w:ind w:left="106"/>
              <w:rPr>
                <w:rFonts w:hint="eastAsia" w:ascii="宋体" w:hAnsi="宋体" w:eastAsia="宋体" w:cs="宋体"/>
                <w:sz w:val="20"/>
                <w:highlight w:val="none"/>
              </w:rPr>
            </w:pPr>
            <w:r>
              <w:rPr>
                <w:rFonts w:hint="eastAsia" w:ascii="宋体" w:hAnsi="宋体" w:eastAsia="宋体" w:cs="宋体"/>
                <w:sz w:val="20"/>
                <w:highlight w:val="none"/>
              </w:rPr>
              <w:t>证金的优惠 。</w:t>
            </w:r>
          </w:p>
        </w:tc>
        <w:tc>
          <w:tcPr>
            <w:tcW w:w="993" w:type="dxa"/>
          </w:tcPr>
          <w:p w14:paraId="4F2D582D">
            <w:pPr>
              <w:pStyle w:val="27"/>
              <w:rPr>
                <w:rFonts w:hint="eastAsia" w:ascii="宋体" w:hAnsi="宋体" w:eastAsia="宋体" w:cs="宋体"/>
                <w:sz w:val="18"/>
                <w:highlight w:val="none"/>
              </w:rPr>
            </w:pPr>
          </w:p>
        </w:tc>
      </w:tr>
      <w:tr w14:paraId="01C5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17" w:type="dxa"/>
          </w:tcPr>
          <w:p w14:paraId="0B05019E">
            <w:pPr>
              <w:pStyle w:val="27"/>
              <w:spacing w:before="163"/>
              <w:ind w:left="7"/>
              <w:jc w:val="center"/>
              <w:rPr>
                <w:rFonts w:hint="eastAsia" w:ascii="宋体" w:hAnsi="宋体" w:eastAsia="宋体" w:cs="宋体"/>
                <w:sz w:val="20"/>
                <w:highlight w:val="none"/>
              </w:rPr>
            </w:pPr>
            <w:r>
              <w:rPr>
                <w:rFonts w:hint="eastAsia" w:ascii="宋体" w:hAnsi="宋体" w:eastAsia="宋体" w:cs="宋体"/>
                <w:w w:val="99"/>
                <w:sz w:val="20"/>
                <w:highlight w:val="none"/>
              </w:rPr>
              <w:t>8</w:t>
            </w:r>
          </w:p>
        </w:tc>
        <w:tc>
          <w:tcPr>
            <w:tcW w:w="2835" w:type="dxa"/>
          </w:tcPr>
          <w:p w14:paraId="79FA2B8A">
            <w:pPr>
              <w:pStyle w:val="27"/>
              <w:spacing w:before="150"/>
              <w:ind w:left="106"/>
              <w:rPr>
                <w:rFonts w:hint="eastAsia" w:ascii="宋体" w:hAnsi="宋体" w:eastAsia="宋体" w:cs="宋体"/>
                <w:sz w:val="20"/>
                <w:highlight w:val="none"/>
              </w:rPr>
            </w:pPr>
            <w:r>
              <w:rPr>
                <w:rFonts w:hint="eastAsia" w:ascii="宋体" w:hAnsi="宋体" w:eastAsia="宋体" w:cs="宋体"/>
                <w:sz w:val="20"/>
                <w:highlight w:val="none"/>
              </w:rPr>
              <w:t>保修期</w:t>
            </w:r>
          </w:p>
        </w:tc>
        <w:tc>
          <w:tcPr>
            <w:tcW w:w="1276" w:type="dxa"/>
          </w:tcPr>
          <w:p w14:paraId="05D5E187">
            <w:pPr>
              <w:pStyle w:val="27"/>
              <w:spacing w:before="163"/>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3118" w:type="dxa"/>
          </w:tcPr>
          <w:p w14:paraId="48419B57">
            <w:pPr>
              <w:pStyle w:val="27"/>
              <w:spacing w:before="95" w:line="132" w:lineRule="exact"/>
              <w:ind w:right="258"/>
              <w:jc w:val="right"/>
              <w:rPr>
                <w:rFonts w:hint="eastAsia" w:ascii="宋体" w:hAnsi="宋体" w:eastAsia="宋体" w:cs="宋体"/>
                <w:sz w:val="14"/>
                <w:highlight w:val="none"/>
              </w:rPr>
            </w:pPr>
          </w:p>
          <w:p w14:paraId="3D7F00BB">
            <w:pPr>
              <w:pStyle w:val="27"/>
              <w:tabs>
                <w:tab w:val="left" w:pos="2506"/>
              </w:tabs>
              <w:spacing w:line="209"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41505D3C">
            <w:pPr>
              <w:pStyle w:val="27"/>
              <w:rPr>
                <w:rFonts w:hint="eastAsia" w:ascii="宋体" w:hAnsi="宋体" w:eastAsia="宋体" w:cs="宋体"/>
                <w:sz w:val="18"/>
                <w:highlight w:val="none"/>
              </w:rPr>
            </w:pPr>
          </w:p>
        </w:tc>
      </w:tr>
    </w:tbl>
    <w:p w14:paraId="4F78ADDF">
      <w:pPr>
        <w:pStyle w:val="10"/>
        <w:rPr>
          <w:rFonts w:hint="eastAsia" w:ascii="宋体" w:hAnsi="宋体" w:eastAsia="宋体" w:cs="宋体"/>
          <w:sz w:val="20"/>
          <w:highlight w:val="none"/>
        </w:rPr>
      </w:pPr>
    </w:p>
    <w:p w14:paraId="0682E991">
      <w:pPr>
        <w:pStyle w:val="10"/>
        <w:rPr>
          <w:rFonts w:hint="eastAsia" w:ascii="宋体" w:hAnsi="宋体" w:eastAsia="宋体" w:cs="宋体"/>
          <w:sz w:val="20"/>
          <w:highlight w:val="none"/>
        </w:rPr>
      </w:pPr>
    </w:p>
    <w:p w14:paraId="7493955B">
      <w:pPr>
        <w:pStyle w:val="10"/>
        <w:rPr>
          <w:rFonts w:hint="eastAsia" w:ascii="宋体" w:hAnsi="宋体" w:eastAsia="宋体" w:cs="宋体"/>
          <w:sz w:val="20"/>
          <w:highlight w:val="none"/>
        </w:rPr>
      </w:pPr>
    </w:p>
    <w:p w14:paraId="58EC4394">
      <w:pPr>
        <w:pStyle w:val="10"/>
        <w:rPr>
          <w:rFonts w:hint="eastAsia" w:ascii="宋体" w:hAnsi="宋体" w:eastAsia="宋体" w:cs="宋体"/>
          <w:sz w:val="20"/>
          <w:highlight w:val="none"/>
        </w:rPr>
      </w:pPr>
    </w:p>
    <w:p w14:paraId="300DDE06">
      <w:pPr>
        <w:pStyle w:val="10"/>
        <w:rPr>
          <w:rFonts w:hint="eastAsia" w:ascii="宋体" w:hAnsi="宋体" w:eastAsia="宋体" w:cs="宋体"/>
          <w:sz w:val="20"/>
          <w:highlight w:val="none"/>
        </w:rPr>
      </w:pPr>
    </w:p>
    <w:p w14:paraId="7D8C3866">
      <w:pPr>
        <w:pStyle w:val="10"/>
        <w:rPr>
          <w:rFonts w:hint="eastAsia" w:ascii="宋体" w:hAnsi="宋体" w:eastAsia="宋体" w:cs="宋体"/>
          <w:sz w:val="20"/>
          <w:highlight w:val="none"/>
        </w:rPr>
      </w:pPr>
    </w:p>
    <w:p w14:paraId="18CF28C6">
      <w:pPr>
        <w:pStyle w:val="10"/>
        <w:rPr>
          <w:rFonts w:hint="eastAsia" w:ascii="宋体" w:hAnsi="宋体" w:eastAsia="宋体" w:cs="宋体"/>
          <w:sz w:val="20"/>
          <w:highlight w:val="none"/>
        </w:rPr>
      </w:pPr>
    </w:p>
    <w:p w14:paraId="1FA9411C">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0AB7BD8E">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758C528D">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40EB4AB1">
      <w:pPr>
        <w:pStyle w:val="10"/>
        <w:rPr>
          <w:rFonts w:hint="eastAsia" w:ascii="宋体" w:hAnsi="宋体" w:eastAsia="宋体" w:cs="宋体"/>
          <w:sz w:val="20"/>
          <w:highlight w:val="none"/>
        </w:rPr>
      </w:pPr>
    </w:p>
    <w:p w14:paraId="2E2F9032">
      <w:pPr>
        <w:pStyle w:val="10"/>
        <w:rPr>
          <w:rFonts w:hint="eastAsia" w:ascii="宋体" w:hAnsi="宋体" w:eastAsia="宋体" w:cs="宋体"/>
          <w:sz w:val="20"/>
          <w:highlight w:val="none"/>
        </w:rPr>
      </w:pPr>
    </w:p>
    <w:p w14:paraId="0D474022">
      <w:pPr>
        <w:pStyle w:val="10"/>
        <w:rPr>
          <w:rFonts w:hint="eastAsia" w:ascii="宋体" w:hAnsi="宋体" w:eastAsia="宋体" w:cs="宋体"/>
          <w:sz w:val="20"/>
          <w:highlight w:val="none"/>
        </w:rPr>
      </w:pPr>
    </w:p>
    <w:p w14:paraId="2AEE58FC">
      <w:pPr>
        <w:pStyle w:val="10"/>
        <w:rPr>
          <w:rFonts w:hint="eastAsia" w:ascii="宋体" w:hAnsi="宋体" w:eastAsia="宋体" w:cs="宋体"/>
          <w:sz w:val="20"/>
          <w:highlight w:val="none"/>
        </w:rPr>
      </w:pPr>
    </w:p>
    <w:p w14:paraId="342A8859">
      <w:pPr>
        <w:pStyle w:val="10"/>
        <w:rPr>
          <w:rFonts w:hint="eastAsia" w:ascii="宋体" w:hAnsi="宋体" w:eastAsia="宋体" w:cs="宋体"/>
          <w:sz w:val="20"/>
          <w:highlight w:val="none"/>
        </w:rPr>
      </w:pPr>
    </w:p>
    <w:p w14:paraId="786380F7">
      <w:pPr>
        <w:pStyle w:val="10"/>
        <w:rPr>
          <w:rFonts w:hint="eastAsia" w:ascii="宋体" w:hAnsi="宋体" w:eastAsia="宋体" w:cs="宋体"/>
          <w:sz w:val="20"/>
          <w:highlight w:val="none"/>
        </w:rPr>
      </w:pPr>
    </w:p>
    <w:p w14:paraId="71081D3B">
      <w:pPr>
        <w:pStyle w:val="10"/>
        <w:spacing w:before="3"/>
        <w:rPr>
          <w:rFonts w:hint="eastAsia" w:ascii="宋体" w:hAnsi="宋体" w:eastAsia="宋体" w:cs="宋体"/>
          <w:sz w:val="29"/>
          <w:highlight w:val="none"/>
        </w:rPr>
      </w:pPr>
    </w:p>
    <w:p w14:paraId="774B9791">
      <w:pPr>
        <w:pStyle w:val="25"/>
        <w:rPr>
          <w:rFonts w:hint="eastAsia" w:ascii="宋体" w:hAnsi="宋体" w:eastAsia="宋体" w:cs="宋体"/>
          <w:sz w:val="29"/>
          <w:highlight w:val="none"/>
        </w:rPr>
      </w:pPr>
    </w:p>
    <w:p w14:paraId="61235E36">
      <w:pPr>
        <w:rPr>
          <w:rFonts w:hint="eastAsia" w:ascii="宋体" w:hAnsi="宋体" w:eastAsia="宋体" w:cs="宋体"/>
          <w:sz w:val="29"/>
          <w:highlight w:val="none"/>
        </w:rPr>
      </w:pPr>
    </w:p>
    <w:p w14:paraId="46C3B234">
      <w:pPr>
        <w:pStyle w:val="22"/>
        <w:ind w:firstLine="580"/>
        <w:rPr>
          <w:rFonts w:hint="eastAsia" w:ascii="宋体" w:hAnsi="宋体" w:eastAsia="宋体" w:cs="宋体"/>
          <w:sz w:val="29"/>
          <w:highlight w:val="none"/>
        </w:rPr>
      </w:pPr>
    </w:p>
    <w:p w14:paraId="29EE12E8">
      <w:pPr>
        <w:pStyle w:val="22"/>
        <w:ind w:firstLine="580"/>
        <w:rPr>
          <w:rFonts w:hint="eastAsia" w:ascii="宋体" w:hAnsi="宋体" w:eastAsia="宋体" w:cs="宋体"/>
          <w:sz w:val="29"/>
          <w:highlight w:val="none"/>
        </w:rPr>
      </w:pPr>
    </w:p>
    <w:p w14:paraId="258EA80D">
      <w:pPr>
        <w:pStyle w:val="10"/>
        <w:spacing w:before="8"/>
        <w:rPr>
          <w:rFonts w:hint="eastAsia" w:ascii="宋体" w:hAnsi="宋体" w:eastAsia="宋体" w:cs="宋体"/>
          <w:sz w:val="5"/>
          <w:highlight w:val="none"/>
        </w:rPr>
      </w:pPr>
    </w:p>
    <w:p w14:paraId="4475EEEA">
      <w:pPr>
        <w:pStyle w:val="9"/>
        <w:spacing w:before="130"/>
        <w:ind w:right="369"/>
        <w:rPr>
          <w:rFonts w:hint="eastAsia" w:ascii="宋体" w:hAnsi="宋体" w:eastAsia="宋体" w:cs="宋体"/>
          <w:highlight w:val="none"/>
        </w:rPr>
      </w:pPr>
      <w:bookmarkStart w:id="94" w:name="_TOC_250013"/>
      <w:bookmarkEnd w:id="94"/>
      <w:r>
        <w:rPr>
          <w:rFonts w:hint="eastAsia" w:ascii="宋体" w:hAnsi="宋体" w:eastAsia="宋体" w:cs="宋体"/>
          <w:highlight w:val="none"/>
        </w:rPr>
        <w:t>二、授权委托书或法定代表人身份证明</w:t>
      </w:r>
    </w:p>
    <w:p w14:paraId="1C1BF189">
      <w:pPr>
        <w:pStyle w:val="10"/>
        <w:spacing w:before="3"/>
        <w:rPr>
          <w:rFonts w:hint="eastAsia" w:ascii="宋体" w:hAnsi="宋体" w:eastAsia="宋体" w:cs="宋体"/>
          <w:sz w:val="29"/>
          <w:highlight w:val="none"/>
        </w:rPr>
      </w:pPr>
    </w:p>
    <w:p w14:paraId="67507460">
      <w:pPr>
        <w:ind w:left="3488"/>
        <w:rPr>
          <w:rFonts w:hint="eastAsia" w:ascii="宋体" w:hAnsi="宋体" w:eastAsia="宋体" w:cs="宋体"/>
          <w:sz w:val="14"/>
          <w:highlight w:val="none"/>
        </w:rPr>
      </w:pPr>
      <w:bookmarkStart w:id="95" w:name="_TOC_250012"/>
      <w:r>
        <w:rPr>
          <w:rFonts w:hint="eastAsia" w:ascii="宋体" w:hAnsi="宋体" w:eastAsia="宋体" w:cs="宋体"/>
          <w:sz w:val="28"/>
          <w:highlight w:val="none"/>
        </w:rPr>
        <w:t>（一）授权委托书</w:t>
      </w:r>
      <w:bookmarkEnd w:id="95"/>
    </w:p>
    <w:p w14:paraId="7D89A7C2">
      <w:pPr>
        <w:pStyle w:val="10"/>
        <w:rPr>
          <w:rFonts w:hint="eastAsia" w:ascii="宋体" w:hAnsi="宋体" w:eastAsia="宋体" w:cs="宋体"/>
          <w:sz w:val="30"/>
          <w:highlight w:val="none"/>
        </w:rPr>
      </w:pPr>
    </w:p>
    <w:p w14:paraId="00EC2CB3">
      <w:pPr>
        <w:pStyle w:val="10"/>
        <w:spacing w:before="6"/>
        <w:rPr>
          <w:rFonts w:hint="eastAsia" w:ascii="宋体" w:hAnsi="宋体" w:eastAsia="宋体" w:cs="宋体"/>
          <w:sz w:val="31"/>
          <w:highlight w:val="none"/>
        </w:rPr>
      </w:pPr>
    </w:p>
    <w:p w14:paraId="53F269C0">
      <w:pPr>
        <w:pStyle w:val="10"/>
        <w:tabs>
          <w:tab w:val="left" w:pos="2028"/>
          <w:tab w:val="left" w:pos="3223"/>
          <w:tab w:val="left" w:pos="5983"/>
          <w:tab w:val="left" w:pos="8419"/>
        </w:tabs>
        <w:spacing w:line="343" w:lineRule="auto"/>
        <w:ind w:left="224" w:right="507" w:firstLine="480"/>
        <w:jc w:val="both"/>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highlight w:val="none"/>
        </w:rPr>
        <w:t>姓名</w:t>
      </w:r>
      <w:r>
        <w:rPr>
          <w:rFonts w:hint="eastAsia" w:ascii="宋体" w:hAnsi="宋体" w:eastAsia="宋体" w:cs="宋体"/>
          <w:spacing w:val="-116"/>
          <w:highlight w:val="none"/>
        </w:rPr>
        <w:t>）</w:t>
      </w:r>
      <w:r>
        <w:rPr>
          <w:rFonts w:hint="eastAsia" w:ascii="宋体" w:hAnsi="宋体" w:eastAsia="宋体" w:cs="宋体"/>
          <w:spacing w:val="-116"/>
          <w:highlight w:val="none"/>
          <w:lang w:val="en-US"/>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 xml:space="preserve"> </w:t>
      </w:r>
      <w:r>
        <w:rPr>
          <w:rFonts w:hint="eastAsia" w:ascii="宋体" w:hAnsi="宋体" w:eastAsia="宋体" w:cs="宋体"/>
          <w:spacing w:val="2"/>
          <w:highlight w:val="none"/>
          <w:u w:val="single"/>
        </w:rPr>
        <w:t xml:space="preserve"> </w:t>
      </w:r>
      <w:r>
        <w:rPr>
          <w:rFonts w:hint="eastAsia" w:ascii="宋体" w:hAnsi="宋体" w:eastAsia="宋体" w:cs="宋体"/>
          <w:highlight w:val="none"/>
          <w:u w:val="single"/>
        </w:rPr>
        <w:t>（</w:t>
      </w:r>
      <w:r>
        <w:rPr>
          <w:rFonts w:hint="eastAsia" w:ascii="宋体" w:hAnsi="宋体" w:eastAsia="宋体" w:cs="宋体"/>
          <w:highlight w:val="none"/>
        </w:rPr>
        <w:t>投标人名称</w:t>
      </w:r>
      <w:r>
        <w:rPr>
          <w:rFonts w:hint="eastAsia" w:ascii="宋体" w:hAnsi="宋体" w:eastAsia="宋体" w:cs="宋体"/>
          <w:spacing w:val="-118"/>
          <w:highlight w:val="none"/>
        </w:rPr>
        <w:t>）</w:t>
      </w:r>
      <w:r>
        <w:rPr>
          <w:rFonts w:hint="eastAsia" w:ascii="宋体" w:hAnsi="宋体" w:eastAsia="宋体" w:cs="宋体"/>
          <w:highlight w:val="none"/>
        </w:rPr>
        <w:t>的法定代表人</w:t>
      </w:r>
      <w:r>
        <w:rPr>
          <w:rFonts w:hint="eastAsia" w:ascii="宋体" w:hAnsi="宋体" w:eastAsia="宋体" w:cs="宋体"/>
          <w:spacing w:val="-116"/>
          <w:highlight w:val="none"/>
        </w:rPr>
        <w:t>，</w:t>
      </w:r>
      <w:r>
        <w:rPr>
          <w:rFonts w:hint="eastAsia" w:ascii="宋体" w:hAnsi="宋体" w:eastAsia="宋体" w:cs="宋体"/>
          <w:highlight w:val="none"/>
        </w:rPr>
        <w:t>现委托</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spacing w:val="-16"/>
          <w:highlight w:val="none"/>
        </w:rPr>
        <w:t>姓</w:t>
      </w:r>
      <w:r>
        <w:rPr>
          <w:rFonts w:hint="eastAsia" w:ascii="宋体" w:hAnsi="宋体" w:eastAsia="宋体" w:cs="宋体"/>
          <w:highlight w:val="none"/>
        </w:rPr>
        <w:t>名）为我方代理人。代理人根据授权，以我方名义签署、澄清确认、递交、撤回、修改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（项目名称）施工投标响应文件、签订合同和处理有关事宜，其法律后果由我方承担。</w:t>
      </w:r>
    </w:p>
    <w:p w14:paraId="6263E955">
      <w:pPr>
        <w:pStyle w:val="10"/>
        <w:spacing w:before="3" w:line="343" w:lineRule="auto"/>
        <w:ind w:left="704" w:right="2861" w:firstLine="79"/>
        <w:rPr>
          <w:rFonts w:hint="eastAsia" w:ascii="宋体" w:hAnsi="宋体" w:eastAsia="宋体" w:cs="宋体"/>
          <w:highlight w:val="none"/>
        </w:rPr>
      </w:pPr>
      <w:r>
        <w:rPr>
          <w:rFonts w:hint="eastAsia" w:ascii="宋体" w:hAnsi="宋体" w:eastAsia="宋体" w:cs="宋体"/>
          <w:highlight w:val="none"/>
        </w:rPr>
        <w:t>委托期限：自本委托书签署之日起至投标有效期期满。代理人无转委托权。</w:t>
      </w:r>
    </w:p>
    <w:p w14:paraId="63633D8B">
      <w:pPr>
        <w:pStyle w:val="10"/>
        <w:rPr>
          <w:rFonts w:hint="eastAsia" w:ascii="宋体" w:hAnsi="宋体" w:eastAsia="宋体" w:cs="宋体"/>
          <w:highlight w:val="none"/>
        </w:rPr>
      </w:pPr>
    </w:p>
    <w:p w14:paraId="4A51751B">
      <w:pPr>
        <w:spacing w:before="173"/>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附：法定代表人身份证及委托代理人身份证。</w:t>
      </w:r>
    </w:p>
    <w:p w14:paraId="0266E06A">
      <w:pPr>
        <w:pStyle w:val="10"/>
        <w:rPr>
          <w:rFonts w:hint="eastAsia" w:ascii="宋体" w:hAnsi="宋体" w:eastAsia="宋体" w:cs="宋体"/>
          <w:sz w:val="20"/>
          <w:highlight w:val="none"/>
        </w:rPr>
      </w:pPr>
    </w:p>
    <w:p w14:paraId="3F1AA862">
      <w:pPr>
        <w:pStyle w:val="10"/>
        <w:spacing w:before="9"/>
        <w:rPr>
          <w:rFonts w:hint="eastAsia" w:ascii="宋体" w:hAnsi="宋体" w:eastAsia="宋体" w:cs="宋体"/>
          <w:sz w:val="23"/>
          <w:highlight w:val="none"/>
        </w:rPr>
      </w:pPr>
    </w:p>
    <w:p w14:paraId="68BD46FA">
      <w:pPr>
        <w:pStyle w:val="10"/>
        <w:tabs>
          <w:tab w:val="left" w:pos="7114"/>
          <w:tab w:val="left" w:pos="7714"/>
          <w:tab w:val="left" w:pos="8373"/>
        </w:tabs>
        <w:spacing w:line="624" w:lineRule="auto"/>
        <w:ind w:left="3514" w:right="730"/>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 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57093227">
      <w:pPr>
        <w:pStyle w:val="10"/>
        <w:tabs>
          <w:tab w:val="left" w:pos="7834"/>
          <w:tab w:val="left" w:pos="8493"/>
        </w:tabs>
        <w:spacing w:before="2" w:line="624" w:lineRule="auto"/>
        <w:ind w:left="3514" w:right="610"/>
        <w:rPr>
          <w:rFonts w:hint="eastAsia" w:ascii="宋体" w:hAnsi="宋体" w:eastAsia="宋体" w:cs="宋体"/>
          <w:highlight w:val="none"/>
        </w:rPr>
      </w:pPr>
      <w:r>
        <w:rPr>
          <w:rFonts w:hint="eastAsia" w:ascii="宋体" w:hAnsi="宋体" w:eastAsia="宋体" w:cs="宋体"/>
          <w:highlight w:val="none"/>
        </w:rPr>
        <w:t>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11F92476">
      <w:pPr>
        <w:pStyle w:val="10"/>
        <w:tabs>
          <w:tab w:val="left" w:pos="5662"/>
          <w:tab w:val="left" w:pos="6982"/>
          <w:tab w:val="left" w:pos="8121"/>
        </w:tabs>
        <w:spacing w:before="2"/>
        <w:ind w:left="482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768784F">
      <w:pPr>
        <w:pStyle w:val="10"/>
        <w:rPr>
          <w:rFonts w:hint="eastAsia" w:ascii="宋体" w:hAnsi="宋体" w:eastAsia="宋体" w:cs="宋体"/>
          <w:sz w:val="26"/>
          <w:highlight w:val="none"/>
        </w:rPr>
      </w:pPr>
    </w:p>
    <w:p w14:paraId="6732BAA5">
      <w:pPr>
        <w:pStyle w:val="10"/>
        <w:spacing w:before="7"/>
        <w:rPr>
          <w:rFonts w:hint="eastAsia" w:ascii="宋体" w:hAnsi="宋体" w:eastAsia="宋体" w:cs="宋体"/>
          <w:sz w:val="19"/>
          <w:highlight w:val="none"/>
        </w:rPr>
      </w:pPr>
    </w:p>
    <w:p w14:paraId="2E8C7B64">
      <w:pPr>
        <w:spacing w:line="372" w:lineRule="auto"/>
        <w:ind w:left="224" w:right="582" w:firstLine="400"/>
        <w:rPr>
          <w:rFonts w:hint="eastAsia" w:ascii="宋体" w:hAnsi="宋体" w:eastAsia="宋体" w:cs="宋体"/>
          <w:w w:val="95"/>
          <w:sz w:val="20"/>
          <w:highlight w:val="none"/>
        </w:rPr>
      </w:pPr>
      <w:r>
        <w:rPr>
          <w:rFonts w:hint="eastAsia" w:ascii="宋体" w:hAnsi="宋体" w:eastAsia="宋体" w:cs="宋体"/>
          <w:w w:val="95"/>
          <w:sz w:val="20"/>
          <w:highlight w:val="none"/>
        </w:rPr>
        <w:t>注：法定代表人和委托代理人必须在授权委托书上签名</w:t>
      </w:r>
      <w:r>
        <w:rPr>
          <w:rFonts w:hint="eastAsia" w:ascii="宋体" w:hAnsi="宋体" w:eastAsia="宋体" w:cs="宋体"/>
          <w:sz w:val="20"/>
          <w:highlight w:val="none"/>
        </w:rPr>
        <w:t>。</w:t>
      </w:r>
      <w:r>
        <w:rPr>
          <w:rFonts w:hint="eastAsia" w:ascii="宋体" w:hAnsi="宋体" w:eastAsia="宋体" w:cs="宋体"/>
          <w:w w:val="95"/>
          <w:sz w:val="20"/>
          <w:highlight w:val="none"/>
        </w:rPr>
        <w:t>如果由投标人的法定代表人签署投标响应文件，则无须提交授权委托书。</w:t>
      </w:r>
    </w:p>
    <w:p w14:paraId="16429F0E">
      <w:pPr>
        <w:pStyle w:val="10"/>
        <w:rPr>
          <w:rFonts w:hint="eastAsia" w:ascii="宋体" w:hAnsi="宋体" w:eastAsia="宋体" w:cs="宋体"/>
          <w:sz w:val="20"/>
          <w:highlight w:val="none"/>
        </w:rPr>
      </w:pPr>
    </w:p>
    <w:p w14:paraId="36204547">
      <w:pPr>
        <w:pStyle w:val="10"/>
        <w:rPr>
          <w:rFonts w:hint="eastAsia" w:ascii="宋体" w:hAnsi="宋体" w:eastAsia="宋体" w:cs="宋体"/>
          <w:sz w:val="20"/>
          <w:highlight w:val="none"/>
        </w:rPr>
      </w:pPr>
    </w:p>
    <w:p w14:paraId="63996444">
      <w:pPr>
        <w:pStyle w:val="10"/>
        <w:rPr>
          <w:rFonts w:hint="eastAsia" w:ascii="宋体" w:hAnsi="宋体" w:eastAsia="宋体" w:cs="宋体"/>
          <w:sz w:val="20"/>
          <w:highlight w:val="none"/>
        </w:rPr>
      </w:pPr>
    </w:p>
    <w:p w14:paraId="5BD2A008">
      <w:pPr>
        <w:pStyle w:val="10"/>
        <w:rPr>
          <w:rFonts w:hint="eastAsia" w:ascii="宋体" w:hAnsi="宋体" w:eastAsia="宋体" w:cs="宋体"/>
          <w:sz w:val="20"/>
          <w:highlight w:val="none"/>
        </w:rPr>
      </w:pPr>
    </w:p>
    <w:p w14:paraId="71EA0FC1">
      <w:pPr>
        <w:pStyle w:val="10"/>
        <w:rPr>
          <w:rFonts w:hint="eastAsia" w:ascii="宋体" w:hAnsi="宋体" w:eastAsia="宋体" w:cs="宋体"/>
          <w:sz w:val="20"/>
          <w:highlight w:val="none"/>
        </w:rPr>
      </w:pPr>
    </w:p>
    <w:p w14:paraId="7F9165A9">
      <w:pPr>
        <w:pStyle w:val="10"/>
        <w:rPr>
          <w:rFonts w:hint="eastAsia" w:ascii="宋体" w:hAnsi="宋体" w:eastAsia="宋体" w:cs="宋体"/>
          <w:sz w:val="20"/>
          <w:highlight w:val="none"/>
        </w:rPr>
      </w:pPr>
    </w:p>
    <w:p w14:paraId="09B13E7D">
      <w:pPr>
        <w:pStyle w:val="10"/>
        <w:spacing w:before="12"/>
        <w:rPr>
          <w:rFonts w:hint="eastAsia" w:ascii="宋体" w:hAnsi="宋体" w:eastAsia="宋体" w:cs="宋体"/>
          <w:sz w:val="17"/>
          <w:highlight w:val="none"/>
        </w:rPr>
      </w:pPr>
    </w:p>
    <w:p w14:paraId="1138CECD">
      <w:pPr>
        <w:spacing w:before="88"/>
        <w:rPr>
          <w:rFonts w:hint="eastAsia" w:ascii="宋体" w:hAnsi="宋体" w:eastAsia="宋体" w:cs="宋体"/>
          <w:sz w:val="18"/>
          <w:highlight w:val="none"/>
        </w:rPr>
        <w:sectPr>
          <w:footerReference r:id="rId21" w:type="default"/>
          <w:pgSz w:w="11910" w:h="16840"/>
          <w:pgMar w:top="1440" w:right="1080" w:bottom="1040" w:left="1420" w:header="882" w:footer="847" w:gutter="0"/>
          <w:cols w:space="720" w:num="1"/>
        </w:sectPr>
      </w:pPr>
    </w:p>
    <w:p w14:paraId="5BD900BB">
      <w:pPr>
        <w:spacing w:before="61"/>
        <w:ind w:right="138"/>
        <w:jc w:val="center"/>
        <w:rPr>
          <w:rFonts w:hint="eastAsia" w:ascii="宋体" w:hAnsi="宋体" w:eastAsia="宋体" w:cs="宋体"/>
          <w:sz w:val="28"/>
          <w:highlight w:val="none"/>
        </w:rPr>
      </w:pPr>
      <w:bookmarkStart w:id="96" w:name="_TOC_250011"/>
      <w:bookmarkEnd w:id="96"/>
    </w:p>
    <w:p w14:paraId="6D4F07D1">
      <w:pPr>
        <w:spacing w:before="61"/>
        <w:ind w:right="138"/>
        <w:jc w:val="center"/>
        <w:rPr>
          <w:rFonts w:hint="eastAsia" w:ascii="宋体" w:hAnsi="宋体" w:eastAsia="宋体" w:cs="宋体"/>
          <w:sz w:val="28"/>
          <w:highlight w:val="none"/>
        </w:rPr>
      </w:pPr>
      <w:r>
        <w:rPr>
          <w:rFonts w:hint="eastAsia" w:ascii="宋体" w:hAnsi="宋体" w:eastAsia="宋体" w:cs="宋体"/>
          <w:sz w:val="28"/>
          <w:highlight w:val="none"/>
        </w:rPr>
        <w:t>（二）法定代表人身份证明</w:t>
      </w:r>
    </w:p>
    <w:p w14:paraId="18F384BC">
      <w:pPr>
        <w:pStyle w:val="10"/>
        <w:rPr>
          <w:rFonts w:hint="eastAsia" w:ascii="宋体" w:hAnsi="宋体" w:eastAsia="宋体" w:cs="宋体"/>
          <w:sz w:val="28"/>
          <w:highlight w:val="none"/>
        </w:rPr>
      </w:pPr>
    </w:p>
    <w:p w14:paraId="063FCC9D">
      <w:pPr>
        <w:pStyle w:val="10"/>
        <w:spacing w:before="9"/>
        <w:rPr>
          <w:rFonts w:hint="eastAsia" w:ascii="宋体" w:hAnsi="宋体" w:eastAsia="宋体" w:cs="宋体"/>
          <w:sz w:val="33"/>
          <w:highlight w:val="none"/>
        </w:rPr>
      </w:pPr>
    </w:p>
    <w:p w14:paraId="7A8BAE8E">
      <w:pPr>
        <w:pStyle w:val="10"/>
        <w:tabs>
          <w:tab w:val="left" w:pos="5282"/>
        </w:tabs>
        <w:ind w:left="423"/>
        <w:rPr>
          <w:rFonts w:hint="eastAsia" w:ascii="宋体" w:hAnsi="宋体" w:eastAsia="宋体" w:cs="宋体"/>
          <w:highlight w:val="none"/>
        </w:rPr>
      </w:pPr>
      <w:r>
        <w:rPr>
          <w:rFonts w:hint="eastAsia" w:ascii="宋体" w:hAnsi="宋体" w:eastAsia="宋体" w:cs="宋体"/>
          <w:spacing w:val="-1"/>
          <w:highlight w:val="none"/>
        </w:rPr>
        <w:t>投</w:t>
      </w:r>
      <w:r>
        <w:rPr>
          <w:rFonts w:hint="eastAsia" w:ascii="宋体" w:hAnsi="宋体" w:eastAsia="宋体" w:cs="宋体"/>
          <w:highlight w:val="none"/>
        </w:rPr>
        <w:t>标人名称：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CF7B225">
      <w:pPr>
        <w:pStyle w:val="10"/>
        <w:tabs>
          <w:tab w:val="left" w:pos="4202"/>
          <w:tab w:val="left" w:pos="5642"/>
          <w:tab w:val="left" w:pos="7383"/>
          <w:tab w:val="left" w:pos="8959"/>
        </w:tabs>
        <w:spacing w:before="131" w:line="345" w:lineRule="auto"/>
        <w:ind w:left="423" w:right="445"/>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（法定代表人亲笔签字）</w:t>
      </w:r>
      <w:r>
        <w:rPr>
          <w:rFonts w:hint="eastAsia" w:ascii="宋体" w:hAnsi="宋体" w:eastAsia="宋体" w:cs="宋体"/>
          <w:spacing w:val="118"/>
          <w:highlight w:val="none"/>
        </w:rPr>
        <w:t xml:space="preserve"> </w:t>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职</w:t>
      </w:r>
      <w:r>
        <w:rPr>
          <w:rFonts w:hint="eastAsia" w:ascii="宋体" w:hAnsi="宋体" w:eastAsia="宋体" w:cs="宋体"/>
          <w:highlight w:val="none"/>
        </w:rPr>
        <w:t>务：</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（投标人名称）的法定代表人。</w:t>
      </w:r>
    </w:p>
    <w:p w14:paraId="36DF1BBD">
      <w:pPr>
        <w:pStyle w:val="10"/>
        <w:spacing w:line="303" w:lineRule="exact"/>
        <w:ind w:left="704"/>
        <w:rPr>
          <w:rFonts w:hint="eastAsia" w:ascii="宋体" w:hAnsi="宋体" w:eastAsia="宋体" w:cs="宋体"/>
          <w:highlight w:val="none"/>
        </w:rPr>
      </w:pPr>
      <w:r>
        <w:rPr>
          <w:rFonts w:hint="eastAsia" w:ascii="宋体" w:hAnsi="宋体" w:eastAsia="宋体" w:cs="宋体"/>
          <w:highlight w:val="none"/>
        </w:rPr>
        <w:t>特此证明。</w:t>
      </w:r>
    </w:p>
    <w:p w14:paraId="68D84A50">
      <w:pPr>
        <w:pStyle w:val="10"/>
        <w:rPr>
          <w:rFonts w:hint="eastAsia" w:ascii="宋体" w:hAnsi="宋体" w:eastAsia="宋体" w:cs="宋体"/>
          <w:highlight w:val="none"/>
        </w:rPr>
      </w:pPr>
    </w:p>
    <w:p w14:paraId="71402B57">
      <w:pPr>
        <w:pStyle w:val="10"/>
        <w:spacing w:before="11"/>
        <w:rPr>
          <w:rFonts w:hint="eastAsia" w:ascii="宋体" w:hAnsi="宋体" w:eastAsia="宋体" w:cs="宋体"/>
          <w:sz w:val="23"/>
          <w:highlight w:val="none"/>
        </w:rPr>
      </w:pPr>
    </w:p>
    <w:p w14:paraId="7AA366CB">
      <w:pPr>
        <w:spacing w:before="1"/>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w:t>
      </w:r>
    </w:p>
    <w:p w14:paraId="0004F2EA">
      <w:pPr>
        <w:pStyle w:val="10"/>
        <w:rPr>
          <w:rFonts w:hint="eastAsia" w:ascii="宋体" w:hAnsi="宋体" w:eastAsia="宋体" w:cs="宋体"/>
          <w:sz w:val="20"/>
          <w:highlight w:val="none"/>
        </w:rPr>
      </w:pPr>
    </w:p>
    <w:p w14:paraId="726ABE5C">
      <w:pPr>
        <w:pStyle w:val="10"/>
        <w:rPr>
          <w:rFonts w:hint="eastAsia" w:ascii="宋体" w:hAnsi="宋体" w:eastAsia="宋体" w:cs="宋体"/>
          <w:sz w:val="20"/>
          <w:highlight w:val="none"/>
        </w:rPr>
      </w:pPr>
    </w:p>
    <w:p w14:paraId="1C3A0D06">
      <w:pPr>
        <w:pStyle w:val="10"/>
        <w:rPr>
          <w:rFonts w:hint="eastAsia" w:ascii="宋体" w:hAnsi="宋体" w:eastAsia="宋体" w:cs="宋体"/>
          <w:sz w:val="20"/>
          <w:highlight w:val="none"/>
        </w:rPr>
      </w:pPr>
    </w:p>
    <w:p w14:paraId="092F9AA1">
      <w:pPr>
        <w:pStyle w:val="10"/>
        <w:spacing w:before="11"/>
        <w:rPr>
          <w:rFonts w:hint="eastAsia" w:ascii="宋体" w:hAnsi="宋体" w:eastAsia="宋体" w:cs="宋体"/>
          <w:sz w:val="19"/>
          <w:highlight w:val="none"/>
        </w:rPr>
      </w:pPr>
    </w:p>
    <w:p w14:paraId="617A9846">
      <w:pPr>
        <w:pStyle w:val="10"/>
        <w:tabs>
          <w:tab w:val="left" w:pos="6543"/>
        </w:tabs>
        <w:ind w:left="3543"/>
        <w:rPr>
          <w:rFonts w:hint="eastAsia" w:ascii="宋体" w:hAnsi="宋体" w:eastAsia="宋体" w:cs="宋体"/>
          <w:highlight w:val="none"/>
        </w:rPr>
      </w:pPr>
      <w:r>
        <w:rPr>
          <w:rFonts w:hint="eastAsia" w:ascii="宋体" w:hAnsi="宋体" w:eastAsia="宋体" w:cs="宋体"/>
          <w:highlight w:val="none"/>
        </w:rPr>
        <w:t>竞争性磋商响应人：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3A0B9780">
      <w:pPr>
        <w:pStyle w:val="10"/>
        <w:tabs>
          <w:tab w:val="left" w:pos="5823"/>
          <w:tab w:val="left" w:pos="6783"/>
          <w:tab w:val="left" w:pos="7442"/>
        </w:tabs>
        <w:spacing w:before="132"/>
        <w:ind w:left="474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04631426">
      <w:pPr>
        <w:pStyle w:val="10"/>
        <w:rPr>
          <w:rFonts w:hint="eastAsia" w:ascii="宋体" w:hAnsi="宋体" w:eastAsia="宋体" w:cs="宋体"/>
          <w:sz w:val="26"/>
          <w:highlight w:val="none"/>
        </w:rPr>
      </w:pPr>
    </w:p>
    <w:p w14:paraId="1BE8AF85">
      <w:pPr>
        <w:pStyle w:val="10"/>
        <w:rPr>
          <w:rFonts w:hint="eastAsia" w:ascii="宋体" w:hAnsi="宋体" w:eastAsia="宋体" w:cs="宋体"/>
          <w:sz w:val="26"/>
          <w:highlight w:val="none"/>
        </w:rPr>
      </w:pPr>
    </w:p>
    <w:p w14:paraId="1387164B">
      <w:pPr>
        <w:pStyle w:val="10"/>
        <w:rPr>
          <w:rFonts w:hint="eastAsia" w:ascii="宋体" w:hAnsi="宋体" w:eastAsia="宋体" w:cs="宋体"/>
          <w:sz w:val="26"/>
          <w:highlight w:val="none"/>
        </w:rPr>
      </w:pPr>
    </w:p>
    <w:p w14:paraId="65801CB2">
      <w:pPr>
        <w:pStyle w:val="10"/>
        <w:rPr>
          <w:rFonts w:hint="eastAsia" w:ascii="宋体" w:hAnsi="宋体" w:eastAsia="宋体" w:cs="宋体"/>
          <w:sz w:val="26"/>
          <w:highlight w:val="none"/>
        </w:rPr>
      </w:pPr>
    </w:p>
    <w:p w14:paraId="0116D45F">
      <w:pPr>
        <w:pStyle w:val="10"/>
        <w:rPr>
          <w:rFonts w:hint="eastAsia" w:ascii="宋体" w:hAnsi="宋体" w:eastAsia="宋体" w:cs="宋体"/>
          <w:sz w:val="26"/>
          <w:highlight w:val="none"/>
        </w:rPr>
      </w:pPr>
    </w:p>
    <w:p w14:paraId="50F4EEAA">
      <w:pPr>
        <w:pStyle w:val="10"/>
        <w:spacing w:before="12"/>
        <w:rPr>
          <w:rFonts w:hint="eastAsia" w:ascii="宋体" w:hAnsi="宋体" w:eastAsia="宋体" w:cs="宋体"/>
          <w:sz w:val="19"/>
          <w:highlight w:val="none"/>
        </w:rPr>
      </w:pPr>
    </w:p>
    <w:p w14:paraId="447101AD">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0F04416F">
      <w:pPr>
        <w:pStyle w:val="10"/>
        <w:rPr>
          <w:rFonts w:hint="eastAsia" w:ascii="宋体" w:hAnsi="宋体" w:eastAsia="宋体" w:cs="宋体"/>
          <w:sz w:val="20"/>
          <w:highlight w:val="none"/>
        </w:rPr>
      </w:pPr>
    </w:p>
    <w:p w14:paraId="1C2A52AC">
      <w:pPr>
        <w:pStyle w:val="10"/>
        <w:spacing w:before="11"/>
        <w:rPr>
          <w:rFonts w:hint="eastAsia" w:ascii="宋体" w:hAnsi="宋体" w:eastAsia="宋体" w:cs="宋体"/>
          <w:sz w:val="15"/>
          <w:highlight w:val="none"/>
        </w:rPr>
      </w:pPr>
    </w:p>
    <w:p w14:paraId="7CE0F1DA">
      <w:pPr>
        <w:spacing w:before="61"/>
        <w:ind w:right="50"/>
        <w:jc w:val="center"/>
        <w:rPr>
          <w:rFonts w:hint="eastAsia" w:ascii="宋体" w:hAnsi="宋体" w:eastAsia="宋体" w:cs="宋体"/>
          <w:sz w:val="28"/>
          <w:highlight w:val="none"/>
        </w:rPr>
      </w:pPr>
      <w:bookmarkStart w:id="97" w:name="_TOC_250010"/>
      <w:bookmarkEnd w:id="97"/>
      <w:r>
        <w:rPr>
          <w:rFonts w:hint="eastAsia" w:ascii="宋体" w:hAnsi="宋体" w:eastAsia="宋体" w:cs="宋体"/>
          <w:sz w:val="28"/>
          <w:highlight w:val="none"/>
        </w:rPr>
        <w:t>三、投标保证金</w:t>
      </w:r>
    </w:p>
    <w:p w14:paraId="3D82C8A2">
      <w:pPr>
        <w:pStyle w:val="10"/>
        <w:rPr>
          <w:rFonts w:hint="eastAsia" w:ascii="宋体" w:hAnsi="宋体" w:eastAsia="宋体" w:cs="宋体"/>
          <w:sz w:val="28"/>
          <w:highlight w:val="none"/>
        </w:rPr>
      </w:pPr>
    </w:p>
    <w:p w14:paraId="61E865C4">
      <w:pPr>
        <w:pStyle w:val="10"/>
        <w:rPr>
          <w:rFonts w:hint="eastAsia" w:ascii="宋体" w:hAnsi="宋体" w:eastAsia="宋体" w:cs="宋体"/>
          <w:sz w:val="32"/>
          <w:highlight w:val="none"/>
        </w:rPr>
      </w:pPr>
    </w:p>
    <w:p w14:paraId="7A414595">
      <w:pPr>
        <w:pStyle w:val="10"/>
        <w:ind w:left="732"/>
        <w:rPr>
          <w:rFonts w:hint="eastAsia" w:ascii="宋体" w:hAnsi="宋体" w:eastAsia="宋体" w:cs="宋体"/>
          <w:highlight w:val="none"/>
        </w:rPr>
      </w:pPr>
      <w:r>
        <w:rPr>
          <w:rFonts w:hint="eastAsia" w:ascii="宋体" w:hAnsi="宋体" w:eastAsia="宋体" w:cs="宋体"/>
          <w:highlight w:val="none"/>
        </w:rPr>
        <w:t>若采用电汇或网银，投标人应在此提供汇款凭证。</w:t>
      </w:r>
    </w:p>
    <w:p w14:paraId="17BFC7A1">
      <w:pPr>
        <w:pStyle w:val="10"/>
        <w:spacing w:before="91"/>
        <w:ind w:left="732"/>
        <w:rPr>
          <w:rFonts w:hint="eastAsia" w:ascii="宋体" w:hAnsi="宋体" w:eastAsia="宋体" w:cs="宋体"/>
          <w:highlight w:val="none"/>
        </w:rPr>
      </w:pPr>
      <w:r>
        <w:rPr>
          <w:rFonts w:hint="eastAsia" w:ascii="宋体" w:hAnsi="宋体" w:eastAsia="宋体" w:cs="宋体"/>
          <w:highlight w:val="none"/>
        </w:rPr>
        <w:t>如采用银行保函，银行保函原件的扫描件应装订在投标文件中，格式如下。</w:t>
      </w:r>
    </w:p>
    <w:p w14:paraId="021B3779">
      <w:pPr>
        <w:pStyle w:val="10"/>
        <w:rPr>
          <w:rFonts w:hint="eastAsia" w:ascii="宋体" w:hAnsi="宋体" w:eastAsia="宋体" w:cs="宋体"/>
          <w:sz w:val="20"/>
          <w:highlight w:val="none"/>
        </w:rPr>
      </w:pPr>
    </w:p>
    <w:p w14:paraId="5B3755F0">
      <w:pPr>
        <w:pStyle w:val="10"/>
        <w:spacing w:before="8"/>
        <w:rPr>
          <w:rFonts w:hint="eastAsia" w:ascii="宋体" w:hAnsi="宋体" w:eastAsia="宋体" w:cs="宋体"/>
          <w:sz w:val="17"/>
          <w:highlight w:val="none"/>
        </w:rPr>
      </w:pPr>
    </w:p>
    <w:p w14:paraId="087A8081">
      <w:pPr>
        <w:pStyle w:val="10"/>
        <w:tabs>
          <w:tab w:val="left" w:pos="256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628666C3">
      <w:pPr>
        <w:pStyle w:val="10"/>
        <w:rPr>
          <w:rFonts w:hint="eastAsia" w:ascii="宋体" w:hAnsi="宋体" w:eastAsia="宋体" w:cs="宋体"/>
          <w:sz w:val="26"/>
          <w:highlight w:val="none"/>
        </w:rPr>
      </w:pPr>
    </w:p>
    <w:p w14:paraId="74CD9E66">
      <w:pPr>
        <w:pStyle w:val="10"/>
        <w:spacing w:before="7"/>
        <w:rPr>
          <w:rFonts w:hint="eastAsia" w:ascii="宋体" w:hAnsi="宋体" w:eastAsia="宋体" w:cs="宋体"/>
          <w:sz w:val="18"/>
          <w:highlight w:val="none"/>
        </w:rPr>
      </w:pPr>
    </w:p>
    <w:p w14:paraId="3029B481">
      <w:pPr>
        <w:pStyle w:val="10"/>
        <w:tabs>
          <w:tab w:val="left" w:pos="1663"/>
          <w:tab w:val="left" w:pos="2729"/>
          <w:tab w:val="left" w:pos="3823"/>
          <w:tab w:val="left" w:pos="4543"/>
          <w:tab w:val="left" w:pos="6703"/>
          <w:tab w:val="left" w:pos="7219"/>
          <w:tab w:val="left" w:pos="7819"/>
          <w:tab w:val="left" w:pos="8419"/>
        </w:tabs>
        <w:spacing w:line="343" w:lineRule="auto"/>
        <w:ind w:left="224" w:right="386" w:firstLine="480"/>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（投标人名称</w:t>
      </w:r>
      <w:r>
        <w:rPr>
          <w:rFonts w:hint="eastAsia" w:ascii="宋体" w:hAnsi="宋体" w:eastAsia="宋体" w:cs="宋体"/>
          <w:spacing w:val="-15"/>
          <w:highlight w:val="none"/>
        </w:rPr>
        <w:t>）（</w:t>
      </w:r>
      <w:r>
        <w:rPr>
          <w:rFonts w:hint="eastAsia" w:ascii="宋体" w:hAnsi="宋体" w:eastAsia="宋体" w:cs="宋体"/>
          <w:highlight w:val="none"/>
        </w:rPr>
        <w:t>以下称“投标人</w:t>
      </w:r>
      <w:r>
        <w:rPr>
          <w:rFonts w:hint="eastAsia" w:ascii="宋体" w:hAnsi="宋体" w:eastAsia="宋体" w:cs="宋体"/>
          <w:spacing w:val="-7"/>
          <w:highlight w:val="none"/>
        </w:rPr>
        <w:t>”）</w:t>
      </w:r>
      <w:r>
        <w:rPr>
          <w:rFonts w:hint="eastAsia" w:ascii="宋体" w:hAnsi="宋体" w:eastAsia="宋体" w:cs="宋体"/>
          <w:highlight w:val="none"/>
        </w:rPr>
        <w:t>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（项目名称）施工的投标，</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（担保人名称，以下简称“我方</w:t>
      </w:r>
      <w:r>
        <w:rPr>
          <w:rFonts w:hint="eastAsia" w:ascii="宋体" w:hAnsi="宋体" w:eastAsia="宋体" w:cs="宋体"/>
          <w:spacing w:val="-11"/>
          <w:highlight w:val="none"/>
        </w:rPr>
        <w:t>”）</w:t>
      </w:r>
      <w:r>
        <w:rPr>
          <w:rFonts w:hint="eastAsia" w:ascii="宋体" w:hAnsi="宋体" w:eastAsia="宋体" w:cs="宋体"/>
          <w:highlight w:val="none"/>
        </w:rPr>
        <w:t>无条件地</w:t>
      </w:r>
      <w:r>
        <w:rPr>
          <w:rFonts w:hint="eastAsia" w:ascii="宋体" w:hAnsi="宋体" w:eastAsia="宋体" w:cs="宋体"/>
          <w:spacing w:val="-20"/>
          <w:highlight w:val="none"/>
        </w:rPr>
        <w:t>、</w:t>
      </w:r>
      <w:r>
        <w:rPr>
          <w:rFonts w:hint="eastAsia" w:ascii="宋体" w:hAnsi="宋体" w:eastAsia="宋体" w:cs="宋体"/>
          <w:highlight w:val="none"/>
        </w:rPr>
        <w:t>不可撤销地保证</w:t>
      </w:r>
      <w:r>
        <w:rPr>
          <w:rFonts w:hint="eastAsia" w:ascii="宋体" w:hAnsi="宋体" w:eastAsia="宋体" w:cs="宋体"/>
          <w:spacing w:val="-17"/>
          <w:highlight w:val="none"/>
        </w:rPr>
        <w:t>：</w:t>
      </w:r>
      <w:r>
        <w:rPr>
          <w:rFonts w:hint="eastAsia" w:ascii="宋体" w:hAnsi="宋体" w:eastAsia="宋体" w:cs="宋体"/>
          <w:highlight w:val="none"/>
        </w:rPr>
        <w:t>若投标人在投标有效期内撤销投标响应文件</w:t>
      </w:r>
      <w:r>
        <w:rPr>
          <w:rFonts w:hint="eastAsia" w:ascii="宋体" w:hAnsi="宋体" w:eastAsia="宋体" w:cs="宋体"/>
          <w:spacing w:val="-18"/>
          <w:highlight w:val="none"/>
        </w:rPr>
        <w:t>，</w:t>
      </w:r>
      <w:r>
        <w:rPr>
          <w:rFonts w:hint="eastAsia" w:ascii="宋体" w:hAnsi="宋体" w:eastAsia="宋体" w:cs="宋体"/>
          <w:highlight w:val="none"/>
        </w:rPr>
        <w:t>中标后无正当理由不与采购人订立合同，在签订合同时向采购人提出附加条件，不按照磋商文件要求提交履约保证金，或发生磋商文件明确规定可以不予退还投标保证金的其他情形，我方承担保证责任。收到你方书面通知后，我方在</w:t>
      </w:r>
      <w:r>
        <w:rPr>
          <w:rFonts w:hint="eastAsia" w:ascii="宋体" w:hAnsi="宋体" w:eastAsia="宋体" w:cs="宋体"/>
          <w:spacing w:val="-60"/>
          <w:highlight w:val="none"/>
        </w:rPr>
        <w:t xml:space="preserve"> </w:t>
      </w:r>
      <w:r>
        <w:rPr>
          <w:rFonts w:hint="eastAsia" w:ascii="宋体" w:hAnsi="宋体" w:eastAsia="宋体" w:cs="宋体"/>
          <w:highlight w:val="none"/>
        </w:rPr>
        <w:t>7 日内向你方无条件支付人民币（大写）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元。</w:t>
      </w:r>
    </w:p>
    <w:p w14:paraId="60249C82">
      <w:pPr>
        <w:pStyle w:val="10"/>
        <w:spacing w:before="4" w:line="343" w:lineRule="auto"/>
        <w:ind w:left="224" w:right="542" w:firstLine="480"/>
        <w:rPr>
          <w:rFonts w:hint="eastAsia" w:ascii="宋体" w:hAnsi="宋体" w:eastAsia="宋体" w:cs="宋体"/>
          <w:highlight w:val="none"/>
        </w:rPr>
      </w:pPr>
      <w:r>
        <w:rPr>
          <w:rFonts w:hint="eastAsia" w:ascii="宋体" w:hAnsi="宋体" w:eastAsia="宋体" w:cs="宋体"/>
          <w:highlight w:val="none"/>
        </w:rPr>
        <w:t>本保函在投标有效期或经延长的投标有效期内保持有效。要求我方承担保证责任的通知应在上述期限内送达我方。你方延长投标有效期的决定，应通知我方。</w:t>
      </w:r>
    </w:p>
    <w:p w14:paraId="3AB38BB1">
      <w:pPr>
        <w:pStyle w:val="10"/>
        <w:rPr>
          <w:rFonts w:hint="eastAsia" w:ascii="宋体" w:hAnsi="宋体" w:eastAsia="宋体" w:cs="宋体"/>
          <w:highlight w:val="none"/>
        </w:rPr>
      </w:pPr>
    </w:p>
    <w:p w14:paraId="1F3C6200">
      <w:pPr>
        <w:pStyle w:val="10"/>
        <w:rPr>
          <w:rFonts w:hint="eastAsia" w:ascii="宋体" w:hAnsi="宋体" w:eastAsia="宋体" w:cs="宋体"/>
          <w:highlight w:val="none"/>
        </w:rPr>
      </w:pPr>
    </w:p>
    <w:p w14:paraId="2F0466F4">
      <w:pPr>
        <w:pStyle w:val="10"/>
        <w:rPr>
          <w:rFonts w:hint="eastAsia" w:ascii="宋体" w:hAnsi="宋体" w:eastAsia="宋体" w:cs="宋体"/>
          <w:highlight w:val="none"/>
        </w:rPr>
      </w:pPr>
    </w:p>
    <w:p w14:paraId="29C8FF76">
      <w:pPr>
        <w:pStyle w:val="10"/>
        <w:rPr>
          <w:rFonts w:hint="eastAsia" w:ascii="宋体" w:hAnsi="宋体" w:eastAsia="宋体" w:cs="宋体"/>
          <w:highlight w:val="none"/>
        </w:rPr>
      </w:pPr>
    </w:p>
    <w:p w14:paraId="01734F91">
      <w:pPr>
        <w:pStyle w:val="10"/>
        <w:rPr>
          <w:rFonts w:hint="eastAsia" w:ascii="宋体" w:hAnsi="宋体" w:eastAsia="宋体" w:cs="宋体"/>
          <w:highlight w:val="none"/>
        </w:rPr>
      </w:pPr>
    </w:p>
    <w:p w14:paraId="22D171F9">
      <w:pPr>
        <w:pStyle w:val="10"/>
        <w:spacing w:before="5"/>
        <w:rPr>
          <w:rFonts w:hint="eastAsia" w:ascii="宋体" w:hAnsi="宋体" w:eastAsia="宋体" w:cs="宋体"/>
          <w:sz w:val="17"/>
          <w:highlight w:val="none"/>
        </w:rPr>
      </w:pPr>
    </w:p>
    <w:p w14:paraId="699C2F3D">
      <w:pPr>
        <w:pStyle w:val="10"/>
        <w:tabs>
          <w:tab w:val="left" w:pos="7243"/>
          <w:tab w:val="left" w:pos="7723"/>
          <w:tab w:val="left" w:pos="8263"/>
        </w:tabs>
        <w:spacing w:line="343" w:lineRule="auto"/>
        <w:ind w:left="2203" w:right="722"/>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地   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317F4D7A">
      <w:pPr>
        <w:pStyle w:val="10"/>
        <w:tabs>
          <w:tab w:val="left" w:pos="8263"/>
        </w:tabs>
        <w:spacing w:before="1" w:line="343" w:lineRule="auto"/>
        <w:ind w:left="2203" w:right="1141"/>
        <w:jc w:val="both"/>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    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   真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220E4EE9">
      <w:pPr>
        <w:pStyle w:val="10"/>
        <w:tabs>
          <w:tab w:val="left" w:pos="6223"/>
          <w:tab w:val="left" w:pos="7183"/>
          <w:tab w:val="left" w:pos="8143"/>
        </w:tabs>
        <w:spacing w:before="1"/>
        <w:ind w:left="52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B36EA99">
      <w:pPr>
        <w:rPr>
          <w:rFonts w:hint="eastAsia" w:ascii="宋体" w:hAnsi="宋体" w:eastAsia="宋体" w:cs="宋体"/>
          <w:highlight w:val="none"/>
        </w:rPr>
        <w:sectPr>
          <w:pgSz w:w="11910" w:h="16840"/>
          <w:pgMar w:top="1440" w:right="1080" w:bottom="1040" w:left="1420" w:header="882" w:footer="847" w:gutter="0"/>
          <w:cols w:space="720" w:num="1"/>
        </w:sectPr>
      </w:pPr>
    </w:p>
    <w:p w14:paraId="25735C50">
      <w:pPr>
        <w:pStyle w:val="10"/>
        <w:rPr>
          <w:rFonts w:hint="eastAsia" w:ascii="宋体" w:hAnsi="宋体" w:eastAsia="宋体" w:cs="宋体"/>
          <w:sz w:val="20"/>
          <w:highlight w:val="none"/>
        </w:rPr>
      </w:pPr>
    </w:p>
    <w:p w14:paraId="6EF1924D">
      <w:pPr>
        <w:pStyle w:val="10"/>
        <w:spacing w:before="11"/>
        <w:rPr>
          <w:rFonts w:hint="eastAsia" w:ascii="宋体" w:hAnsi="宋体" w:eastAsia="宋体" w:cs="宋体"/>
          <w:sz w:val="15"/>
          <w:highlight w:val="none"/>
        </w:rPr>
      </w:pPr>
    </w:p>
    <w:p w14:paraId="66997BB0">
      <w:pPr>
        <w:spacing w:before="61"/>
        <w:ind w:left="2" w:right="50"/>
        <w:jc w:val="center"/>
        <w:rPr>
          <w:rFonts w:hint="eastAsia" w:ascii="宋体" w:hAnsi="宋体" w:eastAsia="宋体" w:cs="宋体"/>
          <w:sz w:val="28"/>
          <w:highlight w:val="none"/>
        </w:rPr>
      </w:pPr>
      <w:bookmarkStart w:id="98" w:name="_TOC_250009"/>
      <w:bookmarkEnd w:id="98"/>
      <w:r>
        <w:rPr>
          <w:rFonts w:hint="eastAsia" w:ascii="宋体" w:hAnsi="宋体" w:eastAsia="宋体" w:cs="宋体"/>
          <w:sz w:val="28"/>
          <w:highlight w:val="none"/>
        </w:rPr>
        <w:t>四、施工组织设计</w:t>
      </w:r>
    </w:p>
    <w:p w14:paraId="60ED61AB">
      <w:pPr>
        <w:pStyle w:val="10"/>
        <w:rPr>
          <w:rFonts w:hint="eastAsia" w:ascii="宋体" w:hAnsi="宋体" w:eastAsia="宋体" w:cs="宋体"/>
          <w:sz w:val="20"/>
          <w:highlight w:val="none"/>
        </w:rPr>
      </w:pPr>
    </w:p>
    <w:p w14:paraId="6106E59F">
      <w:pPr>
        <w:pStyle w:val="10"/>
        <w:spacing w:before="2"/>
        <w:rPr>
          <w:rFonts w:hint="eastAsia" w:ascii="宋体" w:hAnsi="宋体" w:eastAsia="宋体" w:cs="宋体"/>
          <w:sz w:val="23"/>
          <w:highlight w:val="none"/>
        </w:rPr>
      </w:pPr>
    </w:p>
    <w:p w14:paraId="7C23515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 投标人应按以下要点编制施工组织设计（文字宜精炼、内容具有针对性）： </w:t>
      </w:r>
    </w:p>
    <w:p w14:paraId="0997A79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（1）总体施工组织布置及规划 </w:t>
      </w:r>
    </w:p>
    <w:p w14:paraId="02764E3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（2）主要工程项目的施工方案、方法与技术措施（尤其对重点、关键和难点工 </w:t>
      </w:r>
    </w:p>
    <w:p w14:paraId="6250A1A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程的施工方案、方法及措施） </w:t>
      </w:r>
    </w:p>
    <w:p w14:paraId="7CB4C60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（3）工期保证体系及保证措施 </w:t>
      </w:r>
    </w:p>
    <w:p w14:paraId="07AC99A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（4）工程质量管理体系及保证措施 </w:t>
      </w:r>
    </w:p>
    <w:p w14:paraId="2D5B21B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（5）安全生产管理体系及保证措施 </w:t>
      </w:r>
    </w:p>
    <w:p w14:paraId="759D062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（6）环境保护、水土保持保证体系及保证措施 </w:t>
      </w:r>
    </w:p>
    <w:p w14:paraId="48231704">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（7）文明施工、文物保护保证体系及保证措施 </w:t>
      </w:r>
    </w:p>
    <w:p w14:paraId="63ABEDF3">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（8）项目风险预测与防范，事故应急预案 </w:t>
      </w:r>
    </w:p>
    <w:p w14:paraId="41E66685">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（9）其他应说明的事项 </w:t>
      </w:r>
    </w:p>
    <w:p w14:paraId="672CEBA7">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 施工组织设计除采用文字表述外可附下列图表，图表及格式要求附后。 </w:t>
      </w:r>
    </w:p>
    <w:p w14:paraId="6D81841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附表一 施工总体计划表 </w:t>
      </w:r>
    </w:p>
    <w:p w14:paraId="6C26DC5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附表二 施工总平面图</w:t>
      </w:r>
    </w:p>
    <w:p w14:paraId="7A68544E">
      <w:pPr>
        <w:pStyle w:val="10"/>
        <w:rPr>
          <w:rFonts w:hint="eastAsia" w:ascii="宋体" w:hAnsi="宋体" w:eastAsia="宋体" w:cs="宋体"/>
          <w:sz w:val="20"/>
          <w:highlight w:val="none"/>
        </w:rPr>
      </w:pPr>
    </w:p>
    <w:p w14:paraId="6E4C25BE">
      <w:pPr>
        <w:pStyle w:val="10"/>
        <w:rPr>
          <w:rFonts w:hint="eastAsia" w:ascii="宋体" w:hAnsi="宋体" w:eastAsia="宋体" w:cs="宋体"/>
          <w:sz w:val="26"/>
          <w:highlight w:val="none"/>
        </w:rPr>
      </w:pPr>
      <w:bookmarkStart w:id="99" w:name="附表一_施工总体计划表"/>
      <w:bookmarkEnd w:id="99"/>
    </w:p>
    <w:p w14:paraId="5405F269">
      <w:pPr>
        <w:pStyle w:val="25"/>
        <w:rPr>
          <w:rFonts w:hint="eastAsia" w:ascii="宋体" w:hAnsi="宋体" w:eastAsia="宋体" w:cs="宋体"/>
          <w:sz w:val="26"/>
          <w:highlight w:val="none"/>
        </w:rPr>
      </w:pPr>
    </w:p>
    <w:p w14:paraId="0F7675F5">
      <w:pPr>
        <w:rPr>
          <w:rFonts w:hint="eastAsia" w:ascii="宋体" w:hAnsi="宋体" w:eastAsia="宋体" w:cs="宋体"/>
          <w:sz w:val="26"/>
          <w:highlight w:val="none"/>
        </w:rPr>
      </w:pPr>
    </w:p>
    <w:p w14:paraId="5AEB0101">
      <w:pPr>
        <w:pStyle w:val="22"/>
        <w:ind w:firstLine="520"/>
        <w:rPr>
          <w:rFonts w:hint="eastAsia" w:ascii="宋体" w:hAnsi="宋体" w:eastAsia="宋体" w:cs="宋体"/>
          <w:sz w:val="26"/>
          <w:highlight w:val="none"/>
        </w:rPr>
      </w:pPr>
    </w:p>
    <w:p w14:paraId="25FD4A29">
      <w:pPr>
        <w:pStyle w:val="22"/>
        <w:ind w:firstLine="520"/>
        <w:rPr>
          <w:rFonts w:hint="eastAsia" w:ascii="宋体" w:hAnsi="宋体" w:eastAsia="宋体" w:cs="宋体"/>
          <w:sz w:val="26"/>
          <w:highlight w:val="none"/>
        </w:rPr>
      </w:pPr>
    </w:p>
    <w:p w14:paraId="5125D0A8">
      <w:pPr>
        <w:pStyle w:val="22"/>
        <w:ind w:firstLine="520"/>
        <w:rPr>
          <w:rFonts w:hint="eastAsia" w:ascii="宋体" w:hAnsi="宋体" w:eastAsia="宋体" w:cs="宋体"/>
          <w:sz w:val="26"/>
          <w:highlight w:val="none"/>
        </w:rPr>
      </w:pPr>
    </w:p>
    <w:p w14:paraId="1B1FF52E">
      <w:pPr>
        <w:pStyle w:val="22"/>
        <w:ind w:firstLine="520"/>
        <w:rPr>
          <w:rFonts w:hint="eastAsia" w:ascii="宋体" w:hAnsi="宋体" w:eastAsia="宋体" w:cs="宋体"/>
          <w:sz w:val="26"/>
          <w:highlight w:val="none"/>
        </w:rPr>
      </w:pPr>
    </w:p>
    <w:p w14:paraId="62FD4398">
      <w:pPr>
        <w:pStyle w:val="22"/>
        <w:ind w:firstLine="520"/>
        <w:rPr>
          <w:rFonts w:hint="eastAsia" w:ascii="宋体" w:hAnsi="宋体" w:eastAsia="宋体" w:cs="宋体"/>
          <w:sz w:val="26"/>
          <w:highlight w:val="none"/>
        </w:rPr>
      </w:pPr>
    </w:p>
    <w:p w14:paraId="26192E98">
      <w:pPr>
        <w:pStyle w:val="22"/>
        <w:ind w:firstLine="520"/>
        <w:rPr>
          <w:rFonts w:hint="eastAsia" w:ascii="宋体" w:hAnsi="宋体" w:eastAsia="宋体" w:cs="宋体"/>
          <w:sz w:val="26"/>
          <w:highlight w:val="none"/>
        </w:rPr>
      </w:pPr>
    </w:p>
    <w:p w14:paraId="5C60D540">
      <w:pPr>
        <w:pStyle w:val="22"/>
        <w:ind w:firstLine="520"/>
        <w:rPr>
          <w:rFonts w:hint="eastAsia" w:ascii="宋体" w:hAnsi="宋体" w:eastAsia="宋体" w:cs="宋体"/>
          <w:sz w:val="26"/>
          <w:highlight w:val="none"/>
        </w:rPr>
      </w:pPr>
    </w:p>
    <w:p w14:paraId="7F2FA9CF">
      <w:pPr>
        <w:pStyle w:val="22"/>
        <w:ind w:firstLine="520"/>
        <w:rPr>
          <w:rFonts w:hint="eastAsia" w:ascii="宋体" w:hAnsi="宋体" w:eastAsia="宋体" w:cs="宋体"/>
          <w:sz w:val="26"/>
          <w:highlight w:val="none"/>
        </w:rPr>
      </w:pPr>
    </w:p>
    <w:p w14:paraId="15229CFF">
      <w:pPr>
        <w:spacing w:before="62"/>
        <w:ind w:left="35" w:right="199"/>
        <w:jc w:val="center"/>
        <w:rPr>
          <w:rFonts w:hint="eastAsia" w:ascii="宋体" w:hAnsi="宋体" w:eastAsia="宋体" w:cs="宋体"/>
          <w:sz w:val="28"/>
          <w:highlight w:val="none"/>
        </w:rPr>
      </w:pPr>
      <w:r>
        <w:rPr>
          <w:rFonts w:hint="eastAsia" w:ascii="宋体" w:hAnsi="宋体" w:eastAsia="宋体" w:cs="宋体"/>
          <w:highlight w:val="none"/>
        </w:rPr>
        <mc:AlternateContent>
          <mc:Choice Requires="wps">
            <w:drawing>
              <wp:anchor distT="0" distB="0" distL="114300" distR="114300" simplePos="0" relativeHeight="251667456" behindDoc="1" locked="0" layoutInCell="1" allowOverlap="1">
                <wp:simplePos x="0" y="0"/>
                <wp:positionH relativeFrom="page">
                  <wp:posOffset>1137920</wp:posOffset>
                </wp:positionH>
                <wp:positionV relativeFrom="paragraph">
                  <wp:posOffset>474345</wp:posOffset>
                </wp:positionV>
                <wp:extent cx="5549265" cy="7501255"/>
                <wp:effectExtent l="0" t="0" r="13335" b="272415"/>
                <wp:wrapNone/>
                <wp:docPr id="3" name="自选图形 105"/>
                <wp:cNvGraphicFramePr/>
                <a:graphic xmlns:a="http://schemas.openxmlformats.org/drawingml/2006/main">
                  <a:graphicData uri="http://schemas.microsoft.com/office/word/2010/wordprocessingShape">
                    <wps:wsp>
                      <wps:cNvSpPr/>
                      <wps:spPr>
                        <a:xfrm>
                          <a:off x="0" y="0"/>
                          <a:ext cx="5549265" cy="7501255"/>
                        </a:xfrm>
                        <a:custGeom>
                          <a:avLst/>
                          <a:gdLst/>
                          <a:ahLst/>
                          <a:cxnLst/>
                          <a:rect l="0" t="0" r="0" b="0"/>
                          <a:pathLst>
                            <a:path w="8739" h="11813">
                              <a:moveTo>
                                <a:pt x="0" y="417"/>
                              </a:moveTo>
                              <a:lnTo>
                                <a:pt x="8738" y="417"/>
                              </a:lnTo>
                              <a:moveTo>
                                <a:pt x="0" y="9102"/>
                              </a:moveTo>
                              <a:lnTo>
                                <a:pt x="8738" y="9102"/>
                              </a:lnTo>
                              <a:moveTo>
                                <a:pt x="0" y="12222"/>
                              </a:moveTo>
                              <a:lnTo>
                                <a:pt x="8738" y="12222"/>
                              </a:lnTo>
                              <a:moveTo>
                                <a:pt x="7" y="410"/>
                              </a:moveTo>
                              <a:lnTo>
                                <a:pt x="7" y="12215"/>
                              </a:lnTo>
                              <a:moveTo>
                                <a:pt x="8731" y="410"/>
                              </a:moveTo>
                              <a:lnTo>
                                <a:pt x="8731" y="12215"/>
                              </a:lnTo>
                            </a:path>
                          </a:pathLst>
                        </a:custGeom>
                        <a:noFill/>
                        <a:ln w="9144" cap="flat" cmpd="sng">
                          <a:solidFill>
                            <a:srgbClr val="000000"/>
                          </a:solidFill>
                          <a:prstDash val="solid"/>
                          <a:round/>
                          <a:headEnd type="none" w="med" len="med"/>
                          <a:tailEnd type="none" w="med" len="med"/>
                        </a:ln>
                      </wps:spPr>
                      <wps:txbx>
                        <w:txbxContent>
                          <w:p w14:paraId="4D61B669"/>
                        </w:txbxContent>
                      </wps:txbx>
                      <wps:bodyPr upright="1"/>
                    </wps:wsp>
                  </a:graphicData>
                </a:graphic>
              </wp:anchor>
            </w:drawing>
          </mc:Choice>
          <mc:Fallback>
            <w:pict>
              <v:shape id="自选图形 105" o:spid="_x0000_s1026" o:spt="100" style="position:absolute;left:0pt;margin-left:89.6pt;margin-top:37.35pt;height:590.65pt;width:436.95pt;mso-position-horizontal-relative:page;z-index:-251649024;mso-width-relative:page;mso-height-relative:page;" filled="f" stroked="t" coordsize="8739,11813" o:gfxdata="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3vvWg2wAAAAwBAAAPAAAA&#10;AAAAAAEAIAAAACIAAABkcnMvZG93bnJldi54bWxQSwECFAAUAAAACACHTuJAX0uy44QCAAAhBgAA&#10;DgAAAAAAAAABACAAAAAqAQAAZHJzL2Uyb0RvYy54bWxQSwUGAAAAAAYABgBZAQAAIAYAAAAA&#10;" path="m0,417l8738,417m0,9102l8738,9102m0,12222l8738,12222m7,410l7,12215m8731,410l8731,12215e">
                <v:path textboxrect="0,0,8739,11813"/>
                <v:fill on="f" focussize="0,0"/>
                <v:stroke weight="0.72pt" color="#000000" joinstyle="round"/>
                <v:imagedata o:title=""/>
                <o:lock v:ext="edit" aspectratio="f"/>
                <v:textbox>
                  <w:txbxContent>
                    <w:p w14:paraId="4D61B669"/>
                  </w:txbxContent>
                </v:textbox>
              </v:shape>
            </w:pict>
          </mc:Fallback>
        </mc:AlternateContent>
      </w:r>
      <w:bookmarkStart w:id="100" w:name="_TOC_250008"/>
      <w:bookmarkEnd w:id="100"/>
      <w:r>
        <w:rPr>
          <w:rFonts w:hint="eastAsia" w:ascii="宋体" w:hAnsi="宋体" w:eastAsia="宋体" w:cs="宋体"/>
          <w:sz w:val="28"/>
          <w:highlight w:val="none"/>
        </w:rPr>
        <w:t>五、项目管理机构</w:t>
      </w:r>
    </w:p>
    <w:p w14:paraId="7BBE2C7D">
      <w:pPr>
        <w:pStyle w:val="10"/>
        <w:rPr>
          <w:rFonts w:hint="eastAsia" w:ascii="宋体" w:hAnsi="宋体" w:eastAsia="宋体" w:cs="宋体"/>
          <w:sz w:val="28"/>
          <w:highlight w:val="none"/>
        </w:rPr>
      </w:pPr>
    </w:p>
    <w:p w14:paraId="11E015E8">
      <w:pPr>
        <w:pStyle w:val="10"/>
        <w:rPr>
          <w:rFonts w:hint="eastAsia" w:ascii="宋体" w:hAnsi="宋体" w:eastAsia="宋体" w:cs="宋体"/>
          <w:sz w:val="28"/>
          <w:highlight w:val="none"/>
        </w:rPr>
      </w:pPr>
    </w:p>
    <w:p w14:paraId="0B02D220">
      <w:pPr>
        <w:pStyle w:val="10"/>
        <w:rPr>
          <w:rFonts w:hint="eastAsia" w:ascii="宋体" w:hAnsi="宋体" w:eastAsia="宋体" w:cs="宋体"/>
          <w:sz w:val="28"/>
          <w:highlight w:val="none"/>
        </w:rPr>
      </w:pPr>
    </w:p>
    <w:p w14:paraId="1652C5AB">
      <w:pPr>
        <w:pStyle w:val="10"/>
        <w:spacing w:before="11"/>
        <w:rPr>
          <w:rFonts w:hint="eastAsia" w:ascii="宋体" w:hAnsi="宋体" w:eastAsia="宋体" w:cs="宋体"/>
          <w:sz w:val="35"/>
          <w:highlight w:val="none"/>
        </w:rPr>
      </w:pPr>
    </w:p>
    <w:p w14:paraId="123ADEEC">
      <w:pPr>
        <w:ind w:left="1020"/>
        <w:rPr>
          <w:rFonts w:hint="eastAsia" w:ascii="宋体" w:hAnsi="宋体" w:eastAsia="宋体" w:cs="宋体"/>
          <w:sz w:val="20"/>
          <w:highlight w:val="none"/>
        </w:rPr>
      </w:pPr>
      <w:r>
        <w:rPr>
          <w:rFonts w:hint="eastAsia" w:ascii="宋体" w:hAnsi="宋体" w:eastAsia="宋体" w:cs="宋体"/>
          <w:sz w:val="20"/>
          <w:highlight w:val="none"/>
        </w:rPr>
        <w:t>拟为承包本标段工程设立的组织机构以框图方式表示。</w:t>
      </w:r>
    </w:p>
    <w:p w14:paraId="143BD639">
      <w:pPr>
        <w:pStyle w:val="10"/>
        <w:rPr>
          <w:rFonts w:hint="eastAsia" w:ascii="宋体" w:hAnsi="宋体" w:eastAsia="宋体" w:cs="宋体"/>
          <w:sz w:val="20"/>
          <w:highlight w:val="none"/>
        </w:rPr>
      </w:pPr>
    </w:p>
    <w:p w14:paraId="1F88C4F9">
      <w:pPr>
        <w:pStyle w:val="10"/>
        <w:rPr>
          <w:rFonts w:hint="eastAsia" w:ascii="宋体" w:hAnsi="宋体" w:eastAsia="宋体" w:cs="宋体"/>
          <w:sz w:val="20"/>
          <w:highlight w:val="none"/>
        </w:rPr>
      </w:pPr>
    </w:p>
    <w:p w14:paraId="598A4714">
      <w:pPr>
        <w:pStyle w:val="10"/>
        <w:rPr>
          <w:rFonts w:hint="eastAsia" w:ascii="宋体" w:hAnsi="宋体" w:eastAsia="宋体" w:cs="宋体"/>
          <w:sz w:val="20"/>
          <w:highlight w:val="none"/>
        </w:rPr>
      </w:pPr>
    </w:p>
    <w:p w14:paraId="36CA38B6">
      <w:pPr>
        <w:pStyle w:val="10"/>
        <w:rPr>
          <w:rFonts w:hint="eastAsia" w:ascii="宋体" w:hAnsi="宋体" w:eastAsia="宋体" w:cs="宋体"/>
          <w:sz w:val="20"/>
          <w:highlight w:val="none"/>
        </w:rPr>
      </w:pPr>
    </w:p>
    <w:p w14:paraId="6EFDD738">
      <w:pPr>
        <w:pStyle w:val="10"/>
        <w:rPr>
          <w:rFonts w:hint="eastAsia" w:ascii="宋体" w:hAnsi="宋体" w:eastAsia="宋体" w:cs="宋体"/>
          <w:sz w:val="20"/>
          <w:highlight w:val="none"/>
        </w:rPr>
      </w:pPr>
    </w:p>
    <w:p w14:paraId="0832A016">
      <w:pPr>
        <w:pStyle w:val="10"/>
        <w:rPr>
          <w:rFonts w:hint="eastAsia" w:ascii="宋体" w:hAnsi="宋体" w:eastAsia="宋体" w:cs="宋体"/>
          <w:sz w:val="20"/>
          <w:highlight w:val="none"/>
        </w:rPr>
      </w:pPr>
    </w:p>
    <w:p w14:paraId="4CBEA66B">
      <w:pPr>
        <w:pStyle w:val="10"/>
        <w:rPr>
          <w:rFonts w:hint="eastAsia" w:ascii="宋体" w:hAnsi="宋体" w:eastAsia="宋体" w:cs="宋体"/>
          <w:sz w:val="20"/>
          <w:highlight w:val="none"/>
        </w:rPr>
      </w:pPr>
    </w:p>
    <w:p w14:paraId="4A7C213D">
      <w:pPr>
        <w:pStyle w:val="10"/>
        <w:rPr>
          <w:rFonts w:hint="eastAsia" w:ascii="宋体" w:hAnsi="宋体" w:eastAsia="宋体" w:cs="宋体"/>
          <w:sz w:val="20"/>
          <w:highlight w:val="none"/>
        </w:rPr>
      </w:pPr>
    </w:p>
    <w:p w14:paraId="3CEA0C97">
      <w:pPr>
        <w:pStyle w:val="10"/>
        <w:rPr>
          <w:rFonts w:hint="eastAsia" w:ascii="宋体" w:hAnsi="宋体" w:eastAsia="宋体" w:cs="宋体"/>
          <w:sz w:val="20"/>
          <w:highlight w:val="none"/>
        </w:rPr>
      </w:pPr>
    </w:p>
    <w:p w14:paraId="329E3492">
      <w:pPr>
        <w:pStyle w:val="10"/>
        <w:rPr>
          <w:rFonts w:hint="eastAsia" w:ascii="宋体" w:hAnsi="宋体" w:eastAsia="宋体" w:cs="宋体"/>
          <w:sz w:val="20"/>
          <w:highlight w:val="none"/>
        </w:rPr>
      </w:pPr>
    </w:p>
    <w:p w14:paraId="28940A0B">
      <w:pPr>
        <w:pStyle w:val="10"/>
        <w:rPr>
          <w:rFonts w:hint="eastAsia" w:ascii="宋体" w:hAnsi="宋体" w:eastAsia="宋体" w:cs="宋体"/>
          <w:sz w:val="20"/>
          <w:highlight w:val="none"/>
        </w:rPr>
      </w:pPr>
    </w:p>
    <w:p w14:paraId="65809B28">
      <w:pPr>
        <w:pStyle w:val="10"/>
        <w:rPr>
          <w:rFonts w:hint="eastAsia" w:ascii="宋体" w:hAnsi="宋体" w:eastAsia="宋体" w:cs="宋体"/>
          <w:sz w:val="20"/>
          <w:highlight w:val="none"/>
        </w:rPr>
      </w:pPr>
    </w:p>
    <w:p w14:paraId="0F0BF4F7">
      <w:pPr>
        <w:pStyle w:val="10"/>
        <w:rPr>
          <w:rFonts w:hint="eastAsia" w:ascii="宋体" w:hAnsi="宋体" w:eastAsia="宋体" w:cs="宋体"/>
          <w:sz w:val="20"/>
          <w:highlight w:val="none"/>
        </w:rPr>
      </w:pPr>
    </w:p>
    <w:p w14:paraId="5564A0E6">
      <w:pPr>
        <w:pStyle w:val="10"/>
        <w:rPr>
          <w:rFonts w:hint="eastAsia" w:ascii="宋体" w:hAnsi="宋体" w:eastAsia="宋体" w:cs="宋体"/>
          <w:sz w:val="20"/>
          <w:highlight w:val="none"/>
        </w:rPr>
      </w:pPr>
    </w:p>
    <w:p w14:paraId="7814FF1F">
      <w:pPr>
        <w:pStyle w:val="10"/>
        <w:rPr>
          <w:rFonts w:hint="eastAsia" w:ascii="宋体" w:hAnsi="宋体" w:eastAsia="宋体" w:cs="宋体"/>
          <w:sz w:val="20"/>
          <w:highlight w:val="none"/>
        </w:rPr>
      </w:pPr>
    </w:p>
    <w:p w14:paraId="2E38C062">
      <w:pPr>
        <w:pStyle w:val="10"/>
        <w:rPr>
          <w:rFonts w:hint="eastAsia" w:ascii="宋体" w:hAnsi="宋体" w:eastAsia="宋体" w:cs="宋体"/>
          <w:sz w:val="20"/>
          <w:highlight w:val="none"/>
        </w:rPr>
      </w:pPr>
    </w:p>
    <w:p w14:paraId="7F7912F7">
      <w:pPr>
        <w:pStyle w:val="10"/>
        <w:rPr>
          <w:rFonts w:hint="eastAsia" w:ascii="宋体" w:hAnsi="宋体" w:eastAsia="宋体" w:cs="宋体"/>
          <w:sz w:val="20"/>
          <w:highlight w:val="none"/>
        </w:rPr>
      </w:pPr>
    </w:p>
    <w:p w14:paraId="44C0575F">
      <w:pPr>
        <w:pStyle w:val="10"/>
        <w:rPr>
          <w:rFonts w:hint="eastAsia" w:ascii="宋体" w:hAnsi="宋体" w:eastAsia="宋体" w:cs="宋体"/>
          <w:sz w:val="20"/>
          <w:highlight w:val="none"/>
        </w:rPr>
      </w:pPr>
    </w:p>
    <w:p w14:paraId="33E38536">
      <w:pPr>
        <w:pStyle w:val="10"/>
        <w:rPr>
          <w:rFonts w:hint="eastAsia" w:ascii="宋体" w:hAnsi="宋体" w:eastAsia="宋体" w:cs="宋体"/>
          <w:sz w:val="20"/>
          <w:highlight w:val="none"/>
        </w:rPr>
      </w:pPr>
    </w:p>
    <w:p w14:paraId="1312EAB8">
      <w:pPr>
        <w:pStyle w:val="10"/>
        <w:rPr>
          <w:rFonts w:hint="eastAsia" w:ascii="宋体" w:hAnsi="宋体" w:eastAsia="宋体" w:cs="宋体"/>
          <w:sz w:val="20"/>
          <w:highlight w:val="none"/>
        </w:rPr>
      </w:pPr>
    </w:p>
    <w:p w14:paraId="393FA9B6">
      <w:pPr>
        <w:pStyle w:val="10"/>
        <w:rPr>
          <w:rFonts w:hint="eastAsia" w:ascii="宋体" w:hAnsi="宋体" w:eastAsia="宋体" w:cs="宋体"/>
          <w:sz w:val="20"/>
          <w:highlight w:val="none"/>
        </w:rPr>
      </w:pPr>
    </w:p>
    <w:p w14:paraId="0EA923B7">
      <w:pPr>
        <w:pStyle w:val="10"/>
        <w:rPr>
          <w:rFonts w:hint="eastAsia" w:ascii="宋体" w:hAnsi="宋体" w:eastAsia="宋体" w:cs="宋体"/>
          <w:sz w:val="20"/>
          <w:highlight w:val="none"/>
        </w:rPr>
      </w:pPr>
    </w:p>
    <w:p w14:paraId="5511DCDB">
      <w:pPr>
        <w:pStyle w:val="10"/>
        <w:rPr>
          <w:rFonts w:hint="eastAsia" w:ascii="宋体" w:hAnsi="宋体" w:eastAsia="宋体" w:cs="宋体"/>
          <w:sz w:val="20"/>
          <w:highlight w:val="none"/>
        </w:rPr>
      </w:pPr>
    </w:p>
    <w:p w14:paraId="052B1E63">
      <w:pPr>
        <w:pStyle w:val="10"/>
        <w:rPr>
          <w:rFonts w:hint="eastAsia" w:ascii="宋体" w:hAnsi="宋体" w:eastAsia="宋体" w:cs="宋体"/>
          <w:sz w:val="20"/>
          <w:highlight w:val="none"/>
        </w:rPr>
      </w:pPr>
    </w:p>
    <w:p w14:paraId="2BBBFD2D">
      <w:pPr>
        <w:pStyle w:val="10"/>
        <w:rPr>
          <w:rFonts w:hint="eastAsia" w:ascii="宋体" w:hAnsi="宋体" w:eastAsia="宋体" w:cs="宋体"/>
          <w:sz w:val="20"/>
          <w:highlight w:val="none"/>
        </w:rPr>
      </w:pPr>
    </w:p>
    <w:p w14:paraId="247A4D9D">
      <w:pPr>
        <w:pStyle w:val="10"/>
        <w:rPr>
          <w:rFonts w:hint="eastAsia" w:ascii="宋体" w:hAnsi="宋体" w:eastAsia="宋体" w:cs="宋体"/>
          <w:sz w:val="20"/>
          <w:highlight w:val="none"/>
        </w:rPr>
      </w:pPr>
    </w:p>
    <w:p w14:paraId="583D96C9">
      <w:pPr>
        <w:pStyle w:val="10"/>
        <w:rPr>
          <w:rFonts w:hint="eastAsia" w:ascii="宋体" w:hAnsi="宋体" w:eastAsia="宋体" w:cs="宋体"/>
          <w:sz w:val="20"/>
          <w:highlight w:val="none"/>
        </w:rPr>
      </w:pPr>
    </w:p>
    <w:p w14:paraId="76B2CBE8">
      <w:pPr>
        <w:pStyle w:val="10"/>
        <w:rPr>
          <w:rFonts w:hint="eastAsia" w:ascii="宋体" w:hAnsi="宋体" w:eastAsia="宋体" w:cs="宋体"/>
          <w:sz w:val="20"/>
          <w:highlight w:val="none"/>
        </w:rPr>
      </w:pPr>
    </w:p>
    <w:p w14:paraId="2BC47902">
      <w:pPr>
        <w:pStyle w:val="10"/>
        <w:rPr>
          <w:rFonts w:hint="eastAsia" w:ascii="宋体" w:hAnsi="宋体" w:eastAsia="宋体" w:cs="宋体"/>
          <w:sz w:val="20"/>
          <w:highlight w:val="none"/>
        </w:rPr>
      </w:pPr>
    </w:p>
    <w:p w14:paraId="4778CD5A">
      <w:pPr>
        <w:pStyle w:val="10"/>
        <w:rPr>
          <w:rFonts w:hint="eastAsia" w:ascii="宋体" w:hAnsi="宋体" w:eastAsia="宋体" w:cs="宋体"/>
          <w:sz w:val="20"/>
          <w:highlight w:val="none"/>
        </w:rPr>
      </w:pPr>
    </w:p>
    <w:p w14:paraId="5F4D5B24">
      <w:pPr>
        <w:pStyle w:val="10"/>
        <w:spacing w:before="3"/>
        <w:rPr>
          <w:rFonts w:hint="eastAsia" w:ascii="宋体" w:hAnsi="宋体" w:eastAsia="宋体" w:cs="宋体"/>
          <w:sz w:val="17"/>
          <w:highlight w:val="none"/>
        </w:rPr>
      </w:pPr>
    </w:p>
    <w:p w14:paraId="4534EB3C">
      <w:pPr>
        <w:ind w:left="1020"/>
        <w:rPr>
          <w:rFonts w:hint="eastAsia" w:ascii="宋体" w:hAnsi="宋体" w:eastAsia="宋体" w:cs="宋体"/>
          <w:sz w:val="20"/>
          <w:highlight w:val="none"/>
        </w:rPr>
      </w:pPr>
      <w:r>
        <w:rPr>
          <w:rFonts w:hint="eastAsia" w:ascii="宋体" w:hAnsi="宋体" w:eastAsia="宋体" w:cs="宋体"/>
          <w:sz w:val="20"/>
          <w:highlight w:val="none"/>
        </w:rPr>
        <w:t>说明</w:t>
      </w:r>
    </w:p>
    <w:p w14:paraId="2178C3D8">
      <w:pPr>
        <w:rPr>
          <w:rFonts w:hint="eastAsia" w:ascii="宋体" w:hAnsi="宋体" w:eastAsia="宋体" w:cs="宋体"/>
          <w:sz w:val="20"/>
          <w:highlight w:val="none"/>
        </w:rPr>
        <w:sectPr>
          <w:headerReference r:id="rId22" w:type="default"/>
          <w:footerReference r:id="rId23" w:type="default"/>
          <w:pgSz w:w="11910" w:h="16840"/>
          <w:pgMar w:top="1220" w:right="920" w:bottom="1180" w:left="1320" w:header="882" w:footer="989" w:gutter="0"/>
          <w:cols w:space="720" w:num="1"/>
        </w:sectPr>
      </w:pPr>
    </w:p>
    <w:p w14:paraId="51C4F940">
      <w:pPr>
        <w:pStyle w:val="10"/>
        <w:rPr>
          <w:rFonts w:hint="eastAsia" w:ascii="宋体" w:hAnsi="宋体" w:eastAsia="宋体" w:cs="宋体"/>
          <w:sz w:val="26"/>
          <w:highlight w:val="none"/>
        </w:rPr>
      </w:pPr>
    </w:p>
    <w:p w14:paraId="77E2DECB">
      <w:pPr>
        <w:spacing w:before="62"/>
        <w:ind w:left="32" w:right="199"/>
        <w:jc w:val="center"/>
        <w:rPr>
          <w:rFonts w:hint="eastAsia" w:ascii="宋体" w:hAnsi="宋体" w:eastAsia="宋体" w:cs="宋体"/>
          <w:sz w:val="28"/>
          <w:highlight w:val="none"/>
        </w:rPr>
      </w:pPr>
      <w:bookmarkStart w:id="101" w:name="_TOC_250007"/>
      <w:bookmarkEnd w:id="101"/>
      <w:r>
        <w:rPr>
          <w:rFonts w:hint="eastAsia" w:ascii="宋体" w:hAnsi="宋体" w:eastAsia="宋体" w:cs="宋体"/>
          <w:sz w:val="28"/>
          <w:highlight w:val="none"/>
        </w:rPr>
        <w:t>六、拟分包项目情况表</w:t>
      </w:r>
    </w:p>
    <w:p w14:paraId="581705B2">
      <w:pPr>
        <w:pStyle w:val="10"/>
        <w:rPr>
          <w:rFonts w:hint="eastAsia" w:ascii="宋体" w:hAnsi="宋体" w:eastAsia="宋体" w:cs="宋体"/>
          <w:sz w:val="20"/>
          <w:highlight w:val="none"/>
        </w:rPr>
      </w:pPr>
    </w:p>
    <w:p w14:paraId="1F8061B0">
      <w:pPr>
        <w:pStyle w:val="10"/>
        <w:spacing w:before="2"/>
        <w:rPr>
          <w:rFonts w:hint="eastAsia" w:ascii="宋体" w:hAnsi="宋体" w:eastAsia="宋体" w:cs="宋体"/>
          <w:sz w:val="14"/>
          <w:highlight w:val="none"/>
        </w:rPr>
      </w:pPr>
    </w:p>
    <w:tbl>
      <w:tblPr>
        <w:tblStyle w:val="23"/>
        <w:tblW w:w="9477"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534"/>
        <w:gridCol w:w="1923"/>
        <w:gridCol w:w="2664"/>
      </w:tblGrid>
      <w:tr w14:paraId="049E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76C6D83">
            <w:pPr>
              <w:pStyle w:val="27"/>
              <w:spacing w:before="152"/>
              <w:ind w:left="309"/>
              <w:rPr>
                <w:rFonts w:hint="eastAsia" w:ascii="宋体" w:hAnsi="宋体" w:eastAsia="宋体" w:cs="宋体"/>
                <w:sz w:val="20"/>
                <w:highlight w:val="none"/>
              </w:rPr>
            </w:pPr>
            <w:r>
              <w:rPr>
                <w:rFonts w:hint="eastAsia" w:ascii="宋体" w:hAnsi="宋体" w:eastAsia="宋体" w:cs="宋体"/>
                <w:sz w:val="20"/>
                <w:highlight w:val="none"/>
              </w:rPr>
              <w:t>拟分包的工程项目</w:t>
            </w:r>
          </w:p>
        </w:tc>
        <w:tc>
          <w:tcPr>
            <w:tcW w:w="2534" w:type="dxa"/>
          </w:tcPr>
          <w:p w14:paraId="05E170CC">
            <w:pPr>
              <w:pStyle w:val="27"/>
              <w:spacing w:before="152"/>
              <w:ind w:left="749"/>
              <w:rPr>
                <w:rFonts w:hint="eastAsia" w:ascii="宋体" w:hAnsi="宋体" w:eastAsia="宋体" w:cs="宋体"/>
                <w:sz w:val="20"/>
                <w:highlight w:val="none"/>
              </w:rPr>
            </w:pPr>
            <w:r>
              <w:rPr>
                <w:rFonts w:hint="eastAsia" w:ascii="宋体" w:hAnsi="宋体" w:eastAsia="宋体" w:cs="宋体"/>
                <w:sz w:val="20"/>
                <w:highlight w:val="none"/>
              </w:rPr>
              <w:t>主要工程内容</w:t>
            </w:r>
          </w:p>
        </w:tc>
        <w:tc>
          <w:tcPr>
            <w:tcW w:w="1923" w:type="dxa"/>
          </w:tcPr>
          <w:p w14:paraId="191EACC6">
            <w:pPr>
              <w:pStyle w:val="27"/>
              <w:spacing w:before="152"/>
              <w:ind w:left="272"/>
              <w:rPr>
                <w:rFonts w:hint="eastAsia" w:ascii="宋体" w:hAnsi="宋体" w:eastAsia="宋体" w:cs="宋体"/>
                <w:sz w:val="20"/>
                <w:highlight w:val="none"/>
              </w:rPr>
            </w:pPr>
            <w:r>
              <w:rPr>
                <w:rFonts w:hint="eastAsia" w:ascii="宋体" w:hAnsi="宋体" w:eastAsia="宋体" w:cs="宋体"/>
                <w:sz w:val="20"/>
                <w:highlight w:val="none"/>
              </w:rPr>
              <w:t>预计造价（万元）</w:t>
            </w:r>
          </w:p>
        </w:tc>
        <w:tc>
          <w:tcPr>
            <w:tcW w:w="2664" w:type="dxa"/>
          </w:tcPr>
          <w:p w14:paraId="7A3D70B5">
            <w:pPr>
              <w:pStyle w:val="27"/>
              <w:spacing w:before="152"/>
              <w:ind w:left="1144" w:right="970"/>
              <w:jc w:val="center"/>
              <w:rPr>
                <w:rFonts w:hint="eastAsia" w:ascii="宋体" w:hAnsi="宋体" w:eastAsia="宋体" w:cs="宋体"/>
                <w:sz w:val="20"/>
                <w:highlight w:val="none"/>
              </w:rPr>
            </w:pPr>
            <w:r>
              <w:rPr>
                <w:rFonts w:hint="eastAsia" w:ascii="宋体" w:hAnsi="宋体" w:eastAsia="宋体" w:cs="宋体"/>
                <w:sz w:val="20"/>
                <w:highlight w:val="none"/>
              </w:rPr>
              <w:t>备 注</w:t>
            </w:r>
          </w:p>
        </w:tc>
      </w:tr>
      <w:tr w14:paraId="234D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20B80EE">
            <w:pPr>
              <w:pStyle w:val="27"/>
              <w:rPr>
                <w:rFonts w:hint="eastAsia" w:ascii="宋体" w:hAnsi="宋体" w:eastAsia="宋体" w:cs="宋体"/>
                <w:sz w:val="20"/>
                <w:highlight w:val="none"/>
              </w:rPr>
            </w:pPr>
          </w:p>
        </w:tc>
        <w:tc>
          <w:tcPr>
            <w:tcW w:w="2534" w:type="dxa"/>
          </w:tcPr>
          <w:p w14:paraId="20EC932F">
            <w:pPr>
              <w:pStyle w:val="27"/>
              <w:rPr>
                <w:rFonts w:hint="eastAsia" w:ascii="宋体" w:hAnsi="宋体" w:eastAsia="宋体" w:cs="宋体"/>
                <w:sz w:val="20"/>
                <w:highlight w:val="none"/>
              </w:rPr>
            </w:pPr>
          </w:p>
        </w:tc>
        <w:tc>
          <w:tcPr>
            <w:tcW w:w="1923" w:type="dxa"/>
          </w:tcPr>
          <w:p w14:paraId="5B965EED">
            <w:pPr>
              <w:pStyle w:val="27"/>
              <w:rPr>
                <w:rFonts w:hint="eastAsia" w:ascii="宋体" w:hAnsi="宋体" w:eastAsia="宋体" w:cs="宋体"/>
                <w:sz w:val="20"/>
                <w:highlight w:val="none"/>
              </w:rPr>
            </w:pPr>
          </w:p>
        </w:tc>
        <w:tc>
          <w:tcPr>
            <w:tcW w:w="2664" w:type="dxa"/>
            <w:vMerge w:val="restart"/>
          </w:tcPr>
          <w:p w14:paraId="483A0503">
            <w:pPr>
              <w:pStyle w:val="27"/>
              <w:rPr>
                <w:rFonts w:hint="eastAsia" w:ascii="宋体" w:hAnsi="宋体" w:eastAsia="宋体" w:cs="宋体"/>
                <w:highlight w:val="none"/>
              </w:rPr>
            </w:pPr>
          </w:p>
          <w:p w14:paraId="089E169B">
            <w:pPr>
              <w:pStyle w:val="27"/>
              <w:rPr>
                <w:rFonts w:hint="eastAsia" w:ascii="宋体" w:hAnsi="宋体" w:eastAsia="宋体" w:cs="宋体"/>
                <w:highlight w:val="none"/>
              </w:rPr>
            </w:pPr>
          </w:p>
          <w:p w14:paraId="1F8FDA13">
            <w:pPr>
              <w:pStyle w:val="27"/>
              <w:rPr>
                <w:rFonts w:hint="eastAsia" w:ascii="宋体" w:hAnsi="宋体" w:eastAsia="宋体" w:cs="宋体"/>
                <w:highlight w:val="none"/>
              </w:rPr>
            </w:pPr>
          </w:p>
          <w:p w14:paraId="5F261B5D">
            <w:pPr>
              <w:pStyle w:val="27"/>
              <w:rPr>
                <w:rFonts w:hint="eastAsia" w:ascii="宋体" w:hAnsi="宋体" w:eastAsia="宋体" w:cs="宋体"/>
                <w:highlight w:val="none"/>
              </w:rPr>
            </w:pPr>
          </w:p>
          <w:p w14:paraId="7AFCB353">
            <w:pPr>
              <w:pStyle w:val="27"/>
              <w:rPr>
                <w:rFonts w:hint="eastAsia" w:ascii="宋体" w:hAnsi="宋体" w:eastAsia="宋体" w:cs="宋体"/>
                <w:highlight w:val="none"/>
              </w:rPr>
            </w:pPr>
          </w:p>
          <w:p w14:paraId="08955C74">
            <w:pPr>
              <w:pStyle w:val="27"/>
              <w:rPr>
                <w:rFonts w:hint="eastAsia" w:ascii="宋体" w:hAnsi="宋体" w:eastAsia="宋体" w:cs="宋体"/>
                <w:highlight w:val="none"/>
              </w:rPr>
            </w:pPr>
          </w:p>
          <w:p w14:paraId="773875C7">
            <w:pPr>
              <w:pStyle w:val="27"/>
              <w:rPr>
                <w:rFonts w:hint="eastAsia" w:ascii="宋体" w:hAnsi="宋体" w:eastAsia="宋体" w:cs="宋体"/>
                <w:highlight w:val="none"/>
              </w:rPr>
            </w:pPr>
          </w:p>
          <w:p w14:paraId="60C43C54">
            <w:pPr>
              <w:pStyle w:val="27"/>
              <w:rPr>
                <w:rFonts w:hint="eastAsia" w:ascii="宋体" w:hAnsi="宋体" w:eastAsia="宋体" w:cs="宋体"/>
                <w:highlight w:val="none"/>
              </w:rPr>
            </w:pPr>
          </w:p>
          <w:p w14:paraId="79A92156">
            <w:pPr>
              <w:pStyle w:val="27"/>
              <w:rPr>
                <w:rFonts w:hint="eastAsia" w:ascii="宋体" w:hAnsi="宋体" w:eastAsia="宋体" w:cs="宋体"/>
                <w:highlight w:val="none"/>
              </w:rPr>
            </w:pPr>
          </w:p>
          <w:p w14:paraId="25C3ACB1">
            <w:pPr>
              <w:pStyle w:val="27"/>
              <w:rPr>
                <w:rFonts w:hint="eastAsia" w:ascii="宋体" w:hAnsi="宋体" w:eastAsia="宋体" w:cs="宋体"/>
                <w:highlight w:val="none"/>
              </w:rPr>
            </w:pPr>
          </w:p>
          <w:p w14:paraId="13A3D9F9">
            <w:pPr>
              <w:pStyle w:val="27"/>
              <w:rPr>
                <w:rFonts w:hint="eastAsia" w:ascii="宋体" w:hAnsi="宋体" w:eastAsia="宋体" w:cs="宋体"/>
                <w:highlight w:val="none"/>
              </w:rPr>
            </w:pPr>
          </w:p>
          <w:p w14:paraId="4684416F">
            <w:pPr>
              <w:pStyle w:val="27"/>
              <w:rPr>
                <w:rFonts w:hint="eastAsia" w:ascii="宋体" w:hAnsi="宋体" w:eastAsia="宋体" w:cs="宋体"/>
                <w:highlight w:val="none"/>
              </w:rPr>
            </w:pPr>
          </w:p>
          <w:p w14:paraId="2934769E">
            <w:pPr>
              <w:pStyle w:val="27"/>
              <w:rPr>
                <w:rFonts w:hint="eastAsia" w:ascii="宋体" w:hAnsi="宋体" w:eastAsia="宋体" w:cs="宋体"/>
                <w:highlight w:val="none"/>
              </w:rPr>
            </w:pPr>
          </w:p>
          <w:p w14:paraId="1A82B8A7">
            <w:pPr>
              <w:pStyle w:val="27"/>
              <w:rPr>
                <w:rFonts w:hint="eastAsia" w:ascii="宋体" w:hAnsi="宋体" w:eastAsia="宋体" w:cs="宋体"/>
                <w:highlight w:val="none"/>
              </w:rPr>
            </w:pPr>
          </w:p>
          <w:p w14:paraId="724CE90C">
            <w:pPr>
              <w:pStyle w:val="27"/>
              <w:rPr>
                <w:rFonts w:hint="eastAsia" w:ascii="宋体" w:hAnsi="宋体" w:eastAsia="宋体" w:cs="宋体"/>
                <w:highlight w:val="none"/>
              </w:rPr>
            </w:pPr>
          </w:p>
          <w:p w14:paraId="3AC9CF6F">
            <w:pPr>
              <w:pStyle w:val="27"/>
              <w:spacing w:before="195" w:line="410" w:lineRule="auto"/>
              <w:ind w:left="106" w:right="179" w:firstLine="168"/>
              <w:rPr>
                <w:rFonts w:hint="eastAsia" w:ascii="宋体" w:hAnsi="宋体" w:eastAsia="宋体" w:cs="宋体"/>
                <w:sz w:val="20"/>
                <w:highlight w:val="none"/>
              </w:rPr>
            </w:pPr>
            <w:r>
              <w:rPr>
                <w:rFonts w:hint="eastAsia" w:ascii="宋体" w:hAnsi="宋体" w:eastAsia="宋体" w:cs="宋体"/>
                <w:sz w:val="20"/>
                <w:highlight w:val="none"/>
              </w:rPr>
              <w:t>注：若无分包计划，则投标人应在本表填写“无”</w:t>
            </w:r>
          </w:p>
        </w:tc>
      </w:tr>
      <w:tr w14:paraId="21EF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56" w:type="dxa"/>
          </w:tcPr>
          <w:p w14:paraId="3C8CC678">
            <w:pPr>
              <w:pStyle w:val="27"/>
              <w:rPr>
                <w:rFonts w:hint="eastAsia" w:ascii="宋体" w:hAnsi="宋体" w:eastAsia="宋体" w:cs="宋体"/>
                <w:sz w:val="20"/>
                <w:highlight w:val="none"/>
              </w:rPr>
            </w:pPr>
          </w:p>
        </w:tc>
        <w:tc>
          <w:tcPr>
            <w:tcW w:w="2534" w:type="dxa"/>
          </w:tcPr>
          <w:p w14:paraId="3FA3F111">
            <w:pPr>
              <w:pStyle w:val="27"/>
              <w:rPr>
                <w:rFonts w:hint="eastAsia" w:ascii="宋体" w:hAnsi="宋体" w:eastAsia="宋体" w:cs="宋体"/>
                <w:sz w:val="20"/>
                <w:highlight w:val="none"/>
              </w:rPr>
            </w:pPr>
          </w:p>
        </w:tc>
        <w:tc>
          <w:tcPr>
            <w:tcW w:w="1923" w:type="dxa"/>
          </w:tcPr>
          <w:p w14:paraId="78FE2D53">
            <w:pPr>
              <w:pStyle w:val="27"/>
              <w:rPr>
                <w:rFonts w:hint="eastAsia" w:ascii="宋体" w:hAnsi="宋体" w:eastAsia="宋体" w:cs="宋体"/>
                <w:sz w:val="20"/>
                <w:highlight w:val="none"/>
              </w:rPr>
            </w:pPr>
          </w:p>
        </w:tc>
        <w:tc>
          <w:tcPr>
            <w:tcW w:w="2664" w:type="dxa"/>
            <w:vMerge w:val="continue"/>
            <w:tcBorders>
              <w:top w:val="nil"/>
            </w:tcBorders>
          </w:tcPr>
          <w:p w14:paraId="11A78196">
            <w:pPr>
              <w:rPr>
                <w:rFonts w:hint="eastAsia" w:ascii="宋体" w:hAnsi="宋体" w:eastAsia="宋体" w:cs="宋体"/>
                <w:sz w:val="2"/>
                <w:szCs w:val="2"/>
                <w:highlight w:val="none"/>
              </w:rPr>
            </w:pPr>
          </w:p>
        </w:tc>
      </w:tr>
      <w:tr w14:paraId="3DBA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18ACBCE7">
            <w:pPr>
              <w:pStyle w:val="27"/>
              <w:rPr>
                <w:rFonts w:hint="eastAsia" w:ascii="宋体" w:hAnsi="宋体" w:eastAsia="宋体" w:cs="宋体"/>
                <w:sz w:val="20"/>
                <w:highlight w:val="none"/>
              </w:rPr>
            </w:pPr>
          </w:p>
        </w:tc>
        <w:tc>
          <w:tcPr>
            <w:tcW w:w="2534" w:type="dxa"/>
          </w:tcPr>
          <w:p w14:paraId="253CF713">
            <w:pPr>
              <w:pStyle w:val="27"/>
              <w:rPr>
                <w:rFonts w:hint="eastAsia" w:ascii="宋体" w:hAnsi="宋体" w:eastAsia="宋体" w:cs="宋体"/>
                <w:sz w:val="20"/>
                <w:highlight w:val="none"/>
              </w:rPr>
            </w:pPr>
          </w:p>
        </w:tc>
        <w:tc>
          <w:tcPr>
            <w:tcW w:w="1923" w:type="dxa"/>
          </w:tcPr>
          <w:p w14:paraId="2ECEC930">
            <w:pPr>
              <w:pStyle w:val="27"/>
              <w:rPr>
                <w:rFonts w:hint="eastAsia" w:ascii="宋体" w:hAnsi="宋体" w:eastAsia="宋体" w:cs="宋体"/>
                <w:sz w:val="20"/>
                <w:highlight w:val="none"/>
              </w:rPr>
            </w:pPr>
          </w:p>
        </w:tc>
        <w:tc>
          <w:tcPr>
            <w:tcW w:w="2664" w:type="dxa"/>
            <w:vMerge w:val="continue"/>
            <w:tcBorders>
              <w:top w:val="nil"/>
            </w:tcBorders>
          </w:tcPr>
          <w:p w14:paraId="2123B49D">
            <w:pPr>
              <w:rPr>
                <w:rFonts w:hint="eastAsia" w:ascii="宋体" w:hAnsi="宋体" w:eastAsia="宋体" w:cs="宋体"/>
                <w:sz w:val="2"/>
                <w:szCs w:val="2"/>
                <w:highlight w:val="none"/>
              </w:rPr>
            </w:pPr>
          </w:p>
        </w:tc>
      </w:tr>
      <w:tr w14:paraId="61F6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27289C2B">
            <w:pPr>
              <w:pStyle w:val="27"/>
              <w:rPr>
                <w:rFonts w:hint="eastAsia" w:ascii="宋体" w:hAnsi="宋体" w:eastAsia="宋体" w:cs="宋体"/>
                <w:sz w:val="20"/>
                <w:highlight w:val="none"/>
              </w:rPr>
            </w:pPr>
          </w:p>
        </w:tc>
        <w:tc>
          <w:tcPr>
            <w:tcW w:w="2534" w:type="dxa"/>
          </w:tcPr>
          <w:p w14:paraId="7F5C94A2">
            <w:pPr>
              <w:pStyle w:val="27"/>
              <w:rPr>
                <w:rFonts w:hint="eastAsia" w:ascii="宋体" w:hAnsi="宋体" w:eastAsia="宋体" w:cs="宋体"/>
                <w:sz w:val="20"/>
                <w:highlight w:val="none"/>
              </w:rPr>
            </w:pPr>
          </w:p>
        </w:tc>
        <w:tc>
          <w:tcPr>
            <w:tcW w:w="1923" w:type="dxa"/>
          </w:tcPr>
          <w:p w14:paraId="7B80E1D8">
            <w:pPr>
              <w:pStyle w:val="27"/>
              <w:rPr>
                <w:rFonts w:hint="eastAsia" w:ascii="宋体" w:hAnsi="宋体" w:eastAsia="宋体" w:cs="宋体"/>
                <w:sz w:val="20"/>
                <w:highlight w:val="none"/>
              </w:rPr>
            </w:pPr>
          </w:p>
        </w:tc>
        <w:tc>
          <w:tcPr>
            <w:tcW w:w="2664" w:type="dxa"/>
            <w:vMerge w:val="continue"/>
            <w:tcBorders>
              <w:top w:val="nil"/>
            </w:tcBorders>
          </w:tcPr>
          <w:p w14:paraId="22CC7D03">
            <w:pPr>
              <w:rPr>
                <w:rFonts w:hint="eastAsia" w:ascii="宋体" w:hAnsi="宋体" w:eastAsia="宋体" w:cs="宋体"/>
                <w:sz w:val="2"/>
                <w:szCs w:val="2"/>
                <w:highlight w:val="none"/>
              </w:rPr>
            </w:pPr>
          </w:p>
        </w:tc>
      </w:tr>
      <w:tr w14:paraId="48C3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356" w:type="dxa"/>
          </w:tcPr>
          <w:p w14:paraId="0BE99AFE">
            <w:pPr>
              <w:pStyle w:val="27"/>
              <w:rPr>
                <w:rFonts w:hint="eastAsia" w:ascii="宋体" w:hAnsi="宋体" w:eastAsia="宋体" w:cs="宋体"/>
                <w:sz w:val="20"/>
                <w:highlight w:val="none"/>
              </w:rPr>
            </w:pPr>
          </w:p>
        </w:tc>
        <w:tc>
          <w:tcPr>
            <w:tcW w:w="2534" w:type="dxa"/>
          </w:tcPr>
          <w:p w14:paraId="753D5F71">
            <w:pPr>
              <w:pStyle w:val="27"/>
              <w:rPr>
                <w:rFonts w:hint="eastAsia" w:ascii="宋体" w:hAnsi="宋体" w:eastAsia="宋体" w:cs="宋体"/>
                <w:sz w:val="20"/>
                <w:highlight w:val="none"/>
              </w:rPr>
            </w:pPr>
          </w:p>
        </w:tc>
        <w:tc>
          <w:tcPr>
            <w:tcW w:w="1923" w:type="dxa"/>
          </w:tcPr>
          <w:p w14:paraId="2E835A17">
            <w:pPr>
              <w:pStyle w:val="27"/>
              <w:rPr>
                <w:rFonts w:hint="eastAsia" w:ascii="宋体" w:hAnsi="宋体" w:eastAsia="宋体" w:cs="宋体"/>
                <w:sz w:val="20"/>
                <w:highlight w:val="none"/>
              </w:rPr>
            </w:pPr>
          </w:p>
        </w:tc>
        <w:tc>
          <w:tcPr>
            <w:tcW w:w="2664" w:type="dxa"/>
            <w:vMerge w:val="continue"/>
            <w:tcBorders>
              <w:top w:val="nil"/>
            </w:tcBorders>
          </w:tcPr>
          <w:p w14:paraId="74627BF4">
            <w:pPr>
              <w:rPr>
                <w:rFonts w:hint="eastAsia" w:ascii="宋体" w:hAnsi="宋体" w:eastAsia="宋体" w:cs="宋体"/>
                <w:sz w:val="2"/>
                <w:szCs w:val="2"/>
                <w:highlight w:val="none"/>
              </w:rPr>
            </w:pPr>
          </w:p>
        </w:tc>
      </w:tr>
      <w:tr w14:paraId="5EC6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24C83403">
            <w:pPr>
              <w:pStyle w:val="27"/>
              <w:rPr>
                <w:rFonts w:hint="eastAsia" w:ascii="宋体" w:hAnsi="宋体" w:eastAsia="宋体" w:cs="宋体"/>
                <w:sz w:val="20"/>
                <w:highlight w:val="none"/>
              </w:rPr>
            </w:pPr>
          </w:p>
        </w:tc>
        <w:tc>
          <w:tcPr>
            <w:tcW w:w="2534" w:type="dxa"/>
          </w:tcPr>
          <w:p w14:paraId="726487B7">
            <w:pPr>
              <w:pStyle w:val="27"/>
              <w:rPr>
                <w:rFonts w:hint="eastAsia" w:ascii="宋体" w:hAnsi="宋体" w:eastAsia="宋体" w:cs="宋体"/>
                <w:sz w:val="20"/>
                <w:highlight w:val="none"/>
              </w:rPr>
            </w:pPr>
          </w:p>
        </w:tc>
        <w:tc>
          <w:tcPr>
            <w:tcW w:w="1923" w:type="dxa"/>
          </w:tcPr>
          <w:p w14:paraId="26925331">
            <w:pPr>
              <w:pStyle w:val="27"/>
              <w:rPr>
                <w:rFonts w:hint="eastAsia" w:ascii="宋体" w:hAnsi="宋体" w:eastAsia="宋体" w:cs="宋体"/>
                <w:sz w:val="20"/>
                <w:highlight w:val="none"/>
              </w:rPr>
            </w:pPr>
          </w:p>
        </w:tc>
        <w:tc>
          <w:tcPr>
            <w:tcW w:w="2664" w:type="dxa"/>
            <w:vMerge w:val="continue"/>
            <w:tcBorders>
              <w:top w:val="nil"/>
            </w:tcBorders>
          </w:tcPr>
          <w:p w14:paraId="0A28DDAB">
            <w:pPr>
              <w:rPr>
                <w:rFonts w:hint="eastAsia" w:ascii="宋体" w:hAnsi="宋体" w:eastAsia="宋体" w:cs="宋体"/>
                <w:sz w:val="2"/>
                <w:szCs w:val="2"/>
                <w:highlight w:val="none"/>
              </w:rPr>
            </w:pPr>
          </w:p>
        </w:tc>
      </w:tr>
      <w:tr w14:paraId="403E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68E0A77">
            <w:pPr>
              <w:pStyle w:val="27"/>
              <w:rPr>
                <w:rFonts w:hint="eastAsia" w:ascii="宋体" w:hAnsi="宋体" w:eastAsia="宋体" w:cs="宋体"/>
                <w:sz w:val="20"/>
                <w:highlight w:val="none"/>
              </w:rPr>
            </w:pPr>
          </w:p>
        </w:tc>
        <w:tc>
          <w:tcPr>
            <w:tcW w:w="2534" w:type="dxa"/>
          </w:tcPr>
          <w:p w14:paraId="22325140">
            <w:pPr>
              <w:pStyle w:val="27"/>
              <w:rPr>
                <w:rFonts w:hint="eastAsia" w:ascii="宋体" w:hAnsi="宋体" w:eastAsia="宋体" w:cs="宋体"/>
                <w:sz w:val="20"/>
                <w:highlight w:val="none"/>
              </w:rPr>
            </w:pPr>
          </w:p>
        </w:tc>
        <w:tc>
          <w:tcPr>
            <w:tcW w:w="1923" w:type="dxa"/>
          </w:tcPr>
          <w:p w14:paraId="3525BDF5">
            <w:pPr>
              <w:pStyle w:val="27"/>
              <w:rPr>
                <w:rFonts w:hint="eastAsia" w:ascii="宋体" w:hAnsi="宋体" w:eastAsia="宋体" w:cs="宋体"/>
                <w:sz w:val="20"/>
                <w:highlight w:val="none"/>
              </w:rPr>
            </w:pPr>
          </w:p>
        </w:tc>
        <w:tc>
          <w:tcPr>
            <w:tcW w:w="2664" w:type="dxa"/>
            <w:vMerge w:val="continue"/>
            <w:tcBorders>
              <w:top w:val="nil"/>
            </w:tcBorders>
          </w:tcPr>
          <w:p w14:paraId="5D8C3548">
            <w:pPr>
              <w:rPr>
                <w:rFonts w:hint="eastAsia" w:ascii="宋体" w:hAnsi="宋体" w:eastAsia="宋体" w:cs="宋体"/>
                <w:sz w:val="2"/>
                <w:szCs w:val="2"/>
                <w:highlight w:val="none"/>
              </w:rPr>
            </w:pPr>
          </w:p>
        </w:tc>
      </w:tr>
      <w:tr w14:paraId="6F64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78CEDA3">
            <w:pPr>
              <w:pStyle w:val="27"/>
              <w:rPr>
                <w:rFonts w:hint="eastAsia" w:ascii="宋体" w:hAnsi="宋体" w:eastAsia="宋体" w:cs="宋体"/>
                <w:sz w:val="20"/>
                <w:highlight w:val="none"/>
              </w:rPr>
            </w:pPr>
          </w:p>
        </w:tc>
        <w:tc>
          <w:tcPr>
            <w:tcW w:w="2534" w:type="dxa"/>
          </w:tcPr>
          <w:p w14:paraId="53D13F69">
            <w:pPr>
              <w:pStyle w:val="27"/>
              <w:rPr>
                <w:rFonts w:hint="eastAsia" w:ascii="宋体" w:hAnsi="宋体" w:eastAsia="宋体" w:cs="宋体"/>
                <w:sz w:val="20"/>
                <w:highlight w:val="none"/>
              </w:rPr>
            </w:pPr>
          </w:p>
        </w:tc>
        <w:tc>
          <w:tcPr>
            <w:tcW w:w="1923" w:type="dxa"/>
          </w:tcPr>
          <w:p w14:paraId="23078CAC">
            <w:pPr>
              <w:pStyle w:val="27"/>
              <w:rPr>
                <w:rFonts w:hint="eastAsia" w:ascii="宋体" w:hAnsi="宋体" w:eastAsia="宋体" w:cs="宋体"/>
                <w:sz w:val="20"/>
                <w:highlight w:val="none"/>
              </w:rPr>
            </w:pPr>
          </w:p>
        </w:tc>
        <w:tc>
          <w:tcPr>
            <w:tcW w:w="2664" w:type="dxa"/>
            <w:vMerge w:val="continue"/>
            <w:tcBorders>
              <w:top w:val="nil"/>
            </w:tcBorders>
          </w:tcPr>
          <w:p w14:paraId="623675A1">
            <w:pPr>
              <w:rPr>
                <w:rFonts w:hint="eastAsia" w:ascii="宋体" w:hAnsi="宋体" w:eastAsia="宋体" w:cs="宋体"/>
                <w:sz w:val="2"/>
                <w:szCs w:val="2"/>
                <w:highlight w:val="none"/>
              </w:rPr>
            </w:pPr>
          </w:p>
        </w:tc>
      </w:tr>
      <w:tr w14:paraId="6F08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97570F4">
            <w:pPr>
              <w:pStyle w:val="27"/>
              <w:rPr>
                <w:rFonts w:hint="eastAsia" w:ascii="宋体" w:hAnsi="宋体" w:eastAsia="宋体" w:cs="宋体"/>
                <w:sz w:val="20"/>
                <w:highlight w:val="none"/>
              </w:rPr>
            </w:pPr>
          </w:p>
        </w:tc>
        <w:tc>
          <w:tcPr>
            <w:tcW w:w="2534" w:type="dxa"/>
          </w:tcPr>
          <w:p w14:paraId="1FFE54EC">
            <w:pPr>
              <w:pStyle w:val="27"/>
              <w:rPr>
                <w:rFonts w:hint="eastAsia" w:ascii="宋体" w:hAnsi="宋体" w:eastAsia="宋体" w:cs="宋体"/>
                <w:sz w:val="20"/>
                <w:highlight w:val="none"/>
              </w:rPr>
            </w:pPr>
          </w:p>
        </w:tc>
        <w:tc>
          <w:tcPr>
            <w:tcW w:w="1923" w:type="dxa"/>
          </w:tcPr>
          <w:p w14:paraId="1DC3762B">
            <w:pPr>
              <w:pStyle w:val="27"/>
              <w:rPr>
                <w:rFonts w:hint="eastAsia" w:ascii="宋体" w:hAnsi="宋体" w:eastAsia="宋体" w:cs="宋体"/>
                <w:sz w:val="20"/>
                <w:highlight w:val="none"/>
              </w:rPr>
            </w:pPr>
          </w:p>
        </w:tc>
        <w:tc>
          <w:tcPr>
            <w:tcW w:w="2664" w:type="dxa"/>
            <w:vMerge w:val="continue"/>
            <w:tcBorders>
              <w:top w:val="nil"/>
            </w:tcBorders>
          </w:tcPr>
          <w:p w14:paraId="6A6ABDF2">
            <w:pPr>
              <w:rPr>
                <w:rFonts w:hint="eastAsia" w:ascii="宋体" w:hAnsi="宋体" w:eastAsia="宋体" w:cs="宋体"/>
                <w:sz w:val="2"/>
                <w:szCs w:val="2"/>
                <w:highlight w:val="none"/>
              </w:rPr>
            </w:pPr>
          </w:p>
        </w:tc>
      </w:tr>
      <w:tr w14:paraId="1B68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6DA428D8">
            <w:pPr>
              <w:pStyle w:val="27"/>
              <w:rPr>
                <w:rFonts w:hint="eastAsia" w:ascii="宋体" w:hAnsi="宋体" w:eastAsia="宋体" w:cs="宋体"/>
                <w:sz w:val="20"/>
                <w:highlight w:val="none"/>
              </w:rPr>
            </w:pPr>
          </w:p>
        </w:tc>
        <w:tc>
          <w:tcPr>
            <w:tcW w:w="2534" w:type="dxa"/>
          </w:tcPr>
          <w:p w14:paraId="1CCCCB1D">
            <w:pPr>
              <w:pStyle w:val="27"/>
              <w:rPr>
                <w:rFonts w:hint="eastAsia" w:ascii="宋体" w:hAnsi="宋体" w:eastAsia="宋体" w:cs="宋体"/>
                <w:sz w:val="20"/>
                <w:highlight w:val="none"/>
              </w:rPr>
            </w:pPr>
          </w:p>
        </w:tc>
        <w:tc>
          <w:tcPr>
            <w:tcW w:w="1923" w:type="dxa"/>
          </w:tcPr>
          <w:p w14:paraId="11715940">
            <w:pPr>
              <w:pStyle w:val="27"/>
              <w:rPr>
                <w:rFonts w:hint="eastAsia" w:ascii="宋体" w:hAnsi="宋体" w:eastAsia="宋体" w:cs="宋体"/>
                <w:sz w:val="20"/>
                <w:highlight w:val="none"/>
              </w:rPr>
            </w:pPr>
          </w:p>
        </w:tc>
        <w:tc>
          <w:tcPr>
            <w:tcW w:w="2664" w:type="dxa"/>
            <w:vMerge w:val="continue"/>
            <w:tcBorders>
              <w:top w:val="nil"/>
            </w:tcBorders>
          </w:tcPr>
          <w:p w14:paraId="3D31492D">
            <w:pPr>
              <w:rPr>
                <w:rFonts w:hint="eastAsia" w:ascii="宋体" w:hAnsi="宋体" w:eastAsia="宋体" w:cs="宋体"/>
                <w:sz w:val="2"/>
                <w:szCs w:val="2"/>
                <w:highlight w:val="none"/>
              </w:rPr>
            </w:pPr>
          </w:p>
        </w:tc>
      </w:tr>
      <w:tr w14:paraId="4CF91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32E4676D">
            <w:pPr>
              <w:pStyle w:val="27"/>
              <w:rPr>
                <w:rFonts w:hint="eastAsia" w:ascii="宋体" w:hAnsi="宋体" w:eastAsia="宋体" w:cs="宋体"/>
                <w:sz w:val="20"/>
                <w:highlight w:val="none"/>
              </w:rPr>
            </w:pPr>
          </w:p>
        </w:tc>
        <w:tc>
          <w:tcPr>
            <w:tcW w:w="2534" w:type="dxa"/>
          </w:tcPr>
          <w:p w14:paraId="6A7F3857">
            <w:pPr>
              <w:pStyle w:val="27"/>
              <w:rPr>
                <w:rFonts w:hint="eastAsia" w:ascii="宋体" w:hAnsi="宋体" w:eastAsia="宋体" w:cs="宋体"/>
                <w:sz w:val="20"/>
                <w:highlight w:val="none"/>
              </w:rPr>
            </w:pPr>
          </w:p>
        </w:tc>
        <w:tc>
          <w:tcPr>
            <w:tcW w:w="1923" w:type="dxa"/>
          </w:tcPr>
          <w:p w14:paraId="4D989292">
            <w:pPr>
              <w:pStyle w:val="27"/>
              <w:rPr>
                <w:rFonts w:hint="eastAsia" w:ascii="宋体" w:hAnsi="宋体" w:eastAsia="宋体" w:cs="宋体"/>
                <w:sz w:val="20"/>
                <w:highlight w:val="none"/>
              </w:rPr>
            </w:pPr>
          </w:p>
        </w:tc>
        <w:tc>
          <w:tcPr>
            <w:tcW w:w="2664" w:type="dxa"/>
            <w:vMerge w:val="continue"/>
            <w:tcBorders>
              <w:top w:val="nil"/>
            </w:tcBorders>
          </w:tcPr>
          <w:p w14:paraId="7A38DD56">
            <w:pPr>
              <w:rPr>
                <w:rFonts w:hint="eastAsia" w:ascii="宋体" w:hAnsi="宋体" w:eastAsia="宋体" w:cs="宋体"/>
                <w:sz w:val="2"/>
                <w:szCs w:val="2"/>
                <w:highlight w:val="none"/>
              </w:rPr>
            </w:pPr>
          </w:p>
        </w:tc>
      </w:tr>
      <w:tr w14:paraId="4E79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F2FA417">
            <w:pPr>
              <w:pStyle w:val="27"/>
              <w:rPr>
                <w:rFonts w:hint="eastAsia" w:ascii="宋体" w:hAnsi="宋体" w:eastAsia="宋体" w:cs="宋体"/>
                <w:sz w:val="20"/>
                <w:highlight w:val="none"/>
              </w:rPr>
            </w:pPr>
          </w:p>
        </w:tc>
        <w:tc>
          <w:tcPr>
            <w:tcW w:w="2534" w:type="dxa"/>
          </w:tcPr>
          <w:p w14:paraId="7232A671">
            <w:pPr>
              <w:pStyle w:val="27"/>
              <w:rPr>
                <w:rFonts w:hint="eastAsia" w:ascii="宋体" w:hAnsi="宋体" w:eastAsia="宋体" w:cs="宋体"/>
                <w:sz w:val="20"/>
                <w:highlight w:val="none"/>
              </w:rPr>
            </w:pPr>
          </w:p>
        </w:tc>
        <w:tc>
          <w:tcPr>
            <w:tcW w:w="1923" w:type="dxa"/>
          </w:tcPr>
          <w:p w14:paraId="7EFCD45B">
            <w:pPr>
              <w:pStyle w:val="27"/>
              <w:rPr>
                <w:rFonts w:hint="eastAsia" w:ascii="宋体" w:hAnsi="宋体" w:eastAsia="宋体" w:cs="宋体"/>
                <w:sz w:val="20"/>
                <w:highlight w:val="none"/>
              </w:rPr>
            </w:pPr>
          </w:p>
        </w:tc>
        <w:tc>
          <w:tcPr>
            <w:tcW w:w="2664" w:type="dxa"/>
            <w:vMerge w:val="continue"/>
            <w:tcBorders>
              <w:top w:val="nil"/>
            </w:tcBorders>
          </w:tcPr>
          <w:p w14:paraId="251B3090">
            <w:pPr>
              <w:rPr>
                <w:rFonts w:hint="eastAsia" w:ascii="宋体" w:hAnsi="宋体" w:eastAsia="宋体" w:cs="宋体"/>
                <w:sz w:val="2"/>
                <w:szCs w:val="2"/>
                <w:highlight w:val="none"/>
              </w:rPr>
            </w:pPr>
          </w:p>
        </w:tc>
      </w:tr>
      <w:tr w14:paraId="439A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4E69B2C">
            <w:pPr>
              <w:pStyle w:val="27"/>
              <w:rPr>
                <w:rFonts w:hint="eastAsia" w:ascii="宋体" w:hAnsi="宋体" w:eastAsia="宋体" w:cs="宋体"/>
                <w:sz w:val="20"/>
                <w:highlight w:val="none"/>
              </w:rPr>
            </w:pPr>
          </w:p>
        </w:tc>
        <w:tc>
          <w:tcPr>
            <w:tcW w:w="2534" w:type="dxa"/>
          </w:tcPr>
          <w:p w14:paraId="254073FB">
            <w:pPr>
              <w:pStyle w:val="27"/>
              <w:rPr>
                <w:rFonts w:hint="eastAsia" w:ascii="宋体" w:hAnsi="宋体" w:eastAsia="宋体" w:cs="宋体"/>
                <w:sz w:val="20"/>
                <w:highlight w:val="none"/>
              </w:rPr>
            </w:pPr>
          </w:p>
        </w:tc>
        <w:tc>
          <w:tcPr>
            <w:tcW w:w="1923" w:type="dxa"/>
          </w:tcPr>
          <w:p w14:paraId="41DD68F6">
            <w:pPr>
              <w:pStyle w:val="27"/>
              <w:rPr>
                <w:rFonts w:hint="eastAsia" w:ascii="宋体" w:hAnsi="宋体" w:eastAsia="宋体" w:cs="宋体"/>
                <w:sz w:val="20"/>
                <w:highlight w:val="none"/>
              </w:rPr>
            </w:pPr>
          </w:p>
        </w:tc>
        <w:tc>
          <w:tcPr>
            <w:tcW w:w="2664" w:type="dxa"/>
            <w:vMerge w:val="continue"/>
            <w:tcBorders>
              <w:top w:val="nil"/>
            </w:tcBorders>
          </w:tcPr>
          <w:p w14:paraId="14B420E7">
            <w:pPr>
              <w:rPr>
                <w:rFonts w:hint="eastAsia" w:ascii="宋体" w:hAnsi="宋体" w:eastAsia="宋体" w:cs="宋体"/>
                <w:sz w:val="2"/>
                <w:szCs w:val="2"/>
                <w:highlight w:val="none"/>
              </w:rPr>
            </w:pPr>
          </w:p>
        </w:tc>
      </w:tr>
      <w:tr w14:paraId="59E6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B05CF1F">
            <w:pPr>
              <w:pStyle w:val="27"/>
              <w:rPr>
                <w:rFonts w:hint="eastAsia" w:ascii="宋体" w:hAnsi="宋体" w:eastAsia="宋体" w:cs="宋体"/>
                <w:sz w:val="20"/>
                <w:highlight w:val="none"/>
              </w:rPr>
            </w:pPr>
          </w:p>
        </w:tc>
        <w:tc>
          <w:tcPr>
            <w:tcW w:w="2534" w:type="dxa"/>
          </w:tcPr>
          <w:p w14:paraId="0F5E5409">
            <w:pPr>
              <w:pStyle w:val="27"/>
              <w:rPr>
                <w:rFonts w:hint="eastAsia" w:ascii="宋体" w:hAnsi="宋体" w:eastAsia="宋体" w:cs="宋体"/>
                <w:sz w:val="20"/>
                <w:highlight w:val="none"/>
              </w:rPr>
            </w:pPr>
          </w:p>
        </w:tc>
        <w:tc>
          <w:tcPr>
            <w:tcW w:w="1923" w:type="dxa"/>
          </w:tcPr>
          <w:p w14:paraId="6B2A8C6A">
            <w:pPr>
              <w:pStyle w:val="27"/>
              <w:rPr>
                <w:rFonts w:hint="eastAsia" w:ascii="宋体" w:hAnsi="宋体" w:eastAsia="宋体" w:cs="宋体"/>
                <w:sz w:val="20"/>
                <w:highlight w:val="none"/>
              </w:rPr>
            </w:pPr>
          </w:p>
        </w:tc>
        <w:tc>
          <w:tcPr>
            <w:tcW w:w="2664" w:type="dxa"/>
            <w:vMerge w:val="continue"/>
            <w:tcBorders>
              <w:top w:val="nil"/>
            </w:tcBorders>
          </w:tcPr>
          <w:p w14:paraId="32BE469F">
            <w:pPr>
              <w:rPr>
                <w:rFonts w:hint="eastAsia" w:ascii="宋体" w:hAnsi="宋体" w:eastAsia="宋体" w:cs="宋体"/>
                <w:sz w:val="2"/>
                <w:szCs w:val="2"/>
                <w:highlight w:val="none"/>
              </w:rPr>
            </w:pPr>
          </w:p>
        </w:tc>
      </w:tr>
      <w:tr w14:paraId="5744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DBC32A7">
            <w:pPr>
              <w:pStyle w:val="27"/>
              <w:rPr>
                <w:rFonts w:hint="eastAsia" w:ascii="宋体" w:hAnsi="宋体" w:eastAsia="宋体" w:cs="宋体"/>
                <w:sz w:val="20"/>
                <w:highlight w:val="none"/>
              </w:rPr>
            </w:pPr>
          </w:p>
        </w:tc>
        <w:tc>
          <w:tcPr>
            <w:tcW w:w="2534" w:type="dxa"/>
          </w:tcPr>
          <w:p w14:paraId="7E7F0A68">
            <w:pPr>
              <w:pStyle w:val="27"/>
              <w:rPr>
                <w:rFonts w:hint="eastAsia" w:ascii="宋体" w:hAnsi="宋体" w:eastAsia="宋体" w:cs="宋体"/>
                <w:sz w:val="20"/>
                <w:highlight w:val="none"/>
              </w:rPr>
            </w:pPr>
          </w:p>
        </w:tc>
        <w:tc>
          <w:tcPr>
            <w:tcW w:w="1923" w:type="dxa"/>
          </w:tcPr>
          <w:p w14:paraId="09D7532E">
            <w:pPr>
              <w:pStyle w:val="27"/>
              <w:rPr>
                <w:rFonts w:hint="eastAsia" w:ascii="宋体" w:hAnsi="宋体" w:eastAsia="宋体" w:cs="宋体"/>
                <w:sz w:val="20"/>
                <w:highlight w:val="none"/>
              </w:rPr>
            </w:pPr>
          </w:p>
        </w:tc>
        <w:tc>
          <w:tcPr>
            <w:tcW w:w="2664" w:type="dxa"/>
            <w:vMerge w:val="continue"/>
            <w:tcBorders>
              <w:top w:val="nil"/>
            </w:tcBorders>
          </w:tcPr>
          <w:p w14:paraId="48C36772">
            <w:pPr>
              <w:rPr>
                <w:rFonts w:hint="eastAsia" w:ascii="宋体" w:hAnsi="宋体" w:eastAsia="宋体" w:cs="宋体"/>
                <w:sz w:val="2"/>
                <w:szCs w:val="2"/>
                <w:highlight w:val="none"/>
              </w:rPr>
            </w:pPr>
          </w:p>
        </w:tc>
      </w:tr>
      <w:tr w14:paraId="78B2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F221FFB">
            <w:pPr>
              <w:pStyle w:val="27"/>
              <w:rPr>
                <w:rFonts w:hint="eastAsia" w:ascii="宋体" w:hAnsi="宋体" w:eastAsia="宋体" w:cs="宋体"/>
                <w:sz w:val="20"/>
                <w:highlight w:val="none"/>
              </w:rPr>
            </w:pPr>
          </w:p>
        </w:tc>
        <w:tc>
          <w:tcPr>
            <w:tcW w:w="2534" w:type="dxa"/>
          </w:tcPr>
          <w:p w14:paraId="6244508B">
            <w:pPr>
              <w:pStyle w:val="27"/>
              <w:rPr>
                <w:rFonts w:hint="eastAsia" w:ascii="宋体" w:hAnsi="宋体" w:eastAsia="宋体" w:cs="宋体"/>
                <w:sz w:val="20"/>
                <w:highlight w:val="none"/>
              </w:rPr>
            </w:pPr>
          </w:p>
        </w:tc>
        <w:tc>
          <w:tcPr>
            <w:tcW w:w="1923" w:type="dxa"/>
          </w:tcPr>
          <w:p w14:paraId="0E2C9534">
            <w:pPr>
              <w:pStyle w:val="27"/>
              <w:rPr>
                <w:rFonts w:hint="eastAsia" w:ascii="宋体" w:hAnsi="宋体" w:eastAsia="宋体" w:cs="宋体"/>
                <w:sz w:val="20"/>
                <w:highlight w:val="none"/>
              </w:rPr>
            </w:pPr>
          </w:p>
        </w:tc>
        <w:tc>
          <w:tcPr>
            <w:tcW w:w="2664" w:type="dxa"/>
            <w:vMerge w:val="continue"/>
            <w:tcBorders>
              <w:top w:val="nil"/>
            </w:tcBorders>
          </w:tcPr>
          <w:p w14:paraId="24B19965">
            <w:pPr>
              <w:rPr>
                <w:rFonts w:hint="eastAsia" w:ascii="宋体" w:hAnsi="宋体" w:eastAsia="宋体" w:cs="宋体"/>
                <w:sz w:val="2"/>
                <w:szCs w:val="2"/>
                <w:highlight w:val="none"/>
              </w:rPr>
            </w:pPr>
          </w:p>
        </w:tc>
      </w:tr>
      <w:tr w14:paraId="5C13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3B34EC3">
            <w:pPr>
              <w:pStyle w:val="27"/>
              <w:rPr>
                <w:rFonts w:hint="eastAsia" w:ascii="宋体" w:hAnsi="宋体" w:eastAsia="宋体" w:cs="宋体"/>
                <w:sz w:val="20"/>
                <w:highlight w:val="none"/>
              </w:rPr>
            </w:pPr>
          </w:p>
        </w:tc>
        <w:tc>
          <w:tcPr>
            <w:tcW w:w="2534" w:type="dxa"/>
          </w:tcPr>
          <w:p w14:paraId="20393B1D">
            <w:pPr>
              <w:pStyle w:val="27"/>
              <w:rPr>
                <w:rFonts w:hint="eastAsia" w:ascii="宋体" w:hAnsi="宋体" w:eastAsia="宋体" w:cs="宋体"/>
                <w:sz w:val="20"/>
                <w:highlight w:val="none"/>
              </w:rPr>
            </w:pPr>
          </w:p>
        </w:tc>
        <w:tc>
          <w:tcPr>
            <w:tcW w:w="1923" w:type="dxa"/>
          </w:tcPr>
          <w:p w14:paraId="3A60A938">
            <w:pPr>
              <w:pStyle w:val="27"/>
              <w:rPr>
                <w:rFonts w:hint="eastAsia" w:ascii="宋体" w:hAnsi="宋体" w:eastAsia="宋体" w:cs="宋体"/>
                <w:sz w:val="20"/>
                <w:highlight w:val="none"/>
              </w:rPr>
            </w:pPr>
          </w:p>
        </w:tc>
        <w:tc>
          <w:tcPr>
            <w:tcW w:w="2664" w:type="dxa"/>
            <w:vMerge w:val="continue"/>
            <w:tcBorders>
              <w:top w:val="nil"/>
            </w:tcBorders>
          </w:tcPr>
          <w:p w14:paraId="54653417">
            <w:pPr>
              <w:rPr>
                <w:rFonts w:hint="eastAsia" w:ascii="宋体" w:hAnsi="宋体" w:eastAsia="宋体" w:cs="宋体"/>
                <w:sz w:val="2"/>
                <w:szCs w:val="2"/>
                <w:highlight w:val="none"/>
              </w:rPr>
            </w:pPr>
          </w:p>
        </w:tc>
      </w:tr>
      <w:tr w14:paraId="16E8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0902A41">
            <w:pPr>
              <w:pStyle w:val="27"/>
              <w:rPr>
                <w:rFonts w:hint="eastAsia" w:ascii="宋体" w:hAnsi="宋体" w:eastAsia="宋体" w:cs="宋体"/>
                <w:sz w:val="20"/>
                <w:highlight w:val="none"/>
              </w:rPr>
            </w:pPr>
          </w:p>
        </w:tc>
        <w:tc>
          <w:tcPr>
            <w:tcW w:w="2534" w:type="dxa"/>
          </w:tcPr>
          <w:p w14:paraId="53D221F2">
            <w:pPr>
              <w:pStyle w:val="27"/>
              <w:rPr>
                <w:rFonts w:hint="eastAsia" w:ascii="宋体" w:hAnsi="宋体" w:eastAsia="宋体" w:cs="宋体"/>
                <w:sz w:val="20"/>
                <w:highlight w:val="none"/>
              </w:rPr>
            </w:pPr>
          </w:p>
        </w:tc>
        <w:tc>
          <w:tcPr>
            <w:tcW w:w="1923" w:type="dxa"/>
          </w:tcPr>
          <w:p w14:paraId="6E163C17">
            <w:pPr>
              <w:pStyle w:val="27"/>
              <w:rPr>
                <w:rFonts w:hint="eastAsia" w:ascii="宋体" w:hAnsi="宋体" w:eastAsia="宋体" w:cs="宋体"/>
                <w:sz w:val="20"/>
                <w:highlight w:val="none"/>
              </w:rPr>
            </w:pPr>
          </w:p>
        </w:tc>
        <w:tc>
          <w:tcPr>
            <w:tcW w:w="2664" w:type="dxa"/>
            <w:vMerge w:val="continue"/>
            <w:tcBorders>
              <w:top w:val="nil"/>
            </w:tcBorders>
          </w:tcPr>
          <w:p w14:paraId="59C588E5">
            <w:pPr>
              <w:rPr>
                <w:rFonts w:hint="eastAsia" w:ascii="宋体" w:hAnsi="宋体" w:eastAsia="宋体" w:cs="宋体"/>
                <w:sz w:val="2"/>
                <w:szCs w:val="2"/>
                <w:highlight w:val="none"/>
              </w:rPr>
            </w:pPr>
          </w:p>
        </w:tc>
      </w:tr>
      <w:tr w14:paraId="4DA6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0B25541">
            <w:pPr>
              <w:pStyle w:val="27"/>
              <w:rPr>
                <w:rFonts w:hint="eastAsia" w:ascii="宋体" w:hAnsi="宋体" w:eastAsia="宋体" w:cs="宋体"/>
                <w:sz w:val="20"/>
                <w:highlight w:val="none"/>
              </w:rPr>
            </w:pPr>
          </w:p>
        </w:tc>
        <w:tc>
          <w:tcPr>
            <w:tcW w:w="2534" w:type="dxa"/>
          </w:tcPr>
          <w:p w14:paraId="02A39822">
            <w:pPr>
              <w:pStyle w:val="27"/>
              <w:rPr>
                <w:rFonts w:hint="eastAsia" w:ascii="宋体" w:hAnsi="宋体" w:eastAsia="宋体" w:cs="宋体"/>
                <w:sz w:val="20"/>
                <w:highlight w:val="none"/>
              </w:rPr>
            </w:pPr>
          </w:p>
        </w:tc>
        <w:tc>
          <w:tcPr>
            <w:tcW w:w="1923" w:type="dxa"/>
          </w:tcPr>
          <w:p w14:paraId="2B926752">
            <w:pPr>
              <w:pStyle w:val="27"/>
              <w:rPr>
                <w:rFonts w:hint="eastAsia" w:ascii="宋体" w:hAnsi="宋体" w:eastAsia="宋体" w:cs="宋体"/>
                <w:sz w:val="20"/>
                <w:highlight w:val="none"/>
              </w:rPr>
            </w:pPr>
          </w:p>
        </w:tc>
        <w:tc>
          <w:tcPr>
            <w:tcW w:w="2664" w:type="dxa"/>
            <w:vMerge w:val="continue"/>
            <w:tcBorders>
              <w:top w:val="nil"/>
            </w:tcBorders>
          </w:tcPr>
          <w:p w14:paraId="7FDDCA29">
            <w:pPr>
              <w:rPr>
                <w:rFonts w:hint="eastAsia" w:ascii="宋体" w:hAnsi="宋体" w:eastAsia="宋体" w:cs="宋体"/>
                <w:sz w:val="2"/>
                <w:szCs w:val="2"/>
                <w:highlight w:val="none"/>
              </w:rPr>
            </w:pPr>
          </w:p>
        </w:tc>
      </w:tr>
      <w:tr w14:paraId="745E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90" w:type="dxa"/>
            <w:gridSpan w:val="2"/>
          </w:tcPr>
          <w:p w14:paraId="4E1FFE3F">
            <w:pPr>
              <w:pStyle w:val="27"/>
              <w:spacing w:before="157"/>
              <w:ind w:left="1074"/>
              <w:rPr>
                <w:rFonts w:hint="eastAsia" w:ascii="宋体" w:hAnsi="宋体" w:eastAsia="宋体" w:cs="宋体"/>
                <w:sz w:val="20"/>
                <w:highlight w:val="none"/>
              </w:rPr>
            </w:pPr>
            <w:r>
              <w:rPr>
                <w:rFonts w:hint="eastAsia" w:ascii="宋体" w:hAnsi="宋体" w:eastAsia="宋体" w:cs="宋体"/>
                <w:sz w:val="20"/>
                <w:highlight w:val="none"/>
              </w:rPr>
              <w:t>拟分包工程造价合计（万元）</w:t>
            </w:r>
          </w:p>
        </w:tc>
        <w:tc>
          <w:tcPr>
            <w:tcW w:w="1923" w:type="dxa"/>
          </w:tcPr>
          <w:p w14:paraId="790F800C">
            <w:pPr>
              <w:pStyle w:val="27"/>
              <w:rPr>
                <w:rFonts w:hint="eastAsia" w:ascii="宋体" w:hAnsi="宋体" w:eastAsia="宋体" w:cs="宋体"/>
                <w:sz w:val="20"/>
                <w:highlight w:val="none"/>
              </w:rPr>
            </w:pPr>
          </w:p>
        </w:tc>
        <w:tc>
          <w:tcPr>
            <w:tcW w:w="2664" w:type="dxa"/>
            <w:vMerge w:val="continue"/>
            <w:tcBorders>
              <w:top w:val="nil"/>
            </w:tcBorders>
          </w:tcPr>
          <w:p w14:paraId="454ABE38">
            <w:pPr>
              <w:rPr>
                <w:rFonts w:hint="eastAsia" w:ascii="宋体" w:hAnsi="宋体" w:eastAsia="宋体" w:cs="宋体"/>
                <w:sz w:val="2"/>
                <w:szCs w:val="2"/>
                <w:highlight w:val="none"/>
              </w:rPr>
            </w:pPr>
          </w:p>
        </w:tc>
      </w:tr>
    </w:tbl>
    <w:p w14:paraId="6B190A29">
      <w:pPr>
        <w:rPr>
          <w:rFonts w:hint="eastAsia" w:ascii="宋体" w:hAnsi="宋体" w:eastAsia="宋体" w:cs="宋体"/>
          <w:sz w:val="2"/>
          <w:szCs w:val="2"/>
          <w:highlight w:val="none"/>
        </w:rPr>
      </w:pPr>
    </w:p>
    <w:p w14:paraId="6CC26D3F">
      <w:pPr>
        <w:rPr>
          <w:rFonts w:hint="eastAsia" w:ascii="宋体" w:hAnsi="宋体" w:eastAsia="宋体" w:cs="宋体"/>
          <w:highlight w:val="none"/>
        </w:rPr>
      </w:pPr>
    </w:p>
    <w:p w14:paraId="4E2297B1">
      <w:pPr>
        <w:rPr>
          <w:rFonts w:hint="eastAsia" w:ascii="宋体" w:hAnsi="宋体" w:eastAsia="宋体" w:cs="宋体"/>
          <w:highlight w:val="none"/>
        </w:rPr>
      </w:pPr>
    </w:p>
    <w:p w14:paraId="5B87E8C7">
      <w:pPr>
        <w:rPr>
          <w:rFonts w:hint="eastAsia" w:ascii="宋体" w:hAnsi="宋体" w:eastAsia="宋体" w:cs="宋体"/>
          <w:highlight w:val="none"/>
        </w:rPr>
      </w:pPr>
    </w:p>
    <w:p w14:paraId="4A3602C6">
      <w:pPr>
        <w:rPr>
          <w:rFonts w:hint="eastAsia" w:ascii="宋体" w:hAnsi="宋体" w:eastAsia="宋体" w:cs="宋体"/>
          <w:highlight w:val="none"/>
        </w:rPr>
      </w:pPr>
    </w:p>
    <w:p w14:paraId="0EBACA26">
      <w:pPr>
        <w:spacing w:line="440" w:lineRule="exact"/>
        <w:ind w:firstLine="4950" w:firstLineChars="2250"/>
        <w:rPr>
          <w:rFonts w:hint="eastAsia" w:ascii="宋体" w:hAnsi="宋体" w:eastAsia="宋体" w:cs="宋体"/>
          <w:spacing w:val="-1"/>
          <w:highlight w:val="none"/>
        </w:rPr>
      </w:pPr>
      <w:r>
        <w:rPr>
          <w:rFonts w:hint="eastAsia" w:ascii="宋体" w:hAnsi="宋体" w:eastAsia="宋体" w:cs="宋体"/>
          <w:highlight w:val="none"/>
        </w:rPr>
        <w:tab/>
      </w:r>
      <w:r>
        <w:rPr>
          <w:rFonts w:hint="eastAsia" w:ascii="宋体" w:hAnsi="宋体" w:eastAsia="宋体" w:cs="宋体"/>
          <w:spacing w:val="-1"/>
          <w:highlight w:val="none"/>
        </w:rPr>
        <w:t>竞争性磋商响应人：（盖章）</w:t>
      </w:r>
    </w:p>
    <w:p w14:paraId="032CBBA5">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53AA7635">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3317F8D6">
      <w:pPr>
        <w:tabs>
          <w:tab w:val="left" w:pos="3746"/>
        </w:tabs>
        <w:rPr>
          <w:rFonts w:hint="eastAsia" w:ascii="宋体" w:hAnsi="宋体" w:eastAsia="宋体" w:cs="宋体"/>
          <w:highlight w:val="none"/>
        </w:rPr>
        <w:sectPr>
          <w:pgSz w:w="11910" w:h="16840"/>
          <w:pgMar w:top="1220" w:right="920" w:bottom="1180" w:left="1320" w:header="882" w:footer="989" w:gutter="0"/>
          <w:cols w:space="720" w:num="1"/>
        </w:sectPr>
      </w:pPr>
    </w:p>
    <w:p w14:paraId="748CD120">
      <w:pPr>
        <w:pStyle w:val="10"/>
        <w:rPr>
          <w:rFonts w:hint="eastAsia" w:ascii="宋体" w:hAnsi="宋体" w:eastAsia="宋体" w:cs="宋体"/>
          <w:sz w:val="26"/>
          <w:highlight w:val="none"/>
        </w:rPr>
      </w:pPr>
    </w:p>
    <w:p w14:paraId="10E490ED">
      <w:pPr>
        <w:spacing w:before="62"/>
        <w:ind w:left="35" w:right="199"/>
        <w:jc w:val="center"/>
        <w:rPr>
          <w:rFonts w:hint="eastAsia" w:ascii="宋体" w:hAnsi="宋体" w:eastAsia="宋体" w:cs="宋体"/>
          <w:sz w:val="28"/>
          <w:highlight w:val="none"/>
        </w:rPr>
      </w:pPr>
      <w:bookmarkStart w:id="102" w:name="_TOC_250006"/>
      <w:bookmarkEnd w:id="102"/>
      <w:r>
        <w:rPr>
          <w:rFonts w:hint="eastAsia" w:ascii="宋体" w:hAnsi="宋体" w:eastAsia="宋体" w:cs="宋体"/>
          <w:sz w:val="28"/>
          <w:highlight w:val="none"/>
        </w:rPr>
        <w:t>七、资格审查资料</w:t>
      </w:r>
    </w:p>
    <w:p w14:paraId="0C902108">
      <w:pPr>
        <w:pStyle w:val="10"/>
        <w:spacing w:before="63" w:after="7"/>
        <w:ind w:left="1" w:right="199"/>
        <w:jc w:val="center"/>
        <w:rPr>
          <w:rFonts w:hint="eastAsia" w:ascii="宋体" w:hAnsi="宋体" w:eastAsia="宋体" w:cs="宋体"/>
          <w:highlight w:val="none"/>
        </w:rPr>
      </w:pPr>
      <w:bookmarkStart w:id="103" w:name="（一）投标人基本情况表"/>
      <w:bookmarkEnd w:id="103"/>
      <w:r>
        <w:rPr>
          <w:rFonts w:hint="eastAsia" w:ascii="宋体" w:hAnsi="宋体" w:eastAsia="宋体" w:cs="宋体"/>
          <w:highlight w:val="none"/>
        </w:rPr>
        <w:t>（一）投标人基本情况表</w:t>
      </w:r>
    </w:p>
    <w:tbl>
      <w:tblPr>
        <w:tblStyle w:val="23"/>
        <w:tblW w:w="954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900"/>
        <w:gridCol w:w="1080"/>
        <w:gridCol w:w="529"/>
        <w:gridCol w:w="731"/>
        <w:gridCol w:w="1078"/>
        <w:gridCol w:w="182"/>
        <w:gridCol w:w="901"/>
        <w:gridCol w:w="1870"/>
      </w:tblGrid>
      <w:tr w14:paraId="3E11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2473EB60">
            <w:pPr>
              <w:pStyle w:val="27"/>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投标人名称</w:t>
            </w:r>
          </w:p>
        </w:tc>
        <w:tc>
          <w:tcPr>
            <w:tcW w:w="7271" w:type="dxa"/>
            <w:gridSpan w:val="8"/>
          </w:tcPr>
          <w:p w14:paraId="584C3590">
            <w:pPr>
              <w:pStyle w:val="27"/>
              <w:rPr>
                <w:rFonts w:hint="eastAsia" w:ascii="宋体" w:hAnsi="宋体" w:eastAsia="宋体" w:cs="宋体"/>
                <w:sz w:val="20"/>
                <w:highlight w:val="none"/>
              </w:rPr>
            </w:pPr>
          </w:p>
        </w:tc>
      </w:tr>
      <w:tr w14:paraId="1559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B9D1A02">
            <w:pPr>
              <w:pStyle w:val="27"/>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注册地址</w:t>
            </w:r>
          </w:p>
        </w:tc>
        <w:tc>
          <w:tcPr>
            <w:tcW w:w="3240" w:type="dxa"/>
            <w:gridSpan w:val="4"/>
          </w:tcPr>
          <w:p w14:paraId="59ED8A26">
            <w:pPr>
              <w:pStyle w:val="27"/>
              <w:rPr>
                <w:rFonts w:hint="eastAsia" w:ascii="宋体" w:hAnsi="宋体" w:eastAsia="宋体" w:cs="宋体"/>
                <w:sz w:val="20"/>
                <w:highlight w:val="none"/>
              </w:rPr>
            </w:pPr>
          </w:p>
        </w:tc>
        <w:tc>
          <w:tcPr>
            <w:tcW w:w="1078" w:type="dxa"/>
          </w:tcPr>
          <w:p w14:paraId="46159BFC">
            <w:pPr>
              <w:pStyle w:val="27"/>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邮政编码</w:t>
            </w:r>
          </w:p>
        </w:tc>
        <w:tc>
          <w:tcPr>
            <w:tcW w:w="2953" w:type="dxa"/>
            <w:gridSpan w:val="3"/>
          </w:tcPr>
          <w:p w14:paraId="3F757B4D">
            <w:pPr>
              <w:pStyle w:val="27"/>
              <w:rPr>
                <w:rFonts w:hint="eastAsia" w:ascii="宋体" w:hAnsi="宋体" w:eastAsia="宋体" w:cs="宋体"/>
                <w:sz w:val="20"/>
                <w:highlight w:val="none"/>
              </w:rPr>
            </w:pPr>
          </w:p>
        </w:tc>
      </w:tr>
      <w:tr w14:paraId="4BB3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restart"/>
          </w:tcPr>
          <w:p w14:paraId="6D52C3AB">
            <w:pPr>
              <w:pStyle w:val="27"/>
              <w:spacing w:before="6"/>
              <w:rPr>
                <w:rFonts w:hint="eastAsia" w:ascii="宋体" w:hAnsi="宋体" w:eastAsia="宋体" w:cs="宋体"/>
                <w:sz w:val="29"/>
                <w:highlight w:val="none"/>
              </w:rPr>
            </w:pPr>
          </w:p>
          <w:p w14:paraId="151BCD50">
            <w:pPr>
              <w:pStyle w:val="27"/>
              <w:ind w:left="551"/>
              <w:rPr>
                <w:rFonts w:hint="eastAsia" w:ascii="宋体" w:hAnsi="宋体" w:eastAsia="宋体" w:cs="宋体"/>
                <w:sz w:val="20"/>
                <w:highlight w:val="none"/>
              </w:rPr>
            </w:pPr>
            <w:r>
              <w:rPr>
                <w:rFonts w:hint="eastAsia" w:ascii="宋体" w:hAnsi="宋体" w:eastAsia="宋体" w:cs="宋体"/>
                <w:sz w:val="20"/>
                <w:highlight w:val="none"/>
              </w:rPr>
              <w:t>联系方式</w:t>
            </w:r>
          </w:p>
        </w:tc>
        <w:tc>
          <w:tcPr>
            <w:tcW w:w="900" w:type="dxa"/>
          </w:tcPr>
          <w:p w14:paraId="250C2FCE">
            <w:pPr>
              <w:pStyle w:val="27"/>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联系人</w:t>
            </w:r>
          </w:p>
        </w:tc>
        <w:tc>
          <w:tcPr>
            <w:tcW w:w="2340" w:type="dxa"/>
            <w:gridSpan w:val="3"/>
          </w:tcPr>
          <w:p w14:paraId="26F6ECA9">
            <w:pPr>
              <w:pStyle w:val="27"/>
              <w:rPr>
                <w:rFonts w:hint="eastAsia" w:ascii="宋体" w:hAnsi="宋体" w:eastAsia="宋体" w:cs="宋体"/>
                <w:sz w:val="20"/>
                <w:highlight w:val="none"/>
              </w:rPr>
            </w:pPr>
          </w:p>
        </w:tc>
        <w:tc>
          <w:tcPr>
            <w:tcW w:w="1078" w:type="dxa"/>
          </w:tcPr>
          <w:p w14:paraId="0B9E83C7">
            <w:pPr>
              <w:pStyle w:val="27"/>
              <w:spacing w:before="152"/>
              <w:ind w:left="116" w:right="109"/>
              <w:jc w:val="center"/>
              <w:rPr>
                <w:rFonts w:hint="eastAsia" w:ascii="宋体" w:hAnsi="宋体" w:eastAsia="宋体" w:cs="宋体"/>
                <w:sz w:val="20"/>
                <w:highlight w:val="none"/>
              </w:rPr>
            </w:pPr>
            <w:r>
              <w:rPr>
                <w:rFonts w:hint="eastAsia" w:ascii="宋体" w:hAnsi="宋体" w:eastAsia="宋体" w:cs="宋体"/>
                <w:sz w:val="20"/>
                <w:highlight w:val="none"/>
              </w:rPr>
              <w:t>电 话</w:t>
            </w:r>
          </w:p>
        </w:tc>
        <w:tc>
          <w:tcPr>
            <w:tcW w:w="2953" w:type="dxa"/>
            <w:gridSpan w:val="3"/>
          </w:tcPr>
          <w:p w14:paraId="169D41EE">
            <w:pPr>
              <w:pStyle w:val="27"/>
              <w:rPr>
                <w:rFonts w:hint="eastAsia" w:ascii="宋体" w:hAnsi="宋体" w:eastAsia="宋体" w:cs="宋体"/>
                <w:sz w:val="20"/>
                <w:highlight w:val="none"/>
              </w:rPr>
            </w:pPr>
          </w:p>
        </w:tc>
      </w:tr>
      <w:tr w14:paraId="23F7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continue"/>
            <w:tcBorders>
              <w:top w:val="nil"/>
            </w:tcBorders>
          </w:tcPr>
          <w:p w14:paraId="57C0B774">
            <w:pPr>
              <w:rPr>
                <w:rFonts w:hint="eastAsia" w:ascii="宋体" w:hAnsi="宋体" w:eastAsia="宋体" w:cs="宋体"/>
                <w:sz w:val="2"/>
                <w:szCs w:val="2"/>
                <w:highlight w:val="none"/>
              </w:rPr>
            </w:pPr>
          </w:p>
        </w:tc>
        <w:tc>
          <w:tcPr>
            <w:tcW w:w="900" w:type="dxa"/>
          </w:tcPr>
          <w:p w14:paraId="02B62136">
            <w:pPr>
              <w:pStyle w:val="27"/>
              <w:tabs>
                <w:tab w:val="left" w:pos="408"/>
              </w:tabs>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传</w:t>
            </w:r>
            <w:r>
              <w:rPr>
                <w:rFonts w:hint="eastAsia" w:ascii="宋体" w:hAnsi="宋体" w:eastAsia="宋体" w:cs="宋体"/>
                <w:sz w:val="20"/>
                <w:highlight w:val="none"/>
              </w:rPr>
              <w:tab/>
            </w:r>
            <w:r>
              <w:rPr>
                <w:rFonts w:hint="eastAsia" w:ascii="宋体" w:hAnsi="宋体" w:eastAsia="宋体" w:cs="宋体"/>
                <w:sz w:val="20"/>
                <w:highlight w:val="none"/>
              </w:rPr>
              <w:t>真</w:t>
            </w:r>
          </w:p>
        </w:tc>
        <w:tc>
          <w:tcPr>
            <w:tcW w:w="2340" w:type="dxa"/>
            <w:gridSpan w:val="3"/>
          </w:tcPr>
          <w:p w14:paraId="0098798A">
            <w:pPr>
              <w:pStyle w:val="27"/>
              <w:rPr>
                <w:rFonts w:hint="eastAsia" w:ascii="宋体" w:hAnsi="宋体" w:eastAsia="宋体" w:cs="宋体"/>
                <w:sz w:val="20"/>
                <w:highlight w:val="none"/>
              </w:rPr>
            </w:pPr>
          </w:p>
        </w:tc>
        <w:tc>
          <w:tcPr>
            <w:tcW w:w="1078" w:type="dxa"/>
          </w:tcPr>
          <w:p w14:paraId="5A46D183">
            <w:pPr>
              <w:pStyle w:val="27"/>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电子邮件</w:t>
            </w:r>
          </w:p>
        </w:tc>
        <w:tc>
          <w:tcPr>
            <w:tcW w:w="2953" w:type="dxa"/>
            <w:gridSpan w:val="3"/>
          </w:tcPr>
          <w:p w14:paraId="1A6F6B0A">
            <w:pPr>
              <w:pStyle w:val="27"/>
              <w:rPr>
                <w:rFonts w:hint="eastAsia" w:ascii="宋体" w:hAnsi="宋体" w:eastAsia="宋体" w:cs="宋体"/>
                <w:sz w:val="20"/>
                <w:highlight w:val="none"/>
              </w:rPr>
            </w:pPr>
          </w:p>
        </w:tc>
      </w:tr>
      <w:tr w14:paraId="6797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64C27C55">
            <w:pPr>
              <w:pStyle w:val="27"/>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法定代表人</w:t>
            </w:r>
          </w:p>
        </w:tc>
        <w:tc>
          <w:tcPr>
            <w:tcW w:w="900" w:type="dxa"/>
          </w:tcPr>
          <w:p w14:paraId="3A4159FD">
            <w:pPr>
              <w:pStyle w:val="27"/>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06514F05">
            <w:pPr>
              <w:pStyle w:val="27"/>
              <w:rPr>
                <w:rFonts w:hint="eastAsia" w:ascii="宋体" w:hAnsi="宋体" w:eastAsia="宋体" w:cs="宋体"/>
                <w:sz w:val="20"/>
                <w:highlight w:val="none"/>
              </w:rPr>
            </w:pPr>
          </w:p>
        </w:tc>
        <w:tc>
          <w:tcPr>
            <w:tcW w:w="1260" w:type="dxa"/>
            <w:gridSpan w:val="2"/>
          </w:tcPr>
          <w:p w14:paraId="199FEC35">
            <w:pPr>
              <w:pStyle w:val="27"/>
              <w:spacing w:before="152"/>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822B5EB">
            <w:pPr>
              <w:pStyle w:val="27"/>
              <w:rPr>
                <w:rFonts w:hint="eastAsia" w:ascii="宋体" w:hAnsi="宋体" w:eastAsia="宋体" w:cs="宋体"/>
                <w:sz w:val="20"/>
                <w:highlight w:val="none"/>
              </w:rPr>
            </w:pPr>
          </w:p>
        </w:tc>
        <w:tc>
          <w:tcPr>
            <w:tcW w:w="1083" w:type="dxa"/>
            <w:gridSpan w:val="2"/>
          </w:tcPr>
          <w:p w14:paraId="0CEF8EF8">
            <w:pPr>
              <w:pStyle w:val="27"/>
              <w:spacing w:before="152"/>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307DEDFA">
            <w:pPr>
              <w:pStyle w:val="27"/>
              <w:rPr>
                <w:rFonts w:hint="eastAsia" w:ascii="宋体" w:hAnsi="宋体" w:eastAsia="宋体" w:cs="宋体"/>
                <w:sz w:val="20"/>
                <w:highlight w:val="none"/>
              </w:rPr>
            </w:pPr>
          </w:p>
        </w:tc>
      </w:tr>
      <w:tr w14:paraId="0359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582CF98">
            <w:pPr>
              <w:pStyle w:val="27"/>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技术负责人</w:t>
            </w:r>
          </w:p>
        </w:tc>
        <w:tc>
          <w:tcPr>
            <w:tcW w:w="900" w:type="dxa"/>
          </w:tcPr>
          <w:p w14:paraId="1B4FD671">
            <w:pPr>
              <w:pStyle w:val="27"/>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1FC82CCB">
            <w:pPr>
              <w:pStyle w:val="27"/>
              <w:rPr>
                <w:rFonts w:hint="eastAsia" w:ascii="宋体" w:hAnsi="宋体" w:eastAsia="宋体" w:cs="宋体"/>
                <w:sz w:val="20"/>
                <w:highlight w:val="none"/>
              </w:rPr>
            </w:pPr>
          </w:p>
        </w:tc>
        <w:tc>
          <w:tcPr>
            <w:tcW w:w="1260" w:type="dxa"/>
            <w:gridSpan w:val="2"/>
          </w:tcPr>
          <w:p w14:paraId="4BCD9930">
            <w:pPr>
              <w:pStyle w:val="27"/>
              <w:spacing w:before="153"/>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763AAB4">
            <w:pPr>
              <w:pStyle w:val="27"/>
              <w:rPr>
                <w:rFonts w:hint="eastAsia" w:ascii="宋体" w:hAnsi="宋体" w:eastAsia="宋体" w:cs="宋体"/>
                <w:sz w:val="20"/>
                <w:highlight w:val="none"/>
              </w:rPr>
            </w:pPr>
          </w:p>
        </w:tc>
        <w:tc>
          <w:tcPr>
            <w:tcW w:w="1083" w:type="dxa"/>
            <w:gridSpan w:val="2"/>
          </w:tcPr>
          <w:p w14:paraId="0994B46F">
            <w:pPr>
              <w:pStyle w:val="27"/>
              <w:spacing w:before="153"/>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7F1E152C">
            <w:pPr>
              <w:pStyle w:val="27"/>
              <w:rPr>
                <w:rFonts w:hint="eastAsia" w:ascii="宋体" w:hAnsi="宋体" w:eastAsia="宋体" w:cs="宋体"/>
                <w:sz w:val="20"/>
                <w:highlight w:val="none"/>
              </w:rPr>
            </w:pPr>
          </w:p>
        </w:tc>
      </w:tr>
      <w:tr w14:paraId="0819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1447CBCA">
            <w:pPr>
              <w:pStyle w:val="27"/>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营业执照号</w:t>
            </w:r>
          </w:p>
        </w:tc>
        <w:tc>
          <w:tcPr>
            <w:tcW w:w="1980" w:type="dxa"/>
            <w:gridSpan w:val="2"/>
          </w:tcPr>
          <w:p w14:paraId="6BBE2A81">
            <w:pPr>
              <w:pStyle w:val="27"/>
              <w:rPr>
                <w:rFonts w:hint="eastAsia" w:ascii="宋体" w:hAnsi="宋体" w:eastAsia="宋体" w:cs="宋体"/>
                <w:sz w:val="20"/>
                <w:highlight w:val="none"/>
              </w:rPr>
            </w:pPr>
          </w:p>
        </w:tc>
        <w:tc>
          <w:tcPr>
            <w:tcW w:w="5291" w:type="dxa"/>
            <w:gridSpan w:val="6"/>
          </w:tcPr>
          <w:p w14:paraId="50DDBD4A">
            <w:pPr>
              <w:pStyle w:val="27"/>
              <w:spacing w:before="152"/>
              <w:ind w:left="1950" w:right="1839"/>
              <w:jc w:val="center"/>
              <w:rPr>
                <w:rFonts w:hint="eastAsia" w:ascii="宋体" w:hAnsi="宋体" w:eastAsia="宋体" w:cs="宋体"/>
                <w:sz w:val="20"/>
                <w:highlight w:val="none"/>
              </w:rPr>
            </w:pPr>
            <w:r>
              <w:rPr>
                <w:rFonts w:hint="eastAsia" w:ascii="宋体" w:hAnsi="宋体" w:eastAsia="宋体" w:cs="宋体"/>
                <w:sz w:val="20"/>
                <w:highlight w:val="none"/>
              </w:rPr>
              <w:t>员工总人数：</w:t>
            </w:r>
          </w:p>
        </w:tc>
      </w:tr>
      <w:tr w14:paraId="0C6D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79DF5A4A">
            <w:pPr>
              <w:pStyle w:val="27"/>
              <w:spacing w:before="153"/>
              <w:ind w:left="130" w:right="121"/>
              <w:jc w:val="center"/>
              <w:rPr>
                <w:rFonts w:hint="eastAsia" w:ascii="宋体" w:hAnsi="宋体" w:eastAsia="宋体" w:cs="宋体"/>
                <w:sz w:val="20"/>
                <w:highlight w:val="none"/>
              </w:rPr>
            </w:pPr>
            <w:r>
              <w:rPr>
                <w:rFonts w:hint="eastAsia" w:ascii="宋体" w:hAnsi="宋体" w:eastAsia="宋体" w:cs="宋体"/>
                <w:sz w:val="20"/>
                <w:highlight w:val="none"/>
              </w:rPr>
              <w:t>企业资质等级</w:t>
            </w:r>
          </w:p>
        </w:tc>
        <w:tc>
          <w:tcPr>
            <w:tcW w:w="1980" w:type="dxa"/>
            <w:gridSpan w:val="2"/>
          </w:tcPr>
          <w:p w14:paraId="6427E28B">
            <w:pPr>
              <w:pStyle w:val="27"/>
              <w:rPr>
                <w:rFonts w:hint="eastAsia" w:ascii="宋体" w:hAnsi="宋体" w:eastAsia="宋体" w:cs="宋体"/>
                <w:sz w:val="20"/>
                <w:highlight w:val="none"/>
              </w:rPr>
            </w:pPr>
          </w:p>
        </w:tc>
        <w:tc>
          <w:tcPr>
            <w:tcW w:w="529" w:type="dxa"/>
            <w:vMerge w:val="restart"/>
          </w:tcPr>
          <w:p w14:paraId="70D1CE93">
            <w:pPr>
              <w:pStyle w:val="27"/>
              <w:rPr>
                <w:rFonts w:hint="eastAsia" w:ascii="宋体" w:hAnsi="宋体" w:eastAsia="宋体" w:cs="宋体"/>
                <w:sz w:val="20"/>
                <w:highlight w:val="none"/>
              </w:rPr>
            </w:pPr>
          </w:p>
          <w:p w14:paraId="1DD9F7E5">
            <w:pPr>
              <w:pStyle w:val="27"/>
              <w:rPr>
                <w:rFonts w:hint="eastAsia" w:ascii="宋体" w:hAnsi="宋体" w:eastAsia="宋体" w:cs="宋体"/>
                <w:sz w:val="20"/>
                <w:highlight w:val="none"/>
              </w:rPr>
            </w:pPr>
          </w:p>
          <w:p w14:paraId="6A3053DD">
            <w:pPr>
              <w:pStyle w:val="27"/>
              <w:spacing w:before="12"/>
              <w:rPr>
                <w:rFonts w:hint="eastAsia" w:ascii="宋体" w:hAnsi="宋体" w:eastAsia="宋体" w:cs="宋体"/>
                <w:sz w:val="24"/>
                <w:highlight w:val="none"/>
              </w:rPr>
            </w:pPr>
          </w:p>
          <w:p w14:paraId="2743F6CE">
            <w:pPr>
              <w:pStyle w:val="27"/>
              <w:spacing w:before="1" w:line="410" w:lineRule="auto"/>
              <w:ind w:left="108" w:right="209"/>
              <w:rPr>
                <w:rFonts w:hint="eastAsia" w:ascii="宋体" w:hAnsi="宋体" w:eastAsia="宋体" w:cs="宋体"/>
                <w:sz w:val="20"/>
                <w:highlight w:val="none"/>
              </w:rPr>
            </w:pPr>
            <w:r>
              <w:rPr>
                <w:rFonts w:hint="eastAsia" w:ascii="宋体" w:hAnsi="宋体" w:eastAsia="宋体" w:cs="宋体"/>
                <w:sz w:val="20"/>
                <w:highlight w:val="none"/>
              </w:rPr>
              <w:t>其中</w:t>
            </w:r>
          </w:p>
        </w:tc>
        <w:tc>
          <w:tcPr>
            <w:tcW w:w="1991" w:type="dxa"/>
            <w:gridSpan w:val="3"/>
          </w:tcPr>
          <w:p w14:paraId="40AF7F54">
            <w:pPr>
              <w:pStyle w:val="27"/>
              <w:spacing w:before="153"/>
              <w:ind w:left="594"/>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2771" w:type="dxa"/>
            <w:gridSpan w:val="2"/>
          </w:tcPr>
          <w:p w14:paraId="229C167E">
            <w:pPr>
              <w:pStyle w:val="27"/>
              <w:rPr>
                <w:rFonts w:hint="eastAsia" w:ascii="宋体" w:hAnsi="宋体" w:eastAsia="宋体" w:cs="宋体"/>
                <w:sz w:val="20"/>
                <w:highlight w:val="none"/>
              </w:rPr>
            </w:pPr>
          </w:p>
        </w:tc>
      </w:tr>
      <w:tr w14:paraId="6EE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C0E5258">
            <w:pPr>
              <w:pStyle w:val="27"/>
              <w:spacing w:before="152"/>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注册资本</w:t>
            </w:r>
          </w:p>
        </w:tc>
        <w:tc>
          <w:tcPr>
            <w:tcW w:w="1980" w:type="dxa"/>
            <w:gridSpan w:val="2"/>
          </w:tcPr>
          <w:p w14:paraId="325E1994">
            <w:pPr>
              <w:pStyle w:val="27"/>
              <w:rPr>
                <w:rFonts w:hint="eastAsia" w:ascii="宋体" w:hAnsi="宋体" w:eastAsia="宋体" w:cs="宋体"/>
                <w:sz w:val="20"/>
                <w:highlight w:val="none"/>
              </w:rPr>
            </w:pPr>
          </w:p>
        </w:tc>
        <w:tc>
          <w:tcPr>
            <w:tcW w:w="529" w:type="dxa"/>
            <w:vMerge w:val="continue"/>
            <w:tcBorders>
              <w:top w:val="nil"/>
            </w:tcBorders>
          </w:tcPr>
          <w:p w14:paraId="5BA90BD7">
            <w:pPr>
              <w:rPr>
                <w:rFonts w:hint="eastAsia" w:ascii="宋体" w:hAnsi="宋体" w:eastAsia="宋体" w:cs="宋体"/>
                <w:sz w:val="2"/>
                <w:szCs w:val="2"/>
                <w:highlight w:val="none"/>
              </w:rPr>
            </w:pPr>
          </w:p>
        </w:tc>
        <w:tc>
          <w:tcPr>
            <w:tcW w:w="1991" w:type="dxa"/>
            <w:gridSpan w:val="3"/>
          </w:tcPr>
          <w:p w14:paraId="4ADB8657">
            <w:pPr>
              <w:pStyle w:val="27"/>
              <w:spacing w:before="152"/>
              <w:ind w:left="395"/>
              <w:rPr>
                <w:rFonts w:hint="eastAsia" w:ascii="宋体" w:hAnsi="宋体" w:eastAsia="宋体" w:cs="宋体"/>
                <w:sz w:val="20"/>
                <w:highlight w:val="none"/>
              </w:rPr>
            </w:pPr>
            <w:r>
              <w:rPr>
                <w:rFonts w:hint="eastAsia" w:ascii="宋体" w:hAnsi="宋体" w:eastAsia="宋体" w:cs="宋体"/>
                <w:sz w:val="20"/>
                <w:highlight w:val="none"/>
              </w:rPr>
              <w:t>高级职称人员</w:t>
            </w:r>
          </w:p>
        </w:tc>
        <w:tc>
          <w:tcPr>
            <w:tcW w:w="2771" w:type="dxa"/>
            <w:gridSpan w:val="2"/>
          </w:tcPr>
          <w:p w14:paraId="0D3AED59">
            <w:pPr>
              <w:pStyle w:val="27"/>
              <w:rPr>
                <w:rFonts w:hint="eastAsia" w:ascii="宋体" w:hAnsi="宋体" w:eastAsia="宋体" w:cs="宋体"/>
                <w:sz w:val="20"/>
                <w:highlight w:val="none"/>
              </w:rPr>
            </w:pPr>
          </w:p>
        </w:tc>
      </w:tr>
      <w:tr w14:paraId="2E27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6F1311E">
            <w:pPr>
              <w:pStyle w:val="27"/>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成立日期</w:t>
            </w:r>
          </w:p>
        </w:tc>
        <w:tc>
          <w:tcPr>
            <w:tcW w:w="1980" w:type="dxa"/>
            <w:gridSpan w:val="2"/>
          </w:tcPr>
          <w:p w14:paraId="51328B74">
            <w:pPr>
              <w:pStyle w:val="27"/>
              <w:rPr>
                <w:rFonts w:hint="eastAsia" w:ascii="宋体" w:hAnsi="宋体" w:eastAsia="宋体" w:cs="宋体"/>
                <w:sz w:val="20"/>
                <w:highlight w:val="none"/>
              </w:rPr>
            </w:pPr>
          </w:p>
        </w:tc>
        <w:tc>
          <w:tcPr>
            <w:tcW w:w="529" w:type="dxa"/>
            <w:vMerge w:val="continue"/>
            <w:tcBorders>
              <w:top w:val="nil"/>
            </w:tcBorders>
          </w:tcPr>
          <w:p w14:paraId="37312724">
            <w:pPr>
              <w:rPr>
                <w:rFonts w:hint="eastAsia" w:ascii="宋体" w:hAnsi="宋体" w:eastAsia="宋体" w:cs="宋体"/>
                <w:sz w:val="2"/>
                <w:szCs w:val="2"/>
                <w:highlight w:val="none"/>
              </w:rPr>
            </w:pPr>
          </w:p>
        </w:tc>
        <w:tc>
          <w:tcPr>
            <w:tcW w:w="1991" w:type="dxa"/>
            <w:gridSpan w:val="3"/>
          </w:tcPr>
          <w:p w14:paraId="48B1F0A3">
            <w:pPr>
              <w:pStyle w:val="27"/>
              <w:spacing w:before="153"/>
              <w:ind w:left="395"/>
              <w:rPr>
                <w:rFonts w:hint="eastAsia" w:ascii="宋体" w:hAnsi="宋体" w:eastAsia="宋体" w:cs="宋体"/>
                <w:sz w:val="20"/>
                <w:highlight w:val="none"/>
              </w:rPr>
            </w:pPr>
            <w:r>
              <w:rPr>
                <w:rFonts w:hint="eastAsia" w:ascii="宋体" w:hAnsi="宋体" w:eastAsia="宋体" w:cs="宋体"/>
                <w:sz w:val="20"/>
                <w:highlight w:val="none"/>
              </w:rPr>
              <w:t>中级职称人员</w:t>
            </w:r>
          </w:p>
        </w:tc>
        <w:tc>
          <w:tcPr>
            <w:tcW w:w="2771" w:type="dxa"/>
            <w:gridSpan w:val="2"/>
          </w:tcPr>
          <w:p w14:paraId="3A5E6A05">
            <w:pPr>
              <w:pStyle w:val="27"/>
              <w:rPr>
                <w:rFonts w:hint="eastAsia" w:ascii="宋体" w:hAnsi="宋体" w:eastAsia="宋体" w:cs="宋体"/>
                <w:sz w:val="20"/>
                <w:highlight w:val="none"/>
              </w:rPr>
            </w:pPr>
          </w:p>
        </w:tc>
      </w:tr>
      <w:tr w14:paraId="6C55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479B3AA">
            <w:pPr>
              <w:pStyle w:val="27"/>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基本账户开户银行</w:t>
            </w:r>
          </w:p>
        </w:tc>
        <w:tc>
          <w:tcPr>
            <w:tcW w:w="1980" w:type="dxa"/>
            <w:gridSpan w:val="2"/>
          </w:tcPr>
          <w:p w14:paraId="25828F3E">
            <w:pPr>
              <w:pStyle w:val="27"/>
              <w:rPr>
                <w:rFonts w:hint="eastAsia" w:ascii="宋体" w:hAnsi="宋体" w:eastAsia="宋体" w:cs="宋体"/>
                <w:sz w:val="20"/>
                <w:highlight w:val="none"/>
              </w:rPr>
            </w:pPr>
          </w:p>
        </w:tc>
        <w:tc>
          <w:tcPr>
            <w:tcW w:w="529" w:type="dxa"/>
            <w:vMerge w:val="continue"/>
            <w:tcBorders>
              <w:top w:val="nil"/>
            </w:tcBorders>
          </w:tcPr>
          <w:p w14:paraId="2CACF5EC">
            <w:pPr>
              <w:rPr>
                <w:rFonts w:hint="eastAsia" w:ascii="宋体" w:hAnsi="宋体" w:eastAsia="宋体" w:cs="宋体"/>
                <w:sz w:val="2"/>
                <w:szCs w:val="2"/>
                <w:highlight w:val="none"/>
              </w:rPr>
            </w:pPr>
          </w:p>
        </w:tc>
        <w:tc>
          <w:tcPr>
            <w:tcW w:w="1991" w:type="dxa"/>
            <w:gridSpan w:val="3"/>
          </w:tcPr>
          <w:p w14:paraId="286A9BD0">
            <w:pPr>
              <w:pStyle w:val="27"/>
              <w:spacing w:before="152"/>
              <w:ind w:left="395"/>
              <w:rPr>
                <w:rFonts w:hint="eastAsia" w:ascii="宋体" w:hAnsi="宋体" w:eastAsia="宋体" w:cs="宋体"/>
                <w:sz w:val="20"/>
                <w:highlight w:val="none"/>
              </w:rPr>
            </w:pPr>
            <w:r>
              <w:rPr>
                <w:rFonts w:hint="eastAsia" w:ascii="宋体" w:hAnsi="宋体" w:eastAsia="宋体" w:cs="宋体"/>
                <w:sz w:val="20"/>
                <w:highlight w:val="none"/>
              </w:rPr>
              <w:t>初级职称人员</w:t>
            </w:r>
          </w:p>
        </w:tc>
        <w:tc>
          <w:tcPr>
            <w:tcW w:w="2771" w:type="dxa"/>
            <w:gridSpan w:val="2"/>
          </w:tcPr>
          <w:p w14:paraId="0FE0ADA9">
            <w:pPr>
              <w:pStyle w:val="27"/>
              <w:rPr>
                <w:rFonts w:hint="eastAsia" w:ascii="宋体" w:hAnsi="宋体" w:eastAsia="宋体" w:cs="宋体"/>
                <w:sz w:val="20"/>
                <w:highlight w:val="none"/>
              </w:rPr>
            </w:pPr>
          </w:p>
        </w:tc>
      </w:tr>
      <w:tr w14:paraId="2406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B9D1375">
            <w:pPr>
              <w:pStyle w:val="27"/>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基本账户银行账号</w:t>
            </w:r>
          </w:p>
        </w:tc>
        <w:tc>
          <w:tcPr>
            <w:tcW w:w="1980" w:type="dxa"/>
            <w:gridSpan w:val="2"/>
          </w:tcPr>
          <w:p w14:paraId="662FBBDC">
            <w:pPr>
              <w:pStyle w:val="27"/>
              <w:rPr>
                <w:rFonts w:hint="eastAsia" w:ascii="宋体" w:hAnsi="宋体" w:eastAsia="宋体" w:cs="宋体"/>
                <w:sz w:val="20"/>
                <w:highlight w:val="none"/>
              </w:rPr>
            </w:pPr>
          </w:p>
        </w:tc>
        <w:tc>
          <w:tcPr>
            <w:tcW w:w="529" w:type="dxa"/>
            <w:vMerge w:val="continue"/>
            <w:tcBorders>
              <w:top w:val="nil"/>
            </w:tcBorders>
          </w:tcPr>
          <w:p w14:paraId="35137218">
            <w:pPr>
              <w:rPr>
                <w:rFonts w:hint="eastAsia" w:ascii="宋体" w:hAnsi="宋体" w:eastAsia="宋体" w:cs="宋体"/>
                <w:sz w:val="2"/>
                <w:szCs w:val="2"/>
                <w:highlight w:val="none"/>
              </w:rPr>
            </w:pPr>
          </w:p>
        </w:tc>
        <w:tc>
          <w:tcPr>
            <w:tcW w:w="1991" w:type="dxa"/>
            <w:gridSpan w:val="3"/>
          </w:tcPr>
          <w:p w14:paraId="58ADB440">
            <w:pPr>
              <w:pStyle w:val="27"/>
              <w:spacing w:before="91"/>
              <w:ind w:left="772" w:right="768"/>
              <w:jc w:val="center"/>
              <w:rPr>
                <w:rFonts w:hint="eastAsia" w:ascii="宋体" w:hAnsi="宋体" w:eastAsia="宋体" w:cs="宋体"/>
                <w:sz w:val="20"/>
                <w:highlight w:val="none"/>
              </w:rPr>
            </w:pPr>
            <w:r>
              <w:rPr>
                <w:rFonts w:hint="eastAsia" w:ascii="宋体" w:hAnsi="宋体" w:eastAsia="宋体" w:cs="宋体"/>
                <w:sz w:val="20"/>
                <w:highlight w:val="none"/>
              </w:rPr>
              <w:t>技工</w:t>
            </w:r>
          </w:p>
        </w:tc>
        <w:tc>
          <w:tcPr>
            <w:tcW w:w="2771" w:type="dxa"/>
            <w:gridSpan w:val="2"/>
          </w:tcPr>
          <w:p w14:paraId="3E005A9C">
            <w:pPr>
              <w:pStyle w:val="27"/>
              <w:rPr>
                <w:rFonts w:hint="eastAsia" w:ascii="宋体" w:hAnsi="宋体" w:eastAsia="宋体" w:cs="宋体"/>
                <w:sz w:val="20"/>
                <w:highlight w:val="none"/>
              </w:rPr>
            </w:pPr>
          </w:p>
        </w:tc>
      </w:tr>
      <w:tr w14:paraId="7B6C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275" w:type="dxa"/>
          </w:tcPr>
          <w:p w14:paraId="5C6E4C39">
            <w:pPr>
              <w:pStyle w:val="27"/>
              <w:rPr>
                <w:rFonts w:hint="eastAsia" w:ascii="宋体" w:hAnsi="宋体" w:eastAsia="宋体" w:cs="宋体"/>
                <w:sz w:val="20"/>
                <w:highlight w:val="none"/>
              </w:rPr>
            </w:pPr>
          </w:p>
          <w:p w14:paraId="5C5D0506">
            <w:pPr>
              <w:pStyle w:val="27"/>
              <w:rPr>
                <w:rFonts w:hint="eastAsia" w:ascii="宋体" w:hAnsi="宋体" w:eastAsia="宋体" w:cs="宋体"/>
                <w:sz w:val="20"/>
                <w:highlight w:val="none"/>
              </w:rPr>
            </w:pPr>
          </w:p>
          <w:p w14:paraId="41752F04">
            <w:pPr>
              <w:pStyle w:val="27"/>
              <w:spacing w:before="5"/>
              <w:rPr>
                <w:rFonts w:hint="eastAsia" w:ascii="宋体" w:hAnsi="宋体" w:eastAsia="宋体" w:cs="宋体"/>
                <w:sz w:val="23"/>
                <w:highlight w:val="none"/>
              </w:rPr>
            </w:pPr>
          </w:p>
          <w:p w14:paraId="26C0EF98">
            <w:pPr>
              <w:pStyle w:val="27"/>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经营范围</w:t>
            </w:r>
          </w:p>
        </w:tc>
        <w:tc>
          <w:tcPr>
            <w:tcW w:w="7271" w:type="dxa"/>
            <w:gridSpan w:val="8"/>
          </w:tcPr>
          <w:p w14:paraId="1E0549E3">
            <w:pPr>
              <w:pStyle w:val="27"/>
              <w:rPr>
                <w:rFonts w:hint="eastAsia" w:ascii="宋体" w:hAnsi="宋体" w:eastAsia="宋体" w:cs="宋体"/>
                <w:sz w:val="20"/>
                <w:highlight w:val="none"/>
              </w:rPr>
            </w:pPr>
          </w:p>
        </w:tc>
      </w:tr>
      <w:tr w14:paraId="4ED1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2275" w:type="dxa"/>
          </w:tcPr>
          <w:p w14:paraId="24940D33">
            <w:pPr>
              <w:pStyle w:val="27"/>
              <w:rPr>
                <w:rFonts w:hint="eastAsia" w:ascii="宋体" w:hAnsi="宋体" w:eastAsia="宋体" w:cs="宋体"/>
                <w:sz w:val="20"/>
                <w:highlight w:val="none"/>
              </w:rPr>
            </w:pPr>
          </w:p>
          <w:p w14:paraId="3F545B78">
            <w:pPr>
              <w:pStyle w:val="27"/>
              <w:rPr>
                <w:rFonts w:hint="eastAsia" w:ascii="宋体" w:hAnsi="宋体" w:eastAsia="宋体" w:cs="宋体"/>
                <w:sz w:val="20"/>
                <w:highlight w:val="none"/>
              </w:rPr>
            </w:pPr>
          </w:p>
          <w:p w14:paraId="38C5B37C">
            <w:pPr>
              <w:pStyle w:val="27"/>
              <w:spacing w:before="1"/>
              <w:rPr>
                <w:rFonts w:hint="eastAsia" w:ascii="宋体" w:hAnsi="宋体" w:eastAsia="宋体" w:cs="宋体"/>
                <w:sz w:val="17"/>
                <w:highlight w:val="none"/>
              </w:rPr>
            </w:pPr>
          </w:p>
          <w:p w14:paraId="693929CB">
            <w:pPr>
              <w:pStyle w:val="27"/>
              <w:spacing w:line="412" w:lineRule="auto"/>
              <w:ind w:left="750" w:right="242" w:hanging="500"/>
              <w:rPr>
                <w:rFonts w:hint="eastAsia" w:ascii="宋体" w:hAnsi="宋体" w:eastAsia="宋体" w:cs="宋体"/>
                <w:sz w:val="20"/>
                <w:highlight w:val="none"/>
              </w:rPr>
            </w:pPr>
            <w:r>
              <w:rPr>
                <w:rFonts w:hint="eastAsia" w:ascii="宋体" w:hAnsi="宋体" w:eastAsia="宋体" w:cs="宋体"/>
                <w:sz w:val="20"/>
                <w:highlight w:val="none"/>
              </w:rPr>
              <w:t>投标人关联企业情况</w:t>
            </w:r>
          </w:p>
        </w:tc>
        <w:tc>
          <w:tcPr>
            <w:tcW w:w="7271" w:type="dxa"/>
            <w:gridSpan w:val="8"/>
          </w:tcPr>
          <w:p w14:paraId="43E34B81">
            <w:pPr>
              <w:pStyle w:val="27"/>
              <w:spacing w:before="144"/>
              <w:ind w:left="108"/>
              <w:rPr>
                <w:rFonts w:hint="eastAsia" w:ascii="宋体" w:hAnsi="宋体" w:eastAsia="宋体" w:cs="宋体"/>
                <w:sz w:val="20"/>
                <w:highlight w:val="none"/>
              </w:rPr>
            </w:pPr>
            <w:r>
              <w:rPr>
                <w:rFonts w:hint="eastAsia" w:ascii="宋体" w:hAnsi="宋体" w:eastAsia="宋体" w:cs="宋体"/>
                <w:sz w:val="20"/>
                <w:highlight w:val="none"/>
              </w:rPr>
              <w:t>投标人应提供关联企业情况，包括：</w:t>
            </w:r>
          </w:p>
          <w:p w14:paraId="3C697821">
            <w:pPr>
              <w:pStyle w:val="27"/>
              <w:numPr>
                <w:ilvl w:val="0"/>
                <w:numId w:val="62"/>
              </w:numPr>
              <w:tabs>
                <w:tab w:val="left" w:pos="508"/>
              </w:tabs>
              <w:spacing w:before="142"/>
              <w:ind w:hanging="501"/>
              <w:rPr>
                <w:rFonts w:hint="eastAsia" w:ascii="宋体" w:hAnsi="宋体" w:eastAsia="宋体" w:cs="宋体"/>
                <w:sz w:val="20"/>
                <w:highlight w:val="none"/>
              </w:rPr>
            </w:pPr>
            <w:r>
              <w:rPr>
                <w:rFonts w:hint="eastAsia" w:ascii="宋体" w:hAnsi="宋体" w:eastAsia="宋体" w:cs="宋体"/>
                <w:sz w:val="20"/>
                <w:highlight w:val="none"/>
              </w:rPr>
              <w:t>投标人的所有股东名称及相应股权（出资额）比例</w:t>
            </w:r>
          </w:p>
          <w:p w14:paraId="6DD577FB">
            <w:pPr>
              <w:pStyle w:val="27"/>
              <w:numPr>
                <w:ilvl w:val="0"/>
                <w:numId w:val="62"/>
              </w:numPr>
              <w:tabs>
                <w:tab w:val="left" w:pos="508"/>
              </w:tabs>
              <w:spacing w:before="144"/>
              <w:ind w:hanging="501"/>
              <w:rPr>
                <w:rFonts w:hint="eastAsia" w:ascii="宋体" w:hAnsi="宋体" w:eastAsia="宋体" w:cs="宋体"/>
                <w:sz w:val="20"/>
                <w:highlight w:val="none"/>
              </w:rPr>
            </w:pPr>
            <w:r>
              <w:rPr>
                <w:rFonts w:hint="eastAsia" w:ascii="宋体" w:hAnsi="宋体" w:eastAsia="宋体" w:cs="宋体"/>
                <w:sz w:val="20"/>
                <w:highlight w:val="none"/>
              </w:rPr>
              <w:t>投标人投资（控股）或管理的下属企业名称、持有股权（出资额）比例；</w:t>
            </w:r>
          </w:p>
          <w:p w14:paraId="0AF25A62">
            <w:pPr>
              <w:pStyle w:val="27"/>
              <w:numPr>
                <w:ilvl w:val="0"/>
                <w:numId w:val="62"/>
              </w:numPr>
              <w:tabs>
                <w:tab w:val="left" w:pos="508"/>
              </w:tabs>
              <w:spacing w:before="145"/>
              <w:ind w:hanging="501"/>
              <w:rPr>
                <w:rFonts w:hint="eastAsia" w:ascii="宋体" w:hAnsi="宋体" w:eastAsia="宋体" w:cs="宋体"/>
                <w:sz w:val="20"/>
                <w:highlight w:val="none"/>
              </w:rPr>
            </w:pPr>
            <w:r>
              <w:rPr>
                <w:rFonts w:hint="eastAsia" w:ascii="宋体" w:hAnsi="宋体" w:eastAsia="宋体" w:cs="宋体"/>
                <w:sz w:val="20"/>
                <w:highlight w:val="none"/>
              </w:rPr>
              <w:t>与投标人单位负责人（即法定代表人）为同一人的其他单位名称</w:t>
            </w:r>
          </w:p>
        </w:tc>
      </w:tr>
      <w:tr w14:paraId="57E95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9027A0B">
            <w:pPr>
              <w:pStyle w:val="27"/>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7271" w:type="dxa"/>
            <w:gridSpan w:val="8"/>
          </w:tcPr>
          <w:p w14:paraId="4DFF464E">
            <w:pPr>
              <w:pStyle w:val="27"/>
              <w:rPr>
                <w:rFonts w:hint="eastAsia" w:ascii="宋体" w:hAnsi="宋体" w:eastAsia="宋体" w:cs="宋体"/>
                <w:sz w:val="20"/>
                <w:highlight w:val="none"/>
              </w:rPr>
            </w:pPr>
          </w:p>
        </w:tc>
      </w:tr>
    </w:tbl>
    <w:p w14:paraId="131EBF64">
      <w:pPr>
        <w:pStyle w:val="10"/>
        <w:kinsoku w:val="0"/>
        <w:overflowPunct w:val="0"/>
        <w:adjustRightInd w:val="0"/>
        <w:spacing w:before="57" w:line="440" w:lineRule="exact"/>
        <w:ind w:left="111" w:right="232" w:firstLine="480"/>
        <w:jc w:val="both"/>
        <w:rPr>
          <w:rFonts w:hint="eastAsia" w:ascii="宋体" w:hAnsi="宋体" w:eastAsia="宋体" w:cs="宋体"/>
          <w:sz w:val="20"/>
          <w:highlight w:val="none"/>
        </w:rPr>
      </w:pPr>
      <w:r>
        <w:rPr>
          <w:rFonts w:hint="eastAsia" w:ascii="宋体" w:hAnsi="宋体" w:eastAsia="宋体" w:cs="宋体"/>
          <w:sz w:val="20"/>
          <w:highlight w:val="none"/>
        </w:rPr>
        <w:t>注：投标人应附统一社会信用代码的营业执照副本、施工资质证书副本、安全生产许可证副本、基本账户开户许可证、</w:t>
      </w:r>
      <w:r>
        <w:rPr>
          <w:rFonts w:hint="eastAsia" w:ascii="宋体" w:hAnsi="宋体" w:eastAsia="宋体" w:cs="宋体"/>
          <w:sz w:val="20"/>
          <w:highlight w:val="none"/>
          <w:lang w:val="en-US"/>
        </w:rPr>
        <w:t>自治区外企业进疆信息报送册（如有）等</w:t>
      </w:r>
      <w:r>
        <w:rPr>
          <w:rFonts w:hint="eastAsia" w:ascii="宋体" w:hAnsi="宋体" w:eastAsia="宋体" w:cs="宋体"/>
          <w:sz w:val="20"/>
          <w:highlight w:val="none"/>
        </w:rPr>
        <w:t>原件的扫描件</w:t>
      </w:r>
      <w:r>
        <w:rPr>
          <w:rFonts w:hint="eastAsia" w:ascii="宋体" w:hAnsi="宋体" w:eastAsia="宋体" w:cs="宋体"/>
          <w:sz w:val="20"/>
          <w:highlight w:val="none"/>
          <w:lang w:val="en-US"/>
        </w:rPr>
        <w:t>。</w:t>
      </w:r>
    </w:p>
    <w:p w14:paraId="206AFA4F">
      <w:pPr>
        <w:pStyle w:val="10"/>
        <w:spacing w:before="10"/>
        <w:rPr>
          <w:rFonts w:hint="eastAsia" w:ascii="宋体" w:hAnsi="宋体" w:eastAsia="宋体" w:cs="宋体"/>
          <w:sz w:val="28"/>
          <w:highlight w:val="none"/>
        </w:rPr>
      </w:pPr>
    </w:p>
    <w:p w14:paraId="28583E65">
      <w:pPr>
        <w:pStyle w:val="25"/>
        <w:rPr>
          <w:rFonts w:hint="eastAsia" w:ascii="宋体" w:hAnsi="宋体" w:eastAsia="宋体" w:cs="宋体"/>
          <w:sz w:val="28"/>
          <w:highlight w:val="none"/>
        </w:rPr>
      </w:pPr>
    </w:p>
    <w:p w14:paraId="78DC6AD4">
      <w:pPr>
        <w:rPr>
          <w:rFonts w:hint="eastAsia" w:ascii="宋体" w:hAnsi="宋体" w:eastAsia="宋体" w:cs="宋体"/>
          <w:sz w:val="28"/>
          <w:highlight w:val="none"/>
        </w:rPr>
      </w:pPr>
    </w:p>
    <w:p w14:paraId="35C5F037">
      <w:pPr>
        <w:pStyle w:val="5"/>
        <w:rPr>
          <w:rFonts w:hint="eastAsia" w:ascii="宋体" w:hAnsi="宋体" w:eastAsia="宋体" w:cs="宋体"/>
          <w:highlight w:val="none"/>
        </w:rPr>
      </w:pPr>
    </w:p>
    <w:p w14:paraId="4C6A7FE8">
      <w:pPr>
        <w:rPr>
          <w:rFonts w:hint="eastAsia" w:ascii="宋体" w:hAnsi="宋体" w:eastAsia="宋体" w:cs="宋体"/>
          <w:sz w:val="28"/>
          <w:highlight w:val="none"/>
        </w:rPr>
      </w:pPr>
    </w:p>
    <w:p w14:paraId="1A8AD8BB">
      <w:pPr>
        <w:pStyle w:val="5"/>
        <w:rPr>
          <w:rFonts w:hint="eastAsia" w:ascii="宋体" w:hAnsi="宋体" w:eastAsia="宋体" w:cs="宋体"/>
          <w:highlight w:val="none"/>
        </w:rPr>
      </w:pPr>
    </w:p>
    <w:p w14:paraId="15C20DE4">
      <w:pPr>
        <w:rPr>
          <w:rFonts w:hint="eastAsia" w:ascii="宋体" w:hAnsi="宋体" w:eastAsia="宋体" w:cs="宋体"/>
          <w:highlight w:val="none"/>
        </w:rPr>
      </w:pPr>
    </w:p>
    <w:p w14:paraId="4149F63D">
      <w:pPr>
        <w:pStyle w:val="10"/>
        <w:spacing w:before="66"/>
        <w:ind w:left="1" w:right="199"/>
        <w:jc w:val="center"/>
        <w:rPr>
          <w:rFonts w:hint="eastAsia" w:ascii="宋体" w:hAnsi="宋体" w:eastAsia="宋体" w:cs="宋体"/>
          <w:highlight w:val="none"/>
        </w:rPr>
      </w:pPr>
      <w:bookmarkStart w:id="104" w:name="（二）投标人企业组织机构框图"/>
      <w:bookmarkEnd w:id="104"/>
      <w:r>
        <w:rPr>
          <w:rFonts w:hint="eastAsia" w:ascii="宋体" w:hAnsi="宋体" w:eastAsia="宋体" w:cs="宋体"/>
          <w:highlight w:val="none"/>
        </w:rPr>
        <w:t>（二）投标人企业组织机构框图</w:t>
      </w:r>
    </w:p>
    <w:p w14:paraId="7E6671D4">
      <w:pPr>
        <w:pStyle w:val="10"/>
        <w:spacing w:before="3"/>
        <w:rPr>
          <w:rFonts w:hint="eastAsia" w:ascii="宋体" w:hAnsi="宋体" w:eastAsia="宋体" w:cs="宋体"/>
          <w:sz w:val="28"/>
          <w:highlight w:val="none"/>
        </w:rPr>
      </w:pPr>
      <w:r>
        <w:rPr>
          <w:rFonts w:hint="eastAsia" w:ascii="宋体" w:hAnsi="宋体" w:eastAsia="宋体" w:cs="宋体"/>
          <w:highlight w:val="none"/>
        </w:rPr>
        <mc:AlternateContent>
          <mc:Choice Requires="wpg">
            <w:drawing>
              <wp:anchor distT="0" distB="0" distL="114300" distR="114300" simplePos="0" relativeHeight="251672576" behindDoc="1" locked="0" layoutInCell="1" allowOverlap="1">
                <wp:simplePos x="0" y="0"/>
                <wp:positionH relativeFrom="page">
                  <wp:posOffset>1069340</wp:posOffset>
                </wp:positionH>
                <wp:positionV relativeFrom="paragraph">
                  <wp:posOffset>259715</wp:posOffset>
                </wp:positionV>
                <wp:extent cx="5605145" cy="6966585"/>
                <wp:effectExtent l="0" t="0" r="3175" b="13335"/>
                <wp:wrapTopAndBottom/>
                <wp:docPr id="1" name="组合 106"/>
                <wp:cNvGraphicFramePr/>
                <a:graphic xmlns:a="http://schemas.openxmlformats.org/drawingml/2006/main">
                  <a:graphicData uri="http://schemas.microsoft.com/office/word/2010/wordprocessingGroup">
                    <wpg:wgp>
                      <wpg:cNvGrpSpPr/>
                      <wpg:grpSpPr>
                        <a:xfrm>
                          <a:off x="0" y="0"/>
                          <a:ext cx="5605145" cy="6966585"/>
                          <a:chOff x="1685" y="409"/>
                          <a:chExt cx="8827" cy="10971"/>
                        </a:xfrm>
                      </wpg:grpSpPr>
                      <wps:wsp>
                        <wps:cNvPr id="25" name="直线 107"/>
                        <wps:cNvCnPr/>
                        <wps:spPr>
                          <a:xfrm>
                            <a:off x="1685" y="417"/>
                            <a:ext cx="8826" cy="0"/>
                          </a:xfrm>
                          <a:prstGeom prst="line">
                            <a:avLst/>
                          </a:prstGeom>
                          <a:ln w="9144" cap="flat" cmpd="sng">
                            <a:solidFill>
                              <a:srgbClr val="000000"/>
                            </a:solidFill>
                            <a:prstDash val="solid"/>
                            <a:headEnd type="none" w="med" len="med"/>
                            <a:tailEnd type="none" w="med" len="med"/>
                          </a:ln>
                        </wps:spPr>
                        <wps:bodyPr/>
                      </wps:wsp>
                      <wps:wsp>
                        <wps:cNvPr id="26" name="直线 108"/>
                        <wps:cNvCnPr/>
                        <wps:spPr>
                          <a:xfrm>
                            <a:off x="1685" y="7956"/>
                            <a:ext cx="8826" cy="0"/>
                          </a:xfrm>
                          <a:prstGeom prst="line">
                            <a:avLst/>
                          </a:prstGeom>
                          <a:ln w="9144" cap="flat" cmpd="sng">
                            <a:solidFill>
                              <a:srgbClr val="000000"/>
                            </a:solidFill>
                            <a:prstDash val="solid"/>
                            <a:headEnd type="none" w="med" len="med"/>
                            <a:tailEnd type="none" w="med" len="med"/>
                          </a:ln>
                        </wps:spPr>
                        <wps:bodyPr/>
                      </wps:wsp>
                      <wps:wsp>
                        <wps:cNvPr id="27" name="直线 109"/>
                        <wps:cNvCnPr/>
                        <wps:spPr>
                          <a:xfrm>
                            <a:off x="1685" y="11373"/>
                            <a:ext cx="8826" cy="0"/>
                          </a:xfrm>
                          <a:prstGeom prst="line">
                            <a:avLst/>
                          </a:prstGeom>
                          <a:ln w="9144" cap="flat" cmpd="sng">
                            <a:solidFill>
                              <a:srgbClr val="000000"/>
                            </a:solidFill>
                            <a:prstDash val="solid"/>
                            <a:headEnd type="none" w="med" len="med"/>
                            <a:tailEnd type="none" w="med" len="med"/>
                          </a:ln>
                        </wps:spPr>
                        <wps:bodyPr/>
                      </wps:wsp>
                      <wps:wsp>
                        <wps:cNvPr id="28" name="直线 110"/>
                        <wps:cNvCnPr/>
                        <wps:spPr>
                          <a:xfrm>
                            <a:off x="1692" y="409"/>
                            <a:ext cx="0" cy="10956"/>
                          </a:xfrm>
                          <a:prstGeom prst="line">
                            <a:avLst/>
                          </a:prstGeom>
                          <a:ln w="9144" cap="flat" cmpd="sng">
                            <a:solidFill>
                              <a:srgbClr val="000000"/>
                            </a:solidFill>
                            <a:prstDash val="solid"/>
                            <a:headEnd type="none" w="med" len="med"/>
                            <a:tailEnd type="none" w="med" len="med"/>
                          </a:ln>
                        </wps:spPr>
                        <wps:bodyPr/>
                      </wps:wsp>
                      <wps:wsp>
                        <wps:cNvPr id="29" name="直线 111"/>
                        <wps:cNvCnPr/>
                        <wps:spPr>
                          <a:xfrm>
                            <a:off x="10504" y="409"/>
                            <a:ext cx="0" cy="10956"/>
                          </a:xfrm>
                          <a:prstGeom prst="line">
                            <a:avLst/>
                          </a:prstGeom>
                          <a:ln w="9144" cap="flat" cmpd="sng">
                            <a:solidFill>
                              <a:srgbClr val="000000"/>
                            </a:solidFill>
                            <a:prstDash val="solid"/>
                            <a:headEnd type="none" w="med" len="med"/>
                            <a:tailEnd type="none" w="med" len="med"/>
                          </a:ln>
                        </wps:spPr>
                        <wps:bodyPr/>
                      </wps:wsp>
                      <wps:wsp>
                        <wps:cNvPr id="30" name="文本框 112"/>
                        <wps:cNvSpPr txBox="1"/>
                        <wps:spPr>
                          <a:xfrm>
                            <a:off x="2232" y="8135"/>
                            <a:ext cx="419" cy="199"/>
                          </a:xfrm>
                          <a:prstGeom prst="rect">
                            <a:avLst/>
                          </a:prstGeom>
                          <a:noFill/>
                          <a:ln>
                            <a:noFill/>
                          </a:ln>
                        </wps:spPr>
                        <wps:txbx>
                          <w:txbxContent>
                            <w:p w14:paraId="13AD9728">
                              <w:pPr>
                                <w:spacing w:line="199" w:lineRule="exact"/>
                                <w:rPr>
                                  <w:sz w:val="20"/>
                                </w:rPr>
                              </w:pPr>
                              <w:r>
                                <w:rPr>
                                  <w:sz w:val="20"/>
                                </w:rPr>
                                <w:t>说明</w:t>
                              </w:r>
                            </w:p>
                          </w:txbxContent>
                        </wps:txbx>
                        <wps:bodyPr lIns="0" tIns="0" rIns="0" bIns="0" upright="1"/>
                      </wps:wsp>
                      <wps:wsp>
                        <wps:cNvPr id="31" name="文本框 113"/>
                        <wps:cNvSpPr txBox="1"/>
                        <wps:spPr>
                          <a:xfrm>
                            <a:off x="2232" y="1115"/>
                            <a:ext cx="1619" cy="199"/>
                          </a:xfrm>
                          <a:prstGeom prst="rect">
                            <a:avLst/>
                          </a:prstGeom>
                          <a:noFill/>
                          <a:ln>
                            <a:noFill/>
                          </a:ln>
                        </wps:spPr>
                        <wps:txbx>
                          <w:txbxContent>
                            <w:p w14:paraId="398C0DBE">
                              <w:pPr>
                                <w:spacing w:line="199" w:lineRule="exact"/>
                                <w:rPr>
                                  <w:sz w:val="22"/>
                                  <w:szCs w:val="28"/>
                                </w:rPr>
                              </w:pPr>
                              <w:r>
                                <w:rPr>
                                  <w:sz w:val="20"/>
                                </w:rPr>
                                <w:t>以框图方式表示。</w:t>
                              </w:r>
                            </w:p>
                          </w:txbxContent>
                        </wps:txbx>
                        <wps:bodyPr lIns="0" tIns="0" rIns="0" bIns="0" upright="1"/>
                      </wps:wsp>
                    </wpg:wgp>
                  </a:graphicData>
                </a:graphic>
              </wp:anchor>
            </w:drawing>
          </mc:Choice>
          <mc:Fallback>
            <w:pict>
              <v:group id="组合 106" o:spid="_x0000_s1026" o:spt="203" style="position:absolute;left:0pt;margin-left:84.2pt;margin-top:20.45pt;height:548.55pt;width:441.35pt;mso-position-horizontal-relative:page;mso-wrap-distance-bottom:0pt;mso-wrap-distance-top:0pt;z-index:-251643904;mso-width-relative:page;mso-height-relative:page;" coordorigin="1685,409" coordsize="8827,10971" o:gfxdata="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MIhTKtsAAAAMAQAADwAAAAAAAAAB&#10;ACAAAAAiAAAAZHJzL2Rvd25yZXYueG1sUEsBAhQAFAAAAAgAh07iQL3jhn1jAwAAEhAAAA4AAAAA&#10;AAAAAQAgAAAAKgEAAGRycy9lMm9Eb2MueG1sUEsFBgAAAAAGAAYAWQEAAP8GAAAAAA==&#10;">
                <o:lock v:ext="edit" aspectratio="f"/>
                <v:line id="直线 107" o:spid="_x0000_s1026" o:spt="20" style="position:absolute;left:1685;top:417;height:0;width:8826;"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108" o:spid="_x0000_s1026" o:spt="20" style="position:absolute;left:1685;top:7956;height:0;width:8826;" filled="f" stroked="t" coordsize="21600,21600" o:gfxdata="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Wi12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09" o:spid="_x0000_s1026" o:spt="20" style="position:absolute;left:1685;top:11373;height:0;width:8826;" filled="f" stroked="t" coordsize="21600,21600" o:gfxdata="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aLs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10" o:spid="_x0000_s1026" o:spt="20" style="position:absolute;left:1692;top:409;height:10956;width:0;" filled="f" stroked="t" coordsize="21600,21600" o:gfxdata="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Fur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111" o:spid="_x0000_s1026" o:spt="20" style="position:absolute;left:10504;top:409;height:10956;width:0;" filled="f" stroked="t" coordsize="21600,21600" o:gfxdata="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R8v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shape id="文本框 112" o:spid="_x0000_s1026" o:spt="202" type="#_x0000_t202" style="position:absolute;left:2232;top:8135;height:199;width:41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3AD9728">
                        <w:pPr>
                          <w:spacing w:line="199" w:lineRule="exact"/>
                          <w:rPr>
                            <w:sz w:val="20"/>
                          </w:rPr>
                        </w:pPr>
                        <w:r>
                          <w:rPr>
                            <w:sz w:val="20"/>
                          </w:rPr>
                          <w:t>说明</w:t>
                        </w:r>
                      </w:p>
                    </w:txbxContent>
                  </v:textbox>
                </v:shape>
                <v:shape id="文本框 113" o:spid="_x0000_s1026" o:spt="202" type="#_x0000_t202" style="position:absolute;left:2232;top:1115;height:199;width:1619;"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8C0DBE">
                        <w:pPr>
                          <w:spacing w:line="199" w:lineRule="exact"/>
                          <w:rPr>
                            <w:sz w:val="22"/>
                            <w:szCs w:val="28"/>
                          </w:rPr>
                        </w:pPr>
                        <w:r>
                          <w:rPr>
                            <w:sz w:val="20"/>
                          </w:rPr>
                          <w:t>以框图方式表示。</w:t>
                        </w:r>
                      </w:p>
                    </w:txbxContent>
                  </v:textbox>
                </v:shape>
                <w10:wrap type="topAndBottom"/>
              </v:group>
            </w:pict>
          </mc:Fallback>
        </mc:AlternateContent>
      </w:r>
    </w:p>
    <w:p w14:paraId="32CC58E0">
      <w:pPr>
        <w:rPr>
          <w:rFonts w:hint="eastAsia" w:ascii="宋体" w:hAnsi="宋体" w:eastAsia="宋体" w:cs="宋体"/>
          <w:sz w:val="28"/>
          <w:highlight w:val="none"/>
        </w:rPr>
      </w:pPr>
    </w:p>
    <w:p w14:paraId="40391134">
      <w:pPr>
        <w:rPr>
          <w:rFonts w:hint="eastAsia" w:ascii="宋体" w:hAnsi="宋体" w:eastAsia="宋体" w:cs="宋体"/>
          <w:highlight w:val="none"/>
        </w:rPr>
      </w:pPr>
    </w:p>
    <w:p w14:paraId="3ED63B76">
      <w:pPr>
        <w:rPr>
          <w:rFonts w:hint="eastAsia" w:ascii="宋体" w:hAnsi="宋体" w:eastAsia="宋体" w:cs="宋体"/>
          <w:highlight w:val="none"/>
        </w:rPr>
      </w:pPr>
    </w:p>
    <w:p w14:paraId="5C5FD040">
      <w:pPr>
        <w:rPr>
          <w:rFonts w:hint="eastAsia" w:ascii="宋体" w:hAnsi="宋体" w:eastAsia="宋体" w:cs="宋体"/>
          <w:highlight w:val="none"/>
        </w:rPr>
      </w:pPr>
    </w:p>
    <w:p w14:paraId="3D6B90B1">
      <w:pPr>
        <w:rPr>
          <w:rFonts w:hint="eastAsia" w:ascii="宋体" w:hAnsi="宋体" w:eastAsia="宋体" w:cs="宋体"/>
          <w:highlight w:val="none"/>
        </w:rPr>
      </w:pPr>
    </w:p>
    <w:p w14:paraId="66A9E936">
      <w:pPr>
        <w:rPr>
          <w:rFonts w:hint="eastAsia" w:ascii="宋体" w:hAnsi="宋体" w:eastAsia="宋体" w:cs="宋体"/>
          <w:highlight w:val="none"/>
        </w:rPr>
      </w:pPr>
    </w:p>
    <w:p w14:paraId="5B9A70C8">
      <w:pPr>
        <w:tabs>
          <w:tab w:val="center" w:pos="4835"/>
        </w:tabs>
        <w:rPr>
          <w:rFonts w:hint="eastAsia" w:ascii="宋体" w:hAnsi="宋体" w:eastAsia="宋体" w:cs="宋体"/>
          <w:highlight w:val="none"/>
        </w:rPr>
        <w:sectPr>
          <w:footerReference r:id="rId24" w:type="default"/>
          <w:pgSz w:w="11910" w:h="16840"/>
          <w:pgMar w:top="1220" w:right="920" w:bottom="1180" w:left="1320" w:header="882" w:footer="989" w:gutter="0"/>
          <w:cols w:space="720" w:num="1"/>
        </w:sectPr>
      </w:pPr>
      <w:r>
        <w:rPr>
          <w:rFonts w:hint="eastAsia" w:ascii="宋体" w:hAnsi="宋体" w:eastAsia="宋体" w:cs="宋体"/>
          <w:highlight w:val="none"/>
        </w:rPr>
        <w:tab/>
      </w:r>
    </w:p>
    <w:p w14:paraId="5D60513C">
      <w:pPr>
        <w:pStyle w:val="10"/>
        <w:spacing w:before="10"/>
        <w:rPr>
          <w:rFonts w:hint="eastAsia" w:ascii="宋体" w:hAnsi="宋体" w:eastAsia="宋体" w:cs="宋体"/>
          <w:sz w:val="28"/>
          <w:highlight w:val="none"/>
        </w:rPr>
      </w:pPr>
    </w:p>
    <w:p w14:paraId="36581D0C">
      <w:pPr>
        <w:numPr>
          <w:ilvl w:val="0"/>
          <w:numId w:val="63"/>
        </w:numPr>
        <w:spacing w:line="560" w:lineRule="exact"/>
        <w:ind w:firstLine="480" w:firstLineChars="200"/>
        <w:jc w:val="center"/>
        <w:rPr>
          <w:rFonts w:hint="eastAsia" w:ascii="宋体" w:hAnsi="宋体" w:eastAsia="宋体" w:cs="宋体"/>
          <w:sz w:val="24"/>
          <w:szCs w:val="24"/>
          <w:highlight w:val="none"/>
        </w:rPr>
      </w:pPr>
      <w:bookmarkStart w:id="105" w:name="（三）近年财务状况"/>
      <w:bookmarkEnd w:id="105"/>
      <w:r>
        <w:rPr>
          <w:rFonts w:hint="eastAsia" w:ascii="宋体" w:hAnsi="宋体" w:eastAsia="宋体" w:cs="宋体"/>
          <w:sz w:val="24"/>
          <w:szCs w:val="24"/>
          <w:highlight w:val="none"/>
        </w:rPr>
        <w:t>财务状况、缴纳税收和社会保障资金证明材料</w:t>
      </w:r>
    </w:p>
    <w:p w14:paraId="149500F7">
      <w:pPr>
        <w:pStyle w:val="5"/>
        <w:ind w:firstLine="0" w:firstLineChars="0"/>
        <w:rPr>
          <w:rFonts w:hint="eastAsia" w:ascii="宋体" w:hAnsi="宋体" w:eastAsia="宋体" w:cs="宋体"/>
          <w:highlight w:val="none"/>
        </w:rPr>
      </w:pPr>
    </w:p>
    <w:p w14:paraId="66E4F37C">
      <w:pPr>
        <w:rPr>
          <w:rFonts w:hint="eastAsia" w:ascii="宋体" w:hAnsi="宋体" w:eastAsia="宋体" w:cs="宋体"/>
          <w:highlight w:val="none"/>
        </w:rPr>
      </w:pPr>
    </w:p>
    <w:p w14:paraId="75B6E83F">
      <w:pPr>
        <w:pStyle w:val="5"/>
        <w:ind w:firstLine="0" w:firstLineChars="0"/>
        <w:rPr>
          <w:rFonts w:hint="eastAsia" w:ascii="宋体" w:hAnsi="宋体" w:eastAsia="宋体" w:cs="宋体"/>
          <w:highlight w:val="none"/>
        </w:rPr>
      </w:pPr>
    </w:p>
    <w:p w14:paraId="4E40DB43">
      <w:pPr>
        <w:pStyle w:val="25"/>
        <w:rPr>
          <w:rFonts w:hint="eastAsia" w:ascii="宋体" w:hAnsi="宋体" w:eastAsia="宋体" w:cs="宋体"/>
          <w:highlight w:val="none"/>
        </w:rPr>
      </w:pPr>
    </w:p>
    <w:p w14:paraId="28D07C9F">
      <w:pPr>
        <w:rPr>
          <w:rFonts w:hint="eastAsia" w:ascii="宋体" w:hAnsi="宋体" w:eastAsia="宋体" w:cs="宋体"/>
          <w:highlight w:val="none"/>
        </w:rPr>
      </w:pPr>
    </w:p>
    <w:p w14:paraId="7EED1514">
      <w:pPr>
        <w:pStyle w:val="5"/>
        <w:rPr>
          <w:rFonts w:hint="eastAsia" w:ascii="宋体" w:hAnsi="宋体" w:eastAsia="宋体" w:cs="宋体"/>
          <w:highlight w:val="none"/>
        </w:rPr>
      </w:pPr>
    </w:p>
    <w:p w14:paraId="1D6918A0">
      <w:pPr>
        <w:rPr>
          <w:rFonts w:hint="eastAsia" w:ascii="宋体" w:hAnsi="宋体" w:eastAsia="宋体" w:cs="宋体"/>
          <w:highlight w:val="none"/>
        </w:rPr>
      </w:pPr>
    </w:p>
    <w:p w14:paraId="477D0A92">
      <w:pPr>
        <w:pStyle w:val="5"/>
        <w:rPr>
          <w:rFonts w:hint="eastAsia" w:ascii="宋体" w:hAnsi="宋体" w:eastAsia="宋体" w:cs="宋体"/>
          <w:highlight w:val="none"/>
        </w:rPr>
      </w:pPr>
    </w:p>
    <w:p w14:paraId="23334B3E">
      <w:pPr>
        <w:rPr>
          <w:rFonts w:hint="eastAsia" w:ascii="宋体" w:hAnsi="宋体" w:eastAsia="宋体" w:cs="宋体"/>
          <w:highlight w:val="none"/>
        </w:rPr>
      </w:pPr>
    </w:p>
    <w:p w14:paraId="5854A004">
      <w:pPr>
        <w:pStyle w:val="10"/>
        <w:rPr>
          <w:rFonts w:hint="eastAsia" w:ascii="宋体" w:hAnsi="宋体" w:eastAsia="宋体" w:cs="宋体"/>
          <w:highlight w:val="none"/>
        </w:rPr>
      </w:pPr>
    </w:p>
    <w:p w14:paraId="0DE9934F">
      <w:pPr>
        <w:pStyle w:val="10"/>
        <w:rPr>
          <w:rFonts w:hint="eastAsia" w:ascii="宋体" w:hAnsi="宋体" w:eastAsia="宋体" w:cs="宋体"/>
          <w:highlight w:val="none"/>
        </w:rPr>
      </w:pPr>
    </w:p>
    <w:p w14:paraId="566467BD">
      <w:pPr>
        <w:pStyle w:val="10"/>
        <w:rPr>
          <w:rFonts w:hint="eastAsia" w:ascii="宋体" w:hAnsi="宋体" w:eastAsia="宋体" w:cs="宋体"/>
          <w:highlight w:val="none"/>
        </w:rPr>
      </w:pPr>
    </w:p>
    <w:p w14:paraId="73EF62A4">
      <w:pPr>
        <w:pStyle w:val="10"/>
        <w:rPr>
          <w:rFonts w:hint="eastAsia" w:ascii="宋体" w:hAnsi="宋体" w:eastAsia="宋体" w:cs="宋体"/>
          <w:highlight w:val="none"/>
        </w:rPr>
      </w:pPr>
    </w:p>
    <w:p w14:paraId="68BC333F">
      <w:pPr>
        <w:pStyle w:val="10"/>
        <w:rPr>
          <w:rFonts w:hint="eastAsia" w:ascii="宋体" w:hAnsi="宋体" w:eastAsia="宋体" w:cs="宋体"/>
          <w:highlight w:val="none"/>
        </w:rPr>
      </w:pPr>
    </w:p>
    <w:p w14:paraId="1A90A015">
      <w:pPr>
        <w:pStyle w:val="10"/>
        <w:rPr>
          <w:rFonts w:hint="eastAsia" w:ascii="宋体" w:hAnsi="宋体" w:eastAsia="宋体" w:cs="宋体"/>
          <w:highlight w:val="none"/>
        </w:rPr>
      </w:pPr>
    </w:p>
    <w:p w14:paraId="04D4C711">
      <w:pPr>
        <w:pStyle w:val="10"/>
        <w:rPr>
          <w:rFonts w:hint="eastAsia" w:ascii="宋体" w:hAnsi="宋体" w:eastAsia="宋体" w:cs="宋体"/>
          <w:highlight w:val="none"/>
        </w:rPr>
      </w:pPr>
    </w:p>
    <w:p w14:paraId="281F493E">
      <w:pPr>
        <w:pStyle w:val="10"/>
        <w:rPr>
          <w:rFonts w:hint="eastAsia" w:ascii="宋体" w:hAnsi="宋体" w:eastAsia="宋体" w:cs="宋体"/>
          <w:highlight w:val="none"/>
        </w:rPr>
      </w:pPr>
    </w:p>
    <w:p w14:paraId="22055BF8">
      <w:pPr>
        <w:pStyle w:val="10"/>
        <w:rPr>
          <w:rFonts w:hint="eastAsia" w:ascii="宋体" w:hAnsi="宋体" w:eastAsia="宋体" w:cs="宋体"/>
          <w:highlight w:val="none"/>
        </w:rPr>
      </w:pPr>
    </w:p>
    <w:p w14:paraId="7B85D039">
      <w:pPr>
        <w:pStyle w:val="10"/>
        <w:rPr>
          <w:rFonts w:hint="eastAsia" w:ascii="宋体" w:hAnsi="宋体" w:eastAsia="宋体" w:cs="宋体"/>
          <w:highlight w:val="none"/>
        </w:rPr>
      </w:pPr>
    </w:p>
    <w:p w14:paraId="0E64CBF9">
      <w:pPr>
        <w:pStyle w:val="10"/>
        <w:rPr>
          <w:rFonts w:hint="eastAsia" w:ascii="宋体" w:hAnsi="宋体" w:eastAsia="宋体" w:cs="宋体"/>
          <w:highlight w:val="none"/>
        </w:rPr>
      </w:pPr>
    </w:p>
    <w:p w14:paraId="7A304E45">
      <w:pPr>
        <w:pStyle w:val="10"/>
        <w:rPr>
          <w:rFonts w:hint="eastAsia" w:ascii="宋体" w:hAnsi="宋体" w:eastAsia="宋体" w:cs="宋体"/>
          <w:highlight w:val="none"/>
        </w:rPr>
      </w:pPr>
    </w:p>
    <w:p w14:paraId="2D1D926F">
      <w:pPr>
        <w:pStyle w:val="10"/>
        <w:rPr>
          <w:rFonts w:hint="eastAsia" w:ascii="宋体" w:hAnsi="宋体" w:eastAsia="宋体" w:cs="宋体"/>
          <w:highlight w:val="none"/>
        </w:rPr>
      </w:pPr>
    </w:p>
    <w:p w14:paraId="4303CC30">
      <w:pPr>
        <w:pStyle w:val="10"/>
        <w:rPr>
          <w:rFonts w:hint="eastAsia" w:ascii="宋体" w:hAnsi="宋体" w:eastAsia="宋体" w:cs="宋体"/>
          <w:highlight w:val="none"/>
        </w:rPr>
      </w:pPr>
    </w:p>
    <w:p w14:paraId="333408D9">
      <w:pPr>
        <w:pStyle w:val="10"/>
        <w:rPr>
          <w:rFonts w:hint="eastAsia" w:ascii="宋体" w:hAnsi="宋体" w:eastAsia="宋体" w:cs="宋体"/>
          <w:highlight w:val="none"/>
        </w:rPr>
      </w:pPr>
    </w:p>
    <w:p w14:paraId="12624641">
      <w:pPr>
        <w:pStyle w:val="10"/>
        <w:rPr>
          <w:rFonts w:hint="eastAsia" w:ascii="宋体" w:hAnsi="宋体" w:eastAsia="宋体" w:cs="宋体"/>
          <w:highlight w:val="none"/>
        </w:rPr>
      </w:pPr>
    </w:p>
    <w:p w14:paraId="71EA574F">
      <w:pPr>
        <w:pStyle w:val="10"/>
        <w:rPr>
          <w:rFonts w:hint="eastAsia" w:ascii="宋体" w:hAnsi="宋体" w:eastAsia="宋体" w:cs="宋体"/>
          <w:highlight w:val="none"/>
        </w:rPr>
      </w:pPr>
    </w:p>
    <w:p w14:paraId="3F8F4D84">
      <w:pPr>
        <w:pStyle w:val="10"/>
        <w:rPr>
          <w:rFonts w:hint="eastAsia" w:ascii="宋体" w:hAnsi="宋体" w:eastAsia="宋体" w:cs="宋体"/>
          <w:highlight w:val="none"/>
        </w:rPr>
      </w:pPr>
    </w:p>
    <w:p w14:paraId="25B29CFA">
      <w:pPr>
        <w:pStyle w:val="10"/>
        <w:rPr>
          <w:rFonts w:hint="eastAsia" w:ascii="宋体" w:hAnsi="宋体" w:eastAsia="宋体" w:cs="宋体"/>
          <w:highlight w:val="none"/>
        </w:rPr>
      </w:pPr>
    </w:p>
    <w:p w14:paraId="77715C1E">
      <w:pPr>
        <w:pStyle w:val="10"/>
        <w:spacing w:before="8"/>
        <w:rPr>
          <w:rFonts w:hint="eastAsia" w:ascii="宋体" w:hAnsi="宋体" w:eastAsia="宋体" w:cs="宋体"/>
          <w:highlight w:val="none"/>
        </w:rPr>
      </w:pPr>
    </w:p>
    <w:p w14:paraId="49755367">
      <w:pPr>
        <w:pStyle w:val="10"/>
        <w:spacing w:before="56"/>
        <w:ind w:left="1" w:right="199"/>
        <w:jc w:val="center"/>
        <w:rPr>
          <w:rFonts w:hint="eastAsia" w:ascii="宋体" w:hAnsi="宋体" w:eastAsia="宋体" w:cs="宋体"/>
          <w:highlight w:val="none"/>
        </w:rPr>
      </w:pPr>
      <w:bookmarkStart w:id="106" w:name="（四）近年完成的类似项目情况表"/>
      <w:bookmarkEnd w:id="106"/>
    </w:p>
    <w:p w14:paraId="7AC353B3">
      <w:pPr>
        <w:pStyle w:val="10"/>
        <w:spacing w:before="56"/>
        <w:ind w:left="1" w:right="199"/>
        <w:jc w:val="center"/>
        <w:rPr>
          <w:rFonts w:hint="eastAsia" w:ascii="宋体" w:hAnsi="宋体" w:eastAsia="宋体" w:cs="宋体"/>
          <w:highlight w:val="none"/>
        </w:rPr>
      </w:pPr>
    </w:p>
    <w:p w14:paraId="6F27F519">
      <w:pPr>
        <w:pStyle w:val="10"/>
        <w:spacing w:before="56"/>
        <w:ind w:left="1" w:right="199"/>
        <w:jc w:val="center"/>
        <w:rPr>
          <w:rFonts w:hint="eastAsia" w:ascii="宋体" w:hAnsi="宋体" w:eastAsia="宋体" w:cs="宋体"/>
          <w:highlight w:val="none"/>
        </w:rPr>
      </w:pPr>
    </w:p>
    <w:p w14:paraId="1A3B1482">
      <w:pPr>
        <w:pStyle w:val="10"/>
        <w:spacing w:before="56"/>
        <w:ind w:left="1" w:right="199"/>
        <w:jc w:val="center"/>
        <w:rPr>
          <w:rFonts w:hint="eastAsia" w:ascii="宋体" w:hAnsi="宋体" w:eastAsia="宋体" w:cs="宋体"/>
          <w:highlight w:val="none"/>
        </w:rPr>
      </w:pPr>
    </w:p>
    <w:p w14:paraId="47EE0BBD">
      <w:pPr>
        <w:pStyle w:val="10"/>
        <w:spacing w:before="56"/>
        <w:ind w:left="1" w:right="199"/>
        <w:jc w:val="center"/>
        <w:rPr>
          <w:rFonts w:hint="eastAsia" w:ascii="宋体" w:hAnsi="宋体" w:eastAsia="宋体" w:cs="宋体"/>
          <w:highlight w:val="none"/>
        </w:rPr>
      </w:pPr>
    </w:p>
    <w:p w14:paraId="73E64E07">
      <w:pPr>
        <w:pStyle w:val="10"/>
        <w:spacing w:before="56"/>
        <w:ind w:left="1" w:right="199"/>
        <w:jc w:val="center"/>
        <w:rPr>
          <w:rFonts w:hint="eastAsia" w:ascii="宋体" w:hAnsi="宋体" w:eastAsia="宋体" w:cs="宋体"/>
          <w:highlight w:val="none"/>
        </w:rPr>
      </w:pPr>
    </w:p>
    <w:p w14:paraId="26D48840">
      <w:pPr>
        <w:pStyle w:val="10"/>
        <w:spacing w:before="56"/>
        <w:ind w:left="1" w:right="199"/>
        <w:jc w:val="center"/>
        <w:rPr>
          <w:rFonts w:hint="eastAsia" w:ascii="宋体" w:hAnsi="宋体" w:eastAsia="宋体" w:cs="宋体"/>
          <w:highlight w:val="none"/>
        </w:rPr>
      </w:pPr>
    </w:p>
    <w:p w14:paraId="03790095">
      <w:pPr>
        <w:pStyle w:val="10"/>
        <w:spacing w:before="56"/>
        <w:ind w:left="1" w:right="199"/>
        <w:jc w:val="center"/>
        <w:rPr>
          <w:rFonts w:hint="eastAsia" w:ascii="宋体" w:hAnsi="宋体" w:eastAsia="宋体" w:cs="宋体"/>
          <w:highlight w:val="none"/>
        </w:rPr>
      </w:pPr>
    </w:p>
    <w:p w14:paraId="20C68763">
      <w:pPr>
        <w:pStyle w:val="10"/>
        <w:spacing w:before="56"/>
        <w:ind w:left="1" w:right="199"/>
        <w:jc w:val="center"/>
        <w:rPr>
          <w:rFonts w:hint="eastAsia" w:ascii="宋体" w:hAnsi="宋体" w:eastAsia="宋体" w:cs="宋体"/>
          <w:highlight w:val="none"/>
        </w:rPr>
      </w:pPr>
    </w:p>
    <w:p w14:paraId="29778144">
      <w:pPr>
        <w:pStyle w:val="10"/>
        <w:spacing w:before="56"/>
        <w:ind w:right="199"/>
        <w:jc w:val="both"/>
        <w:rPr>
          <w:rFonts w:hint="eastAsia" w:ascii="宋体" w:hAnsi="宋体" w:eastAsia="宋体" w:cs="宋体"/>
          <w:highlight w:val="none"/>
        </w:rPr>
      </w:pPr>
    </w:p>
    <w:p w14:paraId="3FE4A0D3">
      <w:pPr>
        <w:pStyle w:val="10"/>
        <w:spacing w:before="56"/>
        <w:ind w:left="1" w:right="199"/>
        <w:jc w:val="center"/>
        <w:rPr>
          <w:rFonts w:hint="eastAsia" w:ascii="宋体" w:hAnsi="宋体" w:eastAsia="宋体" w:cs="宋体"/>
          <w:highlight w:val="none"/>
        </w:rPr>
      </w:pPr>
      <w:r>
        <w:rPr>
          <w:rFonts w:hint="eastAsia" w:ascii="宋体" w:hAnsi="宋体" w:eastAsia="宋体" w:cs="宋体"/>
          <w:highlight w:val="none"/>
        </w:rPr>
        <w:t>（四）近三年完成的类似项目情况表</w:t>
      </w:r>
    </w:p>
    <w:p w14:paraId="1060DC45">
      <w:pPr>
        <w:pStyle w:val="10"/>
        <w:rPr>
          <w:rFonts w:hint="eastAsia" w:ascii="宋体" w:hAnsi="宋体" w:eastAsia="宋体" w:cs="宋体"/>
          <w:sz w:val="20"/>
          <w:highlight w:val="none"/>
        </w:rPr>
      </w:pPr>
    </w:p>
    <w:p w14:paraId="7D44B909">
      <w:pPr>
        <w:pStyle w:val="10"/>
        <w:spacing w:before="12"/>
        <w:rPr>
          <w:rFonts w:hint="eastAsia" w:ascii="宋体" w:hAnsi="宋体" w:eastAsia="宋体" w:cs="宋体"/>
          <w:sz w:val="14"/>
          <w:highlight w:val="none"/>
        </w:rPr>
      </w:pPr>
    </w:p>
    <w:tbl>
      <w:tblPr>
        <w:tblStyle w:val="23"/>
        <w:tblW w:w="9368"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9"/>
        <w:gridCol w:w="6609"/>
      </w:tblGrid>
      <w:tr w14:paraId="5174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27FAB619">
            <w:pPr>
              <w:pStyle w:val="27"/>
              <w:spacing w:before="12"/>
              <w:rPr>
                <w:rFonts w:hint="eastAsia" w:ascii="宋体" w:hAnsi="宋体" w:eastAsia="宋体" w:cs="宋体"/>
                <w:sz w:val="20"/>
                <w:highlight w:val="none"/>
              </w:rPr>
            </w:pPr>
          </w:p>
          <w:p w14:paraId="40B821D6">
            <w:pPr>
              <w:pStyle w:val="27"/>
              <w:tabs>
                <w:tab w:val="left" w:pos="608"/>
              </w:tabs>
              <w:ind w:left="8"/>
              <w:jc w:val="center"/>
              <w:rPr>
                <w:rFonts w:hint="eastAsia" w:ascii="宋体" w:hAnsi="宋体" w:eastAsia="宋体" w:cs="宋体"/>
                <w:sz w:val="20"/>
                <w:highlight w:val="none"/>
              </w:rPr>
            </w:pPr>
            <w:r>
              <w:rPr>
                <w:rFonts w:hint="eastAsia" w:ascii="宋体" w:hAnsi="宋体" w:eastAsia="宋体" w:cs="宋体"/>
                <w:sz w:val="20"/>
                <w:highlight w:val="none"/>
              </w:rPr>
              <w:t>序</w:t>
            </w:r>
            <w:r>
              <w:rPr>
                <w:rFonts w:hint="eastAsia" w:ascii="宋体" w:hAnsi="宋体" w:eastAsia="宋体" w:cs="宋体"/>
                <w:sz w:val="20"/>
                <w:highlight w:val="none"/>
              </w:rPr>
              <w:tab/>
            </w:r>
            <w:r>
              <w:rPr>
                <w:rFonts w:hint="eastAsia" w:ascii="宋体" w:hAnsi="宋体" w:eastAsia="宋体" w:cs="宋体"/>
                <w:sz w:val="20"/>
                <w:highlight w:val="none"/>
              </w:rPr>
              <w:t>号</w:t>
            </w:r>
          </w:p>
        </w:tc>
        <w:tc>
          <w:tcPr>
            <w:tcW w:w="6609" w:type="dxa"/>
          </w:tcPr>
          <w:p w14:paraId="69596CDB">
            <w:pPr>
              <w:pStyle w:val="27"/>
              <w:rPr>
                <w:rFonts w:hint="eastAsia" w:ascii="宋体" w:hAnsi="宋体" w:eastAsia="宋体" w:cs="宋体"/>
                <w:sz w:val="20"/>
                <w:highlight w:val="none"/>
              </w:rPr>
            </w:pPr>
          </w:p>
        </w:tc>
      </w:tr>
      <w:tr w14:paraId="6540D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6B5BD338">
            <w:pPr>
              <w:pStyle w:val="27"/>
              <w:spacing w:before="11"/>
              <w:rPr>
                <w:rFonts w:hint="eastAsia" w:ascii="宋体" w:hAnsi="宋体" w:eastAsia="宋体" w:cs="宋体"/>
                <w:sz w:val="20"/>
                <w:highlight w:val="none"/>
              </w:rPr>
            </w:pPr>
          </w:p>
          <w:p w14:paraId="77539505">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项目名称</w:t>
            </w:r>
          </w:p>
        </w:tc>
        <w:tc>
          <w:tcPr>
            <w:tcW w:w="6609" w:type="dxa"/>
          </w:tcPr>
          <w:p w14:paraId="1A24CC32">
            <w:pPr>
              <w:pStyle w:val="27"/>
              <w:rPr>
                <w:rFonts w:hint="eastAsia" w:ascii="宋体" w:hAnsi="宋体" w:eastAsia="宋体" w:cs="宋体"/>
                <w:sz w:val="20"/>
                <w:highlight w:val="none"/>
              </w:rPr>
            </w:pPr>
          </w:p>
        </w:tc>
      </w:tr>
      <w:tr w14:paraId="1399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759" w:type="dxa"/>
          </w:tcPr>
          <w:p w14:paraId="1EE06C30">
            <w:pPr>
              <w:pStyle w:val="27"/>
              <w:spacing w:before="4"/>
              <w:rPr>
                <w:rFonts w:hint="eastAsia" w:ascii="宋体" w:hAnsi="宋体" w:eastAsia="宋体" w:cs="宋体"/>
                <w:sz w:val="18"/>
                <w:highlight w:val="none"/>
              </w:rPr>
            </w:pPr>
          </w:p>
          <w:p w14:paraId="73FAB31F">
            <w:pPr>
              <w:pStyle w:val="27"/>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项目所在地</w:t>
            </w:r>
          </w:p>
        </w:tc>
        <w:tc>
          <w:tcPr>
            <w:tcW w:w="6609" w:type="dxa"/>
          </w:tcPr>
          <w:p w14:paraId="1E93F3EC">
            <w:pPr>
              <w:pStyle w:val="27"/>
              <w:rPr>
                <w:rFonts w:hint="eastAsia" w:ascii="宋体" w:hAnsi="宋体" w:eastAsia="宋体" w:cs="宋体"/>
                <w:sz w:val="20"/>
                <w:highlight w:val="none"/>
              </w:rPr>
            </w:pPr>
          </w:p>
        </w:tc>
      </w:tr>
      <w:tr w14:paraId="77F4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59" w:type="dxa"/>
          </w:tcPr>
          <w:p w14:paraId="74E6973F">
            <w:pPr>
              <w:pStyle w:val="27"/>
              <w:spacing w:before="10"/>
              <w:rPr>
                <w:rFonts w:hint="eastAsia" w:ascii="宋体" w:hAnsi="宋体" w:eastAsia="宋体" w:cs="宋体"/>
                <w:sz w:val="18"/>
                <w:highlight w:val="none"/>
              </w:rPr>
            </w:pPr>
          </w:p>
          <w:p w14:paraId="68EF33FC">
            <w:pPr>
              <w:pStyle w:val="27"/>
              <w:ind w:left="5"/>
              <w:jc w:val="center"/>
              <w:rPr>
                <w:rFonts w:hint="eastAsia" w:ascii="宋体" w:hAnsi="宋体" w:eastAsia="宋体" w:cs="宋体"/>
                <w:sz w:val="20"/>
                <w:highlight w:val="none"/>
              </w:rPr>
            </w:pPr>
            <w:r>
              <w:rPr>
                <w:rFonts w:hint="eastAsia" w:ascii="宋体" w:hAnsi="宋体" w:eastAsia="宋体" w:cs="宋体"/>
                <w:sz w:val="20"/>
                <w:highlight w:val="none"/>
              </w:rPr>
              <w:t>发包人名称</w:t>
            </w:r>
          </w:p>
        </w:tc>
        <w:tc>
          <w:tcPr>
            <w:tcW w:w="6609" w:type="dxa"/>
          </w:tcPr>
          <w:p w14:paraId="083E7E35">
            <w:pPr>
              <w:pStyle w:val="27"/>
              <w:rPr>
                <w:rFonts w:hint="eastAsia" w:ascii="宋体" w:hAnsi="宋体" w:eastAsia="宋体" w:cs="宋体"/>
                <w:sz w:val="20"/>
                <w:highlight w:val="none"/>
              </w:rPr>
            </w:pPr>
          </w:p>
        </w:tc>
      </w:tr>
      <w:tr w14:paraId="1B22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45020A4">
            <w:pPr>
              <w:pStyle w:val="27"/>
              <w:spacing w:before="5"/>
              <w:rPr>
                <w:rFonts w:hint="eastAsia" w:ascii="宋体" w:hAnsi="宋体" w:eastAsia="宋体" w:cs="宋体"/>
                <w:sz w:val="18"/>
                <w:highlight w:val="none"/>
              </w:rPr>
            </w:pPr>
          </w:p>
          <w:p w14:paraId="1A4DC823">
            <w:pPr>
              <w:pStyle w:val="27"/>
              <w:ind w:left="5"/>
              <w:jc w:val="center"/>
              <w:rPr>
                <w:rFonts w:hint="eastAsia" w:ascii="宋体" w:hAnsi="宋体" w:eastAsia="宋体" w:cs="宋体"/>
                <w:sz w:val="20"/>
                <w:highlight w:val="none"/>
              </w:rPr>
            </w:pPr>
            <w:r>
              <w:rPr>
                <w:rFonts w:hint="eastAsia" w:ascii="宋体" w:hAnsi="宋体" w:eastAsia="宋体" w:cs="宋体"/>
                <w:sz w:val="20"/>
                <w:highlight w:val="none"/>
              </w:rPr>
              <w:t>发包人地址</w:t>
            </w:r>
          </w:p>
        </w:tc>
        <w:tc>
          <w:tcPr>
            <w:tcW w:w="6609" w:type="dxa"/>
          </w:tcPr>
          <w:p w14:paraId="27248DD7">
            <w:pPr>
              <w:pStyle w:val="27"/>
              <w:rPr>
                <w:rFonts w:hint="eastAsia" w:ascii="宋体" w:hAnsi="宋体" w:eastAsia="宋体" w:cs="宋体"/>
                <w:sz w:val="20"/>
                <w:highlight w:val="none"/>
              </w:rPr>
            </w:pPr>
          </w:p>
        </w:tc>
      </w:tr>
      <w:tr w14:paraId="4A52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1D240190">
            <w:pPr>
              <w:pStyle w:val="27"/>
              <w:spacing w:before="9"/>
              <w:rPr>
                <w:rFonts w:hint="eastAsia" w:ascii="宋体" w:hAnsi="宋体" w:eastAsia="宋体" w:cs="宋体"/>
                <w:sz w:val="18"/>
                <w:highlight w:val="none"/>
              </w:rPr>
            </w:pPr>
          </w:p>
          <w:p w14:paraId="6C3E1D47">
            <w:pPr>
              <w:pStyle w:val="27"/>
              <w:ind w:left="5"/>
              <w:jc w:val="center"/>
              <w:rPr>
                <w:rFonts w:hint="eastAsia" w:ascii="宋体" w:hAnsi="宋体" w:eastAsia="宋体" w:cs="宋体"/>
                <w:sz w:val="20"/>
                <w:highlight w:val="none"/>
              </w:rPr>
            </w:pPr>
            <w:r>
              <w:rPr>
                <w:rFonts w:hint="eastAsia" w:ascii="宋体" w:hAnsi="宋体" w:eastAsia="宋体" w:cs="宋体"/>
                <w:sz w:val="20"/>
                <w:highlight w:val="none"/>
              </w:rPr>
              <w:t>发包人电话</w:t>
            </w:r>
          </w:p>
        </w:tc>
        <w:tc>
          <w:tcPr>
            <w:tcW w:w="6609" w:type="dxa"/>
          </w:tcPr>
          <w:p w14:paraId="1C7DA125">
            <w:pPr>
              <w:pStyle w:val="27"/>
              <w:rPr>
                <w:rFonts w:hint="eastAsia" w:ascii="宋体" w:hAnsi="宋体" w:eastAsia="宋体" w:cs="宋体"/>
                <w:sz w:val="20"/>
                <w:highlight w:val="none"/>
              </w:rPr>
            </w:pPr>
          </w:p>
        </w:tc>
      </w:tr>
      <w:tr w14:paraId="7DC7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7B2CCCD4">
            <w:pPr>
              <w:pStyle w:val="27"/>
              <w:spacing w:before="7"/>
              <w:rPr>
                <w:rFonts w:hint="eastAsia" w:ascii="宋体" w:hAnsi="宋体" w:eastAsia="宋体" w:cs="宋体"/>
                <w:sz w:val="18"/>
                <w:highlight w:val="none"/>
              </w:rPr>
            </w:pPr>
          </w:p>
          <w:p w14:paraId="32C95ED5">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合同价格</w:t>
            </w:r>
          </w:p>
        </w:tc>
        <w:tc>
          <w:tcPr>
            <w:tcW w:w="6609" w:type="dxa"/>
          </w:tcPr>
          <w:p w14:paraId="57ED5035">
            <w:pPr>
              <w:pStyle w:val="27"/>
              <w:rPr>
                <w:rFonts w:hint="eastAsia" w:ascii="宋体" w:hAnsi="宋体" w:eastAsia="宋体" w:cs="宋体"/>
                <w:sz w:val="20"/>
                <w:highlight w:val="none"/>
              </w:rPr>
            </w:pPr>
          </w:p>
        </w:tc>
      </w:tr>
      <w:tr w14:paraId="4003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59" w:type="dxa"/>
          </w:tcPr>
          <w:p w14:paraId="74C4E997">
            <w:pPr>
              <w:pStyle w:val="27"/>
              <w:spacing w:before="3"/>
              <w:rPr>
                <w:rFonts w:hint="eastAsia" w:ascii="宋体" w:hAnsi="宋体" w:eastAsia="宋体" w:cs="宋体"/>
                <w:sz w:val="19"/>
                <w:highlight w:val="none"/>
              </w:rPr>
            </w:pPr>
          </w:p>
          <w:p w14:paraId="63D1368A">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交工日期</w:t>
            </w:r>
          </w:p>
        </w:tc>
        <w:tc>
          <w:tcPr>
            <w:tcW w:w="6609" w:type="dxa"/>
          </w:tcPr>
          <w:p w14:paraId="63017355">
            <w:pPr>
              <w:pStyle w:val="27"/>
              <w:rPr>
                <w:rFonts w:hint="eastAsia" w:ascii="宋体" w:hAnsi="宋体" w:eastAsia="宋体" w:cs="宋体"/>
                <w:sz w:val="20"/>
                <w:highlight w:val="none"/>
              </w:rPr>
            </w:pPr>
          </w:p>
        </w:tc>
      </w:tr>
      <w:tr w14:paraId="7EDDB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59" w:type="dxa"/>
          </w:tcPr>
          <w:p w14:paraId="3EEF49CA">
            <w:pPr>
              <w:pStyle w:val="27"/>
              <w:spacing w:before="5"/>
              <w:rPr>
                <w:rFonts w:hint="eastAsia" w:ascii="宋体" w:hAnsi="宋体" w:eastAsia="宋体" w:cs="宋体"/>
                <w:sz w:val="18"/>
                <w:highlight w:val="none"/>
              </w:rPr>
            </w:pPr>
          </w:p>
          <w:p w14:paraId="7EAC06A9">
            <w:pPr>
              <w:pStyle w:val="27"/>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承担的工作</w:t>
            </w:r>
          </w:p>
        </w:tc>
        <w:tc>
          <w:tcPr>
            <w:tcW w:w="6609" w:type="dxa"/>
          </w:tcPr>
          <w:p w14:paraId="283BADF0">
            <w:pPr>
              <w:pStyle w:val="27"/>
              <w:rPr>
                <w:rFonts w:hint="eastAsia" w:ascii="宋体" w:hAnsi="宋体" w:eastAsia="宋体" w:cs="宋体"/>
                <w:sz w:val="20"/>
                <w:highlight w:val="none"/>
              </w:rPr>
            </w:pPr>
          </w:p>
        </w:tc>
      </w:tr>
      <w:tr w14:paraId="7393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2A1B95B1">
            <w:pPr>
              <w:pStyle w:val="27"/>
              <w:spacing w:before="10"/>
              <w:rPr>
                <w:rFonts w:hint="eastAsia" w:ascii="宋体" w:hAnsi="宋体" w:eastAsia="宋体" w:cs="宋体"/>
                <w:sz w:val="18"/>
                <w:highlight w:val="none"/>
              </w:rPr>
            </w:pPr>
          </w:p>
          <w:p w14:paraId="77F630BD">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工程质量</w:t>
            </w:r>
          </w:p>
        </w:tc>
        <w:tc>
          <w:tcPr>
            <w:tcW w:w="6609" w:type="dxa"/>
          </w:tcPr>
          <w:p w14:paraId="7AE26213">
            <w:pPr>
              <w:pStyle w:val="27"/>
              <w:rPr>
                <w:rFonts w:hint="eastAsia" w:ascii="宋体" w:hAnsi="宋体" w:eastAsia="宋体" w:cs="宋体"/>
                <w:sz w:val="20"/>
                <w:highlight w:val="none"/>
              </w:rPr>
            </w:pPr>
          </w:p>
        </w:tc>
      </w:tr>
      <w:tr w14:paraId="5C9B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F5D0A7E">
            <w:pPr>
              <w:pStyle w:val="27"/>
              <w:spacing w:before="7"/>
              <w:rPr>
                <w:rFonts w:hint="eastAsia" w:ascii="宋体" w:hAnsi="宋体" w:eastAsia="宋体" w:cs="宋体"/>
                <w:sz w:val="18"/>
                <w:highlight w:val="none"/>
              </w:rPr>
            </w:pPr>
          </w:p>
          <w:p w14:paraId="3A321A71">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6609" w:type="dxa"/>
          </w:tcPr>
          <w:p w14:paraId="41B359B2">
            <w:pPr>
              <w:pStyle w:val="27"/>
              <w:rPr>
                <w:rFonts w:hint="eastAsia" w:ascii="宋体" w:hAnsi="宋体" w:eastAsia="宋体" w:cs="宋体"/>
                <w:sz w:val="20"/>
                <w:highlight w:val="none"/>
              </w:rPr>
            </w:pPr>
          </w:p>
        </w:tc>
      </w:tr>
      <w:tr w14:paraId="2600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759" w:type="dxa"/>
          </w:tcPr>
          <w:p w14:paraId="6BB2C968">
            <w:pPr>
              <w:pStyle w:val="27"/>
              <w:spacing w:before="9"/>
              <w:rPr>
                <w:rFonts w:hint="eastAsia" w:ascii="宋体" w:hAnsi="宋体" w:eastAsia="宋体" w:cs="宋体"/>
                <w:sz w:val="18"/>
                <w:highlight w:val="none"/>
              </w:rPr>
            </w:pPr>
          </w:p>
          <w:p w14:paraId="22C0AB4B">
            <w:pPr>
              <w:pStyle w:val="27"/>
              <w:ind w:left="8"/>
              <w:jc w:val="center"/>
              <w:rPr>
                <w:rFonts w:hint="eastAsia" w:ascii="宋体" w:hAnsi="宋体" w:eastAsia="宋体" w:cs="宋体"/>
                <w:sz w:val="20"/>
                <w:highlight w:val="none"/>
              </w:rPr>
            </w:pPr>
            <w:r>
              <w:rPr>
                <w:rFonts w:hint="eastAsia" w:ascii="宋体" w:hAnsi="宋体" w:eastAsia="宋体" w:cs="宋体"/>
                <w:sz w:val="20"/>
                <w:highlight w:val="none"/>
              </w:rPr>
              <w:t>项目总工</w:t>
            </w:r>
          </w:p>
        </w:tc>
        <w:tc>
          <w:tcPr>
            <w:tcW w:w="6609" w:type="dxa"/>
          </w:tcPr>
          <w:p w14:paraId="78F1D0FB">
            <w:pPr>
              <w:pStyle w:val="27"/>
              <w:rPr>
                <w:rFonts w:hint="eastAsia" w:ascii="宋体" w:hAnsi="宋体" w:eastAsia="宋体" w:cs="宋体"/>
                <w:sz w:val="20"/>
                <w:highlight w:val="none"/>
              </w:rPr>
            </w:pPr>
          </w:p>
        </w:tc>
      </w:tr>
      <w:tr w14:paraId="52D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531DE32D">
            <w:pPr>
              <w:pStyle w:val="27"/>
              <w:spacing w:before="6"/>
              <w:rPr>
                <w:rFonts w:hint="eastAsia" w:ascii="宋体" w:hAnsi="宋体" w:eastAsia="宋体" w:cs="宋体"/>
                <w:sz w:val="18"/>
                <w:highlight w:val="none"/>
              </w:rPr>
            </w:pPr>
          </w:p>
          <w:p w14:paraId="65328C9C">
            <w:pPr>
              <w:pStyle w:val="27"/>
              <w:ind w:left="10"/>
              <w:jc w:val="center"/>
              <w:rPr>
                <w:rFonts w:hint="eastAsia" w:ascii="宋体" w:hAnsi="宋体" w:eastAsia="宋体" w:cs="宋体"/>
                <w:sz w:val="20"/>
                <w:highlight w:val="none"/>
              </w:rPr>
            </w:pPr>
            <w:r>
              <w:rPr>
                <w:rFonts w:hint="eastAsia" w:ascii="宋体" w:hAnsi="宋体" w:eastAsia="宋体" w:cs="宋体"/>
                <w:sz w:val="20"/>
                <w:highlight w:val="none"/>
              </w:rPr>
              <w:t>总监理工程师及电话</w:t>
            </w:r>
          </w:p>
        </w:tc>
        <w:tc>
          <w:tcPr>
            <w:tcW w:w="6609" w:type="dxa"/>
          </w:tcPr>
          <w:p w14:paraId="451D3FD6">
            <w:pPr>
              <w:pStyle w:val="27"/>
              <w:rPr>
                <w:rFonts w:hint="eastAsia" w:ascii="宋体" w:hAnsi="宋体" w:eastAsia="宋体" w:cs="宋体"/>
                <w:sz w:val="20"/>
                <w:highlight w:val="none"/>
              </w:rPr>
            </w:pPr>
          </w:p>
        </w:tc>
      </w:tr>
      <w:tr w14:paraId="514D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759" w:type="dxa"/>
          </w:tcPr>
          <w:p w14:paraId="607E7116">
            <w:pPr>
              <w:pStyle w:val="27"/>
              <w:rPr>
                <w:rFonts w:hint="eastAsia" w:ascii="宋体" w:hAnsi="宋体" w:eastAsia="宋体" w:cs="宋体"/>
                <w:sz w:val="20"/>
                <w:highlight w:val="none"/>
              </w:rPr>
            </w:pPr>
          </w:p>
          <w:p w14:paraId="70C4CD93">
            <w:pPr>
              <w:pStyle w:val="27"/>
              <w:spacing w:before="4"/>
              <w:rPr>
                <w:rFonts w:hint="eastAsia" w:ascii="宋体" w:hAnsi="宋体" w:eastAsia="宋体" w:cs="宋体"/>
                <w:sz w:val="26"/>
                <w:highlight w:val="none"/>
              </w:rPr>
            </w:pPr>
          </w:p>
          <w:p w14:paraId="2BB33B1F">
            <w:pPr>
              <w:pStyle w:val="27"/>
              <w:spacing w:before="1"/>
              <w:ind w:left="8"/>
              <w:jc w:val="center"/>
              <w:rPr>
                <w:rFonts w:hint="eastAsia" w:ascii="宋体" w:hAnsi="宋体" w:eastAsia="宋体" w:cs="宋体"/>
                <w:sz w:val="20"/>
                <w:highlight w:val="none"/>
              </w:rPr>
            </w:pPr>
            <w:r>
              <w:rPr>
                <w:rFonts w:hint="eastAsia" w:ascii="宋体" w:hAnsi="宋体" w:eastAsia="宋体" w:cs="宋体"/>
                <w:sz w:val="20"/>
                <w:highlight w:val="none"/>
              </w:rPr>
              <w:t>项目描述</w:t>
            </w:r>
          </w:p>
        </w:tc>
        <w:tc>
          <w:tcPr>
            <w:tcW w:w="6609" w:type="dxa"/>
          </w:tcPr>
          <w:p w14:paraId="00503A63">
            <w:pPr>
              <w:pStyle w:val="27"/>
              <w:rPr>
                <w:rFonts w:hint="eastAsia" w:ascii="宋体" w:hAnsi="宋体" w:eastAsia="宋体" w:cs="宋体"/>
                <w:sz w:val="20"/>
                <w:highlight w:val="none"/>
              </w:rPr>
            </w:pPr>
          </w:p>
        </w:tc>
      </w:tr>
      <w:tr w14:paraId="1DCE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759" w:type="dxa"/>
          </w:tcPr>
          <w:p w14:paraId="49BDA0EA">
            <w:pPr>
              <w:pStyle w:val="27"/>
              <w:spacing w:before="5"/>
              <w:rPr>
                <w:rFonts w:hint="eastAsia" w:ascii="宋体" w:hAnsi="宋体" w:eastAsia="宋体" w:cs="宋体"/>
                <w:sz w:val="18"/>
                <w:highlight w:val="none"/>
              </w:rPr>
            </w:pPr>
          </w:p>
          <w:p w14:paraId="5EE75C48">
            <w:pPr>
              <w:pStyle w:val="27"/>
              <w:ind w:left="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6609" w:type="dxa"/>
          </w:tcPr>
          <w:p w14:paraId="7B05941D">
            <w:pPr>
              <w:pStyle w:val="27"/>
              <w:rPr>
                <w:rFonts w:hint="eastAsia" w:ascii="宋体" w:hAnsi="宋体" w:eastAsia="宋体" w:cs="宋体"/>
                <w:sz w:val="20"/>
                <w:highlight w:val="none"/>
              </w:rPr>
            </w:pPr>
          </w:p>
        </w:tc>
      </w:tr>
    </w:tbl>
    <w:p w14:paraId="00A63FBA">
      <w:pPr>
        <w:spacing w:before="143" w:line="360" w:lineRule="auto"/>
        <w:rPr>
          <w:rFonts w:hint="eastAsia" w:ascii="宋体" w:hAnsi="宋体" w:eastAsia="宋体" w:cs="宋体"/>
          <w:sz w:val="20"/>
          <w:highlight w:val="none"/>
        </w:rPr>
      </w:pPr>
      <w:r>
        <w:rPr>
          <w:rFonts w:hint="eastAsia" w:ascii="宋体" w:hAnsi="宋体" w:eastAsia="宋体" w:cs="宋体"/>
          <w:sz w:val="20"/>
          <w:highlight w:val="none"/>
        </w:rPr>
        <w:t>注：每张表格只填写一个项目，并标明序号，表后须附近三年（20</w:t>
      </w:r>
      <w:r>
        <w:rPr>
          <w:rFonts w:hint="eastAsia" w:cs="宋体"/>
          <w:sz w:val="20"/>
          <w:highlight w:val="none"/>
          <w:lang w:val="en-US" w:eastAsia="zh-CN"/>
        </w:rPr>
        <w:t>20</w:t>
      </w:r>
      <w:r>
        <w:rPr>
          <w:rFonts w:hint="eastAsia" w:ascii="宋体" w:hAnsi="宋体" w:eastAsia="宋体" w:cs="宋体"/>
          <w:sz w:val="20"/>
          <w:highlight w:val="none"/>
        </w:rPr>
        <w:t>年</w:t>
      </w:r>
      <w:r>
        <w:rPr>
          <w:rFonts w:hint="eastAsia" w:ascii="宋体" w:hAnsi="宋体" w:eastAsia="宋体" w:cs="宋体"/>
          <w:sz w:val="20"/>
          <w:highlight w:val="none"/>
          <w:lang w:val="en-US"/>
        </w:rPr>
        <w:t>6</w:t>
      </w:r>
      <w:r>
        <w:rPr>
          <w:rFonts w:hint="eastAsia" w:ascii="宋体" w:hAnsi="宋体" w:eastAsia="宋体" w:cs="宋体"/>
          <w:sz w:val="20"/>
          <w:highlight w:val="none"/>
        </w:rPr>
        <w:t>月-至今）的业绩证明材料的扫描件（如合同协议书等）。</w:t>
      </w:r>
    </w:p>
    <w:p w14:paraId="0A411A08">
      <w:pPr>
        <w:spacing w:before="143" w:line="360" w:lineRule="auto"/>
        <w:ind w:left="482"/>
        <w:rPr>
          <w:rFonts w:hint="eastAsia" w:ascii="宋体" w:hAnsi="宋体" w:eastAsia="宋体" w:cs="宋体"/>
          <w:color w:val="FF0000"/>
          <w:sz w:val="20"/>
          <w:highlight w:val="none"/>
        </w:rPr>
      </w:pPr>
    </w:p>
    <w:p w14:paraId="38BB0E45">
      <w:pPr>
        <w:rPr>
          <w:rFonts w:hint="eastAsia" w:ascii="宋体" w:hAnsi="宋体" w:eastAsia="宋体" w:cs="宋体"/>
          <w:sz w:val="28"/>
          <w:highlight w:val="none"/>
        </w:rPr>
      </w:pPr>
    </w:p>
    <w:p w14:paraId="7F8DF3A9">
      <w:pPr>
        <w:pStyle w:val="5"/>
        <w:rPr>
          <w:rFonts w:hint="eastAsia" w:ascii="宋体" w:hAnsi="宋体" w:eastAsia="宋体" w:cs="宋体"/>
          <w:highlight w:val="none"/>
        </w:rPr>
      </w:pPr>
    </w:p>
    <w:p w14:paraId="14C0364B">
      <w:pPr>
        <w:rPr>
          <w:rFonts w:hint="eastAsia" w:ascii="宋体" w:hAnsi="宋体" w:eastAsia="宋体" w:cs="宋体"/>
          <w:sz w:val="28"/>
          <w:highlight w:val="none"/>
        </w:rPr>
      </w:pPr>
    </w:p>
    <w:p w14:paraId="45B144D8">
      <w:pPr>
        <w:pStyle w:val="5"/>
        <w:rPr>
          <w:rFonts w:hint="eastAsia" w:ascii="宋体" w:hAnsi="宋体" w:eastAsia="宋体" w:cs="宋体"/>
          <w:highlight w:val="none"/>
        </w:rPr>
      </w:pPr>
    </w:p>
    <w:p w14:paraId="16CAAC0B">
      <w:pPr>
        <w:pStyle w:val="10"/>
        <w:spacing w:before="66"/>
        <w:ind w:left="1" w:right="199"/>
        <w:jc w:val="center"/>
        <w:rPr>
          <w:rFonts w:hint="eastAsia" w:ascii="宋体" w:hAnsi="宋体" w:eastAsia="宋体" w:cs="宋体"/>
          <w:highlight w:val="none"/>
        </w:rPr>
      </w:pPr>
      <w:bookmarkStart w:id="107" w:name="（五）投标人的信誉情况表"/>
      <w:bookmarkEnd w:id="107"/>
      <w:r>
        <w:rPr>
          <w:rFonts w:hint="eastAsia" w:ascii="宋体" w:hAnsi="宋体" w:eastAsia="宋体" w:cs="宋体"/>
          <w:highlight w:val="none"/>
        </w:rPr>
        <w:t>（五）投标人的信誉情况表</w:t>
      </w:r>
    </w:p>
    <w:p w14:paraId="1481D670">
      <w:pPr>
        <w:pStyle w:val="10"/>
        <w:rPr>
          <w:rFonts w:hint="eastAsia" w:ascii="宋体" w:hAnsi="宋体" w:eastAsia="宋体" w:cs="宋体"/>
          <w:sz w:val="20"/>
          <w:highlight w:val="none"/>
        </w:rPr>
      </w:pPr>
    </w:p>
    <w:p w14:paraId="7417A8E5">
      <w:pPr>
        <w:pStyle w:val="10"/>
        <w:spacing w:before="12"/>
        <w:rPr>
          <w:rFonts w:hint="eastAsia" w:ascii="宋体" w:hAnsi="宋体" w:eastAsia="宋体" w:cs="宋体"/>
          <w:sz w:val="11"/>
          <w:highlight w:val="none"/>
        </w:rPr>
      </w:pPr>
    </w:p>
    <w:tbl>
      <w:tblPr>
        <w:tblStyle w:val="23"/>
        <w:tblW w:w="8522"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14:paraId="3688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tcPr>
          <w:p w14:paraId="36453564">
            <w:pPr>
              <w:pStyle w:val="27"/>
              <w:rPr>
                <w:rFonts w:hint="eastAsia" w:ascii="宋体" w:hAnsi="宋体" w:eastAsia="宋体" w:cs="宋体"/>
                <w:sz w:val="20"/>
                <w:highlight w:val="none"/>
              </w:rPr>
            </w:pPr>
          </w:p>
          <w:p w14:paraId="797655D2">
            <w:pPr>
              <w:pStyle w:val="27"/>
              <w:spacing w:before="9"/>
              <w:rPr>
                <w:rFonts w:hint="eastAsia" w:ascii="宋体" w:hAnsi="宋体" w:eastAsia="宋体" w:cs="宋体"/>
                <w:sz w:val="16"/>
                <w:highlight w:val="none"/>
              </w:rPr>
            </w:pPr>
          </w:p>
          <w:p w14:paraId="0A573300">
            <w:pPr>
              <w:pStyle w:val="27"/>
              <w:ind w:left="1942" w:right="1769"/>
              <w:jc w:val="center"/>
              <w:rPr>
                <w:rFonts w:hint="eastAsia" w:ascii="宋体" w:hAnsi="宋体" w:eastAsia="宋体" w:cs="宋体"/>
                <w:sz w:val="20"/>
                <w:highlight w:val="none"/>
              </w:rPr>
            </w:pPr>
            <w:r>
              <w:rPr>
                <w:rFonts w:hint="eastAsia" w:ascii="宋体" w:hAnsi="宋体" w:eastAsia="宋体" w:cs="宋体"/>
                <w:sz w:val="20"/>
                <w:highlight w:val="none"/>
              </w:rPr>
              <w:t>项 目</w:t>
            </w:r>
          </w:p>
        </w:tc>
        <w:tc>
          <w:tcPr>
            <w:tcW w:w="4261" w:type="dxa"/>
          </w:tcPr>
          <w:p w14:paraId="683B93BB">
            <w:pPr>
              <w:pStyle w:val="27"/>
              <w:rPr>
                <w:rFonts w:hint="eastAsia" w:ascii="宋体" w:hAnsi="宋体" w:eastAsia="宋体" w:cs="宋体"/>
                <w:sz w:val="20"/>
                <w:highlight w:val="none"/>
              </w:rPr>
            </w:pPr>
          </w:p>
          <w:p w14:paraId="04EA724C">
            <w:pPr>
              <w:pStyle w:val="27"/>
              <w:spacing w:before="9"/>
              <w:rPr>
                <w:rFonts w:hint="eastAsia" w:ascii="宋体" w:hAnsi="宋体" w:eastAsia="宋体" w:cs="宋体"/>
                <w:sz w:val="16"/>
                <w:highlight w:val="none"/>
              </w:rPr>
            </w:pPr>
          </w:p>
          <w:p w14:paraId="0EE26CE2">
            <w:pPr>
              <w:pStyle w:val="27"/>
              <w:ind w:left="1513"/>
              <w:rPr>
                <w:rFonts w:hint="eastAsia" w:ascii="宋体" w:hAnsi="宋体" w:eastAsia="宋体" w:cs="宋体"/>
                <w:sz w:val="20"/>
                <w:highlight w:val="none"/>
              </w:rPr>
            </w:pPr>
            <w:r>
              <w:rPr>
                <w:rFonts w:hint="eastAsia" w:ascii="宋体" w:hAnsi="宋体" w:eastAsia="宋体" w:cs="宋体"/>
                <w:sz w:val="20"/>
                <w:highlight w:val="none"/>
              </w:rPr>
              <w:t>投标人情况说明</w:t>
            </w:r>
          </w:p>
        </w:tc>
      </w:tr>
      <w:tr w14:paraId="12CAB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B3613F6">
            <w:pPr>
              <w:pStyle w:val="27"/>
              <w:rPr>
                <w:rFonts w:hint="eastAsia" w:ascii="宋体" w:hAnsi="宋体" w:eastAsia="宋体" w:cs="宋体"/>
                <w:sz w:val="20"/>
                <w:highlight w:val="none"/>
              </w:rPr>
            </w:pPr>
          </w:p>
        </w:tc>
        <w:tc>
          <w:tcPr>
            <w:tcW w:w="4261" w:type="dxa"/>
          </w:tcPr>
          <w:p w14:paraId="09273652">
            <w:pPr>
              <w:pStyle w:val="27"/>
              <w:rPr>
                <w:rFonts w:hint="eastAsia" w:ascii="宋体" w:hAnsi="宋体" w:eastAsia="宋体" w:cs="宋体"/>
                <w:sz w:val="20"/>
                <w:highlight w:val="none"/>
              </w:rPr>
            </w:pPr>
          </w:p>
        </w:tc>
      </w:tr>
      <w:tr w14:paraId="6776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41C080B">
            <w:pPr>
              <w:pStyle w:val="27"/>
              <w:rPr>
                <w:rFonts w:hint="eastAsia" w:ascii="宋体" w:hAnsi="宋体" w:eastAsia="宋体" w:cs="宋体"/>
                <w:sz w:val="20"/>
                <w:highlight w:val="none"/>
              </w:rPr>
            </w:pPr>
          </w:p>
        </w:tc>
        <w:tc>
          <w:tcPr>
            <w:tcW w:w="4261" w:type="dxa"/>
          </w:tcPr>
          <w:p w14:paraId="0417E3AA">
            <w:pPr>
              <w:pStyle w:val="27"/>
              <w:rPr>
                <w:rFonts w:hint="eastAsia" w:ascii="宋体" w:hAnsi="宋体" w:eastAsia="宋体" w:cs="宋体"/>
                <w:sz w:val="20"/>
                <w:highlight w:val="none"/>
              </w:rPr>
            </w:pPr>
          </w:p>
        </w:tc>
      </w:tr>
      <w:tr w14:paraId="7E88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628E58E9">
            <w:pPr>
              <w:pStyle w:val="27"/>
              <w:rPr>
                <w:rFonts w:hint="eastAsia" w:ascii="宋体" w:hAnsi="宋体" w:eastAsia="宋体" w:cs="宋体"/>
                <w:sz w:val="20"/>
                <w:highlight w:val="none"/>
              </w:rPr>
            </w:pPr>
          </w:p>
        </w:tc>
        <w:tc>
          <w:tcPr>
            <w:tcW w:w="4261" w:type="dxa"/>
          </w:tcPr>
          <w:p w14:paraId="06FF5449">
            <w:pPr>
              <w:pStyle w:val="27"/>
              <w:rPr>
                <w:rFonts w:hint="eastAsia" w:ascii="宋体" w:hAnsi="宋体" w:eastAsia="宋体" w:cs="宋体"/>
                <w:sz w:val="20"/>
                <w:highlight w:val="none"/>
              </w:rPr>
            </w:pPr>
          </w:p>
        </w:tc>
      </w:tr>
      <w:tr w14:paraId="45A0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8C1C02A">
            <w:pPr>
              <w:pStyle w:val="27"/>
              <w:rPr>
                <w:rFonts w:hint="eastAsia" w:ascii="宋体" w:hAnsi="宋体" w:eastAsia="宋体" w:cs="宋体"/>
                <w:sz w:val="20"/>
                <w:highlight w:val="none"/>
              </w:rPr>
            </w:pPr>
          </w:p>
        </w:tc>
        <w:tc>
          <w:tcPr>
            <w:tcW w:w="4261" w:type="dxa"/>
          </w:tcPr>
          <w:p w14:paraId="5007A029">
            <w:pPr>
              <w:pStyle w:val="27"/>
              <w:rPr>
                <w:rFonts w:hint="eastAsia" w:ascii="宋体" w:hAnsi="宋体" w:eastAsia="宋体" w:cs="宋体"/>
                <w:sz w:val="20"/>
                <w:highlight w:val="none"/>
              </w:rPr>
            </w:pPr>
          </w:p>
        </w:tc>
      </w:tr>
      <w:tr w14:paraId="641C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1665ED">
            <w:pPr>
              <w:pStyle w:val="27"/>
              <w:rPr>
                <w:rFonts w:hint="eastAsia" w:ascii="宋体" w:hAnsi="宋体" w:eastAsia="宋体" w:cs="宋体"/>
                <w:sz w:val="20"/>
                <w:highlight w:val="none"/>
              </w:rPr>
            </w:pPr>
          </w:p>
        </w:tc>
        <w:tc>
          <w:tcPr>
            <w:tcW w:w="4261" w:type="dxa"/>
          </w:tcPr>
          <w:p w14:paraId="70298724">
            <w:pPr>
              <w:pStyle w:val="27"/>
              <w:rPr>
                <w:rFonts w:hint="eastAsia" w:ascii="宋体" w:hAnsi="宋体" w:eastAsia="宋体" w:cs="宋体"/>
                <w:sz w:val="20"/>
                <w:highlight w:val="none"/>
              </w:rPr>
            </w:pPr>
          </w:p>
        </w:tc>
      </w:tr>
      <w:tr w14:paraId="78EC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86E030A">
            <w:pPr>
              <w:pStyle w:val="27"/>
              <w:rPr>
                <w:rFonts w:hint="eastAsia" w:ascii="宋体" w:hAnsi="宋体" w:eastAsia="宋体" w:cs="宋体"/>
                <w:sz w:val="20"/>
                <w:highlight w:val="none"/>
              </w:rPr>
            </w:pPr>
          </w:p>
        </w:tc>
        <w:tc>
          <w:tcPr>
            <w:tcW w:w="4261" w:type="dxa"/>
          </w:tcPr>
          <w:p w14:paraId="57822B01">
            <w:pPr>
              <w:pStyle w:val="27"/>
              <w:rPr>
                <w:rFonts w:hint="eastAsia" w:ascii="宋体" w:hAnsi="宋体" w:eastAsia="宋体" w:cs="宋体"/>
                <w:sz w:val="20"/>
                <w:highlight w:val="none"/>
              </w:rPr>
            </w:pPr>
          </w:p>
        </w:tc>
      </w:tr>
      <w:tr w14:paraId="4A3E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581D56A3">
            <w:pPr>
              <w:pStyle w:val="27"/>
              <w:rPr>
                <w:rFonts w:hint="eastAsia" w:ascii="宋体" w:hAnsi="宋体" w:eastAsia="宋体" w:cs="宋体"/>
                <w:sz w:val="20"/>
                <w:highlight w:val="none"/>
              </w:rPr>
            </w:pPr>
          </w:p>
        </w:tc>
        <w:tc>
          <w:tcPr>
            <w:tcW w:w="4261" w:type="dxa"/>
          </w:tcPr>
          <w:p w14:paraId="1C7CC6F3">
            <w:pPr>
              <w:pStyle w:val="27"/>
              <w:rPr>
                <w:rFonts w:hint="eastAsia" w:ascii="宋体" w:hAnsi="宋体" w:eastAsia="宋体" w:cs="宋体"/>
                <w:sz w:val="20"/>
                <w:highlight w:val="none"/>
              </w:rPr>
            </w:pPr>
          </w:p>
        </w:tc>
      </w:tr>
      <w:tr w14:paraId="488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FF0A62">
            <w:pPr>
              <w:pStyle w:val="27"/>
              <w:rPr>
                <w:rFonts w:hint="eastAsia" w:ascii="宋体" w:hAnsi="宋体" w:eastAsia="宋体" w:cs="宋体"/>
                <w:sz w:val="20"/>
                <w:highlight w:val="none"/>
              </w:rPr>
            </w:pPr>
          </w:p>
        </w:tc>
        <w:tc>
          <w:tcPr>
            <w:tcW w:w="4261" w:type="dxa"/>
          </w:tcPr>
          <w:p w14:paraId="0AFB14D8">
            <w:pPr>
              <w:pStyle w:val="27"/>
              <w:rPr>
                <w:rFonts w:hint="eastAsia" w:ascii="宋体" w:hAnsi="宋体" w:eastAsia="宋体" w:cs="宋体"/>
                <w:sz w:val="20"/>
                <w:highlight w:val="none"/>
              </w:rPr>
            </w:pPr>
          </w:p>
        </w:tc>
      </w:tr>
    </w:tbl>
    <w:p w14:paraId="4D77012A">
      <w:pPr>
        <w:pStyle w:val="10"/>
        <w:spacing w:line="360" w:lineRule="auto"/>
        <w:ind w:firstLine="360" w:firstLineChars="200"/>
        <w:rPr>
          <w:rFonts w:hint="eastAsia" w:ascii="宋体" w:hAnsi="宋体" w:eastAsia="宋体" w:cs="宋体"/>
          <w:sz w:val="18"/>
          <w:szCs w:val="18"/>
          <w:highlight w:val="none"/>
        </w:rPr>
      </w:pPr>
    </w:p>
    <w:p w14:paraId="78E847B7">
      <w:pPr>
        <w:pStyle w:val="1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注：“投标人的信誉情况表”应附投标人</w:t>
      </w:r>
      <w:r>
        <w:rPr>
          <w:rFonts w:hint="eastAsia" w:ascii="宋体" w:hAnsi="宋体" w:eastAsia="宋体" w:cs="宋体"/>
          <w:spacing w:val="-6"/>
          <w:sz w:val="18"/>
          <w:szCs w:val="18"/>
          <w:highlight w:val="none"/>
        </w:rPr>
        <w:t>在</w:t>
      </w:r>
      <w:r>
        <w:rPr>
          <w:rFonts w:hint="eastAsia" w:ascii="宋体" w:hAnsi="宋体" w:eastAsia="宋体" w:cs="宋体"/>
          <w:sz w:val="18"/>
          <w:szCs w:val="18"/>
          <w:highlight w:val="none"/>
        </w:rPr>
        <w:t>“信用中国”</w:t>
      </w:r>
      <w:r>
        <w:rPr>
          <w:rFonts w:hint="eastAsia" w:ascii="宋体" w:hAnsi="宋体" w:eastAsia="宋体" w:cs="宋体"/>
          <w:sz w:val="20"/>
          <w:highlight w:val="none"/>
          <w:lang w:val="en-US"/>
        </w:rPr>
        <w:t>和</w:t>
      </w:r>
      <w:r>
        <w:rPr>
          <w:rFonts w:hint="eastAsia" w:ascii="宋体" w:hAnsi="宋体" w:eastAsia="宋体" w:cs="宋体"/>
          <w:sz w:val="18"/>
          <w:szCs w:val="18"/>
          <w:highlight w:val="none"/>
          <w:lang w:val="en-US"/>
        </w:rPr>
        <w:t>“中国政府采购网”</w:t>
      </w:r>
      <w:r>
        <w:rPr>
          <w:rFonts w:hint="eastAsia" w:ascii="宋体" w:hAnsi="宋体" w:eastAsia="宋体" w:cs="宋体"/>
          <w:spacing w:val="-1"/>
          <w:sz w:val="18"/>
          <w:szCs w:val="18"/>
          <w:highlight w:val="none"/>
        </w:rPr>
        <w:t>网站中未被列入失信被执行人名单的网页截</w:t>
      </w:r>
      <w:r>
        <w:rPr>
          <w:rFonts w:hint="eastAsia" w:ascii="宋体" w:hAnsi="宋体" w:eastAsia="宋体" w:cs="宋体"/>
          <w:spacing w:val="-11"/>
          <w:sz w:val="18"/>
          <w:szCs w:val="18"/>
          <w:highlight w:val="none"/>
        </w:rPr>
        <w:t>图，对投标人、法定代表人、拟委任的</w:t>
      </w:r>
      <w:r>
        <w:rPr>
          <w:rFonts w:hint="eastAsia" w:ascii="宋体" w:hAnsi="宋体" w:eastAsia="宋体" w:cs="宋体"/>
          <w:sz w:val="18"/>
          <w:szCs w:val="18"/>
          <w:highlight w:val="none"/>
        </w:rPr>
        <w:t>项目经理近三年无行贿犯罪行为进行承诺。</w:t>
      </w:r>
    </w:p>
    <w:p w14:paraId="55C6679D">
      <w:pPr>
        <w:pStyle w:val="25"/>
        <w:spacing w:line="360" w:lineRule="auto"/>
        <w:rPr>
          <w:rFonts w:hint="eastAsia" w:ascii="宋体" w:hAnsi="宋体" w:eastAsia="宋体" w:cs="宋体"/>
          <w:szCs w:val="18"/>
          <w:highlight w:val="none"/>
        </w:rPr>
      </w:pPr>
    </w:p>
    <w:p w14:paraId="34E7D772">
      <w:pPr>
        <w:rPr>
          <w:rFonts w:hint="eastAsia" w:ascii="宋体" w:hAnsi="宋体" w:eastAsia="宋体" w:cs="宋体"/>
          <w:sz w:val="24"/>
          <w:highlight w:val="none"/>
        </w:rPr>
      </w:pPr>
    </w:p>
    <w:p w14:paraId="7703664D">
      <w:pPr>
        <w:pStyle w:val="5"/>
        <w:ind w:firstLine="480"/>
        <w:rPr>
          <w:rFonts w:hint="eastAsia" w:ascii="宋体" w:hAnsi="宋体" w:eastAsia="宋体" w:cs="宋体"/>
          <w:sz w:val="24"/>
          <w:highlight w:val="none"/>
        </w:rPr>
      </w:pPr>
    </w:p>
    <w:p w14:paraId="1F19C278">
      <w:pPr>
        <w:rPr>
          <w:rFonts w:hint="eastAsia" w:ascii="宋体" w:hAnsi="宋体" w:eastAsia="宋体" w:cs="宋体"/>
          <w:sz w:val="24"/>
          <w:highlight w:val="none"/>
        </w:rPr>
      </w:pPr>
    </w:p>
    <w:p w14:paraId="563B1AC4">
      <w:pPr>
        <w:pStyle w:val="5"/>
        <w:ind w:firstLine="480"/>
        <w:rPr>
          <w:rFonts w:hint="eastAsia" w:ascii="宋体" w:hAnsi="宋体" w:eastAsia="宋体" w:cs="宋体"/>
          <w:sz w:val="24"/>
          <w:highlight w:val="none"/>
        </w:rPr>
      </w:pPr>
    </w:p>
    <w:p w14:paraId="24373D47">
      <w:pPr>
        <w:rPr>
          <w:rFonts w:hint="eastAsia" w:ascii="宋体" w:hAnsi="宋体" w:eastAsia="宋体" w:cs="宋体"/>
          <w:highlight w:val="none"/>
        </w:rPr>
      </w:pPr>
    </w:p>
    <w:p w14:paraId="7008A50A">
      <w:pPr>
        <w:pStyle w:val="10"/>
        <w:spacing w:before="9"/>
        <w:rPr>
          <w:rFonts w:hint="eastAsia" w:ascii="宋体" w:hAnsi="宋体" w:eastAsia="宋体" w:cs="宋体"/>
          <w:sz w:val="17"/>
          <w:highlight w:val="none"/>
        </w:rPr>
      </w:pPr>
    </w:p>
    <w:p w14:paraId="6FBBB577">
      <w:pPr>
        <w:pStyle w:val="10"/>
        <w:ind w:left="1" w:right="199"/>
        <w:jc w:val="center"/>
        <w:rPr>
          <w:rFonts w:hint="eastAsia" w:ascii="宋体" w:hAnsi="宋体" w:eastAsia="宋体" w:cs="宋体"/>
          <w:highlight w:val="none"/>
        </w:rPr>
      </w:pPr>
    </w:p>
    <w:p w14:paraId="4F877A70">
      <w:pPr>
        <w:pStyle w:val="10"/>
        <w:ind w:left="1" w:right="199"/>
        <w:jc w:val="center"/>
        <w:rPr>
          <w:rFonts w:hint="eastAsia" w:ascii="宋体" w:hAnsi="宋体" w:eastAsia="宋体" w:cs="宋体"/>
          <w:highlight w:val="none"/>
        </w:rPr>
      </w:pPr>
      <w:r>
        <w:rPr>
          <w:rFonts w:hint="eastAsia" w:ascii="宋体" w:hAnsi="宋体" w:eastAsia="宋体" w:cs="宋体"/>
          <w:highlight w:val="none"/>
        </w:rPr>
        <w:t>投标无行贿犯罪记录承诺函</w:t>
      </w:r>
    </w:p>
    <w:p w14:paraId="6EBCCD7D">
      <w:pPr>
        <w:pStyle w:val="10"/>
        <w:rPr>
          <w:rFonts w:hint="eastAsia" w:ascii="宋体" w:hAnsi="宋体" w:eastAsia="宋体" w:cs="宋体"/>
          <w:sz w:val="20"/>
          <w:highlight w:val="none"/>
        </w:rPr>
      </w:pPr>
    </w:p>
    <w:p w14:paraId="205D6C16">
      <w:pPr>
        <w:pStyle w:val="10"/>
        <w:tabs>
          <w:tab w:val="left" w:pos="3359"/>
        </w:tabs>
        <w:spacing w:before="228"/>
        <w:ind w:left="48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26DC0B73">
      <w:pPr>
        <w:pStyle w:val="10"/>
        <w:spacing w:before="5"/>
        <w:rPr>
          <w:rFonts w:hint="eastAsia" w:ascii="宋体" w:hAnsi="宋体" w:eastAsia="宋体" w:cs="宋体"/>
          <w:sz w:val="38"/>
          <w:highlight w:val="none"/>
        </w:rPr>
      </w:pPr>
    </w:p>
    <w:p w14:paraId="2C1F6ED3">
      <w:pPr>
        <w:pStyle w:val="10"/>
        <w:tabs>
          <w:tab w:val="left" w:pos="3146"/>
          <w:tab w:val="left" w:pos="6146"/>
        </w:tabs>
        <w:spacing w:line="312" w:lineRule="auto"/>
        <w:ind w:left="480" w:right="877" w:firstLine="480"/>
        <w:jc w:val="both"/>
        <w:rPr>
          <w:rFonts w:hint="eastAsia" w:ascii="宋体" w:hAnsi="宋体" w:eastAsia="宋体" w:cs="宋体"/>
          <w:highlight w:val="none"/>
        </w:rPr>
      </w:pPr>
      <w:r>
        <w:rPr>
          <w:rFonts w:hint="eastAsia" w:ascii="宋体" w:hAnsi="宋体" w:eastAsia="宋体" w:cs="宋体"/>
          <w:highlight w:val="none"/>
        </w:rPr>
        <w:t>我方参加了</w:t>
      </w:r>
      <w:r>
        <w:rPr>
          <w:rFonts w:hint="eastAsia" w:ascii="宋体" w:hAnsi="宋体" w:eastAsia="宋体" w:cs="宋体"/>
          <w:spacing w:val="96"/>
          <w:highlight w:val="none"/>
          <w:u w:val="single"/>
        </w:rPr>
        <w:t xml:space="preserve"> </w:t>
      </w:r>
      <w:r>
        <w:rPr>
          <w:rFonts w:hint="eastAsia" w:ascii="宋体" w:hAnsi="宋体" w:eastAsia="宋体" w:cs="宋体"/>
          <w:highlight w:val="none"/>
          <w:u w:val="single"/>
        </w:rPr>
        <w:t>（项目名称）</w:t>
      </w:r>
      <w:r>
        <w:rPr>
          <w:rFonts w:hint="eastAsia" w:ascii="宋体" w:hAnsi="宋体" w:eastAsia="宋体" w:cs="宋体"/>
          <w:spacing w:val="96"/>
          <w:highlight w:val="none"/>
          <w:u w:val="single"/>
        </w:rPr>
        <w:t xml:space="preserve"> </w:t>
      </w:r>
      <w:r>
        <w:rPr>
          <w:rFonts w:hint="eastAsia" w:ascii="宋体" w:hAnsi="宋体" w:eastAsia="宋体" w:cs="宋体"/>
          <w:highlight w:val="none"/>
        </w:rPr>
        <w:t>投标</w:t>
      </w:r>
      <w:r>
        <w:rPr>
          <w:rFonts w:hint="eastAsia" w:ascii="宋体" w:hAnsi="宋体" w:eastAsia="宋体" w:cs="宋体"/>
          <w:spacing w:val="-24"/>
          <w:highlight w:val="none"/>
        </w:rPr>
        <w:t>，</w:t>
      </w:r>
      <w:r>
        <w:rPr>
          <w:rFonts w:hint="eastAsia" w:ascii="宋体" w:hAnsi="宋体" w:eastAsia="宋体" w:cs="宋体"/>
          <w:highlight w:val="none"/>
        </w:rPr>
        <w:t>我方承诺</w:t>
      </w:r>
      <w:r>
        <w:rPr>
          <w:rFonts w:hint="eastAsia" w:ascii="宋体" w:hAnsi="宋体" w:eastAsia="宋体" w:cs="宋体"/>
          <w:spacing w:val="-22"/>
          <w:highlight w:val="none"/>
        </w:rPr>
        <w:t>，</w:t>
      </w:r>
      <w:r>
        <w:rPr>
          <w:rFonts w:hint="eastAsia" w:ascii="宋体" w:hAnsi="宋体" w:eastAsia="宋体" w:cs="宋体"/>
          <w:highlight w:val="none"/>
        </w:rPr>
        <w:t>我公司近三年内无行贿犯</w:t>
      </w:r>
      <w:r>
        <w:rPr>
          <w:rFonts w:hint="eastAsia" w:ascii="宋体" w:hAnsi="宋体" w:eastAsia="宋体" w:cs="宋体"/>
          <w:spacing w:val="-17"/>
          <w:highlight w:val="none"/>
        </w:rPr>
        <w:t>罪</w:t>
      </w:r>
      <w:r>
        <w:rPr>
          <w:rFonts w:hint="eastAsia" w:ascii="宋体" w:hAnsi="宋体" w:eastAsia="宋体" w:cs="宋体"/>
          <w:highlight w:val="none"/>
        </w:rPr>
        <w:t>行为</w:t>
      </w:r>
      <w:r>
        <w:rPr>
          <w:rFonts w:hint="eastAsia" w:ascii="宋体" w:hAnsi="宋体" w:eastAsia="宋体" w:cs="宋体"/>
          <w:spacing w:val="-94"/>
          <w:highlight w:val="none"/>
        </w:rPr>
        <w:t>，</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及拟委任的项目经理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近三年内也无行贿犯罪</w:t>
      </w:r>
      <w:r>
        <w:rPr>
          <w:rFonts w:hint="eastAsia" w:ascii="宋体" w:hAnsi="宋体" w:eastAsia="宋体" w:cs="宋体"/>
          <w:spacing w:val="-17"/>
          <w:highlight w:val="none"/>
        </w:rPr>
        <w:t>行</w:t>
      </w:r>
      <w:r>
        <w:rPr>
          <w:rFonts w:hint="eastAsia" w:ascii="宋体" w:hAnsi="宋体" w:eastAsia="宋体" w:cs="宋体"/>
          <w:highlight w:val="none"/>
        </w:rPr>
        <w:t>为。</w:t>
      </w:r>
    </w:p>
    <w:p w14:paraId="4300B130">
      <w:pPr>
        <w:pStyle w:val="10"/>
        <w:spacing w:before="1" w:line="312" w:lineRule="auto"/>
        <w:ind w:left="480" w:right="877" w:firstLine="480"/>
        <w:jc w:val="both"/>
        <w:rPr>
          <w:rFonts w:hint="eastAsia" w:ascii="宋体" w:hAnsi="宋体" w:eastAsia="宋体" w:cs="宋体"/>
          <w:highlight w:val="none"/>
        </w:rPr>
      </w:pPr>
      <w:r>
        <w:rPr>
          <w:rFonts w:hint="eastAsia" w:ascii="宋体" w:hAnsi="宋体" w:eastAsia="宋体" w:cs="宋体"/>
          <w:spacing w:val="-8"/>
          <w:highlight w:val="none"/>
        </w:rPr>
        <w:t>如我方上述承诺不实，采购人可认为我方弄虚作假骗取中标，按照相关规定</w:t>
      </w:r>
      <w:r>
        <w:rPr>
          <w:rFonts w:hint="eastAsia" w:ascii="宋体" w:hAnsi="宋体" w:eastAsia="宋体" w:cs="宋体"/>
          <w:spacing w:val="-10"/>
          <w:highlight w:val="none"/>
        </w:rPr>
        <w:t>进行处理，并由采购人将我方的违约行为上报行业主管部门，作为不良记录</w:t>
      </w:r>
      <w:r>
        <w:rPr>
          <w:rFonts w:hint="eastAsia" w:ascii="宋体" w:hAnsi="宋体" w:eastAsia="宋体" w:cs="宋体"/>
          <w:highlight w:val="none"/>
        </w:rPr>
        <w:t>纳入行业建设市场信息管理系统。</w:t>
      </w:r>
    </w:p>
    <w:p w14:paraId="38141454">
      <w:pPr>
        <w:pStyle w:val="10"/>
        <w:rPr>
          <w:rFonts w:hint="eastAsia" w:ascii="宋体" w:hAnsi="宋体" w:eastAsia="宋体" w:cs="宋体"/>
          <w:highlight w:val="none"/>
        </w:rPr>
      </w:pPr>
    </w:p>
    <w:p w14:paraId="00048F9A">
      <w:pPr>
        <w:pStyle w:val="10"/>
        <w:rPr>
          <w:rFonts w:hint="eastAsia" w:ascii="宋体" w:hAnsi="宋体" w:eastAsia="宋体" w:cs="宋体"/>
          <w:highlight w:val="none"/>
        </w:rPr>
      </w:pPr>
    </w:p>
    <w:p w14:paraId="1D7A2546">
      <w:pPr>
        <w:pStyle w:val="10"/>
        <w:tabs>
          <w:tab w:val="left" w:pos="7667"/>
          <w:tab w:val="left" w:pos="8147"/>
        </w:tabs>
        <w:spacing w:before="185" w:line="312" w:lineRule="auto"/>
        <w:ind w:left="3827" w:right="876"/>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6"/>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spacing w:val="-1"/>
          <w:highlight w:val="none"/>
        </w:rPr>
        <w:t>(</w:t>
      </w:r>
      <w:r>
        <w:rPr>
          <w:rFonts w:hint="eastAsia" w:ascii="宋体" w:hAnsi="宋体" w:eastAsia="宋体" w:cs="宋体"/>
          <w:highlight w:val="none"/>
        </w:rPr>
        <w:t>签字或盖章</w:t>
      </w:r>
      <w:r>
        <w:rPr>
          <w:rFonts w:hint="eastAsia" w:ascii="宋体" w:hAnsi="宋体" w:eastAsia="宋体" w:cs="宋体"/>
          <w:spacing w:val="-16"/>
          <w:highlight w:val="none"/>
        </w:rPr>
        <w:t>)</w:t>
      </w:r>
    </w:p>
    <w:p w14:paraId="49CE4BCA">
      <w:pPr>
        <w:pStyle w:val="10"/>
        <w:rPr>
          <w:rFonts w:hint="eastAsia" w:ascii="宋体" w:hAnsi="宋体" w:eastAsia="宋体" w:cs="宋体"/>
          <w:sz w:val="29"/>
          <w:highlight w:val="none"/>
        </w:rPr>
      </w:pPr>
    </w:p>
    <w:p w14:paraId="20D6D7AA">
      <w:pPr>
        <w:pStyle w:val="10"/>
        <w:tabs>
          <w:tab w:val="left" w:pos="6866"/>
          <w:tab w:val="left" w:pos="7706"/>
          <w:tab w:val="left" w:pos="8546"/>
        </w:tabs>
        <w:spacing w:before="67"/>
        <w:ind w:left="5786"/>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5AEE6BB">
      <w:pPr>
        <w:rPr>
          <w:rFonts w:hint="eastAsia" w:ascii="宋体" w:hAnsi="宋体" w:eastAsia="宋体" w:cs="宋体"/>
          <w:highlight w:val="none"/>
        </w:rPr>
        <w:sectPr>
          <w:pgSz w:w="11910" w:h="16840"/>
          <w:pgMar w:top="1220" w:right="920" w:bottom="1180" w:left="1320" w:header="882" w:footer="989" w:gutter="0"/>
          <w:cols w:space="720" w:num="1"/>
        </w:sectPr>
      </w:pPr>
    </w:p>
    <w:p w14:paraId="3FB74D0C">
      <w:pPr>
        <w:pStyle w:val="10"/>
        <w:spacing w:before="3"/>
        <w:rPr>
          <w:rFonts w:hint="eastAsia" w:ascii="宋体" w:hAnsi="宋体" w:eastAsia="宋体" w:cs="宋体"/>
          <w:sz w:val="19"/>
          <w:highlight w:val="none"/>
        </w:rPr>
      </w:pPr>
    </w:p>
    <w:p w14:paraId="5639D8BA">
      <w:pPr>
        <w:pStyle w:val="10"/>
        <w:numPr>
          <w:ilvl w:val="0"/>
          <w:numId w:val="4"/>
        </w:numPr>
        <w:spacing w:before="66"/>
        <w:ind w:left="591" w:right="199"/>
        <w:jc w:val="center"/>
        <w:rPr>
          <w:rFonts w:hint="eastAsia" w:ascii="宋体" w:hAnsi="宋体" w:eastAsia="宋体" w:cs="宋体"/>
          <w:highlight w:val="none"/>
        </w:rPr>
      </w:pPr>
      <w:bookmarkStart w:id="108" w:name="（六）拟委任的项目经理和项目总工资历表"/>
      <w:bookmarkEnd w:id="108"/>
      <w:r>
        <w:rPr>
          <w:rFonts w:hint="eastAsia" w:ascii="宋体" w:hAnsi="宋体" w:eastAsia="宋体" w:cs="宋体"/>
          <w:highlight w:val="none"/>
        </w:rPr>
        <w:t>拟委任的项目经理简历</w:t>
      </w:r>
    </w:p>
    <w:p w14:paraId="79149F07">
      <w:pPr>
        <w:pStyle w:val="25"/>
        <w:adjustRightInd w:val="0"/>
        <w:ind w:left="0"/>
        <w:rPr>
          <w:rFonts w:hint="eastAsia" w:ascii="宋体" w:hAnsi="宋体" w:eastAsia="宋体" w:cs="宋体"/>
          <w:highlight w:val="none"/>
        </w:rPr>
      </w:pPr>
    </w:p>
    <w:p w14:paraId="2507530F">
      <w:pPr>
        <w:spacing w:line="360" w:lineRule="auto"/>
        <w:rPr>
          <w:rFonts w:hint="eastAsia" w:ascii="宋体" w:hAnsi="宋体" w:eastAsia="宋体" w:cs="宋体"/>
          <w:highlight w:val="none"/>
        </w:rPr>
      </w:pPr>
      <w:r>
        <w:rPr>
          <w:rFonts w:hint="eastAsia" w:ascii="宋体" w:hAnsi="宋体" w:eastAsia="宋体" w:cs="宋体"/>
          <w:highlight w:val="none"/>
        </w:rPr>
        <w:t>1、项目经理介绍应包括：姓名、性别、年龄、职称 、学历、参加工作时间、从事项目管理年限以及其他内容。</w:t>
      </w:r>
    </w:p>
    <w:p w14:paraId="649EDB37">
      <w:pPr>
        <w:spacing w:line="360" w:lineRule="auto"/>
        <w:rPr>
          <w:rFonts w:hint="eastAsia" w:ascii="宋体" w:hAnsi="宋体" w:eastAsia="宋体" w:cs="宋体"/>
          <w:highlight w:val="none"/>
        </w:rPr>
      </w:pPr>
      <w:r>
        <w:rPr>
          <w:rFonts w:hint="eastAsia" w:ascii="宋体" w:hAnsi="宋体" w:eastAsia="宋体" w:cs="宋体"/>
          <w:highlight w:val="none"/>
        </w:rPr>
        <w:t>2、项目经理近3年内工程经历应按下表提供。</w:t>
      </w:r>
    </w:p>
    <w:p w14:paraId="0AA91FE9">
      <w:pPr>
        <w:spacing w:line="360" w:lineRule="auto"/>
        <w:jc w:val="center"/>
        <w:rPr>
          <w:rFonts w:hint="eastAsia" w:ascii="宋体" w:hAnsi="宋体" w:eastAsia="宋体" w:cs="宋体"/>
          <w:highlight w:val="none"/>
        </w:rPr>
      </w:pPr>
      <w:r>
        <w:rPr>
          <w:rFonts w:hint="eastAsia" w:ascii="宋体" w:hAnsi="宋体" w:eastAsia="宋体" w:cs="宋体"/>
          <w:highlight w:val="none"/>
        </w:rPr>
        <w:t>项目经理近3年内工程经历一览表</w:t>
      </w:r>
    </w:p>
    <w:tbl>
      <w:tblPr>
        <w:tblStyle w:val="23"/>
        <w:tblW w:w="0" w:type="auto"/>
        <w:tblInd w:w="-103" w:type="dxa"/>
        <w:tblLayout w:type="fixed"/>
        <w:tblCellMar>
          <w:top w:w="0" w:type="dxa"/>
          <w:left w:w="10" w:type="dxa"/>
          <w:bottom w:w="0" w:type="dxa"/>
          <w:right w:w="10" w:type="dxa"/>
        </w:tblCellMar>
      </w:tblPr>
      <w:tblGrid>
        <w:gridCol w:w="1472"/>
        <w:gridCol w:w="1574"/>
        <w:gridCol w:w="1470"/>
        <w:gridCol w:w="2099"/>
        <w:gridCol w:w="2106"/>
        <w:gridCol w:w="1152"/>
      </w:tblGrid>
      <w:tr w14:paraId="26DDB5BE">
        <w:tblPrEx>
          <w:tblCellMar>
            <w:top w:w="0" w:type="dxa"/>
            <w:left w:w="10" w:type="dxa"/>
            <w:bottom w:w="0" w:type="dxa"/>
            <w:right w:w="10"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14:paraId="004E9F43">
            <w:pPr>
              <w:spacing w:line="360" w:lineRule="auto"/>
              <w:jc w:val="center"/>
              <w:rPr>
                <w:rFonts w:hint="eastAsia" w:ascii="宋体" w:hAnsi="宋体" w:eastAsia="宋体" w:cs="宋体"/>
                <w:highlight w:val="none"/>
              </w:rPr>
            </w:pPr>
            <w:r>
              <w:rPr>
                <w:rFonts w:hint="eastAsia" w:ascii="宋体" w:hAnsi="宋体" w:eastAsia="宋体" w:cs="宋体"/>
                <w:highlight w:val="none"/>
              </w:rPr>
              <w:t>建设单位</w:t>
            </w:r>
          </w:p>
        </w:tc>
        <w:tc>
          <w:tcPr>
            <w:tcW w:w="1574" w:type="dxa"/>
            <w:tcBorders>
              <w:top w:val="single" w:color="auto" w:sz="12" w:space="0"/>
              <w:left w:val="single" w:color="auto" w:sz="6" w:space="0"/>
              <w:bottom w:val="single" w:color="auto" w:sz="6" w:space="0"/>
              <w:right w:val="single" w:color="auto" w:sz="6" w:space="0"/>
            </w:tcBorders>
            <w:vAlign w:val="center"/>
          </w:tcPr>
          <w:p w14:paraId="2C2D71F5">
            <w:pPr>
              <w:spacing w:line="360" w:lineRule="auto"/>
              <w:jc w:val="center"/>
              <w:rPr>
                <w:rFonts w:hint="eastAsia" w:ascii="宋体" w:hAnsi="宋体" w:eastAsia="宋体" w:cs="宋体"/>
                <w:highlight w:val="none"/>
              </w:rPr>
            </w:pPr>
            <w:r>
              <w:rPr>
                <w:rFonts w:hint="eastAsia" w:ascii="宋体" w:hAnsi="宋体" w:eastAsia="宋体" w:cs="宋体"/>
                <w:highlight w:val="none"/>
              </w:rPr>
              <w:t>项目名称</w:t>
            </w:r>
          </w:p>
        </w:tc>
        <w:tc>
          <w:tcPr>
            <w:tcW w:w="1470" w:type="dxa"/>
            <w:tcBorders>
              <w:top w:val="single" w:color="auto" w:sz="12" w:space="0"/>
              <w:left w:val="single" w:color="auto" w:sz="6" w:space="0"/>
              <w:bottom w:val="single" w:color="auto" w:sz="6" w:space="0"/>
              <w:right w:val="single" w:color="auto" w:sz="6" w:space="0"/>
            </w:tcBorders>
            <w:vAlign w:val="center"/>
          </w:tcPr>
          <w:p w14:paraId="38C25B9A">
            <w:pPr>
              <w:spacing w:line="360" w:lineRule="auto"/>
              <w:jc w:val="center"/>
              <w:rPr>
                <w:rFonts w:hint="eastAsia" w:ascii="宋体" w:hAnsi="宋体" w:eastAsia="宋体" w:cs="宋体"/>
                <w:highlight w:val="none"/>
              </w:rPr>
            </w:pPr>
            <w:r>
              <w:rPr>
                <w:rFonts w:hint="eastAsia" w:ascii="宋体" w:hAnsi="宋体" w:eastAsia="宋体" w:cs="宋体"/>
                <w:highlight w:val="none"/>
              </w:rPr>
              <w:t>建设规模</w:t>
            </w:r>
          </w:p>
        </w:tc>
        <w:tc>
          <w:tcPr>
            <w:tcW w:w="2099" w:type="dxa"/>
            <w:tcBorders>
              <w:top w:val="single" w:color="auto" w:sz="12" w:space="0"/>
              <w:left w:val="single" w:color="auto" w:sz="6" w:space="0"/>
              <w:bottom w:val="single" w:color="auto" w:sz="6" w:space="0"/>
              <w:right w:val="single" w:color="auto" w:sz="6" w:space="0"/>
            </w:tcBorders>
            <w:vAlign w:val="center"/>
          </w:tcPr>
          <w:p w14:paraId="5E0BA82C">
            <w:pPr>
              <w:spacing w:line="360" w:lineRule="auto"/>
              <w:jc w:val="center"/>
              <w:rPr>
                <w:rFonts w:hint="eastAsia" w:ascii="宋体" w:hAnsi="宋体" w:eastAsia="宋体" w:cs="宋体"/>
                <w:highlight w:val="none"/>
              </w:rPr>
            </w:pPr>
            <w:r>
              <w:rPr>
                <w:rFonts w:hint="eastAsia" w:ascii="宋体" w:hAnsi="宋体" w:eastAsia="宋体" w:cs="宋体"/>
                <w:highlight w:val="none"/>
              </w:rPr>
              <w:t>开竣工日期</w:t>
            </w:r>
          </w:p>
        </w:tc>
        <w:tc>
          <w:tcPr>
            <w:tcW w:w="2106" w:type="dxa"/>
            <w:tcBorders>
              <w:top w:val="single" w:color="auto" w:sz="12" w:space="0"/>
              <w:left w:val="single" w:color="auto" w:sz="6" w:space="0"/>
              <w:bottom w:val="single" w:color="auto" w:sz="6" w:space="0"/>
              <w:right w:val="single" w:color="auto" w:sz="6" w:space="0"/>
            </w:tcBorders>
            <w:vAlign w:val="center"/>
          </w:tcPr>
          <w:p w14:paraId="33B728A0">
            <w:pPr>
              <w:spacing w:line="360" w:lineRule="auto"/>
              <w:jc w:val="center"/>
              <w:rPr>
                <w:rFonts w:hint="eastAsia" w:ascii="宋体" w:hAnsi="宋体" w:eastAsia="宋体" w:cs="宋体"/>
                <w:highlight w:val="none"/>
              </w:rPr>
            </w:pPr>
            <w:r>
              <w:rPr>
                <w:rFonts w:hint="eastAsia" w:ascii="宋体" w:hAnsi="宋体" w:eastAsia="宋体" w:cs="宋体"/>
                <w:highlight w:val="none"/>
              </w:rPr>
              <w:t>质量</w:t>
            </w:r>
          </w:p>
        </w:tc>
        <w:tc>
          <w:tcPr>
            <w:tcW w:w="1152" w:type="dxa"/>
            <w:tcBorders>
              <w:top w:val="single" w:color="auto" w:sz="12" w:space="0"/>
              <w:left w:val="single" w:color="auto" w:sz="6" w:space="0"/>
              <w:bottom w:val="single" w:color="auto" w:sz="6" w:space="0"/>
              <w:right w:val="single" w:color="auto" w:sz="12" w:space="0"/>
            </w:tcBorders>
            <w:vAlign w:val="center"/>
          </w:tcPr>
          <w:p w14:paraId="1D6694B8">
            <w:pPr>
              <w:spacing w:line="360" w:lineRule="auto"/>
              <w:jc w:val="center"/>
              <w:rPr>
                <w:rFonts w:hint="eastAsia" w:ascii="宋体" w:hAnsi="宋体" w:eastAsia="宋体" w:cs="宋体"/>
                <w:highlight w:val="none"/>
              </w:rPr>
            </w:pPr>
            <w:r>
              <w:rPr>
                <w:rFonts w:hint="eastAsia" w:ascii="宋体" w:hAnsi="宋体" w:eastAsia="宋体" w:cs="宋体"/>
                <w:highlight w:val="none"/>
              </w:rPr>
              <w:t>备注</w:t>
            </w:r>
          </w:p>
        </w:tc>
      </w:tr>
      <w:tr w14:paraId="3206EC3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51F7AEF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7A6EB59">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2D2F32A4">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6EE156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3711495A">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325DB80">
            <w:pPr>
              <w:spacing w:line="360" w:lineRule="auto"/>
              <w:rPr>
                <w:rFonts w:hint="eastAsia" w:ascii="宋体" w:hAnsi="宋体" w:eastAsia="宋体" w:cs="宋体"/>
                <w:highlight w:val="none"/>
              </w:rPr>
            </w:pPr>
          </w:p>
        </w:tc>
      </w:tr>
      <w:tr w14:paraId="49B8251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23F184A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7D3F43">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3E29FBB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124401E">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A78DC7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5147506">
            <w:pPr>
              <w:spacing w:line="360" w:lineRule="auto"/>
              <w:rPr>
                <w:rFonts w:hint="eastAsia" w:ascii="宋体" w:hAnsi="宋体" w:eastAsia="宋体" w:cs="宋体"/>
                <w:highlight w:val="none"/>
              </w:rPr>
            </w:pPr>
          </w:p>
        </w:tc>
      </w:tr>
      <w:tr w14:paraId="3AE89E5C">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17183691">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FD53E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07FF2F41">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272393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667C1FAE">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0F70CE29">
            <w:pPr>
              <w:spacing w:line="360" w:lineRule="auto"/>
              <w:rPr>
                <w:rFonts w:hint="eastAsia" w:ascii="宋体" w:hAnsi="宋体" w:eastAsia="宋体" w:cs="宋体"/>
                <w:highlight w:val="none"/>
              </w:rPr>
            </w:pPr>
          </w:p>
        </w:tc>
      </w:tr>
      <w:tr w14:paraId="1B0C1848">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E3064BF">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8E3994D">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D7099E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1A0D97BD">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19D6324">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6EE3BB2">
            <w:pPr>
              <w:spacing w:line="360" w:lineRule="auto"/>
              <w:rPr>
                <w:rFonts w:hint="eastAsia" w:ascii="宋体" w:hAnsi="宋体" w:eastAsia="宋体" w:cs="宋体"/>
                <w:highlight w:val="none"/>
              </w:rPr>
            </w:pPr>
          </w:p>
        </w:tc>
      </w:tr>
      <w:tr w14:paraId="739A488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9C746C7">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7629F955">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58F6762">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D9B2D01">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98C0211">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2D0534F0">
            <w:pPr>
              <w:spacing w:line="360" w:lineRule="auto"/>
              <w:rPr>
                <w:rFonts w:hint="eastAsia" w:ascii="宋体" w:hAnsi="宋体" w:eastAsia="宋体" w:cs="宋体"/>
                <w:highlight w:val="none"/>
              </w:rPr>
            </w:pPr>
          </w:p>
        </w:tc>
      </w:tr>
      <w:tr w14:paraId="5E58CD24">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A26302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E51A75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40C6596">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2B43170F">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BA489BB">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11294341">
            <w:pPr>
              <w:spacing w:line="360" w:lineRule="auto"/>
              <w:rPr>
                <w:rFonts w:hint="eastAsia" w:ascii="宋体" w:hAnsi="宋体" w:eastAsia="宋体" w:cs="宋体"/>
                <w:highlight w:val="none"/>
              </w:rPr>
            </w:pPr>
          </w:p>
        </w:tc>
      </w:tr>
      <w:tr w14:paraId="02E27B31">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0291DD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2AEFB4A0">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F53868C">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B515F64">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1A37B466">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1E1B43A">
            <w:pPr>
              <w:spacing w:line="360" w:lineRule="auto"/>
              <w:rPr>
                <w:rFonts w:hint="eastAsia" w:ascii="宋体" w:hAnsi="宋体" w:eastAsia="宋体" w:cs="宋体"/>
                <w:highlight w:val="none"/>
              </w:rPr>
            </w:pPr>
          </w:p>
        </w:tc>
      </w:tr>
      <w:tr w14:paraId="5E5A791E">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14:paraId="38920EB9">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12" w:space="0"/>
              <w:right w:val="single" w:color="auto" w:sz="6" w:space="0"/>
            </w:tcBorders>
            <w:vAlign w:val="center"/>
          </w:tcPr>
          <w:p w14:paraId="6D41894A">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12" w:space="0"/>
              <w:right w:val="single" w:color="auto" w:sz="6" w:space="0"/>
            </w:tcBorders>
            <w:vAlign w:val="center"/>
          </w:tcPr>
          <w:p w14:paraId="3D6FBD47">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12" w:space="0"/>
              <w:right w:val="single" w:color="auto" w:sz="6" w:space="0"/>
            </w:tcBorders>
            <w:vAlign w:val="center"/>
          </w:tcPr>
          <w:p w14:paraId="10A43305">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12" w:space="0"/>
              <w:right w:val="single" w:color="auto" w:sz="6" w:space="0"/>
            </w:tcBorders>
            <w:vAlign w:val="center"/>
          </w:tcPr>
          <w:p w14:paraId="4E4D14B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12" w:space="0"/>
              <w:right w:val="single" w:color="auto" w:sz="12" w:space="0"/>
            </w:tcBorders>
            <w:vAlign w:val="center"/>
          </w:tcPr>
          <w:p w14:paraId="0C36F63C">
            <w:pPr>
              <w:spacing w:line="360" w:lineRule="auto"/>
              <w:rPr>
                <w:rFonts w:hint="eastAsia" w:ascii="宋体" w:hAnsi="宋体" w:eastAsia="宋体" w:cs="宋体"/>
                <w:highlight w:val="none"/>
              </w:rPr>
            </w:pPr>
          </w:p>
        </w:tc>
      </w:tr>
    </w:tbl>
    <w:p w14:paraId="5BD29595">
      <w:pPr>
        <w:tabs>
          <w:tab w:val="left" w:pos="9453"/>
        </w:tabs>
        <w:spacing w:line="360" w:lineRule="auto"/>
        <w:ind w:left="330" w:hanging="330" w:hangingChars="150"/>
        <w:rPr>
          <w:rFonts w:hint="eastAsia" w:ascii="宋体" w:hAnsi="宋体" w:eastAsia="宋体" w:cs="宋体"/>
          <w:highlight w:val="none"/>
        </w:rPr>
      </w:pPr>
    </w:p>
    <w:p w14:paraId="69EAD143">
      <w:pPr>
        <w:tabs>
          <w:tab w:val="left" w:pos="9453"/>
        </w:tabs>
        <w:spacing w:line="360" w:lineRule="auto"/>
        <w:ind w:left="330" w:hanging="330" w:hangingChars="150"/>
        <w:rPr>
          <w:rFonts w:hint="eastAsia" w:ascii="宋体" w:hAnsi="宋体" w:eastAsia="宋体" w:cs="宋体"/>
          <w:highlight w:val="none"/>
        </w:rPr>
      </w:pPr>
      <w:r>
        <w:rPr>
          <w:rFonts w:hint="eastAsia" w:ascii="宋体" w:hAnsi="宋体" w:eastAsia="宋体" w:cs="宋体"/>
          <w:highlight w:val="none"/>
        </w:rPr>
        <w:t>3、项目经理简历中须附身份证、职称证、建造师注册证书、安全生产考核合格证书及其本单位社保证明等原件的扫描件；近三年（20</w:t>
      </w:r>
      <w:r>
        <w:rPr>
          <w:rFonts w:hint="eastAsia" w:cs="宋体"/>
          <w:highlight w:val="none"/>
          <w:lang w:val="en-US" w:eastAsia="zh-CN"/>
        </w:rPr>
        <w:t>20</w:t>
      </w:r>
      <w:r>
        <w:rPr>
          <w:rFonts w:hint="eastAsia" w:ascii="宋体" w:hAnsi="宋体" w:eastAsia="宋体" w:cs="宋体"/>
          <w:highlight w:val="none"/>
        </w:rPr>
        <w:t>年</w:t>
      </w:r>
      <w:r>
        <w:rPr>
          <w:rFonts w:hint="eastAsia" w:ascii="宋体" w:hAnsi="宋体" w:eastAsia="宋体" w:cs="宋体"/>
          <w:highlight w:val="none"/>
          <w:lang w:val="en-US"/>
        </w:rPr>
        <w:t>6</w:t>
      </w:r>
      <w:r>
        <w:rPr>
          <w:rFonts w:hint="eastAsia" w:ascii="宋体" w:hAnsi="宋体" w:eastAsia="宋体" w:cs="宋体"/>
          <w:highlight w:val="none"/>
        </w:rPr>
        <w:t>月-至今）的业绩证明材料的扫描件（如合同协议书等）。</w:t>
      </w:r>
    </w:p>
    <w:p w14:paraId="6AA19483">
      <w:pPr>
        <w:rPr>
          <w:rFonts w:hint="eastAsia" w:ascii="宋体" w:hAnsi="宋体" w:eastAsia="宋体" w:cs="宋体"/>
          <w:highlight w:val="none"/>
        </w:rPr>
      </w:pPr>
    </w:p>
    <w:p w14:paraId="22D21725">
      <w:pPr>
        <w:pStyle w:val="5"/>
        <w:rPr>
          <w:rFonts w:hint="eastAsia" w:ascii="宋体" w:hAnsi="宋体" w:eastAsia="宋体" w:cs="宋体"/>
          <w:highlight w:val="none"/>
        </w:rPr>
      </w:pPr>
    </w:p>
    <w:p w14:paraId="1009F87A">
      <w:pPr>
        <w:pStyle w:val="5"/>
        <w:rPr>
          <w:rFonts w:hint="eastAsia" w:ascii="宋体" w:hAnsi="宋体" w:eastAsia="宋体" w:cs="宋体"/>
          <w:highlight w:val="none"/>
        </w:rPr>
      </w:pPr>
    </w:p>
    <w:p w14:paraId="318C0209">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275A690D">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4ACAF289">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C4C66E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p>
    <w:p w14:paraId="58987C8A">
      <w:pPr>
        <w:pStyle w:val="5"/>
        <w:rPr>
          <w:rFonts w:hint="eastAsia" w:ascii="宋体" w:hAnsi="宋体" w:eastAsia="宋体" w:cs="宋体"/>
          <w:highlight w:val="none"/>
        </w:rPr>
      </w:pPr>
    </w:p>
    <w:p w14:paraId="0AAE7095">
      <w:pPr>
        <w:pStyle w:val="25"/>
        <w:ind w:left="0"/>
        <w:rPr>
          <w:rFonts w:hint="eastAsia" w:ascii="宋体" w:hAnsi="宋体" w:eastAsia="宋体" w:cs="宋体"/>
          <w:highlight w:val="none"/>
        </w:rPr>
      </w:pPr>
    </w:p>
    <w:p w14:paraId="0130A1DA">
      <w:pPr>
        <w:pStyle w:val="10"/>
        <w:rPr>
          <w:rFonts w:hint="eastAsia" w:ascii="宋体" w:hAnsi="宋体" w:eastAsia="宋体" w:cs="宋体"/>
          <w:sz w:val="20"/>
          <w:highlight w:val="none"/>
        </w:rPr>
      </w:pPr>
    </w:p>
    <w:p w14:paraId="7775AD21">
      <w:pPr>
        <w:pStyle w:val="10"/>
        <w:spacing w:before="10"/>
        <w:rPr>
          <w:rFonts w:hint="eastAsia" w:ascii="宋体" w:hAnsi="宋体" w:eastAsia="宋体" w:cs="宋体"/>
          <w:sz w:val="11"/>
          <w:highlight w:val="none"/>
        </w:rPr>
      </w:pPr>
    </w:p>
    <w:p w14:paraId="2BE0AA28">
      <w:pPr>
        <w:pStyle w:val="10"/>
        <w:numPr>
          <w:ilvl w:val="0"/>
          <w:numId w:val="4"/>
        </w:numPr>
        <w:spacing w:before="66"/>
        <w:ind w:left="591" w:right="199"/>
        <w:jc w:val="center"/>
        <w:rPr>
          <w:rFonts w:hint="eastAsia" w:ascii="宋体" w:hAnsi="宋体" w:eastAsia="宋体" w:cs="宋体"/>
          <w:highlight w:val="none"/>
          <w:lang w:val="en-US"/>
        </w:rPr>
      </w:pPr>
      <w:r>
        <w:rPr>
          <w:rFonts w:hint="eastAsia" w:ascii="宋体" w:hAnsi="宋体" w:eastAsia="宋体" w:cs="宋体"/>
          <w:highlight w:val="none"/>
          <w:lang w:val="en-US"/>
        </w:rPr>
        <w:t>项目管理机构配备情况表</w:t>
      </w:r>
    </w:p>
    <w:p w14:paraId="0FCEFF7D">
      <w:pPr>
        <w:pStyle w:val="25"/>
        <w:adjustRightInd w:val="0"/>
        <w:ind w:left="0"/>
        <w:rPr>
          <w:rFonts w:hint="eastAsia" w:ascii="宋体" w:hAnsi="宋体" w:eastAsia="宋体" w:cs="宋体"/>
          <w:highlight w:val="none"/>
          <w:lang w:val="en-US"/>
        </w:rPr>
      </w:pPr>
    </w:p>
    <w:tbl>
      <w:tblPr>
        <w:tblStyle w:val="23"/>
        <w:tblpPr w:leftFromText="180" w:rightFromText="180" w:vertAnchor="text" w:horzAnchor="page" w:tblpX="1624" w:tblpY="1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280"/>
      </w:tblGrid>
      <w:tr w14:paraId="5400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10" w:type="dxa"/>
            <w:tcBorders>
              <w:top w:val="single" w:color="auto" w:sz="4" w:space="0"/>
              <w:left w:val="single" w:color="auto" w:sz="4" w:space="0"/>
              <w:bottom w:val="single" w:color="auto" w:sz="4" w:space="0"/>
              <w:right w:val="single" w:color="auto" w:sz="4" w:space="0"/>
            </w:tcBorders>
            <w:vAlign w:val="center"/>
          </w:tcPr>
          <w:p w14:paraId="3385C3B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73" w:type="dxa"/>
            <w:tcBorders>
              <w:top w:val="single" w:color="auto" w:sz="4" w:space="0"/>
              <w:left w:val="single" w:color="auto" w:sz="4" w:space="0"/>
              <w:bottom w:val="single" w:color="auto" w:sz="4" w:space="0"/>
              <w:right w:val="single" w:color="auto" w:sz="4" w:space="0"/>
            </w:tcBorders>
            <w:vAlign w:val="center"/>
          </w:tcPr>
          <w:p w14:paraId="55B72E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项目组所任职务</w:t>
            </w:r>
          </w:p>
        </w:tc>
        <w:tc>
          <w:tcPr>
            <w:tcW w:w="1053" w:type="dxa"/>
            <w:tcBorders>
              <w:top w:val="single" w:color="auto" w:sz="4" w:space="0"/>
              <w:left w:val="single" w:color="auto" w:sz="4" w:space="0"/>
              <w:bottom w:val="single" w:color="auto" w:sz="4" w:space="0"/>
              <w:right w:val="single" w:color="auto" w:sz="4" w:space="0"/>
            </w:tcBorders>
            <w:vAlign w:val="center"/>
          </w:tcPr>
          <w:p w14:paraId="5D2D496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14:paraId="713AC34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796" w:type="dxa"/>
            <w:tcBorders>
              <w:top w:val="single" w:color="auto" w:sz="4" w:space="0"/>
              <w:left w:val="single" w:color="auto" w:sz="4" w:space="0"/>
              <w:bottom w:val="single" w:color="auto" w:sz="4" w:space="0"/>
              <w:right w:val="single" w:color="auto" w:sz="4" w:space="0"/>
            </w:tcBorders>
            <w:vAlign w:val="center"/>
          </w:tcPr>
          <w:p w14:paraId="680C5E0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753" w:type="dxa"/>
            <w:tcBorders>
              <w:top w:val="single" w:color="auto" w:sz="4" w:space="0"/>
              <w:left w:val="single" w:color="auto" w:sz="4" w:space="0"/>
              <w:bottom w:val="single" w:color="auto" w:sz="4" w:space="0"/>
              <w:right w:val="single" w:color="auto" w:sz="4" w:space="0"/>
            </w:tcBorders>
            <w:vAlign w:val="center"/>
          </w:tcPr>
          <w:p w14:paraId="1106939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381" w:type="dxa"/>
            <w:tcBorders>
              <w:top w:val="single" w:color="auto" w:sz="4" w:space="0"/>
              <w:left w:val="single" w:color="auto" w:sz="4" w:space="0"/>
              <w:bottom w:val="single" w:color="auto" w:sz="4" w:space="0"/>
              <w:right w:val="single" w:color="auto" w:sz="4" w:space="0"/>
            </w:tcBorders>
            <w:vAlign w:val="center"/>
          </w:tcPr>
          <w:p w14:paraId="2108C28F">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专业/资格</w:t>
            </w:r>
          </w:p>
        </w:tc>
        <w:tc>
          <w:tcPr>
            <w:tcW w:w="1243" w:type="dxa"/>
            <w:tcBorders>
              <w:top w:val="single" w:color="auto" w:sz="4" w:space="0"/>
              <w:left w:val="single" w:color="auto" w:sz="4" w:space="0"/>
              <w:bottom w:val="single" w:color="auto" w:sz="4" w:space="0"/>
              <w:right w:val="single" w:color="auto" w:sz="4" w:space="0"/>
            </w:tcBorders>
            <w:vAlign w:val="center"/>
          </w:tcPr>
          <w:p w14:paraId="18C037C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c>
          <w:tcPr>
            <w:tcW w:w="1280" w:type="dxa"/>
            <w:tcBorders>
              <w:top w:val="single" w:color="auto" w:sz="4" w:space="0"/>
              <w:left w:val="single" w:color="auto" w:sz="4" w:space="0"/>
              <w:bottom w:val="single" w:color="auto" w:sz="4" w:space="0"/>
              <w:right w:val="single" w:color="auto" w:sz="4" w:space="0"/>
            </w:tcBorders>
            <w:vAlign w:val="center"/>
          </w:tcPr>
          <w:p w14:paraId="47A33043">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典型业务</w:t>
            </w:r>
          </w:p>
          <w:p w14:paraId="7EB9FD4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与技术专长</w:t>
            </w:r>
          </w:p>
        </w:tc>
      </w:tr>
      <w:tr w14:paraId="7CF30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1F14B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73" w:type="dxa"/>
            <w:tcBorders>
              <w:top w:val="single" w:color="auto" w:sz="4" w:space="0"/>
              <w:left w:val="single" w:color="auto" w:sz="4" w:space="0"/>
              <w:bottom w:val="single" w:color="auto" w:sz="4" w:space="0"/>
              <w:right w:val="single" w:color="auto" w:sz="4" w:space="0"/>
            </w:tcBorders>
            <w:vAlign w:val="center"/>
          </w:tcPr>
          <w:p w14:paraId="25B0051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5250E2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3ABC754">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0D2C8F7">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B5A3F7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B33EAB6">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F9CED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769160">
            <w:pPr>
              <w:pStyle w:val="14"/>
              <w:jc w:val="center"/>
              <w:rPr>
                <w:rFonts w:hint="eastAsia" w:ascii="宋体" w:hAnsi="宋体" w:eastAsia="宋体" w:cs="宋体"/>
                <w:sz w:val="21"/>
                <w:szCs w:val="21"/>
                <w:highlight w:val="none"/>
              </w:rPr>
            </w:pPr>
          </w:p>
        </w:tc>
      </w:tr>
      <w:tr w14:paraId="1465E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7A4488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73" w:type="dxa"/>
            <w:tcBorders>
              <w:top w:val="single" w:color="auto" w:sz="4" w:space="0"/>
              <w:left w:val="single" w:color="auto" w:sz="4" w:space="0"/>
              <w:bottom w:val="single" w:color="auto" w:sz="4" w:space="0"/>
              <w:right w:val="single" w:color="auto" w:sz="4" w:space="0"/>
            </w:tcBorders>
            <w:vAlign w:val="center"/>
          </w:tcPr>
          <w:p w14:paraId="702C907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0AFAF727">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A529F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B09AD94">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420B60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CA7F78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9680B8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B98E0D3">
            <w:pPr>
              <w:pStyle w:val="14"/>
              <w:jc w:val="center"/>
              <w:rPr>
                <w:rFonts w:hint="eastAsia" w:ascii="宋体" w:hAnsi="宋体" w:eastAsia="宋体" w:cs="宋体"/>
                <w:sz w:val="21"/>
                <w:szCs w:val="21"/>
                <w:highlight w:val="none"/>
              </w:rPr>
            </w:pPr>
          </w:p>
        </w:tc>
      </w:tr>
      <w:tr w14:paraId="0A4A2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BB899A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73" w:type="dxa"/>
            <w:tcBorders>
              <w:top w:val="single" w:color="auto" w:sz="4" w:space="0"/>
              <w:left w:val="single" w:color="auto" w:sz="4" w:space="0"/>
              <w:bottom w:val="single" w:color="auto" w:sz="4" w:space="0"/>
              <w:right w:val="single" w:color="auto" w:sz="4" w:space="0"/>
            </w:tcBorders>
            <w:vAlign w:val="center"/>
          </w:tcPr>
          <w:p w14:paraId="30FA0B40">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C382865">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CA98941">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31A432E">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F47A06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10E6FDD">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16CECA62">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E158B4">
            <w:pPr>
              <w:pStyle w:val="14"/>
              <w:jc w:val="center"/>
              <w:rPr>
                <w:rFonts w:hint="eastAsia" w:ascii="宋体" w:hAnsi="宋体" w:eastAsia="宋体" w:cs="宋体"/>
                <w:sz w:val="21"/>
                <w:szCs w:val="21"/>
                <w:highlight w:val="none"/>
              </w:rPr>
            </w:pPr>
          </w:p>
        </w:tc>
      </w:tr>
      <w:tr w14:paraId="6265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8ECF7C8">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73" w:type="dxa"/>
            <w:tcBorders>
              <w:top w:val="single" w:color="auto" w:sz="4" w:space="0"/>
              <w:left w:val="single" w:color="auto" w:sz="4" w:space="0"/>
              <w:bottom w:val="single" w:color="auto" w:sz="4" w:space="0"/>
              <w:right w:val="single" w:color="auto" w:sz="4" w:space="0"/>
            </w:tcBorders>
            <w:vAlign w:val="center"/>
          </w:tcPr>
          <w:p w14:paraId="1FB550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41DFD">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11BDBC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5E2BCFF">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F6BEE0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BF6226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04CF2BC">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1AE9A5">
            <w:pPr>
              <w:pStyle w:val="14"/>
              <w:jc w:val="center"/>
              <w:rPr>
                <w:rFonts w:hint="eastAsia" w:ascii="宋体" w:hAnsi="宋体" w:eastAsia="宋体" w:cs="宋体"/>
                <w:sz w:val="21"/>
                <w:szCs w:val="21"/>
                <w:highlight w:val="none"/>
              </w:rPr>
            </w:pPr>
          </w:p>
        </w:tc>
      </w:tr>
      <w:tr w14:paraId="4397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0EFB40D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73" w:type="dxa"/>
            <w:tcBorders>
              <w:top w:val="single" w:color="auto" w:sz="4" w:space="0"/>
              <w:left w:val="single" w:color="auto" w:sz="4" w:space="0"/>
              <w:bottom w:val="single" w:color="auto" w:sz="4" w:space="0"/>
              <w:right w:val="single" w:color="auto" w:sz="4" w:space="0"/>
            </w:tcBorders>
            <w:vAlign w:val="center"/>
          </w:tcPr>
          <w:p w14:paraId="5BAA902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1E21832">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721AAA2">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66000F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C726FC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CFCC2C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D64861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7A202B4">
            <w:pPr>
              <w:pStyle w:val="14"/>
              <w:jc w:val="center"/>
              <w:rPr>
                <w:rFonts w:hint="eastAsia" w:ascii="宋体" w:hAnsi="宋体" w:eastAsia="宋体" w:cs="宋体"/>
                <w:sz w:val="21"/>
                <w:szCs w:val="21"/>
                <w:highlight w:val="none"/>
              </w:rPr>
            </w:pPr>
          </w:p>
        </w:tc>
      </w:tr>
      <w:tr w14:paraId="7E5E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2631BC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73" w:type="dxa"/>
            <w:tcBorders>
              <w:top w:val="single" w:color="auto" w:sz="4" w:space="0"/>
              <w:left w:val="single" w:color="auto" w:sz="4" w:space="0"/>
              <w:bottom w:val="single" w:color="auto" w:sz="4" w:space="0"/>
              <w:right w:val="single" w:color="auto" w:sz="4" w:space="0"/>
            </w:tcBorders>
            <w:vAlign w:val="center"/>
          </w:tcPr>
          <w:p w14:paraId="725466E1">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0A2FC24">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234AE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357B59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5228737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7CAAB0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2FA3AE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8AA83BD">
            <w:pPr>
              <w:pStyle w:val="14"/>
              <w:jc w:val="center"/>
              <w:rPr>
                <w:rFonts w:hint="eastAsia" w:ascii="宋体" w:hAnsi="宋体" w:eastAsia="宋体" w:cs="宋体"/>
                <w:sz w:val="21"/>
                <w:szCs w:val="21"/>
                <w:highlight w:val="none"/>
              </w:rPr>
            </w:pPr>
          </w:p>
        </w:tc>
      </w:tr>
      <w:tr w14:paraId="4072B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5A5FCEC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73" w:type="dxa"/>
            <w:tcBorders>
              <w:top w:val="single" w:color="auto" w:sz="4" w:space="0"/>
              <w:left w:val="single" w:color="auto" w:sz="4" w:space="0"/>
              <w:bottom w:val="single" w:color="auto" w:sz="4" w:space="0"/>
              <w:right w:val="single" w:color="auto" w:sz="4" w:space="0"/>
            </w:tcBorders>
            <w:vAlign w:val="center"/>
          </w:tcPr>
          <w:p w14:paraId="12B2F0C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5AA739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6D8602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A5B1EA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7B081EC8">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38D001C">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F701AD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922A36F">
            <w:pPr>
              <w:pStyle w:val="14"/>
              <w:jc w:val="center"/>
              <w:rPr>
                <w:rFonts w:hint="eastAsia" w:ascii="宋体" w:hAnsi="宋体" w:eastAsia="宋体" w:cs="宋体"/>
                <w:sz w:val="21"/>
                <w:szCs w:val="21"/>
                <w:highlight w:val="none"/>
              </w:rPr>
            </w:pPr>
          </w:p>
        </w:tc>
      </w:tr>
      <w:tr w14:paraId="78870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2237505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73" w:type="dxa"/>
            <w:tcBorders>
              <w:top w:val="single" w:color="auto" w:sz="4" w:space="0"/>
              <w:left w:val="single" w:color="auto" w:sz="4" w:space="0"/>
              <w:bottom w:val="single" w:color="auto" w:sz="4" w:space="0"/>
              <w:right w:val="single" w:color="auto" w:sz="4" w:space="0"/>
            </w:tcBorders>
            <w:vAlign w:val="center"/>
          </w:tcPr>
          <w:p w14:paraId="2C5AADE3">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370769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4229F9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BA486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2E4F4357">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32CB1C2">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2331A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302D8CB">
            <w:pPr>
              <w:pStyle w:val="14"/>
              <w:jc w:val="center"/>
              <w:rPr>
                <w:rFonts w:hint="eastAsia" w:ascii="宋体" w:hAnsi="宋体" w:eastAsia="宋体" w:cs="宋体"/>
                <w:sz w:val="21"/>
                <w:szCs w:val="21"/>
                <w:highlight w:val="none"/>
              </w:rPr>
            </w:pPr>
          </w:p>
        </w:tc>
      </w:tr>
      <w:tr w14:paraId="2451E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30AD96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173" w:type="dxa"/>
            <w:tcBorders>
              <w:top w:val="single" w:color="auto" w:sz="4" w:space="0"/>
              <w:left w:val="single" w:color="auto" w:sz="4" w:space="0"/>
              <w:bottom w:val="single" w:color="auto" w:sz="4" w:space="0"/>
              <w:right w:val="single" w:color="auto" w:sz="4" w:space="0"/>
            </w:tcBorders>
            <w:vAlign w:val="center"/>
          </w:tcPr>
          <w:p w14:paraId="0F7FF2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11514C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A184E83">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4C22621">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30F082E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0B426B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E7B1B2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012F5C4">
            <w:pPr>
              <w:pStyle w:val="14"/>
              <w:jc w:val="center"/>
              <w:rPr>
                <w:rFonts w:hint="eastAsia" w:ascii="宋体" w:hAnsi="宋体" w:eastAsia="宋体" w:cs="宋体"/>
                <w:sz w:val="21"/>
                <w:szCs w:val="21"/>
                <w:highlight w:val="none"/>
              </w:rPr>
            </w:pPr>
          </w:p>
        </w:tc>
      </w:tr>
      <w:tr w14:paraId="67A9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6303675">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173" w:type="dxa"/>
            <w:tcBorders>
              <w:top w:val="single" w:color="auto" w:sz="4" w:space="0"/>
              <w:left w:val="single" w:color="auto" w:sz="4" w:space="0"/>
              <w:bottom w:val="single" w:color="auto" w:sz="4" w:space="0"/>
              <w:right w:val="single" w:color="auto" w:sz="4" w:space="0"/>
            </w:tcBorders>
            <w:vAlign w:val="center"/>
          </w:tcPr>
          <w:p w14:paraId="4EC0DCC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D11A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6088ED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E714E32">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65849E62">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14FA8F0">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49655CD">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174247E">
            <w:pPr>
              <w:pStyle w:val="14"/>
              <w:jc w:val="center"/>
              <w:rPr>
                <w:rFonts w:hint="eastAsia" w:ascii="宋体" w:hAnsi="宋体" w:eastAsia="宋体" w:cs="宋体"/>
                <w:sz w:val="21"/>
                <w:szCs w:val="21"/>
                <w:highlight w:val="none"/>
              </w:rPr>
            </w:pPr>
          </w:p>
        </w:tc>
      </w:tr>
      <w:tr w14:paraId="648C2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3449BE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173" w:type="dxa"/>
            <w:tcBorders>
              <w:top w:val="single" w:color="auto" w:sz="4" w:space="0"/>
              <w:left w:val="single" w:color="auto" w:sz="4" w:space="0"/>
              <w:bottom w:val="single" w:color="auto" w:sz="4" w:space="0"/>
              <w:right w:val="single" w:color="auto" w:sz="4" w:space="0"/>
            </w:tcBorders>
            <w:vAlign w:val="center"/>
          </w:tcPr>
          <w:p w14:paraId="2D6C466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6FC317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7FD8E37">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3571E0">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939B2D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F2B380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01F888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D7E9BE2">
            <w:pPr>
              <w:pStyle w:val="14"/>
              <w:jc w:val="center"/>
              <w:rPr>
                <w:rFonts w:hint="eastAsia" w:ascii="宋体" w:hAnsi="宋体" w:eastAsia="宋体" w:cs="宋体"/>
                <w:sz w:val="21"/>
                <w:szCs w:val="21"/>
                <w:highlight w:val="none"/>
              </w:rPr>
            </w:pPr>
          </w:p>
        </w:tc>
      </w:tr>
    </w:tbl>
    <w:p w14:paraId="22183931">
      <w:pPr>
        <w:spacing w:line="360" w:lineRule="auto"/>
        <w:ind w:firstLine="220" w:firstLineChars="100"/>
        <w:rPr>
          <w:rFonts w:hint="eastAsia" w:ascii="宋体" w:hAnsi="宋体" w:eastAsia="宋体" w:cs="宋体"/>
          <w:highlight w:val="none"/>
        </w:rPr>
      </w:pPr>
    </w:p>
    <w:p w14:paraId="06BCBA01">
      <w:pPr>
        <w:spacing w:line="360" w:lineRule="auto"/>
        <w:ind w:firstLine="220" w:firstLineChars="100"/>
        <w:rPr>
          <w:rFonts w:hint="eastAsia" w:ascii="宋体" w:hAnsi="宋体" w:eastAsia="宋体" w:cs="宋体"/>
          <w:highlight w:val="none"/>
        </w:rPr>
      </w:pPr>
      <w:r>
        <w:rPr>
          <w:rFonts w:hint="eastAsia" w:ascii="宋体" w:hAnsi="宋体" w:eastAsia="宋体" w:cs="宋体"/>
          <w:highlight w:val="none"/>
        </w:rPr>
        <w:t>注：1、“项目组人员”指投标人完成本项目所配备的人员。</w:t>
      </w:r>
    </w:p>
    <w:p w14:paraId="559D0EFF">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2、各专业人员简历中附身份证、职称证（</w:t>
      </w:r>
      <w:r>
        <w:rPr>
          <w:rFonts w:hint="eastAsia" w:ascii="宋体" w:hAnsi="宋体" w:eastAsia="宋体" w:cs="宋体"/>
          <w:highlight w:val="none"/>
          <w:lang w:val="en-US"/>
        </w:rPr>
        <w:t>如有</w:t>
      </w:r>
      <w:r>
        <w:rPr>
          <w:rFonts w:hint="eastAsia" w:ascii="宋体" w:hAnsi="宋体" w:eastAsia="宋体" w:cs="宋体"/>
          <w:highlight w:val="none"/>
        </w:rPr>
        <w:t>）、执业注册证（如有）、上岗证、本单位社保证明及业绩等相关证明材料原件的扫描件；</w:t>
      </w:r>
    </w:p>
    <w:p w14:paraId="43608A76">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3、表格不够填写可添加。</w:t>
      </w:r>
    </w:p>
    <w:p w14:paraId="5DAC219A">
      <w:pPr>
        <w:pStyle w:val="5"/>
        <w:ind w:firstLine="562"/>
        <w:rPr>
          <w:rFonts w:hint="eastAsia" w:ascii="宋体" w:hAnsi="宋体" w:eastAsia="宋体" w:cs="宋体"/>
          <w:b/>
          <w:color w:val="000000" w:themeColor="text1"/>
          <w:highlight w:val="none"/>
          <w14:textFill>
            <w14:solidFill>
              <w14:schemeClr w14:val="tx1"/>
            </w14:solidFill>
          </w14:textFill>
        </w:rPr>
      </w:pPr>
    </w:p>
    <w:p w14:paraId="67D7459F">
      <w:pPr>
        <w:pStyle w:val="5"/>
        <w:ind w:firstLine="0" w:firstLineChars="0"/>
        <w:rPr>
          <w:rFonts w:hint="eastAsia" w:ascii="宋体" w:hAnsi="宋体" w:eastAsia="宋体" w:cs="宋体"/>
          <w:highlight w:val="none"/>
          <w:lang w:val="en-US"/>
        </w:rPr>
      </w:pPr>
    </w:p>
    <w:p w14:paraId="5F52CC15">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73AA1030">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1FB9FB7B">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269D57C">
      <w:pPr>
        <w:pStyle w:val="10"/>
        <w:rPr>
          <w:rFonts w:hint="eastAsia" w:ascii="宋体" w:hAnsi="宋体" w:eastAsia="宋体" w:cs="宋体"/>
          <w:sz w:val="20"/>
          <w:highlight w:val="none"/>
        </w:rPr>
      </w:pPr>
    </w:p>
    <w:p w14:paraId="567C98F7">
      <w:pPr>
        <w:pStyle w:val="10"/>
        <w:rPr>
          <w:rFonts w:hint="eastAsia" w:ascii="宋体" w:hAnsi="宋体" w:eastAsia="宋体" w:cs="宋体"/>
          <w:sz w:val="20"/>
          <w:highlight w:val="none"/>
        </w:rPr>
      </w:pPr>
    </w:p>
    <w:p w14:paraId="42D8575C">
      <w:pPr>
        <w:pStyle w:val="10"/>
        <w:spacing w:before="7"/>
        <w:rPr>
          <w:rFonts w:hint="eastAsia" w:ascii="宋体" w:hAnsi="宋体" w:eastAsia="宋体" w:cs="宋体"/>
          <w:sz w:val="17"/>
          <w:highlight w:val="none"/>
        </w:rPr>
      </w:pPr>
    </w:p>
    <w:p w14:paraId="1AB67E95">
      <w:pPr>
        <w:pStyle w:val="10"/>
        <w:rPr>
          <w:rFonts w:hint="eastAsia" w:ascii="宋体" w:hAnsi="宋体" w:eastAsia="宋体" w:cs="宋体"/>
          <w:sz w:val="20"/>
          <w:highlight w:val="none"/>
        </w:rPr>
      </w:pPr>
    </w:p>
    <w:p w14:paraId="3C7E1380">
      <w:pPr>
        <w:pStyle w:val="10"/>
        <w:spacing w:before="1"/>
        <w:rPr>
          <w:rFonts w:hint="eastAsia" w:ascii="宋体" w:hAnsi="宋体" w:eastAsia="宋体" w:cs="宋体"/>
          <w:sz w:val="26"/>
          <w:highlight w:val="none"/>
        </w:rPr>
      </w:pPr>
    </w:p>
    <w:p w14:paraId="0A9C3D09">
      <w:pPr>
        <w:spacing w:before="62"/>
        <w:ind w:left="35" w:right="199"/>
        <w:jc w:val="center"/>
        <w:rPr>
          <w:rFonts w:hint="eastAsia" w:ascii="宋体" w:hAnsi="宋体" w:eastAsia="宋体" w:cs="宋体"/>
          <w:sz w:val="28"/>
          <w:highlight w:val="none"/>
        </w:rPr>
      </w:pPr>
      <w:bookmarkStart w:id="109" w:name="_TOC_250005"/>
      <w:bookmarkEnd w:id="109"/>
    </w:p>
    <w:p w14:paraId="142E9014">
      <w:pPr>
        <w:numPr>
          <w:ilvl w:val="0"/>
          <w:numId w:val="64"/>
        </w:numPr>
        <w:spacing w:before="62"/>
        <w:ind w:left="35" w:right="199"/>
        <w:jc w:val="center"/>
        <w:rPr>
          <w:rFonts w:hint="eastAsia" w:ascii="宋体" w:hAnsi="宋体" w:eastAsia="宋体" w:cs="宋体"/>
          <w:sz w:val="28"/>
          <w:highlight w:val="none"/>
        </w:rPr>
      </w:pPr>
      <w:r>
        <w:rPr>
          <w:rFonts w:hint="eastAsia" w:ascii="宋体" w:hAnsi="宋体" w:eastAsia="宋体" w:cs="宋体"/>
          <w:sz w:val="28"/>
          <w:highlight w:val="none"/>
        </w:rPr>
        <w:t>其他资料</w:t>
      </w:r>
    </w:p>
    <w:p w14:paraId="365CD207">
      <w:pPr>
        <w:pStyle w:val="22"/>
        <w:ind w:firstLine="0" w:firstLineChars="0"/>
        <w:rPr>
          <w:rFonts w:hint="eastAsia" w:ascii="宋体" w:hAnsi="宋体" w:eastAsia="宋体" w:cs="宋体"/>
          <w:highlight w:val="none"/>
        </w:rPr>
      </w:pPr>
    </w:p>
    <w:p w14:paraId="0ABA5E35">
      <w:pPr>
        <w:widowControl/>
        <w:jc w:val="center"/>
        <w:rPr>
          <w:rFonts w:hint="eastAsia" w:ascii="宋体" w:hAnsi="宋体" w:eastAsia="宋体" w:cs="宋体"/>
          <w:highlight w:val="none"/>
        </w:rPr>
      </w:pPr>
      <w:r>
        <w:rPr>
          <w:rFonts w:hint="eastAsia" w:ascii="宋体" w:hAnsi="宋体" w:eastAsia="宋体" w:cs="宋体"/>
          <w:b/>
          <w:szCs w:val="21"/>
          <w:highlight w:val="none"/>
          <w:lang w:val="en-US"/>
        </w:rPr>
        <w:t>中小企业声明函（工程）</w:t>
      </w:r>
    </w:p>
    <w:p w14:paraId="6277E69C">
      <w:pPr>
        <w:widowControl/>
        <w:snapToGrid w:val="0"/>
        <w:spacing w:before="100" w:beforeAutospacing="1" w:after="100" w:afterAutospacing="1" w:line="400" w:lineRule="exact"/>
        <w:ind w:firstLine="660" w:firstLineChars="300"/>
        <w:rPr>
          <w:rFonts w:hint="eastAsia" w:ascii="宋体" w:hAnsi="宋体" w:eastAsia="宋体" w:cs="宋体"/>
          <w:szCs w:val="21"/>
          <w:highlight w:val="none"/>
        </w:rPr>
      </w:pPr>
      <w:r>
        <w:rPr>
          <w:rFonts w:hint="eastAsia" w:ascii="宋体" w:hAnsi="宋体" w:eastAsia="宋体" w:cs="宋体"/>
          <w:szCs w:val="21"/>
          <w:highlight w:val="none"/>
          <w:lang w:val="en-US"/>
        </w:rPr>
        <w:t>本公司郑重声明，根据《政府采购促进中小企业发展管理办法》（财库﹝2020﹞46 号）的规定，本公司参加</w:t>
      </w:r>
      <w:r>
        <w:rPr>
          <w:rFonts w:hint="eastAsia" w:ascii="宋体" w:hAnsi="宋体" w:eastAsia="宋体" w:cs="宋体"/>
          <w:szCs w:val="21"/>
          <w:highlight w:val="none"/>
          <w:u w:val="single"/>
          <w:lang w:val="en-US"/>
        </w:rPr>
        <w:t>（单位名称）</w:t>
      </w:r>
      <w:r>
        <w:rPr>
          <w:rFonts w:hint="eastAsia" w:ascii="宋体" w:hAnsi="宋体" w:eastAsia="宋体" w:cs="宋体"/>
          <w:szCs w:val="21"/>
          <w:highlight w:val="none"/>
          <w:lang w:val="en-US"/>
        </w:rPr>
        <w:t>的</w:t>
      </w:r>
      <w:r>
        <w:rPr>
          <w:rFonts w:hint="eastAsia" w:ascii="宋体" w:hAnsi="宋体" w:eastAsia="宋体" w:cs="宋体"/>
          <w:szCs w:val="21"/>
          <w:highlight w:val="none"/>
          <w:u w:val="single"/>
          <w:lang w:val="en-US"/>
        </w:rPr>
        <w:t>（项目名称）</w:t>
      </w:r>
      <w:r>
        <w:rPr>
          <w:rFonts w:hint="eastAsia" w:ascii="宋体" w:hAnsi="宋体" w:eastAsia="宋体" w:cs="宋体"/>
          <w:szCs w:val="21"/>
          <w:highlight w:val="none"/>
          <w:lang w:val="en-US"/>
        </w:rPr>
        <w:t>采购活动，工程的施工单位全部为符合政策要求的中小企业。相关企业的具体情况如下：</w:t>
      </w:r>
    </w:p>
    <w:p w14:paraId="027568CA">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1.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 xml:space="preserve">； </w:t>
      </w:r>
    </w:p>
    <w:p w14:paraId="61E67257">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2.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w:t>
      </w:r>
    </w:p>
    <w:p w14:paraId="43B46874">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w:t>
      </w:r>
    </w:p>
    <w:p w14:paraId="414607FE">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以上企业，不属于大企业的分支机构，不存在控股股东为大企业的情形，也不存在与大企业的负责人为同一人的情形。</w:t>
      </w:r>
    </w:p>
    <w:p w14:paraId="40496DFF">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本企业对上述声明内容的真实性负责。如有虚假，将依法承担相应责任。 </w:t>
      </w:r>
    </w:p>
    <w:p w14:paraId="77767583">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企业名称（盖章）： </w:t>
      </w:r>
    </w:p>
    <w:p w14:paraId="7E411791">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日 期： </w:t>
      </w:r>
    </w:p>
    <w:p w14:paraId="2A2D14BD">
      <w:pPr>
        <w:widowControl/>
        <w:rPr>
          <w:rFonts w:hint="eastAsia" w:ascii="宋体" w:hAnsi="宋体" w:eastAsia="宋体" w:cs="宋体"/>
          <w:b/>
          <w:bCs/>
          <w:color w:val="000000"/>
          <w:sz w:val="11"/>
          <w:szCs w:val="11"/>
          <w:highlight w:val="none"/>
          <w:lang w:val="en-US" w:bidi="ar"/>
        </w:rPr>
      </w:pPr>
    </w:p>
    <w:p w14:paraId="68EFAA3D">
      <w:pPr>
        <w:widowControl/>
        <w:rPr>
          <w:rFonts w:hint="eastAsia" w:ascii="宋体" w:hAnsi="宋体" w:eastAsia="宋体" w:cs="宋体"/>
          <w:b/>
          <w:bCs/>
          <w:color w:val="000000"/>
          <w:sz w:val="11"/>
          <w:szCs w:val="11"/>
          <w:highlight w:val="none"/>
          <w:lang w:val="en-US" w:bidi="ar"/>
        </w:rPr>
      </w:pPr>
    </w:p>
    <w:p w14:paraId="41713B29">
      <w:pPr>
        <w:widowControl/>
        <w:rPr>
          <w:rFonts w:hint="eastAsia" w:ascii="宋体" w:hAnsi="宋体" w:eastAsia="宋体" w:cs="宋体"/>
          <w:b/>
          <w:bCs/>
          <w:color w:val="000000"/>
          <w:sz w:val="11"/>
          <w:szCs w:val="11"/>
          <w:highlight w:val="none"/>
          <w:lang w:val="en-US" w:bidi="ar"/>
        </w:rPr>
      </w:pPr>
    </w:p>
    <w:p w14:paraId="3114D6E2">
      <w:pPr>
        <w:widowControl/>
        <w:rPr>
          <w:rFonts w:hint="eastAsia" w:ascii="宋体" w:hAnsi="宋体" w:eastAsia="宋体" w:cs="宋体"/>
          <w:b/>
          <w:bCs/>
          <w:color w:val="000000"/>
          <w:sz w:val="11"/>
          <w:szCs w:val="11"/>
          <w:highlight w:val="none"/>
          <w:lang w:val="en-US" w:bidi="ar"/>
        </w:rPr>
      </w:pPr>
    </w:p>
    <w:p w14:paraId="7DD72ECF">
      <w:pPr>
        <w:widowControl/>
        <w:rPr>
          <w:rFonts w:hint="eastAsia" w:ascii="宋体" w:hAnsi="宋体" w:eastAsia="宋体" w:cs="宋体"/>
          <w:b/>
          <w:bCs/>
          <w:color w:val="000000"/>
          <w:sz w:val="11"/>
          <w:szCs w:val="11"/>
          <w:highlight w:val="none"/>
          <w:lang w:val="en-US" w:bidi="ar"/>
        </w:rPr>
      </w:pPr>
    </w:p>
    <w:p w14:paraId="4591B79D">
      <w:pPr>
        <w:widowControl/>
        <w:rPr>
          <w:rFonts w:hint="eastAsia" w:ascii="宋体" w:hAnsi="宋体" w:eastAsia="宋体" w:cs="宋体"/>
          <w:b/>
          <w:bCs/>
          <w:color w:val="000000"/>
          <w:sz w:val="11"/>
          <w:szCs w:val="11"/>
          <w:highlight w:val="none"/>
          <w:lang w:val="en-US" w:bidi="ar"/>
        </w:rPr>
      </w:pPr>
    </w:p>
    <w:p w14:paraId="5FFD01D4">
      <w:pPr>
        <w:widowControl/>
        <w:rPr>
          <w:rFonts w:hint="eastAsia" w:ascii="宋体" w:hAnsi="宋体" w:eastAsia="宋体" w:cs="宋体"/>
          <w:b/>
          <w:bCs/>
          <w:color w:val="000000"/>
          <w:sz w:val="11"/>
          <w:szCs w:val="11"/>
          <w:highlight w:val="none"/>
          <w:lang w:val="en-US" w:bidi="ar"/>
        </w:rPr>
      </w:pPr>
    </w:p>
    <w:p w14:paraId="397E54FE">
      <w:pPr>
        <w:widowControl/>
        <w:rPr>
          <w:rFonts w:hint="eastAsia" w:ascii="宋体" w:hAnsi="宋体" w:eastAsia="宋体" w:cs="宋体"/>
          <w:b/>
          <w:bCs/>
          <w:color w:val="000000"/>
          <w:sz w:val="11"/>
          <w:szCs w:val="11"/>
          <w:highlight w:val="none"/>
          <w:lang w:val="en-US" w:bidi="ar"/>
        </w:rPr>
      </w:pPr>
    </w:p>
    <w:p w14:paraId="106B8F03">
      <w:pPr>
        <w:widowControl/>
        <w:rPr>
          <w:rFonts w:hint="eastAsia" w:ascii="宋体" w:hAnsi="宋体" w:eastAsia="宋体" w:cs="宋体"/>
          <w:b/>
          <w:bCs/>
          <w:color w:val="000000"/>
          <w:sz w:val="11"/>
          <w:szCs w:val="11"/>
          <w:highlight w:val="none"/>
          <w:lang w:val="en-US" w:bidi="ar"/>
        </w:rPr>
      </w:pPr>
    </w:p>
    <w:p w14:paraId="1ECBCB81">
      <w:pPr>
        <w:widowControl/>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bidi="ar"/>
        </w:rPr>
        <w:t xml:space="preserve">1 </w:t>
      </w:r>
      <w:r>
        <w:rPr>
          <w:rFonts w:hint="eastAsia" w:cs="宋体"/>
          <w:b/>
          <w:bCs/>
          <w:color w:val="000000"/>
          <w:sz w:val="21"/>
          <w:szCs w:val="21"/>
          <w:highlight w:val="none"/>
          <w:lang w:val="en-US" w:eastAsia="zh-CN" w:bidi="ar"/>
        </w:rPr>
        <w:t>.</w:t>
      </w:r>
      <w:r>
        <w:rPr>
          <w:rFonts w:hint="eastAsia" w:ascii="宋体" w:hAnsi="宋体" w:eastAsia="宋体" w:cs="宋体"/>
          <w:b/>
          <w:bCs/>
          <w:color w:val="000000"/>
          <w:sz w:val="21"/>
          <w:szCs w:val="21"/>
          <w:highlight w:val="none"/>
          <w:lang w:val="en-US" w:bidi="ar"/>
        </w:rPr>
        <w:t>从业人员、营业收入、资产总额填报上一年度数据，无上一年度数据的新成立企业可不填报。</w:t>
      </w:r>
    </w:p>
    <w:p w14:paraId="651D148C">
      <w:pPr>
        <w:ind w:firstLine="442" w:firstLineChars="200"/>
        <w:rPr>
          <w:rFonts w:hint="eastAsia" w:ascii="宋体" w:hAnsi="宋体" w:eastAsia="宋体" w:cs="宋体"/>
          <w:b/>
          <w:szCs w:val="21"/>
          <w:highlight w:val="none"/>
        </w:rPr>
      </w:pPr>
    </w:p>
    <w:p w14:paraId="1B31569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r>
        <w:rPr>
          <w:rFonts w:hint="eastAsia" w:ascii="宋体" w:hAnsi="宋体" w:eastAsia="宋体" w:cs="宋体"/>
          <w:b/>
          <w:szCs w:val="21"/>
          <w:highlight w:val="none"/>
        </w:rPr>
        <w:br w:type="page"/>
      </w:r>
    </w:p>
    <w:p w14:paraId="1647CE23">
      <w:pPr>
        <w:pStyle w:val="22"/>
        <w:ind w:firstLine="560"/>
        <w:rPr>
          <w:rFonts w:hint="eastAsia" w:ascii="宋体" w:hAnsi="宋体" w:eastAsia="宋体" w:cs="宋体"/>
          <w:sz w:val="28"/>
          <w:highlight w:val="none"/>
        </w:rPr>
        <w:sectPr>
          <w:headerReference r:id="rId25" w:type="default"/>
          <w:footerReference r:id="rId26" w:type="default"/>
          <w:pgSz w:w="11910" w:h="16840"/>
          <w:pgMar w:top="1220" w:right="920" w:bottom="1040" w:left="1320" w:header="882" w:footer="845" w:gutter="0"/>
          <w:cols w:space="720" w:num="1"/>
        </w:sectPr>
      </w:pPr>
    </w:p>
    <w:p w14:paraId="574E64AE">
      <w:pPr>
        <w:pStyle w:val="10"/>
        <w:rPr>
          <w:rFonts w:hint="eastAsia" w:ascii="宋体" w:hAnsi="宋体" w:eastAsia="宋体" w:cs="宋体"/>
          <w:sz w:val="20"/>
          <w:highlight w:val="none"/>
        </w:rPr>
      </w:pPr>
    </w:p>
    <w:p w14:paraId="32C6DCD6">
      <w:pPr>
        <w:pStyle w:val="10"/>
        <w:rPr>
          <w:rFonts w:hint="eastAsia" w:ascii="宋体" w:hAnsi="宋体" w:eastAsia="宋体" w:cs="宋体"/>
          <w:sz w:val="20"/>
          <w:highlight w:val="none"/>
        </w:rPr>
      </w:pPr>
    </w:p>
    <w:p w14:paraId="5E618673">
      <w:pPr>
        <w:pStyle w:val="10"/>
        <w:rPr>
          <w:rFonts w:hint="eastAsia" w:ascii="宋体" w:hAnsi="宋体" w:eastAsia="宋体" w:cs="宋体"/>
          <w:sz w:val="20"/>
          <w:highlight w:val="none"/>
        </w:rPr>
      </w:pPr>
    </w:p>
    <w:p w14:paraId="77564706">
      <w:pPr>
        <w:pStyle w:val="10"/>
        <w:rPr>
          <w:rFonts w:hint="eastAsia" w:ascii="宋体" w:hAnsi="宋体" w:eastAsia="宋体" w:cs="宋体"/>
          <w:sz w:val="20"/>
          <w:highlight w:val="none"/>
        </w:rPr>
      </w:pPr>
    </w:p>
    <w:p w14:paraId="7FE21F3E">
      <w:pPr>
        <w:pStyle w:val="10"/>
        <w:rPr>
          <w:rFonts w:hint="eastAsia" w:ascii="宋体" w:hAnsi="宋体" w:eastAsia="宋体" w:cs="宋体"/>
          <w:sz w:val="20"/>
          <w:highlight w:val="none"/>
        </w:rPr>
      </w:pPr>
    </w:p>
    <w:p w14:paraId="3089913D">
      <w:pPr>
        <w:pStyle w:val="10"/>
        <w:rPr>
          <w:rFonts w:hint="eastAsia" w:ascii="宋体" w:hAnsi="宋体" w:eastAsia="宋体" w:cs="宋体"/>
          <w:sz w:val="20"/>
          <w:highlight w:val="none"/>
        </w:rPr>
      </w:pPr>
    </w:p>
    <w:p w14:paraId="5A12C2D2">
      <w:pPr>
        <w:pStyle w:val="10"/>
        <w:spacing w:before="3"/>
        <w:rPr>
          <w:rFonts w:hint="eastAsia" w:ascii="宋体" w:hAnsi="宋体" w:eastAsia="宋体" w:cs="宋体"/>
          <w:sz w:val="19"/>
          <w:highlight w:val="none"/>
        </w:rPr>
      </w:pPr>
    </w:p>
    <w:p w14:paraId="52F2D550">
      <w:pPr>
        <w:pStyle w:val="10"/>
        <w:tabs>
          <w:tab w:val="left" w:pos="1920"/>
          <w:tab w:val="left" w:pos="4080"/>
        </w:tabs>
        <w:spacing w:before="74"/>
        <w:ind w:right="199"/>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rPr>
        <w:t>（项目名称）</w:t>
      </w:r>
    </w:p>
    <w:p w14:paraId="00C8F3D4">
      <w:pPr>
        <w:pStyle w:val="10"/>
        <w:rPr>
          <w:rFonts w:hint="eastAsia" w:ascii="宋体" w:hAnsi="宋体" w:eastAsia="宋体" w:cs="宋体"/>
          <w:sz w:val="26"/>
          <w:highlight w:val="none"/>
        </w:rPr>
      </w:pPr>
    </w:p>
    <w:p w14:paraId="1B3E485A">
      <w:pPr>
        <w:pStyle w:val="10"/>
        <w:rPr>
          <w:rFonts w:hint="eastAsia" w:ascii="宋体" w:hAnsi="宋体" w:eastAsia="宋体" w:cs="宋体"/>
          <w:sz w:val="26"/>
          <w:highlight w:val="none"/>
        </w:rPr>
      </w:pPr>
    </w:p>
    <w:p w14:paraId="4C9A18AB">
      <w:pPr>
        <w:pStyle w:val="10"/>
        <w:rPr>
          <w:rFonts w:hint="eastAsia" w:ascii="宋体" w:hAnsi="宋体" w:eastAsia="宋体" w:cs="宋体"/>
          <w:sz w:val="26"/>
          <w:highlight w:val="none"/>
        </w:rPr>
      </w:pPr>
    </w:p>
    <w:p w14:paraId="2F337E5B">
      <w:pPr>
        <w:pStyle w:val="10"/>
        <w:rPr>
          <w:rFonts w:hint="eastAsia" w:ascii="宋体" w:hAnsi="宋体" w:eastAsia="宋体" w:cs="宋体"/>
          <w:sz w:val="26"/>
          <w:highlight w:val="none"/>
        </w:rPr>
      </w:pPr>
    </w:p>
    <w:p w14:paraId="0B95CDCE">
      <w:pPr>
        <w:pStyle w:val="10"/>
        <w:spacing w:before="4"/>
        <w:rPr>
          <w:rFonts w:hint="eastAsia" w:ascii="宋体" w:hAnsi="宋体" w:eastAsia="宋体" w:cs="宋体"/>
          <w:sz w:val="35"/>
          <w:highlight w:val="none"/>
        </w:rPr>
      </w:pPr>
    </w:p>
    <w:p w14:paraId="55729C97">
      <w:pPr>
        <w:pStyle w:val="2"/>
        <w:tabs>
          <w:tab w:val="left" w:pos="1637"/>
          <w:tab w:val="left" w:pos="3077"/>
          <w:tab w:val="left" w:pos="4517"/>
        </w:tabs>
        <w:jc w:val="center"/>
        <w:rPr>
          <w:rFonts w:hint="eastAsia" w:ascii="宋体" w:hAnsi="宋体" w:eastAsia="宋体" w:cs="宋体"/>
          <w:highlight w:val="none"/>
        </w:rPr>
      </w:pPr>
      <w:bookmarkStart w:id="110" w:name="投__标__文__件_"/>
      <w:bookmarkEnd w:id="110"/>
      <w:r>
        <w:rPr>
          <w:rFonts w:hint="eastAsia" w:ascii="宋体" w:hAnsi="宋体" w:eastAsia="宋体" w:cs="宋体"/>
          <w:highlight w:val="none"/>
        </w:rPr>
        <w:t>响</w:t>
      </w:r>
      <w:r>
        <w:rPr>
          <w:rFonts w:hint="eastAsia" w:ascii="宋体" w:hAnsi="宋体" w:eastAsia="宋体" w:cs="宋体"/>
          <w:highlight w:val="none"/>
          <w:lang w:val="en-US"/>
        </w:rPr>
        <w:t xml:space="preserve"> </w:t>
      </w:r>
      <w:r>
        <w:rPr>
          <w:rFonts w:hint="eastAsia" w:ascii="宋体" w:hAnsi="宋体" w:eastAsia="宋体" w:cs="宋体"/>
          <w:highlight w:val="none"/>
        </w:rPr>
        <w:t>应</w:t>
      </w:r>
      <w:r>
        <w:rPr>
          <w:rFonts w:hint="eastAsia" w:ascii="宋体" w:hAnsi="宋体" w:eastAsia="宋体" w:cs="宋体"/>
          <w:highlight w:val="none"/>
          <w:lang w:val="en-US"/>
        </w:rPr>
        <w:t xml:space="preserve"> </w:t>
      </w:r>
      <w:r>
        <w:rPr>
          <w:rFonts w:hint="eastAsia" w:ascii="宋体" w:hAnsi="宋体" w:eastAsia="宋体" w:cs="宋体"/>
          <w:highlight w:val="none"/>
        </w:rPr>
        <w:t>文</w:t>
      </w:r>
      <w:r>
        <w:rPr>
          <w:rFonts w:hint="eastAsia" w:ascii="宋体" w:hAnsi="宋体" w:eastAsia="宋体" w:cs="宋体"/>
          <w:highlight w:val="none"/>
          <w:lang w:val="en-US"/>
        </w:rPr>
        <w:t xml:space="preserve"> </w:t>
      </w:r>
      <w:r>
        <w:rPr>
          <w:rFonts w:hint="eastAsia" w:ascii="宋体" w:hAnsi="宋体" w:eastAsia="宋体" w:cs="宋体"/>
          <w:highlight w:val="none"/>
        </w:rPr>
        <w:t>件</w:t>
      </w:r>
    </w:p>
    <w:p w14:paraId="65645F61">
      <w:pPr>
        <w:pStyle w:val="9"/>
        <w:spacing w:before="476"/>
        <w:ind w:left="68" w:right="199"/>
        <w:rPr>
          <w:rFonts w:hint="eastAsia" w:ascii="宋体" w:hAnsi="宋体" w:eastAsia="宋体" w:cs="宋体"/>
          <w:b/>
          <w:bCs/>
          <w:sz w:val="44"/>
          <w:szCs w:val="44"/>
          <w:highlight w:val="none"/>
        </w:rPr>
      </w:pPr>
      <w:bookmarkStart w:id="111" w:name="_TOC_250004"/>
      <w:bookmarkEnd w:id="111"/>
      <w:r>
        <w:rPr>
          <w:rFonts w:hint="eastAsia" w:ascii="宋体" w:hAnsi="宋体" w:eastAsia="宋体" w:cs="宋体"/>
          <w:b/>
          <w:bCs/>
          <w:sz w:val="44"/>
          <w:szCs w:val="44"/>
          <w:highlight w:val="none"/>
        </w:rPr>
        <w:t>（报价文件）</w:t>
      </w:r>
    </w:p>
    <w:p w14:paraId="40DA6445">
      <w:pPr>
        <w:pStyle w:val="10"/>
        <w:rPr>
          <w:rFonts w:hint="eastAsia" w:ascii="宋体" w:hAnsi="宋体" w:eastAsia="宋体" w:cs="宋体"/>
          <w:b/>
          <w:bCs/>
          <w:sz w:val="32"/>
          <w:highlight w:val="none"/>
        </w:rPr>
      </w:pPr>
    </w:p>
    <w:p w14:paraId="0BF4EE0B">
      <w:pPr>
        <w:pStyle w:val="10"/>
        <w:rPr>
          <w:rFonts w:hint="eastAsia" w:ascii="宋体" w:hAnsi="宋体" w:eastAsia="宋体" w:cs="宋体"/>
          <w:sz w:val="32"/>
          <w:highlight w:val="none"/>
        </w:rPr>
      </w:pPr>
    </w:p>
    <w:p w14:paraId="0A6E586C">
      <w:pPr>
        <w:pStyle w:val="10"/>
        <w:rPr>
          <w:rFonts w:hint="eastAsia" w:ascii="宋体" w:hAnsi="宋体" w:eastAsia="宋体" w:cs="宋体"/>
          <w:sz w:val="32"/>
          <w:highlight w:val="none"/>
        </w:rPr>
      </w:pPr>
    </w:p>
    <w:p w14:paraId="3A22DF16">
      <w:pPr>
        <w:pStyle w:val="10"/>
        <w:rPr>
          <w:rFonts w:hint="eastAsia" w:ascii="宋体" w:hAnsi="宋体" w:eastAsia="宋体" w:cs="宋体"/>
          <w:sz w:val="32"/>
          <w:highlight w:val="none"/>
        </w:rPr>
      </w:pPr>
    </w:p>
    <w:p w14:paraId="1B2BC043">
      <w:pPr>
        <w:pStyle w:val="10"/>
        <w:rPr>
          <w:rFonts w:hint="eastAsia" w:ascii="宋体" w:hAnsi="宋体" w:eastAsia="宋体" w:cs="宋体"/>
          <w:sz w:val="32"/>
          <w:highlight w:val="none"/>
        </w:rPr>
      </w:pPr>
    </w:p>
    <w:p w14:paraId="3DACC2F2">
      <w:pPr>
        <w:pStyle w:val="10"/>
        <w:rPr>
          <w:rFonts w:hint="eastAsia" w:ascii="宋体" w:hAnsi="宋体" w:eastAsia="宋体" w:cs="宋体"/>
          <w:sz w:val="32"/>
          <w:highlight w:val="none"/>
        </w:rPr>
      </w:pPr>
    </w:p>
    <w:p w14:paraId="4A599CDB">
      <w:pPr>
        <w:pStyle w:val="10"/>
        <w:rPr>
          <w:rFonts w:hint="eastAsia" w:ascii="宋体" w:hAnsi="宋体" w:eastAsia="宋体" w:cs="宋体"/>
          <w:sz w:val="32"/>
          <w:highlight w:val="none"/>
        </w:rPr>
      </w:pPr>
    </w:p>
    <w:p w14:paraId="65568E67">
      <w:pPr>
        <w:pStyle w:val="10"/>
        <w:rPr>
          <w:rFonts w:hint="eastAsia" w:ascii="宋体" w:hAnsi="宋体" w:eastAsia="宋体" w:cs="宋体"/>
          <w:sz w:val="32"/>
          <w:highlight w:val="none"/>
        </w:rPr>
      </w:pPr>
    </w:p>
    <w:p w14:paraId="583A517D">
      <w:pPr>
        <w:pStyle w:val="10"/>
        <w:rPr>
          <w:rFonts w:hint="eastAsia" w:ascii="宋体" w:hAnsi="宋体" w:eastAsia="宋体" w:cs="宋体"/>
          <w:sz w:val="32"/>
          <w:highlight w:val="none"/>
        </w:rPr>
      </w:pPr>
    </w:p>
    <w:p w14:paraId="1DABE546">
      <w:pPr>
        <w:pStyle w:val="10"/>
        <w:rPr>
          <w:rFonts w:hint="eastAsia" w:ascii="宋体" w:hAnsi="宋体" w:eastAsia="宋体" w:cs="宋体"/>
          <w:sz w:val="32"/>
          <w:highlight w:val="none"/>
        </w:rPr>
      </w:pPr>
    </w:p>
    <w:p w14:paraId="545FB417">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37B9ED07">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法定代表人或其委托代理人：（签字或盖章）</w:t>
      </w:r>
    </w:p>
    <w:p w14:paraId="31F4BB6D">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5277B12D">
      <w:pPr>
        <w:pStyle w:val="10"/>
        <w:rPr>
          <w:rFonts w:hint="eastAsia" w:ascii="宋体" w:hAnsi="宋体" w:eastAsia="宋体" w:cs="宋体"/>
          <w:sz w:val="20"/>
          <w:highlight w:val="none"/>
        </w:rPr>
      </w:pPr>
    </w:p>
    <w:p w14:paraId="088C9CBA">
      <w:pPr>
        <w:pStyle w:val="25"/>
        <w:rPr>
          <w:rFonts w:hint="eastAsia" w:ascii="宋体" w:hAnsi="宋体" w:eastAsia="宋体" w:cs="宋体"/>
          <w:sz w:val="20"/>
          <w:highlight w:val="none"/>
        </w:rPr>
      </w:pPr>
    </w:p>
    <w:p w14:paraId="5696CFB7">
      <w:pPr>
        <w:rPr>
          <w:rFonts w:hint="eastAsia" w:ascii="宋体" w:hAnsi="宋体" w:eastAsia="宋体" w:cs="宋体"/>
          <w:sz w:val="20"/>
          <w:highlight w:val="none"/>
        </w:rPr>
      </w:pPr>
    </w:p>
    <w:p w14:paraId="0D117DD8">
      <w:pPr>
        <w:pStyle w:val="22"/>
        <w:ind w:firstLine="440"/>
        <w:rPr>
          <w:rFonts w:hint="eastAsia" w:ascii="宋体" w:hAnsi="宋体" w:eastAsia="宋体" w:cs="宋体"/>
          <w:highlight w:val="none"/>
        </w:rPr>
      </w:pPr>
    </w:p>
    <w:p w14:paraId="663F01FC">
      <w:pPr>
        <w:pStyle w:val="10"/>
        <w:rPr>
          <w:rFonts w:hint="eastAsia" w:ascii="宋体" w:hAnsi="宋体" w:eastAsia="宋体" w:cs="宋体"/>
          <w:sz w:val="20"/>
          <w:highlight w:val="none"/>
        </w:rPr>
      </w:pPr>
    </w:p>
    <w:p w14:paraId="0EC8484E">
      <w:pPr>
        <w:tabs>
          <w:tab w:val="left" w:pos="1051"/>
        </w:tabs>
        <w:spacing w:before="227"/>
        <w:ind w:right="248"/>
        <w:jc w:val="center"/>
        <w:rPr>
          <w:rFonts w:hint="eastAsia" w:ascii="宋体" w:hAnsi="宋体" w:eastAsia="宋体" w:cs="宋体"/>
          <w:b/>
          <w:sz w:val="30"/>
          <w:highlight w:val="none"/>
        </w:rPr>
      </w:pPr>
      <w:bookmarkStart w:id="112" w:name="_TOC_250003"/>
      <w:bookmarkEnd w:id="112"/>
    </w:p>
    <w:p w14:paraId="788CACAD">
      <w:pPr>
        <w:tabs>
          <w:tab w:val="left" w:pos="1051"/>
        </w:tabs>
        <w:spacing w:before="227"/>
        <w:ind w:right="248"/>
        <w:jc w:val="center"/>
        <w:rPr>
          <w:rFonts w:hint="eastAsia" w:ascii="宋体" w:hAnsi="宋体" w:eastAsia="宋体" w:cs="宋体"/>
          <w:b/>
          <w:sz w:val="30"/>
          <w:highlight w:val="none"/>
        </w:rPr>
      </w:pPr>
    </w:p>
    <w:p w14:paraId="6E4ED245">
      <w:pPr>
        <w:tabs>
          <w:tab w:val="left" w:pos="1051"/>
        </w:tabs>
        <w:spacing w:before="227"/>
        <w:ind w:right="248"/>
        <w:jc w:val="center"/>
        <w:rPr>
          <w:rFonts w:hint="eastAsia" w:ascii="宋体" w:hAnsi="宋体" w:eastAsia="宋体" w:cs="宋体"/>
          <w:b/>
          <w:sz w:val="30"/>
          <w:highlight w:val="none"/>
        </w:rPr>
      </w:pPr>
      <w:r>
        <w:rPr>
          <w:rFonts w:hint="eastAsia" w:ascii="宋体" w:hAnsi="宋体" w:eastAsia="宋体" w:cs="宋体"/>
          <w:b/>
          <w:sz w:val="30"/>
          <w:highlight w:val="none"/>
        </w:rPr>
        <w:t>目</w:t>
      </w:r>
      <w:r>
        <w:rPr>
          <w:rFonts w:hint="eastAsia" w:ascii="宋体" w:hAnsi="宋体" w:eastAsia="宋体" w:cs="宋体"/>
          <w:b/>
          <w:sz w:val="30"/>
          <w:highlight w:val="none"/>
        </w:rPr>
        <w:tab/>
      </w:r>
      <w:r>
        <w:rPr>
          <w:rFonts w:hint="eastAsia" w:ascii="宋体" w:hAnsi="宋体" w:eastAsia="宋体" w:cs="宋体"/>
          <w:b/>
          <w:sz w:val="30"/>
          <w:highlight w:val="none"/>
        </w:rPr>
        <w:t>录</w:t>
      </w:r>
    </w:p>
    <w:p w14:paraId="45E8E997">
      <w:pPr>
        <w:pStyle w:val="10"/>
        <w:spacing w:before="6"/>
        <w:rPr>
          <w:rFonts w:hint="eastAsia" w:ascii="宋体" w:hAnsi="宋体" w:eastAsia="宋体" w:cs="宋体"/>
          <w:b/>
          <w:sz w:val="43"/>
          <w:highlight w:val="none"/>
        </w:rPr>
      </w:pPr>
    </w:p>
    <w:p w14:paraId="7490017A">
      <w:pPr>
        <w:pStyle w:val="10"/>
        <w:spacing w:line="360" w:lineRule="auto"/>
        <w:ind w:left="1894"/>
        <w:rPr>
          <w:rFonts w:hint="eastAsia" w:ascii="宋体" w:hAnsi="宋体" w:eastAsia="宋体" w:cs="宋体"/>
          <w:highlight w:val="none"/>
        </w:rPr>
      </w:pPr>
      <w:r>
        <w:rPr>
          <w:rFonts w:hint="eastAsia" w:ascii="宋体" w:hAnsi="宋体" w:eastAsia="宋体" w:cs="宋体"/>
          <w:highlight w:val="none"/>
        </w:rPr>
        <w:t>一、投标函</w:t>
      </w:r>
    </w:p>
    <w:p w14:paraId="664E71E3">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二、工程量清单</w:t>
      </w:r>
    </w:p>
    <w:p w14:paraId="180AFE3A">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三、合同用款估算表</w:t>
      </w:r>
    </w:p>
    <w:p w14:paraId="6BE34E61">
      <w:pPr>
        <w:pStyle w:val="10"/>
        <w:spacing w:before="132" w:line="360" w:lineRule="auto"/>
        <w:ind w:left="1894" w:right="5369"/>
        <w:rPr>
          <w:rFonts w:hint="eastAsia" w:ascii="宋体" w:hAnsi="宋体" w:eastAsia="宋体" w:cs="宋体"/>
          <w:highlight w:val="none"/>
          <w:lang w:val="en-US"/>
        </w:rPr>
      </w:pPr>
      <w:r>
        <w:rPr>
          <w:rFonts w:hint="eastAsia" w:ascii="宋体" w:hAnsi="宋体" w:eastAsia="宋体" w:cs="宋体"/>
          <w:highlight w:val="none"/>
          <w:lang w:val="en-US"/>
        </w:rPr>
        <w:t>四、最终报价单</w:t>
      </w:r>
    </w:p>
    <w:p w14:paraId="2E24A32B">
      <w:pPr>
        <w:spacing w:line="343" w:lineRule="auto"/>
        <w:rPr>
          <w:rFonts w:hint="eastAsia" w:ascii="宋体" w:hAnsi="宋体" w:eastAsia="宋体" w:cs="宋体"/>
          <w:sz w:val="24"/>
          <w:szCs w:val="24"/>
          <w:highlight w:val="none"/>
        </w:rPr>
      </w:pPr>
    </w:p>
    <w:p w14:paraId="316489C6">
      <w:pPr>
        <w:pStyle w:val="22"/>
        <w:ind w:firstLine="440"/>
        <w:rPr>
          <w:rFonts w:hint="eastAsia" w:ascii="宋体" w:hAnsi="宋体" w:eastAsia="宋体" w:cs="宋体"/>
          <w:highlight w:val="none"/>
          <w:lang w:val="en-US"/>
        </w:rPr>
        <w:sectPr>
          <w:footerReference r:id="rId27" w:type="default"/>
          <w:pgSz w:w="11910" w:h="16840"/>
          <w:pgMar w:top="1220" w:right="920" w:bottom="1040" w:left="1320" w:header="882" w:footer="845" w:gutter="0"/>
          <w:cols w:space="720" w:num="1"/>
        </w:sectPr>
      </w:pPr>
      <w:r>
        <w:rPr>
          <w:rFonts w:hint="eastAsia" w:ascii="宋体" w:hAnsi="宋体" w:eastAsia="宋体" w:cs="宋体"/>
          <w:highlight w:val="none"/>
          <w:lang w:val="en-US"/>
        </w:rPr>
        <w:t xml:space="preserve">       </w:t>
      </w:r>
    </w:p>
    <w:p w14:paraId="6C62E37D">
      <w:pPr>
        <w:pStyle w:val="10"/>
        <w:spacing w:before="4"/>
        <w:rPr>
          <w:rFonts w:hint="eastAsia" w:ascii="宋体" w:hAnsi="宋体" w:eastAsia="宋体" w:cs="宋体"/>
          <w:sz w:val="16"/>
          <w:highlight w:val="none"/>
        </w:rPr>
      </w:pPr>
    </w:p>
    <w:p w14:paraId="1C8BC37C">
      <w:pPr>
        <w:spacing w:before="58"/>
        <w:ind w:left="50" w:right="199"/>
        <w:jc w:val="center"/>
        <w:rPr>
          <w:rFonts w:hint="eastAsia" w:ascii="宋体" w:hAnsi="宋体" w:eastAsia="宋体" w:cs="宋体"/>
          <w:sz w:val="30"/>
          <w:highlight w:val="none"/>
        </w:rPr>
      </w:pPr>
      <w:bookmarkStart w:id="113" w:name="_TOC_250002"/>
      <w:bookmarkEnd w:id="113"/>
      <w:r>
        <w:rPr>
          <w:rFonts w:hint="eastAsia" w:ascii="宋体" w:hAnsi="宋体" w:eastAsia="宋体" w:cs="宋体"/>
          <w:sz w:val="30"/>
          <w:highlight w:val="none"/>
        </w:rPr>
        <w:t>一、投标函</w:t>
      </w:r>
    </w:p>
    <w:p w14:paraId="224A6B34">
      <w:pPr>
        <w:pStyle w:val="10"/>
        <w:rPr>
          <w:rFonts w:hint="eastAsia" w:ascii="宋体" w:hAnsi="宋体" w:eastAsia="宋体" w:cs="宋体"/>
          <w:sz w:val="20"/>
          <w:highlight w:val="none"/>
        </w:rPr>
      </w:pPr>
    </w:p>
    <w:p w14:paraId="7A8993E4">
      <w:pPr>
        <w:pStyle w:val="10"/>
        <w:rPr>
          <w:rFonts w:hint="eastAsia" w:ascii="宋体" w:hAnsi="宋体" w:eastAsia="宋体" w:cs="宋体"/>
          <w:sz w:val="20"/>
          <w:highlight w:val="none"/>
        </w:rPr>
      </w:pPr>
    </w:p>
    <w:p w14:paraId="2D6A8CFC">
      <w:pPr>
        <w:pStyle w:val="10"/>
        <w:rPr>
          <w:rFonts w:hint="eastAsia" w:ascii="宋体" w:hAnsi="宋体" w:eastAsia="宋体" w:cs="宋体"/>
          <w:sz w:val="20"/>
          <w:highlight w:val="none"/>
        </w:rPr>
      </w:pPr>
    </w:p>
    <w:p w14:paraId="3186BA93">
      <w:pPr>
        <w:pStyle w:val="10"/>
        <w:spacing w:before="1"/>
        <w:rPr>
          <w:rFonts w:hint="eastAsia" w:ascii="宋体" w:hAnsi="宋体" w:eastAsia="宋体" w:cs="宋体"/>
          <w:sz w:val="19"/>
          <w:highlight w:val="none"/>
        </w:rPr>
      </w:pPr>
    </w:p>
    <w:p w14:paraId="60BB132E">
      <w:pPr>
        <w:pStyle w:val="10"/>
        <w:tabs>
          <w:tab w:val="left" w:pos="3352"/>
        </w:tabs>
        <w:spacing w:before="74"/>
        <w:ind w:left="471"/>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6B00BA0A">
      <w:pPr>
        <w:pStyle w:val="26"/>
        <w:numPr>
          <w:ilvl w:val="0"/>
          <w:numId w:val="65"/>
        </w:numPr>
        <w:tabs>
          <w:tab w:val="left" w:pos="995"/>
          <w:tab w:val="left" w:pos="1953"/>
          <w:tab w:val="left" w:pos="3273"/>
          <w:tab w:val="left" w:pos="3359"/>
          <w:tab w:val="left" w:pos="4439"/>
          <w:tab w:val="left" w:pos="4833"/>
          <w:tab w:val="left" w:pos="7353"/>
        </w:tabs>
        <w:spacing w:before="213" w:line="312" w:lineRule="auto"/>
        <w:ind w:right="551" w:firstLine="480"/>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（项目名称）施工招标竞争性磋商文件的全部内</w:t>
      </w:r>
      <w:r>
        <w:rPr>
          <w:rFonts w:hint="eastAsia" w:ascii="宋体" w:hAnsi="宋体" w:eastAsia="宋体" w:cs="宋体"/>
          <w:spacing w:val="-32"/>
          <w:sz w:val="24"/>
          <w:highlight w:val="none"/>
        </w:rPr>
        <w:t>容</w:t>
      </w:r>
      <w:r>
        <w:rPr>
          <w:rFonts w:hint="eastAsia" w:ascii="宋体" w:hAnsi="宋体" w:eastAsia="宋体" w:cs="宋体"/>
          <w:spacing w:val="-3"/>
          <w:sz w:val="24"/>
          <w:highlight w:val="none"/>
        </w:rPr>
        <w:t>（</w:t>
      </w:r>
      <w:r>
        <w:rPr>
          <w:rFonts w:hint="eastAsia" w:ascii="宋体" w:hAnsi="宋体" w:eastAsia="宋体" w:cs="宋体"/>
          <w:sz w:val="24"/>
          <w:highlight w:val="none"/>
        </w:rPr>
        <w:t>含补遗书</w:t>
      </w:r>
      <w:r>
        <w:rPr>
          <w:rFonts w:hint="eastAsia" w:ascii="宋体" w:hAnsi="宋体" w:eastAsia="宋体" w:cs="宋体"/>
          <w:spacing w:val="-33"/>
          <w:sz w:val="24"/>
          <w:highlight w:val="none"/>
        </w:rPr>
        <w:t>），</w:t>
      </w:r>
      <w:r>
        <w:rPr>
          <w:rFonts w:hint="eastAsia" w:ascii="宋体" w:hAnsi="宋体" w:eastAsia="宋体" w:cs="宋体"/>
          <w:sz w:val="24"/>
          <w:highlight w:val="none"/>
        </w:rPr>
        <w:t>在考察工程现场后</w:t>
      </w:r>
      <w:r>
        <w:rPr>
          <w:rFonts w:hint="eastAsia" w:ascii="宋体" w:hAnsi="宋体" w:eastAsia="宋体" w:cs="宋体"/>
          <w:spacing w:val="-32"/>
          <w:sz w:val="24"/>
          <w:highlight w:val="none"/>
        </w:rPr>
        <w:t>，</w:t>
      </w:r>
      <w:r>
        <w:rPr>
          <w:rFonts w:hint="eastAsia" w:ascii="宋体" w:hAnsi="宋体" w:eastAsia="宋体" w:cs="宋体"/>
          <w:sz w:val="24"/>
          <w:highlight w:val="none"/>
        </w:rPr>
        <w:t>愿意以人民</w:t>
      </w:r>
      <w:r>
        <w:rPr>
          <w:rFonts w:hint="eastAsia" w:ascii="宋体" w:hAnsi="宋体" w:eastAsia="宋体" w:cs="宋体"/>
          <w:spacing w:val="-32"/>
          <w:sz w:val="24"/>
          <w:highlight w:val="none"/>
        </w:rPr>
        <w:t>币</w:t>
      </w:r>
      <w:r>
        <w:rPr>
          <w:rFonts w:hint="eastAsia" w:ascii="宋体" w:hAnsi="宋体" w:eastAsia="宋体" w:cs="宋体"/>
          <w:sz w:val="24"/>
          <w:highlight w:val="none"/>
        </w:rPr>
        <w:t>（</w:t>
      </w:r>
      <w:r>
        <w:rPr>
          <w:rFonts w:hint="eastAsia" w:ascii="宋体" w:hAnsi="宋体" w:eastAsia="宋体" w:cs="宋体"/>
          <w:spacing w:val="-14"/>
          <w:sz w:val="24"/>
          <w:highlight w:val="none"/>
        </w:rPr>
        <w:t>大</w:t>
      </w:r>
      <w:r>
        <w:rPr>
          <w:rFonts w:hint="eastAsia" w:ascii="宋体" w:hAnsi="宋体" w:eastAsia="宋体" w:cs="宋体"/>
          <w:sz w:val="24"/>
          <w:highlight w:val="none"/>
        </w:rPr>
        <w:t>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）的投标总报价（增值税税率按国家规定的相关税率执行），按合同约定实施和完成承包工程，修补工程中的任何缺陷。</w:t>
      </w:r>
    </w:p>
    <w:p w14:paraId="380B8F10">
      <w:pPr>
        <w:pStyle w:val="26"/>
        <w:numPr>
          <w:ilvl w:val="0"/>
          <w:numId w:val="65"/>
        </w:numPr>
        <w:tabs>
          <w:tab w:val="left" w:pos="995"/>
        </w:tabs>
        <w:spacing w:line="312" w:lineRule="auto"/>
        <w:ind w:right="551"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在合同协议书正式签署生效之前，本投标函连同你方的中标通知书将构成我们</w:t>
      </w:r>
      <w:r>
        <w:rPr>
          <w:rFonts w:hint="eastAsia" w:ascii="宋体" w:hAnsi="宋体" w:eastAsia="宋体" w:cs="宋体"/>
          <w:sz w:val="24"/>
          <w:highlight w:val="none"/>
        </w:rPr>
        <w:t>双方之间共同遵守的文件，对双方具有约束力。</w:t>
      </w:r>
    </w:p>
    <w:p w14:paraId="4FBBA22A">
      <w:pPr>
        <w:pStyle w:val="26"/>
        <w:numPr>
          <w:ilvl w:val="0"/>
          <w:numId w:val="65"/>
        </w:numPr>
        <w:tabs>
          <w:tab w:val="left" w:pos="995"/>
          <w:tab w:val="left" w:pos="5673"/>
        </w:tabs>
        <w:spacing w:before="2"/>
        <w:ind w:left="994" w:hanging="362"/>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3AAEF58F">
      <w:pPr>
        <w:pStyle w:val="10"/>
        <w:spacing w:before="4"/>
        <w:rPr>
          <w:rFonts w:hint="eastAsia" w:ascii="宋体" w:hAnsi="宋体" w:eastAsia="宋体" w:cs="宋体"/>
          <w:sz w:val="38"/>
          <w:highlight w:val="none"/>
        </w:rPr>
      </w:pPr>
    </w:p>
    <w:p w14:paraId="09FBA99F">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497D499C">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rPr>
        <w:t>（签字或盖章</w:t>
      </w:r>
      <w:r>
        <w:rPr>
          <w:rFonts w:hint="eastAsia" w:ascii="宋体" w:hAnsi="宋体" w:eastAsia="宋体" w:cs="宋体"/>
          <w:spacing w:val="-17"/>
          <w:highlight w:val="none"/>
        </w:rPr>
        <w:t>）</w:t>
      </w:r>
    </w:p>
    <w:p w14:paraId="4933B7B3">
      <w:pPr>
        <w:pStyle w:val="10"/>
        <w:tabs>
          <w:tab w:val="left" w:pos="9171"/>
        </w:tabs>
        <w:spacing w:line="312" w:lineRule="auto"/>
        <w:ind w:left="3573" w:right="492"/>
        <w:jc w:val="both"/>
        <w:rPr>
          <w:rFonts w:hint="eastAsia" w:ascii="宋体" w:hAnsi="宋体" w:eastAsia="宋体" w:cs="宋体"/>
          <w:highlight w:val="none"/>
        </w:rPr>
      </w:pP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网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电  </w:t>
      </w:r>
      <w:r>
        <w:rPr>
          <w:rFonts w:hint="eastAsia" w:ascii="宋体" w:hAnsi="宋体" w:eastAsia="宋体" w:cs="宋体"/>
          <w:spacing w:val="119"/>
          <w:highlight w:val="none"/>
        </w:rPr>
        <w:t xml:space="preserve"> </w:t>
      </w:r>
      <w:r>
        <w:rPr>
          <w:rFonts w:hint="eastAsia" w:ascii="宋体" w:hAnsi="宋体" w:eastAsia="宋体" w:cs="宋体"/>
          <w:highlight w:val="none"/>
        </w:rPr>
        <w:t>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传  </w:t>
      </w:r>
      <w:r>
        <w:rPr>
          <w:rFonts w:hint="eastAsia" w:ascii="宋体" w:hAnsi="宋体" w:eastAsia="宋体" w:cs="宋体"/>
          <w:spacing w:val="119"/>
          <w:highlight w:val="none"/>
        </w:rPr>
        <w:t xml:space="preserve"> </w:t>
      </w:r>
      <w:r>
        <w:rPr>
          <w:rFonts w:hint="eastAsia" w:ascii="宋体" w:hAnsi="宋体" w:eastAsia="宋体" w:cs="宋体"/>
          <w:highlight w:val="none"/>
        </w:rPr>
        <w:t>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34"/>
          <w:highlight w:val="none"/>
          <w:u w:val="single"/>
        </w:rPr>
        <w:t xml:space="preserve"> </w:t>
      </w: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60AC9276">
      <w:pPr>
        <w:pStyle w:val="10"/>
        <w:spacing w:before="5"/>
        <w:rPr>
          <w:rFonts w:hint="eastAsia" w:ascii="宋体" w:hAnsi="宋体" w:eastAsia="宋体" w:cs="宋体"/>
          <w:sz w:val="28"/>
          <w:highlight w:val="none"/>
        </w:rPr>
      </w:pPr>
    </w:p>
    <w:p w14:paraId="3A6F03C1">
      <w:pPr>
        <w:pStyle w:val="10"/>
        <w:tabs>
          <w:tab w:val="left" w:pos="5973"/>
          <w:tab w:val="left" w:pos="7053"/>
          <w:tab w:val="left" w:pos="8133"/>
        </w:tabs>
        <w:spacing w:before="74"/>
        <w:ind w:left="489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31E1DF5">
      <w:pPr>
        <w:pStyle w:val="10"/>
        <w:rPr>
          <w:rFonts w:hint="eastAsia" w:ascii="宋体" w:hAnsi="宋体" w:eastAsia="宋体" w:cs="宋体"/>
          <w:sz w:val="20"/>
          <w:highlight w:val="none"/>
        </w:rPr>
      </w:pPr>
    </w:p>
    <w:p w14:paraId="662732A2">
      <w:pPr>
        <w:pStyle w:val="10"/>
        <w:rPr>
          <w:rFonts w:hint="eastAsia" w:ascii="宋体" w:hAnsi="宋体" w:eastAsia="宋体" w:cs="宋体"/>
          <w:sz w:val="20"/>
          <w:highlight w:val="none"/>
        </w:rPr>
      </w:pPr>
    </w:p>
    <w:p w14:paraId="226D864A">
      <w:pPr>
        <w:pStyle w:val="10"/>
        <w:rPr>
          <w:rFonts w:hint="eastAsia" w:ascii="宋体" w:hAnsi="宋体" w:eastAsia="宋体" w:cs="宋体"/>
          <w:sz w:val="20"/>
          <w:highlight w:val="none"/>
        </w:rPr>
      </w:pPr>
    </w:p>
    <w:p w14:paraId="408292DF">
      <w:pPr>
        <w:pStyle w:val="10"/>
        <w:rPr>
          <w:rFonts w:hint="eastAsia" w:ascii="宋体" w:hAnsi="宋体" w:eastAsia="宋体" w:cs="宋体"/>
          <w:sz w:val="20"/>
          <w:highlight w:val="none"/>
        </w:rPr>
      </w:pPr>
    </w:p>
    <w:p w14:paraId="7A8EB1AA">
      <w:pPr>
        <w:pStyle w:val="10"/>
        <w:rPr>
          <w:rFonts w:hint="eastAsia" w:ascii="宋体" w:hAnsi="宋体" w:eastAsia="宋体" w:cs="宋体"/>
          <w:sz w:val="20"/>
          <w:highlight w:val="none"/>
        </w:rPr>
      </w:pPr>
    </w:p>
    <w:p w14:paraId="7E6D47EC">
      <w:pPr>
        <w:pStyle w:val="10"/>
        <w:rPr>
          <w:rFonts w:hint="eastAsia" w:ascii="宋体" w:hAnsi="宋体" w:eastAsia="宋体" w:cs="宋体"/>
          <w:sz w:val="20"/>
          <w:highlight w:val="none"/>
        </w:rPr>
      </w:pPr>
    </w:p>
    <w:p w14:paraId="4D6FF01F">
      <w:pPr>
        <w:pStyle w:val="10"/>
        <w:rPr>
          <w:rFonts w:hint="eastAsia" w:ascii="宋体" w:hAnsi="宋体" w:eastAsia="宋体" w:cs="宋体"/>
          <w:sz w:val="20"/>
          <w:highlight w:val="none"/>
        </w:rPr>
      </w:pPr>
    </w:p>
    <w:p w14:paraId="2532F77E">
      <w:pPr>
        <w:pStyle w:val="10"/>
        <w:rPr>
          <w:rFonts w:hint="eastAsia" w:ascii="宋体" w:hAnsi="宋体" w:eastAsia="宋体" w:cs="宋体"/>
          <w:sz w:val="20"/>
          <w:highlight w:val="none"/>
        </w:rPr>
      </w:pPr>
    </w:p>
    <w:p w14:paraId="2C3872F1">
      <w:pPr>
        <w:pStyle w:val="10"/>
        <w:rPr>
          <w:rFonts w:hint="eastAsia" w:ascii="宋体" w:hAnsi="宋体" w:eastAsia="宋体" w:cs="宋体"/>
          <w:sz w:val="20"/>
          <w:highlight w:val="none"/>
        </w:rPr>
      </w:pPr>
    </w:p>
    <w:p w14:paraId="1B99C78A">
      <w:pPr>
        <w:pStyle w:val="10"/>
        <w:rPr>
          <w:rFonts w:hint="eastAsia" w:ascii="宋体" w:hAnsi="宋体" w:eastAsia="宋体" w:cs="宋体"/>
          <w:sz w:val="20"/>
          <w:highlight w:val="none"/>
        </w:rPr>
      </w:pPr>
    </w:p>
    <w:p w14:paraId="4D614EDC">
      <w:pPr>
        <w:pStyle w:val="10"/>
        <w:rPr>
          <w:rFonts w:hint="eastAsia" w:ascii="宋体" w:hAnsi="宋体" w:eastAsia="宋体" w:cs="宋体"/>
          <w:sz w:val="20"/>
          <w:highlight w:val="none"/>
        </w:rPr>
      </w:pPr>
    </w:p>
    <w:p w14:paraId="724F6308">
      <w:pPr>
        <w:pStyle w:val="10"/>
        <w:rPr>
          <w:rFonts w:hint="eastAsia" w:ascii="宋体" w:hAnsi="宋体" w:eastAsia="宋体" w:cs="宋体"/>
          <w:sz w:val="20"/>
          <w:highlight w:val="none"/>
        </w:rPr>
      </w:pPr>
    </w:p>
    <w:p w14:paraId="385EF6F9">
      <w:pPr>
        <w:pStyle w:val="10"/>
        <w:rPr>
          <w:rFonts w:hint="eastAsia" w:ascii="宋体" w:hAnsi="宋体" w:eastAsia="宋体" w:cs="宋体"/>
          <w:sz w:val="20"/>
          <w:highlight w:val="none"/>
        </w:rPr>
      </w:pPr>
    </w:p>
    <w:p w14:paraId="6933ED8B">
      <w:pPr>
        <w:pStyle w:val="10"/>
        <w:rPr>
          <w:rFonts w:hint="eastAsia" w:ascii="宋体" w:hAnsi="宋体" w:eastAsia="宋体" w:cs="宋体"/>
          <w:sz w:val="20"/>
          <w:highlight w:val="none"/>
        </w:rPr>
      </w:pPr>
    </w:p>
    <w:p w14:paraId="798D1A85">
      <w:pPr>
        <w:pStyle w:val="25"/>
        <w:rPr>
          <w:rFonts w:hint="eastAsia" w:ascii="宋体" w:hAnsi="宋体" w:eastAsia="宋体" w:cs="宋体"/>
          <w:sz w:val="20"/>
          <w:highlight w:val="none"/>
        </w:rPr>
      </w:pPr>
    </w:p>
    <w:p w14:paraId="59347CF6">
      <w:pPr>
        <w:rPr>
          <w:rFonts w:hint="eastAsia" w:ascii="宋体" w:hAnsi="宋体" w:eastAsia="宋体" w:cs="宋体"/>
          <w:sz w:val="20"/>
          <w:highlight w:val="none"/>
        </w:rPr>
      </w:pPr>
    </w:p>
    <w:p w14:paraId="6A05B3A5">
      <w:pPr>
        <w:pStyle w:val="22"/>
        <w:ind w:firstLine="440"/>
        <w:rPr>
          <w:rFonts w:hint="eastAsia" w:ascii="宋体" w:hAnsi="宋体" w:eastAsia="宋体" w:cs="宋体"/>
          <w:highlight w:val="none"/>
        </w:rPr>
      </w:pPr>
    </w:p>
    <w:p w14:paraId="1FC9AE07">
      <w:pPr>
        <w:pStyle w:val="10"/>
        <w:spacing w:before="10"/>
        <w:rPr>
          <w:rFonts w:hint="eastAsia" w:ascii="宋体" w:hAnsi="宋体" w:eastAsia="宋体" w:cs="宋体"/>
          <w:sz w:val="29"/>
          <w:highlight w:val="none"/>
        </w:rPr>
      </w:pPr>
    </w:p>
    <w:p w14:paraId="6C8FFD7B">
      <w:pPr>
        <w:pStyle w:val="10"/>
        <w:spacing w:before="8"/>
        <w:rPr>
          <w:rFonts w:hint="eastAsia" w:ascii="宋体" w:hAnsi="宋体" w:eastAsia="宋体" w:cs="宋体"/>
          <w:sz w:val="5"/>
          <w:highlight w:val="none"/>
        </w:rPr>
      </w:pPr>
    </w:p>
    <w:p w14:paraId="35033F19">
      <w:pPr>
        <w:pStyle w:val="10"/>
        <w:spacing w:before="3"/>
        <w:rPr>
          <w:rFonts w:hint="eastAsia" w:ascii="宋体" w:hAnsi="宋体" w:eastAsia="宋体" w:cs="宋体"/>
          <w:sz w:val="17"/>
          <w:highlight w:val="none"/>
        </w:rPr>
      </w:pPr>
    </w:p>
    <w:p w14:paraId="5400CD0B">
      <w:pPr>
        <w:spacing w:before="62"/>
        <w:ind w:left="2" w:right="397"/>
        <w:jc w:val="center"/>
        <w:rPr>
          <w:rFonts w:hint="eastAsia" w:ascii="宋体" w:hAnsi="宋体" w:eastAsia="宋体" w:cs="宋体"/>
          <w:sz w:val="28"/>
          <w:highlight w:val="none"/>
        </w:rPr>
      </w:pPr>
      <w:bookmarkStart w:id="114" w:name="_TOC_250001"/>
      <w:bookmarkEnd w:id="114"/>
    </w:p>
    <w:p w14:paraId="76E0C7A4">
      <w:pPr>
        <w:spacing w:before="62"/>
        <w:ind w:left="2" w:right="397"/>
        <w:jc w:val="center"/>
        <w:rPr>
          <w:rFonts w:hint="eastAsia" w:ascii="宋体" w:hAnsi="宋体" w:eastAsia="宋体" w:cs="宋体"/>
          <w:sz w:val="28"/>
          <w:highlight w:val="none"/>
        </w:rPr>
      </w:pPr>
      <w:r>
        <w:rPr>
          <w:rFonts w:hint="eastAsia" w:ascii="宋体" w:hAnsi="宋体" w:eastAsia="宋体" w:cs="宋体"/>
          <w:sz w:val="28"/>
          <w:highlight w:val="none"/>
        </w:rPr>
        <w:t>二、工程量清单</w:t>
      </w:r>
    </w:p>
    <w:p w14:paraId="67DB1734">
      <w:pPr>
        <w:pStyle w:val="10"/>
        <w:spacing w:before="2"/>
        <w:rPr>
          <w:rFonts w:hint="eastAsia" w:ascii="宋体" w:hAnsi="宋体" w:eastAsia="宋体" w:cs="宋体"/>
          <w:sz w:val="36"/>
          <w:highlight w:val="none"/>
        </w:rPr>
      </w:pPr>
    </w:p>
    <w:p w14:paraId="27D35BBC">
      <w:pPr>
        <w:pStyle w:val="10"/>
        <w:ind w:left="633"/>
        <w:rPr>
          <w:rFonts w:hint="eastAsia" w:ascii="宋体" w:hAnsi="宋体" w:eastAsia="宋体" w:cs="宋体"/>
          <w:highlight w:val="none"/>
        </w:rPr>
      </w:pPr>
      <w:r>
        <w:rPr>
          <w:rFonts w:hint="eastAsia" w:ascii="宋体" w:hAnsi="宋体" w:eastAsia="宋体" w:cs="宋体"/>
          <w:highlight w:val="none"/>
        </w:rPr>
        <w:t>按照采购人提供的工程量固化清单填入单价。</w:t>
      </w:r>
    </w:p>
    <w:p w14:paraId="2573EFA7">
      <w:pPr>
        <w:rPr>
          <w:rFonts w:hint="eastAsia" w:ascii="宋体" w:hAnsi="宋体" w:eastAsia="宋体" w:cs="宋体"/>
          <w:highlight w:val="none"/>
        </w:rPr>
        <w:sectPr>
          <w:pgSz w:w="11910" w:h="16840"/>
          <w:pgMar w:top="1220" w:right="920" w:bottom="1040" w:left="1320" w:header="882" w:footer="845" w:gutter="0"/>
          <w:cols w:space="720" w:num="1"/>
        </w:sectPr>
      </w:pPr>
    </w:p>
    <w:p w14:paraId="42BDC835">
      <w:pPr>
        <w:pStyle w:val="10"/>
        <w:spacing w:before="6"/>
        <w:rPr>
          <w:rFonts w:hint="eastAsia" w:ascii="宋体" w:hAnsi="宋体" w:eastAsia="宋体" w:cs="宋体"/>
          <w:sz w:val="16"/>
          <w:highlight w:val="none"/>
        </w:rPr>
      </w:pPr>
    </w:p>
    <w:p w14:paraId="01B6AAC2">
      <w:pPr>
        <w:spacing w:before="62"/>
        <w:ind w:left="35" w:right="199"/>
        <w:jc w:val="center"/>
        <w:rPr>
          <w:rFonts w:hint="eastAsia" w:ascii="宋体" w:hAnsi="宋体" w:eastAsia="宋体" w:cs="宋体"/>
          <w:b/>
          <w:sz w:val="28"/>
          <w:highlight w:val="none"/>
        </w:rPr>
      </w:pPr>
      <w:bookmarkStart w:id="115" w:name="_TOC_250000"/>
      <w:bookmarkEnd w:id="115"/>
      <w:r>
        <w:rPr>
          <w:rFonts w:hint="eastAsia" w:ascii="宋体" w:hAnsi="宋体" w:eastAsia="宋体" w:cs="宋体"/>
          <w:b/>
          <w:sz w:val="28"/>
          <w:highlight w:val="none"/>
        </w:rPr>
        <w:t>三、合同用款估算表</w:t>
      </w:r>
    </w:p>
    <w:p w14:paraId="1A76F7C6">
      <w:pPr>
        <w:pStyle w:val="10"/>
        <w:rPr>
          <w:rFonts w:hint="eastAsia" w:ascii="宋体" w:hAnsi="宋体" w:eastAsia="宋体" w:cs="宋体"/>
          <w:b/>
          <w:sz w:val="20"/>
          <w:highlight w:val="none"/>
        </w:rPr>
      </w:pPr>
    </w:p>
    <w:p w14:paraId="1E47337C">
      <w:pPr>
        <w:pStyle w:val="10"/>
        <w:spacing w:before="11"/>
        <w:rPr>
          <w:rFonts w:hint="eastAsia" w:ascii="宋体" w:hAnsi="宋体" w:eastAsia="宋体" w:cs="宋体"/>
          <w:b/>
          <w:sz w:val="10"/>
          <w:highlight w:val="none"/>
        </w:rPr>
      </w:pPr>
    </w:p>
    <w:tbl>
      <w:tblPr>
        <w:tblStyle w:val="23"/>
        <w:tblW w:w="8844"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8"/>
        <w:gridCol w:w="2025"/>
        <w:gridCol w:w="1547"/>
        <w:gridCol w:w="1548"/>
        <w:gridCol w:w="1548"/>
        <w:gridCol w:w="1548"/>
      </w:tblGrid>
      <w:tr w14:paraId="7F9A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restart"/>
          </w:tcPr>
          <w:p w14:paraId="206D1CFD">
            <w:pPr>
              <w:pStyle w:val="27"/>
              <w:rPr>
                <w:rFonts w:hint="eastAsia" w:ascii="宋体" w:hAnsi="宋体" w:eastAsia="宋体" w:cs="宋体"/>
                <w:b/>
                <w:sz w:val="20"/>
                <w:highlight w:val="none"/>
              </w:rPr>
            </w:pPr>
          </w:p>
          <w:p w14:paraId="54A02321">
            <w:pPr>
              <w:pStyle w:val="27"/>
              <w:spacing w:before="8"/>
              <w:rPr>
                <w:rFonts w:hint="eastAsia" w:ascii="宋体" w:hAnsi="宋体" w:eastAsia="宋体" w:cs="宋体"/>
                <w:b/>
                <w:sz w:val="19"/>
                <w:highlight w:val="none"/>
              </w:rPr>
            </w:pPr>
          </w:p>
          <w:p w14:paraId="65EFC016">
            <w:pPr>
              <w:pStyle w:val="27"/>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从开工月算起的时间</w:t>
            </w:r>
          </w:p>
          <w:p w14:paraId="2E2659B3">
            <w:pPr>
              <w:pStyle w:val="27"/>
              <w:rPr>
                <w:rFonts w:hint="eastAsia" w:ascii="宋体" w:hAnsi="宋体" w:eastAsia="宋体" w:cs="宋体"/>
                <w:b/>
                <w:sz w:val="16"/>
                <w:highlight w:val="none"/>
              </w:rPr>
            </w:pPr>
          </w:p>
          <w:p w14:paraId="64583E41">
            <w:pPr>
              <w:pStyle w:val="27"/>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（月）</w:t>
            </w:r>
          </w:p>
        </w:tc>
        <w:tc>
          <w:tcPr>
            <w:tcW w:w="6191" w:type="dxa"/>
            <w:gridSpan w:val="4"/>
          </w:tcPr>
          <w:p w14:paraId="0550BB63">
            <w:pPr>
              <w:pStyle w:val="27"/>
              <w:spacing w:before="11"/>
              <w:rPr>
                <w:rFonts w:hint="eastAsia" w:ascii="宋体" w:hAnsi="宋体" w:eastAsia="宋体" w:cs="宋体"/>
                <w:b/>
                <w:sz w:val="15"/>
                <w:highlight w:val="none"/>
              </w:rPr>
            </w:pPr>
          </w:p>
          <w:p w14:paraId="161C9A40">
            <w:pPr>
              <w:pStyle w:val="27"/>
              <w:ind w:left="2557" w:right="2379"/>
              <w:jc w:val="center"/>
              <w:rPr>
                <w:rFonts w:hint="eastAsia" w:ascii="宋体" w:hAnsi="宋体" w:eastAsia="宋体" w:cs="宋体"/>
                <w:sz w:val="20"/>
                <w:highlight w:val="none"/>
              </w:rPr>
            </w:pPr>
            <w:r>
              <w:rPr>
                <w:rFonts w:hint="eastAsia" w:ascii="宋体" w:hAnsi="宋体" w:eastAsia="宋体" w:cs="宋体"/>
                <w:sz w:val="20"/>
                <w:highlight w:val="none"/>
              </w:rPr>
              <w:t>投标人的估算</w:t>
            </w:r>
          </w:p>
        </w:tc>
      </w:tr>
      <w:tr w14:paraId="1223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68996694">
            <w:pPr>
              <w:rPr>
                <w:rFonts w:hint="eastAsia" w:ascii="宋体" w:hAnsi="宋体" w:eastAsia="宋体" w:cs="宋体"/>
                <w:sz w:val="2"/>
                <w:szCs w:val="2"/>
                <w:highlight w:val="none"/>
              </w:rPr>
            </w:pPr>
          </w:p>
        </w:tc>
        <w:tc>
          <w:tcPr>
            <w:tcW w:w="3095" w:type="dxa"/>
            <w:gridSpan w:val="2"/>
          </w:tcPr>
          <w:p w14:paraId="18565CE5">
            <w:pPr>
              <w:pStyle w:val="27"/>
              <w:spacing w:before="11"/>
              <w:rPr>
                <w:rFonts w:hint="eastAsia" w:ascii="宋体" w:hAnsi="宋体" w:eastAsia="宋体" w:cs="宋体"/>
                <w:b/>
                <w:sz w:val="15"/>
                <w:highlight w:val="none"/>
              </w:rPr>
            </w:pPr>
          </w:p>
          <w:p w14:paraId="4DAC42F0">
            <w:pPr>
              <w:pStyle w:val="27"/>
              <w:tabs>
                <w:tab w:val="left" w:pos="713"/>
              </w:tabs>
              <w:ind w:left="13"/>
              <w:jc w:val="center"/>
              <w:rPr>
                <w:rFonts w:hint="eastAsia" w:ascii="宋体" w:hAnsi="宋体" w:eastAsia="宋体" w:cs="宋体"/>
                <w:sz w:val="20"/>
                <w:highlight w:val="none"/>
              </w:rPr>
            </w:pPr>
            <w:r>
              <w:rPr>
                <w:rFonts w:hint="eastAsia" w:ascii="宋体" w:hAnsi="宋体" w:eastAsia="宋体" w:cs="宋体"/>
                <w:sz w:val="20"/>
                <w:highlight w:val="none"/>
              </w:rPr>
              <w:t>分</w:t>
            </w:r>
            <w:r>
              <w:rPr>
                <w:rFonts w:hint="eastAsia" w:ascii="宋体" w:hAnsi="宋体" w:eastAsia="宋体" w:cs="宋体"/>
                <w:sz w:val="20"/>
                <w:highlight w:val="none"/>
              </w:rPr>
              <w:tab/>
            </w:r>
            <w:r>
              <w:rPr>
                <w:rFonts w:hint="eastAsia" w:ascii="宋体" w:hAnsi="宋体" w:eastAsia="宋体" w:cs="宋体"/>
                <w:sz w:val="20"/>
                <w:highlight w:val="none"/>
              </w:rPr>
              <w:t>期</w:t>
            </w:r>
          </w:p>
        </w:tc>
        <w:tc>
          <w:tcPr>
            <w:tcW w:w="3096" w:type="dxa"/>
            <w:gridSpan w:val="2"/>
          </w:tcPr>
          <w:p w14:paraId="29056799">
            <w:pPr>
              <w:pStyle w:val="27"/>
              <w:spacing w:before="11"/>
              <w:rPr>
                <w:rFonts w:hint="eastAsia" w:ascii="宋体" w:hAnsi="宋体" w:eastAsia="宋体" w:cs="宋体"/>
                <w:b/>
                <w:sz w:val="15"/>
                <w:highlight w:val="none"/>
              </w:rPr>
            </w:pPr>
          </w:p>
          <w:p w14:paraId="1A6B2983">
            <w:pPr>
              <w:pStyle w:val="27"/>
              <w:tabs>
                <w:tab w:val="left" w:pos="714"/>
              </w:tabs>
              <w:ind w:left="14"/>
              <w:jc w:val="center"/>
              <w:rPr>
                <w:rFonts w:hint="eastAsia" w:ascii="宋体" w:hAnsi="宋体" w:eastAsia="宋体" w:cs="宋体"/>
                <w:sz w:val="20"/>
                <w:highlight w:val="none"/>
              </w:rPr>
            </w:pPr>
            <w:r>
              <w:rPr>
                <w:rFonts w:hint="eastAsia" w:ascii="宋体" w:hAnsi="宋体" w:eastAsia="宋体" w:cs="宋体"/>
                <w:sz w:val="20"/>
                <w:highlight w:val="none"/>
              </w:rPr>
              <w:t>累</w:t>
            </w:r>
            <w:r>
              <w:rPr>
                <w:rFonts w:hint="eastAsia" w:ascii="宋体" w:hAnsi="宋体" w:eastAsia="宋体" w:cs="宋体"/>
                <w:sz w:val="20"/>
                <w:highlight w:val="none"/>
              </w:rPr>
              <w:tab/>
            </w:r>
            <w:r>
              <w:rPr>
                <w:rFonts w:hint="eastAsia" w:ascii="宋体" w:hAnsi="宋体" w:eastAsia="宋体" w:cs="宋体"/>
                <w:sz w:val="20"/>
                <w:highlight w:val="none"/>
              </w:rPr>
              <w:t>计</w:t>
            </w:r>
          </w:p>
        </w:tc>
      </w:tr>
      <w:tr w14:paraId="74E7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7477DA6C">
            <w:pPr>
              <w:rPr>
                <w:rFonts w:hint="eastAsia" w:ascii="宋体" w:hAnsi="宋体" w:eastAsia="宋体" w:cs="宋体"/>
                <w:sz w:val="2"/>
                <w:szCs w:val="2"/>
                <w:highlight w:val="none"/>
              </w:rPr>
            </w:pPr>
          </w:p>
        </w:tc>
        <w:tc>
          <w:tcPr>
            <w:tcW w:w="1547" w:type="dxa"/>
          </w:tcPr>
          <w:p w14:paraId="530CD39C">
            <w:pPr>
              <w:pStyle w:val="27"/>
              <w:spacing w:before="11"/>
              <w:rPr>
                <w:rFonts w:hint="eastAsia" w:ascii="宋体" w:hAnsi="宋体" w:eastAsia="宋体" w:cs="宋体"/>
                <w:b/>
                <w:sz w:val="15"/>
                <w:highlight w:val="none"/>
              </w:rPr>
            </w:pPr>
          </w:p>
          <w:p w14:paraId="3128EA41">
            <w:pPr>
              <w:pStyle w:val="27"/>
              <w:ind w:left="273"/>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2A8D42AF">
            <w:pPr>
              <w:pStyle w:val="27"/>
              <w:spacing w:before="11"/>
              <w:rPr>
                <w:rFonts w:hint="eastAsia" w:ascii="宋体" w:hAnsi="宋体" w:eastAsia="宋体" w:cs="宋体"/>
                <w:b/>
                <w:sz w:val="15"/>
                <w:highlight w:val="none"/>
              </w:rPr>
            </w:pPr>
          </w:p>
          <w:p w14:paraId="4C5CEA68">
            <w:pPr>
              <w:pStyle w:val="27"/>
              <w:ind w:left="470" w:right="456"/>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8" w:type="dxa"/>
          </w:tcPr>
          <w:p w14:paraId="429CCE5D">
            <w:pPr>
              <w:pStyle w:val="27"/>
              <w:spacing w:before="11"/>
              <w:rPr>
                <w:rFonts w:hint="eastAsia" w:ascii="宋体" w:hAnsi="宋体" w:eastAsia="宋体" w:cs="宋体"/>
                <w:b/>
                <w:sz w:val="15"/>
                <w:highlight w:val="none"/>
              </w:rPr>
            </w:pPr>
          </w:p>
          <w:p w14:paraId="2840BD78">
            <w:pPr>
              <w:pStyle w:val="27"/>
              <w:ind w:left="274"/>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428FD422">
            <w:pPr>
              <w:pStyle w:val="27"/>
              <w:spacing w:before="11"/>
              <w:rPr>
                <w:rFonts w:hint="eastAsia" w:ascii="宋体" w:hAnsi="宋体" w:eastAsia="宋体" w:cs="宋体"/>
                <w:b/>
                <w:sz w:val="15"/>
                <w:highlight w:val="none"/>
              </w:rPr>
            </w:pPr>
          </w:p>
          <w:p w14:paraId="763A48EF">
            <w:pPr>
              <w:pStyle w:val="27"/>
              <w:ind w:left="490"/>
              <w:rPr>
                <w:rFonts w:hint="eastAsia" w:ascii="宋体" w:hAnsi="宋体" w:eastAsia="宋体" w:cs="宋体"/>
                <w:sz w:val="20"/>
                <w:highlight w:val="none"/>
              </w:rPr>
            </w:pPr>
            <w:r>
              <w:rPr>
                <w:rFonts w:hint="eastAsia" w:ascii="宋体" w:hAnsi="宋体" w:eastAsia="宋体" w:cs="宋体"/>
                <w:sz w:val="20"/>
                <w:highlight w:val="none"/>
              </w:rPr>
              <w:t>（%）</w:t>
            </w:r>
          </w:p>
        </w:tc>
      </w:tr>
      <w:tr w14:paraId="2CE9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4375A89A">
            <w:pPr>
              <w:pStyle w:val="27"/>
              <w:spacing w:before="11"/>
              <w:rPr>
                <w:rFonts w:hint="eastAsia" w:ascii="宋体" w:hAnsi="宋体" w:eastAsia="宋体" w:cs="宋体"/>
                <w:b/>
                <w:sz w:val="15"/>
                <w:highlight w:val="none"/>
              </w:rPr>
            </w:pPr>
          </w:p>
          <w:p w14:paraId="4B5B9A28">
            <w:pPr>
              <w:pStyle w:val="27"/>
              <w:spacing w:before="1"/>
              <w:ind w:left="526"/>
              <w:rPr>
                <w:rFonts w:hint="eastAsia" w:ascii="宋体" w:hAnsi="宋体" w:eastAsia="宋体" w:cs="宋体"/>
                <w:sz w:val="20"/>
                <w:highlight w:val="none"/>
              </w:rPr>
            </w:pPr>
            <w:r>
              <w:rPr>
                <w:rFonts w:hint="eastAsia" w:ascii="宋体" w:hAnsi="宋体" w:eastAsia="宋体" w:cs="宋体"/>
                <w:sz w:val="20"/>
                <w:highlight w:val="none"/>
              </w:rPr>
              <w:t>第一次开工预付款</w:t>
            </w:r>
          </w:p>
        </w:tc>
        <w:tc>
          <w:tcPr>
            <w:tcW w:w="1547" w:type="dxa"/>
          </w:tcPr>
          <w:p w14:paraId="17594DC3">
            <w:pPr>
              <w:pStyle w:val="27"/>
              <w:rPr>
                <w:rFonts w:hint="eastAsia" w:ascii="宋体" w:hAnsi="宋体" w:eastAsia="宋体" w:cs="宋体"/>
                <w:sz w:val="20"/>
                <w:highlight w:val="none"/>
              </w:rPr>
            </w:pPr>
          </w:p>
        </w:tc>
        <w:tc>
          <w:tcPr>
            <w:tcW w:w="1548" w:type="dxa"/>
          </w:tcPr>
          <w:p w14:paraId="0D9D84E2">
            <w:pPr>
              <w:pStyle w:val="27"/>
              <w:rPr>
                <w:rFonts w:hint="eastAsia" w:ascii="宋体" w:hAnsi="宋体" w:eastAsia="宋体" w:cs="宋体"/>
                <w:sz w:val="20"/>
                <w:highlight w:val="none"/>
              </w:rPr>
            </w:pPr>
          </w:p>
        </w:tc>
        <w:tc>
          <w:tcPr>
            <w:tcW w:w="1548" w:type="dxa"/>
          </w:tcPr>
          <w:p w14:paraId="22145880">
            <w:pPr>
              <w:pStyle w:val="27"/>
              <w:rPr>
                <w:rFonts w:hint="eastAsia" w:ascii="宋体" w:hAnsi="宋体" w:eastAsia="宋体" w:cs="宋体"/>
                <w:sz w:val="20"/>
                <w:highlight w:val="none"/>
              </w:rPr>
            </w:pPr>
          </w:p>
        </w:tc>
        <w:tc>
          <w:tcPr>
            <w:tcW w:w="1548" w:type="dxa"/>
          </w:tcPr>
          <w:p w14:paraId="0749D43E">
            <w:pPr>
              <w:pStyle w:val="27"/>
              <w:rPr>
                <w:rFonts w:hint="eastAsia" w:ascii="宋体" w:hAnsi="宋体" w:eastAsia="宋体" w:cs="宋体"/>
                <w:sz w:val="20"/>
                <w:highlight w:val="none"/>
              </w:rPr>
            </w:pPr>
          </w:p>
        </w:tc>
      </w:tr>
      <w:tr w14:paraId="2104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E761015">
            <w:pPr>
              <w:pStyle w:val="27"/>
              <w:spacing w:before="11"/>
              <w:rPr>
                <w:rFonts w:hint="eastAsia" w:ascii="宋体" w:hAnsi="宋体" w:eastAsia="宋体" w:cs="宋体"/>
                <w:b/>
                <w:sz w:val="17"/>
                <w:highlight w:val="none"/>
              </w:rPr>
            </w:pPr>
          </w:p>
          <w:p w14:paraId="7956C98C">
            <w:pPr>
              <w:pStyle w:val="27"/>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 ~ 3</w:t>
            </w:r>
          </w:p>
        </w:tc>
        <w:tc>
          <w:tcPr>
            <w:tcW w:w="1547" w:type="dxa"/>
          </w:tcPr>
          <w:p w14:paraId="5F9D8A6D">
            <w:pPr>
              <w:pStyle w:val="27"/>
              <w:rPr>
                <w:rFonts w:hint="eastAsia" w:ascii="宋体" w:hAnsi="宋体" w:eastAsia="宋体" w:cs="宋体"/>
                <w:sz w:val="20"/>
                <w:highlight w:val="none"/>
              </w:rPr>
            </w:pPr>
          </w:p>
        </w:tc>
        <w:tc>
          <w:tcPr>
            <w:tcW w:w="1548" w:type="dxa"/>
          </w:tcPr>
          <w:p w14:paraId="50CA27C1">
            <w:pPr>
              <w:pStyle w:val="27"/>
              <w:rPr>
                <w:rFonts w:hint="eastAsia" w:ascii="宋体" w:hAnsi="宋体" w:eastAsia="宋体" w:cs="宋体"/>
                <w:sz w:val="20"/>
                <w:highlight w:val="none"/>
              </w:rPr>
            </w:pPr>
          </w:p>
        </w:tc>
        <w:tc>
          <w:tcPr>
            <w:tcW w:w="1548" w:type="dxa"/>
          </w:tcPr>
          <w:p w14:paraId="10E84043">
            <w:pPr>
              <w:pStyle w:val="27"/>
              <w:rPr>
                <w:rFonts w:hint="eastAsia" w:ascii="宋体" w:hAnsi="宋体" w:eastAsia="宋体" w:cs="宋体"/>
                <w:sz w:val="20"/>
                <w:highlight w:val="none"/>
              </w:rPr>
            </w:pPr>
          </w:p>
        </w:tc>
        <w:tc>
          <w:tcPr>
            <w:tcW w:w="1548" w:type="dxa"/>
          </w:tcPr>
          <w:p w14:paraId="6A4BFC47">
            <w:pPr>
              <w:pStyle w:val="27"/>
              <w:rPr>
                <w:rFonts w:hint="eastAsia" w:ascii="宋体" w:hAnsi="宋体" w:eastAsia="宋体" w:cs="宋体"/>
                <w:sz w:val="20"/>
                <w:highlight w:val="none"/>
              </w:rPr>
            </w:pPr>
          </w:p>
        </w:tc>
      </w:tr>
      <w:tr w14:paraId="16A4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4522936">
            <w:pPr>
              <w:pStyle w:val="27"/>
              <w:spacing w:before="11"/>
              <w:rPr>
                <w:rFonts w:hint="eastAsia" w:ascii="宋体" w:hAnsi="宋体" w:eastAsia="宋体" w:cs="宋体"/>
                <w:b/>
                <w:sz w:val="17"/>
                <w:highlight w:val="none"/>
              </w:rPr>
            </w:pPr>
          </w:p>
          <w:p w14:paraId="7BBB5112">
            <w:pPr>
              <w:pStyle w:val="27"/>
              <w:spacing w:before="1"/>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4 ~ 6</w:t>
            </w:r>
          </w:p>
        </w:tc>
        <w:tc>
          <w:tcPr>
            <w:tcW w:w="1547" w:type="dxa"/>
          </w:tcPr>
          <w:p w14:paraId="41C5818E">
            <w:pPr>
              <w:pStyle w:val="27"/>
              <w:rPr>
                <w:rFonts w:hint="eastAsia" w:ascii="宋体" w:hAnsi="宋体" w:eastAsia="宋体" w:cs="宋体"/>
                <w:sz w:val="20"/>
                <w:highlight w:val="none"/>
              </w:rPr>
            </w:pPr>
          </w:p>
        </w:tc>
        <w:tc>
          <w:tcPr>
            <w:tcW w:w="1548" w:type="dxa"/>
          </w:tcPr>
          <w:p w14:paraId="202D7FF8">
            <w:pPr>
              <w:pStyle w:val="27"/>
              <w:rPr>
                <w:rFonts w:hint="eastAsia" w:ascii="宋体" w:hAnsi="宋体" w:eastAsia="宋体" w:cs="宋体"/>
                <w:sz w:val="20"/>
                <w:highlight w:val="none"/>
              </w:rPr>
            </w:pPr>
          </w:p>
        </w:tc>
        <w:tc>
          <w:tcPr>
            <w:tcW w:w="1548" w:type="dxa"/>
          </w:tcPr>
          <w:p w14:paraId="7EA1CA79">
            <w:pPr>
              <w:pStyle w:val="27"/>
              <w:rPr>
                <w:rFonts w:hint="eastAsia" w:ascii="宋体" w:hAnsi="宋体" w:eastAsia="宋体" w:cs="宋体"/>
                <w:sz w:val="20"/>
                <w:highlight w:val="none"/>
              </w:rPr>
            </w:pPr>
          </w:p>
        </w:tc>
        <w:tc>
          <w:tcPr>
            <w:tcW w:w="1548" w:type="dxa"/>
          </w:tcPr>
          <w:p w14:paraId="083D43BB">
            <w:pPr>
              <w:pStyle w:val="27"/>
              <w:rPr>
                <w:rFonts w:hint="eastAsia" w:ascii="宋体" w:hAnsi="宋体" w:eastAsia="宋体" w:cs="宋体"/>
                <w:sz w:val="20"/>
                <w:highlight w:val="none"/>
              </w:rPr>
            </w:pPr>
          </w:p>
        </w:tc>
      </w:tr>
      <w:tr w14:paraId="78AD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E165834">
            <w:pPr>
              <w:pStyle w:val="27"/>
              <w:spacing w:before="12"/>
              <w:rPr>
                <w:rFonts w:hint="eastAsia" w:ascii="宋体" w:hAnsi="宋体" w:eastAsia="宋体" w:cs="宋体"/>
                <w:b/>
                <w:sz w:val="17"/>
                <w:highlight w:val="none"/>
              </w:rPr>
            </w:pPr>
          </w:p>
          <w:p w14:paraId="77C041BA">
            <w:pPr>
              <w:pStyle w:val="27"/>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7 ~ 9</w:t>
            </w:r>
          </w:p>
        </w:tc>
        <w:tc>
          <w:tcPr>
            <w:tcW w:w="1547" w:type="dxa"/>
          </w:tcPr>
          <w:p w14:paraId="36CDC3A8">
            <w:pPr>
              <w:pStyle w:val="27"/>
              <w:rPr>
                <w:rFonts w:hint="eastAsia" w:ascii="宋体" w:hAnsi="宋体" w:eastAsia="宋体" w:cs="宋体"/>
                <w:sz w:val="20"/>
                <w:highlight w:val="none"/>
              </w:rPr>
            </w:pPr>
          </w:p>
        </w:tc>
        <w:tc>
          <w:tcPr>
            <w:tcW w:w="1548" w:type="dxa"/>
          </w:tcPr>
          <w:p w14:paraId="6CA0B57B">
            <w:pPr>
              <w:pStyle w:val="27"/>
              <w:rPr>
                <w:rFonts w:hint="eastAsia" w:ascii="宋体" w:hAnsi="宋体" w:eastAsia="宋体" w:cs="宋体"/>
                <w:sz w:val="20"/>
                <w:highlight w:val="none"/>
              </w:rPr>
            </w:pPr>
          </w:p>
        </w:tc>
        <w:tc>
          <w:tcPr>
            <w:tcW w:w="1548" w:type="dxa"/>
          </w:tcPr>
          <w:p w14:paraId="1E908909">
            <w:pPr>
              <w:pStyle w:val="27"/>
              <w:rPr>
                <w:rFonts w:hint="eastAsia" w:ascii="宋体" w:hAnsi="宋体" w:eastAsia="宋体" w:cs="宋体"/>
                <w:sz w:val="20"/>
                <w:highlight w:val="none"/>
              </w:rPr>
            </w:pPr>
          </w:p>
        </w:tc>
        <w:tc>
          <w:tcPr>
            <w:tcW w:w="1548" w:type="dxa"/>
          </w:tcPr>
          <w:p w14:paraId="0690E858">
            <w:pPr>
              <w:pStyle w:val="27"/>
              <w:rPr>
                <w:rFonts w:hint="eastAsia" w:ascii="宋体" w:hAnsi="宋体" w:eastAsia="宋体" w:cs="宋体"/>
                <w:sz w:val="20"/>
                <w:highlight w:val="none"/>
              </w:rPr>
            </w:pPr>
          </w:p>
        </w:tc>
      </w:tr>
      <w:tr w14:paraId="18AE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535EBC">
            <w:pPr>
              <w:pStyle w:val="27"/>
              <w:spacing w:before="12"/>
              <w:rPr>
                <w:rFonts w:hint="eastAsia" w:ascii="宋体" w:hAnsi="宋体" w:eastAsia="宋体" w:cs="宋体"/>
                <w:b/>
                <w:sz w:val="17"/>
                <w:highlight w:val="none"/>
              </w:rPr>
            </w:pPr>
          </w:p>
          <w:p w14:paraId="26DA1247">
            <w:pPr>
              <w:pStyle w:val="27"/>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10 ~ 12</w:t>
            </w:r>
          </w:p>
        </w:tc>
        <w:tc>
          <w:tcPr>
            <w:tcW w:w="1547" w:type="dxa"/>
          </w:tcPr>
          <w:p w14:paraId="19907E5F">
            <w:pPr>
              <w:pStyle w:val="27"/>
              <w:rPr>
                <w:rFonts w:hint="eastAsia" w:ascii="宋体" w:hAnsi="宋体" w:eastAsia="宋体" w:cs="宋体"/>
                <w:sz w:val="20"/>
                <w:highlight w:val="none"/>
              </w:rPr>
            </w:pPr>
          </w:p>
        </w:tc>
        <w:tc>
          <w:tcPr>
            <w:tcW w:w="1548" w:type="dxa"/>
          </w:tcPr>
          <w:p w14:paraId="33283CFA">
            <w:pPr>
              <w:pStyle w:val="27"/>
              <w:rPr>
                <w:rFonts w:hint="eastAsia" w:ascii="宋体" w:hAnsi="宋体" w:eastAsia="宋体" w:cs="宋体"/>
                <w:sz w:val="20"/>
                <w:highlight w:val="none"/>
              </w:rPr>
            </w:pPr>
          </w:p>
        </w:tc>
        <w:tc>
          <w:tcPr>
            <w:tcW w:w="1548" w:type="dxa"/>
          </w:tcPr>
          <w:p w14:paraId="5F3B47FD">
            <w:pPr>
              <w:pStyle w:val="27"/>
              <w:rPr>
                <w:rFonts w:hint="eastAsia" w:ascii="宋体" w:hAnsi="宋体" w:eastAsia="宋体" w:cs="宋体"/>
                <w:sz w:val="20"/>
                <w:highlight w:val="none"/>
              </w:rPr>
            </w:pPr>
          </w:p>
        </w:tc>
        <w:tc>
          <w:tcPr>
            <w:tcW w:w="1548" w:type="dxa"/>
          </w:tcPr>
          <w:p w14:paraId="3502372F">
            <w:pPr>
              <w:pStyle w:val="27"/>
              <w:rPr>
                <w:rFonts w:hint="eastAsia" w:ascii="宋体" w:hAnsi="宋体" w:eastAsia="宋体" w:cs="宋体"/>
                <w:sz w:val="20"/>
                <w:highlight w:val="none"/>
              </w:rPr>
            </w:pPr>
          </w:p>
        </w:tc>
      </w:tr>
      <w:tr w14:paraId="769D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653" w:type="dxa"/>
            <w:gridSpan w:val="2"/>
          </w:tcPr>
          <w:p w14:paraId="5441761F">
            <w:pPr>
              <w:pStyle w:val="27"/>
              <w:spacing w:before="12"/>
              <w:rPr>
                <w:rFonts w:hint="eastAsia" w:ascii="宋体" w:hAnsi="宋体" w:eastAsia="宋体" w:cs="宋体"/>
                <w:b/>
                <w:sz w:val="17"/>
                <w:highlight w:val="none"/>
              </w:rPr>
            </w:pPr>
          </w:p>
          <w:p w14:paraId="1E648733">
            <w:pPr>
              <w:pStyle w:val="27"/>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13 ~ 15</w:t>
            </w:r>
          </w:p>
        </w:tc>
        <w:tc>
          <w:tcPr>
            <w:tcW w:w="1547" w:type="dxa"/>
          </w:tcPr>
          <w:p w14:paraId="3F4E9DCF">
            <w:pPr>
              <w:pStyle w:val="27"/>
              <w:rPr>
                <w:rFonts w:hint="eastAsia" w:ascii="宋体" w:hAnsi="宋体" w:eastAsia="宋体" w:cs="宋体"/>
                <w:sz w:val="20"/>
                <w:highlight w:val="none"/>
              </w:rPr>
            </w:pPr>
          </w:p>
        </w:tc>
        <w:tc>
          <w:tcPr>
            <w:tcW w:w="1548" w:type="dxa"/>
          </w:tcPr>
          <w:p w14:paraId="6523DD05">
            <w:pPr>
              <w:pStyle w:val="27"/>
              <w:rPr>
                <w:rFonts w:hint="eastAsia" w:ascii="宋体" w:hAnsi="宋体" w:eastAsia="宋体" w:cs="宋体"/>
                <w:sz w:val="20"/>
                <w:highlight w:val="none"/>
              </w:rPr>
            </w:pPr>
          </w:p>
        </w:tc>
        <w:tc>
          <w:tcPr>
            <w:tcW w:w="1548" w:type="dxa"/>
          </w:tcPr>
          <w:p w14:paraId="2329BC56">
            <w:pPr>
              <w:pStyle w:val="27"/>
              <w:rPr>
                <w:rFonts w:hint="eastAsia" w:ascii="宋体" w:hAnsi="宋体" w:eastAsia="宋体" w:cs="宋体"/>
                <w:sz w:val="20"/>
                <w:highlight w:val="none"/>
              </w:rPr>
            </w:pPr>
          </w:p>
        </w:tc>
        <w:tc>
          <w:tcPr>
            <w:tcW w:w="1548" w:type="dxa"/>
          </w:tcPr>
          <w:p w14:paraId="3766B6B0">
            <w:pPr>
              <w:pStyle w:val="27"/>
              <w:rPr>
                <w:rFonts w:hint="eastAsia" w:ascii="宋体" w:hAnsi="宋体" w:eastAsia="宋体" w:cs="宋体"/>
                <w:sz w:val="20"/>
                <w:highlight w:val="none"/>
              </w:rPr>
            </w:pPr>
          </w:p>
        </w:tc>
      </w:tr>
      <w:tr w14:paraId="5FF0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135971">
            <w:pPr>
              <w:pStyle w:val="27"/>
              <w:spacing w:before="12"/>
              <w:rPr>
                <w:rFonts w:hint="eastAsia" w:ascii="宋体" w:hAnsi="宋体" w:eastAsia="宋体" w:cs="宋体"/>
                <w:b/>
                <w:sz w:val="17"/>
                <w:highlight w:val="none"/>
              </w:rPr>
            </w:pPr>
          </w:p>
          <w:p w14:paraId="1ACE4E78">
            <w:pPr>
              <w:pStyle w:val="27"/>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637326DE">
            <w:pPr>
              <w:pStyle w:val="27"/>
              <w:rPr>
                <w:rFonts w:hint="eastAsia" w:ascii="宋体" w:hAnsi="宋体" w:eastAsia="宋体" w:cs="宋体"/>
                <w:sz w:val="20"/>
                <w:highlight w:val="none"/>
              </w:rPr>
            </w:pPr>
          </w:p>
        </w:tc>
        <w:tc>
          <w:tcPr>
            <w:tcW w:w="1548" w:type="dxa"/>
          </w:tcPr>
          <w:p w14:paraId="2F0F63DE">
            <w:pPr>
              <w:pStyle w:val="27"/>
              <w:rPr>
                <w:rFonts w:hint="eastAsia" w:ascii="宋体" w:hAnsi="宋体" w:eastAsia="宋体" w:cs="宋体"/>
                <w:sz w:val="20"/>
                <w:highlight w:val="none"/>
              </w:rPr>
            </w:pPr>
          </w:p>
        </w:tc>
        <w:tc>
          <w:tcPr>
            <w:tcW w:w="1548" w:type="dxa"/>
          </w:tcPr>
          <w:p w14:paraId="0FAB4846">
            <w:pPr>
              <w:pStyle w:val="27"/>
              <w:rPr>
                <w:rFonts w:hint="eastAsia" w:ascii="宋体" w:hAnsi="宋体" w:eastAsia="宋体" w:cs="宋体"/>
                <w:sz w:val="20"/>
                <w:highlight w:val="none"/>
              </w:rPr>
            </w:pPr>
          </w:p>
        </w:tc>
        <w:tc>
          <w:tcPr>
            <w:tcW w:w="1548" w:type="dxa"/>
          </w:tcPr>
          <w:p w14:paraId="5B38F159">
            <w:pPr>
              <w:pStyle w:val="27"/>
              <w:rPr>
                <w:rFonts w:hint="eastAsia" w:ascii="宋体" w:hAnsi="宋体" w:eastAsia="宋体" w:cs="宋体"/>
                <w:sz w:val="20"/>
                <w:highlight w:val="none"/>
              </w:rPr>
            </w:pPr>
          </w:p>
        </w:tc>
      </w:tr>
      <w:tr w14:paraId="5BC8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21115BA">
            <w:pPr>
              <w:pStyle w:val="27"/>
              <w:rPr>
                <w:rFonts w:hint="eastAsia" w:ascii="宋体" w:hAnsi="宋体" w:eastAsia="宋体" w:cs="宋体"/>
                <w:b/>
                <w:sz w:val="18"/>
                <w:highlight w:val="none"/>
              </w:rPr>
            </w:pPr>
          </w:p>
          <w:p w14:paraId="16D56F64">
            <w:pPr>
              <w:pStyle w:val="27"/>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0B11C8BB">
            <w:pPr>
              <w:pStyle w:val="27"/>
              <w:rPr>
                <w:rFonts w:hint="eastAsia" w:ascii="宋体" w:hAnsi="宋体" w:eastAsia="宋体" w:cs="宋体"/>
                <w:sz w:val="20"/>
                <w:highlight w:val="none"/>
              </w:rPr>
            </w:pPr>
          </w:p>
        </w:tc>
        <w:tc>
          <w:tcPr>
            <w:tcW w:w="1548" w:type="dxa"/>
          </w:tcPr>
          <w:p w14:paraId="097235A2">
            <w:pPr>
              <w:pStyle w:val="27"/>
              <w:rPr>
                <w:rFonts w:hint="eastAsia" w:ascii="宋体" w:hAnsi="宋体" w:eastAsia="宋体" w:cs="宋体"/>
                <w:sz w:val="20"/>
                <w:highlight w:val="none"/>
              </w:rPr>
            </w:pPr>
          </w:p>
        </w:tc>
        <w:tc>
          <w:tcPr>
            <w:tcW w:w="1548" w:type="dxa"/>
          </w:tcPr>
          <w:p w14:paraId="250BFE09">
            <w:pPr>
              <w:pStyle w:val="27"/>
              <w:rPr>
                <w:rFonts w:hint="eastAsia" w:ascii="宋体" w:hAnsi="宋体" w:eastAsia="宋体" w:cs="宋体"/>
                <w:sz w:val="20"/>
                <w:highlight w:val="none"/>
              </w:rPr>
            </w:pPr>
          </w:p>
        </w:tc>
        <w:tc>
          <w:tcPr>
            <w:tcW w:w="1548" w:type="dxa"/>
          </w:tcPr>
          <w:p w14:paraId="3DC13761">
            <w:pPr>
              <w:pStyle w:val="27"/>
              <w:rPr>
                <w:rFonts w:hint="eastAsia" w:ascii="宋体" w:hAnsi="宋体" w:eastAsia="宋体" w:cs="宋体"/>
                <w:sz w:val="20"/>
                <w:highlight w:val="none"/>
              </w:rPr>
            </w:pPr>
          </w:p>
        </w:tc>
      </w:tr>
      <w:tr w14:paraId="51AE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3078673">
            <w:pPr>
              <w:pStyle w:val="27"/>
              <w:rPr>
                <w:rFonts w:hint="eastAsia" w:ascii="宋体" w:hAnsi="宋体" w:eastAsia="宋体" w:cs="宋体"/>
                <w:sz w:val="20"/>
                <w:highlight w:val="none"/>
              </w:rPr>
            </w:pPr>
          </w:p>
        </w:tc>
        <w:tc>
          <w:tcPr>
            <w:tcW w:w="1547" w:type="dxa"/>
          </w:tcPr>
          <w:p w14:paraId="68DC30AE">
            <w:pPr>
              <w:pStyle w:val="27"/>
              <w:rPr>
                <w:rFonts w:hint="eastAsia" w:ascii="宋体" w:hAnsi="宋体" w:eastAsia="宋体" w:cs="宋体"/>
                <w:sz w:val="20"/>
                <w:highlight w:val="none"/>
              </w:rPr>
            </w:pPr>
          </w:p>
        </w:tc>
        <w:tc>
          <w:tcPr>
            <w:tcW w:w="1548" w:type="dxa"/>
          </w:tcPr>
          <w:p w14:paraId="17BF6B0B">
            <w:pPr>
              <w:pStyle w:val="27"/>
              <w:rPr>
                <w:rFonts w:hint="eastAsia" w:ascii="宋体" w:hAnsi="宋体" w:eastAsia="宋体" w:cs="宋体"/>
                <w:sz w:val="20"/>
                <w:highlight w:val="none"/>
              </w:rPr>
            </w:pPr>
          </w:p>
        </w:tc>
        <w:tc>
          <w:tcPr>
            <w:tcW w:w="1548" w:type="dxa"/>
          </w:tcPr>
          <w:p w14:paraId="591A0A57">
            <w:pPr>
              <w:pStyle w:val="27"/>
              <w:rPr>
                <w:rFonts w:hint="eastAsia" w:ascii="宋体" w:hAnsi="宋体" w:eastAsia="宋体" w:cs="宋体"/>
                <w:sz w:val="20"/>
                <w:highlight w:val="none"/>
              </w:rPr>
            </w:pPr>
          </w:p>
        </w:tc>
        <w:tc>
          <w:tcPr>
            <w:tcW w:w="1548" w:type="dxa"/>
          </w:tcPr>
          <w:p w14:paraId="40A7233F">
            <w:pPr>
              <w:pStyle w:val="27"/>
              <w:rPr>
                <w:rFonts w:hint="eastAsia" w:ascii="宋体" w:hAnsi="宋体" w:eastAsia="宋体" w:cs="宋体"/>
                <w:sz w:val="20"/>
                <w:highlight w:val="none"/>
              </w:rPr>
            </w:pPr>
          </w:p>
        </w:tc>
      </w:tr>
      <w:tr w14:paraId="70F4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2A8E395">
            <w:pPr>
              <w:pStyle w:val="27"/>
              <w:spacing w:before="11"/>
              <w:rPr>
                <w:rFonts w:hint="eastAsia" w:ascii="宋体" w:hAnsi="宋体" w:eastAsia="宋体" w:cs="宋体"/>
                <w:b/>
                <w:sz w:val="15"/>
                <w:highlight w:val="none"/>
              </w:rPr>
            </w:pPr>
          </w:p>
          <w:p w14:paraId="6C8F9876">
            <w:pPr>
              <w:pStyle w:val="27"/>
              <w:ind w:left="82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547" w:type="dxa"/>
          </w:tcPr>
          <w:p w14:paraId="57512F02">
            <w:pPr>
              <w:pStyle w:val="27"/>
              <w:rPr>
                <w:rFonts w:hint="eastAsia" w:ascii="宋体" w:hAnsi="宋体" w:eastAsia="宋体" w:cs="宋体"/>
                <w:sz w:val="20"/>
                <w:highlight w:val="none"/>
              </w:rPr>
            </w:pPr>
          </w:p>
        </w:tc>
        <w:tc>
          <w:tcPr>
            <w:tcW w:w="1548" w:type="dxa"/>
          </w:tcPr>
          <w:p w14:paraId="22843A4D">
            <w:pPr>
              <w:pStyle w:val="27"/>
              <w:rPr>
                <w:rFonts w:hint="eastAsia" w:ascii="宋体" w:hAnsi="宋体" w:eastAsia="宋体" w:cs="宋体"/>
                <w:sz w:val="20"/>
                <w:highlight w:val="none"/>
              </w:rPr>
            </w:pPr>
          </w:p>
        </w:tc>
        <w:tc>
          <w:tcPr>
            <w:tcW w:w="1548" w:type="dxa"/>
          </w:tcPr>
          <w:p w14:paraId="0738371C">
            <w:pPr>
              <w:pStyle w:val="27"/>
              <w:rPr>
                <w:rFonts w:hint="eastAsia" w:ascii="宋体" w:hAnsi="宋体" w:eastAsia="宋体" w:cs="宋体"/>
                <w:sz w:val="20"/>
                <w:highlight w:val="none"/>
              </w:rPr>
            </w:pPr>
          </w:p>
        </w:tc>
        <w:tc>
          <w:tcPr>
            <w:tcW w:w="1548" w:type="dxa"/>
          </w:tcPr>
          <w:p w14:paraId="70167A1A">
            <w:pPr>
              <w:pStyle w:val="27"/>
              <w:rPr>
                <w:rFonts w:hint="eastAsia" w:ascii="宋体" w:hAnsi="宋体" w:eastAsia="宋体" w:cs="宋体"/>
                <w:sz w:val="20"/>
                <w:highlight w:val="none"/>
              </w:rPr>
            </w:pPr>
          </w:p>
        </w:tc>
      </w:tr>
      <w:tr w14:paraId="1FC3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72BFD00E">
            <w:pPr>
              <w:pStyle w:val="27"/>
              <w:spacing w:before="11"/>
              <w:rPr>
                <w:rFonts w:hint="eastAsia" w:ascii="宋体" w:hAnsi="宋体" w:eastAsia="宋体" w:cs="宋体"/>
                <w:b/>
                <w:sz w:val="15"/>
                <w:highlight w:val="none"/>
              </w:rPr>
            </w:pPr>
          </w:p>
          <w:p w14:paraId="014EA8C3">
            <w:pPr>
              <w:pStyle w:val="27"/>
              <w:tabs>
                <w:tab w:val="left" w:pos="1625"/>
              </w:tabs>
              <w:ind w:left="826"/>
              <w:rPr>
                <w:rFonts w:hint="eastAsia" w:ascii="宋体" w:hAnsi="宋体" w:eastAsia="宋体" w:cs="宋体"/>
                <w:sz w:val="20"/>
                <w:highlight w:val="none"/>
              </w:rPr>
            </w:pPr>
            <w:r>
              <w:rPr>
                <w:rFonts w:hint="eastAsia" w:ascii="宋体" w:hAnsi="宋体" w:eastAsia="宋体" w:cs="宋体"/>
                <w:sz w:val="20"/>
                <w:highlight w:val="none"/>
              </w:rPr>
              <w:t>小</w:t>
            </w:r>
            <w:r>
              <w:rPr>
                <w:rFonts w:hint="eastAsia" w:ascii="宋体" w:hAnsi="宋体" w:eastAsia="宋体" w:cs="宋体"/>
                <w:sz w:val="20"/>
                <w:highlight w:val="none"/>
              </w:rPr>
              <w:tab/>
            </w:r>
            <w:r>
              <w:rPr>
                <w:rFonts w:hint="eastAsia" w:ascii="宋体" w:hAnsi="宋体" w:eastAsia="宋体" w:cs="宋体"/>
                <w:sz w:val="20"/>
                <w:highlight w:val="none"/>
              </w:rPr>
              <w:t>计</w:t>
            </w:r>
          </w:p>
        </w:tc>
        <w:tc>
          <w:tcPr>
            <w:tcW w:w="1547" w:type="dxa"/>
          </w:tcPr>
          <w:p w14:paraId="1480B0C8">
            <w:pPr>
              <w:pStyle w:val="27"/>
              <w:rPr>
                <w:rFonts w:hint="eastAsia" w:ascii="宋体" w:hAnsi="宋体" w:eastAsia="宋体" w:cs="宋体"/>
                <w:sz w:val="20"/>
                <w:highlight w:val="none"/>
              </w:rPr>
            </w:pPr>
          </w:p>
        </w:tc>
        <w:tc>
          <w:tcPr>
            <w:tcW w:w="1548" w:type="dxa"/>
          </w:tcPr>
          <w:p w14:paraId="2D4FD21A">
            <w:pPr>
              <w:pStyle w:val="27"/>
              <w:rPr>
                <w:rFonts w:hint="eastAsia" w:ascii="宋体" w:hAnsi="宋体" w:eastAsia="宋体" w:cs="宋体"/>
                <w:b/>
                <w:sz w:val="18"/>
                <w:highlight w:val="none"/>
              </w:rPr>
            </w:pPr>
          </w:p>
          <w:p w14:paraId="3A7B30D9">
            <w:pPr>
              <w:pStyle w:val="27"/>
              <w:ind w:left="469" w:right="456"/>
              <w:jc w:val="center"/>
              <w:rPr>
                <w:rFonts w:hint="eastAsia" w:ascii="宋体" w:hAnsi="宋体" w:eastAsia="宋体" w:cs="宋体"/>
                <w:sz w:val="20"/>
                <w:highlight w:val="none"/>
              </w:rPr>
            </w:pPr>
            <w:r>
              <w:rPr>
                <w:rFonts w:hint="eastAsia" w:ascii="宋体" w:hAnsi="宋体" w:eastAsia="宋体" w:cs="宋体"/>
                <w:sz w:val="20"/>
                <w:highlight w:val="none"/>
              </w:rPr>
              <w:t>100.00</w:t>
            </w:r>
          </w:p>
        </w:tc>
        <w:tc>
          <w:tcPr>
            <w:tcW w:w="1548" w:type="dxa"/>
          </w:tcPr>
          <w:p w14:paraId="4BA38575">
            <w:pPr>
              <w:pStyle w:val="27"/>
              <w:rPr>
                <w:rFonts w:hint="eastAsia" w:ascii="宋体" w:hAnsi="宋体" w:eastAsia="宋体" w:cs="宋体"/>
                <w:sz w:val="20"/>
                <w:highlight w:val="none"/>
              </w:rPr>
            </w:pPr>
          </w:p>
        </w:tc>
        <w:tc>
          <w:tcPr>
            <w:tcW w:w="1548" w:type="dxa"/>
          </w:tcPr>
          <w:p w14:paraId="27CC0531">
            <w:pPr>
              <w:pStyle w:val="27"/>
              <w:rPr>
                <w:rFonts w:hint="eastAsia" w:ascii="宋体" w:hAnsi="宋体" w:eastAsia="宋体" w:cs="宋体"/>
                <w:sz w:val="20"/>
                <w:highlight w:val="none"/>
              </w:rPr>
            </w:pPr>
          </w:p>
        </w:tc>
      </w:tr>
      <w:tr w14:paraId="3B95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844" w:type="dxa"/>
            <w:gridSpan w:val="6"/>
          </w:tcPr>
          <w:p w14:paraId="24337211">
            <w:pPr>
              <w:pStyle w:val="27"/>
              <w:spacing w:before="9"/>
              <w:rPr>
                <w:rFonts w:hint="eastAsia" w:ascii="宋体" w:hAnsi="宋体" w:eastAsia="宋体" w:cs="宋体"/>
                <w:b/>
                <w:sz w:val="14"/>
                <w:highlight w:val="none"/>
              </w:rPr>
            </w:pPr>
          </w:p>
          <w:p w14:paraId="7E6B965E">
            <w:pPr>
              <w:pStyle w:val="27"/>
              <w:ind w:left="202"/>
              <w:rPr>
                <w:rFonts w:hint="eastAsia" w:ascii="宋体" w:hAnsi="宋体" w:eastAsia="宋体" w:cs="宋体"/>
                <w:sz w:val="21"/>
                <w:highlight w:val="none"/>
              </w:rPr>
            </w:pPr>
            <w:r>
              <w:rPr>
                <w:rFonts w:hint="eastAsia" w:ascii="宋体" w:hAnsi="宋体" w:eastAsia="宋体" w:cs="宋体"/>
                <w:sz w:val="21"/>
                <w:highlight w:val="none"/>
              </w:rPr>
              <w:t>投标价：</w:t>
            </w:r>
          </w:p>
        </w:tc>
      </w:tr>
      <w:tr w14:paraId="0CB9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trPr>
        <w:tc>
          <w:tcPr>
            <w:tcW w:w="628" w:type="dxa"/>
          </w:tcPr>
          <w:p w14:paraId="2CC42640">
            <w:pPr>
              <w:pStyle w:val="27"/>
              <w:rPr>
                <w:rFonts w:hint="eastAsia" w:ascii="宋体" w:hAnsi="宋体" w:eastAsia="宋体" w:cs="宋体"/>
                <w:b/>
                <w:sz w:val="20"/>
                <w:highlight w:val="none"/>
              </w:rPr>
            </w:pPr>
          </w:p>
          <w:p w14:paraId="7B2E3D48">
            <w:pPr>
              <w:pStyle w:val="27"/>
              <w:rPr>
                <w:rFonts w:hint="eastAsia" w:ascii="宋体" w:hAnsi="宋体" w:eastAsia="宋体" w:cs="宋体"/>
                <w:b/>
                <w:sz w:val="20"/>
                <w:highlight w:val="none"/>
              </w:rPr>
            </w:pPr>
          </w:p>
          <w:p w14:paraId="28B03A8D">
            <w:pPr>
              <w:pStyle w:val="27"/>
              <w:spacing w:before="7"/>
              <w:rPr>
                <w:rFonts w:hint="eastAsia" w:ascii="宋体" w:hAnsi="宋体" w:eastAsia="宋体" w:cs="宋体"/>
                <w:b/>
                <w:sz w:val="16"/>
                <w:highlight w:val="none"/>
              </w:rPr>
            </w:pPr>
          </w:p>
          <w:p w14:paraId="4F6F9BF7">
            <w:pPr>
              <w:pStyle w:val="27"/>
              <w:ind w:left="214"/>
              <w:rPr>
                <w:rFonts w:hint="eastAsia" w:ascii="宋体" w:hAnsi="宋体" w:eastAsia="宋体" w:cs="宋体"/>
                <w:sz w:val="20"/>
                <w:highlight w:val="none"/>
              </w:rPr>
            </w:pPr>
            <w:r>
              <w:rPr>
                <w:rFonts w:hint="eastAsia" w:ascii="宋体" w:hAnsi="宋体" w:eastAsia="宋体" w:cs="宋体"/>
                <w:w w:val="99"/>
                <w:sz w:val="20"/>
                <w:highlight w:val="none"/>
              </w:rPr>
              <w:t>说</w:t>
            </w:r>
          </w:p>
          <w:p w14:paraId="64F12C3A">
            <w:pPr>
              <w:pStyle w:val="27"/>
              <w:rPr>
                <w:rFonts w:hint="eastAsia" w:ascii="宋体" w:hAnsi="宋体" w:eastAsia="宋体" w:cs="宋体"/>
                <w:b/>
                <w:sz w:val="20"/>
                <w:highlight w:val="none"/>
              </w:rPr>
            </w:pPr>
          </w:p>
          <w:p w14:paraId="247B597A">
            <w:pPr>
              <w:pStyle w:val="27"/>
              <w:rPr>
                <w:rFonts w:hint="eastAsia" w:ascii="宋体" w:hAnsi="宋体" w:eastAsia="宋体" w:cs="宋体"/>
                <w:b/>
                <w:sz w:val="20"/>
                <w:highlight w:val="none"/>
              </w:rPr>
            </w:pPr>
          </w:p>
          <w:p w14:paraId="54DBD3BA">
            <w:pPr>
              <w:pStyle w:val="27"/>
              <w:rPr>
                <w:rFonts w:hint="eastAsia" w:ascii="宋体" w:hAnsi="宋体" w:eastAsia="宋体" w:cs="宋体"/>
                <w:b/>
                <w:sz w:val="20"/>
                <w:highlight w:val="none"/>
              </w:rPr>
            </w:pPr>
          </w:p>
          <w:p w14:paraId="68F05466">
            <w:pPr>
              <w:pStyle w:val="27"/>
              <w:rPr>
                <w:rFonts w:hint="eastAsia" w:ascii="宋体" w:hAnsi="宋体" w:eastAsia="宋体" w:cs="宋体"/>
                <w:b/>
                <w:sz w:val="20"/>
                <w:highlight w:val="none"/>
              </w:rPr>
            </w:pPr>
          </w:p>
          <w:p w14:paraId="2EECB56D">
            <w:pPr>
              <w:pStyle w:val="27"/>
              <w:spacing w:before="10"/>
              <w:rPr>
                <w:rFonts w:hint="eastAsia" w:ascii="宋体" w:hAnsi="宋体" w:eastAsia="宋体" w:cs="宋体"/>
                <w:b/>
                <w:sz w:val="24"/>
                <w:highlight w:val="none"/>
              </w:rPr>
            </w:pPr>
          </w:p>
          <w:p w14:paraId="2D982056">
            <w:pPr>
              <w:pStyle w:val="27"/>
              <w:ind w:left="214"/>
              <w:rPr>
                <w:rFonts w:hint="eastAsia" w:ascii="宋体" w:hAnsi="宋体" w:eastAsia="宋体" w:cs="宋体"/>
                <w:sz w:val="20"/>
                <w:highlight w:val="none"/>
              </w:rPr>
            </w:pPr>
            <w:r>
              <w:rPr>
                <w:rFonts w:hint="eastAsia" w:ascii="宋体" w:hAnsi="宋体" w:eastAsia="宋体" w:cs="宋体"/>
                <w:w w:val="99"/>
                <w:sz w:val="20"/>
                <w:highlight w:val="none"/>
              </w:rPr>
              <w:t>明</w:t>
            </w:r>
          </w:p>
        </w:tc>
        <w:tc>
          <w:tcPr>
            <w:tcW w:w="8216" w:type="dxa"/>
            <w:gridSpan w:val="5"/>
          </w:tcPr>
          <w:p w14:paraId="163405B5">
            <w:pPr>
              <w:pStyle w:val="27"/>
              <w:rPr>
                <w:rFonts w:hint="eastAsia" w:ascii="宋体" w:hAnsi="宋体" w:eastAsia="宋体" w:cs="宋体"/>
                <w:sz w:val="20"/>
                <w:highlight w:val="none"/>
              </w:rPr>
            </w:pPr>
          </w:p>
        </w:tc>
      </w:tr>
    </w:tbl>
    <w:p w14:paraId="2DA68A57">
      <w:pPr>
        <w:spacing w:before="82"/>
        <w:ind w:left="352"/>
        <w:rPr>
          <w:rFonts w:hint="eastAsia" w:ascii="宋体" w:hAnsi="宋体" w:eastAsia="宋体" w:cs="宋体"/>
          <w:sz w:val="20"/>
          <w:highlight w:val="none"/>
        </w:rPr>
      </w:pPr>
      <w:r>
        <w:rPr>
          <w:rFonts w:hint="eastAsia" w:ascii="宋体" w:hAnsi="宋体" w:eastAsia="宋体" w:cs="宋体"/>
          <w:sz w:val="20"/>
          <w:highlight w:val="none"/>
        </w:rPr>
        <w:t>注：1.投标人可按工程进度估算并填写本表。</w:t>
      </w:r>
    </w:p>
    <w:p w14:paraId="48FDC62C">
      <w:pPr>
        <w:spacing w:before="85" w:line="319" w:lineRule="auto"/>
        <w:ind w:left="976" w:right="237" w:hanging="252"/>
        <w:rPr>
          <w:rFonts w:hint="eastAsia" w:ascii="宋体" w:hAnsi="宋体" w:eastAsia="宋体" w:cs="宋体"/>
          <w:highlight w:val="none"/>
        </w:rPr>
      </w:pPr>
      <w:r>
        <w:rPr>
          <w:rFonts w:hint="eastAsia" w:ascii="宋体" w:hAnsi="宋体" w:eastAsia="宋体" w:cs="宋体"/>
          <w:sz w:val="20"/>
          <w:highlight w:val="none"/>
        </w:rPr>
        <w:t>2.用款额按所报单价和总额价估算，不包括价格调整和暂列金额、暂估价，但应考虑开工预付款的扣</w:t>
      </w:r>
      <w:r>
        <w:rPr>
          <w:rFonts w:hint="eastAsia" w:ascii="宋体" w:hAnsi="宋体" w:eastAsia="宋体" w:cs="宋体"/>
          <w:spacing w:val="-4"/>
          <w:sz w:val="20"/>
          <w:highlight w:val="none"/>
        </w:rPr>
        <w:t>回以及签发付款证书后到实际支付的时间间隔。</w:t>
      </w:r>
    </w:p>
    <w:p w14:paraId="4211550D">
      <w:pPr>
        <w:rPr>
          <w:rFonts w:hint="eastAsia" w:ascii="宋体" w:hAnsi="宋体" w:eastAsia="宋体" w:cs="宋体"/>
          <w:highlight w:val="none"/>
        </w:rPr>
      </w:pPr>
    </w:p>
    <w:p w14:paraId="5C40BB11">
      <w:pPr>
        <w:pStyle w:val="22"/>
        <w:ind w:firstLine="440"/>
        <w:rPr>
          <w:rFonts w:hint="eastAsia" w:ascii="宋体" w:hAnsi="宋体" w:eastAsia="宋体" w:cs="宋体"/>
          <w:highlight w:val="none"/>
        </w:rPr>
      </w:pPr>
    </w:p>
    <w:p w14:paraId="616E7787">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2E7E94B5">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四、最终报价单</w:t>
      </w:r>
    </w:p>
    <w:p w14:paraId="4D5FC64D">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DB0E11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784654D0">
      <w:pPr>
        <w:jc w:val="center"/>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参考“报价文件”中投标函及</w:t>
      </w:r>
      <w:r>
        <w:rPr>
          <w:rFonts w:hint="eastAsia" w:cs="宋体"/>
          <w:b/>
          <w:bCs/>
          <w:sz w:val="24"/>
          <w:szCs w:val="24"/>
          <w:highlight w:val="none"/>
          <w:lang w:val="en-US" w:eastAsia="zh-CN"/>
        </w:rPr>
        <w:t>已标价的</w:t>
      </w:r>
      <w:r>
        <w:rPr>
          <w:rFonts w:hint="eastAsia" w:ascii="宋体" w:hAnsi="宋体" w:eastAsia="宋体" w:cs="宋体"/>
          <w:b/>
          <w:bCs/>
          <w:sz w:val="24"/>
          <w:szCs w:val="24"/>
          <w:highlight w:val="none"/>
          <w:lang w:val="en-US"/>
        </w:rPr>
        <w:t>工程量清单格式</w:t>
      </w:r>
    </w:p>
    <w:p w14:paraId="60E80896">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464A4FB">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2D050CA">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4A30EAD">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7274FFCB">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6B7DA425">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19288503">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2D6C25CA">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19A27118">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02B5A123">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6E413CB2">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D8CBCBB">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7447ADF3">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6945D83B">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8450053">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6A2E8E4A">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B79C82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1D5066FB">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961F48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490685B9">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78D60E80">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67A7AB7">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14D7062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827057F">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3867D5AF">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1C3F7B90">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20C5358C">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0CF45B38">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499D76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6E5AFC6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5D76EB0F">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069A070E">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4088613E">
      <w:pPr>
        <w:tabs>
          <w:tab w:val="left" w:pos="1283"/>
        </w:tabs>
        <w:kinsoku w:val="0"/>
        <w:overflowPunct w:val="0"/>
        <w:adjustRightInd w:val="0"/>
        <w:ind w:right="61" w:firstLine="3434" w:firstLineChars="1200"/>
        <w:jc w:val="both"/>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第八章 评审方法及标准</w:t>
      </w:r>
    </w:p>
    <w:p w14:paraId="6C40E82A">
      <w:pPr>
        <w:tabs>
          <w:tab w:val="left" w:pos="1283"/>
        </w:tabs>
        <w:kinsoku w:val="0"/>
        <w:overflowPunct w:val="0"/>
        <w:adjustRightInd w:val="0"/>
        <w:ind w:right="61"/>
        <w:jc w:val="center"/>
        <w:outlineLvl w:val="0"/>
        <w:rPr>
          <w:rFonts w:hint="eastAsia" w:ascii="宋体" w:hAnsi="宋体" w:eastAsia="宋体" w:cs="宋体"/>
          <w:b/>
          <w:w w:val="95"/>
          <w:sz w:val="32"/>
          <w:szCs w:val="24"/>
          <w:highlight w:val="none"/>
          <w:lang w:val="en-US" w:bidi="ar-SA"/>
        </w:rPr>
      </w:pPr>
    </w:p>
    <w:p w14:paraId="548527E2">
      <w:pPr>
        <w:adjustRightInd w:val="0"/>
        <w:spacing w:line="360" w:lineRule="auto"/>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1、评标方法</w:t>
      </w:r>
    </w:p>
    <w:p w14:paraId="119EBC0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1.1、评标中各评委若发生意见分歧，通过书面表决形式，以少数服从多数为原则决定。</w:t>
      </w:r>
    </w:p>
    <w:p w14:paraId="41010295">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2、资格审查</w:t>
      </w:r>
    </w:p>
    <w:p w14:paraId="0FFD914D">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采购人代表及</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将按照以下条款，对供应商的资格进行后审，有一条未通过则按废标处理。</w:t>
      </w:r>
    </w:p>
    <w:tbl>
      <w:tblPr>
        <w:tblStyle w:val="23"/>
        <w:tblW w:w="928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867"/>
        <w:gridCol w:w="1344"/>
        <w:gridCol w:w="1344"/>
      </w:tblGrid>
      <w:tr w14:paraId="0FD2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598ADD1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序号</w:t>
            </w:r>
          </w:p>
        </w:tc>
        <w:tc>
          <w:tcPr>
            <w:tcW w:w="5867" w:type="dxa"/>
            <w:vMerge w:val="restart"/>
            <w:vAlign w:val="center"/>
          </w:tcPr>
          <w:p w14:paraId="32D54B4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评审内容</w:t>
            </w:r>
          </w:p>
        </w:tc>
        <w:tc>
          <w:tcPr>
            <w:tcW w:w="2688" w:type="dxa"/>
            <w:gridSpan w:val="2"/>
            <w:vAlign w:val="center"/>
          </w:tcPr>
          <w:p w14:paraId="1EE9626B">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评审意见</w:t>
            </w:r>
          </w:p>
        </w:tc>
      </w:tr>
      <w:tr w14:paraId="3722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6390000D">
            <w:pPr>
              <w:adjustRightInd w:val="0"/>
              <w:spacing w:line="300" w:lineRule="auto"/>
              <w:jc w:val="center"/>
              <w:rPr>
                <w:rFonts w:hint="eastAsia" w:ascii="宋体" w:hAnsi="宋体" w:eastAsia="宋体" w:cs="宋体"/>
                <w:sz w:val="24"/>
                <w:szCs w:val="24"/>
                <w:highlight w:val="none"/>
                <w:lang w:val="en-US" w:bidi="ar-SA"/>
              </w:rPr>
            </w:pPr>
          </w:p>
        </w:tc>
        <w:tc>
          <w:tcPr>
            <w:tcW w:w="5867" w:type="dxa"/>
            <w:vMerge w:val="continue"/>
            <w:vAlign w:val="center"/>
          </w:tcPr>
          <w:p w14:paraId="73DC6892">
            <w:pPr>
              <w:adjustRightInd w:val="0"/>
              <w:spacing w:line="300" w:lineRule="auto"/>
              <w:jc w:val="center"/>
              <w:rPr>
                <w:rFonts w:hint="eastAsia" w:ascii="宋体" w:hAnsi="宋体" w:eastAsia="宋体" w:cs="宋体"/>
                <w:sz w:val="24"/>
                <w:szCs w:val="24"/>
                <w:highlight w:val="none"/>
                <w:lang w:val="en-US" w:bidi="ar-SA"/>
              </w:rPr>
            </w:pPr>
          </w:p>
        </w:tc>
        <w:tc>
          <w:tcPr>
            <w:tcW w:w="1344" w:type="dxa"/>
            <w:vAlign w:val="center"/>
          </w:tcPr>
          <w:p w14:paraId="73BF59F9">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w:t>
            </w:r>
          </w:p>
        </w:tc>
        <w:tc>
          <w:tcPr>
            <w:tcW w:w="1344" w:type="dxa"/>
            <w:vAlign w:val="center"/>
          </w:tcPr>
          <w:p w14:paraId="6CD9B4A5">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w:t>
            </w:r>
          </w:p>
        </w:tc>
      </w:tr>
      <w:tr w14:paraId="4069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54F049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1</w:t>
            </w:r>
          </w:p>
        </w:tc>
        <w:tc>
          <w:tcPr>
            <w:tcW w:w="5867" w:type="dxa"/>
            <w:vAlign w:val="center"/>
          </w:tcPr>
          <w:p w14:paraId="03FD85C3">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合格有效的法人或非法人组织营业执照；</w:t>
            </w:r>
          </w:p>
        </w:tc>
        <w:tc>
          <w:tcPr>
            <w:tcW w:w="1344" w:type="dxa"/>
            <w:vAlign w:val="center"/>
          </w:tcPr>
          <w:p w14:paraId="07181B5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7D40D7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7C4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1E5623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2</w:t>
            </w:r>
          </w:p>
        </w:tc>
        <w:tc>
          <w:tcPr>
            <w:tcW w:w="5867" w:type="dxa"/>
            <w:vAlign w:val="center"/>
          </w:tcPr>
          <w:p w14:paraId="39B77601">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法定代表人资格证明或法定代表人授权委托书及身份证</w:t>
            </w:r>
            <w:r>
              <w:rPr>
                <w:rFonts w:hint="eastAsia" w:cs="宋体"/>
                <w:kern w:val="2"/>
                <w:highlight w:val="none"/>
                <w:lang w:val="en-US" w:eastAsia="zh-CN" w:bidi="ar-SA"/>
              </w:rPr>
              <w:t>明</w:t>
            </w:r>
            <w:r>
              <w:rPr>
                <w:rFonts w:hint="eastAsia" w:ascii="宋体" w:hAnsi="宋体" w:eastAsia="宋体" w:cs="宋体"/>
                <w:kern w:val="2"/>
                <w:highlight w:val="none"/>
                <w:lang w:val="en-US" w:bidi="ar-SA"/>
              </w:rPr>
              <w:t>；</w:t>
            </w:r>
          </w:p>
        </w:tc>
        <w:tc>
          <w:tcPr>
            <w:tcW w:w="1344" w:type="dxa"/>
            <w:vAlign w:val="center"/>
          </w:tcPr>
          <w:p w14:paraId="5145A41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2ECF888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238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E890C8">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3</w:t>
            </w:r>
          </w:p>
        </w:tc>
        <w:tc>
          <w:tcPr>
            <w:tcW w:w="5867" w:type="dxa"/>
            <w:vAlign w:val="center"/>
          </w:tcPr>
          <w:p w14:paraId="1CC3FA1B">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2023年财务审计报告</w:t>
            </w:r>
            <w:r>
              <w:rPr>
                <w:rFonts w:hint="eastAsia" w:ascii="宋体" w:hAnsi="宋体" w:eastAsia="宋体" w:cs="宋体"/>
                <w:kern w:val="2"/>
                <w:highlight w:val="none"/>
                <w:lang w:val="en-US" w:bidi="ar-SA"/>
              </w:rPr>
              <w:t>（成立不满一年的提供开标前一个月内有效银行资信证明）；</w:t>
            </w:r>
          </w:p>
        </w:tc>
        <w:tc>
          <w:tcPr>
            <w:tcW w:w="1344" w:type="dxa"/>
            <w:vAlign w:val="center"/>
          </w:tcPr>
          <w:p w14:paraId="34020383">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51F3A8E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B2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1ADFBDF">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4</w:t>
            </w:r>
          </w:p>
        </w:tc>
        <w:tc>
          <w:tcPr>
            <w:tcW w:w="5867" w:type="dxa"/>
            <w:vAlign w:val="center"/>
          </w:tcPr>
          <w:p w14:paraId="2A04EBC7">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tc>
        <w:tc>
          <w:tcPr>
            <w:tcW w:w="1344" w:type="dxa"/>
            <w:vAlign w:val="center"/>
          </w:tcPr>
          <w:p w14:paraId="3D7C03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7CAAFEE7">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B43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518B0">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5</w:t>
            </w:r>
          </w:p>
        </w:tc>
        <w:tc>
          <w:tcPr>
            <w:tcW w:w="5867" w:type="dxa"/>
            <w:vAlign w:val="center"/>
          </w:tcPr>
          <w:p w14:paraId="02252F37">
            <w:pPr>
              <w:pStyle w:val="19"/>
              <w:autoSpaceDE/>
              <w:autoSpaceDN/>
              <w:spacing w:before="40" w:after="40" w:line="380" w:lineRule="exact"/>
              <w:jc w:val="both"/>
              <w:rPr>
                <w:rFonts w:hint="eastAsia" w:ascii="宋体" w:hAnsi="宋体" w:eastAsia="宋体" w:cs="宋体"/>
                <w:b/>
                <w:bCs/>
                <w:color w:val="000000" w:themeColor="text1"/>
                <w:highlight w:val="none"/>
                <w:lang w:val="en-US" w:eastAsia="zh-CN" w:bidi="ar-SA"/>
                <w14:textFill>
                  <w14:solidFill>
                    <w14:schemeClr w14:val="tx1"/>
                  </w14:solidFill>
                </w14:textFill>
              </w:rPr>
            </w:pPr>
            <w:r>
              <w:rPr>
                <w:rFonts w:hint="eastAsia" w:ascii="宋体" w:hAnsi="宋体" w:eastAsia="宋体" w:cs="宋体"/>
                <w:kern w:val="2"/>
                <w:highlight w:val="none"/>
                <w:lang w:val="en-US" w:bidi="ar-SA"/>
              </w:rPr>
              <w:t>供应商及其法人参加本次采购活动前三年内，在经营活动中没有重大违法记录的声明及反商业受贿承诺</w:t>
            </w:r>
            <w:r>
              <w:rPr>
                <w:rFonts w:hint="eastAsia" w:cs="宋体"/>
                <w:kern w:val="2"/>
                <w:highlight w:val="none"/>
                <w:lang w:val="en-US" w:eastAsia="zh-CN" w:bidi="ar-SA"/>
              </w:rPr>
              <w:t>；</w:t>
            </w:r>
          </w:p>
        </w:tc>
        <w:tc>
          <w:tcPr>
            <w:tcW w:w="1344" w:type="dxa"/>
            <w:vAlign w:val="center"/>
          </w:tcPr>
          <w:p w14:paraId="5457183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4C7167E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610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91E4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6</w:t>
            </w:r>
          </w:p>
        </w:tc>
        <w:tc>
          <w:tcPr>
            <w:tcW w:w="5867" w:type="dxa"/>
            <w:vAlign w:val="center"/>
          </w:tcPr>
          <w:p w14:paraId="26D97BF6">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类),且未担任其他在建工程项目的项目经理；</w:t>
            </w:r>
          </w:p>
        </w:tc>
        <w:tc>
          <w:tcPr>
            <w:tcW w:w="1344" w:type="dxa"/>
            <w:vAlign w:val="center"/>
          </w:tcPr>
          <w:p w14:paraId="268135FE">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4FB25F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962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276AC5CF">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7</w:t>
            </w:r>
          </w:p>
        </w:tc>
        <w:tc>
          <w:tcPr>
            <w:tcW w:w="5867" w:type="dxa"/>
            <w:vAlign w:val="center"/>
          </w:tcPr>
          <w:p w14:paraId="7D18C333">
            <w:pPr>
              <w:widowControl/>
              <w:autoSpaceDE/>
              <w:autoSpaceDN/>
              <w:spacing w:before="40" w:after="40" w:line="380" w:lineRule="exact"/>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kern w:val="2"/>
                <w:sz w:val="24"/>
                <w:szCs w:val="24"/>
                <w:highlight w:val="none"/>
                <w:lang w:val="en-US" w:bidi="ar-SA"/>
              </w:rPr>
              <w:t>投标保证金缴纳凭证。</w:t>
            </w:r>
          </w:p>
        </w:tc>
        <w:tc>
          <w:tcPr>
            <w:tcW w:w="1344" w:type="dxa"/>
            <w:vAlign w:val="center"/>
          </w:tcPr>
          <w:p w14:paraId="0FD2B42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F85E56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5BC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3BC615B5">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8</w:t>
            </w:r>
          </w:p>
        </w:tc>
        <w:tc>
          <w:tcPr>
            <w:tcW w:w="5867" w:type="dxa"/>
            <w:vAlign w:val="center"/>
          </w:tcPr>
          <w:p w14:paraId="4E64AD3E">
            <w:pPr>
              <w:widowControl/>
              <w:autoSpaceDE/>
              <w:autoSpaceDN/>
              <w:spacing w:before="40" w:after="40" w:line="380" w:lineRule="exact"/>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是否提供《中小企业声明函》</w:t>
            </w:r>
          </w:p>
        </w:tc>
        <w:tc>
          <w:tcPr>
            <w:tcW w:w="1344" w:type="dxa"/>
            <w:vAlign w:val="center"/>
          </w:tcPr>
          <w:p w14:paraId="1C82E2C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1C5AEE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5F8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C2F9A06">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p>
        </w:tc>
        <w:tc>
          <w:tcPr>
            <w:tcW w:w="5867" w:type="dxa"/>
            <w:vAlign w:val="center"/>
          </w:tcPr>
          <w:p w14:paraId="0A28F0C2">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结论：是否通过评审</w:t>
            </w:r>
          </w:p>
        </w:tc>
        <w:tc>
          <w:tcPr>
            <w:tcW w:w="1344" w:type="dxa"/>
            <w:vAlign w:val="center"/>
          </w:tcPr>
          <w:p w14:paraId="0C85D2F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333AB7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bl>
    <w:p w14:paraId="14AA6742">
      <w:pPr>
        <w:adjustRightInd w:val="0"/>
        <w:spacing w:line="360" w:lineRule="auto"/>
        <w:rPr>
          <w:rFonts w:hint="eastAsia" w:ascii="宋体" w:hAnsi="宋体" w:eastAsia="宋体" w:cs="宋体"/>
          <w:b/>
          <w:color w:val="000000" w:themeColor="text1"/>
          <w:sz w:val="24"/>
          <w:szCs w:val="24"/>
          <w:highlight w:val="none"/>
          <w:lang w:val="en-US" w:bidi="ar-SA"/>
          <w14:textFill>
            <w14:solidFill>
              <w14:schemeClr w14:val="tx1"/>
            </w14:solidFill>
          </w14:textFill>
        </w:rPr>
      </w:pPr>
    </w:p>
    <w:p w14:paraId="47E90DEB">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3、</w:t>
      </w:r>
      <w:r>
        <w:rPr>
          <w:rFonts w:hint="eastAsia" w:ascii="宋体" w:hAnsi="宋体" w:eastAsia="宋体" w:cs="宋体"/>
          <w:b/>
          <w:sz w:val="24"/>
          <w:szCs w:val="24"/>
          <w:highlight w:val="none"/>
          <w:lang w:bidi="ar-SA"/>
        </w:rPr>
        <w:t>符合性审查</w:t>
      </w:r>
    </w:p>
    <w:p w14:paraId="04A0B671">
      <w:pPr>
        <w:adjustRightInd w:val="0"/>
        <w:spacing w:line="360" w:lineRule="auto"/>
        <w:ind w:firstLine="480" w:firstLineChars="20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3.1 磋商小组</w:t>
      </w:r>
      <w:r>
        <w:rPr>
          <w:rFonts w:hint="eastAsia" w:ascii="宋体" w:hAnsi="宋体" w:eastAsia="宋体" w:cs="宋体"/>
          <w:sz w:val="24"/>
          <w:szCs w:val="24"/>
          <w:highlight w:val="none"/>
          <w:lang w:bidi="ar-SA"/>
        </w:rPr>
        <w:t>应依据磋商文件的规定，对供应商的响应文件的有效性、完整性和对磋商文件的响应程度进行审查，以确定是否对磋商文件的要求做出实质性响应，对磋商文件的要求未做出实质性响应的供应商，不得进入具体评标程序。</w:t>
      </w:r>
    </w:p>
    <w:p w14:paraId="0E98F83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3.2 磋商小组应当根据磋商文件，审查并逐项列出每一个响应文件的全部投标偏差。投标偏差分为重大偏差和细微偏差。</w:t>
      </w:r>
    </w:p>
    <w:p w14:paraId="1E6A23DB">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细微偏差是指投标实质上响应了磋商文件要求，但在个别地方存在漏项或者提供了不完整的技术信息和数据等情况，并且补正这些遗漏或不完整不会对其他供应商造成不公平的结果。细微偏差不影响响应文件的有效性。</w:t>
      </w:r>
    </w:p>
    <w:p w14:paraId="3CB1E542">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（2）应当要求存在细小偏差的供应商在评标结束前以书面形式予以补正。拒绝补正的，在综合评审时可以对细微偏差作不利于该供应商的量化。</w:t>
      </w:r>
    </w:p>
    <w:p w14:paraId="4274C8CE">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重大偏离或保留系指影响到磋商文件规定的招标范围、技术要求、质量要求和商务条款，响应文件中附有采购人不能接受的条件的，或限制了采购人的权力和义务的规定，和不符合磋商文件中规定的其他实质性要求的等。</w:t>
      </w:r>
    </w:p>
    <w:p w14:paraId="533943A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（4）发现有重大偏差时，磋商小组及其成员应按磋商文件中的规定，可以取消其投标的权利。</w:t>
      </w:r>
    </w:p>
    <w:p w14:paraId="42EF25CA">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 xml:space="preserve">3.3 </w:t>
      </w:r>
      <w:r>
        <w:rPr>
          <w:rFonts w:hint="eastAsia" w:ascii="宋体" w:hAnsi="宋体" w:eastAsia="宋体" w:cs="宋体"/>
          <w:b/>
          <w:sz w:val="24"/>
          <w:szCs w:val="24"/>
          <w:highlight w:val="none"/>
          <w:lang w:bidi="ar-SA"/>
        </w:rPr>
        <w:t>进行符合性审查时，磋商小组及成员</w:t>
      </w:r>
      <w:r>
        <w:rPr>
          <w:rFonts w:hint="eastAsia" w:ascii="宋体" w:hAnsi="宋体" w:eastAsia="宋体" w:cs="宋体"/>
          <w:b/>
          <w:sz w:val="24"/>
          <w:szCs w:val="24"/>
          <w:highlight w:val="none"/>
          <w:lang w:val="en-US" w:bidi="ar-SA"/>
        </w:rPr>
        <w:t>应当审查每一个响应文件是否对磋商文件提出的所有实质性要求和条件作出响应。未能实质上响应的，视情况按照磋商文件的规定，应不得进入综合评审程序。主要有下列情况：</w:t>
      </w:r>
    </w:p>
    <w:p w14:paraId="022A541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8106C9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24C4CF2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565C62A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BE1B87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16F06219">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6D3F43CB">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3B9E9070">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1FC1E78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317FA62B">
      <w:pPr>
        <w:kinsoku w:val="0"/>
        <w:overflowPunct w:val="0"/>
        <w:adjustRightInd w:val="0"/>
        <w:spacing w:before="57" w:line="360" w:lineRule="auto"/>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4DFFAF15">
      <w:pPr>
        <w:pStyle w:val="5"/>
        <w:ind w:firstLine="723" w:firstLineChars="300"/>
        <w:rPr>
          <w:rFonts w:hint="eastAsia" w:ascii="宋体" w:hAnsi="宋体" w:eastAsia="宋体" w:cs="宋体"/>
          <w:highlight w:val="none"/>
          <w:lang w:val="en-US"/>
        </w:rPr>
      </w:pPr>
      <w:r>
        <w:rPr>
          <w:rFonts w:hint="eastAsia" w:ascii="宋体" w:hAnsi="宋体" w:eastAsia="宋体" w:cs="宋体"/>
          <w:b/>
          <w:sz w:val="24"/>
          <w:highlight w:val="none"/>
          <w:lang w:val="en-US" w:bidi="ar-SA"/>
        </w:rPr>
        <w:t>（11）响应文件不符合磋商文件规定的其他实质性要求的。</w:t>
      </w:r>
    </w:p>
    <w:p w14:paraId="5339118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 磋商小组根据上述规定否决不合格投标或者界定为废标后，因有效投标不足三个使得投标明显缺乏竞争性时，根据《中华人民共和国政府采购法》及磋商文件的相关规定，可以作出废标处理，并由采购人依法重新组织采购活动。</w:t>
      </w:r>
    </w:p>
    <w:p w14:paraId="15034854">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4、</w:t>
      </w:r>
      <w:r>
        <w:rPr>
          <w:rFonts w:hint="eastAsia" w:ascii="宋体" w:hAnsi="宋体" w:eastAsia="宋体" w:cs="宋体"/>
          <w:b/>
          <w:sz w:val="24"/>
          <w:szCs w:val="24"/>
          <w:highlight w:val="none"/>
          <w:lang w:bidi="ar-SA"/>
        </w:rPr>
        <w:t>详细评审标准</w:t>
      </w:r>
    </w:p>
    <w:p w14:paraId="73FADB70">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4.1竞争性磋商步骤</w:t>
      </w:r>
    </w:p>
    <w:p w14:paraId="5308C9D0">
      <w:pPr>
        <w:pStyle w:val="34"/>
        <w:widowControl w:val="0"/>
        <w:autoSpaceDE w:val="0"/>
        <w:autoSpaceDN w:val="0"/>
        <w:spacing w:before="0" w:after="0" w:line="440" w:lineRule="exact"/>
        <w:ind w:firstLine="360" w:firstLineChars="15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（1）磋商小组全体成员集中与单一供应商就采购需求、质量和服务等分别进行磋商。逐家磋商一次为一个轮次，磋商轮次由磋商小组视情况决定。</w:t>
      </w:r>
    </w:p>
    <w:p w14:paraId="3A56591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1"/>
          <w:highlight w:val="none"/>
        </w:rPr>
        <w:t>在磋商过程中，磋商小组可以根据磋商文件和磋商情况变动采购需求中</w:t>
      </w:r>
      <w:r>
        <w:rPr>
          <w:rFonts w:hint="eastAsia" w:ascii="宋体" w:hAnsi="宋体" w:eastAsia="宋体" w:cs="宋体"/>
          <w:highlight w:val="none"/>
        </w:rPr>
        <w:t>的技术、商务要求以及合同草案条款，实质性变动的内容，须经采购人代表确认。</w:t>
      </w:r>
    </w:p>
    <w:p w14:paraId="613F1A88">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pacing w:val="1"/>
          <w:highlight w:val="none"/>
        </w:rPr>
        <w:t>对磋商文件作出的实质性变动是磋商文件的有效组成部分，磋商小组应</w:t>
      </w:r>
      <w:r>
        <w:rPr>
          <w:rFonts w:hint="eastAsia" w:ascii="宋体" w:hAnsi="宋体" w:eastAsia="宋体" w:cs="宋体"/>
          <w:highlight w:val="none"/>
        </w:rPr>
        <w:t>当及时以书面形式同时通知所有参加磋商的供应商。</w:t>
      </w:r>
    </w:p>
    <w:p w14:paraId="37AD384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4）磋商结束后，磋商小组将要求实质性响应磋商文件的供应商在规定时间内在线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7041559B">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（5）磋商结束后，参加磋商的供应商应当对磋商达成的意向，以书面形式由全权代表签字确认后提交。</w:t>
      </w:r>
    </w:p>
    <w:p w14:paraId="018A719F">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6）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F39D39A">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4.2、评审方法及标准：</w:t>
      </w:r>
    </w:p>
    <w:p w14:paraId="031160EC">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评审方法：本项目采用综合评分法，总分为 100 分。综合评分法，是指响应文件满足采购文件全部实质性要求且按评审因素的量化指标评审得分最高的供应商为成交候选供应商的评审方法。磋商小组按照采购文件的要求和条件，根据各供应商的施工组织设计、</w:t>
      </w:r>
      <w:r>
        <w:rPr>
          <w:rFonts w:hint="eastAsia" w:ascii="宋体" w:hAnsi="宋体" w:eastAsia="宋体" w:cs="宋体"/>
          <w:spacing w:val="-1"/>
          <w:sz w:val="24"/>
          <w:szCs w:val="24"/>
          <w:highlight w:val="none"/>
          <w:lang w:val="en-US"/>
        </w:rPr>
        <w:t>综合实力</w:t>
      </w:r>
      <w:r>
        <w:rPr>
          <w:rFonts w:hint="eastAsia" w:ascii="宋体" w:hAnsi="宋体" w:eastAsia="宋体" w:cs="宋体"/>
          <w:spacing w:val="-1"/>
          <w:sz w:val="24"/>
          <w:szCs w:val="24"/>
          <w:highlight w:val="none"/>
        </w:rPr>
        <w:t>、价格对采购文件的响应程度等进行综合评价、评分，将评审总得分按由高到低的顺序进行排列，并依此顺序推荐前3名成交候选供应商；评审总得分相同的按最后报价由低到高顺序排列，评审总得分且最终报价相同的，按技术部分得分顺序排列。</w:t>
      </w:r>
    </w:p>
    <w:p w14:paraId="734C8864">
      <w:pPr>
        <w:spacing w:line="440" w:lineRule="exact"/>
        <w:ind w:firstLine="478" w:firstLineChars="20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详细评审标准：</w:t>
      </w:r>
    </w:p>
    <w:tbl>
      <w:tblPr>
        <w:tblStyle w:val="23"/>
        <w:tblpPr w:leftFromText="180" w:rightFromText="180" w:vertAnchor="text" w:horzAnchor="page" w:tblpX="1730"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770"/>
        <w:gridCol w:w="960"/>
        <w:gridCol w:w="4790"/>
      </w:tblGrid>
      <w:tr w14:paraId="787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4"/>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3E38052B">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评分因素与权重分值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23EA241">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评分标准</w:t>
            </w:r>
          </w:p>
        </w:tc>
      </w:tr>
      <w:tr w14:paraId="3DCE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7F7E175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F1872E">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w:t>
            </w:r>
          </w:p>
          <w:p w14:paraId="7E599A7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权重分值</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AB9363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各评分因素细分项</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D9AA227">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F5116F">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评分标准</w:t>
            </w:r>
          </w:p>
        </w:tc>
      </w:tr>
      <w:tr w14:paraId="206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83E560">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施工组织设计</w:t>
            </w:r>
          </w:p>
        </w:tc>
        <w:tc>
          <w:tcPr>
            <w:tcW w:w="700"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045862">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60</w:t>
            </w:r>
            <w:r>
              <w:rPr>
                <w:rFonts w:hint="eastAsia" w:ascii="宋体" w:hAnsi="宋体" w:eastAsia="宋体" w:cs="宋体"/>
                <w:sz w:val="22"/>
                <w:szCs w:val="28"/>
                <w:highlight w:val="none"/>
              </w:rPr>
              <w:t>分</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01402BD">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总体施工组织布置及规划</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0F7232">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D363F6">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根据施工总体计划表、施工总平面图、工序与主体及其专业衔接合理，关键节点控 制措施，编写了相关内容的，得基本分4分；编写内容比较合理完整的，得5-6 分；编写内容符合工程实际，且合理完整的，得7-8分。</w:t>
            </w:r>
          </w:p>
        </w:tc>
      </w:tr>
      <w:tr w14:paraId="129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8AD4C4">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08BD6C">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B1D5008">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9915C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8974881">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主要工程项目的施工方案、方法与技术措施（尤其对重点、关键和难点工程的施工方案、方法及措施和解决方案），编写了相关内容的，得基本分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分；编写内容对工期和质量保证合理的，得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w:t>
            </w:r>
          </w:p>
        </w:tc>
      </w:tr>
      <w:tr w14:paraId="697B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64F664">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5AFFD9D">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7BF34E3">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工期保证体系及保证措施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D4818CA">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8.00分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2E8DC16">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针对总进度目标、施工进度安排保证措施、劳动力调配投入计划，人员安排计划与施工进度计划，编写了相关内</w:t>
            </w:r>
            <w:r>
              <w:rPr>
                <w:rFonts w:hint="eastAsia" w:ascii="宋体" w:hAnsi="宋体" w:eastAsia="宋体" w:cs="宋体"/>
                <w:sz w:val="22"/>
                <w:szCs w:val="28"/>
                <w:highlight w:val="none"/>
                <w:lang w:val="en-US" w:eastAsia="zh-CN"/>
              </w:rPr>
              <w:t>容</w:t>
            </w:r>
            <w:r>
              <w:rPr>
                <w:rFonts w:hint="eastAsia" w:ascii="宋体" w:hAnsi="宋体" w:eastAsia="宋体" w:cs="宋体"/>
                <w:sz w:val="22"/>
                <w:szCs w:val="28"/>
                <w:highlight w:val="none"/>
              </w:rPr>
              <w:t>的，得基本分4分；编写内容比较合理完整的，得5~6分；编写内容对安全生产、环保、水保是行之有效的，得7~8分。</w:t>
            </w:r>
          </w:p>
        </w:tc>
      </w:tr>
      <w:tr w14:paraId="53AB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3784DA">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B187479">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37AD3D7">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工程质量管理体系及保证措施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8AFD7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8.00分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65AEE2">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针对质量有总目标，对各分部分项工程控制点，相应的控制方法、管理机构、管理制度健全、质量检测能力与设备，完善编写了相关内容的，得基本分4分；编写内容比较合理完整的，得5~6分；编写内容对工期和质量保证合理的，得7~8分</w:t>
            </w:r>
          </w:p>
        </w:tc>
      </w:tr>
      <w:tr w14:paraId="1D5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47FFAD7">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CBF7B92">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E9AC8E">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安全生产管理体系及保证措施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5293214">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337EA6">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编写了相关内容的，得基本分4分；编写内容比较合理完整的，得5~6分；编写内容对安全生产、环保、水保是行之有效的，得6~8分</w:t>
            </w:r>
          </w:p>
        </w:tc>
      </w:tr>
      <w:tr w14:paraId="3A7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9F53273">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D203B3">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6542B">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环境保护、水土保持保证体系及保证措施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AF0D9A">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F2E2186">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投标人的环境保护、水土保持工作计划详细可行，工作机构设置合理，措施和方法得力（0～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p>
        </w:tc>
      </w:tr>
      <w:tr w14:paraId="4540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B7219B">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B6B73A3">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0A8A04">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文明施工、文物保护保证体系及保证措施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F57DA89">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7BBAAB1">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有完善的文明施工、文物保护保证体系及保证措施（0~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p>
        </w:tc>
      </w:tr>
      <w:tr w14:paraId="072A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98F4F3">
            <w:pPr>
              <w:pStyle w:val="37"/>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F0DA1A">
            <w:pPr>
              <w:pStyle w:val="37"/>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AE956B">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项目风险预测与防范，事故应急预案</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AAB3D5">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736214">
            <w:pPr>
              <w:pStyle w:val="37"/>
              <w:rPr>
                <w:rFonts w:hint="eastAsia" w:ascii="宋体" w:hAnsi="宋体" w:eastAsia="宋体" w:cs="宋体"/>
                <w:sz w:val="22"/>
                <w:szCs w:val="28"/>
                <w:highlight w:val="none"/>
              </w:rPr>
            </w:pPr>
            <w:r>
              <w:rPr>
                <w:rFonts w:hint="eastAsia" w:ascii="宋体" w:hAnsi="宋体" w:eastAsia="宋体" w:cs="宋体"/>
                <w:sz w:val="22"/>
                <w:szCs w:val="28"/>
                <w:highlight w:val="none"/>
              </w:rPr>
              <w:t>具有详细的风险预测与防范措施方案，良好的事故应急预案（0～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p>
        </w:tc>
      </w:tr>
      <w:tr w14:paraId="0A9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9E9CC9">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价格评分</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403FBAF">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40</w:t>
            </w:r>
            <w:r>
              <w:rPr>
                <w:rFonts w:hint="eastAsia" w:ascii="宋体" w:hAnsi="宋体" w:eastAsia="宋体" w:cs="宋体"/>
                <w:sz w:val="22"/>
                <w:szCs w:val="28"/>
                <w:highlight w:val="none"/>
              </w:rPr>
              <w:t>分</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6EE828">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最终报价</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04C84B">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40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805B8D">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综合评分法中的价格分统一采用低价优先法计算，即满足磋商文件要求且最后报价最低的供应商的价格为磋商基准价，其价格分为满分。其他供应商的价格分统一按照下列公式计算：</w:t>
            </w:r>
          </w:p>
          <w:p w14:paraId="128B4677">
            <w:pPr>
              <w:pStyle w:val="37"/>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磋商报价得分=（磋商基准价/最后磋商报价）×价格权值×100(保留两位小数)</w:t>
            </w:r>
          </w:p>
        </w:tc>
      </w:tr>
      <w:tr w14:paraId="5A3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CAD26C">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合计</w:t>
            </w:r>
          </w:p>
        </w:tc>
        <w:tc>
          <w:tcPr>
            <w:tcW w:w="8220" w:type="dxa"/>
            <w:gridSpan w:val="4"/>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7D67C0">
            <w:pPr>
              <w:pStyle w:val="37"/>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100分</w:t>
            </w:r>
          </w:p>
        </w:tc>
      </w:tr>
    </w:tbl>
    <w:p w14:paraId="16CAFDF4">
      <w:pPr>
        <w:pStyle w:val="12"/>
        <w:spacing w:line="360" w:lineRule="auto"/>
        <w:rPr>
          <w:rFonts w:hint="eastAsia" w:ascii="宋体" w:hAnsi="宋体" w:eastAsia="宋体" w:cs="宋体"/>
          <w:highlight w:val="none"/>
        </w:rPr>
      </w:pPr>
    </w:p>
    <w:p w14:paraId="3B8EF0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评分说明：</w:t>
      </w:r>
    </w:p>
    <w:p w14:paraId="1C9E7FB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a.评标委员会小组成员打分时不得协商,应独立完成。</w:t>
      </w:r>
    </w:p>
    <w:p w14:paraId="4730A4A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b.未满足招标文件要求的投标方,不予评分。</w:t>
      </w:r>
    </w:p>
    <w:p w14:paraId="6580C87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c.投标人报价超财政预算的按无效投标处理。</w:t>
      </w:r>
    </w:p>
    <w:p w14:paraId="7D9FB3B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d.属于中小企业评审优惠内容及价格扣除幅度，本项目的价格扣除为</w:t>
      </w:r>
      <w:r>
        <w:rPr>
          <w:rFonts w:hint="eastAsia" w:cs="宋体"/>
          <w:sz w:val="24"/>
          <w:szCs w:val="24"/>
          <w:highlight w:val="none"/>
          <w:lang w:val="en-US" w:eastAsia="zh-CN"/>
        </w:rPr>
        <w:t>10</w:t>
      </w:r>
      <w:r>
        <w:rPr>
          <w:rFonts w:hint="eastAsia" w:ascii="宋体" w:hAnsi="宋体" w:eastAsia="宋体" w:cs="宋体"/>
          <w:sz w:val="24"/>
          <w:szCs w:val="24"/>
          <w:highlight w:val="none"/>
        </w:rPr>
        <w:t>%。</w:t>
      </w:r>
    </w:p>
    <w:p w14:paraId="2EC24AD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根据中华人民共和国财政部、中华人民共和国工业和信息化部《政府采购促进中小企业发展管理办法》（财库[2020]46号）文件</w:t>
      </w:r>
      <w:r>
        <w:rPr>
          <w:rFonts w:hint="eastAsia" w:ascii="宋体" w:hAnsi="宋体" w:eastAsia="宋体" w:cs="宋体"/>
          <w:sz w:val="24"/>
          <w:szCs w:val="24"/>
          <w:highlight w:val="none"/>
          <w:lang w:val="en-US"/>
        </w:rPr>
        <w:t>和财库（2022）19号文</w:t>
      </w:r>
      <w:r>
        <w:rPr>
          <w:rFonts w:hint="eastAsia" w:ascii="宋体" w:hAnsi="宋体" w:eastAsia="宋体" w:cs="宋体"/>
          <w:sz w:val="24"/>
          <w:szCs w:val="24"/>
          <w:highlight w:val="none"/>
        </w:rPr>
        <w:t>的规定，属于中小企业评审优惠内容及幅度如下：</w:t>
      </w:r>
    </w:p>
    <w:p w14:paraId="20F11A3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（一）中小企业（含中型、小型、微型企业）应当同时符合以下条件：</w:t>
      </w:r>
    </w:p>
    <w:p w14:paraId="69815DC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①符合中小企业划分标准（按《关于印发中小企业划型标准规定的通知》（工信部联企业（2011）300号）执行）；</w:t>
      </w:r>
    </w:p>
    <w:p w14:paraId="35E3DCE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②提供本企业制造的货物、承担的项目或者服务，或者提供其他中小企业制造的货物。本项所称货物不包括使用大型企业注册商标的货物；</w:t>
      </w:r>
    </w:p>
    <w:p w14:paraId="05B3889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③小型、微型企业提供中型企业制造的货物的，视同为中型企业。</w:t>
      </w:r>
    </w:p>
    <w:p w14:paraId="331499C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（二）价格扣除办法：</w:t>
      </w:r>
    </w:p>
    <w:p w14:paraId="759BF14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对于非专门面向中小企业的项目，对小型和微型企业产品的价格给予</w:t>
      </w:r>
      <w:r>
        <w:rPr>
          <w:rFonts w:hint="eastAsia" w:cs="宋体"/>
          <w:sz w:val="24"/>
          <w:szCs w:val="24"/>
          <w:highlight w:val="none"/>
          <w:lang w:val="en-US" w:eastAsia="zh-CN"/>
        </w:rPr>
        <w:t>10</w:t>
      </w:r>
      <w:r>
        <w:rPr>
          <w:rFonts w:hint="eastAsia" w:ascii="宋体" w:hAnsi="宋体" w:eastAsia="宋体" w:cs="宋体"/>
          <w:sz w:val="24"/>
          <w:szCs w:val="24"/>
          <w:highlight w:val="none"/>
        </w:rPr>
        <w:t>%的扣除，用扣除后的价格参与价格分的评审。</w:t>
      </w:r>
    </w:p>
    <w:p w14:paraId="3FA57BB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（三）小型和微型企业适用价格扣除办法时应提供的相关资料：</w:t>
      </w:r>
    </w:p>
    <w:p w14:paraId="377A8CF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①《中小企业声明函》;</w:t>
      </w:r>
    </w:p>
    <w:p w14:paraId="44B2ABC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14:paraId="76428AA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w:t>
      </w:r>
    </w:p>
    <w:p w14:paraId="3BB7969B">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五、评标保密</w:t>
      </w:r>
    </w:p>
    <w:p w14:paraId="6A0747C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4C463A68">
      <w:pPr>
        <w:spacing w:line="440" w:lineRule="exact"/>
        <w:ind w:firstLine="482" w:firstLineChars="200"/>
        <w:rPr>
          <w:rFonts w:hint="eastAsia" w:ascii="宋体" w:hAnsi="宋体" w:eastAsia="宋体" w:cs="宋体"/>
          <w:b/>
          <w:spacing w:val="-1"/>
          <w:sz w:val="24"/>
          <w:szCs w:val="24"/>
        </w:rPr>
      </w:pPr>
      <w:r>
        <w:rPr>
          <w:rFonts w:hint="eastAsia" w:ascii="宋体" w:hAnsi="宋体" w:eastAsia="宋体" w:cs="宋体"/>
          <w:b/>
          <w:sz w:val="24"/>
          <w:szCs w:val="24"/>
        </w:rPr>
        <w:t>六、成交通知</w:t>
      </w:r>
    </w:p>
    <w:p w14:paraId="26BE583E">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6.1</w:t>
      </w:r>
      <w:r>
        <w:rPr>
          <w:rFonts w:hint="eastAsia" w:ascii="宋体" w:hAnsi="宋体" w:eastAsia="宋体" w:cs="宋体"/>
          <w:spacing w:val="-1"/>
          <w:sz w:val="24"/>
          <w:szCs w:val="24"/>
        </w:rPr>
        <w:t>确定成交人</w:t>
      </w:r>
    </w:p>
    <w:p w14:paraId="21B21685">
      <w:pPr>
        <w:spacing w:line="44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评标委员会根据最终评审向采购人推荐前3名成交候选人。</w:t>
      </w:r>
    </w:p>
    <w:p w14:paraId="7110D88F">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6.2</w:t>
      </w:r>
      <w:r>
        <w:rPr>
          <w:rFonts w:hint="eastAsia" w:ascii="宋体" w:hAnsi="宋体" w:eastAsia="宋体" w:cs="宋体"/>
          <w:spacing w:val="-1"/>
          <w:sz w:val="24"/>
          <w:szCs w:val="24"/>
        </w:rPr>
        <w:t>中标通知</w:t>
      </w:r>
    </w:p>
    <w:p w14:paraId="36491D20">
      <w:pPr>
        <w:pStyle w:val="10"/>
        <w:ind w:firstLine="476" w:firstLineChars="200"/>
        <w:rPr>
          <w:rFonts w:hint="eastAsia" w:ascii="宋体" w:hAnsi="宋体" w:eastAsia="宋体" w:cs="宋体"/>
          <w:sz w:val="20"/>
        </w:rPr>
      </w:pPr>
      <w:r>
        <w:rPr>
          <w:rFonts w:hint="eastAsia" w:ascii="宋体" w:hAnsi="宋体" w:eastAsia="宋体" w:cs="宋体"/>
          <w:spacing w:val="-1"/>
        </w:rPr>
        <w:t>确定出成交人后，采购人将以书面形式通知成交的竞争性磋商响应人。</w:t>
      </w:r>
      <w:bookmarkStart w:id="116" w:name="第八章__工程量清单计量规则"/>
      <w:bookmarkEnd w:id="116"/>
    </w:p>
    <w:p w14:paraId="10D87E2A">
      <w:pPr>
        <w:pStyle w:val="10"/>
        <w:rPr>
          <w:rFonts w:hint="eastAsia" w:ascii="宋体" w:hAnsi="宋体" w:eastAsia="宋体" w:cs="宋体"/>
          <w:sz w:val="20"/>
        </w:rPr>
      </w:pPr>
    </w:p>
    <w:p w14:paraId="377C2292">
      <w:pPr>
        <w:pStyle w:val="10"/>
        <w:rPr>
          <w:rFonts w:hint="eastAsia" w:ascii="宋体" w:hAnsi="宋体" w:eastAsia="宋体" w:cs="宋体"/>
          <w:sz w:val="20"/>
        </w:rPr>
      </w:pPr>
    </w:p>
    <w:p w14:paraId="73812374">
      <w:pPr>
        <w:pStyle w:val="10"/>
        <w:rPr>
          <w:rFonts w:hint="eastAsia" w:ascii="宋体" w:hAnsi="宋体" w:eastAsia="宋体" w:cs="宋体"/>
          <w:sz w:val="20"/>
        </w:rPr>
      </w:pPr>
    </w:p>
    <w:p w14:paraId="655362DA">
      <w:pPr>
        <w:pStyle w:val="10"/>
        <w:rPr>
          <w:rFonts w:hint="eastAsia" w:ascii="宋体" w:hAnsi="宋体" w:eastAsia="宋体" w:cs="宋体"/>
          <w:sz w:val="20"/>
        </w:rPr>
      </w:pPr>
    </w:p>
    <w:p w14:paraId="7A666FFF">
      <w:pPr>
        <w:pStyle w:val="10"/>
        <w:rPr>
          <w:rFonts w:hint="eastAsia" w:ascii="宋体" w:hAnsi="宋体" w:eastAsia="宋体" w:cs="宋体"/>
          <w:sz w:val="20"/>
        </w:rPr>
      </w:pPr>
    </w:p>
    <w:p w14:paraId="20F5BFAA">
      <w:pPr>
        <w:pStyle w:val="10"/>
        <w:rPr>
          <w:rFonts w:hint="eastAsia" w:ascii="宋体" w:hAnsi="宋体" w:eastAsia="宋体" w:cs="宋体"/>
          <w:sz w:val="20"/>
        </w:rPr>
      </w:pPr>
    </w:p>
    <w:p w14:paraId="0BC9648D">
      <w:pPr>
        <w:pStyle w:val="10"/>
        <w:rPr>
          <w:rFonts w:hint="eastAsia" w:ascii="宋体" w:hAnsi="宋体" w:eastAsia="宋体" w:cs="宋体"/>
          <w:sz w:val="20"/>
        </w:rPr>
      </w:pPr>
    </w:p>
    <w:p w14:paraId="1CD2518A">
      <w:pPr>
        <w:pStyle w:val="10"/>
        <w:rPr>
          <w:rFonts w:hint="eastAsia" w:ascii="宋体" w:hAnsi="宋体" w:eastAsia="宋体" w:cs="宋体"/>
          <w:sz w:val="20"/>
        </w:rPr>
      </w:pPr>
    </w:p>
    <w:p w14:paraId="52F7C74F">
      <w:pPr>
        <w:pStyle w:val="10"/>
        <w:rPr>
          <w:rFonts w:hint="eastAsia" w:ascii="宋体" w:hAnsi="宋体" w:eastAsia="宋体" w:cs="宋体"/>
          <w:sz w:val="20"/>
        </w:rPr>
      </w:pPr>
    </w:p>
    <w:p w14:paraId="0C455778">
      <w:pPr>
        <w:pStyle w:val="10"/>
        <w:spacing w:before="4"/>
        <w:rPr>
          <w:rFonts w:hint="eastAsia" w:ascii="宋体" w:hAnsi="宋体" w:eastAsia="宋体" w:cs="宋体"/>
          <w:sz w:val="18"/>
        </w:rPr>
      </w:pPr>
    </w:p>
    <w:p w14:paraId="4EE5B4F5">
      <w:pPr>
        <w:adjustRightInd w:val="0"/>
        <w:spacing w:line="360" w:lineRule="auto"/>
        <w:ind w:firstLine="482" w:firstLineChars="200"/>
        <w:rPr>
          <w:rFonts w:hint="eastAsia" w:ascii="宋体" w:hAnsi="宋体" w:eastAsia="宋体" w:cs="宋体"/>
          <w:b/>
          <w:sz w:val="24"/>
          <w:szCs w:val="24"/>
          <w:lang w:val="en-US" w:bidi="ar-SA"/>
        </w:rPr>
      </w:pPr>
      <w:bookmarkStart w:id="117" w:name="_TOC_250018"/>
      <w:bookmarkEnd w:id="117"/>
    </w:p>
    <w:sectPr>
      <w:headerReference r:id="rId28" w:type="default"/>
      <w:footerReference r:id="rId29" w:type="default"/>
      <w:pgSz w:w="11910" w:h="16840"/>
      <w:pgMar w:top="1580" w:right="1240" w:bottom="1040" w:left="1260" w:header="0" w:footer="8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53CB">
    <w:pPr>
      <w:kinsoku w:val="0"/>
      <w:overflowPunct w:val="0"/>
      <w:adjustRightInd w:val="0"/>
      <w:spacing w:line="14" w:lineRule="auto"/>
      <w:rPr>
        <w:rFonts w:eastAsia="Times New Roman" w:cs="Times New Roman"/>
        <w:sz w:val="20"/>
        <w:szCs w:val="24"/>
        <w:lang w:val="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0A9B">
    <w:pPr>
      <w:pStyle w:val="10"/>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A4029">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0Ms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fk2Naj3UGHek8fMONy5Addm9gM6k+6hDSZ9URHBOLb3dGmvHCIR6dGqXK0KDAmMzRfEZ8/PfYD4&#10;XjpDklHTgPPLbeXHR4hj6pySqll3r7TOM9T2LwdiJg9L3EeOyYrDbpgE7VxzQj09jr6mFjedEv1g&#10;sbNpS2YjzMZuNg4+qH2H1JaZF/jbQ0QSmVuqMMJOhXFmWd20X2kp/rznrOd/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nEZNDLAQAAmwMAAA4AAAAAAAAAAQAgAAAAHgEAAGRycy9lMm9E&#10;b2MueG1sUEsFBgAAAAAGAAYAWQEAAFsFAAAAAA==&#10;">
              <v:fill on="f" focussize="0,0"/>
              <v:stroke on="f"/>
              <v:imagedata o:title=""/>
              <o:lock v:ext="edit" aspectratio="f"/>
              <v:textbox inset="0mm,0mm,0mm,0mm" style="mso-fit-shape-to-text:t;">
                <w:txbxContent>
                  <w:p w14:paraId="423A4029">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A186">
    <w:pPr>
      <w:pStyle w:val="10"/>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93F83">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1rc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c&#10;vcwN6gPUmHcXMDMNb/2AazP7AZ1Z96CizV9URDCO7T1f2yuHRER+tF6t1xWGBMbmC+Kzh+chQnon&#10;vSXZaGjE+ZW28tMHSGPqnJKrOX+rjSkzNO4vB2JmD8vcR47ZSsN+mATtfXtGPT2OvqEON50S895h&#10;Z/OWzEacjf1sHEPUhw6pLQsvCG+OCUkUbrnCCDsVxpkVddN+5aX4816yHv6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Y1rcoBAACbAwAADgAAAAAAAAABACAAAAAeAQAAZHJzL2Uyb0Rv&#10;Yy54bWxQSwUGAAAAAAYABgBZAQAAWgUAAAAA&#10;">
              <v:fill on="f" focussize="0,0"/>
              <v:stroke on="f"/>
              <v:imagedata o:title=""/>
              <o:lock v:ext="edit" aspectratio="f"/>
              <v:textbox inset="0mm,0mm,0mm,0mm" style="mso-fit-shape-to-text:t;">
                <w:txbxContent>
                  <w:p w14:paraId="6EB93F83">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769D">
    <w:pPr>
      <w:pStyle w:val="10"/>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BB5F6B">
                          <w:pPr>
                            <w:pStyle w:val="15"/>
                          </w:pPr>
                          <w:r>
                            <w:fldChar w:fldCharType="begin"/>
                          </w:r>
                          <w:r>
                            <w:instrText xml:space="preserve"> PAGE  \* MERGEFORMAT </w:instrText>
                          </w:r>
                          <w:r>
                            <w:fldChar w:fldCharType="separate"/>
                          </w:r>
                          <w:r>
                            <w:t>154</w:t>
                          </w:r>
                          <w:r>
                            <w:fldChar w:fldCharType="end"/>
                          </w:r>
                        </w:p>
                      </w:txbxContent>
                    </wps:txbx>
                    <wps:bodyPr wrap="none" lIns="0" tIns="0" rIns="0" bIns="0" upright="1">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J6WufLAQAAnAMAAA4AAAAAAAAAAQAgAAAAHgEAAGRycy9lMm9E&#10;b2MueG1sUEsFBgAAAAAGAAYAWQEAAFsFAAAAAA==&#10;">
              <v:fill on="f" focussize="0,0"/>
              <v:stroke on="f"/>
              <v:imagedata o:title=""/>
              <o:lock v:ext="edit" aspectratio="f"/>
              <v:textbox inset="0mm,0mm,0mm,0mm" style="mso-fit-shape-to-text:t;">
                <w:txbxContent>
                  <w:p w14:paraId="38BB5F6B">
                    <w:pPr>
                      <w:pStyle w:val="15"/>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066A">
    <w:pPr>
      <w:pStyle w:val="10"/>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B3A3">
                          <w:pPr>
                            <w:pStyle w:val="15"/>
                          </w:pPr>
                          <w:r>
                            <w:fldChar w:fldCharType="begin"/>
                          </w:r>
                          <w:r>
                            <w:instrText xml:space="preserve"> PAGE  \* MERGEFORMAT </w:instrText>
                          </w:r>
                          <w:r>
                            <w:fldChar w:fldCharType="separate"/>
                          </w:r>
                          <w:r>
                            <w:t>157</w:t>
                          </w:r>
                          <w:r>
                            <w:fldChar w:fldCharType="end"/>
                          </w:r>
                        </w:p>
                      </w:txbxContent>
                    </wps:txbx>
                    <wps:bodyPr wrap="none" lIns="0" tIns="0" rIns="0" bIns="0" upright="1">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LJU8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blDSWWG5z4+fu3849f559f&#10;yXL1O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sslTzAEAAJwDAAAOAAAAAAAAAAEAIAAAAB4BAABkcnMvZTJv&#10;RG9jLnhtbFBLBQYAAAAABgAGAFkBAABcBQAAAAA=&#10;">
              <v:fill on="f" focussize="0,0"/>
              <v:stroke on="f"/>
              <v:imagedata o:title=""/>
              <o:lock v:ext="edit" aspectratio="f"/>
              <v:textbox inset="0mm,0mm,0mm,0mm" style="mso-fit-shape-to-text:t;">
                <w:txbxContent>
                  <w:p w14:paraId="611EB3A3">
                    <w:pPr>
                      <w:pStyle w:val="15"/>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1477">
    <w:pPr>
      <w:pStyle w:val="10"/>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C3709">
                          <w:pPr>
                            <w:pStyle w:val="15"/>
                          </w:pPr>
                          <w:r>
                            <w:fldChar w:fldCharType="begin"/>
                          </w:r>
                          <w:r>
                            <w:instrText xml:space="preserve"> PAGE  \* MERGEFORMAT </w:instrText>
                          </w:r>
                          <w:r>
                            <w:fldChar w:fldCharType="separate"/>
                          </w:r>
                          <w:r>
                            <w:t>164</w:t>
                          </w:r>
                          <w:r>
                            <w:fldChar w:fldCharType="end"/>
                          </w:r>
                        </w:p>
                      </w:txbxContent>
                    </wps:txbx>
                    <wps:bodyPr wrap="none" lIns="0" tIns="0" rIns="0" bIns="0" upright="1">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Odh8wBAACcAwAADgAAAGRycy9lMm9Eb2MueG1srVNLbtswEN0XyB0I&#10;7mPKRhA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3LG0osNzjx84/v55+/z7++&#10;keXqNnWo91Bh4qPH1Di8cwPuzewHdCbhQxtM+qIkgnHs7+nSXzlEItKjclW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u052HzAEAAJwDAAAOAAAAAAAAAAEAIAAAAB4BAABkcnMvZTJv&#10;RG9jLnhtbFBLBQYAAAAABgAGAFkBAABcBQAAAAA=&#10;">
              <v:fill on="f" focussize="0,0"/>
              <v:stroke on="f"/>
              <v:imagedata o:title=""/>
              <o:lock v:ext="edit" aspectratio="f"/>
              <v:textbox inset="0mm,0mm,0mm,0mm" style="mso-fit-shape-to-text:t;">
                <w:txbxContent>
                  <w:p w14:paraId="2FFC3709">
                    <w:pPr>
                      <w:pStyle w:val="15"/>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85E">
    <w:pPr>
      <w:pStyle w:val="10"/>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DBD248">
                          <w:pPr>
                            <w:pStyle w:val="15"/>
                          </w:pPr>
                          <w:r>
                            <w:fldChar w:fldCharType="begin"/>
                          </w:r>
                          <w:r>
                            <w:instrText xml:space="preserve"> PAGE  \* MERGEFORMAT </w:instrText>
                          </w:r>
                          <w:r>
                            <w:fldChar w:fldCharType="separate"/>
                          </w:r>
                          <w:r>
                            <w:t>166</w:t>
                          </w:r>
                          <w:r>
                            <w:fldChar w:fldCharType="end"/>
                          </w:r>
                        </w:p>
                      </w:txbxContent>
                    </wps:txbx>
                    <wps:bodyPr wrap="none" lIns="0" tIns="0" rIns="0" bIns="0" upright="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sOM8wBAACcAwAADgAAAGRycy9lMm9Eb2MueG1srVPNjtMwEL4j7TtY&#10;vm+dVlq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blDSWWG5z4+fu3849f559f&#10;yXL1J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Gw4zzAEAAJwDAAAOAAAAAAAAAAEAIAAAAB4BAABkcnMvZTJv&#10;RG9jLnhtbFBLBQYAAAAABgAGAFkBAABcBQAAAAA=&#10;">
              <v:fill on="f" focussize="0,0"/>
              <v:stroke on="f"/>
              <v:imagedata o:title=""/>
              <o:lock v:ext="edit" aspectratio="f"/>
              <v:textbox inset="0mm,0mm,0mm,0mm" style="mso-fit-shape-to-text:t;">
                <w:txbxContent>
                  <w:p w14:paraId="34DBD248">
                    <w:pPr>
                      <w:pStyle w:val="15"/>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DA43">
    <w:pPr>
      <w:pStyle w:val="10"/>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3766C">
                          <w:pPr>
                            <w:pStyle w:val="15"/>
                          </w:pPr>
                          <w:r>
                            <w:fldChar w:fldCharType="begin"/>
                          </w:r>
                          <w:r>
                            <w:instrText xml:space="preserve"> PAGE  \* MERGEFORMAT </w:instrText>
                          </w:r>
                          <w:r>
                            <w:fldChar w:fldCharType="separate"/>
                          </w:r>
                          <w:r>
                            <w:t>170</w:t>
                          </w:r>
                          <w:r>
                            <w:fldChar w:fldCharType="end"/>
                          </w:r>
                        </w:p>
                      </w:txbxContent>
                    </wps:txbx>
                    <wps:bodyPr wrap="none" lIns="0" tIns="0" rIns="0" bIns="0" upright="1">
                      <a:spAutoFit/>
                    </wps:bodyPr>
                  </wps:wsp>
                </a:graphicData>
              </a:graphic>
            </wp:anchor>
          </w:drawing>
        </mc:Choice>
        <mc:Fallback>
          <w:pict>
            <v:shape id="文本框 12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kcg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rS6ocQygxM/f/92/vHr/PMr&#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5HILLAQAAnAMAAA4AAAAAAAAAAQAgAAAAHgEAAGRycy9lMm9E&#10;b2MueG1sUEsFBgAAAAAGAAYAWQEAAFsFAAAAAA==&#10;">
              <v:fill on="f" focussize="0,0"/>
              <v:stroke on="f"/>
              <v:imagedata o:title=""/>
              <o:lock v:ext="edit" aspectratio="f"/>
              <v:textbox inset="0mm,0mm,0mm,0mm" style="mso-fit-shape-to-text:t;">
                <w:txbxContent>
                  <w:p w14:paraId="7FB3766C">
                    <w:pPr>
                      <w:pStyle w:val="15"/>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A1C5">
    <w:pPr>
      <w:pStyle w:val="10"/>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3259D">
                          <w:pPr>
                            <w:pStyle w:val="15"/>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1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esY82zAEAAJwDAAAOAAAAAAAAAAEAIAAAAB4BAABkcnMvZTJv&#10;RG9jLnhtbFBLBQYAAAAABgAGAFkBAABcBQAAAAA=&#10;">
              <v:fill on="f" focussize="0,0"/>
              <v:stroke on="f"/>
              <v:imagedata o:title=""/>
              <o:lock v:ext="edit" aspectratio="f"/>
              <v:textbox inset="0mm,0mm,0mm,0mm" style="mso-fit-shape-to-text:t;">
                <w:txbxContent>
                  <w:p w14:paraId="4383259D">
                    <w:pPr>
                      <w:pStyle w:val="15"/>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71D1">
    <w:pPr>
      <w:kinsoku w:val="0"/>
      <w:overflowPunct w:val="0"/>
      <w:adjustRightInd w:val="0"/>
      <w:spacing w:line="14" w:lineRule="auto"/>
      <w:rPr>
        <w:rFonts w:eastAsia="Times New Roman" w:cs="Times New Roman"/>
        <w:sz w:val="20"/>
        <w:szCs w:val="24"/>
        <w:lang w:val="en-US" w:bidi="ar-SA"/>
      </w:rPr>
    </w:pPr>
  </w:p>
  <w:p w14:paraId="48728CF6">
    <w:pPr>
      <w:kinsoku w:val="0"/>
      <w:overflowPunct w:val="0"/>
      <w:adjustRightInd w:val="0"/>
      <w:spacing w:line="14" w:lineRule="auto"/>
      <w:rPr>
        <w:rFonts w:eastAsia="Times New Roman" w:cs="Times New Roman"/>
        <w:sz w:val="20"/>
        <w:szCs w:val="24"/>
        <w:lang w:val="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8B62">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F0814A">
                          <w:pPr>
                            <w:pStyle w:val="15"/>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文本框 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AwSMwBAACcAwAADgAAAGRycy9lMm9Eb2MueG1srVPNjtMwEL4j8Q6W&#10;79skXQR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h8DBIzAEAAJwDAAAOAAAAAAAAAAEAIAAAAB4BAABkcnMvZTJv&#10;RG9jLnhtbFBLBQYAAAAABgAGAFkBAABcBQAAAAA=&#10;">
              <v:fill on="f" focussize="0,0"/>
              <v:stroke on="f"/>
              <v:imagedata o:title=""/>
              <o:lock v:ext="edit" aspectratio="f"/>
              <v:textbox inset="0mm,0mm,0mm,0mm" style="mso-fit-shape-to-text:t;">
                <w:txbxContent>
                  <w:p w14:paraId="6DF0814A">
                    <w:pPr>
                      <w:pStyle w:val="1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F6B7">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CFA90">
                          <w:pPr>
                            <w:pStyle w:val="15"/>
                          </w:pPr>
                          <w:r>
                            <w:fldChar w:fldCharType="begin"/>
                          </w:r>
                          <w:r>
                            <w:instrText xml:space="preserve"> PAGE  \* MERGEFORMAT </w:instrText>
                          </w:r>
                          <w:r>
                            <w:fldChar w:fldCharType="separate"/>
                          </w:r>
                          <w:r>
                            <w:t>91</w:t>
                          </w:r>
                          <w:r>
                            <w:fldChar w:fldCharType="end"/>
                          </w:r>
                        </w:p>
                      </w:txbxContent>
                    </wps:txbx>
                    <wps:bodyPr wrap="none" lIns="0" tIns="0" rIns="0" bIns="0" upright="1">
                      <a:spAutoFit/>
                    </wps:bodyPr>
                  </wps:wsp>
                </a:graphicData>
              </a:graphic>
            </wp:anchor>
          </w:drawing>
        </mc:Choice>
        <mc:Fallback>
          <w:pict>
            <v:shape id="文本框 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vCqswBAACcAwAADgAAAGRycy9lMm9Eb2MueG1srVPNjtMwEL4j8Q6W&#10;79sk1QJ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0G8KqzAEAAJwDAAAOAAAAAAAAAAEAIAAAAB4BAABkcnMvZTJv&#10;RG9jLnhtbFBLBQYAAAAABgAGAFkBAABcBQAAAAA=&#10;">
              <v:fill on="f" focussize="0,0"/>
              <v:stroke on="f"/>
              <v:imagedata o:title=""/>
              <o:lock v:ext="edit" aspectratio="f"/>
              <v:textbox inset="0mm,0mm,0mm,0mm" style="mso-fit-shape-to-text:t;">
                <w:txbxContent>
                  <w:p w14:paraId="257CFA90">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B332">
    <w:pPr>
      <w:pStyle w:val="10"/>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6A4D4">
                          <w:pPr>
                            <w:pStyle w:val="15"/>
                          </w:pPr>
                          <w:r>
                            <w:fldChar w:fldCharType="begin"/>
                          </w:r>
                          <w:r>
                            <w:instrText xml:space="preserve"> PAGE  \* MERGEFORMAT </w:instrText>
                          </w:r>
                          <w:r>
                            <w:fldChar w:fldCharType="separate"/>
                          </w:r>
                          <w:r>
                            <w:t>101</w:t>
                          </w:r>
                          <w:r>
                            <w:fldChar w:fldCharType="end"/>
                          </w:r>
                        </w:p>
                      </w:txbxContent>
                    </wps:txbx>
                    <wps:bodyPr wrap="none" lIns="0" tIns="0" rIns="0" bIns="0" upright="1">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dWfcozAEAAJwDAAAOAAAAAAAAAAEAIAAAAB4BAABkcnMvZTJv&#10;RG9jLnhtbFBLBQYAAAAABgAGAFkBAABcBQAAAAA=&#10;">
              <v:fill on="f" focussize="0,0"/>
              <v:stroke on="f"/>
              <v:imagedata o:title=""/>
              <o:lock v:ext="edit" aspectratio="f"/>
              <v:textbox inset="0mm,0mm,0mm,0mm" style="mso-fit-shape-to-text:t;">
                <w:txbxContent>
                  <w:p w14:paraId="38E6A4D4">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0991">
    <w:pPr>
      <w:pStyle w:val="10"/>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C0DBC">
                          <w:pPr>
                            <w:pStyle w:val="15"/>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文本框 118"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toLLAQAAnAMAAA4AAAAAAAAAAQAgAAAAHgEAAGRycy9lMm9E&#10;b2MueG1sUEsFBgAAAAAGAAYAWQEAAFsFAAAAAA==&#10;">
              <v:fill on="f" focussize="0,0"/>
              <v:stroke on="f"/>
              <v:imagedata o:title=""/>
              <o:lock v:ext="edit" aspectratio="f"/>
              <v:textbox inset="0mm,0mm,0mm,0mm" style="mso-fit-shape-to-text:t;">
                <w:txbxContent>
                  <w:p w14:paraId="682C0DBC">
                    <w:pPr>
                      <w:pStyle w:val="1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6938">
    <w:pPr>
      <w:pStyle w:val="10"/>
      <w:spacing w:line="14" w:lineRule="auto"/>
      <w:rPr>
        <w:sz w:val="6"/>
      </w:rPr>
    </w:pPr>
    <w:r>
      <w:rPr>
        <w:sz w:val="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C3D8B">
                          <w:pPr>
                            <w:pStyle w:val="15"/>
                          </w:pPr>
                          <w:r>
                            <w:fldChar w:fldCharType="begin"/>
                          </w:r>
                          <w:r>
                            <w:instrText xml:space="preserve"> PAGE  \* MERGEFORMAT </w:instrText>
                          </w:r>
                          <w:r>
                            <w:fldChar w:fldCharType="separate"/>
                          </w:r>
                          <w:r>
                            <w:t>120</w:t>
                          </w:r>
                          <w:r>
                            <w:fldChar w:fldCharType="end"/>
                          </w:r>
                        </w:p>
                      </w:txbxContent>
                    </wps:txbx>
                    <wps:bodyPr wrap="none" lIns="0" tIns="0" rIns="0" bIns="0" upright="1">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k66ckBAACc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5y74xYnfvn+7fLj1+XnV7Jc&#10;FYX6ADUmPgRMTcMbP+DeZOWyH9CZiQ8q2vxFSgTjqO/5qq8cEhH50Xq1XlcYEhibL4jDbs9DhPRW&#10;ekuy0dCIAyy68tN7SGPqnJKrOX+vjSlDNO4vB2JmD7v1mK007Iep8b1vz8inx9k31OGqU2LeOZQ2&#10;r8lsxNnYz8YxRH3osLVl6QvC62PCJkpvucIIOxXGoRV204LlrfjzXrJuP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qTrpyQEAAJwDAAAOAAAAAAAAAAEAIAAAAB4BAABkcnMvZTJvRG9j&#10;LnhtbFBLBQYAAAAABgAGAFkBAABZBQAAAAA=&#10;">
              <v:fill on="f" focussize="0,0"/>
              <v:stroke on="f"/>
              <v:imagedata o:title=""/>
              <o:lock v:ext="edit" aspectratio="f"/>
              <v:textbox inset="0mm,0mm,0mm,0mm" style="mso-fit-shape-to-text:t;">
                <w:txbxContent>
                  <w:p w14:paraId="42AC3D8B">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C580">
    <w:pPr>
      <w:pStyle w:val="10"/>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C3EA4">
                          <w:pPr>
                            <w:pStyle w:val="15"/>
                          </w:pPr>
                          <w:r>
                            <w:fldChar w:fldCharType="begin"/>
                          </w:r>
                          <w:r>
                            <w:instrText xml:space="preserve"> PAGE  \* MERGEFORMAT </w:instrText>
                          </w:r>
                          <w:r>
                            <w:fldChar w:fldCharType="separate"/>
                          </w:r>
                          <w:r>
                            <w:t>130</w:t>
                          </w:r>
                          <w:r>
                            <w:fldChar w:fldCharType="end"/>
                          </w:r>
                        </w:p>
                      </w:txbxContent>
                    </wps:txbx>
                    <wps:bodyPr wrap="none" lIns="0" tIns="0" rIns="0" bIns="0" upright="1">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TYaldzAEAAJwDAAAOAAAAAAAAAAEAIAAAAB4BAABkcnMvZTJv&#10;RG9jLnhtbFBLBQYAAAAABgAGAFkBAABcBQAAAAA=&#10;">
              <v:fill on="f" focussize="0,0"/>
              <v:stroke on="f"/>
              <v:imagedata o:title=""/>
              <o:lock v:ext="edit" aspectratio="f"/>
              <v:textbox inset="0mm,0mm,0mm,0mm" style="mso-fit-shape-to-text:t;">
                <w:txbxContent>
                  <w:p w14:paraId="2BBC3EA4">
                    <w:pPr>
                      <w:pStyle w:val="1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9CC6">
    <w:pPr>
      <w:pStyle w:val="10"/>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D9D39">
                          <w:pPr>
                            <w:pStyle w:val="15"/>
                          </w:pPr>
                          <w:r>
                            <w:fldChar w:fldCharType="begin"/>
                          </w:r>
                          <w:r>
                            <w:instrText xml:space="preserve"> PAGE  \* MERGEFORMAT </w:instrText>
                          </w:r>
                          <w:r>
                            <w:fldChar w:fldCharType="separate"/>
                          </w:r>
                          <w:r>
                            <w:t>140</w:t>
                          </w:r>
                          <w:r>
                            <w:fldChar w:fldCharType="end"/>
                          </w:r>
                        </w:p>
                      </w:txbxContent>
                    </wps:txbx>
                    <wps:bodyPr wrap="none" lIns="0" tIns="0" rIns="0" bIns="0" upright="1">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fhBOMoBAACcAwAADgAAAAAAAAABACAAAAAeAQAAZHJzL2Uyb0Rv&#10;Yy54bWxQSwUGAAAAAAYABgBZAQAAWgUAAAAA&#10;">
              <v:fill on="f" focussize="0,0"/>
              <v:stroke on="f"/>
              <v:imagedata o:title=""/>
              <o:lock v:ext="edit" aspectratio="f"/>
              <v:textbox inset="0mm,0mm,0mm,0mm" style="mso-fit-shape-to-text:t;">
                <w:txbxContent>
                  <w:p w14:paraId="54AD9D39">
                    <w:pPr>
                      <w:pStyle w:val="15"/>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BC5B">
    <w:pPr>
      <w:kinsoku w:val="0"/>
      <w:overflowPunct w:val="0"/>
      <w:adjustRightInd w:val="0"/>
      <w:spacing w:line="14" w:lineRule="auto"/>
      <w:rPr>
        <w:rFonts w:eastAsia="Times New Roman" w:cs="Times New Roman"/>
        <w:sz w:val="20"/>
        <w:szCs w:val="24"/>
        <w:lang w:val="en-US"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A3A7">
    <w:pPr>
      <w:pStyle w:val="10"/>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2806">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1539">
    <w:pPr>
      <w:pStyle w:val="1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93F">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1239520</wp:posOffset>
              </wp:positionH>
              <wp:positionV relativeFrom="page">
                <wp:posOffset>547370</wp:posOffset>
              </wp:positionV>
              <wp:extent cx="1426845" cy="236855"/>
              <wp:effectExtent l="0" t="0" r="0" b="0"/>
              <wp:wrapNone/>
              <wp:docPr id="49" name="文本框 33"/>
              <wp:cNvGraphicFramePr/>
              <a:graphic xmlns:a="http://schemas.openxmlformats.org/drawingml/2006/main">
                <a:graphicData uri="http://schemas.microsoft.com/office/word/2010/wordprocessingShape">
                  <wps:wsp>
                    <wps:cNvSpPr txBox="1"/>
                    <wps:spPr>
                      <a:xfrm>
                        <a:off x="0" y="0"/>
                        <a:ext cx="1426845" cy="236855"/>
                      </a:xfrm>
                      <a:prstGeom prst="rect">
                        <a:avLst/>
                      </a:prstGeom>
                      <a:noFill/>
                      <a:ln>
                        <a:noFill/>
                      </a:ln>
                    </wps:spPr>
                    <wps:txbx>
                      <w:txbxContent>
                        <w:p w14:paraId="0C714C40">
                          <w:pPr>
                            <w:pStyle w:val="22"/>
                            <w:ind w:firstLine="0" w:firstLineChars="0"/>
                            <w:rPr>
                              <w:lang w:val="en-US"/>
                            </w:rPr>
                          </w:pPr>
                        </w:p>
                      </w:txbxContent>
                    </wps:txbx>
                    <wps:bodyPr lIns="0" tIns="0" rIns="0" bIns="0" upright="1"/>
                  </wps:wsp>
                </a:graphicData>
              </a:graphic>
            </wp:anchor>
          </w:drawing>
        </mc:Choice>
        <mc:Fallback>
          <w:pict>
            <v:shape id="文本框 33" o:spid="_x0000_s1026" o:spt="202" type="#_x0000_t202" style="position:absolute;left:0pt;margin-left:97.6pt;margin-top:43.1pt;height:18.65pt;width:112.35pt;mso-position-horizontal-relative:page;mso-position-vertical-relative:page;z-index:-251657216;mso-width-relative:page;mso-height-relative:page;" filled="f" stroked="f" coordsize="21600,21600" o:gfxdata="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FkkfZAAAACgEAAA8AAAAAAAAAAQAgAAAAIgAAAGRycy9kb3ducmV2LnhtbFBL&#10;AQIUABQAAAAIAIdO4kDaKpj6vAEAAHQDAAAOAAAAAAAAAAEAIAAAACgBAABkcnMvZTJvRG9jLnht&#10;bFBLBQYAAAAABgAGAFkBAABWBQAAAAA=&#10;">
              <v:fill on="f" focussize="0,0"/>
              <v:stroke on="f"/>
              <v:imagedata o:title=""/>
              <o:lock v:ext="edit" aspectratio="f"/>
              <v:textbox inset="0mm,0mm,0mm,0mm">
                <w:txbxContent>
                  <w:p w14:paraId="0C714C40">
                    <w:pPr>
                      <w:pStyle w:val="22"/>
                      <w:ind w:firstLine="0" w:firstLineChars="0"/>
                      <w:rPr>
                        <w:lang w:val="en-US"/>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A1A9">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1"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4F02D6A4">
                          <w:pPr>
                            <w:tabs>
                              <w:tab w:val="left" w:pos="859"/>
                            </w:tabs>
                            <w:spacing w:line="249" w:lineRule="exact"/>
                            <w:ind w:left="20"/>
                            <w:rPr>
                              <w:sz w:val="21"/>
                            </w:rPr>
                          </w:pPr>
                        </w:p>
                        <w:p w14:paraId="1B89EEE5">
                          <w:pPr>
                            <w:pStyle w:val="22"/>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8000;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F77PuW7AQAAdAMAAA4AAAAAAAAAAQAgAAAAJQEAAGRycy9lMm9Eb2MueG1sUEsF&#10;BgAAAAAGAAYAWQEAAFIFAAAAAA==&#10;">
              <v:fill on="f" focussize="0,0"/>
              <v:stroke on="f"/>
              <v:imagedata o:title=""/>
              <o:lock v:ext="edit" aspectratio="f"/>
              <v:textbox inset="0mm,0mm,0mm,0mm">
                <w:txbxContent>
                  <w:p w14:paraId="4F02D6A4">
                    <w:pPr>
                      <w:tabs>
                        <w:tab w:val="left" w:pos="859"/>
                      </w:tabs>
                      <w:spacing w:line="249" w:lineRule="exact"/>
                      <w:ind w:left="20"/>
                      <w:rPr>
                        <w:sz w:val="21"/>
                      </w:rPr>
                    </w:pPr>
                  </w:p>
                  <w:p w14:paraId="1B89EEE5">
                    <w:pPr>
                      <w:pStyle w:val="22"/>
                      <w:ind w:firstLine="440"/>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F7E9">
    <w:pPr>
      <w:pStyle w:val="10"/>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667442B3">
                          <w:pPr>
                            <w:tabs>
                              <w:tab w:val="left" w:pos="859"/>
                            </w:tabs>
                            <w:spacing w:line="249" w:lineRule="exact"/>
                            <w:ind w:left="20"/>
                            <w:rPr>
                              <w:sz w:val="21"/>
                            </w:rPr>
                          </w:pPr>
                        </w:p>
                        <w:p w14:paraId="2172306C">
                          <w:pPr>
                            <w:pStyle w:val="22"/>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6976;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IjBVgC7AQAAcwMAAA4AAAAAAAAAAQAgAAAAJQEAAGRycy9lMm9Eb2MueG1sUEsF&#10;BgAAAAAGAAYAWQEAAFIFAAAAAA==&#10;">
              <v:fill on="f" focussize="0,0"/>
              <v:stroke on="f"/>
              <v:imagedata o:title=""/>
              <o:lock v:ext="edit" aspectratio="f"/>
              <v:textbox inset="0mm,0mm,0mm,0mm">
                <w:txbxContent>
                  <w:p w14:paraId="667442B3">
                    <w:pPr>
                      <w:tabs>
                        <w:tab w:val="left" w:pos="859"/>
                      </w:tabs>
                      <w:spacing w:line="249" w:lineRule="exact"/>
                      <w:ind w:left="20"/>
                      <w:rPr>
                        <w:sz w:val="21"/>
                      </w:rPr>
                    </w:pPr>
                  </w:p>
                  <w:p w14:paraId="2172306C">
                    <w:pPr>
                      <w:pStyle w:val="22"/>
                      <w:ind w:firstLine="440"/>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624F">
    <w:pPr>
      <w:pStyle w:val="1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1140460</wp:posOffset>
              </wp:positionH>
              <wp:positionV relativeFrom="page">
                <wp:posOffset>547370</wp:posOffset>
              </wp:positionV>
              <wp:extent cx="759460" cy="158115"/>
              <wp:effectExtent l="0" t="0" r="0" b="0"/>
              <wp:wrapNone/>
              <wp:docPr id="55" name="文本框 43"/>
              <wp:cNvGraphicFramePr/>
              <a:graphic xmlns:a="http://schemas.openxmlformats.org/drawingml/2006/main">
                <a:graphicData uri="http://schemas.microsoft.com/office/word/2010/wordprocessingShape">
                  <wps:wsp>
                    <wps:cNvSpPr txBox="1"/>
                    <wps:spPr>
                      <a:xfrm>
                        <a:off x="0" y="0"/>
                        <a:ext cx="759460" cy="158115"/>
                      </a:xfrm>
                      <a:prstGeom prst="rect">
                        <a:avLst/>
                      </a:prstGeom>
                      <a:noFill/>
                      <a:ln>
                        <a:noFill/>
                      </a:ln>
                    </wps:spPr>
                    <wps:txbx>
                      <w:txbxContent>
                        <w:p w14:paraId="2900CA1E"/>
                      </w:txbxContent>
                    </wps:txbx>
                    <wps:bodyPr lIns="0" tIns="0" rIns="0" bIns="0" upright="1"/>
                  </wps:wsp>
                </a:graphicData>
              </a:graphic>
            </wp:anchor>
          </w:drawing>
        </mc:Choice>
        <mc:Fallback>
          <w:pict>
            <v:shape id="文本框 43" o:spid="_x0000_s1026" o:spt="202" type="#_x0000_t202" style="position:absolute;left:0pt;margin-left:89.8pt;margin-top:43.1pt;height:12.45pt;width:59.8pt;mso-position-horizontal-relative:page;mso-position-vertical-relative:page;z-index:-251651072;mso-width-relative:page;mso-height-relative:page;" filled="f" stroked="f" coordsize="21600,21600" o:gfxdata="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BgLQ1gAAAAoBAAAPAAAAAAAAAAEAIAAAACIAAABkcnMvZG93bnJldi54bWxQSwEC&#10;FAAUAAAACACHTuJA1BFTWb0BAABzAwAADgAAAAAAAAABACAAAAAlAQAAZHJzL2Uyb0RvYy54bWxQ&#10;SwUGAAAAAAYABgBZAQAAVAUAAAAA&#10;">
              <v:fill on="f" focussize="0,0"/>
              <v:stroke on="f"/>
              <v:imagedata o:title=""/>
              <o:lock v:ext="edit" aspectratio="f"/>
              <v:textbox inset="0mm,0mm,0mm,0mm">
                <w:txbxContent>
                  <w:p w14:paraId="2900CA1E"/>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9157">
    <w:pPr>
      <w:pStyle w:val="1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3141">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1033780</wp:posOffset>
              </wp:positionH>
              <wp:positionV relativeFrom="page">
                <wp:posOffset>547370</wp:posOffset>
              </wp:positionV>
              <wp:extent cx="1290955" cy="158115"/>
              <wp:effectExtent l="0" t="0" r="0" b="0"/>
              <wp:wrapNone/>
              <wp:docPr id="59" name="文本框 50"/>
              <wp:cNvGraphicFramePr/>
              <a:graphic xmlns:a="http://schemas.openxmlformats.org/drawingml/2006/main">
                <a:graphicData uri="http://schemas.microsoft.com/office/word/2010/wordprocessingShape">
                  <wps:wsp>
                    <wps:cNvSpPr txBox="1"/>
                    <wps:spPr>
                      <a:xfrm>
                        <a:off x="0" y="0"/>
                        <a:ext cx="1290955" cy="158115"/>
                      </a:xfrm>
                      <a:prstGeom prst="rect">
                        <a:avLst/>
                      </a:prstGeom>
                      <a:noFill/>
                      <a:ln>
                        <a:noFill/>
                      </a:ln>
                    </wps:spPr>
                    <wps:txbx>
                      <w:txbxContent>
                        <w:p w14:paraId="3DB2F1EC">
                          <w:pPr>
                            <w:spacing w:line="249" w:lineRule="exact"/>
                            <w:ind w:left="20"/>
                            <w:rPr>
                              <w:sz w:val="21"/>
                            </w:rPr>
                          </w:pPr>
                        </w:p>
                      </w:txbxContent>
                    </wps:txbx>
                    <wps:bodyPr lIns="0" tIns="0" rIns="0" bIns="0" upright="1"/>
                  </wps:wsp>
                </a:graphicData>
              </a:graphic>
            </wp:anchor>
          </w:drawing>
        </mc:Choice>
        <mc:Fallback>
          <w:pict>
            <v:shape id="文本框 50" o:spid="_x0000_s1026" o:spt="202" type="#_x0000_t202" style="position:absolute;left:0pt;margin-left:81.4pt;margin-top:43.1pt;height:12.45pt;width:101.65pt;mso-position-horizontal-relative:page;mso-position-vertical-relative:page;z-index:-251650048;mso-width-relative:page;mso-height-relative:page;" filled="f" stroked="f" coordsize="21600,21600" o:gfxdata="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SSjP1gAAAAoBAAAPAAAAAAAAAAEAIAAAACIAAABkcnMvZG93bnJldi54bWxQSwECFAAU&#10;AAAACACHTuJAxPehGboBAAB0AwAADgAAAAAAAAABACAAAAAlAQAAZHJzL2Uyb0RvYy54bWxQSwUG&#10;AAAAAAYABgBZAQAAUQUAAAAA&#10;">
              <v:fill on="f" focussize="0,0"/>
              <v:stroke on="f"/>
              <v:imagedata o:title=""/>
              <o:lock v:ext="edit" aspectratio="f"/>
              <v:textbox inset="0mm,0mm,0mm,0mm">
                <w:txbxContent>
                  <w:p w14:paraId="3DB2F1EC">
                    <w:pPr>
                      <w:spacing w:line="249" w:lineRule="exact"/>
                      <w:ind w:left="20"/>
                      <w:rPr>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2">
    <w:nsid w:val="95E682A1"/>
    <w:multiLevelType w:val="multilevel"/>
    <w:tmpl w:val="95E682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3">
    <w:nsid w:val="9C7198AA"/>
    <w:multiLevelType w:val="multilevel"/>
    <w:tmpl w:val="9C7198A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
    <w:nsid w:val="9D7EB8E6"/>
    <w:multiLevelType w:val="multilevel"/>
    <w:tmpl w:val="9D7EB8E6"/>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
    <w:nsid w:val="9DFC6F65"/>
    <w:multiLevelType w:val="multilevel"/>
    <w:tmpl w:val="9DFC6F65"/>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6">
    <w:nsid w:val="9F81B9F9"/>
    <w:multiLevelType w:val="multilevel"/>
    <w:tmpl w:val="9F81B9F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7">
    <w:nsid w:val="A521A01A"/>
    <w:multiLevelType w:val="multilevel"/>
    <w:tmpl w:val="A521A01A"/>
    <w:lvl w:ilvl="0" w:tentative="0">
      <w:start w:val="1"/>
      <w:numFmt w:val="decimal"/>
      <w:lvlText w:val="（%1）"/>
      <w:lvlJc w:val="left"/>
      <w:pPr>
        <w:ind w:left="507" w:hanging="500"/>
      </w:pPr>
      <w:rPr>
        <w:rFonts w:hint="default" w:ascii="宋体" w:hAnsi="宋体" w:eastAsia="宋体" w:cs="宋体"/>
        <w:w w:val="99"/>
        <w:sz w:val="18"/>
        <w:szCs w:val="18"/>
        <w:lang w:val="zh-CN" w:eastAsia="zh-CN" w:bidi="zh-CN"/>
      </w:rPr>
    </w:lvl>
    <w:lvl w:ilvl="1" w:tentative="0">
      <w:start w:val="0"/>
      <w:numFmt w:val="bullet"/>
      <w:lvlText w:val="•"/>
      <w:lvlJc w:val="left"/>
      <w:pPr>
        <w:ind w:left="1151" w:hanging="500"/>
      </w:pPr>
      <w:rPr>
        <w:rFonts w:hint="default"/>
        <w:lang w:val="zh-CN" w:eastAsia="zh-CN" w:bidi="zh-CN"/>
      </w:rPr>
    </w:lvl>
    <w:lvl w:ilvl="2" w:tentative="0">
      <w:start w:val="0"/>
      <w:numFmt w:val="bullet"/>
      <w:lvlText w:val="•"/>
      <w:lvlJc w:val="left"/>
      <w:pPr>
        <w:ind w:left="1802" w:hanging="500"/>
      </w:pPr>
      <w:rPr>
        <w:rFonts w:hint="default"/>
        <w:lang w:val="zh-CN" w:eastAsia="zh-CN" w:bidi="zh-CN"/>
      </w:rPr>
    </w:lvl>
    <w:lvl w:ilvl="3" w:tentative="0">
      <w:start w:val="0"/>
      <w:numFmt w:val="bullet"/>
      <w:lvlText w:val="•"/>
      <w:lvlJc w:val="left"/>
      <w:pPr>
        <w:ind w:left="2453" w:hanging="500"/>
      </w:pPr>
      <w:rPr>
        <w:rFonts w:hint="default"/>
        <w:lang w:val="zh-CN" w:eastAsia="zh-CN" w:bidi="zh-CN"/>
      </w:rPr>
    </w:lvl>
    <w:lvl w:ilvl="4" w:tentative="0">
      <w:start w:val="0"/>
      <w:numFmt w:val="bullet"/>
      <w:lvlText w:val="•"/>
      <w:lvlJc w:val="left"/>
      <w:pPr>
        <w:ind w:left="3104" w:hanging="500"/>
      </w:pPr>
      <w:rPr>
        <w:rFonts w:hint="default"/>
        <w:lang w:val="zh-CN" w:eastAsia="zh-CN" w:bidi="zh-CN"/>
      </w:rPr>
    </w:lvl>
    <w:lvl w:ilvl="5" w:tentative="0">
      <w:start w:val="0"/>
      <w:numFmt w:val="bullet"/>
      <w:lvlText w:val="•"/>
      <w:lvlJc w:val="left"/>
      <w:pPr>
        <w:ind w:left="3755" w:hanging="500"/>
      </w:pPr>
      <w:rPr>
        <w:rFonts w:hint="default"/>
        <w:lang w:val="zh-CN" w:eastAsia="zh-CN" w:bidi="zh-CN"/>
      </w:rPr>
    </w:lvl>
    <w:lvl w:ilvl="6" w:tentative="0">
      <w:start w:val="0"/>
      <w:numFmt w:val="bullet"/>
      <w:lvlText w:val="•"/>
      <w:lvlJc w:val="left"/>
      <w:pPr>
        <w:ind w:left="4406" w:hanging="500"/>
      </w:pPr>
      <w:rPr>
        <w:rFonts w:hint="default"/>
        <w:lang w:val="zh-CN" w:eastAsia="zh-CN" w:bidi="zh-CN"/>
      </w:rPr>
    </w:lvl>
    <w:lvl w:ilvl="7" w:tentative="0">
      <w:start w:val="0"/>
      <w:numFmt w:val="bullet"/>
      <w:lvlText w:val="•"/>
      <w:lvlJc w:val="left"/>
      <w:pPr>
        <w:ind w:left="5057" w:hanging="500"/>
      </w:pPr>
      <w:rPr>
        <w:rFonts w:hint="default"/>
        <w:lang w:val="zh-CN" w:eastAsia="zh-CN" w:bidi="zh-CN"/>
      </w:rPr>
    </w:lvl>
    <w:lvl w:ilvl="8" w:tentative="0">
      <w:start w:val="0"/>
      <w:numFmt w:val="bullet"/>
      <w:lvlText w:val="•"/>
      <w:lvlJc w:val="left"/>
      <w:pPr>
        <w:ind w:left="5708" w:hanging="500"/>
      </w:pPr>
      <w:rPr>
        <w:rFonts w:hint="default"/>
        <w:lang w:val="zh-CN" w:eastAsia="zh-CN" w:bidi="zh-CN"/>
      </w:rPr>
    </w:lvl>
  </w:abstractNum>
  <w:abstractNum w:abstractNumId="8">
    <w:nsid w:val="A97D620A"/>
    <w:multiLevelType w:val="multilevel"/>
    <w:tmpl w:val="A97D62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9">
    <w:nsid w:val="A9AC3AA7"/>
    <w:multiLevelType w:val="multilevel"/>
    <w:tmpl w:val="A9AC3AA7"/>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0">
    <w:nsid w:val="B08374AC"/>
    <w:multiLevelType w:val="multilevel"/>
    <w:tmpl w:val="B08374AC"/>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1">
    <w:nsid w:val="B1CC6FF1"/>
    <w:multiLevelType w:val="multilevel"/>
    <w:tmpl w:val="B1CC6FF1"/>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12">
    <w:nsid w:val="B4E02BC3"/>
    <w:multiLevelType w:val="multilevel"/>
    <w:tmpl w:val="B4E02BC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3">
    <w:nsid w:val="BF50FE6B"/>
    <w:multiLevelType w:val="multilevel"/>
    <w:tmpl w:val="BF50FE6B"/>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4">
    <w:nsid w:val="C90D1B09"/>
    <w:multiLevelType w:val="multilevel"/>
    <w:tmpl w:val="C90D1B0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5">
    <w:nsid w:val="C9412743"/>
    <w:multiLevelType w:val="multilevel"/>
    <w:tmpl w:val="C9412743"/>
    <w:lvl w:ilvl="0" w:tentative="0">
      <w:start w:val="1"/>
      <w:numFmt w:val="decimal"/>
      <w:lvlText w:val="（%1）"/>
      <w:lvlJc w:val="left"/>
      <w:pPr>
        <w:ind w:left="384" w:hanging="604"/>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16">
    <w:nsid w:val="D1EB1714"/>
    <w:multiLevelType w:val="multilevel"/>
    <w:tmpl w:val="D1EB1714"/>
    <w:lvl w:ilvl="0" w:tentative="0">
      <w:start w:val="1"/>
      <w:numFmt w:val="decimal"/>
      <w:lvlText w:val="%1."/>
      <w:lvlJc w:val="left"/>
      <w:pPr>
        <w:ind w:left="564" w:hanging="351"/>
      </w:pPr>
      <w:rPr>
        <w:rFonts w:hint="default" w:ascii="Times New Roman" w:hAnsi="Times New Roman" w:eastAsia="Times New Roman" w:cs="Times New Roman"/>
        <w:b/>
        <w:bCs/>
        <w:spacing w:val="0"/>
        <w:w w:val="100"/>
        <w:sz w:val="28"/>
        <w:szCs w:val="28"/>
        <w:lang w:val="zh-CN" w:eastAsia="zh-CN" w:bidi="zh-CN"/>
      </w:rPr>
    </w:lvl>
    <w:lvl w:ilvl="1" w:tentative="0">
      <w:start w:val="1"/>
      <w:numFmt w:val="decimal"/>
      <w:lvlText w:val="%1.%2"/>
      <w:lvlJc w:val="left"/>
      <w:pPr>
        <w:ind w:left="633"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293" w:hanging="600"/>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004" w:hanging="181"/>
        <w:jc w:val="right"/>
      </w:pPr>
      <w:rPr>
        <w:rFonts w:hint="default" w:ascii="宋体" w:hAnsi="宋体" w:eastAsia="宋体" w:cs="宋体"/>
        <w:w w:val="100"/>
        <w:sz w:val="24"/>
        <w:szCs w:val="24"/>
        <w:lang w:val="zh-CN" w:eastAsia="zh-CN" w:bidi="zh-CN"/>
      </w:rPr>
    </w:lvl>
    <w:lvl w:ilvl="4" w:tentative="0">
      <w:start w:val="1"/>
      <w:numFmt w:val="decimal"/>
      <w:lvlText w:val="%4.%5"/>
      <w:lvlJc w:val="left"/>
      <w:pPr>
        <w:ind w:left="1404" w:hanging="540"/>
      </w:pPr>
      <w:rPr>
        <w:rFonts w:hint="default" w:ascii="Times New Roman" w:hAnsi="Times New Roman" w:eastAsia="Times New Roman" w:cs="Times New Roman"/>
        <w:w w:val="100"/>
        <w:sz w:val="24"/>
        <w:szCs w:val="24"/>
        <w:lang w:val="zh-CN" w:eastAsia="zh-CN" w:bidi="zh-CN"/>
      </w:rPr>
    </w:lvl>
    <w:lvl w:ilvl="5" w:tentative="0">
      <w:start w:val="1"/>
      <w:numFmt w:val="decimal"/>
      <w:lvlText w:val="%4.%5.%6"/>
      <w:lvlJc w:val="left"/>
      <w:pPr>
        <w:ind w:left="384" w:hanging="720"/>
      </w:pPr>
      <w:rPr>
        <w:rFonts w:hint="default" w:ascii="Times New Roman" w:hAnsi="Times New Roman" w:eastAsia="Times New Roman" w:cs="Times New Roman"/>
        <w:spacing w:val="-60"/>
        <w:w w:val="100"/>
        <w:sz w:val="24"/>
        <w:szCs w:val="24"/>
        <w:lang w:val="zh-CN" w:eastAsia="zh-CN" w:bidi="zh-CN"/>
      </w:rPr>
    </w:lvl>
    <w:lvl w:ilvl="6" w:tentative="0">
      <w:start w:val="0"/>
      <w:numFmt w:val="bullet"/>
      <w:lvlText w:val="•"/>
      <w:lvlJc w:val="left"/>
      <w:pPr>
        <w:ind w:left="1400" w:hanging="720"/>
      </w:pPr>
      <w:rPr>
        <w:rFonts w:hint="default"/>
        <w:lang w:val="zh-CN" w:eastAsia="zh-CN" w:bidi="zh-CN"/>
      </w:rPr>
    </w:lvl>
    <w:lvl w:ilvl="7" w:tentative="0">
      <w:start w:val="0"/>
      <w:numFmt w:val="bullet"/>
      <w:lvlText w:val="•"/>
      <w:lvlJc w:val="left"/>
      <w:pPr>
        <w:ind w:left="1520" w:hanging="720"/>
      </w:pPr>
      <w:rPr>
        <w:rFonts w:hint="default"/>
        <w:lang w:val="zh-CN" w:eastAsia="zh-CN" w:bidi="zh-CN"/>
      </w:rPr>
    </w:lvl>
    <w:lvl w:ilvl="8" w:tentative="0">
      <w:start w:val="0"/>
      <w:numFmt w:val="bullet"/>
      <w:lvlText w:val="•"/>
      <w:lvlJc w:val="left"/>
      <w:pPr>
        <w:ind w:left="1700" w:hanging="720"/>
      </w:pPr>
      <w:rPr>
        <w:rFonts w:hint="default"/>
        <w:lang w:val="zh-CN" w:eastAsia="zh-CN" w:bidi="zh-CN"/>
      </w:rPr>
    </w:lvl>
  </w:abstractNum>
  <w:abstractNum w:abstractNumId="17">
    <w:nsid w:val="D7936317"/>
    <w:multiLevelType w:val="multilevel"/>
    <w:tmpl w:val="D7936317"/>
    <w:lvl w:ilvl="0" w:tentative="0">
      <w:start w:val="1"/>
      <w:numFmt w:val="decimal"/>
      <w:lvlText w:val="%1."/>
      <w:lvlJc w:val="left"/>
      <w:pPr>
        <w:ind w:left="384"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94" w:hanging="181"/>
      </w:pPr>
      <w:rPr>
        <w:rFonts w:hint="default"/>
        <w:lang w:val="zh-CN" w:eastAsia="zh-CN" w:bidi="zh-CN"/>
      </w:rPr>
    </w:lvl>
    <w:lvl w:ilvl="2" w:tentative="0">
      <w:start w:val="0"/>
      <w:numFmt w:val="bullet"/>
      <w:lvlText w:val="•"/>
      <w:lvlJc w:val="left"/>
      <w:pPr>
        <w:ind w:left="2209" w:hanging="181"/>
      </w:pPr>
      <w:rPr>
        <w:rFonts w:hint="default"/>
        <w:lang w:val="zh-CN" w:eastAsia="zh-CN" w:bidi="zh-CN"/>
      </w:rPr>
    </w:lvl>
    <w:lvl w:ilvl="3" w:tentative="0">
      <w:start w:val="0"/>
      <w:numFmt w:val="bullet"/>
      <w:lvlText w:val="•"/>
      <w:lvlJc w:val="left"/>
      <w:pPr>
        <w:ind w:left="3124" w:hanging="181"/>
      </w:pPr>
      <w:rPr>
        <w:rFonts w:hint="default"/>
        <w:lang w:val="zh-CN" w:eastAsia="zh-CN" w:bidi="zh-CN"/>
      </w:rPr>
    </w:lvl>
    <w:lvl w:ilvl="4" w:tentative="0">
      <w:start w:val="0"/>
      <w:numFmt w:val="bullet"/>
      <w:lvlText w:val="•"/>
      <w:lvlJc w:val="left"/>
      <w:pPr>
        <w:ind w:left="4038" w:hanging="181"/>
      </w:pPr>
      <w:rPr>
        <w:rFonts w:hint="default"/>
        <w:lang w:val="zh-CN" w:eastAsia="zh-CN" w:bidi="zh-CN"/>
      </w:rPr>
    </w:lvl>
    <w:lvl w:ilvl="5" w:tentative="0">
      <w:start w:val="0"/>
      <w:numFmt w:val="bullet"/>
      <w:lvlText w:val="•"/>
      <w:lvlJc w:val="left"/>
      <w:pPr>
        <w:ind w:left="4953" w:hanging="181"/>
      </w:pPr>
      <w:rPr>
        <w:rFonts w:hint="default"/>
        <w:lang w:val="zh-CN" w:eastAsia="zh-CN" w:bidi="zh-CN"/>
      </w:rPr>
    </w:lvl>
    <w:lvl w:ilvl="6" w:tentative="0">
      <w:start w:val="0"/>
      <w:numFmt w:val="bullet"/>
      <w:lvlText w:val="•"/>
      <w:lvlJc w:val="left"/>
      <w:pPr>
        <w:ind w:left="5868" w:hanging="181"/>
      </w:pPr>
      <w:rPr>
        <w:rFonts w:hint="default"/>
        <w:lang w:val="zh-CN" w:eastAsia="zh-CN" w:bidi="zh-CN"/>
      </w:rPr>
    </w:lvl>
    <w:lvl w:ilvl="7" w:tentative="0">
      <w:start w:val="0"/>
      <w:numFmt w:val="bullet"/>
      <w:lvlText w:val="•"/>
      <w:lvlJc w:val="left"/>
      <w:pPr>
        <w:ind w:left="6782" w:hanging="181"/>
      </w:pPr>
      <w:rPr>
        <w:rFonts w:hint="default"/>
        <w:lang w:val="zh-CN" w:eastAsia="zh-CN" w:bidi="zh-CN"/>
      </w:rPr>
    </w:lvl>
    <w:lvl w:ilvl="8" w:tentative="0">
      <w:start w:val="0"/>
      <w:numFmt w:val="bullet"/>
      <w:lvlText w:val="•"/>
      <w:lvlJc w:val="left"/>
      <w:pPr>
        <w:ind w:left="7697" w:hanging="181"/>
      </w:pPr>
      <w:rPr>
        <w:rFonts w:hint="default"/>
        <w:lang w:val="zh-CN" w:eastAsia="zh-CN" w:bidi="zh-CN"/>
      </w:rPr>
    </w:lvl>
  </w:abstractNum>
  <w:abstractNum w:abstractNumId="18">
    <w:nsid w:val="DAE62134"/>
    <w:multiLevelType w:val="multilevel"/>
    <w:tmpl w:val="DAE62134"/>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9">
    <w:nsid w:val="DDDBB5A9"/>
    <w:multiLevelType w:val="multilevel"/>
    <w:tmpl w:val="DDDBB5A9"/>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0">
    <w:nsid w:val="E0294EC7"/>
    <w:multiLevelType w:val="multilevel"/>
    <w:tmpl w:val="E0294EC7"/>
    <w:lvl w:ilvl="0" w:tentative="0">
      <w:start w:val="1"/>
      <w:numFmt w:val="decimal"/>
      <w:lvlText w:val="（%1）"/>
      <w:lvlJc w:val="left"/>
      <w:pPr>
        <w:ind w:left="38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1">
    <w:nsid w:val="E43A772E"/>
    <w:multiLevelType w:val="multilevel"/>
    <w:tmpl w:val="E43A772E"/>
    <w:lvl w:ilvl="0" w:tentative="0">
      <w:start w:val="1"/>
      <w:numFmt w:val="decimal"/>
      <w:lvlText w:val="（%1）"/>
      <w:lvlJc w:val="left"/>
      <w:pPr>
        <w:ind w:left="38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2">
    <w:nsid w:val="E52D9448"/>
    <w:multiLevelType w:val="multilevel"/>
    <w:tmpl w:val="E52D9448"/>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23">
    <w:nsid w:val="E7B2FB88"/>
    <w:multiLevelType w:val="multilevel"/>
    <w:tmpl w:val="E7B2FB88"/>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4">
    <w:nsid w:val="E9630B91"/>
    <w:multiLevelType w:val="multilevel"/>
    <w:tmpl w:val="E9630B91"/>
    <w:lvl w:ilvl="0" w:tentative="0">
      <w:start w:val="1"/>
      <w:numFmt w:val="decimal"/>
      <w:lvlText w:val="%1."/>
      <w:lvlJc w:val="left"/>
      <w:pPr>
        <w:ind w:left="224" w:hanging="361"/>
      </w:pPr>
      <w:rPr>
        <w:rFonts w:hint="default" w:ascii="Times New Roman" w:hAnsi="Times New Roman" w:eastAsia="Times New Roman" w:cs="Times New Roman"/>
        <w:spacing w:val="-19"/>
        <w:w w:val="100"/>
        <w:sz w:val="22"/>
        <w:szCs w:val="22"/>
        <w:lang w:val="zh-CN" w:eastAsia="zh-CN" w:bidi="zh-CN"/>
      </w:rPr>
    </w:lvl>
    <w:lvl w:ilvl="1" w:tentative="0">
      <w:start w:val="0"/>
      <w:numFmt w:val="bullet"/>
      <w:lvlText w:val="•"/>
      <w:lvlJc w:val="left"/>
      <w:pPr>
        <w:ind w:left="1138" w:hanging="361"/>
      </w:pPr>
      <w:rPr>
        <w:rFonts w:hint="default"/>
        <w:lang w:val="zh-CN" w:eastAsia="zh-CN" w:bidi="zh-CN"/>
      </w:rPr>
    </w:lvl>
    <w:lvl w:ilvl="2" w:tentative="0">
      <w:start w:val="0"/>
      <w:numFmt w:val="bullet"/>
      <w:lvlText w:val="•"/>
      <w:lvlJc w:val="left"/>
      <w:pPr>
        <w:ind w:left="2057" w:hanging="361"/>
      </w:pPr>
      <w:rPr>
        <w:rFonts w:hint="default"/>
        <w:lang w:val="zh-CN" w:eastAsia="zh-CN" w:bidi="zh-CN"/>
      </w:rPr>
    </w:lvl>
    <w:lvl w:ilvl="3" w:tentative="0">
      <w:start w:val="0"/>
      <w:numFmt w:val="bullet"/>
      <w:lvlText w:val="•"/>
      <w:lvlJc w:val="left"/>
      <w:pPr>
        <w:ind w:left="2976" w:hanging="361"/>
      </w:pPr>
      <w:rPr>
        <w:rFonts w:hint="default"/>
        <w:lang w:val="zh-CN" w:eastAsia="zh-CN" w:bidi="zh-CN"/>
      </w:rPr>
    </w:lvl>
    <w:lvl w:ilvl="4" w:tentative="0">
      <w:start w:val="0"/>
      <w:numFmt w:val="bullet"/>
      <w:lvlText w:val="•"/>
      <w:lvlJc w:val="left"/>
      <w:pPr>
        <w:ind w:left="3894" w:hanging="361"/>
      </w:pPr>
      <w:rPr>
        <w:rFonts w:hint="default"/>
        <w:lang w:val="zh-CN" w:eastAsia="zh-CN" w:bidi="zh-CN"/>
      </w:rPr>
    </w:lvl>
    <w:lvl w:ilvl="5" w:tentative="0">
      <w:start w:val="0"/>
      <w:numFmt w:val="bullet"/>
      <w:lvlText w:val="•"/>
      <w:lvlJc w:val="left"/>
      <w:pPr>
        <w:ind w:left="4813" w:hanging="361"/>
      </w:pPr>
      <w:rPr>
        <w:rFonts w:hint="default"/>
        <w:lang w:val="zh-CN" w:eastAsia="zh-CN" w:bidi="zh-CN"/>
      </w:rPr>
    </w:lvl>
    <w:lvl w:ilvl="6" w:tentative="0">
      <w:start w:val="0"/>
      <w:numFmt w:val="bullet"/>
      <w:lvlText w:val="•"/>
      <w:lvlJc w:val="left"/>
      <w:pPr>
        <w:ind w:left="5732" w:hanging="361"/>
      </w:pPr>
      <w:rPr>
        <w:rFonts w:hint="default"/>
        <w:lang w:val="zh-CN" w:eastAsia="zh-CN" w:bidi="zh-CN"/>
      </w:rPr>
    </w:lvl>
    <w:lvl w:ilvl="7" w:tentative="0">
      <w:start w:val="0"/>
      <w:numFmt w:val="bullet"/>
      <w:lvlText w:val="•"/>
      <w:lvlJc w:val="left"/>
      <w:pPr>
        <w:ind w:left="6650" w:hanging="361"/>
      </w:pPr>
      <w:rPr>
        <w:rFonts w:hint="default"/>
        <w:lang w:val="zh-CN" w:eastAsia="zh-CN" w:bidi="zh-CN"/>
      </w:rPr>
    </w:lvl>
    <w:lvl w:ilvl="8" w:tentative="0">
      <w:start w:val="0"/>
      <w:numFmt w:val="bullet"/>
      <w:lvlText w:val="•"/>
      <w:lvlJc w:val="left"/>
      <w:pPr>
        <w:ind w:left="7569" w:hanging="361"/>
      </w:pPr>
      <w:rPr>
        <w:rFonts w:hint="default"/>
        <w:lang w:val="zh-CN" w:eastAsia="zh-CN" w:bidi="zh-CN"/>
      </w:rPr>
    </w:lvl>
  </w:abstractNum>
  <w:abstractNum w:abstractNumId="25">
    <w:nsid w:val="EA28CC15"/>
    <w:multiLevelType w:val="multilevel"/>
    <w:tmpl w:val="EA28CC15"/>
    <w:lvl w:ilvl="0" w:tentative="0">
      <w:start w:val="8"/>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26">
    <w:nsid w:val="ED6CD060"/>
    <w:multiLevelType w:val="multilevel"/>
    <w:tmpl w:val="ED6CD060"/>
    <w:lvl w:ilvl="0" w:tentative="0">
      <w:start w:val="1"/>
      <w:numFmt w:val="chineseCounting"/>
      <w:lvlText w:val="第%1章"/>
      <w:lvlJc w:val="left"/>
      <w:rPr>
        <w:rFonts w:ascii="Times New Roman" w:hAnsi="Times New Roman" w:eastAsia="宋体" w:cs="Times New Roman"/>
      </w:rPr>
    </w:lvl>
    <w:lvl w:ilvl="1" w:tentative="0">
      <w:start w:val="1"/>
      <w:numFmt w:val="decimal"/>
      <w:lvlText w:val="第"/>
      <w:lvlJc w:val="left"/>
      <w:rPr>
        <w:rFonts w:ascii="Times New Roman" w:hAnsi="Times New Roman" w:eastAsia="宋体" w:cs="Times New Roman"/>
      </w:rPr>
    </w:lvl>
    <w:lvl w:ilvl="2" w:tentative="0">
      <w:start w:val="1"/>
      <w:numFmt w:val="decimal"/>
      <w:lvlText w:val="第"/>
      <w:lvlJc w:val="left"/>
      <w:rPr>
        <w:rFonts w:ascii="Times New Roman" w:hAnsi="Times New Roman" w:eastAsia="宋体" w:cs="Times New Roman"/>
      </w:rPr>
    </w:lvl>
    <w:lvl w:ilvl="3" w:tentative="0">
      <w:start w:val="1"/>
      <w:numFmt w:val="decimal"/>
      <w:lvlText w:val="第"/>
      <w:lvlJc w:val="left"/>
      <w:rPr>
        <w:rFonts w:ascii="Times New Roman" w:hAnsi="Times New Roman" w:eastAsia="宋体" w:cs="Times New Roman"/>
      </w:rPr>
    </w:lvl>
    <w:lvl w:ilvl="4" w:tentative="0">
      <w:start w:val="1"/>
      <w:numFmt w:val="decimal"/>
      <w:lvlText w:val="第"/>
      <w:lvlJc w:val="left"/>
      <w:rPr>
        <w:rFonts w:ascii="Times New Roman" w:hAnsi="Times New Roman" w:eastAsia="宋体" w:cs="Times New Roman"/>
      </w:rPr>
    </w:lvl>
    <w:lvl w:ilvl="5" w:tentative="0">
      <w:start w:val="1"/>
      <w:numFmt w:val="decimal"/>
      <w:lvlText w:val="第"/>
      <w:lvlJc w:val="left"/>
      <w:rPr>
        <w:rFonts w:ascii="Times New Roman" w:hAnsi="Times New Roman" w:eastAsia="宋体" w:cs="Times New Roman"/>
      </w:rPr>
    </w:lvl>
    <w:lvl w:ilvl="6" w:tentative="0">
      <w:start w:val="1"/>
      <w:numFmt w:val="decimal"/>
      <w:lvlText w:val="第"/>
      <w:lvlJc w:val="left"/>
      <w:rPr>
        <w:rFonts w:ascii="Times New Roman" w:hAnsi="Times New Roman" w:eastAsia="宋体" w:cs="Times New Roman"/>
      </w:rPr>
    </w:lvl>
    <w:lvl w:ilvl="7" w:tentative="0">
      <w:start w:val="1"/>
      <w:numFmt w:val="decimal"/>
      <w:lvlText w:val="第"/>
      <w:lvlJc w:val="left"/>
      <w:rPr>
        <w:rFonts w:ascii="Times New Roman" w:hAnsi="Times New Roman" w:eastAsia="宋体" w:cs="Times New Roman"/>
      </w:rPr>
    </w:lvl>
    <w:lvl w:ilvl="8" w:tentative="0">
      <w:start w:val="1"/>
      <w:numFmt w:val="decimal"/>
      <w:lvlText w:val="第"/>
      <w:lvlJc w:val="left"/>
      <w:rPr>
        <w:rFonts w:ascii="Times New Roman" w:hAnsi="Times New Roman" w:eastAsia="宋体" w:cs="Times New Roman"/>
      </w:rPr>
    </w:lvl>
  </w:abstractNum>
  <w:abstractNum w:abstractNumId="27">
    <w:nsid w:val="F1FCDEFA"/>
    <w:multiLevelType w:val="multilevel"/>
    <w:tmpl w:val="F1FCDEFA"/>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8">
    <w:nsid w:val="F237ACA1"/>
    <w:multiLevelType w:val="multilevel"/>
    <w:tmpl w:val="F237ACA1"/>
    <w:lvl w:ilvl="0" w:tentative="0">
      <w:start w:val="12"/>
      <w:numFmt w:val="decimal"/>
      <w:lvlText w:val="(%1)"/>
      <w:lvlJc w:val="left"/>
      <w:pPr>
        <w:ind w:left="384" w:hanging="404"/>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294" w:hanging="404"/>
      </w:pPr>
      <w:rPr>
        <w:rFonts w:hint="default"/>
        <w:lang w:val="zh-CN" w:eastAsia="zh-CN" w:bidi="zh-CN"/>
      </w:rPr>
    </w:lvl>
    <w:lvl w:ilvl="2" w:tentative="0">
      <w:start w:val="0"/>
      <w:numFmt w:val="bullet"/>
      <w:lvlText w:val="•"/>
      <w:lvlJc w:val="left"/>
      <w:pPr>
        <w:ind w:left="2209" w:hanging="404"/>
      </w:pPr>
      <w:rPr>
        <w:rFonts w:hint="default"/>
        <w:lang w:val="zh-CN" w:eastAsia="zh-CN" w:bidi="zh-CN"/>
      </w:rPr>
    </w:lvl>
    <w:lvl w:ilvl="3" w:tentative="0">
      <w:start w:val="0"/>
      <w:numFmt w:val="bullet"/>
      <w:lvlText w:val="•"/>
      <w:lvlJc w:val="left"/>
      <w:pPr>
        <w:ind w:left="3124" w:hanging="404"/>
      </w:pPr>
      <w:rPr>
        <w:rFonts w:hint="default"/>
        <w:lang w:val="zh-CN" w:eastAsia="zh-CN" w:bidi="zh-CN"/>
      </w:rPr>
    </w:lvl>
    <w:lvl w:ilvl="4" w:tentative="0">
      <w:start w:val="0"/>
      <w:numFmt w:val="bullet"/>
      <w:lvlText w:val="•"/>
      <w:lvlJc w:val="left"/>
      <w:pPr>
        <w:ind w:left="4038" w:hanging="404"/>
      </w:pPr>
      <w:rPr>
        <w:rFonts w:hint="default"/>
        <w:lang w:val="zh-CN" w:eastAsia="zh-CN" w:bidi="zh-CN"/>
      </w:rPr>
    </w:lvl>
    <w:lvl w:ilvl="5" w:tentative="0">
      <w:start w:val="0"/>
      <w:numFmt w:val="bullet"/>
      <w:lvlText w:val="•"/>
      <w:lvlJc w:val="left"/>
      <w:pPr>
        <w:ind w:left="4953" w:hanging="404"/>
      </w:pPr>
      <w:rPr>
        <w:rFonts w:hint="default"/>
        <w:lang w:val="zh-CN" w:eastAsia="zh-CN" w:bidi="zh-CN"/>
      </w:rPr>
    </w:lvl>
    <w:lvl w:ilvl="6" w:tentative="0">
      <w:start w:val="0"/>
      <w:numFmt w:val="bullet"/>
      <w:lvlText w:val="•"/>
      <w:lvlJc w:val="left"/>
      <w:pPr>
        <w:ind w:left="5868" w:hanging="404"/>
      </w:pPr>
      <w:rPr>
        <w:rFonts w:hint="default"/>
        <w:lang w:val="zh-CN" w:eastAsia="zh-CN" w:bidi="zh-CN"/>
      </w:rPr>
    </w:lvl>
    <w:lvl w:ilvl="7" w:tentative="0">
      <w:start w:val="0"/>
      <w:numFmt w:val="bullet"/>
      <w:lvlText w:val="•"/>
      <w:lvlJc w:val="left"/>
      <w:pPr>
        <w:ind w:left="6782" w:hanging="404"/>
      </w:pPr>
      <w:rPr>
        <w:rFonts w:hint="default"/>
        <w:lang w:val="zh-CN" w:eastAsia="zh-CN" w:bidi="zh-CN"/>
      </w:rPr>
    </w:lvl>
    <w:lvl w:ilvl="8" w:tentative="0">
      <w:start w:val="0"/>
      <w:numFmt w:val="bullet"/>
      <w:lvlText w:val="•"/>
      <w:lvlJc w:val="left"/>
      <w:pPr>
        <w:ind w:left="7697" w:hanging="404"/>
      </w:pPr>
      <w:rPr>
        <w:rFonts w:hint="default"/>
        <w:lang w:val="zh-CN" w:eastAsia="zh-CN" w:bidi="zh-CN"/>
      </w:rPr>
    </w:lvl>
  </w:abstractNum>
  <w:abstractNum w:abstractNumId="29">
    <w:nsid w:val="F2A81E1A"/>
    <w:multiLevelType w:val="multilevel"/>
    <w:tmpl w:val="F2A81E1A"/>
    <w:lvl w:ilvl="0" w:tentative="0">
      <w:start w:val="1"/>
      <w:numFmt w:val="decimal"/>
      <w:lvlText w:val="（%1）"/>
      <w:lvlJc w:val="left"/>
      <w:pPr>
        <w:ind w:left="384"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0">
    <w:nsid w:val="F3A33954"/>
    <w:multiLevelType w:val="multilevel"/>
    <w:tmpl w:val="F3A33954"/>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1">
    <w:nsid w:val="F46CCC20"/>
    <w:multiLevelType w:val="multilevel"/>
    <w:tmpl w:val="F46CCC20"/>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32">
    <w:nsid w:val="F4A942FE"/>
    <w:multiLevelType w:val="multilevel"/>
    <w:tmpl w:val="F4A942FE"/>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3">
    <w:nsid w:val="FFD3F04B"/>
    <w:multiLevelType w:val="multilevel"/>
    <w:tmpl w:val="FFD3F04B"/>
    <w:lvl w:ilvl="0" w:tentative="0">
      <w:start w:val="1"/>
      <w:numFmt w:val="decimal"/>
      <w:lvlText w:val="（%1）"/>
      <w:lvlJc w:val="left"/>
      <w:pPr>
        <w:ind w:left="13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1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732" w:hanging="601"/>
      </w:pPr>
      <w:rPr>
        <w:rFonts w:hint="default"/>
        <w:lang w:val="zh-CN" w:eastAsia="zh-CN" w:bidi="zh-CN"/>
      </w:rPr>
    </w:lvl>
    <w:lvl w:ilvl="4" w:tentative="0">
      <w:start w:val="0"/>
      <w:numFmt w:val="bullet"/>
      <w:lvlText w:val="•"/>
      <w:lvlJc w:val="left"/>
      <w:pPr>
        <w:ind w:left="4542" w:hanging="601"/>
      </w:pPr>
      <w:rPr>
        <w:rFonts w:hint="default"/>
        <w:lang w:val="zh-CN" w:eastAsia="zh-CN" w:bidi="zh-CN"/>
      </w:rPr>
    </w:lvl>
    <w:lvl w:ilvl="5" w:tentative="0">
      <w:start w:val="0"/>
      <w:numFmt w:val="bullet"/>
      <w:lvlText w:val="•"/>
      <w:lvlJc w:val="left"/>
      <w:pPr>
        <w:ind w:left="5353" w:hanging="601"/>
      </w:pPr>
      <w:rPr>
        <w:rFonts w:hint="default"/>
        <w:lang w:val="zh-CN" w:eastAsia="zh-CN" w:bidi="zh-CN"/>
      </w:rPr>
    </w:lvl>
    <w:lvl w:ilvl="6" w:tentative="0">
      <w:start w:val="0"/>
      <w:numFmt w:val="bullet"/>
      <w:lvlText w:val="•"/>
      <w:lvlJc w:val="left"/>
      <w:pPr>
        <w:ind w:left="6164"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785" w:hanging="601"/>
      </w:pPr>
      <w:rPr>
        <w:rFonts w:hint="default"/>
        <w:lang w:val="zh-CN" w:eastAsia="zh-CN" w:bidi="zh-CN"/>
      </w:rPr>
    </w:lvl>
  </w:abstractNum>
  <w:abstractNum w:abstractNumId="34">
    <w:nsid w:val="01836A6D"/>
    <w:multiLevelType w:val="multilevel"/>
    <w:tmpl w:val="01836A6D"/>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5">
    <w:nsid w:val="01D7E1C7"/>
    <w:multiLevelType w:val="multilevel"/>
    <w:tmpl w:val="01D7E1C7"/>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6">
    <w:nsid w:val="07F5BCC3"/>
    <w:multiLevelType w:val="multilevel"/>
    <w:tmpl w:val="07F5BCC3"/>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7">
    <w:nsid w:val="0C0E1E13"/>
    <w:multiLevelType w:val="multilevel"/>
    <w:tmpl w:val="0C0E1E13"/>
    <w:lvl w:ilvl="0" w:tentative="0">
      <w:start w:val="1"/>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38">
    <w:nsid w:val="0DC629B0"/>
    <w:multiLevelType w:val="multilevel"/>
    <w:tmpl w:val="0DC629B0"/>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9">
    <w:nsid w:val="10F0DB0B"/>
    <w:multiLevelType w:val="multilevel"/>
    <w:tmpl w:val="10F0DB0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0">
    <w:nsid w:val="2007DCFD"/>
    <w:multiLevelType w:val="multilevel"/>
    <w:tmpl w:val="2007DCFD"/>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1">
    <w:nsid w:val="251342A6"/>
    <w:multiLevelType w:val="multilevel"/>
    <w:tmpl w:val="251342A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2">
    <w:nsid w:val="252BF6AB"/>
    <w:multiLevelType w:val="multilevel"/>
    <w:tmpl w:val="252BF6AB"/>
    <w:lvl w:ilvl="0" w:tentative="0">
      <w:start w:val="1"/>
      <w:numFmt w:val="decimal"/>
      <w:lvlText w:val="%1."/>
      <w:lvlJc w:val="left"/>
      <w:pPr>
        <w:ind w:left="994" w:hanging="181"/>
        <w:jc w:val="right"/>
      </w:pPr>
      <w:rPr>
        <w:rFonts w:hint="default" w:ascii="Times New Roman" w:hAnsi="Times New Roman" w:eastAsia="Times New Roman" w:cs="Times New Roman"/>
        <w:w w:val="100"/>
        <w:sz w:val="22"/>
        <w:szCs w:val="22"/>
        <w:lang w:val="zh-CN" w:eastAsia="zh-CN" w:bidi="zh-CN"/>
      </w:rPr>
    </w:lvl>
    <w:lvl w:ilvl="1" w:tentative="0">
      <w:start w:val="1"/>
      <w:numFmt w:val="decimal"/>
      <w:lvlText w:val="%1.%2"/>
      <w:lvlJc w:val="left"/>
      <w:pPr>
        <w:ind w:left="1113" w:hanging="420"/>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054" w:hanging="420"/>
      </w:pPr>
      <w:rPr>
        <w:rFonts w:hint="default"/>
        <w:lang w:val="zh-CN" w:eastAsia="zh-CN" w:bidi="zh-CN"/>
      </w:rPr>
    </w:lvl>
    <w:lvl w:ilvl="3" w:tentative="0">
      <w:start w:val="0"/>
      <w:numFmt w:val="bullet"/>
      <w:lvlText w:val="•"/>
      <w:lvlJc w:val="left"/>
      <w:pPr>
        <w:ind w:left="2988" w:hanging="420"/>
      </w:pPr>
      <w:rPr>
        <w:rFonts w:hint="default"/>
        <w:lang w:val="zh-CN" w:eastAsia="zh-CN" w:bidi="zh-CN"/>
      </w:rPr>
    </w:lvl>
    <w:lvl w:ilvl="4" w:tentative="0">
      <w:start w:val="0"/>
      <w:numFmt w:val="bullet"/>
      <w:lvlText w:val="•"/>
      <w:lvlJc w:val="left"/>
      <w:pPr>
        <w:ind w:left="392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790" w:hanging="420"/>
      </w:pPr>
      <w:rPr>
        <w:rFonts w:hint="default"/>
        <w:lang w:val="zh-CN" w:eastAsia="zh-CN" w:bidi="zh-CN"/>
      </w:rPr>
    </w:lvl>
    <w:lvl w:ilvl="7" w:tentative="0">
      <w:start w:val="0"/>
      <w:numFmt w:val="bullet"/>
      <w:lvlText w:val="•"/>
      <w:lvlJc w:val="left"/>
      <w:pPr>
        <w:ind w:left="6724" w:hanging="420"/>
      </w:pPr>
      <w:rPr>
        <w:rFonts w:hint="default"/>
        <w:lang w:val="zh-CN" w:eastAsia="zh-CN" w:bidi="zh-CN"/>
      </w:rPr>
    </w:lvl>
    <w:lvl w:ilvl="8" w:tentative="0">
      <w:start w:val="0"/>
      <w:numFmt w:val="bullet"/>
      <w:lvlText w:val="•"/>
      <w:lvlJc w:val="left"/>
      <w:pPr>
        <w:ind w:left="7658" w:hanging="420"/>
      </w:pPr>
      <w:rPr>
        <w:rFonts w:hint="default"/>
        <w:lang w:val="zh-CN" w:eastAsia="zh-CN" w:bidi="zh-CN"/>
      </w:rPr>
    </w:lvl>
  </w:abstractNum>
  <w:abstractNum w:abstractNumId="43">
    <w:nsid w:val="2A8F537B"/>
    <w:multiLevelType w:val="multilevel"/>
    <w:tmpl w:val="2A8F537B"/>
    <w:lvl w:ilvl="0" w:tentative="0">
      <w:start w:val="1"/>
      <w:numFmt w:val="decimal"/>
      <w:lvlText w:val="%1"/>
      <w:lvlJc w:val="left"/>
      <w:pPr>
        <w:ind w:left="728" w:hanging="209"/>
      </w:pPr>
      <w:rPr>
        <w:rFonts w:hint="default" w:ascii="宋体" w:hAnsi="宋体" w:eastAsia="宋体" w:cs="宋体"/>
        <w:w w:val="99"/>
        <w:sz w:val="21"/>
        <w:szCs w:val="21"/>
        <w:lang w:val="zh-CN" w:eastAsia="zh-CN" w:bidi="zh-CN"/>
      </w:rPr>
    </w:lvl>
    <w:lvl w:ilvl="1" w:tentative="0">
      <w:start w:val="1"/>
      <w:numFmt w:val="decimal"/>
      <w:lvlText w:val="%2."/>
      <w:lvlJc w:val="left"/>
      <w:pPr>
        <w:ind w:left="1041" w:hanging="181"/>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1911" w:hanging="181"/>
      </w:pPr>
      <w:rPr>
        <w:rFonts w:hint="default"/>
        <w:lang w:val="zh-CN" w:eastAsia="zh-CN" w:bidi="zh-CN"/>
      </w:rPr>
    </w:lvl>
    <w:lvl w:ilvl="3" w:tentative="0">
      <w:start w:val="0"/>
      <w:numFmt w:val="bullet"/>
      <w:lvlText w:val="•"/>
      <w:lvlJc w:val="left"/>
      <w:pPr>
        <w:ind w:left="2782" w:hanging="181"/>
      </w:pPr>
      <w:rPr>
        <w:rFonts w:hint="default"/>
        <w:lang w:val="zh-CN" w:eastAsia="zh-CN" w:bidi="zh-CN"/>
      </w:rPr>
    </w:lvl>
    <w:lvl w:ilvl="4" w:tentative="0">
      <w:start w:val="0"/>
      <w:numFmt w:val="bullet"/>
      <w:lvlText w:val="•"/>
      <w:lvlJc w:val="left"/>
      <w:pPr>
        <w:ind w:left="3653" w:hanging="181"/>
      </w:pPr>
      <w:rPr>
        <w:rFonts w:hint="default"/>
        <w:lang w:val="zh-CN" w:eastAsia="zh-CN" w:bidi="zh-CN"/>
      </w:rPr>
    </w:lvl>
    <w:lvl w:ilvl="5" w:tentative="0">
      <w:start w:val="0"/>
      <w:numFmt w:val="bullet"/>
      <w:lvlText w:val="•"/>
      <w:lvlJc w:val="left"/>
      <w:pPr>
        <w:ind w:left="4524" w:hanging="181"/>
      </w:pPr>
      <w:rPr>
        <w:rFonts w:hint="default"/>
        <w:lang w:val="zh-CN" w:eastAsia="zh-CN" w:bidi="zh-CN"/>
      </w:rPr>
    </w:lvl>
    <w:lvl w:ilvl="6" w:tentative="0">
      <w:start w:val="0"/>
      <w:numFmt w:val="bullet"/>
      <w:lvlText w:val="•"/>
      <w:lvlJc w:val="left"/>
      <w:pPr>
        <w:ind w:left="5395" w:hanging="181"/>
      </w:pPr>
      <w:rPr>
        <w:rFonts w:hint="default"/>
        <w:lang w:val="zh-CN" w:eastAsia="zh-CN" w:bidi="zh-CN"/>
      </w:rPr>
    </w:lvl>
    <w:lvl w:ilvl="7" w:tentative="0">
      <w:start w:val="0"/>
      <w:numFmt w:val="bullet"/>
      <w:lvlText w:val="•"/>
      <w:lvlJc w:val="left"/>
      <w:pPr>
        <w:ind w:left="6266" w:hanging="181"/>
      </w:pPr>
      <w:rPr>
        <w:rFonts w:hint="default"/>
        <w:lang w:val="zh-CN" w:eastAsia="zh-CN" w:bidi="zh-CN"/>
      </w:rPr>
    </w:lvl>
    <w:lvl w:ilvl="8" w:tentative="0">
      <w:start w:val="0"/>
      <w:numFmt w:val="bullet"/>
      <w:lvlText w:val="•"/>
      <w:lvlJc w:val="left"/>
      <w:pPr>
        <w:ind w:left="7137" w:hanging="181"/>
      </w:pPr>
      <w:rPr>
        <w:rFonts w:hint="default"/>
        <w:lang w:val="zh-CN" w:eastAsia="zh-CN" w:bidi="zh-CN"/>
      </w:rPr>
    </w:lvl>
  </w:abstractNum>
  <w:abstractNum w:abstractNumId="44">
    <w:nsid w:val="2B3F3F89"/>
    <w:multiLevelType w:val="multilevel"/>
    <w:tmpl w:val="2B3F3F89"/>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5">
    <w:nsid w:val="2B6B1DF2"/>
    <w:multiLevelType w:val="singleLevel"/>
    <w:tmpl w:val="2B6B1DF2"/>
    <w:lvl w:ilvl="0" w:tentative="0">
      <w:start w:val="4"/>
      <w:numFmt w:val="chineseCounting"/>
      <w:suff w:val="nothing"/>
      <w:lvlText w:val="%1、"/>
      <w:lvlJc w:val="left"/>
      <w:rPr>
        <w:rFonts w:hint="eastAsia"/>
      </w:rPr>
    </w:lvl>
  </w:abstractNum>
  <w:abstractNum w:abstractNumId="46">
    <w:nsid w:val="3227A8EE"/>
    <w:multiLevelType w:val="singleLevel"/>
    <w:tmpl w:val="3227A8EE"/>
    <w:lvl w:ilvl="0" w:tentative="0">
      <w:start w:val="8"/>
      <w:numFmt w:val="chineseCounting"/>
      <w:suff w:val="nothing"/>
      <w:lvlText w:val="%1、"/>
      <w:lvlJc w:val="left"/>
      <w:rPr>
        <w:rFonts w:hint="eastAsia"/>
      </w:rPr>
    </w:lvl>
  </w:abstractNum>
  <w:abstractNum w:abstractNumId="47">
    <w:nsid w:val="38EAC418"/>
    <w:multiLevelType w:val="multilevel"/>
    <w:tmpl w:val="38EAC418"/>
    <w:lvl w:ilvl="0" w:tentative="0">
      <w:start w:val="1"/>
      <w:numFmt w:val="decimal"/>
      <w:lvlText w:val="%1."/>
      <w:lvlJc w:val="left"/>
      <w:pPr>
        <w:ind w:left="1045"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88" w:hanging="181"/>
      </w:pPr>
      <w:rPr>
        <w:rFonts w:hint="default"/>
        <w:lang w:val="zh-CN" w:eastAsia="zh-CN" w:bidi="zh-CN"/>
      </w:rPr>
    </w:lvl>
    <w:lvl w:ilvl="2" w:tentative="0">
      <w:start w:val="0"/>
      <w:numFmt w:val="bullet"/>
      <w:lvlText w:val="•"/>
      <w:lvlJc w:val="left"/>
      <w:pPr>
        <w:ind w:left="2737" w:hanging="181"/>
      </w:pPr>
      <w:rPr>
        <w:rFonts w:hint="default"/>
        <w:lang w:val="zh-CN" w:eastAsia="zh-CN" w:bidi="zh-CN"/>
      </w:rPr>
    </w:lvl>
    <w:lvl w:ilvl="3" w:tentative="0">
      <w:start w:val="0"/>
      <w:numFmt w:val="bullet"/>
      <w:lvlText w:val="•"/>
      <w:lvlJc w:val="left"/>
      <w:pPr>
        <w:ind w:left="3586" w:hanging="181"/>
      </w:pPr>
      <w:rPr>
        <w:rFonts w:hint="default"/>
        <w:lang w:val="zh-CN" w:eastAsia="zh-CN" w:bidi="zh-CN"/>
      </w:rPr>
    </w:lvl>
    <w:lvl w:ilvl="4" w:tentative="0">
      <w:start w:val="0"/>
      <w:numFmt w:val="bullet"/>
      <w:lvlText w:val="•"/>
      <w:lvlJc w:val="left"/>
      <w:pPr>
        <w:ind w:left="4434" w:hanging="181"/>
      </w:pPr>
      <w:rPr>
        <w:rFonts w:hint="default"/>
        <w:lang w:val="zh-CN" w:eastAsia="zh-CN" w:bidi="zh-CN"/>
      </w:rPr>
    </w:lvl>
    <w:lvl w:ilvl="5" w:tentative="0">
      <w:start w:val="0"/>
      <w:numFmt w:val="bullet"/>
      <w:lvlText w:val="•"/>
      <w:lvlJc w:val="left"/>
      <w:pPr>
        <w:ind w:left="5283" w:hanging="181"/>
      </w:pPr>
      <w:rPr>
        <w:rFonts w:hint="default"/>
        <w:lang w:val="zh-CN" w:eastAsia="zh-CN" w:bidi="zh-CN"/>
      </w:rPr>
    </w:lvl>
    <w:lvl w:ilvl="6" w:tentative="0">
      <w:start w:val="0"/>
      <w:numFmt w:val="bullet"/>
      <w:lvlText w:val="•"/>
      <w:lvlJc w:val="left"/>
      <w:pPr>
        <w:ind w:left="6132" w:hanging="181"/>
      </w:pPr>
      <w:rPr>
        <w:rFonts w:hint="default"/>
        <w:lang w:val="zh-CN" w:eastAsia="zh-CN" w:bidi="zh-CN"/>
      </w:rPr>
    </w:lvl>
    <w:lvl w:ilvl="7" w:tentative="0">
      <w:start w:val="0"/>
      <w:numFmt w:val="bullet"/>
      <w:lvlText w:val="•"/>
      <w:lvlJc w:val="left"/>
      <w:pPr>
        <w:ind w:left="6980" w:hanging="181"/>
      </w:pPr>
      <w:rPr>
        <w:rFonts w:hint="default"/>
        <w:lang w:val="zh-CN" w:eastAsia="zh-CN" w:bidi="zh-CN"/>
      </w:rPr>
    </w:lvl>
    <w:lvl w:ilvl="8" w:tentative="0">
      <w:start w:val="0"/>
      <w:numFmt w:val="bullet"/>
      <w:lvlText w:val="•"/>
      <w:lvlJc w:val="left"/>
      <w:pPr>
        <w:ind w:left="7829" w:hanging="181"/>
      </w:pPr>
      <w:rPr>
        <w:rFonts w:hint="default"/>
        <w:lang w:val="zh-CN" w:eastAsia="zh-CN" w:bidi="zh-CN"/>
      </w:rPr>
    </w:lvl>
  </w:abstractNum>
  <w:abstractNum w:abstractNumId="48">
    <w:nsid w:val="3A7FBA26"/>
    <w:multiLevelType w:val="multilevel"/>
    <w:tmpl w:val="3A7FBA26"/>
    <w:lvl w:ilvl="0" w:tentative="0">
      <w:start w:val="1"/>
      <w:numFmt w:val="decimal"/>
      <w:lvlText w:val="（%1）"/>
      <w:lvlJc w:val="left"/>
      <w:pPr>
        <w:ind w:left="384" w:hanging="604"/>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49">
    <w:nsid w:val="3D950AF9"/>
    <w:multiLevelType w:val="multilevel"/>
    <w:tmpl w:val="3D950AF9"/>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50">
    <w:nsid w:val="3FE315B6"/>
    <w:multiLevelType w:val="multilevel"/>
    <w:tmpl w:val="3FE315B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1">
    <w:nsid w:val="40F245EA"/>
    <w:multiLevelType w:val="multilevel"/>
    <w:tmpl w:val="40F245E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2">
    <w:nsid w:val="4258023A"/>
    <w:multiLevelType w:val="multilevel"/>
    <w:tmpl w:val="4258023A"/>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3">
    <w:nsid w:val="4A51D704"/>
    <w:multiLevelType w:val="multilevel"/>
    <w:tmpl w:val="4A51D704"/>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4">
    <w:nsid w:val="4AD1D84F"/>
    <w:multiLevelType w:val="multilevel"/>
    <w:tmpl w:val="4AD1D84F"/>
    <w:lvl w:ilvl="0" w:tentative="0">
      <w:start w:val="1"/>
      <w:numFmt w:val="decimal"/>
      <w:lvlText w:val="%1"/>
      <w:lvlJc w:val="left"/>
      <w:pPr>
        <w:ind w:left="213" w:hanging="420"/>
      </w:pPr>
      <w:rPr>
        <w:rFonts w:hint="default"/>
        <w:lang w:val="zh-CN" w:eastAsia="zh-CN" w:bidi="zh-CN"/>
      </w:rPr>
    </w:lvl>
    <w:lvl w:ilvl="1" w:tentative="0">
      <w:start w:val="1"/>
      <w:numFmt w:val="decimal"/>
      <w:lvlText w:val="%1.%2"/>
      <w:lvlJc w:val="left"/>
      <w:pPr>
        <w:ind w:left="213" w:hanging="420"/>
      </w:pPr>
      <w:rPr>
        <w:rFonts w:hint="default" w:ascii="Times New Roman" w:hAnsi="Times New Roman" w:eastAsia="Times New Roman" w:cs="Times New Roman"/>
        <w:spacing w:val="-17"/>
        <w:w w:val="100"/>
        <w:sz w:val="24"/>
        <w:szCs w:val="24"/>
        <w:lang w:val="zh-CN" w:eastAsia="zh-CN" w:bidi="zh-CN"/>
      </w:rPr>
    </w:lvl>
    <w:lvl w:ilvl="2" w:tentative="0">
      <w:start w:val="0"/>
      <w:numFmt w:val="bullet"/>
      <w:lvlText w:val="•"/>
      <w:lvlJc w:val="left"/>
      <w:pPr>
        <w:ind w:left="2081" w:hanging="420"/>
      </w:pPr>
      <w:rPr>
        <w:rFonts w:hint="default"/>
        <w:lang w:val="zh-CN" w:eastAsia="zh-CN" w:bidi="zh-CN"/>
      </w:rPr>
    </w:lvl>
    <w:lvl w:ilvl="3" w:tentative="0">
      <w:start w:val="0"/>
      <w:numFmt w:val="bullet"/>
      <w:lvlText w:val="•"/>
      <w:lvlJc w:val="left"/>
      <w:pPr>
        <w:ind w:left="3012" w:hanging="420"/>
      </w:pPr>
      <w:rPr>
        <w:rFonts w:hint="default"/>
        <w:lang w:val="zh-CN" w:eastAsia="zh-CN" w:bidi="zh-CN"/>
      </w:rPr>
    </w:lvl>
    <w:lvl w:ilvl="4" w:tentative="0">
      <w:start w:val="0"/>
      <w:numFmt w:val="bullet"/>
      <w:lvlText w:val="•"/>
      <w:lvlJc w:val="left"/>
      <w:pPr>
        <w:ind w:left="3942"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804" w:hanging="420"/>
      </w:pPr>
      <w:rPr>
        <w:rFonts w:hint="default"/>
        <w:lang w:val="zh-CN" w:eastAsia="zh-CN" w:bidi="zh-CN"/>
      </w:rPr>
    </w:lvl>
    <w:lvl w:ilvl="7" w:tentative="0">
      <w:start w:val="0"/>
      <w:numFmt w:val="bullet"/>
      <w:lvlText w:val="•"/>
      <w:lvlJc w:val="left"/>
      <w:pPr>
        <w:ind w:left="6734" w:hanging="420"/>
      </w:pPr>
      <w:rPr>
        <w:rFonts w:hint="default"/>
        <w:lang w:val="zh-CN" w:eastAsia="zh-CN" w:bidi="zh-CN"/>
      </w:rPr>
    </w:lvl>
    <w:lvl w:ilvl="8" w:tentative="0">
      <w:start w:val="0"/>
      <w:numFmt w:val="bullet"/>
      <w:lvlText w:val="•"/>
      <w:lvlJc w:val="left"/>
      <w:pPr>
        <w:ind w:left="7665" w:hanging="420"/>
      </w:pPr>
      <w:rPr>
        <w:rFonts w:hint="default"/>
        <w:lang w:val="zh-CN" w:eastAsia="zh-CN" w:bidi="zh-CN"/>
      </w:rPr>
    </w:lvl>
  </w:abstractNum>
  <w:abstractNum w:abstractNumId="55">
    <w:nsid w:val="4D63189B"/>
    <w:multiLevelType w:val="multilevel"/>
    <w:tmpl w:val="4D63189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6">
    <w:nsid w:val="4FB438A5"/>
    <w:multiLevelType w:val="multilevel"/>
    <w:tmpl w:val="4FB438A5"/>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7">
    <w:nsid w:val="51C4BC33"/>
    <w:multiLevelType w:val="multilevel"/>
    <w:tmpl w:val="51C4BC3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8">
    <w:nsid w:val="54701CA1"/>
    <w:multiLevelType w:val="multilevel"/>
    <w:tmpl w:val="54701C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9">
    <w:nsid w:val="5E82ECBB"/>
    <w:multiLevelType w:val="singleLevel"/>
    <w:tmpl w:val="5E82ECBB"/>
    <w:lvl w:ilvl="0" w:tentative="0">
      <w:start w:val="3"/>
      <w:numFmt w:val="chineseCounting"/>
      <w:suff w:val="nothing"/>
      <w:lvlText w:val="（%1）"/>
      <w:lvlJc w:val="left"/>
      <w:rPr>
        <w:rFonts w:hint="eastAsia"/>
      </w:rPr>
    </w:lvl>
  </w:abstractNum>
  <w:abstractNum w:abstractNumId="60">
    <w:nsid w:val="5FCE4367"/>
    <w:multiLevelType w:val="multilevel"/>
    <w:tmpl w:val="5FCE4367"/>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1">
    <w:nsid w:val="60054CB4"/>
    <w:multiLevelType w:val="multilevel"/>
    <w:tmpl w:val="60054CB4"/>
    <w:lvl w:ilvl="0" w:tentative="0">
      <w:start w:val="1"/>
      <w:numFmt w:val="decimal"/>
      <w:lvlText w:val="%1."/>
      <w:lvlJc w:val="left"/>
      <w:pPr>
        <w:ind w:left="153" w:hanging="361"/>
      </w:pPr>
      <w:rPr>
        <w:rFonts w:hint="default" w:ascii="Times New Roman" w:hAnsi="Times New Roman" w:eastAsia="Times New Roman" w:cs="Times New Roman"/>
        <w:spacing w:val="-34"/>
        <w:w w:val="100"/>
        <w:sz w:val="22"/>
        <w:szCs w:val="22"/>
        <w:lang w:val="zh-CN" w:eastAsia="zh-CN" w:bidi="zh-CN"/>
      </w:rPr>
    </w:lvl>
    <w:lvl w:ilvl="1" w:tentative="0">
      <w:start w:val="0"/>
      <w:numFmt w:val="bullet"/>
      <w:lvlText w:val="•"/>
      <w:lvlJc w:val="left"/>
      <w:pPr>
        <w:ind w:left="980" w:hanging="361"/>
      </w:pPr>
      <w:rPr>
        <w:rFonts w:hint="default"/>
        <w:lang w:val="zh-CN" w:eastAsia="zh-CN" w:bidi="zh-CN"/>
      </w:rPr>
    </w:lvl>
    <w:lvl w:ilvl="2" w:tentative="0">
      <w:start w:val="0"/>
      <w:numFmt w:val="bullet"/>
      <w:lvlText w:val="•"/>
      <w:lvlJc w:val="left"/>
      <w:pPr>
        <w:ind w:left="1945" w:hanging="361"/>
      </w:pPr>
      <w:rPr>
        <w:rFonts w:hint="default"/>
        <w:lang w:val="zh-CN" w:eastAsia="zh-CN" w:bidi="zh-CN"/>
      </w:rPr>
    </w:lvl>
    <w:lvl w:ilvl="3" w:tentative="0">
      <w:start w:val="0"/>
      <w:numFmt w:val="bullet"/>
      <w:lvlText w:val="•"/>
      <w:lvlJc w:val="left"/>
      <w:pPr>
        <w:ind w:left="2910" w:hanging="361"/>
      </w:pPr>
      <w:rPr>
        <w:rFonts w:hint="default"/>
        <w:lang w:val="zh-CN" w:eastAsia="zh-CN" w:bidi="zh-CN"/>
      </w:rPr>
    </w:lvl>
    <w:lvl w:ilvl="4" w:tentative="0">
      <w:start w:val="0"/>
      <w:numFmt w:val="bullet"/>
      <w:lvlText w:val="•"/>
      <w:lvlJc w:val="left"/>
      <w:pPr>
        <w:ind w:left="3875" w:hanging="361"/>
      </w:pPr>
      <w:rPr>
        <w:rFonts w:hint="default"/>
        <w:lang w:val="zh-CN" w:eastAsia="zh-CN" w:bidi="zh-CN"/>
      </w:rPr>
    </w:lvl>
    <w:lvl w:ilvl="5" w:tentative="0">
      <w:start w:val="0"/>
      <w:numFmt w:val="bullet"/>
      <w:lvlText w:val="•"/>
      <w:lvlJc w:val="left"/>
      <w:pPr>
        <w:ind w:left="4840" w:hanging="361"/>
      </w:pPr>
      <w:rPr>
        <w:rFonts w:hint="default"/>
        <w:lang w:val="zh-CN" w:eastAsia="zh-CN" w:bidi="zh-CN"/>
      </w:rPr>
    </w:lvl>
    <w:lvl w:ilvl="6" w:tentative="0">
      <w:start w:val="0"/>
      <w:numFmt w:val="bullet"/>
      <w:lvlText w:val="•"/>
      <w:lvlJc w:val="left"/>
      <w:pPr>
        <w:ind w:left="5805" w:hanging="361"/>
      </w:pPr>
      <w:rPr>
        <w:rFonts w:hint="default"/>
        <w:lang w:val="zh-CN" w:eastAsia="zh-CN" w:bidi="zh-CN"/>
      </w:rPr>
    </w:lvl>
    <w:lvl w:ilvl="7" w:tentative="0">
      <w:start w:val="0"/>
      <w:numFmt w:val="bullet"/>
      <w:lvlText w:val="•"/>
      <w:lvlJc w:val="left"/>
      <w:pPr>
        <w:ind w:left="6770" w:hanging="361"/>
      </w:pPr>
      <w:rPr>
        <w:rFonts w:hint="default"/>
        <w:lang w:val="zh-CN" w:eastAsia="zh-CN" w:bidi="zh-CN"/>
      </w:rPr>
    </w:lvl>
    <w:lvl w:ilvl="8" w:tentative="0">
      <w:start w:val="0"/>
      <w:numFmt w:val="bullet"/>
      <w:lvlText w:val="•"/>
      <w:lvlJc w:val="left"/>
      <w:pPr>
        <w:ind w:left="7735" w:hanging="361"/>
      </w:pPr>
      <w:rPr>
        <w:rFonts w:hint="default"/>
        <w:lang w:val="zh-CN" w:eastAsia="zh-CN" w:bidi="zh-CN"/>
      </w:rPr>
    </w:lvl>
  </w:abstractNum>
  <w:abstractNum w:abstractNumId="62">
    <w:nsid w:val="610EFE5C"/>
    <w:multiLevelType w:val="multilevel"/>
    <w:tmpl w:val="610EFE5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3">
    <w:nsid w:val="63DB807B"/>
    <w:multiLevelType w:val="singleLevel"/>
    <w:tmpl w:val="63DB807B"/>
    <w:lvl w:ilvl="0" w:tentative="0">
      <w:start w:val="6"/>
      <w:numFmt w:val="chineseCounting"/>
      <w:suff w:val="space"/>
      <w:lvlText w:val="第%1章"/>
      <w:lvlJc w:val="left"/>
      <w:rPr>
        <w:rFonts w:hint="eastAsia"/>
      </w:rPr>
    </w:lvl>
  </w:abstractNum>
  <w:abstractNum w:abstractNumId="64">
    <w:nsid w:val="6AFC2A1C"/>
    <w:multiLevelType w:val="multilevel"/>
    <w:tmpl w:val="6AFC2A1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num w:numId="1">
    <w:abstractNumId w:val="45"/>
  </w:num>
  <w:num w:numId="2">
    <w:abstractNumId w:val="19"/>
  </w:num>
  <w:num w:numId="3">
    <w:abstractNumId w:val="26"/>
  </w:num>
  <w:num w:numId="4">
    <w:abstractNumId w:val="23"/>
  </w:num>
  <w:num w:numId="5">
    <w:abstractNumId w:val="16"/>
  </w:num>
  <w:num w:numId="6">
    <w:abstractNumId w:val="20"/>
  </w:num>
  <w:num w:numId="7">
    <w:abstractNumId w:val="53"/>
  </w:num>
  <w:num w:numId="8">
    <w:abstractNumId w:val="9"/>
  </w:num>
  <w:num w:numId="9">
    <w:abstractNumId w:val="62"/>
  </w:num>
  <w:num w:numId="10">
    <w:abstractNumId w:val="0"/>
  </w:num>
  <w:num w:numId="11">
    <w:abstractNumId w:val="34"/>
  </w:num>
  <w:num w:numId="12">
    <w:abstractNumId w:val="6"/>
  </w:num>
  <w:num w:numId="13">
    <w:abstractNumId w:val="13"/>
  </w:num>
  <w:num w:numId="14">
    <w:abstractNumId w:val="14"/>
  </w:num>
  <w:num w:numId="15">
    <w:abstractNumId w:val="32"/>
  </w:num>
  <w:num w:numId="16">
    <w:abstractNumId w:val="60"/>
  </w:num>
  <w:num w:numId="17">
    <w:abstractNumId w:val="30"/>
  </w:num>
  <w:num w:numId="18">
    <w:abstractNumId w:val="58"/>
  </w:num>
  <w:num w:numId="19">
    <w:abstractNumId w:val="5"/>
  </w:num>
  <w:num w:numId="20">
    <w:abstractNumId w:val="44"/>
  </w:num>
  <w:num w:numId="21">
    <w:abstractNumId w:val="57"/>
  </w:num>
  <w:num w:numId="22">
    <w:abstractNumId w:val="3"/>
  </w:num>
  <w:num w:numId="23">
    <w:abstractNumId w:val="41"/>
  </w:num>
  <w:num w:numId="24">
    <w:abstractNumId w:val="51"/>
  </w:num>
  <w:num w:numId="25">
    <w:abstractNumId w:val="39"/>
  </w:num>
  <w:num w:numId="26">
    <w:abstractNumId w:val="55"/>
  </w:num>
  <w:num w:numId="27">
    <w:abstractNumId w:val="56"/>
  </w:num>
  <w:num w:numId="28">
    <w:abstractNumId w:val="22"/>
  </w:num>
  <w:num w:numId="29">
    <w:abstractNumId w:val="4"/>
  </w:num>
  <w:num w:numId="30">
    <w:abstractNumId w:val="48"/>
  </w:num>
  <w:num w:numId="31">
    <w:abstractNumId w:val="50"/>
  </w:num>
  <w:num w:numId="32">
    <w:abstractNumId w:val="38"/>
  </w:num>
  <w:num w:numId="33">
    <w:abstractNumId w:val="21"/>
  </w:num>
  <w:num w:numId="34">
    <w:abstractNumId w:val="40"/>
  </w:num>
  <w:num w:numId="35">
    <w:abstractNumId w:val="37"/>
  </w:num>
  <w:num w:numId="36">
    <w:abstractNumId w:val="25"/>
  </w:num>
  <w:num w:numId="37">
    <w:abstractNumId w:val="28"/>
  </w:num>
  <w:num w:numId="38">
    <w:abstractNumId w:val="17"/>
  </w:num>
  <w:num w:numId="39">
    <w:abstractNumId w:val="52"/>
  </w:num>
  <w:num w:numId="40">
    <w:abstractNumId w:val="31"/>
  </w:num>
  <w:num w:numId="41">
    <w:abstractNumId w:val="2"/>
  </w:num>
  <w:num w:numId="42">
    <w:abstractNumId w:val="27"/>
  </w:num>
  <w:num w:numId="43">
    <w:abstractNumId w:val="35"/>
  </w:num>
  <w:num w:numId="44">
    <w:abstractNumId w:val="15"/>
  </w:num>
  <w:num w:numId="45">
    <w:abstractNumId w:val="47"/>
  </w:num>
  <w:num w:numId="46">
    <w:abstractNumId w:val="64"/>
  </w:num>
  <w:num w:numId="47">
    <w:abstractNumId w:val="18"/>
  </w:num>
  <w:num w:numId="48">
    <w:abstractNumId w:val="8"/>
  </w:num>
  <w:num w:numId="49">
    <w:abstractNumId w:val="1"/>
  </w:num>
  <w:num w:numId="50">
    <w:abstractNumId w:val="10"/>
  </w:num>
  <w:num w:numId="51">
    <w:abstractNumId w:val="36"/>
  </w:num>
  <w:num w:numId="52">
    <w:abstractNumId w:val="12"/>
  </w:num>
  <w:num w:numId="53">
    <w:abstractNumId w:val="29"/>
  </w:num>
  <w:num w:numId="54">
    <w:abstractNumId w:val="42"/>
  </w:num>
  <w:num w:numId="55">
    <w:abstractNumId w:val="54"/>
  </w:num>
  <w:num w:numId="56">
    <w:abstractNumId w:val="43"/>
  </w:num>
  <w:num w:numId="57">
    <w:abstractNumId w:val="11"/>
  </w:num>
  <w:num w:numId="58">
    <w:abstractNumId w:val="49"/>
  </w:num>
  <w:num w:numId="59">
    <w:abstractNumId w:val="63"/>
  </w:num>
  <w:num w:numId="60">
    <w:abstractNumId w:val="24"/>
  </w:num>
  <w:num w:numId="61">
    <w:abstractNumId w:val="33"/>
  </w:num>
  <w:num w:numId="62">
    <w:abstractNumId w:val="7"/>
  </w:num>
  <w:num w:numId="63">
    <w:abstractNumId w:val="59"/>
  </w:num>
  <w:num w:numId="64">
    <w:abstractNumId w:val="46"/>
  </w:num>
  <w:num w:numId="6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DVlZGM1OGMxNzE0YmUxZjFjOTA3MjkxNjIxZDQifQ=="/>
  </w:docVars>
  <w:rsids>
    <w:rsidRoot w:val="48D05C0D"/>
    <w:rsid w:val="00086CD4"/>
    <w:rsid w:val="000C2EFB"/>
    <w:rsid w:val="000F5C6E"/>
    <w:rsid w:val="001F3AF1"/>
    <w:rsid w:val="003D6361"/>
    <w:rsid w:val="003F7044"/>
    <w:rsid w:val="00444514"/>
    <w:rsid w:val="004C137F"/>
    <w:rsid w:val="00606502"/>
    <w:rsid w:val="006F74DA"/>
    <w:rsid w:val="00880D80"/>
    <w:rsid w:val="00994B41"/>
    <w:rsid w:val="009E270E"/>
    <w:rsid w:val="00AA7D4F"/>
    <w:rsid w:val="00B44066"/>
    <w:rsid w:val="00BE50FD"/>
    <w:rsid w:val="00D93AD1"/>
    <w:rsid w:val="00DD61CC"/>
    <w:rsid w:val="00E56A9A"/>
    <w:rsid w:val="00FC206D"/>
    <w:rsid w:val="0124203D"/>
    <w:rsid w:val="01895E2B"/>
    <w:rsid w:val="02836333"/>
    <w:rsid w:val="02D45050"/>
    <w:rsid w:val="02E8713A"/>
    <w:rsid w:val="032157CD"/>
    <w:rsid w:val="03857BF9"/>
    <w:rsid w:val="03960557"/>
    <w:rsid w:val="03A42056"/>
    <w:rsid w:val="03EF5EB9"/>
    <w:rsid w:val="040E6CFD"/>
    <w:rsid w:val="041F3E95"/>
    <w:rsid w:val="049D3FAF"/>
    <w:rsid w:val="04EB48D3"/>
    <w:rsid w:val="052A2844"/>
    <w:rsid w:val="06304C93"/>
    <w:rsid w:val="064B4F6A"/>
    <w:rsid w:val="06617DE3"/>
    <w:rsid w:val="06A0349B"/>
    <w:rsid w:val="06FE21A6"/>
    <w:rsid w:val="07442765"/>
    <w:rsid w:val="07511820"/>
    <w:rsid w:val="076F17EB"/>
    <w:rsid w:val="083E2F6B"/>
    <w:rsid w:val="088E1D13"/>
    <w:rsid w:val="0A0F696E"/>
    <w:rsid w:val="0A6C3DC0"/>
    <w:rsid w:val="0AC3352F"/>
    <w:rsid w:val="0BAE0408"/>
    <w:rsid w:val="0BAE21B6"/>
    <w:rsid w:val="0C4E5AE3"/>
    <w:rsid w:val="0C676163"/>
    <w:rsid w:val="0C807C6A"/>
    <w:rsid w:val="0CFF53BF"/>
    <w:rsid w:val="0D3F7C15"/>
    <w:rsid w:val="0E5C15DB"/>
    <w:rsid w:val="0E9C2F2B"/>
    <w:rsid w:val="0EE004F1"/>
    <w:rsid w:val="0EE34F69"/>
    <w:rsid w:val="0F925753"/>
    <w:rsid w:val="0FB62C06"/>
    <w:rsid w:val="0FB954F1"/>
    <w:rsid w:val="0FC0066A"/>
    <w:rsid w:val="0FDC6AB4"/>
    <w:rsid w:val="10463EEF"/>
    <w:rsid w:val="105F1A99"/>
    <w:rsid w:val="106F4AF0"/>
    <w:rsid w:val="10FB387F"/>
    <w:rsid w:val="116F2971"/>
    <w:rsid w:val="11705B36"/>
    <w:rsid w:val="11CC0E93"/>
    <w:rsid w:val="121F43A6"/>
    <w:rsid w:val="12243411"/>
    <w:rsid w:val="122440C3"/>
    <w:rsid w:val="125221FA"/>
    <w:rsid w:val="12A20662"/>
    <w:rsid w:val="1356385F"/>
    <w:rsid w:val="13787880"/>
    <w:rsid w:val="138A175B"/>
    <w:rsid w:val="14BD2E06"/>
    <w:rsid w:val="15023C9F"/>
    <w:rsid w:val="151A266A"/>
    <w:rsid w:val="1542236E"/>
    <w:rsid w:val="159A4872"/>
    <w:rsid w:val="15CE2B6A"/>
    <w:rsid w:val="15FD5AA9"/>
    <w:rsid w:val="162248EC"/>
    <w:rsid w:val="162E7872"/>
    <w:rsid w:val="16A01639"/>
    <w:rsid w:val="16A52283"/>
    <w:rsid w:val="16E17800"/>
    <w:rsid w:val="172015B6"/>
    <w:rsid w:val="174B2C96"/>
    <w:rsid w:val="175E6491"/>
    <w:rsid w:val="181C03E9"/>
    <w:rsid w:val="18923D5F"/>
    <w:rsid w:val="189579C2"/>
    <w:rsid w:val="18A305C6"/>
    <w:rsid w:val="19B44FC0"/>
    <w:rsid w:val="19B606BF"/>
    <w:rsid w:val="1A1D6E85"/>
    <w:rsid w:val="1A6F68B8"/>
    <w:rsid w:val="1AD978AB"/>
    <w:rsid w:val="1AF04599"/>
    <w:rsid w:val="1B0B56ED"/>
    <w:rsid w:val="1B6D2524"/>
    <w:rsid w:val="1B7F1479"/>
    <w:rsid w:val="1B9246E6"/>
    <w:rsid w:val="1BDD0FDD"/>
    <w:rsid w:val="1C017D44"/>
    <w:rsid w:val="1C5A616E"/>
    <w:rsid w:val="1C8B27CB"/>
    <w:rsid w:val="1D05359D"/>
    <w:rsid w:val="1D2624F4"/>
    <w:rsid w:val="1D5D5238"/>
    <w:rsid w:val="1E044763"/>
    <w:rsid w:val="1E097BC7"/>
    <w:rsid w:val="1E4D27F9"/>
    <w:rsid w:val="1E6E0C44"/>
    <w:rsid w:val="1EA21E83"/>
    <w:rsid w:val="1EA23DFC"/>
    <w:rsid w:val="1F132604"/>
    <w:rsid w:val="1F4B4494"/>
    <w:rsid w:val="1F8533C6"/>
    <w:rsid w:val="1F8A3F4D"/>
    <w:rsid w:val="1F9D6372"/>
    <w:rsid w:val="1FA403D0"/>
    <w:rsid w:val="1FA83694"/>
    <w:rsid w:val="1FE65F6B"/>
    <w:rsid w:val="1FF44CDC"/>
    <w:rsid w:val="200F101E"/>
    <w:rsid w:val="201B5C14"/>
    <w:rsid w:val="20FE0EBC"/>
    <w:rsid w:val="2106303B"/>
    <w:rsid w:val="21403E14"/>
    <w:rsid w:val="214A7A63"/>
    <w:rsid w:val="21D1179D"/>
    <w:rsid w:val="21D67D7A"/>
    <w:rsid w:val="21D70383"/>
    <w:rsid w:val="22FF2E0B"/>
    <w:rsid w:val="2406762A"/>
    <w:rsid w:val="24247062"/>
    <w:rsid w:val="24910355"/>
    <w:rsid w:val="24D857F5"/>
    <w:rsid w:val="2510524B"/>
    <w:rsid w:val="253541EE"/>
    <w:rsid w:val="255D409B"/>
    <w:rsid w:val="256718FC"/>
    <w:rsid w:val="25AD5D7F"/>
    <w:rsid w:val="25CF5798"/>
    <w:rsid w:val="26390900"/>
    <w:rsid w:val="26AA5F44"/>
    <w:rsid w:val="26C95B38"/>
    <w:rsid w:val="28074CD0"/>
    <w:rsid w:val="28096556"/>
    <w:rsid w:val="286923D0"/>
    <w:rsid w:val="29564B97"/>
    <w:rsid w:val="296434D8"/>
    <w:rsid w:val="29702DE9"/>
    <w:rsid w:val="2A4144C9"/>
    <w:rsid w:val="2A440219"/>
    <w:rsid w:val="2A5744DB"/>
    <w:rsid w:val="2A9A5574"/>
    <w:rsid w:val="2A9B42F6"/>
    <w:rsid w:val="2AA67AA4"/>
    <w:rsid w:val="2AF05ACE"/>
    <w:rsid w:val="2B313E03"/>
    <w:rsid w:val="2B506556"/>
    <w:rsid w:val="2B697C69"/>
    <w:rsid w:val="2BA33973"/>
    <w:rsid w:val="2C7D7B62"/>
    <w:rsid w:val="2C7F265E"/>
    <w:rsid w:val="2CBB17EF"/>
    <w:rsid w:val="2CD82E0B"/>
    <w:rsid w:val="2CDC497D"/>
    <w:rsid w:val="2CDF4C7E"/>
    <w:rsid w:val="2DB44479"/>
    <w:rsid w:val="2DBB0A37"/>
    <w:rsid w:val="2DD13BC6"/>
    <w:rsid w:val="2E845A6E"/>
    <w:rsid w:val="2E982B26"/>
    <w:rsid w:val="2EB07F0D"/>
    <w:rsid w:val="2EC543F7"/>
    <w:rsid w:val="2EF064BE"/>
    <w:rsid w:val="2F391C13"/>
    <w:rsid w:val="2F63550A"/>
    <w:rsid w:val="2F917CA1"/>
    <w:rsid w:val="2FA200FA"/>
    <w:rsid w:val="2FC9141A"/>
    <w:rsid w:val="2FE83639"/>
    <w:rsid w:val="30077C27"/>
    <w:rsid w:val="30534FE4"/>
    <w:rsid w:val="30847806"/>
    <w:rsid w:val="30BE0755"/>
    <w:rsid w:val="31012C04"/>
    <w:rsid w:val="31304D40"/>
    <w:rsid w:val="31473494"/>
    <w:rsid w:val="32052280"/>
    <w:rsid w:val="321C4EA7"/>
    <w:rsid w:val="322B455D"/>
    <w:rsid w:val="325D030E"/>
    <w:rsid w:val="32784D16"/>
    <w:rsid w:val="32AB7818"/>
    <w:rsid w:val="332345EF"/>
    <w:rsid w:val="336B20C9"/>
    <w:rsid w:val="337A3833"/>
    <w:rsid w:val="33A40DC1"/>
    <w:rsid w:val="3532466D"/>
    <w:rsid w:val="35662E88"/>
    <w:rsid w:val="358C3432"/>
    <w:rsid w:val="35B744A0"/>
    <w:rsid w:val="35DB3E3E"/>
    <w:rsid w:val="365D0556"/>
    <w:rsid w:val="365E6403"/>
    <w:rsid w:val="36716ADC"/>
    <w:rsid w:val="36977B3F"/>
    <w:rsid w:val="36F001F0"/>
    <w:rsid w:val="36FB4AFA"/>
    <w:rsid w:val="37471F62"/>
    <w:rsid w:val="374C49CE"/>
    <w:rsid w:val="37677539"/>
    <w:rsid w:val="37761F41"/>
    <w:rsid w:val="3776777C"/>
    <w:rsid w:val="377B36F4"/>
    <w:rsid w:val="379D2F5B"/>
    <w:rsid w:val="37A14D92"/>
    <w:rsid w:val="38004C92"/>
    <w:rsid w:val="3805122C"/>
    <w:rsid w:val="38C70290"/>
    <w:rsid w:val="392E79F6"/>
    <w:rsid w:val="39AC74AA"/>
    <w:rsid w:val="39C8603D"/>
    <w:rsid w:val="3A0C09BE"/>
    <w:rsid w:val="3A3C4CAD"/>
    <w:rsid w:val="3A4A47B4"/>
    <w:rsid w:val="3A830B2E"/>
    <w:rsid w:val="3AF610CD"/>
    <w:rsid w:val="3B3463CE"/>
    <w:rsid w:val="3B4265A5"/>
    <w:rsid w:val="3B53757B"/>
    <w:rsid w:val="3B784C7E"/>
    <w:rsid w:val="3C0E61D6"/>
    <w:rsid w:val="3C6E1DB2"/>
    <w:rsid w:val="3C9506A5"/>
    <w:rsid w:val="3CD85302"/>
    <w:rsid w:val="3D3E0D3C"/>
    <w:rsid w:val="3D754843"/>
    <w:rsid w:val="3DAA1B4D"/>
    <w:rsid w:val="3DDD4688"/>
    <w:rsid w:val="3DE46F51"/>
    <w:rsid w:val="3DFA1107"/>
    <w:rsid w:val="3DFE5EBF"/>
    <w:rsid w:val="3E211D93"/>
    <w:rsid w:val="3E2567B8"/>
    <w:rsid w:val="3E6F3D7E"/>
    <w:rsid w:val="3E8A1CFD"/>
    <w:rsid w:val="3E8A77F9"/>
    <w:rsid w:val="3E946215"/>
    <w:rsid w:val="3ECB170F"/>
    <w:rsid w:val="3F0810EF"/>
    <w:rsid w:val="3F736BA7"/>
    <w:rsid w:val="3FAD1953"/>
    <w:rsid w:val="40033EC0"/>
    <w:rsid w:val="401F6C03"/>
    <w:rsid w:val="402821EC"/>
    <w:rsid w:val="412F3A1A"/>
    <w:rsid w:val="41904020"/>
    <w:rsid w:val="421D3616"/>
    <w:rsid w:val="42862F6A"/>
    <w:rsid w:val="428D2D6A"/>
    <w:rsid w:val="42BE0955"/>
    <w:rsid w:val="42FE5622"/>
    <w:rsid w:val="4334069B"/>
    <w:rsid w:val="435440AA"/>
    <w:rsid w:val="435A7F52"/>
    <w:rsid w:val="44086AD6"/>
    <w:rsid w:val="44897395"/>
    <w:rsid w:val="44C0557F"/>
    <w:rsid w:val="44F36E2B"/>
    <w:rsid w:val="4533705E"/>
    <w:rsid w:val="45485326"/>
    <w:rsid w:val="45571BE1"/>
    <w:rsid w:val="45987652"/>
    <w:rsid w:val="45CC3389"/>
    <w:rsid w:val="45D77B37"/>
    <w:rsid w:val="45F12DF0"/>
    <w:rsid w:val="45FC6754"/>
    <w:rsid w:val="461C007C"/>
    <w:rsid w:val="464B6860"/>
    <w:rsid w:val="4691444A"/>
    <w:rsid w:val="469E78CF"/>
    <w:rsid w:val="46A9191C"/>
    <w:rsid w:val="478C2DB4"/>
    <w:rsid w:val="47982D54"/>
    <w:rsid w:val="479E38D8"/>
    <w:rsid w:val="47DE1434"/>
    <w:rsid w:val="48586940"/>
    <w:rsid w:val="489C4C52"/>
    <w:rsid w:val="48D05C0D"/>
    <w:rsid w:val="49781D5D"/>
    <w:rsid w:val="49DC3DB7"/>
    <w:rsid w:val="4A2A4B22"/>
    <w:rsid w:val="4A355C64"/>
    <w:rsid w:val="4AB11F98"/>
    <w:rsid w:val="4AC5484B"/>
    <w:rsid w:val="4B391AC8"/>
    <w:rsid w:val="4B6A3D7F"/>
    <w:rsid w:val="4B6D116B"/>
    <w:rsid w:val="4B840262"/>
    <w:rsid w:val="4BCD7E5B"/>
    <w:rsid w:val="4C0A0B5C"/>
    <w:rsid w:val="4C233ECD"/>
    <w:rsid w:val="4CC730BD"/>
    <w:rsid w:val="4D5C07F9"/>
    <w:rsid w:val="4DA77E8F"/>
    <w:rsid w:val="4DDD3C5A"/>
    <w:rsid w:val="4DFD267D"/>
    <w:rsid w:val="4E06127F"/>
    <w:rsid w:val="4E3D79D5"/>
    <w:rsid w:val="4E6A4C3C"/>
    <w:rsid w:val="4E7B47CF"/>
    <w:rsid w:val="4F2550DC"/>
    <w:rsid w:val="4F8E3C9C"/>
    <w:rsid w:val="4FB940D4"/>
    <w:rsid w:val="50256029"/>
    <w:rsid w:val="5036368D"/>
    <w:rsid w:val="50BA3B81"/>
    <w:rsid w:val="50BD7648"/>
    <w:rsid w:val="50BF086A"/>
    <w:rsid w:val="51185F65"/>
    <w:rsid w:val="512B6754"/>
    <w:rsid w:val="515204C5"/>
    <w:rsid w:val="51822A04"/>
    <w:rsid w:val="51911043"/>
    <w:rsid w:val="519932ED"/>
    <w:rsid w:val="51DF3C61"/>
    <w:rsid w:val="524C5C7E"/>
    <w:rsid w:val="52903990"/>
    <w:rsid w:val="5298788F"/>
    <w:rsid w:val="530B1DCC"/>
    <w:rsid w:val="543B799D"/>
    <w:rsid w:val="546311A7"/>
    <w:rsid w:val="549B4ADE"/>
    <w:rsid w:val="55644883"/>
    <w:rsid w:val="556A2BEA"/>
    <w:rsid w:val="55797D3A"/>
    <w:rsid w:val="559F494F"/>
    <w:rsid w:val="55DB20F6"/>
    <w:rsid w:val="56187F25"/>
    <w:rsid w:val="56BA722E"/>
    <w:rsid w:val="56CB4F97"/>
    <w:rsid w:val="574518F8"/>
    <w:rsid w:val="57780712"/>
    <w:rsid w:val="581A1CA6"/>
    <w:rsid w:val="586445F0"/>
    <w:rsid w:val="58C5192A"/>
    <w:rsid w:val="59594ADC"/>
    <w:rsid w:val="59CA7728"/>
    <w:rsid w:val="59D31D9D"/>
    <w:rsid w:val="59E7658C"/>
    <w:rsid w:val="5A221BE5"/>
    <w:rsid w:val="5A276CF7"/>
    <w:rsid w:val="5AB7685E"/>
    <w:rsid w:val="5AEB641A"/>
    <w:rsid w:val="5B5639C9"/>
    <w:rsid w:val="5BB40A89"/>
    <w:rsid w:val="5BBD6399"/>
    <w:rsid w:val="5BFB631F"/>
    <w:rsid w:val="5C0276AD"/>
    <w:rsid w:val="5C281CBF"/>
    <w:rsid w:val="5C550A67"/>
    <w:rsid w:val="5CBD35D4"/>
    <w:rsid w:val="5D135C36"/>
    <w:rsid w:val="5D69550A"/>
    <w:rsid w:val="5D6F6C4B"/>
    <w:rsid w:val="5D8A097F"/>
    <w:rsid w:val="5DB22169"/>
    <w:rsid w:val="5DC34C1A"/>
    <w:rsid w:val="5E8425FB"/>
    <w:rsid w:val="5EA93E10"/>
    <w:rsid w:val="5EB12C47"/>
    <w:rsid w:val="5ED35331"/>
    <w:rsid w:val="5EF23F89"/>
    <w:rsid w:val="5EF446BC"/>
    <w:rsid w:val="5F6D308F"/>
    <w:rsid w:val="5F7A64AD"/>
    <w:rsid w:val="5FE53BC6"/>
    <w:rsid w:val="603D2F8F"/>
    <w:rsid w:val="605164EC"/>
    <w:rsid w:val="6134408D"/>
    <w:rsid w:val="614E6EF1"/>
    <w:rsid w:val="61565DA5"/>
    <w:rsid w:val="6176110A"/>
    <w:rsid w:val="626A088E"/>
    <w:rsid w:val="62854B94"/>
    <w:rsid w:val="62D1322E"/>
    <w:rsid w:val="63026180"/>
    <w:rsid w:val="63A03EA2"/>
    <w:rsid w:val="63A177AC"/>
    <w:rsid w:val="63C749B6"/>
    <w:rsid w:val="63FE0C96"/>
    <w:rsid w:val="640E6104"/>
    <w:rsid w:val="647430D2"/>
    <w:rsid w:val="647827E5"/>
    <w:rsid w:val="65650DF4"/>
    <w:rsid w:val="65AE64AA"/>
    <w:rsid w:val="65E2132A"/>
    <w:rsid w:val="65E67657"/>
    <w:rsid w:val="66590CA4"/>
    <w:rsid w:val="667E3AC6"/>
    <w:rsid w:val="668C7DCB"/>
    <w:rsid w:val="6700402F"/>
    <w:rsid w:val="671E3EDA"/>
    <w:rsid w:val="677B6565"/>
    <w:rsid w:val="67FB059A"/>
    <w:rsid w:val="68811027"/>
    <w:rsid w:val="68C462F1"/>
    <w:rsid w:val="692D7E6D"/>
    <w:rsid w:val="698A6F34"/>
    <w:rsid w:val="69E057C4"/>
    <w:rsid w:val="69FC1BE0"/>
    <w:rsid w:val="6A521800"/>
    <w:rsid w:val="6A6E5F0E"/>
    <w:rsid w:val="6A833487"/>
    <w:rsid w:val="6B1235B7"/>
    <w:rsid w:val="6B142F59"/>
    <w:rsid w:val="6B234F4A"/>
    <w:rsid w:val="6B5A0309"/>
    <w:rsid w:val="6B6563DC"/>
    <w:rsid w:val="6BC84788"/>
    <w:rsid w:val="6C0E7490"/>
    <w:rsid w:val="6C6121CE"/>
    <w:rsid w:val="6CB744E6"/>
    <w:rsid w:val="6CDA5ADC"/>
    <w:rsid w:val="6D275220"/>
    <w:rsid w:val="6D68758C"/>
    <w:rsid w:val="6DE3491F"/>
    <w:rsid w:val="6EDB2F69"/>
    <w:rsid w:val="6F0528C7"/>
    <w:rsid w:val="6F926B42"/>
    <w:rsid w:val="6FE3609A"/>
    <w:rsid w:val="6FE74798"/>
    <w:rsid w:val="70F336E8"/>
    <w:rsid w:val="71281905"/>
    <w:rsid w:val="714007F0"/>
    <w:rsid w:val="71491F07"/>
    <w:rsid w:val="7180358E"/>
    <w:rsid w:val="71911C0E"/>
    <w:rsid w:val="71C1726B"/>
    <w:rsid w:val="72AC7F1B"/>
    <w:rsid w:val="72D32DFD"/>
    <w:rsid w:val="72FC18C0"/>
    <w:rsid w:val="739015EB"/>
    <w:rsid w:val="73D0517B"/>
    <w:rsid w:val="73E9047A"/>
    <w:rsid w:val="741C4C2C"/>
    <w:rsid w:val="74AC62F7"/>
    <w:rsid w:val="74BC0BB0"/>
    <w:rsid w:val="750543DF"/>
    <w:rsid w:val="7538187E"/>
    <w:rsid w:val="754464B3"/>
    <w:rsid w:val="75AF26A1"/>
    <w:rsid w:val="75E86ABE"/>
    <w:rsid w:val="766509CB"/>
    <w:rsid w:val="769136B0"/>
    <w:rsid w:val="76EF0FDF"/>
    <w:rsid w:val="76F50B0E"/>
    <w:rsid w:val="770413F6"/>
    <w:rsid w:val="77545B3E"/>
    <w:rsid w:val="77F35CA4"/>
    <w:rsid w:val="782D11B6"/>
    <w:rsid w:val="78CF04BF"/>
    <w:rsid w:val="78FA1E5E"/>
    <w:rsid w:val="79191277"/>
    <w:rsid w:val="79250621"/>
    <w:rsid w:val="7967694A"/>
    <w:rsid w:val="798D4602"/>
    <w:rsid w:val="7A590988"/>
    <w:rsid w:val="7C3F0530"/>
    <w:rsid w:val="7C5D6DD4"/>
    <w:rsid w:val="7C8545E3"/>
    <w:rsid w:val="7D170D8A"/>
    <w:rsid w:val="7D31153F"/>
    <w:rsid w:val="7D5C745F"/>
    <w:rsid w:val="7DC50B97"/>
    <w:rsid w:val="7DFE4C7B"/>
    <w:rsid w:val="7E2B1DF7"/>
    <w:rsid w:val="7E3A287F"/>
    <w:rsid w:val="7EA31C91"/>
    <w:rsid w:val="7EA87EA9"/>
    <w:rsid w:val="7EBB39C0"/>
    <w:rsid w:val="7EBC3910"/>
    <w:rsid w:val="7EBC5604"/>
    <w:rsid w:val="7F4B144B"/>
    <w:rsid w:val="7F731D6C"/>
    <w:rsid w:val="7F962F62"/>
    <w:rsid w:val="7FB1091F"/>
    <w:rsid w:val="7FC85827"/>
    <w:rsid w:val="7FDB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98"/>
      <w:outlineLvl w:val="0"/>
    </w:pPr>
    <w:rPr>
      <w:sz w:val="72"/>
      <w:szCs w:val="72"/>
    </w:rPr>
  </w:style>
  <w:style w:type="paragraph" w:styleId="3">
    <w:name w:val="heading 2"/>
    <w:basedOn w:val="1"/>
    <w:next w:val="1"/>
    <w:qFormat/>
    <w:uiPriority w:val="1"/>
    <w:pPr>
      <w:spacing w:before="180"/>
      <w:ind w:left="86"/>
      <w:jc w:val="center"/>
      <w:outlineLvl w:val="1"/>
    </w:pPr>
    <w:rPr>
      <w:b/>
      <w:bCs/>
      <w:sz w:val="44"/>
      <w:szCs w:val="44"/>
    </w:rPr>
  </w:style>
  <w:style w:type="paragraph" w:styleId="4">
    <w:name w:val="heading 3"/>
    <w:basedOn w:val="1"/>
    <w:next w:val="5"/>
    <w:link w:val="39"/>
    <w:qFormat/>
    <w:uiPriority w:val="9"/>
    <w:pPr>
      <w:spacing w:before="14"/>
      <w:ind w:left="711"/>
      <w:outlineLvl w:val="2"/>
    </w:pPr>
    <w:rPr>
      <w:b/>
      <w:sz w:val="28"/>
    </w:rPr>
  </w:style>
  <w:style w:type="paragraph" w:styleId="6">
    <w:name w:val="heading 4"/>
    <w:basedOn w:val="1"/>
    <w:next w:val="1"/>
    <w:qFormat/>
    <w:uiPriority w:val="1"/>
    <w:pPr>
      <w:spacing w:before="41"/>
      <w:ind w:left="267"/>
      <w:jc w:val="center"/>
      <w:outlineLvl w:val="3"/>
    </w:pPr>
    <w:rPr>
      <w:b/>
      <w:bCs/>
      <w:sz w:val="42"/>
      <w:szCs w:val="42"/>
    </w:rPr>
  </w:style>
  <w:style w:type="paragraph" w:styleId="7">
    <w:name w:val="heading 5"/>
    <w:basedOn w:val="1"/>
    <w:next w:val="1"/>
    <w:qFormat/>
    <w:uiPriority w:val="9"/>
    <w:pPr>
      <w:spacing w:before="26"/>
      <w:ind w:left="591"/>
      <w:outlineLvl w:val="4"/>
    </w:pPr>
    <w:rPr>
      <w:b/>
    </w:rPr>
  </w:style>
  <w:style w:type="paragraph" w:styleId="8">
    <w:name w:val="heading 7"/>
    <w:basedOn w:val="1"/>
    <w:next w:val="1"/>
    <w:qFormat/>
    <w:uiPriority w:val="1"/>
    <w:pPr>
      <w:spacing w:before="49"/>
      <w:jc w:val="center"/>
      <w:outlineLvl w:val="6"/>
    </w:pPr>
    <w:rPr>
      <w:sz w:val="36"/>
      <w:szCs w:val="36"/>
    </w:rPr>
  </w:style>
  <w:style w:type="paragraph" w:styleId="9">
    <w:name w:val="heading 8"/>
    <w:basedOn w:val="1"/>
    <w:next w:val="1"/>
    <w:qFormat/>
    <w:uiPriority w:val="1"/>
    <w:pPr>
      <w:spacing w:before="54"/>
      <w:ind w:left="86"/>
      <w:jc w:val="center"/>
      <w:outlineLvl w:val="7"/>
    </w:pPr>
    <w:rPr>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560" w:firstLineChars="200"/>
    </w:pPr>
    <w:rPr>
      <w:bCs/>
      <w:sz w:val="28"/>
      <w:szCs w:val="24"/>
    </w:rPr>
  </w:style>
  <w:style w:type="paragraph" w:styleId="10">
    <w:name w:val="Body Text"/>
    <w:basedOn w:val="1"/>
    <w:next w:val="1"/>
    <w:qFormat/>
    <w:uiPriority w:val="1"/>
    <w:rPr>
      <w:sz w:val="24"/>
      <w:szCs w:val="24"/>
    </w:rPr>
  </w:style>
  <w:style w:type="paragraph" w:styleId="11">
    <w:name w:val="Body Text Indent"/>
    <w:basedOn w:val="1"/>
    <w:next w:val="1"/>
    <w:qFormat/>
    <w:uiPriority w:val="0"/>
    <w:pPr>
      <w:spacing w:before="240" w:line="360" w:lineRule="auto"/>
      <w:ind w:firstLine="552" w:firstLineChars="263"/>
    </w:pPr>
    <w:rPr>
      <w:szCs w:val="20"/>
    </w:rPr>
  </w:style>
  <w:style w:type="paragraph" w:styleId="12">
    <w:name w:val="Plain Text"/>
    <w:basedOn w:val="1"/>
    <w:next w:val="13"/>
    <w:unhideWhenUsed/>
    <w:qFormat/>
    <w:uiPriority w:val="99"/>
    <w:rPr>
      <w:rFonts w:hAnsi="Courier New"/>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alloon Text"/>
    <w:basedOn w:val="1"/>
    <w:unhideWhenUsed/>
    <w:qFormat/>
    <w:uiPriority w:val="99"/>
    <w:pPr>
      <w:autoSpaceDE/>
      <w:autoSpaceDN/>
      <w:jc w:val="both"/>
    </w:pPr>
    <w:rPr>
      <w:kern w:val="2"/>
      <w:sz w:val="18"/>
    </w:rPr>
  </w:style>
  <w:style w:type="paragraph" w:styleId="15">
    <w:name w:val="footer"/>
    <w:basedOn w:val="1"/>
    <w:qFormat/>
    <w:uiPriority w:val="0"/>
    <w:pPr>
      <w:tabs>
        <w:tab w:val="center" w:pos="4153"/>
        <w:tab w:val="right" w:pos="8306"/>
      </w:tabs>
      <w:snapToGrid w:val="0"/>
    </w:pPr>
    <w:rPr>
      <w:rFonts w:ascii="Times New Roman" w:hAnsi="Times New Roman" w:cs="Times New Roman"/>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0"/>
    <w:qFormat/>
    <w:uiPriority w:val="0"/>
    <w:pPr>
      <w:snapToGrid w:val="0"/>
      <w:jc w:val="left"/>
    </w:pPr>
    <w:rPr>
      <w:sz w:val="18"/>
    </w:rPr>
  </w:style>
  <w:style w:type="paragraph" w:styleId="19">
    <w:name w:val="Normal (Web)"/>
    <w:basedOn w:val="1"/>
    <w:next w:val="20"/>
    <w:qFormat/>
    <w:uiPriority w:val="99"/>
    <w:pPr>
      <w:widowControl/>
    </w:pPr>
    <w:rPr>
      <w:sz w:val="24"/>
      <w:szCs w:val="24"/>
    </w:rPr>
  </w:style>
  <w:style w:type="paragraph" w:customStyle="1" w:styleId="20">
    <w:name w:val="目录 41"/>
    <w:next w:val="1"/>
    <w:qFormat/>
    <w:uiPriority w:val="0"/>
    <w:pPr>
      <w:wordWrap w:val="0"/>
      <w:ind w:left="1275"/>
      <w:jc w:val="both"/>
    </w:pPr>
    <w:rPr>
      <w:rFonts w:ascii="Calibri" w:hAnsi="Calibri" w:eastAsia="宋体" w:cs="Times New Roman"/>
      <w:sz w:val="21"/>
      <w:lang w:val="en-US" w:eastAsia="zh-CN" w:bidi="ar-SA"/>
    </w:rPr>
  </w:style>
  <w:style w:type="paragraph" w:styleId="21">
    <w:name w:val="Body Text First Indent"/>
    <w:basedOn w:val="10"/>
    <w:qFormat/>
    <w:uiPriority w:val="0"/>
    <w:pPr>
      <w:widowControl/>
      <w:spacing w:before="0" w:after="120" w:line="400" w:lineRule="exact"/>
      <w:ind w:left="0" w:firstLine="420" w:firstLineChars="100"/>
      <w:jc w:val="both"/>
    </w:pPr>
    <w:rPr>
      <w:rFonts w:ascii="楷体_GB2312" w:hAnsi="Tahoma" w:eastAsia="楷体_GB2312"/>
      <w:kern w:val="2"/>
      <w:szCs w:val="24"/>
      <w:lang w:val="en-US" w:eastAsia="zh-CN"/>
    </w:rPr>
  </w:style>
  <w:style w:type="paragraph" w:styleId="22">
    <w:name w:val="Body Text First Indent 2"/>
    <w:basedOn w:val="11"/>
    <w:next w:val="5"/>
    <w:qFormat/>
    <w:uiPriority w:val="99"/>
    <w:pPr>
      <w:ind w:firstLine="420" w:firstLineChars="200"/>
    </w:pPr>
  </w:style>
  <w:style w:type="paragraph" w:customStyle="1" w:styleId="25">
    <w:name w:val="目录 53"/>
    <w:basedOn w:val="1"/>
    <w:next w:val="1"/>
    <w:qFormat/>
    <w:uiPriority w:val="0"/>
    <w:pPr>
      <w:ind w:left="840"/>
    </w:pPr>
    <w:rPr>
      <w:rFonts w:ascii="Times New Roman"/>
      <w:sz w:val="18"/>
    </w:rPr>
  </w:style>
  <w:style w:type="paragraph" w:styleId="26">
    <w:name w:val="List Paragraph"/>
    <w:basedOn w:val="1"/>
    <w:qFormat/>
    <w:uiPriority w:val="1"/>
    <w:pPr>
      <w:ind w:left="384" w:firstLine="480"/>
    </w:pPr>
  </w:style>
  <w:style w:type="paragraph" w:customStyle="1" w:styleId="27">
    <w:name w:val="Table Paragraph"/>
    <w:basedOn w:val="1"/>
    <w:qFormat/>
    <w:uiPriority w:val="1"/>
  </w:style>
  <w:style w:type="paragraph" w:customStyle="1" w:styleId="28">
    <w:name w:val="正文缩进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character" w:customStyle="1" w:styleId="29">
    <w:name w:val="font01"/>
    <w:basedOn w:val="24"/>
    <w:qFormat/>
    <w:uiPriority w:val="0"/>
    <w:rPr>
      <w:rFonts w:hint="eastAsia" w:ascii="宋体" w:hAnsi="宋体" w:eastAsia="宋体" w:cs="宋体"/>
      <w:color w:val="000000"/>
      <w:sz w:val="24"/>
      <w:szCs w:val="24"/>
      <w:u w:val="none"/>
    </w:rPr>
  </w:style>
  <w:style w:type="character" w:customStyle="1" w:styleId="30">
    <w:name w:val="NormalCharacter"/>
    <w:semiHidden/>
    <w:qFormat/>
    <w:uiPriority w:val="0"/>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 标题 3 + (中文) 黑体 小四 非加粗 段前: 7.8 磅 段后: 0 磅 行距: 固定值 20 磅"/>
    <w:basedOn w:val="4"/>
    <w:unhideWhenUsed/>
    <w:qFormat/>
    <w:uiPriority w:val="0"/>
    <w:pPr>
      <w:spacing w:before="0" w:line="400" w:lineRule="exact"/>
      <w:ind w:left="0"/>
      <w:jc w:val="both"/>
    </w:pPr>
    <w:rPr>
      <w:rFonts w:eastAsia="黑体"/>
      <w:b w:val="0"/>
      <w:kern w:val="2"/>
      <w:sz w:val="24"/>
    </w:rPr>
  </w:style>
  <w:style w:type="paragraph" w:customStyle="1" w:styleId="34">
    <w:name w:val="Normal_9"/>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35">
    <w:name w:val="CM99"/>
    <w:basedOn w:val="36"/>
    <w:next w:val="36"/>
    <w:qFormat/>
    <w:uiPriority w:val="0"/>
    <w:pPr>
      <w:spacing w:after="443"/>
    </w:pPr>
    <w:rPr>
      <w:color w:val="auto"/>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Normal_1"/>
    <w:qFormat/>
    <w:uiPriority w:val="0"/>
    <w:rPr>
      <w:rFonts w:ascii="Times New Roman" w:hAnsi="Times New Roman" w:eastAsia="Times New Roman" w:cs="Times New Roman"/>
      <w:sz w:val="24"/>
      <w:szCs w:val="24"/>
      <w:lang w:val="en-US" w:eastAsia="zh-CN" w:bidi="ar-SA"/>
    </w:rPr>
  </w:style>
  <w:style w:type="character" w:customStyle="1" w:styleId="38">
    <w:name w:val="font41"/>
    <w:basedOn w:val="24"/>
    <w:qFormat/>
    <w:uiPriority w:val="0"/>
    <w:rPr>
      <w:rFonts w:hint="eastAsia" w:ascii="宋体" w:hAnsi="宋体" w:eastAsia="宋体" w:cs="宋体"/>
      <w:color w:val="000000"/>
      <w:sz w:val="24"/>
      <w:szCs w:val="24"/>
      <w:u w:val="single"/>
    </w:rPr>
  </w:style>
  <w:style w:type="character" w:customStyle="1" w:styleId="39">
    <w:name w:val="标题 3 字符"/>
    <w:basedOn w:val="24"/>
    <w:link w:val="4"/>
    <w:qFormat/>
    <w:uiPriority w:val="0"/>
    <w:rPr>
      <w:b/>
      <w:bCs/>
      <w:kern w:val="2"/>
      <w:sz w:val="32"/>
      <w:szCs w:val="32"/>
    </w:rPr>
  </w:style>
  <w:style w:type="paragraph" w:styleId="40">
    <w:name w:val="No Spacing"/>
    <w:qFormat/>
    <w:uiPriority w:val="1"/>
    <w:pPr>
      <w:adjustRightInd w:val="0"/>
      <w:snapToGrid w:val="0"/>
    </w:pPr>
    <w:rPr>
      <w:rFonts w:ascii="Tahoma" w:hAnsi="Tahoma" w:eastAsia="微软雅黑" w:cs="Times New Roman"/>
      <w:sz w:val="22"/>
      <w:szCs w:val="22"/>
      <w:lang w:val="en-US" w:eastAsia="zh-CN"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38204</Words>
  <Characters>39527</Characters>
  <Lines>616</Lines>
  <Paragraphs>173</Paragraphs>
  <TotalTime>47</TotalTime>
  <ScaleCrop>false</ScaleCrop>
  <LinksUpToDate>false</LinksUpToDate>
  <CharactersWithSpaces>39945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2022-06-26T15:18:00Z</dcterms:created>
  <dc:creator>初见</dc:creator>
  <cp:lastModifiedBy>我是蠢蛋我怕谁</cp:lastModifiedBy>
  <cp:lastPrinted>2022-06-29T07:41:00Z</cp:lastPrinted>
  <dcterms:modified xsi:type="dcterms:W3CDTF">2025-01-20T12:26:05Z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4B3BD96B97A94ED89CCF1985E996715F_13</vt:lpwstr>
  </property>
  <property fmtid="{D5CDD505-2E9C-101B-9397-08002B2CF9AE}" pid="4" name="KSOTemplateDocerSaveRecord">
    <vt:lpwstr>eyJoZGlkIjoiOTcxNzY5MTIzNmE2YmRhMmZkOGYwNTdmYTVjNjdjMDciLCJ1c2VySWQiOiIyODY3OTcwMSJ9</vt:lpwstr>
  </property>
</Properties>
</file>