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8D503">
      <w:pPr>
        <w:spacing w:beforeAutospacing="0" w:afterAutospacing="0" w:line="240" w:lineRule="atLeast"/>
        <w:jc w:val="both"/>
        <w:outlineLvl w:val="9"/>
        <w:rPr>
          <w:rFonts w:hint="eastAsia" w:ascii="宋体" w:hAnsi="宋体" w:eastAsia="宋体" w:cs="宋体"/>
          <w:b/>
          <w:color w:val="auto"/>
          <w:sz w:val="52"/>
          <w:szCs w:val="52"/>
          <w:highlight w:val="none"/>
        </w:rPr>
      </w:pPr>
    </w:p>
    <w:p w14:paraId="1CF1B2AD">
      <w:pPr>
        <w:pStyle w:val="5"/>
        <w:ind w:left="0" w:leftChars="0" w:firstLine="0" w:firstLineChars="0"/>
        <w:jc w:val="center"/>
        <w:rPr>
          <w:rFonts w:hint="eastAsia" w:ascii="宋体" w:hAnsi="宋体" w:eastAsia="宋体" w:cs="宋体"/>
          <w:color w:val="000000"/>
          <w:sz w:val="52"/>
          <w:szCs w:val="52"/>
          <w:highlight w:val="none"/>
          <w:lang w:eastAsia="zh-CN"/>
        </w:rPr>
      </w:pPr>
      <w:r>
        <w:rPr>
          <w:rFonts w:hint="eastAsia" w:ascii="宋体" w:hAnsi="宋体" w:eastAsia="宋体" w:cs="宋体"/>
          <w:b/>
          <w:bCs/>
          <w:color w:val="auto"/>
          <w:sz w:val="52"/>
          <w:szCs w:val="52"/>
          <w:highlight w:val="none"/>
          <w:lang w:eastAsia="zh-CN"/>
        </w:rPr>
        <w:tab/>
      </w:r>
      <w:r>
        <w:rPr>
          <w:rFonts w:hint="eastAsia" w:hAnsi="宋体" w:cs="宋体"/>
          <w:b/>
          <w:kern w:val="2"/>
          <w:sz w:val="52"/>
          <w:szCs w:val="52"/>
          <w:highlight w:val="none"/>
          <w:lang w:val="en-US" w:eastAsia="zh-CN" w:bidi="ar-SA"/>
        </w:rPr>
        <w:t>麦盖提县民政局购买社会救助服务性项目</w:t>
      </w:r>
    </w:p>
    <w:p w14:paraId="62DB3BF7">
      <w:pPr>
        <w:pStyle w:val="22"/>
        <w:jc w:val="center"/>
        <w:rPr>
          <w:rFonts w:hint="eastAsia" w:ascii="宋体" w:hAnsi="宋体" w:eastAsia="宋体" w:cs="宋体"/>
          <w:color w:val="000000"/>
          <w:highlight w:val="none"/>
        </w:rPr>
      </w:pPr>
    </w:p>
    <w:p w14:paraId="5381866D">
      <w:pPr>
        <w:pStyle w:val="22"/>
        <w:jc w:val="center"/>
        <w:rPr>
          <w:rFonts w:hint="eastAsia" w:ascii="宋体" w:hAnsi="宋体" w:eastAsia="宋体" w:cs="宋体"/>
          <w:color w:val="000000"/>
          <w:highlight w:val="none"/>
        </w:rPr>
      </w:pPr>
    </w:p>
    <w:p w14:paraId="7CB4053F">
      <w:pPr>
        <w:pStyle w:val="22"/>
        <w:jc w:val="center"/>
        <w:rPr>
          <w:rFonts w:hint="eastAsia" w:ascii="宋体" w:hAnsi="宋体" w:eastAsia="宋体" w:cs="宋体"/>
          <w:color w:val="000000"/>
          <w:highlight w:val="none"/>
        </w:rPr>
      </w:pPr>
    </w:p>
    <w:p w14:paraId="75F8F1E1">
      <w:pPr>
        <w:pStyle w:val="22"/>
        <w:jc w:val="center"/>
        <w:rPr>
          <w:rFonts w:hint="eastAsia" w:ascii="宋体" w:hAnsi="宋体" w:eastAsia="宋体" w:cs="宋体"/>
          <w:color w:val="000000"/>
          <w:highlight w:val="none"/>
        </w:rPr>
      </w:pPr>
    </w:p>
    <w:p w14:paraId="6730DD98">
      <w:pPr>
        <w:spacing w:beforeAutospacing="0" w:afterAutospacing="0" w:line="240" w:lineRule="atLeast"/>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eastAsia="zh-CN"/>
        </w:rPr>
        <w:t>磋</w:t>
      </w:r>
      <w:r>
        <w:rPr>
          <w:rFonts w:hint="eastAsia" w:ascii="宋体" w:hAnsi="宋体" w:eastAsia="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lang w:eastAsia="zh-CN"/>
        </w:rPr>
        <w:t>商</w:t>
      </w:r>
      <w:r>
        <w:rPr>
          <w:rFonts w:hint="eastAsia" w:ascii="宋体" w:hAnsi="宋体" w:eastAsia="宋体" w:cs="宋体"/>
          <w:b/>
          <w:color w:val="auto"/>
          <w:sz w:val="72"/>
          <w:szCs w:val="72"/>
          <w:highlight w:val="none"/>
        </w:rPr>
        <w:t xml:space="preserve"> 文 件</w:t>
      </w:r>
      <w:r>
        <w:rPr>
          <w:rFonts w:hint="eastAsia" w:ascii="宋体" w:hAnsi="宋体" w:cs="宋体"/>
          <w:b/>
          <w:color w:val="auto"/>
          <w:sz w:val="72"/>
          <w:szCs w:val="72"/>
          <w:highlight w:val="none"/>
          <w:lang w:val="en-US" w:eastAsia="zh-CN"/>
        </w:rPr>
        <w:t xml:space="preserve"> </w:t>
      </w:r>
    </w:p>
    <w:p w14:paraId="7DE76F7E">
      <w:pPr>
        <w:jc w:val="center"/>
        <w:rPr>
          <w:rFonts w:hint="eastAsia" w:ascii="宋体" w:hAnsi="宋体" w:eastAsia="宋体" w:cs="宋体"/>
          <w:color w:val="auto"/>
          <w:highlight w:val="none"/>
        </w:rPr>
      </w:pPr>
    </w:p>
    <w:p w14:paraId="009DAA43">
      <w:pPr>
        <w:pStyle w:val="5"/>
        <w:jc w:val="center"/>
        <w:rPr>
          <w:rFonts w:hint="eastAsia" w:ascii="宋体" w:hAnsi="宋体" w:eastAsia="宋体" w:cs="宋体"/>
          <w:color w:val="auto"/>
          <w:highlight w:val="none"/>
        </w:rPr>
      </w:pPr>
    </w:p>
    <w:p w14:paraId="72CED177">
      <w:pPr>
        <w:jc w:val="center"/>
        <w:rPr>
          <w:rFonts w:hint="eastAsia" w:ascii="宋体" w:hAnsi="宋体" w:eastAsia="宋体" w:cs="宋体"/>
          <w:highlight w:val="none"/>
        </w:rPr>
      </w:pPr>
    </w:p>
    <w:p w14:paraId="773C0F7E">
      <w:pPr>
        <w:spacing w:beforeAutospacing="0" w:afterAutospacing="0" w:line="240" w:lineRule="atLeast"/>
        <w:jc w:val="center"/>
        <w:rPr>
          <w:rFonts w:hint="eastAsia" w:ascii="宋体" w:hAnsi="宋体" w:eastAsia="宋体" w:cs="宋体"/>
          <w:b/>
          <w:color w:val="000000"/>
          <w:sz w:val="32"/>
          <w:highlight w:val="none"/>
          <w:lang w:val="en-US" w:eastAsia="zh-CN"/>
        </w:rPr>
      </w:pPr>
      <w:r>
        <w:rPr>
          <w:rFonts w:hint="eastAsia" w:ascii="宋体" w:hAnsi="宋体" w:eastAsia="宋体" w:cs="宋体"/>
          <w:b/>
          <w:color w:val="000000"/>
          <w:sz w:val="32"/>
          <w:highlight w:val="none"/>
          <w:lang w:eastAsia="zh-CN"/>
        </w:rPr>
        <w:t>项目编号：</w:t>
      </w:r>
      <w:r>
        <w:rPr>
          <w:rFonts w:hint="eastAsia" w:ascii="宋体" w:hAnsi="宋体" w:cs="宋体"/>
          <w:b/>
          <w:color w:val="000000"/>
          <w:sz w:val="32"/>
          <w:highlight w:val="none"/>
          <w:lang w:eastAsia="zh-CN"/>
        </w:rPr>
        <w:t>KSMGTX(FSJZCS)2025-01号</w:t>
      </w:r>
    </w:p>
    <w:p w14:paraId="14FA1C85">
      <w:pPr>
        <w:spacing w:beforeAutospacing="0" w:afterAutospacing="0"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14:paraId="213EF3AE">
      <w:pPr>
        <w:pStyle w:val="12"/>
        <w:rPr>
          <w:rFonts w:hint="eastAsia" w:ascii="宋体" w:hAnsi="宋体" w:eastAsia="宋体" w:cs="宋体"/>
          <w:highlight w:val="none"/>
        </w:rPr>
      </w:pPr>
    </w:p>
    <w:p w14:paraId="435F45A2">
      <w:pPr>
        <w:spacing w:line="360" w:lineRule="auto"/>
        <w:ind w:firstLine="2400" w:firstLineChars="800"/>
        <w:jc w:val="both"/>
        <w:rPr>
          <w:rFonts w:hint="eastAsia" w:ascii="Calibri" w:hAnsi="宋体" w:eastAsia="宋体" w:cs="Times New Roman"/>
          <w:b/>
          <w:color w:val="000000" w:themeColor="text1"/>
          <w:kern w:val="2"/>
          <w:sz w:val="30"/>
          <w:szCs w:val="30"/>
          <w:highlight w:val="none"/>
          <w:u w:val="single"/>
          <w:lang w:val="en-US" w:eastAsia="zh-CN" w:bidi="ar-SA"/>
          <w14:textFill>
            <w14:solidFill>
              <w14:schemeClr w14:val="tx1"/>
            </w14:solidFill>
          </w14:textFill>
        </w:rPr>
      </w:pPr>
      <w:r>
        <w:rPr>
          <w:rFonts w:hint="eastAsia" w:ascii="Calibri" w:hAnsi="宋体" w:eastAsia="宋体" w:cs="Times New Roman"/>
          <w:b/>
          <w:color w:val="000000" w:themeColor="text1"/>
          <w:kern w:val="2"/>
          <w:sz w:val="30"/>
          <w:szCs w:val="30"/>
          <w:highlight w:val="none"/>
          <w:lang w:val="en-US" w:eastAsia="zh-CN" w:bidi="ar-SA"/>
          <w14:textFill>
            <w14:solidFill>
              <w14:schemeClr w14:val="tx1"/>
            </w14:solidFill>
          </w14:textFill>
        </w:rPr>
        <w:t>采 购 人：</w:t>
      </w:r>
      <w:r>
        <w:rPr>
          <w:rFonts w:hint="eastAsia" w:ascii="Calibri" w:hAnsi="宋体" w:cs="Times New Roman"/>
          <w:b/>
          <w:color w:val="000000" w:themeColor="text1"/>
          <w:kern w:val="2"/>
          <w:sz w:val="30"/>
          <w:szCs w:val="30"/>
          <w:highlight w:val="none"/>
          <w:u w:val="single"/>
          <w:lang w:val="en-US" w:eastAsia="zh-CN" w:bidi="ar-SA"/>
          <w14:textFill>
            <w14:solidFill>
              <w14:schemeClr w14:val="tx1"/>
            </w14:solidFill>
          </w14:textFill>
        </w:rPr>
        <w:t>麦盖提县民政局</w:t>
      </w:r>
    </w:p>
    <w:p w14:paraId="138D4CB2">
      <w:pPr>
        <w:spacing w:line="360" w:lineRule="auto"/>
        <w:ind w:firstLine="2400" w:firstLineChars="800"/>
        <w:jc w:val="both"/>
        <w:rPr>
          <w:rFonts w:hint="eastAsia" w:ascii="Calibri" w:hAnsi="宋体" w:eastAsia="宋体" w:cs="Times New Roman"/>
          <w:b/>
          <w:color w:val="000000" w:themeColor="text1"/>
          <w:kern w:val="2"/>
          <w:sz w:val="30"/>
          <w:szCs w:val="30"/>
          <w:highlight w:val="none"/>
          <w:u w:val="single"/>
          <w:lang w:val="en-US" w:eastAsia="zh-CN" w:bidi="ar-SA"/>
          <w14:textFill>
            <w14:solidFill>
              <w14:schemeClr w14:val="tx1"/>
            </w14:solidFill>
          </w14:textFill>
        </w:rPr>
      </w:pPr>
      <w:r>
        <w:rPr>
          <w:rFonts w:hint="eastAsia" w:ascii="Calibri" w:hAnsi="宋体" w:eastAsia="宋体" w:cs="Times New Roman"/>
          <w:b/>
          <w:color w:val="000000" w:themeColor="text1"/>
          <w:kern w:val="2"/>
          <w:sz w:val="30"/>
          <w:szCs w:val="30"/>
          <w:highlight w:val="none"/>
          <w:lang w:val="en-US" w:eastAsia="zh-CN" w:bidi="ar-SA"/>
          <w14:textFill>
            <w14:solidFill>
              <w14:schemeClr w14:val="tx1"/>
            </w14:solidFill>
          </w14:textFill>
        </w:rPr>
        <w:t>联 系 人：</w:t>
      </w:r>
      <w:r>
        <w:rPr>
          <w:rFonts w:hint="eastAsia" w:ascii="Calibri" w:hAnsi="宋体" w:cs="Times New Roman"/>
          <w:b/>
          <w:color w:val="000000" w:themeColor="text1"/>
          <w:kern w:val="2"/>
          <w:sz w:val="30"/>
          <w:szCs w:val="30"/>
          <w:highlight w:val="none"/>
          <w:u w:val="single"/>
          <w:lang w:val="en-US" w:eastAsia="zh-CN" w:bidi="ar-SA"/>
          <w14:textFill>
            <w14:solidFill>
              <w14:schemeClr w14:val="tx1"/>
            </w14:solidFill>
          </w14:textFill>
        </w:rPr>
        <w:t>崔忠</w:t>
      </w:r>
    </w:p>
    <w:p w14:paraId="7034340B">
      <w:pPr>
        <w:spacing w:line="360" w:lineRule="auto"/>
        <w:ind w:firstLine="2400" w:firstLineChars="800"/>
        <w:jc w:val="both"/>
        <w:rPr>
          <w:rFonts w:eastAsia="仿宋"/>
          <w:sz w:val="28"/>
          <w:szCs w:val="28"/>
          <w:highlight w:val="none"/>
          <w:u w:val="single"/>
        </w:rPr>
      </w:pPr>
      <w:r>
        <w:rPr>
          <w:rFonts w:hint="eastAsia" w:ascii="Calibri" w:hAnsi="宋体" w:eastAsia="宋体" w:cs="Times New Roman"/>
          <w:b/>
          <w:color w:val="000000" w:themeColor="text1"/>
          <w:kern w:val="2"/>
          <w:sz w:val="30"/>
          <w:szCs w:val="30"/>
          <w:highlight w:val="none"/>
          <w:lang w:val="en-US" w:eastAsia="zh-CN" w:bidi="ar-SA"/>
          <w14:textFill>
            <w14:solidFill>
              <w14:schemeClr w14:val="tx1"/>
            </w14:solidFill>
          </w14:textFill>
        </w:rPr>
        <w:t>联系电话：</w:t>
      </w:r>
      <w:r>
        <w:rPr>
          <w:rFonts w:hint="eastAsia" w:ascii="Calibri" w:hAnsi="宋体" w:cs="Times New Roman"/>
          <w:b/>
          <w:color w:val="000000" w:themeColor="text1"/>
          <w:kern w:val="2"/>
          <w:sz w:val="30"/>
          <w:szCs w:val="30"/>
          <w:highlight w:val="none"/>
          <w:u w:val="single"/>
          <w:lang w:val="en-US" w:eastAsia="zh-CN" w:bidi="ar-SA"/>
          <w14:textFill>
            <w14:solidFill>
              <w14:schemeClr w14:val="tx1"/>
            </w14:solidFill>
          </w14:textFill>
        </w:rPr>
        <w:t>17399294608</w:t>
      </w:r>
    </w:p>
    <w:p w14:paraId="7788F89C">
      <w:pPr>
        <w:pStyle w:val="49"/>
        <w:jc w:val="center"/>
        <w:rPr>
          <w:rFonts w:eastAsia="仿宋"/>
          <w:sz w:val="28"/>
          <w:szCs w:val="28"/>
          <w:highlight w:val="none"/>
          <w:u w:val="single"/>
        </w:rPr>
      </w:pPr>
    </w:p>
    <w:p w14:paraId="3F6E71B3">
      <w:pPr>
        <w:spacing w:line="360" w:lineRule="auto"/>
        <w:ind w:firstLine="2400" w:firstLineChars="800"/>
        <w:jc w:val="both"/>
        <w:rPr>
          <w:rFonts w:hint="eastAsia" w:ascii="Calibri" w:hAnsi="宋体" w:eastAsia="宋体" w:cs="Times New Roman"/>
          <w:b/>
          <w:color w:val="000000" w:themeColor="text1"/>
          <w:kern w:val="2"/>
          <w:sz w:val="30"/>
          <w:szCs w:val="30"/>
          <w:highlight w:val="none"/>
          <w:u w:val="single"/>
          <w:lang w:val="en-US" w:eastAsia="zh-CN" w:bidi="ar-SA"/>
          <w14:textFill>
            <w14:solidFill>
              <w14:schemeClr w14:val="tx1"/>
            </w14:solidFill>
          </w14:textFill>
        </w:rPr>
      </w:pPr>
      <w:r>
        <w:rPr>
          <w:rFonts w:hint="eastAsia" w:ascii="Calibri" w:hAnsi="宋体" w:eastAsia="宋体" w:cs="Times New Roman"/>
          <w:b/>
          <w:color w:val="000000" w:themeColor="text1"/>
          <w:kern w:val="2"/>
          <w:sz w:val="30"/>
          <w:szCs w:val="30"/>
          <w:highlight w:val="none"/>
          <w:lang w:val="en-US" w:eastAsia="zh-CN" w:bidi="ar-SA"/>
          <w14:textFill>
            <w14:solidFill>
              <w14:schemeClr w14:val="tx1"/>
            </w14:solidFill>
          </w14:textFill>
        </w:rPr>
        <w:t>代理机构：</w:t>
      </w:r>
      <w:r>
        <w:rPr>
          <w:rFonts w:hint="eastAsia" w:ascii="Calibri" w:hAnsi="宋体" w:eastAsia="宋体" w:cs="Times New Roman"/>
          <w:b/>
          <w:color w:val="000000" w:themeColor="text1"/>
          <w:kern w:val="2"/>
          <w:sz w:val="30"/>
          <w:szCs w:val="30"/>
          <w:highlight w:val="none"/>
          <w:u w:val="single"/>
          <w:lang w:val="en-US" w:eastAsia="zh-CN" w:bidi="ar-SA"/>
          <w14:textFill>
            <w14:solidFill>
              <w14:schemeClr w14:val="tx1"/>
            </w14:solidFill>
          </w14:textFill>
        </w:rPr>
        <w:t>麦盖提县政府采购中心</w:t>
      </w:r>
    </w:p>
    <w:p w14:paraId="743701A1">
      <w:pPr>
        <w:spacing w:line="360" w:lineRule="auto"/>
        <w:ind w:firstLine="2400" w:firstLineChars="800"/>
        <w:jc w:val="both"/>
        <w:rPr>
          <w:rFonts w:hint="eastAsia" w:ascii="Calibri" w:hAnsi="宋体" w:eastAsia="宋体" w:cs="Times New Roman"/>
          <w:b/>
          <w:color w:val="000000" w:themeColor="text1"/>
          <w:kern w:val="2"/>
          <w:sz w:val="30"/>
          <w:szCs w:val="30"/>
          <w:highlight w:val="none"/>
          <w:u w:val="single"/>
          <w:lang w:val="en-US" w:eastAsia="zh-CN" w:bidi="ar-SA"/>
          <w14:textFill>
            <w14:solidFill>
              <w14:schemeClr w14:val="tx1"/>
            </w14:solidFill>
          </w14:textFill>
        </w:rPr>
      </w:pPr>
      <w:r>
        <w:rPr>
          <w:rFonts w:hint="eastAsia" w:ascii="Calibri" w:hAnsi="宋体" w:eastAsia="宋体" w:cs="Times New Roman"/>
          <w:b/>
          <w:color w:val="000000" w:themeColor="text1"/>
          <w:kern w:val="2"/>
          <w:sz w:val="30"/>
          <w:szCs w:val="30"/>
          <w:highlight w:val="none"/>
          <w:lang w:val="en-US" w:eastAsia="zh-CN" w:bidi="ar-SA"/>
          <w14:textFill>
            <w14:solidFill>
              <w14:schemeClr w14:val="tx1"/>
            </w14:solidFill>
          </w14:textFill>
        </w:rPr>
        <w:t>联 系 人：</w:t>
      </w:r>
      <w:r>
        <w:rPr>
          <w:rFonts w:hint="eastAsia" w:ascii="Calibri" w:hAnsi="宋体" w:cs="Times New Roman"/>
          <w:b/>
          <w:color w:val="000000" w:themeColor="text1"/>
          <w:kern w:val="2"/>
          <w:sz w:val="30"/>
          <w:szCs w:val="30"/>
          <w:highlight w:val="none"/>
          <w:u w:val="single"/>
          <w:lang w:val="en-US" w:eastAsia="zh-CN" w:bidi="ar-SA"/>
          <w14:textFill>
            <w14:solidFill>
              <w14:schemeClr w14:val="tx1"/>
            </w14:solidFill>
          </w14:textFill>
        </w:rPr>
        <w:t>杨晓贞   帕</w:t>
      </w:r>
      <w:r>
        <w:rPr>
          <w:rFonts w:hint="eastAsia" w:ascii="Calibri" w:hAnsi="宋体" w:eastAsia="宋体" w:cs="Times New Roman"/>
          <w:b/>
          <w:color w:val="000000" w:themeColor="text1"/>
          <w:kern w:val="2"/>
          <w:sz w:val="30"/>
          <w:szCs w:val="30"/>
          <w:highlight w:val="none"/>
          <w:u w:val="single"/>
          <w:lang w:val="en-US" w:eastAsia="zh-CN" w:bidi="ar-SA"/>
          <w14:textFill>
            <w14:solidFill>
              <w14:schemeClr w14:val="tx1"/>
            </w14:solidFill>
          </w14:textFill>
        </w:rPr>
        <w:t>提古·艾力</w:t>
      </w:r>
    </w:p>
    <w:p w14:paraId="19066E7A">
      <w:pPr>
        <w:spacing w:line="360" w:lineRule="auto"/>
        <w:ind w:firstLine="2400" w:firstLineChars="800"/>
        <w:jc w:val="both"/>
        <w:rPr>
          <w:rFonts w:hint="eastAsia" w:ascii="Calibri" w:hAnsi="宋体" w:eastAsia="宋体" w:cs="Times New Roman"/>
          <w:b/>
          <w:color w:val="000000" w:themeColor="text1"/>
          <w:kern w:val="2"/>
          <w:sz w:val="30"/>
          <w:szCs w:val="30"/>
          <w:highlight w:val="none"/>
          <w:lang w:val="en-US" w:eastAsia="zh-CN" w:bidi="ar-SA"/>
          <w14:textFill>
            <w14:solidFill>
              <w14:schemeClr w14:val="tx1"/>
            </w14:solidFill>
          </w14:textFill>
        </w:rPr>
      </w:pPr>
      <w:r>
        <w:rPr>
          <w:rFonts w:hint="eastAsia" w:ascii="Calibri" w:hAnsi="宋体" w:eastAsia="宋体" w:cs="Times New Roman"/>
          <w:b/>
          <w:color w:val="000000" w:themeColor="text1"/>
          <w:kern w:val="2"/>
          <w:sz w:val="30"/>
          <w:szCs w:val="30"/>
          <w:highlight w:val="none"/>
          <w:lang w:val="en-US" w:eastAsia="zh-CN" w:bidi="ar-SA"/>
          <w14:textFill>
            <w14:solidFill>
              <w14:schemeClr w14:val="tx1"/>
            </w14:solidFill>
          </w14:textFill>
        </w:rPr>
        <w:t>联系电话：</w:t>
      </w:r>
      <w:r>
        <w:rPr>
          <w:rFonts w:hint="eastAsia" w:ascii="Calibri" w:hAnsi="宋体" w:eastAsia="宋体" w:cs="Times New Roman"/>
          <w:b/>
          <w:color w:val="000000" w:themeColor="text1"/>
          <w:kern w:val="2"/>
          <w:sz w:val="30"/>
          <w:szCs w:val="30"/>
          <w:highlight w:val="none"/>
          <w:u w:val="single"/>
          <w:lang w:val="en-US" w:eastAsia="zh-CN" w:bidi="ar-SA"/>
          <w14:textFill>
            <w14:solidFill>
              <w14:schemeClr w14:val="tx1"/>
            </w14:solidFill>
          </w14:textFill>
        </w:rPr>
        <w:t>0998-7842765</w:t>
      </w:r>
    </w:p>
    <w:p w14:paraId="199E98AC">
      <w:pPr>
        <w:spacing w:line="0" w:lineRule="atLeast"/>
        <w:jc w:val="center"/>
        <w:rPr>
          <w:rFonts w:hint="default" w:ascii="宋体" w:hAnsi="宋体" w:cs="宋体"/>
          <w:b/>
          <w:sz w:val="36"/>
          <w:highlight w:val="none"/>
          <w:lang w:val="en-US"/>
        </w:rPr>
      </w:pPr>
      <w:r>
        <w:rPr>
          <w:rFonts w:hint="eastAsia" w:ascii="Calibri" w:hAnsi="宋体" w:cs="Times New Roman"/>
          <w:b/>
          <w:color w:val="000000" w:themeColor="text1"/>
          <w:kern w:val="2"/>
          <w:sz w:val="30"/>
          <w:szCs w:val="30"/>
          <w:highlight w:val="none"/>
          <w:lang w:val="en-US" w:eastAsia="zh-CN" w:bidi="ar-SA"/>
          <w14:textFill>
            <w14:solidFill>
              <w14:schemeClr w14:val="tx1"/>
            </w14:solidFill>
          </w14:textFill>
        </w:rPr>
        <w:t xml:space="preserve">    </w:t>
      </w:r>
      <w:r>
        <w:rPr>
          <w:rFonts w:hint="eastAsia" w:ascii="Calibri" w:hAnsi="宋体" w:eastAsia="宋体" w:cs="Times New Roman"/>
          <w:b/>
          <w:color w:val="000000" w:themeColor="text1"/>
          <w:kern w:val="2"/>
          <w:sz w:val="30"/>
          <w:szCs w:val="30"/>
          <w:highlight w:val="none"/>
          <w:lang w:val="en-US" w:eastAsia="zh-CN" w:bidi="ar-SA"/>
          <w14:textFill>
            <w14:solidFill>
              <w14:schemeClr w14:val="tx1"/>
            </w14:solidFill>
          </w14:textFill>
        </w:rPr>
        <w:t>发出日期：</w:t>
      </w:r>
      <w:r>
        <w:rPr>
          <w:rFonts w:hint="eastAsia" w:ascii="Calibri" w:hAnsi="宋体" w:cs="Times New Roman"/>
          <w:b/>
          <w:color w:val="000000" w:themeColor="text1"/>
          <w:kern w:val="2"/>
          <w:sz w:val="30"/>
          <w:szCs w:val="30"/>
          <w:highlight w:val="none"/>
          <w:u w:val="single"/>
          <w:lang w:val="en-US" w:eastAsia="zh-CN" w:bidi="ar-SA"/>
          <w14:textFill>
            <w14:solidFill>
              <w14:schemeClr w14:val="tx1"/>
            </w14:solidFill>
          </w14:textFill>
        </w:rPr>
        <w:t>2025年02月25日</w:t>
      </w:r>
    </w:p>
    <w:p w14:paraId="4DA9F0BD">
      <w:pPr>
        <w:pStyle w:val="12"/>
        <w:rPr>
          <w:rFonts w:hint="eastAsia" w:ascii="宋体" w:hAnsi="宋体" w:eastAsia="宋体" w:cs="宋体"/>
          <w:b/>
          <w:color w:val="auto"/>
          <w:sz w:val="28"/>
          <w:szCs w:val="28"/>
          <w:highlight w:val="none"/>
          <w:lang w:val="en-US" w:eastAsia="zh-CN"/>
        </w:rPr>
      </w:pPr>
    </w:p>
    <w:p w14:paraId="540F9E72">
      <w:pPr>
        <w:rPr>
          <w:rFonts w:hint="eastAsia" w:ascii="宋体" w:hAnsi="宋体" w:eastAsia="宋体" w:cs="宋体"/>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4298A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目录</w:t>
      </w:r>
    </w:p>
    <w:p w14:paraId="5ECA7FA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  供应商须知</w:t>
      </w:r>
    </w:p>
    <w:p w14:paraId="6C3D52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   总  则</w:t>
      </w:r>
      <w:r>
        <w:rPr>
          <w:rFonts w:hint="eastAsia" w:ascii="微软雅黑" w:hAnsi="微软雅黑" w:eastAsia="微软雅黑" w:cs="微软雅黑"/>
          <w:b w:val="0"/>
          <w:bCs/>
          <w:color w:val="auto"/>
          <w:sz w:val="24"/>
          <w:szCs w:val="24"/>
          <w:highlight w:val="none"/>
          <w:lang w:val="en-US" w:eastAsia="zh-CN"/>
        </w:rPr>
        <w:tab/>
      </w:r>
    </w:p>
    <w:p w14:paraId="5ADAAF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   磋商文件</w:t>
      </w:r>
      <w:r>
        <w:rPr>
          <w:rFonts w:hint="eastAsia" w:ascii="微软雅黑" w:hAnsi="微软雅黑" w:eastAsia="微软雅黑" w:cs="微软雅黑"/>
          <w:b w:val="0"/>
          <w:bCs/>
          <w:color w:val="auto"/>
          <w:sz w:val="24"/>
          <w:szCs w:val="24"/>
          <w:highlight w:val="none"/>
          <w:lang w:val="en-US" w:eastAsia="zh-CN"/>
        </w:rPr>
        <w:tab/>
      </w:r>
    </w:p>
    <w:p w14:paraId="1B2C29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   响应文件的编制</w:t>
      </w:r>
      <w:r>
        <w:rPr>
          <w:rFonts w:hint="eastAsia" w:ascii="微软雅黑" w:hAnsi="微软雅黑" w:eastAsia="微软雅黑" w:cs="微软雅黑"/>
          <w:b w:val="0"/>
          <w:bCs/>
          <w:color w:val="auto"/>
          <w:sz w:val="24"/>
          <w:szCs w:val="24"/>
          <w:highlight w:val="none"/>
          <w:lang w:val="en-US" w:eastAsia="zh-CN"/>
        </w:rPr>
        <w:tab/>
      </w:r>
    </w:p>
    <w:p w14:paraId="50F577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   响应文件的递交</w:t>
      </w:r>
      <w:r>
        <w:rPr>
          <w:rFonts w:hint="eastAsia" w:ascii="微软雅黑" w:hAnsi="微软雅黑" w:eastAsia="微软雅黑" w:cs="微软雅黑"/>
          <w:b w:val="0"/>
          <w:bCs/>
          <w:color w:val="auto"/>
          <w:sz w:val="24"/>
          <w:szCs w:val="24"/>
          <w:highlight w:val="none"/>
          <w:lang w:val="en-US" w:eastAsia="zh-CN"/>
        </w:rPr>
        <w:tab/>
      </w:r>
    </w:p>
    <w:p w14:paraId="79A68F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   磋商及评标</w:t>
      </w:r>
      <w:r>
        <w:rPr>
          <w:rFonts w:hint="eastAsia" w:ascii="微软雅黑" w:hAnsi="微软雅黑" w:eastAsia="微软雅黑" w:cs="微软雅黑"/>
          <w:b w:val="0"/>
          <w:bCs/>
          <w:color w:val="auto"/>
          <w:sz w:val="24"/>
          <w:szCs w:val="24"/>
          <w:highlight w:val="none"/>
          <w:lang w:val="en-US" w:eastAsia="zh-CN"/>
        </w:rPr>
        <w:tab/>
      </w:r>
    </w:p>
    <w:p w14:paraId="52E6C4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   确定成交</w:t>
      </w:r>
      <w:r>
        <w:rPr>
          <w:rFonts w:hint="eastAsia" w:ascii="微软雅黑" w:hAnsi="微软雅黑" w:eastAsia="微软雅黑" w:cs="微软雅黑"/>
          <w:b w:val="0"/>
          <w:bCs/>
          <w:color w:val="auto"/>
          <w:sz w:val="24"/>
          <w:szCs w:val="24"/>
          <w:highlight w:val="none"/>
          <w:lang w:val="en-US" w:eastAsia="zh-CN"/>
        </w:rPr>
        <w:tab/>
      </w:r>
    </w:p>
    <w:p w14:paraId="73E0695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  响应文件格式</w:t>
      </w:r>
    </w:p>
    <w:p w14:paraId="7758E90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 第一部分 磋商一览表及资格证明文件</w:t>
      </w:r>
      <w:r>
        <w:rPr>
          <w:rFonts w:hint="eastAsia" w:ascii="微软雅黑" w:hAnsi="微软雅黑" w:eastAsia="微软雅黑" w:cs="微软雅黑"/>
          <w:b/>
          <w:bCs w:val="0"/>
          <w:color w:val="auto"/>
          <w:sz w:val="24"/>
          <w:szCs w:val="24"/>
          <w:highlight w:val="none"/>
          <w:lang w:val="en-US" w:eastAsia="zh-CN"/>
        </w:rPr>
        <w:tab/>
      </w:r>
    </w:p>
    <w:p w14:paraId="416B3A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  商务及技术文件</w:t>
      </w:r>
      <w:r>
        <w:rPr>
          <w:rFonts w:hint="eastAsia" w:ascii="微软雅黑" w:hAnsi="微软雅黑" w:eastAsia="微软雅黑" w:cs="微软雅黑"/>
          <w:b/>
          <w:bCs w:val="0"/>
          <w:color w:val="auto"/>
          <w:sz w:val="24"/>
          <w:szCs w:val="24"/>
          <w:highlight w:val="none"/>
          <w:lang w:val="en-US" w:eastAsia="zh-CN"/>
        </w:rPr>
        <w:tab/>
      </w:r>
    </w:p>
    <w:p w14:paraId="7746ED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1.磋商书</w:t>
      </w:r>
      <w:r>
        <w:rPr>
          <w:rFonts w:hint="eastAsia" w:ascii="微软雅黑" w:hAnsi="微软雅黑" w:eastAsia="微软雅黑" w:cs="微软雅黑"/>
          <w:b w:val="0"/>
          <w:bCs/>
          <w:color w:val="auto"/>
          <w:sz w:val="24"/>
          <w:szCs w:val="24"/>
          <w:highlight w:val="none"/>
          <w:lang w:val="en-US" w:eastAsia="zh-CN"/>
        </w:rPr>
        <w:tab/>
      </w:r>
    </w:p>
    <w:p w14:paraId="749015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2.磋商分项报价表</w:t>
      </w:r>
    </w:p>
    <w:p w14:paraId="7B4E7A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3.服务说明一览表</w:t>
      </w:r>
      <w:r>
        <w:rPr>
          <w:rFonts w:hint="eastAsia" w:ascii="微软雅黑" w:hAnsi="微软雅黑" w:eastAsia="微软雅黑" w:cs="微软雅黑"/>
          <w:b w:val="0"/>
          <w:bCs/>
          <w:color w:val="auto"/>
          <w:sz w:val="24"/>
          <w:szCs w:val="24"/>
          <w:highlight w:val="none"/>
          <w:lang w:val="en-US" w:eastAsia="zh-CN"/>
        </w:rPr>
        <w:tab/>
      </w:r>
    </w:p>
    <w:p w14:paraId="766126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4.服务要求偏离表</w:t>
      </w:r>
      <w:r>
        <w:rPr>
          <w:rFonts w:hint="eastAsia" w:ascii="微软雅黑" w:hAnsi="微软雅黑" w:eastAsia="微软雅黑" w:cs="微软雅黑"/>
          <w:b w:val="0"/>
          <w:bCs/>
          <w:color w:val="auto"/>
          <w:sz w:val="24"/>
          <w:szCs w:val="24"/>
          <w:highlight w:val="none"/>
          <w:lang w:val="en-US" w:eastAsia="zh-CN"/>
        </w:rPr>
        <w:tab/>
      </w:r>
    </w:p>
    <w:p w14:paraId="41AEC0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54517FF7">
      <w:pPr>
        <w:pStyle w:val="15"/>
        <w:tabs>
          <w:tab w:val="left" w:pos="5580"/>
        </w:tabs>
        <w:spacing w:line="400" w:lineRule="exact"/>
        <w:jc w:val="both"/>
        <w:outlineLvl w:val="1"/>
        <w:rPr>
          <w:rFonts w:hint="eastAsia"/>
          <w:highlight w:val="none"/>
          <w:lang w:val="en-US" w:eastAsia="zh-CN"/>
        </w:rPr>
      </w:pPr>
      <w:r>
        <w:rPr>
          <w:rFonts w:hint="eastAsia" w:ascii="微软雅黑" w:hAnsi="微软雅黑" w:eastAsia="微软雅黑" w:cs="微软雅黑"/>
          <w:b w:val="0"/>
          <w:bCs/>
          <w:color w:val="auto"/>
          <w:kern w:val="2"/>
          <w:sz w:val="24"/>
          <w:szCs w:val="24"/>
          <w:highlight w:val="none"/>
          <w:lang w:val="en-US" w:eastAsia="zh-CN" w:bidi="ar-SA"/>
        </w:rPr>
        <w:t>6、投入本项目人员配置表</w:t>
      </w:r>
    </w:p>
    <w:p w14:paraId="0A0322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7-1  中小企业声明函（服务）</w:t>
      </w:r>
      <w:r>
        <w:rPr>
          <w:rFonts w:hint="eastAsia" w:ascii="微软雅黑" w:hAnsi="微软雅黑" w:eastAsia="微软雅黑" w:cs="微软雅黑"/>
          <w:b w:val="0"/>
          <w:bCs/>
          <w:color w:val="auto"/>
          <w:sz w:val="24"/>
          <w:szCs w:val="24"/>
          <w:highlight w:val="none"/>
          <w:lang w:val="en-US" w:eastAsia="zh-CN"/>
        </w:rPr>
        <w:tab/>
      </w:r>
    </w:p>
    <w:p w14:paraId="68F069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7-2  残疾人福利性单位声明函</w:t>
      </w:r>
      <w:r>
        <w:rPr>
          <w:rFonts w:hint="eastAsia" w:ascii="微软雅黑" w:hAnsi="微软雅黑" w:eastAsia="微软雅黑" w:cs="微软雅黑"/>
          <w:b w:val="0"/>
          <w:bCs/>
          <w:color w:val="auto"/>
          <w:sz w:val="24"/>
          <w:szCs w:val="24"/>
          <w:highlight w:val="none"/>
          <w:lang w:val="en-US" w:eastAsia="zh-CN"/>
        </w:rPr>
        <w:tab/>
      </w:r>
    </w:p>
    <w:p w14:paraId="6B9413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8.供应商关联单位的说明（格式自拟）</w:t>
      </w:r>
    </w:p>
    <w:p w14:paraId="793F1C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9.供应商可提供有利于磋商的其他证明材料</w:t>
      </w:r>
      <w:r>
        <w:rPr>
          <w:rFonts w:hint="eastAsia" w:ascii="微软雅黑" w:hAnsi="微软雅黑" w:eastAsia="微软雅黑" w:cs="微软雅黑"/>
          <w:b w:val="0"/>
          <w:bCs/>
          <w:color w:val="auto"/>
          <w:sz w:val="24"/>
          <w:szCs w:val="24"/>
          <w:highlight w:val="none"/>
          <w:lang w:val="en-US" w:eastAsia="zh-CN"/>
        </w:rPr>
        <w:tab/>
      </w:r>
    </w:p>
    <w:p w14:paraId="6342E0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10.响应文件格式范</w:t>
      </w:r>
    </w:p>
    <w:p w14:paraId="614B4B1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11、二轮报价表（此表用于磋商现场）</w:t>
      </w:r>
    </w:p>
    <w:p w14:paraId="2B1472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  磋商邀请</w:t>
      </w:r>
    </w:p>
    <w:p w14:paraId="5DA1414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  供应商须知资料表</w:t>
      </w:r>
    </w:p>
    <w:p w14:paraId="54311A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 服务需求及项目要求</w:t>
      </w:r>
    </w:p>
    <w:p w14:paraId="18C9CC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一、服务需求</w:t>
      </w:r>
      <w:r>
        <w:rPr>
          <w:rFonts w:hint="eastAsia" w:ascii="微软雅黑" w:hAnsi="微软雅黑" w:eastAsia="微软雅黑" w:cs="微软雅黑"/>
          <w:b w:val="0"/>
          <w:bCs/>
          <w:color w:val="auto"/>
          <w:sz w:val="24"/>
          <w:szCs w:val="24"/>
          <w:highlight w:val="none"/>
          <w:lang w:val="en-US" w:eastAsia="zh-CN"/>
        </w:rPr>
        <w:tab/>
      </w:r>
    </w:p>
    <w:p w14:paraId="5E7B62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 评审方法和标准</w:t>
      </w:r>
    </w:p>
    <w:p w14:paraId="410E9A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初步评审-资格性审查表</w:t>
      </w:r>
      <w:r>
        <w:rPr>
          <w:rFonts w:hint="eastAsia" w:ascii="微软雅黑" w:hAnsi="微软雅黑" w:eastAsia="微软雅黑" w:cs="微软雅黑"/>
          <w:b w:val="0"/>
          <w:bCs/>
          <w:color w:val="auto"/>
          <w:sz w:val="24"/>
          <w:szCs w:val="24"/>
          <w:highlight w:val="none"/>
          <w:lang w:val="en-US" w:eastAsia="zh-CN"/>
        </w:rPr>
        <w:tab/>
      </w:r>
    </w:p>
    <w:p w14:paraId="1C4C13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初步评审-符合性审查表</w:t>
      </w:r>
      <w:r>
        <w:rPr>
          <w:rFonts w:hint="eastAsia" w:ascii="微软雅黑" w:hAnsi="微软雅黑" w:eastAsia="微软雅黑" w:cs="微软雅黑"/>
          <w:b w:val="0"/>
          <w:bCs/>
          <w:color w:val="auto"/>
          <w:sz w:val="24"/>
          <w:szCs w:val="24"/>
          <w:highlight w:val="none"/>
          <w:lang w:val="en-US" w:eastAsia="zh-CN"/>
        </w:rPr>
        <w:tab/>
      </w:r>
    </w:p>
    <w:p w14:paraId="73E04353">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综合评分表</w:t>
      </w:r>
    </w:p>
    <w:p w14:paraId="07A50DFE">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 政府采购合同</w:t>
      </w:r>
      <w:r>
        <w:rPr>
          <w:rFonts w:hint="eastAsia" w:ascii="微软雅黑" w:hAnsi="微软雅黑" w:eastAsia="微软雅黑" w:cs="微软雅黑"/>
          <w:b/>
          <w:bCs w:val="0"/>
          <w:color w:val="auto"/>
          <w:sz w:val="24"/>
          <w:szCs w:val="24"/>
          <w:highlight w:val="none"/>
          <w:lang w:val="en-US" w:eastAsia="zh-CN"/>
        </w:rPr>
        <w:tab/>
      </w:r>
    </w:p>
    <w:p w14:paraId="2E02A370">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40"/>
          <w:szCs w:val="48"/>
          <w:highlight w:val="none"/>
        </w:rPr>
      </w:pPr>
    </w:p>
    <w:p w14:paraId="4E898FB2">
      <w:pPr>
        <w:pStyle w:val="12"/>
        <w:rPr>
          <w:rFonts w:hint="eastAsia" w:ascii="宋体" w:hAnsi="宋体" w:eastAsia="宋体" w:cs="宋体"/>
          <w:b/>
          <w:bCs/>
          <w:color w:val="auto"/>
          <w:sz w:val="40"/>
          <w:szCs w:val="48"/>
          <w:highlight w:val="none"/>
        </w:rPr>
      </w:pPr>
    </w:p>
    <w:p w14:paraId="5E1E4EEF">
      <w:pPr>
        <w:spacing w:beforeAutospacing="0" w:afterAutospacing="0" w:line="240" w:lineRule="atLeast"/>
        <w:jc w:val="both"/>
        <w:outlineLvl w:val="0"/>
        <w:rPr>
          <w:rFonts w:hint="eastAsia" w:ascii="宋体" w:hAnsi="宋体" w:eastAsia="宋体" w:cs="宋体"/>
          <w:b/>
          <w:color w:val="auto"/>
          <w:sz w:val="44"/>
          <w:szCs w:val="44"/>
          <w:highlight w:val="none"/>
          <w:lang w:eastAsia="zh-CN"/>
        </w:rPr>
      </w:pPr>
    </w:p>
    <w:p w14:paraId="78935531">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p>
    <w:p w14:paraId="7B140E3D">
      <w:pPr>
        <w:pStyle w:val="8"/>
        <w:rPr>
          <w:rFonts w:hint="eastAsia"/>
          <w:highlight w:val="none"/>
          <w:lang w:eastAsia="zh-CN"/>
        </w:rPr>
      </w:pPr>
    </w:p>
    <w:p w14:paraId="35D7AF5C">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磋 商 文 件</w:t>
      </w:r>
    </w:p>
    <w:p w14:paraId="5A05C3EA">
      <w:pPr>
        <w:spacing w:beforeAutospacing="0" w:afterAutospacing="0" w:line="240" w:lineRule="atLeast"/>
        <w:jc w:val="center"/>
        <w:rPr>
          <w:rFonts w:hint="eastAsia" w:ascii="宋体" w:hAnsi="宋体" w:eastAsia="宋体" w:cs="宋体"/>
          <w:b/>
          <w:color w:val="auto"/>
          <w:sz w:val="40"/>
          <w:szCs w:val="40"/>
          <w:highlight w:val="none"/>
        </w:rPr>
      </w:pPr>
    </w:p>
    <w:p w14:paraId="1DA23014">
      <w:pPr>
        <w:spacing w:beforeAutospacing="0" w:afterAutospacing="0" w:line="240" w:lineRule="atLeast"/>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40"/>
          <w:szCs w:val="40"/>
          <w:highlight w:val="none"/>
          <w:lang w:eastAsia="zh-CN"/>
        </w:rPr>
        <w:t>项目编号：</w:t>
      </w:r>
      <w:r>
        <w:rPr>
          <w:rFonts w:hint="eastAsia" w:ascii="宋体" w:hAnsi="宋体" w:cs="宋体"/>
          <w:b/>
          <w:color w:val="auto"/>
          <w:sz w:val="40"/>
          <w:szCs w:val="40"/>
          <w:highlight w:val="none"/>
          <w:lang w:eastAsia="zh-CN"/>
        </w:rPr>
        <w:t>KSMGTX(FSJZCS)2025-01号</w:t>
      </w:r>
    </w:p>
    <w:p w14:paraId="3ED5BAD4">
      <w:pPr>
        <w:pStyle w:val="12"/>
        <w:rPr>
          <w:rFonts w:hint="eastAsia" w:ascii="宋体" w:hAnsi="宋体" w:eastAsia="宋体" w:cs="宋体"/>
          <w:highlight w:val="none"/>
          <w:lang w:eastAsia="zh-CN"/>
        </w:rPr>
      </w:pPr>
    </w:p>
    <w:p w14:paraId="488BFD6A">
      <w:pPr>
        <w:pStyle w:val="22"/>
        <w:rPr>
          <w:rFonts w:hint="eastAsia" w:ascii="宋体" w:hAnsi="宋体" w:eastAsia="宋体" w:cs="宋体"/>
          <w:highlight w:val="none"/>
        </w:rPr>
      </w:pPr>
    </w:p>
    <w:p w14:paraId="004AAF9A">
      <w:pPr>
        <w:spacing w:beforeAutospacing="0" w:afterAutospacing="0" w:line="240" w:lineRule="atLeast"/>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 xml:space="preserve">第 </w:t>
      </w:r>
      <w:r>
        <w:rPr>
          <w:rFonts w:hint="eastAsia" w:ascii="宋体" w:hAnsi="宋体" w:eastAsia="宋体" w:cs="宋体"/>
          <w:b/>
          <w:color w:val="auto"/>
          <w:sz w:val="44"/>
          <w:szCs w:val="36"/>
          <w:highlight w:val="none"/>
          <w:lang w:val="en-US" w:eastAsia="zh-CN"/>
        </w:rPr>
        <w:t>一</w:t>
      </w:r>
      <w:r>
        <w:rPr>
          <w:rFonts w:hint="eastAsia" w:ascii="宋体" w:hAnsi="宋体" w:eastAsia="宋体" w:cs="宋体"/>
          <w:b/>
          <w:color w:val="auto"/>
          <w:sz w:val="44"/>
          <w:szCs w:val="36"/>
          <w:highlight w:val="none"/>
        </w:rPr>
        <w:t xml:space="preserve"> 册</w:t>
      </w:r>
    </w:p>
    <w:p w14:paraId="3376CAE8">
      <w:pPr>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br w:type="page"/>
      </w:r>
    </w:p>
    <w:p w14:paraId="100A042D">
      <w:pPr>
        <w:pStyle w:val="5"/>
        <w:ind w:firstLine="0"/>
        <w:jc w:val="center"/>
        <w:outlineLvl w:val="0"/>
        <w:rPr>
          <w:rFonts w:hint="eastAsia" w:ascii="宋体" w:hAnsi="宋体" w:eastAsia="宋体" w:cs="宋体"/>
          <w:color w:val="auto"/>
          <w:sz w:val="32"/>
          <w:szCs w:val="32"/>
          <w:highlight w:val="none"/>
        </w:rPr>
      </w:pPr>
      <w:bookmarkStart w:id="0" w:name="_Toc23426"/>
      <w:r>
        <w:rPr>
          <w:rFonts w:hint="eastAsia" w:ascii="宋体" w:hAnsi="宋体" w:eastAsia="宋体" w:cs="宋体"/>
          <w:b/>
          <w:bCs/>
          <w:color w:val="auto"/>
          <w:sz w:val="32"/>
          <w:szCs w:val="32"/>
          <w:highlight w:val="none"/>
          <w:lang w:val="en-US" w:eastAsia="zh-CN"/>
        </w:rPr>
        <w:t>第1章</w:t>
      </w:r>
      <w:r>
        <w:rPr>
          <w:rFonts w:hint="eastAsia" w:ascii="宋体" w:hAnsi="宋体" w:eastAsia="宋体" w:cs="宋体"/>
          <w:color w:val="auto"/>
          <w:sz w:val="32"/>
          <w:szCs w:val="32"/>
          <w:highlight w:val="none"/>
          <w:lang w:val="en-US" w:eastAsia="zh-CN"/>
        </w:rPr>
        <w:t xml:space="preserve"> </w:t>
      </w:r>
      <w:bookmarkStart w:id="1" w:name="_Toc515647756"/>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须知</w:t>
      </w:r>
      <w:bookmarkEnd w:id="0"/>
      <w:bookmarkEnd w:id="1"/>
    </w:p>
    <w:p w14:paraId="4332EDE7">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宋体" w:hAnsi="宋体" w:eastAsia="宋体" w:cs="宋体"/>
          <w:b/>
          <w:i w:val="0"/>
          <w:color w:val="auto"/>
          <w:spacing w:val="0"/>
          <w:w w:val="100"/>
          <w:sz w:val="28"/>
          <w:szCs w:val="28"/>
          <w:highlight w:val="none"/>
        </w:rPr>
      </w:pPr>
      <w:bookmarkStart w:id="2" w:name="_Toc216582805"/>
      <w:bookmarkStart w:id="3" w:name="_Toc515647757"/>
      <w:bookmarkStart w:id="4" w:name="_Toc520356143"/>
      <w:bookmarkStart w:id="5" w:name="_Toc30955"/>
      <w:bookmarkStart w:id="6" w:name="_Toc18734"/>
      <w:bookmarkStart w:id="7" w:name="_Toc11227"/>
      <w:bookmarkStart w:id="8" w:name="_Toc21015"/>
      <w:bookmarkStart w:id="9" w:name="_Toc21215"/>
      <w:r>
        <w:rPr>
          <w:rFonts w:hint="eastAsia" w:ascii="宋体" w:hAnsi="宋体" w:eastAsia="宋体" w:cs="宋体"/>
          <w:b/>
          <w:i w:val="0"/>
          <w:color w:val="auto"/>
          <w:spacing w:val="0"/>
          <w:w w:val="100"/>
          <w:sz w:val="28"/>
          <w:szCs w:val="28"/>
          <w:highlight w:val="none"/>
        </w:rPr>
        <w:t xml:space="preserve">一   </w:t>
      </w:r>
      <w:bookmarkEnd w:id="2"/>
      <w:bookmarkEnd w:id="3"/>
      <w:bookmarkEnd w:id="4"/>
      <w:r>
        <w:rPr>
          <w:rFonts w:hint="eastAsia" w:ascii="宋体" w:hAnsi="宋体" w:eastAsia="宋体" w:cs="宋体"/>
          <w:b/>
          <w:i w:val="0"/>
          <w:color w:val="auto"/>
          <w:spacing w:val="0"/>
          <w:w w:val="100"/>
          <w:sz w:val="28"/>
          <w:szCs w:val="28"/>
          <w:highlight w:val="none"/>
        </w:rPr>
        <w:t>总 则</w:t>
      </w:r>
      <w:bookmarkEnd w:id="5"/>
      <w:bookmarkEnd w:id="6"/>
      <w:bookmarkEnd w:id="7"/>
      <w:bookmarkEnd w:id="8"/>
      <w:bookmarkEnd w:id="9"/>
    </w:p>
    <w:p w14:paraId="69256E69">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10" w:name="_Toc11808"/>
      <w:bookmarkStart w:id="11" w:name="_Toc32189"/>
      <w:bookmarkStart w:id="12" w:name="_Toc13517"/>
      <w:bookmarkStart w:id="13" w:name="_Toc12861"/>
      <w:bookmarkStart w:id="14" w:name="_Toc520356144"/>
      <w:bookmarkStart w:id="15" w:name="_Toc29554"/>
      <w:bookmarkStart w:id="16" w:name="_Toc32623"/>
      <w:bookmarkStart w:id="17" w:name="_Toc15441"/>
      <w:bookmarkStart w:id="18" w:name="_Toc16847"/>
      <w:bookmarkStart w:id="19" w:name="_Toc333"/>
      <w:bookmarkStart w:id="20" w:name="_Toc515647758"/>
      <w:bookmarkStart w:id="21" w:name="_Toc31685"/>
      <w:bookmarkStart w:id="22" w:name="_Toc2450"/>
      <w:r>
        <w:rPr>
          <w:rFonts w:hint="eastAsia" w:ascii="微软雅黑" w:hAnsi="微软雅黑" w:eastAsia="微软雅黑" w:cs="微软雅黑"/>
          <w:color w:val="auto"/>
          <w:sz w:val="24"/>
          <w:szCs w:val="24"/>
          <w:highlight w:val="none"/>
          <w:u w:val="none"/>
        </w:rPr>
        <w:t>1.采购人、采购代理机构及</w:t>
      </w:r>
      <w:bookmarkEnd w:id="10"/>
      <w:bookmarkEnd w:id="11"/>
      <w:bookmarkEnd w:id="12"/>
      <w:bookmarkEnd w:id="13"/>
      <w:bookmarkEnd w:id="14"/>
      <w:bookmarkEnd w:id="15"/>
      <w:bookmarkEnd w:id="16"/>
      <w:bookmarkEnd w:id="17"/>
      <w:bookmarkEnd w:id="18"/>
      <w:bookmarkEnd w:id="19"/>
      <w:bookmarkEnd w:id="20"/>
      <w:bookmarkEnd w:id="21"/>
      <w:bookmarkEnd w:id="22"/>
      <w:r>
        <w:rPr>
          <w:rFonts w:hint="eastAsia" w:ascii="微软雅黑" w:hAnsi="微软雅黑" w:eastAsia="微软雅黑" w:cs="微软雅黑"/>
          <w:color w:val="auto"/>
          <w:sz w:val="24"/>
          <w:szCs w:val="24"/>
          <w:highlight w:val="none"/>
          <w:u w:val="none"/>
        </w:rPr>
        <w:t>供应商</w:t>
      </w:r>
    </w:p>
    <w:p w14:paraId="79D3025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1.1    </w:t>
      </w:r>
      <w:r>
        <w:rPr>
          <w:rFonts w:hint="eastAsia" w:ascii="微软雅黑" w:hAnsi="微软雅黑" w:eastAsia="微软雅黑" w:cs="微软雅黑"/>
          <w:color w:val="auto"/>
          <w:sz w:val="24"/>
          <w:szCs w:val="24"/>
          <w:highlight w:val="none"/>
        </w:rPr>
        <w:t>采购人：是指依法开展政府采购活动的国家机关、事业单位、团体组织。</w:t>
      </w:r>
    </w:p>
    <w:p w14:paraId="1B5BF9BB">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本项目的采购人见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07A608A2">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1.2    </w:t>
      </w:r>
      <w:r>
        <w:rPr>
          <w:rFonts w:hint="eastAsia" w:ascii="微软雅黑" w:hAnsi="微软雅黑" w:eastAsia="微软雅黑" w:cs="微软雅黑"/>
          <w:color w:val="auto"/>
          <w:sz w:val="24"/>
          <w:szCs w:val="24"/>
          <w:highlight w:val="none"/>
        </w:rPr>
        <w:t>采购代理机构：是指在集中采购机构或从事采购代理业务的社会中介</w:t>
      </w:r>
      <w:r>
        <w:rPr>
          <w:rFonts w:hint="eastAsia" w:ascii="微软雅黑" w:hAnsi="微软雅黑" w:eastAsia="微软雅黑" w:cs="微软雅黑"/>
          <w:color w:val="auto"/>
          <w:sz w:val="24"/>
          <w:szCs w:val="24"/>
          <w:highlight w:val="none"/>
          <w:lang w:val="en-US" w:eastAsia="zh-CN"/>
        </w:rPr>
        <w:t>机构</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本项目的采购代理机构见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03DF472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1.3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：是指向采购人提供货物、工程或者服务的法人、非法人组织或者自然人。本项目的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及其服务须满足以下条件：</w:t>
      </w:r>
    </w:p>
    <w:p w14:paraId="61D72EE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在中华人民共和国境内注册，能够独立承担民事责任，有生产或供应能力的本国供应商。</w:t>
      </w:r>
    </w:p>
    <w:p w14:paraId="72B032FF">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  具备《中华人民共和国政府采购法》第二十二条关于供应商条件的规定，遵守本项目采购人本级和上级财政部门政府采购的有关规定。</w:t>
      </w:r>
    </w:p>
    <w:p w14:paraId="1B3D4F4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1.3.3   以采购代理机构认可的方式获得了本项目的</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w:t>
      </w:r>
    </w:p>
    <w:p w14:paraId="58B3FCCB">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   符合</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中规定的其他要求。</w:t>
      </w:r>
    </w:p>
    <w:p w14:paraId="78F69E2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    如</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中允许联合体</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，对联合体规定如下：</w:t>
      </w:r>
    </w:p>
    <w:p w14:paraId="53BBF6F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两个以上供应商可以组成一个</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联合体，以一个</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的身份</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w:t>
      </w:r>
    </w:p>
    <w:p w14:paraId="6A6A0A4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联合体各方均应符合《中华人民共和国政府采购法》第二十二条规定的条件。</w:t>
      </w:r>
    </w:p>
    <w:p w14:paraId="30D667E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1.4.3   采购人根据采购项目对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的特殊要求，联合体中至少应当有一方符合相关规定。</w:t>
      </w:r>
    </w:p>
    <w:p w14:paraId="4B22AC46">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   联合体各方应签订共同</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协议，明确约定联合体各方承担的工作和相应的责任，并将共同</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协议连同作为</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第一部分的内容提交。</w:t>
      </w:r>
    </w:p>
    <w:p w14:paraId="4BF22B7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1.4.5   大中型企业、其他自然人、法人或者非法人组织与小型、微型企业组成联合体共同参加</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，共同</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协议中应写明小型、微型企业的协议合同金额占到共同</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协议</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总金额的比例。</w:t>
      </w:r>
    </w:p>
    <w:p w14:paraId="370730BB">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1.4.6  联合体中有同类资质的供应商按照联合体分工承担相同工作的，按照较低的资质等级确定联合体的资质等级。</w:t>
      </w:r>
    </w:p>
    <w:p w14:paraId="282F229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1.4.7  以联合体形式参加政府采购活动的，联合体各方不得再单独参加或者与其他供应商另外组成联合体参加本项目</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，否则相关</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5EC7907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   对联合体</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的其他资格要求见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77898FE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    单位负责人为同一人或者存在直接控股、管理关系的不同供应商，其相关</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53BECBCE">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1.6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过程中不得向采购人提供、给予任何有价值的物品，影响其正常决策行为。一经发现，其将被认定为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2DCCDDCE">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23" w:name="_Toc27814"/>
      <w:bookmarkStart w:id="24" w:name="_Toc5286"/>
      <w:bookmarkStart w:id="25" w:name="_Toc12139"/>
      <w:bookmarkStart w:id="26" w:name="_Toc13872"/>
      <w:bookmarkStart w:id="27" w:name="_Toc1403"/>
      <w:bookmarkStart w:id="28" w:name="_Toc7800"/>
      <w:bookmarkStart w:id="29" w:name="_Toc28511"/>
      <w:bookmarkStart w:id="30" w:name="_Toc1760"/>
      <w:bookmarkStart w:id="31" w:name="_Toc26900"/>
      <w:bookmarkStart w:id="32" w:name="_Toc10189"/>
      <w:bookmarkStart w:id="33" w:name="_Toc4429"/>
      <w:bookmarkStart w:id="34" w:name="_Toc515647759"/>
      <w:bookmarkStart w:id="35" w:name="_Toc25491"/>
      <w:r>
        <w:rPr>
          <w:rFonts w:hint="eastAsia" w:ascii="微软雅黑" w:hAnsi="微软雅黑" w:eastAsia="微软雅黑" w:cs="微软雅黑"/>
          <w:color w:val="auto"/>
          <w:sz w:val="24"/>
          <w:szCs w:val="24"/>
          <w:highlight w:val="none"/>
          <w:u w:val="none"/>
        </w:rPr>
        <w:t>2.资金来源</w:t>
      </w:r>
      <w:bookmarkEnd w:id="23"/>
      <w:bookmarkEnd w:id="24"/>
      <w:bookmarkEnd w:id="25"/>
      <w:bookmarkEnd w:id="26"/>
      <w:bookmarkEnd w:id="27"/>
      <w:bookmarkEnd w:id="28"/>
      <w:bookmarkEnd w:id="29"/>
      <w:bookmarkEnd w:id="30"/>
      <w:bookmarkEnd w:id="31"/>
      <w:bookmarkEnd w:id="32"/>
      <w:bookmarkEnd w:id="33"/>
      <w:bookmarkEnd w:id="34"/>
      <w:bookmarkEnd w:id="35"/>
    </w:p>
    <w:p w14:paraId="78F125B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本项目的采购人已获得足以支付本次招标后所签订的合同项下的资金（包括财政性资金和本项目采购中无法与财政性资金分割的非财政性资金）。</w:t>
      </w:r>
    </w:p>
    <w:p w14:paraId="1D92FD84">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    项目预算金额和分项或分包最高限价</w:t>
      </w:r>
      <w:r>
        <w:rPr>
          <w:rFonts w:hint="eastAsia" w:ascii="微软雅黑" w:hAnsi="微软雅黑" w:eastAsia="微软雅黑" w:cs="微软雅黑"/>
          <w:color w:val="auto"/>
          <w:sz w:val="24"/>
          <w:szCs w:val="24"/>
          <w:highlight w:val="none"/>
          <w:u w:val="single"/>
        </w:rPr>
        <w:t>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0CACEB5F">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2.3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报价超过</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规定的预算金额或者分项、分包最高限价的，其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700D8CA1">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36" w:name="_Toc29481"/>
      <w:bookmarkStart w:id="37" w:name="_Toc16114"/>
      <w:bookmarkStart w:id="38" w:name="_Toc515647760"/>
      <w:bookmarkStart w:id="39" w:name="_Toc14525"/>
      <w:bookmarkStart w:id="40" w:name="_Toc20799"/>
      <w:bookmarkStart w:id="41" w:name="_Toc20526"/>
      <w:bookmarkStart w:id="42" w:name="_Toc22731"/>
      <w:bookmarkStart w:id="43" w:name="_Toc14612"/>
      <w:bookmarkStart w:id="44" w:name="_Toc30650"/>
      <w:bookmarkStart w:id="45" w:name="_Toc15936"/>
      <w:bookmarkStart w:id="46" w:name="_Toc2269"/>
      <w:bookmarkStart w:id="47" w:name="_Toc5207"/>
      <w:bookmarkStart w:id="48" w:name="_Toc520356145"/>
      <w:bookmarkStart w:id="49" w:name="_Toc27475"/>
      <w:r>
        <w:rPr>
          <w:rFonts w:hint="eastAsia" w:ascii="微软雅黑" w:hAnsi="微软雅黑" w:eastAsia="微软雅黑" w:cs="微软雅黑"/>
          <w:color w:val="auto"/>
          <w:sz w:val="24"/>
          <w:szCs w:val="24"/>
          <w:highlight w:val="none"/>
          <w:u w:val="none"/>
        </w:rPr>
        <w:t>3.</w:t>
      </w:r>
      <w:r>
        <w:rPr>
          <w:rFonts w:hint="eastAsia" w:ascii="微软雅黑" w:hAnsi="微软雅黑" w:eastAsia="微软雅黑" w:cs="微软雅黑"/>
          <w:color w:val="auto"/>
          <w:sz w:val="24"/>
          <w:szCs w:val="24"/>
          <w:highlight w:val="none"/>
          <w:u w:val="none"/>
          <w:lang w:val="en-US" w:eastAsia="zh-CN"/>
        </w:rPr>
        <w:t>磋商</w:t>
      </w:r>
      <w:r>
        <w:rPr>
          <w:rFonts w:hint="eastAsia" w:ascii="微软雅黑" w:hAnsi="微软雅黑" w:eastAsia="微软雅黑" w:cs="微软雅黑"/>
          <w:color w:val="auto"/>
          <w:sz w:val="24"/>
          <w:szCs w:val="24"/>
          <w:highlight w:val="none"/>
          <w:u w:val="none"/>
        </w:rPr>
        <w:t>费用</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E4C024D">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不论</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的结果如何，</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应承担所有与准备和参加</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有关的费用。</w:t>
      </w:r>
    </w:p>
    <w:p w14:paraId="7AF2D8B2">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50" w:name="_Toc23668"/>
      <w:bookmarkStart w:id="51" w:name="_Toc5853"/>
      <w:bookmarkStart w:id="52" w:name="_Toc12920"/>
      <w:bookmarkStart w:id="53" w:name="_Toc4133"/>
      <w:bookmarkStart w:id="54" w:name="_Toc27687"/>
      <w:bookmarkStart w:id="55" w:name="_Toc16328"/>
      <w:bookmarkStart w:id="56" w:name="_Toc21641"/>
      <w:bookmarkStart w:id="57" w:name="_Toc14718"/>
      <w:bookmarkStart w:id="58" w:name="_Toc1198"/>
      <w:bookmarkStart w:id="59" w:name="_Toc515647761"/>
      <w:bookmarkStart w:id="60" w:name="_Toc4463"/>
      <w:bookmarkStart w:id="61" w:name="_Toc6116"/>
      <w:r>
        <w:rPr>
          <w:rFonts w:hint="eastAsia" w:ascii="微软雅黑" w:hAnsi="微软雅黑" w:eastAsia="微软雅黑" w:cs="微软雅黑"/>
          <w:color w:val="auto"/>
          <w:sz w:val="24"/>
          <w:szCs w:val="24"/>
          <w:highlight w:val="none"/>
          <w:u w:val="none"/>
        </w:rPr>
        <w:t>4.适用法律</w:t>
      </w:r>
      <w:bookmarkEnd w:id="50"/>
      <w:bookmarkEnd w:id="51"/>
      <w:bookmarkEnd w:id="52"/>
      <w:bookmarkEnd w:id="53"/>
      <w:bookmarkEnd w:id="54"/>
      <w:bookmarkEnd w:id="55"/>
      <w:bookmarkEnd w:id="56"/>
      <w:bookmarkEnd w:id="57"/>
      <w:bookmarkEnd w:id="58"/>
      <w:bookmarkEnd w:id="59"/>
      <w:bookmarkEnd w:id="60"/>
      <w:bookmarkEnd w:id="61"/>
    </w:p>
    <w:p w14:paraId="27B4845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本项目采购人、采购代理机构、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磋商小组</w:t>
      </w:r>
      <w:r>
        <w:rPr>
          <w:rFonts w:hint="eastAsia" w:ascii="微软雅黑" w:hAnsi="微软雅黑" w:eastAsia="微软雅黑" w:cs="微软雅黑"/>
          <w:color w:val="auto"/>
          <w:sz w:val="24"/>
          <w:szCs w:val="24"/>
          <w:highlight w:val="none"/>
        </w:rPr>
        <w:t>的相关行为均受《中华人民共和国政府采购法》、《中华人民共和国政府采购法实施条例》</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中华人民共和国财政部令74号</w:t>
      </w:r>
      <w:r>
        <w:rPr>
          <w:rFonts w:hint="eastAsia" w:ascii="微软雅黑" w:hAnsi="微软雅黑" w:eastAsia="微软雅黑" w:cs="微软雅黑"/>
          <w:color w:val="auto"/>
          <w:sz w:val="24"/>
          <w:szCs w:val="24"/>
          <w:highlight w:val="none"/>
          <w:lang w:eastAsia="zh-CN"/>
        </w:rPr>
        <w:t>《政府采购非招标采购方式管理办法</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rPr>
        <w:t>及本项目本级和上级财政部门政府采购有关规定的约束，其权利受到上述法律法规的保护。</w:t>
      </w:r>
    </w:p>
    <w:p w14:paraId="45FE8F09">
      <w:pPr>
        <w:pageBreakBefore w:val="0"/>
        <w:kinsoku/>
        <w:wordWrap/>
        <w:overflowPunct/>
        <w:topLinePunct w:val="0"/>
        <w:bidi w:val="0"/>
        <w:spacing w:line="360" w:lineRule="exact"/>
        <w:rPr>
          <w:rFonts w:hint="eastAsia" w:ascii="微软雅黑" w:hAnsi="微软雅黑" w:eastAsia="微软雅黑" w:cs="微软雅黑"/>
          <w:color w:val="auto"/>
          <w:sz w:val="24"/>
          <w:szCs w:val="24"/>
          <w:highlight w:val="none"/>
        </w:rPr>
      </w:pPr>
    </w:p>
    <w:p w14:paraId="0B49A500">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微软雅黑" w:hAnsi="微软雅黑" w:eastAsia="微软雅黑" w:cs="微软雅黑"/>
          <w:b/>
          <w:i w:val="0"/>
          <w:color w:val="auto"/>
          <w:spacing w:val="0"/>
          <w:w w:val="100"/>
          <w:sz w:val="28"/>
          <w:szCs w:val="28"/>
          <w:highlight w:val="none"/>
          <w:lang w:eastAsia="zh-CN"/>
        </w:rPr>
      </w:pPr>
      <w:bookmarkStart w:id="62" w:name="_Toc6385"/>
      <w:bookmarkStart w:id="63" w:name="_Toc21566"/>
      <w:bookmarkStart w:id="64" w:name="_Toc216582806"/>
      <w:bookmarkStart w:id="65" w:name="_Toc12561"/>
      <w:bookmarkStart w:id="66" w:name="_Toc520356146"/>
      <w:bookmarkStart w:id="67" w:name="_Toc4365"/>
      <w:bookmarkStart w:id="68" w:name="_Toc515647762"/>
      <w:bookmarkStart w:id="69" w:name="_Toc32124"/>
      <w:r>
        <w:rPr>
          <w:rFonts w:hint="eastAsia" w:ascii="微软雅黑" w:hAnsi="微软雅黑" w:eastAsia="微软雅黑" w:cs="微软雅黑"/>
          <w:b/>
          <w:i w:val="0"/>
          <w:color w:val="auto"/>
          <w:spacing w:val="0"/>
          <w:w w:val="100"/>
          <w:sz w:val="28"/>
          <w:szCs w:val="28"/>
          <w:highlight w:val="none"/>
        </w:rPr>
        <w:t xml:space="preserve">二   </w:t>
      </w:r>
      <w:bookmarkEnd w:id="62"/>
      <w:bookmarkEnd w:id="63"/>
      <w:bookmarkEnd w:id="64"/>
      <w:bookmarkEnd w:id="65"/>
      <w:bookmarkEnd w:id="66"/>
      <w:bookmarkEnd w:id="67"/>
      <w:bookmarkEnd w:id="68"/>
      <w:r>
        <w:rPr>
          <w:rFonts w:hint="eastAsia" w:ascii="微软雅黑" w:hAnsi="微软雅黑" w:eastAsia="微软雅黑" w:cs="微软雅黑"/>
          <w:b/>
          <w:i w:val="0"/>
          <w:color w:val="auto"/>
          <w:spacing w:val="0"/>
          <w:w w:val="100"/>
          <w:sz w:val="28"/>
          <w:szCs w:val="28"/>
          <w:highlight w:val="none"/>
          <w:lang w:eastAsia="zh-CN"/>
        </w:rPr>
        <w:t>磋商文件</w:t>
      </w:r>
      <w:bookmarkEnd w:id="69"/>
    </w:p>
    <w:p w14:paraId="234EFD20">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70" w:name="_Toc11557"/>
      <w:bookmarkStart w:id="71" w:name="_Toc515647763"/>
      <w:bookmarkStart w:id="72" w:name="_Toc2004"/>
      <w:bookmarkStart w:id="73" w:name="_Toc520356147"/>
      <w:bookmarkStart w:id="74" w:name="_Toc4818"/>
      <w:bookmarkStart w:id="75" w:name="_Toc22962"/>
      <w:bookmarkStart w:id="76" w:name="_Toc29550"/>
      <w:bookmarkStart w:id="77" w:name="_Toc25743"/>
      <w:bookmarkStart w:id="78" w:name="_Toc21275"/>
      <w:bookmarkStart w:id="79" w:name="_Toc14084"/>
      <w:bookmarkStart w:id="80" w:name="_Toc18213"/>
      <w:bookmarkStart w:id="81" w:name="_Toc15203"/>
      <w:bookmarkStart w:id="82" w:name="_Toc24971"/>
      <w:r>
        <w:rPr>
          <w:rFonts w:hint="eastAsia" w:ascii="微软雅黑" w:hAnsi="微软雅黑" w:eastAsia="微软雅黑" w:cs="微软雅黑"/>
          <w:color w:val="auto"/>
          <w:sz w:val="24"/>
          <w:szCs w:val="24"/>
          <w:highlight w:val="none"/>
          <w:u w:val="none"/>
        </w:rPr>
        <w:t>5.</w:t>
      </w:r>
      <w:r>
        <w:rPr>
          <w:rFonts w:hint="eastAsia" w:ascii="微软雅黑" w:hAnsi="微软雅黑" w:eastAsia="微软雅黑" w:cs="微软雅黑"/>
          <w:color w:val="auto"/>
          <w:sz w:val="24"/>
          <w:szCs w:val="24"/>
          <w:highlight w:val="none"/>
          <w:u w:val="none"/>
          <w:lang w:eastAsia="zh-CN"/>
        </w:rPr>
        <w:t>磋商文件</w:t>
      </w:r>
      <w:r>
        <w:rPr>
          <w:rFonts w:hint="eastAsia" w:ascii="微软雅黑" w:hAnsi="微软雅黑" w:eastAsia="微软雅黑" w:cs="微软雅黑"/>
          <w:color w:val="auto"/>
          <w:sz w:val="24"/>
          <w:szCs w:val="24"/>
          <w:highlight w:val="none"/>
          <w:u w:val="none"/>
        </w:rPr>
        <w:t>构成</w:t>
      </w:r>
      <w:bookmarkEnd w:id="70"/>
      <w:bookmarkEnd w:id="71"/>
      <w:bookmarkEnd w:id="72"/>
      <w:bookmarkEnd w:id="73"/>
      <w:bookmarkEnd w:id="74"/>
      <w:bookmarkEnd w:id="75"/>
      <w:bookmarkEnd w:id="76"/>
      <w:bookmarkEnd w:id="77"/>
      <w:bookmarkEnd w:id="78"/>
      <w:bookmarkEnd w:id="79"/>
      <w:bookmarkEnd w:id="80"/>
      <w:bookmarkEnd w:id="81"/>
      <w:bookmarkEnd w:id="82"/>
    </w:p>
    <w:p w14:paraId="367AA96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分为三册共7章，内容如下：</w:t>
      </w:r>
    </w:p>
    <w:p w14:paraId="5A625A1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第一册</w:t>
      </w:r>
    </w:p>
    <w:p w14:paraId="01C25184">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第1章 供应商</w:t>
      </w:r>
      <w:r>
        <w:rPr>
          <w:rFonts w:hint="eastAsia" w:ascii="微软雅黑" w:hAnsi="微软雅黑" w:eastAsia="微软雅黑" w:cs="微软雅黑"/>
          <w:color w:val="auto"/>
          <w:sz w:val="24"/>
          <w:szCs w:val="24"/>
          <w:highlight w:val="none"/>
        </w:rPr>
        <w:t>须知</w:t>
      </w:r>
    </w:p>
    <w:p w14:paraId="60AF53A3">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第2章 响应文件</w:t>
      </w:r>
      <w:r>
        <w:rPr>
          <w:rFonts w:hint="eastAsia" w:ascii="微软雅黑" w:hAnsi="微软雅黑" w:eastAsia="微软雅黑" w:cs="微软雅黑"/>
          <w:color w:val="auto"/>
          <w:sz w:val="24"/>
          <w:szCs w:val="24"/>
          <w:highlight w:val="none"/>
        </w:rPr>
        <w:t>格式</w:t>
      </w:r>
    </w:p>
    <w:p w14:paraId="24767F3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第二册</w:t>
      </w:r>
    </w:p>
    <w:p w14:paraId="79B96FA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第3章 磋商</w:t>
      </w:r>
      <w:r>
        <w:rPr>
          <w:rFonts w:hint="eastAsia" w:ascii="微软雅黑" w:hAnsi="微软雅黑" w:eastAsia="微软雅黑" w:cs="微软雅黑"/>
          <w:color w:val="auto"/>
          <w:sz w:val="24"/>
          <w:szCs w:val="24"/>
          <w:highlight w:val="none"/>
        </w:rPr>
        <w:t>邀请</w:t>
      </w:r>
    </w:p>
    <w:p w14:paraId="56012434">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第</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章 供应商</w:t>
      </w:r>
      <w:r>
        <w:rPr>
          <w:rFonts w:hint="eastAsia" w:ascii="微软雅黑" w:hAnsi="微软雅黑" w:eastAsia="微软雅黑" w:cs="微软雅黑"/>
          <w:color w:val="auto"/>
          <w:sz w:val="24"/>
          <w:szCs w:val="24"/>
          <w:highlight w:val="none"/>
        </w:rPr>
        <w:t>须知资料表</w:t>
      </w:r>
    </w:p>
    <w:p w14:paraId="7C85B966">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章 服务</w:t>
      </w:r>
      <w:r>
        <w:rPr>
          <w:rFonts w:hint="eastAsia" w:ascii="微软雅黑" w:hAnsi="微软雅黑" w:eastAsia="微软雅黑" w:cs="微软雅黑"/>
          <w:color w:val="auto"/>
          <w:sz w:val="24"/>
          <w:szCs w:val="24"/>
          <w:highlight w:val="none"/>
          <w:lang w:val="en-US" w:eastAsia="zh-CN"/>
        </w:rPr>
        <w:t>需求</w:t>
      </w:r>
      <w:r>
        <w:rPr>
          <w:rFonts w:hint="eastAsia" w:ascii="微软雅黑" w:hAnsi="微软雅黑" w:eastAsia="微软雅黑" w:cs="微软雅黑"/>
          <w:color w:val="auto"/>
          <w:sz w:val="24"/>
          <w:szCs w:val="24"/>
          <w:highlight w:val="none"/>
        </w:rPr>
        <w:t xml:space="preserve">及项目要求 </w:t>
      </w:r>
    </w:p>
    <w:p w14:paraId="798ADC6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章 评标方法和标准</w:t>
      </w:r>
    </w:p>
    <w:p w14:paraId="56472536">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第三册</w:t>
      </w:r>
    </w:p>
    <w:p w14:paraId="54FBA07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章 政府采购合同格</w:t>
      </w:r>
    </w:p>
    <w:p w14:paraId="156650A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如本文件的前后内容不一致，以最后描述为准。</w:t>
      </w:r>
    </w:p>
    <w:p w14:paraId="2BACD6A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5.3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应认真阅读</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所有的事项、格式、条款和技术规范等。如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没有按照</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要求提交全部资料，或者</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没有对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在各方面都做出实质性响应，可能导致其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55079B07">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83" w:name="_Toc515904805"/>
      <w:bookmarkStart w:id="84" w:name="_Toc520356148"/>
      <w:bookmarkStart w:id="85" w:name="_Toc26044"/>
      <w:bookmarkStart w:id="86" w:name="_Toc1227"/>
      <w:bookmarkStart w:id="87" w:name="_Toc10034"/>
      <w:bookmarkStart w:id="88" w:name="_Toc21231"/>
      <w:bookmarkStart w:id="89" w:name="_Toc25866"/>
      <w:bookmarkStart w:id="90" w:name="_Toc20202"/>
      <w:bookmarkStart w:id="91" w:name="_Toc1117"/>
      <w:bookmarkStart w:id="92" w:name="_Toc14910"/>
      <w:bookmarkStart w:id="93" w:name="_Toc28731"/>
      <w:bookmarkStart w:id="94" w:name="_Toc24067"/>
      <w:bookmarkStart w:id="95" w:name="_Toc9232"/>
      <w:bookmarkStart w:id="96" w:name="_Toc19275"/>
      <w:r>
        <w:rPr>
          <w:rFonts w:hint="eastAsia" w:ascii="微软雅黑" w:hAnsi="微软雅黑" w:eastAsia="微软雅黑" w:cs="微软雅黑"/>
          <w:color w:val="auto"/>
          <w:sz w:val="24"/>
          <w:szCs w:val="24"/>
          <w:highlight w:val="none"/>
          <w:u w:val="none"/>
        </w:rPr>
        <w:t>6.</w:t>
      </w:r>
      <w:r>
        <w:rPr>
          <w:rFonts w:hint="eastAsia" w:ascii="微软雅黑" w:hAnsi="微软雅黑" w:eastAsia="微软雅黑" w:cs="微软雅黑"/>
          <w:color w:val="auto"/>
          <w:sz w:val="24"/>
          <w:szCs w:val="24"/>
          <w:highlight w:val="none"/>
          <w:u w:val="none"/>
          <w:lang w:eastAsia="zh-CN"/>
        </w:rPr>
        <w:t>磋商文件</w:t>
      </w:r>
      <w:r>
        <w:rPr>
          <w:rFonts w:hint="eastAsia" w:ascii="微软雅黑" w:hAnsi="微软雅黑" w:eastAsia="微软雅黑" w:cs="微软雅黑"/>
          <w:color w:val="auto"/>
          <w:sz w:val="24"/>
          <w:szCs w:val="24"/>
          <w:highlight w:val="none"/>
          <w:u w:val="none"/>
        </w:rPr>
        <w:t>的澄清</w:t>
      </w:r>
      <w:bookmarkEnd w:id="83"/>
      <w:bookmarkEnd w:id="84"/>
      <w:r>
        <w:rPr>
          <w:rFonts w:hint="eastAsia" w:ascii="微软雅黑" w:hAnsi="微软雅黑" w:eastAsia="微软雅黑" w:cs="微软雅黑"/>
          <w:color w:val="auto"/>
          <w:sz w:val="24"/>
          <w:szCs w:val="24"/>
          <w:highlight w:val="none"/>
          <w:u w:val="none"/>
        </w:rPr>
        <w:t>与修改</w:t>
      </w:r>
      <w:bookmarkEnd w:id="85"/>
      <w:bookmarkEnd w:id="86"/>
      <w:bookmarkEnd w:id="87"/>
      <w:bookmarkEnd w:id="88"/>
      <w:bookmarkEnd w:id="89"/>
      <w:bookmarkEnd w:id="90"/>
      <w:bookmarkEnd w:id="91"/>
      <w:bookmarkEnd w:id="92"/>
      <w:bookmarkEnd w:id="93"/>
      <w:bookmarkEnd w:id="94"/>
      <w:bookmarkEnd w:id="95"/>
      <w:bookmarkEnd w:id="96"/>
    </w:p>
    <w:p w14:paraId="7FCA2022">
      <w:pPr>
        <w:pStyle w:val="5"/>
        <w:pageBreakBefore w:val="0"/>
        <w:kinsoku/>
        <w:wordWrap/>
        <w:overflowPunct/>
        <w:topLinePunct w:val="0"/>
        <w:bidi w:val="0"/>
        <w:spacing w:line="360" w:lineRule="exact"/>
        <w:ind w:left="840" w:hanging="840" w:hangingChars="3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    为了保证对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的澄清和修改满足法律的时限要求，任何要求对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进行澄清的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，均应在</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截止</w:t>
      </w:r>
      <w:r>
        <w:rPr>
          <w:rFonts w:hint="eastAsia" w:ascii="微软雅黑" w:hAnsi="微软雅黑" w:eastAsia="微软雅黑" w:cs="微软雅黑"/>
          <w:color w:val="auto"/>
          <w:sz w:val="24"/>
          <w:szCs w:val="24"/>
          <w:highlight w:val="none"/>
          <w:lang w:val="en-US" w:eastAsia="zh-CN"/>
        </w:rPr>
        <w:t>时间五个工作日</w:t>
      </w:r>
      <w:r>
        <w:rPr>
          <w:rFonts w:hint="eastAsia" w:ascii="微软雅黑" w:hAnsi="微软雅黑" w:eastAsia="微软雅黑" w:cs="微软雅黑"/>
          <w:color w:val="auto"/>
          <w:sz w:val="24"/>
          <w:szCs w:val="24"/>
          <w:highlight w:val="none"/>
        </w:rPr>
        <w:t>前，以书面形式将澄清要求通知采购人或采购代理机构。</w:t>
      </w:r>
    </w:p>
    <w:p w14:paraId="48DC40DF">
      <w:pPr>
        <w:pStyle w:val="5"/>
        <w:pageBreakBefore w:val="0"/>
        <w:kinsoku/>
        <w:wordWrap/>
        <w:overflowPunct/>
        <w:topLinePunct w:val="0"/>
        <w:bidi w:val="0"/>
        <w:spacing w:line="360" w:lineRule="exact"/>
        <w:ind w:left="840" w:hanging="840" w:hangingChars="350"/>
        <w:rPr>
          <w:rFonts w:hint="eastAsia" w:ascii="微软雅黑" w:hAnsi="微软雅黑" w:eastAsia="微软雅黑" w:cs="微软雅黑"/>
          <w:color w:val="auto"/>
          <w:sz w:val="24"/>
          <w:szCs w:val="24"/>
          <w:highlight w:val="none"/>
        </w:rPr>
      </w:pPr>
      <w:bookmarkStart w:id="97" w:name="_Toc520356149"/>
      <w:bookmarkStart w:id="98" w:name="_Ref467378678"/>
      <w:bookmarkStart w:id="99" w:name="_Toc515904806"/>
      <w:r>
        <w:rPr>
          <w:rFonts w:hint="eastAsia" w:ascii="微软雅黑" w:hAnsi="微软雅黑" w:eastAsia="微软雅黑" w:cs="微软雅黑"/>
          <w:color w:val="auto"/>
          <w:sz w:val="24"/>
          <w:szCs w:val="24"/>
          <w:highlight w:val="none"/>
        </w:rPr>
        <w:t>6.2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采购人可主动地或在解答</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提出的澄清问题时对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进行澄清或修改。采购代理机构将以发布澄清（更正）公告的方式，澄清或修改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，澄清或修改内容作为</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的组成部分。</w:t>
      </w:r>
    </w:p>
    <w:p w14:paraId="34D96633">
      <w:pPr>
        <w:pStyle w:val="5"/>
        <w:pageBreakBefore w:val="0"/>
        <w:kinsoku/>
        <w:wordWrap/>
        <w:overflowPunct/>
        <w:topLinePunct w:val="0"/>
        <w:bidi w:val="0"/>
        <w:spacing w:line="360" w:lineRule="exact"/>
        <w:ind w:left="840" w:hanging="840" w:hangingChars="3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澄清或者修改的内容可能影响</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编制的，采购代理机构将以书面形式通知所有购买</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的潜在</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，并对其具有约束力。</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在收到上述通知后，应及时向采购代理机构回函确认。</w:t>
      </w:r>
    </w:p>
    <w:p w14:paraId="21AC83A7">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100" w:name="_Toc1073"/>
      <w:bookmarkStart w:id="101" w:name="_Toc22107"/>
      <w:bookmarkStart w:id="102" w:name="_Toc5103"/>
      <w:bookmarkStart w:id="103" w:name="_Toc12558"/>
      <w:bookmarkStart w:id="104" w:name="_Toc517"/>
      <w:bookmarkStart w:id="105" w:name="_Toc978"/>
      <w:bookmarkStart w:id="106" w:name="_Toc11187"/>
      <w:bookmarkStart w:id="107" w:name="_Toc25635"/>
      <w:bookmarkStart w:id="108" w:name="_Toc14569"/>
      <w:bookmarkStart w:id="109" w:name="_Toc8561"/>
      <w:bookmarkStart w:id="110" w:name="_Toc3118"/>
      <w:bookmarkStart w:id="111" w:name="_Toc10823"/>
      <w:r>
        <w:rPr>
          <w:rFonts w:hint="eastAsia" w:ascii="微软雅黑" w:hAnsi="微软雅黑" w:eastAsia="微软雅黑" w:cs="微软雅黑"/>
          <w:color w:val="auto"/>
          <w:sz w:val="24"/>
          <w:szCs w:val="24"/>
          <w:highlight w:val="none"/>
          <w:u w:val="none"/>
        </w:rPr>
        <w:t>7</w:t>
      </w:r>
      <w:bookmarkEnd w:id="97"/>
      <w:bookmarkEnd w:id="98"/>
      <w:bookmarkEnd w:id="99"/>
      <w:r>
        <w:rPr>
          <w:rFonts w:hint="eastAsia" w:ascii="微软雅黑" w:hAnsi="微软雅黑" w:eastAsia="微软雅黑" w:cs="微软雅黑"/>
          <w:color w:val="auto"/>
          <w:sz w:val="24"/>
          <w:szCs w:val="24"/>
          <w:highlight w:val="none"/>
          <w:u w:val="none"/>
        </w:rPr>
        <w:t>.</w:t>
      </w:r>
      <w:r>
        <w:rPr>
          <w:rFonts w:hint="eastAsia" w:ascii="微软雅黑" w:hAnsi="微软雅黑" w:eastAsia="微软雅黑" w:cs="微软雅黑"/>
          <w:color w:val="auto"/>
          <w:sz w:val="24"/>
          <w:szCs w:val="24"/>
          <w:highlight w:val="none"/>
          <w:u w:val="none"/>
          <w:lang w:val="en-US" w:eastAsia="zh-CN"/>
        </w:rPr>
        <w:t>磋商</w:t>
      </w:r>
      <w:r>
        <w:rPr>
          <w:rFonts w:hint="eastAsia" w:ascii="微软雅黑" w:hAnsi="微软雅黑" w:eastAsia="微软雅黑" w:cs="微软雅黑"/>
          <w:color w:val="auto"/>
          <w:sz w:val="24"/>
          <w:szCs w:val="24"/>
          <w:highlight w:val="none"/>
          <w:u w:val="none"/>
        </w:rPr>
        <w:t>截止时间的顺延</w:t>
      </w:r>
      <w:bookmarkEnd w:id="100"/>
      <w:bookmarkEnd w:id="101"/>
      <w:bookmarkEnd w:id="102"/>
      <w:bookmarkEnd w:id="103"/>
      <w:bookmarkEnd w:id="104"/>
      <w:bookmarkEnd w:id="105"/>
      <w:bookmarkEnd w:id="106"/>
      <w:bookmarkEnd w:id="107"/>
      <w:bookmarkEnd w:id="108"/>
      <w:bookmarkEnd w:id="109"/>
      <w:bookmarkEnd w:id="110"/>
      <w:bookmarkEnd w:id="111"/>
    </w:p>
    <w:p w14:paraId="39A1CBD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为使</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准备</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时有足够的时间对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的澄清或者修改部分进行研究，采购人将依法决定是否顺延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截止时间。</w:t>
      </w:r>
      <w:bookmarkStart w:id="112" w:name="_Toc516367020"/>
      <w:bookmarkStart w:id="113" w:name="_Toc216582807"/>
      <w:bookmarkStart w:id="114" w:name="_Toc30808"/>
      <w:bookmarkStart w:id="115" w:name="_Toc520356150"/>
      <w:bookmarkStart w:id="116" w:name="_Toc7636"/>
      <w:bookmarkStart w:id="117" w:name="_Toc515647766"/>
    </w:p>
    <w:p w14:paraId="589470EB">
      <w:pPr>
        <w:pageBreakBefore w:val="0"/>
        <w:tabs>
          <w:tab w:val="left" w:pos="900"/>
        </w:tabs>
        <w:kinsoku/>
        <w:wordWrap/>
        <w:overflowPunct/>
        <w:topLinePunct w:val="0"/>
        <w:bidi w:val="0"/>
        <w:spacing w:line="360" w:lineRule="exact"/>
        <w:ind w:hanging="540"/>
        <w:rPr>
          <w:rFonts w:hint="eastAsia" w:ascii="微软雅黑" w:hAnsi="微软雅黑" w:eastAsia="微软雅黑" w:cs="微软雅黑"/>
          <w:color w:val="auto"/>
          <w:sz w:val="24"/>
          <w:szCs w:val="24"/>
          <w:highlight w:val="none"/>
        </w:rPr>
      </w:pPr>
    </w:p>
    <w:p w14:paraId="4F78ECD8">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微软雅黑" w:hAnsi="微软雅黑" w:eastAsia="微软雅黑" w:cs="微软雅黑"/>
          <w:b/>
          <w:i w:val="0"/>
          <w:color w:val="auto"/>
          <w:spacing w:val="0"/>
          <w:w w:val="100"/>
          <w:sz w:val="28"/>
          <w:szCs w:val="28"/>
          <w:highlight w:val="none"/>
        </w:rPr>
      </w:pPr>
      <w:bookmarkStart w:id="118" w:name="_Toc29522"/>
      <w:bookmarkStart w:id="119" w:name="_Toc13965"/>
      <w:bookmarkStart w:id="120" w:name="_Toc7758"/>
      <w:r>
        <w:rPr>
          <w:rFonts w:hint="eastAsia" w:ascii="微软雅黑" w:hAnsi="微软雅黑" w:eastAsia="微软雅黑" w:cs="微软雅黑"/>
          <w:b/>
          <w:i w:val="0"/>
          <w:color w:val="auto"/>
          <w:spacing w:val="0"/>
          <w:w w:val="100"/>
          <w:sz w:val="28"/>
          <w:szCs w:val="28"/>
          <w:highlight w:val="none"/>
        </w:rPr>
        <w:t xml:space="preserve">三   </w:t>
      </w:r>
      <w:bookmarkEnd w:id="112"/>
      <w:r>
        <w:rPr>
          <w:rFonts w:hint="eastAsia" w:ascii="微软雅黑" w:hAnsi="微软雅黑" w:eastAsia="微软雅黑" w:cs="微软雅黑"/>
          <w:b/>
          <w:i w:val="0"/>
          <w:color w:val="auto"/>
          <w:spacing w:val="0"/>
          <w:w w:val="100"/>
          <w:sz w:val="28"/>
          <w:szCs w:val="28"/>
          <w:highlight w:val="none"/>
          <w:lang w:eastAsia="zh-CN"/>
        </w:rPr>
        <w:t>响应文件</w:t>
      </w:r>
      <w:r>
        <w:rPr>
          <w:rFonts w:hint="eastAsia" w:ascii="微软雅黑" w:hAnsi="微软雅黑" w:eastAsia="微软雅黑" w:cs="微软雅黑"/>
          <w:b/>
          <w:i w:val="0"/>
          <w:color w:val="auto"/>
          <w:spacing w:val="0"/>
          <w:w w:val="100"/>
          <w:sz w:val="28"/>
          <w:szCs w:val="28"/>
          <w:highlight w:val="none"/>
        </w:rPr>
        <w:t>的编制</w:t>
      </w:r>
      <w:bookmarkEnd w:id="113"/>
      <w:bookmarkEnd w:id="114"/>
      <w:bookmarkEnd w:id="115"/>
      <w:bookmarkEnd w:id="116"/>
      <w:bookmarkEnd w:id="117"/>
      <w:bookmarkEnd w:id="118"/>
      <w:bookmarkEnd w:id="119"/>
      <w:bookmarkEnd w:id="120"/>
    </w:p>
    <w:p w14:paraId="7AD7EE70">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121" w:name="_Toc3553"/>
      <w:bookmarkStart w:id="122" w:name="_Toc7120"/>
      <w:bookmarkStart w:id="123" w:name="_Toc7786"/>
      <w:bookmarkStart w:id="124" w:name="_Toc2539"/>
      <w:bookmarkStart w:id="125" w:name="_Toc29861"/>
      <w:bookmarkStart w:id="126" w:name="_Toc5890"/>
      <w:bookmarkStart w:id="127" w:name="_Toc2129"/>
      <w:bookmarkStart w:id="128" w:name="_Toc11691"/>
      <w:bookmarkStart w:id="129" w:name="_Toc15642"/>
      <w:bookmarkStart w:id="130" w:name="_Toc3785"/>
      <w:bookmarkStart w:id="131" w:name="_Toc515647767"/>
      <w:bookmarkStart w:id="132" w:name="_Toc20486"/>
      <w:bookmarkStart w:id="133" w:name="_Toc520356151"/>
      <w:bookmarkStart w:id="134" w:name="_Toc516367021"/>
      <w:bookmarkStart w:id="135" w:name="_Toc5025"/>
      <w:r>
        <w:rPr>
          <w:rFonts w:hint="eastAsia" w:ascii="微软雅黑" w:hAnsi="微软雅黑" w:eastAsia="微软雅黑" w:cs="微软雅黑"/>
          <w:color w:val="auto"/>
          <w:sz w:val="24"/>
          <w:szCs w:val="24"/>
          <w:highlight w:val="none"/>
          <w:u w:val="none"/>
        </w:rPr>
        <w:t>8.</w:t>
      </w:r>
      <w:r>
        <w:rPr>
          <w:rFonts w:hint="eastAsia" w:ascii="微软雅黑" w:hAnsi="微软雅黑" w:eastAsia="微软雅黑" w:cs="微软雅黑"/>
          <w:color w:val="auto"/>
          <w:sz w:val="24"/>
          <w:szCs w:val="24"/>
          <w:highlight w:val="none"/>
          <w:u w:val="none"/>
          <w:lang w:val="en-US" w:eastAsia="zh-CN"/>
        </w:rPr>
        <w:t>磋商</w:t>
      </w:r>
      <w:r>
        <w:rPr>
          <w:rFonts w:hint="eastAsia" w:ascii="微软雅黑" w:hAnsi="微软雅黑" w:eastAsia="微软雅黑" w:cs="微软雅黑"/>
          <w:color w:val="auto"/>
          <w:sz w:val="24"/>
          <w:szCs w:val="24"/>
          <w:highlight w:val="none"/>
          <w:u w:val="none"/>
        </w:rPr>
        <w:t>范围及</w:t>
      </w:r>
      <w:r>
        <w:rPr>
          <w:rFonts w:hint="eastAsia" w:ascii="微软雅黑" w:hAnsi="微软雅黑" w:eastAsia="微软雅黑" w:cs="微软雅黑"/>
          <w:color w:val="auto"/>
          <w:sz w:val="24"/>
          <w:szCs w:val="24"/>
          <w:highlight w:val="none"/>
          <w:u w:val="none"/>
          <w:lang w:eastAsia="zh-CN"/>
        </w:rPr>
        <w:t>响应文件</w:t>
      </w:r>
      <w:r>
        <w:rPr>
          <w:rFonts w:hint="eastAsia" w:ascii="微软雅黑" w:hAnsi="微软雅黑" w:eastAsia="微软雅黑" w:cs="微软雅黑"/>
          <w:color w:val="auto"/>
          <w:sz w:val="24"/>
          <w:szCs w:val="24"/>
          <w:highlight w:val="none"/>
          <w:u w:val="none"/>
          <w:lang w:val="en-US" w:eastAsia="zh-CN"/>
        </w:rPr>
        <w:t>成交</w:t>
      </w:r>
      <w:r>
        <w:rPr>
          <w:rFonts w:hint="eastAsia" w:ascii="微软雅黑" w:hAnsi="微软雅黑" w:eastAsia="微软雅黑" w:cs="微软雅黑"/>
          <w:color w:val="auto"/>
          <w:sz w:val="24"/>
          <w:szCs w:val="24"/>
          <w:highlight w:val="none"/>
          <w:u w:val="none"/>
        </w:rPr>
        <w:t>准和计量单位的使用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33E778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项目有分包的，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可对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其中某一个或几个分包服务进行</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，除非在</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中另有规定。</w:t>
      </w:r>
    </w:p>
    <w:p w14:paraId="6102504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8.2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应当对所投分包</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中“服务</w:t>
      </w:r>
      <w:r>
        <w:rPr>
          <w:rFonts w:hint="eastAsia" w:ascii="微软雅黑" w:hAnsi="微软雅黑" w:eastAsia="微软雅黑" w:cs="微软雅黑"/>
          <w:color w:val="auto"/>
          <w:sz w:val="24"/>
          <w:szCs w:val="24"/>
          <w:highlight w:val="none"/>
          <w:lang w:val="en-US" w:eastAsia="zh-CN"/>
        </w:rPr>
        <w:t>需求</w:t>
      </w:r>
      <w:r>
        <w:rPr>
          <w:rFonts w:hint="eastAsia" w:ascii="微软雅黑" w:hAnsi="微软雅黑" w:eastAsia="微软雅黑" w:cs="微软雅黑"/>
          <w:color w:val="auto"/>
          <w:sz w:val="24"/>
          <w:szCs w:val="24"/>
          <w:highlight w:val="none"/>
        </w:rPr>
        <w:t>及项目要求”所列的所有内容进行</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，如仅响应某一</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中的部分内容，其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151F3CE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8.3     除</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中有特殊要求外，</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中所使用的计量单位，应采用中华人民共和国法定计量单位。</w:t>
      </w:r>
    </w:p>
    <w:p w14:paraId="6F386F5C">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136" w:name="_Ref467306195"/>
      <w:bookmarkStart w:id="137" w:name="_Ref467306676"/>
      <w:bookmarkStart w:id="138" w:name="_Toc516367022"/>
      <w:bookmarkStart w:id="139" w:name="_Toc16016"/>
      <w:bookmarkStart w:id="140" w:name="_Toc28307"/>
      <w:bookmarkStart w:id="141" w:name="_Toc12220"/>
      <w:bookmarkStart w:id="142" w:name="_Toc258"/>
      <w:bookmarkStart w:id="143" w:name="_Toc22897"/>
      <w:bookmarkStart w:id="144" w:name="_Toc16592"/>
      <w:bookmarkStart w:id="145" w:name="_Toc520356152"/>
      <w:bookmarkStart w:id="146" w:name="_Toc10364"/>
      <w:bookmarkStart w:id="147" w:name="_Toc23715"/>
      <w:bookmarkStart w:id="148" w:name="_Toc15740"/>
      <w:bookmarkStart w:id="149" w:name="_Toc22417"/>
      <w:bookmarkStart w:id="150" w:name="_Toc515647768"/>
      <w:bookmarkStart w:id="151" w:name="_Toc29587"/>
      <w:bookmarkStart w:id="152" w:name="_Toc17150"/>
      <w:bookmarkStart w:id="153" w:name="_Toc30354"/>
      <w:bookmarkStart w:id="154" w:name="_Toc2999"/>
      <w:bookmarkStart w:id="155" w:name="_Toc6978"/>
      <w:bookmarkStart w:id="156" w:name="_Toc11200"/>
      <w:bookmarkStart w:id="157" w:name="_Toc516367023"/>
      <w:bookmarkStart w:id="158" w:name="_Toc2564"/>
      <w:bookmarkStart w:id="159" w:name="_Toc10584"/>
      <w:bookmarkStart w:id="160" w:name="_Toc515647769"/>
      <w:bookmarkStart w:id="161" w:name="_Toc520356153"/>
      <w:bookmarkStart w:id="162" w:name="_Toc2056"/>
      <w:bookmarkStart w:id="163" w:name="_Toc15151"/>
      <w:bookmarkStart w:id="164" w:name="_Toc4601"/>
      <w:bookmarkStart w:id="165" w:name="_Toc10379"/>
      <w:bookmarkStart w:id="166" w:name="_Toc17395"/>
      <w:r>
        <w:rPr>
          <w:rFonts w:hint="eastAsia" w:ascii="微软雅黑" w:hAnsi="微软雅黑" w:eastAsia="微软雅黑" w:cs="微软雅黑"/>
          <w:color w:val="auto"/>
          <w:sz w:val="24"/>
          <w:szCs w:val="24"/>
          <w:highlight w:val="none"/>
          <w:u w:val="none"/>
        </w:rPr>
        <w:t>9.</w:t>
      </w:r>
      <w:bookmarkEnd w:id="136"/>
      <w:bookmarkEnd w:id="137"/>
      <w:bookmarkEnd w:id="138"/>
      <w:r>
        <w:rPr>
          <w:rFonts w:hint="eastAsia" w:ascii="微软雅黑" w:hAnsi="微软雅黑" w:eastAsia="微软雅黑" w:cs="微软雅黑"/>
          <w:color w:val="auto"/>
          <w:sz w:val="24"/>
          <w:szCs w:val="24"/>
          <w:highlight w:val="none"/>
          <w:u w:val="none"/>
          <w:lang w:eastAsia="zh-CN"/>
        </w:rPr>
        <w:t>响应文件</w:t>
      </w:r>
      <w:r>
        <w:rPr>
          <w:rFonts w:hint="eastAsia" w:ascii="微软雅黑" w:hAnsi="微软雅黑" w:eastAsia="微软雅黑" w:cs="微软雅黑"/>
          <w:color w:val="auto"/>
          <w:sz w:val="24"/>
          <w:szCs w:val="24"/>
          <w:highlight w:val="none"/>
          <w:u w:val="none"/>
        </w:rPr>
        <w:t>构成</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631D0E7B">
      <w:pPr>
        <w:pageBreakBefore w:val="0"/>
        <w:tabs>
          <w:tab w:val="left" w:pos="900"/>
          <w:tab w:val="left" w:pos="5580"/>
        </w:tabs>
        <w:kinsoku/>
        <w:wordWrap/>
        <w:overflowPunct/>
        <w:topLinePunct w:val="0"/>
        <w:bidi w:val="0"/>
        <w:spacing w:line="360" w:lineRule="exact"/>
        <w:ind w:left="960" w:hanging="960" w:hangingChars="400"/>
        <w:jc w:val="left"/>
        <w:rPr>
          <w:rFonts w:hint="eastAsia" w:ascii="微软雅黑" w:hAnsi="微软雅黑" w:eastAsia="微软雅黑" w:cs="微软雅黑"/>
          <w:color w:val="auto"/>
          <w:sz w:val="24"/>
          <w:szCs w:val="24"/>
          <w:highlight w:val="none"/>
          <w:u w:val="single"/>
        </w:rPr>
      </w:pPr>
      <w:bookmarkStart w:id="167" w:name="_Ref467052588"/>
      <w:r>
        <w:rPr>
          <w:rFonts w:hint="eastAsia" w:ascii="微软雅黑" w:hAnsi="微软雅黑" w:eastAsia="微软雅黑" w:cs="微软雅黑"/>
          <w:color w:val="auto"/>
          <w:sz w:val="24"/>
          <w:szCs w:val="24"/>
          <w:highlight w:val="none"/>
        </w:rPr>
        <w:t xml:space="preserve">9.1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rPr>
        <w:t>供应商应完整地按</w:t>
      </w:r>
      <w:r>
        <w:rPr>
          <w:rFonts w:hint="eastAsia" w:ascii="微软雅黑" w:hAnsi="微软雅黑" w:eastAsia="微软雅黑" w:cs="微软雅黑"/>
          <w:b/>
          <w:bCs/>
          <w:color w:val="auto"/>
          <w:sz w:val="24"/>
          <w:szCs w:val="24"/>
          <w:highlight w:val="none"/>
          <w:u w:val="single"/>
          <w:lang w:eastAsia="zh-CN"/>
        </w:rPr>
        <w:t>磋商文件</w:t>
      </w:r>
      <w:r>
        <w:rPr>
          <w:rFonts w:hint="eastAsia" w:ascii="微软雅黑" w:hAnsi="微软雅黑" w:eastAsia="微软雅黑" w:cs="微软雅黑"/>
          <w:b/>
          <w:bCs/>
          <w:color w:val="auto"/>
          <w:sz w:val="24"/>
          <w:szCs w:val="24"/>
          <w:highlight w:val="none"/>
          <w:u w:val="single"/>
        </w:rPr>
        <w:t>提供的</w:t>
      </w:r>
      <w:r>
        <w:rPr>
          <w:rFonts w:hint="eastAsia" w:ascii="微软雅黑" w:hAnsi="微软雅黑" w:eastAsia="微软雅黑" w:cs="微软雅黑"/>
          <w:b/>
          <w:bCs/>
          <w:color w:val="auto"/>
          <w:sz w:val="24"/>
          <w:szCs w:val="24"/>
          <w:highlight w:val="none"/>
          <w:u w:val="single"/>
          <w:lang w:eastAsia="zh-CN"/>
        </w:rPr>
        <w:t>响应文件</w:t>
      </w:r>
      <w:r>
        <w:rPr>
          <w:rFonts w:hint="eastAsia" w:ascii="微软雅黑" w:hAnsi="微软雅黑" w:eastAsia="微软雅黑" w:cs="微软雅黑"/>
          <w:b/>
          <w:bCs/>
          <w:color w:val="auto"/>
          <w:sz w:val="24"/>
          <w:szCs w:val="24"/>
          <w:highlight w:val="none"/>
          <w:u w:val="single"/>
        </w:rPr>
        <w:t>格式及要求编写</w:t>
      </w:r>
      <w:r>
        <w:rPr>
          <w:rFonts w:hint="eastAsia" w:ascii="微软雅黑" w:hAnsi="微软雅黑" w:eastAsia="微软雅黑" w:cs="微软雅黑"/>
          <w:b/>
          <w:bCs/>
          <w:color w:val="auto"/>
          <w:sz w:val="24"/>
          <w:szCs w:val="24"/>
          <w:highlight w:val="none"/>
          <w:u w:val="single"/>
          <w:lang w:eastAsia="zh-CN"/>
        </w:rPr>
        <w:t>响应文件</w:t>
      </w:r>
      <w:r>
        <w:rPr>
          <w:rFonts w:hint="eastAsia" w:ascii="微软雅黑" w:hAnsi="微软雅黑" w:eastAsia="微软雅黑" w:cs="微软雅黑"/>
          <w:b/>
          <w:bCs/>
          <w:color w:val="auto"/>
          <w:sz w:val="24"/>
          <w:szCs w:val="24"/>
          <w:highlight w:val="none"/>
          <w:u w:val="single"/>
        </w:rPr>
        <w:t>，根据平台关联点上传对应佐证资料，</w:t>
      </w:r>
      <w:r>
        <w:rPr>
          <w:rFonts w:hint="eastAsia" w:ascii="微软雅黑" w:hAnsi="微软雅黑" w:eastAsia="微软雅黑" w:cs="微软雅黑"/>
          <w:b/>
          <w:bCs/>
          <w:color w:val="auto"/>
          <w:sz w:val="24"/>
          <w:szCs w:val="24"/>
          <w:highlight w:val="none"/>
          <w:u w:val="single"/>
          <w:lang w:eastAsia="zh-CN"/>
        </w:rPr>
        <w:t>响应文件</w:t>
      </w:r>
      <w:r>
        <w:rPr>
          <w:rFonts w:hint="eastAsia" w:ascii="微软雅黑" w:hAnsi="微软雅黑" w:eastAsia="微软雅黑" w:cs="微软雅黑"/>
          <w:b/>
          <w:bCs/>
          <w:color w:val="auto"/>
          <w:sz w:val="24"/>
          <w:szCs w:val="24"/>
          <w:highlight w:val="none"/>
          <w:u w:val="single"/>
        </w:rPr>
        <w:t>应包括“</w:t>
      </w:r>
      <w:r>
        <w:rPr>
          <w:rFonts w:hint="eastAsia" w:ascii="微软雅黑" w:hAnsi="微软雅黑" w:eastAsia="微软雅黑" w:cs="微软雅黑"/>
          <w:b/>
          <w:bCs/>
          <w:color w:val="auto"/>
          <w:sz w:val="24"/>
          <w:szCs w:val="24"/>
          <w:highlight w:val="none"/>
          <w:u w:val="single"/>
          <w:lang w:eastAsia="zh-CN"/>
        </w:rPr>
        <w:t>磋商一览表</w:t>
      </w:r>
      <w:r>
        <w:rPr>
          <w:rFonts w:hint="eastAsia" w:ascii="微软雅黑" w:hAnsi="微软雅黑" w:eastAsia="微软雅黑" w:cs="微软雅黑"/>
          <w:b/>
          <w:bCs/>
          <w:color w:val="auto"/>
          <w:sz w:val="24"/>
          <w:szCs w:val="24"/>
          <w:highlight w:val="none"/>
          <w:u w:val="single"/>
        </w:rPr>
        <w:t>及资格证明文件”和“商务及技术文件”两部分，两部分合并成完整一册上传至政采云平台。供应商应承担</w:t>
      </w:r>
      <w:r>
        <w:rPr>
          <w:rFonts w:hint="eastAsia" w:ascii="微软雅黑" w:hAnsi="微软雅黑" w:eastAsia="微软雅黑" w:cs="微软雅黑"/>
          <w:b/>
          <w:bCs/>
          <w:color w:val="auto"/>
          <w:sz w:val="24"/>
          <w:szCs w:val="24"/>
          <w:highlight w:val="none"/>
          <w:u w:val="single"/>
          <w:lang w:val="en-US" w:eastAsia="zh-CN"/>
        </w:rPr>
        <w:t>上传</w:t>
      </w:r>
      <w:r>
        <w:rPr>
          <w:rFonts w:hint="eastAsia" w:ascii="微软雅黑" w:hAnsi="微软雅黑" w:eastAsia="微软雅黑" w:cs="微软雅黑"/>
          <w:b/>
          <w:bCs/>
          <w:color w:val="auto"/>
          <w:sz w:val="24"/>
          <w:szCs w:val="24"/>
          <w:highlight w:val="none"/>
          <w:u w:val="single"/>
        </w:rPr>
        <w:t>失误产生的任何后果。</w:t>
      </w:r>
    </w:p>
    <w:p w14:paraId="404F5E2F">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    上述文件应按照</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规定的格式填写、签署和盖章。</w:t>
      </w:r>
      <w:bookmarkEnd w:id="167"/>
    </w:p>
    <w:p w14:paraId="2C016470">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10.</w:t>
      </w:r>
      <w:r>
        <w:rPr>
          <w:rFonts w:hint="eastAsia" w:ascii="微软雅黑" w:hAnsi="微软雅黑" w:eastAsia="微软雅黑" w:cs="微软雅黑"/>
          <w:color w:val="auto"/>
          <w:sz w:val="24"/>
          <w:szCs w:val="24"/>
          <w:highlight w:val="none"/>
          <w:u w:val="none"/>
        </w:rPr>
        <w:tab/>
      </w:r>
      <w:r>
        <w:rPr>
          <w:rFonts w:hint="eastAsia" w:ascii="微软雅黑" w:hAnsi="微软雅黑" w:eastAsia="微软雅黑" w:cs="微软雅黑"/>
          <w:color w:val="auto"/>
          <w:sz w:val="24"/>
          <w:szCs w:val="24"/>
          <w:highlight w:val="none"/>
          <w:u w:val="none"/>
        </w:rPr>
        <w:t>证明</w:t>
      </w:r>
      <w:r>
        <w:rPr>
          <w:rFonts w:hint="eastAsia" w:ascii="微软雅黑" w:hAnsi="微软雅黑" w:eastAsia="微软雅黑" w:cs="微软雅黑"/>
          <w:color w:val="auto"/>
          <w:sz w:val="24"/>
          <w:szCs w:val="24"/>
          <w:highlight w:val="none"/>
          <w:u w:val="none"/>
          <w:lang w:val="en-US" w:eastAsia="zh-CN"/>
        </w:rPr>
        <w:t>磋商</w:t>
      </w:r>
      <w:r>
        <w:rPr>
          <w:rFonts w:hint="eastAsia" w:ascii="微软雅黑" w:hAnsi="微软雅黑" w:eastAsia="微软雅黑" w:cs="微软雅黑"/>
          <w:color w:val="auto"/>
          <w:sz w:val="24"/>
          <w:szCs w:val="24"/>
          <w:highlight w:val="none"/>
          <w:u w:val="none"/>
        </w:rPr>
        <w:t>的的合格性和符合</w:t>
      </w:r>
      <w:r>
        <w:rPr>
          <w:rFonts w:hint="eastAsia" w:ascii="微软雅黑" w:hAnsi="微软雅黑" w:eastAsia="微软雅黑" w:cs="微软雅黑"/>
          <w:color w:val="auto"/>
          <w:sz w:val="24"/>
          <w:szCs w:val="24"/>
          <w:highlight w:val="none"/>
          <w:u w:val="none"/>
          <w:lang w:eastAsia="zh-CN"/>
        </w:rPr>
        <w:t>磋商文件</w:t>
      </w:r>
      <w:r>
        <w:rPr>
          <w:rFonts w:hint="eastAsia" w:ascii="微软雅黑" w:hAnsi="微软雅黑" w:eastAsia="微软雅黑" w:cs="微软雅黑"/>
          <w:color w:val="auto"/>
          <w:sz w:val="24"/>
          <w:szCs w:val="24"/>
          <w:highlight w:val="none"/>
          <w:u w:val="none"/>
        </w:rPr>
        <w:t>规定的技术文件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964740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应提交证明文件，证明其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内容符合</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规定。该证明文件是</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的一部分。</w:t>
      </w:r>
    </w:p>
    <w:p w14:paraId="4AE1BBB2">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bookmarkStart w:id="168" w:name="_Ref467306244"/>
      <w:r>
        <w:rPr>
          <w:rFonts w:hint="eastAsia" w:ascii="微软雅黑" w:hAnsi="微软雅黑" w:eastAsia="微软雅黑" w:cs="微软雅黑"/>
          <w:color w:val="auto"/>
          <w:sz w:val="24"/>
          <w:szCs w:val="24"/>
          <w:highlight w:val="none"/>
        </w:rPr>
        <w:t>10.2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上款所述的证明文件，可以是文字资料、图纸和数据，</w:t>
      </w:r>
      <w:bookmarkEnd w:id="168"/>
      <w:r>
        <w:rPr>
          <w:rFonts w:hint="eastAsia" w:ascii="微软雅黑" w:hAnsi="微软雅黑" w:eastAsia="微软雅黑" w:cs="微软雅黑"/>
          <w:color w:val="auto"/>
          <w:sz w:val="24"/>
          <w:szCs w:val="24"/>
          <w:highlight w:val="none"/>
        </w:rPr>
        <w:t>它包括：</w:t>
      </w:r>
    </w:p>
    <w:p w14:paraId="4653AB84">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服务主要技术指标</w:t>
      </w:r>
      <w:r>
        <w:rPr>
          <w:rFonts w:hint="eastAsia" w:ascii="微软雅黑" w:hAnsi="微软雅黑" w:eastAsia="微软雅黑" w:cs="微软雅黑"/>
          <w:color w:val="auto"/>
          <w:sz w:val="24"/>
          <w:szCs w:val="24"/>
          <w:highlight w:val="none"/>
        </w:rPr>
        <w:t>的详细说明；</w:t>
      </w:r>
    </w:p>
    <w:p w14:paraId="793B92A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对照</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lang w:val="en-US" w:eastAsia="zh-CN"/>
        </w:rPr>
        <w:t>服务要求</w:t>
      </w:r>
      <w:r>
        <w:rPr>
          <w:rFonts w:hint="eastAsia" w:ascii="微软雅黑" w:hAnsi="微软雅黑" w:eastAsia="微软雅黑" w:cs="微软雅黑"/>
          <w:color w:val="auto"/>
          <w:sz w:val="24"/>
          <w:szCs w:val="24"/>
          <w:highlight w:val="none"/>
        </w:rPr>
        <w:t>，逐条说明所提供服务对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val="en-US" w:eastAsia="zh-CN"/>
        </w:rPr>
        <w:t>服务要求</w:t>
      </w:r>
      <w:r>
        <w:rPr>
          <w:rFonts w:hint="eastAsia" w:ascii="微软雅黑" w:hAnsi="微软雅黑" w:eastAsia="微软雅黑" w:cs="微软雅黑"/>
          <w:color w:val="auto"/>
          <w:sz w:val="24"/>
          <w:szCs w:val="24"/>
          <w:highlight w:val="none"/>
        </w:rPr>
        <w:t>做出了实质性的响应。</w:t>
      </w:r>
    </w:p>
    <w:p w14:paraId="7AEFEA08">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169" w:name="_Toc520356155"/>
      <w:bookmarkStart w:id="170" w:name="_Toc16118"/>
      <w:bookmarkStart w:id="171" w:name="_Toc301"/>
      <w:bookmarkStart w:id="172" w:name="_Toc21396"/>
      <w:bookmarkStart w:id="173" w:name="_Toc1607"/>
      <w:bookmarkStart w:id="174" w:name="_Toc23231"/>
      <w:bookmarkStart w:id="175" w:name="_Toc515647770"/>
      <w:bookmarkStart w:id="176" w:name="_Toc2248"/>
      <w:bookmarkStart w:id="177" w:name="_Toc5144"/>
      <w:bookmarkStart w:id="178" w:name="_Toc28798"/>
      <w:bookmarkStart w:id="179" w:name="_Toc25641"/>
      <w:bookmarkStart w:id="180" w:name="_Toc29220"/>
      <w:bookmarkStart w:id="181" w:name="_Toc29340"/>
      <w:r>
        <w:rPr>
          <w:rFonts w:hint="eastAsia" w:ascii="微软雅黑" w:hAnsi="微软雅黑" w:eastAsia="微软雅黑" w:cs="微软雅黑"/>
          <w:color w:val="auto"/>
          <w:sz w:val="24"/>
          <w:szCs w:val="24"/>
          <w:highlight w:val="none"/>
          <w:u w:val="none"/>
        </w:rPr>
        <w:t>11.</w:t>
      </w:r>
      <w:r>
        <w:rPr>
          <w:rFonts w:hint="eastAsia" w:ascii="微软雅黑" w:hAnsi="微软雅黑" w:eastAsia="微软雅黑" w:cs="微软雅黑"/>
          <w:color w:val="auto"/>
          <w:sz w:val="24"/>
          <w:szCs w:val="24"/>
          <w:highlight w:val="none"/>
          <w:u w:val="none"/>
          <w:lang w:val="en-US" w:eastAsia="zh-CN"/>
        </w:rPr>
        <w:t>磋商</w:t>
      </w:r>
      <w:r>
        <w:rPr>
          <w:rFonts w:hint="eastAsia" w:ascii="微软雅黑" w:hAnsi="微软雅黑" w:eastAsia="微软雅黑" w:cs="微软雅黑"/>
          <w:color w:val="auto"/>
          <w:sz w:val="24"/>
          <w:szCs w:val="24"/>
          <w:highlight w:val="none"/>
          <w:u w:val="none"/>
        </w:rPr>
        <w:t>报价</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6EDB0A3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所有</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均以人民币报价。</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报价应遵守《中华人民共和国价格法》。同时，根据《中华人民共和国政府采购法》第二条的规定，为保证公平竞争，如有主体部分的赠与行为，其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4E6A461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应在</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分项报价表上标明</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相关服务的单价（如适用），并由法定代表人签署。</w:t>
      </w:r>
    </w:p>
    <w:p w14:paraId="62C56249">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分项报价表上的价格应按下列方式填写；</w:t>
      </w:r>
    </w:p>
    <w:p w14:paraId="07D9313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所报的各分项</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单价在合同履行过程中是固定不变的，不得以任何理由予以变更。任何包含价格调整要求的</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0E76BE0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每种服务只能有一个</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报价。采购人不接受具有附加条件的报价。</w:t>
      </w:r>
    </w:p>
    <w:p w14:paraId="4D10F09E">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lang w:eastAsia="zh-CN"/>
        </w:rPr>
      </w:pPr>
      <w:bookmarkStart w:id="182" w:name="_Toc1683"/>
      <w:bookmarkStart w:id="183" w:name="_Toc21719"/>
      <w:bookmarkStart w:id="184" w:name="_Ref467306513"/>
      <w:bookmarkStart w:id="185" w:name="_Toc11514"/>
      <w:bookmarkStart w:id="186" w:name="_Toc3453"/>
      <w:bookmarkStart w:id="187" w:name="_Toc20784"/>
      <w:bookmarkStart w:id="188" w:name="_Toc14823"/>
      <w:bookmarkStart w:id="189" w:name="_Toc23666"/>
      <w:bookmarkStart w:id="190" w:name="_Toc17122"/>
      <w:bookmarkStart w:id="191" w:name="_Toc30245"/>
      <w:bookmarkStart w:id="192" w:name="_Toc18556"/>
      <w:bookmarkStart w:id="193" w:name="_Toc520356156"/>
      <w:bookmarkStart w:id="194" w:name="_Toc17788"/>
      <w:bookmarkStart w:id="195" w:name="_Toc515647771"/>
      <w:bookmarkStart w:id="196" w:name="_Toc5648"/>
      <w:r>
        <w:rPr>
          <w:rFonts w:hint="eastAsia" w:ascii="微软雅黑" w:hAnsi="微软雅黑" w:eastAsia="微软雅黑" w:cs="微软雅黑"/>
          <w:color w:val="auto"/>
          <w:sz w:val="24"/>
          <w:szCs w:val="24"/>
          <w:highlight w:val="none"/>
          <w:u w:val="none"/>
        </w:rPr>
        <w:t>12.</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eastAsia" w:ascii="微软雅黑" w:hAnsi="微软雅黑" w:eastAsia="微软雅黑" w:cs="微软雅黑"/>
          <w:color w:val="auto"/>
          <w:sz w:val="24"/>
          <w:szCs w:val="24"/>
          <w:highlight w:val="none"/>
          <w:u w:val="none"/>
          <w:lang w:eastAsia="zh-CN"/>
        </w:rPr>
        <w:t>磋商保证金</w:t>
      </w:r>
    </w:p>
    <w:p w14:paraId="5432F75B">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bookmarkStart w:id="197" w:name="_Ref467306302"/>
      <w:r>
        <w:rPr>
          <w:rFonts w:hint="eastAsia" w:ascii="微软雅黑" w:hAnsi="微软雅黑" w:eastAsia="微软雅黑" w:cs="微软雅黑"/>
          <w:color w:val="auto"/>
          <w:sz w:val="24"/>
          <w:szCs w:val="24"/>
          <w:highlight w:val="none"/>
        </w:rPr>
        <w:t>12.1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应提交</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须知资料表中规定的</w:t>
      </w:r>
      <w:bookmarkEnd w:id="197"/>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，并作为</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的一部分。</w:t>
      </w:r>
    </w:p>
    <w:p w14:paraId="4E68BED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存在下列情形的，</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不予退还：</w:t>
      </w:r>
    </w:p>
    <w:p w14:paraId="5468FFEB">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（1）在</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有效期内，撤销</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的；</w:t>
      </w:r>
    </w:p>
    <w:p w14:paraId="6FD5F05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后不按本须知第30条的规定与采购人签订合同的；</w:t>
      </w:r>
    </w:p>
    <w:p w14:paraId="7CA8D8B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后不按本须知第31条的规定提交履约保证金的；</w:t>
      </w:r>
    </w:p>
    <w:p w14:paraId="488F0E4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）存在其他违法违规行为的。</w:t>
      </w:r>
    </w:p>
    <w:p w14:paraId="7C157D2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bookmarkStart w:id="198" w:name="_Ref467306336"/>
      <w:r>
        <w:rPr>
          <w:rFonts w:hint="eastAsia" w:ascii="微软雅黑" w:hAnsi="微软雅黑" w:eastAsia="微软雅黑" w:cs="微软雅黑"/>
          <w:color w:val="auto"/>
          <w:sz w:val="24"/>
          <w:szCs w:val="24"/>
          <w:highlight w:val="none"/>
        </w:rPr>
        <w:t>12.3</w:t>
      </w:r>
      <w:r>
        <w:rPr>
          <w:rFonts w:hint="eastAsia" w:ascii="微软雅黑" w:hAnsi="微软雅黑" w:eastAsia="微软雅黑" w:cs="微软雅黑"/>
          <w:color w:val="auto"/>
          <w:sz w:val="24"/>
          <w:szCs w:val="24"/>
          <w:highlight w:val="none"/>
        </w:rPr>
        <w:tab/>
      </w:r>
      <w:bookmarkEnd w:id="198"/>
      <w:r>
        <w:rPr>
          <w:rFonts w:hint="eastAsia" w:ascii="微软雅黑" w:hAnsi="微软雅黑" w:eastAsia="微软雅黑" w:cs="微软雅黑"/>
          <w:color w:val="auto"/>
          <w:sz w:val="24"/>
          <w:szCs w:val="24"/>
          <w:highlight w:val="none"/>
        </w:rPr>
        <w:t>政府采购信用担保试点范围内的项目，接受符合财政部门规定的政府采购</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担保函原件。</w:t>
      </w:r>
    </w:p>
    <w:p w14:paraId="7DE6EF6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未按本须知第12.1和12.3条规定提交</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的，其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将被认定为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3CF419C3">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12.4.1  采用电汇形式的，一般可以实时入账。</w:t>
      </w:r>
    </w:p>
    <w:p w14:paraId="07767CA4">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12.4.2  采用支票形式的，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则应充分考虑支票入账时间，以确保</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能按时进入指定账户。根据银行信息交换和付款时间，支票从递交至实际入账一般需要4-5个工作日。如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未及时提交支票或支票不符合银行委托收款要求（如污损、折叠、胶装等），导致</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不能按时进入指定账户的，将按照</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的第22.2条相关规定处理。</w:t>
      </w:r>
    </w:p>
    <w:p w14:paraId="73C953A3">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12.5   联合体</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的，可以由联合体中的一方或者共同提交</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。以一方名义提交</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的，对联合体各方均具有约束力。</w:t>
      </w:r>
    </w:p>
    <w:p w14:paraId="7275DBFD">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的退还</w:t>
      </w:r>
    </w:p>
    <w:p w14:paraId="05B4335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12.6.1  </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应在与采购人签订合同之日起5个工作日内，及时联系保证金收受机构办理</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无息退还手续。</w:t>
      </w:r>
    </w:p>
    <w:p w14:paraId="636AF08E">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12.6.2  未</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将在</w:t>
      </w:r>
      <w:r>
        <w:rPr>
          <w:rFonts w:hint="eastAsia" w:ascii="微软雅黑" w:hAnsi="微软雅黑" w:eastAsia="微软雅黑" w:cs="微软雅黑"/>
          <w:color w:val="auto"/>
          <w:sz w:val="24"/>
          <w:szCs w:val="24"/>
          <w:highlight w:val="none"/>
          <w:lang w:eastAsia="zh-CN"/>
        </w:rPr>
        <w:t>成交通知书</w:t>
      </w:r>
      <w:r>
        <w:rPr>
          <w:rFonts w:hint="eastAsia" w:ascii="微软雅黑" w:hAnsi="微软雅黑" w:eastAsia="微软雅黑" w:cs="微软雅黑"/>
          <w:color w:val="auto"/>
          <w:sz w:val="24"/>
          <w:szCs w:val="24"/>
          <w:highlight w:val="none"/>
        </w:rPr>
        <w:t>发出之日暨</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结果公告公布之日起5个工作日内无息退还。</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应及时联系保证金收受机构办理退还</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手续。</w:t>
      </w:r>
    </w:p>
    <w:p w14:paraId="37D9AD4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12.6.3  政府采购</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担保函不予退回。</w:t>
      </w:r>
    </w:p>
    <w:p w14:paraId="6BA8B97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12.7    因</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自身原因导致无法及时退还的，采购人或采购代理机构将不承担相应责任。</w:t>
      </w:r>
    </w:p>
    <w:p w14:paraId="412511CB">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199" w:name="_Toc23590"/>
      <w:bookmarkStart w:id="200" w:name="_Toc17101"/>
      <w:bookmarkStart w:id="201" w:name="_Toc12947"/>
      <w:bookmarkStart w:id="202" w:name="_Toc16678"/>
      <w:bookmarkStart w:id="203" w:name="_Toc31306"/>
      <w:bookmarkStart w:id="204" w:name="_Toc30519"/>
      <w:bookmarkStart w:id="205" w:name="_Toc1255"/>
      <w:bookmarkStart w:id="206" w:name="_Toc520356157"/>
      <w:bookmarkStart w:id="207" w:name="_Toc19068"/>
      <w:bookmarkStart w:id="208" w:name="_Toc27662"/>
      <w:bookmarkStart w:id="209" w:name="_Toc27999"/>
      <w:bookmarkStart w:id="210" w:name="_Toc32569"/>
      <w:bookmarkStart w:id="211" w:name="_Toc19152"/>
      <w:bookmarkStart w:id="212" w:name="_Toc515647772"/>
      <w:r>
        <w:rPr>
          <w:rFonts w:hint="eastAsia" w:ascii="微软雅黑" w:hAnsi="微软雅黑" w:eastAsia="微软雅黑" w:cs="微软雅黑"/>
          <w:color w:val="auto"/>
          <w:sz w:val="24"/>
          <w:szCs w:val="24"/>
          <w:highlight w:val="none"/>
          <w:u w:val="none"/>
        </w:rPr>
        <w:t>13.</w:t>
      </w:r>
      <w:r>
        <w:rPr>
          <w:rFonts w:hint="eastAsia" w:ascii="微软雅黑" w:hAnsi="微软雅黑" w:eastAsia="微软雅黑" w:cs="微软雅黑"/>
          <w:color w:val="auto"/>
          <w:sz w:val="24"/>
          <w:szCs w:val="24"/>
          <w:highlight w:val="none"/>
          <w:u w:val="none"/>
          <w:lang w:val="en-US" w:eastAsia="zh-CN"/>
        </w:rPr>
        <w:t>磋商</w:t>
      </w:r>
      <w:r>
        <w:rPr>
          <w:rFonts w:hint="eastAsia" w:ascii="微软雅黑" w:hAnsi="微软雅黑" w:eastAsia="微软雅黑" w:cs="微软雅黑"/>
          <w:color w:val="auto"/>
          <w:sz w:val="24"/>
          <w:szCs w:val="24"/>
          <w:highlight w:val="none"/>
          <w:u w:val="none"/>
        </w:rPr>
        <w:t>有效期</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FA16F03">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应在</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中规定时间内保持有效。</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有效期不满足要求的</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，其</w:t>
      </w:r>
      <w:r>
        <w:rPr>
          <w:rFonts w:hint="eastAsia" w:ascii="微软雅黑" w:hAnsi="微软雅黑" w:eastAsia="微软雅黑" w:cs="微软雅黑"/>
          <w:color w:val="auto"/>
          <w:sz w:val="24"/>
          <w:szCs w:val="24"/>
          <w:highlight w:val="none"/>
          <w:lang w:eastAsia="zh-CN"/>
        </w:rPr>
        <w:t>磋商将被</w:t>
      </w:r>
      <w:r>
        <w:rPr>
          <w:rFonts w:hint="eastAsia" w:ascii="微软雅黑" w:hAnsi="微软雅黑" w:eastAsia="微软雅黑" w:cs="微软雅黑"/>
          <w:color w:val="auto"/>
          <w:sz w:val="24"/>
          <w:szCs w:val="24"/>
          <w:highlight w:val="none"/>
        </w:rPr>
        <w:t>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3A59A780">
      <w:pPr>
        <w:pageBreakBefore w:val="0"/>
        <w:kinsoku/>
        <w:wordWrap/>
        <w:overflowPunct/>
        <w:topLinePunct w:val="0"/>
        <w:bidi w:val="0"/>
        <w:spacing w:line="360" w:lineRule="exact"/>
        <w:ind w:left="900" w:hanging="900" w:hangingChars="375"/>
        <w:rPr>
          <w:rFonts w:hint="eastAsia" w:ascii="微软雅黑" w:hAnsi="微软雅黑" w:eastAsia="微软雅黑" w:cs="微软雅黑"/>
          <w:b w:val="0"/>
          <w:i w:val="0"/>
          <w:color w:val="auto"/>
          <w:spacing w:val="0"/>
          <w:w w:val="100"/>
          <w:sz w:val="24"/>
          <w:szCs w:val="24"/>
          <w:highlight w:val="none"/>
        </w:rPr>
      </w:pPr>
      <w:r>
        <w:rPr>
          <w:rFonts w:hint="eastAsia" w:ascii="微软雅黑" w:hAnsi="微软雅黑" w:eastAsia="微软雅黑" w:cs="微软雅黑"/>
          <w:color w:val="auto"/>
          <w:sz w:val="24"/>
          <w:szCs w:val="24"/>
          <w:highlight w:val="none"/>
        </w:rPr>
        <w:t>13.2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为保证有充分时间签订合同，采购人或采购代理机构可根据实际情况，在原</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有效期截止之前，要求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延长</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的有效期。接受该要求的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将不会被要求和允许修正其</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，且本须知中有关</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的要求须在延长的有效期内继续有效。</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可以拒绝延长</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有效期的要求，其</w:t>
      </w:r>
      <w:r>
        <w:rPr>
          <w:rFonts w:hint="eastAsia" w:ascii="微软雅黑" w:hAnsi="微软雅黑" w:eastAsia="微软雅黑" w:cs="微软雅黑"/>
          <w:color w:val="auto"/>
          <w:sz w:val="24"/>
          <w:szCs w:val="24"/>
          <w:highlight w:val="none"/>
          <w:lang w:eastAsia="zh-CN"/>
        </w:rPr>
        <w:t>磋商保证金</w:t>
      </w:r>
      <w:r>
        <w:rPr>
          <w:rFonts w:hint="eastAsia" w:ascii="微软雅黑" w:hAnsi="微软雅黑" w:eastAsia="微软雅黑" w:cs="微软雅黑"/>
          <w:color w:val="auto"/>
          <w:sz w:val="24"/>
          <w:szCs w:val="24"/>
          <w:highlight w:val="none"/>
        </w:rPr>
        <w:t>将及时无息退还。上述要求和答复都应以书面形式提交。</w:t>
      </w:r>
    </w:p>
    <w:p w14:paraId="1C9C07D9">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lang w:eastAsia="zh-CN"/>
        </w:rPr>
      </w:pPr>
      <w:bookmarkStart w:id="213" w:name="_Toc26703"/>
      <w:bookmarkEnd w:id="213"/>
      <w:bookmarkStart w:id="214" w:name="_Toc17074"/>
      <w:bookmarkEnd w:id="214"/>
      <w:bookmarkStart w:id="215" w:name="_Toc520356158"/>
      <w:bookmarkEnd w:id="215"/>
      <w:bookmarkStart w:id="216" w:name="_Toc515647773"/>
      <w:bookmarkEnd w:id="216"/>
      <w:bookmarkStart w:id="217" w:name="_Toc6286"/>
      <w:bookmarkEnd w:id="217"/>
      <w:bookmarkStart w:id="218" w:name="_Toc4425"/>
      <w:bookmarkEnd w:id="218"/>
      <w:bookmarkStart w:id="219" w:name="_Toc10391"/>
      <w:bookmarkEnd w:id="219"/>
      <w:bookmarkStart w:id="220" w:name="_Toc493"/>
      <w:bookmarkEnd w:id="220"/>
      <w:bookmarkStart w:id="221" w:name="_Toc30127"/>
      <w:bookmarkEnd w:id="221"/>
      <w:bookmarkStart w:id="222" w:name="_Toc16503"/>
      <w:bookmarkEnd w:id="222"/>
      <w:bookmarkStart w:id="223" w:name="_Toc9672"/>
      <w:bookmarkEnd w:id="223"/>
      <w:bookmarkStart w:id="224" w:name="_Toc24787"/>
      <w:bookmarkEnd w:id="224"/>
      <w:bookmarkStart w:id="225" w:name="_Toc3558"/>
      <w:bookmarkEnd w:id="225"/>
      <w:bookmarkStart w:id="226" w:name="_Toc6302"/>
      <w:bookmarkEnd w:id="226"/>
      <w:bookmarkStart w:id="227" w:name="_Toc29619"/>
      <w:bookmarkEnd w:id="227"/>
      <w:bookmarkStart w:id="228" w:name="_Toc6801"/>
      <w:bookmarkStart w:id="229" w:name="_Toc11337"/>
      <w:bookmarkStart w:id="230" w:name="_Toc87"/>
      <w:bookmarkStart w:id="231" w:name="_Toc28956"/>
      <w:bookmarkStart w:id="232" w:name="_Toc11669"/>
      <w:bookmarkStart w:id="233" w:name="_Toc27307"/>
      <w:bookmarkStart w:id="234" w:name="_Toc3823"/>
      <w:bookmarkStart w:id="235" w:name="_Toc10565"/>
      <w:bookmarkStart w:id="236" w:name="_Toc27840"/>
      <w:bookmarkStart w:id="237" w:name="_Toc520356159"/>
      <w:bookmarkStart w:id="238" w:name="_Toc11179"/>
      <w:bookmarkStart w:id="239" w:name="_Toc216582808"/>
      <w:bookmarkStart w:id="240" w:name="_Toc515647774"/>
      <w:bookmarkStart w:id="241" w:name="_Toc8824"/>
      <w:bookmarkStart w:id="242" w:name="_Toc8711"/>
      <w:bookmarkStart w:id="243" w:name="_Toc16865"/>
      <w:r>
        <w:rPr>
          <w:rFonts w:hint="eastAsia" w:ascii="微软雅黑" w:hAnsi="微软雅黑" w:eastAsia="微软雅黑" w:cs="微软雅黑"/>
          <w:color w:val="auto"/>
          <w:sz w:val="24"/>
          <w:szCs w:val="24"/>
          <w:highlight w:val="none"/>
          <w:u w:val="none"/>
        </w:rPr>
        <w:t>14.</w:t>
      </w:r>
      <w:r>
        <w:rPr>
          <w:rFonts w:hint="eastAsia" w:ascii="微软雅黑" w:hAnsi="微软雅黑" w:eastAsia="微软雅黑" w:cs="微软雅黑"/>
          <w:color w:val="auto"/>
          <w:sz w:val="24"/>
          <w:szCs w:val="24"/>
          <w:highlight w:val="none"/>
          <w:u w:val="none"/>
          <w:lang w:eastAsia="zh-CN"/>
        </w:rPr>
        <w:t>响应文件</w:t>
      </w:r>
      <w:r>
        <w:rPr>
          <w:rFonts w:hint="eastAsia" w:ascii="微软雅黑" w:hAnsi="微软雅黑" w:eastAsia="微软雅黑" w:cs="微软雅黑"/>
          <w:color w:val="auto"/>
          <w:sz w:val="24"/>
          <w:szCs w:val="24"/>
          <w:highlight w:val="none"/>
          <w:u w:val="none"/>
        </w:rPr>
        <w:t>的签署及规定</w:t>
      </w:r>
      <w:bookmarkEnd w:id="228"/>
      <w:bookmarkEnd w:id="229"/>
      <w:bookmarkEnd w:id="230"/>
      <w:bookmarkEnd w:id="231"/>
      <w:bookmarkEnd w:id="232"/>
      <w:bookmarkEnd w:id="233"/>
      <w:bookmarkEnd w:id="234"/>
      <w:bookmarkEnd w:id="235"/>
      <w:bookmarkEnd w:id="236"/>
    </w:p>
    <w:p w14:paraId="15DBF6D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供应商应按供应商须知资料表中的规定，准备和</w:t>
      </w:r>
      <w:r>
        <w:rPr>
          <w:rFonts w:hint="eastAsia" w:ascii="微软雅黑" w:hAnsi="微软雅黑" w:eastAsia="微软雅黑" w:cs="微软雅黑"/>
          <w:color w:val="auto"/>
          <w:sz w:val="24"/>
          <w:szCs w:val="24"/>
          <w:highlight w:val="none"/>
          <w:lang w:val="en-US" w:eastAsia="zh-CN"/>
        </w:rPr>
        <w:t>上传</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4664029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由供应商的法定代表人按</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规定在</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上签字或盖章并加盖单位印章。如对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进行了修改，则应由供应商的法定代表人在每一修改处签字。</w:t>
      </w:r>
    </w:p>
    <w:p w14:paraId="271EEF03">
      <w:pPr>
        <w:pageBreakBefore w:val="0"/>
        <w:kinsoku/>
        <w:wordWrap/>
        <w:overflowPunct/>
        <w:topLinePunct w:val="0"/>
        <w:bidi w:val="0"/>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14.3   </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因字迹潦草、表达不清所引起的后果由供应商负责。</w:t>
      </w:r>
    </w:p>
    <w:p w14:paraId="3450F3FB">
      <w:pPr>
        <w:pStyle w:val="12"/>
        <w:pageBreakBefore w:val="0"/>
        <w:kinsoku/>
        <w:wordWrap/>
        <w:overflowPunct/>
        <w:topLinePunct w:val="0"/>
        <w:bidi w:val="0"/>
        <w:spacing w:line="360" w:lineRule="exact"/>
        <w:rPr>
          <w:rFonts w:hint="eastAsia" w:ascii="微软雅黑" w:hAnsi="微软雅黑" w:eastAsia="微软雅黑" w:cs="微软雅黑"/>
          <w:color w:val="auto"/>
          <w:sz w:val="24"/>
          <w:szCs w:val="24"/>
          <w:highlight w:val="none"/>
        </w:rPr>
      </w:pPr>
    </w:p>
    <w:bookmarkEnd w:id="237"/>
    <w:bookmarkEnd w:id="238"/>
    <w:bookmarkEnd w:id="239"/>
    <w:bookmarkEnd w:id="240"/>
    <w:bookmarkEnd w:id="241"/>
    <w:bookmarkEnd w:id="242"/>
    <w:bookmarkEnd w:id="243"/>
    <w:p w14:paraId="77BBA052">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微软雅黑" w:hAnsi="微软雅黑" w:eastAsia="微软雅黑" w:cs="微软雅黑"/>
          <w:b/>
          <w:i w:val="0"/>
          <w:color w:val="auto"/>
          <w:spacing w:val="0"/>
          <w:w w:val="100"/>
          <w:sz w:val="28"/>
          <w:szCs w:val="28"/>
          <w:highlight w:val="none"/>
        </w:rPr>
      </w:pPr>
      <w:bookmarkStart w:id="244" w:name="_Toc8600"/>
      <w:r>
        <w:rPr>
          <w:rFonts w:hint="eastAsia" w:ascii="微软雅黑" w:hAnsi="微软雅黑" w:eastAsia="微软雅黑" w:cs="微软雅黑"/>
          <w:b/>
          <w:i w:val="0"/>
          <w:color w:val="auto"/>
          <w:spacing w:val="0"/>
          <w:w w:val="100"/>
          <w:sz w:val="28"/>
          <w:szCs w:val="28"/>
          <w:highlight w:val="none"/>
        </w:rPr>
        <w:t>四   响应文件的递交</w:t>
      </w:r>
      <w:bookmarkEnd w:id="244"/>
    </w:p>
    <w:p w14:paraId="796178CB">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245" w:name="_Toc8317"/>
      <w:bookmarkEnd w:id="245"/>
      <w:bookmarkStart w:id="246" w:name="_Toc20727"/>
      <w:bookmarkEnd w:id="246"/>
      <w:bookmarkStart w:id="247" w:name="_Toc14401"/>
      <w:bookmarkEnd w:id="247"/>
      <w:bookmarkStart w:id="248" w:name="_Toc2920"/>
      <w:bookmarkStart w:id="249" w:name="_Toc26050"/>
      <w:bookmarkStart w:id="250" w:name="_Toc8129"/>
      <w:bookmarkStart w:id="251" w:name="_Toc1906"/>
      <w:bookmarkStart w:id="252" w:name="_Toc11198"/>
      <w:bookmarkStart w:id="253" w:name="_Toc1280"/>
      <w:bookmarkStart w:id="254" w:name="_Toc5761"/>
      <w:r>
        <w:rPr>
          <w:rFonts w:hint="eastAsia" w:ascii="微软雅黑" w:hAnsi="微软雅黑" w:eastAsia="微软雅黑" w:cs="微软雅黑"/>
          <w:color w:val="auto"/>
          <w:sz w:val="24"/>
          <w:szCs w:val="24"/>
          <w:highlight w:val="none"/>
          <w:u w:val="none"/>
          <w:lang w:val="en-US" w:eastAsia="zh-CN"/>
        </w:rPr>
        <w:t>15.</w:t>
      </w:r>
      <w:r>
        <w:rPr>
          <w:rFonts w:hint="eastAsia" w:ascii="微软雅黑" w:hAnsi="微软雅黑" w:eastAsia="微软雅黑" w:cs="微软雅黑"/>
          <w:color w:val="auto"/>
          <w:sz w:val="24"/>
          <w:szCs w:val="24"/>
          <w:highlight w:val="none"/>
          <w:u w:val="none"/>
          <w:lang w:eastAsia="zh-CN"/>
        </w:rPr>
        <w:t>响应文件</w:t>
      </w:r>
      <w:r>
        <w:rPr>
          <w:rFonts w:hint="eastAsia" w:ascii="微软雅黑" w:hAnsi="微软雅黑" w:eastAsia="微软雅黑" w:cs="微软雅黑"/>
          <w:color w:val="auto"/>
          <w:sz w:val="24"/>
          <w:szCs w:val="24"/>
          <w:highlight w:val="none"/>
          <w:u w:val="none"/>
        </w:rPr>
        <w:t>的</w:t>
      </w:r>
      <w:r>
        <w:rPr>
          <w:rFonts w:hint="eastAsia" w:ascii="微软雅黑" w:hAnsi="微软雅黑" w:eastAsia="微软雅黑" w:cs="微软雅黑"/>
          <w:color w:val="auto"/>
          <w:sz w:val="24"/>
          <w:szCs w:val="24"/>
          <w:highlight w:val="none"/>
          <w:u w:val="none"/>
          <w:lang w:val="en-US" w:eastAsia="zh-CN"/>
        </w:rPr>
        <w:t>上传</w:t>
      </w:r>
      <w:r>
        <w:rPr>
          <w:rFonts w:hint="eastAsia" w:ascii="微软雅黑" w:hAnsi="微软雅黑" w:eastAsia="微软雅黑" w:cs="微软雅黑"/>
          <w:color w:val="auto"/>
          <w:sz w:val="24"/>
          <w:szCs w:val="24"/>
          <w:highlight w:val="none"/>
          <w:u w:val="none"/>
        </w:rPr>
        <w:t>和标记</w:t>
      </w:r>
      <w:bookmarkEnd w:id="248"/>
      <w:bookmarkEnd w:id="249"/>
      <w:bookmarkEnd w:id="250"/>
      <w:bookmarkEnd w:id="251"/>
      <w:bookmarkEnd w:id="252"/>
      <w:bookmarkEnd w:id="253"/>
      <w:bookmarkEnd w:id="254"/>
    </w:p>
    <w:p w14:paraId="5520E6AE">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15.1  为方便评审及进行资格审查，供应商应完整地按磋商文件提供的响应文件格式及要求编写响应文件， 供应商须在磋商截止时间前完成在系统上递交电子响应文件。供应商的电子响应文件是经过CA证书加密后上传提交的，任何单位或个人均无法在磋商截止时间(即磋商时间)之前查看或篡改，不存在泄密风险。（严格按照政采云电子</w:t>
      </w:r>
      <w:r>
        <w:rPr>
          <w:rFonts w:hint="eastAsia" w:ascii="微软雅黑" w:hAnsi="微软雅黑" w:eastAsia="微软雅黑" w:cs="微软雅黑"/>
          <w:color w:val="auto"/>
          <w:sz w:val="24"/>
          <w:szCs w:val="24"/>
          <w:highlight w:val="none"/>
          <w:lang w:eastAsia="zh-CN"/>
        </w:rPr>
        <w:t>磋商</w:t>
      </w:r>
      <w:r>
        <w:rPr>
          <w:rFonts w:hint="eastAsia" w:ascii="微软雅黑" w:hAnsi="微软雅黑" w:eastAsia="微软雅黑" w:cs="微软雅黑"/>
          <w:color w:val="auto"/>
          <w:sz w:val="24"/>
          <w:szCs w:val="24"/>
          <w:highlight w:val="none"/>
        </w:rPr>
        <w:t>流程制作并上传电子响应文件）</w:t>
      </w:r>
    </w:p>
    <w:p w14:paraId="6BF82BE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15.2    供应商因自身原因导致电子响应文件无法导入电子评标系统的，该响应文件视为无效文件。</w:t>
      </w:r>
    </w:p>
    <w:p w14:paraId="08E08F8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   电子响应文件具有法律效力,与其他形式的响应文件在内容和格式上等同，若响应文件与磋商文件要求不一致，其内容影响成交结果时，责任由供应商自行承担。</w:t>
      </w:r>
    </w:p>
    <w:p w14:paraId="3FFF2434">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lang w:eastAsia="zh-CN"/>
        </w:rPr>
      </w:pPr>
      <w:bookmarkStart w:id="255" w:name="_Toc17998"/>
      <w:bookmarkStart w:id="256" w:name="_Toc22574"/>
      <w:bookmarkStart w:id="257" w:name="_Toc16308"/>
      <w:bookmarkStart w:id="258" w:name="_Toc20612"/>
      <w:bookmarkStart w:id="259" w:name="_Toc7925"/>
      <w:bookmarkStart w:id="260" w:name="_Toc7697"/>
      <w:bookmarkStart w:id="261" w:name="_Toc23034"/>
      <w:bookmarkStart w:id="262" w:name="_Toc9893"/>
      <w:r>
        <w:rPr>
          <w:rFonts w:hint="eastAsia" w:ascii="微软雅黑" w:hAnsi="微软雅黑" w:eastAsia="微软雅黑" w:cs="微软雅黑"/>
          <w:color w:val="auto"/>
          <w:sz w:val="24"/>
          <w:szCs w:val="24"/>
          <w:highlight w:val="none"/>
          <w:u w:val="none"/>
        </w:rPr>
        <w:t>16.</w:t>
      </w:r>
      <w:bookmarkEnd w:id="255"/>
      <w:bookmarkEnd w:id="256"/>
      <w:bookmarkEnd w:id="257"/>
      <w:bookmarkEnd w:id="258"/>
      <w:bookmarkEnd w:id="259"/>
      <w:bookmarkEnd w:id="260"/>
      <w:bookmarkEnd w:id="261"/>
      <w:bookmarkEnd w:id="262"/>
      <w:r>
        <w:rPr>
          <w:rFonts w:hint="eastAsia" w:ascii="微软雅黑" w:hAnsi="微软雅黑" w:eastAsia="微软雅黑" w:cs="微软雅黑"/>
          <w:color w:val="auto"/>
          <w:sz w:val="24"/>
          <w:szCs w:val="24"/>
          <w:highlight w:val="none"/>
          <w:u w:val="none"/>
          <w:lang w:eastAsia="zh-CN"/>
        </w:rPr>
        <w:t>磋商截止</w:t>
      </w:r>
    </w:p>
    <w:p w14:paraId="46B99CA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供应商应在供应商须知资料表中规定的</w:t>
      </w:r>
      <w:r>
        <w:rPr>
          <w:rFonts w:hint="eastAsia" w:ascii="微软雅黑" w:hAnsi="微软雅黑" w:eastAsia="微软雅黑" w:cs="微软雅黑"/>
          <w:color w:val="auto"/>
          <w:sz w:val="24"/>
          <w:szCs w:val="24"/>
          <w:highlight w:val="none"/>
          <w:lang w:eastAsia="zh-CN"/>
        </w:rPr>
        <w:t>磋商截止</w:t>
      </w:r>
      <w:r>
        <w:rPr>
          <w:rFonts w:hint="eastAsia" w:ascii="微软雅黑" w:hAnsi="微软雅黑" w:eastAsia="微软雅黑" w:cs="微软雅黑"/>
          <w:color w:val="auto"/>
          <w:sz w:val="24"/>
          <w:szCs w:val="24"/>
          <w:highlight w:val="none"/>
        </w:rPr>
        <w:t>时间前，将</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上传到公开招标公告中规定的地点。</w:t>
      </w:r>
    </w:p>
    <w:p w14:paraId="5AAAD65B">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采购人和采购代理机构有权按本须知的规定，延迟</w:t>
      </w:r>
      <w:r>
        <w:rPr>
          <w:rFonts w:hint="eastAsia" w:ascii="微软雅黑" w:hAnsi="微软雅黑" w:eastAsia="微软雅黑" w:cs="微软雅黑"/>
          <w:color w:val="auto"/>
          <w:sz w:val="24"/>
          <w:szCs w:val="24"/>
          <w:highlight w:val="none"/>
          <w:lang w:eastAsia="zh-CN"/>
        </w:rPr>
        <w:t>磋商截止</w:t>
      </w:r>
      <w:r>
        <w:rPr>
          <w:rFonts w:hint="eastAsia" w:ascii="微软雅黑" w:hAnsi="微软雅黑" w:eastAsia="微软雅黑" w:cs="微软雅黑"/>
          <w:color w:val="auto"/>
          <w:sz w:val="24"/>
          <w:szCs w:val="24"/>
          <w:highlight w:val="none"/>
        </w:rPr>
        <w:t>时间。在此情况下，采购人、采购代理机构和供应商受</w:t>
      </w:r>
      <w:r>
        <w:rPr>
          <w:rFonts w:hint="eastAsia" w:ascii="微软雅黑" w:hAnsi="微软雅黑" w:eastAsia="微软雅黑" w:cs="微软雅黑"/>
          <w:color w:val="auto"/>
          <w:sz w:val="24"/>
          <w:szCs w:val="24"/>
          <w:highlight w:val="none"/>
          <w:lang w:eastAsia="zh-CN"/>
        </w:rPr>
        <w:t>磋商截止</w:t>
      </w:r>
      <w:r>
        <w:rPr>
          <w:rFonts w:hint="eastAsia" w:ascii="微软雅黑" w:hAnsi="微软雅黑" w:eastAsia="微软雅黑" w:cs="微软雅黑"/>
          <w:color w:val="auto"/>
          <w:sz w:val="24"/>
          <w:szCs w:val="24"/>
          <w:highlight w:val="none"/>
        </w:rPr>
        <w:t>时间制约的所有权利和义务均应延长至新的截止时间。</w:t>
      </w:r>
    </w:p>
    <w:p w14:paraId="01ECF7B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采购人和采购代理机构将拒绝接收在</w:t>
      </w:r>
      <w:r>
        <w:rPr>
          <w:rFonts w:hint="eastAsia" w:ascii="微软雅黑" w:hAnsi="微软雅黑" w:eastAsia="微软雅黑" w:cs="微软雅黑"/>
          <w:color w:val="auto"/>
          <w:sz w:val="24"/>
          <w:szCs w:val="24"/>
          <w:highlight w:val="none"/>
          <w:lang w:eastAsia="zh-CN"/>
        </w:rPr>
        <w:t>磋商截止</w:t>
      </w:r>
      <w:r>
        <w:rPr>
          <w:rFonts w:hint="eastAsia" w:ascii="微软雅黑" w:hAnsi="微软雅黑" w:eastAsia="微软雅黑" w:cs="微软雅黑"/>
          <w:color w:val="auto"/>
          <w:sz w:val="24"/>
          <w:szCs w:val="24"/>
          <w:highlight w:val="none"/>
        </w:rPr>
        <w:t>时间后上传的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p>
    <w:p w14:paraId="7496D0FD">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lang w:val="en-US" w:eastAsia="zh-CN"/>
        </w:rPr>
      </w:pPr>
      <w:bookmarkStart w:id="263" w:name="_Toc17866"/>
      <w:bookmarkStart w:id="264" w:name="_Toc704"/>
      <w:bookmarkStart w:id="265" w:name="_Toc11854"/>
      <w:bookmarkStart w:id="266" w:name="_Toc27778"/>
      <w:bookmarkStart w:id="267" w:name="_Toc23097"/>
      <w:bookmarkStart w:id="268" w:name="_Toc22638"/>
      <w:bookmarkStart w:id="269" w:name="_Toc29765"/>
      <w:bookmarkStart w:id="270" w:name="_Toc16566"/>
      <w:bookmarkStart w:id="271" w:name="_Toc79"/>
      <w:r>
        <w:rPr>
          <w:rFonts w:hint="eastAsia" w:ascii="微软雅黑" w:hAnsi="微软雅黑" w:eastAsia="微软雅黑" w:cs="微软雅黑"/>
          <w:color w:val="auto"/>
          <w:sz w:val="24"/>
          <w:szCs w:val="24"/>
          <w:highlight w:val="none"/>
          <w:u w:val="none"/>
          <w:lang w:val="en-US" w:eastAsia="zh-CN"/>
        </w:rPr>
        <w:t>17.响应文件的接收、修改与撤回</w:t>
      </w:r>
      <w:bookmarkEnd w:id="263"/>
      <w:bookmarkEnd w:id="264"/>
      <w:bookmarkEnd w:id="265"/>
      <w:bookmarkEnd w:id="266"/>
      <w:bookmarkEnd w:id="267"/>
      <w:bookmarkEnd w:id="268"/>
      <w:bookmarkEnd w:id="269"/>
      <w:bookmarkEnd w:id="270"/>
      <w:bookmarkEnd w:id="271"/>
    </w:p>
    <w:p w14:paraId="5C5211C9">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eastAsia="zh-CN"/>
        </w:rPr>
        <w:t>磋商截止</w:t>
      </w:r>
      <w:r>
        <w:rPr>
          <w:rFonts w:hint="eastAsia" w:ascii="微软雅黑" w:hAnsi="微软雅黑" w:eastAsia="微软雅黑" w:cs="微软雅黑"/>
          <w:color w:val="auto"/>
          <w:sz w:val="24"/>
          <w:szCs w:val="24"/>
          <w:highlight w:val="none"/>
        </w:rPr>
        <w:t>时间后上传的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的，采购人和采购代理机构将拒绝接收。</w:t>
      </w:r>
    </w:p>
    <w:p w14:paraId="21C1452D">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上传</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以后，如果供应商要进行修改或撤回</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，供应商对</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的修改或撤回通知应按本须知规定编制、标记。采购人和采购代理机构将予以接收，并视为</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的组成部分。</w:t>
      </w:r>
    </w:p>
    <w:p w14:paraId="13FECC9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eastAsia="zh-CN"/>
        </w:rPr>
        <w:t>磋商截止</w:t>
      </w:r>
      <w:r>
        <w:rPr>
          <w:rFonts w:hint="eastAsia" w:ascii="微软雅黑" w:hAnsi="微软雅黑" w:eastAsia="微软雅黑" w:cs="微软雅黑"/>
          <w:color w:val="auto"/>
          <w:sz w:val="24"/>
          <w:szCs w:val="24"/>
          <w:highlight w:val="none"/>
        </w:rPr>
        <w:t>期之后，采购人和采购代理机构不接受供应商主动对其</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做任何修改。</w:t>
      </w:r>
    </w:p>
    <w:p w14:paraId="612C242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采购人和采购代理机构对所接收</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概不退回。</w:t>
      </w:r>
    </w:p>
    <w:p w14:paraId="3BEE2D1B">
      <w:pPr>
        <w:pageBreakBefore w:val="0"/>
        <w:kinsoku/>
        <w:wordWrap/>
        <w:overflowPunct/>
        <w:topLinePunct w:val="0"/>
        <w:bidi w:val="0"/>
        <w:spacing w:line="360" w:lineRule="exact"/>
        <w:rPr>
          <w:rFonts w:hint="eastAsia" w:ascii="微软雅黑" w:hAnsi="微软雅黑" w:eastAsia="微软雅黑" w:cs="微软雅黑"/>
          <w:color w:val="auto"/>
          <w:sz w:val="24"/>
          <w:szCs w:val="24"/>
          <w:highlight w:val="none"/>
        </w:rPr>
      </w:pPr>
    </w:p>
    <w:p w14:paraId="7F25058E">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微软雅黑" w:hAnsi="微软雅黑" w:eastAsia="微软雅黑" w:cs="微软雅黑"/>
          <w:b/>
          <w:i w:val="0"/>
          <w:color w:val="auto"/>
          <w:spacing w:val="0"/>
          <w:w w:val="100"/>
          <w:sz w:val="28"/>
          <w:szCs w:val="28"/>
          <w:highlight w:val="none"/>
        </w:rPr>
      </w:pPr>
      <w:bookmarkStart w:id="272" w:name="_Toc18859"/>
      <w:bookmarkStart w:id="273" w:name="_Toc17356"/>
      <w:bookmarkStart w:id="274" w:name="_Toc7470"/>
      <w:r>
        <w:rPr>
          <w:rFonts w:hint="eastAsia" w:ascii="微软雅黑" w:hAnsi="微软雅黑" w:eastAsia="微软雅黑" w:cs="微软雅黑"/>
          <w:b/>
          <w:i w:val="0"/>
          <w:color w:val="auto"/>
          <w:spacing w:val="0"/>
          <w:w w:val="100"/>
          <w:sz w:val="28"/>
          <w:szCs w:val="28"/>
          <w:highlight w:val="none"/>
        </w:rPr>
        <w:t xml:space="preserve">五   </w:t>
      </w:r>
      <w:r>
        <w:rPr>
          <w:rFonts w:hint="eastAsia" w:ascii="微软雅黑" w:hAnsi="微软雅黑" w:eastAsia="微软雅黑" w:cs="微软雅黑"/>
          <w:b/>
          <w:i w:val="0"/>
          <w:color w:val="auto"/>
          <w:spacing w:val="0"/>
          <w:w w:val="100"/>
          <w:sz w:val="28"/>
          <w:szCs w:val="28"/>
          <w:highlight w:val="none"/>
          <w:lang w:eastAsia="zh-CN"/>
        </w:rPr>
        <w:t>磋商</w:t>
      </w:r>
      <w:r>
        <w:rPr>
          <w:rFonts w:hint="eastAsia" w:ascii="微软雅黑" w:hAnsi="微软雅黑" w:eastAsia="微软雅黑" w:cs="微软雅黑"/>
          <w:b/>
          <w:i w:val="0"/>
          <w:color w:val="auto"/>
          <w:spacing w:val="0"/>
          <w:w w:val="100"/>
          <w:sz w:val="28"/>
          <w:szCs w:val="28"/>
          <w:highlight w:val="none"/>
        </w:rPr>
        <w:t>及评标</w:t>
      </w:r>
      <w:bookmarkEnd w:id="272"/>
      <w:bookmarkEnd w:id="273"/>
      <w:bookmarkEnd w:id="274"/>
    </w:p>
    <w:p w14:paraId="584C080B">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275" w:name="_Toc18233"/>
      <w:bookmarkStart w:id="276" w:name="_Toc5052"/>
      <w:bookmarkStart w:id="277" w:name="_Toc21667"/>
      <w:bookmarkStart w:id="278" w:name="_Toc32415"/>
      <w:bookmarkStart w:id="279" w:name="_Toc378"/>
      <w:bookmarkStart w:id="280" w:name="_Toc21372"/>
      <w:bookmarkStart w:id="281" w:name="_Toc10550"/>
      <w:bookmarkStart w:id="282" w:name="_Toc19296"/>
      <w:bookmarkStart w:id="283" w:name="_Toc27495"/>
      <w:bookmarkStart w:id="284" w:name="_Toc515647780"/>
      <w:bookmarkStart w:id="285" w:name="_Toc18228"/>
      <w:bookmarkStart w:id="286" w:name="_Toc28586"/>
      <w:bookmarkStart w:id="287" w:name="_Toc5231"/>
      <w:bookmarkStart w:id="288" w:name="_Toc520356166"/>
      <w:bookmarkStart w:id="289" w:name="_Toc13892"/>
      <w:bookmarkStart w:id="290" w:name="_Toc29696"/>
      <w:bookmarkStart w:id="291" w:name="_Toc11595"/>
      <w:bookmarkStart w:id="292" w:name="_Toc22021"/>
      <w:bookmarkStart w:id="293" w:name="_Toc3936"/>
      <w:bookmarkStart w:id="294" w:name="_Toc14028"/>
      <w:bookmarkStart w:id="295" w:name="_Toc28479"/>
      <w:bookmarkStart w:id="296" w:name="_Toc14775"/>
      <w:bookmarkStart w:id="297" w:name="_Toc515647781"/>
      <w:bookmarkStart w:id="298" w:name="_Toc22736"/>
      <w:bookmarkStart w:id="299" w:name="_Toc21156"/>
      <w:bookmarkStart w:id="300" w:name="_Toc8432"/>
      <w:bookmarkStart w:id="301" w:name="_Toc19949"/>
      <w:r>
        <w:rPr>
          <w:rFonts w:hint="eastAsia" w:ascii="微软雅黑" w:hAnsi="微软雅黑" w:eastAsia="微软雅黑" w:cs="微软雅黑"/>
          <w:color w:val="auto"/>
          <w:sz w:val="24"/>
          <w:szCs w:val="24"/>
          <w:highlight w:val="none"/>
          <w:u w:val="none"/>
          <w:lang w:val="en-US" w:eastAsia="zh-CN"/>
        </w:rPr>
        <w:t>18.磋商</w:t>
      </w:r>
    </w:p>
    <w:p w14:paraId="09F6372F">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18.1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采购人和采购代理机构将按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须知资料表中规定的</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时间和地点组织</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并邀请所有</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代表参加。</w:t>
      </w:r>
    </w:p>
    <w:p w14:paraId="7430BA6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18.2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到磋商截止时间，对供应商上传的响应文件进行解密，解密时长为30分钟。供应商须在规定时间内使用CA锁在政采云平台解密，解密失败或未在规定时间内解密，将无法参加下一阶段的磋商，将被认定为无效磋商。</w:t>
      </w:r>
      <w:r>
        <w:rPr>
          <w:rFonts w:hint="eastAsia" w:ascii="微软雅黑" w:hAnsi="微软雅黑" w:eastAsia="微软雅黑" w:cs="微软雅黑"/>
          <w:b/>
          <w:bCs/>
          <w:color w:val="auto"/>
          <w:sz w:val="24"/>
          <w:szCs w:val="24"/>
          <w:highlight w:val="none"/>
          <w:lang w:val="en-US" w:eastAsia="zh-CN"/>
        </w:rPr>
        <w:t>请供应商提前调试好CA锁，确保在操作时能正常使用。</w:t>
      </w:r>
      <w:r>
        <w:rPr>
          <w:rFonts w:hint="eastAsia" w:ascii="微软雅黑" w:hAnsi="微软雅黑" w:eastAsia="微软雅黑" w:cs="微软雅黑"/>
          <w:color w:val="auto"/>
          <w:sz w:val="24"/>
          <w:szCs w:val="24"/>
          <w:highlight w:val="none"/>
        </w:rPr>
        <w:t xml:space="preserve">  </w:t>
      </w:r>
    </w:p>
    <w:p w14:paraId="1CD079E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18.3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在开标记录时，代理机构开启签字时段，</w:t>
      </w:r>
      <w:r>
        <w:rPr>
          <w:rFonts w:hint="eastAsia" w:ascii="微软雅黑" w:hAnsi="微软雅黑" w:eastAsia="微软雅黑" w:cs="微软雅黑"/>
          <w:b/>
          <w:bCs/>
          <w:color w:val="auto"/>
          <w:sz w:val="24"/>
          <w:szCs w:val="24"/>
          <w:highlight w:val="none"/>
          <w:lang w:val="en-US" w:eastAsia="zh-CN"/>
        </w:rPr>
        <w:t>供应商须使用CA锁在政采云平台进行签字确认报价</w:t>
      </w:r>
      <w:r>
        <w:rPr>
          <w:rFonts w:hint="eastAsia" w:ascii="微软雅黑" w:hAnsi="微软雅黑" w:eastAsia="微软雅黑" w:cs="微软雅黑"/>
          <w:b/>
          <w:bCs/>
          <w:color w:val="auto"/>
          <w:sz w:val="24"/>
          <w:szCs w:val="24"/>
          <w:highlight w:val="none"/>
        </w:rPr>
        <w:t>。</w:t>
      </w:r>
    </w:p>
    <w:p w14:paraId="1256D53E">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val="en-US" w:eastAsia="zh-CN"/>
        </w:rPr>
        <w:t>在评审磋商环节，</w:t>
      </w:r>
      <w:r>
        <w:rPr>
          <w:rFonts w:hint="eastAsia" w:ascii="微软雅黑" w:hAnsi="微软雅黑" w:eastAsia="微软雅黑" w:cs="微软雅黑"/>
          <w:b/>
          <w:bCs/>
          <w:color w:val="auto"/>
          <w:sz w:val="24"/>
          <w:szCs w:val="24"/>
          <w:highlight w:val="none"/>
          <w:lang w:val="en-US" w:eastAsia="zh-CN"/>
        </w:rPr>
        <w:t>供应商须提前调试电脑是否可以正常视频通话</w:t>
      </w:r>
      <w:r>
        <w:rPr>
          <w:rFonts w:hint="eastAsia" w:ascii="微软雅黑" w:hAnsi="微软雅黑" w:eastAsia="微软雅黑" w:cs="微软雅黑"/>
          <w:color w:val="auto"/>
          <w:sz w:val="24"/>
          <w:szCs w:val="24"/>
          <w:highlight w:val="none"/>
          <w:lang w:val="en-US" w:eastAsia="zh-CN"/>
        </w:rPr>
        <w:t>，与评审专家进行一对一的磋商</w:t>
      </w:r>
      <w:r>
        <w:rPr>
          <w:rFonts w:hint="eastAsia" w:ascii="微软雅黑" w:hAnsi="微软雅黑" w:eastAsia="微软雅黑" w:cs="微软雅黑"/>
          <w:color w:val="auto"/>
          <w:sz w:val="24"/>
          <w:szCs w:val="24"/>
          <w:highlight w:val="none"/>
        </w:rPr>
        <w:t>。</w:t>
      </w:r>
    </w:p>
    <w:p w14:paraId="163B36E8">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rPr>
        <w:t>19.资格审查及组建</w:t>
      </w:r>
      <w:bookmarkEnd w:id="275"/>
      <w:bookmarkEnd w:id="276"/>
      <w:bookmarkEnd w:id="277"/>
      <w:bookmarkEnd w:id="278"/>
      <w:bookmarkEnd w:id="279"/>
      <w:bookmarkEnd w:id="280"/>
      <w:bookmarkEnd w:id="281"/>
      <w:bookmarkEnd w:id="282"/>
      <w:bookmarkEnd w:id="283"/>
      <w:bookmarkEnd w:id="284"/>
      <w:bookmarkEnd w:id="285"/>
      <w:bookmarkEnd w:id="286"/>
      <w:bookmarkEnd w:id="287"/>
      <w:r>
        <w:rPr>
          <w:rFonts w:hint="eastAsia" w:ascii="微软雅黑" w:hAnsi="微软雅黑" w:eastAsia="微软雅黑" w:cs="微软雅黑"/>
          <w:color w:val="auto"/>
          <w:sz w:val="24"/>
          <w:szCs w:val="24"/>
          <w:highlight w:val="none"/>
          <w:u w:val="none"/>
          <w:lang w:eastAsia="zh-CN"/>
        </w:rPr>
        <w:t>磋商小组</w:t>
      </w:r>
    </w:p>
    <w:p w14:paraId="0E705FB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19.1   采购人依据法律法规和磋商文件中规定的内容，对供应商的资格进行审查，未按要求提供资格审查资料的供应商或其中一项未通过的供应商，将视为资格审查不合格，未能通过资格审查的供应商不进入下一阶段的详细评审，将被认定为磋商无效。</w:t>
      </w:r>
    </w:p>
    <w:p w14:paraId="6A0F18E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19.2   采购人在资格审查期间查询供应商的信用记录。供应商存在不良信用记录的，其磋商将被认定为</w:t>
      </w:r>
      <w:r>
        <w:rPr>
          <w:rFonts w:hint="eastAsia" w:ascii="微软雅黑" w:hAnsi="微软雅黑" w:eastAsia="微软雅黑" w:cs="微软雅黑"/>
          <w:b/>
          <w:bCs/>
          <w:color w:val="auto"/>
          <w:sz w:val="24"/>
          <w:szCs w:val="24"/>
          <w:highlight w:val="none"/>
          <w:lang w:val="en-US" w:eastAsia="zh-CN"/>
        </w:rPr>
        <w:t>磋商无效</w:t>
      </w:r>
      <w:r>
        <w:rPr>
          <w:rFonts w:hint="eastAsia" w:ascii="微软雅黑" w:hAnsi="微软雅黑" w:eastAsia="微软雅黑" w:cs="微软雅黑"/>
          <w:color w:val="auto"/>
          <w:sz w:val="24"/>
          <w:szCs w:val="24"/>
          <w:highlight w:val="none"/>
          <w:lang w:val="en-US" w:eastAsia="zh-CN"/>
        </w:rPr>
        <w:t>。</w:t>
      </w:r>
    </w:p>
    <w:p w14:paraId="422F0AFF">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19.2.1 不良信用记录指：供应商在“信用中国”网站（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以联合体形式参加磋商的，联合体任何成员存在以上不良信用记录的，联合体磋商将被认定为磋商无效。</w:t>
      </w:r>
    </w:p>
    <w:p w14:paraId="2B12894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19.2.2 查询及记录方式：采购人或采购代理机构经办人将查询网页打印、签字并存档备查。供应商不良信用记录以采购人或采购代理机构查询结果为准。</w:t>
      </w:r>
    </w:p>
    <w:p w14:paraId="48562186">
      <w:pPr>
        <w:pStyle w:val="5"/>
        <w:pageBreakBefore w:val="0"/>
        <w:kinsoku/>
        <w:wordWrap/>
        <w:overflowPunct/>
        <w:topLinePunct w:val="0"/>
        <w:bidi w:val="0"/>
        <w:spacing w:line="360" w:lineRule="exact"/>
        <w:ind w:firstLine="720" w:firstLineChars="300"/>
        <w:jc w:val="both"/>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在本</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规定的查询时间之后，网站信息发生的任何变更均不再作</w:t>
      </w:r>
    </w:p>
    <w:p w14:paraId="2E50DE3B">
      <w:pPr>
        <w:pStyle w:val="5"/>
        <w:pageBreakBefore w:val="0"/>
        <w:kinsoku/>
        <w:wordWrap/>
        <w:overflowPunct/>
        <w:topLinePunct w:val="0"/>
        <w:bidi w:val="0"/>
        <w:spacing w:line="360" w:lineRule="exact"/>
        <w:ind w:firstLine="720" w:firstLineChars="300"/>
        <w:jc w:val="both"/>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为评标依据。</w:t>
      </w:r>
    </w:p>
    <w:p w14:paraId="1074DC6F">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19.3   按照《中华人民共和国政府采购法》、《中华人民共和国政府采购法实施条例》、《政府采购货物和服务招标磋商管理办法》财政部令第87号及本项目本级和上级财政部门的有关规定依法在政采云平台上随机抽取</w:t>
      </w:r>
      <w:r>
        <w:rPr>
          <w:rFonts w:hint="eastAsia" w:ascii="微软雅黑" w:hAnsi="微软雅黑" w:eastAsia="微软雅黑" w:cs="微软雅黑"/>
          <w:b/>
          <w:bCs/>
          <w:color w:val="auto"/>
          <w:sz w:val="24"/>
          <w:szCs w:val="24"/>
          <w:highlight w:val="none"/>
          <w:lang w:val="en-US" w:eastAsia="zh-CN"/>
        </w:rPr>
        <w:t>3名专家，共3名专家组成磋商小组</w:t>
      </w:r>
      <w:r>
        <w:rPr>
          <w:rFonts w:hint="eastAsia" w:ascii="微软雅黑" w:hAnsi="微软雅黑" w:eastAsia="微软雅黑" w:cs="微软雅黑"/>
          <w:color w:val="auto"/>
          <w:sz w:val="24"/>
          <w:szCs w:val="24"/>
          <w:highlight w:val="none"/>
          <w:lang w:val="en-US" w:eastAsia="zh-CN"/>
        </w:rPr>
        <w:t>负责评标工作。</w:t>
      </w:r>
    </w:p>
    <w:p w14:paraId="4D5AFD37">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r>
        <w:rPr>
          <w:rFonts w:hint="eastAsia" w:ascii="微软雅黑" w:hAnsi="微软雅黑" w:eastAsia="微软雅黑" w:cs="微软雅黑"/>
          <w:color w:val="auto"/>
          <w:sz w:val="24"/>
          <w:szCs w:val="24"/>
          <w:highlight w:val="none"/>
          <w:u w:val="none"/>
        </w:rPr>
        <w:t>20.</w:t>
      </w:r>
      <w:bookmarkEnd w:id="288"/>
      <w:r>
        <w:rPr>
          <w:rFonts w:hint="eastAsia" w:ascii="微软雅黑" w:hAnsi="微软雅黑" w:eastAsia="微软雅黑" w:cs="微软雅黑"/>
          <w:color w:val="auto"/>
          <w:sz w:val="24"/>
          <w:szCs w:val="24"/>
          <w:highlight w:val="none"/>
          <w:u w:val="none"/>
          <w:lang w:eastAsia="zh-CN"/>
        </w:rPr>
        <w:t>响应文件</w:t>
      </w:r>
      <w:r>
        <w:rPr>
          <w:rFonts w:hint="eastAsia" w:ascii="微软雅黑" w:hAnsi="微软雅黑" w:eastAsia="微软雅黑" w:cs="微软雅黑"/>
          <w:color w:val="auto"/>
          <w:sz w:val="24"/>
          <w:szCs w:val="24"/>
          <w:highlight w:val="none"/>
          <w:u w:val="none"/>
        </w:rPr>
        <w:t>符合性审查与澄清</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1E1A7EDD">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20.1   符合性审查是指依据磋商文件的规定，从响应文件的有效性和完整性对磋商文件的响应程度进行审查，以确定是否对磋商文件的实质性要求做出响应。</w:t>
      </w:r>
      <w:bookmarkStart w:id="302" w:name="_Hlt522424701"/>
      <w:bookmarkEnd w:id="302"/>
      <w:bookmarkStart w:id="303" w:name="_Toc520356167"/>
    </w:p>
    <w:p w14:paraId="395F002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20.2</w:t>
      </w:r>
      <w:r>
        <w:rPr>
          <w:rFonts w:hint="eastAsia" w:ascii="微软雅黑" w:hAnsi="微软雅黑" w:eastAsia="微软雅黑" w:cs="微软雅黑"/>
          <w:color w:val="auto"/>
          <w:sz w:val="24"/>
          <w:szCs w:val="24"/>
          <w:highlight w:val="none"/>
          <w:lang w:val="en-US" w:eastAsia="zh-CN"/>
        </w:rPr>
        <w:tab/>
      </w:r>
      <w:r>
        <w:rPr>
          <w:rFonts w:hint="eastAsia" w:ascii="微软雅黑" w:hAnsi="微软雅黑" w:eastAsia="微软雅黑" w:cs="微软雅黑"/>
          <w:color w:val="auto"/>
          <w:sz w:val="24"/>
          <w:szCs w:val="24"/>
          <w:highlight w:val="none"/>
          <w:lang w:val="en-US" w:eastAsia="zh-CN"/>
        </w:rPr>
        <w:t>响应文件的澄清</w:t>
      </w:r>
    </w:p>
    <w:p w14:paraId="1C85A47C">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20.2.1  在评标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63AFA35D">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20.2.2  供应商的的澄清、说明或补正将作为响应文件的一部分。</w:t>
      </w:r>
    </w:p>
    <w:p w14:paraId="67BC2A1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20.3  响应文件报价出现前后不一致的，按照下列规定修正：</w:t>
      </w:r>
    </w:p>
    <w:p w14:paraId="716FE71E">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（一）响应文件中磋商一览表（报价表）内容与响应文件中相应内容不一致的，以磋商一览表（报价表）为准；</w:t>
      </w:r>
    </w:p>
    <w:p w14:paraId="787CA3B2">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（二）大写金额和小写金额不一致的，以大写金额为准；</w:t>
      </w:r>
    </w:p>
    <w:p w14:paraId="16D1CCB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（三）单价金额小数点或者百分比有明显错位的，以磋商一览表的总价为准，并修改单价；</w:t>
      </w:r>
    </w:p>
    <w:p w14:paraId="401D73E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（四）总价金额与按单价汇总金额不一致的，以单价金额计算结果为准。</w:t>
      </w:r>
    </w:p>
    <w:p w14:paraId="1F48947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同时出现两种以上不一致的，按照前款规定的顺序修正。修正后的报价按照第20.2条的规定经供应商确认后产生约束力，供应商不确认的，其磋商将被认定</w:t>
      </w:r>
      <w:r>
        <w:rPr>
          <w:rFonts w:hint="eastAsia" w:ascii="微软雅黑" w:hAnsi="微软雅黑" w:eastAsia="微软雅黑" w:cs="微软雅黑"/>
          <w:b/>
          <w:bCs/>
          <w:color w:val="auto"/>
          <w:sz w:val="24"/>
          <w:szCs w:val="24"/>
          <w:highlight w:val="none"/>
          <w:lang w:val="en-US" w:eastAsia="zh-CN"/>
        </w:rPr>
        <w:t>为磋商无效</w:t>
      </w:r>
      <w:r>
        <w:rPr>
          <w:rFonts w:hint="eastAsia" w:ascii="微软雅黑" w:hAnsi="微软雅黑" w:eastAsia="微软雅黑" w:cs="微软雅黑"/>
          <w:color w:val="auto"/>
          <w:sz w:val="24"/>
          <w:szCs w:val="24"/>
          <w:highlight w:val="none"/>
          <w:lang w:val="en-US" w:eastAsia="zh-CN"/>
        </w:rPr>
        <w:t>。</w:t>
      </w:r>
    </w:p>
    <w:p w14:paraId="15481652">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对不同文字文本响应文件的解释发生异议的，以中文文本为准。</w:t>
      </w:r>
    </w:p>
    <w:p w14:paraId="1E058BB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20.4    供应商所投产品如被列入财政部与国家主管部门颁发的节能产品目录或环境标志产品目录或无线局域网产品目录，应提供相关证明，在评标时予以优先采购，具体优先采购办法见第六章评标方法和标准。</w:t>
      </w:r>
    </w:p>
    <w:p w14:paraId="41E19556">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        如采购人所采购产品为政府强制采购的节能产品，供应商所投产品的品牌及型号必须为清单中有效期内产品并提供证明文件，否则其磋商将被认定为</w:t>
      </w:r>
      <w:r>
        <w:rPr>
          <w:rFonts w:hint="eastAsia" w:ascii="微软雅黑" w:hAnsi="微软雅黑" w:eastAsia="微软雅黑" w:cs="微软雅黑"/>
          <w:b/>
          <w:bCs/>
          <w:color w:val="auto"/>
          <w:sz w:val="24"/>
          <w:szCs w:val="24"/>
          <w:highlight w:val="none"/>
          <w:lang w:val="en-US" w:eastAsia="zh-CN"/>
        </w:rPr>
        <w:t>磋商无效</w:t>
      </w:r>
      <w:r>
        <w:rPr>
          <w:rFonts w:hint="eastAsia" w:ascii="微软雅黑" w:hAnsi="微软雅黑" w:eastAsia="微软雅黑" w:cs="微软雅黑"/>
          <w:color w:val="auto"/>
          <w:sz w:val="24"/>
          <w:szCs w:val="24"/>
          <w:highlight w:val="none"/>
          <w:lang w:val="en-US" w:eastAsia="zh-CN"/>
        </w:rPr>
        <w:t>。</w:t>
      </w:r>
    </w:p>
    <w:p w14:paraId="37C90CB4">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304" w:name="_Toc7973"/>
      <w:bookmarkStart w:id="305" w:name="_Toc17990"/>
      <w:bookmarkStart w:id="306" w:name="_Toc6538"/>
      <w:bookmarkStart w:id="307" w:name="_Toc27238"/>
      <w:bookmarkStart w:id="308" w:name="_Toc9469"/>
      <w:bookmarkStart w:id="309" w:name="_Toc12161"/>
      <w:bookmarkStart w:id="310" w:name="_Toc515647782"/>
      <w:bookmarkStart w:id="311" w:name="_Toc16665"/>
      <w:bookmarkStart w:id="312" w:name="_Toc29292"/>
      <w:bookmarkStart w:id="313" w:name="_Toc11608"/>
      <w:bookmarkStart w:id="314" w:name="_Toc6364"/>
      <w:bookmarkStart w:id="315" w:name="_Toc24991"/>
      <w:r>
        <w:rPr>
          <w:rFonts w:hint="eastAsia" w:ascii="微软雅黑" w:hAnsi="微软雅黑" w:eastAsia="微软雅黑" w:cs="微软雅黑"/>
          <w:color w:val="auto"/>
          <w:sz w:val="24"/>
          <w:szCs w:val="24"/>
          <w:highlight w:val="none"/>
          <w:u w:val="none"/>
        </w:rPr>
        <w:t>21.</w:t>
      </w:r>
      <w:r>
        <w:rPr>
          <w:rFonts w:hint="eastAsia" w:ascii="微软雅黑" w:hAnsi="微软雅黑" w:eastAsia="微软雅黑" w:cs="微软雅黑"/>
          <w:color w:val="auto"/>
          <w:sz w:val="24"/>
          <w:szCs w:val="24"/>
          <w:highlight w:val="none"/>
          <w:u w:val="none"/>
          <w:lang w:val="en-US" w:eastAsia="zh-CN"/>
        </w:rPr>
        <w:t>磋商</w:t>
      </w:r>
      <w:r>
        <w:rPr>
          <w:rFonts w:hint="eastAsia" w:ascii="微软雅黑" w:hAnsi="微软雅黑" w:eastAsia="微软雅黑" w:cs="微软雅黑"/>
          <w:color w:val="auto"/>
          <w:sz w:val="24"/>
          <w:szCs w:val="24"/>
          <w:highlight w:val="none"/>
          <w:u w:val="none"/>
        </w:rPr>
        <w:t>偏离</w:t>
      </w:r>
      <w:bookmarkEnd w:id="304"/>
      <w:bookmarkEnd w:id="305"/>
      <w:bookmarkEnd w:id="306"/>
      <w:bookmarkEnd w:id="307"/>
      <w:bookmarkEnd w:id="308"/>
      <w:bookmarkEnd w:id="309"/>
      <w:bookmarkEnd w:id="310"/>
      <w:bookmarkEnd w:id="311"/>
      <w:bookmarkEnd w:id="312"/>
      <w:bookmarkEnd w:id="313"/>
      <w:bookmarkEnd w:id="314"/>
      <w:bookmarkEnd w:id="315"/>
    </w:p>
    <w:p w14:paraId="547624D4">
      <w:pPr>
        <w:pageBreakBefore w:val="0"/>
        <w:kinsoku/>
        <w:wordWrap/>
        <w:overflowPunct/>
        <w:topLinePunct w:val="0"/>
        <w:bidi w:val="0"/>
        <w:spacing w:line="360" w:lineRule="exact"/>
        <w:ind w:left="641" w:hanging="640" w:hangingChars="267"/>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磋商小组不</w:t>
      </w:r>
      <w:r>
        <w:rPr>
          <w:rFonts w:hint="eastAsia" w:ascii="微软雅黑" w:hAnsi="微软雅黑" w:eastAsia="微软雅黑" w:cs="微软雅黑"/>
          <w:color w:val="auto"/>
          <w:sz w:val="24"/>
          <w:szCs w:val="24"/>
          <w:highlight w:val="none"/>
        </w:rPr>
        <w:t>接受</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中不构成实质性偏离的不正规或不一致。</w:t>
      </w:r>
      <w:bookmarkStart w:id="316" w:name="_Toc515647783"/>
      <w:bookmarkStart w:id="317" w:name="_Toc6092"/>
      <w:bookmarkStart w:id="318" w:name="_Toc4950"/>
    </w:p>
    <w:p w14:paraId="18585621">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lang w:eastAsia="zh-CN"/>
        </w:rPr>
      </w:pPr>
      <w:bookmarkStart w:id="319" w:name="_Toc22179"/>
      <w:bookmarkStart w:id="320" w:name="_Toc23335"/>
      <w:bookmarkStart w:id="321" w:name="_Toc19605"/>
      <w:bookmarkStart w:id="322" w:name="_Toc26299"/>
      <w:bookmarkStart w:id="323" w:name="_Toc28742"/>
      <w:bookmarkStart w:id="324" w:name="_Toc2301"/>
      <w:bookmarkStart w:id="325" w:name="_Toc8973"/>
      <w:bookmarkStart w:id="326" w:name="_Toc1222"/>
      <w:bookmarkStart w:id="327" w:name="_Toc28630"/>
      <w:bookmarkStart w:id="328" w:name="_Toc8254"/>
      <w:r>
        <w:rPr>
          <w:rFonts w:hint="eastAsia" w:ascii="微软雅黑" w:hAnsi="微软雅黑" w:eastAsia="微软雅黑" w:cs="微软雅黑"/>
          <w:color w:val="auto"/>
          <w:sz w:val="24"/>
          <w:szCs w:val="24"/>
          <w:highlight w:val="none"/>
          <w:u w:val="none"/>
        </w:rPr>
        <w:t>22.</w:t>
      </w:r>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ascii="微软雅黑" w:hAnsi="微软雅黑" w:eastAsia="微软雅黑" w:cs="微软雅黑"/>
          <w:color w:val="auto"/>
          <w:sz w:val="24"/>
          <w:szCs w:val="24"/>
          <w:highlight w:val="none"/>
          <w:u w:val="none"/>
          <w:lang w:eastAsia="zh-CN"/>
        </w:rPr>
        <w:t>磋商无效</w:t>
      </w:r>
    </w:p>
    <w:p w14:paraId="1B84AEC9">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22.1  磋商小组决定磋商的响应性只根据磋商文件要求、响应文件内容及财政主管部门指定相关信息发布媒体。</w:t>
      </w:r>
    </w:p>
    <w:p w14:paraId="7C838116">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b/>
          <w:bCs/>
          <w:color w:val="auto"/>
          <w:sz w:val="24"/>
          <w:szCs w:val="24"/>
          <w:highlight w:val="none"/>
        </w:rPr>
        <w:t>如发现下列情况之一的，其</w:t>
      </w:r>
      <w:r>
        <w:rPr>
          <w:rFonts w:hint="eastAsia" w:ascii="微软雅黑" w:hAnsi="微软雅黑" w:eastAsia="微软雅黑" w:cs="微软雅黑"/>
          <w:b/>
          <w:bCs/>
          <w:color w:val="auto"/>
          <w:sz w:val="24"/>
          <w:szCs w:val="24"/>
          <w:highlight w:val="none"/>
          <w:lang w:eastAsia="zh-CN"/>
        </w:rPr>
        <w:t>磋商将被</w:t>
      </w:r>
      <w:r>
        <w:rPr>
          <w:rFonts w:hint="eastAsia" w:ascii="微软雅黑" w:hAnsi="微软雅黑" w:eastAsia="微软雅黑" w:cs="微软雅黑"/>
          <w:b/>
          <w:bCs/>
          <w:color w:val="auto"/>
          <w:sz w:val="24"/>
          <w:szCs w:val="24"/>
          <w:highlight w:val="none"/>
        </w:rPr>
        <w:t>认定为</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color w:val="auto"/>
          <w:sz w:val="24"/>
          <w:szCs w:val="24"/>
          <w:highlight w:val="none"/>
        </w:rPr>
        <w:t>：</w:t>
      </w:r>
    </w:p>
    <w:p w14:paraId="09964FF4">
      <w:pPr>
        <w:pageBreakBefore w:val="0"/>
        <w:numPr>
          <w:ilvl w:val="0"/>
          <w:numId w:val="0"/>
        </w:numPr>
        <w:kinsoku/>
        <w:wordWrap/>
        <w:overflowPunct/>
        <w:topLinePunct w:val="0"/>
        <w:bidi w:val="0"/>
        <w:spacing w:line="360" w:lineRule="exact"/>
        <w:ind w:left="0" w:leftChars="0" w:hanging="180" w:firstLineChars="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2"/>
          <w:sz w:val="24"/>
          <w:szCs w:val="24"/>
          <w:highlight w:val="none"/>
          <w:lang w:val="en-US" w:eastAsia="zh-CN" w:bidi="ar-SA"/>
        </w:rPr>
        <w:t>（1）</w:t>
      </w:r>
      <w:r>
        <w:rPr>
          <w:rFonts w:hint="eastAsia" w:ascii="微软雅黑" w:hAnsi="微软雅黑" w:eastAsia="微软雅黑" w:cs="微软雅黑"/>
          <w:b/>
          <w:bCs/>
          <w:color w:val="auto"/>
          <w:sz w:val="24"/>
          <w:szCs w:val="24"/>
          <w:highlight w:val="none"/>
        </w:rPr>
        <w:t>未按</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规定的形式和金额提交</w:t>
      </w:r>
      <w:r>
        <w:rPr>
          <w:rFonts w:hint="eastAsia" w:ascii="微软雅黑" w:hAnsi="微软雅黑" w:eastAsia="微软雅黑" w:cs="微软雅黑"/>
          <w:b/>
          <w:bCs/>
          <w:color w:val="auto"/>
          <w:sz w:val="24"/>
          <w:szCs w:val="24"/>
          <w:highlight w:val="none"/>
          <w:lang w:eastAsia="zh-CN"/>
        </w:rPr>
        <w:t>磋商保证金</w:t>
      </w:r>
      <w:r>
        <w:rPr>
          <w:rFonts w:hint="eastAsia" w:ascii="微软雅黑" w:hAnsi="微软雅黑" w:eastAsia="微软雅黑" w:cs="微软雅黑"/>
          <w:b/>
          <w:bCs/>
          <w:color w:val="auto"/>
          <w:sz w:val="24"/>
          <w:szCs w:val="24"/>
          <w:highlight w:val="none"/>
        </w:rPr>
        <w:t>的；</w:t>
      </w:r>
    </w:p>
    <w:p w14:paraId="1809B00E">
      <w:pPr>
        <w:pageBreakBefore w:val="0"/>
        <w:numPr>
          <w:ilvl w:val="0"/>
          <w:numId w:val="0"/>
        </w:numPr>
        <w:kinsoku/>
        <w:wordWrap/>
        <w:overflowPunct/>
        <w:topLinePunct w:val="0"/>
        <w:bidi w:val="0"/>
        <w:spacing w:line="360" w:lineRule="exact"/>
        <w:ind w:left="0" w:leftChars="0" w:hanging="180" w:firstLineChars="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2"/>
          <w:sz w:val="24"/>
          <w:szCs w:val="24"/>
          <w:highlight w:val="none"/>
          <w:lang w:val="en-US" w:eastAsia="zh-CN" w:bidi="ar-SA"/>
        </w:rPr>
        <w:t>（2）</w:t>
      </w:r>
      <w:r>
        <w:rPr>
          <w:rFonts w:hint="eastAsia" w:ascii="微软雅黑" w:hAnsi="微软雅黑" w:eastAsia="微软雅黑" w:cs="微软雅黑"/>
          <w:b/>
          <w:bCs/>
          <w:color w:val="auto"/>
          <w:sz w:val="24"/>
          <w:szCs w:val="24"/>
          <w:highlight w:val="none"/>
        </w:rPr>
        <w:t>未按照</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规定要求签署、盖章的；</w:t>
      </w:r>
    </w:p>
    <w:p w14:paraId="7F7EEA92">
      <w:pPr>
        <w:pageBreakBefore w:val="0"/>
        <w:numPr>
          <w:ilvl w:val="0"/>
          <w:numId w:val="0"/>
        </w:numPr>
        <w:kinsoku/>
        <w:wordWrap/>
        <w:overflowPunct/>
        <w:topLinePunct w:val="0"/>
        <w:bidi w:val="0"/>
        <w:spacing w:line="360" w:lineRule="exact"/>
        <w:ind w:left="0" w:leftChars="0" w:hanging="180" w:firstLineChars="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2"/>
          <w:sz w:val="24"/>
          <w:szCs w:val="24"/>
          <w:highlight w:val="none"/>
          <w:lang w:val="en-US" w:eastAsia="zh-CN" w:bidi="ar-SA"/>
        </w:rPr>
        <w:t>（3）</w:t>
      </w:r>
      <w:r>
        <w:rPr>
          <w:rFonts w:hint="eastAsia" w:ascii="微软雅黑" w:hAnsi="微软雅黑" w:eastAsia="微软雅黑" w:cs="微软雅黑"/>
          <w:b/>
          <w:bCs/>
          <w:color w:val="auto"/>
          <w:sz w:val="24"/>
          <w:szCs w:val="24"/>
          <w:highlight w:val="none"/>
        </w:rPr>
        <w:t>与其他</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串通</w:t>
      </w:r>
      <w:r>
        <w:rPr>
          <w:rFonts w:hint="eastAsia" w:ascii="微软雅黑" w:hAnsi="微软雅黑" w:eastAsia="微软雅黑" w:cs="微软雅黑"/>
          <w:b/>
          <w:bCs/>
          <w:color w:val="auto"/>
          <w:sz w:val="24"/>
          <w:szCs w:val="24"/>
          <w:highlight w:val="none"/>
          <w:lang w:eastAsia="zh-CN"/>
        </w:rPr>
        <w:t>磋商</w:t>
      </w:r>
      <w:r>
        <w:rPr>
          <w:rFonts w:hint="eastAsia" w:ascii="微软雅黑" w:hAnsi="微软雅黑" w:eastAsia="微软雅黑" w:cs="微软雅黑"/>
          <w:b/>
          <w:bCs/>
          <w:color w:val="auto"/>
          <w:sz w:val="24"/>
          <w:szCs w:val="24"/>
          <w:highlight w:val="none"/>
        </w:rPr>
        <w:t>，或者与</w:t>
      </w:r>
      <w:r>
        <w:rPr>
          <w:rFonts w:hint="eastAsia" w:ascii="微软雅黑" w:hAnsi="微软雅黑" w:eastAsia="微软雅黑" w:cs="微软雅黑"/>
          <w:b/>
          <w:bCs/>
          <w:color w:val="auto"/>
          <w:sz w:val="24"/>
          <w:szCs w:val="24"/>
          <w:highlight w:val="none"/>
          <w:lang w:eastAsia="zh-CN"/>
        </w:rPr>
        <w:t>采购人</w:t>
      </w:r>
      <w:r>
        <w:rPr>
          <w:rFonts w:hint="eastAsia" w:ascii="微软雅黑" w:hAnsi="微软雅黑" w:eastAsia="微软雅黑" w:cs="微软雅黑"/>
          <w:b/>
          <w:bCs/>
          <w:color w:val="auto"/>
          <w:sz w:val="24"/>
          <w:szCs w:val="24"/>
          <w:highlight w:val="none"/>
        </w:rPr>
        <w:t>串通</w:t>
      </w:r>
      <w:r>
        <w:rPr>
          <w:rFonts w:hint="eastAsia" w:ascii="微软雅黑" w:hAnsi="微软雅黑" w:eastAsia="微软雅黑" w:cs="微软雅黑"/>
          <w:b/>
          <w:bCs/>
          <w:color w:val="auto"/>
          <w:sz w:val="24"/>
          <w:szCs w:val="24"/>
          <w:highlight w:val="none"/>
          <w:lang w:eastAsia="zh-CN"/>
        </w:rPr>
        <w:t>磋商</w:t>
      </w:r>
      <w:r>
        <w:rPr>
          <w:rFonts w:hint="eastAsia" w:ascii="微软雅黑" w:hAnsi="微软雅黑" w:eastAsia="微软雅黑" w:cs="微软雅黑"/>
          <w:b/>
          <w:bCs/>
          <w:color w:val="auto"/>
          <w:sz w:val="24"/>
          <w:szCs w:val="24"/>
          <w:highlight w:val="none"/>
        </w:rPr>
        <w:t>；</w:t>
      </w:r>
    </w:p>
    <w:p w14:paraId="27D27571">
      <w:pPr>
        <w:pageBreakBefore w:val="0"/>
        <w:numPr>
          <w:ilvl w:val="0"/>
          <w:numId w:val="0"/>
        </w:numPr>
        <w:kinsoku/>
        <w:wordWrap/>
        <w:overflowPunct/>
        <w:topLinePunct w:val="0"/>
        <w:bidi w:val="0"/>
        <w:spacing w:line="360" w:lineRule="exact"/>
        <w:ind w:left="0" w:leftChars="0" w:hanging="180" w:firstLineChars="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2"/>
          <w:sz w:val="24"/>
          <w:szCs w:val="24"/>
          <w:highlight w:val="none"/>
          <w:lang w:val="en-US" w:eastAsia="zh-CN" w:bidi="ar-SA"/>
        </w:rPr>
        <w:t>（4）</w:t>
      </w:r>
      <w:r>
        <w:rPr>
          <w:rFonts w:hint="eastAsia" w:ascii="微软雅黑" w:hAnsi="微软雅黑" w:eastAsia="微软雅黑" w:cs="微软雅黑"/>
          <w:b/>
          <w:bCs/>
          <w:color w:val="auto"/>
          <w:sz w:val="24"/>
          <w:szCs w:val="24"/>
          <w:highlight w:val="none"/>
        </w:rPr>
        <w:t>属于</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规定的其他</w:t>
      </w:r>
      <w:r>
        <w:rPr>
          <w:rFonts w:hint="eastAsia" w:ascii="微软雅黑" w:hAnsi="微软雅黑" w:eastAsia="微软雅黑" w:cs="微软雅黑"/>
          <w:b/>
          <w:bCs/>
          <w:color w:val="auto"/>
          <w:sz w:val="24"/>
          <w:szCs w:val="24"/>
          <w:highlight w:val="none"/>
          <w:lang w:eastAsia="zh-CN"/>
        </w:rPr>
        <w:t>磋商无效</w:t>
      </w:r>
      <w:r>
        <w:rPr>
          <w:rFonts w:hint="eastAsia" w:ascii="微软雅黑" w:hAnsi="微软雅黑" w:eastAsia="微软雅黑" w:cs="微软雅黑"/>
          <w:b/>
          <w:bCs/>
          <w:color w:val="auto"/>
          <w:sz w:val="24"/>
          <w:szCs w:val="24"/>
          <w:highlight w:val="none"/>
        </w:rPr>
        <w:t>情形；</w:t>
      </w:r>
    </w:p>
    <w:p w14:paraId="648D4ED8">
      <w:pPr>
        <w:pageBreakBefore w:val="0"/>
        <w:numPr>
          <w:ilvl w:val="0"/>
          <w:numId w:val="0"/>
        </w:numPr>
        <w:kinsoku/>
        <w:wordWrap/>
        <w:overflowPunct/>
        <w:topLinePunct w:val="0"/>
        <w:bidi w:val="0"/>
        <w:spacing w:line="360" w:lineRule="exact"/>
        <w:ind w:left="0" w:leftChars="0" w:hanging="180" w:firstLineChars="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2"/>
          <w:sz w:val="24"/>
          <w:szCs w:val="24"/>
          <w:highlight w:val="none"/>
          <w:lang w:val="en-US" w:eastAsia="zh-CN" w:bidi="ar-SA"/>
        </w:rPr>
        <w:t>（5）</w:t>
      </w:r>
      <w:r>
        <w:rPr>
          <w:rFonts w:hint="eastAsia" w:ascii="微软雅黑" w:hAnsi="微软雅黑" w:eastAsia="微软雅黑" w:cs="微软雅黑"/>
          <w:b/>
          <w:bCs/>
          <w:color w:val="auto"/>
          <w:sz w:val="24"/>
          <w:szCs w:val="24"/>
          <w:highlight w:val="none"/>
          <w:lang w:eastAsia="zh-CN"/>
        </w:rPr>
        <w:t>磋商小组</w:t>
      </w:r>
      <w:r>
        <w:rPr>
          <w:rFonts w:hint="eastAsia" w:ascii="微软雅黑" w:hAnsi="微软雅黑" w:eastAsia="微软雅黑" w:cs="微软雅黑"/>
          <w:b/>
          <w:bCs/>
          <w:color w:val="auto"/>
          <w:sz w:val="24"/>
          <w:szCs w:val="24"/>
          <w:highlight w:val="none"/>
        </w:rPr>
        <w:t>认为</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的报价明显低于其他通过符合性检查</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的报价，有可能影响履约的，且</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未按照规定证明其报价合理性的；</w:t>
      </w:r>
    </w:p>
    <w:p w14:paraId="57685F77">
      <w:pPr>
        <w:pageBreakBefore w:val="0"/>
        <w:numPr>
          <w:ilvl w:val="0"/>
          <w:numId w:val="0"/>
        </w:numPr>
        <w:kinsoku/>
        <w:wordWrap/>
        <w:overflowPunct/>
        <w:topLinePunct w:val="0"/>
        <w:bidi w:val="0"/>
        <w:spacing w:line="360" w:lineRule="exact"/>
        <w:ind w:left="0" w:leftChars="0" w:hanging="180" w:firstLineChars="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2"/>
          <w:sz w:val="24"/>
          <w:szCs w:val="24"/>
          <w:highlight w:val="none"/>
          <w:lang w:val="en-US" w:eastAsia="zh-CN" w:bidi="ar-SA"/>
        </w:rPr>
        <w:t>（6）</w:t>
      </w:r>
      <w:r>
        <w:rPr>
          <w:rFonts w:hint="eastAsia" w:ascii="微软雅黑" w:hAnsi="微软雅黑" w:eastAsia="微软雅黑" w:cs="微软雅黑"/>
          <w:b/>
          <w:bCs/>
          <w:color w:val="auto"/>
          <w:sz w:val="24"/>
          <w:szCs w:val="24"/>
          <w:highlight w:val="none"/>
          <w:lang w:eastAsia="zh-CN"/>
        </w:rPr>
        <w:t>响应文件</w:t>
      </w:r>
      <w:r>
        <w:rPr>
          <w:rFonts w:hint="eastAsia" w:ascii="微软雅黑" w:hAnsi="微软雅黑" w:eastAsia="微软雅黑" w:cs="微软雅黑"/>
          <w:b/>
          <w:bCs/>
          <w:color w:val="auto"/>
          <w:sz w:val="24"/>
          <w:szCs w:val="24"/>
          <w:highlight w:val="none"/>
        </w:rPr>
        <w:t>含有采购人不能接受的附加条件的；</w:t>
      </w:r>
    </w:p>
    <w:p w14:paraId="6320C421">
      <w:pPr>
        <w:pageBreakBefore w:val="0"/>
        <w:numPr>
          <w:ilvl w:val="0"/>
          <w:numId w:val="0"/>
        </w:numPr>
        <w:tabs>
          <w:tab w:val="left" w:pos="0"/>
        </w:tabs>
        <w:kinsoku/>
        <w:wordWrap/>
        <w:overflowPunct/>
        <w:topLinePunct w:val="0"/>
        <w:bidi w:val="0"/>
        <w:spacing w:line="360" w:lineRule="exact"/>
        <w:ind w:left="0" w:leftChars="0" w:hanging="180" w:firstLineChars="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kern w:val="2"/>
          <w:sz w:val="24"/>
          <w:szCs w:val="24"/>
          <w:highlight w:val="none"/>
          <w:lang w:val="en-US" w:eastAsia="zh-CN" w:bidi="ar-SA"/>
        </w:rPr>
        <w:t>（7）</w:t>
      </w:r>
      <w:r>
        <w:rPr>
          <w:rFonts w:hint="eastAsia" w:ascii="微软雅黑" w:hAnsi="微软雅黑" w:eastAsia="微软雅黑" w:cs="微软雅黑"/>
          <w:b/>
          <w:bCs/>
          <w:color w:val="auto"/>
          <w:sz w:val="24"/>
          <w:szCs w:val="24"/>
          <w:highlight w:val="none"/>
        </w:rPr>
        <w:t>不符合法规和</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中规定的其他实质性要求的。</w:t>
      </w:r>
    </w:p>
    <w:p w14:paraId="7E5E347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22.3   有下列情形之一的，属于恶意串通，对供应商依照政府采购法第七十七条第一款的规定追究法律责任，对采购人、采购代理机构及其工作人员依照政府采购法第七十二条的规定追究法律责任：</w:t>
      </w:r>
    </w:p>
    <w:p w14:paraId="20AD5D0B">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（1）供应商直接或者间接从采购人或者采购代理机构处获得其他供应商的相关情况并修改其</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或者响应文件；</w:t>
      </w:r>
    </w:p>
    <w:p w14:paraId="2DDC24F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（2）供应商按照采购人或者采购代理机构的授意撤换、修改</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或者响应文件；</w:t>
      </w:r>
    </w:p>
    <w:p w14:paraId="76206312">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（3）供应商之间协商报价、技术方案等</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或者响应文件的实质性内容；</w:t>
      </w:r>
    </w:p>
    <w:p w14:paraId="0DE8775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（4）属于同一集团、协会、商会等组织成员的供应商按照该组织要求协同参加政府采购活动；</w:t>
      </w:r>
    </w:p>
    <w:p w14:paraId="3D85933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（5）供应商之间事先约定由某一特定供应商中标、成交；</w:t>
      </w:r>
    </w:p>
    <w:p w14:paraId="611636C9">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（6）供应商之间商定部分供应商放弃参加政府采购活动或者放弃中标、成交；</w:t>
      </w:r>
    </w:p>
    <w:p w14:paraId="5B206F9B">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（7）供应商与采购人或者采购代理机构之间、供应商相互之间，为谋求特定供应商中标、成交或者排斥其他供应商的其他串通行为。</w:t>
      </w:r>
    </w:p>
    <w:p w14:paraId="53002580">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329" w:name="_Toc20639"/>
      <w:bookmarkStart w:id="330" w:name="_Toc22941"/>
      <w:bookmarkStart w:id="331" w:name="_Toc17090"/>
      <w:bookmarkStart w:id="332" w:name="_Toc515647784"/>
      <w:bookmarkStart w:id="333" w:name="_Toc4328"/>
      <w:bookmarkStart w:id="334" w:name="_Toc13652"/>
      <w:bookmarkStart w:id="335" w:name="_Toc7036"/>
      <w:bookmarkStart w:id="336" w:name="_Toc30751"/>
      <w:bookmarkStart w:id="337" w:name="_Toc20498"/>
      <w:r>
        <w:rPr>
          <w:rFonts w:hint="eastAsia" w:ascii="微软雅黑" w:hAnsi="微软雅黑" w:eastAsia="微软雅黑" w:cs="微软雅黑"/>
          <w:color w:val="auto"/>
          <w:sz w:val="24"/>
          <w:szCs w:val="24"/>
          <w:highlight w:val="none"/>
          <w:u w:val="none"/>
        </w:rPr>
        <w:t>23.</w:t>
      </w:r>
      <w:bookmarkEnd w:id="303"/>
      <w:r>
        <w:rPr>
          <w:rFonts w:hint="eastAsia" w:ascii="微软雅黑" w:hAnsi="微软雅黑" w:eastAsia="微软雅黑" w:cs="微软雅黑"/>
          <w:color w:val="auto"/>
          <w:sz w:val="24"/>
          <w:szCs w:val="24"/>
          <w:highlight w:val="none"/>
          <w:u w:val="none"/>
        </w:rPr>
        <w:t>比较与评价</w:t>
      </w:r>
      <w:bookmarkEnd w:id="329"/>
      <w:bookmarkEnd w:id="330"/>
      <w:bookmarkEnd w:id="331"/>
      <w:bookmarkEnd w:id="332"/>
      <w:bookmarkEnd w:id="333"/>
      <w:bookmarkEnd w:id="334"/>
      <w:bookmarkEnd w:id="335"/>
      <w:bookmarkEnd w:id="336"/>
      <w:bookmarkEnd w:id="337"/>
    </w:p>
    <w:p w14:paraId="655B94C1">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经符合性审查合格的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磋商小组</w:t>
      </w:r>
      <w:r>
        <w:rPr>
          <w:rFonts w:hint="eastAsia" w:ascii="微软雅黑" w:hAnsi="微软雅黑" w:eastAsia="微软雅黑" w:cs="微软雅黑"/>
          <w:color w:val="auto"/>
          <w:sz w:val="24"/>
          <w:szCs w:val="24"/>
          <w:highlight w:val="none"/>
        </w:rPr>
        <w:t>将根据</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确定的评标方法和标准，对其技术部分和商务部分作进一步的比较和评价。</w:t>
      </w:r>
      <w:r>
        <w:rPr>
          <w:rFonts w:hint="eastAsia" w:ascii="微软雅黑" w:hAnsi="微软雅黑" w:eastAsia="微软雅黑" w:cs="微软雅黑"/>
          <w:b/>
          <w:bCs/>
          <w:color w:val="auto"/>
          <w:sz w:val="24"/>
          <w:szCs w:val="24"/>
          <w:highlight w:val="non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各成员应当独立对每个有效响应的文件进行评价打分，汇总每个供应商每项评分因素的得分。磋商小组应当从质量和</w:t>
      </w:r>
      <w:r>
        <w:rPr>
          <w:rFonts w:hint="eastAsia" w:ascii="微软雅黑" w:hAnsi="微软雅黑" w:eastAsia="微软雅黑" w:cs="微软雅黑"/>
          <w:b/>
          <w:bCs/>
          <w:color w:val="auto"/>
          <w:sz w:val="24"/>
          <w:szCs w:val="24"/>
          <w:highlight w:val="none"/>
          <w:lang w:val="en-US" w:eastAsia="zh-CN"/>
        </w:rPr>
        <w:t>服务</w:t>
      </w:r>
      <w:r>
        <w:rPr>
          <w:rFonts w:hint="eastAsia" w:ascii="微软雅黑" w:hAnsi="微软雅黑" w:eastAsia="微软雅黑" w:cs="微软雅黑"/>
          <w:b/>
          <w:bCs/>
          <w:color w:val="auto"/>
          <w:sz w:val="24"/>
          <w:szCs w:val="24"/>
          <w:highlight w:val="none"/>
        </w:rPr>
        <w:t>均能满足采购文件实质性响应要求的供应商中，按照综合评分由高到低的顺序提出成交候选人，并编写评审报告，将</w:t>
      </w:r>
      <w:r>
        <w:rPr>
          <w:rFonts w:hint="eastAsia" w:ascii="微软雅黑" w:hAnsi="微软雅黑" w:eastAsia="微软雅黑" w:cs="微软雅黑"/>
          <w:b/>
          <w:bCs/>
          <w:color w:val="auto"/>
          <w:sz w:val="24"/>
          <w:szCs w:val="24"/>
          <w:highlight w:val="none"/>
          <w:lang w:val="en-US" w:eastAsia="zh-CN"/>
        </w:rPr>
        <w:t>评审</w:t>
      </w:r>
      <w:r>
        <w:rPr>
          <w:rFonts w:hint="eastAsia" w:ascii="微软雅黑" w:hAnsi="微软雅黑" w:eastAsia="微软雅黑" w:cs="微软雅黑"/>
          <w:b/>
          <w:bCs/>
          <w:color w:val="auto"/>
          <w:sz w:val="24"/>
          <w:szCs w:val="24"/>
          <w:highlight w:val="none"/>
        </w:rPr>
        <w:t>结果通知所有参加磋商的未成交的供应商</w:t>
      </w:r>
      <w:r>
        <w:rPr>
          <w:rFonts w:hint="eastAsia" w:ascii="微软雅黑" w:hAnsi="微软雅黑" w:eastAsia="微软雅黑" w:cs="微软雅黑"/>
          <w:b/>
          <w:bCs/>
          <w:color w:val="auto"/>
          <w:sz w:val="24"/>
          <w:szCs w:val="24"/>
          <w:highlight w:val="none"/>
          <w:lang w:val="en-US" w:eastAsia="zh-CN"/>
        </w:rPr>
        <w:t>.</w:t>
      </w:r>
    </w:p>
    <w:p w14:paraId="71E2A14D">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23.2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评标严格按照</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的要求和条件进行。根据实际情况，在</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中规定采用下列一种评标方法，详细评标标准见</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第六章：</w:t>
      </w:r>
    </w:p>
    <w:p w14:paraId="6975CB60">
      <w:pPr>
        <w:pStyle w:val="15"/>
        <w:pageBreakBefore w:val="0"/>
        <w:kinsoku/>
        <w:wordWrap/>
        <w:overflowPunct/>
        <w:topLinePunct w:val="0"/>
        <w:bidi w:val="0"/>
        <w:spacing w:line="360" w:lineRule="exact"/>
        <w:ind w:left="239" w:leftChars="114" w:firstLine="31" w:firstLineChars="13"/>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满足</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全部实质性要求，且</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color w:val="auto"/>
          <w:sz w:val="24"/>
          <w:szCs w:val="24"/>
          <w:highlight w:val="none"/>
          <w:lang w:eastAsia="zh-CN"/>
        </w:rPr>
        <w:t>成交候选人</w:t>
      </w:r>
      <w:r>
        <w:rPr>
          <w:rFonts w:hint="eastAsia" w:ascii="微软雅黑" w:hAnsi="微软雅黑" w:eastAsia="微软雅黑" w:cs="微软雅黑"/>
          <w:color w:val="auto"/>
          <w:sz w:val="24"/>
          <w:szCs w:val="24"/>
          <w:highlight w:val="none"/>
        </w:rPr>
        <w:t>的评标方法。</w:t>
      </w:r>
    </w:p>
    <w:p w14:paraId="5E7E1575">
      <w:pPr>
        <w:pStyle w:val="15"/>
        <w:pageBreakBefore w:val="0"/>
        <w:kinsoku/>
        <w:wordWrap/>
        <w:overflowPunct/>
        <w:topLinePunct w:val="0"/>
        <w:bidi w:val="0"/>
        <w:spacing w:line="360" w:lineRule="exact"/>
        <w:ind w:left="239" w:leftChars="114" w:firstLine="33" w:firstLineChars="1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满足</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color w:val="auto"/>
          <w:sz w:val="24"/>
          <w:szCs w:val="24"/>
          <w:highlight w:val="none"/>
          <w:lang w:eastAsia="zh-CN"/>
        </w:rPr>
        <w:t>成交候选人</w:t>
      </w:r>
      <w:r>
        <w:rPr>
          <w:rFonts w:hint="eastAsia" w:ascii="微软雅黑" w:hAnsi="微软雅黑" w:eastAsia="微软雅黑" w:cs="微软雅黑"/>
          <w:color w:val="auto"/>
          <w:sz w:val="24"/>
          <w:szCs w:val="24"/>
          <w:highlight w:val="none"/>
        </w:rPr>
        <w:t>的评标方法。</w:t>
      </w:r>
    </w:p>
    <w:p w14:paraId="525E1ED4">
      <w:pPr>
        <w:pStyle w:val="15"/>
        <w:pageBreakBefore w:val="0"/>
        <w:kinsoku/>
        <w:wordWrap/>
        <w:overflowPunct/>
        <w:topLinePunct w:val="0"/>
        <w:bidi w:val="0"/>
        <w:spacing w:line="360" w:lineRule="exact"/>
        <w:ind w:left="900" w:hanging="900" w:hangingChars="375"/>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23.3  </w:t>
      </w:r>
      <w:r>
        <w:rPr>
          <w:rFonts w:hint="eastAsia" w:ascii="微软雅黑" w:hAnsi="微软雅黑" w:eastAsia="微软雅黑" w:cs="微软雅黑"/>
          <w:b/>
          <w:bCs/>
          <w:color w:val="auto"/>
          <w:sz w:val="24"/>
          <w:szCs w:val="24"/>
          <w:highlight w:val="none"/>
          <w:lang w:eastAsia="zh-CN"/>
        </w:rPr>
        <w:t>本项目专门面向中小企业采购</w:t>
      </w:r>
      <w:r>
        <w:rPr>
          <w:rFonts w:hint="eastAsia" w:ascii="微软雅黑" w:hAnsi="微软雅黑" w:eastAsia="微软雅黑" w:cs="微软雅黑"/>
          <w:b/>
          <w:bCs/>
          <w:color w:val="auto"/>
          <w:sz w:val="24"/>
          <w:szCs w:val="24"/>
          <w:highlight w:val="none"/>
          <w:lang w:val="en-US" w:eastAsia="zh-CN"/>
        </w:rPr>
        <w:t>。根据《财政部关于进一步加大政府采购支持中小企业力度的通知》财库〔2022〕19号、《政府采购促进中小企业发展管理办法》（财库[2020]46号）、《财政部司法部关于政府采购支持监狱企业发展有关问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磋商文件中提交了《中小企业声明函》、《残疾人福利性单位声明函》或省级以上监狱管理局、戒毒管理局（含新疆生产建设兵团）出具的属于监狱企业的证明文件的供应商，其报价不进行扣除。对于同时属于小型、微型及小微企业、监狱企业或残疾人福利性单位的，不重复进行报价扣除。</w:t>
      </w:r>
    </w:p>
    <w:p w14:paraId="5482F373">
      <w:pPr>
        <w:pStyle w:val="15"/>
        <w:pageBreakBefore w:val="0"/>
        <w:kinsoku/>
        <w:wordWrap/>
        <w:overflowPunct/>
        <w:topLinePunct w:val="0"/>
        <w:bidi w:val="0"/>
        <w:spacing w:line="360" w:lineRule="exact"/>
        <w:ind w:left="900" w:hanging="900" w:hangingChars="375"/>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注：本项目专门面向中小企业采购，根据要求单独上传《中小企业声明函（服务）》。</w:t>
      </w:r>
    </w:p>
    <w:p w14:paraId="3FF247D2">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338" w:name="_Toc520356168"/>
      <w:bookmarkStart w:id="339" w:name="_Toc20227"/>
      <w:bookmarkStart w:id="340" w:name="_Toc31084"/>
      <w:bookmarkStart w:id="341" w:name="_Toc2878"/>
      <w:bookmarkStart w:id="342" w:name="_Toc20226"/>
      <w:bookmarkStart w:id="343" w:name="_Toc515647785"/>
      <w:bookmarkStart w:id="344" w:name="_Toc9378"/>
      <w:bookmarkStart w:id="345" w:name="_Toc7770"/>
      <w:bookmarkStart w:id="346" w:name="_Toc27067"/>
      <w:bookmarkStart w:id="347" w:name="_Toc14408"/>
      <w:bookmarkStart w:id="348" w:name="_Toc15779"/>
      <w:bookmarkStart w:id="349" w:name="_Toc7858"/>
      <w:bookmarkStart w:id="350" w:name="_Toc19218"/>
      <w:bookmarkStart w:id="351" w:name="_Toc23302"/>
      <w:r>
        <w:rPr>
          <w:rFonts w:hint="eastAsia" w:ascii="微软雅黑" w:hAnsi="微软雅黑" w:eastAsia="微软雅黑" w:cs="微软雅黑"/>
          <w:color w:val="auto"/>
          <w:sz w:val="24"/>
          <w:szCs w:val="24"/>
          <w:highlight w:val="none"/>
          <w:u w:val="none"/>
        </w:rPr>
        <w:t>24</w:t>
      </w:r>
      <w:bookmarkEnd w:id="338"/>
      <w:r>
        <w:rPr>
          <w:rFonts w:hint="eastAsia" w:ascii="微软雅黑" w:hAnsi="微软雅黑" w:eastAsia="微软雅黑" w:cs="微软雅黑"/>
          <w:color w:val="auto"/>
          <w:sz w:val="24"/>
          <w:szCs w:val="24"/>
          <w:highlight w:val="none"/>
          <w:u w:val="none"/>
        </w:rPr>
        <w:t>.废标</w:t>
      </w:r>
      <w:bookmarkEnd w:id="339"/>
      <w:bookmarkEnd w:id="340"/>
      <w:bookmarkEnd w:id="341"/>
      <w:bookmarkEnd w:id="342"/>
      <w:bookmarkEnd w:id="343"/>
      <w:bookmarkEnd w:id="344"/>
      <w:bookmarkEnd w:id="345"/>
      <w:bookmarkEnd w:id="346"/>
      <w:bookmarkEnd w:id="347"/>
      <w:bookmarkEnd w:id="348"/>
      <w:bookmarkEnd w:id="349"/>
      <w:bookmarkEnd w:id="350"/>
      <w:bookmarkEnd w:id="351"/>
    </w:p>
    <w:p w14:paraId="38C99AA2">
      <w:pPr>
        <w:pageBreakBefore w:val="0"/>
        <w:kinsoku/>
        <w:wordWrap/>
        <w:overflowPunct/>
        <w:topLinePunct w:val="0"/>
        <w:bidi w:val="0"/>
        <w:spacing w:line="360" w:lineRule="exact"/>
        <w:ind w:left="60" w:hanging="60" w:hangingChars="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24.1出现下列情形之一，将导致项目废标：</w:t>
      </w:r>
      <w:r>
        <w:rPr>
          <w:rFonts w:hint="eastAsia" w:ascii="微软雅黑" w:hAnsi="微软雅黑" w:eastAsia="微软雅黑" w:cs="微软雅黑"/>
          <w:color w:val="auto"/>
          <w:sz w:val="24"/>
          <w:szCs w:val="24"/>
          <w:highlight w:val="none"/>
        </w:rPr>
        <w:t xml:space="preserve"> </w:t>
      </w:r>
    </w:p>
    <w:p w14:paraId="6379443B">
      <w:pPr>
        <w:pageBreakBefore w:val="0"/>
        <w:kinsoku/>
        <w:wordWrap/>
        <w:overflowPunct/>
        <w:topLinePunct w:val="0"/>
        <w:bidi w:val="0"/>
        <w:spacing w:line="360" w:lineRule="exact"/>
        <w:ind w:left="900" w:hanging="900" w:hangingChars="37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b/>
          <w:bCs/>
          <w:color w:val="auto"/>
          <w:sz w:val="24"/>
          <w:szCs w:val="24"/>
          <w:highlight w:val="none"/>
        </w:rPr>
        <w:t>（1）符合专业条件的供应商或者对</w:t>
      </w:r>
      <w:r>
        <w:rPr>
          <w:rFonts w:hint="eastAsia" w:ascii="微软雅黑" w:hAnsi="微软雅黑" w:eastAsia="微软雅黑" w:cs="微软雅黑"/>
          <w:b/>
          <w:bCs/>
          <w:color w:val="auto"/>
          <w:sz w:val="24"/>
          <w:szCs w:val="24"/>
          <w:highlight w:val="none"/>
          <w:lang w:eastAsia="zh-CN"/>
        </w:rPr>
        <w:t>磋商文件</w:t>
      </w:r>
      <w:r>
        <w:rPr>
          <w:rFonts w:hint="eastAsia" w:ascii="微软雅黑" w:hAnsi="微软雅黑" w:eastAsia="微软雅黑" w:cs="微软雅黑"/>
          <w:b/>
          <w:bCs/>
          <w:color w:val="auto"/>
          <w:sz w:val="24"/>
          <w:szCs w:val="24"/>
          <w:highlight w:val="none"/>
        </w:rPr>
        <w:t>做实质性响应的供应商不足三家；</w:t>
      </w:r>
    </w:p>
    <w:p w14:paraId="68D4AD84">
      <w:pPr>
        <w:pageBreakBefore w:val="0"/>
        <w:kinsoku/>
        <w:wordWrap/>
        <w:overflowPunct/>
        <w:topLinePunct w:val="0"/>
        <w:bidi w:val="0"/>
        <w:spacing w:line="360" w:lineRule="exact"/>
        <w:ind w:left="900" w:hanging="900" w:hangingChars="375"/>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ab/>
      </w:r>
      <w:r>
        <w:rPr>
          <w:rFonts w:hint="eastAsia" w:ascii="微软雅黑" w:hAnsi="微软雅黑" w:eastAsia="微软雅黑" w:cs="微软雅黑"/>
          <w:b/>
          <w:bCs/>
          <w:color w:val="auto"/>
          <w:sz w:val="24"/>
          <w:szCs w:val="24"/>
          <w:highlight w:val="none"/>
        </w:rPr>
        <w:t>（2）出现影响采购公正的违法、违规行为的；</w:t>
      </w:r>
    </w:p>
    <w:p w14:paraId="71B70430">
      <w:pPr>
        <w:pageBreakBefore w:val="0"/>
        <w:kinsoku/>
        <w:wordWrap/>
        <w:overflowPunct/>
        <w:topLinePunct w:val="0"/>
        <w:bidi w:val="0"/>
        <w:spacing w:line="360" w:lineRule="exact"/>
        <w:ind w:firstLine="840" w:firstLineChars="35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的报价均超过了采购预算，采购人不能支付的；</w:t>
      </w:r>
    </w:p>
    <w:p w14:paraId="4F8293F0">
      <w:pPr>
        <w:pageBreakBefore w:val="0"/>
        <w:kinsoku/>
        <w:wordWrap/>
        <w:overflowPunct/>
        <w:topLinePunct w:val="0"/>
        <w:bidi w:val="0"/>
        <w:spacing w:line="360" w:lineRule="exact"/>
        <w:ind w:firstLine="840" w:firstLineChars="3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 xml:space="preserve">（4）因重大变故，采购任务取消的。  </w:t>
      </w:r>
      <w:r>
        <w:rPr>
          <w:rFonts w:hint="eastAsia" w:ascii="微软雅黑" w:hAnsi="微软雅黑" w:eastAsia="微软雅黑" w:cs="微软雅黑"/>
          <w:color w:val="auto"/>
          <w:sz w:val="24"/>
          <w:szCs w:val="24"/>
          <w:highlight w:val="none"/>
        </w:rPr>
        <w:t xml:space="preserve"> </w:t>
      </w:r>
    </w:p>
    <w:p w14:paraId="5AE35763">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352" w:name="_Toc10657"/>
      <w:bookmarkStart w:id="353" w:name="_Toc8315"/>
      <w:bookmarkStart w:id="354" w:name="_Toc3793"/>
      <w:bookmarkStart w:id="355" w:name="_Toc515647786"/>
      <w:bookmarkStart w:id="356" w:name="_Toc31289"/>
      <w:bookmarkStart w:id="357" w:name="_Toc21697"/>
      <w:bookmarkStart w:id="358" w:name="_Toc24972"/>
      <w:bookmarkStart w:id="359" w:name="_Toc23725"/>
      <w:bookmarkStart w:id="360" w:name="_Toc16842"/>
      <w:bookmarkStart w:id="361" w:name="_Toc21380"/>
      <w:bookmarkStart w:id="362" w:name="_Toc29935"/>
      <w:bookmarkStart w:id="363" w:name="_Toc25096"/>
      <w:bookmarkStart w:id="364" w:name="_Toc29646"/>
      <w:bookmarkStart w:id="365" w:name="_Toc520356169"/>
      <w:r>
        <w:rPr>
          <w:rFonts w:hint="eastAsia" w:ascii="微软雅黑" w:hAnsi="微软雅黑" w:eastAsia="微软雅黑" w:cs="微软雅黑"/>
          <w:color w:val="auto"/>
          <w:sz w:val="24"/>
          <w:szCs w:val="24"/>
          <w:highlight w:val="none"/>
          <w:u w:val="none"/>
        </w:rPr>
        <w:t>25.保密原则</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186AC73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评标将在严格保密的情况下进行。</w:t>
      </w:r>
    </w:p>
    <w:p w14:paraId="28F4F523">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政府采购评审专家应当遵守评审工作纪律，不得泄露评审文件、评审情况和评审中获悉的商业秘密。</w:t>
      </w:r>
    </w:p>
    <w:p w14:paraId="118E1842">
      <w:pPr>
        <w:pageBreakBefore w:val="0"/>
        <w:kinsoku/>
        <w:wordWrap/>
        <w:overflowPunct/>
        <w:topLinePunct w:val="0"/>
        <w:bidi w:val="0"/>
        <w:spacing w:line="360" w:lineRule="exact"/>
        <w:ind w:hanging="540"/>
        <w:rPr>
          <w:rFonts w:hint="eastAsia" w:ascii="微软雅黑" w:hAnsi="微软雅黑" w:eastAsia="微软雅黑" w:cs="微软雅黑"/>
          <w:color w:val="auto"/>
          <w:sz w:val="24"/>
          <w:szCs w:val="24"/>
          <w:highlight w:val="none"/>
        </w:rPr>
      </w:pPr>
    </w:p>
    <w:p w14:paraId="6C66E2DB">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微软雅黑" w:hAnsi="微软雅黑" w:eastAsia="微软雅黑" w:cs="微软雅黑"/>
          <w:b/>
          <w:i w:val="0"/>
          <w:color w:val="auto"/>
          <w:spacing w:val="0"/>
          <w:w w:val="100"/>
          <w:sz w:val="28"/>
          <w:szCs w:val="28"/>
          <w:highlight w:val="none"/>
          <w:lang w:eastAsia="zh-CN"/>
        </w:rPr>
      </w:pPr>
      <w:bookmarkStart w:id="366" w:name="_Toc5206"/>
      <w:bookmarkStart w:id="367" w:name="_Toc31410"/>
      <w:bookmarkStart w:id="368" w:name="_Toc23904"/>
      <w:bookmarkStart w:id="369" w:name="_Toc216582810"/>
      <w:bookmarkStart w:id="370" w:name="_Toc515647787"/>
      <w:bookmarkStart w:id="371" w:name="_Toc12143"/>
      <w:bookmarkStart w:id="372" w:name="_Toc21003"/>
      <w:r>
        <w:rPr>
          <w:rFonts w:hint="eastAsia" w:ascii="微软雅黑" w:hAnsi="微软雅黑" w:eastAsia="微软雅黑" w:cs="微软雅黑"/>
          <w:b/>
          <w:i w:val="0"/>
          <w:color w:val="auto"/>
          <w:spacing w:val="0"/>
          <w:w w:val="100"/>
          <w:sz w:val="28"/>
          <w:szCs w:val="28"/>
          <w:highlight w:val="none"/>
        </w:rPr>
        <w:t xml:space="preserve">六   </w:t>
      </w:r>
      <w:bookmarkEnd w:id="365"/>
      <w:r>
        <w:rPr>
          <w:rFonts w:hint="eastAsia" w:ascii="微软雅黑" w:hAnsi="微软雅黑" w:eastAsia="微软雅黑" w:cs="微软雅黑"/>
          <w:b/>
          <w:i w:val="0"/>
          <w:color w:val="auto"/>
          <w:spacing w:val="0"/>
          <w:w w:val="100"/>
          <w:sz w:val="28"/>
          <w:szCs w:val="28"/>
          <w:highlight w:val="none"/>
        </w:rPr>
        <w:t>确定</w:t>
      </w:r>
      <w:bookmarkEnd w:id="366"/>
      <w:bookmarkEnd w:id="367"/>
      <w:bookmarkEnd w:id="368"/>
      <w:bookmarkEnd w:id="369"/>
      <w:bookmarkEnd w:id="370"/>
      <w:bookmarkEnd w:id="371"/>
      <w:r>
        <w:rPr>
          <w:rFonts w:hint="eastAsia" w:ascii="微软雅黑" w:hAnsi="微软雅黑" w:eastAsia="微软雅黑" w:cs="微软雅黑"/>
          <w:b/>
          <w:i w:val="0"/>
          <w:color w:val="auto"/>
          <w:spacing w:val="0"/>
          <w:w w:val="100"/>
          <w:sz w:val="28"/>
          <w:szCs w:val="28"/>
          <w:highlight w:val="none"/>
          <w:lang w:val="en-US" w:eastAsia="zh-CN"/>
        </w:rPr>
        <w:t>成交</w:t>
      </w:r>
      <w:bookmarkEnd w:id="372"/>
    </w:p>
    <w:p w14:paraId="0238C40B">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373" w:name="_Toc13936"/>
      <w:bookmarkStart w:id="374" w:name="_Ref467307010"/>
      <w:bookmarkStart w:id="375" w:name="_Toc14953"/>
      <w:bookmarkStart w:id="376" w:name="_Toc520356170"/>
      <w:bookmarkStart w:id="377" w:name="_Toc31710"/>
      <w:bookmarkStart w:id="378" w:name="_Toc30510"/>
      <w:bookmarkStart w:id="379" w:name="_Toc23617"/>
      <w:bookmarkStart w:id="380" w:name="_Toc1624"/>
      <w:bookmarkStart w:id="381" w:name="_Toc20061"/>
      <w:bookmarkStart w:id="382" w:name="_Toc515647788"/>
      <w:bookmarkStart w:id="383" w:name="_Toc17209"/>
      <w:bookmarkStart w:id="384" w:name="_Toc28179"/>
      <w:bookmarkStart w:id="385" w:name="_Toc3336"/>
      <w:bookmarkStart w:id="386" w:name="_Toc23762"/>
      <w:r>
        <w:rPr>
          <w:rFonts w:hint="eastAsia" w:ascii="微软雅黑" w:hAnsi="微软雅黑" w:eastAsia="微软雅黑" w:cs="微软雅黑"/>
          <w:color w:val="auto"/>
          <w:sz w:val="24"/>
          <w:szCs w:val="24"/>
          <w:highlight w:val="none"/>
          <w:u w:val="none"/>
        </w:rPr>
        <w:t>26.</w:t>
      </w:r>
      <w:r>
        <w:rPr>
          <w:rFonts w:hint="eastAsia" w:ascii="微软雅黑" w:hAnsi="微软雅黑" w:eastAsia="微软雅黑" w:cs="微软雅黑"/>
          <w:color w:val="auto"/>
          <w:sz w:val="24"/>
          <w:szCs w:val="24"/>
          <w:highlight w:val="none"/>
          <w:u w:val="none"/>
          <w:lang w:eastAsia="zh-CN"/>
        </w:rPr>
        <w:t>成交候选人</w:t>
      </w:r>
      <w:r>
        <w:rPr>
          <w:rFonts w:hint="eastAsia" w:ascii="微软雅黑" w:hAnsi="微软雅黑" w:eastAsia="微软雅黑" w:cs="微软雅黑"/>
          <w:color w:val="auto"/>
          <w:sz w:val="24"/>
          <w:szCs w:val="24"/>
          <w:highlight w:val="none"/>
          <w:u w:val="none"/>
        </w:rPr>
        <w:t>的确定原则及标准</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D9ED495">
      <w:pPr>
        <w:pageBreakBefore w:val="0"/>
        <w:kinsoku/>
        <w:wordWrap/>
        <w:overflowPunct/>
        <w:topLinePunct w:val="0"/>
        <w:bidi w:val="0"/>
        <w:spacing w:line="36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对实质上响应</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按下列方法进行排序，确定</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候选人：</w:t>
      </w:r>
    </w:p>
    <w:p w14:paraId="2AFD9A59">
      <w:pPr>
        <w:pageBreakBefore w:val="0"/>
        <w:kinsoku/>
        <w:wordWrap/>
        <w:overflowPunct/>
        <w:topLinePunct w:val="0"/>
        <w:bidi w:val="0"/>
        <w:spacing w:line="360" w:lineRule="exact"/>
        <w:ind w:firstLine="480" w:firstLineChars="200"/>
        <w:rPr>
          <w:rFonts w:hint="eastAsia" w:ascii="微软雅黑" w:hAnsi="微软雅黑" w:eastAsia="微软雅黑" w:cs="微软雅黑"/>
          <w:color w:val="auto"/>
          <w:sz w:val="24"/>
          <w:szCs w:val="24"/>
          <w:highlight w:val="none"/>
        </w:rPr>
      </w:pPr>
      <w:bookmarkStart w:id="387" w:name="_Toc515647789"/>
      <w:bookmarkStart w:id="388" w:name="_Toc520356171"/>
      <w:r>
        <w:rPr>
          <w:rFonts w:hint="eastAsia" w:ascii="微软雅黑" w:hAnsi="微软雅黑" w:eastAsia="微软雅黑" w:cs="微软雅黑"/>
          <w:color w:val="auto"/>
          <w:sz w:val="24"/>
          <w:szCs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价格进行任何调整。评标结果按修正和扣除后的</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报价由低到高顺序排列。报价相同的处理方式详见</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第6章。</w:t>
      </w:r>
    </w:p>
    <w:p w14:paraId="4A76CF2D">
      <w:pPr>
        <w:pageBreakBefore w:val="0"/>
        <w:kinsoku/>
        <w:wordWrap/>
        <w:overflowPunct/>
        <w:topLinePunct w:val="0"/>
        <w:bidi w:val="0"/>
        <w:spacing w:line="36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（2）采用综合评分法的，评标结果按评审后得分由高到低顺序排列。得分相同的，按修正和扣除后的</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报价由低到高顺序排列。得分与</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报价均相同的处理方式详见</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第6章。</w:t>
      </w:r>
    </w:p>
    <w:p w14:paraId="579EA38E">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389" w:name="_Toc17933"/>
      <w:bookmarkStart w:id="390" w:name="_Toc721"/>
      <w:bookmarkStart w:id="391" w:name="_Toc3418"/>
      <w:bookmarkStart w:id="392" w:name="_Toc17164"/>
      <w:bookmarkStart w:id="393" w:name="_Toc24948"/>
      <w:bookmarkStart w:id="394" w:name="_Toc3500"/>
      <w:bookmarkStart w:id="395" w:name="_Toc3720"/>
      <w:bookmarkStart w:id="396" w:name="_Toc1644"/>
      <w:bookmarkStart w:id="397" w:name="_Toc14558"/>
      <w:bookmarkStart w:id="398" w:name="_Toc11907"/>
      <w:bookmarkStart w:id="399" w:name="_Toc16846"/>
      <w:bookmarkStart w:id="400" w:name="_Toc21913"/>
      <w:bookmarkStart w:id="401" w:name="_Toc3661"/>
      <w:r>
        <w:rPr>
          <w:rFonts w:hint="eastAsia" w:ascii="微软雅黑" w:hAnsi="微软雅黑" w:eastAsia="微软雅黑" w:cs="微软雅黑"/>
          <w:color w:val="auto"/>
          <w:sz w:val="24"/>
          <w:szCs w:val="24"/>
          <w:highlight w:val="none"/>
          <w:u w:val="none"/>
        </w:rPr>
        <w:t>27.确定成交候选人和</w:t>
      </w:r>
      <w:bookmarkEnd w:id="389"/>
      <w:r>
        <w:rPr>
          <w:rFonts w:hint="eastAsia" w:ascii="微软雅黑" w:hAnsi="微软雅黑" w:eastAsia="微软雅黑" w:cs="微软雅黑"/>
          <w:color w:val="auto"/>
          <w:sz w:val="24"/>
          <w:szCs w:val="24"/>
          <w:highlight w:val="none"/>
          <w:u w:val="none"/>
        </w:rPr>
        <w:t>成交人</w:t>
      </w:r>
      <w:bookmarkEnd w:id="390"/>
      <w:bookmarkEnd w:id="391"/>
      <w:bookmarkEnd w:id="392"/>
      <w:bookmarkEnd w:id="393"/>
      <w:bookmarkEnd w:id="394"/>
      <w:bookmarkEnd w:id="395"/>
      <w:bookmarkEnd w:id="396"/>
      <w:bookmarkEnd w:id="397"/>
      <w:bookmarkEnd w:id="398"/>
      <w:bookmarkEnd w:id="399"/>
      <w:bookmarkEnd w:id="400"/>
      <w:bookmarkEnd w:id="401"/>
    </w:p>
    <w:bookmarkEnd w:id="387"/>
    <w:bookmarkEnd w:id="388"/>
    <w:p w14:paraId="0AE4B935">
      <w:pPr>
        <w:pageBreakBefore w:val="0"/>
        <w:kinsoku/>
        <w:wordWrap/>
        <w:overflowPunct/>
        <w:topLinePunct w:val="0"/>
        <w:bidi w:val="0"/>
        <w:spacing w:line="360" w:lineRule="exact"/>
        <w:ind w:left="479" w:leftChars="228" w:firstLine="60" w:firstLineChars="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磋商小组</w:t>
      </w:r>
      <w:r>
        <w:rPr>
          <w:rFonts w:hint="eastAsia" w:ascii="微软雅黑" w:hAnsi="微软雅黑" w:eastAsia="微软雅黑" w:cs="微软雅黑"/>
          <w:color w:val="auto"/>
          <w:sz w:val="24"/>
          <w:szCs w:val="24"/>
          <w:highlight w:val="none"/>
        </w:rPr>
        <w:t>将根据评标标准，按</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须知资料表中</w:t>
      </w:r>
      <w:r>
        <w:rPr>
          <w:rFonts w:hint="eastAsia" w:ascii="微软雅黑" w:hAnsi="微软雅黑" w:eastAsia="微软雅黑" w:cs="微软雅黑"/>
          <w:color w:val="auto"/>
          <w:sz w:val="24"/>
          <w:szCs w:val="24"/>
          <w:highlight w:val="none"/>
        </w:rPr>
        <w:t>规定数量推荐</w:t>
      </w:r>
      <w:r>
        <w:rPr>
          <w:rFonts w:hint="eastAsia" w:ascii="微软雅黑" w:hAnsi="微软雅黑" w:eastAsia="微软雅黑" w:cs="微软雅黑"/>
          <w:color w:val="auto"/>
          <w:sz w:val="24"/>
          <w:szCs w:val="24"/>
          <w:highlight w:val="none"/>
          <w:lang w:eastAsia="zh-CN"/>
        </w:rPr>
        <w:t>成交候选人</w:t>
      </w:r>
      <w:r>
        <w:rPr>
          <w:rFonts w:hint="eastAsia" w:ascii="微软雅黑" w:hAnsi="微软雅黑" w:eastAsia="微软雅黑" w:cs="微软雅黑"/>
          <w:color w:val="auto"/>
          <w:sz w:val="24"/>
          <w:szCs w:val="24"/>
          <w:highlight w:val="none"/>
        </w:rPr>
        <w:t>。</w:t>
      </w:r>
    </w:p>
    <w:p w14:paraId="044C478E">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402" w:name="_Toc520356173"/>
      <w:bookmarkStart w:id="403" w:name="_Ref467306874"/>
      <w:bookmarkStart w:id="404" w:name="_Toc25730"/>
      <w:bookmarkStart w:id="405" w:name="_Toc515647790"/>
      <w:bookmarkStart w:id="406" w:name="_Toc20705"/>
      <w:bookmarkStart w:id="407" w:name="_Toc8389"/>
      <w:bookmarkStart w:id="408" w:name="_Toc31043"/>
      <w:bookmarkStart w:id="409" w:name="_Toc28562"/>
      <w:bookmarkStart w:id="410" w:name="_Toc7156"/>
      <w:bookmarkStart w:id="411" w:name="_Toc20001"/>
      <w:bookmarkStart w:id="412" w:name="_Toc14284"/>
      <w:bookmarkStart w:id="413" w:name="_Toc30883"/>
      <w:bookmarkStart w:id="414" w:name="_Toc17591"/>
      <w:bookmarkStart w:id="415" w:name="_Toc22540"/>
      <w:bookmarkStart w:id="416" w:name="_Toc32455"/>
      <w:r>
        <w:rPr>
          <w:rFonts w:hint="eastAsia" w:ascii="微软雅黑" w:hAnsi="微软雅黑" w:eastAsia="微软雅黑" w:cs="微软雅黑"/>
          <w:color w:val="auto"/>
          <w:sz w:val="24"/>
          <w:szCs w:val="24"/>
          <w:highlight w:val="none"/>
          <w:u w:val="none"/>
        </w:rPr>
        <w:t>28.</w:t>
      </w:r>
      <w:bookmarkEnd w:id="402"/>
      <w:bookmarkEnd w:id="403"/>
      <w:r>
        <w:rPr>
          <w:rFonts w:hint="eastAsia" w:ascii="微软雅黑" w:hAnsi="微软雅黑" w:eastAsia="微软雅黑" w:cs="微软雅黑"/>
          <w:color w:val="auto"/>
          <w:sz w:val="24"/>
          <w:szCs w:val="24"/>
          <w:highlight w:val="none"/>
          <w:u w:val="none"/>
        </w:rPr>
        <w:t>采购任务取消</w:t>
      </w:r>
      <w:bookmarkEnd w:id="404"/>
      <w:bookmarkEnd w:id="405"/>
      <w:bookmarkEnd w:id="406"/>
      <w:bookmarkEnd w:id="407"/>
      <w:bookmarkEnd w:id="408"/>
      <w:bookmarkEnd w:id="409"/>
      <w:bookmarkEnd w:id="410"/>
      <w:bookmarkEnd w:id="411"/>
      <w:bookmarkEnd w:id="412"/>
      <w:bookmarkEnd w:id="413"/>
      <w:bookmarkEnd w:id="414"/>
      <w:bookmarkEnd w:id="415"/>
      <w:bookmarkEnd w:id="416"/>
    </w:p>
    <w:p w14:paraId="5C28765A">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因重大变故采购任务取消时，采购人有权拒绝任何</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lang w:val="en-US" w:eastAsia="zh-CN"/>
        </w:rPr>
        <w:t>成交</w:t>
      </w:r>
      <w:r>
        <w:rPr>
          <w:rFonts w:hint="eastAsia" w:ascii="微软雅黑" w:hAnsi="微软雅黑" w:eastAsia="微软雅黑" w:cs="微软雅黑"/>
          <w:color w:val="auto"/>
          <w:sz w:val="24"/>
          <w:szCs w:val="24"/>
          <w:highlight w:val="none"/>
        </w:rPr>
        <w:t>，且对受影响的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不承担任何责任。</w:t>
      </w:r>
      <w:bookmarkStart w:id="417" w:name="_Toc520356174"/>
    </w:p>
    <w:p w14:paraId="15218F82">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418" w:name="_Toc9205"/>
      <w:bookmarkStart w:id="419" w:name="_Toc31099"/>
      <w:bookmarkStart w:id="420" w:name="_Toc30149"/>
      <w:bookmarkStart w:id="421" w:name="_Toc17202"/>
      <w:bookmarkStart w:id="422" w:name="_Toc30931"/>
      <w:bookmarkStart w:id="423" w:name="_Toc8834"/>
      <w:bookmarkStart w:id="424" w:name="_Toc21583"/>
      <w:bookmarkStart w:id="425" w:name="_Toc515647791"/>
      <w:bookmarkStart w:id="426" w:name="_Toc28901"/>
      <w:bookmarkStart w:id="427" w:name="_Toc30170"/>
      <w:bookmarkStart w:id="428" w:name="_Toc27996"/>
      <w:bookmarkStart w:id="429" w:name="_Toc25835"/>
      <w:bookmarkStart w:id="430" w:name="_Toc11896"/>
      <w:r>
        <w:rPr>
          <w:rFonts w:hint="eastAsia" w:ascii="微软雅黑" w:hAnsi="微软雅黑" w:eastAsia="微软雅黑" w:cs="微软雅黑"/>
          <w:color w:val="auto"/>
          <w:sz w:val="24"/>
          <w:szCs w:val="24"/>
          <w:highlight w:val="none"/>
          <w:u w:val="none"/>
        </w:rPr>
        <w:t>29.</w:t>
      </w:r>
      <w:bookmarkEnd w:id="417"/>
      <w:r>
        <w:rPr>
          <w:rFonts w:hint="eastAsia" w:ascii="微软雅黑" w:hAnsi="微软雅黑" w:eastAsia="微软雅黑" w:cs="微软雅黑"/>
          <w:color w:val="auto"/>
          <w:sz w:val="24"/>
          <w:szCs w:val="24"/>
          <w:highlight w:val="none"/>
          <w:u w:val="none"/>
          <w:lang w:eastAsia="zh-CN"/>
        </w:rPr>
        <w:t>成交通知书</w:t>
      </w:r>
      <w:r>
        <w:rPr>
          <w:rFonts w:hint="eastAsia" w:ascii="微软雅黑" w:hAnsi="微软雅黑" w:eastAsia="微软雅黑" w:cs="微软雅黑"/>
          <w:color w:val="auto"/>
          <w:sz w:val="24"/>
          <w:szCs w:val="24"/>
          <w:highlight w:val="none"/>
          <w:u w:val="none"/>
        </w:rPr>
        <w:t>和</w:t>
      </w:r>
      <w:r>
        <w:rPr>
          <w:rFonts w:hint="eastAsia" w:ascii="微软雅黑" w:hAnsi="微软雅黑" w:eastAsia="微软雅黑" w:cs="微软雅黑"/>
          <w:color w:val="auto"/>
          <w:sz w:val="24"/>
          <w:szCs w:val="24"/>
          <w:highlight w:val="none"/>
          <w:u w:val="none"/>
          <w:lang w:val="en-US" w:eastAsia="zh-CN"/>
        </w:rPr>
        <w:t>采购</w:t>
      </w:r>
      <w:r>
        <w:rPr>
          <w:rFonts w:hint="eastAsia" w:ascii="微软雅黑" w:hAnsi="微软雅黑" w:eastAsia="微软雅黑" w:cs="微软雅黑"/>
          <w:color w:val="auto"/>
          <w:sz w:val="24"/>
          <w:szCs w:val="24"/>
          <w:highlight w:val="none"/>
          <w:u w:val="none"/>
        </w:rPr>
        <w:t>结果通知书</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3D9CE5F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有效期内，</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确定后，采购人或者采购代理机构发布</w:t>
      </w:r>
      <w:r>
        <w:rPr>
          <w:rFonts w:hint="eastAsia" w:ascii="微软雅黑" w:hAnsi="微软雅黑" w:eastAsia="微软雅黑" w:cs="微软雅黑"/>
          <w:color w:val="auto"/>
          <w:sz w:val="24"/>
          <w:szCs w:val="24"/>
          <w:highlight w:val="none"/>
          <w:lang w:eastAsia="zh-CN"/>
        </w:rPr>
        <w:t>成交</w:t>
      </w:r>
      <w:r>
        <w:rPr>
          <w:rFonts w:hint="eastAsia" w:ascii="微软雅黑" w:hAnsi="微软雅黑" w:eastAsia="微软雅黑" w:cs="微软雅黑"/>
          <w:color w:val="auto"/>
          <w:sz w:val="24"/>
          <w:szCs w:val="24"/>
          <w:highlight w:val="none"/>
          <w:lang w:val="en-US" w:eastAsia="zh-CN"/>
        </w:rPr>
        <w:t>结果</w:t>
      </w:r>
      <w:r>
        <w:rPr>
          <w:rFonts w:hint="eastAsia" w:ascii="微软雅黑" w:hAnsi="微软雅黑" w:eastAsia="微软雅黑" w:cs="微软雅黑"/>
          <w:color w:val="auto"/>
          <w:sz w:val="24"/>
          <w:szCs w:val="24"/>
          <w:highlight w:val="none"/>
          <w:lang w:eastAsia="zh-CN"/>
        </w:rPr>
        <w:t>公告</w:t>
      </w:r>
      <w:r>
        <w:rPr>
          <w:rFonts w:hint="eastAsia" w:ascii="微软雅黑" w:hAnsi="微软雅黑" w:eastAsia="微软雅黑" w:cs="微软雅黑"/>
          <w:color w:val="auto"/>
          <w:sz w:val="24"/>
          <w:szCs w:val="24"/>
          <w:highlight w:val="none"/>
        </w:rPr>
        <w:t>，同时以书面形式向</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发出</w:t>
      </w:r>
      <w:r>
        <w:rPr>
          <w:rFonts w:hint="eastAsia" w:ascii="微软雅黑" w:hAnsi="微软雅黑" w:eastAsia="微软雅黑" w:cs="微软雅黑"/>
          <w:color w:val="auto"/>
          <w:sz w:val="24"/>
          <w:szCs w:val="24"/>
          <w:highlight w:val="none"/>
          <w:lang w:eastAsia="zh-CN"/>
        </w:rPr>
        <w:t>成交通知书</w:t>
      </w:r>
      <w:r>
        <w:rPr>
          <w:rFonts w:hint="eastAsia" w:ascii="微软雅黑" w:hAnsi="微软雅黑" w:eastAsia="微软雅黑" w:cs="微软雅黑"/>
          <w:color w:val="auto"/>
          <w:sz w:val="24"/>
          <w:szCs w:val="24"/>
          <w:highlight w:val="none"/>
        </w:rPr>
        <w:t>。</w:t>
      </w:r>
    </w:p>
    <w:p w14:paraId="622C4419">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成交通知书</w:t>
      </w:r>
      <w:r>
        <w:rPr>
          <w:rFonts w:hint="eastAsia" w:ascii="微软雅黑" w:hAnsi="微软雅黑" w:eastAsia="微软雅黑" w:cs="微软雅黑"/>
          <w:color w:val="auto"/>
          <w:sz w:val="24"/>
          <w:szCs w:val="24"/>
          <w:highlight w:val="none"/>
        </w:rPr>
        <w:t>是合同的组成部分。</w:t>
      </w:r>
    </w:p>
    <w:p w14:paraId="602F49B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29.3    采购结果通知书和</w:t>
      </w:r>
      <w:r>
        <w:rPr>
          <w:rFonts w:hint="eastAsia" w:ascii="微软雅黑" w:hAnsi="微软雅黑" w:eastAsia="微软雅黑" w:cs="微软雅黑"/>
          <w:color w:val="auto"/>
          <w:sz w:val="24"/>
          <w:szCs w:val="24"/>
          <w:highlight w:val="none"/>
          <w:lang w:eastAsia="zh-CN"/>
        </w:rPr>
        <w:t>成交通知书</w:t>
      </w:r>
      <w:r>
        <w:rPr>
          <w:rFonts w:hint="eastAsia" w:ascii="微软雅黑" w:hAnsi="微软雅黑" w:eastAsia="微软雅黑" w:cs="微软雅黑"/>
          <w:color w:val="auto"/>
          <w:sz w:val="24"/>
          <w:szCs w:val="24"/>
          <w:highlight w:val="none"/>
        </w:rPr>
        <w:t>同时发出。采购结果通知书中将告知未通过资格审查的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未通过的原因；采用综合评分法评审的，还将告知未</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本人的评审得分和排序。</w:t>
      </w:r>
    </w:p>
    <w:p w14:paraId="1E12FC18">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431" w:name="_Toc22777"/>
      <w:bookmarkStart w:id="432" w:name="_Toc790"/>
      <w:bookmarkStart w:id="433" w:name="_Ref467307062"/>
      <w:bookmarkStart w:id="434" w:name="_Toc7779"/>
      <w:bookmarkStart w:id="435" w:name="_Toc15018"/>
      <w:bookmarkStart w:id="436" w:name="_Toc9114"/>
      <w:bookmarkStart w:id="437" w:name="_Toc9518"/>
      <w:bookmarkStart w:id="438" w:name="_Toc520356175"/>
      <w:bookmarkStart w:id="439" w:name="_Toc14551"/>
      <w:bookmarkStart w:id="440" w:name="_Toc515647792"/>
      <w:bookmarkStart w:id="441" w:name="_Ref467306978"/>
      <w:bookmarkStart w:id="442" w:name="_Toc24666"/>
      <w:bookmarkStart w:id="443" w:name="_Toc29299"/>
      <w:bookmarkStart w:id="444" w:name="_Toc13851"/>
      <w:bookmarkStart w:id="445" w:name="_Toc14106"/>
      <w:bookmarkStart w:id="446" w:name="_Toc7584"/>
      <w:bookmarkStart w:id="447" w:name="_Ref467306377"/>
      <w:bookmarkStart w:id="448" w:name="_Ref467307204"/>
      <w:r>
        <w:rPr>
          <w:rFonts w:hint="eastAsia" w:ascii="微软雅黑" w:hAnsi="微软雅黑" w:eastAsia="微软雅黑" w:cs="微软雅黑"/>
          <w:color w:val="auto"/>
          <w:sz w:val="24"/>
          <w:szCs w:val="24"/>
          <w:highlight w:val="none"/>
          <w:u w:val="none"/>
        </w:rPr>
        <w:t>30.签订合同</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44BB3953">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应当自发出</w:t>
      </w:r>
      <w:r>
        <w:rPr>
          <w:rFonts w:hint="eastAsia" w:ascii="微软雅黑" w:hAnsi="微软雅黑" w:eastAsia="微软雅黑" w:cs="微软雅黑"/>
          <w:color w:val="auto"/>
          <w:sz w:val="24"/>
          <w:szCs w:val="24"/>
          <w:highlight w:val="none"/>
          <w:lang w:eastAsia="zh-CN"/>
        </w:rPr>
        <w:t>成交通知书</w:t>
      </w:r>
      <w:r>
        <w:rPr>
          <w:rFonts w:hint="eastAsia" w:ascii="微软雅黑" w:hAnsi="微软雅黑" w:eastAsia="微软雅黑" w:cs="微软雅黑"/>
          <w:color w:val="auto"/>
          <w:sz w:val="24"/>
          <w:szCs w:val="24"/>
          <w:highlight w:val="none"/>
        </w:rPr>
        <w:t>之日起30日内，与采购人签订合同。</w:t>
      </w:r>
    </w:p>
    <w:p w14:paraId="7F05DFE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30.2</w:t>
      </w:r>
      <w:r>
        <w:rPr>
          <w:rFonts w:hint="eastAsia" w:ascii="微软雅黑" w:hAnsi="微软雅黑" w:eastAsia="微软雅黑" w:cs="微软雅黑"/>
          <w:color w:val="auto"/>
          <w:sz w:val="24"/>
          <w:szCs w:val="24"/>
          <w:highlight w:val="none"/>
        </w:rPr>
        <w:tab/>
      </w:r>
      <w:bookmarkStart w:id="449" w:name="_Ref467306425"/>
      <w:bookmarkStart w:id="450" w:name="_Ref467307090"/>
      <w:bookmarkStart w:id="451" w:name="_Toc520356176"/>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及其澄清文件等，均为签订合同的依据。</w:t>
      </w:r>
    </w:p>
    <w:p w14:paraId="5D71C28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30.3   </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拒绝与采购人签订合同的，采购人可以按照评审报告推荐的</w:t>
      </w:r>
      <w:r>
        <w:rPr>
          <w:rFonts w:hint="eastAsia" w:ascii="微软雅黑" w:hAnsi="微软雅黑" w:eastAsia="微软雅黑" w:cs="微软雅黑"/>
          <w:color w:val="auto"/>
          <w:sz w:val="24"/>
          <w:szCs w:val="24"/>
          <w:highlight w:val="none"/>
          <w:lang w:eastAsia="zh-CN"/>
        </w:rPr>
        <w:t>成交候选人</w:t>
      </w:r>
      <w:r>
        <w:rPr>
          <w:rFonts w:hint="eastAsia" w:ascii="微软雅黑" w:hAnsi="微软雅黑" w:eastAsia="微软雅黑" w:cs="微软雅黑"/>
          <w:color w:val="auto"/>
          <w:sz w:val="24"/>
          <w:szCs w:val="24"/>
          <w:highlight w:val="none"/>
        </w:rPr>
        <w:t>名单排序，确定下一</w:t>
      </w:r>
      <w:r>
        <w:rPr>
          <w:rFonts w:hint="eastAsia" w:ascii="微软雅黑" w:hAnsi="微软雅黑" w:eastAsia="微软雅黑" w:cs="微软雅黑"/>
          <w:color w:val="auto"/>
          <w:sz w:val="24"/>
          <w:szCs w:val="24"/>
          <w:highlight w:val="none"/>
          <w:lang w:eastAsia="zh-CN"/>
        </w:rPr>
        <w:t>成交候选人</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，也可以重新开展政府采购活动。</w:t>
      </w:r>
    </w:p>
    <w:p w14:paraId="3AACB33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30.4   当出现法规规定的</w:t>
      </w:r>
      <w:r>
        <w:rPr>
          <w:rFonts w:hint="eastAsia" w:ascii="微软雅黑" w:hAnsi="微软雅黑" w:eastAsia="微软雅黑" w:cs="微软雅黑"/>
          <w:b/>
          <w:color w:val="auto"/>
          <w:sz w:val="24"/>
          <w:szCs w:val="24"/>
          <w:highlight w:val="none"/>
          <w:lang w:val="en-US" w:eastAsia="zh-CN"/>
        </w:rPr>
        <w:t>成交</w:t>
      </w:r>
      <w:r>
        <w:rPr>
          <w:rFonts w:hint="eastAsia" w:ascii="微软雅黑" w:hAnsi="微软雅黑" w:eastAsia="微软雅黑" w:cs="微软雅黑"/>
          <w:b/>
          <w:color w:val="auto"/>
          <w:sz w:val="24"/>
          <w:szCs w:val="24"/>
          <w:highlight w:val="none"/>
        </w:rPr>
        <w:t>无效或</w:t>
      </w:r>
      <w:r>
        <w:rPr>
          <w:rFonts w:hint="eastAsia" w:ascii="微软雅黑" w:hAnsi="微软雅黑" w:eastAsia="微软雅黑" w:cs="微软雅黑"/>
          <w:b/>
          <w:color w:val="auto"/>
          <w:sz w:val="24"/>
          <w:szCs w:val="24"/>
          <w:highlight w:val="none"/>
          <w:lang w:val="en-US" w:eastAsia="zh-CN"/>
        </w:rPr>
        <w:t>成交</w:t>
      </w:r>
      <w:r>
        <w:rPr>
          <w:rFonts w:hint="eastAsia" w:ascii="微软雅黑" w:hAnsi="微软雅黑" w:eastAsia="微软雅黑" w:cs="微软雅黑"/>
          <w:b/>
          <w:color w:val="auto"/>
          <w:sz w:val="24"/>
          <w:szCs w:val="24"/>
          <w:highlight w:val="none"/>
        </w:rPr>
        <w:t>结果无效</w:t>
      </w:r>
      <w:r>
        <w:rPr>
          <w:rFonts w:hint="eastAsia" w:ascii="微软雅黑" w:hAnsi="微软雅黑" w:eastAsia="微软雅黑" w:cs="微软雅黑"/>
          <w:color w:val="auto"/>
          <w:sz w:val="24"/>
          <w:szCs w:val="24"/>
          <w:highlight w:val="none"/>
        </w:rPr>
        <w:t>情形时，采购人可与排名下一位的</w:t>
      </w:r>
      <w:r>
        <w:rPr>
          <w:rFonts w:hint="eastAsia" w:ascii="微软雅黑" w:hAnsi="微软雅黑" w:eastAsia="微软雅黑" w:cs="微软雅黑"/>
          <w:color w:val="auto"/>
          <w:sz w:val="24"/>
          <w:szCs w:val="24"/>
          <w:highlight w:val="none"/>
          <w:lang w:eastAsia="zh-CN"/>
        </w:rPr>
        <w:t>成交候选人</w:t>
      </w:r>
      <w:r>
        <w:rPr>
          <w:rFonts w:hint="eastAsia" w:ascii="微软雅黑" w:hAnsi="微软雅黑" w:eastAsia="微软雅黑" w:cs="微软雅黑"/>
          <w:color w:val="auto"/>
          <w:sz w:val="24"/>
          <w:szCs w:val="24"/>
          <w:highlight w:val="none"/>
        </w:rPr>
        <w:t>另行签订合同，或依法重新开展采购活动。</w:t>
      </w:r>
    </w:p>
    <w:p w14:paraId="42D61DAB">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452" w:name="_Toc17960"/>
      <w:bookmarkStart w:id="453" w:name="_Toc22398"/>
      <w:bookmarkStart w:id="454" w:name="_Toc28788"/>
      <w:bookmarkStart w:id="455" w:name="_Toc22555"/>
      <w:bookmarkStart w:id="456" w:name="_Toc11467"/>
      <w:bookmarkStart w:id="457" w:name="_Toc14080"/>
      <w:bookmarkStart w:id="458" w:name="_Toc8189"/>
      <w:bookmarkStart w:id="459" w:name="_Toc30291"/>
      <w:bookmarkStart w:id="460" w:name="_Toc26007"/>
      <w:bookmarkStart w:id="461" w:name="_Toc4849"/>
      <w:bookmarkStart w:id="462" w:name="_Toc10991"/>
      <w:bookmarkStart w:id="463" w:name="_Toc515647793"/>
      <w:bookmarkStart w:id="464" w:name="_Toc20986"/>
      <w:r>
        <w:rPr>
          <w:rFonts w:hint="eastAsia" w:ascii="微软雅黑" w:hAnsi="微软雅黑" w:eastAsia="微软雅黑" w:cs="微软雅黑"/>
          <w:color w:val="auto"/>
          <w:sz w:val="24"/>
          <w:szCs w:val="24"/>
          <w:highlight w:val="none"/>
          <w:u w:val="none"/>
        </w:rPr>
        <w:t>31.履约保证金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42AFBA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应按照</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规定向采购人缴纳履约保证金。</w:t>
      </w:r>
    </w:p>
    <w:p w14:paraId="0AEF610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政府采购利用担保试点范围内的项目，除31.1规定的情形外，</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也可以按照财政部门的规定，向采购人提供合格的履约担保函。</w:t>
      </w:r>
    </w:p>
    <w:p w14:paraId="1E920395">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rPr>
      </w:pPr>
      <w:bookmarkStart w:id="465" w:name="_Toc3090"/>
      <w:bookmarkStart w:id="466" w:name="_Toc17626"/>
      <w:bookmarkStart w:id="467" w:name="_Toc16406"/>
      <w:bookmarkStart w:id="468" w:name="_Toc21835"/>
      <w:bookmarkStart w:id="469" w:name="_Toc29408"/>
      <w:bookmarkStart w:id="470" w:name="_Toc26497"/>
      <w:bookmarkStart w:id="471" w:name="_Toc515647794"/>
      <w:bookmarkStart w:id="472" w:name="_Toc21246"/>
      <w:bookmarkStart w:id="473" w:name="_Toc10577"/>
      <w:bookmarkStart w:id="474" w:name="_Toc11298"/>
      <w:bookmarkStart w:id="475" w:name="_Toc9967"/>
      <w:bookmarkStart w:id="476" w:name="_Toc3025"/>
      <w:bookmarkStart w:id="477" w:name="_Toc14539"/>
      <w:r>
        <w:rPr>
          <w:rFonts w:hint="eastAsia" w:ascii="微软雅黑" w:hAnsi="微软雅黑" w:eastAsia="微软雅黑" w:cs="微软雅黑"/>
          <w:color w:val="auto"/>
          <w:sz w:val="24"/>
          <w:szCs w:val="24"/>
          <w:highlight w:val="none"/>
          <w:u w:val="none"/>
        </w:rPr>
        <w:t>32.</w:t>
      </w:r>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ascii="微软雅黑" w:hAnsi="微软雅黑" w:eastAsia="微软雅黑" w:cs="微软雅黑"/>
          <w:color w:val="auto"/>
          <w:sz w:val="24"/>
          <w:szCs w:val="24"/>
          <w:highlight w:val="none"/>
          <w:u w:val="none"/>
          <w:lang w:eastAsia="zh-CN"/>
        </w:rPr>
        <w:t>成交服务费：本项目无须支付代理费。</w:t>
      </w:r>
    </w:p>
    <w:p w14:paraId="3EC95629">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478" w:name="_Toc8426"/>
      <w:bookmarkStart w:id="479" w:name="_Toc23330"/>
      <w:bookmarkStart w:id="480" w:name="_Toc3013"/>
      <w:bookmarkStart w:id="481" w:name="_Toc16900"/>
      <w:bookmarkStart w:id="482" w:name="_Toc8477"/>
      <w:bookmarkStart w:id="483" w:name="_Toc515647795"/>
      <w:bookmarkStart w:id="484" w:name="_Toc7049"/>
      <w:bookmarkStart w:id="485" w:name="_Toc24417"/>
      <w:bookmarkStart w:id="486" w:name="_Toc24525"/>
      <w:bookmarkStart w:id="487" w:name="_Toc4947"/>
      <w:bookmarkStart w:id="488" w:name="_Toc3053"/>
      <w:bookmarkStart w:id="489" w:name="_Toc8303"/>
      <w:bookmarkStart w:id="490" w:name="_Toc6923"/>
      <w:r>
        <w:rPr>
          <w:rFonts w:hint="eastAsia" w:ascii="微软雅黑" w:hAnsi="微软雅黑" w:eastAsia="微软雅黑" w:cs="微软雅黑"/>
          <w:color w:val="auto"/>
          <w:sz w:val="24"/>
          <w:szCs w:val="24"/>
          <w:highlight w:val="none"/>
          <w:u w:val="none"/>
        </w:rPr>
        <w:t>33.政府采购信用担保</w:t>
      </w:r>
      <w:bookmarkEnd w:id="478"/>
      <w:bookmarkEnd w:id="479"/>
      <w:bookmarkEnd w:id="480"/>
      <w:bookmarkEnd w:id="481"/>
      <w:bookmarkEnd w:id="482"/>
      <w:bookmarkEnd w:id="483"/>
      <w:bookmarkEnd w:id="484"/>
      <w:bookmarkEnd w:id="485"/>
      <w:bookmarkEnd w:id="486"/>
      <w:bookmarkEnd w:id="487"/>
      <w:bookmarkEnd w:id="488"/>
      <w:bookmarkEnd w:id="489"/>
      <w:bookmarkEnd w:id="490"/>
    </w:p>
    <w:p w14:paraId="69751BB6">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   本项目是否属于信用担保试点范围见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51FAC4C7">
      <w:pPr>
        <w:pageBreakBefore w:val="0"/>
        <w:kinsoku/>
        <w:wordWrap/>
        <w:overflowPunct/>
        <w:topLinePunct w:val="0"/>
        <w:bidi w:val="0"/>
        <w:spacing w:line="360" w:lineRule="exact"/>
        <w:ind w:left="850" w:hanging="849" w:hangingChars="354"/>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   如属于政府采购信用担保试点范围内，中小型企业</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可以自由按照财政部门的规定，采用</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担保、履约担保和融资担保。</w:t>
      </w:r>
    </w:p>
    <w:p w14:paraId="69F54632">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33.2.1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递交的</w:t>
      </w:r>
      <w:r>
        <w:rPr>
          <w:rFonts w:hint="eastAsia" w:ascii="微软雅黑" w:hAnsi="微软雅黑" w:eastAsia="微软雅黑" w:cs="微软雅黑"/>
          <w:color w:val="auto"/>
          <w:sz w:val="24"/>
          <w:szCs w:val="24"/>
          <w:highlight w:val="none"/>
          <w:lang w:val="en-US" w:eastAsia="zh-CN"/>
        </w:rPr>
        <w:t>磋商</w:t>
      </w:r>
      <w:r>
        <w:rPr>
          <w:rFonts w:hint="eastAsia" w:ascii="微软雅黑" w:hAnsi="微软雅黑" w:eastAsia="微软雅黑" w:cs="微软雅黑"/>
          <w:color w:val="auto"/>
          <w:sz w:val="24"/>
          <w:szCs w:val="24"/>
          <w:highlight w:val="none"/>
        </w:rPr>
        <w:t>担保函和履约担保函应符合本</w:t>
      </w:r>
      <w:r>
        <w:rPr>
          <w:rFonts w:hint="eastAsia" w:ascii="微软雅黑" w:hAnsi="微软雅黑" w:eastAsia="微软雅黑" w:cs="微软雅黑"/>
          <w:color w:val="auto"/>
          <w:sz w:val="24"/>
          <w:szCs w:val="24"/>
          <w:highlight w:val="none"/>
          <w:lang w:eastAsia="zh-CN"/>
        </w:rPr>
        <w:t>磋商文件</w:t>
      </w:r>
      <w:r>
        <w:rPr>
          <w:rFonts w:hint="eastAsia" w:ascii="微软雅黑" w:hAnsi="微软雅黑" w:eastAsia="微软雅黑" w:cs="微软雅黑"/>
          <w:color w:val="auto"/>
          <w:sz w:val="24"/>
          <w:szCs w:val="24"/>
          <w:highlight w:val="none"/>
        </w:rPr>
        <w:t>的规定。</w:t>
      </w:r>
    </w:p>
    <w:p w14:paraId="7E000C38">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33.2.2 </w:t>
      </w:r>
      <w:r>
        <w:rPr>
          <w:rFonts w:hint="eastAsia" w:ascii="微软雅黑" w:hAnsi="微软雅黑" w:eastAsia="微软雅黑" w:cs="微软雅黑"/>
          <w:color w:val="auto"/>
          <w:sz w:val="24"/>
          <w:szCs w:val="24"/>
          <w:highlight w:val="none"/>
          <w:lang w:eastAsia="zh-CN"/>
        </w:rPr>
        <w:t>成交供应商</w:t>
      </w:r>
      <w:r>
        <w:rPr>
          <w:rFonts w:hint="eastAsia" w:ascii="微软雅黑" w:hAnsi="微软雅黑" w:eastAsia="微软雅黑" w:cs="微软雅黑"/>
          <w:color w:val="auto"/>
          <w:sz w:val="24"/>
          <w:szCs w:val="24"/>
          <w:highlight w:val="none"/>
        </w:rPr>
        <w:t>可以采取融资担保的形式为政府采购项目履约进行融资。</w:t>
      </w:r>
    </w:p>
    <w:p w14:paraId="3282A787">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33.2.3 合格的政府采购专业信用担保机构名单见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298D56D8">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491" w:name="_Toc31178"/>
      <w:bookmarkStart w:id="492" w:name="_Toc515647796"/>
      <w:bookmarkStart w:id="493" w:name="_Toc29108"/>
      <w:bookmarkStart w:id="494" w:name="_Toc2133"/>
      <w:bookmarkStart w:id="495" w:name="_Toc23161"/>
      <w:bookmarkStart w:id="496" w:name="_Toc3656"/>
      <w:bookmarkStart w:id="497" w:name="_Toc23999"/>
      <w:bookmarkStart w:id="498" w:name="_Toc6656"/>
      <w:bookmarkStart w:id="499" w:name="_Toc27009"/>
      <w:bookmarkStart w:id="500" w:name="_Toc21125"/>
      <w:bookmarkStart w:id="501" w:name="_Toc22695"/>
      <w:bookmarkStart w:id="502" w:name="_Toc26130"/>
      <w:bookmarkStart w:id="503" w:name="_Toc24458"/>
      <w:r>
        <w:rPr>
          <w:rFonts w:hint="eastAsia" w:ascii="微软雅黑" w:hAnsi="微软雅黑" w:eastAsia="微软雅黑" w:cs="微软雅黑"/>
          <w:color w:val="auto"/>
          <w:sz w:val="24"/>
          <w:szCs w:val="24"/>
          <w:highlight w:val="none"/>
          <w:u w:val="none"/>
        </w:rPr>
        <w:t>34.廉洁自律规定</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69A07A79">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34.1   采购代理机构工作人员不得以不正当手段获取政府采购代理业务，不得与采购人、供应商恶意串通操纵政府采购活动。</w:t>
      </w:r>
    </w:p>
    <w:p w14:paraId="44BA6455">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60476719">
      <w:pPr>
        <w:pStyle w:val="2"/>
        <w:pageBreakBefore w:val="0"/>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504" w:name="_Toc13915"/>
      <w:bookmarkStart w:id="505" w:name="_Toc5069"/>
      <w:bookmarkStart w:id="506" w:name="_Toc3319"/>
      <w:bookmarkStart w:id="507" w:name="_Toc10801"/>
      <w:bookmarkStart w:id="508" w:name="_Toc12619"/>
      <w:bookmarkStart w:id="509" w:name="_Toc19854"/>
      <w:bookmarkStart w:id="510" w:name="_Toc17079"/>
      <w:bookmarkStart w:id="511" w:name="_Toc29018"/>
      <w:bookmarkStart w:id="512" w:name="_Toc30009"/>
      <w:bookmarkStart w:id="513" w:name="_Toc11586"/>
      <w:bookmarkStart w:id="514" w:name="_Toc5448"/>
      <w:bookmarkStart w:id="515" w:name="_Toc25480"/>
      <w:bookmarkStart w:id="516" w:name="_Toc515647797"/>
      <w:r>
        <w:rPr>
          <w:rFonts w:hint="eastAsia" w:ascii="微软雅黑" w:hAnsi="微软雅黑" w:eastAsia="微软雅黑" w:cs="微软雅黑"/>
          <w:color w:val="auto"/>
          <w:sz w:val="24"/>
          <w:szCs w:val="24"/>
          <w:highlight w:val="none"/>
          <w:u w:val="none"/>
        </w:rPr>
        <w:t>35.人员回避</w:t>
      </w:r>
      <w:bookmarkEnd w:id="504"/>
      <w:bookmarkEnd w:id="505"/>
      <w:bookmarkEnd w:id="506"/>
      <w:bookmarkEnd w:id="507"/>
      <w:bookmarkEnd w:id="508"/>
      <w:bookmarkEnd w:id="509"/>
      <w:bookmarkEnd w:id="510"/>
      <w:bookmarkEnd w:id="511"/>
      <w:bookmarkEnd w:id="512"/>
      <w:bookmarkEnd w:id="513"/>
      <w:bookmarkEnd w:id="514"/>
      <w:bookmarkEnd w:id="515"/>
      <w:bookmarkEnd w:id="516"/>
    </w:p>
    <w:p w14:paraId="75ADF5B0">
      <w:pPr>
        <w:pageBreakBefore w:val="0"/>
        <w:kinsoku/>
        <w:wordWrap/>
        <w:overflowPunct/>
        <w:topLinePunct w:val="0"/>
        <w:bidi w:val="0"/>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认为采购人员及其相关人员有法律法规所列与其他供应商有利害关系的，可以向采购人或采购代理机构书面提出回避申请，并说明理由。</w:t>
      </w:r>
    </w:p>
    <w:p w14:paraId="12B93B7B">
      <w:pPr>
        <w:pStyle w:val="2"/>
        <w:pageBreakBefore w:val="0"/>
        <w:numPr>
          <w:ilvl w:val="0"/>
          <w:numId w:val="2"/>
        </w:numPr>
        <w:kinsoku/>
        <w:wordWrap/>
        <w:overflowPunct/>
        <w:topLinePunct w:val="0"/>
        <w:bidi w:val="0"/>
        <w:spacing w:before="0" w:after="0" w:line="360" w:lineRule="exact"/>
        <w:rPr>
          <w:rFonts w:hint="eastAsia" w:ascii="微软雅黑" w:hAnsi="微软雅黑" w:eastAsia="微软雅黑" w:cs="微软雅黑"/>
          <w:color w:val="auto"/>
          <w:sz w:val="24"/>
          <w:szCs w:val="24"/>
          <w:highlight w:val="none"/>
          <w:u w:val="none"/>
        </w:rPr>
      </w:pPr>
      <w:bookmarkStart w:id="517" w:name="_Toc12880"/>
      <w:bookmarkStart w:id="518" w:name="_Toc6387"/>
      <w:bookmarkStart w:id="519" w:name="_Toc6634"/>
      <w:bookmarkStart w:id="520" w:name="_Toc7870"/>
      <w:bookmarkStart w:id="521" w:name="_Toc15205"/>
      <w:bookmarkStart w:id="522" w:name="_Toc24153"/>
      <w:bookmarkStart w:id="523" w:name="_Toc30943"/>
      <w:bookmarkStart w:id="524" w:name="_Toc17040"/>
      <w:bookmarkStart w:id="525" w:name="_Toc10068"/>
      <w:r>
        <w:rPr>
          <w:rFonts w:hint="eastAsia" w:ascii="微软雅黑" w:hAnsi="微软雅黑" w:eastAsia="微软雅黑" w:cs="微软雅黑"/>
          <w:color w:val="auto"/>
          <w:sz w:val="24"/>
          <w:szCs w:val="24"/>
          <w:highlight w:val="none"/>
          <w:u w:val="none"/>
        </w:rPr>
        <w:t>质疑与接收</w:t>
      </w:r>
      <w:bookmarkEnd w:id="517"/>
      <w:bookmarkEnd w:id="518"/>
      <w:bookmarkEnd w:id="519"/>
      <w:bookmarkEnd w:id="520"/>
      <w:bookmarkEnd w:id="521"/>
      <w:bookmarkEnd w:id="522"/>
      <w:bookmarkEnd w:id="523"/>
      <w:bookmarkEnd w:id="524"/>
      <w:bookmarkEnd w:id="525"/>
    </w:p>
    <w:p w14:paraId="3667BCE9">
      <w:pPr>
        <w:numPr>
          <w:ilvl w:val="0"/>
          <w:numId w:val="0"/>
        </w:numPr>
        <w:rPr>
          <w:rFonts w:hint="eastAsia"/>
          <w:highlight w:val="none"/>
        </w:rPr>
      </w:pPr>
    </w:p>
    <w:p w14:paraId="5A2B7846">
      <w:pPr>
        <w:spacing w:line="360" w:lineRule="auto"/>
        <w:ind w:left="851" w:leftChars="68" w:hanging="708" w:hangingChars="295"/>
        <w:rPr>
          <w:rFonts w:hint="eastAsia" w:ascii="微软雅黑" w:hAnsi="微软雅黑" w:eastAsia="微软雅黑" w:cs="微软雅黑"/>
          <w:color w:val="auto"/>
          <w:sz w:val="24"/>
          <w:szCs w:val="24"/>
          <w:highlight w:val="none"/>
        </w:rPr>
      </w:pPr>
      <w:bookmarkStart w:id="526" w:name="_Toc20549"/>
      <w:bookmarkStart w:id="527" w:name="_Toc9437"/>
      <w:bookmarkStart w:id="528" w:name="_Toc27601"/>
      <w:bookmarkStart w:id="529" w:name="_Toc30093"/>
      <w:bookmarkStart w:id="530" w:name="_Toc9016"/>
      <w:bookmarkStart w:id="531" w:name="_Toc8353"/>
      <w:bookmarkStart w:id="532" w:name="_Toc25636"/>
      <w:bookmarkStart w:id="533" w:name="_Toc7516"/>
      <w:bookmarkStart w:id="534" w:name="_Toc23411"/>
      <w:bookmarkStart w:id="535" w:name="_Toc11297"/>
      <w:bookmarkStart w:id="536" w:name="_Toc12088"/>
      <w:bookmarkStart w:id="537" w:name="_Toc1369"/>
      <w:bookmarkStart w:id="538" w:name="_Toc20088"/>
      <w:bookmarkStart w:id="539" w:name="_Toc16553"/>
      <w:r>
        <w:rPr>
          <w:rFonts w:hint="eastAsia" w:ascii="微软雅黑" w:hAnsi="微软雅黑" w:eastAsia="微软雅黑" w:cs="微软雅黑"/>
          <w:color w:val="auto"/>
          <w:sz w:val="24"/>
          <w:szCs w:val="24"/>
          <w:highlight w:val="none"/>
        </w:rPr>
        <w:t>36.1</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6099FACA">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56D764F9">
      <w:pPr>
        <w:spacing w:line="360" w:lineRule="auto"/>
        <w:ind w:left="959" w:leftChars="114" w:hanging="720" w:hangingChars="3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90BDA73">
      <w:pPr>
        <w:spacing w:line="360" w:lineRule="auto"/>
        <w:ind w:left="959" w:leftChars="114" w:hanging="720" w:hangingChars="300"/>
        <w:jc w:val="lef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6AD12EA">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5采购人和采购代理机构</w:t>
      </w:r>
      <w:r>
        <w:rPr>
          <w:rFonts w:hint="eastAsia" w:ascii="微软雅黑" w:hAnsi="微软雅黑" w:eastAsia="微软雅黑" w:cs="微软雅黑"/>
          <w:color w:val="auto"/>
          <w:sz w:val="24"/>
          <w:szCs w:val="24"/>
          <w:highlight w:val="none"/>
        </w:rPr>
        <w:t>质疑函接</w:t>
      </w:r>
      <w:r>
        <w:rPr>
          <w:rFonts w:hint="eastAsia" w:ascii="微软雅黑" w:hAnsi="微软雅黑" w:eastAsia="微软雅黑" w:cs="微软雅黑"/>
          <w:color w:val="auto"/>
          <w:sz w:val="24"/>
          <w:szCs w:val="24"/>
          <w:highlight w:val="none"/>
          <w:lang w:eastAsia="zh-CN"/>
        </w:rPr>
        <w:t>部门</w:t>
      </w:r>
      <w:r>
        <w:rPr>
          <w:rFonts w:hint="eastAsia" w:ascii="微软雅黑" w:hAnsi="微软雅黑" w:eastAsia="微软雅黑" w:cs="微软雅黑"/>
          <w:color w:val="auto"/>
          <w:sz w:val="24"/>
          <w:szCs w:val="24"/>
          <w:highlight w:val="none"/>
        </w:rPr>
        <w:t>、联系电话和通讯地址,见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p>
    <w:p w14:paraId="02651606">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质疑的提出：一次提出全部质疑</w:t>
      </w:r>
    </w:p>
    <w:p w14:paraId="56364957">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本采购文件中所称质疑及答复，是指参加本次采购活动的供应商对政府采购活动中的采购文件、采购过程和成交结果向采购方</w:t>
      </w:r>
      <w:r>
        <w:rPr>
          <w:rFonts w:hint="eastAsia" w:ascii="微软雅黑" w:hAnsi="微软雅黑" w:eastAsia="微软雅黑" w:cs="微软雅黑"/>
          <w:color w:val="auto"/>
          <w:sz w:val="24"/>
          <w:szCs w:val="24"/>
          <w:highlight w:val="none"/>
          <w:lang w:eastAsia="zh-CN"/>
        </w:rPr>
        <w:t>或其委托的采购代理机构</w:t>
      </w:r>
      <w:r>
        <w:rPr>
          <w:rFonts w:hint="eastAsia" w:ascii="微软雅黑" w:hAnsi="微软雅黑" w:eastAsia="微软雅黑" w:cs="微软雅黑"/>
          <w:color w:val="auto"/>
          <w:sz w:val="24"/>
          <w:szCs w:val="24"/>
          <w:highlight w:val="none"/>
        </w:rPr>
        <w:t>提出质疑，采购方</w:t>
      </w:r>
      <w:r>
        <w:rPr>
          <w:rFonts w:hint="eastAsia" w:ascii="微软雅黑" w:hAnsi="微软雅黑" w:eastAsia="微软雅黑" w:cs="微软雅黑"/>
          <w:color w:val="auto"/>
          <w:sz w:val="24"/>
          <w:szCs w:val="24"/>
          <w:highlight w:val="none"/>
          <w:lang w:eastAsia="zh-CN"/>
        </w:rPr>
        <w:t>或其委托的采购代理机构</w:t>
      </w:r>
      <w:r>
        <w:rPr>
          <w:rFonts w:hint="eastAsia" w:ascii="微软雅黑" w:hAnsi="微软雅黑" w:eastAsia="微软雅黑" w:cs="微软雅黑"/>
          <w:color w:val="auto"/>
          <w:sz w:val="24"/>
          <w:szCs w:val="24"/>
          <w:highlight w:val="none"/>
        </w:rPr>
        <w:t>答复质疑的行为。</w:t>
      </w:r>
    </w:p>
    <w:p w14:paraId="6F5F3FD1">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供应商认为采购文件、采购过程和成交结果使自己的权益受到损害的，可以在知道或者应知其权益受到损害之日起7个工作日内，以书面形式向</w:t>
      </w:r>
      <w:r>
        <w:rPr>
          <w:rFonts w:hint="eastAsia" w:ascii="微软雅黑" w:hAnsi="微软雅黑" w:eastAsia="微软雅黑" w:cs="微软雅黑"/>
          <w:color w:val="auto"/>
          <w:sz w:val="24"/>
          <w:szCs w:val="24"/>
          <w:highlight w:val="none"/>
          <w:lang w:eastAsia="zh-CN"/>
        </w:rPr>
        <w:t>采</w:t>
      </w:r>
      <w:r>
        <w:rPr>
          <w:rFonts w:hint="eastAsia" w:ascii="微软雅黑" w:hAnsi="微软雅黑" w:eastAsia="微软雅黑" w:cs="微软雅黑"/>
          <w:color w:val="auto"/>
          <w:sz w:val="24"/>
          <w:szCs w:val="24"/>
          <w:highlight w:val="none"/>
        </w:rPr>
        <w:t>购人、采购代理机构提出质疑提出质疑。供应商应知其权益受到损害之日，是指：</w:t>
      </w:r>
    </w:p>
    <w:p w14:paraId="44CDF3B8">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（一）对可以质疑的采购文件提出质疑的，为收到采购文件之日或者采购文件公告期限届满之日；</w:t>
      </w:r>
    </w:p>
    <w:p w14:paraId="456529DB">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（二）对采购过程提出质疑的，为各采购程序环节结束之日；</w:t>
      </w:r>
    </w:p>
    <w:p w14:paraId="73C7A3BE">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（三）对成交结果提出质疑的，为成交结果公告期限届满之日。</w:t>
      </w:r>
    </w:p>
    <w:p w14:paraId="718E764A">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44139AFA">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2A58DF20">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提出质疑应当符合下列条件：</w:t>
      </w:r>
    </w:p>
    <w:p w14:paraId="214AA28B">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（一）质疑主体应当符合有关规定；</w:t>
      </w:r>
    </w:p>
    <w:p w14:paraId="474275DE">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（二）在质疑法定期限内提出；</w:t>
      </w:r>
    </w:p>
    <w:p w14:paraId="5AE50346">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（三）属于可以提出质疑的政府采购事项受理范围和本项目采购人的管辖权范围；</w:t>
      </w:r>
    </w:p>
    <w:p w14:paraId="65581DF5">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（四）政府采购法律、法规、规章规定的其他条件。</w:t>
      </w:r>
    </w:p>
    <w:p w14:paraId="306257C4">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37</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供应商提出质疑应当提交质疑函和必要的证明材料。质疑函应当包括下列内容：</w:t>
      </w:r>
    </w:p>
    <w:p w14:paraId="374D5AC5">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（一）供应商的姓名或者名称、地址、邮编、联系人及联系电话；</w:t>
      </w:r>
    </w:p>
    <w:p w14:paraId="0B0ED206">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（二）质疑项目的名称、编号；</w:t>
      </w:r>
    </w:p>
    <w:p w14:paraId="5495AA8C">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（三）具体、明确的质疑事项和与质疑事项相关的请求；</w:t>
      </w:r>
    </w:p>
    <w:p w14:paraId="13FC92D2">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（四）事实依据；</w:t>
      </w:r>
    </w:p>
    <w:p w14:paraId="09C90AF9">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（五）必要的法律依据；</w:t>
      </w:r>
    </w:p>
    <w:p w14:paraId="6E4EB1D0">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（六）提出质疑的日期。</w:t>
      </w:r>
    </w:p>
    <w:p w14:paraId="45F96A15">
      <w:pPr>
        <w:spacing w:line="360" w:lineRule="auto"/>
        <w:ind w:left="850" w:leftChars="296" w:hanging="228" w:hangingChars="95"/>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供应商为自然人的，应当由本人签字；供应商为法人或者其他组织的，</w:t>
      </w:r>
      <w:r>
        <w:rPr>
          <w:rFonts w:hint="eastAsia" w:ascii="微软雅黑" w:hAnsi="微软雅黑" w:eastAsia="微软雅黑" w:cs="微软雅黑"/>
          <w:color w:val="auto"/>
          <w:sz w:val="24"/>
          <w:szCs w:val="24"/>
          <w:highlight w:val="none"/>
          <w:lang w:eastAsia="zh-CN"/>
        </w:rPr>
        <w:t>应</w:t>
      </w:r>
      <w:r>
        <w:rPr>
          <w:rFonts w:hint="eastAsia" w:ascii="微软雅黑" w:hAnsi="微软雅黑" w:eastAsia="微软雅黑" w:cs="微软雅黑"/>
          <w:color w:val="auto"/>
          <w:sz w:val="24"/>
          <w:szCs w:val="24"/>
          <w:highlight w:val="none"/>
        </w:rPr>
        <w:t>当由法定代表人、主要负责人，或者其授权代表签字或者盖章，并加盖公章。</w:t>
      </w:r>
    </w:p>
    <w:p w14:paraId="154EEDAC">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37.</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质疑人可以委托代理人进行质疑。代理人应当提交授权委托书。授权委托书应当载明委托代理的具体权限、期限和相关事项。</w:t>
      </w:r>
    </w:p>
    <w:p w14:paraId="4F016769">
      <w:pPr>
        <w:spacing w:line="360" w:lineRule="auto"/>
        <w:ind w:left="851" w:leftChars="68" w:hanging="708" w:hangingChars="29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37.</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质疑的审查和受理</w:t>
      </w:r>
    </w:p>
    <w:p w14:paraId="4CD73808">
      <w:pPr>
        <w:spacing w:line="360" w:lineRule="auto"/>
        <w:ind w:left="861" w:leftChars="410" w:firstLine="12" w:firstLineChars="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采购方</w:t>
      </w:r>
      <w:r>
        <w:rPr>
          <w:rFonts w:hint="eastAsia" w:ascii="微软雅黑" w:hAnsi="微软雅黑" w:eastAsia="微软雅黑" w:cs="微软雅黑"/>
          <w:color w:val="auto"/>
          <w:sz w:val="24"/>
          <w:szCs w:val="24"/>
          <w:highlight w:val="none"/>
          <w:lang w:eastAsia="zh-CN"/>
        </w:rPr>
        <w:t>或其委托的招标代理机构</w:t>
      </w:r>
      <w:r>
        <w:rPr>
          <w:rFonts w:hint="eastAsia" w:ascii="微软雅黑" w:hAnsi="微软雅黑" w:eastAsia="微软雅黑" w:cs="微软雅黑"/>
          <w:color w:val="auto"/>
          <w:sz w:val="24"/>
          <w:szCs w:val="24"/>
          <w:highlight w:val="none"/>
        </w:rPr>
        <w:t>在收到质疑函后应当及时审查是否符合质疑受理条件，对符合质疑受理条件的，及时予以受理。</w:t>
      </w:r>
    </w:p>
    <w:p w14:paraId="48237E4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38.采购人、采购代理机构不得拒收质疑供应商在法定质疑期内发出的质疑函，应当在收到质疑函后7个工作日内作出答复，并以书面形式通知质疑供应商和其他有关供应商。</w:t>
      </w:r>
    </w:p>
    <w:p w14:paraId="07B0C80A">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38.1</w:t>
      </w:r>
      <w:r>
        <w:rPr>
          <w:rFonts w:hint="eastAsia" w:ascii="微软雅黑" w:hAnsi="微软雅黑" w:eastAsia="微软雅黑" w:cs="微软雅黑"/>
          <w:color w:val="auto"/>
          <w:sz w:val="24"/>
          <w:szCs w:val="24"/>
          <w:highlight w:val="none"/>
        </w:rPr>
        <w:t>供应商对评审过程、中标或者成交结果提出质疑的，采购人、采购代理机构可以组织原评标委员会、竞争性谈判小组、询价小组或者竞争性磋商小组协助答复质疑。</w:t>
      </w:r>
    </w:p>
    <w:p w14:paraId="707882E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38.</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质疑答复应当包括下列内容：</w:t>
      </w:r>
    </w:p>
    <w:p w14:paraId="67AA882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（一）质疑供应商的姓名或者名称；</w:t>
      </w:r>
    </w:p>
    <w:p w14:paraId="38A6BAE8">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（二）收到质疑函的日期、质疑项目名称及编号；</w:t>
      </w:r>
    </w:p>
    <w:p w14:paraId="490605A0">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（三）质疑事项、质疑答复的具体内容、事实依据和法律依据；</w:t>
      </w:r>
    </w:p>
    <w:p w14:paraId="5CCE9A8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（四）告知质疑供应商依法投诉的权利；</w:t>
      </w:r>
    </w:p>
    <w:p w14:paraId="61EC929A">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（五）质疑答复人名称；</w:t>
      </w:r>
    </w:p>
    <w:p w14:paraId="08AFE4B8">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（六）答复质疑的日期。</w:t>
      </w:r>
    </w:p>
    <w:p w14:paraId="304024C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质疑答复的内容不得涉及商业秘密。</w:t>
      </w:r>
    </w:p>
    <w:p w14:paraId="4532B235">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w:t>
      </w:r>
      <w:r>
        <w:rPr>
          <w:rFonts w:hint="eastAsia" w:ascii="微软雅黑" w:hAnsi="微软雅黑" w:eastAsia="微软雅黑" w:cs="微软雅黑"/>
          <w:color w:val="auto"/>
          <w:sz w:val="24"/>
          <w:szCs w:val="24"/>
          <w:highlight w:val="none"/>
          <w:lang w:val="en-US" w:eastAsia="zh-CN"/>
        </w:rPr>
        <w:t>39.</w:t>
      </w:r>
      <w:r>
        <w:rPr>
          <w:rFonts w:hint="eastAsia" w:ascii="微软雅黑" w:hAnsi="微软雅黑" w:eastAsia="微软雅黑" w:cs="微软雅黑"/>
          <w:color w:val="auto"/>
          <w:sz w:val="24"/>
          <w:szCs w:val="24"/>
          <w:highlight w:val="none"/>
        </w:rPr>
        <w:t xml:space="preserve"> 采购人、采购代理机构认为供应商质疑不成立，或者成立但未对中标、成交结果构成影响的，继续开展采购活动；认为供应商质疑成立且影响或者可能影响中标、成交结果的，按照下列情况处理：</w:t>
      </w:r>
    </w:p>
    <w:p w14:paraId="2FB4BDE9">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w:t>
      </w:r>
      <w:r>
        <w:rPr>
          <w:rFonts w:hint="eastAsia" w:ascii="微软雅黑" w:hAnsi="微软雅黑" w:eastAsia="微软雅黑" w:cs="微软雅黑"/>
          <w:color w:val="auto"/>
          <w:sz w:val="24"/>
          <w:szCs w:val="24"/>
          <w:highlight w:val="none"/>
          <w:lang w:val="en-US" w:eastAsia="zh-CN"/>
        </w:rPr>
        <w:t>39.1</w:t>
      </w:r>
      <w:r>
        <w:rPr>
          <w:rFonts w:hint="eastAsia" w:ascii="微软雅黑" w:hAnsi="微软雅黑" w:eastAsia="微软雅黑" w:cs="微软雅黑"/>
          <w:color w:val="auto"/>
          <w:sz w:val="24"/>
          <w:szCs w:val="24"/>
          <w:highlight w:val="none"/>
        </w:rPr>
        <w:t>对采购文件提出的质疑，依法通过澄清或者修改可以继续开展采购活动的，澄清或者修改采购文件后继续开展采购活动；否则应当修改采购文件后重新开展采购活动。</w:t>
      </w:r>
    </w:p>
    <w:p w14:paraId="02DA90C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w:t>
      </w:r>
      <w:r>
        <w:rPr>
          <w:rFonts w:hint="eastAsia" w:ascii="微软雅黑" w:hAnsi="微软雅黑" w:eastAsia="微软雅黑" w:cs="微软雅黑"/>
          <w:color w:val="auto"/>
          <w:sz w:val="24"/>
          <w:szCs w:val="24"/>
          <w:highlight w:val="none"/>
          <w:lang w:val="en-US" w:eastAsia="zh-CN"/>
        </w:rPr>
        <w:t>39.2</w:t>
      </w:r>
      <w:r>
        <w:rPr>
          <w:rFonts w:hint="eastAsia" w:ascii="微软雅黑" w:hAnsi="微软雅黑" w:eastAsia="微软雅黑" w:cs="微软雅黑"/>
          <w:color w:val="auto"/>
          <w:sz w:val="24"/>
          <w:szCs w:val="24"/>
          <w:highlight w:val="none"/>
        </w:rPr>
        <w:t>对采购过程、中标或者成交结果提出的质疑，合格供应商符合法定数量时，可以从合格的中标或者成交候选人中另行确定中标、成交供应商的，应当依法另行确定中标、成交供应商；否则应当重新开展采购活动。</w:t>
      </w:r>
    </w:p>
    <w:p w14:paraId="1A61877A">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质疑答复导致中标、成交结果改变的，采购人或者采购代理机构应当将有关情况书面报告本级财政部门。</w:t>
      </w:r>
    </w:p>
    <w:p w14:paraId="6A4F92FD">
      <w:pPr>
        <w:spacing w:line="360" w:lineRule="auto"/>
        <w:rPr>
          <w:rFonts w:hint="eastAsia" w:ascii="微软雅黑" w:hAnsi="微软雅黑" w:eastAsia="微软雅黑" w:cs="微软雅黑"/>
          <w:color w:val="auto"/>
          <w:sz w:val="24"/>
          <w:szCs w:val="24"/>
          <w:highlight w:val="none"/>
        </w:rPr>
      </w:pPr>
    </w:p>
    <w:p w14:paraId="53960ECA">
      <w:pPr>
        <w:pageBreakBefore w:val="0"/>
        <w:kinsoku/>
        <w:wordWrap/>
        <w:overflowPunct/>
        <w:topLinePunct w:val="0"/>
        <w:bidi w:val="0"/>
        <w:spacing w:line="360" w:lineRule="exact"/>
        <w:jc w:val="left"/>
        <w:outlineLvl w:val="9"/>
        <w:rPr>
          <w:rFonts w:hint="eastAsia" w:ascii="宋体" w:hAnsi="宋体" w:eastAsia="宋体" w:cs="宋体"/>
          <w:b/>
          <w:bCs/>
          <w:color w:val="auto"/>
          <w:sz w:val="24"/>
          <w:szCs w:val="24"/>
          <w:highlight w:val="none"/>
        </w:rPr>
      </w:pPr>
    </w:p>
    <w:p w14:paraId="2E5905FD">
      <w:pPr>
        <w:pageBreakBefore w:val="0"/>
        <w:kinsoku/>
        <w:wordWrap/>
        <w:overflowPunct/>
        <w:topLinePunct w:val="0"/>
        <w:bidi w:val="0"/>
        <w:spacing w:line="360" w:lineRule="exact"/>
        <w:jc w:val="center"/>
        <w:outlineLvl w:val="9"/>
        <w:rPr>
          <w:rFonts w:hint="eastAsia" w:ascii="宋体" w:hAnsi="宋体" w:eastAsia="宋体" w:cs="宋体"/>
          <w:b/>
          <w:bCs/>
          <w:color w:val="auto"/>
          <w:sz w:val="24"/>
          <w:szCs w:val="24"/>
          <w:highlight w:val="none"/>
        </w:rPr>
      </w:pPr>
    </w:p>
    <w:p w14:paraId="17C93668">
      <w:pPr>
        <w:pStyle w:val="2"/>
        <w:pageBreakBefore w:val="0"/>
        <w:kinsoku/>
        <w:wordWrap/>
        <w:overflowPunct/>
        <w:topLinePunct w:val="0"/>
        <w:bidi w:val="0"/>
        <w:spacing w:before="0" w:after="0" w:line="360" w:lineRule="exact"/>
        <w:jc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质疑函范本</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759A26C9">
      <w:pPr>
        <w:pageBreakBefore w:val="0"/>
        <w:kinsoku/>
        <w:wordWrap/>
        <w:overflowPunct/>
        <w:topLinePunct w:val="0"/>
        <w:bidi w:val="0"/>
        <w:adjustRightInd w:val="0"/>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56F30901">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5750703D">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1F47C2F">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99A38A0">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58FC8AF">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243B191">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632F037">
      <w:pPr>
        <w:pageBreakBefore w:val="0"/>
        <w:kinsoku/>
        <w:wordWrap/>
        <w:overflowPunct/>
        <w:topLinePunct w:val="0"/>
        <w:bidi w:val="0"/>
        <w:adjustRightInd w:val="0"/>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50426AA3">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2466C95A">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lang w:eastAsia="zh-CN"/>
        </w:rPr>
        <w:t>标项</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dotted"/>
        </w:rPr>
        <w:t xml:space="preserve">                 </w:t>
      </w:r>
    </w:p>
    <w:p w14:paraId="41C5647A">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6023BB37">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35815AE0">
      <w:pPr>
        <w:pageBreakBefore w:val="0"/>
        <w:kinsoku/>
        <w:wordWrap/>
        <w:overflowPunct/>
        <w:topLinePunct w:val="0"/>
        <w:bidi w:val="0"/>
        <w:adjustRightInd w:val="0"/>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208FE33B">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DB23395">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C528A33">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17A1B307">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BE373D0">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216BE58B">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3FBC8185">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6E28AB3">
      <w:pPr>
        <w:pageBreakBefore w:val="0"/>
        <w:kinsoku/>
        <w:wordWrap/>
        <w:overflowPunct/>
        <w:topLinePunct w:val="0"/>
        <w:bidi w:val="0"/>
        <w:adjustRightInd w:val="0"/>
        <w:snapToGri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0B6B0A7C">
      <w:pPr>
        <w:pageBreakBefore w:val="0"/>
        <w:kinsoku/>
        <w:wordWrap/>
        <w:overflowPunct/>
        <w:topLinePunct w:val="0"/>
        <w:bidi w:val="0"/>
        <w:adjustRightInd w:val="0"/>
        <w:snapToGrid w:val="0"/>
        <w:spacing w:line="360" w:lineRule="exact"/>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7CAFA8B">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4D446B84">
      <w:pPr>
        <w:pageBreakBefore w:val="0"/>
        <w:kinsoku/>
        <w:wordWrap/>
        <w:overflowPunct/>
        <w:topLinePunct w:val="0"/>
        <w:bidi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9897B2D">
      <w:pPr>
        <w:pageBreakBefore w:val="0"/>
        <w:kinsoku/>
        <w:wordWrap/>
        <w:overflowPunct/>
        <w:topLinePunct w:val="0"/>
        <w:bidi w:val="0"/>
        <w:spacing w:line="360" w:lineRule="exact"/>
        <w:rPr>
          <w:rFonts w:hint="eastAsia" w:ascii="宋体" w:hAnsi="宋体" w:eastAsia="宋体" w:cs="宋体"/>
          <w:b/>
          <w:color w:val="auto"/>
          <w:sz w:val="24"/>
          <w:szCs w:val="24"/>
          <w:highlight w:val="none"/>
        </w:rPr>
      </w:pPr>
    </w:p>
    <w:p w14:paraId="4947504B">
      <w:pPr>
        <w:pageBreakBefore w:val="0"/>
        <w:kinsoku/>
        <w:wordWrap/>
        <w:overflowPunct/>
        <w:topLinePunct w:val="0"/>
        <w:bidi w:val="0"/>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0FDFCADE">
      <w:pPr>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711C81">
      <w:pPr>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F89C6F8">
      <w:pPr>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11822E60">
      <w:pPr>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4E9095AD">
      <w:pPr>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2B3674F2">
      <w:pPr>
        <w:pageBreakBefore w:val="0"/>
        <w:widowControl/>
        <w:kinsoku/>
        <w:wordWrap/>
        <w:overflowPunct/>
        <w:topLinePunct w:val="0"/>
        <w:bidi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AA7BA6A">
      <w:pPr>
        <w:rPr>
          <w:rFonts w:hint="eastAsia" w:ascii="宋体" w:hAnsi="宋体" w:eastAsia="宋体" w:cs="宋体"/>
          <w:b/>
          <w:i w:val="0"/>
          <w:color w:val="auto"/>
          <w:spacing w:val="0"/>
          <w:w w:val="100"/>
          <w:sz w:val="24"/>
          <w:szCs w:val="24"/>
          <w:highlight w:val="none"/>
        </w:rPr>
      </w:pPr>
      <w:r>
        <w:rPr>
          <w:rFonts w:hint="eastAsia" w:ascii="宋体" w:hAnsi="宋体" w:eastAsia="宋体" w:cs="宋体"/>
          <w:b/>
          <w:i w:val="0"/>
          <w:color w:val="auto"/>
          <w:spacing w:val="0"/>
          <w:w w:val="100"/>
          <w:sz w:val="24"/>
          <w:szCs w:val="24"/>
          <w:highlight w:val="none"/>
        </w:rPr>
        <w:br w:type="page"/>
      </w:r>
    </w:p>
    <w:p w14:paraId="00B30503">
      <w:pPr>
        <w:pStyle w:val="5"/>
        <w:ind w:firstLine="0"/>
        <w:jc w:val="center"/>
        <w:outlineLvl w:val="0"/>
        <w:rPr>
          <w:rFonts w:hint="eastAsia" w:ascii="宋体" w:hAnsi="宋体" w:eastAsia="宋体" w:cs="宋体"/>
          <w:b/>
          <w:bCs/>
          <w:color w:val="auto"/>
          <w:sz w:val="32"/>
          <w:szCs w:val="32"/>
          <w:highlight w:val="none"/>
          <w:lang w:val="en-US" w:eastAsia="zh-CN"/>
        </w:rPr>
      </w:pPr>
      <w:bookmarkStart w:id="540" w:name="_Toc13269"/>
      <w:r>
        <w:rPr>
          <w:rFonts w:hint="eastAsia" w:ascii="宋体" w:hAnsi="宋体" w:eastAsia="宋体" w:cs="宋体"/>
          <w:b/>
          <w:bCs/>
          <w:color w:val="auto"/>
          <w:sz w:val="32"/>
          <w:szCs w:val="32"/>
          <w:highlight w:val="none"/>
          <w:lang w:val="en-US" w:eastAsia="zh-CN"/>
        </w:rPr>
        <w:t>第2章 响应文件格式</w:t>
      </w:r>
      <w:bookmarkEnd w:id="540"/>
    </w:p>
    <w:p w14:paraId="6262F4C9">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宋体" w:hAnsi="宋体" w:eastAsia="宋体" w:cs="宋体"/>
          <w:b/>
          <w:i w:val="0"/>
          <w:color w:val="auto"/>
          <w:spacing w:val="0"/>
          <w:w w:val="100"/>
          <w:sz w:val="28"/>
          <w:szCs w:val="28"/>
          <w:highlight w:val="none"/>
        </w:rPr>
      </w:pPr>
      <w:bookmarkStart w:id="541" w:name="_Toc3315"/>
      <w:bookmarkEnd w:id="541"/>
      <w:bookmarkStart w:id="542" w:name="_Toc19961"/>
      <w:bookmarkEnd w:id="542"/>
      <w:bookmarkStart w:id="543" w:name="_Toc18974"/>
      <w:bookmarkEnd w:id="543"/>
      <w:bookmarkStart w:id="544" w:name="_Toc515647803"/>
      <w:bookmarkEnd w:id="544"/>
      <w:bookmarkStart w:id="545" w:name="_Toc26489"/>
      <w:bookmarkEnd w:id="545"/>
      <w:bookmarkStart w:id="546" w:name="_Toc18694"/>
      <w:bookmarkEnd w:id="546"/>
      <w:bookmarkStart w:id="547" w:name="_Toc21920"/>
      <w:bookmarkEnd w:id="547"/>
      <w:bookmarkStart w:id="548" w:name="_Toc26537"/>
      <w:r>
        <w:rPr>
          <w:rFonts w:hint="eastAsia" w:ascii="宋体" w:hAnsi="宋体" w:eastAsia="宋体" w:cs="宋体"/>
          <w:b/>
          <w:i w:val="0"/>
          <w:color w:val="auto"/>
          <w:spacing w:val="0"/>
          <w:w w:val="100"/>
          <w:sz w:val="28"/>
          <w:szCs w:val="28"/>
          <w:highlight w:val="none"/>
        </w:rPr>
        <w:t>第一部分 磋商一览表及资格证明文件</w:t>
      </w:r>
      <w:bookmarkEnd w:id="548"/>
    </w:p>
    <w:p w14:paraId="5CD27312">
      <w:pPr>
        <w:tabs>
          <w:tab w:val="left" w:pos="5580"/>
        </w:tabs>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一览表</w:t>
      </w:r>
      <w:r>
        <w:rPr>
          <w:rFonts w:hint="eastAsia" w:ascii="宋体" w:hAnsi="宋体" w:eastAsia="宋体" w:cs="宋体"/>
          <w:color w:val="auto"/>
          <w:sz w:val="24"/>
          <w:highlight w:val="none"/>
          <w:lang w:eastAsia="zh-CN"/>
        </w:rPr>
        <w:t>；</w:t>
      </w:r>
    </w:p>
    <w:p w14:paraId="7297C716">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具有三证合一企业法人营业执照副本原件的扫描件；</w:t>
      </w:r>
    </w:p>
    <w:p w14:paraId="07808204">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提供法定代表人资格证明及授权书、被授权人身份证复印件；(法定代表人</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lang w:eastAsia="zh-CN"/>
        </w:rPr>
        <w:t>需提供法定代表人身份证复印件)；</w:t>
      </w:r>
    </w:p>
    <w:p w14:paraId="3CBAA793">
      <w:pPr>
        <w:pStyle w:val="1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eastAsia" w:hAnsi="宋体" w:cs="宋体"/>
          <w:color w:val="auto"/>
          <w:kern w:val="2"/>
          <w:sz w:val="24"/>
          <w:szCs w:val="24"/>
          <w:highlight w:val="none"/>
          <w:lang w:val="en-US" w:eastAsia="zh-CN" w:bidi="ar-SA"/>
        </w:rPr>
        <w:t>具有良好的商业信誉和健全的财务会计制度（投标人提供近两年任意一年财务审计报告，新成立未满一年的公司提供开标前三个月内有效银行资信证明）；</w:t>
      </w:r>
    </w:p>
    <w:p w14:paraId="71893FEB">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eastAsia="zh-CN"/>
        </w:rPr>
        <w:t>有依法缴纳社会保障资金的良好记录；须提供近期连续3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r>
        <w:rPr>
          <w:rFonts w:hint="eastAsia" w:ascii="宋体" w:hAnsi="宋体" w:eastAsia="宋体" w:cs="宋体"/>
          <w:color w:val="auto"/>
          <w:sz w:val="24"/>
          <w:highlight w:val="none"/>
          <w:lang w:eastAsia="zh-CN"/>
        </w:rPr>
        <w:t>；</w:t>
      </w:r>
    </w:p>
    <w:p w14:paraId="3B95A293">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有依法缴纳税收的良好记录；</w:t>
      </w:r>
      <w:r>
        <w:rPr>
          <w:rFonts w:hint="eastAsia" w:ascii="宋体" w:hAnsi="宋体" w:cs="宋体"/>
          <w:color w:val="auto"/>
          <w:sz w:val="24"/>
          <w:highlight w:val="none"/>
          <w:lang w:eastAsia="zh-CN"/>
        </w:rPr>
        <w:t>投标单位近期连续3个月</w:t>
      </w:r>
      <w:r>
        <w:rPr>
          <w:rFonts w:hint="eastAsia" w:ascii="宋体" w:hAnsi="宋体" w:eastAsia="宋体" w:cs="宋体"/>
          <w:color w:val="auto"/>
          <w:sz w:val="24"/>
          <w:highlight w:val="none"/>
          <w:lang w:eastAsia="zh-CN"/>
        </w:rPr>
        <w:t>依法缴纳税收的完税证明原件扫描件/复印件，依法免缴的，应提供依法免缴的相关证明文件或零申报报表（新公司提交上述内容实际证明材料）；</w:t>
      </w:r>
    </w:p>
    <w:p w14:paraId="669777E2">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7、参加本次招标项目的供应商，不得在中国政府采购网（http://www.ccgp.gov.cn/search/cr/）存在严重违法失信行为记录名单（尚在处罚期内的）；</w:t>
      </w:r>
      <w:r>
        <w:rPr>
          <w:rFonts w:hint="eastAsia" w:ascii="宋体" w:hAnsi="宋体" w:cs="宋体"/>
          <w:color w:val="auto"/>
          <w:sz w:val="24"/>
          <w:highlight w:val="none"/>
          <w:lang w:val="en-US" w:eastAsia="zh-CN"/>
        </w:rPr>
        <w:t>近三年内（2022年02月25日-2025年02月25日）不得</w:t>
      </w:r>
      <w:r>
        <w:rPr>
          <w:rFonts w:hint="eastAsia" w:ascii="宋体" w:hAnsi="宋体" w:eastAsia="宋体" w:cs="宋体"/>
          <w:color w:val="auto"/>
          <w:sz w:val="24"/>
          <w:highlight w:val="none"/>
          <w:lang w:val="en-US" w:eastAsia="zh-CN"/>
        </w:rPr>
        <w:t>在“信用中国”网站（www.creditchina.gov.cn）被列入失信被执行人、重大税收违法失信主体内将拒绝其参加本次招标活动。以上内容由投标企业自行承诺，由采购人或采购代理机构在投标截止后核查</w:t>
      </w:r>
      <w:r>
        <w:rPr>
          <w:rFonts w:hint="eastAsia" w:ascii="宋体" w:hAnsi="宋体" w:cs="宋体"/>
          <w:color w:val="auto"/>
          <w:sz w:val="24"/>
          <w:highlight w:val="none"/>
          <w:lang w:val="en-US" w:eastAsia="zh-CN"/>
        </w:rPr>
        <w:t>；</w:t>
      </w:r>
    </w:p>
    <w:p w14:paraId="4B901825">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提供针对本次项目《反商业贿赂承诺书》；</w:t>
      </w:r>
    </w:p>
    <w:p w14:paraId="250D7FF0">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提供缴纳</w:t>
      </w:r>
      <w:r>
        <w:rPr>
          <w:rFonts w:hint="eastAsia" w:ascii="宋体" w:hAnsi="宋体" w:cs="宋体"/>
          <w:color w:val="auto"/>
          <w:sz w:val="24"/>
          <w:highlight w:val="none"/>
          <w:lang w:eastAsia="zh-CN"/>
        </w:rPr>
        <w:t>磋商</w:t>
      </w:r>
      <w:r>
        <w:rPr>
          <w:rFonts w:hint="eastAsia" w:ascii="宋体" w:hAnsi="宋体" w:eastAsia="宋体" w:cs="宋体"/>
          <w:color w:val="auto"/>
          <w:sz w:val="24"/>
          <w:highlight w:val="none"/>
          <w:lang w:eastAsia="zh-CN"/>
        </w:rPr>
        <w:t>保证金的有效凭证；</w:t>
      </w:r>
    </w:p>
    <w:p w14:paraId="21886E62">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供应商可提供有利于磋商的其他资格证明材料；</w:t>
      </w:r>
    </w:p>
    <w:p w14:paraId="2C21993C">
      <w:pPr>
        <w:spacing w:line="3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w:t>
      </w:r>
      <w:r>
        <w:rPr>
          <w:rFonts w:hint="eastAsia" w:ascii="宋体" w:hAnsi="宋体" w:cs="宋体"/>
          <w:color w:val="auto"/>
          <w:sz w:val="24"/>
          <w:highlight w:val="none"/>
          <w:lang w:val="en-US" w:eastAsia="zh-CN"/>
        </w:rPr>
        <w:t>本项目专门面向中小企业采购，根据要求单独上传《中小企业声明函（服务）》</w:t>
      </w:r>
      <w:r>
        <w:rPr>
          <w:rFonts w:hint="eastAsia" w:ascii="宋体" w:hAnsi="宋体" w:eastAsia="宋体" w:cs="宋体"/>
          <w:color w:val="auto"/>
          <w:sz w:val="24"/>
          <w:highlight w:val="none"/>
          <w:lang w:val="en-US" w:eastAsia="zh-CN"/>
        </w:rPr>
        <w:t>。</w:t>
      </w:r>
    </w:p>
    <w:p w14:paraId="53516545">
      <w:pPr>
        <w:widowControl/>
        <w:snapToGrid w:val="0"/>
        <w:spacing w:line="300" w:lineRule="exact"/>
        <w:jc w:val="lef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各供应商应注意以下事项：①本项目要求各</w:t>
      </w:r>
      <w:r>
        <w:rPr>
          <w:rFonts w:hint="eastAsia" w:ascii="宋体" w:hAnsi="宋体" w:cs="宋体"/>
          <w:b/>
          <w:bCs/>
          <w:color w:val="auto"/>
          <w:sz w:val="24"/>
          <w:highlight w:val="none"/>
          <w:lang w:eastAsia="zh-CN"/>
        </w:rPr>
        <w:t>磋商</w:t>
      </w:r>
      <w:r>
        <w:rPr>
          <w:rFonts w:hint="eastAsia" w:ascii="宋体" w:hAnsi="宋体" w:eastAsia="宋体" w:cs="宋体"/>
          <w:b/>
          <w:bCs/>
          <w:color w:val="auto"/>
          <w:sz w:val="24"/>
          <w:highlight w:val="none"/>
        </w:rPr>
        <w:t>供应商提供“</w:t>
      </w:r>
      <w:r>
        <w:rPr>
          <w:rFonts w:hint="eastAsia" w:ascii="宋体" w:hAnsi="宋体" w:cs="宋体"/>
          <w:b/>
          <w:bCs/>
          <w:color w:val="auto"/>
          <w:sz w:val="24"/>
          <w:highlight w:val="none"/>
          <w:lang w:eastAsia="zh-CN"/>
        </w:rPr>
        <w:t>依法缴纳近期连续3个月的税收证明</w:t>
      </w:r>
      <w:r>
        <w:rPr>
          <w:rFonts w:hint="eastAsia" w:ascii="宋体" w:hAnsi="宋体" w:eastAsia="宋体" w:cs="宋体"/>
          <w:b/>
          <w:bCs/>
          <w:color w:val="auto"/>
          <w:sz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5346F4B9">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0D8B738">
      <w:pPr>
        <w:pStyle w:val="15"/>
        <w:tabs>
          <w:tab w:val="left" w:pos="5580"/>
        </w:tabs>
        <w:spacing w:line="240" w:lineRule="atLeast"/>
        <w:jc w:val="left"/>
        <w:outlineLvl w:val="1"/>
        <w:rPr>
          <w:rFonts w:hint="eastAsia" w:ascii="宋体" w:hAnsi="宋体" w:eastAsia="宋体" w:cs="宋体"/>
          <w:b/>
          <w:color w:val="auto"/>
          <w:sz w:val="24"/>
          <w:szCs w:val="24"/>
          <w:highlight w:val="none"/>
        </w:rPr>
      </w:pPr>
      <w:bookmarkStart w:id="549" w:name="_Toc24381"/>
      <w:bookmarkStart w:id="550" w:name="_Toc1244"/>
      <w:bookmarkStart w:id="551" w:name="_Toc8900"/>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一览表</w:t>
      </w:r>
      <w:bookmarkEnd w:id="549"/>
      <w:bookmarkEnd w:id="550"/>
      <w:bookmarkEnd w:id="551"/>
    </w:p>
    <w:p w14:paraId="0C9EF802">
      <w:pPr>
        <w:pStyle w:val="5"/>
        <w:tabs>
          <w:tab w:val="left" w:pos="5580"/>
        </w:tabs>
        <w:spacing w:line="400" w:lineRule="exact"/>
        <w:ind w:left="0" w:leftChars="0" w:firstLine="0" w:firstLineChars="0"/>
        <w:jc w:val="center"/>
        <w:rPr>
          <w:rFonts w:hint="eastAsia" w:ascii="宋体" w:hAnsi="宋体" w:eastAsia="宋体" w:cs="宋体"/>
          <w:b/>
          <w:bCs/>
          <w:color w:val="auto"/>
          <w:szCs w:val="24"/>
          <w:highlight w:val="none"/>
        </w:rPr>
      </w:pPr>
      <w:bookmarkStart w:id="552" w:name="_Hlt520356241"/>
      <w:bookmarkEnd w:id="552"/>
      <w:bookmarkStart w:id="553" w:name="_Toc494296984"/>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Cs w:val="24"/>
          <w:highlight w:val="none"/>
        </w:rPr>
        <w:t>一览表</w:t>
      </w:r>
      <w:bookmarkEnd w:id="553"/>
    </w:p>
    <w:p w14:paraId="0DA84C00">
      <w:pPr>
        <w:tabs>
          <w:tab w:val="left" w:pos="1800"/>
          <w:tab w:val="left" w:pos="5580"/>
        </w:tabs>
        <w:spacing w:line="400" w:lineRule="exact"/>
        <w:ind w:left="1080" w:leftChars="257" w:right="-867" w:rightChars="-413"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eastAsia="zh-CN"/>
        </w:rPr>
        <w:t>KSMGTX(FSJZCS)2025-01号</w:t>
      </w:r>
    </w:p>
    <w:p w14:paraId="56022DED">
      <w:pPr>
        <w:tabs>
          <w:tab w:val="left" w:pos="1800"/>
          <w:tab w:val="left" w:pos="5580"/>
        </w:tabs>
        <w:spacing w:line="400" w:lineRule="exact"/>
        <w:ind w:left="1080" w:leftChars="257" w:right="-867" w:rightChars="-413" w:hanging="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报价单位：人民币 </w:t>
      </w:r>
      <w:r>
        <w:rPr>
          <w:rFonts w:hint="eastAsia" w:ascii="宋体" w:hAnsi="宋体" w:eastAsia="宋体" w:cs="宋体"/>
          <w:b/>
          <w:color w:val="auto"/>
          <w:sz w:val="24"/>
          <w:highlight w:val="none"/>
        </w:rPr>
        <w:t>元</w:t>
      </w:r>
      <w:r>
        <w:rPr>
          <w:rFonts w:hint="eastAsia" w:ascii="宋体" w:hAnsi="宋体" w:eastAsia="宋体" w:cs="宋体"/>
          <w:b/>
          <w:color w:val="auto"/>
          <w:sz w:val="24"/>
          <w:highlight w:val="none"/>
          <w:lang w:val="en-US" w:eastAsia="zh-CN"/>
        </w:rPr>
        <w:t xml:space="preserve">           </w:t>
      </w:r>
    </w:p>
    <w:tbl>
      <w:tblPr>
        <w:tblStyle w:val="30"/>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13"/>
        <w:gridCol w:w="1515"/>
        <w:gridCol w:w="1890"/>
        <w:gridCol w:w="1140"/>
        <w:gridCol w:w="1515"/>
        <w:gridCol w:w="764"/>
      </w:tblGrid>
      <w:tr w14:paraId="3C6C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907" w:type="pct"/>
            <w:noWrap w:val="0"/>
            <w:vAlign w:val="center"/>
          </w:tcPr>
          <w:p w14:paraId="0C44FFB5">
            <w:pPr>
              <w:tabs>
                <w:tab w:val="left" w:pos="5580"/>
              </w:tabs>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eastAsia="zh-CN"/>
              </w:rPr>
              <w:t>名称</w:t>
            </w:r>
          </w:p>
        </w:tc>
        <w:tc>
          <w:tcPr>
            <w:tcW w:w="908" w:type="pct"/>
            <w:noWrap w:val="0"/>
            <w:vAlign w:val="center"/>
          </w:tcPr>
          <w:p w14:paraId="08695E96">
            <w:pPr>
              <w:tabs>
                <w:tab w:val="left" w:pos="5580"/>
              </w:tabs>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磋商总价</w:t>
            </w:r>
          </w:p>
        </w:tc>
        <w:tc>
          <w:tcPr>
            <w:tcW w:w="1133" w:type="pct"/>
            <w:noWrap w:val="0"/>
            <w:vAlign w:val="center"/>
          </w:tcPr>
          <w:p w14:paraId="18A09D2E">
            <w:pPr>
              <w:tabs>
                <w:tab w:val="left" w:pos="5580"/>
              </w:tabs>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磋商保证金</w:t>
            </w:r>
          </w:p>
        </w:tc>
        <w:tc>
          <w:tcPr>
            <w:tcW w:w="683" w:type="pct"/>
            <w:noWrap w:val="0"/>
            <w:vAlign w:val="center"/>
          </w:tcPr>
          <w:p w14:paraId="214D0F0B">
            <w:pPr>
              <w:tabs>
                <w:tab w:val="left" w:pos="5580"/>
              </w:tabs>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en-US" w:eastAsia="zh-CN"/>
              </w:rPr>
              <w:t>期限</w:t>
            </w:r>
          </w:p>
        </w:tc>
        <w:tc>
          <w:tcPr>
            <w:tcW w:w="908" w:type="pct"/>
            <w:noWrap w:val="0"/>
            <w:vAlign w:val="center"/>
          </w:tcPr>
          <w:p w14:paraId="5AA676C4">
            <w:pPr>
              <w:tabs>
                <w:tab w:val="left" w:pos="5580"/>
              </w:tabs>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服务地点</w:t>
            </w:r>
          </w:p>
        </w:tc>
        <w:tc>
          <w:tcPr>
            <w:tcW w:w="458" w:type="pct"/>
            <w:noWrap w:val="0"/>
            <w:vAlign w:val="center"/>
          </w:tcPr>
          <w:p w14:paraId="6B1E6871">
            <w:pPr>
              <w:tabs>
                <w:tab w:val="left" w:pos="5580"/>
              </w:tabs>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备注</w:t>
            </w:r>
          </w:p>
        </w:tc>
      </w:tr>
      <w:tr w14:paraId="311B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40" w:hRule="atLeast"/>
          <w:jc w:val="center"/>
        </w:trPr>
        <w:tc>
          <w:tcPr>
            <w:tcW w:w="907" w:type="pct"/>
            <w:noWrap w:val="0"/>
            <w:vAlign w:val="center"/>
          </w:tcPr>
          <w:p w14:paraId="2A080EB3">
            <w:pPr>
              <w:tabs>
                <w:tab w:val="left" w:pos="5580"/>
              </w:tabs>
              <w:spacing w:line="400" w:lineRule="exact"/>
              <w:jc w:val="both"/>
              <w:rPr>
                <w:rFonts w:hint="eastAsia" w:ascii="宋体" w:hAnsi="宋体" w:eastAsia="宋体" w:cs="宋体"/>
                <w:color w:val="auto"/>
                <w:sz w:val="24"/>
                <w:highlight w:val="none"/>
                <w:lang w:eastAsia="zh-CN"/>
              </w:rPr>
            </w:pPr>
          </w:p>
        </w:tc>
        <w:tc>
          <w:tcPr>
            <w:tcW w:w="908" w:type="pct"/>
            <w:noWrap w:val="0"/>
            <w:vAlign w:val="center"/>
          </w:tcPr>
          <w:p w14:paraId="5F7DE003">
            <w:pPr>
              <w:tabs>
                <w:tab w:val="left" w:pos="5580"/>
              </w:tabs>
              <w:spacing w:line="400" w:lineRule="exact"/>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大写：</w:t>
            </w:r>
          </w:p>
          <w:p w14:paraId="48AD5488">
            <w:pPr>
              <w:tabs>
                <w:tab w:val="left" w:pos="5580"/>
              </w:tabs>
              <w:spacing w:line="400" w:lineRule="exact"/>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小写：</w:t>
            </w:r>
          </w:p>
        </w:tc>
        <w:tc>
          <w:tcPr>
            <w:tcW w:w="1133" w:type="pct"/>
            <w:noWrap w:val="0"/>
            <w:vAlign w:val="center"/>
          </w:tcPr>
          <w:p w14:paraId="531E7A3D">
            <w:pPr>
              <w:tabs>
                <w:tab w:val="left" w:pos="5580"/>
              </w:tabs>
              <w:spacing w:line="400" w:lineRule="exact"/>
              <w:jc w:val="both"/>
              <w:rPr>
                <w:rFonts w:hint="eastAsia" w:ascii="宋体" w:hAnsi="宋体" w:eastAsia="宋体" w:cs="宋体"/>
                <w:color w:val="auto"/>
                <w:sz w:val="24"/>
                <w:highlight w:val="none"/>
                <w:lang w:eastAsia="zh-CN"/>
              </w:rPr>
            </w:pPr>
          </w:p>
        </w:tc>
        <w:tc>
          <w:tcPr>
            <w:tcW w:w="683" w:type="pct"/>
            <w:noWrap w:val="0"/>
            <w:vAlign w:val="center"/>
          </w:tcPr>
          <w:p w14:paraId="619660E1">
            <w:pPr>
              <w:tabs>
                <w:tab w:val="left" w:pos="5580"/>
              </w:tabs>
              <w:spacing w:line="400" w:lineRule="exact"/>
              <w:jc w:val="both"/>
              <w:rPr>
                <w:rFonts w:hint="eastAsia" w:ascii="宋体" w:hAnsi="宋体" w:eastAsia="宋体" w:cs="宋体"/>
                <w:color w:val="auto"/>
                <w:sz w:val="24"/>
                <w:highlight w:val="none"/>
                <w:lang w:eastAsia="zh-CN"/>
              </w:rPr>
            </w:pPr>
          </w:p>
        </w:tc>
        <w:tc>
          <w:tcPr>
            <w:tcW w:w="908" w:type="pct"/>
            <w:noWrap w:val="0"/>
            <w:vAlign w:val="center"/>
          </w:tcPr>
          <w:p w14:paraId="754D0C53">
            <w:pPr>
              <w:tabs>
                <w:tab w:val="left" w:pos="5580"/>
              </w:tabs>
              <w:spacing w:line="400" w:lineRule="exact"/>
              <w:jc w:val="both"/>
              <w:rPr>
                <w:rFonts w:hint="eastAsia" w:ascii="宋体" w:hAnsi="宋体" w:eastAsia="宋体" w:cs="宋体"/>
                <w:color w:val="auto"/>
                <w:sz w:val="24"/>
                <w:highlight w:val="none"/>
                <w:lang w:eastAsia="zh-CN"/>
              </w:rPr>
            </w:pPr>
          </w:p>
        </w:tc>
        <w:tc>
          <w:tcPr>
            <w:tcW w:w="458" w:type="pct"/>
            <w:noWrap w:val="0"/>
            <w:vAlign w:val="center"/>
          </w:tcPr>
          <w:p w14:paraId="68B0F0D2">
            <w:pPr>
              <w:tabs>
                <w:tab w:val="left" w:pos="5580"/>
              </w:tabs>
              <w:spacing w:line="400" w:lineRule="exact"/>
              <w:jc w:val="both"/>
              <w:rPr>
                <w:rFonts w:hint="eastAsia" w:ascii="宋体" w:hAnsi="宋体" w:eastAsia="宋体" w:cs="宋体"/>
                <w:color w:val="auto"/>
                <w:sz w:val="24"/>
                <w:highlight w:val="none"/>
                <w:lang w:val="en-US" w:eastAsia="zh-CN"/>
              </w:rPr>
            </w:pPr>
          </w:p>
        </w:tc>
      </w:tr>
    </w:tbl>
    <w:p w14:paraId="41E53EE0">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p>
    <w:p w14:paraId="02F188A8">
      <w:pPr>
        <w:pStyle w:val="15"/>
        <w:tabs>
          <w:tab w:val="left" w:pos="5580"/>
        </w:tabs>
        <w:spacing w:line="400" w:lineRule="exact"/>
        <w:ind w:left="1080" w:leftChars="257" w:hanging="540"/>
        <w:rPr>
          <w:rFonts w:hint="eastAsia" w:ascii="宋体" w:hAnsi="宋体" w:eastAsia="宋体" w:cs="宋体"/>
          <w:color w:val="auto"/>
          <w:sz w:val="24"/>
          <w:szCs w:val="24"/>
          <w:highlight w:val="none"/>
          <w:u w:val="single"/>
        </w:rPr>
      </w:pPr>
    </w:p>
    <w:p w14:paraId="0DEB85E0">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r>
        <w:rPr>
          <w:rFonts w:hint="eastAsia" w:ascii="宋体" w:hAnsi="宋体" w:eastAsia="宋体" w:cs="宋体"/>
          <w:color w:val="auto"/>
          <w:sz w:val="24"/>
          <w:szCs w:val="24"/>
          <w:highlight w:val="none"/>
          <w:u w:val="single"/>
        </w:rPr>
        <w:t xml:space="preserve">                       </w:t>
      </w:r>
    </w:p>
    <w:p w14:paraId="029D633D">
      <w:pPr>
        <w:pStyle w:val="15"/>
        <w:tabs>
          <w:tab w:val="left" w:pos="5580"/>
        </w:tabs>
        <w:spacing w:line="40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u w:val="single"/>
        </w:rPr>
        <w:tab/>
      </w:r>
    </w:p>
    <w:p w14:paraId="751445B0">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p>
    <w:p w14:paraId="5A462BDE">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BAD05D8">
      <w:pPr>
        <w:pStyle w:val="15"/>
        <w:tabs>
          <w:tab w:val="left" w:pos="5580"/>
        </w:tabs>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此表应按供应商须知的规定</w:t>
      </w:r>
      <w:r>
        <w:rPr>
          <w:rFonts w:hint="eastAsia" w:ascii="宋体" w:hAnsi="宋体" w:eastAsia="宋体" w:cs="宋体"/>
          <w:color w:val="auto"/>
          <w:sz w:val="24"/>
          <w:szCs w:val="24"/>
          <w:highlight w:val="none"/>
          <w:lang w:val="en-US" w:eastAsia="zh-CN"/>
        </w:rPr>
        <w:t>制作</w:t>
      </w:r>
      <w:r>
        <w:rPr>
          <w:rFonts w:hint="eastAsia" w:ascii="宋体" w:hAnsi="宋体" w:eastAsia="宋体" w:cs="宋体"/>
          <w:color w:val="auto"/>
          <w:sz w:val="24"/>
          <w:szCs w:val="24"/>
          <w:highlight w:val="none"/>
        </w:rPr>
        <w:t>。</w:t>
      </w:r>
    </w:p>
    <w:p w14:paraId="643E5B2B">
      <w:pPr>
        <w:pStyle w:val="15"/>
        <w:tabs>
          <w:tab w:val="left" w:pos="5580"/>
        </w:tabs>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此表中，</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总价应和</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分项报价表的总价相一致。</w:t>
      </w:r>
    </w:p>
    <w:p w14:paraId="36C7231C">
      <w:pPr>
        <w:pStyle w:val="15"/>
        <w:tabs>
          <w:tab w:val="left" w:pos="5580"/>
        </w:tabs>
        <w:spacing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供应商应按</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文件规定的服务要求、责任范围和合同条件，以人民币进行报价。</w:t>
      </w:r>
    </w:p>
    <w:p w14:paraId="05D9F487">
      <w:pPr>
        <w:pStyle w:val="15"/>
        <w:tabs>
          <w:tab w:val="left" w:pos="5580"/>
        </w:tabs>
        <w:spacing w:line="240" w:lineRule="atLeast"/>
        <w:rPr>
          <w:rFonts w:hint="eastAsia" w:ascii="宋体" w:hAnsi="宋体" w:eastAsia="宋体" w:cs="宋体"/>
          <w:b/>
          <w:color w:val="auto"/>
          <w:sz w:val="24"/>
          <w:szCs w:val="24"/>
          <w:highlight w:val="none"/>
        </w:rPr>
      </w:pPr>
    </w:p>
    <w:p w14:paraId="3E7DD575">
      <w:pPr>
        <w:pStyle w:val="15"/>
        <w:tabs>
          <w:tab w:val="left" w:pos="5580"/>
        </w:tabs>
        <w:spacing w:line="240" w:lineRule="atLeast"/>
        <w:rPr>
          <w:rFonts w:hint="eastAsia" w:ascii="宋体" w:hAnsi="宋体" w:eastAsia="宋体" w:cs="宋体"/>
          <w:b/>
          <w:color w:val="auto"/>
          <w:sz w:val="24"/>
          <w:szCs w:val="24"/>
          <w:highlight w:val="none"/>
        </w:rPr>
      </w:pPr>
    </w:p>
    <w:p w14:paraId="17E12B53">
      <w:pPr>
        <w:pStyle w:val="15"/>
        <w:tabs>
          <w:tab w:val="left" w:pos="5580"/>
        </w:tabs>
        <w:spacing w:line="240" w:lineRule="atLeast"/>
        <w:rPr>
          <w:rFonts w:hint="eastAsia" w:ascii="宋体" w:hAnsi="宋体" w:eastAsia="宋体" w:cs="宋体"/>
          <w:b/>
          <w:color w:val="auto"/>
          <w:sz w:val="24"/>
          <w:szCs w:val="24"/>
          <w:highlight w:val="none"/>
        </w:rPr>
      </w:pPr>
    </w:p>
    <w:p w14:paraId="1EF86B58">
      <w:pPr>
        <w:pStyle w:val="15"/>
        <w:tabs>
          <w:tab w:val="left" w:pos="5580"/>
        </w:tabs>
        <w:spacing w:line="240" w:lineRule="atLeast"/>
        <w:rPr>
          <w:rFonts w:hint="eastAsia" w:ascii="宋体" w:hAnsi="宋体" w:eastAsia="宋体" w:cs="宋体"/>
          <w:b/>
          <w:color w:val="auto"/>
          <w:sz w:val="24"/>
          <w:szCs w:val="24"/>
          <w:highlight w:val="none"/>
        </w:rPr>
      </w:pPr>
    </w:p>
    <w:p w14:paraId="520F096E">
      <w:pPr>
        <w:pStyle w:val="15"/>
        <w:tabs>
          <w:tab w:val="left" w:pos="5580"/>
        </w:tabs>
        <w:spacing w:line="240" w:lineRule="atLeast"/>
        <w:rPr>
          <w:rFonts w:hint="eastAsia" w:ascii="宋体" w:hAnsi="宋体" w:eastAsia="宋体" w:cs="宋体"/>
          <w:b/>
          <w:color w:val="auto"/>
          <w:sz w:val="24"/>
          <w:szCs w:val="24"/>
          <w:highlight w:val="none"/>
        </w:rPr>
      </w:pPr>
    </w:p>
    <w:p w14:paraId="3F192966">
      <w:pPr>
        <w:pStyle w:val="15"/>
        <w:tabs>
          <w:tab w:val="left" w:pos="5580"/>
        </w:tabs>
        <w:spacing w:line="240" w:lineRule="atLeas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hAnsi="宋体" w:cs="宋体"/>
          <w:b/>
          <w:color w:val="auto"/>
          <w:sz w:val="24"/>
          <w:szCs w:val="24"/>
          <w:highlight w:val="none"/>
          <w:lang w:eastAsia="zh-CN"/>
        </w:rPr>
        <w:t>、</w:t>
      </w:r>
      <w:r>
        <w:rPr>
          <w:rFonts w:hint="eastAsia" w:ascii="宋体" w:hAnsi="宋体" w:eastAsia="宋体" w:cs="宋体"/>
          <w:b/>
          <w:color w:val="auto"/>
          <w:sz w:val="24"/>
          <w:szCs w:val="24"/>
          <w:highlight w:val="none"/>
        </w:rPr>
        <w:t>具有三证合一企业法人营业执照副本原件的扫描件</w:t>
      </w:r>
    </w:p>
    <w:p w14:paraId="12365B98">
      <w:pPr>
        <w:pStyle w:val="15"/>
        <w:tabs>
          <w:tab w:val="left" w:pos="5580"/>
        </w:tabs>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w:t>
      </w:r>
      <w:r>
        <w:rPr>
          <w:rFonts w:hint="eastAsia" w:hAnsi="宋体" w:cs="宋体"/>
          <w:b/>
          <w:color w:val="auto"/>
          <w:sz w:val="24"/>
          <w:szCs w:val="24"/>
          <w:highlight w:val="none"/>
          <w:lang w:val="en-US" w:eastAsia="zh-CN"/>
        </w:rPr>
        <w:t>.</w:t>
      </w:r>
      <w:r>
        <w:rPr>
          <w:rFonts w:hint="eastAsia" w:hAnsi="宋体" w:cs="宋体"/>
          <w:b/>
          <w:color w:val="auto"/>
          <w:sz w:val="24"/>
          <w:szCs w:val="24"/>
          <w:highlight w:val="none"/>
          <w:lang w:eastAsia="zh-CN"/>
        </w:rPr>
        <w:t>磋商</w:t>
      </w:r>
      <w:r>
        <w:rPr>
          <w:rFonts w:hint="eastAsia" w:ascii="宋体" w:hAnsi="宋体" w:eastAsia="宋体" w:cs="宋体"/>
          <w:b/>
          <w:color w:val="auto"/>
          <w:sz w:val="24"/>
          <w:szCs w:val="24"/>
          <w:highlight w:val="none"/>
        </w:rPr>
        <w:t>商必须符合《中华人民共和国政府采购法》第二十二条的相关规定；</w:t>
      </w:r>
    </w:p>
    <w:p w14:paraId="3C1C002A">
      <w:pPr>
        <w:pStyle w:val="15"/>
        <w:tabs>
          <w:tab w:val="left" w:pos="5580"/>
        </w:tabs>
        <w:spacing w:line="240" w:lineRule="atLeast"/>
        <w:jc w:val="center"/>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2</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提供有效的营业执照等证明文件复印件，复印件上应加盖本单位鲜章。</w:t>
      </w:r>
    </w:p>
    <w:p w14:paraId="5959FC42">
      <w:pPr>
        <w:pStyle w:val="15"/>
        <w:tabs>
          <w:tab w:val="left" w:pos="5580"/>
        </w:tabs>
        <w:spacing w:line="240" w:lineRule="atLeast"/>
        <w:jc w:val="center"/>
        <w:rPr>
          <w:rFonts w:hint="eastAsia" w:ascii="宋体" w:hAnsi="宋体" w:eastAsia="宋体" w:cs="宋体"/>
          <w:b/>
          <w:color w:val="auto"/>
          <w:sz w:val="24"/>
          <w:szCs w:val="24"/>
          <w:highlight w:val="none"/>
        </w:rPr>
      </w:pPr>
    </w:p>
    <w:p w14:paraId="03C475E4">
      <w:pPr>
        <w:rPr>
          <w:rFonts w:hint="eastAsia" w:ascii="宋体" w:hAnsi="宋体" w:eastAsia="宋体" w:cs="宋体"/>
          <w:b/>
          <w:color w:val="auto"/>
          <w:sz w:val="24"/>
          <w:highlight w:val="none"/>
        </w:rPr>
      </w:pPr>
      <w:bookmarkStart w:id="554" w:name="_Toc11840"/>
      <w:bookmarkStart w:id="555" w:name="_Toc6475"/>
      <w:bookmarkStart w:id="556" w:name="_Toc1957"/>
      <w:bookmarkStart w:id="557" w:name="_Toc3087"/>
      <w:bookmarkStart w:id="558" w:name="_Toc16184"/>
      <w:bookmarkStart w:id="559" w:name="_Toc28979"/>
      <w:bookmarkStart w:id="560" w:name="_Toc32302"/>
      <w:bookmarkStart w:id="561" w:name="_Toc6321"/>
      <w:bookmarkStart w:id="562" w:name="_Toc21288"/>
      <w:r>
        <w:rPr>
          <w:rFonts w:hint="eastAsia" w:ascii="宋体" w:hAnsi="宋体" w:eastAsia="宋体" w:cs="宋体"/>
          <w:b/>
          <w:color w:val="auto"/>
          <w:sz w:val="24"/>
          <w:highlight w:val="none"/>
        </w:rPr>
        <w:br w:type="page"/>
      </w:r>
    </w:p>
    <w:p w14:paraId="7349C28D">
      <w:pPr>
        <w:tabs>
          <w:tab w:val="left" w:pos="5580"/>
        </w:tabs>
        <w:spacing w:line="400" w:lineRule="exact"/>
        <w:outlineLvl w:val="1"/>
        <w:rPr>
          <w:rFonts w:hint="eastAsia" w:ascii="宋体" w:hAnsi="宋体" w:eastAsia="宋体" w:cs="宋体"/>
          <w:b/>
          <w:bCs/>
          <w:color w:val="auto"/>
          <w:sz w:val="24"/>
          <w:highlight w:val="none"/>
          <w:lang w:eastAsia="zh-CN"/>
        </w:rPr>
      </w:pPr>
      <w:bookmarkStart w:id="563" w:name="_Toc18580"/>
      <w:r>
        <w:rPr>
          <w:rFonts w:hint="eastAsia" w:ascii="宋体" w:hAnsi="宋体" w:eastAsia="宋体" w:cs="宋体"/>
          <w:b/>
          <w:color w:val="auto"/>
          <w:sz w:val="24"/>
          <w:highlight w:val="none"/>
        </w:rPr>
        <w:t>3</w:t>
      </w:r>
      <w:bookmarkEnd w:id="554"/>
      <w:bookmarkEnd w:id="555"/>
      <w:bookmarkEnd w:id="556"/>
      <w:bookmarkEnd w:id="557"/>
      <w:bookmarkEnd w:id="558"/>
      <w:bookmarkEnd w:id="559"/>
      <w:bookmarkEnd w:id="560"/>
      <w:r>
        <w:rPr>
          <w:rFonts w:hint="eastAsia" w:ascii="宋体" w:hAnsi="宋体" w:eastAsia="宋体" w:cs="宋体"/>
          <w:b/>
          <w:color w:val="auto"/>
          <w:sz w:val="24"/>
          <w:highlight w:val="none"/>
        </w:rPr>
        <w:t>、</w:t>
      </w:r>
      <w:bookmarkEnd w:id="561"/>
      <w:bookmarkEnd w:id="562"/>
      <w:r>
        <w:rPr>
          <w:rFonts w:hint="eastAsia" w:ascii="宋体" w:hAnsi="宋体" w:eastAsia="宋体" w:cs="宋体"/>
          <w:b/>
          <w:color w:val="auto"/>
          <w:sz w:val="24"/>
          <w:highlight w:val="none"/>
          <w:lang w:eastAsia="zh-CN"/>
        </w:rPr>
        <w:t>法定代表人资格证明(法定代表人</w:t>
      </w:r>
      <w:r>
        <w:rPr>
          <w:rFonts w:hint="eastAsia" w:ascii="宋体" w:hAnsi="宋体" w:cs="宋体"/>
          <w:b/>
          <w:color w:val="auto"/>
          <w:sz w:val="24"/>
          <w:highlight w:val="none"/>
          <w:lang w:eastAsia="zh-CN"/>
        </w:rPr>
        <w:t>磋商</w:t>
      </w:r>
      <w:r>
        <w:rPr>
          <w:rFonts w:hint="eastAsia" w:ascii="宋体" w:hAnsi="宋体" w:eastAsia="宋体" w:cs="宋体"/>
          <w:b/>
          <w:color w:val="auto"/>
          <w:sz w:val="24"/>
          <w:highlight w:val="none"/>
          <w:lang w:eastAsia="zh-CN"/>
        </w:rPr>
        <w:t>需提供法定代表人身份证)；</w:t>
      </w:r>
      <w:bookmarkEnd w:id="563"/>
    </w:p>
    <w:p w14:paraId="7D4FB9EC">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bookmarkStart w:id="564" w:name="_Toc26119"/>
      <w:bookmarkStart w:id="565" w:name="_Toc17577"/>
      <w:r>
        <w:rPr>
          <w:rFonts w:hint="eastAsia" w:ascii="微软雅黑" w:hAnsi="微软雅黑" w:eastAsia="微软雅黑" w:cs="微软雅黑"/>
          <w:b/>
          <w:color w:val="000000"/>
          <w:sz w:val="24"/>
          <w:szCs w:val="24"/>
          <w:highlight w:val="none"/>
          <w:lang w:eastAsia="zh-CN"/>
        </w:rPr>
        <w:t>（</w:t>
      </w:r>
      <w:r>
        <w:rPr>
          <w:rFonts w:hint="eastAsia" w:ascii="微软雅黑" w:hAnsi="微软雅黑" w:eastAsia="微软雅黑" w:cs="微软雅黑"/>
          <w:b/>
          <w:color w:val="000000"/>
          <w:sz w:val="24"/>
          <w:szCs w:val="24"/>
          <w:highlight w:val="none"/>
          <w:lang w:val="en-US" w:eastAsia="zh-CN"/>
        </w:rPr>
        <w:t>1</w:t>
      </w:r>
      <w:r>
        <w:rPr>
          <w:rFonts w:hint="eastAsia" w:ascii="微软雅黑" w:hAnsi="微软雅黑" w:eastAsia="微软雅黑" w:cs="微软雅黑"/>
          <w:b/>
          <w:color w:val="000000"/>
          <w:sz w:val="24"/>
          <w:szCs w:val="24"/>
          <w:highlight w:val="none"/>
          <w:lang w:eastAsia="zh-CN"/>
        </w:rPr>
        <w:t>）</w:t>
      </w:r>
      <w:r>
        <w:rPr>
          <w:rFonts w:hint="eastAsia" w:ascii="微软雅黑" w:hAnsi="微软雅黑" w:eastAsia="微软雅黑" w:cs="微软雅黑"/>
          <w:b/>
          <w:color w:val="000000"/>
          <w:sz w:val="24"/>
          <w:szCs w:val="24"/>
          <w:highlight w:val="none"/>
        </w:rPr>
        <w:t>法定代表人身份证明</w:t>
      </w:r>
    </w:p>
    <w:p w14:paraId="0EAF7CC3">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同志，现任我单位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职务，为法定代表人，特此证明。</w:t>
      </w:r>
    </w:p>
    <w:p w14:paraId="2DB75FFB">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签发日期：                  单位：        </w:t>
      </w:r>
    </w:p>
    <w:p w14:paraId="2EB75D03">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            年龄：           身份证号码：</w:t>
      </w:r>
    </w:p>
    <w:p w14:paraId="1F7AAA13">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DDEF50D">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              经济性质：</w:t>
      </w:r>
    </w:p>
    <w:p w14:paraId="75778F13">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0DECF756">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67997DE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2、内容必须填写真实、清楚、涂改无效，不得转让。</w:t>
      </w:r>
    </w:p>
    <w:p w14:paraId="4320E911">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 xml:space="preserve">  (为避免废标，请</w:t>
      </w:r>
      <w:r>
        <w:rPr>
          <w:rFonts w:hint="eastAsia" w:ascii="微软雅黑" w:hAnsi="微软雅黑" w:eastAsia="微软雅黑" w:cs="微软雅黑"/>
          <w:b/>
          <w:bCs/>
          <w:color w:val="auto"/>
          <w:sz w:val="24"/>
          <w:szCs w:val="24"/>
          <w:highlight w:val="none"/>
          <w:u w:val="single"/>
          <w:lang w:eastAsia="zh-CN"/>
        </w:rPr>
        <w:t>磋商人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554047C6">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BB5FE06">
                            <w:pPr>
                              <w:jc w:val="center"/>
                              <w:rPr>
                                <w:rFonts w:hAnsi="宋体"/>
                                <w:szCs w:val="21"/>
                              </w:rPr>
                            </w:pPr>
                          </w:p>
                          <w:p w14:paraId="3A58E15B">
                            <w:pPr>
                              <w:jc w:val="center"/>
                              <w:rPr>
                                <w:rFonts w:hAnsi="宋体"/>
                                <w:szCs w:val="21"/>
                              </w:rPr>
                            </w:pPr>
                          </w:p>
                          <w:p w14:paraId="6AE6D14F">
                            <w:pPr>
                              <w:jc w:val="center"/>
                              <w:rPr>
                                <w:rFonts w:hAnsi="宋体"/>
                                <w:szCs w:val="21"/>
                              </w:rPr>
                            </w:pPr>
                          </w:p>
                          <w:p w14:paraId="65F92506">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3360;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6BB5FE06">
                      <w:pPr>
                        <w:jc w:val="center"/>
                        <w:rPr>
                          <w:rFonts w:hAnsi="宋体"/>
                          <w:szCs w:val="21"/>
                        </w:rPr>
                      </w:pPr>
                    </w:p>
                    <w:p w14:paraId="3A58E15B">
                      <w:pPr>
                        <w:jc w:val="center"/>
                        <w:rPr>
                          <w:rFonts w:hAnsi="宋体"/>
                          <w:szCs w:val="21"/>
                        </w:rPr>
                      </w:pPr>
                    </w:p>
                    <w:p w14:paraId="6AE6D14F">
                      <w:pPr>
                        <w:jc w:val="center"/>
                        <w:rPr>
                          <w:rFonts w:hAnsi="宋体"/>
                          <w:szCs w:val="21"/>
                        </w:rPr>
                      </w:pPr>
                    </w:p>
                    <w:p w14:paraId="65F92506">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7DA801F">
                            <w:pPr>
                              <w:jc w:val="center"/>
                              <w:rPr>
                                <w:rFonts w:hAnsi="宋体"/>
                                <w:szCs w:val="21"/>
                              </w:rPr>
                            </w:pPr>
                            <w:r>
                              <w:rPr>
                                <w:rFonts w:hint="eastAsia" w:hAnsi="宋体"/>
                                <w:szCs w:val="21"/>
                              </w:rPr>
                              <w:t xml:space="preserve">  </w:t>
                            </w:r>
                          </w:p>
                          <w:p w14:paraId="447D8719">
                            <w:pPr>
                              <w:jc w:val="center"/>
                              <w:rPr>
                                <w:rFonts w:hAnsi="宋体"/>
                                <w:szCs w:val="21"/>
                              </w:rPr>
                            </w:pPr>
                          </w:p>
                          <w:p w14:paraId="0270C7D6">
                            <w:pPr>
                              <w:jc w:val="center"/>
                              <w:rPr>
                                <w:rFonts w:hAnsi="宋体"/>
                                <w:szCs w:val="21"/>
                              </w:rPr>
                            </w:pPr>
                          </w:p>
                          <w:p w14:paraId="68A83A10">
                            <w:pPr>
                              <w:jc w:val="center"/>
                              <w:rPr>
                                <w:szCs w:val="21"/>
                              </w:rPr>
                            </w:pPr>
                            <w:r>
                              <w:rPr>
                                <w:rFonts w:hint="eastAsia" w:hAnsi="宋体"/>
                                <w:szCs w:val="21"/>
                              </w:rPr>
                              <w:t>法定代表人身份证复印件</w:t>
                            </w:r>
                          </w:p>
                          <w:p w14:paraId="7229BF54"/>
                          <w:p w14:paraId="367BAE12">
                            <w:pPr>
                              <w:pStyle w:val="5"/>
                            </w:pPr>
                          </w:p>
                          <w:p w14:paraId="69DFBF13">
                            <w:pPr>
                              <w:pStyle w:val="5"/>
                            </w:pPr>
                          </w:p>
                          <w:p w14:paraId="76DADFB8">
                            <w:pPr>
                              <w:pStyle w:val="5"/>
                            </w:pPr>
                          </w:p>
                          <w:p w14:paraId="73C91CDA">
                            <w:pPr>
                              <w:pStyle w:val="5"/>
                            </w:pPr>
                          </w:p>
                        </w:txbxContent>
                      </wps:txbx>
                      <wps:bodyPr wrap="square" upright="1"/>
                    </wps:wsp>
                  </a:graphicData>
                </a:graphic>
              </wp:anchor>
            </w:drawing>
          </mc:Choice>
          <mc:Fallback>
            <w:pict>
              <v:roundrect id="_x0000_s1026" o:spid="_x0000_s1026" o:spt="2" style="position:absolute;left:0pt;margin-left:229.8pt;margin-top:2.25pt;height:122.6pt;width:205.5pt;z-index:251664384;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77DA801F">
                      <w:pPr>
                        <w:jc w:val="center"/>
                        <w:rPr>
                          <w:rFonts w:hAnsi="宋体"/>
                          <w:szCs w:val="21"/>
                        </w:rPr>
                      </w:pPr>
                      <w:r>
                        <w:rPr>
                          <w:rFonts w:hint="eastAsia" w:hAnsi="宋体"/>
                          <w:szCs w:val="21"/>
                        </w:rPr>
                        <w:t xml:space="preserve">  </w:t>
                      </w:r>
                    </w:p>
                    <w:p w14:paraId="447D8719">
                      <w:pPr>
                        <w:jc w:val="center"/>
                        <w:rPr>
                          <w:rFonts w:hAnsi="宋体"/>
                          <w:szCs w:val="21"/>
                        </w:rPr>
                      </w:pPr>
                    </w:p>
                    <w:p w14:paraId="0270C7D6">
                      <w:pPr>
                        <w:jc w:val="center"/>
                        <w:rPr>
                          <w:rFonts w:hAnsi="宋体"/>
                          <w:szCs w:val="21"/>
                        </w:rPr>
                      </w:pPr>
                    </w:p>
                    <w:p w14:paraId="68A83A10">
                      <w:pPr>
                        <w:jc w:val="center"/>
                        <w:rPr>
                          <w:szCs w:val="21"/>
                        </w:rPr>
                      </w:pPr>
                      <w:r>
                        <w:rPr>
                          <w:rFonts w:hint="eastAsia" w:hAnsi="宋体"/>
                          <w:szCs w:val="21"/>
                        </w:rPr>
                        <w:t>法定代表人身份证复印件</w:t>
                      </w:r>
                    </w:p>
                    <w:p w14:paraId="7229BF54"/>
                    <w:p w14:paraId="367BAE12">
                      <w:pPr>
                        <w:pStyle w:val="5"/>
                      </w:pPr>
                    </w:p>
                    <w:p w14:paraId="69DFBF13">
                      <w:pPr>
                        <w:pStyle w:val="5"/>
                      </w:pPr>
                    </w:p>
                    <w:p w14:paraId="76DADFB8">
                      <w:pPr>
                        <w:pStyle w:val="5"/>
                      </w:pPr>
                    </w:p>
                    <w:p w14:paraId="73C91CDA">
                      <w:pPr>
                        <w:pStyle w:val="5"/>
                      </w:pPr>
                    </w:p>
                  </w:txbxContent>
                </v:textbox>
              </v:roundrect>
            </w:pict>
          </mc:Fallback>
        </mc:AlternateContent>
      </w:r>
    </w:p>
    <w:p w14:paraId="177F7439">
      <w:pPr>
        <w:spacing w:line="360" w:lineRule="auto"/>
        <w:rPr>
          <w:rFonts w:hint="eastAsia" w:ascii="微软雅黑" w:hAnsi="微软雅黑" w:eastAsia="微软雅黑" w:cs="微软雅黑"/>
          <w:color w:val="auto"/>
          <w:sz w:val="24"/>
          <w:szCs w:val="24"/>
          <w:highlight w:val="none"/>
        </w:rPr>
      </w:pPr>
    </w:p>
    <w:p w14:paraId="238CAF68">
      <w:pPr>
        <w:spacing w:line="360" w:lineRule="auto"/>
        <w:rPr>
          <w:rFonts w:hint="eastAsia" w:ascii="微软雅黑" w:hAnsi="微软雅黑" w:eastAsia="微软雅黑" w:cs="微软雅黑"/>
          <w:color w:val="auto"/>
          <w:sz w:val="24"/>
          <w:szCs w:val="24"/>
          <w:highlight w:val="none"/>
        </w:rPr>
      </w:pPr>
    </w:p>
    <w:p w14:paraId="4468F79A">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47929599">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5BBAE1D1">
      <w:pPr>
        <w:pStyle w:val="15"/>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2F977C1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1E50C03A">
      <w:pPr>
        <w:pStyle w:val="5"/>
        <w:numPr>
          <w:ilvl w:val="0"/>
          <w:numId w:val="0"/>
        </w:numPr>
        <w:rPr>
          <w:rFonts w:hint="eastAsia" w:ascii="微软雅黑" w:hAnsi="微软雅黑" w:eastAsia="微软雅黑" w:cs="微软雅黑"/>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7913DCD">
      <w:pPr>
        <w:pStyle w:val="15"/>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58E9F2B8">
      <w:pPr>
        <w:pStyle w:val="15"/>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20076F70">
      <w:pPr>
        <w:pStyle w:val="15"/>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 xml:space="preserve">  2. 供应商为自然人的，应提供身份证明的复印件。</w:t>
      </w:r>
    </w:p>
    <w:p w14:paraId="71513641">
      <w:pPr>
        <w:pStyle w:val="15"/>
        <w:pageBreakBefore w:val="0"/>
        <w:tabs>
          <w:tab w:val="left" w:pos="5580"/>
        </w:tabs>
        <w:kinsoku/>
        <w:wordWrap/>
        <w:overflowPunct/>
        <w:topLinePunct w:val="0"/>
        <w:bidi w:val="0"/>
        <w:spacing w:line="500" w:lineRule="exact"/>
        <w:ind w:left="1080" w:leftChars="257" w:hanging="540"/>
        <w:textAlignment w:val="auto"/>
        <w:outlineLvl w:val="9"/>
        <w:rPr>
          <w:rFonts w:hint="eastAsia"/>
          <w:highlight w:val="none"/>
        </w:rPr>
      </w:pPr>
      <w:r>
        <w:rPr>
          <w:rFonts w:hint="eastAsia" w:ascii="微软雅黑" w:hAnsi="微软雅黑" w:eastAsia="微软雅黑" w:cs="微软雅黑"/>
          <w:color w:val="auto"/>
          <w:kern w:val="2"/>
          <w:sz w:val="24"/>
          <w:szCs w:val="24"/>
          <w:highlight w:val="none"/>
          <w:lang w:val="en-US" w:eastAsia="zh-CN" w:bidi="ar-SA"/>
        </w:rPr>
        <w:t xml:space="preserve">  3.联合体谈判应提供联合体各方满足以上要求的证明文件。</w:t>
      </w:r>
    </w:p>
    <w:p w14:paraId="7ACA8544">
      <w:pPr>
        <w:pStyle w:val="12"/>
        <w:tabs>
          <w:tab w:val="left" w:pos="567"/>
        </w:tabs>
        <w:spacing w:line="400" w:lineRule="exact"/>
        <w:ind w:left="0" w:leftChars="0" w:firstLine="0" w:firstLineChars="0"/>
        <w:jc w:val="both"/>
        <w:outlineLvl w:val="1"/>
        <w:rPr>
          <w:rFonts w:hint="eastAsia" w:ascii="微软雅黑" w:hAnsi="微软雅黑" w:eastAsia="微软雅黑" w:cs="微软雅黑"/>
          <w:b/>
          <w:bCs/>
          <w:color w:val="000000"/>
          <w:kern w:val="0"/>
          <w:sz w:val="24"/>
          <w:szCs w:val="24"/>
          <w:highlight w:val="none"/>
          <w:lang w:val="en-US" w:eastAsia="zh-CN" w:bidi="ar-SA"/>
        </w:rPr>
      </w:pPr>
    </w:p>
    <w:p w14:paraId="247D91BD">
      <w:pPr>
        <w:pStyle w:val="12"/>
        <w:tabs>
          <w:tab w:val="left" w:pos="567"/>
        </w:tabs>
        <w:spacing w:line="400" w:lineRule="exact"/>
        <w:ind w:left="0" w:leftChars="0" w:firstLine="0" w:firstLineChars="0"/>
        <w:jc w:val="center"/>
        <w:outlineLvl w:val="1"/>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（2）法人授权委托书及法人身份及磋商人身份证明</w:t>
      </w:r>
    </w:p>
    <w:p w14:paraId="0E2B1D7B">
      <w:pPr>
        <w:pStyle w:val="22"/>
        <w:rPr>
          <w:rFonts w:hint="eastAsia" w:ascii="微软雅黑" w:hAnsi="微软雅黑" w:eastAsia="微软雅黑" w:cs="微软雅黑"/>
          <w:b/>
          <w:bCs/>
          <w:color w:val="auto"/>
          <w:sz w:val="24"/>
          <w:szCs w:val="24"/>
          <w:highlight w:val="none"/>
        </w:rPr>
      </w:pPr>
    </w:p>
    <w:p w14:paraId="68EBC9A4">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57389AA1">
      <w:pPr>
        <w:pStyle w:val="15"/>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磋商人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磋商</w:t>
      </w:r>
      <w:r>
        <w:rPr>
          <w:rFonts w:hint="eastAsia" w:ascii="微软雅黑" w:hAnsi="微软雅黑" w:eastAsia="微软雅黑" w:cs="微软雅黑"/>
          <w:color w:val="auto"/>
          <w:sz w:val="24"/>
          <w:szCs w:val="24"/>
          <w:highlight w:val="none"/>
        </w:rPr>
        <w:t>，以我单位名义处理一切与之有关的事务。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7819AFBC">
      <w:pPr>
        <w:pStyle w:val="15"/>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日签字生效,特此声明。</w:t>
      </w:r>
    </w:p>
    <w:p w14:paraId="103AA8B7">
      <w:pPr>
        <w:pStyle w:val="15"/>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2" name="圆角矩形 2"/>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74FED59">
                            <w:pPr>
                              <w:rPr>
                                <w:rFonts w:hAnsi="宋体"/>
                              </w:rPr>
                            </w:pPr>
                          </w:p>
                          <w:p w14:paraId="2A5F685E">
                            <w:pPr>
                              <w:rPr>
                                <w:rFonts w:hAnsi="宋体"/>
                              </w:rPr>
                            </w:pPr>
                          </w:p>
                          <w:p w14:paraId="676CD44D">
                            <w:pPr>
                              <w:rPr>
                                <w:rFonts w:hAnsi="宋体"/>
                              </w:rPr>
                            </w:pPr>
                          </w:p>
                          <w:p w14:paraId="5D42E4EE">
                            <w:pPr>
                              <w:ind w:firstLine="420" w:firstLineChars="200"/>
                            </w:pPr>
                            <w:r>
                              <w:rPr>
                                <w:rFonts w:hint="eastAsia" w:hAnsi="宋体"/>
                              </w:rPr>
                              <w:t>授权委托人身份证复印件</w:t>
                            </w:r>
                          </w:p>
                          <w:p w14:paraId="11717846"/>
                        </w:txbxContent>
                      </wps:txbx>
                      <wps:bodyPr wrap="square" upright="1"/>
                    </wps:wsp>
                  </a:graphicData>
                </a:graphic>
              </wp:anchor>
            </w:drawing>
          </mc:Choice>
          <mc:Fallback>
            <w:pict>
              <v:roundrect id="_x0000_s1026" o:spid="_x0000_s1026" o:spt="2" style="position:absolute;left:0pt;margin-left:239.3pt;margin-top:13.2pt;height:76.3pt;width:195.15pt;z-index:251660288;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Fn7jbAAAACgEAAA8AAAAAAAAAAQAgAAAAIgAAAGRycy9kb3du&#10;cmV2LnhtbFBLAQIUABQAAAAIAIdO4kDbvYEiNQIAAHMEAAAOAAAAAAAAAAEAIAAAACoBAABkcnMv&#10;ZTJvRG9jLnhtbFBLBQYAAAAABgAGAFkBAADRBQAAAAA=&#10;">
                <v:fill on="t" focussize="0,0"/>
                <v:stroke weight="1.25pt" color="#808080" joinstyle="round"/>
                <v:imagedata o:title=""/>
                <o:lock v:ext="edit" aspectratio="f"/>
                <v:textbox>
                  <w:txbxContent>
                    <w:p w14:paraId="274FED59">
                      <w:pPr>
                        <w:rPr>
                          <w:rFonts w:hAnsi="宋体"/>
                        </w:rPr>
                      </w:pPr>
                    </w:p>
                    <w:p w14:paraId="2A5F685E">
                      <w:pPr>
                        <w:rPr>
                          <w:rFonts w:hAnsi="宋体"/>
                        </w:rPr>
                      </w:pPr>
                    </w:p>
                    <w:p w14:paraId="676CD44D">
                      <w:pPr>
                        <w:rPr>
                          <w:rFonts w:hAnsi="宋体"/>
                        </w:rPr>
                      </w:pPr>
                    </w:p>
                    <w:p w14:paraId="5D42E4EE">
                      <w:pPr>
                        <w:ind w:firstLine="420" w:firstLineChars="200"/>
                      </w:pPr>
                      <w:r>
                        <w:rPr>
                          <w:rFonts w:hint="eastAsia" w:hAnsi="宋体"/>
                        </w:rPr>
                        <w:t>授权委托人身份证复印件</w:t>
                      </w:r>
                    </w:p>
                    <w:p w14:paraId="11717846"/>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541860E">
                            <w:pPr>
                              <w:jc w:val="center"/>
                              <w:rPr>
                                <w:rFonts w:hAnsi="宋体"/>
                              </w:rPr>
                            </w:pPr>
                          </w:p>
                          <w:p w14:paraId="4BCA9444">
                            <w:pPr>
                              <w:jc w:val="center"/>
                              <w:rPr>
                                <w:rFonts w:hAnsi="宋体"/>
                              </w:rPr>
                            </w:pPr>
                          </w:p>
                          <w:p w14:paraId="47E8A525">
                            <w:pPr>
                              <w:jc w:val="center"/>
                              <w:rPr>
                                <w:rFonts w:hAnsi="宋体"/>
                              </w:rPr>
                            </w:pPr>
                          </w:p>
                          <w:p w14:paraId="67CAC5DD">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59264;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3541860E">
                      <w:pPr>
                        <w:jc w:val="center"/>
                        <w:rPr>
                          <w:rFonts w:hAnsi="宋体"/>
                        </w:rPr>
                      </w:pPr>
                    </w:p>
                    <w:p w14:paraId="4BCA9444">
                      <w:pPr>
                        <w:jc w:val="center"/>
                        <w:rPr>
                          <w:rFonts w:hAnsi="宋体"/>
                        </w:rPr>
                      </w:pPr>
                    </w:p>
                    <w:p w14:paraId="47E8A525">
                      <w:pPr>
                        <w:jc w:val="center"/>
                        <w:rPr>
                          <w:rFonts w:hAnsi="宋体"/>
                        </w:rPr>
                      </w:pPr>
                    </w:p>
                    <w:p w14:paraId="67CAC5DD">
                      <w:pPr>
                        <w:jc w:val="center"/>
                      </w:pPr>
                      <w:r>
                        <w:rPr>
                          <w:rFonts w:hint="eastAsia" w:hAnsi="宋体"/>
                        </w:rPr>
                        <w:t>授权委托人身份证复印件</w:t>
                      </w:r>
                    </w:p>
                  </w:txbxContent>
                </v:textbox>
              </v:shape>
            </w:pict>
          </mc:Fallback>
        </mc:AlternateContent>
      </w:r>
    </w:p>
    <w:p w14:paraId="0312A2E9">
      <w:pPr>
        <w:spacing w:line="360" w:lineRule="auto"/>
        <w:ind w:firstLine="240" w:firstLineChars="100"/>
        <w:rPr>
          <w:rFonts w:hint="eastAsia" w:ascii="微软雅黑" w:hAnsi="微软雅黑" w:eastAsia="微软雅黑" w:cs="微软雅黑"/>
          <w:color w:val="auto"/>
          <w:sz w:val="24"/>
          <w:szCs w:val="24"/>
          <w:highlight w:val="none"/>
        </w:rPr>
      </w:pPr>
    </w:p>
    <w:p w14:paraId="56D1EEFE">
      <w:pPr>
        <w:spacing w:line="360" w:lineRule="auto"/>
        <w:ind w:firstLine="240" w:firstLineChars="100"/>
        <w:rPr>
          <w:rFonts w:hint="eastAsia" w:ascii="微软雅黑" w:hAnsi="微软雅黑" w:eastAsia="微软雅黑" w:cs="微软雅黑"/>
          <w:color w:val="auto"/>
          <w:sz w:val="24"/>
          <w:szCs w:val="24"/>
          <w:highlight w:val="none"/>
        </w:rPr>
      </w:pPr>
    </w:p>
    <w:p w14:paraId="3DFD9EBC">
      <w:pPr>
        <w:spacing w:line="360" w:lineRule="auto"/>
        <w:ind w:firstLine="240" w:firstLineChars="100"/>
        <w:rPr>
          <w:rFonts w:hint="eastAsia" w:ascii="微软雅黑" w:hAnsi="微软雅黑" w:eastAsia="微软雅黑" w:cs="微软雅黑"/>
          <w:color w:val="auto"/>
          <w:sz w:val="24"/>
          <w:szCs w:val="24"/>
          <w:highlight w:val="none"/>
        </w:rPr>
      </w:pPr>
    </w:p>
    <w:p w14:paraId="68979902">
      <w:pPr>
        <w:spacing w:line="360" w:lineRule="auto"/>
        <w:ind w:firstLine="240" w:firstLineChars="100"/>
        <w:rPr>
          <w:rFonts w:hint="eastAsia" w:ascii="微软雅黑" w:hAnsi="微软雅黑" w:eastAsia="微软雅黑" w:cs="微软雅黑"/>
          <w:color w:val="auto"/>
          <w:sz w:val="24"/>
          <w:szCs w:val="24"/>
          <w:highlight w:val="none"/>
        </w:rPr>
      </w:pPr>
    </w:p>
    <w:p w14:paraId="5CDD604B">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F38F3D">
                            <w:pPr>
                              <w:jc w:val="center"/>
                              <w:rPr>
                                <w:rFonts w:hAnsi="宋体"/>
                              </w:rPr>
                            </w:pPr>
                            <w:r>
                              <w:rPr>
                                <w:rFonts w:hint="eastAsia" w:hAnsi="宋体"/>
                              </w:rPr>
                              <w:t xml:space="preserve">  </w:t>
                            </w:r>
                          </w:p>
                          <w:p w14:paraId="3AD7C380">
                            <w:pPr>
                              <w:rPr>
                                <w:rFonts w:hAnsi="宋体"/>
                              </w:rPr>
                            </w:pPr>
                          </w:p>
                          <w:p w14:paraId="739D54DF">
                            <w:pPr>
                              <w:jc w:val="center"/>
                            </w:pPr>
                            <w:r>
                              <w:rPr>
                                <w:rFonts w:hint="eastAsia" w:hAnsi="宋体"/>
                              </w:rPr>
                              <w:t>法人身份证复印件</w:t>
                            </w:r>
                          </w:p>
                          <w:p w14:paraId="2722288E"/>
                        </w:txbxContent>
                      </wps:txbx>
                      <wps:bodyPr wrap="square" upright="1"/>
                    </wps:wsp>
                  </a:graphicData>
                </a:graphic>
              </wp:anchor>
            </w:drawing>
          </mc:Choice>
          <mc:Fallback>
            <w:pict>
              <v:roundrect id="_x0000_s1026" o:spid="_x0000_s1026" o:spt="2" style="position:absolute;left:0pt;margin-left:237.65pt;margin-top:7.6pt;height:73.65pt;width:199.65pt;z-index:251662336;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F38F3D">
                      <w:pPr>
                        <w:jc w:val="center"/>
                        <w:rPr>
                          <w:rFonts w:hAnsi="宋体"/>
                        </w:rPr>
                      </w:pPr>
                      <w:r>
                        <w:rPr>
                          <w:rFonts w:hint="eastAsia" w:hAnsi="宋体"/>
                        </w:rPr>
                        <w:t xml:space="preserve">  </w:t>
                      </w:r>
                    </w:p>
                    <w:p w14:paraId="3AD7C380">
                      <w:pPr>
                        <w:rPr>
                          <w:rFonts w:hAnsi="宋体"/>
                        </w:rPr>
                      </w:pPr>
                    </w:p>
                    <w:p w14:paraId="739D54DF">
                      <w:pPr>
                        <w:jc w:val="center"/>
                      </w:pPr>
                      <w:r>
                        <w:rPr>
                          <w:rFonts w:hint="eastAsia" w:hAnsi="宋体"/>
                        </w:rPr>
                        <w:t>法人身份证复印件</w:t>
                      </w:r>
                    </w:p>
                    <w:p w14:paraId="2722288E"/>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 name="圆角矩形 1"/>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54E629E">
                            <w:pPr>
                              <w:jc w:val="center"/>
                              <w:rPr>
                                <w:rFonts w:hAnsi="宋体"/>
                              </w:rPr>
                            </w:pPr>
                          </w:p>
                          <w:p w14:paraId="7290E371">
                            <w:pPr>
                              <w:rPr>
                                <w:rFonts w:hAnsi="宋体"/>
                              </w:rPr>
                            </w:pPr>
                          </w:p>
                          <w:p w14:paraId="73D5450A">
                            <w:pPr>
                              <w:jc w:val="center"/>
                            </w:pPr>
                            <w:r>
                              <w:rPr>
                                <w:rFonts w:hint="eastAsia" w:hAnsi="宋体"/>
                              </w:rPr>
                              <w:t>法人身份证复印件</w:t>
                            </w:r>
                          </w:p>
                          <w:p w14:paraId="6CDFC62C"/>
                        </w:txbxContent>
                      </wps:txbx>
                      <wps:bodyPr wrap="square"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Tvgt72AAAAAgBAAAPAAAAAAAAAAEAIAAAACIAAABkcnMvZG93bnJl&#10;di54bWxQSwECFAAUAAAACACHTuJATPrIXjYCAAB0BAAADgAAAAAAAAABACAAAAAnAQAAZHJzL2Uy&#10;b0RvYy54bWxQSwUGAAAAAAYABgBZAQAAzwUAAAAA&#10;">
                <v:fill on="t" focussize="0,0"/>
                <v:stroke weight="1.25pt" color="#808080" joinstyle="round"/>
                <v:imagedata o:title=""/>
                <o:lock v:ext="edit" aspectratio="f"/>
                <v:textbox>
                  <w:txbxContent>
                    <w:p w14:paraId="654E629E">
                      <w:pPr>
                        <w:jc w:val="center"/>
                        <w:rPr>
                          <w:rFonts w:hAnsi="宋体"/>
                        </w:rPr>
                      </w:pPr>
                    </w:p>
                    <w:p w14:paraId="7290E371">
                      <w:pPr>
                        <w:rPr>
                          <w:rFonts w:hAnsi="宋体"/>
                        </w:rPr>
                      </w:pPr>
                    </w:p>
                    <w:p w14:paraId="73D5450A">
                      <w:pPr>
                        <w:jc w:val="center"/>
                      </w:pPr>
                      <w:r>
                        <w:rPr>
                          <w:rFonts w:hint="eastAsia" w:hAnsi="宋体"/>
                        </w:rPr>
                        <w:t>法人身份证复印件</w:t>
                      </w:r>
                    </w:p>
                    <w:p w14:paraId="6CDFC62C"/>
                  </w:txbxContent>
                </v:textbox>
              </v:roundrect>
            </w:pict>
          </mc:Fallback>
        </mc:AlternateContent>
      </w:r>
    </w:p>
    <w:p w14:paraId="2CAC331A">
      <w:pPr>
        <w:spacing w:line="360" w:lineRule="auto"/>
        <w:ind w:firstLine="240" w:firstLineChars="100"/>
        <w:rPr>
          <w:rFonts w:hint="eastAsia" w:ascii="微软雅黑" w:hAnsi="微软雅黑" w:eastAsia="微软雅黑" w:cs="微软雅黑"/>
          <w:color w:val="auto"/>
          <w:sz w:val="24"/>
          <w:szCs w:val="24"/>
          <w:highlight w:val="none"/>
        </w:rPr>
      </w:pPr>
    </w:p>
    <w:p w14:paraId="52C0EB0F">
      <w:pPr>
        <w:spacing w:line="360" w:lineRule="auto"/>
        <w:ind w:firstLine="240" w:firstLineChars="100"/>
        <w:rPr>
          <w:rFonts w:hint="eastAsia" w:ascii="微软雅黑" w:hAnsi="微软雅黑" w:eastAsia="微软雅黑" w:cs="微软雅黑"/>
          <w:color w:val="auto"/>
          <w:sz w:val="24"/>
          <w:szCs w:val="24"/>
          <w:highlight w:val="none"/>
        </w:rPr>
      </w:pPr>
    </w:p>
    <w:p w14:paraId="16E5E49D">
      <w:pPr>
        <w:spacing w:line="360" w:lineRule="auto"/>
        <w:ind w:firstLine="240" w:firstLineChars="100"/>
        <w:rPr>
          <w:rFonts w:hint="eastAsia" w:ascii="微软雅黑" w:hAnsi="微软雅黑" w:eastAsia="微软雅黑" w:cs="微软雅黑"/>
          <w:color w:val="auto"/>
          <w:sz w:val="24"/>
          <w:szCs w:val="24"/>
          <w:highlight w:val="none"/>
        </w:rPr>
      </w:pPr>
    </w:p>
    <w:p w14:paraId="6724235F">
      <w:pPr>
        <w:spacing w:line="360" w:lineRule="auto"/>
        <w:ind w:firstLine="240" w:firstLineChars="100"/>
        <w:rPr>
          <w:rFonts w:hint="eastAsia" w:ascii="微软雅黑" w:hAnsi="微软雅黑" w:eastAsia="微软雅黑" w:cs="微软雅黑"/>
          <w:color w:val="auto"/>
          <w:sz w:val="24"/>
          <w:szCs w:val="24"/>
          <w:highlight w:val="none"/>
        </w:rPr>
      </w:pPr>
    </w:p>
    <w:p w14:paraId="44E2CA6D">
      <w:pPr>
        <w:pStyle w:val="15"/>
        <w:tabs>
          <w:tab w:val="left" w:pos="5580"/>
        </w:tabs>
        <w:spacing w:line="360" w:lineRule="exact"/>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09FB5F00">
      <w:pPr>
        <w:pStyle w:val="15"/>
        <w:tabs>
          <w:tab w:val="left" w:pos="5580"/>
        </w:tabs>
        <w:spacing w:line="360" w:lineRule="exact"/>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264AA9C3">
      <w:pPr>
        <w:pStyle w:val="15"/>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身份证号码：__________________________________ </w:t>
      </w:r>
    </w:p>
    <w:p w14:paraId="56584ACF">
      <w:pPr>
        <w:pStyle w:val="15"/>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1728EE78">
      <w:pPr>
        <w:pStyle w:val="15"/>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身份证号码：</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0869B774">
      <w:pPr>
        <w:pStyle w:val="15"/>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详细通讯地址：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443F5174">
      <w:pPr>
        <w:pStyle w:val="15"/>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邮 政 编 码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50C7DFCE">
      <w:pPr>
        <w:pStyle w:val="15"/>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　　　　真：</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 xml:space="preserve">      </w:t>
      </w:r>
    </w:p>
    <w:p w14:paraId="6A7D7838">
      <w:pPr>
        <w:pStyle w:val="15"/>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4A32A1AD">
      <w:pPr>
        <w:pStyle w:val="15"/>
        <w:tabs>
          <w:tab w:val="left" w:pos="5580"/>
        </w:tabs>
        <w:spacing w:line="360" w:lineRule="exact"/>
        <w:jc w:val="left"/>
        <w:rPr>
          <w:rFonts w:hint="eastAsia" w:ascii="微软雅黑" w:hAnsi="微软雅黑" w:eastAsia="微软雅黑" w:cs="微软雅黑"/>
          <w:highlight w:val="none"/>
        </w:rPr>
      </w:pPr>
      <w:r>
        <w:rPr>
          <w:rFonts w:hint="eastAsia" w:ascii="微软雅黑" w:hAnsi="微软雅黑" w:eastAsia="微软雅黑" w:cs="微软雅黑"/>
          <w:color w:val="auto"/>
          <w:sz w:val="24"/>
          <w:szCs w:val="24"/>
          <w:highlight w:val="none"/>
        </w:rPr>
        <w:t>年   月   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098875D1">
      <w:pPr>
        <w:rPr>
          <w:rFonts w:hint="eastAsia" w:ascii="宋体" w:hAnsi="宋体" w:eastAsia="宋体" w:cs="宋体"/>
          <w:b/>
          <w:color w:val="auto"/>
          <w:kern w:val="0"/>
          <w:highlight w:val="none"/>
        </w:rPr>
      </w:pPr>
    </w:p>
    <w:p w14:paraId="2ECF2DFC">
      <w:pPr>
        <w:pStyle w:val="15"/>
        <w:rPr>
          <w:rFonts w:hint="eastAsia" w:ascii="宋体" w:hAnsi="宋体" w:eastAsia="宋体" w:cs="宋体"/>
          <w:highlight w:val="none"/>
          <w:lang w:val="en-US" w:eastAsia="zh-CN"/>
        </w:rPr>
      </w:pPr>
    </w:p>
    <w:bookmarkEnd w:id="564"/>
    <w:bookmarkEnd w:id="565"/>
    <w:p w14:paraId="2D6BA12D">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4、具有良好的商业信誉和健全的财务会计制度的证明文件</w:t>
      </w:r>
    </w:p>
    <w:p w14:paraId="360AD978">
      <w:pPr>
        <w:tabs>
          <w:tab w:val="left" w:pos="5580"/>
        </w:tabs>
        <w:spacing w:line="240" w:lineRule="atLeast"/>
        <w:ind w:left="1080" w:leftChars="257" w:hanging="540"/>
        <w:rPr>
          <w:rFonts w:hint="eastAsia" w:ascii="微软雅黑" w:hAnsi="微软雅黑" w:eastAsia="微软雅黑" w:cs="微软雅黑"/>
          <w:b/>
          <w:bCs/>
          <w:color w:val="000000"/>
          <w:sz w:val="24"/>
          <w:szCs w:val="24"/>
          <w:highlight w:val="none"/>
        </w:rPr>
      </w:pPr>
      <w:r>
        <w:rPr>
          <w:rFonts w:hint="eastAsia" w:ascii="微软雅黑" w:hAnsi="微软雅黑" w:eastAsia="微软雅黑" w:cs="微软雅黑"/>
          <w:b/>
          <w:bCs/>
          <w:color w:val="000000"/>
          <w:sz w:val="24"/>
          <w:szCs w:val="24"/>
          <w:highlight w:val="none"/>
        </w:rPr>
        <w:t>说明：</w:t>
      </w:r>
    </w:p>
    <w:p w14:paraId="2BF787BE">
      <w:pPr>
        <w:pStyle w:val="5"/>
        <w:numPr>
          <w:ilvl w:val="0"/>
          <w:numId w:val="0"/>
        </w:numPr>
        <w:ind w:firstLine="480" w:firstLineChars="200"/>
        <w:jc w:val="left"/>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sz w:val="24"/>
          <w:szCs w:val="24"/>
          <w:highlight w:val="none"/>
          <w:lang w:eastAsia="zh-CN"/>
        </w:rPr>
        <w:t>（</w:t>
      </w:r>
      <w:r>
        <w:rPr>
          <w:rFonts w:hint="eastAsia" w:ascii="微软雅黑" w:hAnsi="微软雅黑" w:eastAsia="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eastAsia="zh-CN"/>
        </w:rPr>
        <w:t>）</w:t>
      </w:r>
      <w:r>
        <w:rPr>
          <w:rFonts w:hint="eastAsia" w:ascii="微软雅黑" w:hAnsi="微软雅黑" w:eastAsia="微软雅黑" w:cs="微软雅黑"/>
          <w:b w:val="0"/>
          <w:bCs w:val="0"/>
          <w:color w:val="000000"/>
          <w:sz w:val="24"/>
          <w:szCs w:val="24"/>
          <w:highlight w:val="none"/>
          <w:vertAlign w:val="baseline"/>
          <w:lang w:val="en-US" w:eastAsia="zh-CN"/>
        </w:rPr>
        <w:t>提供本单位会计师事务所出具的审计期间为（近两年任意一年财务审计报告，新成立未满一年的公司提供开标前三个月内有效银行资信证明）（①财务审计报告须包括资产负债表、利润表、现金流量表、所有者权益变动（如有）及其附注。②银行资信证明可提供原件的扫描件，也可提供复印件。若银行开具的资信证明声明复印无效的，则磋商人必须提供原件的扫描件，否则视为无效。提供复印件的，必须提供银行资信证明所有内容页的齐全的复印件，含首页、声明页等，否则视为无效。③银行出具的存款证明不能替代银行资信证明，存款证明无效。④成立不到一年的公司须提交验资证明复印件并加盖磋商人公章或银行资信证明）</w:t>
      </w:r>
    </w:p>
    <w:p w14:paraId="110BB4AB">
      <w:pPr>
        <w:tabs>
          <w:tab w:val="left" w:pos="5580"/>
        </w:tabs>
        <w:spacing w:line="240" w:lineRule="atLeast"/>
        <w:ind w:firstLine="480" w:firstLineChars="200"/>
        <w:rPr>
          <w:rFonts w:hint="eastAsia" w:ascii="微软雅黑" w:hAnsi="微软雅黑" w:eastAsia="微软雅黑" w:cs="微软雅黑"/>
          <w:b w:val="0"/>
          <w:bCs w:val="0"/>
          <w:sz w:val="24"/>
          <w:szCs w:val="24"/>
          <w:highlight w:val="none"/>
          <w:lang w:val="en-US" w:eastAsia="zh-CN"/>
        </w:rPr>
      </w:pPr>
      <w:r>
        <w:rPr>
          <w:rFonts w:hint="eastAsia" w:ascii="微软雅黑" w:hAnsi="微软雅黑" w:eastAsia="微软雅黑" w:cs="微软雅黑"/>
          <w:b/>
          <w:bCs/>
          <w:color w:val="000000"/>
          <w:sz w:val="24"/>
          <w:szCs w:val="24"/>
          <w:highlight w:val="none"/>
          <w:lang w:eastAsia="zh-CN"/>
        </w:rPr>
        <w:t>（</w:t>
      </w:r>
      <w:r>
        <w:rPr>
          <w:rFonts w:hint="eastAsia" w:ascii="微软雅黑" w:hAnsi="微软雅黑" w:eastAsia="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eastAsia="zh-CN"/>
        </w:rPr>
        <w:t>）</w:t>
      </w:r>
      <w:r>
        <w:rPr>
          <w:rFonts w:hint="eastAsia" w:ascii="微软雅黑" w:hAnsi="微软雅黑" w:eastAsia="微软雅黑" w:cs="微软雅黑"/>
          <w:b w:val="0"/>
          <w:bCs w:val="0"/>
          <w:color w:val="000000"/>
          <w:sz w:val="24"/>
          <w:szCs w:val="24"/>
          <w:highlight w:val="none"/>
        </w:rPr>
        <w:t>如提供银行出具的证明文件。银行证明文件可提供原件</w:t>
      </w:r>
      <w:r>
        <w:rPr>
          <w:rFonts w:hint="eastAsia" w:ascii="微软雅黑" w:hAnsi="微软雅黑" w:eastAsia="微软雅黑" w:cs="微软雅黑"/>
          <w:b w:val="0"/>
          <w:bCs w:val="0"/>
          <w:color w:val="000000"/>
          <w:sz w:val="24"/>
          <w:szCs w:val="24"/>
          <w:highlight w:val="none"/>
          <w:lang w:eastAsia="zh-CN"/>
        </w:rPr>
        <w:t>扫描件</w:t>
      </w:r>
      <w:r>
        <w:rPr>
          <w:rFonts w:hint="eastAsia" w:ascii="微软雅黑" w:hAnsi="微软雅黑" w:eastAsia="微软雅黑" w:cs="微软雅黑"/>
          <w:b w:val="0"/>
          <w:bCs w:val="0"/>
          <w:color w:val="000000"/>
          <w:sz w:val="24"/>
          <w:szCs w:val="24"/>
          <w:highlight w:val="none"/>
        </w:rPr>
        <w:t>，也可提供银行在开标日前三个月内开具证明文件的复印件。银行出具的证明文件应能说明该</w:t>
      </w:r>
      <w:r>
        <w:rPr>
          <w:rFonts w:hint="eastAsia" w:ascii="微软雅黑" w:hAnsi="微软雅黑" w:eastAsia="微软雅黑" w:cs="微软雅黑"/>
          <w:b w:val="0"/>
          <w:bCs w:val="0"/>
          <w:color w:val="000000"/>
          <w:sz w:val="24"/>
          <w:szCs w:val="24"/>
          <w:highlight w:val="none"/>
          <w:lang w:eastAsia="zh-CN"/>
        </w:rPr>
        <w:t>磋商</w:t>
      </w:r>
      <w:r>
        <w:rPr>
          <w:rFonts w:hint="eastAsia" w:ascii="微软雅黑" w:hAnsi="微软雅黑" w:eastAsia="微软雅黑" w:cs="微软雅黑"/>
          <w:b w:val="0"/>
          <w:bCs w:val="0"/>
          <w:color w:val="000000"/>
          <w:sz w:val="24"/>
          <w:szCs w:val="24"/>
          <w:highlight w:val="none"/>
        </w:rPr>
        <w:t>人与银行之间业务往来正常，企业信誉良好等。</w:t>
      </w:r>
    </w:p>
    <w:p w14:paraId="362F9D54">
      <w:pPr>
        <w:pStyle w:val="12"/>
        <w:ind w:left="0" w:leftChars="0" w:firstLine="0" w:firstLineChars="0"/>
        <w:rPr>
          <w:rFonts w:hint="eastAsia" w:ascii="微软雅黑" w:hAnsi="微软雅黑" w:eastAsia="微软雅黑" w:cs="微软雅黑"/>
          <w:sz w:val="24"/>
          <w:szCs w:val="24"/>
          <w:highlight w:val="none"/>
        </w:rPr>
      </w:pPr>
    </w:p>
    <w:p w14:paraId="13B1770F">
      <w:pPr>
        <w:pStyle w:val="5"/>
        <w:rPr>
          <w:rFonts w:hint="eastAsia"/>
          <w:highlight w:val="none"/>
        </w:rPr>
      </w:pPr>
    </w:p>
    <w:p w14:paraId="0E49F09E">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5、有依法缴纳社会保障资金的良好记录</w:t>
      </w:r>
    </w:p>
    <w:p w14:paraId="2AF0417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期连续3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0D89FE21">
      <w:pPr>
        <w:pStyle w:val="12"/>
        <w:ind w:left="0" w:leftChars="0" w:firstLine="0" w:firstLineChars="0"/>
        <w:rPr>
          <w:rFonts w:hint="eastAsia"/>
          <w:highlight w:val="none"/>
          <w:lang w:val="en-US" w:eastAsia="zh-CN"/>
        </w:rPr>
      </w:pPr>
    </w:p>
    <w:p w14:paraId="61654109">
      <w:pPr>
        <w:pStyle w:val="5"/>
        <w:rPr>
          <w:rFonts w:hint="eastAsia"/>
          <w:highlight w:val="none"/>
          <w:lang w:val="en-US" w:eastAsia="zh-CN"/>
        </w:rPr>
      </w:pPr>
    </w:p>
    <w:p w14:paraId="66CAE566">
      <w:pPr>
        <w:pStyle w:val="12"/>
        <w:ind w:left="0" w:leftChars="0" w:firstLine="0" w:firstLineChars="0"/>
        <w:rPr>
          <w:rFonts w:hint="eastAsia"/>
          <w:highlight w:val="none"/>
          <w:lang w:val="en-US" w:eastAsia="zh-CN"/>
        </w:rPr>
      </w:pPr>
    </w:p>
    <w:p w14:paraId="240FF4E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6、有依法缴纳税收的良好记录</w:t>
      </w:r>
    </w:p>
    <w:p w14:paraId="30F3B6B9">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投标单位近期连续3个月依法缴纳税收的完税证明原件扫描件/复印件，依法免缴的，应提供依法免缴的相关证明文件或零申报报表（新公司提交上述内容实际证明材料）；</w:t>
      </w:r>
    </w:p>
    <w:p w14:paraId="2479830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税务部门出具近期连续3个月的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p>
    <w:p w14:paraId="76892D19">
      <w:pPr>
        <w:pStyle w:val="12"/>
        <w:rPr>
          <w:rFonts w:hint="eastAsia" w:ascii="微软雅黑" w:hAnsi="微软雅黑" w:eastAsia="微软雅黑" w:cs="微软雅黑"/>
          <w:color w:val="auto"/>
          <w:sz w:val="24"/>
          <w:szCs w:val="24"/>
          <w:highlight w:val="none"/>
          <w:lang w:val="en-US" w:eastAsia="zh-CN"/>
        </w:rPr>
      </w:pPr>
    </w:p>
    <w:p w14:paraId="58B9E09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highlight w:val="none"/>
          <w:lang w:val="en-US" w:eastAsia="zh-CN"/>
        </w:rPr>
      </w:pPr>
      <w:r>
        <w:rPr>
          <w:rFonts w:hint="eastAsia" w:ascii="微软雅黑" w:hAnsi="微软雅黑" w:eastAsia="微软雅黑" w:cs="微软雅黑"/>
          <w:b/>
          <w:bCs/>
          <w:color w:val="auto"/>
          <w:kern w:val="0"/>
          <w:sz w:val="24"/>
          <w:szCs w:val="24"/>
          <w:highlight w:val="none"/>
          <w:lang w:val="en-US" w:eastAsia="zh-CN" w:bidi="ar-SA"/>
        </w:rPr>
        <w:t>7、参加本次招标项目的供应商，不得在中国政府采购网（http://www.ccgp.gov.cn/search/cr/）存在严重违法失信行为记录名单（尚在处罚期内的）；近三年内（2022年02月25日-2025年02月25日）不得在“信用中国”网站（www.creditchina.gov.cn）被列入失信被执行人、重大税收违法失信主体内将拒绝其参加本次招标活动。以上内容由投标企业自行承诺，由采购人或采购代理机构在投标截止后核查；</w:t>
      </w:r>
    </w:p>
    <w:p w14:paraId="6A24321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57BF863E">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8、提供针对本次项目《反商业贿赂承诺书》</w:t>
      </w:r>
    </w:p>
    <w:p w14:paraId="1756E0A5">
      <w:pPr>
        <w:pStyle w:val="8"/>
        <w:ind w:left="0" w:leftChars="0" w:firstLine="0" w:firstLineChars="0"/>
        <w:jc w:val="both"/>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val="0"/>
          <w:bCs w:val="0"/>
          <w:color w:val="000000"/>
          <w:kern w:val="2"/>
          <w:sz w:val="24"/>
          <w:szCs w:val="24"/>
          <w:highlight w:val="none"/>
          <w:lang w:val="en-US" w:eastAsia="zh-CN" w:bidi="ar-SA"/>
        </w:rPr>
        <w:t>注：磋商人需提供的其他资料，招标文件文件中无固定文件格式的，磋商人自行制作。</w:t>
      </w:r>
    </w:p>
    <w:p w14:paraId="1B7BE62B">
      <w:pPr>
        <w:pStyle w:val="15"/>
        <w:tabs>
          <w:tab w:val="left" w:pos="5580"/>
        </w:tabs>
        <w:spacing w:line="400" w:lineRule="exact"/>
        <w:rPr>
          <w:rFonts w:hint="eastAsia" w:ascii="宋体" w:hAnsi="宋体" w:eastAsia="宋体" w:cs="宋体"/>
          <w:b/>
          <w:color w:val="auto"/>
          <w:kern w:val="0"/>
          <w:sz w:val="24"/>
          <w:szCs w:val="24"/>
          <w:highlight w:val="none"/>
        </w:rPr>
      </w:pPr>
    </w:p>
    <w:p w14:paraId="6254BD66">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bookmarkStart w:id="566" w:name="_Toc14673"/>
      <w:bookmarkStart w:id="567" w:name="_Toc13015"/>
      <w:r>
        <w:rPr>
          <w:rFonts w:hint="eastAsia" w:ascii="微软雅黑" w:hAnsi="微软雅黑" w:eastAsia="微软雅黑" w:cs="微软雅黑"/>
          <w:b/>
          <w:bCs/>
          <w:color w:val="auto"/>
          <w:kern w:val="0"/>
          <w:sz w:val="24"/>
          <w:szCs w:val="24"/>
          <w:highlight w:val="none"/>
          <w:lang w:val="en-US" w:eastAsia="zh-CN" w:bidi="ar-SA"/>
        </w:rPr>
        <w:t>9、</w:t>
      </w:r>
      <w:bookmarkEnd w:id="566"/>
      <w:bookmarkEnd w:id="567"/>
      <w:bookmarkStart w:id="568" w:name="_Toc32013"/>
      <w:r>
        <w:rPr>
          <w:rFonts w:hint="eastAsia" w:ascii="微软雅黑" w:hAnsi="微软雅黑" w:eastAsia="微软雅黑" w:cs="微软雅黑"/>
          <w:b/>
          <w:bCs/>
          <w:color w:val="auto"/>
          <w:kern w:val="0"/>
          <w:sz w:val="24"/>
          <w:szCs w:val="24"/>
          <w:highlight w:val="none"/>
          <w:lang w:val="en-US" w:eastAsia="zh-CN" w:bidi="ar-SA"/>
        </w:rPr>
        <w:t>提供缴纳磋商保证金的有效凭证；</w:t>
      </w:r>
      <w:bookmarkEnd w:id="568"/>
    </w:p>
    <w:tbl>
      <w:tblPr>
        <w:tblStyle w:val="30"/>
        <w:tblpPr w:leftFromText="180" w:rightFromText="180" w:vertAnchor="text" w:horzAnchor="page" w:tblpXSpec="center" w:tblpY="393"/>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E99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879" w:type="dxa"/>
            <w:noWrap w:val="0"/>
            <w:vAlign w:val="top"/>
          </w:tcPr>
          <w:p w14:paraId="3628132F">
            <w:pPr>
              <w:snapToGrid w:val="0"/>
              <w:spacing w:line="360" w:lineRule="exact"/>
              <w:textAlignment w:val="baseline"/>
              <w:rPr>
                <w:rFonts w:hint="eastAsia" w:ascii="宋体" w:hAnsi="宋体" w:eastAsia="宋体" w:cs="宋体"/>
                <w:color w:val="auto"/>
                <w:sz w:val="24"/>
                <w:highlight w:val="none"/>
              </w:rPr>
            </w:pPr>
          </w:p>
          <w:p w14:paraId="71AC490B">
            <w:pPr>
              <w:snapToGrid w:val="0"/>
              <w:spacing w:line="360" w:lineRule="exact"/>
              <w:textAlignment w:val="baseline"/>
              <w:rPr>
                <w:rFonts w:hint="eastAsia" w:ascii="宋体" w:hAnsi="宋体" w:eastAsia="宋体" w:cs="宋体"/>
                <w:color w:val="auto"/>
                <w:sz w:val="24"/>
                <w:highlight w:val="none"/>
              </w:rPr>
            </w:pPr>
          </w:p>
          <w:p w14:paraId="2BF7E335">
            <w:pPr>
              <w:snapToGri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缴纳</w:t>
            </w:r>
            <w:r>
              <w:rPr>
                <w:rFonts w:hint="eastAsia" w:ascii="宋体" w:hAnsi="宋体" w:eastAsia="宋体" w:cs="宋体"/>
                <w:color w:val="auto"/>
                <w:sz w:val="24"/>
                <w:highlight w:val="none"/>
                <w:lang w:eastAsia="zh-CN"/>
              </w:rPr>
              <w:t>磋商保证金</w:t>
            </w:r>
            <w:r>
              <w:rPr>
                <w:rFonts w:hint="eastAsia" w:ascii="宋体" w:hAnsi="宋体" w:eastAsia="宋体" w:cs="宋体"/>
                <w:color w:val="auto"/>
                <w:sz w:val="24"/>
                <w:highlight w:val="none"/>
              </w:rPr>
              <w:t>的有效凭证复印件（银行转账回执单/保函/支票</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w:t>
            </w:r>
          </w:p>
        </w:tc>
      </w:tr>
    </w:tbl>
    <w:p w14:paraId="6C79263C">
      <w:pPr>
        <w:ind w:firstLine="480" w:firstLineChars="200"/>
        <w:rPr>
          <w:rFonts w:hint="eastAsia" w:ascii="微软雅黑" w:hAnsi="微软雅黑" w:eastAsia="微软雅黑" w:cs="微软雅黑"/>
          <w:b w:val="0"/>
          <w:bCs w:val="0"/>
          <w:color w:val="000000"/>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000000"/>
          <w:kern w:val="2"/>
          <w:sz w:val="24"/>
          <w:szCs w:val="24"/>
          <w:highlight w:val="none"/>
          <w:lang w:val="en-US" w:eastAsia="zh-CN" w:bidi="ar-SA"/>
        </w:rPr>
        <w:t>磋商人可将本项目磋商保证金支付的汇款凭证、支票、汇票、使用银行保函等其他磋商担保函或采购中心出具的收款收据（如有）的复印件作为缴纳凭证放入本部分，复印件上应加盖本单位章。</w:t>
      </w:r>
    </w:p>
    <w:p w14:paraId="3D87B98C">
      <w:pPr>
        <w:pStyle w:val="22"/>
        <w:rPr>
          <w:rFonts w:hint="eastAsia" w:ascii="宋体" w:hAnsi="宋体" w:eastAsia="宋体" w:cs="宋体"/>
          <w:color w:val="auto"/>
          <w:sz w:val="24"/>
          <w:highlight w:val="none"/>
        </w:rPr>
      </w:pPr>
    </w:p>
    <w:p w14:paraId="3F6C133C">
      <w:pPr>
        <w:pStyle w:val="15"/>
        <w:numPr>
          <w:ilvl w:val="0"/>
          <w:numId w:val="3"/>
        </w:numPr>
        <w:tabs>
          <w:tab w:val="left" w:pos="5580"/>
        </w:tabs>
        <w:spacing w:line="400" w:lineRule="exact"/>
        <w:outlineLvl w:val="1"/>
        <w:rPr>
          <w:rFonts w:hint="eastAsia" w:ascii="微软雅黑" w:hAnsi="微软雅黑" w:eastAsia="微软雅黑" w:cs="微软雅黑"/>
          <w:b/>
          <w:bCs/>
          <w:color w:val="auto"/>
          <w:kern w:val="0"/>
          <w:sz w:val="24"/>
          <w:szCs w:val="24"/>
          <w:highlight w:val="none"/>
          <w:lang w:val="en-US" w:eastAsia="zh-CN" w:bidi="ar-SA"/>
        </w:rPr>
      </w:pPr>
      <w:bookmarkStart w:id="569" w:name="_Toc19935"/>
      <w:bookmarkStart w:id="570" w:name="_Toc13440"/>
      <w:bookmarkStart w:id="571" w:name="_Toc27979"/>
      <w:r>
        <w:rPr>
          <w:rFonts w:hint="eastAsia" w:ascii="微软雅黑" w:hAnsi="微软雅黑" w:eastAsia="微软雅黑" w:cs="微软雅黑"/>
          <w:b/>
          <w:bCs/>
          <w:color w:val="auto"/>
          <w:kern w:val="0"/>
          <w:sz w:val="24"/>
          <w:szCs w:val="24"/>
          <w:highlight w:val="none"/>
          <w:lang w:val="en-US" w:eastAsia="zh-CN" w:bidi="ar-SA"/>
        </w:rPr>
        <w:t>供应商可提供有利于磋商的其他资格证明材料。</w:t>
      </w:r>
      <w:bookmarkEnd w:id="569"/>
      <w:bookmarkEnd w:id="570"/>
      <w:bookmarkEnd w:id="571"/>
    </w:p>
    <w:p w14:paraId="0FAAED51">
      <w:pPr>
        <w:pStyle w:val="15"/>
        <w:numPr>
          <w:ilvl w:val="0"/>
          <w:numId w:val="0"/>
        </w:numPr>
        <w:tabs>
          <w:tab w:val="left" w:pos="5580"/>
        </w:tabs>
        <w:spacing w:line="400" w:lineRule="exact"/>
        <w:outlineLvl w:val="1"/>
        <w:rPr>
          <w:rFonts w:hint="eastAsia" w:ascii="微软雅黑" w:hAnsi="微软雅黑" w:eastAsia="微软雅黑" w:cs="微软雅黑"/>
          <w:b/>
          <w:bCs/>
          <w:color w:val="auto"/>
          <w:kern w:val="0"/>
          <w:sz w:val="24"/>
          <w:szCs w:val="24"/>
          <w:highlight w:val="none"/>
          <w:lang w:val="en-US" w:eastAsia="zh-CN" w:bidi="ar-SA"/>
        </w:rPr>
      </w:pPr>
    </w:p>
    <w:p w14:paraId="6A9D786C">
      <w:pPr>
        <w:pStyle w:val="15"/>
        <w:numPr>
          <w:ilvl w:val="0"/>
          <w:numId w:val="0"/>
        </w:numPr>
        <w:tabs>
          <w:tab w:val="left" w:pos="5580"/>
        </w:tabs>
        <w:spacing w:line="400" w:lineRule="exac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850C506">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宋体" w:hAnsi="宋体" w:eastAsia="宋体" w:cs="宋体"/>
          <w:b/>
          <w:i w:val="0"/>
          <w:color w:val="auto"/>
          <w:spacing w:val="0"/>
          <w:w w:val="100"/>
          <w:sz w:val="28"/>
          <w:szCs w:val="28"/>
          <w:highlight w:val="none"/>
        </w:rPr>
      </w:pPr>
      <w:bookmarkStart w:id="572" w:name="_Toc4650"/>
      <w:bookmarkStart w:id="573" w:name="_Toc23151"/>
      <w:bookmarkStart w:id="574" w:name="_Toc4881"/>
      <w:r>
        <w:rPr>
          <w:rFonts w:hint="eastAsia" w:ascii="宋体" w:hAnsi="宋体" w:eastAsia="宋体" w:cs="宋体"/>
          <w:b/>
          <w:i w:val="0"/>
          <w:color w:val="auto"/>
          <w:spacing w:val="0"/>
          <w:w w:val="100"/>
          <w:sz w:val="28"/>
          <w:szCs w:val="28"/>
          <w:highlight w:val="none"/>
        </w:rPr>
        <w:t>第二部分  商务及技术文件</w:t>
      </w:r>
      <w:bookmarkEnd w:id="572"/>
      <w:bookmarkEnd w:id="573"/>
      <w:bookmarkEnd w:id="574"/>
    </w:p>
    <w:p w14:paraId="3B30FC94">
      <w:pPr>
        <w:pStyle w:val="15"/>
        <w:spacing w:line="400" w:lineRule="exact"/>
        <w:ind w:left="1079" w:leftChars="257" w:hanging="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书</w:t>
      </w:r>
    </w:p>
    <w:p w14:paraId="6AC10496">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分项报价表</w:t>
      </w:r>
    </w:p>
    <w:p w14:paraId="3A8EDEF2">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说明一览表</w:t>
      </w:r>
    </w:p>
    <w:p w14:paraId="1DEB5E1C">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服务要求</w:t>
      </w:r>
      <w:r>
        <w:rPr>
          <w:rFonts w:hint="eastAsia" w:ascii="宋体" w:hAnsi="宋体" w:eastAsia="宋体" w:cs="宋体"/>
          <w:color w:val="auto"/>
          <w:sz w:val="24"/>
          <w:szCs w:val="24"/>
          <w:highlight w:val="none"/>
        </w:rPr>
        <w:t>偏离表</w:t>
      </w:r>
    </w:p>
    <w:p w14:paraId="1FF0D87A">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5、商务条款偏离表</w:t>
      </w:r>
    </w:p>
    <w:p w14:paraId="513E166B">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、投入本项目人员配置表</w:t>
      </w:r>
    </w:p>
    <w:p w14:paraId="3F868929">
      <w:pPr>
        <w:pStyle w:val="15"/>
        <w:spacing w:line="400" w:lineRule="exact"/>
        <w:ind w:left="311" w:leftChars="148" w:firstLine="228"/>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-1中小企业声明函</w:t>
      </w:r>
      <w:r>
        <w:rPr>
          <w:rFonts w:hint="eastAsia" w:hAnsi="宋体" w:cs="宋体"/>
          <w:color w:val="auto"/>
          <w:sz w:val="24"/>
          <w:szCs w:val="24"/>
          <w:highlight w:val="none"/>
          <w:lang w:eastAsia="zh-CN"/>
        </w:rPr>
        <w:t>（服务）</w:t>
      </w:r>
    </w:p>
    <w:p w14:paraId="5CC60E90">
      <w:pPr>
        <w:pStyle w:val="15"/>
        <w:spacing w:line="400" w:lineRule="exact"/>
        <w:ind w:left="311" w:leftChars="148" w:firstLine="228"/>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-2残疾人福利性单位声明函</w:t>
      </w:r>
    </w:p>
    <w:p w14:paraId="3FDD9AB9">
      <w:pPr>
        <w:pStyle w:val="15"/>
        <w:spacing w:line="400" w:lineRule="exact"/>
        <w:ind w:left="311" w:leftChars="148" w:firstLine="228"/>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、供应商关联单位的说明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lang w:eastAsia="zh-CN"/>
        </w:rPr>
        <w:t>）</w:t>
      </w:r>
    </w:p>
    <w:p w14:paraId="161E0393">
      <w:pPr>
        <w:pStyle w:val="15"/>
        <w:spacing w:line="400" w:lineRule="exact"/>
        <w:ind w:left="311" w:leftChars="148" w:firstLine="228"/>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bookmarkStart w:id="575" w:name="_Toc2041"/>
      <w:bookmarkStart w:id="576" w:name="_Toc515647817"/>
      <w:bookmarkStart w:id="577" w:name="_Toc14915"/>
      <w:r>
        <w:rPr>
          <w:rFonts w:hint="eastAsia" w:ascii="宋体" w:hAnsi="宋体" w:eastAsia="宋体" w:cs="宋体"/>
          <w:color w:val="auto"/>
          <w:sz w:val="24"/>
          <w:szCs w:val="24"/>
          <w:highlight w:val="none"/>
        </w:rPr>
        <w:t>供应商可提供有利于</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的其他证明材料</w:t>
      </w:r>
    </w:p>
    <w:p w14:paraId="2E453D41">
      <w:pPr>
        <w:pStyle w:val="15"/>
        <w:spacing w:line="400" w:lineRule="exact"/>
        <w:ind w:left="311" w:leftChars="148" w:firstLine="228"/>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格式范本</w:t>
      </w:r>
    </w:p>
    <w:p w14:paraId="3B28CC6C">
      <w:pPr>
        <w:pStyle w:val="15"/>
        <w:spacing w:line="400" w:lineRule="exact"/>
        <w:ind w:left="311" w:leftChars="148" w:firstLine="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、二轮报价表（此表用于磋商现场）</w:t>
      </w:r>
    </w:p>
    <w:p w14:paraId="31509028">
      <w:pPr>
        <w:pStyle w:val="5"/>
        <w:rPr>
          <w:rFonts w:hint="eastAsia" w:ascii="宋体" w:hAnsi="宋体" w:eastAsia="宋体" w:cs="宋体"/>
          <w:b/>
          <w:bCs/>
          <w:color w:val="auto"/>
          <w:szCs w:val="24"/>
          <w:highlight w:val="none"/>
        </w:rPr>
      </w:pPr>
    </w:p>
    <w:p w14:paraId="693004ED">
      <w:pPr>
        <w:pStyle w:val="5"/>
        <w:rPr>
          <w:rFonts w:hint="eastAsia" w:ascii="宋体" w:hAnsi="宋体" w:eastAsia="宋体" w:cs="宋体"/>
          <w:b/>
          <w:bCs/>
          <w:color w:val="auto"/>
          <w:szCs w:val="24"/>
          <w:highlight w:val="none"/>
        </w:rPr>
      </w:pPr>
    </w:p>
    <w:p w14:paraId="60DF91B8">
      <w:pPr>
        <w:pStyle w:val="5"/>
        <w:rPr>
          <w:rFonts w:hint="eastAsia" w:ascii="宋体" w:hAnsi="宋体" w:eastAsia="宋体" w:cs="宋体"/>
          <w:b/>
          <w:bCs/>
          <w:color w:val="auto"/>
          <w:szCs w:val="24"/>
          <w:highlight w:val="none"/>
        </w:rPr>
      </w:pPr>
    </w:p>
    <w:p w14:paraId="31A3A08F">
      <w:pPr>
        <w:pStyle w:val="5"/>
        <w:rPr>
          <w:rFonts w:hint="eastAsia" w:ascii="宋体" w:hAnsi="宋体" w:eastAsia="宋体" w:cs="宋体"/>
          <w:b/>
          <w:bCs/>
          <w:color w:val="auto"/>
          <w:szCs w:val="24"/>
          <w:highlight w:val="none"/>
        </w:rPr>
      </w:pPr>
    </w:p>
    <w:p w14:paraId="1DD7AF5F">
      <w:pPr>
        <w:pStyle w:val="5"/>
        <w:rPr>
          <w:rFonts w:hint="eastAsia" w:ascii="宋体" w:hAnsi="宋体" w:eastAsia="宋体" w:cs="宋体"/>
          <w:b/>
          <w:bCs/>
          <w:color w:val="auto"/>
          <w:szCs w:val="24"/>
          <w:highlight w:val="none"/>
        </w:rPr>
      </w:pPr>
    </w:p>
    <w:p w14:paraId="65495180">
      <w:pPr>
        <w:pStyle w:val="5"/>
        <w:rPr>
          <w:rFonts w:hint="eastAsia" w:ascii="宋体" w:hAnsi="宋体" w:eastAsia="宋体" w:cs="宋体"/>
          <w:b/>
          <w:bCs/>
          <w:color w:val="auto"/>
          <w:szCs w:val="24"/>
          <w:highlight w:val="none"/>
        </w:rPr>
      </w:pPr>
    </w:p>
    <w:p w14:paraId="19DBB1A4">
      <w:pPr>
        <w:spacing w:line="360" w:lineRule="auto"/>
        <w:rPr>
          <w:rFonts w:hint="eastAsia" w:ascii="宋体" w:hAnsi="宋体" w:eastAsia="宋体" w:cs="宋体"/>
          <w:color w:val="auto"/>
          <w:sz w:val="24"/>
          <w:highlight w:val="none"/>
        </w:rPr>
      </w:pPr>
    </w:p>
    <w:p w14:paraId="5CE29E0D">
      <w:pPr>
        <w:pStyle w:val="15"/>
        <w:tabs>
          <w:tab w:val="left" w:pos="5580"/>
        </w:tabs>
        <w:spacing w:line="240" w:lineRule="atLeast"/>
        <w:rPr>
          <w:rFonts w:hint="eastAsia" w:ascii="宋体" w:hAnsi="宋体" w:eastAsia="宋体" w:cs="宋体"/>
          <w:color w:val="auto"/>
          <w:sz w:val="24"/>
          <w:szCs w:val="24"/>
          <w:highlight w:val="none"/>
        </w:rPr>
      </w:pPr>
    </w:p>
    <w:p w14:paraId="01EA17AA">
      <w:pPr>
        <w:pStyle w:val="15"/>
        <w:tabs>
          <w:tab w:val="left" w:pos="5580"/>
        </w:tabs>
        <w:spacing w:line="240" w:lineRule="atLeast"/>
        <w:rPr>
          <w:rFonts w:hint="eastAsia" w:ascii="宋体" w:hAnsi="宋体" w:eastAsia="宋体" w:cs="宋体"/>
          <w:color w:val="auto"/>
          <w:sz w:val="24"/>
          <w:szCs w:val="24"/>
          <w:highlight w:val="none"/>
        </w:rPr>
      </w:pPr>
    </w:p>
    <w:p w14:paraId="0A0C5A28">
      <w:pPr>
        <w:pStyle w:val="15"/>
        <w:tabs>
          <w:tab w:val="left" w:pos="5580"/>
        </w:tabs>
        <w:spacing w:line="240" w:lineRule="atLeast"/>
        <w:rPr>
          <w:rFonts w:hint="eastAsia" w:ascii="宋体" w:hAnsi="宋体" w:eastAsia="宋体" w:cs="宋体"/>
          <w:color w:val="auto"/>
          <w:sz w:val="24"/>
          <w:szCs w:val="24"/>
          <w:highlight w:val="none"/>
        </w:rPr>
      </w:pPr>
    </w:p>
    <w:p w14:paraId="1DA5DD44">
      <w:pPr>
        <w:pStyle w:val="15"/>
        <w:tabs>
          <w:tab w:val="left" w:pos="5580"/>
        </w:tabs>
        <w:spacing w:line="240" w:lineRule="atLeast"/>
        <w:rPr>
          <w:rFonts w:hint="eastAsia" w:ascii="宋体" w:hAnsi="宋体" w:eastAsia="宋体" w:cs="宋体"/>
          <w:color w:val="auto"/>
          <w:sz w:val="24"/>
          <w:szCs w:val="24"/>
          <w:highlight w:val="none"/>
        </w:rPr>
      </w:pPr>
    </w:p>
    <w:p w14:paraId="5398D1BA">
      <w:pPr>
        <w:pStyle w:val="15"/>
        <w:tabs>
          <w:tab w:val="left" w:pos="5580"/>
        </w:tabs>
        <w:spacing w:line="240" w:lineRule="atLeast"/>
        <w:rPr>
          <w:rFonts w:hint="eastAsia" w:ascii="宋体" w:hAnsi="宋体" w:eastAsia="宋体" w:cs="宋体"/>
          <w:color w:val="auto"/>
          <w:sz w:val="24"/>
          <w:szCs w:val="24"/>
          <w:highlight w:val="none"/>
        </w:rPr>
      </w:pPr>
    </w:p>
    <w:p w14:paraId="4E7DB636">
      <w:pPr>
        <w:pStyle w:val="15"/>
        <w:tabs>
          <w:tab w:val="left" w:pos="5580"/>
        </w:tabs>
        <w:spacing w:line="240" w:lineRule="atLeast"/>
        <w:rPr>
          <w:rFonts w:hint="eastAsia" w:ascii="宋体" w:hAnsi="宋体" w:eastAsia="宋体" w:cs="宋体"/>
          <w:color w:val="auto"/>
          <w:sz w:val="24"/>
          <w:szCs w:val="24"/>
          <w:highlight w:val="none"/>
        </w:rPr>
      </w:pPr>
    </w:p>
    <w:p w14:paraId="25B8B819">
      <w:pPr>
        <w:pStyle w:val="15"/>
        <w:tabs>
          <w:tab w:val="left" w:pos="5580"/>
        </w:tabs>
        <w:spacing w:line="240" w:lineRule="atLeast"/>
        <w:rPr>
          <w:rFonts w:hint="eastAsia" w:ascii="宋体" w:hAnsi="宋体" w:eastAsia="宋体" w:cs="宋体"/>
          <w:color w:val="auto"/>
          <w:sz w:val="24"/>
          <w:szCs w:val="24"/>
          <w:highlight w:val="none"/>
        </w:rPr>
      </w:pPr>
    </w:p>
    <w:p w14:paraId="1690A9AE">
      <w:pPr>
        <w:pStyle w:val="15"/>
        <w:tabs>
          <w:tab w:val="left" w:pos="5580"/>
        </w:tabs>
        <w:spacing w:line="240" w:lineRule="atLeast"/>
        <w:rPr>
          <w:rFonts w:hint="eastAsia" w:ascii="宋体" w:hAnsi="宋体" w:eastAsia="宋体" w:cs="宋体"/>
          <w:color w:val="auto"/>
          <w:sz w:val="24"/>
          <w:szCs w:val="24"/>
          <w:highlight w:val="none"/>
        </w:rPr>
      </w:pPr>
    </w:p>
    <w:p w14:paraId="0635562C">
      <w:pPr>
        <w:pStyle w:val="15"/>
        <w:tabs>
          <w:tab w:val="left" w:pos="5580"/>
        </w:tabs>
        <w:spacing w:line="240" w:lineRule="atLeast"/>
        <w:rPr>
          <w:rFonts w:hint="eastAsia" w:ascii="宋体" w:hAnsi="宋体" w:eastAsia="宋体" w:cs="宋体"/>
          <w:color w:val="auto"/>
          <w:sz w:val="24"/>
          <w:szCs w:val="24"/>
          <w:highlight w:val="none"/>
        </w:rPr>
      </w:pPr>
    </w:p>
    <w:p w14:paraId="5CFA3E5F">
      <w:pPr>
        <w:pStyle w:val="15"/>
        <w:tabs>
          <w:tab w:val="left" w:pos="5580"/>
        </w:tabs>
        <w:spacing w:line="240" w:lineRule="atLeast"/>
        <w:rPr>
          <w:rFonts w:hint="eastAsia" w:ascii="宋体" w:hAnsi="宋体" w:eastAsia="宋体" w:cs="宋体"/>
          <w:color w:val="auto"/>
          <w:sz w:val="24"/>
          <w:szCs w:val="24"/>
          <w:highlight w:val="none"/>
        </w:rPr>
      </w:pPr>
    </w:p>
    <w:p w14:paraId="47D56F7B">
      <w:pPr>
        <w:rPr>
          <w:rFonts w:hint="eastAsia" w:ascii="宋体" w:hAnsi="宋体" w:eastAsia="宋体" w:cs="宋体"/>
          <w:b/>
          <w:bCs/>
          <w:color w:val="auto"/>
          <w:sz w:val="24"/>
          <w:highlight w:val="none"/>
        </w:rPr>
      </w:pPr>
      <w:bookmarkStart w:id="578" w:name="_Toc29625"/>
      <w:bookmarkStart w:id="579" w:name="_Toc21772"/>
      <w:bookmarkStart w:id="580" w:name="_Toc30408"/>
      <w:bookmarkStart w:id="581" w:name="_Toc25918"/>
      <w:r>
        <w:rPr>
          <w:rFonts w:hint="eastAsia" w:ascii="宋体" w:hAnsi="宋体" w:eastAsia="宋体" w:cs="宋体"/>
          <w:b/>
          <w:bCs/>
          <w:color w:val="auto"/>
          <w:sz w:val="24"/>
          <w:highlight w:val="none"/>
        </w:rPr>
        <w:br w:type="page"/>
      </w:r>
    </w:p>
    <w:p w14:paraId="32FE641E">
      <w:pPr>
        <w:pStyle w:val="15"/>
        <w:tabs>
          <w:tab w:val="left" w:pos="5580"/>
        </w:tabs>
        <w:spacing w:line="400" w:lineRule="exact"/>
        <w:jc w:val="center"/>
        <w:outlineLvl w:val="1"/>
        <w:rPr>
          <w:rFonts w:hint="eastAsia" w:ascii="宋体" w:hAnsi="宋体" w:eastAsia="宋体" w:cs="宋体"/>
          <w:color w:val="auto"/>
          <w:sz w:val="24"/>
          <w:szCs w:val="24"/>
          <w:highlight w:val="none"/>
        </w:rPr>
      </w:pPr>
      <w:bookmarkStart w:id="582" w:name="_Toc12419"/>
      <w:bookmarkStart w:id="583" w:name="_Toc7342"/>
      <w:bookmarkStart w:id="584" w:name="_Toc28061"/>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书</w:t>
      </w:r>
      <w:bookmarkEnd w:id="575"/>
      <w:bookmarkEnd w:id="576"/>
      <w:bookmarkEnd w:id="577"/>
      <w:bookmarkEnd w:id="578"/>
      <w:bookmarkEnd w:id="579"/>
      <w:bookmarkEnd w:id="580"/>
      <w:bookmarkEnd w:id="581"/>
      <w:bookmarkEnd w:id="582"/>
      <w:bookmarkEnd w:id="583"/>
      <w:bookmarkEnd w:id="584"/>
    </w:p>
    <w:p w14:paraId="32EA2B9F">
      <w:pPr>
        <w:tabs>
          <w:tab w:val="left" w:pos="5580"/>
        </w:tabs>
        <w:spacing w:line="40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p>
    <w:p w14:paraId="73BD2CE0">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p>
    <w:p w14:paraId="0EF02A7F">
      <w:pPr>
        <w:pStyle w:val="15"/>
        <w:tabs>
          <w:tab w:val="left" w:pos="5580"/>
        </w:tabs>
        <w:spacing w:line="40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)项目的</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邀请(</w:t>
      </w:r>
      <w:r>
        <w:rPr>
          <w:rFonts w:hint="eastAsia" w:ascii="宋体" w:hAnsi="宋体" w:eastAsia="宋体" w:cs="宋体"/>
          <w:i/>
          <w:color w:val="auto"/>
          <w:sz w:val="24"/>
          <w:szCs w:val="24"/>
          <w:highlight w:val="none"/>
          <w:u w:val="single"/>
        </w:rPr>
        <w:t>项目编号</w:t>
      </w:r>
      <w:r>
        <w:rPr>
          <w:rFonts w:hint="eastAsia" w:ascii="宋体" w:hAnsi="宋体" w:eastAsia="宋体" w:cs="宋体"/>
          <w:i/>
          <w:color w:val="auto"/>
          <w:sz w:val="24"/>
          <w:szCs w:val="24"/>
          <w:highlight w:val="none"/>
          <w:u w:val="single"/>
          <w:lang w:eastAsia="zh-CN"/>
        </w:rPr>
        <w:t>，</w:t>
      </w:r>
      <w:r>
        <w:rPr>
          <w:rFonts w:hint="eastAsia" w:ascii="宋体" w:hAnsi="宋体" w:eastAsia="宋体" w:cs="宋体"/>
          <w:b w:val="0"/>
          <w:bCs/>
          <w:color w:val="auto"/>
          <w:sz w:val="24"/>
          <w:highlight w:val="none"/>
          <w:u w:val="single"/>
          <w:lang w:val="en-US" w:eastAsia="zh-CN"/>
        </w:rPr>
        <w:t>标项号</w:t>
      </w:r>
      <w:r>
        <w:rPr>
          <w:rFonts w:hint="eastAsia" w:ascii="宋体" w:hAnsi="宋体" w:eastAsia="宋体" w:cs="宋体"/>
          <w:color w:val="auto"/>
          <w:sz w:val="24"/>
          <w:szCs w:val="24"/>
          <w:highlight w:val="none"/>
        </w:rPr>
        <w:t>),签字代表(</w:t>
      </w:r>
      <w:r>
        <w:rPr>
          <w:rFonts w:hint="eastAsia" w:ascii="宋体" w:hAnsi="宋体" w:eastAsia="宋体" w:cs="宋体"/>
          <w:i/>
          <w:color w:val="auto"/>
          <w:sz w:val="24"/>
          <w:szCs w:val="24"/>
          <w:highlight w:val="none"/>
          <w:u w:val="single"/>
        </w:rPr>
        <w:t>姓名、职务</w:t>
      </w:r>
      <w:r>
        <w:rPr>
          <w:rFonts w:hint="eastAsia" w:ascii="宋体" w:hAnsi="宋体" w:eastAsia="宋体" w:cs="宋体"/>
          <w:color w:val="auto"/>
          <w:sz w:val="24"/>
          <w:szCs w:val="24"/>
          <w:highlight w:val="none"/>
        </w:rPr>
        <w:t>)经正式授权并代表供应商（</w:t>
      </w:r>
      <w:r>
        <w:rPr>
          <w:rFonts w:hint="eastAsia" w:ascii="宋体" w:hAnsi="宋体" w:eastAsia="宋体" w:cs="宋体"/>
          <w:i/>
          <w:color w:val="auto"/>
          <w:sz w:val="24"/>
          <w:szCs w:val="24"/>
          <w:highlight w:val="none"/>
          <w:u w:val="single"/>
        </w:rPr>
        <w:t>名称、地址</w:t>
      </w:r>
      <w:r>
        <w:rPr>
          <w:rFonts w:hint="eastAsia" w:ascii="宋体" w:hAnsi="宋体" w:eastAsia="宋体" w:cs="宋体"/>
          <w:color w:val="auto"/>
          <w:sz w:val="24"/>
          <w:szCs w:val="24"/>
          <w:highlight w:val="none"/>
        </w:rPr>
        <w:t>）上传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形式出具的金额为人民币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15BA583F">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据此，签字代表宣布同意如下：</w:t>
      </w:r>
    </w:p>
    <w:p w14:paraId="62B41F61">
      <w:pPr>
        <w:pStyle w:val="15"/>
        <w:tabs>
          <w:tab w:val="left" w:pos="720"/>
          <w:tab w:val="left" w:pos="900"/>
        </w:tabs>
        <w:spacing w:line="400" w:lineRule="exact"/>
        <w:ind w:left="769"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（1）附</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价格表中规定的应提供</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总价详见</w:t>
      </w:r>
      <w:r>
        <w:rPr>
          <w:rFonts w:hint="eastAsia" w:ascii="宋体" w:hAnsi="宋体" w:eastAsia="宋体" w:cs="宋体"/>
          <w:color w:val="auto"/>
          <w:sz w:val="24"/>
          <w:szCs w:val="24"/>
          <w:highlight w:val="none"/>
          <w:lang w:eastAsia="zh-CN"/>
        </w:rPr>
        <w:t>磋商一览表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其中由</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none"/>
        </w:rPr>
        <w:t>和</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承接服务</w:t>
      </w:r>
      <w:r>
        <w:rPr>
          <w:rFonts w:hint="eastAsia" w:ascii="宋体" w:hAnsi="宋体" w:eastAsia="宋体" w:cs="宋体"/>
          <w:color w:val="auto"/>
          <w:sz w:val="24"/>
          <w:szCs w:val="24"/>
          <w:highlight w:val="none"/>
        </w:rPr>
        <w:t>的价格为</w:t>
      </w:r>
      <w:r>
        <w:rPr>
          <w:rFonts w:hint="eastAsia" w:ascii="宋体" w:hAnsi="宋体" w:eastAsia="宋体" w:cs="宋体"/>
          <w:color w:val="auto"/>
          <w:sz w:val="24"/>
          <w:szCs w:val="24"/>
          <w:highlight w:val="none"/>
          <w:u w:val="single"/>
        </w:rPr>
        <w:t>　　  （用文字和数字表示），占</w:t>
      </w:r>
      <w:r>
        <w:rPr>
          <w:rFonts w:hint="eastAsia" w:hAnsi="宋体" w:cs="宋体"/>
          <w:color w:val="auto"/>
          <w:sz w:val="24"/>
          <w:szCs w:val="24"/>
          <w:highlight w:val="none"/>
          <w:u w:val="single"/>
          <w:lang w:eastAsia="zh-CN"/>
        </w:rPr>
        <w:t>磋商</w:t>
      </w:r>
      <w:r>
        <w:rPr>
          <w:rFonts w:hint="eastAsia" w:ascii="宋体" w:hAnsi="宋体" w:eastAsia="宋体" w:cs="宋体"/>
          <w:color w:val="auto"/>
          <w:sz w:val="24"/>
          <w:szCs w:val="24"/>
          <w:highlight w:val="none"/>
          <w:u w:val="single"/>
        </w:rPr>
        <w:t>总价   %</w:t>
      </w:r>
      <w:r>
        <w:rPr>
          <w:rFonts w:hint="eastAsia" w:ascii="宋体" w:hAnsi="宋体" w:eastAsia="宋体" w:cs="宋体"/>
          <w:color w:val="auto"/>
          <w:sz w:val="24"/>
          <w:szCs w:val="24"/>
          <w:highlight w:val="none"/>
        </w:rPr>
        <w:t>。</w:t>
      </w:r>
    </w:p>
    <w:p w14:paraId="22234D43">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有效期为自</w:t>
      </w:r>
      <w:r>
        <w:rPr>
          <w:rFonts w:hint="eastAsia" w:ascii="宋体" w:hAnsi="宋体" w:eastAsia="宋体" w:cs="宋体"/>
          <w:color w:val="auto"/>
          <w:sz w:val="24"/>
          <w:szCs w:val="24"/>
          <w:highlight w:val="none"/>
          <w:lang w:eastAsia="zh-CN"/>
        </w:rPr>
        <w:t>磋商截止</w:t>
      </w:r>
      <w:r>
        <w:rPr>
          <w:rFonts w:hint="eastAsia" w:ascii="宋体" w:hAnsi="宋体" w:eastAsia="宋体" w:cs="宋体"/>
          <w:color w:val="auto"/>
          <w:sz w:val="24"/>
          <w:szCs w:val="24"/>
          <w:highlight w:val="none"/>
        </w:rPr>
        <w:t>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14:paraId="1F347033">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（3）联合体中的大中型企业和其他自然人、法人或者非法人组织，与联合体中的小型、微型企业之间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存在、不存在）投资关系（如果是联合体的话）。</w:t>
      </w:r>
    </w:p>
    <w:p w14:paraId="38D21D2E">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，包括所有补充通知（如果有的话），完全理解并同意放弃对这方面有不明、误解和质疑的权力。</w:t>
      </w:r>
    </w:p>
    <w:p w14:paraId="4E3D4827">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w:t>
      </w:r>
      <w:r>
        <w:rPr>
          <w:rFonts w:hint="eastAsia" w:ascii="宋体" w:hAnsi="宋体" w:eastAsia="宋体" w:cs="宋体"/>
          <w:color w:val="auto"/>
          <w:sz w:val="24"/>
          <w:szCs w:val="24"/>
          <w:highlight w:val="none"/>
          <w:lang w:eastAsia="zh-CN"/>
        </w:rPr>
        <w:t>磋商时间</w:t>
      </w:r>
      <w:r>
        <w:rPr>
          <w:rFonts w:hint="eastAsia" w:ascii="宋体" w:hAnsi="宋体" w:eastAsia="宋体" w:cs="宋体"/>
          <w:color w:val="auto"/>
          <w:sz w:val="24"/>
          <w:szCs w:val="24"/>
          <w:highlight w:val="none"/>
        </w:rPr>
        <w:t>后，遵守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中有关保证金的规定。</w:t>
      </w:r>
    </w:p>
    <w:p w14:paraId="3619ABAD">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的供应商，我方不是采购代理机构的附属机构。</w:t>
      </w:r>
    </w:p>
    <w:p w14:paraId="5F2E09B6">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）按照贵方可能要求，提供与其</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有关的一切数据或资料，完全理解贵方不一定接受最低价的</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或收到的任何</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73BBB6AD">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的规定履行合同责任和义务。</w:t>
      </w:r>
    </w:p>
    <w:p w14:paraId="32A9DFA0">
      <w:pPr>
        <w:pStyle w:val="15"/>
        <w:tabs>
          <w:tab w:val="left" w:pos="5580"/>
        </w:tabs>
        <w:spacing w:line="400" w:lineRule="exact"/>
        <w:ind w:left="359"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w:t>
      </w:r>
      <w:r>
        <w:rPr>
          <w:rFonts w:hint="eastAsia" w:hAnsi="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p>
    <w:p w14:paraId="0DCD737A">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14:paraId="4E697391">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14:paraId="423E8C29">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C03AEEB">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供应商名称（公章）</w:t>
      </w:r>
      <w:r>
        <w:rPr>
          <w:rFonts w:hint="eastAsia" w:ascii="宋体" w:hAnsi="宋体" w:eastAsia="宋体" w:cs="宋体"/>
          <w:color w:val="auto"/>
          <w:sz w:val="24"/>
          <w:szCs w:val="24"/>
          <w:highlight w:val="none"/>
          <w:u w:val="single"/>
        </w:rPr>
        <w:t xml:space="preserve">               </w:t>
      </w:r>
    </w:p>
    <w:p w14:paraId="7111D143">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供应商开户银行（全称）</w:t>
      </w:r>
      <w:r>
        <w:rPr>
          <w:rFonts w:hint="eastAsia" w:ascii="宋体" w:hAnsi="宋体" w:eastAsia="宋体" w:cs="宋体"/>
          <w:color w:val="auto"/>
          <w:sz w:val="24"/>
          <w:szCs w:val="24"/>
          <w:highlight w:val="none"/>
          <w:u w:val="single"/>
        </w:rPr>
        <w:t xml:space="preserve">　　　　　　 </w:t>
      </w:r>
    </w:p>
    <w:p w14:paraId="3A09555F">
      <w:pPr>
        <w:pStyle w:val="15"/>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供应商银行帐号</w:t>
      </w:r>
      <w:r>
        <w:rPr>
          <w:rFonts w:hint="eastAsia" w:ascii="宋体" w:hAnsi="宋体" w:eastAsia="宋体" w:cs="宋体"/>
          <w:color w:val="auto"/>
          <w:sz w:val="24"/>
          <w:szCs w:val="24"/>
          <w:highlight w:val="none"/>
          <w:u w:val="single"/>
        </w:rPr>
        <w:t>　　　　　　　　 　　</w:t>
      </w:r>
    </w:p>
    <w:p w14:paraId="26A02F9B">
      <w:pPr>
        <w:pStyle w:val="15"/>
        <w:tabs>
          <w:tab w:val="left" w:pos="5580"/>
        </w:tabs>
        <w:spacing w:line="40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bookmarkStart w:id="585" w:name="_Toc19819"/>
      <w:bookmarkStart w:id="586" w:name="_Toc30947"/>
      <w:bookmarkStart w:id="587" w:name="_Toc1266"/>
      <w:bookmarkStart w:id="588" w:name="_Toc6738"/>
      <w:bookmarkStart w:id="589" w:name="_Toc14219"/>
      <w:bookmarkStart w:id="590" w:name="_Toc23473"/>
    </w:p>
    <w:p w14:paraId="74F7633B">
      <w:pPr>
        <w:rPr>
          <w:rFonts w:hint="eastAsia" w:ascii="宋体" w:hAnsi="宋体" w:eastAsia="宋体" w:cs="宋体"/>
          <w:b/>
          <w:bCs/>
          <w:color w:val="000000"/>
          <w:sz w:val="24"/>
          <w:szCs w:val="24"/>
          <w:highlight w:val="none"/>
        </w:rPr>
      </w:pPr>
      <w:bookmarkStart w:id="591" w:name="_Toc17187"/>
      <w:bookmarkStart w:id="592" w:name="_Toc15158"/>
      <w:r>
        <w:rPr>
          <w:rFonts w:hint="eastAsia" w:ascii="宋体" w:hAnsi="宋体" w:eastAsia="宋体" w:cs="宋体"/>
          <w:b/>
          <w:bCs/>
          <w:color w:val="000000"/>
          <w:sz w:val="24"/>
          <w:szCs w:val="24"/>
          <w:highlight w:val="none"/>
        </w:rPr>
        <w:br w:type="page"/>
      </w:r>
    </w:p>
    <w:p w14:paraId="08A94B18">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593" w:name="_Toc9577"/>
      <w:r>
        <w:rPr>
          <w:rFonts w:hint="eastAsia" w:ascii="宋体" w:hAnsi="宋体" w:eastAsia="宋体" w:cs="宋体"/>
          <w:b/>
          <w:bCs/>
          <w:color w:val="auto"/>
          <w:sz w:val="24"/>
          <w:szCs w:val="24"/>
          <w:highlight w:val="none"/>
        </w:rPr>
        <w:t>2</w:t>
      </w:r>
      <w:bookmarkEnd w:id="585"/>
      <w:bookmarkEnd w:id="586"/>
      <w:bookmarkEnd w:id="587"/>
      <w:bookmarkEnd w:id="588"/>
      <w:bookmarkEnd w:id="589"/>
      <w:bookmarkEnd w:id="590"/>
      <w:bookmarkStart w:id="594" w:name="_Toc515647820"/>
      <w:bookmarkStart w:id="595" w:name="_Toc216582817"/>
      <w:bookmarkStart w:id="596" w:name="_Toc28959"/>
      <w:bookmarkStart w:id="597" w:name="_Toc22563"/>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分项报价表</w:t>
      </w:r>
      <w:bookmarkEnd w:id="591"/>
      <w:bookmarkEnd w:id="592"/>
      <w:bookmarkEnd w:id="593"/>
    </w:p>
    <w:p w14:paraId="723C2262">
      <w:pPr>
        <w:pStyle w:val="15"/>
        <w:spacing w:line="400" w:lineRule="exact"/>
        <w:ind w:left="540" w:leftChars="257"/>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项目名称:                      项目编号:                       　 　          报价单位：人民币 </w:t>
      </w:r>
      <w:r>
        <w:rPr>
          <w:rFonts w:hint="eastAsia" w:ascii="宋体" w:hAnsi="宋体" w:eastAsia="宋体" w:cs="宋体"/>
          <w:b/>
          <w:bCs/>
          <w:color w:val="000000"/>
          <w:sz w:val="24"/>
          <w:szCs w:val="24"/>
          <w:highlight w:val="none"/>
        </w:rPr>
        <w:t xml:space="preserve">元         </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151"/>
        <w:gridCol w:w="1032"/>
        <w:gridCol w:w="1032"/>
        <w:gridCol w:w="1032"/>
        <w:gridCol w:w="1032"/>
        <w:gridCol w:w="647"/>
        <w:gridCol w:w="657"/>
        <w:gridCol w:w="647"/>
        <w:gridCol w:w="652"/>
      </w:tblGrid>
      <w:tr w14:paraId="492D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379" w:type="pct"/>
            <w:noWrap w:val="0"/>
            <w:vAlign w:val="center"/>
          </w:tcPr>
          <w:p w14:paraId="3D8A0335">
            <w:pPr>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序号</w:t>
            </w:r>
          </w:p>
        </w:tc>
        <w:tc>
          <w:tcPr>
            <w:tcW w:w="675" w:type="pct"/>
            <w:noWrap w:val="0"/>
            <w:vAlign w:val="center"/>
          </w:tcPr>
          <w:p w14:paraId="771C93A1">
            <w:pPr>
              <w:spacing w:line="360" w:lineRule="auto"/>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服务</w:t>
            </w:r>
            <w:r>
              <w:rPr>
                <w:rFonts w:hint="eastAsia" w:ascii="宋体" w:hAnsi="宋体" w:eastAsia="宋体" w:cs="宋体"/>
                <w:color w:val="000000"/>
                <w:sz w:val="24"/>
                <w:highlight w:val="none"/>
                <w:lang w:val="en-US" w:eastAsia="zh-CN"/>
              </w:rPr>
              <w:t>名称</w:t>
            </w:r>
          </w:p>
        </w:tc>
        <w:tc>
          <w:tcPr>
            <w:tcW w:w="605" w:type="pct"/>
            <w:noWrap w:val="0"/>
            <w:vAlign w:val="center"/>
          </w:tcPr>
          <w:p w14:paraId="284FD0B3">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服务范围</w:t>
            </w:r>
          </w:p>
        </w:tc>
        <w:tc>
          <w:tcPr>
            <w:tcW w:w="605" w:type="pct"/>
            <w:noWrap w:val="0"/>
            <w:vAlign w:val="center"/>
          </w:tcPr>
          <w:p w14:paraId="250C900C">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服务要求</w:t>
            </w:r>
          </w:p>
        </w:tc>
        <w:tc>
          <w:tcPr>
            <w:tcW w:w="605" w:type="pct"/>
            <w:noWrap w:val="0"/>
            <w:vAlign w:val="center"/>
          </w:tcPr>
          <w:p w14:paraId="23AE9DD7">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服务时间</w:t>
            </w:r>
          </w:p>
        </w:tc>
        <w:tc>
          <w:tcPr>
            <w:tcW w:w="605" w:type="pct"/>
            <w:noWrap w:val="0"/>
            <w:vAlign w:val="center"/>
          </w:tcPr>
          <w:p w14:paraId="3F49172D">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服务标准</w:t>
            </w:r>
          </w:p>
        </w:tc>
        <w:tc>
          <w:tcPr>
            <w:tcW w:w="379" w:type="pct"/>
            <w:noWrap w:val="0"/>
            <w:vAlign w:val="center"/>
          </w:tcPr>
          <w:p w14:paraId="07BE79CC">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数量</w:t>
            </w:r>
          </w:p>
        </w:tc>
        <w:tc>
          <w:tcPr>
            <w:tcW w:w="384" w:type="pct"/>
            <w:noWrap w:val="0"/>
            <w:vAlign w:val="center"/>
          </w:tcPr>
          <w:p w14:paraId="64F29DA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单价</w:t>
            </w:r>
          </w:p>
        </w:tc>
        <w:tc>
          <w:tcPr>
            <w:tcW w:w="379" w:type="pct"/>
            <w:noWrap w:val="0"/>
            <w:vAlign w:val="center"/>
          </w:tcPr>
          <w:p w14:paraId="1C747293">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总</w:t>
            </w:r>
            <w:r>
              <w:rPr>
                <w:rFonts w:hint="eastAsia" w:ascii="宋体" w:hAnsi="宋体" w:eastAsia="宋体" w:cs="宋体"/>
                <w:color w:val="000000"/>
                <w:sz w:val="24"/>
                <w:highlight w:val="none"/>
              </w:rPr>
              <w:t>价</w:t>
            </w:r>
          </w:p>
        </w:tc>
        <w:tc>
          <w:tcPr>
            <w:tcW w:w="381" w:type="pct"/>
            <w:noWrap w:val="0"/>
            <w:vAlign w:val="center"/>
          </w:tcPr>
          <w:p w14:paraId="6A2F84F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备注</w:t>
            </w:r>
          </w:p>
        </w:tc>
      </w:tr>
      <w:tr w14:paraId="398F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79" w:type="pct"/>
            <w:noWrap w:val="0"/>
            <w:vAlign w:val="center"/>
          </w:tcPr>
          <w:p w14:paraId="4B5CDEE2">
            <w:pPr>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w:t>
            </w:r>
          </w:p>
        </w:tc>
        <w:tc>
          <w:tcPr>
            <w:tcW w:w="675" w:type="pct"/>
            <w:noWrap w:val="0"/>
            <w:vAlign w:val="center"/>
          </w:tcPr>
          <w:p w14:paraId="2F9C723D">
            <w:pPr>
              <w:spacing w:line="360" w:lineRule="auto"/>
              <w:jc w:val="center"/>
              <w:rPr>
                <w:rFonts w:hint="eastAsia" w:ascii="宋体" w:hAnsi="宋体" w:eastAsia="宋体" w:cs="宋体"/>
                <w:color w:val="000000"/>
                <w:sz w:val="24"/>
                <w:highlight w:val="none"/>
                <w:lang w:val="en-US" w:eastAsia="zh-CN"/>
              </w:rPr>
            </w:pPr>
          </w:p>
        </w:tc>
        <w:tc>
          <w:tcPr>
            <w:tcW w:w="605" w:type="pct"/>
            <w:noWrap w:val="0"/>
            <w:vAlign w:val="center"/>
          </w:tcPr>
          <w:p w14:paraId="008FFFC7">
            <w:pPr>
              <w:spacing w:line="360" w:lineRule="auto"/>
              <w:jc w:val="center"/>
              <w:rPr>
                <w:rFonts w:hint="eastAsia" w:ascii="宋体" w:hAnsi="宋体" w:eastAsia="宋体" w:cs="宋体"/>
                <w:color w:val="000000"/>
                <w:sz w:val="24"/>
                <w:highlight w:val="none"/>
                <w:lang w:val="en-US" w:eastAsia="zh-CN"/>
              </w:rPr>
            </w:pPr>
          </w:p>
        </w:tc>
        <w:tc>
          <w:tcPr>
            <w:tcW w:w="605" w:type="pct"/>
            <w:noWrap w:val="0"/>
            <w:vAlign w:val="center"/>
          </w:tcPr>
          <w:p w14:paraId="6778DBEE">
            <w:pPr>
              <w:spacing w:line="360" w:lineRule="auto"/>
              <w:jc w:val="center"/>
              <w:rPr>
                <w:rFonts w:hint="eastAsia" w:ascii="宋体" w:hAnsi="宋体" w:eastAsia="宋体" w:cs="宋体"/>
                <w:color w:val="000000"/>
                <w:sz w:val="24"/>
                <w:highlight w:val="none"/>
              </w:rPr>
            </w:pPr>
          </w:p>
        </w:tc>
        <w:tc>
          <w:tcPr>
            <w:tcW w:w="605" w:type="pct"/>
            <w:noWrap w:val="0"/>
            <w:vAlign w:val="center"/>
          </w:tcPr>
          <w:p w14:paraId="5CDBC40B">
            <w:pPr>
              <w:spacing w:line="360" w:lineRule="auto"/>
              <w:jc w:val="center"/>
              <w:rPr>
                <w:rFonts w:hint="eastAsia" w:ascii="宋体" w:hAnsi="宋体" w:eastAsia="宋体" w:cs="宋体"/>
                <w:color w:val="000000"/>
                <w:sz w:val="24"/>
                <w:highlight w:val="none"/>
              </w:rPr>
            </w:pPr>
          </w:p>
        </w:tc>
        <w:tc>
          <w:tcPr>
            <w:tcW w:w="605" w:type="pct"/>
            <w:noWrap w:val="0"/>
            <w:vAlign w:val="center"/>
          </w:tcPr>
          <w:p w14:paraId="21713849">
            <w:pPr>
              <w:spacing w:line="360" w:lineRule="auto"/>
              <w:jc w:val="center"/>
              <w:rPr>
                <w:rFonts w:hint="eastAsia" w:ascii="宋体" w:hAnsi="宋体" w:eastAsia="宋体" w:cs="宋体"/>
                <w:color w:val="000000"/>
                <w:sz w:val="24"/>
                <w:highlight w:val="none"/>
              </w:rPr>
            </w:pPr>
          </w:p>
        </w:tc>
        <w:tc>
          <w:tcPr>
            <w:tcW w:w="379" w:type="pct"/>
            <w:noWrap w:val="0"/>
            <w:vAlign w:val="center"/>
          </w:tcPr>
          <w:p w14:paraId="0560D3C3">
            <w:pPr>
              <w:spacing w:line="360" w:lineRule="auto"/>
              <w:jc w:val="center"/>
              <w:rPr>
                <w:rFonts w:hint="eastAsia" w:ascii="宋体" w:hAnsi="宋体" w:eastAsia="宋体" w:cs="宋体"/>
                <w:color w:val="000000"/>
                <w:sz w:val="24"/>
                <w:highlight w:val="none"/>
              </w:rPr>
            </w:pPr>
          </w:p>
        </w:tc>
        <w:tc>
          <w:tcPr>
            <w:tcW w:w="384" w:type="pct"/>
            <w:noWrap w:val="0"/>
            <w:vAlign w:val="center"/>
          </w:tcPr>
          <w:p w14:paraId="5673B172">
            <w:pPr>
              <w:spacing w:line="360" w:lineRule="auto"/>
              <w:jc w:val="center"/>
              <w:rPr>
                <w:rFonts w:hint="eastAsia" w:ascii="宋体" w:hAnsi="宋体" w:eastAsia="宋体" w:cs="宋体"/>
                <w:color w:val="000000"/>
                <w:sz w:val="24"/>
                <w:highlight w:val="none"/>
              </w:rPr>
            </w:pPr>
          </w:p>
        </w:tc>
        <w:tc>
          <w:tcPr>
            <w:tcW w:w="379" w:type="pct"/>
            <w:noWrap w:val="0"/>
            <w:vAlign w:val="center"/>
          </w:tcPr>
          <w:p w14:paraId="17E76BEC">
            <w:pPr>
              <w:spacing w:line="360" w:lineRule="auto"/>
              <w:jc w:val="center"/>
              <w:rPr>
                <w:rFonts w:hint="eastAsia" w:ascii="宋体" w:hAnsi="宋体" w:eastAsia="宋体" w:cs="宋体"/>
                <w:color w:val="000000"/>
                <w:sz w:val="24"/>
                <w:highlight w:val="none"/>
                <w:lang w:val="en-US"/>
              </w:rPr>
            </w:pPr>
          </w:p>
        </w:tc>
        <w:tc>
          <w:tcPr>
            <w:tcW w:w="381" w:type="pct"/>
            <w:noWrap w:val="0"/>
            <w:vAlign w:val="center"/>
          </w:tcPr>
          <w:p w14:paraId="37B5B6CD">
            <w:pPr>
              <w:spacing w:line="360" w:lineRule="auto"/>
              <w:jc w:val="center"/>
              <w:rPr>
                <w:rFonts w:hint="eastAsia" w:ascii="宋体" w:hAnsi="宋体" w:eastAsia="宋体" w:cs="宋体"/>
                <w:color w:val="000000"/>
                <w:sz w:val="24"/>
                <w:highlight w:val="none"/>
              </w:rPr>
            </w:pPr>
          </w:p>
        </w:tc>
      </w:tr>
      <w:tr w14:paraId="1DB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79" w:type="pct"/>
            <w:noWrap w:val="0"/>
            <w:vAlign w:val="center"/>
          </w:tcPr>
          <w:p w14:paraId="5E9AE569">
            <w:pPr>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w:t>
            </w:r>
          </w:p>
        </w:tc>
        <w:tc>
          <w:tcPr>
            <w:tcW w:w="675" w:type="pct"/>
            <w:noWrap w:val="0"/>
            <w:vAlign w:val="center"/>
          </w:tcPr>
          <w:p w14:paraId="6E019BE0">
            <w:pPr>
              <w:spacing w:line="360" w:lineRule="auto"/>
              <w:jc w:val="center"/>
              <w:rPr>
                <w:rFonts w:hint="eastAsia" w:ascii="宋体" w:hAnsi="宋体" w:eastAsia="宋体" w:cs="宋体"/>
                <w:color w:val="000000"/>
                <w:sz w:val="24"/>
                <w:highlight w:val="none"/>
              </w:rPr>
            </w:pPr>
          </w:p>
        </w:tc>
        <w:tc>
          <w:tcPr>
            <w:tcW w:w="605" w:type="pct"/>
            <w:noWrap w:val="0"/>
            <w:vAlign w:val="center"/>
          </w:tcPr>
          <w:p w14:paraId="50E0C72F">
            <w:pPr>
              <w:spacing w:line="360" w:lineRule="auto"/>
              <w:jc w:val="center"/>
              <w:rPr>
                <w:rFonts w:hint="eastAsia" w:ascii="宋体" w:hAnsi="宋体" w:eastAsia="宋体" w:cs="宋体"/>
                <w:color w:val="000000"/>
                <w:sz w:val="24"/>
                <w:highlight w:val="none"/>
              </w:rPr>
            </w:pPr>
          </w:p>
        </w:tc>
        <w:tc>
          <w:tcPr>
            <w:tcW w:w="605" w:type="pct"/>
            <w:noWrap w:val="0"/>
            <w:vAlign w:val="center"/>
          </w:tcPr>
          <w:p w14:paraId="755AFBCC">
            <w:pPr>
              <w:spacing w:line="360" w:lineRule="auto"/>
              <w:jc w:val="center"/>
              <w:rPr>
                <w:rFonts w:hint="eastAsia" w:ascii="宋体" w:hAnsi="宋体" w:eastAsia="宋体" w:cs="宋体"/>
                <w:color w:val="000000"/>
                <w:sz w:val="24"/>
                <w:highlight w:val="none"/>
              </w:rPr>
            </w:pPr>
          </w:p>
        </w:tc>
        <w:tc>
          <w:tcPr>
            <w:tcW w:w="605" w:type="pct"/>
            <w:noWrap w:val="0"/>
            <w:vAlign w:val="center"/>
          </w:tcPr>
          <w:p w14:paraId="7AFE5B0D">
            <w:pPr>
              <w:spacing w:line="360" w:lineRule="auto"/>
              <w:jc w:val="center"/>
              <w:rPr>
                <w:rFonts w:hint="eastAsia" w:ascii="宋体" w:hAnsi="宋体" w:eastAsia="宋体" w:cs="宋体"/>
                <w:color w:val="000000"/>
                <w:sz w:val="24"/>
                <w:highlight w:val="none"/>
              </w:rPr>
            </w:pPr>
          </w:p>
        </w:tc>
        <w:tc>
          <w:tcPr>
            <w:tcW w:w="605" w:type="pct"/>
            <w:noWrap w:val="0"/>
            <w:vAlign w:val="center"/>
          </w:tcPr>
          <w:p w14:paraId="7EEF41D1">
            <w:pPr>
              <w:spacing w:line="360" w:lineRule="auto"/>
              <w:jc w:val="center"/>
              <w:rPr>
                <w:rFonts w:hint="eastAsia" w:ascii="宋体" w:hAnsi="宋体" w:eastAsia="宋体" w:cs="宋体"/>
                <w:color w:val="000000"/>
                <w:sz w:val="24"/>
                <w:highlight w:val="none"/>
              </w:rPr>
            </w:pPr>
          </w:p>
        </w:tc>
        <w:tc>
          <w:tcPr>
            <w:tcW w:w="379" w:type="pct"/>
            <w:noWrap w:val="0"/>
            <w:vAlign w:val="center"/>
          </w:tcPr>
          <w:p w14:paraId="12F97081">
            <w:pPr>
              <w:spacing w:line="360" w:lineRule="auto"/>
              <w:jc w:val="center"/>
              <w:rPr>
                <w:rFonts w:hint="eastAsia" w:ascii="宋体" w:hAnsi="宋体" w:eastAsia="宋体" w:cs="宋体"/>
                <w:color w:val="000000"/>
                <w:sz w:val="24"/>
                <w:highlight w:val="none"/>
              </w:rPr>
            </w:pPr>
          </w:p>
        </w:tc>
        <w:tc>
          <w:tcPr>
            <w:tcW w:w="384" w:type="pct"/>
            <w:noWrap w:val="0"/>
            <w:vAlign w:val="center"/>
          </w:tcPr>
          <w:p w14:paraId="52CDDF10">
            <w:pPr>
              <w:spacing w:line="360" w:lineRule="auto"/>
              <w:jc w:val="center"/>
              <w:rPr>
                <w:rFonts w:hint="eastAsia" w:ascii="宋体" w:hAnsi="宋体" w:eastAsia="宋体" w:cs="宋体"/>
                <w:color w:val="000000"/>
                <w:sz w:val="24"/>
                <w:highlight w:val="none"/>
              </w:rPr>
            </w:pPr>
          </w:p>
        </w:tc>
        <w:tc>
          <w:tcPr>
            <w:tcW w:w="379" w:type="pct"/>
            <w:noWrap w:val="0"/>
            <w:vAlign w:val="center"/>
          </w:tcPr>
          <w:p w14:paraId="1009F272">
            <w:pPr>
              <w:spacing w:line="360" w:lineRule="auto"/>
              <w:jc w:val="center"/>
              <w:rPr>
                <w:rFonts w:hint="eastAsia" w:ascii="宋体" w:hAnsi="宋体" w:eastAsia="宋体" w:cs="宋体"/>
                <w:color w:val="000000"/>
                <w:sz w:val="24"/>
                <w:highlight w:val="none"/>
              </w:rPr>
            </w:pPr>
          </w:p>
        </w:tc>
        <w:tc>
          <w:tcPr>
            <w:tcW w:w="381" w:type="pct"/>
            <w:noWrap w:val="0"/>
            <w:vAlign w:val="center"/>
          </w:tcPr>
          <w:p w14:paraId="7B826CD5">
            <w:pPr>
              <w:spacing w:line="360" w:lineRule="auto"/>
              <w:jc w:val="center"/>
              <w:rPr>
                <w:rFonts w:hint="eastAsia" w:ascii="宋体" w:hAnsi="宋体" w:eastAsia="宋体" w:cs="宋体"/>
                <w:color w:val="000000"/>
                <w:sz w:val="24"/>
                <w:highlight w:val="none"/>
              </w:rPr>
            </w:pPr>
          </w:p>
        </w:tc>
      </w:tr>
      <w:tr w14:paraId="7F54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79" w:type="pct"/>
            <w:noWrap w:val="0"/>
            <w:vAlign w:val="center"/>
          </w:tcPr>
          <w:p w14:paraId="62AD218F">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p>
        </w:tc>
        <w:tc>
          <w:tcPr>
            <w:tcW w:w="675" w:type="pct"/>
            <w:noWrap w:val="0"/>
            <w:vAlign w:val="center"/>
          </w:tcPr>
          <w:p w14:paraId="0ED04BF4">
            <w:pPr>
              <w:spacing w:line="360" w:lineRule="auto"/>
              <w:jc w:val="center"/>
              <w:rPr>
                <w:rFonts w:hint="eastAsia" w:ascii="宋体" w:hAnsi="宋体" w:eastAsia="宋体" w:cs="宋体"/>
                <w:color w:val="000000"/>
                <w:sz w:val="24"/>
                <w:highlight w:val="none"/>
              </w:rPr>
            </w:pPr>
          </w:p>
        </w:tc>
        <w:tc>
          <w:tcPr>
            <w:tcW w:w="605" w:type="pct"/>
            <w:noWrap w:val="0"/>
            <w:vAlign w:val="center"/>
          </w:tcPr>
          <w:p w14:paraId="529CEA39">
            <w:pPr>
              <w:spacing w:line="360" w:lineRule="auto"/>
              <w:jc w:val="center"/>
              <w:rPr>
                <w:rFonts w:hint="eastAsia" w:ascii="宋体" w:hAnsi="宋体" w:eastAsia="宋体" w:cs="宋体"/>
                <w:color w:val="000000"/>
                <w:sz w:val="24"/>
                <w:highlight w:val="none"/>
              </w:rPr>
            </w:pPr>
          </w:p>
        </w:tc>
        <w:tc>
          <w:tcPr>
            <w:tcW w:w="605" w:type="pct"/>
            <w:noWrap w:val="0"/>
            <w:vAlign w:val="center"/>
          </w:tcPr>
          <w:p w14:paraId="04528906">
            <w:pPr>
              <w:spacing w:line="360" w:lineRule="auto"/>
              <w:jc w:val="center"/>
              <w:rPr>
                <w:rFonts w:hint="eastAsia" w:ascii="宋体" w:hAnsi="宋体" w:eastAsia="宋体" w:cs="宋体"/>
                <w:color w:val="000000"/>
                <w:sz w:val="24"/>
                <w:highlight w:val="none"/>
              </w:rPr>
            </w:pPr>
          </w:p>
        </w:tc>
        <w:tc>
          <w:tcPr>
            <w:tcW w:w="605" w:type="pct"/>
            <w:noWrap w:val="0"/>
            <w:vAlign w:val="center"/>
          </w:tcPr>
          <w:p w14:paraId="4A42675B">
            <w:pPr>
              <w:spacing w:line="360" w:lineRule="auto"/>
              <w:jc w:val="center"/>
              <w:rPr>
                <w:rFonts w:hint="eastAsia" w:ascii="宋体" w:hAnsi="宋体" w:eastAsia="宋体" w:cs="宋体"/>
                <w:color w:val="000000"/>
                <w:sz w:val="24"/>
                <w:highlight w:val="none"/>
              </w:rPr>
            </w:pPr>
          </w:p>
        </w:tc>
        <w:tc>
          <w:tcPr>
            <w:tcW w:w="605" w:type="pct"/>
            <w:noWrap w:val="0"/>
            <w:vAlign w:val="center"/>
          </w:tcPr>
          <w:p w14:paraId="12E72F00">
            <w:pPr>
              <w:spacing w:line="360" w:lineRule="auto"/>
              <w:jc w:val="center"/>
              <w:rPr>
                <w:rFonts w:hint="eastAsia" w:ascii="宋体" w:hAnsi="宋体" w:eastAsia="宋体" w:cs="宋体"/>
                <w:color w:val="000000"/>
                <w:sz w:val="24"/>
                <w:highlight w:val="none"/>
              </w:rPr>
            </w:pPr>
          </w:p>
        </w:tc>
        <w:tc>
          <w:tcPr>
            <w:tcW w:w="379" w:type="pct"/>
            <w:noWrap w:val="0"/>
            <w:vAlign w:val="center"/>
          </w:tcPr>
          <w:p w14:paraId="6E08E4C6">
            <w:pPr>
              <w:spacing w:line="360" w:lineRule="auto"/>
              <w:jc w:val="center"/>
              <w:rPr>
                <w:rFonts w:hint="eastAsia" w:ascii="宋体" w:hAnsi="宋体" w:eastAsia="宋体" w:cs="宋体"/>
                <w:color w:val="000000"/>
                <w:sz w:val="24"/>
                <w:highlight w:val="none"/>
              </w:rPr>
            </w:pPr>
          </w:p>
        </w:tc>
        <w:tc>
          <w:tcPr>
            <w:tcW w:w="384" w:type="pct"/>
            <w:noWrap w:val="0"/>
            <w:vAlign w:val="center"/>
          </w:tcPr>
          <w:p w14:paraId="4B56065C">
            <w:pPr>
              <w:spacing w:line="360" w:lineRule="auto"/>
              <w:jc w:val="center"/>
              <w:rPr>
                <w:rFonts w:hint="eastAsia" w:ascii="宋体" w:hAnsi="宋体" w:eastAsia="宋体" w:cs="宋体"/>
                <w:color w:val="000000"/>
                <w:sz w:val="24"/>
                <w:highlight w:val="none"/>
              </w:rPr>
            </w:pPr>
          </w:p>
        </w:tc>
        <w:tc>
          <w:tcPr>
            <w:tcW w:w="379" w:type="pct"/>
            <w:noWrap w:val="0"/>
            <w:vAlign w:val="center"/>
          </w:tcPr>
          <w:p w14:paraId="0FFD7DBA">
            <w:pPr>
              <w:spacing w:line="360" w:lineRule="auto"/>
              <w:jc w:val="center"/>
              <w:rPr>
                <w:rFonts w:hint="eastAsia" w:ascii="宋体" w:hAnsi="宋体" w:eastAsia="宋体" w:cs="宋体"/>
                <w:color w:val="000000"/>
                <w:sz w:val="24"/>
                <w:highlight w:val="none"/>
              </w:rPr>
            </w:pPr>
          </w:p>
        </w:tc>
        <w:tc>
          <w:tcPr>
            <w:tcW w:w="381" w:type="pct"/>
            <w:noWrap w:val="0"/>
            <w:vAlign w:val="center"/>
          </w:tcPr>
          <w:p w14:paraId="04C8279A">
            <w:pPr>
              <w:spacing w:line="360" w:lineRule="auto"/>
              <w:jc w:val="center"/>
              <w:rPr>
                <w:rFonts w:hint="eastAsia" w:ascii="宋体" w:hAnsi="宋体" w:eastAsia="宋体" w:cs="宋体"/>
                <w:color w:val="000000"/>
                <w:sz w:val="24"/>
                <w:highlight w:val="none"/>
              </w:rPr>
            </w:pPr>
          </w:p>
        </w:tc>
      </w:tr>
      <w:tr w14:paraId="614D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79" w:type="pct"/>
            <w:noWrap w:val="0"/>
            <w:vAlign w:val="center"/>
          </w:tcPr>
          <w:p w14:paraId="7AB05ADB">
            <w:pPr>
              <w:spacing w:line="360" w:lineRule="auto"/>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4</w:t>
            </w:r>
          </w:p>
        </w:tc>
        <w:tc>
          <w:tcPr>
            <w:tcW w:w="675" w:type="pct"/>
            <w:noWrap w:val="0"/>
            <w:vAlign w:val="center"/>
          </w:tcPr>
          <w:p w14:paraId="3B1BABAD">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w:t>
            </w:r>
          </w:p>
        </w:tc>
        <w:tc>
          <w:tcPr>
            <w:tcW w:w="605" w:type="pct"/>
            <w:noWrap w:val="0"/>
            <w:vAlign w:val="center"/>
          </w:tcPr>
          <w:p w14:paraId="26B9D9A5">
            <w:pPr>
              <w:spacing w:line="360" w:lineRule="auto"/>
              <w:jc w:val="center"/>
              <w:rPr>
                <w:rFonts w:hint="eastAsia" w:ascii="宋体" w:hAnsi="宋体" w:eastAsia="宋体" w:cs="宋体"/>
                <w:color w:val="000000"/>
                <w:sz w:val="24"/>
                <w:highlight w:val="none"/>
              </w:rPr>
            </w:pPr>
          </w:p>
        </w:tc>
        <w:tc>
          <w:tcPr>
            <w:tcW w:w="605" w:type="pct"/>
            <w:noWrap w:val="0"/>
            <w:vAlign w:val="center"/>
          </w:tcPr>
          <w:p w14:paraId="72B323DB">
            <w:pPr>
              <w:spacing w:line="360" w:lineRule="auto"/>
              <w:jc w:val="center"/>
              <w:rPr>
                <w:rFonts w:hint="eastAsia" w:ascii="宋体" w:hAnsi="宋体" w:eastAsia="宋体" w:cs="宋体"/>
                <w:color w:val="000000"/>
                <w:sz w:val="24"/>
                <w:highlight w:val="none"/>
              </w:rPr>
            </w:pPr>
          </w:p>
        </w:tc>
        <w:tc>
          <w:tcPr>
            <w:tcW w:w="605" w:type="pct"/>
            <w:noWrap w:val="0"/>
            <w:vAlign w:val="center"/>
          </w:tcPr>
          <w:p w14:paraId="6D3D95A1">
            <w:pPr>
              <w:spacing w:line="360" w:lineRule="auto"/>
              <w:jc w:val="center"/>
              <w:rPr>
                <w:rFonts w:hint="eastAsia" w:ascii="宋体" w:hAnsi="宋体" w:eastAsia="宋体" w:cs="宋体"/>
                <w:color w:val="000000"/>
                <w:sz w:val="24"/>
                <w:highlight w:val="none"/>
              </w:rPr>
            </w:pPr>
          </w:p>
        </w:tc>
        <w:tc>
          <w:tcPr>
            <w:tcW w:w="605" w:type="pct"/>
            <w:noWrap w:val="0"/>
            <w:vAlign w:val="center"/>
          </w:tcPr>
          <w:p w14:paraId="18CDC059">
            <w:pPr>
              <w:spacing w:line="360" w:lineRule="auto"/>
              <w:jc w:val="center"/>
              <w:rPr>
                <w:rFonts w:hint="eastAsia" w:ascii="宋体" w:hAnsi="宋体" w:eastAsia="宋体" w:cs="宋体"/>
                <w:color w:val="000000"/>
                <w:sz w:val="24"/>
                <w:highlight w:val="none"/>
              </w:rPr>
            </w:pPr>
          </w:p>
        </w:tc>
        <w:tc>
          <w:tcPr>
            <w:tcW w:w="379" w:type="pct"/>
            <w:noWrap w:val="0"/>
            <w:vAlign w:val="center"/>
          </w:tcPr>
          <w:p w14:paraId="0383900B">
            <w:pPr>
              <w:spacing w:line="360" w:lineRule="auto"/>
              <w:jc w:val="center"/>
              <w:rPr>
                <w:rFonts w:hint="eastAsia" w:ascii="宋体" w:hAnsi="宋体" w:eastAsia="宋体" w:cs="宋体"/>
                <w:color w:val="000000"/>
                <w:sz w:val="24"/>
                <w:highlight w:val="none"/>
              </w:rPr>
            </w:pPr>
          </w:p>
        </w:tc>
        <w:tc>
          <w:tcPr>
            <w:tcW w:w="384" w:type="pct"/>
            <w:noWrap w:val="0"/>
            <w:vAlign w:val="center"/>
          </w:tcPr>
          <w:p w14:paraId="3ACF3086">
            <w:pPr>
              <w:spacing w:line="360" w:lineRule="auto"/>
              <w:jc w:val="center"/>
              <w:rPr>
                <w:rFonts w:hint="eastAsia" w:ascii="宋体" w:hAnsi="宋体" w:eastAsia="宋体" w:cs="宋体"/>
                <w:color w:val="000000"/>
                <w:sz w:val="24"/>
                <w:highlight w:val="none"/>
              </w:rPr>
            </w:pPr>
          </w:p>
        </w:tc>
        <w:tc>
          <w:tcPr>
            <w:tcW w:w="379" w:type="pct"/>
            <w:noWrap w:val="0"/>
            <w:vAlign w:val="center"/>
          </w:tcPr>
          <w:p w14:paraId="6394C56A">
            <w:pPr>
              <w:spacing w:line="360" w:lineRule="auto"/>
              <w:jc w:val="center"/>
              <w:rPr>
                <w:rFonts w:hint="eastAsia" w:ascii="宋体" w:hAnsi="宋体" w:eastAsia="宋体" w:cs="宋体"/>
                <w:color w:val="000000"/>
                <w:sz w:val="24"/>
                <w:highlight w:val="none"/>
              </w:rPr>
            </w:pPr>
          </w:p>
        </w:tc>
        <w:tc>
          <w:tcPr>
            <w:tcW w:w="381" w:type="pct"/>
            <w:noWrap w:val="0"/>
            <w:vAlign w:val="center"/>
          </w:tcPr>
          <w:p w14:paraId="2509FD95">
            <w:pPr>
              <w:spacing w:line="360" w:lineRule="auto"/>
              <w:jc w:val="center"/>
              <w:rPr>
                <w:rFonts w:hint="eastAsia" w:ascii="宋体" w:hAnsi="宋体" w:eastAsia="宋体" w:cs="宋体"/>
                <w:color w:val="000000"/>
                <w:sz w:val="24"/>
                <w:highlight w:val="none"/>
              </w:rPr>
            </w:pPr>
          </w:p>
        </w:tc>
      </w:tr>
      <w:tr w14:paraId="671D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238" w:type="pct"/>
            <w:gridSpan w:val="8"/>
            <w:noWrap w:val="0"/>
            <w:vAlign w:val="center"/>
          </w:tcPr>
          <w:p w14:paraId="32E680C5">
            <w:pPr>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总价（元）</w:t>
            </w:r>
          </w:p>
        </w:tc>
        <w:tc>
          <w:tcPr>
            <w:tcW w:w="761" w:type="pct"/>
            <w:gridSpan w:val="2"/>
            <w:noWrap w:val="0"/>
            <w:vAlign w:val="center"/>
          </w:tcPr>
          <w:p w14:paraId="746F6096">
            <w:pPr>
              <w:spacing w:line="360" w:lineRule="auto"/>
              <w:jc w:val="center"/>
              <w:rPr>
                <w:rFonts w:hint="eastAsia" w:ascii="宋体" w:hAnsi="宋体" w:eastAsia="宋体" w:cs="宋体"/>
                <w:color w:val="000000"/>
                <w:sz w:val="24"/>
                <w:highlight w:val="none"/>
                <w:lang w:val="en-US" w:eastAsia="zh-CN"/>
              </w:rPr>
            </w:pPr>
          </w:p>
        </w:tc>
      </w:tr>
    </w:tbl>
    <w:p w14:paraId="46EEC09A">
      <w:pPr>
        <w:pStyle w:val="15"/>
        <w:spacing w:line="400" w:lineRule="exact"/>
        <w:rPr>
          <w:rFonts w:hint="eastAsia" w:ascii="宋体" w:hAnsi="宋体" w:eastAsia="宋体" w:cs="宋体"/>
          <w:color w:val="000000"/>
          <w:sz w:val="24"/>
          <w:szCs w:val="24"/>
          <w:highlight w:val="none"/>
        </w:rPr>
      </w:pPr>
    </w:p>
    <w:p w14:paraId="23EA69BD">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供应商名称（公章）：</w:t>
      </w:r>
      <w:r>
        <w:rPr>
          <w:rFonts w:hint="eastAsia" w:ascii="宋体" w:hAnsi="宋体" w:eastAsia="宋体" w:cs="宋体"/>
          <w:color w:val="auto"/>
          <w:kern w:val="2"/>
          <w:sz w:val="24"/>
          <w:szCs w:val="24"/>
          <w:highlight w:val="none"/>
          <w:u w:val="single"/>
          <w:lang w:val="en-US" w:eastAsia="zh-CN" w:bidi="ar-SA"/>
        </w:rPr>
        <w:t xml:space="preserve">                       </w:t>
      </w:r>
    </w:p>
    <w:p w14:paraId="2254F2FF">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法定代表人(签/章):</w:t>
      </w:r>
      <w:r>
        <w:rPr>
          <w:rFonts w:hint="eastAsia" w:ascii="宋体" w:hAnsi="宋体" w:eastAsia="宋体" w:cs="宋体"/>
          <w:color w:val="auto"/>
          <w:kern w:val="2"/>
          <w:sz w:val="24"/>
          <w:szCs w:val="24"/>
          <w:highlight w:val="none"/>
          <w:u w:val="single"/>
          <w:lang w:val="en-US" w:eastAsia="zh-CN" w:bidi="ar-SA"/>
        </w:rPr>
        <w:tab/>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3EB95789">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192E7F97">
      <w:pPr>
        <w:pStyle w:val="15"/>
        <w:spacing w:line="400" w:lineRule="exact"/>
        <w:ind w:left="1080" w:leftChars="257" w:hanging="540"/>
        <w:rPr>
          <w:rFonts w:hint="eastAsia" w:ascii="宋体" w:hAnsi="宋体" w:eastAsia="宋体" w:cs="宋体"/>
          <w:color w:val="000000"/>
          <w:sz w:val="24"/>
          <w:szCs w:val="24"/>
          <w:highlight w:val="none"/>
        </w:rPr>
      </w:pPr>
    </w:p>
    <w:p w14:paraId="4BED58FB">
      <w:pPr>
        <w:pStyle w:val="15"/>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5DAC14DF">
      <w:pPr>
        <w:pStyle w:val="15"/>
        <w:numPr>
          <w:ilvl w:val="0"/>
          <w:numId w:val="0"/>
        </w:numPr>
        <w:spacing w:line="400" w:lineRule="exact"/>
        <w:ind w:left="425" w:leftChars="0" w:hanging="425"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1.如果供应商认为需要，每种服务填写一份该表。</w:t>
      </w:r>
    </w:p>
    <w:p w14:paraId="7130AF0B">
      <w:pPr>
        <w:pStyle w:val="15"/>
        <w:numPr>
          <w:ilvl w:val="0"/>
          <w:numId w:val="0"/>
        </w:numPr>
        <w:spacing w:line="400" w:lineRule="exact"/>
        <w:ind w:left="425" w:leftChars="0" w:hanging="425"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2.如果按单价计算的结果与总价不一致,以单价为准修正总价。</w:t>
      </w:r>
    </w:p>
    <w:p w14:paraId="0FC7FF18">
      <w:pPr>
        <w:pStyle w:val="15"/>
        <w:numPr>
          <w:ilvl w:val="0"/>
          <w:numId w:val="0"/>
        </w:numPr>
        <w:spacing w:line="400" w:lineRule="exact"/>
        <w:ind w:left="425" w:leftChars="0" w:hanging="425"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3.如果不提供详细分项报价将视为没有实质性响应磋商文件。</w:t>
      </w:r>
    </w:p>
    <w:p w14:paraId="19AFA6B9">
      <w:pPr>
        <w:pStyle w:val="15"/>
        <w:numPr>
          <w:ilvl w:val="0"/>
          <w:numId w:val="0"/>
        </w:numPr>
        <w:spacing w:line="400" w:lineRule="exact"/>
        <w:ind w:left="425" w:leftChars="0" w:hanging="425"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4.如果磋商一览表（报价表）内容与响应文件中明细表内容不一致的，以磋商一览表（报价表）内容为准。</w:t>
      </w:r>
    </w:p>
    <w:p w14:paraId="7B9A6E69">
      <w:pPr>
        <w:pStyle w:val="15"/>
        <w:spacing w:line="400" w:lineRule="exact"/>
        <w:ind w:left="1080" w:leftChars="257" w:hanging="540"/>
        <w:rPr>
          <w:rFonts w:hint="eastAsia" w:ascii="宋体" w:hAnsi="宋体" w:eastAsia="宋体" w:cs="宋体"/>
          <w:color w:val="000000"/>
          <w:sz w:val="24"/>
          <w:szCs w:val="24"/>
          <w:highlight w:val="none"/>
        </w:rPr>
      </w:pPr>
    </w:p>
    <w:p w14:paraId="01D6380D">
      <w:pPr>
        <w:pStyle w:val="15"/>
        <w:spacing w:line="400" w:lineRule="exact"/>
        <w:ind w:left="1080" w:leftChars="257" w:hanging="540"/>
        <w:rPr>
          <w:rFonts w:hint="eastAsia" w:ascii="宋体" w:hAnsi="宋体" w:eastAsia="宋体" w:cs="宋体"/>
          <w:color w:val="auto"/>
          <w:sz w:val="24"/>
          <w:szCs w:val="24"/>
          <w:highlight w:val="none"/>
        </w:rPr>
      </w:pPr>
    </w:p>
    <w:p w14:paraId="544DAE2F">
      <w:pPr>
        <w:rPr>
          <w:rFonts w:hint="eastAsia" w:ascii="宋体" w:hAnsi="宋体" w:eastAsia="宋体" w:cs="宋体"/>
          <w:b/>
          <w:bCs/>
          <w:color w:val="auto"/>
          <w:sz w:val="24"/>
          <w:szCs w:val="24"/>
          <w:highlight w:val="none"/>
        </w:rPr>
      </w:pPr>
      <w:bookmarkStart w:id="598" w:name="_Toc3096"/>
      <w:bookmarkStart w:id="599" w:name="_Toc26185"/>
      <w:bookmarkStart w:id="600" w:name="_Toc32439"/>
      <w:bookmarkStart w:id="601" w:name="_Toc14379"/>
      <w:bookmarkStart w:id="602" w:name="_Toc22837"/>
      <w:r>
        <w:rPr>
          <w:rFonts w:hint="eastAsia" w:ascii="宋体" w:hAnsi="宋体" w:eastAsia="宋体" w:cs="宋体"/>
          <w:b/>
          <w:bCs/>
          <w:color w:val="auto"/>
          <w:sz w:val="24"/>
          <w:szCs w:val="24"/>
          <w:highlight w:val="none"/>
        </w:rPr>
        <w:br w:type="page"/>
      </w:r>
    </w:p>
    <w:p w14:paraId="356717D4">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603" w:name="_Toc31195"/>
      <w:r>
        <w:rPr>
          <w:rFonts w:hint="eastAsia" w:ascii="宋体" w:hAnsi="宋体" w:eastAsia="宋体" w:cs="宋体"/>
          <w:b/>
          <w:bCs/>
          <w:color w:val="auto"/>
          <w:sz w:val="24"/>
          <w:szCs w:val="24"/>
          <w:highlight w:val="none"/>
        </w:rPr>
        <w:t>3</w:t>
      </w:r>
      <w:bookmarkEnd w:id="598"/>
      <w:bookmarkEnd w:id="599"/>
      <w:bookmarkEnd w:id="600"/>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说明一览表</w:t>
      </w:r>
      <w:bookmarkEnd w:id="601"/>
      <w:bookmarkEnd w:id="602"/>
      <w:bookmarkEnd w:id="603"/>
    </w:p>
    <w:p w14:paraId="2327D06C">
      <w:pPr>
        <w:pStyle w:val="15"/>
        <w:spacing w:line="360" w:lineRule="exact"/>
        <w:ind w:left="1080" w:leftChars="257" w:hanging="5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30"/>
        <w:tblW w:w="9567"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158"/>
        <w:gridCol w:w="1776"/>
        <w:gridCol w:w="1193"/>
        <w:gridCol w:w="1521"/>
        <w:gridCol w:w="1188"/>
        <w:gridCol w:w="989"/>
      </w:tblGrid>
      <w:tr w14:paraId="2FD4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2" w:type="dxa"/>
            <w:noWrap w:val="0"/>
            <w:vAlign w:val="center"/>
          </w:tcPr>
          <w:p w14:paraId="5D5496E5">
            <w:pPr>
              <w:pStyle w:val="15"/>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58" w:type="dxa"/>
            <w:noWrap w:val="0"/>
            <w:vAlign w:val="center"/>
          </w:tcPr>
          <w:p w14:paraId="471ED2A5">
            <w:pPr>
              <w:pStyle w:val="15"/>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名称</w:t>
            </w:r>
          </w:p>
        </w:tc>
        <w:tc>
          <w:tcPr>
            <w:tcW w:w="1776" w:type="dxa"/>
            <w:noWrap w:val="0"/>
            <w:vAlign w:val="center"/>
          </w:tcPr>
          <w:p w14:paraId="02DA35C3">
            <w:pPr>
              <w:pStyle w:val="15"/>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服务内容</w:t>
            </w:r>
          </w:p>
        </w:tc>
        <w:tc>
          <w:tcPr>
            <w:tcW w:w="1193" w:type="dxa"/>
            <w:noWrap w:val="0"/>
            <w:vAlign w:val="center"/>
          </w:tcPr>
          <w:p w14:paraId="110731A6">
            <w:pPr>
              <w:pStyle w:val="15"/>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521" w:type="dxa"/>
            <w:noWrap w:val="0"/>
            <w:vAlign w:val="center"/>
          </w:tcPr>
          <w:p w14:paraId="6DDA32AD">
            <w:pPr>
              <w:tabs>
                <w:tab w:val="left" w:pos="5580"/>
              </w:tabs>
              <w:spacing w:line="40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服务</w:t>
            </w:r>
            <w:r>
              <w:rPr>
                <w:rFonts w:hint="eastAsia" w:ascii="宋体" w:hAnsi="宋体" w:eastAsia="宋体" w:cs="宋体"/>
                <w:color w:val="000000"/>
                <w:sz w:val="24"/>
                <w:highlight w:val="none"/>
                <w:lang w:val="en-US" w:eastAsia="zh-CN"/>
              </w:rPr>
              <w:t>期限</w:t>
            </w:r>
          </w:p>
        </w:tc>
        <w:tc>
          <w:tcPr>
            <w:tcW w:w="1188" w:type="dxa"/>
            <w:noWrap w:val="0"/>
            <w:vAlign w:val="center"/>
          </w:tcPr>
          <w:p w14:paraId="1FAFE3CA">
            <w:pPr>
              <w:tabs>
                <w:tab w:val="left" w:pos="5580"/>
              </w:tabs>
              <w:spacing w:line="400" w:lineRule="exact"/>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服务</w:t>
            </w:r>
            <w:r>
              <w:rPr>
                <w:rFonts w:hint="eastAsia" w:ascii="宋体" w:hAnsi="宋体" w:eastAsia="宋体" w:cs="宋体"/>
                <w:color w:val="000000"/>
                <w:sz w:val="24"/>
                <w:highlight w:val="none"/>
                <w:lang w:val="en-US" w:eastAsia="zh-CN"/>
              </w:rPr>
              <w:t>地点</w:t>
            </w:r>
          </w:p>
        </w:tc>
        <w:tc>
          <w:tcPr>
            <w:tcW w:w="989" w:type="dxa"/>
            <w:noWrap w:val="0"/>
            <w:vAlign w:val="center"/>
          </w:tcPr>
          <w:p w14:paraId="299F145D">
            <w:pPr>
              <w:tabs>
                <w:tab w:val="left" w:pos="5580"/>
              </w:tabs>
              <w:spacing w:line="40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备注</w:t>
            </w:r>
          </w:p>
        </w:tc>
      </w:tr>
      <w:tr w14:paraId="44B9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noWrap w:val="0"/>
            <w:vAlign w:val="center"/>
          </w:tcPr>
          <w:p w14:paraId="55B6A39C">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2158" w:type="dxa"/>
            <w:noWrap w:val="0"/>
            <w:vAlign w:val="center"/>
          </w:tcPr>
          <w:p w14:paraId="5B19B0D2">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776" w:type="dxa"/>
            <w:noWrap w:val="0"/>
            <w:vAlign w:val="center"/>
          </w:tcPr>
          <w:p w14:paraId="56AA4D56">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93" w:type="dxa"/>
            <w:noWrap w:val="0"/>
            <w:vAlign w:val="center"/>
          </w:tcPr>
          <w:p w14:paraId="39E165C2">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521" w:type="dxa"/>
            <w:noWrap w:val="0"/>
            <w:vAlign w:val="center"/>
          </w:tcPr>
          <w:p w14:paraId="6F74CC17">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88" w:type="dxa"/>
            <w:noWrap w:val="0"/>
            <w:vAlign w:val="center"/>
          </w:tcPr>
          <w:p w14:paraId="1E2CE906">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989" w:type="dxa"/>
            <w:noWrap w:val="0"/>
            <w:vAlign w:val="center"/>
          </w:tcPr>
          <w:p w14:paraId="5735DCC4">
            <w:pPr>
              <w:pStyle w:val="15"/>
              <w:spacing w:line="360" w:lineRule="exact"/>
              <w:ind w:left="1080" w:leftChars="257" w:hanging="540"/>
              <w:jc w:val="center"/>
              <w:rPr>
                <w:rFonts w:hint="eastAsia" w:ascii="宋体" w:hAnsi="宋体" w:eastAsia="宋体" w:cs="宋体"/>
                <w:color w:val="auto"/>
                <w:sz w:val="24"/>
                <w:szCs w:val="24"/>
                <w:highlight w:val="none"/>
              </w:rPr>
            </w:pPr>
          </w:p>
        </w:tc>
      </w:tr>
      <w:tr w14:paraId="7FF6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noWrap w:val="0"/>
            <w:vAlign w:val="center"/>
          </w:tcPr>
          <w:p w14:paraId="468EFB6D">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2158" w:type="dxa"/>
            <w:noWrap w:val="0"/>
            <w:vAlign w:val="center"/>
          </w:tcPr>
          <w:p w14:paraId="02207ED6">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776" w:type="dxa"/>
            <w:noWrap w:val="0"/>
            <w:vAlign w:val="center"/>
          </w:tcPr>
          <w:p w14:paraId="4884CD72">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93" w:type="dxa"/>
            <w:noWrap w:val="0"/>
            <w:vAlign w:val="center"/>
          </w:tcPr>
          <w:p w14:paraId="6E43293C">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521" w:type="dxa"/>
            <w:noWrap w:val="0"/>
            <w:vAlign w:val="center"/>
          </w:tcPr>
          <w:p w14:paraId="67E74349">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88" w:type="dxa"/>
            <w:noWrap w:val="0"/>
            <w:vAlign w:val="center"/>
          </w:tcPr>
          <w:p w14:paraId="76E9FECA">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989" w:type="dxa"/>
            <w:noWrap w:val="0"/>
            <w:vAlign w:val="center"/>
          </w:tcPr>
          <w:p w14:paraId="2E13E902">
            <w:pPr>
              <w:pStyle w:val="15"/>
              <w:spacing w:line="360" w:lineRule="exact"/>
              <w:ind w:left="1080" w:leftChars="257" w:hanging="540"/>
              <w:jc w:val="center"/>
              <w:rPr>
                <w:rFonts w:hint="eastAsia" w:ascii="宋体" w:hAnsi="宋体" w:eastAsia="宋体" w:cs="宋体"/>
                <w:color w:val="auto"/>
                <w:sz w:val="24"/>
                <w:szCs w:val="24"/>
                <w:highlight w:val="none"/>
              </w:rPr>
            </w:pPr>
          </w:p>
        </w:tc>
      </w:tr>
      <w:tr w14:paraId="6214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noWrap w:val="0"/>
            <w:vAlign w:val="center"/>
          </w:tcPr>
          <w:p w14:paraId="6E82319B">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2158" w:type="dxa"/>
            <w:noWrap w:val="0"/>
            <w:vAlign w:val="center"/>
          </w:tcPr>
          <w:p w14:paraId="3DBA5DBF">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776" w:type="dxa"/>
            <w:noWrap w:val="0"/>
            <w:vAlign w:val="center"/>
          </w:tcPr>
          <w:p w14:paraId="7F744597">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93" w:type="dxa"/>
            <w:noWrap w:val="0"/>
            <w:vAlign w:val="center"/>
          </w:tcPr>
          <w:p w14:paraId="0809DD6B">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521" w:type="dxa"/>
            <w:noWrap w:val="0"/>
            <w:vAlign w:val="center"/>
          </w:tcPr>
          <w:p w14:paraId="65620CD6">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88" w:type="dxa"/>
            <w:noWrap w:val="0"/>
            <w:vAlign w:val="center"/>
          </w:tcPr>
          <w:p w14:paraId="2E866E76">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989" w:type="dxa"/>
            <w:noWrap w:val="0"/>
            <w:vAlign w:val="center"/>
          </w:tcPr>
          <w:p w14:paraId="1CF38A4C">
            <w:pPr>
              <w:pStyle w:val="15"/>
              <w:spacing w:line="360" w:lineRule="exact"/>
              <w:ind w:left="1080" w:leftChars="257" w:hanging="540"/>
              <w:jc w:val="center"/>
              <w:rPr>
                <w:rFonts w:hint="eastAsia" w:ascii="宋体" w:hAnsi="宋体" w:eastAsia="宋体" w:cs="宋体"/>
                <w:color w:val="auto"/>
                <w:sz w:val="24"/>
                <w:szCs w:val="24"/>
                <w:highlight w:val="none"/>
              </w:rPr>
            </w:pPr>
          </w:p>
        </w:tc>
      </w:tr>
      <w:tr w14:paraId="2DAC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noWrap w:val="0"/>
            <w:vAlign w:val="center"/>
          </w:tcPr>
          <w:p w14:paraId="2140BD2A">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2158" w:type="dxa"/>
            <w:noWrap w:val="0"/>
            <w:vAlign w:val="center"/>
          </w:tcPr>
          <w:p w14:paraId="4E0EBFDE">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776" w:type="dxa"/>
            <w:noWrap w:val="0"/>
            <w:vAlign w:val="center"/>
          </w:tcPr>
          <w:p w14:paraId="5BA5F51D">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93" w:type="dxa"/>
            <w:noWrap w:val="0"/>
            <w:vAlign w:val="center"/>
          </w:tcPr>
          <w:p w14:paraId="1DC4FDB2">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521" w:type="dxa"/>
            <w:noWrap w:val="0"/>
            <w:vAlign w:val="center"/>
          </w:tcPr>
          <w:p w14:paraId="31B0399C">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88" w:type="dxa"/>
            <w:noWrap w:val="0"/>
            <w:vAlign w:val="center"/>
          </w:tcPr>
          <w:p w14:paraId="6F740030">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989" w:type="dxa"/>
            <w:noWrap w:val="0"/>
            <w:vAlign w:val="center"/>
          </w:tcPr>
          <w:p w14:paraId="21216D58">
            <w:pPr>
              <w:pStyle w:val="15"/>
              <w:spacing w:line="360" w:lineRule="exact"/>
              <w:ind w:left="1080" w:leftChars="257" w:hanging="540"/>
              <w:jc w:val="center"/>
              <w:rPr>
                <w:rFonts w:hint="eastAsia" w:ascii="宋体" w:hAnsi="宋体" w:eastAsia="宋体" w:cs="宋体"/>
                <w:color w:val="auto"/>
                <w:sz w:val="24"/>
                <w:szCs w:val="24"/>
                <w:highlight w:val="none"/>
              </w:rPr>
            </w:pPr>
          </w:p>
        </w:tc>
      </w:tr>
      <w:tr w14:paraId="59EA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noWrap w:val="0"/>
            <w:vAlign w:val="center"/>
          </w:tcPr>
          <w:p w14:paraId="63598435">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2158" w:type="dxa"/>
            <w:noWrap w:val="0"/>
            <w:vAlign w:val="center"/>
          </w:tcPr>
          <w:p w14:paraId="5455F5E7">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776" w:type="dxa"/>
            <w:noWrap w:val="0"/>
            <w:vAlign w:val="center"/>
          </w:tcPr>
          <w:p w14:paraId="42CF6C0E">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93" w:type="dxa"/>
            <w:noWrap w:val="0"/>
            <w:vAlign w:val="center"/>
          </w:tcPr>
          <w:p w14:paraId="3B6BC34D">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521" w:type="dxa"/>
            <w:noWrap w:val="0"/>
            <w:vAlign w:val="center"/>
          </w:tcPr>
          <w:p w14:paraId="4CA0CFD1">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88" w:type="dxa"/>
            <w:noWrap w:val="0"/>
            <w:vAlign w:val="center"/>
          </w:tcPr>
          <w:p w14:paraId="1BBD74A8">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989" w:type="dxa"/>
            <w:noWrap w:val="0"/>
            <w:vAlign w:val="center"/>
          </w:tcPr>
          <w:p w14:paraId="7A2274A7">
            <w:pPr>
              <w:pStyle w:val="15"/>
              <w:spacing w:line="360" w:lineRule="exact"/>
              <w:ind w:left="1080" w:leftChars="257" w:hanging="540"/>
              <w:jc w:val="center"/>
              <w:rPr>
                <w:rFonts w:hint="eastAsia" w:ascii="宋体" w:hAnsi="宋体" w:eastAsia="宋体" w:cs="宋体"/>
                <w:color w:val="auto"/>
                <w:sz w:val="24"/>
                <w:szCs w:val="24"/>
                <w:highlight w:val="none"/>
              </w:rPr>
            </w:pPr>
          </w:p>
        </w:tc>
      </w:tr>
      <w:tr w14:paraId="7493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noWrap w:val="0"/>
            <w:vAlign w:val="center"/>
          </w:tcPr>
          <w:p w14:paraId="44716C8A">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2158" w:type="dxa"/>
            <w:noWrap w:val="0"/>
            <w:vAlign w:val="center"/>
          </w:tcPr>
          <w:p w14:paraId="6973A2D7">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776" w:type="dxa"/>
            <w:noWrap w:val="0"/>
            <w:vAlign w:val="center"/>
          </w:tcPr>
          <w:p w14:paraId="2F29336F">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93" w:type="dxa"/>
            <w:noWrap w:val="0"/>
            <w:vAlign w:val="center"/>
          </w:tcPr>
          <w:p w14:paraId="26275435">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521" w:type="dxa"/>
            <w:noWrap w:val="0"/>
            <w:vAlign w:val="center"/>
          </w:tcPr>
          <w:p w14:paraId="2DAB1078">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88" w:type="dxa"/>
            <w:noWrap w:val="0"/>
            <w:vAlign w:val="center"/>
          </w:tcPr>
          <w:p w14:paraId="2254939D">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989" w:type="dxa"/>
            <w:noWrap w:val="0"/>
            <w:vAlign w:val="center"/>
          </w:tcPr>
          <w:p w14:paraId="754F7E9A">
            <w:pPr>
              <w:pStyle w:val="15"/>
              <w:spacing w:line="360" w:lineRule="exact"/>
              <w:ind w:left="1080" w:leftChars="257" w:hanging="540"/>
              <w:jc w:val="center"/>
              <w:rPr>
                <w:rFonts w:hint="eastAsia" w:ascii="宋体" w:hAnsi="宋体" w:eastAsia="宋体" w:cs="宋体"/>
                <w:color w:val="auto"/>
                <w:sz w:val="24"/>
                <w:szCs w:val="24"/>
                <w:highlight w:val="none"/>
              </w:rPr>
            </w:pPr>
          </w:p>
        </w:tc>
      </w:tr>
      <w:tr w14:paraId="231A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2" w:type="dxa"/>
            <w:noWrap w:val="0"/>
            <w:vAlign w:val="center"/>
          </w:tcPr>
          <w:p w14:paraId="26CEB278">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2158" w:type="dxa"/>
            <w:noWrap w:val="0"/>
            <w:vAlign w:val="center"/>
          </w:tcPr>
          <w:p w14:paraId="5D32960D">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776" w:type="dxa"/>
            <w:noWrap w:val="0"/>
            <w:vAlign w:val="center"/>
          </w:tcPr>
          <w:p w14:paraId="6BF2DA9A">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93" w:type="dxa"/>
            <w:noWrap w:val="0"/>
            <w:vAlign w:val="center"/>
          </w:tcPr>
          <w:p w14:paraId="3388B329">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521" w:type="dxa"/>
            <w:noWrap w:val="0"/>
            <w:vAlign w:val="center"/>
          </w:tcPr>
          <w:p w14:paraId="7F823691">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88" w:type="dxa"/>
            <w:noWrap w:val="0"/>
            <w:vAlign w:val="center"/>
          </w:tcPr>
          <w:p w14:paraId="6033CB1C">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989" w:type="dxa"/>
            <w:noWrap w:val="0"/>
            <w:vAlign w:val="center"/>
          </w:tcPr>
          <w:p w14:paraId="6622F690">
            <w:pPr>
              <w:pStyle w:val="15"/>
              <w:spacing w:line="360" w:lineRule="exact"/>
              <w:ind w:left="1080" w:leftChars="257" w:hanging="540"/>
              <w:jc w:val="center"/>
              <w:rPr>
                <w:rFonts w:hint="eastAsia" w:ascii="宋体" w:hAnsi="宋体" w:eastAsia="宋体" w:cs="宋体"/>
                <w:color w:val="auto"/>
                <w:sz w:val="24"/>
                <w:szCs w:val="24"/>
                <w:highlight w:val="none"/>
              </w:rPr>
            </w:pPr>
          </w:p>
        </w:tc>
      </w:tr>
      <w:tr w14:paraId="26A9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42" w:type="dxa"/>
            <w:noWrap w:val="0"/>
            <w:vAlign w:val="center"/>
          </w:tcPr>
          <w:p w14:paraId="4257AC5B">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2158" w:type="dxa"/>
            <w:noWrap w:val="0"/>
            <w:vAlign w:val="center"/>
          </w:tcPr>
          <w:p w14:paraId="185A7802">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776" w:type="dxa"/>
            <w:noWrap w:val="0"/>
            <w:vAlign w:val="center"/>
          </w:tcPr>
          <w:p w14:paraId="0BFBA27E">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93" w:type="dxa"/>
            <w:noWrap w:val="0"/>
            <w:vAlign w:val="center"/>
          </w:tcPr>
          <w:p w14:paraId="58F78341">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521" w:type="dxa"/>
            <w:noWrap w:val="0"/>
            <w:vAlign w:val="center"/>
          </w:tcPr>
          <w:p w14:paraId="089342BF">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1188" w:type="dxa"/>
            <w:noWrap w:val="0"/>
            <w:vAlign w:val="center"/>
          </w:tcPr>
          <w:p w14:paraId="1E0D8A40">
            <w:pPr>
              <w:pStyle w:val="15"/>
              <w:spacing w:line="360" w:lineRule="exact"/>
              <w:ind w:left="1080" w:leftChars="257" w:hanging="540"/>
              <w:jc w:val="center"/>
              <w:rPr>
                <w:rFonts w:hint="eastAsia" w:ascii="宋体" w:hAnsi="宋体" w:eastAsia="宋体" w:cs="宋体"/>
                <w:color w:val="auto"/>
                <w:sz w:val="24"/>
                <w:szCs w:val="24"/>
                <w:highlight w:val="none"/>
              </w:rPr>
            </w:pPr>
          </w:p>
        </w:tc>
        <w:tc>
          <w:tcPr>
            <w:tcW w:w="989" w:type="dxa"/>
            <w:noWrap w:val="0"/>
            <w:vAlign w:val="center"/>
          </w:tcPr>
          <w:p w14:paraId="06B53AF5">
            <w:pPr>
              <w:pStyle w:val="15"/>
              <w:spacing w:line="360" w:lineRule="exact"/>
              <w:ind w:left="1080" w:leftChars="257" w:hanging="540"/>
              <w:jc w:val="center"/>
              <w:rPr>
                <w:rFonts w:hint="eastAsia" w:ascii="宋体" w:hAnsi="宋体" w:eastAsia="宋体" w:cs="宋体"/>
                <w:color w:val="auto"/>
                <w:sz w:val="24"/>
                <w:szCs w:val="24"/>
                <w:highlight w:val="none"/>
              </w:rPr>
            </w:pPr>
          </w:p>
        </w:tc>
      </w:tr>
    </w:tbl>
    <w:p w14:paraId="1C4D65C2">
      <w:pPr>
        <w:pStyle w:val="15"/>
        <w:spacing w:line="360" w:lineRule="exact"/>
        <w:ind w:left="1080" w:leftChars="257" w:hanging="540"/>
        <w:rPr>
          <w:rFonts w:hint="eastAsia" w:ascii="宋体" w:hAnsi="宋体" w:eastAsia="宋体" w:cs="宋体"/>
          <w:color w:val="auto"/>
          <w:sz w:val="24"/>
          <w:szCs w:val="24"/>
          <w:highlight w:val="none"/>
        </w:rPr>
      </w:pPr>
    </w:p>
    <w:p w14:paraId="047925B9">
      <w:pPr>
        <w:pStyle w:val="15"/>
        <w:spacing w:line="400" w:lineRule="exact"/>
        <w:ind w:left="1080" w:leftChars="257" w:hanging="540"/>
        <w:rPr>
          <w:rFonts w:hint="eastAsia" w:ascii="宋体" w:hAnsi="宋体" w:eastAsia="宋体" w:cs="宋体"/>
          <w:color w:val="auto"/>
          <w:sz w:val="24"/>
          <w:szCs w:val="24"/>
          <w:highlight w:val="none"/>
        </w:rPr>
      </w:pPr>
    </w:p>
    <w:p w14:paraId="78692EDA">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供应商名称（公章）：</w:t>
      </w:r>
      <w:r>
        <w:rPr>
          <w:rFonts w:hint="eastAsia" w:ascii="宋体" w:hAnsi="宋体" w:eastAsia="宋体" w:cs="宋体"/>
          <w:color w:val="auto"/>
          <w:kern w:val="2"/>
          <w:sz w:val="24"/>
          <w:szCs w:val="24"/>
          <w:highlight w:val="none"/>
          <w:u w:val="single"/>
          <w:lang w:val="en-US" w:eastAsia="zh-CN" w:bidi="ar-SA"/>
        </w:rPr>
        <w:t xml:space="preserve">                       </w:t>
      </w:r>
    </w:p>
    <w:p w14:paraId="261CE0DA">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法定代表人(签/章):</w:t>
      </w:r>
      <w:r>
        <w:rPr>
          <w:rFonts w:hint="eastAsia" w:ascii="宋体" w:hAnsi="宋体" w:eastAsia="宋体" w:cs="宋体"/>
          <w:color w:val="auto"/>
          <w:kern w:val="2"/>
          <w:sz w:val="24"/>
          <w:szCs w:val="24"/>
          <w:highlight w:val="none"/>
          <w:u w:val="single"/>
          <w:lang w:val="en-US" w:eastAsia="zh-CN" w:bidi="ar-SA"/>
        </w:rPr>
        <w:tab/>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64622C72">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7A60BCC2">
      <w:pPr>
        <w:pStyle w:val="15"/>
        <w:spacing w:line="240" w:lineRule="atLeast"/>
        <w:rPr>
          <w:rFonts w:hint="eastAsia" w:ascii="宋体" w:hAnsi="宋体" w:eastAsia="宋体" w:cs="宋体"/>
          <w:b/>
          <w:bCs/>
          <w:color w:val="auto"/>
          <w:sz w:val="24"/>
          <w:szCs w:val="24"/>
          <w:highlight w:val="none"/>
        </w:rPr>
      </w:pPr>
    </w:p>
    <w:p w14:paraId="02F826E9">
      <w:pPr>
        <w:pStyle w:val="15"/>
        <w:spacing w:line="240" w:lineRule="atLeast"/>
        <w:rPr>
          <w:rFonts w:hint="eastAsia" w:ascii="宋体" w:hAnsi="宋体" w:eastAsia="宋体" w:cs="宋体"/>
          <w:b/>
          <w:bCs/>
          <w:color w:val="auto"/>
          <w:sz w:val="24"/>
          <w:szCs w:val="24"/>
          <w:highlight w:val="none"/>
        </w:rPr>
      </w:pPr>
    </w:p>
    <w:p w14:paraId="76605524">
      <w:pPr>
        <w:pStyle w:val="15"/>
        <w:spacing w:line="240" w:lineRule="atLeast"/>
        <w:rPr>
          <w:rFonts w:hint="eastAsia" w:ascii="宋体" w:hAnsi="宋体" w:eastAsia="宋体" w:cs="宋体"/>
          <w:b/>
          <w:bCs/>
          <w:color w:val="auto"/>
          <w:sz w:val="24"/>
          <w:szCs w:val="24"/>
          <w:highlight w:val="none"/>
        </w:rPr>
      </w:pPr>
    </w:p>
    <w:p w14:paraId="2CC7B3AD">
      <w:pPr>
        <w:pStyle w:val="15"/>
        <w:spacing w:line="240" w:lineRule="atLeast"/>
        <w:rPr>
          <w:rFonts w:hint="eastAsia" w:ascii="宋体" w:hAnsi="宋体" w:eastAsia="宋体" w:cs="宋体"/>
          <w:b/>
          <w:bCs/>
          <w:color w:val="auto"/>
          <w:sz w:val="24"/>
          <w:szCs w:val="24"/>
          <w:highlight w:val="none"/>
        </w:rPr>
      </w:pPr>
    </w:p>
    <w:p w14:paraId="622918E4">
      <w:pPr>
        <w:pStyle w:val="15"/>
        <w:spacing w:line="240" w:lineRule="atLeast"/>
        <w:rPr>
          <w:rFonts w:hint="eastAsia" w:ascii="宋体" w:hAnsi="宋体" w:eastAsia="宋体" w:cs="宋体"/>
          <w:b/>
          <w:bCs/>
          <w:color w:val="auto"/>
          <w:sz w:val="24"/>
          <w:szCs w:val="24"/>
          <w:highlight w:val="none"/>
        </w:rPr>
      </w:pPr>
    </w:p>
    <w:p w14:paraId="65262430">
      <w:pPr>
        <w:pStyle w:val="15"/>
        <w:spacing w:line="240" w:lineRule="atLeast"/>
        <w:rPr>
          <w:rFonts w:hint="eastAsia" w:ascii="宋体" w:hAnsi="宋体" w:eastAsia="宋体" w:cs="宋体"/>
          <w:b/>
          <w:bCs/>
          <w:color w:val="auto"/>
          <w:sz w:val="24"/>
          <w:szCs w:val="24"/>
          <w:highlight w:val="none"/>
        </w:rPr>
      </w:pPr>
    </w:p>
    <w:p w14:paraId="0C73170C">
      <w:pPr>
        <w:rPr>
          <w:rFonts w:hint="eastAsia" w:ascii="宋体" w:hAnsi="宋体" w:eastAsia="宋体" w:cs="宋体"/>
          <w:b/>
          <w:bCs/>
          <w:color w:val="auto"/>
          <w:sz w:val="24"/>
          <w:highlight w:val="none"/>
        </w:rPr>
      </w:pPr>
    </w:p>
    <w:p w14:paraId="5467A409">
      <w:pPr>
        <w:rPr>
          <w:rFonts w:hint="eastAsia" w:ascii="宋体" w:hAnsi="宋体" w:eastAsia="宋体" w:cs="宋体"/>
          <w:b/>
          <w:bCs/>
          <w:color w:val="auto"/>
          <w:sz w:val="24"/>
          <w:szCs w:val="24"/>
          <w:highlight w:val="none"/>
        </w:rPr>
      </w:pPr>
      <w:bookmarkStart w:id="604" w:name="_Toc24186"/>
      <w:bookmarkStart w:id="605" w:name="_Toc10335"/>
      <w:r>
        <w:rPr>
          <w:rFonts w:hint="eastAsia" w:ascii="宋体" w:hAnsi="宋体" w:eastAsia="宋体" w:cs="宋体"/>
          <w:b/>
          <w:bCs/>
          <w:color w:val="auto"/>
          <w:sz w:val="24"/>
          <w:szCs w:val="24"/>
          <w:highlight w:val="none"/>
        </w:rPr>
        <w:br w:type="page"/>
      </w:r>
    </w:p>
    <w:p w14:paraId="5DD98782">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606" w:name="_Toc22023"/>
      <w:r>
        <w:rPr>
          <w:rFonts w:hint="eastAsia" w:ascii="宋体" w:hAnsi="宋体" w:eastAsia="宋体" w:cs="宋体"/>
          <w:b/>
          <w:bCs/>
          <w:color w:val="auto"/>
          <w:sz w:val="24"/>
          <w:szCs w:val="24"/>
          <w:highlight w:val="none"/>
        </w:rPr>
        <w:t>4、</w:t>
      </w:r>
      <w:bookmarkEnd w:id="604"/>
      <w:bookmarkEnd w:id="605"/>
      <w:r>
        <w:rPr>
          <w:rFonts w:hint="eastAsia" w:ascii="宋体" w:hAnsi="宋体" w:eastAsia="宋体" w:cs="宋体"/>
          <w:b/>
          <w:bCs/>
          <w:color w:val="auto"/>
          <w:sz w:val="24"/>
          <w:szCs w:val="24"/>
          <w:highlight w:val="none"/>
          <w:lang w:val="en-US" w:eastAsia="zh-CN"/>
        </w:rPr>
        <w:t>服务要求</w:t>
      </w:r>
      <w:r>
        <w:rPr>
          <w:rFonts w:hint="eastAsia" w:ascii="宋体" w:hAnsi="宋体" w:eastAsia="宋体" w:cs="宋体"/>
          <w:b/>
          <w:bCs/>
          <w:color w:val="auto"/>
          <w:sz w:val="24"/>
          <w:szCs w:val="24"/>
          <w:highlight w:val="none"/>
        </w:rPr>
        <w:t>偏离表</w:t>
      </w:r>
      <w:bookmarkEnd w:id="606"/>
    </w:p>
    <w:p w14:paraId="1DFB7066">
      <w:pPr>
        <w:pStyle w:val="15"/>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30"/>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50"/>
        <w:gridCol w:w="1467"/>
        <w:gridCol w:w="1501"/>
        <w:gridCol w:w="1125"/>
        <w:gridCol w:w="1052"/>
      </w:tblGrid>
      <w:tr w14:paraId="7E43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0" w:type="dxa"/>
            <w:noWrap w:val="0"/>
            <w:vAlign w:val="center"/>
          </w:tcPr>
          <w:p w14:paraId="7ACCA6BA">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50" w:type="dxa"/>
            <w:noWrap w:val="0"/>
            <w:vAlign w:val="center"/>
          </w:tcPr>
          <w:p w14:paraId="6DF56B86">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名称</w:t>
            </w:r>
          </w:p>
        </w:tc>
        <w:tc>
          <w:tcPr>
            <w:tcW w:w="1467" w:type="dxa"/>
            <w:noWrap w:val="0"/>
            <w:vAlign w:val="center"/>
          </w:tcPr>
          <w:p w14:paraId="3F6943ED">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磋商要求</w:t>
            </w:r>
          </w:p>
        </w:tc>
        <w:tc>
          <w:tcPr>
            <w:tcW w:w="1501" w:type="dxa"/>
            <w:noWrap w:val="0"/>
            <w:vAlign w:val="center"/>
          </w:tcPr>
          <w:p w14:paraId="4A147E13">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响应要求</w:t>
            </w:r>
          </w:p>
        </w:tc>
        <w:tc>
          <w:tcPr>
            <w:tcW w:w="1125" w:type="dxa"/>
            <w:noWrap w:val="0"/>
            <w:vAlign w:val="center"/>
          </w:tcPr>
          <w:p w14:paraId="437624CC">
            <w:pPr>
              <w:pStyle w:val="15"/>
              <w:spacing w:line="400" w:lineRule="exact"/>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是否</w:t>
            </w:r>
          </w:p>
          <w:p w14:paraId="2BCE0A8F">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1052" w:type="dxa"/>
            <w:noWrap w:val="0"/>
            <w:vAlign w:val="center"/>
          </w:tcPr>
          <w:p w14:paraId="311970EA">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58FA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0" w:type="dxa"/>
            <w:noWrap w:val="0"/>
            <w:vAlign w:val="top"/>
          </w:tcPr>
          <w:p w14:paraId="72D1B32F">
            <w:pPr>
              <w:pStyle w:val="15"/>
              <w:spacing w:line="400" w:lineRule="exact"/>
              <w:ind w:left="1080" w:leftChars="257" w:hanging="540"/>
              <w:rPr>
                <w:rFonts w:hint="eastAsia" w:ascii="宋体" w:hAnsi="宋体" w:eastAsia="宋体" w:cs="宋体"/>
                <w:color w:val="auto"/>
                <w:sz w:val="24"/>
                <w:szCs w:val="24"/>
                <w:highlight w:val="none"/>
              </w:rPr>
            </w:pPr>
          </w:p>
        </w:tc>
        <w:tc>
          <w:tcPr>
            <w:tcW w:w="1950" w:type="dxa"/>
            <w:noWrap w:val="0"/>
            <w:vAlign w:val="top"/>
          </w:tcPr>
          <w:p w14:paraId="1626FBE2">
            <w:pPr>
              <w:pStyle w:val="15"/>
              <w:spacing w:line="400" w:lineRule="exact"/>
              <w:ind w:left="1080" w:leftChars="257" w:hanging="540"/>
              <w:rPr>
                <w:rFonts w:hint="eastAsia" w:ascii="宋体" w:hAnsi="宋体" w:eastAsia="宋体" w:cs="宋体"/>
                <w:color w:val="auto"/>
                <w:sz w:val="24"/>
                <w:szCs w:val="24"/>
                <w:highlight w:val="none"/>
              </w:rPr>
            </w:pPr>
          </w:p>
        </w:tc>
        <w:tc>
          <w:tcPr>
            <w:tcW w:w="1467" w:type="dxa"/>
            <w:noWrap w:val="0"/>
            <w:vAlign w:val="top"/>
          </w:tcPr>
          <w:p w14:paraId="0C448AF5">
            <w:pPr>
              <w:pStyle w:val="15"/>
              <w:spacing w:line="400" w:lineRule="exact"/>
              <w:ind w:left="1080" w:leftChars="257" w:hanging="540"/>
              <w:rPr>
                <w:rFonts w:hint="eastAsia" w:ascii="宋体" w:hAnsi="宋体" w:eastAsia="宋体" w:cs="宋体"/>
                <w:color w:val="auto"/>
                <w:sz w:val="24"/>
                <w:szCs w:val="24"/>
                <w:highlight w:val="none"/>
              </w:rPr>
            </w:pPr>
          </w:p>
        </w:tc>
        <w:tc>
          <w:tcPr>
            <w:tcW w:w="1501" w:type="dxa"/>
            <w:noWrap w:val="0"/>
            <w:vAlign w:val="top"/>
          </w:tcPr>
          <w:p w14:paraId="032D10A9">
            <w:pPr>
              <w:pStyle w:val="15"/>
              <w:spacing w:line="400" w:lineRule="exact"/>
              <w:ind w:left="1080" w:leftChars="257" w:hanging="540"/>
              <w:rPr>
                <w:rFonts w:hint="eastAsia" w:ascii="宋体" w:hAnsi="宋体" w:eastAsia="宋体" w:cs="宋体"/>
                <w:color w:val="auto"/>
                <w:sz w:val="24"/>
                <w:szCs w:val="24"/>
                <w:highlight w:val="none"/>
              </w:rPr>
            </w:pPr>
          </w:p>
        </w:tc>
        <w:tc>
          <w:tcPr>
            <w:tcW w:w="1125" w:type="dxa"/>
            <w:noWrap w:val="0"/>
            <w:vAlign w:val="top"/>
          </w:tcPr>
          <w:p w14:paraId="3BBE04E4">
            <w:pPr>
              <w:pStyle w:val="15"/>
              <w:spacing w:line="400" w:lineRule="exact"/>
              <w:ind w:left="1080" w:leftChars="257" w:hanging="540"/>
              <w:rPr>
                <w:rFonts w:hint="eastAsia" w:ascii="宋体" w:hAnsi="宋体" w:eastAsia="宋体" w:cs="宋体"/>
                <w:color w:val="auto"/>
                <w:sz w:val="24"/>
                <w:szCs w:val="24"/>
                <w:highlight w:val="none"/>
              </w:rPr>
            </w:pPr>
          </w:p>
        </w:tc>
        <w:tc>
          <w:tcPr>
            <w:tcW w:w="1052" w:type="dxa"/>
            <w:noWrap w:val="0"/>
            <w:vAlign w:val="top"/>
          </w:tcPr>
          <w:p w14:paraId="1AF3EC80">
            <w:pPr>
              <w:pStyle w:val="15"/>
              <w:spacing w:line="400" w:lineRule="exact"/>
              <w:ind w:left="1080" w:leftChars="257" w:hanging="540"/>
              <w:rPr>
                <w:rFonts w:hint="eastAsia" w:ascii="宋体" w:hAnsi="宋体" w:eastAsia="宋体" w:cs="宋体"/>
                <w:color w:val="auto"/>
                <w:sz w:val="24"/>
                <w:szCs w:val="24"/>
                <w:highlight w:val="none"/>
              </w:rPr>
            </w:pPr>
          </w:p>
        </w:tc>
      </w:tr>
      <w:tr w14:paraId="487A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0" w:type="dxa"/>
            <w:noWrap w:val="0"/>
            <w:vAlign w:val="top"/>
          </w:tcPr>
          <w:p w14:paraId="4759D003">
            <w:pPr>
              <w:pStyle w:val="15"/>
              <w:spacing w:line="400" w:lineRule="exact"/>
              <w:ind w:left="1080" w:leftChars="257" w:hanging="540"/>
              <w:rPr>
                <w:rFonts w:hint="eastAsia" w:ascii="宋体" w:hAnsi="宋体" w:eastAsia="宋体" w:cs="宋体"/>
                <w:color w:val="auto"/>
                <w:sz w:val="24"/>
                <w:szCs w:val="24"/>
                <w:highlight w:val="none"/>
              </w:rPr>
            </w:pPr>
          </w:p>
        </w:tc>
        <w:tc>
          <w:tcPr>
            <w:tcW w:w="1950" w:type="dxa"/>
            <w:noWrap w:val="0"/>
            <w:vAlign w:val="top"/>
          </w:tcPr>
          <w:p w14:paraId="3C295B27">
            <w:pPr>
              <w:pStyle w:val="15"/>
              <w:spacing w:line="400" w:lineRule="exact"/>
              <w:ind w:left="1080" w:leftChars="257" w:hanging="540"/>
              <w:rPr>
                <w:rFonts w:hint="eastAsia" w:ascii="宋体" w:hAnsi="宋体" w:eastAsia="宋体" w:cs="宋体"/>
                <w:color w:val="auto"/>
                <w:sz w:val="24"/>
                <w:szCs w:val="24"/>
                <w:highlight w:val="none"/>
              </w:rPr>
            </w:pPr>
          </w:p>
        </w:tc>
        <w:tc>
          <w:tcPr>
            <w:tcW w:w="1467" w:type="dxa"/>
            <w:noWrap w:val="0"/>
            <w:vAlign w:val="top"/>
          </w:tcPr>
          <w:p w14:paraId="2B06C67D">
            <w:pPr>
              <w:pStyle w:val="15"/>
              <w:spacing w:line="400" w:lineRule="exact"/>
              <w:ind w:left="1080" w:leftChars="257" w:hanging="540"/>
              <w:rPr>
                <w:rFonts w:hint="eastAsia" w:ascii="宋体" w:hAnsi="宋体" w:eastAsia="宋体" w:cs="宋体"/>
                <w:color w:val="auto"/>
                <w:sz w:val="24"/>
                <w:szCs w:val="24"/>
                <w:highlight w:val="none"/>
              </w:rPr>
            </w:pPr>
          </w:p>
        </w:tc>
        <w:tc>
          <w:tcPr>
            <w:tcW w:w="1501" w:type="dxa"/>
            <w:noWrap w:val="0"/>
            <w:vAlign w:val="top"/>
          </w:tcPr>
          <w:p w14:paraId="08DB3D0B">
            <w:pPr>
              <w:pStyle w:val="15"/>
              <w:spacing w:line="400" w:lineRule="exact"/>
              <w:ind w:left="1080" w:leftChars="257" w:hanging="540"/>
              <w:rPr>
                <w:rFonts w:hint="eastAsia" w:ascii="宋体" w:hAnsi="宋体" w:eastAsia="宋体" w:cs="宋体"/>
                <w:color w:val="auto"/>
                <w:sz w:val="24"/>
                <w:szCs w:val="24"/>
                <w:highlight w:val="none"/>
              </w:rPr>
            </w:pPr>
          </w:p>
        </w:tc>
        <w:tc>
          <w:tcPr>
            <w:tcW w:w="1125" w:type="dxa"/>
            <w:noWrap w:val="0"/>
            <w:vAlign w:val="top"/>
          </w:tcPr>
          <w:p w14:paraId="7355E12B">
            <w:pPr>
              <w:pStyle w:val="15"/>
              <w:spacing w:line="400" w:lineRule="exact"/>
              <w:ind w:left="1080" w:leftChars="257" w:hanging="540"/>
              <w:rPr>
                <w:rFonts w:hint="eastAsia" w:ascii="宋体" w:hAnsi="宋体" w:eastAsia="宋体" w:cs="宋体"/>
                <w:color w:val="auto"/>
                <w:sz w:val="24"/>
                <w:szCs w:val="24"/>
                <w:highlight w:val="none"/>
              </w:rPr>
            </w:pPr>
          </w:p>
        </w:tc>
        <w:tc>
          <w:tcPr>
            <w:tcW w:w="1052" w:type="dxa"/>
            <w:noWrap w:val="0"/>
            <w:vAlign w:val="top"/>
          </w:tcPr>
          <w:p w14:paraId="7898825A">
            <w:pPr>
              <w:pStyle w:val="15"/>
              <w:spacing w:line="400" w:lineRule="exact"/>
              <w:ind w:left="1080" w:leftChars="257" w:hanging="540"/>
              <w:rPr>
                <w:rFonts w:hint="eastAsia" w:ascii="宋体" w:hAnsi="宋体" w:eastAsia="宋体" w:cs="宋体"/>
                <w:color w:val="auto"/>
                <w:sz w:val="24"/>
                <w:szCs w:val="24"/>
                <w:highlight w:val="none"/>
              </w:rPr>
            </w:pPr>
          </w:p>
        </w:tc>
      </w:tr>
      <w:tr w14:paraId="0258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0" w:type="dxa"/>
            <w:noWrap w:val="0"/>
            <w:vAlign w:val="top"/>
          </w:tcPr>
          <w:p w14:paraId="12566C3B">
            <w:pPr>
              <w:pStyle w:val="15"/>
              <w:spacing w:line="400" w:lineRule="exact"/>
              <w:ind w:left="1080" w:leftChars="257" w:hanging="540"/>
              <w:rPr>
                <w:rFonts w:hint="eastAsia" w:ascii="宋体" w:hAnsi="宋体" w:eastAsia="宋体" w:cs="宋体"/>
                <w:color w:val="auto"/>
                <w:sz w:val="24"/>
                <w:szCs w:val="24"/>
                <w:highlight w:val="none"/>
              </w:rPr>
            </w:pPr>
          </w:p>
        </w:tc>
        <w:tc>
          <w:tcPr>
            <w:tcW w:w="1950" w:type="dxa"/>
            <w:noWrap w:val="0"/>
            <w:vAlign w:val="top"/>
          </w:tcPr>
          <w:p w14:paraId="3940C2F8">
            <w:pPr>
              <w:pStyle w:val="15"/>
              <w:spacing w:line="400" w:lineRule="exact"/>
              <w:ind w:left="1080" w:leftChars="257" w:hanging="540"/>
              <w:rPr>
                <w:rFonts w:hint="eastAsia" w:ascii="宋体" w:hAnsi="宋体" w:eastAsia="宋体" w:cs="宋体"/>
                <w:color w:val="auto"/>
                <w:sz w:val="24"/>
                <w:szCs w:val="24"/>
                <w:highlight w:val="none"/>
              </w:rPr>
            </w:pPr>
          </w:p>
        </w:tc>
        <w:tc>
          <w:tcPr>
            <w:tcW w:w="1467" w:type="dxa"/>
            <w:noWrap w:val="0"/>
            <w:vAlign w:val="top"/>
          </w:tcPr>
          <w:p w14:paraId="356706E4">
            <w:pPr>
              <w:pStyle w:val="15"/>
              <w:spacing w:line="400" w:lineRule="exact"/>
              <w:ind w:left="1080" w:leftChars="257" w:hanging="540"/>
              <w:rPr>
                <w:rFonts w:hint="eastAsia" w:ascii="宋体" w:hAnsi="宋体" w:eastAsia="宋体" w:cs="宋体"/>
                <w:color w:val="auto"/>
                <w:sz w:val="24"/>
                <w:szCs w:val="24"/>
                <w:highlight w:val="none"/>
              </w:rPr>
            </w:pPr>
          </w:p>
        </w:tc>
        <w:tc>
          <w:tcPr>
            <w:tcW w:w="1501" w:type="dxa"/>
            <w:noWrap w:val="0"/>
            <w:vAlign w:val="top"/>
          </w:tcPr>
          <w:p w14:paraId="0E3A63DD">
            <w:pPr>
              <w:pStyle w:val="15"/>
              <w:spacing w:line="400" w:lineRule="exact"/>
              <w:ind w:left="1080" w:leftChars="257" w:hanging="540"/>
              <w:rPr>
                <w:rFonts w:hint="eastAsia" w:ascii="宋体" w:hAnsi="宋体" w:eastAsia="宋体" w:cs="宋体"/>
                <w:color w:val="auto"/>
                <w:sz w:val="24"/>
                <w:szCs w:val="24"/>
                <w:highlight w:val="none"/>
              </w:rPr>
            </w:pPr>
          </w:p>
        </w:tc>
        <w:tc>
          <w:tcPr>
            <w:tcW w:w="1125" w:type="dxa"/>
            <w:noWrap w:val="0"/>
            <w:vAlign w:val="top"/>
          </w:tcPr>
          <w:p w14:paraId="4305F4AF">
            <w:pPr>
              <w:pStyle w:val="15"/>
              <w:spacing w:line="400" w:lineRule="exact"/>
              <w:ind w:left="1080" w:leftChars="257" w:hanging="540"/>
              <w:rPr>
                <w:rFonts w:hint="eastAsia" w:ascii="宋体" w:hAnsi="宋体" w:eastAsia="宋体" w:cs="宋体"/>
                <w:color w:val="auto"/>
                <w:sz w:val="24"/>
                <w:szCs w:val="24"/>
                <w:highlight w:val="none"/>
              </w:rPr>
            </w:pPr>
          </w:p>
        </w:tc>
        <w:tc>
          <w:tcPr>
            <w:tcW w:w="1052" w:type="dxa"/>
            <w:noWrap w:val="0"/>
            <w:vAlign w:val="top"/>
          </w:tcPr>
          <w:p w14:paraId="161D0868">
            <w:pPr>
              <w:pStyle w:val="15"/>
              <w:spacing w:line="400" w:lineRule="exact"/>
              <w:ind w:left="1080" w:leftChars="257" w:hanging="540"/>
              <w:rPr>
                <w:rFonts w:hint="eastAsia" w:ascii="宋体" w:hAnsi="宋体" w:eastAsia="宋体" w:cs="宋体"/>
                <w:color w:val="auto"/>
                <w:sz w:val="24"/>
                <w:szCs w:val="24"/>
                <w:highlight w:val="none"/>
              </w:rPr>
            </w:pPr>
          </w:p>
        </w:tc>
      </w:tr>
      <w:tr w14:paraId="7AB6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0" w:type="dxa"/>
            <w:noWrap w:val="0"/>
            <w:vAlign w:val="top"/>
          </w:tcPr>
          <w:p w14:paraId="4FCB47FD">
            <w:pPr>
              <w:pStyle w:val="15"/>
              <w:spacing w:line="400" w:lineRule="exact"/>
              <w:ind w:left="1080" w:leftChars="257" w:hanging="540"/>
              <w:rPr>
                <w:rFonts w:hint="eastAsia" w:ascii="宋体" w:hAnsi="宋体" w:eastAsia="宋体" w:cs="宋体"/>
                <w:color w:val="auto"/>
                <w:sz w:val="24"/>
                <w:szCs w:val="24"/>
                <w:highlight w:val="none"/>
              </w:rPr>
            </w:pPr>
          </w:p>
        </w:tc>
        <w:tc>
          <w:tcPr>
            <w:tcW w:w="1950" w:type="dxa"/>
            <w:noWrap w:val="0"/>
            <w:vAlign w:val="top"/>
          </w:tcPr>
          <w:p w14:paraId="13AD8921">
            <w:pPr>
              <w:pStyle w:val="15"/>
              <w:spacing w:line="400" w:lineRule="exact"/>
              <w:ind w:left="1080" w:leftChars="257" w:hanging="540"/>
              <w:rPr>
                <w:rFonts w:hint="eastAsia" w:ascii="宋体" w:hAnsi="宋体" w:eastAsia="宋体" w:cs="宋体"/>
                <w:color w:val="auto"/>
                <w:sz w:val="24"/>
                <w:szCs w:val="24"/>
                <w:highlight w:val="none"/>
              </w:rPr>
            </w:pPr>
          </w:p>
        </w:tc>
        <w:tc>
          <w:tcPr>
            <w:tcW w:w="1467" w:type="dxa"/>
            <w:noWrap w:val="0"/>
            <w:vAlign w:val="top"/>
          </w:tcPr>
          <w:p w14:paraId="14DFBF51">
            <w:pPr>
              <w:pStyle w:val="15"/>
              <w:spacing w:line="400" w:lineRule="exact"/>
              <w:ind w:left="1080" w:leftChars="257" w:hanging="540"/>
              <w:rPr>
                <w:rFonts w:hint="eastAsia" w:ascii="宋体" w:hAnsi="宋体" w:eastAsia="宋体" w:cs="宋体"/>
                <w:color w:val="auto"/>
                <w:sz w:val="24"/>
                <w:szCs w:val="24"/>
                <w:highlight w:val="none"/>
              </w:rPr>
            </w:pPr>
          </w:p>
        </w:tc>
        <w:tc>
          <w:tcPr>
            <w:tcW w:w="1501" w:type="dxa"/>
            <w:noWrap w:val="0"/>
            <w:vAlign w:val="top"/>
          </w:tcPr>
          <w:p w14:paraId="753FE08D">
            <w:pPr>
              <w:pStyle w:val="15"/>
              <w:spacing w:line="400" w:lineRule="exact"/>
              <w:ind w:left="1080" w:leftChars="257" w:hanging="540"/>
              <w:rPr>
                <w:rFonts w:hint="eastAsia" w:ascii="宋体" w:hAnsi="宋体" w:eastAsia="宋体" w:cs="宋体"/>
                <w:color w:val="auto"/>
                <w:sz w:val="24"/>
                <w:szCs w:val="24"/>
                <w:highlight w:val="none"/>
              </w:rPr>
            </w:pPr>
          </w:p>
        </w:tc>
        <w:tc>
          <w:tcPr>
            <w:tcW w:w="1125" w:type="dxa"/>
            <w:noWrap w:val="0"/>
            <w:vAlign w:val="top"/>
          </w:tcPr>
          <w:p w14:paraId="1308D08E">
            <w:pPr>
              <w:pStyle w:val="15"/>
              <w:spacing w:line="400" w:lineRule="exact"/>
              <w:ind w:left="1080" w:leftChars="257" w:hanging="540"/>
              <w:rPr>
                <w:rFonts w:hint="eastAsia" w:ascii="宋体" w:hAnsi="宋体" w:eastAsia="宋体" w:cs="宋体"/>
                <w:color w:val="auto"/>
                <w:sz w:val="24"/>
                <w:szCs w:val="24"/>
                <w:highlight w:val="none"/>
              </w:rPr>
            </w:pPr>
          </w:p>
        </w:tc>
        <w:tc>
          <w:tcPr>
            <w:tcW w:w="1052" w:type="dxa"/>
            <w:noWrap w:val="0"/>
            <w:vAlign w:val="top"/>
          </w:tcPr>
          <w:p w14:paraId="008FD788">
            <w:pPr>
              <w:pStyle w:val="15"/>
              <w:spacing w:line="400" w:lineRule="exact"/>
              <w:ind w:left="1080" w:leftChars="257" w:hanging="540"/>
              <w:rPr>
                <w:rFonts w:hint="eastAsia" w:ascii="宋体" w:hAnsi="宋体" w:eastAsia="宋体" w:cs="宋体"/>
                <w:color w:val="auto"/>
                <w:sz w:val="24"/>
                <w:szCs w:val="24"/>
                <w:highlight w:val="none"/>
              </w:rPr>
            </w:pPr>
          </w:p>
        </w:tc>
      </w:tr>
      <w:tr w14:paraId="2EDF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0" w:type="dxa"/>
            <w:noWrap w:val="0"/>
            <w:vAlign w:val="top"/>
          </w:tcPr>
          <w:p w14:paraId="083B410F">
            <w:pPr>
              <w:pStyle w:val="15"/>
              <w:spacing w:line="400" w:lineRule="exact"/>
              <w:ind w:left="1080" w:leftChars="257" w:hanging="540"/>
              <w:rPr>
                <w:rFonts w:hint="eastAsia" w:ascii="宋体" w:hAnsi="宋体" w:eastAsia="宋体" w:cs="宋体"/>
                <w:color w:val="auto"/>
                <w:sz w:val="24"/>
                <w:szCs w:val="24"/>
                <w:highlight w:val="none"/>
              </w:rPr>
            </w:pPr>
          </w:p>
        </w:tc>
        <w:tc>
          <w:tcPr>
            <w:tcW w:w="1950" w:type="dxa"/>
            <w:noWrap w:val="0"/>
            <w:vAlign w:val="top"/>
          </w:tcPr>
          <w:p w14:paraId="563181A8">
            <w:pPr>
              <w:pStyle w:val="15"/>
              <w:spacing w:line="400" w:lineRule="exact"/>
              <w:ind w:left="1080" w:leftChars="257" w:hanging="540"/>
              <w:rPr>
                <w:rFonts w:hint="eastAsia" w:ascii="宋体" w:hAnsi="宋体" w:eastAsia="宋体" w:cs="宋体"/>
                <w:color w:val="auto"/>
                <w:sz w:val="24"/>
                <w:szCs w:val="24"/>
                <w:highlight w:val="none"/>
              </w:rPr>
            </w:pPr>
          </w:p>
        </w:tc>
        <w:tc>
          <w:tcPr>
            <w:tcW w:w="1467" w:type="dxa"/>
            <w:noWrap w:val="0"/>
            <w:vAlign w:val="top"/>
          </w:tcPr>
          <w:p w14:paraId="15521B3B">
            <w:pPr>
              <w:pStyle w:val="15"/>
              <w:spacing w:line="400" w:lineRule="exact"/>
              <w:ind w:left="1080" w:leftChars="257" w:hanging="540"/>
              <w:rPr>
                <w:rFonts w:hint="eastAsia" w:ascii="宋体" w:hAnsi="宋体" w:eastAsia="宋体" w:cs="宋体"/>
                <w:color w:val="auto"/>
                <w:sz w:val="24"/>
                <w:szCs w:val="24"/>
                <w:highlight w:val="none"/>
              </w:rPr>
            </w:pPr>
          </w:p>
        </w:tc>
        <w:tc>
          <w:tcPr>
            <w:tcW w:w="1501" w:type="dxa"/>
            <w:noWrap w:val="0"/>
            <w:vAlign w:val="top"/>
          </w:tcPr>
          <w:p w14:paraId="31F727AB">
            <w:pPr>
              <w:pStyle w:val="15"/>
              <w:spacing w:line="400" w:lineRule="exact"/>
              <w:ind w:left="1080" w:leftChars="257" w:hanging="540"/>
              <w:rPr>
                <w:rFonts w:hint="eastAsia" w:ascii="宋体" w:hAnsi="宋体" w:eastAsia="宋体" w:cs="宋体"/>
                <w:color w:val="auto"/>
                <w:sz w:val="24"/>
                <w:szCs w:val="24"/>
                <w:highlight w:val="none"/>
              </w:rPr>
            </w:pPr>
          </w:p>
        </w:tc>
        <w:tc>
          <w:tcPr>
            <w:tcW w:w="1125" w:type="dxa"/>
            <w:noWrap w:val="0"/>
            <w:vAlign w:val="top"/>
          </w:tcPr>
          <w:p w14:paraId="23592D11">
            <w:pPr>
              <w:pStyle w:val="15"/>
              <w:spacing w:line="400" w:lineRule="exact"/>
              <w:ind w:left="1080" w:leftChars="257" w:hanging="540"/>
              <w:rPr>
                <w:rFonts w:hint="eastAsia" w:ascii="宋体" w:hAnsi="宋体" w:eastAsia="宋体" w:cs="宋体"/>
                <w:color w:val="auto"/>
                <w:sz w:val="24"/>
                <w:szCs w:val="24"/>
                <w:highlight w:val="none"/>
              </w:rPr>
            </w:pPr>
          </w:p>
        </w:tc>
        <w:tc>
          <w:tcPr>
            <w:tcW w:w="1052" w:type="dxa"/>
            <w:noWrap w:val="0"/>
            <w:vAlign w:val="top"/>
          </w:tcPr>
          <w:p w14:paraId="4F6EE8BD">
            <w:pPr>
              <w:pStyle w:val="15"/>
              <w:spacing w:line="400" w:lineRule="exact"/>
              <w:ind w:left="1080" w:leftChars="257" w:hanging="540"/>
              <w:rPr>
                <w:rFonts w:hint="eastAsia" w:ascii="宋体" w:hAnsi="宋体" w:eastAsia="宋体" w:cs="宋体"/>
                <w:color w:val="auto"/>
                <w:sz w:val="24"/>
                <w:szCs w:val="24"/>
                <w:highlight w:val="none"/>
              </w:rPr>
            </w:pPr>
          </w:p>
        </w:tc>
      </w:tr>
      <w:tr w14:paraId="4A29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90" w:type="dxa"/>
            <w:noWrap w:val="0"/>
            <w:vAlign w:val="top"/>
          </w:tcPr>
          <w:p w14:paraId="2A74D43B">
            <w:pPr>
              <w:pStyle w:val="15"/>
              <w:spacing w:line="400" w:lineRule="exact"/>
              <w:ind w:left="1080" w:leftChars="257" w:hanging="540"/>
              <w:rPr>
                <w:rFonts w:hint="eastAsia" w:ascii="宋体" w:hAnsi="宋体" w:eastAsia="宋体" w:cs="宋体"/>
                <w:color w:val="auto"/>
                <w:sz w:val="24"/>
                <w:szCs w:val="24"/>
                <w:highlight w:val="none"/>
              </w:rPr>
            </w:pPr>
          </w:p>
        </w:tc>
        <w:tc>
          <w:tcPr>
            <w:tcW w:w="1950" w:type="dxa"/>
            <w:noWrap w:val="0"/>
            <w:vAlign w:val="top"/>
          </w:tcPr>
          <w:p w14:paraId="6C05FB1A">
            <w:pPr>
              <w:pStyle w:val="15"/>
              <w:spacing w:line="400" w:lineRule="exact"/>
              <w:ind w:left="1080" w:leftChars="257" w:hanging="540"/>
              <w:rPr>
                <w:rFonts w:hint="eastAsia" w:ascii="宋体" w:hAnsi="宋体" w:eastAsia="宋体" w:cs="宋体"/>
                <w:color w:val="auto"/>
                <w:sz w:val="24"/>
                <w:szCs w:val="24"/>
                <w:highlight w:val="none"/>
              </w:rPr>
            </w:pPr>
          </w:p>
        </w:tc>
        <w:tc>
          <w:tcPr>
            <w:tcW w:w="1467" w:type="dxa"/>
            <w:noWrap w:val="0"/>
            <w:vAlign w:val="top"/>
          </w:tcPr>
          <w:p w14:paraId="23AFBB62">
            <w:pPr>
              <w:pStyle w:val="15"/>
              <w:spacing w:line="400" w:lineRule="exact"/>
              <w:ind w:left="1080" w:leftChars="257" w:hanging="540"/>
              <w:rPr>
                <w:rFonts w:hint="eastAsia" w:ascii="宋体" w:hAnsi="宋体" w:eastAsia="宋体" w:cs="宋体"/>
                <w:color w:val="auto"/>
                <w:sz w:val="24"/>
                <w:szCs w:val="24"/>
                <w:highlight w:val="none"/>
              </w:rPr>
            </w:pPr>
          </w:p>
        </w:tc>
        <w:tc>
          <w:tcPr>
            <w:tcW w:w="1501" w:type="dxa"/>
            <w:noWrap w:val="0"/>
            <w:vAlign w:val="top"/>
          </w:tcPr>
          <w:p w14:paraId="4A97A6EC">
            <w:pPr>
              <w:pStyle w:val="15"/>
              <w:spacing w:line="400" w:lineRule="exact"/>
              <w:ind w:left="1080" w:leftChars="257" w:hanging="540"/>
              <w:rPr>
                <w:rFonts w:hint="eastAsia" w:ascii="宋体" w:hAnsi="宋体" w:eastAsia="宋体" w:cs="宋体"/>
                <w:color w:val="auto"/>
                <w:sz w:val="24"/>
                <w:szCs w:val="24"/>
                <w:highlight w:val="none"/>
              </w:rPr>
            </w:pPr>
          </w:p>
        </w:tc>
        <w:tc>
          <w:tcPr>
            <w:tcW w:w="1125" w:type="dxa"/>
            <w:noWrap w:val="0"/>
            <w:vAlign w:val="top"/>
          </w:tcPr>
          <w:p w14:paraId="0AF405FA">
            <w:pPr>
              <w:pStyle w:val="15"/>
              <w:spacing w:line="400" w:lineRule="exact"/>
              <w:ind w:left="1080" w:leftChars="257" w:hanging="540"/>
              <w:rPr>
                <w:rFonts w:hint="eastAsia" w:ascii="宋体" w:hAnsi="宋体" w:eastAsia="宋体" w:cs="宋体"/>
                <w:color w:val="auto"/>
                <w:sz w:val="24"/>
                <w:szCs w:val="24"/>
                <w:highlight w:val="none"/>
              </w:rPr>
            </w:pPr>
          </w:p>
        </w:tc>
        <w:tc>
          <w:tcPr>
            <w:tcW w:w="1052" w:type="dxa"/>
            <w:noWrap w:val="0"/>
            <w:vAlign w:val="top"/>
          </w:tcPr>
          <w:p w14:paraId="722AB01A">
            <w:pPr>
              <w:pStyle w:val="15"/>
              <w:spacing w:line="400" w:lineRule="exact"/>
              <w:ind w:left="1080" w:leftChars="257" w:hanging="540"/>
              <w:rPr>
                <w:rFonts w:hint="eastAsia" w:ascii="宋体" w:hAnsi="宋体" w:eastAsia="宋体" w:cs="宋体"/>
                <w:color w:val="auto"/>
                <w:sz w:val="24"/>
                <w:szCs w:val="24"/>
                <w:highlight w:val="none"/>
              </w:rPr>
            </w:pPr>
          </w:p>
        </w:tc>
      </w:tr>
      <w:tr w14:paraId="69E7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90" w:type="dxa"/>
            <w:noWrap w:val="0"/>
            <w:vAlign w:val="top"/>
          </w:tcPr>
          <w:p w14:paraId="0D208E15">
            <w:pPr>
              <w:pStyle w:val="15"/>
              <w:spacing w:line="400" w:lineRule="exact"/>
              <w:ind w:left="1080" w:leftChars="257" w:hanging="540"/>
              <w:rPr>
                <w:rFonts w:hint="eastAsia" w:ascii="宋体" w:hAnsi="宋体" w:eastAsia="宋体" w:cs="宋体"/>
                <w:color w:val="auto"/>
                <w:sz w:val="24"/>
                <w:szCs w:val="24"/>
                <w:highlight w:val="none"/>
              </w:rPr>
            </w:pPr>
          </w:p>
        </w:tc>
        <w:tc>
          <w:tcPr>
            <w:tcW w:w="1950" w:type="dxa"/>
            <w:noWrap w:val="0"/>
            <w:vAlign w:val="top"/>
          </w:tcPr>
          <w:p w14:paraId="2099F73D">
            <w:pPr>
              <w:pStyle w:val="15"/>
              <w:spacing w:line="400" w:lineRule="exact"/>
              <w:ind w:left="1080" w:leftChars="257" w:hanging="540"/>
              <w:rPr>
                <w:rFonts w:hint="eastAsia" w:ascii="宋体" w:hAnsi="宋体" w:eastAsia="宋体" w:cs="宋体"/>
                <w:color w:val="auto"/>
                <w:sz w:val="24"/>
                <w:szCs w:val="24"/>
                <w:highlight w:val="none"/>
              </w:rPr>
            </w:pPr>
          </w:p>
        </w:tc>
        <w:tc>
          <w:tcPr>
            <w:tcW w:w="1467" w:type="dxa"/>
            <w:noWrap w:val="0"/>
            <w:vAlign w:val="top"/>
          </w:tcPr>
          <w:p w14:paraId="6F3D3D9B">
            <w:pPr>
              <w:pStyle w:val="15"/>
              <w:spacing w:line="400" w:lineRule="exact"/>
              <w:ind w:left="1080" w:leftChars="257" w:hanging="540"/>
              <w:rPr>
                <w:rFonts w:hint="eastAsia" w:ascii="宋体" w:hAnsi="宋体" w:eastAsia="宋体" w:cs="宋体"/>
                <w:color w:val="auto"/>
                <w:sz w:val="24"/>
                <w:szCs w:val="24"/>
                <w:highlight w:val="none"/>
              </w:rPr>
            </w:pPr>
          </w:p>
        </w:tc>
        <w:tc>
          <w:tcPr>
            <w:tcW w:w="1501" w:type="dxa"/>
            <w:noWrap w:val="0"/>
            <w:vAlign w:val="top"/>
          </w:tcPr>
          <w:p w14:paraId="39583D5A">
            <w:pPr>
              <w:pStyle w:val="15"/>
              <w:spacing w:line="400" w:lineRule="exact"/>
              <w:ind w:left="1080" w:leftChars="257" w:hanging="540"/>
              <w:rPr>
                <w:rFonts w:hint="eastAsia" w:ascii="宋体" w:hAnsi="宋体" w:eastAsia="宋体" w:cs="宋体"/>
                <w:color w:val="auto"/>
                <w:sz w:val="24"/>
                <w:szCs w:val="24"/>
                <w:highlight w:val="none"/>
              </w:rPr>
            </w:pPr>
          </w:p>
        </w:tc>
        <w:tc>
          <w:tcPr>
            <w:tcW w:w="1125" w:type="dxa"/>
            <w:noWrap w:val="0"/>
            <w:vAlign w:val="top"/>
          </w:tcPr>
          <w:p w14:paraId="03454097">
            <w:pPr>
              <w:pStyle w:val="15"/>
              <w:spacing w:line="400" w:lineRule="exact"/>
              <w:ind w:left="1080" w:leftChars="257" w:hanging="540"/>
              <w:rPr>
                <w:rFonts w:hint="eastAsia" w:ascii="宋体" w:hAnsi="宋体" w:eastAsia="宋体" w:cs="宋体"/>
                <w:color w:val="auto"/>
                <w:sz w:val="24"/>
                <w:szCs w:val="24"/>
                <w:highlight w:val="none"/>
              </w:rPr>
            </w:pPr>
          </w:p>
        </w:tc>
        <w:tc>
          <w:tcPr>
            <w:tcW w:w="1052" w:type="dxa"/>
            <w:noWrap w:val="0"/>
            <w:vAlign w:val="top"/>
          </w:tcPr>
          <w:p w14:paraId="6261BBF8">
            <w:pPr>
              <w:pStyle w:val="15"/>
              <w:spacing w:line="400" w:lineRule="exact"/>
              <w:ind w:left="1080" w:leftChars="257" w:hanging="540"/>
              <w:rPr>
                <w:rFonts w:hint="eastAsia" w:ascii="宋体" w:hAnsi="宋体" w:eastAsia="宋体" w:cs="宋体"/>
                <w:color w:val="auto"/>
                <w:sz w:val="24"/>
                <w:szCs w:val="24"/>
                <w:highlight w:val="none"/>
              </w:rPr>
            </w:pPr>
          </w:p>
        </w:tc>
      </w:tr>
    </w:tbl>
    <w:p w14:paraId="578633B7">
      <w:pPr>
        <w:pStyle w:val="15"/>
        <w:spacing w:line="400" w:lineRule="exact"/>
        <w:ind w:left="1080" w:leftChars="257" w:hanging="540"/>
        <w:rPr>
          <w:rFonts w:hint="eastAsia" w:ascii="宋体" w:hAnsi="宋体" w:eastAsia="宋体" w:cs="宋体"/>
          <w:color w:val="auto"/>
          <w:sz w:val="24"/>
          <w:szCs w:val="24"/>
          <w:highlight w:val="none"/>
        </w:rPr>
      </w:pPr>
    </w:p>
    <w:p w14:paraId="6FF0828C">
      <w:pPr>
        <w:pStyle w:val="15"/>
        <w:spacing w:line="400" w:lineRule="exact"/>
        <w:ind w:left="1080" w:leftChars="257" w:hanging="540"/>
        <w:rPr>
          <w:rFonts w:hint="eastAsia" w:ascii="宋体" w:hAnsi="宋体" w:eastAsia="宋体" w:cs="宋体"/>
          <w:color w:val="auto"/>
          <w:sz w:val="24"/>
          <w:szCs w:val="24"/>
          <w:highlight w:val="none"/>
        </w:rPr>
      </w:pPr>
    </w:p>
    <w:bookmarkEnd w:id="594"/>
    <w:bookmarkEnd w:id="595"/>
    <w:bookmarkEnd w:id="596"/>
    <w:bookmarkEnd w:id="597"/>
    <w:p w14:paraId="701E9EF7">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u w:val="single"/>
          <w:lang w:val="en-US" w:eastAsia="zh-CN" w:bidi="ar-SA"/>
        </w:rPr>
      </w:pPr>
      <w:bookmarkStart w:id="607" w:name="_Toc23"/>
      <w:bookmarkStart w:id="608" w:name="_Toc31439"/>
      <w:bookmarkStart w:id="609" w:name="_Toc515647821"/>
      <w:bookmarkStart w:id="610" w:name="_Toc1980"/>
      <w:bookmarkStart w:id="611" w:name="_Toc216582818"/>
      <w:r>
        <w:rPr>
          <w:rFonts w:hint="eastAsia" w:ascii="宋体" w:hAnsi="宋体" w:eastAsia="宋体" w:cs="宋体"/>
          <w:color w:val="auto"/>
          <w:kern w:val="2"/>
          <w:sz w:val="24"/>
          <w:szCs w:val="24"/>
          <w:highlight w:val="none"/>
          <w:lang w:val="en-US" w:eastAsia="zh-CN" w:bidi="ar-SA"/>
        </w:rPr>
        <w:t>供应商名称（公章）：</w:t>
      </w:r>
      <w:r>
        <w:rPr>
          <w:rFonts w:hint="eastAsia" w:ascii="宋体" w:hAnsi="宋体" w:eastAsia="宋体" w:cs="宋体"/>
          <w:color w:val="auto"/>
          <w:kern w:val="2"/>
          <w:sz w:val="24"/>
          <w:szCs w:val="24"/>
          <w:highlight w:val="none"/>
          <w:u w:val="single"/>
          <w:lang w:val="en-US" w:eastAsia="zh-CN" w:bidi="ar-SA"/>
        </w:rPr>
        <w:t xml:space="preserve">                       </w:t>
      </w:r>
    </w:p>
    <w:p w14:paraId="7D8CA995">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法定代表人(签/章):</w:t>
      </w:r>
      <w:r>
        <w:rPr>
          <w:rFonts w:hint="eastAsia" w:ascii="宋体" w:hAnsi="宋体" w:eastAsia="宋体" w:cs="宋体"/>
          <w:color w:val="auto"/>
          <w:kern w:val="2"/>
          <w:sz w:val="24"/>
          <w:szCs w:val="24"/>
          <w:highlight w:val="none"/>
          <w:u w:val="single"/>
          <w:lang w:val="en-US" w:eastAsia="zh-CN" w:bidi="ar-SA"/>
        </w:rPr>
        <w:tab/>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610D4507">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22204719">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3DDABCE9">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0D666BCE">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241E95C9">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6BD53327">
      <w:pPr>
        <w:rPr>
          <w:rFonts w:hint="eastAsia" w:ascii="宋体" w:hAnsi="宋体" w:eastAsia="宋体" w:cs="宋体"/>
          <w:color w:val="auto"/>
          <w:sz w:val="24"/>
          <w:highlight w:val="none"/>
        </w:rPr>
      </w:pPr>
      <w:bookmarkStart w:id="612" w:name="_Toc22109"/>
      <w:bookmarkStart w:id="613" w:name="_Toc12914"/>
      <w:bookmarkStart w:id="614" w:name="_Toc14887"/>
      <w:r>
        <w:rPr>
          <w:rFonts w:hint="eastAsia" w:ascii="宋体" w:hAnsi="宋体" w:eastAsia="宋体" w:cs="宋体"/>
          <w:color w:val="auto"/>
          <w:sz w:val="24"/>
          <w:highlight w:val="none"/>
        </w:rPr>
        <w:br w:type="page"/>
      </w:r>
    </w:p>
    <w:p w14:paraId="305EEECC">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615" w:name="_Toc15792"/>
      <w:bookmarkStart w:id="616" w:name="_Toc28794"/>
      <w:bookmarkStart w:id="617" w:name="_Toc26804"/>
      <w:r>
        <w:rPr>
          <w:rFonts w:hint="eastAsia" w:ascii="宋体" w:hAnsi="宋体" w:eastAsia="宋体" w:cs="宋体"/>
          <w:b/>
          <w:bCs/>
          <w:color w:val="auto"/>
          <w:sz w:val="24"/>
          <w:szCs w:val="24"/>
          <w:highlight w:val="none"/>
        </w:rPr>
        <w:t>5、商务条款偏离表</w:t>
      </w:r>
      <w:bookmarkEnd w:id="607"/>
      <w:bookmarkEnd w:id="608"/>
      <w:bookmarkEnd w:id="609"/>
      <w:bookmarkEnd w:id="610"/>
      <w:bookmarkEnd w:id="611"/>
      <w:bookmarkEnd w:id="612"/>
      <w:bookmarkEnd w:id="613"/>
      <w:bookmarkEnd w:id="614"/>
      <w:bookmarkEnd w:id="615"/>
      <w:bookmarkEnd w:id="616"/>
      <w:bookmarkEnd w:id="617"/>
    </w:p>
    <w:p w14:paraId="12C35C4F">
      <w:pPr>
        <w:pStyle w:val="15"/>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tbl>
      <w:tblPr>
        <w:tblStyle w:val="30"/>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846"/>
        <w:gridCol w:w="2312"/>
        <w:gridCol w:w="1946"/>
        <w:gridCol w:w="1051"/>
        <w:gridCol w:w="795"/>
      </w:tblGrid>
      <w:tr w14:paraId="7081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2" w:type="pct"/>
            <w:noWrap w:val="0"/>
            <w:vAlign w:val="center"/>
          </w:tcPr>
          <w:p w14:paraId="484BEE96">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58" w:type="pct"/>
            <w:noWrap w:val="0"/>
            <w:vAlign w:val="center"/>
          </w:tcPr>
          <w:p w14:paraId="4DDA2892">
            <w:pPr>
              <w:pStyle w:val="15"/>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磋商文件</w:t>
            </w:r>
          </w:p>
          <w:p w14:paraId="42EAAF67">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325" w:type="pct"/>
            <w:noWrap w:val="0"/>
            <w:vAlign w:val="center"/>
          </w:tcPr>
          <w:p w14:paraId="0915C6C9">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的商务</w:t>
            </w:r>
          </w:p>
          <w:p w14:paraId="0C082267">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w:t>
            </w:r>
          </w:p>
        </w:tc>
        <w:tc>
          <w:tcPr>
            <w:tcW w:w="1115" w:type="pct"/>
            <w:noWrap w:val="0"/>
            <w:vAlign w:val="center"/>
          </w:tcPr>
          <w:p w14:paraId="625355C1">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的商务条款</w:t>
            </w:r>
          </w:p>
        </w:tc>
        <w:tc>
          <w:tcPr>
            <w:tcW w:w="602" w:type="pct"/>
            <w:noWrap w:val="0"/>
            <w:vAlign w:val="center"/>
          </w:tcPr>
          <w:p w14:paraId="28C9F2F2">
            <w:pPr>
              <w:pStyle w:val="15"/>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是否</w:t>
            </w:r>
          </w:p>
          <w:p w14:paraId="7A9F0C80">
            <w:pPr>
              <w:pStyle w:val="15"/>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455" w:type="pct"/>
            <w:noWrap w:val="0"/>
            <w:vAlign w:val="center"/>
          </w:tcPr>
          <w:p w14:paraId="2B14ED13">
            <w:pPr>
              <w:pStyle w:val="15"/>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078F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283E9763">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4C18AFE3">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23E0CE9A">
            <w:pPr>
              <w:pStyle w:val="15"/>
              <w:spacing w:line="400" w:lineRule="exact"/>
              <w:ind w:left="1080" w:leftChars="257" w:hanging="540"/>
              <w:jc w:val="center"/>
              <w:rPr>
                <w:rFonts w:hint="eastAsia" w:ascii="宋体" w:hAnsi="宋体" w:eastAsia="宋体" w:cs="宋体"/>
                <w:color w:val="auto"/>
                <w:sz w:val="24"/>
                <w:szCs w:val="24"/>
                <w:highlight w:val="none"/>
              </w:rPr>
            </w:pPr>
          </w:p>
        </w:tc>
        <w:tc>
          <w:tcPr>
            <w:tcW w:w="1115" w:type="pct"/>
            <w:noWrap w:val="0"/>
            <w:vAlign w:val="top"/>
          </w:tcPr>
          <w:p w14:paraId="0EBADB7D">
            <w:pPr>
              <w:pStyle w:val="15"/>
              <w:spacing w:line="400" w:lineRule="exact"/>
              <w:ind w:left="1080" w:leftChars="257" w:hanging="540"/>
              <w:jc w:val="center"/>
              <w:rPr>
                <w:rFonts w:hint="eastAsia" w:ascii="宋体" w:hAnsi="宋体" w:eastAsia="宋体" w:cs="宋体"/>
                <w:color w:val="auto"/>
                <w:sz w:val="24"/>
                <w:szCs w:val="24"/>
                <w:highlight w:val="none"/>
              </w:rPr>
            </w:pPr>
          </w:p>
        </w:tc>
        <w:tc>
          <w:tcPr>
            <w:tcW w:w="602" w:type="pct"/>
            <w:noWrap w:val="0"/>
            <w:vAlign w:val="top"/>
          </w:tcPr>
          <w:p w14:paraId="4CD108B1">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0897B8B3">
            <w:pPr>
              <w:pStyle w:val="15"/>
              <w:spacing w:line="400" w:lineRule="exact"/>
              <w:ind w:left="1080" w:leftChars="257" w:hanging="540"/>
              <w:rPr>
                <w:rFonts w:hint="eastAsia" w:ascii="宋体" w:hAnsi="宋体" w:eastAsia="宋体" w:cs="宋体"/>
                <w:color w:val="auto"/>
                <w:sz w:val="24"/>
                <w:szCs w:val="24"/>
                <w:highlight w:val="none"/>
              </w:rPr>
            </w:pPr>
          </w:p>
        </w:tc>
      </w:tr>
      <w:tr w14:paraId="35A3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0F334400">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59286E1F">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7B4F342F">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4C915372">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467FE4AC">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1BAAB1DA">
            <w:pPr>
              <w:pStyle w:val="15"/>
              <w:spacing w:line="400" w:lineRule="exact"/>
              <w:ind w:left="1080" w:leftChars="257" w:hanging="540"/>
              <w:rPr>
                <w:rFonts w:hint="eastAsia" w:ascii="宋体" w:hAnsi="宋体" w:eastAsia="宋体" w:cs="宋体"/>
                <w:color w:val="auto"/>
                <w:sz w:val="24"/>
                <w:szCs w:val="24"/>
                <w:highlight w:val="none"/>
              </w:rPr>
            </w:pPr>
          </w:p>
        </w:tc>
      </w:tr>
      <w:tr w14:paraId="6814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68E45BAF">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049BB7B1">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71FA8559">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796F795D">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76E0EE73">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7317CAA1">
            <w:pPr>
              <w:pStyle w:val="15"/>
              <w:spacing w:line="400" w:lineRule="exact"/>
              <w:ind w:left="1080" w:leftChars="257" w:hanging="540"/>
              <w:rPr>
                <w:rFonts w:hint="eastAsia" w:ascii="宋体" w:hAnsi="宋体" w:eastAsia="宋体" w:cs="宋体"/>
                <w:color w:val="auto"/>
                <w:sz w:val="24"/>
                <w:szCs w:val="24"/>
                <w:highlight w:val="none"/>
              </w:rPr>
            </w:pPr>
          </w:p>
        </w:tc>
      </w:tr>
      <w:tr w14:paraId="5C1E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69FB88A9">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6640CA9A">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75B87C27">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42AE63EE">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3779084B">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58976302">
            <w:pPr>
              <w:pStyle w:val="15"/>
              <w:spacing w:line="400" w:lineRule="exact"/>
              <w:ind w:left="1080" w:leftChars="257" w:hanging="540"/>
              <w:rPr>
                <w:rFonts w:hint="eastAsia" w:ascii="宋体" w:hAnsi="宋体" w:eastAsia="宋体" w:cs="宋体"/>
                <w:color w:val="auto"/>
                <w:sz w:val="24"/>
                <w:szCs w:val="24"/>
                <w:highlight w:val="none"/>
              </w:rPr>
            </w:pPr>
          </w:p>
        </w:tc>
      </w:tr>
      <w:tr w14:paraId="623B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193F2EB4">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0784BDB2">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7AA9BF57">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481D222D">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0D79E7A0">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530F6F32">
            <w:pPr>
              <w:pStyle w:val="15"/>
              <w:spacing w:line="400" w:lineRule="exact"/>
              <w:ind w:left="1080" w:leftChars="257" w:hanging="540"/>
              <w:rPr>
                <w:rFonts w:hint="eastAsia" w:ascii="宋体" w:hAnsi="宋体" w:eastAsia="宋体" w:cs="宋体"/>
                <w:color w:val="auto"/>
                <w:sz w:val="24"/>
                <w:szCs w:val="24"/>
                <w:highlight w:val="none"/>
              </w:rPr>
            </w:pPr>
          </w:p>
        </w:tc>
      </w:tr>
      <w:tr w14:paraId="1BBF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6F438A9B">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04397D9E">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75D914EC">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5BDAA842">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01FA6EAB">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25F31245">
            <w:pPr>
              <w:pStyle w:val="15"/>
              <w:spacing w:line="400" w:lineRule="exact"/>
              <w:ind w:left="1080" w:leftChars="257" w:hanging="540"/>
              <w:rPr>
                <w:rFonts w:hint="eastAsia" w:ascii="宋体" w:hAnsi="宋体" w:eastAsia="宋体" w:cs="宋体"/>
                <w:color w:val="auto"/>
                <w:sz w:val="24"/>
                <w:szCs w:val="24"/>
                <w:highlight w:val="none"/>
              </w:rPr>
            </w:pPr>
          </w:p>
        </w:tc>
      </w:tr>
      <w:tr w14:paraId="0E87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65D90F67">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3B979D00">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689B9612">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57D34509">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621FFF9E">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77250DC1">
            <w:pPr>
              <w:pStyle w:val="15"/>
              <w:spacing w:line="400" w:lineRule="exact"/>
              <w:ind w:left="1080" w:leftChars="257" w:hanging="540"/>
              <w:rPr>
                <w:rFonts w:hint="eastAsia" w:ascii="宋体" w:hAnsi="宋体" w:eastAsia="宋体" w:cs="宋体"/>
                <w:color w:val="auto"/>
                <w:sz w:val="24"/>
                <w:szCs w:val="24"/>
                <w:highlight w:val="none"/>
              </w:rPr>
            </w:pPr>
          </w:p>
        </w:tc>
      </w:tr>
      <w:tr w14:paraId="561B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5C5BD4E7">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027ED65E">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519BB0A0">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7F9AF990">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10B885C5">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7CABE08F">
            <w:pPr>
              <w:pStyle w:val="15"/>
              <w:spacing w:line="400" w:lineRule="exact"/>
              <w:ind w:left="1080" w:leftChars="257" w:hanging="540"/>
              <w:rPr>
                <w:rFonts w:hint="eastAsia" w:ascii="宋体" w:hAnsi="宋体" w:eastAsia="宋体" w:cs="宋体"/>
                <w:color w:val="auto"/>
                <w:sz w:val="24"/>
                <w:szCs w:val="24"/>
                <w:highlight w:val="none"/>
              </w:rPr>
            </w:pPr>
          </w:p>
        </w:tc>
      </w:tr>
      <w:tr w14:paraId="34B2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6C1BBC88">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0D1A229B">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21766369">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31123042">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023A822F">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329BBF4C">
            <w:pPr>
              <w:pStyle w:val="15"/>
              <w:spacing w:line="400" w:lineRule="exact"/>
              <w:ind w:left="1080" w:leftChars="257" w:hanging="540"/>
              <w:rPr>
                <w:rFonts w:hint="eastAsia" w:ascii="宋体" w:hAnsi="宋体" w:eastAsia="宋体" w:cs="宋体"/>
                <w:color w:val="auto"/>
                <w:sz w:val="24"/>
                <w:szCs w:val="24"/>
                <w:highlight w:val="none"/>
              </w:rPr>
            </w:pPr>
          </w:p>
        </w:tc>
      </w:tr>
      <w:tr w14:paraId="4DAA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7DB3728F">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072EBD16">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2AFAB7E1">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0475DF2A">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24440B14">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36C858BE">
            <w:pPr>
              <w:pStyle w:val="15"/>
              <w:spacing w:line="400" w:lineRule="exact"/>
              <w:ind w:left="1080" w:leftChars="257" w:hanging="540"/>
              <w:rPr>
                <w:rFonts w:hint="eastAsia" w:ascii="宋体" w:hAnsi="宋体" w:eastAsia="宋体" w:cs="宋体"/>
                <w:color w:val="auto"/>
                <w:sz w:val="24"/>
                <w:szCs w:val="24"/>
                <w:highlight w:val="none"/>
              </w:rPr>
            </w:pPr>
          </w:p>
        </w:tc>
      </w:tr>
      <w:tr w14:paraId="2487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05135001">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0D7DF63E">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3961703E">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25AF89F4">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4E1D92A3">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08D20623">
            <w:pPr>
              <w:pStyle w:val="15"/>
              <w:spacing w:line="400" w:lineRule="exact"/>
              <w:ind w:left="1080" w:leftChars="257" w:hanging="540"/>
              <w:rPr>
                <w:rFonts w:hint="eastAsia" w:ascii="宋体" w:hAnsi="宋体" w:eastAsia="宋体" w:cs="宋体"/>
                <w:color w:val="auto"/>
                <w:sz w:val="24"/>
                <w:szCs w:val="24"/>
                <w:highlight w:val="none"/>
              </w:rPr>
            </w:pPr>
          </w:p>
        </w:tc>
      </w:tr>
      <w:tr w14:paraId="241F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61FBBB61">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394559E4">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4CFD3D3E">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6CC3668A">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620F6917">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4DD84789">
            <w:pPr>
              <w:pStyle w:val="15"/>
              <w:spacing w:line="400" w:lineRule="exact"/>
              <w:ind w:left="1080" w:leftChars="257" w:hanging="540"/>
              <w:rPr>
                <w:rFonts w:hint="eastAsia" w:ascii="宋体" w:hAnsi="宋体" w:eastAsia="宋体" w:cs="宋体"/>
                <w:color w:val="auto"/>
                <w:sz w:val="24"/>
                <w:szCs w:val="24"/>
                <w:highlight w:val="none"/>
              </w:rPr>
            </w:pPr>
          </w:p>
        </w:tc>
      </w:tr>
      <w:tr w14:paraId="7A03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2" w:type="pct"/>
            <w:noWrap w:val="0"/>
            <w:vAlign w:val="top"/>
          </w:tcPr>
          <w:p w14:paraId="46456519">
            <w:pPr>
              <w:pStyle w:val="15"/>
              <w:spacing w:line="400" w:lineRule="exact"/>
              <w:ind w:left="1080" w:leftChars="257" w:hanging="540"/>
              <w:rPr>
                <w:rFonts w:hint="eastAsia" w:ascii="宋体" w:hAnsi="宋体" w:eastAsia="宋体" w:cs="宋体"/>
                <w:color w:val="auto"/>
                <w:sz w:val="24"/>
                <w:szCs w:val="24"/>
                <w:highlight w:val="none"/>
              </w:rPr>
            </w:pPr>
          </w:p>
        </w:tc>
        <w:tc>
          <w:tcPr>
            <w:tcW w:w="1058" w:type="pct"/>
            <w:noWrap w:val="0"/>
            <w:vAlign w:val="top"/>
          </w:tcPr>
          <w:p w14:paraId="1F2622F7">
            <w:pPr>
              <w:pStyle w:val="15"/>
              <w:spacing w:line="400" w:lineRule="exact"/>
              <w:ind w:left="1080" w:leftChars="257" w:hanging="540"/>
              <w:rPr>
                <w:rFonts w:hint="eastAsia" w:ascii="宋体" w:hAnsi="宋体" w:eastAsia="宋体" w:cs="宋体"/>
                <w:color w:val="auto"/>
                <w:sz w:val="24"/>
                <w:szCs w:val="24"/>
                <w:highlight w:val="none"/>
              </w:rPr>
            </w:pPr>
          </w:p>
        </w:tc>
        <w:tc>
          <w:tcPr>
            <w:tcW w:w="1325" w:type="pct"/>
            <w:noWrap w:val="0"/>
            <w:vAlign w:val="top"/>
          </w:tcPr>
          <w:p w14:paraId="2561A271">
            <w:pPr>
              <w:pStyle w:val="15"/>
              <w:spacing w:line="400" w:lineRule="exact"/>
              <w:ind w:left="1080" w:leftChars="257" w:hanging="540"/>
              <w:rPr>
                <w:rFonts w:hint="eastAsia" w:ascii="宋体" w:hAnsi="宋体" w:eastAsia="宋体" w:cs="宋体"/>
                <w:color w:val="auto"/>
                <w:sz w:val="24"/>
                <w:szCs w:val="24"/>
                <w:highlight w:val="none"/>
              </w:rPr>
            </w:pPr>
          </w:p>
        </w:tc>
        <w:tc>
          <w:tcPr>
            <w:tcW w:w="1115" w:type="pct"/>
            <w:noWrap w:val="0"/>
            <w:vAlign w:val="top"/>
          </w:tcPr>
          <w:p w14:paraId="5FF58D7A">
            <w:pPr>
              <w:pStyle w:val="15"/>
              <w:spacing w:line="400" w:lineRule="exact"/>
              <w:ind w:left="1080" w:leftChars="257" w:hanging="540"/>
              <w:rPr>
                <w:rFonts w:hint="eastAsia" w:ascii="宋体" w:hAnsi="宋体" w:eastAsia="宋体" w:cs="宋体"/>
                <w:color w:val="auto"/>
                <w:sz w:val="24"/>
                <w:szCs w:val="24"/>
                <w:highlight w:val="none"/>
              </w:rPr>
            </w:pPr>
          </w:p>
        </w:tc>
        <w:tc>
          <w:tcPr>
            <w:tcW w:w="602" w:type="pct"/>
            <w:noWrap w:val="0"/>
            <w:vAlign w:val="top"/>
          </w:tcPr>
          <w:p w14:paraId="3138AD78">
            <w:pPr>
              <w:pStyle w:val="15"/>
              <w:spacing w:line="400" w:lineRule="exact"/>
              <w:ind w:left="1080" w:leftChars="257" w:hanging="540"/>
              <w:rPr>
                <w:rFonts w:hint="eastAsia" w:ascii="宋体" w:hAnsi="宋体" w:eastAsia="宋体" w:cs="宋体"/>
                <w:color w:val="auto"/>
                <w:sz w:val="24"/>
                <w:szCs w:val="24"/>
                <w:highlight w:val="none"/>
              </w:rPr>
            </w:pPr>
          </w:p>
        </w:tc>
        <w:tc>
          <w:tcPr>
            <w:tcW w:w="455" w:type="pct"/>
            <w:noWrap w:val="0"/>
            <w:vAlign w:val="top"/>
          </w:tcPr>
          <w:p w14:paraId="7A7AC561">
            <w:pPr>
              <w:pStyle w:val="15"/>
              <w:spacing w:line="400" w:lineRule="exact"/>
              <w:ind w:left="1080" w:leftChars="257" w:hanging="540"/>
              <w:rPr>
                <w:rFonts w:hint="eastAsia" w:ascii="宋体" w:hAnsi="宋体" w:eastAsia="宋体" w:cs="宋体"/>
                <w:color w:val="auto"/>
                <w:sz w:val="24"/>
                <w:szCs w:val="24"/>
                <w:highlight w:val="none"/>
              </w:rPr>
            </w:pPr>
          </w:p>
        </w:tc>
      </w:tr>
    </w:tbl>
    <w:p w14:paraId="059F0769">
      <w:pPr>
        <w:pStyle w:val="15"/>
        <w:spacing w:line="400" w:lineRule="exact"/>
        <w:ind w:left="1080" w:leftChars="257" w:hanging="540"/>
        <w:rPr>
          <w:rFonts w:hint="eastAsia" w:ascii="宋体" w:hAnsi="宋体" w:eastAsia="宋体" w:cs="宋体"/>
          <w:color w:val="auto"/>
          <w:sz w:val="24"/>
          <w:szCs w:val="24"/>
          <w:highlight w:val="none"/>
        </w:rPr>
      </w:pPr>
    </w:p>
    <w:p w14:paraId="380098EE">
      <w:pPr>
        <w:pStyle w:val="15"/>
        <w:spacing w:line="400" w:lineRule="exact"/>
        <w:ind w:left="1080" w:leftChars="257" w:hanging="540"/>
        <w:rPr>
          <w:rFonts w:hint="eastAsia" w:ascii="宋体" w:hAnsi="宋体" w:eastAsia="宋体" w:cs="宋体"/>
          <w:color w:val="auto"/>
          <w:sz w:val="24"/>
          <w:szCs w:val="24"/>
          <w:highlight w:val="none"/>
        </w:rPr>
      </w:pPr>
    </w:p>
    <w:p w14:paraId="39C59541">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供应商名称（公章）：</w:t>
      </w:r>
      <w:r>
        <w:rPr>
          <w:rFonts w:hint="eastAsia" w:ascii="宋体" w:hAnsi="宋体" w:eastAsia="宋体" w:cs="宋体"/>
          <w:color w:val="auto"/>
          <w:kern w:val="2"/>
          <w:sz w:val="24"/>
          <w:szCs w:val="24"/>
          <w:highlight w:val="none"/>
          <w:u w:val="single"/>
          <w:lang w:val="en-US" w:eastAsia="zh-CN" w:bidi="ar-SA"/>
        </w:rPr>
        <w:t xml:space="preserve">                       </w:t>
      </w:r>
    </w:p>
    <w:p w14:paraId="51C02CC8">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法定代表人(签/章):</w:t>
      </w:r>
      <w:r>
        <w:rPr>
          <w:rFonts w:hint="eastAsia" w:ascii="宋体" w:hAnsi="宋体" w:eastAsia="宋体" w:cs="宋体"/>
          <w:color w:val="auto"/>
          <w:kern w:val="2"/>
          <w:sz w:val="24"/>
          <w:szCs w:val="24"/>
          <w:highlight w:val="none"/>
          <w:u w:val="single"/>
          <w:lang w:val="en-US" w:eastAsia="zh-CN" w:bidi="ar-SA"/>
        </w:rPr>
        <w:tab/>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7C60E4DD">
      <w:pPr>
        <w:keepNext w:val="0"/>
        <w:keepLines w:val="0"/>
        <w:pageBreakBefore w:val="0"/>
        <w:widowControl w:val="0"/>
        <w:kinsoku/>
        <w:wordWrap/>
        <w:overflowPunct/>
        <w:topLinePunct w:val="0"/>
        <w:autoSpaceDE w:val="0"/>
        <w:autoSpaceDN w:val="0"/>
        <w:bidi w:val="0"/>
        <w:adjustRightInd w:val="0"/>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p>
    <w:p w14:paraId="7D5D48C8">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702ED8EA">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5BC31A85">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71D6ADA8">
      <w:pPr>
        <w:pStyle w:val="15"/>
        <w:tabs>
          <w:tab w:val="left" w:pos="5370"/>
        </w:tabs>
        <w:spacing w:line="400" w:lineRule="exact"/>
        <w:ind w:left="1080" w:leftChars="257" w:hanging="540"/>
        <w:rPr>
          <w:rFonts w:hint="eastAsia" w:ascii="宋体" w:hAnsi="宋体" w:eastAsia="宋体" w:cs="宋体"/>
          <w:color w:val="auto"/>
          <w:sz w:val="24"/>
          <w:szCs w:val="24"/>
          <w:highlight w:val="none"/>
          <w:u w:val="single"/>
        </w:rPr>
      </w:pPr>
    </w:p>
    <w:p w14:paraId="3C536B59">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p>
    <w:p w14:paraId="437D6DDE">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p>
    <w:p w14:paraId="7AEE1BA7">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p>
    <w:p w14:paraId="1D709365">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p>
    <w:p w14:paraId="5B2C9C95">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p>
    <w:p w14:paraId="6B589558">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618" w:name="_Toc290908743"/>
      <w:bookmarkStart w:id="619" w:name="_Toc493590711"/>
      <w:bookmarkStart w:id="620" w:name="_Toc21836"/>
      <w:bookmarkStart w:id="621" w:name="_Toc13864"/>
      <w:bookmarkStart w:id="622" w:name="_Toc27105"/>
      <w:bookmarkStart w:id="623" w:name="_Toc238"/>
      <w:bookmarkStart w:id="624" w:name="_Toc21507"/>
      <w:bookmarkStart w:id="625" w:name="_Toc26790"/>
      <w:bookmarkStart w:id="626" w:name="_Toc290969062"/>
      <w:bookmarkStart w:id="627" w:name="_Toc22409"/>
      <w:bookmarkStart w:id="628" w:name="_Toc515647823"/>
      <w:bookmarkStart w:id="629" w:name="_Toc17820"/>
      <w:bookmarkStart w:id="630" w:name="_Toc21312"/>
      <w:bookmarkStart w:id="631" w:name="_Toc27043"/>
      <w:bookmarkStart w:id="632" w:name="_Toc31694"/>
      <w:bookmarkStart w:id="633" w:name="_Toc25797"/>
      <w:bookmarkStart w:id="634" w:name="_Toc10725"/>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、投入本项目人员配置表</w:t>
      </w:r>
      <w:bookmarkEnd w:id="618"/>
      <w:bookmarkEnd w:id="619"/>
      <w:bookmarkEnd w:id="620"/>
      <w:bookmarkEnd w:id="621"/>
      <w:bookmarkEnd w:id="622"/>
      <w:bookmarkEnd w:id="623"/>
      <w:bookmarkEnd w:id="624"/>
      <w:bookmarkEnd w:id="625"/>
      <w:bookmarkEnd w:id="626"/>
      <w:bookmarkEnd w:id="627"/>
    </w:p>
    <w:p w14:paraId="69034283">
      <w:pPr>
        <w:pStyle w:val="2"/>
        <w:numPr>
          <w:ilvl w:val="0"/>
          <w:numId w:val="0"/>
        </w:numPr>
        <w:tabs>
          <w:tab w:val="left" w:pos="5852"/>
        </w:tabs>
        <w:spacing w:line="360" w:lineRule="auto"/>
        <w:rPr>
          <w:rFonts w:hint="eastAsia" w:ascii="宋体" w:hAnsi="宋体" w:eastAsia="宋体" w:cs="宋体"/>
          <w:color w:val="000000"/>
          <w:highlight w:val="none"/>
        </w:rPr>
      </w:pPr>
      <w:bookmarkStart w:id="635" w:name="_Toc6760"/>
      <w:bookmarkStart w:id="636" w:name="_Toc6959"/>
      <w:bookmarkStart w:id="637" w:name="_Toc290908745"/>
      <w:bookmarkStart w:id="638" w:name="_Toc12982"/>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项目负责人简历表</w:t>
      </w:r>
      <w:bookmarkEnd w:id="635"/>
      <w:bookmarkEnd w:id="636"/>
      <w:bookmarkEnd w:id="637"/>
      <w:bookmarkEnd w:id="638"/>
    </w:p>
    <w:p w14:paraId="4C7346C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tbl>
      <w:tblPr>
        <w:tblStyle w:val="30"/>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510"/>
        <w:gridCol w:w="840"/>
        <w:gridCol w:w="1102"/>
        <w:gridCol w:w="1125"/>
        <w:gridCol w:w="839"/>
        <w:gridCol w:w="241"/>
        <w:gridCol w:w="420"/>
        <w:gridCol w:w="1380"/>
        <w:gridCol w:w="15"/>
      </w:tblGrid>
      <w:tr w14:paraId="05DA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0" w:hRule="atLeast"/>
        </w:trPr>
        <w:tc>
          <w:tcPr>
            <w:tcW w:w="735" w:type="dxa"/>
            <w:noWrap w:val="0"/>
            <w:vAlign w:val="center"/>
          </w:tcPr>
          <w:p w14:paraId="6B85C1C9">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2610" w:type="dxa"/>
            <w:gridSpan w:val="3"/>
            <w:noWrap w:val="0"/>
            <w:vAlign w:val="center"/>
          </w:tcPr>
          <w:p w14:paraId="66ADE771">
            <w:pPr>
              <w:spacing w:line="360" w:lineRule="auto"/>
              <w:jc w:val="center"/>
              <w:rPr>
                <w:rFonts w:hint="eastAsia" w:ascii="宋体" w:hAnsi="宋体" w:eastAsia="宋体" w:cs="宋体"/>
                <w:color w:val="000000"/>
                <w:sz w:val="24"/>
                <w:highlight w:val="none"/>
              </w:rPr>
            </w:pPr>
          </w:p>
        </w:tc>
        <w:tc>
          <w:tcPr>
            <w:tcW w:w="840" w:type="dxa"/>
            <w:noWrap w:val="0"/>
            <w:vAlign w:val="center"/>
          </w:tcPr>
          <w:p w14:paraId="1D000FDA">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性别</w:t>
            </w:r>
          </w:p>
        </w:tc>
        <w:tc>
          <w:tcPr>
            <w:tcW w:w="2227" w:type="dxa"/>
            <w:gridSpan w:val="2"/>
            <w:noWrap w:val="0"/>
            <w:vAlign w:val="center"/>
          </w:tcPr>
          <w:p w14:paraId="5F653E91">
            <w:pPr>
              <w:spacing w:line="360" w:lineRule="auto"/>
              <w:jc w:val="center"/>
              <w:rPr>
                <w:rFonts w:hint="eastAsia" w:ascii="宋体" w:hAnsi="宋体" w:eastAsia="宋体" w:cs="宋体"/>
                <w:color w:val="000000"/>
                <w:sz w:val="24"/>
                <w:highlight w:val="none"/>
              </w:rPr>
            </w:pPr>
          </w:p>
        </w:tc>
        <w:tc>
          <w:tcPr>
            <w:tcW w:w="1080" w:type="dxa"/>
            <w:gridSpan w:val="2"/>
            <w:noWrap w:val="0"/>
            <w:vAlign w:val="center"/>
          </w:tcPr>
          <w:p w14:paraId="09904FE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年龄</w:t>
            </w:r>
          </w:p>
        </w:tc>
        <w:tc>
          <w:tcPr>
            <w:tcW w:w="1800" w:type="dxa"/>
            <w:gridSpan w:val="2"/>
            <w:noWrap w:val="0"/>
            <w:vAlign w:val="center"/>
          </w:tcPr>
          <w:p w14:paraId="0621402E">
            <w:pPr>
              <w:spacing w:line="360" w:lineRule="auto"/>
              <w:jc w:val="center"/>
              <w:rPr>
                <w:rFonts w:hint="eastAsia" w:ascii="宋体" w:hAnsi="宋体" w:eastAsia="宋体" w:cs="宋体"/>
                <w:color w:val="000000"/>
                <w:sz w:val="24"/>
                <w:highlight w:val="none"/>
              </w:rPr>
            </w:pPr>
          </w:p>
        </w:tc>
      </w:tr>
      <w:tr w14:paraId="18F7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23" w:hRule="atLeast"/>
        </w:trPr>
        <w:tc>
          <w:tcPr>
            <w:tcW w:w="735" w:type="dxa"/>
            <w:noWrap w:val="0"/>
            <w:vAlign w:val="center"/>
          </w:tcPr>
          <w:p w14:paraId="1FF288CE">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职务</w:t>
            </w:r>
          </w:p>
        </w:tc>
        <w:tc>
          <w:tcPr>
            <w:tcW w:w="2610" w:type="dxa"/>
            <w:gridSpan w:val="3"/>
            <w:noWrap w:val="0"/>
            <w:vAlign w:val="center"/>
          </w:tcPr>
          <w:p w14:paraId="2709DAF9">
            <w:pPr>
              <w:spacing w:line="360" w:lineRule="auto"/>
              <w:jc w:val="center"/>
              <w:rPr>
                <w:rFonts w:hint="eastAsia" w:ascii="宋体" w:hAnsi="宋体" w:eastAsia="宋体" w:cs="宋体"/>
                <w:color w:val="000000"/>
                <w:sz w:val="24"/>
                <w:highlight w:val="none"/>
              </w:rPr>
            </w:pPr>
          </w:p>
        </w:tc>
        <w:tc>
          <w:tcPr>
            <w:tcW w:w="840" w:type="dxa"/>
            <w:noWrap w:val="0"/>
            <w:vAlign w:val="center"/>
          </w:tcPr>
          <w:p w14:paraId="76011081">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职称</w:t>
            </w:r>
          </w:p>
        </w:tc>
        <w:tc>
          <w:tcPr>
            <w:tcW w:w="2227" w:type="dxa"/>
            <w:gridSpan w:val="2"/>
            <w:noWrap w:val="0"/>
            <w:vAlign w:val="center"/>
          </w:tcPr>
          <w:p w14:paraId="3691F037">
            <w:pPr>
              <w:spacing w:line="360" w:lineRule="auto"/>
              <w:jc w:val="center"/>
              <w:rPr>
                <w:rFonts w:hint="eastAsia" w:ascii="宋体" w:hAnsi="宋体" w:eastAsia="宋体" w:cs="宋体"/>
                <w:color w:val="000000"/>
                <w:sz w:val="24"/>
                <w:highlight w:val="none"/>
              </w:rPr>
            </w:pPr>
          </w:p>
        </w:tc>
        <w:tc>
          <w:tcPr>
            <w:tcW w:w="1080" w:type="dxa"/>
            <w:gridSpan w:val="2"/>
            <w:noWrap w:val="0"/>
            <w:vAlign w:val="center"/>
          </w:tcPr>
          <w:p w14:paraId="07CB7306">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学历</w:t>
            </w:r>
          </w:p>
        </w:tc>
        <w:tc>
          <w:tcPr>
            <w:tcW w:w="1800" w:type="dxa"/>
            <w:gridSpan w:val="2"/>
            <w:noWrap w:val="0"/>
            <w:vAlign w:val="center"/>
          </w:tcPr>
          <w:p w14:paraId="09E037F5">
            <w:pPr>
              <w:spacing w:line="360" w:lineRule="auto"/>
              <w:jc w:val="center"/>
              <w:rPr>
                <w:rFonts w:hint="eastAsia" w:ascii="宋体" w:hAnsi="宋体" w:eastAsia="宋体" w:cs="宋体"/>
                <w:color w:val="000000"/>
                <w:sz w:val="24"/>
                <w:highlight w:val="none"/>
              </w:rPr>
            </w:pPr>
          </w:p>
        </w:tc>
      </w:tr>
      <w:tr w14:paraId="5008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noWrap w:val="0"/>
            <w:vAlign w:val="center"/>
          </w:tcPr>
          <w:p w14:paraId="429A7E6A">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参加工作时间</w:t>
            </w:r>
          </w:p>
        </w:tc>
        <w:tc>
          <w:tcPr>
            <w:tcW w:w="2452" w:type="dxa"/>
            <w:gridSpan w:val="3"/>
            <w:noWrap w:val="0"/>
            <w:vAlign w:val="center"/>
          </w:tcPr>
          <w:p w14:paraId="6758DBC8">
            <w:pPr>
              <w:spacing w:line="360" w:lineRule="auto"/>
              <w:jc w:val="center"/>
              <w:rPr>
                <w:rFonts w:hint="eastAsia" w:ascii="宋体" w:hAnsi="宋体" w:eastAsia="宋体" w:cs="宋体"/>
                <w:color w:val="000000"/>
                <w:sz w:val="24"/>
                <w:highlight w:val="none"/>
              </w:rPr>
            </w:pPr>
          </w:p>
        </w:tc>
        <w:tc>
          <w:tcPr>
            <w:tcW w:w="2625" w:type="dxa"/>
            <w:gridSpan w:val="4"/>
            <w:noWrap w:val="0"/>
            <w:vAlign w:val="center"/>
          </w:tcPr>
          <w:p w14:paraId="42E0FD9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担任项目负责人年限</w:t>
            </w:r>
          </w:p>
        </w:tc>
        <w:tc>
          <w:tcPr>
            <w:tcW w:w="1395" w:type="dxa"/>
            <w:gridSpan w:val="2"/>
            <w:noWrap w:val="0"/>
            <w:vAlign w:val="center"/>
          </w:tcPr>
          <w:p w14:paraId="07F789A7">
            <w:pPr>
              <w:spacing w:line="360" w:lineRule="auto"/>
              <w:jc w:val="center"/>
              <w:rPr>
                <w:rFonts w:hint="eastAsia" w:ascii="宋体" w:hAnsi="宋体" w:eastAsia="宋体" w:cs="宋体"/>
                <w:color w:val="000000"/>
                <w:sz w:val="24"/>
                <w:highlight w:val="none"/>
              </w:rPr>
            </w:pPr>
          </w:p>
        </w:tc>
      </w:tr>
      <w:tr w14:paraId="056E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8" w:hRule="atLeast"/>
        </w:trPr>
        <w:tc>
          <w:tcPr>
            <w:tcW w:w="2835" w:type="dxa"/>
            <w:gridSpan w:val="3"/>
            <w:noWrap w:val="0"/>
            <w:vAlign w:val="center"/>
          </w:tcPr>
          <w:p w14:paraId="5D32B99C">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资格证书编号</w:t>
            </w:r>
          </w:p>
        </w:tc>
        <w:tc>
          <w:tcPr>
            <w:tcW w:w="6457" w:type="dxa"/>
            <w:gridSpan w:val="8"/>
            <w:noWrap w:val="0"/>
            <w:vAlign w:val="center"/>
          </w:tcPr>
          <w:p w14:paraId="7D7916CF">
            <w:pPr>
              <w:spacing w:line="360" w:lineRule="auto"/>
              <w:jc w:val="center"/>
              <w:rPr>
                <w:rFonts w:hint="eastAsia" w:ascii="宋体" w:hAnsi="宋体" w:eastAsia="宋体" w:cs="宋体"/>
                <w:color w:val="000000"/>
                <w:sz w:val="24"/>
                <w:highlight w:val="none"/>
              </w:rPr>
            </w:pPr>
          </w:p>
        </w:tc>
      </w:tr>
      <w:tr w14:paraId="2F99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20" w:hRule="atLeast"/>
        </w:trPr>
        <w:tc>
          <w:tcPr>
            <w:tcW w:w="9292" w:type="dxa"/>
            <w:gridSpan w:val="11"/>
            <w:noWrap w:val="0"/>
            <w:vAlign w:val="center"/>
          </w:tcPr>
          <w:p w14:paraId="6912821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项目情况</w:t>
            </w:r>
          </w:p>
        </w:tc>
      </w:tr>
      <w:tr w14:paraId="6E08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0" w:hRule="atLeast"/>
        </w:trPr>
        <w:tc>
          <w:tcPr>
            <w:tcW w:w="1480" w:type="dxa"/>
            <w:gridSpan w:val="2"/>
            <w:noWrap w:val="0"/>
            <w:vAlign w:val="center"/>
          </w:tcPr>
          <w:p w14:paraId="401323F7">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建设单位</w:t>
            </w:r>
          </w:p>
        </w:tc>
        <w:tc>
          <w:tcPr>
            <w:tcW w:w="3807" w:type="dxa"/>
            <w:gridSpan w:val="4"/>
            <w:noWrap w:val="0"/>
            <w:vAlign w:val="center"/>
          </w:tcPr>
          <w:p w14:paraId="283685D6">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1964" w:type="dxa"/>
            <w:gridSpan w:val="2"/>
            <w:noWrap w:val="0"/>
            <w:vAlign w:val="center"/>
          </w:tcPr>
          <w:p w14:paraId="56CF42E3">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开、竣工日期</w:t>
            </w:r>
          </w:p>
        </w:tc>
        <w:tc>
          <w:tcPr>
            <w:tcW w:w="2041" w:type="dxa"/>
            <w:gridSpan w:val="3"/>
            <w:noWrap w:val="0"/>
            <w:vAlign w:val="center"/>
          </w:tcPr>
          <w:p w14:paraId="01AB0376">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本项目中承担职务</w:t>
            </w:r>
          </w:p>
        </w:tc>
      </w:tr>
      <w:tr w14:paraId="7A69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6" w:hRule="atLeast"/>
        </w:trPr>
        <w:tc>
          <w:tcPr>
            <w:tcW w:w="1480" w:type="dxa"/>
            <w:gridSpan w:val="2"/>
            <w:noWrap w:val="0"/>
            <w:vAlign w:val="center"/>
          </w:tcPr>
          <w:p w14:paraId="4BB2EE87">
            <w:pPr>
              <w:spacing w:line="360" w:lineRule="auto"/>
              <w:jc w:val="center"/>
              <w:rPr>
                <w:rFonts w:hint="eastAsia" w:ascii="宋体" w:hAnsi="宋体" w:eastAsia="宋体" w:cs="宋体"/>
                <w:color w:val="000000"/>
                <w:sz w:val="24"/>
                <w:highlight w:val="none"/>
              </w:rPr>
            </w:pPr>
          </w:p>
        </w:tc>
        <w:tc>
          <w:tcPr>
            <w:tcW w:w="3807" w:type="dxa"/>
            <w:gridSpan w:val="4"/>
            <w:noWrap w:val="0"/>
            <w:vAlign w:val="center"/>
          </w:tcPr>
          <w:p w14:paraId="16E7FFDA">
            <w:pPr>
              <w:spacing w:line="360" w:lineRule="auto"/>
              <w:jc w:val="center"/>
              <w:rPr>
                <w:rFonts w:hint="eastAsia" w:ascii="宋体" w:hAnsi="宋体" w:eastAsia="宋体" w:cs="宋体"/>
                <w:color w:val="000000"/>
                <w:sz w:val="24"/>
                <w:highlight w:val="none"/>
              </w:rPr>
            </w:pPr>
          </w:p>
        </w:tc>
        <w:tc>
          <w:tcPr>
            <w:tcW w:w="1964" w:type="dxa"/>
            <w:gridSpan w:val="2"/>
            <w:noWrap w:val="0"/>
            <w:vAlign w:val="center"/>
          </w:tcPr>
          <w:p w14:paraId="7CEA4E35">
            <w:pPr>
              <w:spacing w:line="360" w:lineRule="auto"/>
              <w:jc w:val="center"/>
              <w:rPr>
                <w:rFonts w:hint="eastAsia" w:ascii="宋体" w:hAnsi="宋体" w:eastAsia="宋体" w:cs="宋体"/>
                <w:color w:val="000000"/>
                <w:sz w:val="24"/>
                <w:highlight w:val="none"/>
              </w:rPr>
            </w:pPr>
          </w:p>
        </w:tc>
        <w:tc>
          <w:tcPr>
            <w:tcW w:w="2041" w:type="dxa"/>
            <w:gridSpan w:val="3"/>
            <w:noWrap w:val="0"/>
            <w:vAlign w:val="center"/>
          </w:tcPr>
          <w:p w14:paraId="54F7F9A7">
            <w:pPr>
              <w:spacing w:line="360" w:lineRule="auto"/>
              <w:jc w:val="center"/>
              <w:rPr>
                <w:rFonts w:hint="eastAsia" w:ascii="宋体" w:hAnsi="宋体" w:eastAsia="宋体" w:cs="宋体"/>
                <w:color w:val="000000"/>
                <w:sz w:val="24"/>
                <w:highlight w:val="none"/>
              </w:rPr>
            </w:pPr>
          </w:p>
        </w:tc>
      </w:tr>
      <w:tr w14:paraId="6A43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6" w:hRule="atLeast"/>
        </w:trPr>
        <w:tc>
          <w:tcPr>
            <w:tcW w:w="1480" w:type="dxa"/>
            <w:gridSpan w:val="2"/>
            <w:noWrap w:val="0"/>
            <w:vAlign w:val="center"/>
          </w:tcPr>
          <w:p w14:paraId="51B49A10">
            <w:pPr>
              <w:spacing w:line="360" w:lineRule="auto"/>
              <w:jc w:val="center"/>
              <w:rPr>
                <w:rFonts w:hint="eastAsia" w:ascii="宋体" w:hAnsi="宋体" w:eastAsia="宋体" w:cs="宋体"/>
                <w:color w:val="000000"/>
                <w:sz w:val="24"/>
                <w:highlight w:val="none"/>
              </w:rPr>
            </w:pPr>
          </w:p>
        </w:tc>
        <w:tc>
          <w:tcPr>
            <w:tcW w:w="3807" w:type="dxa"/>
            <w:gridSpan w:val="4"/>
            <w:noWrap w:val="0"/>
            <w:vAlign w:val="center"/>
          </w:tcPr>
          <w:p w14:paraId="71B7E4A6">
            <w:pPr>
              <w:spacing w:line="360" w:lineRule="auto"/>
              <w:jc w:val="center"/>
              <w:rPr>
                <w:rFonts w:hint="eastAsia" w:ascii="宋体" w:hAnsi="宋体" w:eastAsia="宋体" w:cs="宋体"/>
                <w:color w:val="000000"/>
                <w:sz w:val="24"/>
                <w:highlight w:val="none"/>
              </w:rPr>
            </w:pPr>
          </w:p>
        </w:tc>
        <w:tc>
          <w:tcPr>
            <w:tcW w:w="1964" w:type="dxa"/>
            <w:gridSpan w:val="2"/>
            <w:noWrap w:val="0"/>
            <w:vAlign w:val="center"/>
          </w:tcPr>
          <w:p w14:paraId="56A6832F">
            <w:pPr>
              <w:spacing w:line="360" w:lineRule="auto"/>
              <w:jc w:val="center"/>
              <w:rPr>
                <w:rFonts w:hint="eastAsia" w:ascii="宋体" w:hAnsi="宋体" w:eastAsia="宋体" w:cs="宋体"/>
                <w:color w:val="000000"/>
                <w:sz w:val="24"/>
                <w:highlight w:val="none"/>
              </w:rPr>
            </w:pPr>
          </w:p>
        </w:tc>
        <w:tc>
          <w:tcPr>
            <w:tcW w:w="2041" w:type="dxa"/>
            <w:gridSpan w:val="3"/>
            <w:noWrap w:val="0"/>
            <w:vAlign w:val="center"/>
          </w:tcPr>
          <w:p w14:paraId="499FBFDD">
            <w:pPr>
              <w:spacing w:line="360" w:lineRule="auto"/>
              <w:jc w:val="center"/>
              <w:rPr>
                <w:rFonts w:hint="eastAsia" w:ascii="宋体" w:hAnsi="宋体" w:eastAsia="宋体" w:cs="宋体"/>
                <w:color w:val="000000"/>
                <w:sz w:val="24"/>
                <w:highlight w:val="none"/>
              </w:rPr>
            </w:pPr>
          </w:p>
        </w:tc>
      </w:tr>
      <w:tr w14:paraId="139C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6" w:hRule="atLeast"/>
        </w:trPr>
        <w:tc>
          <w:tcPr>
            <w:tcW w:w="1480" w:type="dxa"/>
            <w:gridSpan w:val="2"/>
            <w:noWrap w:val="0"/>
            <w:vAlign w:val="center"/>
          </w:tcPr>
          <w:p w14:paraId="2FF884B6">
            <w:pPr>
              <w:spacing w:line="360" w:lineRule="auto"/>
              <w:jc w:val="center"/>
              <w:rPr>
                <w:rFonts w:hint="eastAsia" w:ascii="宋体" w:hAnsi="宋体" w:eastAsia="宋体" w:cs="宋体"/>
                <w:color w:val="000000"/>
                <w:sz w:val="24"/>
                <w:highlight w:val="none"/>
              </w:rPr>
            </w:pPr>
          </w:p>
        </w:tc>
        <w:tc>
          <w:tcPr>
            <w:tcW w:w="3807" w:type="dxa"/>
            <w:gridSpan w:val="4"/>
            <w:noWrap w:val="0"/>
            <w:vAlign w:val="center"/>
          </w:tcPr>
          <w:p w14:paraId="5933AAD0">
            <w:pPr>
              <w:spacing w:line="360" w:lineRule="auto"/>
              <w:jc w:val="center"/>
              <w:rPr>
                <w:rFonts w:hint="eastAsia" w:ascii="宋体" w:hAnsi="宋体" w:eastAsia="宋体" w:cs="宋体"/>
                <w:color w:val="000000"/>
                <w:sz w:val="24"/>
                <w:highlight w:val="none"/>
              </w:rPr>
            </w:pPr>
          </w:p>
        </w:tc>
        <w:tc>
          <w:tcPr>
            <w:tcW w:w="1964" w:type="dxa"/>
            <w:gridSpan w:val="2"/>
            <w:noWrap w:val="0"/>
            <w:vAlign w:val="center"/>
          </w:tcPr>
          <w:p w14:paraId="32073A03">
            <w:pPr>
              <w:spacing w:line="360" w:lineRule="auto"/>
              <w:jc w:val="center"/>
              <w:rPr>
                <w:rFonts w:hint="eastAsia" w:ascii="宋体" w:hAnsi="宋体" w:eastAsia="宋体" w:cs="宋体"/>
                <w:color w:val="000000"/>
                <w:sz w:val="24"/>
                <w:highlight w:val="none"/>
              </w:rPr>
            </w:pPr>
          </w:p>
        </w:tc>
        <w:tc>
          <w:tcPr>
            <w:tcW w:w="2041" w:type="dxa"/>
            <w:gridSpan w:val="3"/>
            <w:noWrap w:val="0"/>
            <w:vAlign w:val="center"/>
          </w:tcPr>
          <w:p w14:paraId="5975ACC9">
            <w:pPr>
              <w:spacing w:line="360" w:lineRule="auto"/>
              <w:jc w:val="center"/>
              <w:rPr>
                <w:rFonts w:hint="eastAsia" w:ascii="宋体" w:hAnsi="宋体" w:eastAsia="宋体" w:cs="宋体"/>
                <w:color w:val="000000"/>
                <w:sz w:val="24"/>
                <w:highlight w:val="none"/>
              </w:rPr>
            </w:pPr>
          </w:p>
        </w:tc>
      </w:tr>
      <w:tr w14:paraId="27BD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6" w:hRule="atLeast"/>
        </w:trPr>
        <w:tc>
          <w:tcPr>
            <w:tcW w:w="1480" w:type="dxa"/>
            <w:gridSpan w:val="2"/>
            <w:noWrap w:val="0"/>
            <w:vAlign w:val="center"/>
          </w:tcPr>
          <w:p w14:paraId="29FCB928">
            <w:pPr>
              <w:spacing w:line="360" w:lineRule="auto"/>
              <w:jc w:val="center"/>
              <w:rPr>
                <w:rFonts w:hint="eastAsia" w:ascii="宋体" w:hAnsi="宋体" w:eastAsia="宋体" w:cs="宋体"/>
                <w:color w:val="000000"/>
                <w:sz w:val="24"/>
                <w:highlight w:val="none"/>
              </w:rPr>
            </w:pPr>
          </w:p>
        </w:tc>
        <w:tc>
          <w:tcPr>
            <w:tcW w:w="3807" w:type="dxa"/>
            <w:gridSpan w:val="4"/>
            <w:noWrap w:val="0"/>
            <w:vAlign w:val="center"/>
          </w:tcPr>
          <w:p w14:paraId="02DE038E">
            <w:pPr>
              <w:spacing w:line="360" w:lineRule="auto"/>
              <w:jc w:val="center"/>
              <w:rPr>
                <w:rFonts w:hint="eastAsia" w:ascii="宋体" w:hAnsi="宋体" w:eastAsia="宋体" w:cs="宋体"/>
                <w:color w:val="000000"/>
                <w:sz w:val="24"/>
                <w:highlight w:val="none"/>
              </w:rPr>
            </w:pPr>
          </w:p>
        </w:tc>
        <w:tc>
          <w:tcPr>
            <w:tcW w:w="1964" w:type="dxa"/>
            <w:gridSpan w:val="2"/>
            <w:noWrap w:val="0"/>
            <w:vAlign w:val="center"/>
          </w:tcPr>
          <w:p w14:paraId="51F5C68E">
            <w:pPr>
              <w:spacing w:line="360" w:lineRule="auto"/>
              <w:jc w:val="center"/>
              <w:rPr>
                <w:rFonts w:hint="eastAsia" w:ascii="宋体" w:hAnsi="宋体" w:eastAsia="宋体" w:cs="宋体"/>
                <w:color w:val="000000"/>
                <w:sz w:val="24"/>
                <w:highlight w:val="none"/>
              </w:rPr>
            </w:pPr>
          </w:p>
        </w:tc>
        <w:tc>
          <w:tcPr>
            <w:tcW w:w="2041" w:type="dxa"/>
            <w:gridSpan w:val="3"/>
            <w:noWrap w:val="0"/>
            <w:vAlign w:val="center"/>
          </w:tcPr>
          <w:p w14:paraId="24155A12">
            <w:pPr>
              <w:spacing w:line="360" w:lineRule="auto"/>
              <w:jc w:val="center"/>
              <w:rPr>
                <w:rFonts w:hint="eastAsia" w:ascii="宋体" w:hAnsi="宋体" w:eastAsia="宋体" w:cs="宋体"/>
                <w:color w:val="000000"/>
                <w:sz w:val="24"/>
                <w:highlight w:val="none"/>
              </w:rPr>
            </w:pPr>
          </w:p>
        </w:tc>
      </w:tr>
      <w:tr w14:paraId="3249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6" w:hRule="atLeast"/>
        </w:trPr>
        <w:tc>
          <w:tcPr>
            <w:tcW w:w="1480" w:type="dxa"/>
            <w:gridSpan w:val="2"/>
            <w:noWrap w:val="0"/>
            <w:vAlign w:val="center"/>
          </w:tcPr>
          <w:p w14:paraId="66D54871">
            <w:pPr>
              <w:spacing w:line="360" w:lineRule="auto"/>
              <w:jc w:val="center"/>
              <w:rPr>
                <w:rFonts w:hint="eastAsia" w:ascii="宋体" w:hAnsi="宋体" w:eastAsia="宋体" w:cs="宋体"/>
                <w:color w:val="000000"/>
                <w:sz w:val="24"/>
                <w:highlight w:val="none"/>
              </w:rPr>
            </w:pPr>
          </w:p>
        </w:tc>
        <w:tc>
          <w:tcPr>
            <w:tcW w:w="3807" w:type="dxa"/>
            <w:gridSpan w:val="4"/>
            <w:noWrap w:val="0"/>
            <w:vAlign w:val="center"/>
          </w:tcPr>
          <w:p w14:paraId="38831CB2">
            <w:pPr>
              <w:spacing w:line="360" w:lineRule="auto"/>
              <w:jc w:val="center"/>
              <w:rPr>
                <w:rFonts w:hint="eastAsia" w:ascii="宋体" w:hAnsi="宋体" w:eastAsia="宋体" w:cs="宋体"/>
                <w:color w:val="000000"/>
                <w:sz w:val="24"/>
                <w:highlight w:val="none"/>
              </w:rPr>
            </w:pPr>
          </w:p>
        </w:tc>
        <w:tc>
          <w:tcPr>
            <w:tcW w:w="1964" w:type="dxa"/>
            <w:gridSpan w:val="2"/>
            <w:noWrap w:val="0"/>
            <w:vAlign w:val="center"/>
          </w:tcPr>
          <w:p w14:paraId="2E239ED8">
            <w:pPr>
              <w:spacing w:line="360" w:lineRule="auto"/>
              <w:jc w:val="center"/>
              <w:rPr>
                <w:rFonts w:hint="eastAsia" w:ascii="宋体" w:hAnsi="宋体" w:eastAsia="宋体" w:cs="宋体"/>
                <w:color w:val="000000"/>
                <w:sz w:val="24"/>
                <w:highlight w:val="none"/>
              </w:rPr>
            </w:pPr>
          </w:p>
        </w:tc>
        <w:tc>
          <w:tcPr>
            <w:tcW w:w="2041" w:type="dxa"/>
            <w:gridSpan w:val="3"/>
            <w:noWrap w:val="0"/>
            <w:vAlign w:val="center"/>
          </w:tcPr>
          <w:p w14:paraId="2FA02ED2">
            <w:pPr>
              <w:spacing w:line="360" w:lineRule="auto"/>
              <w:jc w:val="center"/>
              <w:rPr>
                <w:rFonts w:hint="eastAsia" w:ascii="宋体" w:hAnsi="宋体" w:eastAsia="宋体" w:cs="宋体"/>
                <w:color w:val="000000"/>
                <w:sz w:val="24"/>
                <w:highlight w:val="none"/>
              </w:rPr>
            </w:pPr>
          </w:p>
        </w:tc>
      </w:tr>
      <w:tr w14:paraId="2A1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6" w:hRule="atLeast"/>
        </w:trPr>
        <w:tc>
          <w:tcPr>
            <w:tcW w:w="1480" w:type="dxa"/>
            <w:gridSpan w:val="2"/>
            <w:noWrap w:val="0"/>
            <w:vAlign w:val="center"/>
          </w:tcPr>
          <w:p w14:paraId="1B60178D">
            <w:pPr>
              <w:spacing w:line="360" w:lineRule="auto"/>
              <w:jc w:val="center"/>
              <w:rPr>
                <w:rFonts w:hint="eastAsia" w:ascii="宋体" w:hAnsi="宋体" w:eastAsia="宋体" w:cs="宋体"/>
                <w:color w:val="000000"/>
                <w:sz w:val="24"/>
                <w:highlight w:val="none"/>
              </w:rPr>
            </w:pPr>
          </w:p>
        </w:tc>
        <w:tc>
          <w:tcPr>
            <w:tcW w:w="3807" w:type="dxa"/>
            <w:gridSpan w:val="4"/>
            <w:noWrap w:val="0"/>
            <w:vAlign w:val="center"/>
          </w:tcPr>
          <w:p w14:paraId="5A942AC6">
            <w:pPr>
              <w:spacing w:line="360" w:lineRule="auto"/>
              <w:jc w:val="center"/>
              <w:rPr>
                <w:rFonts w:hint="eastAsia" w:ascii="宋体" w:hAnsi="宋体" w:eastAsia="宋体" w:cs="宋体"/>
                <w:color w:val="000000"/>
                <w:sz w:val="24"/>
                <w:highlight w:val="none"/>
              </w:rPr>
            </w:pPr>
          </w:p>
        </w:tc>
        <w:tc>
          <w:tcPr>
            <w:tcW w:w="1964" w:type="dxa"/>
            <w:gridSpan w:val="2"/>
            <w:noWrap w:val="0"/>
            <w:vAlign w:val="center"/>
          </w:tcPr>
          <w:p w14:paraId="702E0C3F">
            <w:pPr>
              <w:spacing w:line="360" w:lineRule="auto"/>
              <w:jc w:val="center"/>
              <w:rPr>
                <w:rFonts w:hint="eastAsia" w:ascii="宋体" w:hAnsi="宋体" w:eastAsia="宋体" w:cs="宋体"/>
                <w:color w:val="000000"/>
                <w:sz w:val="24"/>
                <w:highlight w:val="none"/>
              </w:rPr>
            </w:pPr>
          </w:p>
        </w:tc>
        <w:tc>
          <w:tcPr>
            <w:tcW w:w="2041" w:type="dxa"/>
            <w:gridSpan w:val="3"/>
            <w:noWrap w:val="0"/>
            <w:vAlign w:val="center"/>
          </w:tcPr>
          <w:p w14:paraId="3AF2A826">
            <w:pPr>
              <w:spacing w:line="360" w:lineRule="auto"/>
              <w:jc w:val="center"/>
              <w:rPr>
                <w:rFonts w:hint="eastAsia" w:ascii="宋体" w:hAnsi="宋体" w:eastAsia="宋体" w:cs="宋体"/>
                <w:color w:val="000000"/>
                <w:sz w:val="24"/>
                <w:highlight w:val="none"/>
              </w:rPr>
            </w:pPr>
          </w:p>
        </w:tc>
      </w:tr>
      <w:tr w14:paraId="44B4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6" w:hRule="atLeast"/>
        </w:trPr>
        <w:tc>
          <w:tcPr>
            <w:tcW w:w="1480" w:type="dxa"/>
            <w:gridSpan w:val="2"/>
            <w:noWrap w:val="0"/>
            <w:vAlign w:val="center"/>
          </w:tcPr>
          <w:p w14:paraId="33F935FB">
            <w:pPr>
              <w:spacing w:line="360" w:lineRule="auto"/>
              <w:jc w:val="center"/>
              <w:rPr>
                <w:rFonts w:hint="eastAsia" w:ascii="宋体" w:hAnsi="宋体" w:eastAsia="宋体" w:cs="宋体"/>
                <w:color w:val="000000"/>
                <w:sz w:val="24"/>
                <w:highlight w:val="none"/>
              </w:rPr>
            </w:pPr>
          </w:p>
        </w:tc>
        <w:tc>
          <w:tcPr>
            <w:tcW w:w="3807" w:type="dxa"/>
            <w:gridSpan w:val="4"/>
            <w:noWrap w:val="0"/>
            <w:vAlign w:val="center"/>
          </w:tcPr>
          <w:p w14:paraId="7784B30D">
            <w:pPr>
              <w:spacing w:line="360" w:lineRule="auto"/>
              <w:jc w:val="center"/>
              <w:rPr>
                <w:rFonts w:hint="eastAsia" w:ascii="宋体" w:hAnsi="宋体" w:eastAsia="宋体" w:cs="宋体"/>
                <w:color w:val="000000"/>
                <w:sz w:val="24"/>
                <w:highlight w:val="none"/>
              </w:rPr>
            </w:pPr>
          </w:p>
        </w:tc>
        <w:tc>
          <w:tcPr>
            <w:tcW w:w="1964" w:type="dxa"/>
            <w:gridSpan w:val="2"/>
            <w:noWrap w:val="0"/>
            <w:vAlign w:val="center"/>
          </w:tcPr>
          <w:p w14:paraId="0C6E871C">
            <w:pPr>
              <w:spacing w:line="360" w:lineRule="auto"/>
              <w:jc w:val="center"/>
              <w:rPr>
                <w:rFonts w:hint="eastAsia" w:ascii="宋体" w:hAnsi="宋体" w:eastAsia="宋体" w:cs="宋体"/>
                <w:color w:val="000000"/>
                <w:sz w:val="24"/>
                <w:highlight w:val="none"/>
              </w:rPr>
            </w:pPr>
          </w:p>
        </w:tc>
        <w:tc>
          <w:tcPr>
            <w:tcW w:w="2041" w:type="dxa"/>
            <w:gridSpan w:val="3"/>
            <w:noWrap w:val="0"/>
            <w:vAlign w:val="center"/>
          </w:tcPr>
          <w:p w14:paraId="6218463B">
            <w:pPr>
              <w:spacing w:line="360" w:lineRule="auto"/>
              <w:jc w:val="center"/>
              <w:rPr>
                <w:rFonts w:hint="eastAsia" w:ascii="宋体" w:hAnsi="宋体" w:eastAsia="宋体" w:cs="宋体"/>
                <w:color w:val="000000"/>
                <w:sz w:val="24"/>
                <w:highlight w:val="none"/>
              </w:rPr>
            </w:pPr>
          </w:p>
        </w:tc>
      </w:tr>
      <w:tr w14:paraId="72B8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6" w:hRule="atLeast"/>
        </w:trPr>
        <w:tc>
          <w:tcPr>
            <w:tcW w:w="1480" w:type="dxa"/>
            <w:gridSpan w:val="2"/>
            <w:noWrap w:val="0"/>
            <w:vAlign w:val="center"/>
          </w:tcPr>
          <w:p w14:paraId="28105641">
            <w:pPr>
              <w:spacing w:line="360" w:lineRule="auto"/>
              <w:jc w:val="center"/>
              <w:rPr>
                <w:rFonts w:hint="eastAsia" w:ascii="宋体" w:hAnsi="宋体" w:eastAsia="宋体" w:cs="宋体"/>
                <w:color w:val="000000"/>
                <w:sz w:val="24"/>
                <w:highlight w:val="none"/>
              </w:rPr>
            </w:pPr>
          </w:p>
        </w:tc>
        <w:tc>
          <w:tcPr>
            <w:tcW w:w="3807" w:type="dxa"/>
            <w:gridSpan w:val="4"/>
            <w:noWrap w:val="0"/>
            <w:vAlign w:val="center"/>
          </w:tcPr>
          <w:p w14:paraId="3E9B9070">
            <w:pPr>
              <w:spacing w:line="360" w:lineRule="auto"/>
              <w:jc w:val="center"/>
              <w:rPr>
                <w:rFonts w:hint="eastAsia" w:ascii="宋体" w:hAnsi="宋体" w:eastAsia="宋体" w:cs="宋体"/>
                <w:color w:val="000000"/>
                <w:sz w:val="24"/>
                <w:highlight w:val="none"/>
              </w:rPr>
            </w:pPr>
          </w:p>
        </w:tc>
        <w:tc>
          <w:tcPr>
            <w:tcW w:w="1964" w:type="dxa"/>
            <w:gridSpan w:val="2"/>
            <w:noWrap w:val="0"/>
            <w:vAlign w:val="center"/>
          </w:tcPr>
          <w:p w14:paraId="2ADD27FE">
            <w:pPr>
              <w:spacing w:line="360" w:lineRule="auto"/>
              <w:jc w:val="center"/>
              <w:rPr>
                <w:rFonts w:hint="eastAsia" w:ascii="宋体" w:hAnsi="宋体" w:eastAsia="宋体" w:cs="宋体"/>
                <w:color w:val="000000"/>
                <w:sz w:val="24"/>
                <w:highlight w:val="none"/>
              </w:rPr>
            </w:pPr>
          </w:p>
        </w:tc>
        <w:tc>
          <w:tcPr>
            <w:tcW w:w="2041" w:type="dxa"/>
            <w:gridSpan w:val="3"/>
            <w:noWrap w:val="0"/>
            <w:vAlign w:val="center"/>
          </w:tcPr>
          <w:p w14:paraId="56BE44A1">
            <w:pPr>
              <w:spacing w:line="360" w:lineRule="auto"/>
              <w:jc w:val="center"/>
              <w:rPr>
                <w:rFonts w:hint="eastAsia" w:ascii="宋体" w:hAnsi="宋体" w:eastAsia="宋体" w:cs="宋体"/>
                <w:color w:val="000000"/>
                <w:sz w:val="24"/>
                <w:highlight w:val="none"/>
              </w:rPr>
            </w:pPr>
          </w:p>
        </w:tc>
      </w:tr>
    </w:tbl>
    <w:p w14:paraId="0AF4A908">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附资格证明文件。</w:t>
      </w:r>
    </w:p>
    <w:p w14:paraId="5AA2D688">
      <w:pPr>
        <w:spacing w:line="360" w:lineRule="auto"/>
        <w:rPr>
          <w:rFonts w:hint="eastAsia" w:ascii="宋体" w:hAnsi="宋体" w:eastAsia="宋体" w:cs="宋体"/>
          <w:color w:val="000000"/>
          <w:sz w:val="24"/>
          <w:highlight w:val="none"/>
        </w:rPr>
      </w:pPr>
    </w:p>
    <w:p w14:paraId="6C900B51">
      <w:pPr>
        <w:spacing w:line="360" w:lineRule="auto"/>
        <w:rPr>
          <w:rFonts w:hint="eastAsia" w:ascii="宋体" w:hAnsi="宋体" w:eastAsia="宋体" w:cs="宋体"/>
          <w:color w:val="000000"/>
          <w:sz w:val="24"/>
          <w:highlight w:val="none"/>
        </w:rPr>
      </w:pPr>
    </w:p>
    <w:p w14:paraId="6D905CB2">
      <w:pPr>
        <w:spacing w:line="360" w:lineRule="auto"/>
        <w:rPr>
          <w:rFonts w:hint="eastAsia" w:ascii="宋体" w:hAnsi="宋体" w:eastAsia="宋体" w:cs="宋体"/>
          <w:color w:val="000000"/>
          <w:sz w:val="24"/>
          <w:highlight w:val="none"/>
        </w:rPr>
      </w:pPr>
    </w:p>
    <w:p w14:paraId="22C64983">
      <w:pPr>
        <w:pStyle w:val="21"/>
        <w:rPr>
          <w:rFonts w:hint="eastAsia" w:ascii="宋体" w:hAnsi="宋体" w:eastAsia="宋体" w:cs="宋体"/>
          <w:color w:val="000000"/>
          <w:sz w:val="24"/>
          <w:highlight w:val="none"/>
        </w:rPr>
      </w:pPr>
    </w:p>
    <w:p w14:paraId="2CD42867">
      <w:pPr>
        <w:pStyle w:val="21"/>
        <w:rPr>
          <w:rFonts w:hint="eastAsia" w:ascii="宋体" w:hAnsi="宋体" w:eastAsia="宋体" w:cs="宋体"/>
          <w:color w:val="000000"/>
          <w:sz w:val="24"/>
          <w:highlight w:val="none"/>
        </w:rPr>
      </w:pPr>
    </w:p>
    <w:p w14:paraId="7ECCD5E5">
      <w:pPr>
        <w:pStyle w:val="2"/>
        <w:numPr>
          <w:ilvl w:val="0"/>
          <w:numId w:val="0"/>
        </w:numPr>
        <w:tabs>
          <w:tab w:val="left" w:pos="5852"/>
        </w:tabs>
        <w:spacing w:line="360" w:lineRule="auto"/>
        <w:rPr>
          <w:rFonts w:hint="eastAsia" w:ascii="宋体" w:hAnsi="宋体" w:eastAsia="宋体" w:cs="宋体"/>
          <w:color w:val="000000"/>
          <w:highlight w:val="none"/>
        </w:rPr>
      </w:pPr>
      <w:bookmarkStart w:id="639" w:name="_Toc19783"/>
      <w:bookmarkStart w:id="640" w:name="_Toc290908746"/>
      <w:bookmarkStart w:id="641" w:name="_Toc9450"/>
      <w:bookmarkStart w:id="642" w:name="_Toc2606"/>
      <w:r>
        <w:rPr>
          <w:rFonts w:hint="eastAsia" w:ascii="宋体" w:hAnsi="宋体" w:eastAsia="宋体" w:cs="宋体"/>
          <w:color w:val="000000"/>
          <w:highlight w:val="none"/>
        </w:rPr>
        <w:t>（2）项目技术负责人简历表</w:t>
      </w:r>
      <w:bookmarkEnd w:id="639"/>
      <w:bookmarkEnd w:id="640"/>
      <w:bookmarkEnd w:id="641"/>
      <w:bookmarkEnd w:id="642"/>
    </w:p>
    <w:p w14:paraId="5E383FA9">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w:t>
      </w:r>
    </w:p>
    <w:tbl>
      <w:tblPr>
        <w:tblStyle w:val="3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930"/>
        <w:gridCol w:w="840"/>
        <w:gridCol w:w="540"/>
        <w:gridCol w:w="15"/>
        <w:gridCol w:w="1485"/>
        <w:gridCol w:w="826"/>
        <w:gridCol w:w="74"/>
        <w:gridCol w:w="225"/>
        <w:gridCol w:w="2111"/>
      </w:tblGrid>
      <w:tr w14:paraId="37B4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noWrap w:val="0"/>
            <w:vAlign w:val="center"/>
          </w:tcPr>
          <w:p w14:paraId="730CFEAE">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2610" w:type="dxa"/>
            <w:gridSpan w:val="3"/>
            <w:noWrap w:val="0"/>
            <w:vAlign w:val="center"/>
          </w:tcPr>
          <w:p w14:paraId="17118E0B">
            <w:pPr>
              <w:spacing w:line="360" w:lineRule="auto"/>
              <w:jc w:val="center"/>
              <w:rPr>
                <w:rFonts w:hint="eastAsia" w:ascii="宋体" w:hAnsi="宋体" w:eastAsia="宋体" w:cs="宋体"/>
                <w:color w:val="000000"/>
                <w:sz w:val="24"/>
                <w:highlight w:val="none"/>
              </w:rPr>
            </w:pPr>
          </w:p>
        </w:tc>
        <w:tc>
          <w:tcPr>
            <w:tcW w:w="840" w:type="dxa"/>
            <w:noWrap w:val="0"/>
            <w:vAlign w:val="center"/>
          </w:tcPr>
          <w:p w14:paraId="3AB12749">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性别</w:t>
            </w:r>
          </w:p>
        </w:tc>
        <w:tc>
          <w:tcPr>
            <w:tcW w:w="2040" w:type="dxa"/>
            <w:gridSpan w:val="3"/>
            <w:noWrap w:val="0"/>
            <w:vAlign w:val="center"/>
          </w:tcPr>
          <w:p w14:paraId="1E8E4B21">
            <w:pPr>
              <w:spacing w:line="360" w:lineRule="auto"/>
              <w:jc w:val="center"/>
              <w:rPr>
                <w:rFonts w:hint="eastAsia" w:ascii="宋体" w:hAnsi="宋体" w:eastAsia="宋体" w:cs="宋体"/>
                <w:color w:val="000000"/>
                <w:sz w:val="24"/>
                <w:highlight w:val="none"/>
              </w:rPr>
            </w:pPr>
          </w:p>
        </w:tc>
        <w:tc>
          <w:tcPr>
            <w:tcW w:w="900" w:type="dxa"/>
            <w:gridSpan w:val="2"/>
            <w:noWrap w:val="0"/>
            <w:vAlign w:val="center"/>
          </w:tcPr>
          <w:p w14:paraId="2A820A33">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年龄</w:t>
            </w:r>
          </w:p>
        </w:tc>
        <w:tc>
          <w:tcPr>
            <w:tcW w:w="2336" w:type="dxa"/>
            <w:gridSpan w:val="2"/>
            <w:noWrap w:val="0"/>
            <w:vAlign w:val="center"/>
          </w:tcPr>
          <w:p w14:paraId="08FFAA90">
            <w:pPr>
              <w:spacing w:line="360" w:lineRule="auto"/>
              <w:jc w:val="center"/>
              <w:rPr>
                <w:rFonts w:hint="eastAsia" w:ascii="宋体" w:hAnsi="宋体" w:eastAsia="宋体" w:cs="宋体"/>
                <w:color w:val="000000"/>
                <w:sz w:val="24"/>
                <w:highlight w:val="none"/>
              </w:rPr>
            </w:pPr>
          </w:p>
        </w:tc>
      </w:tr>
      <w:tr w14:paraId="0BB0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noWrap w:val="0"/>
            <w:vAlign w:val="center"/>
          </w:tcPr>
          <w:p w14:paraId="6E19C013">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职务</w:t>
            </w:r>
          </w:p>
        </w:tc>
        <w:tc>
          <w:tcPr>
            <w:tcW w:w="2610" w:type="dxa"/>
            <w:gridSpan w:val="3"/>
            <w:noWrap w:val="0"/>
            <w:vAlign w:val="center"/>
          </w:tcPr>
          <w:p w14:paraId="05E47769">
            <w:pPr>
              <w:spacing w:line="360" w:lineRule="auto"/>
              <w:jc w:val="center"/>
              <w:rPr>
                <w:rFonts w:hint="eastAsia" w:ascii="宋体" w:hAnsi="宋体" w:eastAsia="宋体" w:cs="宋体"/>
                <w:color w:val="000000"/>
                <w:sz w:val="24"/>
                <w:highlight w:val="none"/>
              </w:rPr>
            </w:pPr>
          </w:p>
        </w:tc>
        <w:tc>
          <w:tcPr>
            <w:tcW w:w="840" w:type="dxa"/>
            <w:noWrap w:val="0"/>
            <w:vAlign w:val="center"/>
          </w:tcPr>
          <w:p w14:paraId="037FA05E">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职称</w:t>
            </w:r>
          </w:p>
        </w:tc>
        <w:tc>
          <w:tcPr>
            <w:tcW w:w="2040" w:type="dxa"/>
            <w:gridSpan w:val="3"/>
            <w:noWrap w:val="0"/>
            <w:vAlign w:val="center"/>
          </w:tcPr>
          <w:p w14:paraId="4FCD475E">
            <w:pPr>
              <w:spacing w:line="360" w:lineRule="auto"/>
              <w:jc w:val="center"/>
              <w:rPr>
                <w:rFonts w:hint="eastAsia" w:ascii="宋体" w:hAnsi="宋体" w:eastAsia="宋体" w:cs="宋体"/>
                <w:color w:val="000000"/>
                <w:sz w:val="24"/>
                <w:highlight w:val="none"/>
              </w:rPr>
            </w:pPr>
          </w:p>
        </w:tc>
        <w:tc>
          <w:tcPr>
            <w:tcW w:w="900" w:type="dxa"/>
            <w:gridSpan w:val="2"/>
            <w:noWrap w:val="0"/>
            <w:vAlign w:val="center"/>
          </w:tcPr>
          <w:p w14:paraId="09EFF8F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学历</w:t>
            </w:r>
          </w:p>
        </w:tc>
        <w:tc>
          <w:tcPr>
            <w:tcW w:w="2336" w:type="dxa"/>
            <w:gridSpan w:val="2"/>
            <w:noWrap w:val="0"/>
            <w:vAlign w:val="center"/>
          </w:tcPr>
          <w:p w14:paraId="64A9548F">
            <w:pPr>
              <w:spacing w:line="360" w:lineRule="auto"/>
              <w:jc w:val="center"/>
              <w:rPr>
                <w:rFonts w:hint="eastAsia" w:ascii="宋体" w:hAnsi="宋体" w:eastAsia="宋体" w:cs="宋体"/>
                <w:color w:val="000000"/>
                <w:sz w:val="24"/>
                <w:highlight w:val="none"/>
              </w:rPr>
            </w:pPr>
          </w:p>
        </w:tc>
      </w:tr>
      <w:tr w14:paraId="1360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noWrap w:val="0"/>
            <w:vAlign w:val="center"/>
          </w:tcPr>
          <w:p w14:paraId="0B0EE5DB">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参加工作时间</w:t>
            </w:r>
          </w:p>
        </w:tc>
        <w:tc>
          <w:tcPr>
            <w:tcW w:w="2310" w:type="dxa"/>
            <w:gridSpan w:val="3"/>
            <w:noWrap w:val="0"/>
            <w:vAlign w:val="center"/>
          </w:tcPr>
          <w:p w14:paraId="0D97B059">
            <w:pPr>
              <w:spacing w:line="360" w:lineRule="auto"/>
              <w:jc w:val="center"/>
              <w:rPr>
                <w:rFonts w:hint="eastAsia" w:ascii="宋体" w:hAnsi="宋体" w:eastAsia="宋体" w:cs="宋体"/>
                <w:color w:val="000000"/>
                <w:sz w:val="24"/>
                <w:highlight w:val="none"/>
              </w:rPr>
            </w:pPr>
          </w:p>
        </w:tc>
        <w:tc>
          <w:tcPr>
            <w:tcW w:w="2625" w:type="dxa"/>
            <w:gridSpan w:val="5"/>
            <w:noWrap w:val="0"/>
            <w:vAlign w:val="center"/>
          </w:tcPr>
          <w:p w14:paraId="7D53874D">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担任技术负责人年限</w:t>
            </w:r>
          </w:p>
        </w:tc>
        <w:tc>
          <w:tcPr>
            <w:tcW w:w="2111" w:type="dxa"/>
            <w:noWrap w:val="0"/>
            <w:vAlign w:val="center"/>
          </w:tcPr>
          <w:p w14:paraId="224B5862">
            <w:pPr>
              <w:spacing w:line="360" w:lineRule="auto"/>
              <w:jc w:val="center"/>
              <w:rPr>
                <w:rFonts w:hint="eastAsia" w:ascii="宋体" w:hAnsi="宋体" w:eastAsia="宋体" w:cs="宋体"/>
                <w:color w:val="000000"/>
                <w:sz w:val="24"/>
                <w:highlight w:val="none"/>
              </w:rPr>
            </w:pPr>
          </w:p>
        </w:tc>
      </w:tr>
      <w:tr w14:paraId="2FBD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61" w:type="dxa"/>
            <w:gridSpan w:val="12"/>
            <w:noWrap w:val="0"/>
            <w:vAlign w:val="center"/>
          </w:tcPr>
          <w:p w14:paraId="769D3ED6">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项目情况</w:t>
            </w:r>
          </w:p>
        </w:tc>
      </w:tr>
      <w:tr w14:paraId="3E9A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6CBAB09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建设单位</w:t>
            </w:r>
          </w:p>
        </w:tc>
        <w:tc>
          <w:tcPr>
            <w:tcW w:w="3260" w:type="dxa"/>
            <w:gridSpan w:val="5"/>
            <w:noWrap w:val="0"/>
            <w:vAlign w:val="center"/>
          </w:tcPr>
          <w:p w14:paraId="535B5D52">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项目名称</w:t>
            </w:r>
          </w:p>
        </w:tc>
        <w:tc>
          <w:tcPr>
            <w:tcW w:w="2311" w:type="dxa"/>
            <w:gridSpan w:val="2"/>
            <w:noWrap w:val="0"/>
            <w:vAlign w:val="center"/>
          </w:tcPr>
          <w:p w14:paraId="329AE40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开、竣工日期</w:t>
            </w:r>
          </w:p>
        </w:tc>
        <w:tc>
          <w:tcPr>
            <w:tcW w:w="2410" w:type="dxa"/>
            <w:gridSpan w:val="3"/>
            <w:noWrap w:val="0"/>
            <w:vAlign w:val="center"/>
          </w:tcPr>
          <w:p w14:paraId="78F6353D">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本项目中承担职务</w:t>
            </w:r>
          </w:p>
        </w:tc>
      </w:tr>
      <w:tr w14:paraId="6BD5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4DA9A38D">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6481AA5C">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67C7CF7D">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6F8D6D78">
            <w:pPr>
              <w:spacing w:line="360" w:lineRule="auto"/>
              <w:jc w:val="center"/>
              <w:rPr>
                <w:rFonts w:hint="eastAsia" w:ascii="宋体" w:hAnsi="宋体" w:eastAsia="宋体" w:cs="宋体"/>
                <w:color w:val="000000"/>
                <w:sz w:val="24"/>
                <w:highlight w:val="none"/>
              </w:rPr>
            </w:pPr>
          </w:p>
        </w:tc>
      </w:tr>
      <w:tr w14:paraId="3599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60C1341D">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711DAFCB">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6E0C87F3">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64460313">
            <w:pPr>
              <w:spacing w:line="360" w:lineRule="auto"/>
              <w:jc w:val="center"/>
              <w:rPr>
                <w:rFonts w:hint="eastAsia" w:ascii="宋体" w:hAnsi="宋体" w:eastAsia="宋体" w:cs="宋体"/>
                <w:color w:val="000000"/>
                <w:sz w:val="24"/>
                <w:highlight w:val="none"/>
              </w:rPr>
            </w:pPr>
          </w:p>
        </w:tc>
      </w:tr>
      <w:tr w14:paraId="7618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noWrap w:val="0"/>
            <w:vAlign w:val="center"/>
          </w:tcPr>
          <w:p w14:paraId="1B727383">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03629E58">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07B970AF">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607C22D8">
            <w:pPr>
              <w:spacing w:line="360" w:lineRule="auto"/>
              <w:jc w:val="center"/>
              <w:rPr>
                <w:rFonts w:hint="eastAsia" w:ascii="宋体" w:hAnsi="宋体" w:eastAsia="宋体" w:cs="宋体"/>
                <w:color w:val="000000"/>
                <w:sz w:val="24"/>
                <w:highlight w:val="none"/>
              </w:rPr>
            </w:pPr>
          </w:p>
        </w:tc>
      </w:tr>
      <w:tr w14:paraId="28DC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52C62B0F">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205D9537">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0AAE8E3E">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01D969DC">
            <w:pPr>
              <w:spacing w:line="360" w:lineRule="auto"/>
              <w:jc w:val="center"/>
              <w:rPr>
                <w:rFonts w:hint="eastAsia" w:ascii="宋体" w:hAnsi="宋体" w:eastAsia="宋体" w:cs="宋体"/>
                <w:color w:val="000000"/>
                <w:sz w:val="24"/>
                <w:highlight w:val="none"/>
              </w:rPr>
            </w:pPr>
          </w:p>
        </w:tc>
      </w:tr>
      <w:tr w14:paraId="4A43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02215CE9">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029B65D0">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5C9C0866">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3079757A">
            <w:pPr>
              <w:spacing w:line="360" w:lineRule="auto"/>
              <w:jc w:val="center"/>
              <w:rPr>
                <w:rFonts w:hint="eastAsia" w:ascii="宋体" w:hAnsi="宋体" w:eastAsia="宋体" w:cs="宋体"/>
                <w:color w:val="000000"/>
                <w:sz w:val="24"/>
                <w:highlight w:val="none"/>
              </w:rPr>
            </w:pPr>
          </w:p>
        </w:tc>
      </w:tr>
      <w:tr w14:paraId="5043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48CCD86E">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7B86FE2E">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431684D8">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1DC3DCD6">
            <w:pPr>
              <w:spacing w:line="360" w:lineRule="auto"/>
              <w:jc w:val="center"/>
              <w:rPr>
                <w:rFonts w:hint="eastAsia" w:ascii="宋体" w:hAnsi="宋体" w:eastAsia="宋体" w:cs="宋体"/>
                <w:color w:val="000000"/>
                <w:sz w:val="24"/>
                <w:highlight w:val="none"/>
              </w:rPr>
            </w:pPr>
          </w:p>
        </w:tc>
      </w:tr>
      <w:tr w14:paraId="76A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14A38E46">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29F3761D">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5C44A304">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2274735B">
            <w:pPr>
              <w:spacing w:line="360" w:lineRule="auto"/>
              <w:jc w:val="center"/>
              <w:rPr>
                <w:rFonts w:hint="eastAsia" w:ascii="宋体" w:hAnsi="宋体" w:eastAsia="宋体" w:cs="宋体"/>
                <w:color w:val="000000"/>
                <w:sz w:val="24"/>
                <w:highlight w:val="none"/>
              </w:rPr>
            </w:pPr>
          </w:p>
        </w:tc>
      </w:tr>
      <w:tr w14:paraId="3803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21514BAA">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507D1A05">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79848CE5">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7B539A90">
            <w:pPr>
              <w:spacing w:line="360" w:lineRule="auto"/>
              <w:jc w:val="center"/>
              <w:rPr>
                <w:rFonts w:hint="eastAsia" w:ascii="宋体" w:hAnsi="宋体" w:eastAsia="宋体" w:cs="宋体"/>
                <w:color w:val="000000"/>
                <w:sz w:val="24"/>
                <w:highlight w:val="none"/>
              </w:rPr>
            </w:pPr>
          </w:p>
        </w:tc>
      </w:tr>
      <w:tr w14:paraId="27D8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2A2528A8">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16D29B12">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42F9948F">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2D589555">
            <w:pPr>
              <w:spacing w:line="360" w:lineRule="auto"/>
              <w:jc w:val="center"/>
              <w:rPr>
                <w:rFonts w:hint="eastAsia" w:ascii="宋体" w:hAnsi="宋体" w:eastAsia="宋体" w:cs="宋体"/>
                <w:color w:val="000000"/>
                <w:sz w:val="24"/>
                <w:highlight w:val="none"/>
              </w:rPr>
            </w:pPr>
          </w:p>
        </w:tc>
      </w:tr>
      <w:tr w14:paraId="6353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5630C996">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5A858200">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047B06E4">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24E2A922">
            <w:pPr>
              <w:spacing w:line="360" w:lineRule="auto"/>
              <w:jc w:val="center"/>
              <w:rPr>
                <w:rFonts w:hint="eastAsia" w:ascii="宋体" w:hAnsi="宋体" w:eastAsia="宋体" w:cs="宋体"/>
                <w:color w:val="000000"/>
                <w:sz w:val="24"/>
                <w:highlight w:val="none"/>
              </w:rPr>
            </w:pPr>
          </w:p>
        </w:tc>
      </w:tr>
      <w:tr w14:paraId="70C6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noWrap w:val="0"/>
            <w:vAlign w:val="center"/>
          </w:tcPr>
          <w:p w14:paraId="3D0CEEE9">
            <w:pPr>
              <w:spacing w:line="360" w:lineRule="auto"/>
              <w:jc w:val="center"/>
              <w:rPr>
                <w:rFonts w:hint="eastAsia" w:ascii="宋体" w:hAnsi="宋体" w:eastAsia="宋体" w:cs="宋体"/>
                <w:color w:val="000000"/>
                <w:sz w:val="24"/>
                <w:highlight w:val="none"/>
              </w:rPr>
            </w:pPr>
          </w:p>
        </w:tc>
        <w:tc>
          <w:tcPr>
            <w:tcW w:w="3260" w:type="dxa"/>
            <w:gridSpan w:val="5"/>
            <w:noWrap w:val="0"/>
            <w:vAlign w:val="center"/>
          </w:tcPr>
          <w:p w14:paraId="5E2CAD3C">
            <w:pPr>
              <w:spacing w:line="360" w:lineRule="auto"/>
              <w:jc w:val="center"/>
              <w:rPr>
                <w:rFonts w:hint="eastAsia" w:ascii="宋体" w:hAnsi="宋体" w:eastAsia="宋体" w:cs="宋体"/>
                <w:color w:val="000000"/>
                <w:sz w:val="24"/>
                <w:highlight w:val="none"/>
              </w:rPr>
            </w:pPr>
          </w:p>
        </w:tc>
        <w:tc>
          <w:tcPr>
            <w:tcW w:w="2311" w:type="dxa"/>
            <w:gridSpan w:val="2"/>
            <w:noWrap w:val="0"/>
            <w:vAlign w:val="center"/>
          </w:tcPr>
          <w:p w14:paraId="57C25A92">
            <w:pPr>
              <w:spacing w:line="360" w:lineRule="auto"/>
              <w:jc w:val="center"/>
              <w:rPr>
                <w:rFonts w:hint="eastAsia" w:ascii="宋体" w:hAnsi="宋体" w:eastAsia="宋体" w:cs="宋体"/>
                <w:color w:val="000000"/>
                <w:sz w:val="24"/>
                <w:highlight w:val="none"/>
              </w:rPr>
            </w:pPr>
          </w:p>
        </w:tc>
        <w:tc>
          <w:tcPr>
            <w:tcW w:w="2410" w:type="dxa"/>
            <w:gridSpan w:val="3"/>
            <w:noWrap w:val="0"/>
            <w:vAlign w:val="center"/>
          </w:tcPr>
          <w:p w14:paraId="51DD322D">
            <w:pPr>
              <w:spacing w:line="360" w:lineRule="auto"/>
              <w:jc w:val="center"/>
              <w:rPr>
                <w:rFonts w:hint="eastAsia" w:ascii="宋体" w:hAnsi="宋体" w:eastAsia="宋体" w:cs="宋体"/>
                <w:color w:val="000000"/>
                <w:sz w:val="24"/>
                <w:highlight w:val="none"/>
              </w:rPr>
            </w:pPr>
          </w:p>
        </w:tc>
      </w:tr>
    </w:tbl>
    <w:p w14:paraId="1C0AF31F">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附资格证明文件。</w:t>
      </w:r>
    </w:p>
    <w:p w14:paraId="5EEE35ED">
      <w:pPr>
        <w:spacing w:line="360" w:lineRule="auto"/>
        <w:rPr>
          <w:rFonts w:hint="eastAsia" w:ascii="宋体" w:hAnsi="宋体" w:eastAsia="宋体" w:cs="宋体"/>
          <w:color w:val="000000"/>
          <w:sz w:val="24"/>
          <w:highlight w:val="none"/>
        </w:rPr>
      </w:pPr>
    </w:p>
    <w:p w14:paraId="2232378E">
      <w:pPr>
        <w:spacing w:line="360" w:lineRule="auto"/>
        <w:rPr>
          <w:rFonts w:hint="eastAsia" w:ascii="宋体" w:hAnsi="宋体" w:eastAsia="宋体" w:cs="宋体"/>
          <w:color w:val="000000"/>
          <w:sz w:val="24"/>
          <w:highlight w:val="none"/>
        </w:rPr>
      </w:pPr>
    </w:p>
    <w:p w14:paraId="40173A18">
      <w:pPr>
        <w:spacing w:line="360" w:lineRule="auto"/>
        <w:rPr>
          <w:rFonts w:hint="eastAsia" w:ascii="宋体" w:hAnsi="宋体" w:eastAsia="宋体" w:cs="宋体"/>
          <w:color w:val="000000"/>
          <w:sz w:val="24"/>
          <w:highlight w:val="none"/>
        </w:rPr>
      </w:pPr>
    </w:p>
    <w:p w14:paraId="59CD7335">
      <w:pPr>
        <w:spacing w:line="360" w:lineRule="auto"/>
        <w:rPr>
          <w:rFonts w:hint="eastAsia" w:ascii="宋体" w:hAnsi="宋体" w:eastAsia="宋体" w:cs="宋体"/>
          <w:color w:val="000000"/>
          <w:sz w:val="24"/>
          <w:highlight w:val="none"/>
        </w:rPr>
      </w:pPr>
    </w:p>
    <w:p w14:paraId="1FE0103A">
      <w:pPr>
        <w:pStyle w:val="2"/>
        <w:numPr>
          <w:ilvl w:val="0"/>
          <w:numId w:val="0"/>
        </w:numPr>
        <w:tabs>
          <w:tab w:val="left" w:pos="5852"/>
        </w:tabs>
        <w:spacing w:line="360" w:lineRule="auto"/>
        <w:rPr>
          <w:rFonts w:hint="eastAsia" w:ascii="宋体" w:hAnsi="宋体" w:eastAsia="宋体" w:cs="宋体"/>
          <w:color w:val="000000"/>
          <w:sz w:val="24"/>
          <w:szCs w:val="24"/>
          <w:highlight w:val="none"/>
        </w:rPr>
      </w:pPr>
      <w:bookmarkStart w:id="643" w:name="_Toc5023"/>
      <w:bookmarkStart w:id="644" w:name="_Toc19113"/>
      <w:bookmarkStart w:id="645" w:name="_Toc10854"/>
      <w:r>
        <w:rPr>
          <w:rFonts w:hint="eastAsia" w:ascii="宋体" w:hAnsi="宋体" w:eastAsia="宋体" w:cs="宋体"/>
          <w:color w:val="000000"/>
          <w:sz w:val="24"/>
          <w:szCs w:val="24"/>
          <w:highlight w:val="none"/>
        </w:rPr>
        <w:t>（3）其他主要技术人员情况表</w:t>
      </w:r>
      <w:bookmarkEnd w:id="643"/>
      <w:bookmarkEnd w:id="644"/>
      <w:bookmarkEnd w:id="645"/>
    </w:p>
    <w:tbl>
      <w:tblPr>
        <w:tblStyle w:val="30"/>
        <w:tblW w:w="0" w:type="auto"/>
        <w:tblInd w:w="0" w:type="dxa"/>
        <w:tblLayout w:type="fixed"/>
        <w:tblCellMar>
          <w:top w:w="0" w:type="dxa"/>
          <w:left w:w="108" w:type="dxa"/>
          <w:bottom w:w="0" w:type="dxa"/>
          <w:right w:w="108" w:type="dxa"/>
        </w:tblCellMar>
      </w:tblPr>
      <w:tblGrid>
        <w:gridCol w:w="1071"/>
        <w:gridCol w:w="1305"/>
        <w:gridCol w:w="1228"/>
        <w:gridCol w:w="1108"/>
        <w:gridCol w:w="1741"/>
        <w:gridCol w:w="1109"/>
        <w:gridCol w:w="1900"/>
      </w:tblGrid>
      <w:tr w14:paraId="1F0BC4E3">
        <w:tblPrEx>
          <w:tblCellMar>
            <w:top w:w="0" w:type="dxa"/>
            <w:left w:w="108" w:type="dxa"/>
            <w:bottom w:w="0" w:type="dxa"/>
            <w:right w:w="108" w:type="dxa"/>
          </w:tblCellMar>
        </w:tblPrEx>
        <w:trPr>
          <w:cantSplit/>
          <w:trHeight w:val="791"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3C1A6118">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305" w:type="dxa"/>
            <w:tcBorders>
              <w:top w:val="single" w:color="auto" w:sz="4" w:space="0"/>
              <w:left w:val="nil"/>
              <w:bottom w:val="single" w:color="auto" w:sz="4" w:space="0"/>
              <w:right w:val="single" w:color="auto" w:sz="4" w:space="0"/>
            </w:tcBorders>
            <w:noWrap w:val="0"/>
            <w:vAlign w:val="center"/>
          </w:tcPr>
          <w:p w14:paraId="1CC43973">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专业</w:t>
            </w:r>
          </w:p>
          <w:p w14:paraId="2ED766D7">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学历</w:t>
            </w:r>
          </w:p>
        </w:tc>
        <w:tc>
          <w:tcPr>
            <w:tcW w:w="1228" w:type="dxa"/>
            <w:tcBorders>
              <w:top w:val="single" w:color="auto" w:sz="4" w:space="0"/>
              <w:left w:val="nil"/>
              <w:bottom w:val="single" w:color="auto" w:sz="4" w:space="0"/>
              <w:right w:val="single" w:color="auto" w:sz="4" w:space="0"/>
            </w:tcBorders>
            <w:noWrap w:val="0"/>
            <w:vAlign w:val="center"/>
          </w:tcPr>
          <w:p w14:paraId="4701DB24">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性别</w:t>
            </w:r>
          </w:p>
        </w:tc>
        <w:tc>
          <w:tcPr>
            <w:tcW w:w="1108" w:type="dxa"/>
            <w:tcBorders>
              <w:top w:val="single" w:color="auto" w:sz="4" w:space="0"/>
              <w:left w:val="nil"/>
              <w:bottom w:val="single" w:color="auto" w:sz="4" w:space="0"/>
              <w:right w:val="single" w:color="auto" w:sz="4" w:space="0"/>
            </w:tcBorders>
            <w:noWrap w:val="0"/>
            <w:vAlign w:val="center"/>
          </w:tcPr>
          <w:p w14:paraId="228B414F">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年龄</w:t>
            </w:r>
          </w:p>
        </w:tc>
        <w:tc>
          <w:tcPr>
            <w:tcW w:w="1741" w:type="dxa"/>
            <w:tcBorders>
              <w:top w:val="single" w:color="auto" w:sz="4" w:space="0"/>
              <w:left w:val="nil"/>
              <w:bottom w:val="single" w:color="auto" w:sz="4" w:space="0"/>
              <w:right w:val="single" w:color="auto" w:sz="4" w:space="0"/>
            </w:tcBorders>
            <w:noWrap w:val="0"/>
            <w:vAlign w:val="center"/>
          </w:tcPr>
          <w:p w14:paraId="68753547">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职称资格</w:t>
            </w:r>
          </w:p>
        </w:tc>
        <w:tc>
          <w:tcPr>
            <w:tcW w:w="1109" w:type="dxa"/>
            <w:tcBorders>
              <w:top w:val="single" w:color="auto" w:sz="4" w:space="0"/>
              <w:left w:val="nil"/>
              <w:bottom w:val="single" w:color="auto" w:sz="4" w:space="0"/>
              <w:right w:val="single" w:color="auto" w:sz="4" w:space="0"/>
            </w:tcBorders>
            <w:noWrap w:val="0"/>
            <w:vAlign w:val="center"/>
          </w:tcPr>
          <w:p w14:paraId="2595FDA1">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专业工作年限</w:t>
            </w:r>
          </w:p>
        </w:tc>
        <w:tc>
          <w:tcPr>
            <w:tcW w:w="1900" w:type="dxa"/>
            <w:tcBorders>
              <w:top w:val="single" w:color="auto" w:sz="4" w:space="0"/>
              <w:left w:val="nil"/>
              <w:bottom w:val="single" w:color="auto" w:sz="4" w:space="0"/>
              <w:right w:val="single" w:color="auto" w:sz="4" w:space="0"/>
            </w:tcBorders>
            <w:noWrap w:val="0"/>
            <w:vAlign w:val="center"/>
          </w:tcPr>
          <w:p w14:paraId="2E803F7B">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本项目中拟任职务</w:t>
            </w:r>
          </w:p>
        </w:tc>
      </w:tr>
      <w:tr w14:paraId="337A5C19">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65194CA1">
            <w:pPr>
              <w:spacing w:line="360" w:lineRule="auto"/>
              <w:jc w:val="center"/>
              <w:rPr>
                <w:rFonts w:hint="eastAsia" w:ascii="宋体" w:hAnsi="宋体" w:eastAsia="宋体" w:cs="宋体"/>
                <w:color w:val="00000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3BBC9F9D">
            <w:pPr>
              <w:spacing w:line="360" w:lineRule="auto"/>
              <w:jc w:val="center"/>
              <w:rPr>
                <w:rFonts w:hint="eastAsia" w:ascii="宋体" w:hAnsi="宋体" w:eastAsia="宋体" w:cs="宋体"/>
                <w:color w:val="00000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320D29EF">
            <w:pPr>
              <w:spacing w:line="360" w:lineRule="auto"/>
              <w:jc w:val="center"/>
              <w:rPr>
                <w:rFonts w:hint="eastAsia" w:ascii="宋体" w:hAnsi="宋体" w:eastAsia="宋体" w:cs="宋体"/>
                <w:color w:val="00000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0B8C2663">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3AAC6BD6">
            <w:pPr>
              <w:spacing w:line="360" w:lineRule="auto"/>
              <w:jc w:val="center"/>
              <w:rPr>
                <w:rFonts w:hint="eastAsia" w:ascii="宋体" w:hAnsi="宋体" w:eastAsia="宋体" w:cs="宋体"/>
                <w:color w:val="00000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32C1F9F0">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30C58CF5">
            <w:pPr>
              <w:spacing w:line="360" w:lineRule="auto"/>
              <w:jc w:val="center"/>
              <w:rPr>
                <w:rFonts w:hint="eastAsia" w:ascii="宋体" w:hAnsi="宋体" w:eastAsia="宋体" w:cs="宋体"/>
                <w:color w:val="000000"/>
                <w:sz w:val="24"/>
                <w:highlight w:val="none"/>
              </w:rPr>
            </w:pPr>
          </w:p>
        </w:tc>
      </w:tr>
      <w:tr w14:paraId="6B426691">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5AB4041E">
            <w:pPr>
              <w:spacing w:line="360" w:lineRule="auto"/>
              <w:jc w:val="center"/>
              <w:rPr>
                <w:rFonts w:hint="eastAsia" w:ascii="宋体" w:hAnsi="宋体" w:eastAsia="宋体" w:cs="宋体"/>
                <w:color w:val="000000"/>
                <w:kern w:val="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7A23E632">
            <w:pPr>
              <w:spacing w:line="360" w:lineRule="auto"/>
              <w:jc w:val="center"/>
              <w:rPr>
                <w:rFonts w:hint="eastAsia" w:ascii="宋体" w:hAnsi="宋体" w:eastAsia="宋体" w:cs="宋体"/>
                <w:color w:val="000000"/>
                <w:kern w:val="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3B8DE1B7">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3DF9231A">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29BC57A7">
            <w:pPr>
              <w:spacing w:line="360" w:lineRule="auto"/>
              <w:jc w:val="center"/>
              <w:rPr>
                <w:rFonts w:hint="eastAsia" w:ascii="宋体" w:hAnsi="宋体" w:eastAsia="宋体" w:cs="宋体"/>
                <w:color w:val="000000"/>
                <w:kern w:val="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59C8D794">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41D249AF">
            <w:pPr>
              <w:spacing w:line="360" w:lineRule="auto"/>
              <w:jc w:val="center"/>
              <w:rPr>
                <w:rFonts w:hint="eastAsia" w:ascii="宋体" w:hAnsi="宋体" w:eastAsia="宋体" w:cs="宋体"/>
                <w:color w:val="000000"/>
                <w:kern w:val="0"/>
                <w:sz w:val="24"/>
                <w:highlight w:val="none"/>
              </w:rPr>
            </w:pPr>
          </w:p>
        </w:tc>
      </w:tr>
      <w:tr w14:paraId="2A773877">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7D4626E9">
            <w:pPr>
              <w:spacing w:line="360" w:lineRule="auto"/>
              <w:jc w:val="center"/>
              <w:rPr>
                <w:rFonts w:hint="eastAsia" w:ascii="宋体" w:hAnsi="宋体" w:eastAsia="宋体" w:cs="宋体"/>
                <w:color w:val="000000"/>
                <w:kern w:val="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2592E079">
            <w:pPr>
              <w:spacing w:line="360" w:lineRule="auto"/>
              <w:jc w:val="center"/>
              <w:rPr>
                <w:rFonts w:hint="eastAsia" w:ascii="宋体" w:hAnsi="宋体" w:eastAsia="宋体" w:cs="宋体"/>
                <w:color w:val="000000"/>
                <w:kern w:val="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6DD13262">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1EC2B60C">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2307B031">
            <w:pPr>
              <w:spacing w:line="360" w:lineRule="auto"/>
              <w:jc w:val="center"/>
              <w:rPr>
                <w:rFonts w:hint="eastAsia" w:ascii="宋体" w:hAnsi="宋体" w:eastAsia="宋体" w:cs="宋体"/>
                <w:color w:val="000000"/>
                <w:kern w:val="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00DC3A13">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364671DA">
            <w:pPr>
              <w:spacing w:line="360" w:lineRule="auto"/>
              <w:jc w:val="center"/>
              <w:rPr>
                <w:rFonts w:hint="eastAsia" w:ascii="宋体" w:hAnsi="宋体" w:eastAsia="宋体" w:cs="宋体"/>
                <w:color w:val="000000"/>
                <w:kern w:val="0"/>
                <w:sz w:val="24"/>
                <w:highlight w:val="none"/>
              </w:rPr>
            </w:pPr>
          </w:p>
        </w:tc>
      </w:tr>
      <w:tr w14:paraId="74ED11B8">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3E868C86">
            <w:pPr>
              <w:spacing w:line="360" w:lineRule="auto"/>
              <w:jc w:val="center"/>
              <w:rPr>
                <w:rFonts w:hint="eastAsia" w:ascii="宋体" w:hAnsi="宋体" w:eastAsia="宋体" w:cs="宋体"/>
                <w:color w:val="000000"/>
                <w:kern w:val="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072FBB82">
            <w:pPr>
              <w:spacing w:line="360" w:lineRule="auto"/>
              <w:jc w:val="center"/>
              <w:rPr>
                <w:rFonts w:hint="eastAsia" w:ascii="宋体" w:hAnsi="宋体" w:eastAsia="宋体" w:cs="宋体"/>
                <w:color w:val="000000"/>
                <w:kern w:val="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7DEE43FE">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5E57E4C4">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2951C717">
            <w:pPr>
              <w:spacing w:line="360" w:lineRule="auto"/>
              <w:jc w:val="center"/>
              <w:rPr>
                <w:rFonts w:hint="eastAsia" w:ascii="宋体" w:hAnsi="宋体" w:eastAsia="宋体" w:cs="宋体"/>
                <w:color w:val="000000"/>
                <w:kern w:val="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307E750B">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5F653D26">
            <w:pPr>
              <w:spacing w:line="360" w:lineRule="auto"/>
              <w:jc w:val="center"/>
              <w:rPr>
                <w:rFonts w:hint="eastAsia" w:ascii="宋体" w:hAnsi="宋体" w:eastAsia="宋体" w:cs="宋体"/>
                <w:color w:val="000000"/>
                <w:kern w:val="0"/>
                <w:sz w:val="24"/>
                <w:highlight w:val="none"/>
              </w:rPr>
            </w:pPr>
          </w:p>
        </w:tc>
      </w:tr>
      <w:tr w14:paraId="15A02ACC">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528F81B4">
            <w:pPr>
              <w:spacing w:line="360" w:lineRule="auto"/>
              <w:jc w:val="center"/>
              <w:rPr>
                <w:rFonts w:hint="eastAsia" w:ascii="宋体" w:hAnsi="宋体" w:eastAsia="宋体" w:cs="宋体"/>
                <w:color w:val="000000"/>
                <w:kern w:val="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14620AF1">
            <w:pPr>
              <w:spacing w:line="360" w:lineRule="auto"/>
              <w:jc w:val="center"/>
              <w:rPr>
                <w:rFonts w:hint="eastAsia" w:ascii="宋体" w:hAnsi="宋体" w:eastAsia="宋体" w:cs="宋体"/>
                <w:color w:val="000000"/>
                <w:kern w:val="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49CDE594">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204A75F6">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2CF12DF8">
            <w:pPr>
              <w:spacing w:line="360" w:lineRule="auto"/>
              <w:jc w:val="center"/>
              <w:rPr>
                <w:rFonts w:hint="eastAsia" w:ascii="宋体" w:hAnsi="宋体" w:eastAsia="宋体" w:cs="宋体"/>
                <w:color w:val="000000"/>
                <w:kern w:val="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478A9F23">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4C232448">
            <w:pPr>
              <w:spacing w:line="360" w:lineRule="auto"/>
              <w:jc w:val="center"/>
              <w:rPr>
                <w:rFonts w:hint="eastAsia" w:ascii="宋体" w:hAnsi="宋体" w:eastAsia="宋体" w:cs="宋体"/>
                <w:color w:val="000000"/>
                <w:kern w:val="0"/>
                <w:sz w:val="24"/>
                <w:highlight w:val="none"/>
              </w:rPr>
            </w:pPr>
          </w:p>
        </w:tc>
      </w:tr>
      <w:tr w14:paraId="149FA17A">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37D7CD63">
            <w:pPr>
              <w:spacing w:line="360" w:lineRule="auto"/>
              <w:jc w:val="center"/>
              <w:rPr>
                <w:rFonts w:hint="eastAsia" w:ascii="宋体" w:hAnsi="宋体" w:eastAsia="宋体" w:cs="宋体"/>
                <w:color w:val="000000"/>
                <w:kern w:val="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61BCF642">
            <w:pPr>
              <w:spacing w:line="360" w:lineRule="auto"/>
              <w:jc w:val="center"/>
              <w:rPr>
                <w:rFonts w:hint="eastAsia" w:ascii="宋体" w:hAnsi="宋体" w:eastAsia="宋体" w:cs="宋体"/>
                <w:color w:val="00000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217EF82D">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50490894">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18652C88">
            <w:pPr>
              <w:spacing w:line="360" w:lineRule="auto"/>
              <w:jc w:val="center"/>
              <w:rPr>
                <w:rFonts w:hint="eastAsia" w:ascii="宋体" w:hAnsi="宋体" w:eastAsia="宋体" w:cs="宋体"/>
                <w:color w:val="00000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7FA7B947">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039CC4CE">
            <w:pPr>
              <w:spacing w:line="360" w:lineRule="auto"/>
              <w:jc w:val="center"/>
              <w:rPr>
                <w:rFonts w:hint="eastAsia" w:ascii="宋体" w:hAnsi="宋体" w:eastAsia="宋体" w:cs="宋体"/>
                <w:color w:val="000000"/>
                <w:kern w:val="0"/>
                <w:sz w:val="24"/>
                <w:highlight w:val="none"/>
              </w:rPr>
            </w:pPr>
          </w:p>
        </w:tc>
      </w:tr>
      <w:tr w14:paraId="361CC201">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76E7ADC6">
            <w:pPr>
              <w:spacing w:line="360" w:lineRule="auto"/>
              <w:jc w:val="center"/>
              <w:rPr>
                <w:rFonts w:hint="eastAsia" w:ascii="宋体" w:hAnsi="宋体" w:eastAsia="宋体" w:cs="宋体"/>
                <w:color w:val="000000"/>
                <w:kern w:val="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5DADFDB8">
            <w:pPr>
              <w:spacing w:line="360" w:lineRule="auto"/>
              <w:jc w:val="center"/>
              <w:rPr>
                <w:rFonts w:hint="eastAsia" w:ascii="宋体" w:hAnsi="宋体" w:eastAsia="宋体" w:cs="宋体"/>
                <w:color w:val="00000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1725BFE7">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1D96547C">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13D070CB">
            <w:pPr>
              <w:spacing w:line="360" w:lineRule="auto"/>
              <w:jc w:val="center"/>
              <w:rPr>
                <w:rFonts w:hint="eastAsia" w:ascii="宋体" w:hAnsi="宋体" w:eastAsia="宋体" w:cs="宋体"/>
                <w:color w:val="000000"/>
                <w:kern w:val="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1643BCF1">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33771C72">
            <w:pPr>
              <w:spacing w:line="360" w:lineRule="auto"/>
              <w:jc w:val="center"/>
              <w:rPr>
                <w:rFonts w:hint="eastAsia" w:ascii="宋体" w:hAnsi="宋体" w:eastAsia="宋体" w:cs="宋体"/>
                <w:color w:val="000000"/>
                <w:kern w:val="0"/>
                <w:sz w:val="24"/>
                <w:highlight w:val="none"/>
              </w:rPr>
            </w:pPr>
          </w:p>
        </w:tc>
      </w:tr>
      <w:tr w14:paraId="5D0304D2">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62C1102A">
            <w:pPr>
              <w:spacing w:line="360" w:lineRule="auto"/>
              <w:jc w:val="center"/>
              <w:rPr>
                <w:rFonts w:hint="eastAsia" w:ascii="宋体" w:hAnsi="宋体" w:eastAsia="宋体" w:cs="宋体"/>
                <w:color w:val="000000"/>
                <w:kern w:val="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449EDE12">
            <w:pPr>
              <w:spacing w:line="360" w:lineRule="auto"/>
              <w:jc w:val="center"/>
              <w:rPr>
                <w:rFonts w:hint="eastAsia" w:ascii="宋体" w:hAnsi="宋体" w:eastAsia="宋体" w:cs="宋体"/>
                <w:color w:val="00000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16BA8E0F">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41C365A6">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3C0F8A44">
            <w:pPr>
              <w:spacing w:line="360" w:lineRule="auto"/>
              <w:jc w:val="center"/>
              <w:rPr>
                <w:rFonts w:hint="eastAsia" w:ascii="宋体" w:hAnsi="宋体" w:eastAsia="宋体" w:cs="宋体"/>
                <w:color w:val="00000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6F5F5C0E">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6706D269">
            <w:pPr>
              <w:spacing w:line="360" w:lineRule="auto"/>
              <w:jc w:val="center"/>
              <w:rPr>
                <w:rFonts w:hint="eastAsia" w:ascii="宋体" w:hAnsi="宋体" w:eastAsia="宋体" w:cs="宋体"/>
                <w:color w:val="000000"/>
                <w:kern w:val="0"/>
                <w:sz w:val="24"/>
                <w:highlight w:val="none"/>
              </w:rPr>
            </w:pPr>
          </w:p>
        </w:tc>
      </w:tr>
      <w:tr w14:paraId="575B7B50">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43CF910E">
            <w:pPr>
              <w:spacing w:line="360" w:lineRule="auto"/>
              <w:jc w:val="center"/>
              <w:rPr>
                <w:rFonts w:hint="eastAsia" w:ascii="宋体" w:hAnsi="宋体" w:eastAsia="宋体" w:cs="宋体"/>
                <w:color w:val="00000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43E6E625">
            <w:pPr>
              <w:spacing w:line="360" w:lineRule="auto"/>
              <w:jc w:val="center"/>
              <w:rPr>
                <w:rFonts w:hint="eastAsia" w:ascii="宋体" w:hAnsi="宋体" w:eastAsia="宋体" w:cs="宋体"/>
                <w:color w:val="000000"/>
                <w:kern w:val="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053264AC">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741136EB">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387A9AFC">
            <w:pPr>
              <w:spacing w:line="360" w:lineRule="auto"/>
              <w:jc w:val="center"/>
              <w:rPr>
                <w:rFonts w:hint="eastAsia" w:ascii="宋体" w:hAnsi="宋体" w:eastAsia="宋体" w:cs="宋体"/>
                <w:color w:val="000000"/>
                <w:kern w:val="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36A28C32">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2025F7BA">
            <w:pPr>
              <w:spacing w:line="360" w:lineRule="auto"/>
              <w:jc w:val="center"/>
              <w:rPr>
                <w:rFonts w:hint="eastAsia" w:ascii="宋体" w:hAnsi="宋体" w:eastAsia="宋体" w:cs="宋体"/>
                <w:color w:val="000000"/>
                <w:kern w:val="0"/>
                <w:sz w:val="24"/>
                <w:highlight w:val="none"/>
              </w:rPr>
            </w:pPr>
          </w:p>
        </w:tc>
      </w:tr>
      <w:tr w14:paraId="64DCE866">
        <w:tblPrEx>
          <w:tblCellMar>
            <w:top w:w="0" w:type="dxa"/>
            <w:left w:w="108" w:type="dxa"/>
            <w:bottom w:w="0" w:type="dxa"/>
            <w:right w:w="108" w:type="dxa"/>
          </w:tblCellMar>
        </w:tblPrEx>
        <w:trPr>
          <w:cantSplit/>
          <w:trHeight w:val="687"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2CC6B3DB">
            <w:pPr>
              <w:spacing w:line="360" w:lineRule="auto"/>
              <w:jc w:val="center"/>
              <w:rPr>
                <w:rFonts w:hint="eastAsia" w:ascii="宋体" w:hAnsi="宋体" w:eastAsia="宋体" w:cs="宋体"/>
                <w:color w:val="000000"/>
                <w:sz w:val="24"/>
                <w:highlight w:val="none"/>
              </w:rPr>
            </w:pPr>
          </w:p>
        </w:tc>
        <w:tc>
          <w:tcPr>
            <w:tcW w:w="1305" w:type="dxa"/>
            <w:tcBorders>
              <w:top w:val="single" w:color="auto" w:sz="4" w:space="0"/>
              <w:left w:val="nil"/>
              <w:bottom w:val="single" w:color="auto" w:sz="4" w:space="0"/>
              <w:right w:val="single" w:color="auto" w:sz="4" w:space="0"/>
            </w:tcBorders>
            <w:noWrap w:val="0"/>
            <w:vAlign w:val="center"/>
          </w:tcPr>
          <w:p w14:paraId="617F0ECA">
            <w:pPr>
              <w:spacing w:line="360" w:lineRule="auto"/>
              <w:jc w:val="center"/>
              <w:rPr>
                <w:rFonts w:hint="eastAsia" w:ascii="宋体" w:hAnsi="宋体" w:eastAsia="宋体" w:cs="宋体"/>
                <w:color w:val="000000"/>
                <w:kern w:val="0"/>
                <w:sz w:val="24"/>
                <w:highlight w:val="none"/>
              </w:rPr>
            </w:pPr>
          </w:p>
        </w:tc>
        <w:tc>
          <w:tcPr>
            <w:tcW w:w="1228" w:type="dxa"/>
            <w:tcBorders>
              <w:top w:val="single" w:color="auto" w:sz="4" w:space="0"/>
              <w:left w:val="nil"/>
              <w:bottom w:val="single" w:color="auto" w:sz="4" w:space="0"/>
              <w:right w:val="single" w:color="auto" w:sz="4" w:space="0"/>
            </w:tcBorders>
            <w:noWrap w:val="0"/>
            <w:vAlign w:val="center"/>
          </w:tcPr>
          <w:p w14:paraId="07B56F68">
            <w:pPr>
              <w:spacing w:line="360" w:lineRule="auto"/>
              <w:jc w:val="center"/>
              <w:rPr>
                <w:rFonts w:hint="eastAsia" w:ascii="宋体" w:hAnsi="宋体" w:eastAsia="宋体" w:cs="宋体"/>
                <w:color w:val="000000"/>
                <w:kern w:val="0"/>
                <w:sz w:val="24"/>
                <w:highlight w:val="none"/>
              </w:rPr>
            </w:pPr>
          </w:p>
        </w:tc>
        <w:tc>
          <w:tcPr>
            <w:tcW w:w="1108" w:type="dxa"/>
            <w:tcBorders>
              <w:top w:val="single" w:color="auto" w:sz="4" w:space="0"/>
              <w:left w:val="nil"/>
              <w:bottom w:val="single" w:color="auto" w:sz="4" w:space="0"/>
              <w:right w:val="single" w:color="auto" w:sz="4" w:space="0"/>
            </w:tcBorders>
            <w:noWrap w:val="0"/>
            <w:vAlign w:val="center"/>
          </w:tcPr>
          <w:p w14:paraId="14204F52">
            <w:pPr>
              <w:spacing w:line="360" w:lineRule="auto"/>
              <w:jc w:val="center"/>
              <w:rPr>
                <w:rFonts w:hint="eastAsia" w:ascii="宋体" w:hAnsi="宋体" w:eastAsia="宋体" w:cs="宋体"/>
                <w:color w:val="000000"/>
                <w:sz w:val="24"/>
                <w:highlight w:val="none"/>
              </w:rPr>
            </w:pPr>
          </w:p>
        </w:tc>
        <w:tc>
          <w:tcPr>
            <w:tcW w:w="1741" w:type="dxa"/>
            <w:tcBorders>
              <w:top w:val="single" w:color="auto" w:sz="4" w:space="0"/>
              <w:left w:val="nil"/>
              <w:bottom w:val="single" w:color="auto" w:sz="4" w:space="0"/>
              <w:right w:val="single" w:color="auto" w:sz="4" w:space="0"/>
            </w:tcBorders>
            <w:noWrap w:val="0"/>
            <w:vAlign w:val="center"/>
          </w:tcPr>
          <w:p w14:paraId="377F403D">
            <w:pPr>
              <w:spacing w:line="360" w:lineRule="auto"/>
              <w:jc w:val="center"/>
              <w:rPr>
                <w:rFonts w:hint="eastAsia" w:ascii="宋体" w:hAnsi="宋体" w:eastAsia="宋体" w:cs="宋体"/>
                <w:color w:val="000000"/>
                <w:kern w:val="0"/>
                <w:sz w:val="24"/>
                <w:highlight w:val="none"/>
              </w:rPr>
            </w:pPr>
          </w:p>
        </w:tc>
        <w:tc>
          <w:tcPr>
            <w:tcW w:w="1109" w:type="dxa"/>
            <w:tcBorders>
              <w:top w:val="single" w:color="auto" w:sz="4" w:space="0"/>
              <w:left w:val="nil"/>
              <w:bottom w:val="single" w:color="auto" w:sz="4" w:space="0"/>
              <w:right w:val="single" w:color="auto" w:sz="4" w:space="0"/>
            </w:tcBorders>
            <w:noWrap w:val="0"/>
            <w:vAlign w:val="center"/>
          </w:tcPr>
          <w:p w14:paraId="535B4F04">
            <w:pPr>
              <w:spacing w:line="360" w:lineRule="auto"/>
              <w:jc w:val="center"/>
              <w:rPr>
                <w:rFonts w:hint="eastAsia" w:ascii="宋体" w:hAnsi="宋体" w:eastAsia="宋体" w:cs="宋体"/>
                <w:color w:val="000000"/>
                <w:sz w:val="24"/>
                <w:highlight w:val="none"/>
              </w:rPr>
            </w:pPr>
          </w:p>
        </w:tc>
        <w:tc>
          <w:tcPr>
            <w:tcW w:w="1900" w:type="dxa"/>
            <w:tcBorders>
              <w:top w:val="single" w:color="auto" w:sz="4" w:space="0"/>
              <w:left w:val="nil"/>
              <w:bottom w:val="single" w:color="auto" w:sz="4" w:space="0"/>
              <w:right w:val="single" w:color="auto" w:sz="4" w:space="0"/>
            </w:tcBorders>
            <w:noWrap w:val="0"/>
            <w:vAlign w:val="center"/>
          </w:tcPr>
          <w:p w14:paraId="074A7985">
            <w:pPr>
              <w:spacing w:line="360" w:lineRule="auto"/>
              <w:jc w:val="center"/>
              <w:rPr>
                <w:rFonts w:hint="eastAsia" w:ascii="宋体" w:hAnsi="宋体" w:eastAsia="宋体" w:cs="宋体"/>
                <w:color w:val="000000"/>
                <w:kern w:val="0"/>
                <w:sz w:val="24"/>
                <w:highlight w:val="none"/>
              </w:rPr>
            </w:pPr>
          </w:p>
        </w:tc>
      </w:tr>
    </w:tbl>
    <w:p w14:paraId="10F76BCB">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附资格证明文件。</w:t>
      </w:r>
    </w:p>
    <w:p w14:paraId="6F5C5F57">
      <w:pPr>
        <w:spacing w:line="360" w:lineRule="auto"/>
        <w:rPr>
          <w:rFonts w:hint="eastAsia" w:ascii="宋体" w:hAnsi="宋体" w:eastAsia="宋体" w:cs="宋体"/>
          <w:color w:val="000000"/>
          <w:sz w:val="24"/>
          <w:highlight w:val="none"/>
        </w:rPr>
      </w:pPr>
    </w:p>
    <w:p w14:paraId="2756BD55">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0F5D9DF">
      <w:pPr>
        <w:pStyle w:val="15"/>
        <w:tabs>
          <w:tab w:val="left" w:pos="5580"/>
        </w:tabs>
        <w:spacing w:line="400" w:lineRule="exact"/>
        <w:jc w:val="center"/>
        <w:outlineLvl w:val="1"/>
        <w:rPr>
          <w:rFonts w:hint="eastAsia" w:ascii="宋体" w:hAnsi="宋体" w:eastAsia="宋体" w:cs="宋体"/>
          <w:b/>
          <w:bCs/>
          <w:color w:val="auto"/>
          <w:sz w:val="24"/>
          <w:szCs w:val="24"/>
          <w:highlight w:val="none"/>
          <w:lang w:eastAsia="zh-CN"/>
        </w:rPr>
      </w:pPr>
      <w:bookmarkStart w:id="646" w:name="_Toc5248"/>
      <w:bookmarkStart w:id="647" w:name="_Toc17706"/>
      <w:bookmarkStart w:id="648" w:name="_Toc4229"/>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-1  </w:t>
      </w:r>
      <w:bookmarkEnd w:id="628"/>
      <w:bookmarkEnd w:id="629"/>
      <w:bookmarkEnd w:id="630"/>
      <w:bookmarkEnd w:id="631"/>
      <w:bookmarkEnd w:id="632"/>
      <w:bookmarkEnd w:id="633"/>
      <w:bookmarkEnd w:id="634"/>
      <w:r>
        <w:rPr>
          <w:rFonts w:hint="eastAsia" w:ascii="宋体" w:hAnsi="宋体" w:eastAsia="宋体" w:cs="宋体"/>
          <w:b/>
          <w:bCs/>
          <w:color w:val="auto"/>
          <w:sz w:val="24"/>
          <w:szCs w:val="24"/>
          <w:highlight w:val="none"/>
        </w:rPr>
        <w:t>中小企业声明函</w:t>
      </w:r>
      <w:bookmarkEnd w:id="646"/>
      <w:bookmarkEnd w:id="647"/>
      <w:bookmarkEnd w:id="648"/>
      <w:bookmarkStart w:id="649" w:name="_Toc9687"/>
      <w:bookmarkStart w:id="650" w:name="_Toc11343"/>
      <w:bookmarkStart w:id="651" w:name="_Toc2709"/>
      <w:bookmarkStart w:id="652" w:name="_Toc515647824"/>
      <w:bookmarkStart w:id="653" w:name="_Toc10977"/>
      <w:bookmarkStart w:id="654" w:name="_Toc11803"/>
      <w:bookmarkStart w:id="655" w:name="_Toc21610"/>
      <w:r>
        <w:rPr>
          <w:rFonts w:hint="eastAsia" w:hAnsi="宋体" w:cs="宋体"/>
          <w:b/>
          <w:bCs/>
          <w:color w:val="auto"/>
          <w:sz w:val="24"/>
          <w:szCs w:val="24"/>
          <w:highlight w:val="none"/>
          <w:lang w:eastAsia="zh-CN"/>
        </w:rPr>
        <w:t>（服务）</w:t>
      </w:r>
    </w:p>
    <w:p w14:paraId="6A513D5D">
      <w:pPr>
        <w:pStyle w:val="51"/>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本公司（联合体）郑重声明，根据《政府采购促进中小企业发展管理办法》（财库﹝2020﹞46号）的规定，本公司（联合体）参加</w:t>
      </w:r>
      <w:r>
        <w:rPr>
          <w:rFonts w:hint="eastAsia" w:ascii="宋体" w:hAnsi="宋体" w:eastAsia="宋体" w:cs="宋体"/>
          <w:spacing w:val="5"/>
          <w:w w:val="95"/>
          <w:sz w:val="24"/>
          <w:szCs w:val="24"/>
          <w:highlight w:val="none"/>
          <w:u w:val="single"/>
          <w:lang w:val="zh-CN" w:eastAsia="zh-CN" w:bidi="zh-CN"/>
        </w:rPr>
        <w:t>（单位名称）</w:t>
      </w:r>
      <w:r>
        <w:rPr>
          <w:rFonts w:hint="eastAsia" w:ascii="宋体" w:hAnsi="宋体" w:eastAsia="宋体" w:cs="宋体"/>
          <w:spacing w:val="5"/>
          <w:w w:val="95"/>
          <w:sz w:val="24"/>
          <w:szCs w:val="24"/>
          <w:highlight w:val="none"/>
          <w:u w:val="none"/>
          <w:lang w:val="en-US" w:eastAsia="zh-CN" w:bidi="zh-CN"/>
        </w:rPr>
        <w:t>的</w:t>
      </w:r>
      <w:r>
        <w:rPr>
          <w:rFonts w:hint="eastAsia" w:ascii="宋体" w:hAnsi="宋体" w:eastAsia="宋体" w:cs="宋体"/>
          <w:spacing w:val="5"/>
          <w:w w:val="95"/>
          <w:sz w:val="24"/>
          <w:szCs w:val="24"/>
          <w:highlight w:val="none"/>
          <w:u w:val="single"/>
          <w:lang w:val="zh-CN" w:eastAsia="zh-CN" w:bidi="zh-CN"/>
        </w:rPr>
        <w:t>（项目名称）</w:t>
      </w:r>
      <w:r>
        <w:rPr>
          <w:rFonts w:hint="eastAsia" w:ascii="宋体" w:hAnsi="宋体" w:eastAsia="宋体" w:cs="宋体"/>
          <w:spacing w:val="5"/>
          <w:w w:val="95"/>
          <w:sz w:val="24"/>
          <w:szCs w:val="24"/>
          <w:highlight w:val="none"/>
          <w:u w:val="none"/>
          <w:lang w:val="en-US" w:eastAsia="zh-CN" w:bidi="zh-CN"/>
        </w:rPr>
        <w:t>采购活动，服务全部由符合政策要求的中小企业承接。相关企业（含联合体中的中小企业、签订分包意向协议的中小企业）的具体情况如下：</w:t>
      </w:r>
    </w:p>
    <w:p w14:paraId="74E8B3FF">
      <w:pPr>
        <w:pStyle w:val="51"/>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pacing w:val="5"/>
          <w:w w:val="95"/>
          <w:sz w:val="24"/>
          <w:szCs w:val="24"/>
          <w:highlight w:val="none"/>
          <w:u w:val="none"/>
          <w:lang w:val="en-US" w:eastAsia="zh-CN" w:bidi="zh-CN"/>
        </w:rPr>
        <w:t>1.</w:t>
      </w:r>
      <w:r>
        <w:rPr>
          <w:rFonts w:hint="eastAsia" w:ascii="宋体" w:hAnsi="宋体" w:eastAsia="宋体" w:cs="宋体"/>
          <w:spacing w:val="5"/>
          <w:w w:val="95"/>
          <w:sz w:val="24"/>
          <w:szCs w:val="24"/>
          <w:highlight w:val="none"/>
          <w:u w:val="single"/>
          <w:lang w:val="zh-CN" w:eastAsia="zh-CN" w:bidi="zh-CN"/>
        </w:rPr>
        <w:t>（标的名称）</w:t>
      </w:r>
      <w:r>
        <w:rPr>
          <w:rFonts w:hint="eastAsia" w:ascii="宋体" w:hAnsi="宋体" w:eastAsia="宋体" w:cs="宋体"/>
          <w:i/>
          <w:sz w:val="24"/>
          <w:szCs w:val="24"/>
          <w:highlight w:val="none"/>
          <w:u w:val="none"/>
        </w:rPr>
        <w:t xml:space="preserve"> </w:t>
      </w:r>
      <w:r>
        <w:rPr>
          <w:rFonts w:hint="eastAsia" w:ascii="宋体" w:hAnsi="宋体" w:eastAsia="宋体" w:cs="宋体"/>
          <w:spacing w:val="-43"/>
          <w:sz w:val="24"/>
          <w:szCs w:val="24"/>
          <w:highlight w:val="none"/>
          <w:u w:val="none"/>
        </w:rPr>
        <w:t xml:space="preserve">， </w:t>
      </w:r>
      <w:r>
        <w:rPr>
          <w:rFonts w:hint="eastAsia" w:ascii="宋体" w:hAnsi="宋体" w:eastAsia="宋体" w:cs="宋体"/>
          <w:spacing w:val="7"/>
          <w:w w:val="99"/>
          <w:sz w:val="24"/>
          <w:szCs w:val="24"/>
          <w:highlight w:val="none"/>
          <w:u w:val="none"/>
          <w:lang w:val="zh-CN" w:eastAsia="zh-CN"/>
        </w:rPr>
        <w:t>属于</w:t>
      </w:r>
      <w:r>
        <w:rPr>
          <w:rFonts w:hint="eastAsia" w:ascii="宋体" w:hAnsi="宋体" w:eastAsia="宋体" w:cs="宋体"/>
          <w:spacing w:val="5"/>
          <w:w w:val="95"/>
          <w:sz w:val="24"/>
          <w:szCs w:val="24"/>
          <w:highlight w:val="none"/>
          <w:u w:val="single"/>
          <w:lang w:val="zh-CN" w:eastAsia="zh-CN" w:bidi="zh-CN"/>
        </w:rPr>
        <w:t>（采购文件中明确的所属行业）行业</w:t>
      </w:r>
      <w:r>
        <w:rPr>
          <w:rFonts w:hint="eastAsia" w:ascii="宋体" w:hAnsi="宋体" w:eastAsia="宋体" w:cs="宋体"/>
          <w:spacing w:val="7"/>
          <w:w w:val="99"/>
          <w:sz w:val="24"/>
          <w:szCs w:val="24"/>
          <w:highlight w:val="none"/>
          <w:u w:val="none"/>
        </w:rPr>
        <w:t>；</w:t>
      </w:r>
      <w:r>
        <w:rPr>
          <w:rFonts w:hint="eastAsia" w:ascii="宋体" w:hAnsi="宋体" w:eastAsia="宋体" w:cs="宋体"/>
          <w:spacing w:val="5"/>
          <w:w w:val="99"/>
          <w:sz w:val="24"/>
          <w:szCs w:val="24"/>
          <w:highlight w:val="none"/>
          <w:u w:val="none"/>
          <w:lang w:val="en-US" w:eastAsia="zh-CN"/>
        </w:rPr>
        <w:t>承接企业</w:t>
      </w:r>
      <w:r>
        <w:rPr>
          <w:rFonts w:hint="eastAsia" w:ascii="宋体" w:hAnsi="宋体" w:eastAsia="宋体" w:cs="宋体"/>
          <w:spacing w:val="-10"/>
          <w:w w:val="99"/>
          <w:sz w:val="24"/>
          <w:szCs w:val="24"/>
          <w:highlight w:val="none"/>
          <w:u w:val="none"/>
        </w:rPr>
        <w:t>为</w:t>
      </w:r>
      <w:r>
        <w:rPr>
          <w:rFonts w:hint="eastAsia" w:ascii="宋体" w:hAnsi="宋体" w:eastAsia="宋体" w:cs="宋体"/>
          <w:spacing w:val="5"/>
          <w:w w:val="95"/>
          <w:sz w:val="24"/>
          <w:szCs w:val="24"/>
          <w:highlight w:val="none"/>
          <w:u w:val="single"/>
          <w:lang w:val="zh-CN" w:eastAsia="zh-CN" w:bidi="zh-CN"/>
        </w:rPr>
        <w:t>（企业名称）</w:t>
      </w:r>
      <w:r>
        <w:rPr>
          <w:rFonts w:hint="eastAsia" w:ascii="宋体" w:hAnsi="宋体" w:eastAsia="宋体" w:cs="宋体"/>
          <w:spacing w:val="5"/>
          <w:w w:val="95"/>
          <w:sz w:val="24"/>
          <w:szCs w:val="24"/>
          <w:highlight w:val="none"/>
          <w:u w:val="none" w:color="auto"/>
          <w:lang w:val="zh-CN" w:eastAsia="zh-CN" w:bidi="zh-CN"/>
        </w:rPr>
        <w:t>，</w:t>
      </w:r>
      <w:r>
        <w:rPr>
          <w:rFonts w:hint="eastAsia" w:ascii="宋体" w:hAnsi="宋体" w:eastAsia="宋体" w:cs="宋体"/>
          <w:spacing w:val="5"/>
          <w:w w:val="99"/>
          <w:sz w:val="24"/>
          <w:szCs w:val="24"/>
          <w:highlight w:val="none"/>
          <w:u w:val="none"/>
        </w:rPr>
        <w:t>从</w:t>
      </w:r>
      <w:r>
        <w:rPr>
          <w:rFonts w:hint="eastAsia" w:ascii="宋体" w:hAnsi="宋体" w:eastAsia="宋体" w:cs="宋体"/>
          <w:spacing w:val="7"/>
          <w:w w:val="99"/>
          <w:sz w:val="24"/>
          <w:szCs w:val="24"/>
          <w:highlight w:val="none"/>
          <w:u w:val="none"/>
        </w:rPr>
        <w:t>业</w:t>
      </w:r>
      <w:r>
        <w:rPr>
          <w:rFonts w:hint="eastAsia" w:ascii="宋体" w:hAnsi="宋体" w:eastAsia="宋体" w:cs="宋体"/>
          <w:spacing w:val="5"/>
          <w:w w:val="99"/>
          <w:sz w:val="24"/>
          <w:szCs w:val="24"/>
          <w:highlight w:val="none"/>
          <w:u w:val="none"/>
        </w:rPr>
        <w:t>人</w:t>
      </w:r>
      <w:r>
        <w:rPr>
          <w:rFonts w:hint="eastAsia" w:ascii="宋体" w:hAnsi="宋体" w:eastAsia="宋体" w:cs="宋体"/>
          <w:spacing w:val="4"/>
          <w:w w:val="99"/>
          <w:sz w:val="24"/>
          <w:szCs w:val="24"/>
          <w:highlight w:val="none"/>
          <w:u w:val="none"/>
        </w:rPr>
        <w:t>员</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spacing w:val="7"/>
          <w:w w:val="99"/>
          <w:sz w:val="24"/>
          <w:szCs w:val="24"/>
          <w:highlight w:val="none"/>
          <w:u w:val="none"/>
        </w:rPr>
        <w:t>人</w:t>
      </w:r>
      <w:r>
        <w:rPr>
          <w:rFonts w:hint="eastAsia" w:ascii="宋体" w:hAnsi="宋体" w:eastAsia="宋体" w:cs="宋体"/>
          <w:spacing w:val="5"/>
          <w:w w:val="99"/>
          <w:sz w:val="24"/>
          <w:szCs w:val="24"/>
          <w:highlight w:val="none"/>
          <w:u w:val="none"/>
        </w:rPr>
        <w:t>，</w:t>
      </w:r>
      <w:r>
        <w:rPr>
          <w:rFonts w:hint="eastAsia" w:ascii="宋体" w:hAnsi="宋体" w:eastAsia="宋体" w:cs="宋体"/>
          <w:spacing w:val="7"/>
          <w:w w:val="99"/>
          <w:sz w:val="24"/>
          <w:szCs w:val="24"/>
          <w:highlight w:val="none"/>
          <w:u w:val="none"/>
        </w:rPr>
        <w:t>营</w:t>
      </w:r>
      <w:r>
        <w:rPr>
          <w:rFonts w:hint="eastAsia" w:ascii="宋体" w:hAnsi="宋体" w:eastAsia="宋体" w:cs="宋体"/>
          <w:spacing w:val="5"/>
          <w:w w:val="99"/>
          <w:sz w:val="24"/>
          <w:szCs w:val="24"/>
          <w:highlight w:val="none"/>
          <w:u w:val="none"/>
        </w:rPr>
        <w:t>业</w:t>
      </w:r>
      <w:r>
        <w:rPr>
          <w:rFonts w:hint="eastAsia" w:ascii="宋体" w:hAnsi="宋体" w:eastAsia="宋体" w:cs="宋体"/>
          <w:spacing w:val="7"/>
          <w:w w:val="99"/>
          <w:sz w:val="24"/>
          <w:szCs w:val="24"/>
          <w:highlight w:val="none"/>
          <w:u w:val="none"/>
        </w:rPr>
        <w:t>收入为</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sz w:val="24"/>
          <w:szCs w:val="24"/>
          <w:highlight w:val="none"/>
          <w:u w:val="none"/>
        </w:rPr>
        <w:t>万元</w:t>
      </w:r>
      <w:r>
        <w:rPr>
          <w:rFonts w:hint="eastAsia" w:ascii="宋体" w:hAnsi="宋体" w:eastAsia="宋体" w:cs="宋体"/>
          <w:spacing w:val="-22"/>
          <w:sz w:val="24"/>
          <w:szCs w:val="24"/>
          <w:highlight w:val="none"/>
          <w:u w:val="none"/>
        </w:rPr>
        <w:t>，</w:t>
      </w:r>
      <w:r>
        <w:rPr>
          <w:rFonts w:hint="eastAsia" w:ascii="宋体" w:hAnsi="宋体" w:eastAsia="宋体" w:cs="宋体"/>
          <w:sz w:val="24"/>
          <w:szCs w:val="24"/>
          <w:highlight w:val="none"/>
          <w:u w:val="none"/>
        </w:rPr>
        <w:t>资产总额为</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w w:val="95"/>
          <w:sz w:val="24"/>
          <w:szCs w:val="24"/>
          <w:highlight w:val="none"/>
          <w:u w:val="none"/>
        </w:rPr>
        <w:t>万元</w:t>
      </w:r>
      <w:r>
        <w:rPr>
          <w:rFonts w:hint="eastAsia" w:ascii="宋体" w:hAnsi="宋体" w:eastAsia="宋体" w:cs="宋体"/>
          <w:spacing w:val="-12"/>
          <w:w w:val="95"/>
          <w:sz w:val="24"/>
          <w:szCs w:val="24"/>
          <w:highlight w:val="none"/>
          <w:u w:val="none"/>
        </w:rPr>
        <w:t>，</w:t>
      </w:r>
      <w:r>
        <w:rPr>
          <w:rFonts w:hint="eastAsia" w:ascii="宋体" w:hAnsi="宋体" w:eastAsia="宋体" w:cs="宋体"/>
          <w:spacing w:val="5"/>
          <w:w w:val="95"/>
          <w:sz w:val="24"/>
          <w:szCs w:val="24"/>
          <w:highlight w:val="none"/>
          <w:u w:val="none"/>
          <w:lang w:val="zh-CN" w:eastAsia="zh-CN" w:bidi="zh-CN"/>
        </w:rPr>
        <w:t>属于</w:t>
      </w:r>
      <w:r>
        <w:rPr>
          <w:rFonts w:hint="eastAsia" w:ascii="宋体" w:hAnsi="宋体" w:eastAsia="宋体" w:cs="宋体"/>
          <w:spacing w:val="5"/>
          <w:w w:val="95"/>
          <w:sz w:val="24"/>
          <w:szCs w:val="24"/>
          <w:highlight w:val="none"/>
          <w:u w:val="single"/>
          <w:lang w:val="zh-CN" w:eastAsia="zh-CN" w:bidi="zh-CN"/>
        </w:rPr>
        <w:t>（中型企业、小型企业、微型企业）</w:t>
      </w:r>
      <w:r>
        <w:rPr>
          <w:rFonts w:hint="eastAsia" w:ascii="宋体" w:hAnsi="宋体" w:eastAsia="宋体" w:cs="宋体"/>
          <w:spacing w:val="5"/>
          <w:w w:val="95"/>
          <w:sz w:val="24"/>
          <w:szCs w:val="24"/>
          <w:highlight w:val="none"/>
          <w:u w:val="none" w:color="auto"/>
          <w:lang w:val="zh-CN" w:eastAsia="zh-CN" w:bidi="zh-CN"/>
        </w:rPr>
        <w:t>；</w:t>
      </w:r>
    </w:p>
    <w:p w14:paraId="49462586">
      <w:pPr>
        <w:pStyle w:val="51"/>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2.</w:t>
      </w:r>
      <w:r>
        <w:rPr>
          <w:rFonts w:hint="eastAsia" w:ascii="宋体" w:hAnsi="宋体" w:eastAsia="宋体" w:cs="宋体"/>
          <w:spacing w:val="5"/>
          <w:w w:val="95"/>
          <w:sz w:val="24"/>
          <w:szCs w:val="24"/>
          <w:highlight w:val="none"/>
          <w:u w:val="none"/>
          <w:lang w:val="zh-CN" w:eastAsia="zh-CN" w:bidi="zh-CN"/>
        </w:rPr>
        <w:t xml:space="preserve"> </w:t>
      </w:r>
      <w:r>
        <w:rPr>
          <w:rFonts w:hint="eastAsia" w:ascii="宋体" w:hAnsi="宋体" w:eastAsia="宋体" w:cs="宋体"/>
          <w:spacing w:val="5"/>
          <w:w w:val="95"/>
          <w:sz w:val="24"/>
          <w:szCs w:val="24"/>
          <w:highlight w:val="none"/>
          <w:u w:val="single"/>
          <w:lang w:val="zh-CN" w:eastAsia="zh-CN" w:bidi="zh-CN"/>
        </w:rPr>
        <w:t>（标的名称）</w:t>
      </w:r>
      <w:r>
        <w:rPr>
          <w:rFonts w:hint="eastAsia" w:ascii="宋体" w:hAnsi="宋体" w:eastAsia="宋体" w:cs="宋体"/>
          <w:i/>
          <w:sz w:val="24"/>
          <w:szCs w:val="24"/>
          <w:highlight w:val="none"/>
          <w:u w:val="none"/>
        </w:rPr>
        <w:t xml:space="preserve"> </w:t>
      </w:r>
      <w:r>
        <w:rPr>
          <w:rFonts w:hint="eastAsia" w:ascii="宋体" w:hAnsi="宋体" w:eastAsia="宋体" w:cs="宋体"/>
          <w:spacing w:val="-43"/>
          <w:sz w:val="24"/>
          <w:szCs w:val="24"/>
          <w:highlight w:val="none"/>
          <w:u w:val="none"/>
        </w:rPr>
        <w:t xml:space="preserve">， </w:t>
      </w:r>
      <w:r>
        <w:rPr>
          <w:rFonts w:hint="eastAsia" w:ascii="宋体" w:hAnsi="宋体" w:eastAsia="宋体" w:cs="宋体"/>
          <w:spacing w:val="7"/>
          <w:w w:val="99"/>
          <w:sz w:val="24"/>
          <w:szCs w:val="24"/>
          <w:highlight w:val="none"/>
          <w:u w:val="none"/>
          <w:lang w:val="zh-CN" w:eastAsia="zh-CN"/>
        </w:rPr>
        <w:t>属于</w:t>
      </w:r>
      <w:r>
        <w:rPr>
          <w:rFonts w:hint="eastAsia" w:ascii="宋体" w:hAnsi="宋体" w:eastAsia="宋体" w:cs="宋体"/>
          <w:spacing w:val="5"/>
          <w:w w:val="95"/>
          <w:sz w:val="24"/>
          <w:szCs w:val="24"/>
          <w:highlight w:val="none"/>
          <w:u w:val="single"/>
          <w:lang w:val="zh-CN" w:eastAsia="zh-CN" w:bidi="zh-CN"/>
        </w:rPr>
        <w:t>（采购文件中明确的所属行业）行业</w:t>
      </w:r>
      <w:r>
        <w:rPr>
          <w:rFonts w:hint="eastAsia" w:ascii="宋体" w:hAnsi="宋体" w:eastAsia="宋体" w:cs="宋体"/>
          <w:spacing w:val="7"/>
          <w:w w:val="99"/>
          <w:sz w:val="24"/>
          <w:szCs w:val="24"/>
          <w:highlight w:val="none"/>
          <w:u w:val="none"/>
        </w:rPr>
        <w:t>；</w:t>
      </w:r>
      <w:r>
        <w:rPr>
          <w:rFonts w:hint="eastAsia" w:ascii="宋体" w:hAnsi="宋体" w:eastAsia="宋体" w:cs="宋体"/>
          <w:spacing w:val="5"/>
          <w:w w:val="99"/>
          <w:sz w:val="24"/>
          <w:szCs w:val="24"/>
          <w:highlight w:val="none"/>
          <w:u w:val="none"/>
          <w:lang w:val="en-US" w:eastAsia="zh-CN"/>
        </w:rPr>
        <w:t>承接企业</w:t>
      </w:r>
      <w:r>
        <w:rPr>
          <w:rFonts w:hint="eastAsia" w:ascii="宋体" w:hAnsi="宋体" w:eastAsia="宋体" w:cs="宋体"/>
          <w:spacing w:val="-10"/>
          <w:w w:val="99"/>
          <w:sz w:val="24"/>
          <w:szCs w:val="24"/>
          <w:highlight w:val="none"/>
          <w:u w:val="none"/>
        </w:rPr>
        <w:t>为</w:t>
      </w:r>
      <w:r>
        <w:rPr>
          <w:rFonts w:hint="eastAsia" w:ascii="宋体" w:hAnsi="宋体" w:eastAsia="宋体" w:cs="宋体"/>
          <w:spacing w:val="5"/>
          <w:w w:val="95"/>
          <w:sz w:val="24"/>
          <w:szCs w:val="24"/>
          <w:highlight w:val="none"/>
          <w:u w:val="single"/>
          <w:lang w:val="zh-CN" w:eastAsia="zh-CN" w:bidi="zh-CN"/>
        </w:rPr>
        <w:t>（企业名称）</w:t>
      </w:r>
      <w:r>
        <w:rPr>
          <w:rFonts w:hint="eastAsia" w:ascii="宋体" w:hAnsi="宋体" w:eastAsia="宋体" w:cs="宋体"/>
          <w:spacing w:val="5"/>
          <w:w w:val="95"/>
          <w:sz w:val="24"/>
          <w:szCs w:val="24"/>
          <w:highlight w:val="none"/>
          <w:u w:val="none" w:color="auto"/>
          <w:lang w:val="zh-CN" w:eastAsia="zh-CN" w:bidi="zh-CN"/>
        </w:rPr>
        <w:t>，</w:t>
      </w:r>
      <w:r>
        <w:rPr>
          <w:rFonts w:hint="eastAsia" w:ascii="宋体" w:hAnsi="宋体" w:eastAsia="宋体" w:cs="宋体"/>
          <w:spacing w:val="5"/>
          <w:w w:val="99"/>
          <w:sz w:val="24"/>
          <w:szCs w:val="24"/>
          <w:highlight w:val="none"/>
          <w:u w:val="none"/>
        </w:rPr>
        <w:t>从</w:t>
      </w:r>
      <w:r>
        <w:rPr>
          <w:rFonts w:hint="eastAsia" w:ascii="宋体" w:hAnsi="宋体" w:eastAsia="宋体" w:cs="宋体"/>
          <w:spacing w:val="7"/>
          <w:w w:val="99"/>
          <w:sz w:val="24"/>
          <w:szCs w:val="24"/>
          <w:highlight w:val="none"/>
          <w:u w:val="none"/>
        </w:rPr>
        <w:t>业</w:t>
      </w:r>
      <w:r>
        <w:rPr>
          <w:rFonts w:hint="eastAsia" w:ascii="宋体" w:hAnsi="宋体" w:eastAsia="宋体" w:cs="宋体"/>
          <w:spacing w:val="5"/>
          <w:w w:val="99"/>
          <w:sz w:val="24"/>
          <w:szCs w:val="24"/>
          <w:highlight w:val="none"/>
          <w:u w:val="none"/>
        </w:rPr>
        <w:t>人</w:t>
      </w:r>
      <w:r>
        <w:rPr>
          <w:rFonts w:hint="eastAsia" w:ascii="宋体" w:hAnsi="宋体" w:eastAsia="宋体" w:cs="宋体"/>
          <w:spacing w:val="4"/>
          <w:w w:val="99"/>
          <w:sz w:val="24"/>
          <w:szCs w:val="24"/>
          <w:highlight w:val="none"/>
          <w:u w:val="none"/>
        </w:rPr>
        <w:t>员</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spacing w:val="7"/>
          <w:w w:val="99"/>
          <w:sz w:val="24"/>
          <w:szCs w:val="24"/>
          <w:highlight w:val="none"/>
          <w:u w:val="none"/>
        </w:rPr>
        <w:t>人</w:t>
      </w:r>
      <w:r>
        <w:rPr>
          <w:rFonts w:hint="eastAsia" w:ascii="宋体" w:hAnsi="宋体" w:eastAsia="宋体" w:cs="宋体"/>
          <w:spacing w:val="5"/>
          <w:w w:val="99"/>
          <w:sz w:val="24"/>
          <w:szCs w:val="24"/>
          <w:highlight w:val="none"/>
          <w:u w:val="none"/>
        </w:rPr>
        <w:t>，</w:t>
      </w:r>
      <w:r>
        <w:rPr>
          <w:rFonts w:hint="eastAsia" w:ascii="宋体" w:hAnsi="宋体" w:eastAsia="宋体" w:cs="宋体"/>
          <w:spacing w:val="7"/>
          <w:w w:val="99"/>
          <w:sz w:val="24"/>
          <w:szCs w:val="24"/>
          <w:highlight w:val="none"/>
          <w:u w:val="none"/>
        </w:rPr>
        <w:t>营</w:t>
      </w:r>
      <w:r>
        <w:rPr>
          <w:rFonts w:hint="eastAsia" w:ascii="宋体" w:hAnsi="宋体" w:eastAsia="宋体" w:cs="宋体"/>
          <w:spacing w:val="5"/>
          <w:w w:val="99"/>
          <w:sz w:val="24"/>
          <w:szCs w:val="24"/>
          <w:highlight w:val="none"/>
          <w:u w:val="none"/>
        </w:rPr>
        <w:t>业</w:t>
      </w:r>
      <w:r>
        <w:rPr>
          <w:rFonts w:hint="eastAsia" w:ascii="宋体" w:hAnsi="宋体" w:eastAsia="宋体" w:cs="宋体"/>
          <w:spacing w:val="7"/>
          <w:w w:val="99"/>
          <w:sz w:val="24"/>
          <w:szCs w:val="24"/>
          <w:highlight w:val="none"/>
          <w:u w:val="none"/>
        </w:rPr>
        <w:t>收入为</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sz w:val="24"/>
          <w:szCs w:val="24"/>
          <w:highlight w:val="none"/>
          <w:u w:val="none"/>
        </w:rPr>
        <w:t>万元</w:t>
      </w:r>
      <w:r>
        <w:rPr>
          <w:rFonts w:hint="eastAsia" w:ascii="宋体" w:hAnsi="宋体" w:eastAsia="宋体" w:cs="宋体"/>
          <w:spacing w:val="-22"/>
          <w:sz w:val="24"/>
          <w:szCs w:val="24"/>
          <w:highlight w:val="none"/>
          <w:u w:val="none"/>
        </w:rPr>
        <w:t>，</w:t>
      </w:r>
      <w:r>
        <w:rPr>
          <w:rFonts w:hint="eastAsia" w:ascii="宋体" w:hAnsi="宋体" w:eastAsia="宋体" w:cs="宋体"/>
          <w:sz w:val="24"/>
          <w:szCs w:val="24"/>
          <w:highlight w:val="none"/>
          <w:u w:val="none"/>
        </w:rPr>
        <w:t>资产总额为</w:t>
      </w:r>
      <w:r>
        <w:rPr>
          <w:rFonts w:hint="eastAsia" w:ascii="宋体" w:hAnsi="宋体" w:eastAsia="宋体" w:cs="宋体"/>
          <w:spacing w:val="4"/>
          <w:w w:val="99"/>
          <w:sz w:val="24"/>
          <w:szCs w:val="24"/>
          <w:highlight w:val="none"/>
          <w:u w:val="single"/>
          <w:lang w:val="en-US" w:eastAsia="zh-CN"/>
        </w:rPr>
        <w:t xml:space="preserve">      </w:t>
      </w:r>
      <w:r>
        <w:rPr>
          <w:rFonts w:hint="eastAsia" w:ascii="宋体" w:hAnsi="宋体" w:eastAsia="宋体" w:cs="宋体"/>
          <w:w w:val="95"/>
          <w:sz w:val="24"/>
          <w:szCs w:val="24"/>
          <w:highlight w:val="none"/>
          <w:u w:val="none"/>
        </w:rPr>
        <w:t>万元</w:t>
      </w:r>
      <w:r>
        <w:rPr>
          <w:rFonts w:hint="eastAsia" w:ascii="宋体" w:hAnsi="宋体" w:eastAsia="宋体" w:cs="宋体"/>
          <w:spacing w:val="-12"/>
          <w:w w:val="95"/>
          <w:sz w:val="24"/>
          <w:szCs w:val="24"/>
          <w:highlight w:val="none"/>
          <w:u w:val="none"/>
        </w:rPr>
        <w:t>，</w:t>
      </w:r>
      <w:r>
        <w:rPr>
          <w:rFonts w:hint="eastAsia" w:ascii="宋体" w:hAnsi="宋体" w:eastAsia="宋体" w:cs="宋体"/>
          <w:spacing w:val="5"/>
          <w:w w:val="95"/>
          <w:sz w:val="24"/>
          <w:szCs w:val="24"/>
          <w:highlight w:val="none"/>
          <w:u w:val="none"/>
          <w:lang w:val="zh-CN" w:eastAsia="zh-CN" w:bidi="zh-CN"/>
        </w:rPr>
        <w:t>属于</w:t>
      </w:r>
      <w:r>
        <w:rPr>
          <w:rFonts w:hint="eastAsia" w:ascii="宋体" w:hAnsi="宋体" w:eastAsia="宋体" w:cs="宋体"/>
          <w:spacing w:val="5"/>
          <w:w w:val="95"/>
          <w:sz w:val="24"/>
          <w:szCs w:val="24"/>
          <w:highlight w:val="none"/>
          <w:u w:val="single"/>
          <w:lang w:val="zh-CN" w:eastAsia="zh-CN" w:bidi="zh-CN"/>
        </w:rPr>
        <w:t>（中型企业、小型企业、微型企业）</w:t>
      </w:r>
      <w:r>
        <w:rPr>
          <w:rFonts w:hint="eastAsia" w:ascii="宋体" w:hAnsi="宋体" w:eastAsia="宋体" w:cs="宋体"/>
          <w:spacing w:val="5"/>
          <w:w w:val="95"/>
          <w:sz w:val="24"/>
          <w:szCs w:val="24"/>
          <w:highlight w:val="none"/>
          <w:u w:val="none"/>
          <w:lang w:val="zh-CN" w:eastAsia="zh-CN" w:bidi="zh-CN"/>
        </w:rPr>
        <w:t>；</w:t>
      </w:r>
    </w:p>
    <w:p w14:paraId="20CD8142">
      <w:pPr>
        <w:pStyle w:val="51"/>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w:t>
      </w:r>
    </w:p>
    <w:p w14:paraId="2A285CF6">
      <w:pPr>
        <w:pStyle w:val="51"/>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以上企业，不属于大企业的分支机构，不存在控股股东为大企业的情形，也不存在与大企业的负责人为同一人的情形。</w:t>
      </w:r>
    </w:p>
    <w:p w14:paraId="39558059">
      <w:pPr>
        <w:pStyle w:val="51"/>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本企业对上述声明内容的真实性负责。如有虚假，将依法承担相应责任。</w:t>
      </w:r>
    </w:p>
    <w:p w14:paraId="50A9E951">
      <w:pPr>
        <w:pStyle w:val="51"/>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p>
    <w:p w14:paraId="70C51670">
      <w:pPr>
        <w:pStyle w:val="51"/>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80" w:lineRule="exact"/>
        <w:ind w:leftChars="0" w:right="0" w:rightChars="0" w:firstLine="476" w:firstLineChars="200"/>
        <w:jc w:val="left"/>
        <w:textAlignment w:val="auto"/>
        <w:rPr>
          <w:rFonts w:hint="eastAsia" w:ascii="宋体" w:hAnsi="宋体" w:eastAsia="宋体" w:cs="宋体"/>
          <w:spacing w:val="5"/>
          <w:w w:val="95"/>
          <w:sz w:val="24"/>
          <w:szCs w:val="24"/>
          <w:highlight w:val="none"/>
          <w:u w:val="none"/>
          <w:lang w:val="en-US" w:eastAsia="zh-CN" w:bidi="zh-CN"/>
        </w:rPr>
      </w:pPr>
    </w:p>
    <w:p w14:paraId="59750803">
      <w:pPr>
        <w:pStyle w:val="51"/>
        <w:keepNext w:val="0"/>
        <w:keepLines w:val="0"/>
        <w:pageBreakBefore w:val="0"/>
        <w:widowControl w:val="0"/>
        <w:numPr>
          <w:ilvl w:val="0"/>
          <w:numId w:val="0"/>
        </w:numPr>
        <w:tabs>
          <w:tab w:val="left" w:pos="1183"/>
          <w:tab w:val="left" w:pos="1484"/>
          <w:tab w:val="left" w:pos="4662"/>
          <w:tab w:val="left" w:pos="6903"/>
        </w:tabs>
        <w:kinsoku/>
        <w:wordWrap w:val="0"/>
        <w:overflowPunct/>
        <w:topLinePunct w:val="0"/>
        <w:autoSpaceDE/>
        <w:autoSpaceDN/>
        <w:bidi w:val="0"/>
        <w:adjustRightInd/>
        <w:snapToGrid/>
        <w:spacing w:before="0" w:after="0" w:line="480" w:lineRule="exact"/>
        <w:ind w:leftChars="0" w:right="0" w:rightChars="0" w:firstLine="476" w:firstLineChars="200"/>
        <w:jc w:val="right"/>
        <w:textAlignment w:val="auto"/>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 xml:space="preserve">企业名称（盖章）：        </w:t>
      </w:r>
    </w:p>
    <w:p w14:paraId="236BD11B">
      <w:pPr>
        <w:pStyle w:val="22"/>
        <w:spacing w:line="500" w:lineRule="exact"/>
        <w:jc w:val="center"/>
        <w:rPr>
          <w:rFonts w:hint="eastAsia" w:ascii="宋体" w:hAnsi="宋体" w:eastAsia="宋体" w:cs="宋体"/>
          <w:spacing w:val="5"/>
          <w:w w:val="95"/>
          <w:sz w:val="24"/>
          <w:szCs w:val="24"/>
          <w:highlight w:val="none"/>
          <w:u w:val="none"/>
          <w:lang w:val="en-US" w:eastAsia="zh-CN" w:bidi="zh-CN"/>
        </w:rPr>
      </w:pPr>
      <w:r>
        <w:rPr>
          <w:rFonts w:hint="eastAsia" w:ascii="宋体" w:hAnsi="宋体" w:eastAsia="宋体" w:cs="宋体"/>
          <w:spacing w:val="5"/>
          <w:w w:val="95"/>
          <w:sz w:val="24"/>
          <w:szCs w:val="24"/>
          <w:highlight w:val="none"/>
          <w:u w:val="none"/>
          <w:lang w:val="en-US" w:eastAsia="zh-CN" w:bidi="zh-CN"/>
        </w:rPr>
        <w:t xml:space="preserve">               </w:t>
      </w:r>
      <w:r>
        <w:rPr>
          <w:rFonts w:hint="eastAsia" w:ascii="宋体" w:hAnsi="宋体" w:eastAsia="宋体" w:cs="宋体"/>
          <w:spacing w:val="5"/>
          <w:w w:val="95"/>
          <w:kern w:val="2"/>
          <w:sz w:val="24"/>
          <w:szCs w:val="24"/>
          <w:highlight w:val="none"/>
          <w:u w:val="none"/>
          <w:lang w:val="en-US" w:eastAsia="zh-CN" w:bidi="zh-CN"/>
        </w:rPr>
        <w:t xml:space="preserve">       日期：   </w:t>
      </w:r>
      <w:r>
        <w:rPr>
          <w:rFonts w:hint="eastAsia" w:ascii="宋体" w:hAnsi="宋体" w:eastAsia="宋体" w:cs="宋体"/>
          <w:spacing w:val="5"/>
          <w:w w:val="95"/>
          <w:sz w:val="24"/>
          <w:szCs w:val="24"/>
          <w:highlight w:val="none"/>
          <w:u w:val="none"/>
          <w:lang w:val="en-US" w:eastAsia="zh-CN" w:bidi="zh-CN"/>
        </w:rPr>
        <w:t xml:space="preserve">   </w:t>
      </w:r>
    </w:p>
    <w:p w14:paraId="2ACBD2F4">
      <w:pPr>
        <w:pStyle w:val="22"/>
        <w:spacing w:line="500" w:lineRule="exact"/>
        <w:jc w:val="left"/>
        <w:rPr>
          <w:rFonts w:hint="eastAsia" w:ascii="宋体" w:hAnsi="宋体" w:eastAsia="宋体" w:cs="宋体"/>
          <w:color w:val="FF0000"/>
          <w:spacing w:val="5"/>
          <w:w w:val="95"/>
          <w:kern w:val="2"/>
          <w:sz w:val="36"/>
          <w:szCs w:val="36"/>
          <w:highlight w:val="none"/>
          <w:u w:val="none"/>
          <w:lang w:val="en-US" w:eastAsia="zh-CN" w:bidi="zh-CN"/>
        </w:rPr>
      </w:pPr>
    </w:p>
    <w:p w14:paraId="146BA902">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w:t>
      </w:r>
    </w:p>
    <w:p w14:paraId="116DA9A2">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（1）从业人员、营业收入、资产总额填报上一年度数据，无上一年度数据的新成立企业可不填报。</w:t>
      </w:r>
    </w:p>
    <w:p w14:paraId="28154BED">
      <w:pP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（2）潜在</w:t>
      </w:r>
      <w:r>
        <w:rPr>
          <w:rFonts w:hint="eastAsia" w:ascii="宋体" w:hAnsi="宋体" w:cs="宋体"/>
          <w:b/>
          <w:bCs/>
          <w:color w:val="auto"/>
          <w:sz w:val="24"/>
          <w:highlight w:val="none"/>
          <w:lang w:val="en-US" w:eastAsia="zh-CN"/>
        </w:rPr>
        <w:t>磋商</w:t>
      </w:r>
      <w:r>
        <w:rPr>
          <w:rFonts w:hint="eastAsia" w:ascii="宋体" w:hAnsi="宋体" w:eastAsia="宋体" w:cs="宋体"/>
          <w:b/>
          <w:bCs/>
          <w:color w:val="auto"/>
          <w:sz w:val="24"/>
          <w:highlight w:val="none"/>
          <w:lang w:val="en-US" w:eastAsia="zh-CN"/>
        </w:rPr>
        <w:t>企业属于中小微企业的，请在响应文件中提供“中小企业声明函”，如果未提供或提供虚假的“中小企业声明函”，</w:t>
      </w:r>
      <w:r>
        <w:rPr>
          <w:rFonts w:hint="eastAsia" w:ascii="宋体" w:hAnsi="宋体" w:cs="宋体"/>
          <w:b/>
          <w:bCs/>
          <w:color w:val="auto"/>
          <w:sz w:val="24"/>
          <w:highlight w:val="none"/>
          <w:lang w:val="en-US" w:eastAsia="zh-CN"/>
        </w:rPr>
        <w:t>磋商</w:t>
      </w:r>
      <w:r>
        <w:rPr>
          <w:rFonts w:hint="eastAsia" w:ascii="宋体" w:hAnsi="宋体" w:eastAsia="宋体" w:cs="宋体"/>
          <w:b/>
          <w:bCs/>
          <w:color w:val="auto"/>
          <w:sz w:val="24"/>
          <w:highlight w:val="none"/>
          <w:lang w:val="en-US" w:eastAsia="zh-CN"/>
        </w:rPr>
        <w:t>企业将承担由此造成的一切不利后果。</w:t>
      </w:r>
    </w:p>
    <w:p w14:paraId="459D336F">
      <w:pPr>
        <w:rPr>
          <w:rFonts w:hint="eastAsia" w:ascii="宋体" w:hAnsi="宋体" w:eastAsia="宋体" w:cs="宋体"/>
          <w:b/>
          <w:bCs/>
          <w:color w:val="auto"/>
          <w:kern w:val="2"/>
          <w:sz w:val="22"/>
          <w:szCs w:val="22"/>
          <w:highlight w:val="none"/>
        </w:rPr>
      </w:pPr>
      <w:bookmarkStart w:id="656" w:name="_Toc12692"/>
      <w:bookmarkStart w:id="657" w:name="_Toc26643"/>
      <w:bookmarkStart w:id="658" w:name="_Toc12060"/>
      <w:bookmarkStart w:id="659" w:name="_Toc22307"/>
      <w:bookmarkStart w:id="660" w:name="_Toc7018"/>
      <w:bookmarkStart w:id="661" w:name="_Toc18860"/>
      <w:bookmarkStart w:id="662" w:name="_Toc752"/>
      <w:bookmarkStart w:id="663" w:name="_Toc4543"/>
      <w:bookmarkStart w:id="664" w:name="_Toc29115"/>
      <w:bookmarkStart w:id="665" w:name="_Toc5609"/>
      <w:bookmarkStart w:id="666" w:name="_Toc28055"/>
      <w:bookmarkStart w:id="667" w:name="_Toc11235"/>
      <w:bookmarkStart w:id="668" w:name="_Toc19993"/>
    </w:p>
    <w:p w14:paraId="5491226C">
      <w:pPr>
        <w:rPr>
          <w:rFonts w:hint="eastAsia" w:ascii="宋体" w:hAnsi="宋体" w:eastAsia="宋体" w:cs="宋体"/>
          <w:b/>
          <w:bCs/>
          <w:color w:val="auto"/>
          <w:kern w:val="2"/>
          <w:sz w:val="22"/>
          <w:szCs w:val="22"/>
          <w:highlight w:val="none"/>
        </w:rPr>
      </w:pPr>
      <w:r>
        <w:rPr>
          <w:rFonts w:hint="eastAsia" w:ascii="宋体" w:hAnsi="宋体" w:eastAsia="宋体" w:cs="宋体"/>
          <w:b/>
          <w:bCs/>
          <w:color w:val="FF0000"/>
          <w:sz w:val="24"/>
          <w:highlight w:val="none"/>
          <w:lang w:val="en-US" w:eastAsia="zh-CN"/>
        </w:rPr>
        <w:t>注：</w:t>
      </w:r>
      <w:r>
        <w:rPr>
          <w:rFonts w:hint="eastAsia" w:ascii="宋体" w:hAnsi="宋体" w:cs="宋体"/>
          <w:b/>
          <w:bCs/>
          <w:color w:val="FF0000"/>
          <w:sz w:val="24"/>
          <w:highlight w:val="none"/>
          <w:lang w:val="en-US" w:eastAsia="zh-CN"/>
        </w:rPr>
        <w:t>本项目专门面向中小企业采购，根据要求单独上传《中小企业声明函（服务）》</w:t>
      </w:r>
      <w:r>
        <w:rPr>
          <w:rFonts w:hint="eastAsia" w:ascii="宋体" w:hAnsi="宋体" w:eastAsia="宋体" w:cs="宋体"/>
          <w:b/>
          <w:bCs/>
          <w:color w:val="FF0000"/>
          <w:sz w:val="24"/>
          <w:highlight w:val="none"/>
          <w:lang w:val="en-US" w:eastAsia="zh-CN"/>
        </w:rPr>
        <w:t>。</w:t>
      </w:r>
      <w:r>
        <w:rPr>
          <w:rFonts w:hint="eastAsia" w:ascii="宋体" w:hAnsi="宋体" w:eastAsia="宋体" w:cs="宋体"/>
          <w:b/>
          <w:bCs/>
          <w:color w:val="auto"/>
          <w:kern w:val="2"/>
          <w:sz w:val="22"/>
          <w:szCs w:val="22"/>
          <w:highlight w:val="none"/>
        </w:rPr>
        <w:br w:type="page"/>
      </w:r>
    </w:p>
    <w:bookmarkEnd w:id="656"/>
    <w:bookmarkEnd w:id="657"/>
    <w:bookmarkEnd w:id="658"/>
    <w:bookmarkEnd w:id="659"/>
    <w:bookmarkEnd w:id="660"/>
    <w:bookmarkEnd w:id="661"/>
    <w:bookmarkEnd w:id="662"/>
    <w:bookmarkEnd w:id="663"/>
    <w:bookmarkEnd w:id="664"/>
    <w:bookmarkEnd w:id="665"/>
    <w:bookmarkEnd w:id="666"/>
    <w:p w14:paraId="3E95C8E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kern w:val="0"/>
          <w:sz w:val="24"/>
          <w:szCs w:val="24"/>
          <w:highlight w:val="none"/>
        </w:rPr>
      </w:pPr>
      <w:bookmarkStart w:id="669" w:name="_Toc4244"/>
      <w:bookmarkEnd w:id="669"/>
      <w:bookmarkStart w:id="670" w:name="_Toc24860"/>
      <w:bookmarkEnd w:id="670"/>
      <w:bookmarkStart w:id="671" w:name="_Toc13947"/>
      <w:bookmarkEnd w:id="671"/>
      <w:bookmarkStart w:id="672" w:name="_Toc26931"/>
      <w:bookmarkEnd w:id="672"/>
      <w:bookmarkStart w:id="673" w:name="_Toc3420"/>
      <w:bookmarkEnd w:id="673"/>
      <w:bookmarkStart w:id="674" w:name="_Toc14454"/>
      <w:bookmarkEnd w:id="674"/>
      <w:bookmarkStart w:id="675" w:name="_Toc32586"/>
      <w:bookmarkEnd w:id="675"/>
      <w:bookmarkStart w:id="676" w:name="_Toc30849"/>
      <w:bookmarkEnd w:id="676"/>
      <w:bookmarkStart w:id="677" w:name="_Toc2621"/>
      <w:bookmarkEnd w:id="677"/>
      <w:bookmarkStart w:id="678" w:name="_Toc732"/>
      <w:bookmarkEnd w:id="678"/>
      <w:r>
        <w:rPr>
          <w:rFonts w:hint="eastAsia" w:ascii="宋体" w:hAnsi="宋体" w:eastAsia="宋体" w:cs="宋体"/>
          <w:b/>
          <w:bCs/>
          <w:color w:val="auto"/>
          <w:kern w:val="0"/>
          <w:sz w:val="24"/>
          <w:szCs w:val="24"/>
          <w:highlight w:val="none"/>
        </w:rPr>
        <w:t>附：</w:t>
      </w:r>
    </w:p>
    <w:p w14:paraId="24A2C0AC">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tbl>
      <w:tblPr>
        <w:tblStyle w:val="30"/>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3F95B7D1">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214D9F0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5B8B50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4E735F2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424E4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F21628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341674B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3F43D93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7CBA8E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5F49CE9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6AE8F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68A7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7F5668B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063541B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0757ED3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41A31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398B395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12C52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53EE4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FFD2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A50B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1E6C7F6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2C16E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0C66C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15AC5F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C400C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3DAB64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7C2515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5B053EB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80B1F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0EB6A2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01A85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571ABC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62D18D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01EC144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0385298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B16F9F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12DCBC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17722E8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9EF12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26576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1A396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7C2A062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B844D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336CEC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BF69E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3A00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55B814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778FEE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1AE357B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4D10C1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15940E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50CFE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522B0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4FBEFA9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084D8E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5C873B7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B8A0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2FA3F07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C26DE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878E25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3D90CC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0ED6A68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10B5127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CE4EE1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FBB506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7B0896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2B8E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83F1FB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25C542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FDAB76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9F7D3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6CEAA92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692E4F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3617DA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90A4BA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C317D3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5608F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5A792E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E65B0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983C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B3929D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55535D8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5535C0B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312C7AA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A8F594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7D64C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4F6644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DF4EFB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7E021E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0C05A7D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07F80D9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6387A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2674BC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DD4EB9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E42B1E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35FCC87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72976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2813286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DE12CC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26231D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CFD38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A8F3E3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72F0FF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7D6D7E4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7765E92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7B378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7C89E0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0C480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954029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321318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08E3A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7800344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C7AED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5D8F71A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F78DD8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9D359F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4E255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70B249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7F9455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8E3162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FE4175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70B79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ECF15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3B77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46CA37B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415CCA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303C0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4916F10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419F2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32B3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532B98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62EA180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888F03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F43C33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E6C447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6C81A2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EC4CC8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10A29A2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45FA93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5CAA95A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DCB8F2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152F200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312E2E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F6887F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7695907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3CDDAB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0D75696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95687D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C98107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1AB39E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BEB6E2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6EEDC1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18BD893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0D921E5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24941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6A5B2FA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E80392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8914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39D021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18F7D5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4FB07E1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C34FE0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E404F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359DE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EFA148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4CEFF1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5A98412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2FE7457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84342D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473BFD9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D5B0F3F">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DBFDE6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79874D4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A536D06">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253384C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DC0CD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2408CA5">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179FF7F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BBFC18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5B1187F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1F2BFDC">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70B76BD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83BF53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16A63BA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477D57F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3DDDB5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76B9A4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18FF33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6F60E95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FD5D438">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0AD2D7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4C0329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86C143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04B8945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6359867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232EABBA">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96FBE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3272BA6B">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FFA541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910B30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75FE2D3">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4864FD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7BA1AD6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FA8C7A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4F9A109">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153258AE">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A1DDB3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1778EB31">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6D8A6DB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5AF63B8">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70B85D2">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FF0000"/>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2813B1F7">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FF0000"/>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4BEC594">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FF0000"/>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16EDB0">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FF0000"/>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4EDD20A">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FF0000"/>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F66F99D">
            <w:pPr>
              <w:keepNext w:val="0"/>
              <w:keepLines w:val="0"/>
              <w:pageBreakBefore w:val="0"/>
              <w:widowControl/>
              <w:kinsoku/>
              <w:wordWrap/>
              <w:overflowPunct/>
              <w:topLinePunct w:val="0"/>
              <w:autoSpaceDE/>
              <w:autoSpaceDN/>
              <w:bidi w:val="0"/>
              <w:adjustRightInd/>
              <w:snapToGrid w:val="0"/>
              <w:spacing w:line="400" w:lineRule="exact"/>
              <w:contextualSpacing/>
              <w:jc w:val="center"/>
              <w:rPr>
                <w:rFonts w:hint="eastAsia" w:ascii="宋体" w:hAnsi="宋体" w:eastAsia="宋体" w:cs="宋体"/>
                <w:b/>
                <w:bCs/>
                <w:color w:val="FF0000"/>
                <w:kern w:val="0"/>
                <w:sz w:val="24"/>
                <w:szCs w:val="24"/>
                <w:highlight w:val="none"/>
              </w:rPr>
            </w:pPr>
            <w:r>
              <w:rPr>
                <w:rFonts w:hint="eastAsia" w:ascii="宋体" w:hAnsi="宋体" w:eastAsia="宋体" w:cs="宋体"/>
                <w:b/>
                <w:bCs/>
                <w:color w:val="FF0000"/>
                <w:kern w:val="0"/>
                <w:sz w:val="24"/>
                <w:szCs w:val="24"/>
                <w:highlight w:val="none"/>
              </w:rPr>
              <w:t>X＜10</w:t>
            </w:r>
          </w:p>
        </w:tc>
      </w:tr>
    </w:tbl>
    <w:p w14:paraId="081F6DE6">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宋体" w:hAnsi="宋体" w:eastAsia="宋体" w:cs="宋体"/>
          <w:b/>
          <w:color w:val="auto"/>
          <w:sz w:val="24"/>
          <w:szCs w:val="24"/>
          <w:highlight w:val="none"/>
        </w:rPr>
      </w:pPr>
    </w:p>
    <w:p w14:paraId="6EB6765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6B101D3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所称中小企业，是指在中华人民共和国境内依法设立，依据国务院批准的</w:t>
      </w:r>
    </w:p>
    <w:p w14:paraId="23FEF37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规定的中小企业扶持政策：</w:t>
      </w:r>
    </w:p>
    <w:p w14:paraId="4883235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698893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14:paraId="6EE2701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C1E9A2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23DDB3E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规定享受扶持政策获得政府采购合同的，小微企业不得将合同分包给大中型企业，中型企业不得将合同分包给大型企业。</w:t>
      </w:r>
    </w:p>
    <w:p w14:paraId="40EE70F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F9F456F">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679" w:name="_Toc2096"/>
      <w:r>
        <w:rPr>
          <w:rFonts w:hint="eastAsia"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-2  </w:t>
      </w:r>
      <w:bookmarkEnd w:id="649"/>
      <w:bookmarkEnd w:id="650"/>
      <w:bookmarkEnd w:id="651"/>
      <w:bookmarkEnd w:id="652"/>
      <w:bookmarkEnd w:id="653"/>
      <w:bookmarkEnd w:id="654"/>
      <w:bookmarkEnd w:id="655"/>
      <w:bookmarkStart w:id="680" w:name="_Toc19284"/>
      <w:bookmarkStart w:id="681" w:name="_Toc15294"/>
      <w:bookmarkStart w:id="682" w:name="OLE_LINK13"/>
      <w:bookmarkStart w:id="683" w:name="OLE_LINK14"/>
      <w:bookmarkStart w:id="684" w:name="_Toc31700"/>
      <w:bookmarkStart w:id="685" w:name="_Toc11516"/>
      <w:bookmarkStart w:id="686" w:name="_Toc515647825"/>
      <w:bookmarkStart w:id="687" w:name="_Toc23068"/>
      <w:bookmarkStart w:id="688" w:name="_Toc19312"/>
      <w:r>
        <w:rPr>
          <w:rFonts w:hint="eastAsia" w:ascii="宋体" w:hAnsi="宋体" w:eastAsia="宋体" w:cs="宋体"/>
          <w:b/>
          <w:bCs/>
          <w:color w:val="auto"/>
          <w:sz w:val="24"/>
          <w:szCs w:val="24"/>
          <w:highlight w:val="none"/>
        </w:rPr>
        <w:t>残疾人福利性单位声明函</w:t>
      </w:r>
      <w:bookmarkEnd w:id="667"/>
      <w:bookmarkEnd w:id="668"/>
      <w:bookmarkEnd w:id="679"/>
      <w:bookmarkEnd w:id="680"/>
      <w:bookmarkEnd w:id="681"/>
      <w:bookmarkEnd w:id="682"/>
      <w:bookmarkEnd w:id="683"/>
      <w:bookmarkEnd w:id="684"/>
      <w:bookmarkEnd w:id="685"/>
      <w:bookmarkEnd w:id="686"/>
      <w:bookmarkEnd w:id="687"/>
      <w:bookmarkEnd w:id="688"/>
    </w:p>
    <w:p w14:paraId="201AC2AA">
      <w:pPr>
        <w:spacing w:line="400" w:lineRule="exact"/>
        <w:ind w:left="1080" w:leftChars="257" w:hanging="540"/>
        <w:jc w:val="center"/>
        <w:rPr>
          <w:rFonts w:hint="eastAsia" w:ascii="宋体" w:hAnsi="宋体" w:eastAsia="宋体" w:cs="宋体"/>
          <w:color w:val="auto"/>
          <w:kern w:val="0"/>
          <w:sz w:val="24"/>
          <w:highlight w:val="none"/>
        </w:rPr>
      </w:pPr>
    </w:p>
    <w:p w14:paraId="14B79988">
      <w:pPr>
        <w:spacing w:line="400" w:lineRule="exact"/>
        <w:ind w:firstLine="56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，或者提供其他残疾人福利性单位</w:t>
      </w:r>
      <w:r>
        <w:rPr>
          <w:rFonts w:hint="eastAsia" w:ascii="宋体" w:hAnsi="宋体" w:eastAsia="宋体" w:cs="宋体"/>
          <w:color w:val="auto"/>
          <w:kern w:val="0"/>
          <w:sz w:val="24"/>
          <w:highlight w:val="none"/>
          <w:lang w:val="en-US" w:eastAsia="zh-CN"/>
        </w:rPr>
        <w:t>的服务</w:t>
      </w:r>
      <w:r>
        <w:rPr>
          <w:rFonts w:hint="eastAsia" w:ascii="宋体" w:hAnsi="宋体" w:eastAsia="宋体" w:cs="宋体"/>
          <w:color w:val="auto"/>
          <w:kern w:val="0"/>
          <w:sz w:val="24"/>
          <w:highlight w:val="none"/>
        </w:rPr>
        <w:t>（不包括使用非残疾人福利性单位注册商标的</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w:t>
      </w:r>
    </w:p>
    <w:p w14:paraId="4037CE58">
      <w:pPr>
        <w:spacing w:line="400" w:lineRule="exact"/>
        <w:ind w:left="1080" w:leftChars="257" w:hanging="54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本单位对上述声明的真实性负责。如有虚假，将依法承担相应责任。</w:t>
      </w:r>
    </w:p>
    <w:p w14:paraId="215C8564">
      <w:pPr>
        <w:spacing w:line="400" w:lineRule="exact"/>
        <w:ind w:left="1080" w:leftChars="257" w:hanging="5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残疾人福利性单位名称（公章）：______________</w:t>
      </w:r>
    </w:p>
    <w:p w14:paraId="3546AD58">
      <w:pPr>
        <w:spacing w:line="400" w:lineRule="exact"/>
        <w:ind w:left="1080" w:leftChars="257" w:hanging="540"/>
        <w:jc w:val="center"/>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color="FFFFFF"/>
        </w:rPr>
        <w:t xml:space="preserve">       </w:t>
      </w:r>
      <w:r>
        <w:rPr>
          <w:rFonts w:hint="eastAsia" w:ascii="宋体" w:hAnsi="宋体" w:eastAsia="宋体" w:cs="宋体"/>
          <w:color w:val="auto"/>
          <w:kern w:val="0"/>
          <w:sz w:val="24"/>
          <w:highlight w:val="none"/>
        </w:rPr>
        <w:t>日  期：_____________________________________________</w:t>
      </w:r>
    </w:p>
    <w:p w14:paraId="4A2F2212">
      <w:pPr>
        <w:pStyle w:val="12"/>
        <w:spacing w:line="400" w:lineRule="exact"/>
        <w:ind w:firstLine="480"/>
        <w:rPr>
          <w:rFonts w:hint="eastAsia" w:ascii="宋体" w:hAnsi="宋体" w:eastAsia="宋体" w:cs="宋体"/>
          <w:color w:val="auto"/>
          <w:highlight w:val="none"/>
        </w:rPr>
      </w:pPr>
    </w:p>
    <w:p w14:paraId="20EA6006">
      <w:pPr>
        <w:pStyle w:val="12"/>
        <w:spacing w:line="400" w:lineRule="exact"/>
        <w:ind w:firstLine="480"/>
        <w:rPr>
          <w:rFonts w:hint="eastAsia" w:ascii="宋体" w:hAnsi="宋体" w:eastAsia="宋体" w:cs="宋体"/>
          <w:color w:val="auto"/>
          <w:highlight w:val="none"/>
        </w:rPr>
      </w:pPr>
    </w:p>
    <w:p w14:paraId="04EBD600">
      <w:pPr>
        <w:pStyle w:val="5"/>
        <w:rPr>
          <w:rFonts w:hint="eastAsia" w:ascii="宋体" w:hAnsi="宋体" w:eastAsia="宋体" w:cs="宋体"/>
          <w:color w:val="auto"/>
          <w:highlight w:val="none"/>
        </w:rPr>
      </w:pPr>
    </w:p>
    <w:p w14:paraId="3EDF39F8">
      <w:pPr>
        <w:pStyle w:val="8"/>
        <w:rPr>
          <w:rFonts w:hint="eastAsia" w:ascii="宋体" w:hAnsi="宋体" w:eastAsia="宋体" w:cs="宋体"/>
          <w:highlight w:val="none"/>
        </w:rPr>
      </w:pPr>
    </w:p>
    <w:p w14:paraId="29D02E82">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689" w:name="_Toc17401"/>
      <w:bookmarkStart w:id="690" w:name="_Toc515647827"/>
      <w:bookmarkStart w:id="691" w:name="_Toc6004"/>
      <w:bookmarkStart w:id="692" w:name="_Toc22102"/>
      <w:bookmarkStart w:id="693" w:name="_Toc30795"/>
      <w:bookmarkStart w:id="694" w:name="_Toc26573"/>
      <w:bookmarkStart w:id="695" w:name="_Toc26328"/>
      <w:bookmarkStart w:id="696" w:name="_Toc23926"/>
      <w:bookmarkStart w:id="697" w:name="_Toc28099"/>
      <w:bookmarkStart w:id="698" w:name="_Toc13395"/>
      <w:r>
        <w:rPr>
          <w:rFonts w:hint="eastAsia"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、供应商关联单位的说明</w:t>
      </w:r>
      <w:bookmarkEnd w:id="689"/>
      <w:bookmarkEnd w:id="690"/>
      <w:bookmarkEnd w:id="691"/>
      <w:bookmarkEnd w:id="692"/>
      <w:bookmarkEnd w:id="693"/>
      <w:bookmarkEnd w:id="694"/>
      <w:bookmarkEnd w:id="695"/>
      <w:bookmarkEnd w:id="696"/>
      <w:bookmarkEnd w:id="697"/>
      <w:r>
        <w:rPr>
          <w:rFonts w:hint="eastAsia" w:ascii="宋体" w:hAnsi="宋体" w:eastAsia="宋体" w:cs="宋体"/>
          <w:b/>
          <w:bCs/>
          <w:color w:val="auto"/>
          <w:sz w:val="24"/>
          <w:szCs w:val="24"/>
          <w:highlight w:val="none"/>
        </w:rPr>
        <w:t>（格式自拟）</w:t>
      </w:r>
      <w:bookmarkEnd w:id="698"/>
    </w:p>
    <w:p w14:paraId="57059033">
      <w:pPr>
        <w:pStyle w:val="5"/>
        <w:spacing w:line="400" w:lineRule="exact"/>
        <w:jc w:val="center"/>
        <w:rPr>
          <w:rFonts w:hint="eastAsia" w:ascii="宋体" w:hAnsi="宋体" w:eastAsia="宋体" w:cs="宋体"/>
          <w:color w:val="auto"/>
          <w:szCs w:val="24"/>
          <w:highlight w:val="none"/>
        </w:rPr>
      </w:pPr>
    </w:p>
    <w:p w14:paraId="4C639A57">
      <w:pPr>
        <w:pStyle w:val="5"/>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说明：供应商应当如实披露与本单位存在下列关联关系的单位名称：</w:t>
      </w:r>
    </w:p>
    <w:p w14:paraId="02693DC3">
      <w:pPr>
        <w:pStyle w:val="5"/>
        <w:spacing w:line="400" w:lineRule="exact"/>
        <w:ind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（1）与供应商单位负责人为同一人的其他单位；</w:t>
      </w:r>
    </w:p>
    <w:p w14:paraId="2BAC82E5">
      <w:pPr>
        <w:pStyle w:val="5"/>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（2）与供应商存在直接控股、管理关系的其他单位。</w:t>
      </w:r>
    </w:p>
    <w:p w14:paraId="44544EF1">
      <w:pPr>
        <w:pStyle w:val="8"/>
        <w:rPr>
          <w:rFonts w:hint="eastAsia" w:ascii="宋体" w:hAnsi="宋体" w:eastAsia="宋体" w:cs="宋体"/>
          <w:color w:val="auto"/>
          <w:sz w:val="24"/>
          <w:highlight w:val="none"/>
        </w:rPr>
      </w:pPr>
    </w:p>
    <w:p w14:paraId="0C6BF6EA">
      <w:pPr>
        <w:rPr>
          <w:rFonts w:hint="eastAsia" w:ascii="宋体" w:hAnsi="宋体" w:eastAsia="宋体" w:cs="宋体"/>
          <w:color w:val="auto"/>
          <w:sz w:val="24"/>
          <w:highlight w:val="none"/>
        </w:rPr>
      </w:pPr>
    </w:p>
    <w:p w14:paraId="3FEE048F">
      <w:pPr>
        <w:pStyle w:val="12"/>
        <w:rPr>
          <w:rFonts w:hint="eastAsia" w:ascii="宋体" w:hAnsi="宋体" w:eastAsia="宋体" w:cs="宋体"/>
          <w:color w:val="auto"/>
          <w:sz w:val="24"/>
          <w:highlight w:val="none"/>
        </w:rPr>
      </w:pPr>
    </w:p>
    <w:p w14:paraId="54575399">
      <w:pPr>
        <w:pStyle w:val="5"/>
        <w:rPr>
          <w:rFonts w:hint="eastAsia" w:ascii="宋体" w:hAnsi="宋体" w:eastAsia="宋体" w:cs="宋体"/>
          <w:highlight w:val="none"/>
        </w:rPr>
      </w:pPr>
    </w:p>
    <w:p w14:paraId="5DF773BA">
      <w:pPr>
        <w:pStyle w:val="22"/>
        <w:rPr>
          <w:rFonts w:hint="eastAsia" w:ascii="宋体" w:hAnsi="宋体" w:eastAsia="宋体" w:cs="宋体"/>
          <w:b/>
          <w:color w:val="auto"/>
          <w:kern w:val="0"/>
          <w:sz w:val="24"/>
          <w:highlight w:val="none"/>
        </w:rPr>
      </w:pPr>
    </w:p>
    <w:p w14:paraId="20DA95ED">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699" w:name="_Toc32332"/>
      <w:bookmarkStart w:id="700" w:name="_Toc1363"/>
      <w:bookmarkStart w:id="701" w:name="_Toc26359"/>
      <w:r>
        <w:rPr>
          <w:rFonts w:hint="eastAsia"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w:t>
      </w:r>
      <w:bookmarkEnd w:id="699"/>
      <w:bookmarkEnd w:id="700"/>
      <w:r>
        <w:rPr>
          <w:rFonts w:hint="eastAsia" w:ascii="宋体" w:hAnsi="宋体" w:eastAsia="宋体" w:cs="宋体"/>
          <w:b/>
          <w:bCs/>
          <w:color w:val="auto"/>
          <w:sz w:val="24"/>
          <w:szCs w:val="24"/>
          <w:highlight w:val="none"/>
        </w:rPr>
        <w:t>供应商可提供有利于磋商的其他证明材料</w:t>
      </w:r>
      <w:bookmarkEnd w:id="701"/>
    </w:p>
    <w:p w14:paraId="60CADADB">
      <w:pPr>
        <w:pStyle w:val="5"/>
        <w:ind w:firstLine="0"/>
        <w:rPr>
          <w:rFonts w:hint="eastAsia" w:ascii="宋体" w:hAnsi="宋体" w:eastAsia="宋体" w:cs="宋体"/>
          <w:color w:val="auto"/>
          <w:szCs w:val="24"/>
          <w:highlight w:val="none"/>
        </w:rPr>
      </w:pPr>
    </w:p>
    <w:p w14:paraId="6BB071FB">
      <w:pPr>
        <w:pStyle w:val="8"/>
        <w:rPr>
          <w:rFonts w:hint="eastAsia" w:ascii="宋体" w:hAnsi="宋体" w:eastAsia="宋体" w:cs="宋体"/>
          <w:color w:val="auto"/>
          <w:sz w:val="24"/>
          <w:highlight w:val="none"/>
        </w:rPr>
      </w:pPr>
    </w:p>
    <w:p w14:paraId="11DB928C">
      <w:pPr>
        <w:rPr>
          <w:rFonts w:hint="eastAsia" w:ascii="宋体" w:hAnsi="宋体" w:eastAsia="宋体" w:cs="宋体"/>
          <w:color w:val="auto"/>
          <w:sz w:val="24"/>
          <w:highlight w:val="none"/>
        </w:rPr>
      </w:pPr>
    </w:p>
    <w:p w14:paraId="381D561E">
      <w:pPr>
        <w:pStyle w:val="22"/>
        <w:rPr>
          <w:rFonts w:hint="eastAsia" w:ascii="宋体" w:hAnsi="宋体" w:eastAsia="宋体" w:cs="宋体"/>
          <w:color w:val="auto"/>
          <w:sz w:val="24"/>
          <w:highlight w:val="none"/>
        </w:rPr>
      </w:pPr>
    </w:p>
    <w:p w14:paraId="3C80F247">
      <w:pPr>
        <w:pStyle w:val="22"/>
        <w:rPr>
          <w:rFonts w:hint="eastAsia" w:ascii="宋体" w:hAnsi="宋体" w:eastAsia="宋体" w:cs="宋体"/>
          <w:color w:val="auto"/>
          <w:sz w:val="24"/>
          <w:highlight w:val="none"/>
        </w:rPr>
      </w:pPr>
    </w:p>
    <w:p w14:paraId="61141F08">
      <w:pPr>
        <w:rPr>
          <w:rFonts w:hint="eastAsia" w:ascii="宋体" w:hAnsi="宋体" w:eastAsia="宋体" w:cs="宋体"/>
          <w:b/>
          <w:bCs/>
          <w:color w:val="auto"/>
          <w:sz w:val="24"/>
          <w:szCs w:val="24"/>
          <w:highlight w:val="none"/>
        </w:rPr>
      </w:pPr>
      <w:bookmarkStart w:id="702" w:name="_Toc1808"/>
      <w:bookmarkStart w:id="703" w:name="_Toc15335"/>
      <w:r>
        <w:rPr>
          <w:rFonts w:hint="eastAsia" w:ascii="宋体" w:hAnsi="宋体" w:eastAsia="宋体" w:cs="宋体"/>
          <w:b/>
          <w:bCs/>
          <w:color w:val="auto"/>
          <w:sz w:val="24"/>
          <w:szCs w:val="24"/>
          <w:highlight w:val="none"/>
        </w:rPr>
        <w:br w:type="page"/>
      </w:r>
    </w:p>
    <w:p w14:paraId="4C42823A">
      <w:pPr>
        <w:pStyle w:val="15"/>
        <w:tabs>
          <w:tab w:val="left" w:pos="5580"/>
        </w:tabs>
        <w:spacing w:line="400" w:lineRule="exact"/>
        <w:jc w:val="center"/>
        <w:outlineLvl w:val="1"/>
        <w:rPr>
          <w:rFonts w:hint="eastAsia" w:ascii="宋体" w:hAnsi="宋体" w:eastAsia="宋体" w:cs="宋体"/>
          <w:b/>
          <w:bCs/>
          <w:color w:val="auto"/>
          <w:sz w:val="24"/>
          <w:szCs w:val="24"/>
          <w:highlight w:val="none"/>
        </w:rPr>
      </w:pPr>
      <w:bookmarkStart w:id="704" w:name="_Toc9682"/>
      <w:r>
        <w:rPr>
          <w:rFonts w:hint="eastAsia"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格式范本</w:t>
      </w:r>
      <w:bookmarkEnd w:id="702"/>
      <w:bookmarkEnd w:id="703"/>
      <w:bookmarkEnd w:id="704"/>
    </w:p>
    <w:tbl>
      <w:tblPr>
        <w:tblStyle w:val="30"/>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57D5140B">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7BBBF33F">
            <w:pPr>
              <w:widowControl w:val="0"/>
              <w:spacing w:before="120" w:line="22" w:lineRule="atLeast"/>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                                                </w:t>
            </w:r>
          </w:p>
          <w:p w14:paraId="2986039D">
            <w:pPr>
              <w:widowControl w:val="0"/>
              <w:spacing w:before="120" w:line="22" w:lineRule="atLeast"/>
              <w:ind w:firstLine="4216" w:firstLineChars="1500"/>
              <w:jc w:val="both"/>
              <w:rPr>
                <w:rFonts w:hint="eastAsia" w:ascii="宋体" w:hAnsi="宋体" w:eastAsia="宋体" w:cs="宋体"/>
                <w:b/>
                <w:bCs/>
                <w:color w:val="auto"/>
                <w:kern w:val="2"/>
                <w:sz w:val="28"/>
                <w:szCs w:val="28"/>
                <w:highlight w:val="none"/>
                <w:lang w:val="en-US" w:eastAsia="zh-CN" w:bidi="ar-SA"/>
              </w:rPr>
            </w:pPr>
          </w:p>
          <w:p w14:paraId="0000AFA2">
            <w:pPr>
              <w:widowControl w:val="0"/>
              <w:spacing w:before="120" w:line="22" w:lineRule="atLeast"/>
              <w:ind w:firstLine="4216" w:firstLineChars="1500"/>
              <w:jc w:val="both"/>
              <w:rPr>
                <w:rFonts w:hint="eastAsia" w:ascii="宋体" w:hAnsi="宋体" w:eastAsia="宋体" w:cs="宋体"/>
                <w:b/>
                <w:bCs/>
                <w:color w:val="auto"/>
                <w:kern w:val="2"/>
                <w:sz w:val="28"/>
                <w:szCs w:val="28"/>
                <w:highlight w:val="none"/>
                <w:lang w:val="en-US" w:eastAsia="zh-CN" w:bidi="ar-SA"/>
              </w:rPr>
            </w:pPr>
          </w:p>
          <w:p w14:paraId="20CEF892">
            <w:pPr>
              <w:widowControl w:val="0"/>
              <w:spacing w:before="120" w:line="22" w:lineRule="atLeast"/>
              <w:jc w:val="both"/>
              <w:rPr>
                <w:rFonts w:hint="eastAsia" w:ascii="宋体" w:hAnsi="宋体" w:eastAsia="宋体" w:cs="宋体"/>
                <w:b/>
                <w:bCs/>
                <w:color w:val="auto"/>
                <w:kern w:val="2"/>
                <w:sz w:val="28"/>
                <w:szCs w:val="28"/>
                <w:highlight w:val="none"/>
                <w:lang w:val="en-US" w:eastAsia="zh-CN" w:bidi="ar-SA"/>
              </w:rPr>
            </w:pPr>
          </w:p>
          <w:p w14:paraId="4DD5B4C2">
            <w:pPr>
              <w:widowControl w:val="0"/>
              <w:spacing w:before="120" w:line="22" w:lineRule="atLeast"/>
              <w:ind w:firstLine="1897" w:firstLineChars="900"/>
              <w:jc w:val="both"/>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8"/>
                <w:szCs w:val="28"/>
                <w:highlight w:val="none"/>
                <w:lang w:val="en-US" w:eastAsia="zh-CN" w:bidi="ar-SA"/>
              </w:rPr>
              <w:t>项目</w:t>
            </w:r>
          </w:p>
          <w:p w14:paraId="686709FE">
            <w:pPr>
              <w:widowControl w:val="0"/>
              <w:spacing w:before="120" w:line="22" w:lineRule="atLeast"/>
              <w:jc w:val="center"/>
              <w:rPr>
                <w:rFonts w:hint="eastAsia" w:ascii="宋体" w:hAnsi="宋体" w:eastAsia="宋体" w:cs="宋体"/>
                <w:b/>
                <w:bCs/>
                <w:color w:val="auto"/>
                <w:kern w:val="2"/>
                <w:sz w:val="21"/>
                <w:szCs w:val="21"/>
                <w:highlight w:val="none"/>
                <w:lang w:val="en-US" w:eastAsia="zh-CN" w:bidi="ar-SA"/>
              </w:rPr>
            </w:pPr>
          </w:p>
          <w:p w14:paraId="0CC9F5ED">
            <w:pPr>
              <w:rPr>
                <w:rFonts w:hint="eastAsia" w:ascii="宋体" w:hAnsi="宋体" w:eastAsia="宋体" w:cs="宋体"/>
                <w:highlight w:val="none"/>
              </w:rPr>
            </w:pPr>
          </w:p>
          <w:p w14:paraId="44E24A61">
            <w:pPr>
              <w:widowControl w:val="0"/>
              <w:spacing w:before="120" w:line="22" w:lineRule="atLeast"/>
              <w:ind w:firstLine="2741" w:firstLineChars="13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项目编号 </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 xml:space="preserve">      标项号：</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（如有）</w:t>
            </w:r>
          </w:p>
          <w:p w14:paraId="5FFBAB68">
            <w:pPr>
              <w:widowControl w:val="0"/>
              <w:spacing w:before="120" w:line="22" w:lineRule="atLeast"/>
              <w:jc w:val="center"/>
              <w:rPr>
                <w:rFonts w:hint="eastAsia" w:ascii="宋体" w:hAnsi="宋体" w:eastAsia="宋体" w:cs="宋体"/>
                <w:b/>
                <w:bCs/>
                <w:color w:val="auto"/>
                <w:kern w:val="2"/>
                <w:sz w:val="48"/>
                <w:szCs w:val="24"/>
                <w:highlight w:val="none"/>
                <w:lang w:val="en-US" w:eastAsia="zh-CN" w:bidi="ar-SA"/>
              </w:rPr>
            </w:pPr>
          </w:p>
          <w:p w14:paraId="5EB33F97">
            <w:pPr>
              <w:widowControl w:val="0"/>
              <w:spacing w:before="120" w:line="22" w:lineRule="atLeast"/>
              <w:jc w:val="center"/>
              <w:rPr>
                <w:rFonts w:hint="eastAsia" w:ascii="宋体" w:hAnsi="宋体" w:eastAsia="宋体" w:cs="宋体"/>
                <w:b/>
                <w:bCs/>
                <w:color w:val="auto"/>
                <w:kern w:val="2"/>
                <w:sz w:val="48"/>
                <w:szCs w:val="24"/>
                <w:highlight w:val="none"/>
                <w:lang w:val="en-US" w:eastAsia="zh-CN" w:bidi="ar-SA"/>
              </w:rPr>
            </w:pPr>
            <w:r>
              <w:rPr>
                <w:rFonts w:hint="eastAsia" w:ascii="宋体" w:hAnsi="宋体" w:eastAsia="宋体" w:cs="宋体"/>
                <w:b/>
                <w:bCs/>
                <w:color w:val="auto"/>
                <w:kern w:val="2"/>
                <w:sz w:val="48"/>
                <w:szCs w:val="24"/>
                <w:highlight w:val="none"/>
                <w:lang w:val="en-US" w:eastAsia="zh-CN" w:bidi="ar-SA"/>
              </w:rPr>
              <w:t>响 应 文 件</w:t>
            </w:r>
          </w:p>
          <w:p w14:paraId="1D3D93B6">
            <w:pPr>
              <w:widowControl w:val="0"/>
              <w:autoSpaceDE w:val="0"/>
              <w:autoSpaceDN w:val="0"/>
              <w:adjustRightInd w:val="0"/>
              <w:ind w:firstLine="0"/>
              <w:jc w:val="left"/>
              <w:rPr>
                <w:rFonts w:hint="eastAsia" w:ascii="宋体" w:hAnsi="宋体" w:eastAsia="宋体" w:cs="宋体"/>
                <w:b/>
                <w:color w:val="auto"/>
                <w:kern w:val="0"/>
                <w:sz w:val="32"/>
                <w:szCs w:val="20"/>
                <w:highlight w:val="none"/>
                <w:lang w:val="en-US" w:eastAsia="zh-CN" w:bidi="ar-SA"/>
              </w:rPr>
            </w:pPr>
          </w:p>
          <w:p w14:paraId="37D18BFB">
            <w:pPr>
              <w:widowControl w:val="0"/>
              <w:autoSpaceDE w:val="0"/>
              <w:autoSpaceDN w:val="0"/>
              <w:adjustRightInd w:val="0"/>
              <w:ind w:firstLine="420"/>
              <w:jc w:val="left"/>
              <w:rPr>
                <w:rFonts w:hint="eastAsia" w:ascii="宋体" w:hAnsi="宋体" w:eastAsia="宋体" w:cs="宋体"/>
                <w:b/>
                <w:color w:val="auto"/>
                <w:kern w:val="0"/>
                <w:sz w:val="32"/>
                <w:szCs w:val="20"/>
                <w:highlight w:val="none"/>
                <w:lang w:val="en-US" w:eastAsia="zh-CN" w:bidi="ar-SA"/>
              </w:rPr>
            </w:pPr>
          </w:p>
          <w:p w14:paraId="4161F305">
            <w:pPr>
              <w:spacing w:line="360" w:lineRule="auto"/>
              <w:ind w:left="176" w:leftChars="84"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w:t>
            </w:r>
          </w:p>
          <w:p w14:paraId="42D7CD11">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6D68E6AB">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14:paraId="4F3C39B0">
            <w:pPr>
              <w:spacing w:line="360" w:lineRule="auto"/>
              <w:ind w:left="176" w:leftChars="84" w:firstLine="1260" w:firstLineChars="6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01E0595">
            <w:pPr>
              <w:spacing w:line="360" w:lineRule="auto"/>
              <w:ind w:left="176" w:leftChars="84"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5A8ADB9B">
            <w:pPr>
              <w:spacing w:line="360" w:lineRule="auto"/>
              <w:ind w:left="176" w:leftChars="84" w:firstLine="1260" w:firstLineChars="600"/>
              <w:rPr>
                <w:rFonts w:hint="eastAsia" w:ascii="宋体" w:hAnsi="宋体" w:eastAsia="宋体" w:cs="宋体"/>
                <w:b/>
                <w:bCs/>
                <w:color w:val="auto"/>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B55C459">
            <w:pPr>
              <w:jc w:val="center"/>
              <w:rPr>
                <w:rFonts w:hint="eastAsia" w:ascii="宋体" w:hAnsi="宋体" w:eastAsia="宋体" w:cs="宋体"/>
                <w:b/>
                <w:bCs/>
                <w:color w:val="auto"/>
                <w:highlight w:val="none"/>
              </w:rPr>
            </w:pPr>
          </w:p>
          <w:p w14:paraId="69F61C42">
            <w:pPr>
              <w:widowControl w:val="0"/>
              <w:autoSpaceDE w:val="0"/>
              <w:autoSpaceDN w:val="0"/>
              <w:adjustRightInd w:val="0"/>
              <w:ind w:firstLine="420"/>
              <w:jc w:val="left"/>
              <w:rPr>
                <w:rFonts w:hint="eastAsia" w:ascii="宋体" w:hAnsi="宋体" w:eastAsia="宋体" w:cs="宋体"/>
                <w:color w:val="auto"/>
                <w:kern w:val="0"/>
                <w:sz w:val="24"/>
                <w:szCs w:val="20"/>
                <w:highlight w:val="none"/>
                <w:lang w:val="en-US" w:eastAsia="zh-CN" w:bidi="ar-SA"/>
              </w:rPr>
            </w:pPr>
          </w:p>
          <w:p w14:paraId="55D27443">
            <w:pPr>
              <w:jc w:val="center"/>
              <w:rPr>
                <w:rFonts w:hint="eastAsia" w:ascii="宋体" w:hAnsi="宋体" w:eastAsia="宋体" w:cs="宋体"/>
                <w:b/>
                <w:bCs/>
                <w:color w:val="auto"/>
                <w:highlight w:val="none"/>
              </w:rPr>
            </w:pPr>
          </w:p>
          <w:p w14:paraId="7E409846">
            <w:pPr>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注：在20</w:t>
            </w:r>
            <w:r>
              <w:rPr>
                <w:rFonts w:hint="eastAsia" w:ascii="宋体" w:hAnsi="宋体" w:cs="宋体"/>
                <w:b/>
                <w:bCs/>
                <w:color w:val="auto"/>
                <w:highlight w:val="none"/>
                <w:lang w:val="en-US" w:eastAsia="zh-CN"/>
              </w:rPr>
              <w:t>**</w:t>
            </w:r>
            <w:r>
              <w:rPr>
                <w:rFonts w:hint="eastAsia" w:ascii="宋体" w:hAnsi="宋体" w:eastAsia="宋体" w:cs="宋体"/>
                <w:b/>
                <w:bCs/>
                <w:color w:val="auto"/>
                <w:highlight w:val="none"/>
              </w:rPr>
              <w:t>年</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highlight w:val="none"/>
              </w:rPr>
              <w:t>月</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highlight w:val="none"/>
              </w:rPr>
              <w:t>日</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highlight w:val="none"/>
              </w:rPr>
              <w:t>午</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highlight w:val="none"/>
              </w:rPr>
              <w:t>之前不得</w:t>
            </w:r>
            <w:r>
              <w:rPr>
                <w:rFonts w:hint="eastAsia" w:ascii="宋体" w:hAnsi="宋体" w:eastAsia="宋体" w:cs="宋体"/>
                <w:b/>
                <w:bCs/>
                <w:color w:val="auto"/>
                <w:highlight w:val="none"/>
                <w:lang w:val="en-US" w:eastAsia="zh-CN"/>
              </w:rPr>
              <w:t>开启解密</w:t>
            </w:r>
          </w:p>
          <w:p w14:paraId="771E002D">
            <w:pPr>
              <w:jc w:val="center"/>
              <w:rPr>
                <w:rFonts w:hint="eastAsia" w:ascii="宋体" w:hAnsi="宋体" w:eastAsia="宋体" w:cs="宋体"/>
                <w:b/>
                <w:bCs/>
                <w:color w:val="auto"/>
                <w:highlight w:val="none"/>
              </w:rPr>
            </w:pPr>
          </w:p>
        </w:tc>
      </w:tr>
    </w:tbl>
    <w:p w14:paraId="10375676">
      <w:pPr>
        <w:spacing w:beforeAutospacing="0" w:afterAutospacing="0" w:line="240" w:lineRule="atLeast"/>
        <w:ind w:left="1080" w:leftChars="257" w:hanging="540"/>
        <w:outlineLvl w:val="9"/>
        <w:rPr>
          <w:rFonts w:hint="eastAsia" w:ascii="宋体" w:hAnsi="宋体" w:eastAsia="宋体" w:cs="宋体"/>
          <w:b/>
          <w:color w:val="auto"/>
          <w:kern w:val="0"/>
          <w:sz w:val="24"/>
          <w:szCs w:val="20"/>
          <w:highlight w:val="none"/>
          <w:lang w:val="en-US" w:eastAsia="zh-CN"/>
        </w:rPr>
      </w:pPr>
    </w:p>
    <w:p w14:paraId="5A9F33B2">
      <w:pPr>
        <w:pStyle w:val="12"/>
        <w:rPr>
          <w:rFonts w:hint="eastAsia" w:ascii="宋体" w:hAnsi="宋体" w:eastAsia="宋体" w:cs="宋体"/>
          <w:b/>
          <w:color w:val="auto"/>
          <w:kern w:val="0"/>
          <w:sz w:val="24"/>
          <w:szCs w:val="20"/>
          <w:highlight w:val="none"/>
          <w:lang w:val="en-US" w:eastAsia="zh-CN"/>
        </w:rPr>
      </w:pPr>
    </w:p>
    <w:p w14:paraId="5CE0485E">
      <w:pPr>
        <w:pStyle w:val="8"/>
        <w:rPr>
          <w:rFonts w:hint="eastAsia" w:ascii="宋体" w:hAnsi="宋体" w:eastAsia="宋体" w:cs="宋体"/>
          <w:b/>
          <w:color w:val="auto"/>
          <w:kern w:val="0"/>
          <w:sz w:val="24"/>
          <w:szCs w:val="20"/>
          <w:highlight w:val="none"/>
          <w:lang w:val="en-US" w:eastAsia="zh-CN"/>
        </w:rPr>
      </w:pPr>
    </w:p>
    <w:p w14:paraId="4C035874">
      <w:pPr>
        <w:spacing w:beforeAutospacing="0" w:afterAutospacing="0" w:line="240" w:lineRule="atLeast"/>
        <w:ind w:left="1080" w:leftChars="257" w:hanging="540"/>
        <w:outlineLvl w:val="9"/>
        <w:rPr>
          <w:rFonts w:hint="eastAsia" w:ascii="宋体" w:hAnsi="宋体" w:eastAsia="宋体" w:cs="宋体"/>
          <w:b/>
          <w:color w:val="auto"/>
          <w:kern w:val="0"/>
          <w:sz w:val="24"/>
          <w:szCs w:val="20"/>
          <w:highlight w:val="none"/>
          <w:lang w:val="en-US" w:eastAsia="zh-CN"/>
        </w:rPr>
      </w:pPr>
    </w:p>
    <w:p w14:paraId="08106B09">
      <w:pPr>
        <w:rPr>
          <w:rFonts w:hint="eastAsia" w:ascii="宋体" w:hAnsi="宋体" w:eastAsia="宋体" w:cs="宋体"/>
          <w:b/>
          <w:color w:val="auto"/>
          <w:kern w:val="0"/>
          <w:sz w:val="24"/>
          <w:szCs w:val="20"/>
          <w:highlight w:val="none"/>
          <w:lang w:val="en-US" w:eastAsia="zh-CN"/>
        </w:rPr>
      </w:pPr>
      <w:r>
        <w:rPr>
          <w:rFonts w:hint="eastAsia" w:ascii="宋体" w:hAnsi="宋体" w:eastAsia="宋体" w:cs="宋体"/>
          <w:b/>
          <w:color w:val="auto"/>
          <w:kern w:val="0"/>
          <w:sz w:val="24"/>
          <w:szCs w:val="20"/>
          <w:highlight w:val="none"/>
          <w:lang w:val="en-US" w:eastAsia="zh-CN"/>
        </w:rPr>
        <w:br w:type="page"/>
      </w:r>
    </w:p>
    <w:p w14:paraId="1A127378">
      <w:pPr>
        <w:pStyle w:val="15"/>
        <w:tabs>
          <w:tab w:val="left" w:pos="5580"/>
        </w:tabs>
        <w:spacing w:line="400" w:lineRule="exact"/>
        <w:jc w:val="center"/>
        <w:outlineLvl w:val="1"/>
        <w:rPr>
          <w:rFonts w:hint="eastAsia" w:ascii="宋体" w:hAnsi="宋体" w:eastAsia="宋体" w:cs="宋体"/>
          <w:b/>
          <w:bCs/>
          <w:color w:val="auto"/>
          <w:sz w:val="24"/>
          <w:szCs w:val="24"/>
          <w:highlight w:val="none"/>
          <w:lang w:val="en-US" w:eastAsia="zh-CN"/>
        </w:rPr>
      </w:pPr>
      <w:bookmarkStart w:id="705" w:name="_Toc12577"/>
      <w:r>
        <w:rPr>
          <w:rFonts w:hint="eastAsia" w:ascii="宋体" w:hAnsi="宋体" w:eastAsia="宋体" w:cs="宋体"/>
          <w:b/>
          <w:bCs/>
          <w:color w:val="auto"/>
          <w:sz w:val="24"/>
          <w:szCs w:val="24"/>
          <w:highlight w:val="none"/>
          <w:lang w:val="en-US" w:eastAsia="zh-CN"/>
        </w:rPr>
        <w:t>1</w:t>
      </w:r>
      <w:r>
        <w:rPr>
          <w:rFonts w:hint="eastAsia"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、二轮报价表（此表用于磋商现场）</w:t>
      </w:r>
      <w:bookmarkEnd w:id="705"/>
    </w:p>
    <w:tbl>
      <w:tblPr>
        <w:tblStyle w:val="3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14:paraId="7096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0B03218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32"/>
                <w:szCs w:val="32"/>
                <w:highlight w:val="none"/>
                <w:u w:val="none"/>
                <w:lang w:val="en-US" w:eastAsia="zh-CN" w:bidi="ar"/>
              </w:rPr>
              <w:t>第二轮报价</w:t>
            </w:r>
          </w:p>
        </w:tc>
      </w:tr>
      <w:tr w14:paraId="79EE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4B5CF63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供应商名称（盖章）：</w:t>
            </w:r>
          </w:p>
        </w:tc>
      </w:tr>
      <w:tr w14:paraId="1FD7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exact"/>
          <w:jc w:val="center"/>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6377ACF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最终报价：小写：                     </w:t>
            </w:r>
          </w:p>
          <w:p w14:paraId="3DE04E79">
            <w:pPr>
              <w:keepNext w:val="0"/>
              <w:keepLines w:val="0"/>
              <w:widowControl/>
              <w:suppressLineNumbers w:val="0"/>
              <w:ind w:firstLine="1200" w:firstLineChars="50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p>
        </w:tc>
      </w:tr>
      <w:tr w14:paraId="4D2F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0" w:hRule="exact"/>
          <w:jc w:val="center"/>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6F25B7A5">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承诺：</w:t>
            </w:r>
          </w:p>
        </w:tc>
      </w:tr>
      <w:tr w14:paraId="30D5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exact"/>
          <w:jc w:val="center"/>
        </w:trPr>
        <w:tc>
          <w:tcPr>
            <w:tcW w:w="5000" w:type="pct"/>
            <w:tcBorders>
              <w:top w:val="single" w:color="000000" w:sz="4" w:space="0"/>
              <w:left w:val="single" w:color="000000" w:sz="4" w:space="0"/>
              <w:bottom w:val="single" w:color="000000" w:sz="4" w:space="0"/>
              <w:right w:val="single" w:color="000000" w:sz="4" w:space="0"/>
            </w:tcBorders>
            <w:noWrap w:val="0"/>
            <w:vAlign w:val="center"/>
          </w:tcPr>
          <w:p w14:paraId="0BAB8D86">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承诺人：                                           年   月   日</w:t>
            </w:r>
          </w:p>
        </w:tc>
      </w:tr>
    </w:tbl>
    <w:p w14:paraId="4B562C69">
      <w:pPr>
        <w:spacing w:beforeAutospacing="0" w:afterAutospacing="0" w:line="240" w:lineRule="atLeast"/>
        <w:ind w:left="1080" w:leftChars="257" w:hanging="540"/>
        <w:outlineLvl w:val="9"/>
        <w:rPr>
          <w:rFonts w:hint="eastAsia" w:ascii="宋体" w:hAnsi="宋体" w:eastAsia="宋体" w:cs="宋体"/>
          <w:b/>
          <w:color w:val="auto"/>
          <w:kern w:val="0"/>
          <w:sz w:val="24"/>
          <w:szCs w:val="20"/>
          <w:highlight w:val="none"/>
          <w:lang w:val="en-US" w:eastAsia="zh-CN"/>
        </w:rPr>
      </w:pPr>
    </w:p>
    <w:p w14:paraId="343C3317">
      <w:pPr>
        <w:pStyle w:val="8"/>
        <w:rPr>
          <w:rFonts w:hint="eastAsia" w:ascii="宋体" w:hAnsi="宋体" w:eastAsia="宋体" w:cs="宋体"/>
          <w:highlight w:val="none"/>
          <w:lang w:val="en-US" w:eastAsia="zh-CN"/>
        </w:rPr>
      </w:pPr>
    </w:p>
    <w:p w14:paraId="0035516F">
      <w:pPr>
        <w:spacing w:beforeAutospacing="0" w:afterAutospacing="0" w:line="240" w:lineRule="atLeast"/>
        <w:jc w:val="both"/>
        <w:rPr>
          <w:rFonts w:hint="eastAsia" w:ascii="宋体" w:hAnsi="宋体" w:eastAsia="宋体" w:cs="宋体"/>
          <w:b/>
          <w:color w:val="auto"/>
          <w:sz w:val="24"/>
          <w:szCs w:val="24"/>
          <w:highlight w:val="none"/>
          <w:lang w:val="en-US" w:eastAsia="zh-CN"/>
        </w:rPr>
      </w:pPr>
    </w:p>
    <w:p w14:paraId="6AB024EE">
      <w:pPr>
        <w:spacing w:beforeAutospacing="0" w:afterAutospacing="0" w:line="240" w:lineRule="atLeast"/>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注：此表只用于磋商现场，请各供应商根据以上内容提前考虑，在二轮报价时上传至政采云平台。</w:t>
      </w:r>
    </w:p>
    <w:p w14:paraId="54B739D3">
      <w:pPr>
        <w:spacing w:beforeAutospacing="0" w:afterAutospacing="0" w:line="240" w:lineRule="atLeast"/>
        <w:jc w:val="center"/>
        <w:rPr>
          <w:rFonts w:hint="eastAsia" w:ascii="宋体" w:hAnsi="宋体" w:eastAsia="宋体" w:cs="宋体"/>
          <w:b/>
          <w:color w:val="auto"/>
          <w:sz w:val="44"/>
          <w:szCs w:val="44"/>
          <w:highlight w:val="none"/>
        </w:rPr>
      </w:pPr>
    </w:p>
    <w:p w14:paraId="2017F613">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41267375">
      <w:pPr>
        <w:rPr>
          <w:rFonts w:hint="eastAsia" w:ascii="宋体" w:hAnsi="宋体" w:eastAsia="宋体" w:cs="宋体"/>
          <w:highlight w:val="none"/>
          <w:lang w:eastAsia="zh-CN"/>
        </w:rPr>
      </w:pPr>
    </w:p>
    <w:p w14:paraId="4A707B15">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磋 商 文 件</w:t>
      </w:r>
    </w:p>
    <w:p w14:paraId="3BBEB66E">
      <w:pPr>
        <w:spacing w:beforeAutospacing="0" w:afterAutospacing="0" w:line="240" w:lineRule="atLeast"/>
        <w:jc w:val="center"/>
        <w:rPr>
          <w:rFonts w:hint="eastAsia" w:ascii="宋体" w:hAnsi="宋体" w:eastAsia="宋体" w:cs="宋体"/>
          <w:b/>
          <w:color w:val="auto"/>
          <w:sz w:val="40"/>
          <w:szCs w:val="40"/>
          <w:highlight w:val="none"/>
        </w:rPr>
      </w:pPr>
    </w:p>
    <w:p w14:paraId="7D283470">
      <w:pPr>
        <w:spacing w:beforeAutospacing="0" w:afterAutospacing="0" w:line="240" w:lineRule="atLeast"/>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40"/>
          <w:szCs w:val="40"/>
          <w:highlight w:val="none"/>
          <w:lang w:eastAsia="zh-CN"/>
        </w:rPr>
        <w:t>项目编号：</w:t>
      </w:r>
      <w:r>
        <w:rPr>
          <w:rFonts w:hint="eastAsia" w:ascii="宋体" w:hAnsi="宋体" w:cs="宋体"/>
          <w:b/>
          <w:color w:val="auto"/>
          <w:sz w:val="40"/>
          <w:szCs w:val="40"/>
          <w:highlight w:val="none"/>
          <w:lang w:eastAsia="zh-CN"/>
        </w:rPr>
        <w:t>KSMGTX(FSJZCS)2025-01号</w:t>
      </w:r>
    </w:p>
    <w:p w14:paraId="45D98E2F">
      <w:pPr>
        <w:pStyle w:val="12"/>
        <w:rPr>
          <w:rFonts w:hint="eastAsia" w:ascii="宋体" w:hAnsi="宋体" w:eastAsia="宋体" w:cs="宋体"/>
          <w:highlight w:val="none"/>
          <w:lang w:eastAsia="zh-CN"/>
        </w:rPr>
      </w:pPr>
    </w:p>
    <w:p w14:paraId="2914F196">
      <w:pPr>
        <w:pStyle w:val="22"/>
        <w:rPr>
          <w:rFonts w:hint="eastAsia" w:ascii="宋体" w:hAnsi="宋体" w:eastAsia="宋体" w:cs="宋体"/>
          <w:highlight w:val="none"/>
        </w:rPr>
      </w:pPr>
    </w:p>
    <w:p w14:paraId="75547217">
      <w:pPr>
        <w:spacing w:beforeAutospacing="0" w:afterAutospacing="0" w:line="240" w:lineRule="atLeast"/>
        <w:jc w:val="center"/>
        <w:outlineLvl w:val="0"/>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rPr>
        <w:t>第 二 册</w:t>
      </w:r>
    </w:p>
    <w:p w14:paraId="0B22187E">
      <w:pPr>
        <w:spacing w:beforeAutospacing="0" w:afterAutospacing="0" w:line="240" w:lineRule="atLeast"/>
        <w:jc w:val="center"/>
        <w:rPr>
          <w:rFonts w:hint="eastAsia" w:ascii="宋体" w:hAnsi="宋体" w:eastAsia="宋体" w:cs="宋体"/>
          <w:b/>
          <w:color w:val="auto"/>
          <w:sz w:val="32"/>
          <w:highlight w:val="none"/>
        </w:rPr>
      </w:pPr>
    </w:p>
    <w:p w14:paraId="03CC26C1">
      <w:pPr>
        <w:spacing w:beforeAutospacing="0" w:afterAutospacing="0" w:line="240" w:lineRule="atLeas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14:paraId="31FA66DC">
      <w:pPr>
        <w:spacing w:beforeAutospacing="0" w:afterAutospacing="0" w:line="240" w:lineRule="atLeast"/>
        <w:ind w:left="1080" w:leftChars="257" w:hanging="540"/>
        <w:rPr>
          <w:rFonts w:hint="eastAsia" w:ascii="宋体" w:hAnsi="宋体" w:eastAsia="宋体" w:cs="宋体"/>
          <w:b/>
          <w:color w:val="auto"/>
          <w:sz w:val="28"/>
          <w:highlight w:val="none"/>
        </w:rPr>
      </w:pPr>
    </w:p>
    <w:p w14:paraId="39CB325C">
      <w:pPr>
        <w:spacing w:beforeAutospacing="0" w:afterAutospacing="0" w:line="240" w:lineRule="atLeast"/>
        <w:ind w:left="1080" w:leftChars="257" w:hanging="540"/>
        <w:rPr>
          <w:rFonts w:hint="eastAsia" w:ascii="宋体" w:hAnsi="宋体" w:eastAsia="宋体" w:cs="宋体"/>
          <w:b/>
          <w:color w:val="auto"/>
          <w:sz w:val="28"/>
          <w:highlight w:val="none"/>
        </w:rPr>
      </w:pPr>
    </w:p>
    <w:p w14:paraId="080DF1E1">
      <w:pPr>
        <w:spacing w:beforeAutospacing="0" w:afterAutospacing="0" w:line="240" w:lineRule="atLeast"/>
        <w:ind w:left="1080" w:leftChars="257" w:hanging="540"/>
        <w:jc w:val="center"/>
        <w:rPr>
          <w:rFonts w:hint="eastAsia" w:ascii="宋体" w:hAnsi="宋体" w:eastAsia="宋体" w:cs="宋体"/>
          <w:b/>
          <w:color w:val="auto"/>
          <w:sz w:val="52"/>
          <w:highlight w:val="none"/>
        </w:rPr>
      </w:pPr>
    </w:p>
    <w:p w14:paraId="41DB4CF8">
      <w:pPr>
        <w:pStyle w:val="3"/>
        <w:jc w:val="both"/>
        <w:rPr>
          <w:rFonts w:hint="eastAsia" w:ascii="宋体" w:hAnsi="宋体" w:eastAsia="宋体" w:cs="宋体"/>
          <w:color w:val="auto"/>
          <w:highlight w:val="none"/>
        </w:rPr>
        <w:sectPr>
          <w:footerReference r:id="rId4" w:type="default"/>
          <w:pgSz w:w="11906" w:h="16838"/>
          <w:pgMar w:top="1440" w:right="1797" w:bottom="1440" w:left="1797" w:header="851" w:footer="992" w:gutter="0"/>
          <w:pgNumType w:fmt="decimal"/>
          <w:cols w:space="720" w:num="1"/>
          <w:docGrid w:linePitch="312" w:charSpace="0"/>
        </w:sectPr>
      </w:pPr>
    </w:p>
    <w:p w14:paraId="1456A4EE">
      <w:pPr>
        <w:pStyle w:val="5"/>
        <w:ind w:firstLine="0"/>
        <w:jc w:val="center"/>
        <w:outlineLvl w:val="0"/>
        <w:rPr>
          <w:rFonts w:hint="eastAsia" w:ascii="宋体" w:hAnsi="宋体" w:eastAsia="宋体" w:cs="宋体"/>
          <w:b/>
          <w:bCs/>
          <w:color w:val="auto"/>
          <w:sz w:val="32"/>
          <w:szCs w:val="32"/>
          <w:highlight w:val="none"/>
          <w:lang w:val="en-US" w:eastAsia="zh-CN"/>
        </w:rPr>
      </w:pPr>
      <w:bookmarkStart w:id="706" w:name="_Toc16370"/>
      <w:bookmarkEnd w:id="706"/>
      <w:bookmarkStart w:id="707" w:name="_Toc219175634"/>
      <w:bookmarkEnd w:id="707"/>
      <w:bookmarkStart w:id="708" w:name="_Toc216582822"/>
      <w:bookmarkEnd w:id="708"/>
      <w:bookmarkStart w:id="709" w:name="_Toc515647829"/>
      <w:bookmarkEnd w:id="709"/>
      <w:bookmarkStart w:id="710" w:name="_Toc507399902"/>
      <w:bookmarkEnd w:id="710"/>
      <w:bookmarkStart w:id="711" w:name="_Toc29715"/>
      <w:bookmarkEnd w:id="711"/>
      <w:bookmarkStart w:id="712" w:name="_Toc28765"/>
      <w:bookmarkEnd w:id="712"/>
      <w:bookmarkStart w:id="713" w:name="_Toc218935350"/>
      <w:bookmarkEnd w:id="713"/>
      <w:bookmarkStart w:id="714" w:name="_Toc4866"/>
      <w:r>
        <w:rPr>
          <w:rFonts w:hint="eastAsia" w:ascii="宋体" w:hAnsi="宋体" w:eastAsia="宋体" w:cs="宋体"/>
          <w:b/>
          <w:bCs/>
          <w:color w:val="auto"/>
          <w:sz w:val="32"/>
          <w:szCs w:val="32"/>
          <w:highlight w:val="none"/>
          <w:lang w:val="en-US" w:eastAsia="zh-CN"/>
        </w:rPr>
        <w:t>第3章 磋商邀请</w:t>
      </w:r>
      <w:bookmarkEnd w:id="714"/>
    </w:p>
    <w:p w14:paraId="6C0DA03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kern w:val="2"/>
          <w:sz w:val="30"/>
          <w:szCs w:val="30"/>
          <w:highlight w:val="none"/>
          <w:lang w:val="en-US" w:eastAsia="zh-CN" w:bidi="ar-SA"/>
        </w:rPr>
      </w:pPr>
      <w:bookmarkStart w:id="715" w:name="_Toc14011"/>
      <w:bookmarkEnd w:id="715"/>
      <w:bookmarkStart w:id="716" w:name="_Toc8815"/>
      <w:bookmarkEnd w:id="716"/>
      <w:bookmarkStart w:id="717" w:name="_Toc449387754"/>
      <w:bookmarkStart w:id="718" w:name="_Toc4000"/>
      <w:bookmarkStart w:id="719" w:name="_Toc21806"/>
      <w:bookmarkStart w:id="720" w:name="_Toc28539"/>
      <w:bookmarkStart w:id="721" w:name="_Toc16036"/>
      <w:bookmarkStart w:id="722" w:name="_Toc13655"/>
      <w:bookmarkStart w:id="723" w:name="_Toc26226"/>
      <w:bookmarkStart w:id="724" w:name="_Toc13846"/>
      <w:bookmarkStart w:id="725" w:name="_Toc28803"/>
      <w:bookmarkStart w:id="726" w:name="_Toc23395"/>
      <w:bookmarkStart w:id="727" w:name="_Toc25737"/>
      <w:bookmarkStart w:id="728" w:name="_Toc22216"/>
      <w:r>
        <w:rPr>
          <w:rFonts w:hint="eastAsia" w:ascii="微软雅黑" w:hAnsi="微软雅黑" w:eastAsia="微软雅黑" w:cs="微软雅黑"/>
          <w:b/>
          <w:kern w:val="2"/>
          <w:sz w:val="30"/>
          <w:szCs w:val="30"/>
          <w:highlight w:val="none"/>
          <w:lang w:val="en-US" w:eastAsia="zh-CN" w:bidi="ar-SA"/>
        </w:rPr>
        <w:t>麦盖提县民政局购买社会救助服务性项目分散竞争性磋商公告</w:t>
      </w:r>
    </w:p>
    <w:p w14:paraId="0C5F928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kern w:val="2"/>
          <w:sz w:val="30"/>
          <w:szCs w:val="30"/>
          <w:highlight w:val="none"/>
          <w:lang w:val="en-US" w:eastAsia="zh-CN" w:bidi="ar-SA"/>
        </w:rPr>
      </w:pPr>
    </w:p>
    <w:p w14:paraId="12EBE4EE">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麦盖提县政府采购中心</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受</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麦盖提县民政局</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的委托，对</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麦盖提县民政局购买社会救助服务性项目</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进行</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分散</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竞争性磋商</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采购，欢迎符合资格条件的投标人参加投标。</w:t>
      </w:r>
    </w:p>
    <w:p w14:paraId="2728CFB9">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招标编号</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：KSMGTX(FSJZCS)2025-01号</w:t>
      </w:r>
    </w:p>
    <w:p w14:paraId="5AEB79F8">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2、</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项目名称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麦盖提县民政局购买社会救助服务性项目</w:t>
      </w:r>
    </w:p>
    <w:p w14:paraId="14D2AD90">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招标内容及要求</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p>
    <w:p w14:paraId="2731FBD7">
      <w:pPr>
        <w:keepNext w:val="0"/>
        <w:keepLines w:val="0"/>
        <w:pageBreakBefore w:val="0"/>
        <w:widowControl/>
        <w:numPr>
          <w:ilvl w:val="0"/>
          <w:numId w:val="0"/>
        </w:numPr>
        <w:kinsoku/>
        <w:wordWrap/>
        <w:overflowPunct/>
        <w:topLinePunct w:val="0"/>
        <w:autoSpaceDE/>
        <w:autoSpaceDN/>
        <w:bidi w:val="0"/>
        <w:adjustRightInd/>
        <w:snapToGrid/>
        <w:spacing w:line="380" w:lineRule="exact"/>
        <w:ind w:left="479" w:leftChars="228" w:firstLine="240" w:firstLineChars="10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）内容</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为我县城乡散居特困供养人员、孤儿等困境儿童、生活无着的流浪乞讨人员提供救助服务、社会融入、心理疏导、社会关爱、精神慰藉等社会工作服务，协助政府部门为救助对象提供基本生活保障服务。</w:t>
      </w:r>
    </w:p>
    <w:p w14:paraId="6EBB519A">
      <w:pPr>
        <w:keepNext w:val="0"/>
        <w:keepLines w:val="0"/>
        <w:pageBreakBefore w:val="0"/>
        <w:widowControl/>
        <w:numPr>
          <w:ilvl w:val="0"/>
          <w:numId w:val="0"/>
        </w:numPr>
        <w:kinsoku/>
        <w:wordWrap/>
        <w:overflowPunct/>
        <w:topLinePunct w:val="0"/>
        <w:autoSpaceDE/>
        <w:autoSpaceDN/>
        <w:bidi w:val="0"/>
        <w:adjustRightInd/>
        <w:snapToGrid/>
        <w:spacing w:line="380" w:lineRule="exact"/>
        <w:ind w:left="479" w:leftChars="228" w:firstLine="240" w:firstLineChars="10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（2）</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本项目预算价：</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37.96万元</w:t>
      </w:r>
    </w:p>
    <w:p w14:paraId="1E6CD2A2">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4、</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投标人的资格要求：</w:t>
      </w:r>
    </w:p>
    <w:p w14:paraId="3D08A892">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（1）具有三证合一企业法人营业执照副本原件的扫描件；</w:t>
      </w:r>
    </w:p>
    <w:p w14:paraId="31830897">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（2）提供法定代表人资格证明及授权书、被授权人身份证复印件；(法定代表人投标需提供法定代表人身份证复印件)</w:t>
      </w:r>
    </w:p>
    <w:p w14:paraId="4385612F">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（3）具有良好的商业信誉和健全的财务会计制度（投标人提供近两年任意一年财务审计报告，新成立未满一年的公司提供开标前三个月内有效银行资信证明）；</w:t>
      </w:r>
    </w:p>
    <w:p w14:paraId="0E29841C">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有依法缴纳社会保障资金的良好记录；须提供近期连续3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51934439">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（5）有依法缴纳税收的良好记录；投标单位近期连续3个月依法缴纳税收的完税证明原件扫描件/复印件，依法免缴的，应提供依法免缴的相关证明文件或零申报报表（新公司提交上述内容实际证明材料）；</w:t>
      </w:r>
    </w:p>
    <w:p w14:paraId="5C6E02A8">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参加本次招标项目的供应商，不得在中国政府采购网（http://www.ccgp.gov.cn/search/cr/）存在严重违法失信行为记录名单（尚在处罚期内的）；近三年内（2022年02月25日-2025年02月25日）不得在“信用中国”网站（www.creditchina.gov.cn）被列入失信被执行人、重大税收违法失信主体内将拒绝其参加本次招标活动。</w:t>
      </w:r>
    </w:p>
    <w:p w14:paraId="2D43319C">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（7）提供针对本次项目《反商业贿赂承诺书》；</w:t>
      </w:r>
    </w:p>
    <w:p w14:paraId="78C6BED4">
      <w:pPr>
        <w:keepNext w:val="0"/>
        <w:keepLines w:val="0"/>
        <w:pageBreakBefore w:val="0"/>
        <w:widowControl w:val="0"/>
        <w:kinsoku/>
        <w:wordWrap/>
        <w:overflowPunct/>
        <w:topLinePunct w:val="0"/>
        <w:autoSpaceDE/>
        <w:autoSpaceDN/>
        <w:bidi w:val="0"/>
        <w:adjustRightInd/>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（8）提供缴纳投标保证金的有效凭证；</w:t>
      </w:r>
    </w:p>
    <w:p w14:paraId="342C0B0E">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（10）</w:t>
      </w:r>
      <w:r>
        <w:rPr>
          <w:rFonts w:hint="eastAsia" w:ascii="微软雅黑" w:hAnsi="微软雅黑" w:eastAsia="微软雅黑" w:cs="微软雅黑"/>
          <w:color w:val="auto"/>
          <w:kern w:val="0"/>
          <w:sz w:val="24"/>
          <w:szCs w:val="24"/>
          <w:highlight w:val="none"/>
          <w:lang w:val="en-US" w:eastAsia="zh-CN"/>
        </w:rPr>
        <w:t>本项目不接受联合体投标。</w:t>
      </w:r>
    </w:p>
    <w:p w14:paraId="269EC913">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（11）本项目专门面向中小企业采购，根据要求单独上传《中小企业声明函（服务）》；</w:t>
      </w:r>
    </w:p>
    <w:p w14:paraId="70A5AD77">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p>
    <w:p w14:paraId="2347B06E">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5</w:t>
      </w:r>
      <w:r>
        <w:rPr>
          <w:rFonts w:hint="eastAsia" w:ascii="微软雅黑" w:hAnsi="微软雅黑" w:eastAsia="微软雅黑" w:cs="微软雅黑"/>
          <w:b/>
          <w:bCs/>
          <w:color w:val="000000" w:themeColor="text1"/>
          <w:sz w:val="24"/>
          <w:szCs w:val="24"/>
          <w:highlight w:val="none"/>
          <w14:textFill>
            <w14:solidFill>
              <w14:schemeClr w14:val="tx1"/>
            </w14:solidFill>
          </w14:textFill>
        </w:rPr>
        <w:t>、</w:t>
      </w: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获取</w:t>
      </w:r>
      <w:r>
        <w:rPr>
          <w:rFonts w:hint="eastAsia" w:ascii="微软雅黑" w:hAnsi="微软雅黑" w:eastAsia="微软雅黑" w:cs="微软雅黑"/>
          <w:b/>
          <w:bCs/>
          <w:color w:val="000000" w:themeColor="text1"/>
          <w:sz w:val="24"/>
          <w:szCs w:val="24"/>
          <w:highlight w:val="none"/>
          <w:lang w:eastAsia="zh-CN"/>
          <w14:textFill>
            <w14:solidFill>
              <w14:schemeClr w14:val="tx1"/>
            </w14:solidFill>
          </w14:textFill>
        </w:rPr>
        <w:t>采购文件</w:t>
      </w:r>
      <w:r>
        <w:rPr>
          <w:rFonts w:hint="eastAsia" w:ascii="微软雅黑" w:hAnsi="微软雅黑" w:eastAsia="微软雅黑" w:cs="微软雅黑"/>
          <w:b/>
          <w:bCs/>
          <w:color w:val="000000" w:themeColor="text1"/>
          <w:sz w:val="24"/>
          <w:szCs w:val="24"/>
          <w:highlight w:val="none"/>
          <w14:textFill>
            <w14:solidFill>
              <w14:schemeClr w14:val="tx1"/>
            </w14:solidFill>
          </w14:textFill>
        </w:rPr>
        <w:t>时间、地点、方式或事项：</w:t>
      </w:r>
    </w:p>
    <w:p w14:paraId="6403451E">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3385DFE">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（2）获取采购文件时间：2025年02月25日至2025年03月04日。</w:t>
      </w:r>
    </w:p>
    <w:p w14:paraId="514A09C2">
      <w:pPr>
        <w:keepNext w:val="0"/>
        <w:keepLines w:val="0"/>
        <w:pageBreakBefore w:val="0"/>
        <w:kinsoku/>
        <w:wordWrap/>
        <w:overflowPunct/>
        <w:topLinePunct w:val="0"/>
        <w:autoSpaceDE/>
        <w:autoSpaceDN/>
        <w:bidi w:val="0"/>
        <w:adjustRightInd/>
        <w:snapToGrid/>
        <w:spacing w:line="380" w:lineRule="exact"/>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6</w:t>
      </w:r>
      <w:r>
        <w:rPr>
          <w:rFonts w:hint="eastAsia" w:ascii="微软雅黑" w:hAnsi="微软雅黑" w:eastAsia="微软雅黑" w:cs="微软雅黑"/>
          <w:b/>
          <w:bCs/>
          <w:color w:val="000000" w:themeColor="text1"/>
          <w:sz w:val="24"/>
          <w:szCs w:val="24"/>
          <w:highlight w:val="none"/>
          <w14:textFill>
            <w14:solidFill>
              <w14:schemeClr w14:val="tx1"/>
            </w14:solidFill>
          </w14:textFill>
        </w:rPr>
        <w:t>、</w:t>
      </w:r>
      <w:r>
        <w:rPr>
          <w:rFonts w:hint="eastAsia" w:ascii="微软雅黑" w:hAnsi="微软雅黑" w:eastAsia="微软雅黑" w:cs="微软雅黑"/>
          <w:b/>
          <w:bCs/>
          <w:color w:val="000000" w:themeColor="text1"/>
          <w:sz w:val="24"/>
          <w:szCs w:val="24"/>
          <w:highlight w:val="none"/>
          <w:lang w:eastAsia="zh-CN"/>
          <w14:textFill>
            <w14:solidFill>
              <w14:schemeClr w14:val="tx1"/>
            </w14:solidFill>
          </w14:textFill>
        </w:rPr>
        <w:t>采购文件</w:t>
      </w:r>
      <w:r>
        <w:rPr>
          <w:rFonts w:hint="eastAsia" w:ascii="微软雅黑" w:hAnsi="微软雅黑" w:eastAsia="微软雅黑" w:cs="微软雅黑"/>
          <w:b/>
          <w:bCs/>
          <w:color w:val="000000" w:themeColor="text1"/>
          <w:sz w:val="24"/>
          <w:szCs w:val="24"/>
          <w:highlight w:val="none"/>
          <w14:textFill>
            <w14:solidFill>
              <w14:schemeClr w14:val="tx1"/>
            </w14:solidFill>
          </w14:textFill>
        </w:rPr>
        <w:t>售价</w:t>
      </w:r>
      <w:r>
        <w:rPr>
          <w:rFonts w:hint="eastAsia" w:ascii="微软雅黑" w:hAnsi="微软雅黑" w:eastAsia="微软雅黑" w:cs="微软雅黑"/>
          <w:color w:val="000000" w:themeColor="text1"/>
          <w:sz w:val="24"/>
          <w:szCs w:val="24"/>
          <w:highlight w:val="none"/>
          <w14:textFill>
            <w14:solidFill>
              <w14:schemeClr w14:val="tx1"/>
            </w14:solidFill>
          </w14:textFill>
        </w:rPr>
        <w:t>：免费</w:t>
      </w:r>
    </w:p>
    <w:p w14:paraId="016D5519">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7</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、投标截止时间</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投标人应于</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202</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5</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年</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03月10</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日</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10</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00之</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前</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将电子投标文件上传到“政采云”平台。应按照本项目</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采购文件</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政采云平台自助查询、</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钉钉群及政采云在线客服</w:t>
      </w:r>
      <w:r>
        <w:rPr>
          <w:rFonts w:hint="eastAsia" w:ascii="微软雅黑" w:hAnsi="微软雅黑" w:eastAsia="微软雅黑" w:cs="微软雅黑"/>
          <w:b w:val="0"/>
          <w:bCs w:val="0"/>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或</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致电政采云平台技术支持热线咨询，联系方式：400-881-7190</w:t>
      </w: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,95763</w:t>
      </w:r>
      <w:r>
        <w:rPr>
          <w:rFonts w:hint="eastAsia" w:ascii="微软雅黑" w:hAnsi="微软雅黑" w:eastAsia="微软雅黑" w:cs="微软雅黑"/>
          <w:b w:val="0"/>
          <w:bCs w:val="0"/>
          <w:color w:val="000000" w:themeColor="text1"/>
          <w:kern w:val="0"/>
          <w:sz w:val="24"/>
          <w:szCs w:val="24"/>
          <w:highlight w:val="none"/>
          <w14:textFill>
            <w14:solidFill>
              <w14:schemeClr w14:val="tx1"/>
            </w14:solidFill>
          </w14:textFill>
        </w:rPr>
        <w:t>。</w:t>
      </w:r>
    </w:p>
    <w:p w14:paraId="2E90C7F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8</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、开标</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评标</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时间及地点</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highlight w:val="none"/>
          <w:lang w:val="en-US" w:eastAsia="zh-CN"/>
          <w14:textFill>
            <w14:solidFill>
              <w14:schemeClr w14:val="tx1"/>
            </w14:solidFill>
          </w14:textFill>
        </w:rPr>
        <w:t>网址</w:t>
      </w:r>
      <w:r>
        <w:rPr>
          <w:rFonts w:hint="eastAsia" w:ascii="微软雅黑" w:hAnsi="微软雅黑" w:eastAsia="微软雅黑" w:cs="微软雅黑"/>
          <w:b/>
          <w:bCs/>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b/>
          <w:bCs/>
          <w:color w:val="000000" w:themeColor="text1"/>
          <w:kern w:val="0"/>
          <w:sz w:val="24"/>
          <w:szCs w:val="24"/>
          <w:highlight w:val="none"/>
          <w14:textFill>
            <w14:solidFill>
              <w14:schemeClr w14:val="tx1"/>
            </w14:solidFill>
          </w14:textFill>
        </w:rPr>
        <w:t>：</w:t>
      </w:r>
    </w:p>
    <w:p w14:paraId="54B27811">
      <w:pPr>
        <w:keepNext w:val="0"/>
        <w:keepLines w:val="0"/>
        <w:pageBreakBefore w:val="0"/>
        <w:widowControl/>
        <w:kinsoku/>
        <w:wordWrap/>
        <w:overflowPunct/>
        <w:topLinePunct w:val="0"/>
        <w:autoSpaceDE/>
        <w:autoSpaceDN/>
        <w:bidi w:val="0"/>
        <w:adjustRightInd/>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（1）开标时间：</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202</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年</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03月10</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日</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sz w:val="24"/>
          <w:szCs w:val="24"/>
          <w:highlight w:val="none"/>
          <w:lang w:val="en-US" w:eastAsia="zh-CN"/>
          <w14:textFill>
            <w14:solidFill>
              <w14:schemeClr w14:val="tx1"/>
            </w14:solidFill>
          </w14:textFill>
        </w:rPr>
        <w:t>00</w:t>
      </w:r>
    </w:p>
    <w:p w14:paraId="31478AED">
      <w:pPr>
        <w:keepNext w:val="0"/>
        <w:keepLines w:val="0"/>
        <w:pageBreakBefore w:val="0"/>
        <w:widowControl/>
        <w:kinsoku/>
        <w:wordWrap/>
        <w:overflowPunct/>
        <w:topLinePunct w:val="0"/>
        <w:autoSpaceDE/>
        <w:autoSpaceDN/>
        <w:bidi w:val="0"/>
        <w:adjustRightInd/>
        <w:snapToGrid/>
        <w:spacing w:line="380" w:lineRule="exact"/>
        <w:ind w:left="239" w:leftChars="114" w:firstLine="360" w:firstLineChars="15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2</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开标地点（网址）：</w:t>
      </w:r>
      <w:r>
        <w:rPr>
          <w:rFonts w:hint="eastAsia" w:ascii="微软雅黑" w:hAnsi="微软雅黑" w:eastAsia="微软雅黑" w:cs="微软雅黑"/>
          <w:sz w:val="24"/>
          <w:szCs w:val="24"/>
          <w:highlight w:val="none"/>
        </w:rPr>
        <w:t>麦盖提县行政服务</w:t>
      </w:r>
      <w:r>
        <w:rPr>
          <w:rFonts w:hint="eastAsia" w:ascii="微软雅黑" w:hAnsi="微软雅黑" w:eastAsia="微软雅黑" w:cs="微软雅黑"/>
          <w:sz w:val="24"/>
          <w:szCs w:val="24"/>
          <w:highlight w:val="none"/>
          <w:lang w:eastAsia="zh-CN"/>
        </w:rPr>
        <w:t>中心</w:t>
      </w:r>
      <w:r>
        <w:rPr>
          <w:rFonts w:hint="eastAsia" w:ascii="微软雅黑" w:hAnsi="微软雅黑" w:eastAsia="微软雅黑" w:cs="微软雅黑"/>
          <w:sz w:val="24"/>
          <w:szCs w:val="24"/>
          <w:highlight w:val="none"/>
        </w:rPr>
        <w:t>三楼政府采购中心</w:t>
      </w:r>
      <w:r>
        <w:rPr>
          <w:rFonts w:hint="eastAsia" w:ascii="微软雅黑" w:hAnsi="微软雅黑" w:eastAsia="微软雅黑" w:cs="微软雅黑"/>
          <w:sz w:val="24"/>
          <w:szCs w:val="24"/>
          <w:highlight w:val="none"/>
          <w:lang w:eastAsia="zh-CN"/>
        </w:rPr>
        <w:t>开</w:t>
      </w:r>
      <w:r>
        <w:rPr>
          <w:rFonts w:hint="eastAsia" w:ascii="微软雅黑" w:hAnsi="微软雅黑" w:eastAsia="微软雅黑" w:cs="微软雅黑"/>
          <w:sz w:val="24"/>
          <w:szCs w:val="24"/>
          <w:highlight w:val="none"/>
        </w:rPr>
        <w:t>标室</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政采云平台（https://login.zcygov.cn/user-login/#/login）</w:t>
      </w:r>
    </w:p>
    <w:p w14:paraId="13AB1FBD">
      <w:pPr>
        <w:keepNext w:val="0"/>
        <w:keepLines w:val="0"/>
        <w:pageBreakBefore w:val="0"/>
        <w:widowControl/>
        <w:kinsoku/>
        <w:wordWrap/>
        <w:overflowPunct/>
        <w:topLinePunct w:val="0"/>
        <w:autoSpaceDE/>
        <w:autoSpaceDN/>
        <w:bidi w:val="0"/>
        <w:adjustRightInd/>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（3）评标时间：电子投标文件解密后</w:t>
      </w:r>
    </w:p>
    <w:p w14:paraId="7C78F064">
      <w:pPr>
        <w:keepNext w:val="0"/>
        <w:keepLines w:val="0"/>
        <w:pageBreakBefore w:val="0"/>
        <w:widowControl/>
        <w:kinsoku/>
        <w:wordWrap/>
        <w:overflowPunct/>
        <w:topLinePunct w:val="0"/>
        <w:autoSpaceDE/>
        <w:autoSpaceDN/>
        <w:bidi w:val="0"/>
        <w:adjustRightInd/>
        <w:snapToGrid/>
        <w:spacing w:line="380" w:lineRule="exact"/>
        <w:ind w:firstLine="600" w:firstLineChars="250"/>
        <w:jc w:val="left"/>
        <w:textAlignment w:val="auto"/>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（4）评标地点：</w:t>
      </w:r>
      <w:r>
        <w:rPr>
          <w:rFonts w:hint="eastAsia" w:ascii="微软雅黑" w:hAnsi="微软雅黑" w:eastAsia="微软雅黑" w:cs="微软雅黑"/>
          <w:sz w:val="24"/>
          <w:szCs w:val="24"/>
          <w:highlight w:val="none"/>
        </w:rPr>
        <w:t>麦盖提县行政服务</w:t>
      </w:r>
      <w:r>
        <w:rPr>
          <w:rFonts w:hint="eastAsia" w:ascii="微软雅黑" w:hAnsi="微软雅黑" w:eastAsia="微软雅黑" w:cs="微软雅黑"/>
          <w:sz w:val="24"/>
          <w:szCs w:val="24"/>
          <w:highlight w:val="none"/>
          <w:lang w:eastAsia="zh-CN"/>
        </w:rPr>
        <w:t>中心</w:t>
      </w:r>
      <w:r>
        <w:rPr>
          <w:rFonts w:hint="eastAsia" w:ascii="微软雅黑" w:hAnsi="微软雅黑" w:eastAsia="微软雅黑" w:cs="微软雅黑"/>
          <w:sz w:val="24"/>
          <w:szCs w:val="24"/>
          <w:highlight w:val="none"/>
        </w:rPr>
        <w:t>三楼政府采购中心</w:t>
      </w:r>
      <w:r>
        <w:rPr>
          <w:rFonts w:hint="eastAsia" w:ascii="微软雅黑" w:hAnsi="微软雅黑" w:eastAsia="微软雅黑" w:cs="微软雅黑"/>
          <w:sz w:val="24"/>
          <w:szCs w:val="24"/>
          <w:highlight w:val="none"/>
          <w:lang w:eastAsia="zh-CN"/>
        </w:rPr>
        <w:t>评</w:t>
      </w:r>
      <w:r>
        <w:rPr>
          <w:rFonts w:hint="eastAsia" w:ascii="微软雅黑" w:hAnsi="微软雅黑" w:eastAsia="微软雅黑" w:cs="微软雅黑"/>
          <w:sz w:val="24"/>
          <w:szCs w:val="24"/>
          <w:highlight w:val="none"/>
        </w:rPr>
        <w:t>标室</w:t>
      </w:r>
      <w:r>
        <w:rPr>
          <w:rFonts w:hint="eastAsia" w:ascii="微软雅黑" w:hAnsi="微软雅黑" w:eastAsia="微软雅黑" w:cs="微软雅黑"/>
          <w:sz w:val="24"/>
          <w:szCs w:val="24"/>
          <w:highlight w:val="none"/>
          <w:lang w:val="en-US" w:eastAsia="zh-CN"/>
        </w:rPr>
        <w:t>,</w:t>
      </w:r>
      <w:r>
        <w:rPr>
          <w:rFonts w:hint="eastAsia" w:ascii="微软雅黑" w:hAnsi="微软雅黑" w:eastAsia="微软雅黑" w:cs="微软雅黑"/>
          <w:sz w:val="24"/>
          <w:szCs w:val="24"/>
          <w:highlight w:val="none"/>
        </w:rPr>
        <w:t>政采云平台（https://login.zcygov.cn/user-login/#/login）</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，评审小组到达后开启电子评标，投标人无需到达评标地点。</w:t>
      </w:r>
    </w:p>
    <w:tbl>
      <w:tblPr>
        <w:tblStyle w:val="31"/>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1"/>
        <w:gridCol w:w="5291"/>
      </w:tblGrid>
      <w:tr w14:paraId="7A31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2367AE2C">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lang w:val="en-US" w:eastAsia="zh-CN"/>
              </w:rPr>
              <w:t>9</w:t>
            </w:r>
            <w:r>
              <w:rPr>
                <w:rFonts w:hint="eastAsia" w:ascii="微软雅黑" w:hAnsi="微软雅黑" w:eastAsia="微软雅黑" w:cs="微软雅黑"/>
                <w:b/>
                <w:bCs/>
                <w:kern w:val="0"/>
                <w:sz w:val="24"/>
                <w:szCs w:val="24"/>
                <w:highlight w:val="none"/>
              </w:rPr>
              <w:t>、本项目采购人：</w:t>
            </w:r>
          </w:p>
        </w:tc>
        <w:tc>
          <w:tcPr>
            <w:tcW w:w="5291" w:type="dxa"/>
          </w:tcPr>
          <w:p w14:paraId="18087F9D">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bCs/>
                <w:kern w:val="0"/>
                <w:sz w:val="24"/>
                <w:szCs w:val="24"/>
                <w:highlight w:val="none"/>
                <w:lang w:eastAsia="zh-CN"/>
              </w:rPr>
            </w:pPr>
            <w:r>
              <w:rPr>
                <w:rFonts w:hint="eastAsia" w:ascii="微软雅黑" w:hAnsi="微软雅黑" w:eastAsia="微软雅黑" w:cs="微软雅黑"/>
                <w:b/>
                <w:bCs/>
                <w:kern w:val="0"/>
                <w:sz w:val="24"/>
                <w:szCs w:val="24"/>
                <w:highlight w:val="none"/>
                <w:lang w:eastAsia="zh-CN"/>
              </w:rPr>
              <w:t>麦盖提县民政局</w:t>
            </w:r>
          </w:p>
        </w:tc>
      </w:tr>
      <w:tr w14:paraId="5BBF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1" w:type="dxa"/>
          </w:tcPr>
          <w:p w14:paraId="447A1E5F">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 xml:space="preserve">地址：  </w:t>
            </w:r>
          </w:p>
        </w:tc>
        <w:tc>
          <w:tcPr>
            <w:tcW w:w="5291" w:type="dxa"/>
          </w:tcPr>
          <w:p w14:paraId="750DCE8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highlight w:val="none"/>
                <w:lang w:val="en-US"/>
              </w:rPr>
            </w:pPr>
            <w:r>
              <w:rPr>
                <w:rFonts w:hint="eastAsia" w:ascii="微软雅黑" w:hAnsi="微软雅黑" w:eastAsia="微软雅黑" w:cs="微软雅黑"/>
                <w:sz w:val="24"/>
                <w:szCs w:val="24"/>
                <w:highlight w:val="none"/>
              </w:rPr>
              <w:t>新疆麦盖提县刀郎西路</w:t>
            </w:r>
          </w:p>
        </w:tc>
      </w:tr>
      <w:tr w14:paraId="4D85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2C5D669F">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联系人：</w:t>
            </w:r>
          </w:p>
        </w:tc>
        <w:tc>
          <w:tcPr>
            <w:tcW w:w="5291" w:type="dxa"/>
          </w:tcPr>
          <w:p w14:paraId="1B8419A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崔忠</w:t>
            </w:r>
          </w:p>
        </w:tc>
      </w:tr>
      <w:tr w14:paraId="4C86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1" w:type="dxa"/>
          </w:tcPr>
          <w:p w14:paraId="272501BC">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联系电话：</w:t>
            </w:r>
          </w:p>
        </w:tc>
        <w:tc>
          <w:tcPr>
            <w:tcW w:w="5291" w:type="dxa"/>
          </w:tcPr>
          <w:p w14:paraId="2BF8B7F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17399294608</w:t>
            </w:r>
          </w:p>
        </w:tc>
      </w:tr>
      <w:tr w14:paraId="3B1C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51" w:type="dxa"/>
          </w:tcPr>
          <w:p w14:paraId="47A1095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rPr>
            </w:pPr>
          </w:p>
        </w:tc>
        <w:tc>
          <w:tcPr>
            <w:tcW w:w="5291" w:type="dxa"/>
          </w:tcPr>
          <w:p w14:paraId="43B090DD">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rPr>
            </w:pPr>
          </w:p>
        </w:tc>
      </w:tr>
      <w:tr w14:paraId="044EC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4625D51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rPr>
            </w:pPr>
            <w:r>
              <w:rPr>
                <w:rFonts w:hint="eastAsia" w:ascii="微软雅黑" w:hAnsi="微软雅黑" w:eastAsia="微软雅黑" w:cs="微软雅黑"/>
                <w:b/>
                <w:bCs/>
                <w:kern w:val="0"/>
                <w:sz w:val="24"/>
                <w:szCs w:val="24"/>
                <w:highlight w:val="none"/>
                <w:lang w:val="en-US" w:eastAsia="zh-CN"/>
              </w:rPr>
              <w:t>11、</w:t>
            </w:r>
            <w:r>
              <w:rPr>
                <w:rFonts w:hint="eastAsia" w:ascii="微软雅黑" w:hAnsi="微软雅黑" w:eastAsia="微软雅黑" w:cs="微软雅黑"/>
                <w:b/>
                <w:bCs/>
                <w:kern w:val="0"/>
                <w:sz w:val="24"/>
                <w:szCs w:val="24"/>
                <w:highlight w:val="none"/>
              </w:rPr>
              <w:t>采购代理机构：</w:t>
            </w:r>
          </w:p>
        </w:tc>
        <w:tc>
          <w:tcPr>
            <w:tcW w:w="5291" w:type="dxa"/>
          </w:tcPr>
          <w:p w14:paraId="2CE05E39">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lang w:eastAsia="zh-CN"/>
              </w:rPr>
            </w:pPr>
            <w:r>
              <w:rPr>
                <w:rFonts w:hint="eastAsia" w:ascii="微软雅黑" w:hAnsi="微软雅黑" w:eastAsia="微软雅黑" w:cs="微软雅黑"/>
                <w:kern w:val="0"/>
                <w:sz w:val="24"/>
                <w:szCs w:val="24"/>
                <w:highlight w:val="none"/>
                <w:lang w:eastAsia="zh-CN"/>
              </w:rPr>
              <w:t>麦盖提县政府采购中心</w:t>
            </w:r>
          </w:p>
        </w:tc>
      </w:tr>
      <w:tr w14:paraId="0305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4BBA57B0">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kern w:val="0"/>
                <w:sz w:val="24"/>
                <w:szCs w:val="24"/>
                <w:highlight w:val="none"/>
                <w:vertAlign w:val="baseline"/>
              </w:rPr>
            </w:pPr>
            <w:r>
              <w:rPr>
                <w:rFonts w:hint="eastAsia" w:ascii="微软雅黑" w:hAnsi="微软雅黑" w:eastAsia="微软雅黑" w:cs="微软雅黑"/>
                <w:kern w:val="0"/>
                <w:sz w:val="24"/>
                <w:szCs w:val="24"/>
                <w:highlight w:val="none"/>
              </w:rPr>
              <w:t>地址：</w:t>
            </w:r>
          </w:p>
        </w:tc>
        <w:tc>
          <w:tcPr>
            <w:tcW w:w="5291" w:type="dxa"/>
          </w:tcPr>
          <w:p w14:paraId="0D08A7C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lang w:eastAsia="zh-CN"/>
              </w:rPr>
            </w:pPr>
            <w:r>
              <w:rPr>
                <w:rFonts w:hint="eastAsia" w:ascii="微软雅黑" w:hAnsi="微软雅黑" w:eastAsia="微软雅黑" w:cs="微软雅黑"/>
                <w:kern w:val="0"/>
                <w:sz w:val="24"/>
                <w:szCs w:val="24"/>
                <w:highlight w:val="none"/>
                <w:lang w:eastAsia="zh-CN"/>
              </w:rPr>
              <w:t>麦盖提县政务服务中心三楼政府采购中心</w:t>
            </w:r>
          </w:p>
        </w:tc>
      </w:tr>
      <w:tr w14:paraId="2D47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370FD038">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kern w:val="0"/>
                <w:sz w:val="24"/>
                <w:szCs w:val="24"/>
                <w:highlight w:val="none"/>
                <w:vertAlign w:val="baseline"/>
              </w:rPr>
            </w:pPr>
            <w:r>
              <w:rPr>
                <w:rFonts w:hint="eastAsia" w:ascii="微软雅黑" w:hAnsi="微软雅黑" w:eastAsia="微软雅黑" w:cs="微软雅黑"/>
                <w:kern w:val="0"/>
                <w:sz w:val="24"/>
                <w:szCs w:val="24"/>
                <w:highlight w:val="none"/>
                <w:lang w:val="en-US" w:eastAsia="zh-CN"/>
              </w:rPr>
              <w:t>联系人：</w:t>
            </w:r>
          </w:p>
        </w:tc>
        <w:tc>
          <w:tcPr>
            <w:tcW w:w="5291" w:type="dxa"/>
          </w:tcPr>
          <w:p w14:paraId="10D49284">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lang w:val="en-US" w:eastAsia="zh-CN"/>
              </w:rPr>
            </w:pPr>
            <w:r>
              <w:rPr>
                <w:rFonts w:hint="eastAsia" w:ascii="微软雅黑" w:hAnsi="微软雅黑" w:eastAsia="微软雅黑" w:cs="微软雅黑"/>
                <w:kern w:val="0"/>
                <w:sz w:val="24"/>
                <w:szCs w:val="24"/>
                <w:highlight w:val="none"/>
                <w:vertAlign w:val="baseline"/>
                <w:lang w:val="en-US" w:eastAsia="zh-CN"/>
              </w:rPr>
              <w:t>杨晓贞   帕提古·艾力</w:t>
            </w:r>
          </w:p>
        </w:tc>
      </w:tr>
      <w:tr w14:paraId="1771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51" w:type="dxa"/>
          </w:tcPr>
          <w:p w14:paraId="4A7205A7">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微软雅黑" w:hAnsi="微软雅黑" w:eastAsia="微软雅黑" w:cs="微软雅黑"/>
                <w:kern w:val="0"/>
                <w:sz w:val="24"/>
                <w:szCs w:val="24"/>
                <w:highlight w:val="none"/>
                <w:vertAlign w:val="baseline"/>
              </w:rPr>
            </w:pPr>
            <w:r>
              <w:rPr>
                <w:rFonts w:hint="eastAsia" w:ascii="微软雅黑" w:hAnsi="微软雅黑" w:eastAsia="微软雅黑" w:cs="微软雅黑"/>
                <w:kern w:val="0"/>
                <w:sz w:val="24"/>
                <w:szCs w:val="24"/>
                <w:highlight w:val="none"/>
              </w:rPr>
              <w:t>联系电话：</w:t>
            </w:r>
          </w:p>
        </w:tc>
        <w:tc>
          <w:tcPr>
            <w:tcW w:w="5291" w:type="dxa"/>
          </w:tcPr>
          <w:p w14:paraId="7D362E5C">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highlight w:val="none"/>
                <w:vertAlign w:val="baseline"/>
                <w:lang w:val="en-US" w:eastAsia="zh-CN"/>
              </w:rPr>
            </w:pPr>
            <w:r>
              <w:rPr>
                <w:rFonts w:hint="eastAsia" w:ascii="微软雅黑" w:hAnsi="微软雅黑" w:eastAsia="微软雅黑" w:cs="微软雅黑"/>
                <w:kern w:val="0"/>
                <w:sz w:val="24"/>
                <w:szCs w:val="24"/>
                <w:highlight w:val="none"/>
                <w:lang w:val="en-US" w:eastAsia="zh-CN"/>
              </w:rPr>
              <w:t>0998-7842765</w:t>
            </w:r>
          </w:p>
        </w:tc>
      </w:tr>
    </w:tbl>
    <w:p w14:paraId="48BCDC06">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t xml:space="preserve">                                              </w:t>
      </w:r>
    </w:p>
    <w:p w14:paraId="6B04EA04">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pPr>
    </w:p>
    <w:p w14:paraId="306455B4">
      <w:pPr>
        <w:keepNext w:val="0"/>
        <w:keepLines w:val="0"/>
        <w:pageBreakBefore w:val="0"/>
        <w:kinsoku/>
        <w:wordWrap/>
        <w:overflowPunct/>
        <w:topLinePunct w:val="0"/>
        <w:autoSpaceDE/>
        <w:autoSpaceDN/>
        <w:bidi w:val="0"/>
        <w:adjustRightInd/>
        <w:snapToGrid/>
        <w:spacing w:line="380" w:lineRule="exact"/>
        <w:ind w:firstLine="5523" w:firstLineChars="2300"/>
        <w:jc w:val="both"/>
        <w:textAlignment w:val="auto"/>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t xml:space="preserve"> </w:t>
      </w:r>
      <w:r>
        <w:rPr>
          <w:rFonts w:hint="eastAsia" w:ascii="微软雅黑" w:hAnsi="微软雅黑" w:eastAsia="微软雅黑" w:cs="微软雅黑"/>
          <w:b/>
          <w:color w:val="000000" w:themeColor="text1"/>
          <w:sz w:val="24"/>
          <w:szCs w:val="24"/>
          <w:highlight w:val="none"/>
          <w14:textFill>
            <w14:solidFill>
              <w14:schemeClr w14:val="tx1"/>
            </w14:solidFill>
          </w14:textFill>
        </w:rPr>
        <w:t>麦盖提县政府采购中心</w:t>
      </w:r>
    </w:p>
    <w:p w14:paraId="5D896053">
      <w:pPr>
        <w:keepNext w:val="0"/>
        <w:keepLines w:val="0"/>
        <w:pageBreakBefore w:val="0"/>
        <w:kinsoku/>
        <w:wordWrap/>
        <w:overflowPunct/>
        <w:topLinePunct w:val="0"/>
        <w:autoSpaceDE/>
        <w:autoSpaceDN/>
        <w:bidi w:val="0"/>
        <w:adjustRightInd/>
        <w:snapToGrid/>
        <w:spacing w:line="380" w:lineRule="exact"/>
        <w:jc w:val="center"/>
        <w:textAlignment w:val="auto"/>
        <w:rPr>
          <w:highlight w:val="none"/>
        </w:rPr>
      </w:pPr>
      <w:r>
        <w:rPr>
          <w:rFonts w:hint="eastAsia" w:ascii="微软雅黑" w:hAnsi="微软雅黑" w:eastAsia="微软雅黑" w:cs="微软雅黑"/>
          <w:b/>
          <w:color w:val="000000" w:themeColor="text1"/>
          <w:sz w:val="24"/>
          <w:szCs w:val="24"/>
          <w:highlight w:val="none"/>
          <w:lang w:val="en-US" w:eastAsia="zh-CN"/>
          <w14:textFill>
            <w14:solidFill>
              <w14:schemeClr w14:val="tx1"/>
            </w14:solidFill>
          </w14:textFill>
        </w:rPr>
        <w:t xml:space="preserve">                                              </w:t>
      </w:r>
      <w:r>
        <w:rPr>
          <w:rFonts w:hint="eastAsia" w:ascii="微软雅黑" w:hAnsi="微软雅黑" w:eastAsia="微软雅黑" w:cs="微软雅黑"/>
          <w:b/>
          <w:color w:val="000000" w:themeColor="text1"/>
          <w:sz w:val="24"/>
          <w:szCs w:val="24"/>
          <w:highlight w:val="none"/>
          <w14:textFill>
            <w14:solidFill>
              <w14:schemeClr w14:val="tx1"/>
            </w14:solidFill>
          </w14:textFill>
        </w:rPr>
        <w:t>二〇二</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五</w:t>
      </w:r>
      <w:r>
        <w:rPr>
          <w:rFonts w:hint="eastAsia" w:ascii="微软雅黑" w:hAnsi="微软雅黑" w:eastAsia="微软雅黑" w:cs="微软雅黑"/>
          <w:b/>
          <w:color w:val="000000" w:themeColor="text1"/>
          <w:sz w:val="24"/>
          <w:szCs w:val="24"/>
          <w:highlight w:val="none"/>
          <w14:textFill>
            <w14:solidFill>
              <w14:schemeClr w14:val="tx1"/>
            </w14:solidFill>
          </w14:textFill>
        </w:rPr>
        <w:t>年</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二</w:t>
      </w:r>
      <w:r>
        <w:rPr>
          <w:rFonts w:hint="eastAsia" w:ascii="微软雅黑" w:hAnsi="微软雅黑" w:eastAsia="微软雅黑" w:cs="微软雅黑"/>
          <w:b/>
          <w:color w:val="000000" w:themeColor="text1"/>
          <w:sz w:val="24"/>
          <w:szCs w:val="24"/>
          <w:highlight w:val="none"/>
          <w14:textFill>
            <w14:solidFill>
              <w14:schemeClr w14:val="tx1"/>
            </w14:solidFill>
          </w14:textFill>
        </w:rPr>
        <w:t>月</w:t>
      </w:r>
      <w:r>
        <w:rPr>
          <w:rFonts w:hint="eastAsia" w:ascii="微软雅黑" w:hAnsi="微软雅黑" w:eastAsia="微软雅黑" w:cs="微软雅黑"/>
          <w:b/>
          <w:color w:val="000000" w:themeColor="text1"/>
          <w:sz w:val="24"/>
          <w:szCs w:val="24"/>
          <w:highlight w:val="none"/>
          <w:lang w:eastAsia="zh-CN"/>
          <w14:textFill>
            <w14:solidFill>
              <w14:schemeClr w14:val="tx1"/>
            </w14:solidFill>
          </w14:textFill>
        </w:rPr>
        <w:t>二十五</w:t>
      </w:r>
      <w:r>
        <w:rPr>
          <w:rFonts w:hint="eastAsia" w:ascii="微软雅黑" w:hAnsi="微软雅黑" w:eastAsia="微软雅黑" w:cs="微软雅黑"/>
          <w:b/>
          <w:color w:val="000000" w:themeColor="text1"/>
          <w:sz w:val="24"/>
          <w:szCs w:val="24"/>
          <w:highlight w:val="none"/>
          <w14:textFill>
            <w14:solidFill>
              <w14:schemeClr w14:val="tx1"/>
            </w14:solidFill>
          </w14:textFill>
        </w:rPr>
        <w:t>日</w:t>
      </w:r>
      <w:bookmarkEnd w:id="717"/>
    </w:p>
    <w:p w14:paraId="20060F2E">
      <w:pPr>
        <w:pStyle w:val="5"/>
        <w:ind w:firstLine="0"/>
        <w:jc w:val="center"/>
        <w:outlineLvl w:val="0"/>
        <w:rPr>
          <w:rFonts w:hint="eastAsia" w:ascii="宋体" w:hAnsi="宋体" w:eastAsia="宋体" w:cs="宋体"/>
          <w:b/>
          <w:bCs/>
          <w:color w:val="auto"/>
          <w:sz w:val="32"/>
          <w:szCs w:val="32"/>
          <w:highlight w:val="none"/>
          <w:lang w:val="en-US" w:eastAsia="zh-CN"/>
        </w:rPr>
      </w:pPr>
    </w:p>
    <w:p w14:paraId="7CA88545">
      <w:pPr>
        <w:pStyle w:val="5"/>
        <w:ind w:firstLine="0"/>
        <w:jc w:val="center"/>
        <w:outlineLvl w:val="0"/>
        <w:rPr>
          <w:rFonts w:hint="eastAsia" w:ascii="宋体" w:hAnsi="宋体" w:eastAsia="宋体" w:cs="宋体"/>
          <w:b/>
          <w:bCs/>
          <w:color w:val="auto"/>
          <w:sz w:val="32"/>
          <w:szCs w:val="32"/>
          <w:highlight w:val="none"/>
          <w:lang w:val="en-US" w:eastAsia="zh-CN"/>
        </w:rPr>
      </w:pPr>
    </w:p>
    <w:p w14:paraId="78E0164A">
      <w:pPr>
        <w:pStyle w:val="5"/>
        <w:ind w:firstLine="0"/>
        <w:jc w:val="center"/>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第4章 供应商须知资料表</w:t>
      </w:r>
      <w:bookmarkEnd w:id="718"/>
    </w:p>
    <w:p w14:paraId="1B14D3C1">
      <w:pPr>
        <w:spacing w:beforeAutospacing="0" w:afterAutospacing="0" w:line="240" w:lineRule="atLeas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本表是本</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项目的具体资料，是对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须知的具体补充和修改，如有矛盾，应以本资料表为准。</w:t>
      </w:r>
    </w:p>
    <w:tbl>
      <w:tblPr>
        <w:tblStyle w:val="30"/>
        <w:tblW w:w="10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48"/>
        <w:gridCol w:w="7902"/>
      </w:tblGrid>
      <w:tr w14:paraId="757F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37DA2665">
            <w:pPr>
              <w:pStyle w:val="70"/>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648" w:type="dxa"/>
            <w:tcBorders>
              <w:top w:val="single" w:color="auto" w:sz="4" w:space="0"/>
              <w:left w:val="single" w:color="auto" w:sz="4" w:space="0"/>
              <w:bottom w:val="single" w:color="auto" w:sz="4" w:space="0"/>
              <w:right w:val="single" w:color="auto" w:sz="4" w:space="0"/>
            </w:tcBorders>
            <w:vAlign w:val="center"/>
          </w:tcPr>
          <w:p w14:paraId="209CB85C">
            <w:pPr>
              <w:pStyle w:val="70"/>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902" w:type="dxa"/>
            <w:tcBorders>
              <w:top w:val="single" w:color="auto" w:sz="4" w:space="0"/>
              <w:left w:val="single" w:color="auto" w:sz="4" w:space="0"/>
              <w:bottom w:val="single" w:color="auto" w:sz="4" w:space="0"/>
              <w:right w:val="single" w:color="auto" w:sz="4" w:space="0"/>
            </w:tcBorders>
            <w:vAlign w:val="center"/>
          </w:tcPr>
          <w:p w14:paraId="057B8437">
            <w:pPr>
              <w:pStyle w:val="70"/>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     容</w:t>
            </w:r>
          </w:p>
        </w:tc>
      </w:tr>
      <w:tr w14:paraId="7FFC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1A05D1C2">
            <w:pPr>
              <w:pStyle w:val="7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648" w:type="dxa"/>
            <w:tcBorders>
              <w:top w:val="single" w:color="auto" w:sz="4" w:space="0"/>
              <w:left w:val="single" w:color="auto" w:sz="4" w:space="0"/>
              <w:bottom w:val="single" w:color="auto" w:sz="4" w:space="0"/>
              <w:right w:val="single" w:color="auto" w:sz="4" w:space="0"/>
            </w:tcBorders>
            <w:vAlign w:val="center"/>
          </w:tcPr>
          <w:p w14:paraId="7B64DC35">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902" w:type="dxa"/>
            <w:tcBorders>
              <w:top w:val="single" w:color="auto" w:sz="4" w:space="0"/>
              <w:left w:val="single" w:color="auto" w:sz="4" w:space="0"/>
              <w:bottom w:val="single" w:color="auto" w:sz="4" w:space="0"/>
              <w:right w:val="single" w:color="auto" w:sz="4" w:space="0"/>
            </w:tcBorders>
            <w:vAlign w:val="center"/>
          </w:tcPr>
          <w:p w14:paraId="3F811E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麦盖提县民政局购买社会救助服务性项目</w:t>
            </w:r>
          </w:p>
        </w:tc>
      </w:tr>
      <w:tr w14:paraId="76E5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06AE8F60">
            <w:pPr>
              <w:pStyle w:val="7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648" w:type="dxa"/>
            <w:tcBorders>
              <w:top w:val="single" w:color="auto" w:sz="4" w:space="0"/>
              <w:left w:val="single" w:color="auto" w:sz="4" w:space="0"/>
              <w:bottom w:val="single" w:color="auto" w:sz="4" w:space="0"/>
              <w:right w:val="single" w:color="auto" w:sz="4" w:space="0"/>
            </w:tcBorders>
            <w:vAlign w:val="center"/>
          </w:tcPr>
          <w:p w14:paraId="7091B2C8">
            <w:pPr>
              <w:pStyle w:val="70"/>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902" w:type="dxa"/>
            <w:tcBorders>
              <w:top w:val="single" w:color="auto" w:sz="4" w:space="0"/>
              <w:left w:val="single" w:color="auto" w:sz="4" w:space="0"/>
              <w:bottom w:val="single" w:color="auto" w:sz="4" w:space="0"/>
              <w:right w:val="single" w:color="auto" w:sz="4" w:space="0"/>
            </w:tcBorders>
            <w:vAlign w:val="center"/>
          </w:tcPr>
          <w:p w14:paraId="56605A43">
            <w:pPr>
              <w:pStyle w:val="70"/>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KSMGTX(FSJZCS)2025-01号</w:t>
            </w:r>
          </w:p>
        </w:tc>
      </w:tr>
      <w:tr w14:paraId="3450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1F3EEBE0">
            <w:pPr>
              <w:pStyle w:val="7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648" w:type="dxa"/>
            <w:tcBorders>
              <w:top w:val="single" w:color="auto" w:sz="4" w:space="0"/>
              <w:left w:val="single" w:color="auto" w:sz="4" w:space="0"/>
              <w:bottom w:val="single" w:color="auto" w:sz="4" w:space="0"/>
              <w:right w:val="single" w:color="auto" w:sz="4" w:space="0"/>
            </w:tcBorders>
            <w:vAlign w:val="center"/>
          </w:tcPr>
          <w:p w14:paraId="4E33AEC3">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902" w:type="dxa"/>
            <w:tcBorders>
              <w:top w:val="single" w:color="auto" w:sz="4" w:space="0"/>
              <w:left w:val="single" w:color="auto" w:sz="4" w:space="0"/>
              <w:bottom w:val="single" w:color="auto" w:sz="4" w:space="0"/>
              <w:right w:val="single" w:color="auto" w:sz="4" w:space="0"/>
            </w:tcBorders>
            <w:vAlign w:val="center"/>
          </w:tcPr>
          <w:p w14:paraId="03229B99">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分散竞争性磋商</w:t>
            </w:r>
          </w:p>
        </w:tc>
      </w:tr>
      <w:tr w14:paraId="4D02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6D4E44E0">
            <w:pPr>
              <w:pStyle w:val="7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648" w:type="dxa"/>
            <w:tcBorders>
              <w:top w:val="single" w:color="auto" w:sz="4" w:space="0"/>
              <w:left w:val="single" w:color="auto" w:sz="4" w:space="0"/>
              <w:bottom w:val="single" w:color="auto" w:sz="4" w:space="0"/>
              <w:right w:val="single" w:color="auto" w:sz="4" w:space="0"/>
            </w:tcBorders>
            <w:vAlign w:val="center"/>
          </w:tcPr>
          <w:p w14:paraId="75A8603B">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902" w:type="dxa"/>
            <w:tcBorders>
              <w:top w:val="single" w:color="auto" w:sz="4" w:space="0"/>
              <w:left w:val="single" w:color="auto" w:sz="4" w:space="0"/>
              <w:bottom w:val="single" w:color="auto" w:sz="4" w:space="0"/>
              <w:right w:val="single" w:color="auto" w:sz="4" w:space="0"/>
            </w:tcBorders>
            <w:vAlign w:val="center"/>
          </w:tcPr>
          <w:p w14:paraId="45D425B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sz w:val="24"/>
                <w:szCs w:val="24"/>
                <w:highlight w:val="none"/>
                <w:lang w:eastAsia="zh-CN"/>
              </w:rPr>
              <w:t>麦盖提县民政局</w:t>
            </w:r>
          </w:p>
          <w:p w14:paraId="7155E29A">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  址：新疆麦盖提县刀郎西路</w:t>
            </w:r>
          </w:p>
          <w:p w14:paraId="5511F24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sz w:val="24"/>
                <w:szCs w:val="24"/>
                <w:highlight w:val="none"/>
                <w:lang w:eastAsia="zh-CN"/>
              </w:rPr>
              <w:t>崔忠</w:t>
            </w:r>
          </w:p>
          <w:p w14:paraId="4AE5CC6A">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sz w:val="24"/>
                <w:szCs w:val="24"/>
                <w:highlight w:val="none"/>
                <w:lang w:eastAsia="zh-CN"/>
              </w:rPr>
              <w:t>17399294608</w:t>
            </w:r>
          </w:p>
        </w:tc>
      </w:tr>
      <w:tr w14:paraId="461D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212655F7">
            <w:pPr>
              <w:pStyle w:val="7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648" w:type="dxa"/>
            <w:tcBorders>
              <w:top w:val="single" w:color="auto" w:sz="4" w:space="0"/>
              <w:left w:val="single" w:color="auto" w:sz="4" w:space="0"/>
              <w:bottom w:val="single" w:color="auto" w:sz="4" w:space="0"/>
              <w:right w:val="single" w:color="auto" w:sz="4" w:space="0"/>
            </w:tcBorders>
            <w:vAlign w:val="center"/>
          </w:tcPr>
          <w:p w14:paraId="0B679B3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43BF9DCC">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902" w:type="dxa"/>
            <w:tcBorders>
              <w:top w:val="single" w:color="auto" w:sz="4" w:space="0"/>
              <w:left w:val="single" w:color="auto" w:sz="4" w:space="0"/>
              <w:bottom w:val="single" w:color="auto" w:sz="4" w:space="0"/>
              <w:right w:val="single" w:color="auto" w:sz="4" w:space="0"/>
            </w:tcBorders>
            <w:vAlign w:val="center"/>
          </w:tcPr>
          <w:p w14:paraId="6606DD5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  称：麦盖提县政府采购中心</w:t>
            </w:r>
          </w:p>
          <w:p w14:paraId="77DE5EB5">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  址：麦盖提县政务服务中心三楼政府采购中心</w:t>
            </w:r>
          </w:p>
          <w:p w14:paraId="4F996B27">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联系人：杨晓贞   帕提古·艾力</w:t>
            </w:r>
          </w:p>
          <w:p w14:paraId="51C54A38">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3EC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5993E4AC">
            <w:pPr>
              <w:pStyle w:val="7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6</w:t>
            </w:r>
          </w:p>
        </w:tc>
        <w:tc>
          <w:tcPr>
            <w:tcW w:w="1648" w:type="dxa"/>
            <w:tcBorders>
              <w:top w:val="single" w:color="auto" w:sz="4" w:space="0"/>
              <w:left w:val="single" w:color="auto" w:sz="4" w:space="0"/>
              <w:bottom w:val="single" w:color="auto" w:sz="4" w:space="0"/>
              <w:right w:val="single" w:color="auto" w:sz="4" w:space="0"/>
            </w:tcBorders>
            <w:vAlign w:val="center"/>
          </w:tcPr>
          <w:p w14:paraId="3CF61A0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项目预算</w:t>
            </w:r>
          </w:p>
        </w:tc>
        <w:tc>
          <w:tcPr>
            <w:tcW w:w="7902" w:type="dxa"/>
            <w:tcBorders>
              <w:top w:val="single" w:color="auto" w:sz="4" w:space="0"/>
              <w:left w:val="single" w:color="auto" w:sz="4" w:space="0"/>
              <w:bottom w:val="single" w:color="auto" w:sz="4" w:space="0"/>
              <w:right w:val="single" w:color="auto" w:sz="4" w:space="0"/>
            </w:tcBorders>
            <w:vAlign w:val="center"/>
          </w:tcPr>
          <w:p w14:paraId="0C927D6C">
            <w:pPr>
              <w:pStyle w:val="14"/>
              <w:ind w:left="0" w:leftChars="0"/>
              <w:rPr>
                <w:rFonts w:hint="eastAsia" w:ascii="微软雅黑" w:hAnsi="微软雅黑" w:eastAsia="微软雅黑" w:cs="微软雅黑"/>
                <w:b w:val="0"/>
                <w:bCs/>
                <w:i w:val="0"/>
                <w:iCs w:val="0"/>
                <w:color w:val="auto"/>
                <w:kern w:val="2"/>
                <w:sz w:val="24"/>
                <w:szCs w:val="24"/>
                <w:highlight w:val="none"/>
                <w:lang w:val="en-US" w:eastAsia="zh-CN" w:bidi="ar-SA"/>
              </w:rPr>
            </w:pPr>
            <w:r>
              <w:rPr>
                <w:rFonts w:hint="eastAsia" w:ascii="微软雅黑" w:hAnsi="微软雅黑" w:eastAsia="微软雅黑" w:cs="微软雅黑"/>
                <w:b w:val="0"/>
                <w:bCs/>
                <w:i w:val="0"/>
                <w:iCs w:val="0"/>
                <w:color w:val="auto"/>
                <w:kern w:val="2"/>
                <w:sz w:val="24"/>
                <w:szCs w:val="24"/>
                <w:highlight w:val="none"/>
                <w:lang w:val="en-US" w:eastAsia="zh-CN" w:bidi="ar-SA"/>
              </w:rPr>
              <w:t>37.96万元（叁拾柒万玖仟陆佰元整）</w:t>
            </w:r>
          </w:p>
        </w:tc>
      </w:tr>
      <w:tr w14:paraId="117A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04ED5934">
            <w:pPr>
              <w:pStyle w:val="7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7</w:t>
            </w:r>
          </w:p>
        </w:tc>
        <w:tc>
          <w:tcPr>
            <w:tcW w:w="1648" w:type="dxa"/>
            <w:tcBorders>
              <w:top w:val="single" w:color="auto" w:sz="4" w:space="0"/>
              <w:left w:val="single" w:color="auto" w:sz="4" w:space="0"/>
              <w:bottom w:val="single" w:color="auto" w:sz="4" w:space="0"/>
              <w:right w:val="single" w:color="auto" w:sz="4" w:space="0"/>
            </w:tcBorders>
            <w:vAlign w:val="center"/>
          </w:tcPr>
          <w:p w14:paraId="733AFABB">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资金来源</w:t>
            </w:r>
          </w:p>
        </w:tc>
        <w:tc>
          <w:tcPr>
            <w:tcW w:w="7902" w:type="dxa"/>
            <w:tcBorders>
              <w:top w:val="single" w:color="auto" w:sz="4" w:space="0"/>
              <w:left w:val="single" w:color="auto" w:sz="4" w:space="0"/>
              <w:bottom w:val="single" w:color="auto" w:sz="4" w:space="0"/>
              <w:right w:val="single" w:color="auto" w:sz="4" w:space="0"/>
            </w:tcBorders>
            <w:vAlign w:val="center"/>
          </w:tcPr>
          <w:p w14:paraId="7EFF5A33">
            <w:pPr>
              <w:pStyle w:val="14"/>
              <w:ind w:left="0" w:leftChars="0"/>
              <w:rPr>
                <w:rFonts w:hint="eastAsia" w:ascii="微软雅黑" w:hAnsi="微软雅黑" w:eastAsia="微软雅黑" w:cs="微软雅黑"/>
                <w:b w:val="0"/>
                <w:bCs/>
                <w:i w:val="0"/>
                <w:iCs w:val="0"/>
                <w:color w:val="auto"/>
                <w:kern w:val="2"/>
                <w:sz w:val="24"/>
                <w:szCs w:val="24"/>
                <w:highlight w:val="none"/>
                <w:lang w:val="en-US" w:eastAsia="zh-CN" w:bidi="ar-SA"/>
              </w:rPr>
            </w:pPr>
            <w:r>
              <w:rPr>
                <w:rFonts w:hint="eastAsia" w:ascii="微软雅黑" w:hAnsi="微软雅黑" w:eastAsia="微软雅黑" w:cs="微软雅黑"/>
                <w:b w:val="0"/>
                <w:bCs/>
                <w:i w:val="0"/>
                <w:iCs w:val="0"/>
                <w:color w:val="auto"/>
                <w:kern w:val="2"/>
                <w:sz w:val="24"/>
                <w:szCs w:val="24"/>
                <w:highlight w:val="none"/>
                <w:lang w:val="en-US" w:eastAsia="zh-CN" w:bidi="ar-SA"/>
              </w:rPr>
              <w:t>困难群众救助补助资金</w:t>
            </w:r>
          </w:p>
        </w:tc>
      </w:tr>
      <w:tr w14:paraId="034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01182EAA">
            <w:pPr>
              <w:pStyle w:val="7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8</w:t>
            </w:r>
          </w:p>
        </w:tc>
        <w:tc>
          <w:tcPr>
            <w:tcW w:w="1648" w:type="dxa"/>
            <w:tcBorders>
              <w:top w:val="single" w:color="auto" w:sz="4" w:space="0"/>
              <w:left w:val="single" w:color="auto" w:sz="4" w:space="0"/>
              <w:bottom w:val="single" w:color="auto" w:sz="4" w:space="0"/>
              <w:right w:val="single" w:color="auto" w:sz="4" w:space="0"/>
            </w:tcBorders>
            <w:vAlign w:val="center"/>
          </w:tcPr>
          <w:p w14:paraId="1994CC47">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付款方式</w:t>
            </w:r>
          </w:p>
        </w:tc>
        <w:tc>
          <w:tcPr>
            <w:tcW w:w="7902" w:type="dxa"/>
            <w:tcBorders>
              <w:top w:val="single" w:color="auto" w:sz="4" w:space="0"/>
              <w:left w:val="single" w:color="auto" w:sz="4" w:space="0"/>
              <w:bottom w:val="single" w:color="auto" w:sz="4" w:space="0"/>
              <w:right w:val="single" w:color="auto" w:sz="4" w:space="0"/>
            </w:tcBorders>
            <w:vAlign w:val="center"/>
          </w:tcPr>
          <w:p w14:paraId="0192B175">
            <w:pPr>
              <w:pStyle w:val="55"/>
              <w:numPr>
                <w:ilvl w:val="0"/>
                <w:numId w:val="0"/>
              </w:numPr>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bookmarkStart w:id="729" w:name="_TOC_250000"/>
            <w:bookmarkEnd w:id="729"/>
            <w:r>
              <w:rPr>
                <w:rFonts w:hint="eastAsia" w:ascii="微软雅黑" w:hAnsi="微软雅黑" w:eastAsia="微软雅黑" w:cs="微软雅黑"/>
                <w:b w:val="0"/>
                <w:bCs/>
                <w:color w:val="auto"/>
                <w:kern w:val="2"/>
                <w:sz w:val="24"/>
                <w:szCs w:val="24"/>
                <w:highlight w:val="none"/>
                <w:lang w:val="en-US" w:eastAsia="zh-CN" w:bidi="ar-SA"/>
              </w:rPr>
              <w:t>(一)首期款支付:合同签订之后十个工作日内，甲方在收到乙方递交的项目服务工作方案,并在取得乙方开具的符合要求的发票后，支付合同金额的50%。</w:t>
            </w:r>
          </w:p>
          <w:p w14:paraId="6980836E">
            <w:pPr>
              <w:pStyle w:val="55"/>
              <w:numPr>
                <w:ilvl w:val="0"/>
                <w:numId w:val="0"/>
              </w:numPr>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(二)二期款支付:项目执行至2025年8月进行中期评估，乙方向甲方提交中期评估报告，甲方在收到乙方递交的评估报告，并在取得乙方开具的符合要求的发票后支付合同金额的30%。</w:t>
            </w:r>
          </w:p>
          <w:p w14:paraId="49F698D3">
            <w:pPr>
              <w:pStyle w:val="55"/>
              <w:numPr>
                <w:ilvl w:val="0"/>
                <w:numId w:val="0"/>
              </w:numPr>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(三)尾款支付:11月15日前，甲方在取得乙方开具的符合要求的发票后支付合同金额的20%。</w:t>
            </w:r>
          </w:p>
          <w:p w14:paraId="4C76953B">
            <w:pPr>
              <w:pStyle w:val="55"/>
              <w:numPr>
                <w:ilvl w:val="0"/>
                <w:numId w:val="0"/>
              </w:numPr>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(四)付款方式：财政国库集中支付。</w:t>
            </w:r>
          </w:p>
        </w:tc>
      </w:tr>
      <w:tr w14:paraId="59D7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6DF46CFE">
            <w:pPr>
              <w:pStyle w:val="7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9</w:t>
            </w:r>
          </w:p>
        </w:tc>
        <w:tc>
          <w:tcPr>
            <w:tcW w:w="1648" w:type="dxa"/>
            <w:tcBorders>
              <w:top w:val="single" w:color="auto" w:sz="4" w:space="0"/>
              <w:left w:val="single" w:color="auto" w:sz="4" w:space="0"/>
              <w:bottom w:val="single" w:color="auto" w:sz="4" w:space="0"/>
              <w:right w:val="single" w:color="auto" w:sz="4" w:space="0"/>
            </w:tcBorders>
            <w:vAlign w:val="center"/>
          </w:tcPr>
          <w:p w14:paraId="21BFFC1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服务地点</w:t>
            </w:r>
          </w:p>
        </w:tc>
        <w:tc>
          <w:tcPr>
            <w:tcW w:w="7902" w:type="dxa"/>
            <w:tcBorders>
              <w:top w:val="single" w:color="auto" w:sz="4" w:space="0"/>
              <w:left w:val="single" w:color="auto" w:sz="4" w:space="0"/>
              <w:bottom w:val="single" w:color="auto" w:sz="4" w:space="0"/>
              <w:right w:val="single" w:color="auto" w:sz="4" w:space="0"/>
            </w:tcBorders>
            <w:vAlign w:val="center"/>
          </w:tcPr>
          <w:p w14:paraId="42AAEC0E">
            <w:pPr>
              <w:adjustRightInd w:val="0"/>
              <w:snapToGrid w:val="0"/>
              <w:spacing w:line="320" w:lineRule="exact"/>
              <w:rPr>
                <w:rFonts w:hint="default"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麦盖提县</w:t>
            </w:r>
          </w:p>
        </w:tc>
      </w:tr>
      <w:tr w14:paraId="30EC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108DCAC4">
            <w:pPr>
              <w:pStyle w:val="7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10</w:t>
            </w:r>
          </w:p>
        </w:tc>
        <w:tc>
          <w:tcPr>
            <w:tcW w:w="1648" w:type="dxa"/>
            <w:tcBorders>
              <w:top w:val="single" w:color="auto" w:sz="4" w:space="0"/>
              <w:left w:val="single" w:color="auto" w:sz="4" w:space="0"/>
              <w:bottom w:val="single" w:color="auto" w:sz="4" w:space="0"/>
              <w:right w:val="single" w:color="auto" w:sz="4" w:space="0"/>
            </w:tcBorders>
            <w:vAlign w:val="center"/>
          </w:tcPr>
          <w:p w14:paraId="319F67E1">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服务期限</w:t>
            </w:r>
          </w:p>
        </w:tc>
        <w:tc>
          <w:tcPr>
            <w:tcW w:w="7902" w:type="dxa"/>
            <w:tcBorders>
              <w:top w:val="single" w:color="auto" w:sz="4" w:space="0"/>
              <w:left w:val="single" w:color="auto" w:sz="4" w:space="0"/>
              <w:bottom w:val="single" w:color="auto" w:sz="4" w:space="0"/>
              <w:right w:val="single" w:color="auto" w:sz="4" w:space="0"/>
            </w:tcBorders>
            <w:vAlign w:val="center"/>
          </w:tcPr>
          <w:p w14:paraId="16898674">
            <w:pPr>
              <w:adjustRightInd w:val="0"/>
              <w:snapToGrid w:val="0"/>
              <w:spacing w:line="320" w:lineRule="exact"/>
              <w:rPr>
                <w:rFonts w:hint="default"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依据《喀什地区民政部门向社会组织购买服务项目管理暂行办法》喀地民字[2024]3号文件规定，政府购买社会组织服务合同履行期限一般不超过1年，在预算保障的前提下，对于购买内容相对固定、连续性强、经费来源稳定、价格变化幅度小的政府购买社会组织服务项目，在评估合格的前提下，可签订履行期限不超过3年的服务合同。</w:t>
            </w:r>
          </w:p>
        </w:tc>
      </w:tr>
      <w:tr w14:paraId="7F04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7FB7E6FE">
            <w:pPr>
              <w:pStyle w:val="7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648" w:type="dxa"/>
            <w:tcBorders>
              <w:top w:val="single" w:color="auto" w:sz="4" w:space="0"/>
              <w:left w:val="single" w:color="auto" w:sz="4" w:space="0"/>
              <w:bottom w:val="single" w:color="auto" w:sz="4" w:space="0"/>
              <w:right w:val="single" w:color="auto" w:sz="4" w:space="0"/>
            </w:tcBorders>
            <w:vAlign w:val="center"/>
          </w:tcPr>
          <w:p w14:paraId="0F51B6CD">
            <w:pPr>
              <w:adjustRightInd w:val="0"/>
              <w:snapToGrid w:val="0"/>
              <w:spacing w:line="320" w:lineRule="exact"/>
              <w:jc w:val="center"/>
              <w:rPr>
                <w:rFonts w:hint="eastAsia" w:ascii="微软雅黑" w:hAnsi="微软雅黑" w:eastAsia="微软雅黑" w:cs="微软雅黑"/>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auto"/>
                <w:kern w:val="2"/>
                <w:sz w:val="24"/>
                <w:szCs w:val="24"/>
                <w:highlight w:val="none"/>
                <w:lang w:val="en-US" w:eastAsia="zh-CN" w:bidi="ar-SA"/>
              </w:rPr>
              <w:t>评标办法</w:t>
            </w:r>
          </w:p>
        </w:tc>
        <w:tc>
          <w:tcPr>
            <w:tcW w:w="7902" w:type="dxa"/>
            <w:tcBorders>
              <w:top w:val="single" w:color="auto" w:sz="4" w:space="0"/>
              <w:left w:val="single" w:color="auto" w:sz="4" w:space="0"/>
              <w:bottom w:val="single" w:color="auto" w:sz="4" w:space="0"/>
              <w:right w:val="single" w:color="auto" w:sz="4" w:space="0"/>
            </w:tcBorders>
            <w:vAlign w:val="center"/>
          </w:tcPr>
          <w:p w14:paraId="6838BAA2">
            <w:pPr>
              <w:adjustRightInd w:val="0"/>
              <w:snapToGrid w:val="0"/>
              <w:spacing w:line="320" w:lineRule="exact"/>
              <w:rPr>
                <w:rFonts w:hint="default" w:ascii="微软雅黑" w:hAnsi="微软雅黑" w:eastAsia="微软雅黑" w:cs="微软雅黑"/>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auto"/>
                <w:kern w:val="2"/>
                <w:sz w:val="24"/>
                <w:szCs w:val="24"/>
                <w:highlight w:val="none"/>
                <w:u w:val="single"/>
                <w:lang w:val="en-US" w:eastAsia="zh-CN" w:bidi="ar-SA"/>
              </w:rPr>
              <w:t>综合评分法</w:t>
            </w:r>
          </w:p>
        </w:tc>
      </w:tr>
      <w:tr w14:paraId="7F32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167FB127">
            <w:pPr>
              <w:pStyle w:val="7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648" w:type="dxa"/>
            <w:tcBorders>
              <w:top w:val="single" w:color="auto" w:sz="4" w:space="0"/>
              <w:left w:val="single" w:color="auto" w:sz="4" w:space="0"/>
              <w:bottom w:val="single" w:color="auto" w:sz="4" w:space="0"/>
              <w:right w:val="single" w:color="auto" w:sz="4" w:space="0"/>
            </w:tcBorders>
            <w:vAlign w:val="center"/>
          </w:tcPr>
          <w:p w14:paraId="26192D54">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902" w:type="dxa"/>
            <w:tcBorders>
              <w:top w:val="single" w:color="auto" w:sz="4" w:space="0"/>
              <w:left w:val="single" w:color="auto" w:sz="4" w:space="0"/>
              <w:bottom w:val="single" w:color="auto" w:sz="4" w:space="0"/>
              <w:right w:val="single" w:color="auto" w:sz="4" w:space="0"/>
            </w:tcBorders>
            <w:vAlign w:val="center"/>
          </w:tcPr>
          <w:p w14:paraId="25157EB1">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i/>
                <w:color w:val="auto"/>
                <w:sz w:val="24"/>
                <w:szCs w:val="24"/>
                <w:highlight w:val="none"/>
                <w:u w:val="single"/>
                <w:lang w:eastAsia="zh-CN"/>
              </w:rPr>
              <w:t>是</w:t>
            </w:r>
            <w:r>
              <w:rPr>
                <w:rFonts w:hint="eastAsia" w:ascii="微软雅黑" w:hAnsi="微软雅黑" w:eastAsia="微软雅黑" w:cs="微软雅黑"/>
                <w:b w:val="0"/>
                <w:bCs/>
                <w:i/>
                <w:color w:val="auto"/>
                <w:sz w:val="24"/>
                <w:szCs w:val="24"/>
                <w:highlight w:val="none"/>
                <w:u w:val="single"/>
              </w:rPr>
              <w:t>（是、否）</w:t>
            </w:r>
          </w:p>
        </w:tc>
      </w:tr>
      <w:tr w14:paraId="7FD4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4CF3AE41">
            <w:pPr>
              <w:pStyle w:val="7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648" w:type="dxa"/>
            <w:tcBorders>
              <w:top w:val="single" w:color="auto" w:sz="4" w:space="0"/>
              <w:left w:val="single" w:color="auto" w:sz="4" w:space="0"/>
              <w:bottom w:val="single" w:color="auto" w:sz="4" w:space="0"/>
              <w:right w:val="single" w:color="auto" w:sz="4" w:space="0"/>
            </w:tcBorders>
            <w:vAlign w:val="center"/>
          </w:tcPr>
          <w:p w14:paraId="32E0211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902" w:type="dxa"/>
            <w:tcBorders>
              <w:top w:val="single" w:color="auto" w:sz="4" w:space="0"/>
              <w:left w:val="single" w:color="auto" w:sz="4" w:space="0"/>
              <w:bottom w:val="single" w:color="auto" w:sz="4" w:space="0"/>
              <w:right w:val="single" w:color="auto" w:sz="4" w:space="0"/>
            </w:tcBorders>
            <w:vAlign w:val="center"/>
          </w:tcPr>
          <w:p w14:paraId="55ADECF7">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1家</w:t>
            </w:r>
          </w:p>
        </w:tc>
      </w:tr>
      <w:tr w14:paraId="6F9B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230B9D2F">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w:t>
            </w:r>
          </w:p>
        </w:tc>
        <w:tc>
          <w:tcPr>
            <w:tcW w:w="1648" w:type="dxa"/>
            <w:tcBorders>
              <w:top w:val="single" w:color="auto" w:sz="4" w:space="0"/>
              <w:left w:val="single" w:color="auto" w:sz="4" w:space="0"/>
              <w:bottom w:val="single" w:color="auto" w:sz="4" w:space="0"/>
              <w:right w:val="single" w:color="auto" w:sz="4" w:space="0"/>
            </w:tcBorders>
            <w:vAlign w:val="center"/>
          </w:tcPr>
          <w:p w14:paraId="74E30BF0">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磋商人资格条件</w:t>
            </w:r>
          </w:p>
          <w:p w14:paraId="3D2ADD8C">
            <w:pPr>
              <w:overflowPunct w:val="0"/>
              <w:jc w:val="center"/>
              <w:rPr>
                <w:rFonts w:hint="eastAsia" w:ascii="微软雅黑" w:hAnsi="微软雅黑" w:eastAsia="微软雅黑" w:cs="微软雅黑"/>
                <w:color w:val="auto"/>
                <w:sz w:val="24"/>
                <w:szCs w:val="24"/>
                <w:highlight w:val="none"/>
              </w:rPr>
            </w:pPr>
          </w:p>
        </w:tc>
        <w:tc>
          <w:tcPr>
            <w:tcW w:w="7902" w:type="dxa"/>
            <w:tcBorders>
              <w:top w:val="single" w:color="auto" w:sz="4" w:space="0"/>
              <w:left w:val="single" w:color="auto" w:sz="4" w:space="0"/>
              <w:bottom w:val="single" w:color="auto" w:sz="4" w:space="0"/>
              <w:right w:val="single" w:color="auto" w:sz="4" w:space="0"/>
            </w:tcBorders>
            <w:vAlign w:val="center"/>
          </w:tcPr>
          <w:p w14:paraId="3309689E">
            <w:pPr>
              <w:pageBreakBefore w:val="0"/>
              <w:widowControl w:val="0"/>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须将以下证明资料附在响应文件中：</w:t>
            </w:r>
          </w:p>
          <w:p w14:paraId="4731F192">
            <w:pPr>
              <w:pageBreakBefore w:val="0"/>
              <w:widowControl w:val="0"/>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val="0"/>
                <w:bCs w:val="0"/>
                <w:color w:val="000000" w:themeColor="text1"/>
                <w:kern w:val="0"/>
                <w:sz w:val="24"/>
                <w:szCs w:val="24"/>
                <w:highlight w:val="none"/>
                <w:lang w:val="en-US" w:eastAsia="zh-CN"/>
                <w14:textFill>
                  <w14:solidFill>
                    <w14:schemeClr w14:val="tx1"/>
                  </w14:solidFill>
                </w14:textFill>
              </w:rPr>
              <w:t>（1）</w:t>
            </w:r>
            <w:r>
              <w:rPr>
                <w:rFonts w:hint="eastAsia" w:ascii="微软雅黑" w:hAnsi="微软雅黑" w:eastAsia="微软雅黑" w:cs="微软雅黑"/>
                <w:color w:val="auto"/>
                <w:sz w:val="24"/>
                <w:szCs w:val="24"/>
                <w:highlight w:val="none"/>
                <w:lang w:val="en-US" w:eastAsia="zh-CN"/>
              </w:rPr>
              <w:t>具有三证合一企业法人营业执照副本原件的扫描件；</w:t>
            </w:r>
          </w:p>
          <w:p w14:paraId="46ACCD7D">
            <w:pPr>
              <w:pStyle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（2）提供法定代表人资格证明及授权书、被授权人身份证复印件；(法定代表人投标需提供法定代表人身份证复印件)</w:t>
            </w:r>
          </w:p>
          <w:p w14:paraId="37B3A2E5">
            <w:pPr>
              <w:pStyle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（3）具有良好的商业信誉和健全的财务会计制度（投标人提供近两年任意一年财务审计报告，新成立未满一年的公司提供开标前三个月内有效银行资信证明）；</w:t>
            </w:r>
          </w:p>
          <w:p w14:paraId="632A1167">
            <w:pPr>
              <w:pageBreakBefore w:val="0"/>
              <w:widowControl w:val="0"/>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有依法缴纳社会保障资金的良好记录；须提供近期连续3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4BA2C457">
            <w:pPr>
              <w:pageBreakBefore w:val="0"/>
              <w:widowControl w:val="0"/>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（5）有依法缴纳税收的良好记录；投标单位近期连续3个月依法缴纳税收的完税证明原件扫描件/复印件，依法免缴的，应提供依法免缴的相关证明文件或零申报报表（新公司提交上述内容实际证明材料）；</w:t>
            </w:r>
          </w:p>
          <w:p w14:paraId="5C856E67">
            <w:pPr>
              <w:pageBreakBefore w:val="0"/>
              <w:widowControl w:val="0"/>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参加本次招标项目的供应商，不得在中国政府采购网（http://www.ccgp.gov.cn/search/cr/）存在严重违法失信行为记录名单（尚在处罚期内的）；近三年内（2022年02月25日-2025年02月25日）不得在“信用中国”网站（www.creditchina.gov.cn）被列入失信被执行人、重大税收违法失信主体内将拒绝其参加本次招标活动。</w:t>
            </w:r>
          </w:p>
          <w:p w14:paraId="0AFA07D5">
            <w:pPr>
              <w:pageBreakBefore w:val="0"/>
              <w:widowControl w:val="0"/>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（7）提供针对本次项目《反商业贿赂承诺书》；</w:t>
            </w:r>
          </w:p>
          <w:p w14:paraId="4335E322">
            <w:pPr>
              <w:pageBreakBefore w:val="0"/>
              <w:widowControl w:val="0"/>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（8）提供缴纳投标保证金的有效凭证；</w:t>
            </w:r>
          </w:p>
          <w:p w14:paraId="6EE0D738">
            <w:pPr>
              <w:pageBreakBefore w:val="0"/>
              <w:widowControl w:val="0"/>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（9）本项目专门面向中小企业采购，根据要求单独上传《中小企业声明函（服务）》；</w:t>
            </w:r>
          </w:p>
          <w:p w14:paraId="694ADF38">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FF0000"/>
                <w:sz w:val="24"/>
                <w:szCs w:val="24"/>
                <w:highlight w:val="none"/>
                <w:lang w:eastAsia="zh-CN"/>
              </w:rPr>
              <w:t>注：所有资质及评标所需的资料证明不接受二次提供。</w:t>
            </w:r>
          </w:p>
        </w:tc>
      </w:tr>
      <w:tr w14:paraId="173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749" w:type="dxa"/>
            <w:tcBorders>
              <w:top w:val="single" w:color="auto" w:sz="4" w:space="0"/>
              <w:left w:val="single" w:color="auto" w:sz="4" w:space="0"/>
              <w:right w:val="single" w:color="auto" w:sz="4" w:space="0"/>
            </w:tcBorders>
            <w:vAlign w:val="center"/>
          </w:tcPr>
          <w:p w14:paraId="5F4B4DD9">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15</w:t>
            </w:r>
          </w:p>
        </w:tc>
        <w:tc>
          <w:tcPr>
            <w:tcW w:w="1648" w:type="dxa"/>
            <w:tcBorders>
              <w:top w:val="single" w:color="auto" w:sz="4" w:space="0"/>
              <w:left w:val="single" w:color="auto" w:sz="4" w:space="0"/>
              <w:right w:val="single" w:color="auto" w:sz="4" w:space="0"/>
            </w:tcBorders>
            <w:vAlign w:val="center"/>
          </w:tcPr>
          <w:p w14:paraId="10D92CEE">
            <w:pPr>
              <w:adjustRightInd w:val="0"/>
              <w:snapToGrid w:val="0"/>
              <w:spacing w:line="400" w:lineRule="exact"/>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902" w:type="dxa"/>
            <w:tcBorders>
              <w:top w:val="single" w:color="auto" w:sz="4" w:space="0"/>
              <w:left w:val="single" w:color="auto" w:sz="4" w:space="0"/>
              <w:bottom w:val="single" w:color="auto" w:sz="4" w:space="0"/>
              <w:right w:val="single" w:color="auto" w:sz="4" w:space="0"/>
            </w:tcBorders>
            <w:vAlign w:val="center"/>
          </w:tcPr>
          <w:p w14:paraId="32D8BC65">
            <w:pPr>
              <w:adjustRightInd w:val="0"/>
              <w:snapToGrid w:val="0"/>
              <w:spacing w:line="400" w:lineRule="exact"/>
              <w:jc w:val="left"/>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本项目不接受联合体磋商</w:t>
            </w:r>
          </w:p>
        </w:tc>
      </w:tr>
      <w:tr w14:paraId="16EB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749" w:type="dxa"/>
            <w:tcBorders>
              <w:top w:val="single" w:color="auto" w:sz="4" w:space="0"/>
              <w:left w:val="single" w:color="auto" w:sz="4" w:space="0"/>
              <w:right w:val="single" w:color="auto" w:sz="4" w:space="0"/>
            </w:tcBorders>
            <w:vAlign w:val="center"/>
          </w:tcPr>
          <w:p w14:paraId="46446FBF">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648" w:type="dxa"/>
            <w:tcBorders>
              <w:top w:val="single" w:color="auto" w:sz="4" w:space="0"/>
              <w:left w:val="single" w:color="auto" w:sz="4" w:space="0"/>
              <w:right w:val="single" w:color="auto" w:sz="4" w:space="0"/>
            </w:tcBorders>
            <w:vAlign w:val="center"/>
          </w:tcPr>
          <w:p w14:paraId="213FF94B">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902" w:type="dxa"/>
            <w:tcBorders>
              <w:top w:val="single" w:color="auto" w:sz="4" w:space="0"/>
              <w:left w:val="single" w:color="auto" w:sz="4" w:space="0"/>
              <w:bottom w:val="single" w:color="auto" w:sz="4" w:space="0"/>
              <w:right w:val="single" w:color="auto" w:sz="4" w:space="0"/>
            </w:tcBorders>
            <w:vAlign w:val="center"/>
          </w:tcPr>
          <w:p w14:paraId="2722D3C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本项目无需提供现场勘查证明</w:t>
            </w:r>
          </w:p>
        </w:tc>
      </w:tr>
      <w:tr w14:paraId="3B0F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749" w:type="dxa"/>
            <w:tcBorders>
              <w:top w:val="single" w:color="auto" w:sz="4" w:space="0"/>
              <w:left w:val="single" w:color="auto" w:sz="4" w:space="0"/>
              <w:right w:val="single" w:color="auto" w:sz="4" w:space="0"/>
            </w:tcBorders>
            <w:vAlign w:val="center"/>
          </w:tcPr>
          <w:p w14:paraId="5FA2AB16">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648" w:type="dxa"/>
            <w:tcBorders>
              <w:top w:val="single" w:color="auto" w:sz="4" w:space="0"/>
              <w:left w:val="single" w:color="auto" w:sz="4" w:space="0"/>
              <w:right w:val="single" w:color="auto" w:sz="4" w:space="0"/>
            </w:tcBorders>
            <w:vAlign w:val="center"/>
          </w:tcPr>
          <w:p w14:paraId="592D86AB">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902" w:type="dxa"/>
            <w:tcBorders>
              <w:top w:val="single" w:color="auto" w:sz="4" w:space="0"/>
              <w:left w:val="single" w:color="auto" w:sz="4" w:space="0"/>
              <w:bottom w:val="single" w:color="auto" w:sz="4" w:space="0"/>
              <w:right w:val="single" w:color="auto" w:sz="4" w:space="0"/>
            </w:tcBorders>
            <w:vAlign w:val="center"/>
          </w:tcPr>
          <w:p w14:paraId="7292350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其他未列明行业</w:t>
            </w:r>
          </w:p>
        </w:tc>
      </w:tr>
      <w:tr w14:paraId="0A55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749" w:type="dxa"/>
            <w:tcBorders>
              <w:top w:val="single" w:color="auto" w:sz="4" w:space="0"/>
              <w:left w:val="single" w:color="auto" w:sz="4" w:space="0"/>
              <w:right w:val="single" w:color="auto" w:sz="4" w:space="0"/>
            </w:tcBorders>
            <w:vAlign w:val="center"/>
          </w:tcPr>
          <w:p w14:paraId="3D9E430C">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18</w:t>
            </w:r>
          </w:p>
        </w:tc>
        <w:tc>
          <w:tcPr>
            <w:tcW w:w="1648" w:type="dxa"/>
            <w:tcBorders>
              <w:top w:val="single" w:color="auto" w:sz="4" w:space="0"/>
              <w:left w:val="single" w:color="auto" w:sz="4" w:space="0"/>
              <w:right w:val="single" w:color="auto" w:sz="4" w:space="0"/>
            </w:tcBorders>
            <w:vAlign w:val="center"/>
          </w:tcPr>
          <w:p w14:paraId="05FD75A1">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902" w:type="dxa"/>
            <w:tcBorders>
              <w:top w:val="single" w:color="auto" w:sz="4" w:space="0"/>
              <w:left w:val="single" w:color="auto" w:sz="4" w:space="0"/>
              <w:bottom w:val="single" w:color="auto" w:sz="4" w:space="0"/>
              <w:right w:val="single" w:color="auto" w:sz="4" w:space="0"/>
            </w:tcBorders>
            <w:vAlign w:val="center"/>
          </w:tcPr>
          <w:p w14:paraId="601F57B2">
            <w:pPr>
              <w:pStyle w:val="27"/>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val="0"/>
                <w:bCs/>
                <w:color w:val="auto"/>
                <w:sz w:val="24"/>
                <w:szCs w:val="24"/>
                <w:highlight w:val="none"/>
                <w:u w:val="single"/>
                <w:lang w:val="en-US" w:eastAsia="zh-CN"/>
              </w:rPr>
              <w:t>是（是、否）</w:t>
            </w:r>
          </w:p>
          <w:p w14:paraId="0EA873B3">
            <w:pPr>
              <w:rPr>
                <w:rFonts w:hint="eastAsia"/>
                <w:highlight w:val="none"/>
                <w:lang w:val="en-US" w:eastAsia="zh-CN"/>
              </w:rPr>
            </w:pPr>
          </w:p>
          <w:p w14:paraId="72A6AE8A">
            <w:pPr>
              <w:pStyle w:val="27"/>
              <w:keepNext w:val="0"/>
              <w:keepLines w:val="0"/>
              <w:pageBreakBefore w:val="0"/>
              <w:kinsoku/>
              <w:wordWrap/>
              <w:overflowPunct/>
              <w:topLinePunct w:val="0"/>
              <w:bidi w:val="0"/>
              <w:spacing w:before="0" w:beforeAutospacing="0" w:after="0" w:afterAutospacing="0" w:line="340" w:lineRule="exact"/>
              <w:jc w:val="both"/>
              <w:textAlignment w:val="auto"/>
              <w:rPr>
                <w:rFonts w:hint="eastAsia"/>
                <w:highlight w:val="none"/>
                <w:lang w:val="en-US" w:eastAsia="zh-CN"/>
              </w:rPr>
            </w:pPr>
            <w:r>
              <w:rPr>
                <w:rFonts w:hint="eastAsia" w:ascii="微软雅黑" w:hAnsi="微软雅黑" w:eastAsia="微软雅黑" w:cs="微软雅黑"/>
                <w:b w:val="0"/>
                <w:bCs/>
                <w:color w:val="auto"/>
                <w:kern w:val="2"/>
                <w:sz w:val="24"/>
                <w:szCs w:val="24"/>
                <w:highlight w:val="none"/>
                <w:lang w:val="en-US" w:eastAsia="zh-CN" w:bidi="ar-SA"/>
              </w:rPr>
              <w:t>注：本项目专门面向中小企业采购，根据要求单独上传《中小企业声明函（服务）》。</w:t>
            </w:r>
          </w:p>
        </w:tc>
      </w:tr>
      <w:tr w14:paraId="751A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17AF8D88">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648" w:type="dxa"/>
            <w:tcBorders>
              <w:top w:val="single" w:color="auto" w:sz="4" w:space="0"/>
              <w:left w:val="single" w:color="auto" w:sz="4" w:space="0"/>
              <w:bottom w:val="single" w:color="auto" w:sz="4" w:space="0"/>
              <w:right w:val="single" w:color="auto" w:sz="4" w:space="0"/>
            </w:tcBorders>
            <w:vAlign w:val="center"/>
          </w:tcPr>
          <w:p w14:paraId="03A2521D">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磋商文件有效期</w:t>
            </w:r>
          </w:p>
        </w:tc>
        <w:tc>
          <w:tcPr>
            <w:tcW w:w="7902" w:type="dxa"/>
            <w:tcBorders>
              <w:top w:val="single" w:color="auto" w:sz="4" w:space="0"/>
              <w:left w:val="single" w:color="auto" w:sz="4" w:space="0"/>
              <w:bottom w:val="single" w:color="auto" w:sz="4" w:space="0"/>
              <w:right w:val="single" w:color="auto" w:sz="4" w:space="0"/>
            </w:tcBorders>
            <w:vAlign w:val="center"/>
          </w:tcPr>
          <w:p w14:paraId="7A2A819E">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65A6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7F5F5AD7">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648" w:type="dxa"/>
            <w:tcBorders>
              <w:top w:val="single" w:color="auto" w:sz="4" w:space="0"/>
              <w:left w:val="single" w:color="auto" w:sz="4" w:space="0"/>
              <w:bottom w:val="single" w:color="auto" w:sz="4" w:space="0"/>
              <w:right w:val="single" w:color="auto" w:sz="4" w:space="0"/>
            </w:tcBorders>
            <w:vAlign w:val="center"/>
          </w:tcPr>
          <w:p w14:paraId="26265AD8">
            <w:pPr>
              <w:overflowPunct w:val="0"/>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sz w:val="24"/>
                <w:szCs w:val="24"/>
                <w:highlight w:val="none"/>
                <w:lang w:eastAsia="zh-CN"/>
              </w:rPr>
              <w:t>代理费</w:t>
            </w:r>
          </w:p>
        </w:tc>
        <w:tc>
          <w:tcPr>
            <w:tcW w:w="7902" w:type="dxa"/>
            <w:tcBorders>
              <w:top w:val="single" w:color="auto" w:sz="4" w:space="0"/>
              <w:left w:val="single" w:color="auto" w:sz="4" w:space="0"/>
              <w:bottom w:val="single" w:color="auto" w:sz="4" w:space="0"/>
              <w:right w:val="single" w:color="auto" w:sz="4" w:space="0"/>
            </w:tcBorders>
            <w:vAlign w:val="center"/>
          </w:tcPr>
          <w:p w14:paraId="3ACBCD90">
            <w:pPr>
              <w:overflowPunct w:val="0"/>
              <w:rPr>
                <w:rFonts w:hint="eastAsia" w:ascii="微软雅黑" w:hAnsi="微软雅黑" w:eastAsia="微软雅黑" w:cs="微软雅黑"/>
                <w:color w:val="FF0000"/>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644E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2239074F">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648" w:type="dxa"/>
            <w:tcBorders>
              <w:top w:val="single" w:color="auto" w:sz="4" w:space="0"/>
              <w:left w:val="single" w:color="auto" w:sz="4" w:space="0"/>
              <w:bottom w:val="single" w:color="auto" w:sz="4" w:space="0"/>
              <w:right w:val="single" w:color="auto" w:sz="4" w:space="0"/>
            </w:tcBorders>
            <w:vAlign w:val="center"/>
          </w:tcPr>
          <w:p w14:paraId="1AA9BA0A">
            <w:pPr>
              <w:overflowPunct w:val="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磋商</w:t>
            </w:r>
            <w:r>
              <w:rPr>
                <w:rFonts w:hint="eastAsia" w:ascii="微软雅黑" w:hAnsi="微软雅黑" w:eastAsia="微软雅黑" w:cs="微软雅黑"/>
                <w:sz w:val="24"/>
                <w:szCs w:val="24"/>
                <w:highlight w:val="none"/>
              </w:rPr>
              <w:t>文件</w:t>
            </w:r>
          </w:p>
          <w:p w14:paraId="1002FD7D">
            <w:pPr>
              <w:overflowPunct w:val="0"/>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sz w:val="24"/>
                <w:szCs w:val="24"/>
                <w:highlight w:val="none"/>
              </w:rPr>
              <w:t>递交</w:t>
            </w:r>
          </w:p>
        </w:tc>
        <w:tc>
          <w:tcPr>
            <w:tcW w:w="7902" w:type="dxa"/>
            <w:tcBorders>
              <w:top w:val="single" w:color="auto" w:sz="4" w:space="0"/>
              <w:left w:val="single" w:color="auto" w:sz="4" w:space="0"/>
              <w:bottom w:val="single" w:color="auto" w:sz="4" w:space="0"/>
              <w:right w:val="single" w:color="auto" w:sz="4" w:space="0"/>
            </w:tcBorders>
            <w:vAlign w:val="center"/>
          </w:tcPr>
          <w:p w14:paraId="7158297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提交电子磋商文件的截止时间：</w:t>
            </w:r>
            <w:r>
              <w:rPr>
                <w:rFonts w:hint="eastAsia" w:ascii="微软雅黑" w:hAnsi="微软雅黑" w:eastAsia="微软雅黑" w:cs="微软雅黑"/>
                <w:b/>
                <w:bCs/>
                <w:color w:val="auto"/>
                <w:kern w:val="2"/>
                <w:sz w:val="24"/>
                <w:szCs w:val="24"/>
                <w:highlight w:val="none"/>
                <w:u w:val="single"/>
                <w:lang w:val="en-US" w:eastAsia="zh-CN" w:bidi="ar-SA"/>
              </w:rPr>
              <w:t>2025年03月10日10：00（北京时间）</w:t>
            </w:r>
          </w:p>
          <w:p w14:paraId="0F148FE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磋商地点（网址）：政采云平台https://www.zcygov.cn在线磋商</w:t>
            </w:r>
          </w:p>
          <w:p w14:paraId="73B9A5AA">
            <w:pPr>
              <w:pStyle w:val="12"/>
              <w:ind w:left="0" w:leftChars="0" w:firstLine="0" w:firstLine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b/>
                <w:bCs/>
                <w:color w:val="auto"/>
                <w:kern w:val="2"/>
                <w:sz w:val="24"/>
                <w:szCs w:val="24"/>
                <w:highlight w:val="none"/>
                <w:u w:val="single"/>
                <w:lang w:val="en-US" w:eastAsia="zh-CN" w:bidi="ar-SA"/>
              </w:rPr>
              <w:t>（电子磋商文件提交至政采云平台在线磋商，磋商人无需到达评标现场）</w:t>
            </w:r>
          </w:p>
        </w:tc>
      </w:tr>
      <w:tr w14:paraId="7809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38897D31">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648" w:type="dxa"/>
            <w:tcBorders>
              <w:top w:val="single" w:color="auto" w:sz="4" w:space="0"/>
              <w:left w:val="single" w:color="auto" w:sz="4" w:space="0"/>
              <w:bottom w:val="single" w:color="auto" w:sz="4" w:space="0"/>
              <w:right w:val="single" w:color="auto" w:sz="4" w:space="0"/>
            </w:tcBorders>
            <w:vAlign w:val="center"/>
          </w:tcPr>
          <w:p w14:paraId="2945055D">
            <w:pPr>
              <w:overflowPunct w:val="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开标时间及</w:t>
            </w:r>
          </w:p>
          <w:p w14:paraId="15C464A5">
            <w:pPr>
              <w:overflowPunct w:val="0"/>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sz w:val="24"/>
                <w:szCs w:val="24"/>
                <w:highlight w:val="none"/>
              </w:rPr>
              <w:t>开标地点</w:t>
            </w:r>
          </w:p>
        </w:tc>
        <w:tc>
          <w:tcPr>
            <w:tcW w:w="7902" w:type="dxa"/>
            <w:tcBorders>
              <w:top w:val="single" w:color="auto" w:sz="4" w:space="0"/>
              <w:left w:val="single" w:color="auto" w:sz="4" w:space="0"/>
              <w:bottom w:val="single" w:color="auto" w:sz="4" w:space="0"/>
              <w:right w:val="single" w:color="auto" w:sz="4" w:space="0"/>
            </w:tcBorders>
            <w:vAlign w:val="center"/>
          </w:tcPr>
          <w:p w14:paraId="7801A295">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2025年03月10日10:00分</w:t>
            </w:r>
          </w:p>
          <w:p w14:paraId="7F8CB58D">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tc>
      </w:tr>
      <w:tr w14:paraId="4B69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454DC94D">
            <w:pPr>
              <w:pStyle w:val="7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23</w:t>
            </w:r>
          </w:p>
        </w:tc>
        <w:tc>
          <w:tcPr>
            <w:tcW w:w="1648" w:type="dxa"/>
            <w:tcBorders>
              <w:top w:val="single" w:color="auto" w:sz="4" w:space="0"/>
              <w:left w:val="single" w:color="auto" w:sz="4" w:space="0"/>
              <w:bottom w:val="single" w:color="auto" w:sz="4" w:space="0"/>
              <w:right w:val="single" w:color="auto" w:sz="4" w:space="0"/>
            </w:tcBorders>
            <w:vAlign w:val="center"/>
          </w:tcPr>
          <w:p w14:paraId="40112331">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磋商文件</w:t>
            </w:r>
          </w:p>
          <w:p w14:paraId="54D08FCE">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份数</w:t>
            </w:r>
          </w:p>
        </w:tc>
        <w:tc>
          <w:tcPr>
            <w:tcW w:w="7902" w:type="dxa"/>
            <w:tcBorders>
              <w:top w:val="single" w:color="auto" w:sz="4" w:space="0"/>
              <w:left w:val="single" w:color="auto" w:sz="4" w:space="0"/>
              <w:bottom w:val="single" w:color="auto" w:sz="4" w:space="0"/>
              <w:right w:val="single" w:color="auto" w:sz="4" w:space="0"/>
            </w:tcBorders>
            <w:vAlign w:val="center"/>
          </w:tcPr>
          <w:p w14:paraId="27928676">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电子加密磋商文件一份</w:t>
            </w:r>
          </w:p>
        </w:tc>
      </w:tr>
      <w:tr w14:paraId="7CAA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5DCF79EE">
            <w:pPr>
              <w:pStyle w:val="7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24</w:t>
            </w:r>
          </w:p>
        </w:tc>
        <w:tc>
          <w:tcPr>
            <w:tcW w:w="1648" w:type="dxa"/>
            <w:tcBorders>
              <w:top w:val="single" w:color="auto" w:sz="4" w:space="0"/>
              <w:left w:val="single" w:color="auto" w:sz="4" w:space="0"/>
              <w:bottom w:val="single" w:color="auto" w:sz="4" w:space="0"/>
              <w:right w:val="single" w:color="auto" w:sz="4" w:space="0"/>
            </w:tcBorders>
            <w:vAlign w:val="center"/>
          </w:tcPr>
          <w:p w14:paraId="1B4B4E71">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磋商文件签字或盖章要求</w:t>
            </w:r>
          </w:p>
        </w:tc>
        <w:tc>
          <w:tcPr>
            <w:tcW w:w="7902" w:type="dxa"/>
            <w:tcBorders>
              <w:top w:val="single" w:color="auto" w:sz="4" w:space="0"/>
              <w:left w:val="single" w:color="auto" w:sz="4" w:space="0"/>
              <w:bottom w:val="single" w:color="auto" w:sz="4" w:space="0"/>
              <w:right w:val="single" w:color="auto" w:sz="4" w:space="0"/>
            </w:tcBorders>
            <w:vAlign w:val="center"/>
          </w:tcPr>
          <w:p w14:paraId="26274BBB">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磋商格式中要求法定代表人或授权人签字或盖章的，必须签字或盖章，否则磋商无效。</w:t>
            </w:r>
          </w:p>
        </w:tc>
      </w:tr>
      <w:tr w14:paraId="65E3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00C987DB">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648" w:type="dxa"/>
            <w:tcBorders>
              <w:top w:val="single" w:color="auto" w:sz="4" w:space="0"/>
              <w:left w:val="single" w:color="auto" w:sz="4" w:space="0"/>
              <w:bottom w:val="single" w:color="auto" w:sz="4" w:space="0"/>
              <w:right w:val="single" w:color="auto" w:sz="4" w:space="0"/>
            </w:tcBorders>
            <w:vAlign w:val="center"/>
          </w:tcPr>
          <w:p w14:paraId="6895274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磋商文件</w:t>
            </w:r>
          </w:p>
          <w:p w14:paraId="35F830BD">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902" w:type="dxa"/>
            <w:tcBorders>
              <w:top w:val="single" w:color="auto" w:sz="4" w:space="0"/>
              <w:left w:val="single" w:color="auto" w:sz="4" w:space="0"/>
              <w:bottom w:val="single" w:color="auto" w:sz="4" w:space="0"/>
              <w:right w:val="single" w:color="auto" w:sz="4" w:space="0"/>
            </w:tcBorders>
            <w:vAlign w:val="center"/>
          </w:tcPr>
          <w:p w14:paraId="228AB85B">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供应商应完整地按招标文件提供的磋商文件格式及要求编写磋商文件， 供应商须在磋商截止时间前完成在系统上递交电子磋商文件。供应商的电子磋商文件是经过CA证书加密后上传提交的，任何单位或个人均无法在磋商截止时间(即开标时间)之前查看或篡改，不存在泄密风险。（严格按照政采云电子磋商流程制作并上传电子磋商文件）</w:t>
            </w:r>
          </w:p>
        </w:tc>
      </w:tr>
      <w:tr w14:paraId="279C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609A4C14">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648" w:type="dxa"/>
            <w:tcBorders>
              <w:top w:val="single" w:color="auto" w:sz="4" w:space="0"/>
              <w:left w:val="single" w:color="auto" w:sz="4" w:space="0"/>
              <w:bottom w:val="single" w:color="auto" w:sz="4" w:space="0"/>
              <w:right w:val="single" w:color="auto" w:sz="4" w:space="0"/>
            </w:tcBorders>
            <w:vAlign w:val="center"/>
          </w:tcPr>
          <w:p w14:paraId="7F0E6B8B">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电子磋商文件解密时间</w:t>
            </w:r>
          </w:p>
        </w:tc>
        <w:tc>
          <w:tcPr>
            <w:tcW w:w="7902" w:type="dxa"/>
            <w:tcBorders>
              <w:top w:val="single" w:color="auto" w:sz="4" w:space="0"/>
              <w:left w:val="single" w:color="auto" w:sz="4" w:space="0"/>
              <w:bottom w:val="single" w:color="auto" w:sz="4" w:space="0"/>
              <w:right w:val="single" w:color="auto" w:sz="4" w:space="0"/>
            </w:tcBorders>
            <w:vAlign w:val="center"/>
          </w:tcPr>
          <w:p w14:paraId="2F80EB35">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开标时间后30分钟内（2025年03月10日10:00-10：30前）供应商登录“政采云”平台，用“项目采购-开标评标”功能进行解密磋商文件。若供应商在规定时间内未按时解密的，视为无效磋商。</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3221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7C1E0F19">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648" w:type="dxa"/>
            <w:tcBorders>
              <w:top w:val="single" w:color="auto" w:sz="4" w:space="0"/>
              <w:left w:val="single" w:color="auto" w:sz="4" w:space="0"/>
              <w:bottom w:val="single" w:color="auto" w:sz="4" w:space="0"/>
              <w:right w:val="single" w:color="auto" w:sz="4" w:space="0"/>
            </w:tcBorders>
            <w:vAlign w:val="center"/>
          </w:tcPr>
          <w:p w14:paraId="660DE9F4">
            <w:pPr>
              <w:adjustRightInd w:val="0"/>
              <w:snapToGrid w:val="0"/>
              <w:spacing w:line="340" w:lineRule="exac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磋商</w:t>
            </w:r>
            <w:r>
              <w:rPr>
                <w:rFonts w:hint="eastAsia" w:ascii="微软雅黑" w:hAnsi="微软雅黑" w:eastAsia="微软雅黑" w:cs="微软雅黑"/>
                <w:sz w:val="24"/>
                <w:szCs w:val="24"/>
                <w:highlight w:val="none"/>
              </w:rPr>
              <w:t>保证金</w:t>
            </w:r>
          </w:p>
          <w:p w14:paraId="78E1E986">
            <w:pPr>
              <w:adjustRightInd w:val="0"/>
              <w:snapToGrid w:val="0"/>
              <w:spacing w:line="340" w:lineRule="exact"/>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sz w:val="24"/>
                <w:szCs w:val="24"/>
                <w:highlight w:val="none"/>
                <w:lang w:eastAsia="zh-CN"/>
              </w:rPr>
              <w:t>的收取</w:t>
            </w:r>
          </w:p>
        </w:tc>
        <w:tc>
          <w:tcPr>
            <w:tcW w:w="7902" w:type="dxa"/>
            <w:tcBorders>
              <w:top w:val="single" w:color="auto" w:sz="4" w:space="0"/>
              <w:left w:val="single" w:color="auto" w:sz="4" w:space="0"/>
              <w:bottom w:val="single" w:color="auto" w:sz="4" w:space="0"/>
              <w:right w:val="single" w:color="auto" w:sz="4" w:space="0"/>
            </w:tcBorders>
            <w:vAlign w:val="center"/>
          </w:tcPr>
          <w:p w14:paraId="4165E184">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磋商保证金金额：3796.00元（叁仟柒佰玖拾陆元整）。</w:t>
            </w:r>
          </w:p>
          <w:p w14:paraId="5E768F92">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保证金缴纳要求：</w:t>
            </w:r>
          </w:p>
          <w:p w14:paraId="39C941C5">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（1）保证金在开标前须从投标人的基本账户一次性汇入指定账户，不接受现金、支票及任何个人、分公司汇款；</w:t>
            </w:r>
          </w:p>
          <w:p w14:paraId="16700129">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（2）磋商保证金交款单据（电汇形式的磋商保证金提交汇款凭证复印件），须在磋商文件中提供磋商保证金交款单据复印件，否则其磋商无效。</w:t>
            </w:r>
          </w:p>
          <w:p w14:paraId="67DA2C96">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磋商保证金缴纳形式：保函、转账支票、电汇、银行汇票或网上银行支付等非现金形式公对公交纳，打款时必须在备注栏写明所投采购项目名称及项目编号[如：麦盖提县民政局购买社会救助服务性项目KSMGTX(FSJZCS)2025-01号；如因项目名称字数多无法备注全称的，可简写：麦县民政局社会救助项目JZCS202501号]，如不按要求提交，磋商将被拒绝。</w:t>
            </w:r>
          </w:p>
          <w:p w14:paraId="14F2CB7C">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（必须于2025年03月10日北京时间10:00前汇入麦盖提县政府采购中心账户，过期视为磋商无效）</w:t>
            </w:r>
          </w:p>
          <w:p w14:paraId="373F6E12">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账户信息：</w:t>
            </w:r>
          </w:p>
          <w:p w14:paraId="48D8BA83">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 xml:space="preserve">收款单位：麦盖提县政府采购中心       </w:t>
            </w:r>
          </w:p>
          <w:p w14:paraId="20F97566">
            <w:pPr>
              <w:adjustRightInd w:val="0"/>
              <w:snapToGrid w:val="0"/>
              <w:spacing w:line="400" w:lineRule="exact"/>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开户银行：麦盖提县农村信用合作社文化路信用社</w:t>
            </w:r>
          </w:p>
          <w:p w14:paraId="79283516">
            <w:pPr>
              <w:adjustRightInd w:val="0"/>
              <w:snapToGrid w:val="0"/>
              <w:spacing w:line="400" w:lineRule="exact"/>
              <w:jc w:val="left"/>
              <w:rPr>
                <w:rFonts w:hint="eastAsia" w:ascii="微软雅黑" w:hAnsi="微软雅黑" w:eastAsia="微软雅黑" w:cs="微软雅黑"/>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bCs/>
                <w:color w:val="auto"/>
                <w:kern w:val="0"/>
                <w:sz w:val="24"/>
                <w:szCs w:val="24"/>
                <w:highlight w:val="none"/>
                <w:lang w:val="en-US" w:eastAsia="zh-CN" w:bidi="ar-SA"/>
              </w:rPr>
              <w:t xml:space="preserve">银行帐号：8691010101201100015025 </w:t>
            </w:r>
          </w:p>
        </w:tc>
      </w:tr>
      <w:tr w14:paraId="501F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3B1498F5">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648" w:type="dxa"/>
            <w:tcBorders>
              <w:top w:val="single" w:color="auto" w:sz="4" w:space="0"/>
              <w:left w:val="single" w:color="auto" w:sz="4" w:space="0"/>
              <w:bottom w:val="single" w:color="auto" w:sz="4" w:space="0"/>
              <w:right w:val="single" w:color="auto" w:sz="4" w:space="0"/>
            </w:tcBorders>
            <w:vAlign w:val="center"/>
          </w:tcPr>
          <w:p w14:paraId="62A0B55B">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磋商保证金</w:t>
            </w:r>
          </w:p>
          <w:p w14:paraId="0F65A6BD">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902" w:type="dxa"/>
            <w:tcBorders>
              <w:top w:val="single" w:color="auto" w:sz="4" w:space="0"/>
              <w:left w:val="single" w:color="auto" w:sz="4" w:space="0"/>
              <w:bottom w:val="single" w:color="auto" w:sz="4" w:space="0"/>
              <w:right w:val="single" w:color="auto" w:sz="4" w:space="0"/>
            </w:tcBorders>
            <w:vAlign w:val="center"/>
          </w:tcPr>
          <w:p w14:paraId="1EA93896">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货物招标磋商管理办法》第三十八条投标人在磋商截止时间前撤回已提交的磋商文件的，采购人或者采购代理机构应当自收到投标人书面撤回通知之日起５个工作日内，退还已收取的磋商保证金，但因投标人自身原因导致无法及时退还的除外。采购人或者采购代理机构应当自中标通知书发出之日起5个工作日内退还未中标人的磋商保证金，自采购合同签订之日起5个工作日内退还中标人的磋商保证金；</w:t>
            </w:r>
          </w:p>
          <w:p w14:paraId="38596A16">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（2）中标供应商的磋商保证金在与采购单位签订合同，并在政采云平台生成后退回。</w:t>
            </w:r>
          </w:p>
          <w:p w14:paraId="4F379F74">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磋商有效期内不能确定中标供应商的，在磋商有效期满后五个工作日内收到投标人邮寄的收据的同时，无息退回所有投标人的磋商保证金。采购失败的项目，在采购结果公告后五个工作日内收到投标人邮寄的收据的同时，无息退回所有投标人的磋商保证金。采购中心根据投标人提供的银行账号信息将磋商保证金退回投标单位银行账号。</w:t>
            </w:r>
          </w:p>
          <w:p w14:paraId="1FE0369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（4）所有投标单位退回磋商保证金时，须给麦盖提县政府采购中心开具盖有投标单位财务专用章或财务主管印鉴的收款收据</w:t>
            </w:r>
            <w:r>
              <w:rPr>
                <w:rFonts w:hint="eastAsia" w:ascii="微软雅黑" w:hAnsi="微软雅黑" w:eastAsia="微软雅黑" w:cs="微软雅黑"/>
                <w:color w:val="FF0000"/>
                <w:kern w:val="2"/>
                <w:sz w:val="24"/>
                <w:szCs w:val="24"/>
                <w:highlight w:val="none"/>
                <w:lang w:val="en-US" w:eastAsia="zh-CN" w:bidi="ar-SA"/>
              </w:rPr>
              <w:t>【内容为：今收到麦盖提县政府采购中心退付麦盖提县民政局购买社会救助服务性项目KSMGTX(FSJZCS)2025-01号，磋商保证金：3796.00元（叁仟柒佰玖拾陆元整）收款人：***】，法人须签字</w:t>
            </w:r>
            <w:r>
              <w:rPr>
                <w:rFonts w:hint="eastAsia" w:ascii="微软雅黑" w:hAnsi="微软雅黑" w:eastAsia="微软雅黑" w:cs="微软雅黑"/>
                <w:color w:val="auto"/>
                <w:kern w:val="2"/>
                <w:sz w:val="24"/>
                <w:szCs w:val="24"/>
                <w:highlight w:val="none"/>
                <w:lang w:val="en-US" w:eastAsia="zh-CN" w:bidi="ar-SA"/>
              </w:rPr>
              <w:t>；同时必须提供加盖公章的营业执照复印件及开户银行许可证复印件，并单独填写磋商保证金或履约保证金退还申请表（此表须加盖单位公章），邮寄到麦盖提县政府采购中心 。</w:t>
            </w:r>
          </w:p>
          <w:p w14:paraId="783DAE14">
            <w:pPr>
              <w:adjustRightInd w:val="0"/>
              <w:snapToGrid w:val="0"/>
              <w:spacing w:line="400" w:lineRule="exact"/>
              <w:jc w:val="left"/>
              <w:rPr>
                <w:rFonts w:hint="eastAsia" w:ascii="微软雅黑" w:hAnsi="微软雅黑" w:eastAsia="微软雅黑" w:cs="微软雅黑"/>
                <w:color w:val="FF0000"/>
                <w:kern w:val="2"/>
                <w:sz w:val="24"/>
                <w:szCs w:val="24"/>
                <w:highlight w:val="none"/>
                <w:lang w:val="en-US" w:eastAsia="zh-CN" w:bidi="ar-SA"/>
              </w:rPr>
            </w:pPr>
            <w:r>
              <w:rPr>
                <w:rFonts w:hint="eastAsia" w:ascii="微软雅黑" w:hAnsi="微软雅黑" w:eastAsia="微软雅黑" w:cs="微软雅黑"/>
                <w:color w:val="FF0000"/>
                <w:kern w:val="2"/>
                <w:sz w:val="24"/>
                <w:szCs w:val="24"/>
                <w:highlight w:val="none"/>
                <w:lang w:val="en-US" w:eastAsia="zh-CN" w:bidi="ar-SA"/>
              </w:rPr>
              <w:t>注：为了能够及时退付各投标人的磋商保证金，请各投标人于开标完成起3日内将以上材料邮寄至我中心，也可提前邮寄。</w:t>
            </w:r>
          </w:p>
          <w:p w14:paraId="7D0891D6">
            <w:pPr>
              <w:adjustRightInd w:val="0"/>
              <w:snapToGrid w:val="0"/>
              <w:spacing w:line="400" w:lineRule="exact"/>
              <w:jc w:val="left"/>
              <w:rPr>
                <w:rFonts w:hint="eastAsia" w:ascii="微软雅黑" w:hAnsi="微软雅黑" w:eastAsia="微软雅黑" w:cs="微软雅黑"/>
                <w:color w:val="FF0000"/>
                <w:kern w:val="2"/>
                <w:sz w:val="24"/>
                <w:szCs w:val="24"/>
                <w:highlight w:val="none"/>
                <w:lang w:val="en-US" w:eastAsia="zh-CN" w:bidi="ar-SA"/>
              </w:rPr>
            </w:pPr>
            <w:r>
              <w:rPr>
                <w:rFonts w:hint="eastAsia" w:ascii="微软雅黑" w:hAnsi="微软雅黑" w:eastAsia="微软雅黑" w:cs="微软雅黑"/>
                <w:color w:val="FF0000"/>
                <w:kern w:val="2"/>
                <w:sz w:val="24"/>
                <w:szCs w:val="24"/>
                <w:highlight w:val="none"/>
                <w:lang w:val="en-US" w:eastAsia="zh-CN" w:bidi="ar-SA"/>
              </w:rPr>
              <w:t>收件地址：麦盖提县行政服务中心三楼政府采购中心</w:t>
            </w:r>
          </w:p>
          <w:p w14:paraId="28724101">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FF0000"/>
                <w:kern w:val="2"/>
                <w:sz w:val="24"/>
                <w:szCs w:val="24"/>
                <w:highlight w:val="none"/>
                <w:lang w:val="en-US" w:eastAsia="zh-CN" w:bidi="ar-SA"/>
              </w:rPr>
              <w:t>收件人：帕提古  联系电话：0998-7842765 邮编：844600</w:t>
            </w:r>
          </w:p>
        </w:tc>
      </w:tr>
      <w:tr w14:paraId="4D5C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5A54F5DA">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648" w:type="dxa"/>
            <w:tcBorders>
              <w:top w:val="single" w:color="auto" w:sz="4" w:space="0"/>
              <w:left w:val="single" w:color="auto" w:sz="4" w:space="0"/>
              <w:bottom w:val="single" w:color="auto" w:sz="4" w:space="0"/>
              <w:right w:val="single" w:color="auto" w:sz="4" w:space="0"/>
            </w:tcBorders>
            <w:vAlign w:val="center"/>
          </w:tcPr>
          <w:p w14:paraId="71E004EC">
            <w:pPr>
              <w:adjustRightInd w:val="0"/>
              <w:snapToGrid w:val="0"/>
              <w:spacing w:line="400" w:lineRule="exact"/>
              <w:jc w:val="center"/>
              <w:rPr>
                <w:rFonts w:hint="eastAsia" w:ascii="微软雅黑" w:hAnsi="微软雅黑" w:eastAsia="微软雅黑" w:cs="微软雅黑"/>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履约保证金</w:t>
            </w:r>
          </w:p>
        </w:tc>
        <w:tc>
          <w:tcPr>
            <w:tcW w:w="7902" w:type="dxa"/>
            <w:tcBorders>
              <w:top w:val="single" w:color="auto" w:sz="4" w:space="0"/>
              <w:left w:val="single" w:color="auto" w:sz="4" w:space="0"/>
              <w:bottom w:val="single" w:color="auto" w:sz="4" w:space="0"/>
              <w:right w:val="single" w:color="auto" w:sz="4" w:space="0"/>
            </w:tcBorders>
            <w:vAlign w:val="center"/>
          </w:tcPr>
          <w:p w14:paraId="0A97817E">
            <w:pPr>
              <w:spacing w:line="312" w:lineRule="auto"/>
              <w:jc w:val="left"/>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sz w:val="24"/>
                <w:szCs w:val="24"/>
                <w:highlight w:val="none"/>
                <w:lang w:val="en-US" w:eastAsia="zh-CN"/>
              </w:rPr>
              <w:t xml:space="preserve">□不要求   </w:t>
            </w:r>
            <w:r>
              <w:rPr>
                <w:rFonts w:hint="eastAsia" w:ascii="微软雅黑" w:hAnsi="微软雅黑" w:eastAsia="微软雅黑" w:cs="微软雅黑"/>
                <w:sz w:val="24"/>
                <w:szCs w:val="24"/>
                <w:highlight w:val="none"/>
                <w:lang w:val="en-US" w:eastAsia="zh-CN"/>
              </w:rPr>
              <w:sym w:font="Wingdings" w:char="00FE"/>
            </w:r>
            <w:r>
              <w:rPr>
                <w:rFonts w:hint="eastAsia" w:ascii="微软雅黑" w:hAnsi="微软雅黑" w:eastAsia="微软雅黑" w:cs="微软雅黑"/>
                <w:sz w:val="24"/>
                <w:szCs w:val="24"/>
                <w:highlight w:val="none"/>
                <w:lang w:val="en-US" w:eastAsia="zh-CN"/>
              </w:rPr>
              <w:t>要求。</w:t>
            </w:r>
          </w:p>
          <w:p w14:paraId="280995B5">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履约保证金</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金额：</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合同总价的5%，中标方在签订合同前打入</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采购人</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账户，中标方可以转账支票、电汇、银行汇票或网上银行支付、保函等非现金形式公对公交纳。</w:t>
            </w:r>
          </w:p>
          <w:p w14:paraId="1FB06969">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采购人账户信息：</w:t>
            </w:r>
          </w:p>
          <w:p w14:paraId="44C89C11">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开户银行：麦盖提县农村信用合作联社</w:t>
            </w:r>
          </w:p>
          <w:p w14:paraId="35DF5549">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开户名称：麦盖提县民政局</w:t>
            </w:r>
          </w:p>
          <w:p w14:paraId="23506803">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开户账号：869010012010151931919</w:t>
            </w:r>
          </w:p>
          <w:p w14:paraId="3E05F3D8">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行号：402894800017</w:t>
            </w:r>
          </w:p>
        </w:tc>
      </w:tr>
      <w:tr w14:paraId="075C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5F127ED6">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648" w:type="dxa"/>
            <w:tcBorders>
              <w:top w:val="single" w:color="auto" w:sz="4" w:space="0"/>
              <w:left w:val="single" w:color="auto" w:sz="4" w:space="0"/>
              <w:bottom w:val="single" w:color="auto" w:sz="4" w:space="0"/>
              <w:right w:val="single" w:color="auto" w:sz="4" w:space="0"/>
            </w:tcBorders>
            <w:vAlign w:val="center"/>
          </w:tcPr>
          <w:p w14:paraId="2950ED70">
            <w:pPr>
              <w:adjustRightInd w:val="0"/>
              <w:snapToGrid w:val="0"/>
              <w:spacing w:line="320" w:lineRule="exact"/>
              <w:jc w:val="cente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评标委员会的组建</w:t>
            </w:r>
          </w:p>
        </w:tc>
        <w:tc>
          <w:tcPr>
            <w:tcW w:w="7902" w:type="dxa"/>
            <w:tcBorders>
              <w:top w:val="single" w:color="auto" w:sz="4" w:space="0"/>
              <w:left w:val="single" w:color="auto" w:sz="4" w:space="0"/>
              <w:bottom w:val="single" w:color="auto" w:sz="4" w:space="0"/>
              <w:right w:val="single" w:color="auto" w:sz="4" w:space="0"/>
            </w:tcBorders>
            <w:vAlign w:val="center"/>
          </w:tcPr>
          <w:p w14:paraId="2C7C0CCC">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评标委员会构成：在政采云平台上抽取3名专家，负责评标工作。</w:t>
            </w:r>
          </w:p>
          <w:p w14:paraId="3757FD15">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评标专家确定方式：随机抽取</w:t>
            </w:r>
          </w:p>
        </w:tc>
      </w:tr>
      <w:tr w14:paraId="1C23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1BC9A117">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648" w:type="dxa"/>
            <w:tcBorders>
              <w:top w:val="single" w:color="auto" w:sz="4" w:space="0"/>
              <w:left w:val="single" w:color="auto" w:sz="4" w:space="0"/>
              <w:bottom w:val="single" w:color="auto" w:sz="4" w:space="0"/>
              <w:right w:val="single" w:color="auto" w:sz="4" w:space="0"/>
            </w:tcBorders>
            <w:vAlign w:val="center"/>
          </w:tcPr>
          <w:p w14:paraId="2C414CD1">
            <w:pPr>
              <w:adjustRightInd w:val="0"/>
              <w:snapToGrid w:val="0"/>
              <w:spacing w:line="320" w:lineRule="exact"/>
              <w:jc w:val="cente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最高磋商限价</w:t>
            </w:r>
          </w:p>
        </w:tc>
        <w:tc>
          <w:tcPr>
            <w:tcW w:w="7902" w:type="dxa"/>
            <w:tcBorders>
              <w:top w:val="single" w:color="auto" w:sz="4" w:space="0"/>
              <w:left w:val="single" w:color="auto" w:sz="4" w:space="0"/>
              <w:bottom w:val="single" w:color="auto" w:sz="4" w:space="0"/>
              <w:right w:val="single" w:color="auto" w:sz="4" w:space="0"/>
            </w:tcBorders>
            <w:vAlign w:val="center"/>
          </w:tcPr>
          <w:p w14:paraId="26A5A67A">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 xml:space="preserve">无     </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有，最高磋商限价：</w:t>
            </w:r>
            <w:r>
              <w:rPr>
                <w:rFonts w:hint="eastAsia" w:ascii="微软雅黑" w:hAnsi="微软雅黑" w:eastAsia="微软雅黑" w:cs="微软雅黑"/>
                <w:b/>
                <w:bCs/>
                <w:color w:val="000000" w:themeColor="text1"/>
                <w:kern w:val="0"/>
                <w:sz w:val="24"/>
                <w:szCs w:val="24"/>
                <w:highlight w:val="none"/>
                <w:u w:val="single"/>
                <w:lang w:val="en-US" w:eastAsia="zh-CN"/>
                <w14:textFill>
                  <w14:solidFill>
                    <w14:schemeClr w14:val="tx1"/>
                  </w14:solidFill>
                </w14:textFill>
              </w:rPr>
              <w:t>本项目预算价</w:t>
            </w:r>
          </w:p>
        </w:tc>
      </w:tr>
      <w:tr w14:paraId="3E4F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64F3118E">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648" w:type="dxa"/>
            <w:tcBorders>
              <w:top w:val="single" w:color="auto" w:sz="4" w:space="0"/>
              <w:left w:val="single" w:color="auto" w:sz="4" w:space="0"/>
              <w:bottom w:val="single" w:color="auto" w:sz="4" w:space="0"/>
              <w:right w:val="single" w:color="auto" w:sz="4" w:space="0"/>
            </w:tcBorders>
            <w:vAlign w:val="center"/>
          </w:tcPr>
          <w:p w14:paraId="0FCEFEC5">
            <w:pPr>
              <w:adjustRightInd w:val="0"/>
              <w:snapToGrid w:val="0"/>
              <w:spacing w:line="320" w:lineRule="exact"/>
              <w:jc w:val="cente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采购代理机构内部监督部门</w:t>
            </w:r>
          </w:p>
        </w:tc>
        <w:tc>
          <w:tcPr>
            <w:tcW w:w="7902" w:type="dxa"/>
            <w:tcBorders>
              <w:top w:val="single" w:color="auto" w:sz="4" w:space="0"/>
              <w:left w:val="single" w:color="auto" w:sz="4" w:space="0"/>
              <w:bottom w:val="single" w:color="auto" w:sz="4" w:space="0"/>
              <w:right w:val="single" w:color="auto" w:sz="4" w:space="0"/>
            </w:tcBorders>
            <w:vAlign w:val="center"/>
          </w:tcPr>
          <w:p w14:paraId="35B0E3A1">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监督单位：麦盖提县民政局采购办</w:t>
            </w:r>
          </w:p>
          <w:p w14:paraId="5A21BB3F">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监督电话：0998-7846655</w:t>
            </w:r>
          </w:p>
        </w:tc>
      </w:tr>
      <w:tr w14:paraId="313C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12CDFD7D">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648" w:type="dxa"/>
            <w:tcBorders>
              <w:top w:val="single" w:color="auto" w:sz="4" w:space="0"/>
              <w:left w:val="single" w:color="auto" w:sz="4" w:space="0"/>
              <w:bottom w:val="single" w:color="auto" w:sz="4" w:space="0"/>
              <w:right w:val="single" w:color="auto" w:sz="4" w:space="0"/>
            </w:tcBorders>
            <w:vAlign w:val="center"/>
          </w:tcPr>
          <w:p w14:paraId="41A0FEE9">
            <w:pPr>
              <w:adjustRightInd w:val="0"/>
              <w:snapToGrid w:val="0"/>
              <w:spacing w:line="320" w:lineRule="exact"/>
              <w:jc w:val="center"/>
              <w:rPr>
                <w:rFonts w:hint="eastAsia" w:ascii="微软雅黑" w:hAnsi="微软雅黑" w:eastAsia="微软雅黑" w:cs="微软雅黑"/>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财政部门指定的媒体</w:t>
            </w:r>
          </w:p>
        </w:tc>
        <w:tc>
          <w:tcPr>
            <w:tcW w:w="7902" w:type="dxa"/>
            <w:tcBorders>
              <w:top w:val="single" w:color="auto" w:sz="4" w:space="0"/>
              <w:left w:val="single" w:color="auto" w:sz="4" w:space="0"/>
              <w:bottom w:val="single" w:color="auto" w:sz="4" w:space="0"/>
              <w:right w:val="single" w:color="auto" w:sz="4" w:space="0"/>
            </w:tcBorders>
            <w:vAlign w:val="center"/>
          </w:tcPr>
          <w:p w14:paraId="5CC3F906">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新疆政府采购网http://www.ccgp-xinjiang.gov.cn</w:t>
            </w:r>
          </w:p>
        </w:tc>
      </w:tr>
      <w:tr w14:paraId="2BF5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0715A00D">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648" w:type="dxa"/>
            <w:tcBorders>
              <w:top w:val="single" w:color="auto" w:sz="4" w:space="0"/>
              <w:left w:val="single" w:color="auto" w:sz="4" w:space="0"/>
              <w:bottom w:val="single" w:color="auto" w:sz="4" w:space="0"/>
              <w:right w:val="single" w:color="auto" w:sz="4" w:space="0"/>
            </w:tcBorders>
            <w:vAlign w:val="center"/>
          </w:tcPr>
          <w:p w14:paraId="10A90F3C">
            <w:pPr>
              <w:spacing w:before="62" w:beforeLines="20" w:line="288" w:lineRule="auto"/>
              <w:jc w:val="center"/>
              <w:rPr>
                <w:rFonts w:hint="eastAsia" w:ascii="微软雅黑" w:hAnsi="微软雅黑" w:eastAsia="微软雅黑" w:cs="微软雅黑"/>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
                <w:bCs/>
                <w:color w:val="000000" w:themeColor="text1"/>
                <w:sz w:val="24"/>
                <w:szCs w:val="24"/>
                <w:highlight w:val="none"/>
                <w14:textFill>
                  <w14:solidFill>
                    <w14:schemeClr w14:val="tx1"/>
                  </w14:solidFill>
                </w14:textFill>
              </w:rPr>
              <w:t>CA办理及技术支持</w:t>
            </w:r>
          </w:p>
        </w:tc>
        <w:tc>
          <w:tcPr>
            <w:tcW w:w="7902" w:type="dxa"/>
            <w:tcBorders>
              <w:top w:val="single" w:color="auto" w:sz="4" w:space="0"/>
              <w:left w:val="single" w:color="auto" w:sz="4" w:space="0"/>
              <w:bottom w:val="single" w:color="auto" w:sz="4" w:space="0"/>
              <w:right w:val="single" w:color="auto" w:sz="4" w:space="0"/>
            </w:tcBorders>
            <w:vAlign w:val="center"/>
          </w:tcPr>
          <w:p w14:paraId="23A486BA">
            <w:pPr>
              <w:pStyle w:val="15"/>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CA服务电话：0991-2819290</w:t>
            </w:r>
          </w:p>
          <w:p w14:paraId="7D6979BB">
            <w:pPr>
              <w:pStyle w:val="15"/>
              <w:rPr>
                <w:rFonts w:hint="eastAsia" w:ascii="微软雅黑" w:hAnsi="微软雅黑" w:eastAsia="微软雅黑" w:cs="微软雅黑"/>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CA申领地址：https://www.xjca.com.cn/article/content/201802/582/1.html</w:t>
            </w:r>
          </w:p>
        </w:tc>
      </w:tr>
      <w:tr w14:paraId="22A7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1FE5AB0C">
            <w:pPr>
              <w:pStyle w:val="7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648" w:type="dxa"/>
            <w:tcBorders>
              <w:top w:val="single" w:color="auto" w:sz="4" w:space="0"/>
              <w:left w:val="single" w:color="auto" w:sz="4" w:space="0"/>
              <w:bottom w:val="single" w:color="auto" w:sz="4" w:space="0"/>
              <w:right w:val="single" w:color="auto" w:sz="4" w:space="0"/>
            </w:tcBorders>
            <w:vAlign w:val="center"/>
          </w:tcPr>
          <w:p w14:paraId="40739F19">
            <w:pPr>
              <w:adjustRightInd w:val="0"/>
              <w:snapToGrid w:val="0"/>
              <w:spacing w:line="400" w:lineRule="exact"/>
              <w:jc w:val="center"/>
              <w:rPr>
                <w:rFonts w:hint="eastAsia" w:ascii="微软雅黑" w:hAnsi="微软雅黑" w:eastAsia="微软雅黑" w:cs="微软雅黑"/>
                <w:b/>
                <w:bCs/>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最终解释权</w:t>
            </w:r>
          </w:p>
        </w:tc>
        <w:tc>
          <w:tcPr>
            <w:tcW w:w="7902" w:type="dxa"/>
            <w:tcBorders>
              <w:top w:val="single" w:color="auto" w:sz="4" w:space="0"/>
              <w:left w:val="single" w:color="auto" w:sz="4" w:space="0"/>
              <w:bottom w:val="single" w:color="auto" w:sz="4" w:space="0"/>
              <w:right w:val="single" w:color="auto" w:sz="4" w:space="0"/>
            </w:tcBorders>
            <w:vAlign w:val="center"/>
          </w:tcPr>
          <w:p w14:paraId="7610C462">
            <w:pPr>
              <w:adjustRightInd w:val="0"/>
              <w:snapToGrid w:val="0"/>
              <w:spacing w:line="400" w:lineRule="exact"/>
              <w:jc w:val="left"/>
              <w:rPr>
                <w:rFonts w:hint="eastAsia" w:ascii="微软雅黑" w:hAnsi="微软雅黑" w:eastAsia="微软雅黑" w:cs="微软雅黑"/>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color w:val="000000"/>
                <w:sz w:val="24"/>
                <w:szCs w:val="24"/>
                <w:highlight w:val="none"/>
              </w:rPr>
              <w:t>构成本</w:t>
            </w:r>
            <w:r>
              <w:rPr>
                <w:rFonts w:hint="eastAsia" w:ascii="微软雅黑" w:hAnsi="微软雅黑" w:eastAsia="微软雅黑" w:cs="微软雅黑"/>
                <w:color w:val="000000"/>
                <w:sz w:val="24"/>
                <w:szCs w:val="24"/>
                <w:highlight w:val="none"/>
                <w:lang w:eastAsia="zh-CN"/>
              </w:rPr>
              <w:t>谈判文件</w:t>
            </w:r>
            <w:r>
              <w:rPr>
                <w:rFonts w:hint="eastAsia" w:ascii="微软雅黑" w:hAnsi="微软雅黑" w:eastAsia="微软雅黑" w:cs="微软雅黑"/>
                <w:color w:val="000000"/>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000000"/>
                <w:sz w:val="24"/>
                <w:szCs w:val="24"/>
                <w:highlight w:val="none"/>
                <w:lang w:eastAsia="zh-CN"/>
              </w:rPr>
              <w:t>谈判文件</w:t>
            </w:r>
            <w:r>
              <w:rPr>
                <w:rFonts w:hint="eastAsia" w:ascii="微软雅黑" w:hAnsi="微软雅黑" w:eastAsia="微软雅黑" w:cs="微软雅黑"/>
                <w:color w:val="000000"/>
                <w:sz w:val="24"/>
                <w:szCs w:val="24"/>
                <w:highlight w:val="none"/>
              </w:rPr>
              <w:t>中有特别规定外，仅适用于招标</w:t>
            </w:r>
            <w:r>
              <w:rPr>
                <w:rFonts w:hint="eastAsia" w:ascii="微软雅黑" w:hAnsi="微软雅黑" w:eastAsia="微软雅黑" w:cs="微软雅黑"/>
                <w:color w:val="000000"/>
                <w:sz w:val="24"/>
                <w:szCs w:val="24"/>
                <w:highlight w:val="none"/>
                <w:lang w:eastAsia="zh-CN"/>
              </w:rPr>
              <w:t>磋商</w:t>
            </w:r>
            <w:r>
              <w:rPr>
                <w:rFonts w:hint="eastAsia" w:ascii="微软雅黑" w:hAnsi="微软雅黑" w:eastAsia="微软雅黑" w:cs="微软雅黑"/>
                <w:color w:val="000000"/>
                <w:sz w:val="24"/>
                <w:szCs w:val="24"/>
                <w:highlight w:val="none"/>
              </w:rPr>
              <w:t>阶段的规定，按招标公告、</w:t>
            </w:r>
            <w:r>
              <w:rPr>
                <w:rFonts w:hint="eastAsia" w:ascii="微软雅黑" w:hAnsi="微软雅黑" w:eastAsia="微软雅黑" w:cs="微软雅黑"/>
                <w:color w:val="000000"/>
                <w:sz w:val="24"/>
                <w:szCs w:val="24"/>
                <w:highlight w:val="none"/>
                <w:lang w:eastAsia="zh-CN"/>
              </w:rPr>
              <w:t>磋商</w:t>
            </w:r>
            <w:r>
              <w:rPr>
                <w:rFonts w:hint="eastAsia" w:ascii="微软雅黑" w:hAnsi="微软雅黑" w:eastAsia="微软雅黑" w:cs="微软雅黑"/>
                <w:color w:val="000000"/>
                <w:sz w:val="24"/>
                <w:szCs w:val="24"/>
                <w:highlight w:val="none"/>
              </w:rPr>
              <w:t>人须知、评标办法、</w:t>
            </w:r>
            <w:r>
              <w:rPr>
                <w:rFonts w:hint="eastAsia" w:ascii="微软雅黑" w:hAnsi="微软雅黑" w:eastAsia="微软雅黑" w:cs="微软雅黑"/>
                <w:color w:val="000000"/>
                <w:sz w:val="24"/>
                <w:szCs w:val="24"/>
                <w:highlight w:val="none"/>
                <w:lang w:eastAsia="zh-CN"/>
              </w:rPr>
              <w:t>磋商</w:t>
            </w:r>
            <w:r>
              <w:rPr>
                <w:rFonts w:hint="eastAsia" w:ascii="微软雅黑" w:hAnsi="微软雅黑" w:eastAsia="微软雅黑" w:cs="微软雅黑"/>
                <w:color w:val="000000"/>
                <w:sz w:val="24"/>
                <w:szCs w:val="24"/>
                <w:highlight w:val="none"/>
              </w:rPr>
              <w:t>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000000"/>
                <w:sz w:val="24"/>
                <w:szCs w:val="24"/>
                <w:highlight w:val="none"/>
                <w:lang w:eastAsia="zh-CN"/>
              </w:rPr>
              <w:t>采购</w:t>
            </w:r>
            <w:r>
              <w:rPr>
                <w:rFonts w:hint="eastAsia" w:ascii="微软雅黑" w:hAnsi="微软雅黑" w:eastAsia="微软雅黑" w:cs="微软雅黑"/>
                <w:color w:val="000000"/>
                <w:sz w:val="24"/>
                <w:szCs w:val="24"/>
                <w:highlight w:val="none"/>
              </w:rPr>
              <w:t>人负责解释。</w:t>
            </w:r>
          </w:p>
        </w:tc>
      </w:tr>
      <w:tr w14:paraId="150F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8" w:hRule="exact"/>
          <w:jc w:val="center"/>
        </w:trPr>
        <w:tc>
          <w:tcPr>
            <w:tcW w:w="749" w:type="dxa"/>
            <w:tcBorders>
              <w:top w:val="single" w:color="auto" w:sz="4" w:space="0"/>
              <w:left w:val="single" w:color="auto" w:sz="4" w:space="0"/>
              <w:bottom w:val="single" w:color="auto" w:sz="4" w:space="0"/>
              <w:right w:val="single" w:color="auto" w:sz="4" w:space="0"/>
            </w:tcBorders>
            <w:vAlign w:val="center"/>
          </w:tcPr>
          <w:p w14:paraId="63E96F2E">
            <w:pPr>
              <w:pStyle w:val="70"/>
              <w:jc w:val="center"/>
              <w:rPr>
                <w:rFonts w:hint="default"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36</w:t>
            </w:r>
          </w:p>
        </w:tc>
        <w:tc>
          <w:tcPr>
            <w:tcW w:w="1648" w:type="dxa"/>
            <w:tcBorders>
              <w:top w:val="single" w:color="auto" w:sz="4" w:space="0"/>
              <w:left w:val="single" w:color="auto" w:sz="4" w:space="0"/>
              <w:bottom w:val="single" w:color="auto" w:sz="4" w:space="0"/>
              <w:right w:val="single" w:color="auto" w:sz="4" w:space="0"/>
            </w:tcBorders>
            <w:vAlign w:val="center"/>
          </w:tcPr>
          <w:p w14:paraId="1A249BF5">
            <w:pPr>
              <w:adjustRightInd w:val="0"/>
              <w:snapToGrid w:val="0"/>
              <w:spacing w:line="400" w:lineRule="exact"/>
              <w:jc w:val="cente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关于政采云平台线上磋商的注意事项</w:t>
            </w:r>
          </w:p>
          <w:p w14:paraId="3137D351">
            <w:pPr>
              <w:adjustRightInd w:val="0"/>
              <w:snapToGrid w:val="0"/>
              <w:spacing w:line="400" w:lineRule="exact"/>
              <w:jc w:val="cente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p>
        </w:tc>
        <w:tc>
          <w:tcPr>
            <w:tcW w:w="7902" w:type="dxa"/>
            <w:tcBorders>
              <w:top w:val="single" w:color="auto" w:sz="4" w:space="0"/>
              <w:left w:val="single" w:color="auto" w:sz="4" w:space="0"/>
              <w:bottom w:val="single" w:color="auto" w:sz="4" w:space="0"/>
              <w:right w:val="single" w:color="auto" w:sz="4" w:space="0"/>
            </w:tcBorders>
            <w:vAlign w:val="center"/>
          </w:tcPr>
          <w:p w14:paraId="197DF114">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1、磋商文件解密时间：磋商文件解密时间30分钟，开标前需投标单位用CA证书登录政采云平台开标大厅签到，在30分钟解密时间内输入CA证书PIN码解密磋商文件。在30分钟解密时间内未进行解密的投标单位将导致废标。（解密时间开始时政采云平台将以短信形式向供应商在政采云平台预留的手机号发送短信通知，请供应商及时关注。）</w:t>
            </w:r>
          </w:p>
          <w:p w14:paraId="4F6A8318">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2、供应商报价CA签字确认：报价文件开启后将开启签字时段，供应商须在20分钟内用CA证书对报价进行签字确认。</w:t>
            </w:r>
          </w:p>
          <w:p w14:paraId="789D40CF">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3、（1）本项目为电子招磋商，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782241A">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（2）本项目实行网上磋商，采用电子磋商文件(供应商须使用CA加密设备通过政采云电子磋商客户端制作磋商文件)。若供应商参与磋商，自行承担磋商一切费用。</w:t>
            </w:r>
          </w:p>
          <w:p w14:paraId="31C00E44">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（3）各供应商应在开标前应确保成为新疆政府采购网正式注册入库供应商，并完成CA数字证书申领。因未注册入库、未办理CA数字证书等原因造成无法磋商或磋商失败等后果由供应商自行承担。</w:t>
            </w:r>
          </w:p>
          <w:p w14:paraId="22F5C43D">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（4）供应商在开标时须使用制作加密电子磋商文件所使用的CA锁及电脑，电脑须提前配置好浏览器（建议使用360浏览器或谷歌浏览器），以便开标时解锁。</w:t>
            </w:r>
          </w:p>
          <w:p w14:paraId="63D0BE13">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instrText xml:space="preserve"> HYPERLINK "https://edu.zcygov.cn/luban/xinjiang-e-biding" </w:instrText>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https://edu.zcygov.cn/luban/xinjiang-e-biding</w:t>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fldChar w:fldCharType="end"/>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自助查询，也可在政采云帮助中心常见问题解答和操作流程讲解视频中自助查询，网址为：</w:t>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instrText xml:space="preserve"> HYPERLINK "https://service.zcygov.cn/" \l "/help" </w:instrText>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https://service.zcygov.cn/#/help</w:t>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fldChar w:fldCharType="end"/>
            </w: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项目采购—操作流程—电子招磋商—政府采购项目电子交易管理操作指南-供应商”版面获取操作指南，同时对自助查询无法解决的问题可通过钉钉群及政采云在线客服获取服务支持。政采云热线人工号码：400-881-7190（工作时间：08:00~20：00）</w:t>
            </w:r>
          </w:p>
          <w:p w14:paraId="26F630C7">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r>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t>（6）供应商编制电子磋商文件应安装“电子招磋商供应商客户端”软件，并按照本采购文件和电子招磋商供应商客户端的要求编制并加密磋商文件。未按规定加密的磋商文件，将被电子招磋商供应商客户端拒收。“电子招磋商供应商客户端”请供应商自行前往“新疆政府采购网—下载专区—新疆维吾尔自治区全流程电子招磋商项目管理系统--电子招磋商供应商客户端”版块获取。</w:t>
            </w:r>
          </w:p>
          <w:p w14:paraId="6503B2B4">
            <w:pPr>
              <w:adjustRightInd w:val="0"/>
              <w:snapToGrid w:val="0"/>
              <w:spacing w:line="400" w:lineRule="exact"/>
              <w:jc w:val="left"/>
              <w:rPr>
                <w:rFonts w:hint="eastAsia" w:ascii="微软雅黑" w:hAnsi="微软雅黑" w:eastAsia="微软雅黑" w:cs="微软雅黑"/>
                <w:bCs/>
                <w:i w:val="0"/>
                <w:iCs w:val="0"/>
                <w:color w:val="000000" w:themeColor="text1"/>
                <w:kern w:val="2"/>
                <w:sz w:val="24"/>
                <w:szCs w:val="24"/>
                <w:highlight w:val="none"/>
                <w:lang w:val="en-US" w:eastAsia="zh-CN" w:bidi="ar-SA"/>
                <w14:textFill>
                  <w14:solidFill>
                    <w14:schemeClr w14:val="tx1"/>
                  </w14:solidFill>
                </w14:textFill>
              </w:rPr>
            </w:pPr>
          </w:p>
        </w:tc>
      </w:tr>
    </w:tbl>
    <w:p w14:paraId="4E2F9182">
      <w:pPr>
        <w:numPr>
          <w:ilvl w:val="0"/>
          <w:numId w:val="4"/>
        </w:numPr>
        <w:jc w:val="center"/>
        <w:rPr>
          <w:rFonts w:hint="eastAsia" w:ascii="微软雅黑" w:hAnsi="微软雅黑" w:eastAsia="微软雅黑" w:cs="微软雅黑"/>
          <w:b/>
          <w:bCs/>
          <w:color w:val="auto"/>
          <w:sz w:val="32"/>
          <w:szCs w:val="32"/>
          <w:highlight w:val="none"/>
          <w:lang w:val="en-US" w:eastAsia="zh-CN"/>
        </w:rPr>
      </w:pPr>
      <w:bookmarkStart w:id="730" w:name="_Toc27125"/>
      <w:r>
        <w:rPr>
          <w:rFonts w:hint="eastAsia" w:ascii="微软雅黑" w:hAnsi="微软雅黑" w:eastAsia="微软雅黑" w:cs="微软雅黑"/>
          <w:b/>
          <w:bCs/>
          <w:color w:val="auto"/>
          <w:sz w:val="32"/>
          <w:szCs w:val="32"/>
          <w:highlight w:val="none"/>
          <w:lang w:val="en-US" w:eastAsia="zh-CN"/>
        </w:rPr>
        <w:t>服务需求及项目要求</w:t>
      </w:r>
      <w:bookmarkEnd w:id="719"/>
      <w:bookmarkEnd w:id="720"/>
      <w:bookmarkEnd w:id="721"/>
      <w:bookmarkEnd w:id="722"/>
      <w:bookmarkEnd w:id="723"/>
      <w:bookmarkEnd w:id="724"/>
      <w:bookmarkEnd w:id="725"/>
      <w:bookmarkEnd w:id="726"/>
      <w:bookmarkEnd w:id="727"/>
      <w:bookmarkEnd w:id="728"/>
      <w:bookmarkEnd w:id="730"/>
      <w:bookmarkStart w:id="731" w:name="_Toc23496"/>
      <w:bookmarkEnd w:id="731"/>
    </w:p>
    <w:p w14:paraId="56E7A9A2">
      <w:pPr>
        <w:keepNext w:val="0"/>
        <w:keepLines w:val="0"/>
        <w:pageBreakBefore w:val="0"/>
        <w:kinsoku/>
        <w:wordWrap/>
        <w:overflowPunct/>
        <w:topLinePunct w:val="0"/>
        <w:bidi w:val="0"/>
        <w:snapToGrid/>
        <w:spacing w:line="520" w:lineRule="exact"/>
        <w:ind w:firstLine="480" w:firstLineChars="200"/>
        <w:jc w:val="both"/>
        <w:textAlignment w:val="auto"/>
        <w:rPr>
          <w:rFonts w:hint="eastAsia" w:ascii="微软雅黑" w:hAnsi="微软雅黑" w:eastAsia="微软雅黑" w:cs="微软雅黑"/>
          <w:b/>
          <w:bCs/>
          <w:sz w:val="24"/>
          <w:szCs w:val="24"/>
          <w:highlight w:val="none"/>
          <w:lang w:eastAsia="zh-CN"/>
        </w:rPr>
      </w:pPr>
    </w:p>
    <w:p w14:paraId="4431A2C6">
      <w:pPr>
        <w:pStyle w:val="2"/>
        <w:pageBreakBefore w:val="0"/>
        <w:widowControl w:val="0"/>
        <w:numPr>
          <w:ilvl w:val="0"/>
          <w:numId w:val="0"/>
        </w:numPr>
        <w:tabs>
          <w:tab w:val="left" w:pos="840"/>
        </w:tabs>
        <w:kinsoku/>
        <w:wordWrap/>
        <w:overflowPunct/>
        <w:topLinePunct w:val="0"/>
        <w:autoSpaceDE/>
        <w:autoSpaceDN/>
        <w:bidi w:val="0"/>
        <w:adjustRightInd/>
        <w:snapToGrid/>
        <w:spacing w:line="620" w:lineRule="exact"/>
        <w:ind w:firstLine="560" w:firstLineChars="200"/>
        <w:jc w:val="both"/>
        <w:textAlignment w:val="auto"/>
        <w:rPr>
          <w:rFonts w:hint="eastAsia" w:ascii="微软雅黑" w:hAnsi="微软雅黑" w:eastAsia="微软雅黑" w:cs="微软雅黑"/>
          <w:b w:val="0"/>
          <w:color w:val="000000"/>
          <w:kern w:val="2"/>
          <w:sz w:val="28"/>
          <w:szCs w:val="28"/>
          <w:highlight w:val="none"/>
          <w:u w:val="none"/>
          <w:lang w:val="en-US" w:eastAsia="zh-CN" w:bidi="ar-SA"/>
        </w:rPr>
      </w:pPr>
      <w:bookmarkStart w:id="732" w:name="_Toc8474"/>
      <w:r>
        <w:rPr>
          <w:rFonts w:hint="eastAsia" w:ascii="微软雅黑" w:hAnsi="微软雅黑" w:eastAsia="微软雅黑" w:cs="微软雅黑"/>
          <w:b/>
          <w:bCs/>
          <w:kern w:val="0"/>
          <w:sz w:val="28"/>
          <w:szCs w:val="28"/>
          <w:highlight w:val="none"/>
          <w:u w:val="none"/>
          <w:lang w:val="en-US" w:eastAsia="zh-CN" w:bidi="ar-SA"/>
        </w:rPr>
        <w:t>一、采购项目名称：</w:t>
      </w:r>
      <w:r>
        <w:rPr>
          <w:rFonts w:hint="eastAsia" w:ascii="微软雅黑" w:hAnsi="微软雅黑" w:eastAsia="微软雅黑" w:cs="微软雅黑"/>
          <w:b w:val="0"/>
          <w:color w:val="000000"/>
          <w:kern w:val="2"/>
          <w:sz w:val="28"/>
          <w:szCs w:val="28"/>
          <w:highlight w:val="none"/>
          <w:u w:val="none"/>
          <w:lang w:val="en-US" w:eastAsia="zh-CN" w:bidi="ar-SA"/>
        </w:rPr>
        <w:t>麦盖提县民政局购</w:t>
      </w:r>
      <w:bookmarkStart w:id="987" w:name="_GoBack"/>
      <w:bookmarkEnd w:id="987"/>
      <w:r>
        <w:rPr>
          <w:rFonts w:hint="eastAsia" w:ascii="微软雅黑" w:hAnsi="微软雅黑" w:eastAsia="微软雅黑" w:cs="微软雅黑"/>
          <w:b w:val="0"/>
          <w:color w:val="000000"/>
          <w:kern w:val="2"/>
          <w:sz w:val="28"/>
          <w:szCs w:val="28"/>
          <w:highlight w:val="none"/>
          <w:u w:val="none"/>
          <w:lang w:val="en-US" w:eastAsia="zh-CN" w:bidi="ar-SA"/>
        </w:rPr>
        <w:t>买社会救助服务性项目</w:t>
      </w:r>
    </w:p>
    <w:p w14:paraId="5F29C805">
      <w:pPr>
        <w:spacing w:line="600" w:lineRule="exact"/>
        <w:ind w:firstLine="560" w:firstLineChars="200"/>
        <w:rPr>
          <w:rFonts w:hint="eastAsia" w:ascii="微软雅黑" w:hAnsi="微软雅黑" w:eastAsia="微软雅黑" w:cs="微软雅黑"/>
          <w:color w:val="000000"/>
          <w:kern w:val="2"/>
          <w:sz w:val="28"/>
          <w:szCs w:val="28"/>
          <w:highlight w:val="none"/>
          <w:lang w:val="en-US" w:eastAsia="zh-CN" w:bidi="ar-SA"/>
        </w:rPr>
      </w:pPr>
      <w:r>
        <w:rPr>
          <w:rFonts w:hint="eastAsia" w:ascii="微软雅黑" w:hAnsi="微软雅黑" w:eastAsia="微软雅黑" w:cs="微软雅黑"/>
          <w:b/>
          <w:bCs/>
          <w:kern w:val="0"/>
          <w:sz w:val="28"/>
          <w:szCs w:val="28"/>
          <w:highlight w:val="none"/>
          <w:lang w:val="en-US" w:eastAsia="zh-CN" w:bidi="ar-SA"/>
        </w:rPr>
        <w:t>二、采购总预算：</w:t>
      </w:r>
      <w:r>
        <w:rPr>
          <w:rFonts w:hint="eastAsia" w:ascii="微软雅黑" w:hAnsi="微软雅黑" w:eastAsia="微软雅黑" w:cs="微软雅黑"/>
          <w:color w:val="000000"/>
          <w:kern w:val="2"/>
          <w:sz w:val="28"/>
          <w:szCs w:val="28"/>
          <w:highlight w:val="none"/>
          <w:lang w:val="en-US" w:eastAsia="zh-CN" w:bidi="ar-SA"/>
        </w:rPr>
        <w:t>37.96万元</w:t>
      </w:r>
    </w:p>
    <w:p w14:paraId="7FF83E2B">
      <w:pPr>
        <w:spacing w:line="600" w:lineRule="exact"/>
        <w:ind w:firstLine="560" w:firstLineChars="200"/>
        <w:rPr>
          <w:rFonts w:hint="eastAsia" w:ascii="微软雅黑" w:hAnsi="微软雅黑" w:eastAsia="微软雅黑" w:cs="微软雅黑"/>
          <w:color w:val="000000"/>
          <w:kern w:val="2"/>
          <w:sz w:val="28"/>
          <w:szCs w:val="28"/>
          <w:highlight w:val="none"/>
          <w:lang w:val="en-US" w:eastAsia="zh-CN" w:bidi="ar-SA"/>
        </w:rPr>
      </w:pPr>
      <w:r>
        <w:rPr>
          <w:rFonts w:hint="eastAsia" w:ascii="微软雅黑" w:hAnsi="微软雅黑" w:eastAsia="微软雅黑" w:cs="微软雅黑"/>
          <w:b/>
          <w:bCs/>
          <w:kern w:val="0"/>
          <w:sz w:val="28"/>
          <w:szCs w:val="28"/>
          <w:highlight w:val="none"/>
          <w:lang w:val="en-US" w:eastAsia="zh-CN" w:bidi="ar-SA"/>
        </w:rPr>
        <w:t>三、采购内容：</w:t>
      </w:r>
      <w:r>
        <w:rPr>
          <w:rFonts w:hint="eastAsia" w:ascii="微软雅黑" w:hAnsi="微软雅黑" w:eastAsia="微软雅黑" w:cs="微软雅黑"/>
          <w:color w:val="000000"/>
          <w:kern w:val="2"/>
          <w:sz w:val="28"/>
          <w:szCs w:val="28"/>
          <w:highlight w:val="none"/>
          <w:lang w:val="en-US" w:eastAsia="zh-CN" w:bidi="ar-SA"/>
        </w:rPr>
        <w:t>购买社会救助服务性项目</w:t>
      </w:r>
    </w:p>
    <w:p w14:paraId="1E21BD0C">
      <w:pPr>
        <w:spacing w:line="600" w:lineRule="exact"/>
        <w:ind w:firstLine="560" w:firstLineChars="200"/>
        <w:rPr>
          <w:rFonts w:hint="eastAsia" w:ascii="微软雅黑" w:hAnsi="微软雅黑" w:eastAsia="微软雅黑" w:cs="微软雅黑"/>
          <w:b/>
          <w:bCs/>
          <w:color w:val="auto"/>
          <w:kern w:val="2"/>
          <w:sz w:val="28"/>
          <w:szCs w:val="28"/>
          <w:highlight w:val="none"/>
          <w:lang w:val="en-US" w:eastAsia="zh-CN" w:bidi="ar-SA"/>
        </w:rPr>
      </w:pPr>
      <w:r>
        <w:rPr>
          <w:rFonts w:hint="eastAsia" w:ascii="微软雅黑" w:hAnsi="微软雅黑" w:eastAsia="微软雅黑" w:cs="微软雅黑"/>
          <w:b/>
          <w:bCs/>
          <w:color w:val="auto"/>
          <w:kern w:val="2"/>
          <w:sz w:val="28"/>
          <w:szCs w:val="28"/>
          <w:highlight w:val="none"/>
          <w:lang w:val="en-US" w:eastAsia="zh-CN" w:bidi="ar-SA"/>
        </w:rPr>
        <w:t>四、服务需求：</w:t>
      </w:r>
    </w:p>
    <w:p w14:paraId="6169FEA4">
      <w:pPr>
        <w:pStyle w:val="51"/>
        <w:keepNext w:val="0"/>
        <w:keepLines w:val="0"/>
        <w:pageBreakBefore w:val="0"/>
        <w:numPr>
          <w:ilvl w:val="0"/>
          <w:numId w:val="0"/>
        </w:numPr>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1、</w:t>
      </w:r>
      <w:r>
        <w:rPr>
          <w:rFonts w:hint="eastAsia" w:ascii="微软雅黑" w:hAnsi="微软雅黑" w:eastAsia="微软雅黑" w:cs="微软雅黑"/>
          <w:b/>
          <w:bCs/>
          <w:color w:val="000000"/>
          <w:sz w:val="28"/>
          <w:szCs w:val="28"/>
          <w:highlight w:val="none"/>
          <w:lang w:val="en-US"/>
        </w:rPr>
        <w:t>服务总体要求</w:t>
      </w:r>
      <w:r>
        <w:rPr>
          <w:rFonts w:hint="eastAsia" w:ascii="微软雅黑" w:hAnsi="微软雅黑" w:eastAsia="微软雅黑" w:cs="微软雅黑"/>
          <w:b/>
          <w:bCs/>
          <w:color w:val="000000"/>
          <w:sz w:val="28"/>
          <w:szCs w:val="28"/>
          <w:highlight w:val="none"/>
          <w:lang w:val="en-US" w:eastAsia="zh-CN"/>
        </w:rPr>
        <w:t>：</w:t>
      </w:r>
      <w:r>
        <w:rPr>
          <w:rFonts w:hint="eastAsia" w:ascii="微软雅黑" w:hAnsi="微软雅黑" w:eastAsia="微软雅黑" w:cs="微软雅黑"/>
          <w:color w:val="000000"/>
          <w:sz w:val="28"/>
          <w:szCs w:val="28"/>
          <w:highlight w:val="none"/>
          <w:lang w:val="en-US"/>
        </w:rPr>
        <w:t>服务具体工作：</w:t>
      </w:r>
      <w:r>
        <w:rPr>
          <w:rFonts w:hint="eastAsia" w:ascii="微软雅黑" w:hAnsi="微软雅黑" w:eastAsia="微软雅黑" w:cs="微软雅黑"/>
          <w:color w:val="000000"/>
          <w:sz w:val="28"/>
          <w:szCs w:val="28"/>
          <w:highlight w:val="none"/>
          <w:lang w:val="en-US" w:eastAsia="zh-CN"/>
        </w:rPr>
        <w:t>为我县城乡散居特困供养人员、孤儿等困境儿童、生活无着的流浪乞讨人员提供救助服务、社会融入、心理疏导、社会关爱、精神慰藉等社会工作服务，协助政府部门为救助对象提供基本生活保障服务。</w:t>
      </w:r>
    </w:p>
    <w:p w14:paraId="0CA9D39C">
      <w:pPr>
        <w:pStyle w:val="51"/>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微软雅黑" w:hAnsi="微软雅黑" w:eastAsia="微软雅黑" w:cs="微软雅黑"/>
          <w:color w:val="000000"/>
          <w:sz w:val="28"/>
          <w:szCs w:val="28"/>
          <w:highlight w:val="none"/>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6580"/>
      </w:tblGrid>
      <w:tr w14:paraId="6BBB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527CE909">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1.生活状况评估</w:t>
            </w:r>
          </w:p>
        </w:tc>
        <w:tc>
          <w:tcPr>
            <w:tcW w:w="6580" w:type="dxa"/>
          </w:tcPr>
          <w:p w14:paraId="0E8BE544">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实现全覆盖探访我县各乡镇分散特困供养人员、孤儿等困境儿童及生活无着的流浪乞讨人员，建立工作台账，对其开展专业评估，精准分析困境人群在家庭照护、心理情绪、社会融入等方面面临的突出问题，为问题突出的人员制定关爱帮扶方案，实行一人一档、动态更新。</w:t>
            </w:r>
          </w:p>
        </w:tc>
      </w:tr>
      <w:tr w14:paraId="000C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5E0CAB2C">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2.关爱服务</w:t>
            </w:r>
          </w:p>
        </w:tc>
        <w:tc>
          <w:tcPr>
            <w:tcW w:w="6580" w:type="dxa"/>
          </w:tcPr>
          <w:p w14:paraId="6F670A58">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采取“集中辅导+个案干预”相结合的方式，对散居特困、孤儿等困境人员开展心理疏导、社会融入、法治宣传、自我保护、能力提升等关爱服务。帮助其抚慰消极和敌对情绪、缓解心理压力、矫正不良行为、改变负面看法，建立积极乐观上进的心态。引导其积极参加社会活动，逐步增强其使用社会公共资源、享受社会公共服务的意识，提升自信心，更好的适应社会环境。</w:t>
            </w:r>
          </w:p>
        </w:tc>
      </w:tr>
      <w:tr w14:paraId="2F87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681D396E">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3.资源链接</w:t>
            </w:r>
          </w:p>
        </w:tc>
        <w:tc>
          <w:tcPr>
            <w:tcW w:w="6580" w:type="dxa"/>
          </w:tcPr>
          <w:p w14:paraId="15945563">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积极链接志愿者、爱心企业、社会团体等各类社会慈善资源，通过有效的资源整合和链接服务，帮助散居特困、孤儿等困境人员获得必要的社会支持，提升生活质量，最终实现个人和家庭的可持续发展。</w:t>
            </w:r>
          </w:p>
        </w:tc>
      </w:tr>
      <w:tr w14:paraId="73C1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0E7B08A2">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4.特殊人员个案帮扶</w:t>
            </w:r>
          </w:p>
        </w:tc>
        <w:tc>
          <w:tcPr>
            <w:tcW w:w="6580" w:type="dxa"/>
          </w:tcPr>
          <w:p w14:paraId="4664FD85">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对于面临各种社会、经济、心理或健康方面的困难人员，开展一对一的个案帮扶工作，充分挖掘服务对象个人潜能，制定专业帮扶计划，帮助服务对象解决问题，增强社会支持网络，提升能力，并融入社会，促进其生活质量的改善和社会的和谐发展。</w:t>
            </w:r>
          </w:p>
        </w:tc>
      </w:tr>
      <w:tr w14:paraId="22F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37894B43">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5.社会工作者能力提升培训</w:t>
            </w:r>
          </w:p>
        </w:tc>
        <w:tc>
          <w:tcPr>
            <w:tcW w:w="6580" w:type="dxa"/>
          </w:tcPr>
          <w:p w14:paraId="06F37F18">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对项目人员开展业务技能培训，培养其参与困境老人、儿童支持服务工作的专业能力，持续提升其专业水平和能力，提升项目服务的质量和成效。</w:t>
            </w:r>
          </w:p>
        </w:tc>
      </w:tr>
      <w:tr w14:paraId="1C5F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7E7A096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sz w:val="28"/>
                <w:szCs w:val="28"/>
                <w:highlight w:val="none"/>
                <w:lang w:val="en-US" w:eastAsia="zh-CN"/>
              </w:rPr>
            </w:pPr>
          </w:p>
        </w:tc>
        <w:tc>
          <w:tcPr>
            <w:tcW w:w="6580" w:type="dxa"/>
          </w:tcPr>
          <w:p w14:paraId="05271FC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000000"/>
                <w:sz w:val="28"/>
                <w:szCs w:val="28"/>
                <w:highlight w:val="none"/>
                <w:lang w:val="en-US" w:eastAsia="zh-CN"/>
              </w:rPr>
            </w:pPr>
          </w:p>
        </w:tc>
      </w:tr>
    </w:tbl>
    <w:p w14:paraId="5722C118">
      <w:pPr>
        <w:pStyle w:val="51"/>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b/>
          <w:bCs/>
          <w:color w:val="000000"/>
          <w:kern w:val="2"/>
          <w:sz w:val="28"/>
          <w:szCs w:val="28"/>
          <w:highlight w:val="none"/>
          <w:lang w:val="en-US" w:eastAsia="zh-CN" w:bidi="ar-SA"/>
        </w:rPr>
      </w:pPr>
    </w:p>
    <w:p w14:paraId="6F5EFAAD">
      <w:pPr>
        <w:pStyle w:val="51"/>
        <w:keepNext w:val="0"/>
        <w:keepLines w:val="0"/>
        <w:pageBreakBefore w:val="0"/>
        <w:numPr>
          <w:ilvl w:val="0"/>
          <w:numId w:val="0"/>
        </w:numPr>
        <w:kinsoku/>
        <w:wordWrap/>
        <w:overflowPunct/>
        <w:topLinePunct w:val="0"/>
        <w:autoSpaceDE/>
        <w:autoSpaceDN/>
        <w:bidi w:val="0"/>
        <w:adjustRightInd/>
        <w:snapToGrid/>
        <w:spacing w:line="560" w:lineRule="exact"/>
        <w:ind w:left="0" w:firstLine="560" w:firstLineChars="200"/>
        <w:jc w:val="both"/>
        <w:textAlignment w:val="auto"/>
        <w:rPr>
          <w:rFonts w:hint="eastAsia" w:ascii="微软雅黑" w:hAnsi="微软雅黑" w:eastAsia="微软雅黑" w:cs="微软雅黑"/>
          <w:b/>
          <w:bCs/>
          <w:color w:val="000000"/>
          <w:kern w:val="2"/>
          <w:sz w:val="28"/>
          <w:szCs w:val="28"/>
          <w:highlight w:val="none"/>
          <w:lang w:val="en-US" w:eastAsia="zh-CN" w:bidi="ar-SA"/>
        </w:rPr>
      </w:pPr>
      <w:r>
        <w:rPr>
          <w:rFonts w:hint="eastAsia" w:ascii="微软雅黑" w:hAnsi="微软雅黑" w:eastAsia="微软雅黑" w:cs="微软雅黑"/>
          <w:b/>
          <w:bCs/>
          <w:color w:val="000000"/>
          <w:kern w:val="2"/>
          <w:sz w:val="28"/>
          <w:szCs w:val="28"/>
          <w:highlight w:val="none"/>
          <w:lang w:val="en-US" w:eastAsia="zh-CN" w:bidi="ar-SA"/>
        </w:rPr>
        <w:t>2、服务人员要求</w:t>
      </w:r>
    </w:p>
    <w:p w14:paraId="29CD097F">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2.1</w:t>
      </w:r>
      <w:r>
        <w:rPr>
          <w:rFonts w:hint="eastAsia" w:ascii="微软雅黑" w:hAnsi="微软雅黑" w:eastAsia="微软雅黑" w:cs="微软雅黑"/>
          <w:color w:val="000000"/>
          <w:sz w:val="28"/>
          <w:szCs w:val="28"/>
          <w:highlight w:val="none"/>
        </w:rPr>
        <w:t>应保证所有服务人员身体健康、无传染性疾病</w:t>
      </w:r>
      <w:r>
        <w:rPr>
          <w:rFonts w:hint="eastAsia" w:ascii="微软雅黑" w:hAnsi="微软雅黑" w:eastAsia="微软雅黑" w:cs="微软雅黑"/>
          <w:color w:val="000000"/>
          <w:sz w:val="28"/>
          <w:szCs w:val="28"/>
          <w:highlight w:val="none"/>
          <w:lang w:eastAsia="zh-CN"/>
        </w:rPr>
        <w:t>、</w:t>
      </w:r>
      <w:r>
        <w:rPr>
          <w:rFonts w:hint="eastAsia" w:ascii="微软雅黑" w:hAnsi="微软雅黑" w:eastAsia="微软雅黑" w:cs="微软雅黑"/>
          <w:color w:val="000000"/>
          <w:sz w:val="28"/>
          <w:szCs w:val="28"/>
          <w:highlight w:val="none"/>
        </w:rPr>
        <w:t>无心理及精神性疾病</w:t>
      </w:r>
      <w:r>
        <w:rPr>
          <w:rFonts w:hint="eastAsia" w:ascii="微软雅黑" w:hAnsi="微软雅黑" w:eastAsia="微软雅黑" w:cs="微软雅黑"/>
          <w:color w:val="000000"/>
          <w:sz w:val="28"/>
          <w:szCs w:val="28"/>
          <w:highlight w:val="none"/>
          <w:lang w:eastAsia="zh-CN"/>
        </w:rPr>
        <w:t>、</w:t>
      </w:r>
      <w:r>
        <w:rPr>
          <w:rFonts w:hint="eastAsia" w:ascii="微软雅黑" w:hAnsi="微软雅黑" w:eastAsia="微软雅黑" w:cs="微软雅黑"/>
          <w:color w:val="000000"/>
          <w:sz w:val="28"/>
          <w:szCs w:val="28"/>
          <w:highlight w:val="none"/>
          <w:lang w:val="en-US"/>
        </w:rPr>
        <w:t>无不良嗜好、仪表端庄</w:t>
      </w:r>
      <w:r>
        <w:rPr>
          <w:rFonts w:hint="eastAsia" w:ascii="微软雅黑" w:hAnsi="微软雅黑" w:eastAsia="微软雅黑" w:cs="微软雅黑"/>
          <w:color w:val="000000"/>
          <w:sz w:val="28"/>
          <w:szCs w:val="28"/>
          <w:highlight w:val="none"/>
          <w:lang w:val="en-US" w:eastAsia="zh-CN"/>
        </w:rPr>
        <w:t>大方</w:t>
      </w:r>
      <w:r>
        <w:rPr>
          <w:rFonts w:hint="eastAsia" w:ascii="微软雅黑" w:hAnsi="微软雅黑" w:eastAsia="微软雅黑" w:cs="微软雅黑"/>
          <w:color w:val="000000"/>
          <w:sz w:val="28"/>
          <w:szCs w:val="28"/>
          <w:highlight w:val="none"/>
        </w:rPr>
        <w:t>。</w:t>
      </w:r>
    </w:p>
    <w:p w14:paraId="5BE43C37">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u w:val="none"/>
          <w:lang w:val="en-US" w:eastAsia="zh-CN"/>
        </w:rPr>
      </w:pPr>
      <w:r>
        <w:rPr>
          <w:rFonts w:hint="eastAsia" w:ascii="微软雅黑" w:hAnsi="微软雅黑" w:eastAsia="微软雅黑" w:cs="微软雅黑"/>
          <w:color w:val="000000"/>
          <w:sz w:val="28"/>
          <w:szCs w:val="28"/>
          <w:highlight w:val="none"/>
          <w:lang w:val="en-US" w:eastAsia="zh-CN"/>
        </w:rPr>
        <w:t>2</w:t>
      </w:r>
      <w:r>
        <w:rPr>
          <w:rFonts w:hint="eastAsia" w:ascii="微软雅黑" w:hAnsi="微软雅黑" w:eastAsia="微软雅黑" w:cs="微软雅黑"/>
          <w:color w:val="000000"/>
          <w:sz w:val="28"/>
          <w:szCs w:val="28"/>
          <w:highlight w:val="none"/>
        </w:rPr>
        <w:t>.2</w:t>
      </w:r>
      <w:r>
        <w:rPr>
          <w:rFonts w:hint="eastAsia" w:ascii="微软雅黑" w:hAnsi="微软雅黑" w:eastAsia="微软雅黑" w:cs="微软雅黑"/>
          <w:color w:val="000000"/>
          <w:sz w:val="28"/>
          <w:szCs w:val="28"/>
          <w:highlight w:val="none"/>
          <w:lang w:val="en-US" w:eastAsia="zh-CN"/>
        </w:rPr>
        <w:t>服务人员有为民服务意识，大专</w:t>
      </w:r>
      <w:r>
        <w:rPr>
          <w:rFonts w:hint="eastAsia" w:ascii="微软雅黑" w:hAnsi="微软雅黑" w:eastAsia="微软雅黑" w:cs="微软雅黑"/>
          <w:color w:val="000000"/>
          <w:sz w:val="28"/>
          <w:szCs w:val="28"/>
          <w:highlight w:val="none"/>
          <w:lang w:val="en-US"/>
        </w:rPr>
        <w:t>及以上学历</w:t>
      </w:r>
      <w:r>
        <w:rPr>
          <w:rFonts w:hint="eastAsia" w:ascii="微软雅黑" w:hAnsi="微软雅黑" w:eastAsia="微软雅黑" w:cs="微软雅黑"/>
          <w:color w:val="000000"/>
          <w:sz w:val="28"/>
          <w:szCs w:val="28"/>
          <w:highlight w:val="none"/>
          <w:lang w:val="en-US" w:eastAsia="zh-CN"/>
        </w:rPr>
        <w:t>，持有社会工作职业资格证书（或社会工作专业）人员不少于3人</w:t>
      </w:r>
      <w:r>
        <w:rPr>
          <w:rFonts w:hint="eastAsia" w:ascii="微软雅黑" w:hAnsi="微软雅黑" w:eastAsia="微软雅黑" w:cs="微软雅黑"/>
          <w:color w:val="000000"/>
          <w:sz w:val="28"/>
          <w:szCs w:val="28"/>
          <w:highlight w:val="none"/>
          <w:lang w:val="en-US"/>
        </w:rPr>
        <w:t>；有</w:t>
      </w:r>
      <w:r>
        <w:rPr>
          <w:rFonts w:hint="eastAsia" w:ascii="微软雅黑" w:hAnsi="微软雅黑" w:eastAsia="微软雅黑" w:cs="微软雅黑"/>
          <w:color w:val="000000"/>
          <w:sz w:val="28"/>
          <w:szCs w:val="28"/>
          <w:highlight w:val="none"/>
          <w:lang w:val="en-US" w:eastAsia="zh-CN"/>
        </w:rPr>
        <w:t>从事老年人及儿童领域服务的人员优先</w:t>
      </w:r>
      <w:r>
        <w:rPr>
          <w:rFonts w:hint="eastAsia" w:ascii="微软雅黑" w:hAnsi="微软雅黑" w:eastAsia="微软雅黑" w:cs="微软雅黑"/>
          <w:color w:val="000000"/>
          <w:sz w:val="28"/>
          <w:szCs w:val="28"/>
          <w:highlight w:val="none"/>
          <w:lang w:val="en-US"/>
        </w:rPr>
        <w:t>。</w:t>
      </w:r>
    </w:p>
    <w:p w14:paraId="1DC4035F">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2.3服</w:t>
      </w:r>
      <w:r>
        <w:rPr>
          <w:rFonts w:hint="eastAsia" w:ascii="微软雅黑" w:hAnsi="微软雅黑" w:eastAsia="微软雅黑" w:cs="微软雅黑"/>
          <w:color w:val="000000"/>
          <w:sz w:val="28"/>
          <w:szCs w:val="28"/>
          <w:highlight w:val="none"/>
          <w:lang w:val="en-US"/>
        </w:rPr>
        <w:t>务人员必须能够用国家通用语言正常交流</w:t>
      </w:r>
      <w:r>
        <w:rPr>
          <w:rFonts w:hint="eastAsia" w:ascii="微软雅黑" w:hAnsi="微软雅黑" w:eastAsia="微软雅黑" w:cs="微软雅黑"/>
          <w:color w:val="000000"/>
          <w:sz w:val="28"/>
          <w:szCs w:val="28"/>
          <w:highlight w:val="none"/>
          <w:lang w:val="en-US" w:eastAsia="zh-CN"/>
        </w:rPr>
        <w:t>及懂基本电脑操作。</w:t>
      </w:r>
    </w:p>
    <w:p w14:paraId="72B0114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b/>
          <w:color w:val="000000"/>
          <w:sz w:val="28"/>
          <w:szCs w:val="28"/>
          <w:highlight w:val="none"/>
        </w:rPr>
      </w:pPr>
      <w:r>
        <w:rPr>
          <w:rFonts w:hint="eastAsia" w:ascii="微软雅黑" w:hAnsi="微软雅黑" w:eastAsia="微软雅黑" w:cs="微软雅黑"/>
          <w:b/>
          <w:color w:val="000000"/>
          <w:sz w:val="28"/>
          <w:szCs w:val="28"/>
          <w:highlight w:val="none"/>
          <w:lang w:val="en-US" w:eastAsia="zh-CN"/>
        </w:rPr>
        <w:t>3、</w:t>
      </w:r>
      <w:r>
        <w:rPr>
          <w:rFonts w:hint="eastAsia" w:ascii="微软雅黑" w:hAnsi="微软雅黑" w:eastAsia="微软雅黑" w:cs="微软雅黑"/>
          <w:b/>
          <w:color w:val="000000"/>
          <w:sz w:val="28"/>
          <w:szCs w:val="28"/>
          <w:highlight w:val="none"/>
        </w:rPr>
        <w:t>服务</w:t>
      </w:r>
      <w:r>
        <w:rPr>
          <w:rFonts w:hint="eastAsia" w:ascii="微软雅黑" w:hAnsi="微软雅黑" w:eastAsia="微软雅黑" w:cs="微软雅黑"/>
          <w:b/>
          <w:color w:val="000000"/>
          <w:sz w:val="28"/>
          <w:szCs w:val="28"/>
          <w:highlight w:val="none"/>
          <w:lang w:eastAsia="zh-CN"/>
        </w:rPr>
        <w:t>对象及</w:t>
      </w:r>
      <w:r>
        <w:rPr>
          <w:rFonts w:hint="eastAsia" w:ascii="微软雅黑" w:hAnsi="微软雅黑" w:eastAsia="微软雅黑" w:cs="微软雅黑"/>
          <w:b/>
          <w:color w:val="000000"/>
          <w:sz w:val="28"/>
          <w:szCs w:val="28"/>
          <w:highlight w:val="none"/>
        </w:rPr>
        <w:t>指标：</w:t>
      </w:r>
    </w:p>
    <w:p w14:paraId="20CE16C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服务对象：城乡散居特困供养人员、孤儿等困境儿童，生活无着落的流浪乞讨人员。</w:t>
      </w:r>
    </w:p>
    <w:p w14:paraId="478C9B0B">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w:t>
      </w:r>
      <w:r>
        <w:rPr>
          <w:rFonts w:hint="eastAsia" w:ascii="微软雅黑" w:hAnsi="微软雅黑" w:eastAsia="微软雅黑" w:cs="微软雅黑"/>
          <w:color w:val="000000"/>
          <w:sz w:val="28"/>
          <w:szCs w:val="28"/>
          <w:highlight w:val="none"/>
        </w:rPr>
        <w:t>1</w:t>
      </w:r>
      <w:r>
        <w:rPr>
          <w:rFonts w:hint="eastAsia" w:ascii="微软雅黑" w:hAnsi="微软雅黑" w:eastAsia="微软雅黑" w:cs="微软雅黑"/>
          <w:color w:val="000000"/>
          <w:sz w:val="28"/>
          <w:szCs w:val="28"/>
          <w:highlight w:val="none"/>
          <w:lang w:val="en-US" w:eastAsia="zh-CN"/>
        </w:rPr>
        <w:t>服务</w:t>
      </w:r>
      <w:r>
        <w:rPr>
          <w:rFonts w:hint="eastAsia" w:ascii="微软雅黑" w:hAnsi="微软雅黑" w:eastAsia="微软雅黑" w:cs="微软雅黑"/>
          <w:color w:val="000000"/>
          <w:sz w:val="28"/>
          <w:szCs w:val="28"/>
          <w:highlight w:val="none"/>
        </w:rPr>
        <w:t>基本原则：</w:t>
      </w:r>
      <w:r>
        <w:rPr>
          <w:rFonts w:hint="eastAsia" w:ascii="微软雅黑" w:hAnsi="微软雅黑" w:eastAsia="微软雅黑" w:cs="微软雅黑"/>
          <w:color w:val="000000"/>
          <w:sz w:val="28"/>
          <w:szCs w:val="28"/>
          <w:highlight w:val="none"/>
          <w:lang w:val="en-US" w:eastAsia="zh-CN"/>
        </w:rPr>
        <w:t>为我县城乡散居特困供养人员、孤儿等困境儿童、生活无着的流浪乞讨人员提供救助服务、社会融入、心理疏导、社会关爱、精神慰藉等社会工作服务，协助政府部门为救助对象提供基本生活保障服务，促进服务对象挖掘自身潜能、贡献社会。</w:t>
      </w:r>
    </w:p>
    <w:p w14:paraId="7D3DF88B">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3.2为服务对象开展社会融入、心理疏导不少于1100人次。</w:t>
      </w:r>
    </w:p>
    <w:p w14:paraId="1A04B96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3.3为特殊困难对象提供专业个案服务不少于20人次。</w:t>
      </w:r>
    </w:p>
    <w:p w14:paraId="51C8B76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3.4项目周期内为困难服务对象提供资源链接不少于5000元。</w:t>
      </w:r>
    </w:p>
    <w:p w14:paraId="48E9129F">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3.5为服务对象开展需求评估，以需求为导向开展政策宣传、爱国教育、心理疏导等各类老人及儿童关爱服务不少于60场次。</w:t>
      </w:r>
    </w:p>
    <w:p w14:paraId="12331CD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3.6提升项目服务成效，开展项目人员能力提升培训不少于2场次。</w:t>
      </w:r>
    </w:p>
    <w:p w14:paraId="3D8DA292">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b/>
          <w:color w:val="000000"/>
          <w:sz w:val="28"/>
          <w:szCs w:val="28"/>
          <w:highlight w:val="none"/>
        </w:rPr>
      </w:pPr>
      <w:r>
        <w:rPr>
          <w:rFonts w:hint="eastAsia" w:ascii="微软雅黑" w:hAnsi="微软雅黑" w:eastAsia="微软雅黑" w:cs="微软雅黑"/>
          <w:b/>
          <w:color w:val="000000"/>
          <w:sz w:val="28"/>
          <w:szCs w:val="28"/>
          <w:highlight w:val="none"/>
          <w:lang w:val="en-US" w:eastAsia="zh-CN"/>
        </w:rPr>
        <w:t>4</w:t>
      </w:r>
      <w:r>
        <w:rPr>
          <w:rFonts w:hint="eastAsia" w:ascii="微软雅黑" w:hAnsi="微软雅黑" w:eastAsia="微软雅黑" w:cs="微软雅黑"/>
          <w:b/>
          <w:color w:val="000000"/>
          <w:sz w:val="28"/>
          <w:szCs w:val="28"/>
          <w:highlight w:val="none"/>
        </w:rPr>
        <w:t>、</w:t>
      </w:r>
      <w:r>
        <w:rPr>
          <w:rFonts w:hint="eastAsia" w:ascii="微软雅黑" w:hAnsi="微软雅黑" w:eastAsia="微软雅黑" w:cs="微软雅黑"/>
          <w:b/>
          <w:color w:val="000000"/>
          <w:sz w:val="28"/>
          <w:szCs w:val="28"/>
          <w:highlight w:val="none"/>
          <w:lang w:val="en-US" w:eastAsia="zh-CN"/>
        </w:rPr>
        <w:t>服务监督</w:t>
      </w:r>
      <w:r>
        <w:rPr>
          <w:rFonts w:hint="eastAsia" w:ascii="微软雅黑" w:hAnsi="微软雅黑" w:eastAsia="微软雅黑" w:cs="微软雅黑"/>
          <w:b/>
          <w:color w:val="000000"/>
          <w:sz w:val="28"/>
          <w:szCs w:val="28"/>
          <w:highlight w:val="none"/>
        </w:rPr>
        <w:t>：</w:t>
      </w:r>
    </w:p>
    <w:p w14:paraId="6D155146">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4.1</w:t>
      </w:r>
      <w:r>
        <w:rPr>
          <w:rFonts w:hint="eastAsia" w:ascii="微软雅黑" w:hAnsi="微软雅黑" w:eastAsia="微软雅黑" w:cs="微软雅黑"/>
          <w:color w:val="000000"/>
          <w:sz w:val="28"/>
          <w:szCs w:val="28"/>
          <w:highlight w:val="none"/>
        </w:rPr>
        <w:t>服务有效投诉少于1%，处理率 100%；</w:t>
      </w:r>
    </w:p>
    <w:p w14:paraId="0FA9AA60">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4.2</w:t>
      </w:r>
      <w:r>
        <w:rPr>
          <w:rFonts w:hint="eastAsia" w:ascii="微软雅黑" w:hAnsi="微软雅黑" w:eastAsia="微软雅黑" w:cs="微软雅黑"/>
          <w:color w:val="000000"/>
          <w:sz w:val="28"/>
          <w:szCs w:val="28"/>
          <w:highlight w:val="none"/>
        </w:rPr>
        <w:t>甲方定期或不定期地对乙方管理服务进行检查，并对检测出来的问题作出书面通知限期整改；对于整改不到位的督促再次整改。</w:t>
      </w:r>
    </w:p>
    <w:p w14:paraId="2C521CC9">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4</w:t>
      </w:r>
      <w:r>
        <w:rPr>
          <w:rFonts w:hint="eastAsia" w:ascii="微软雅黑" w:hAnsi="微软雅黑" w:eastAsia="微软雅黑" w:cs="微软雅黑"/>
          <w:color w:val="000000"/>
          <w:sz w:val="28"/>
          <w:szCs w:val="28"/>
          <w:highlight w:val="none"/>
          <w:lang w:val="en-US" w:eastAsia="zh-CN"/>
        </w:rPr>
        <w:t>.3</w:t>
      </w:r>
      <w:r>
        <w:rPr>
          <w:rFonts w:hint="eastAsia" w:ascii="微软雅黑" w:hAnsi="微软雅黑" w:eastAsia="微软雅黑" w:cs="微软雅黑"/>
          <w:color w:val="000000"/>
          <w:sz w:val="28"/>
          <w:szCs w:val="28"/>
          <w:highlight w:val="none"/>
        </w:rPr>
        <w:t>乙方接受甲方委派的第三方评估工作（乙方需要全程配合）。</w:t>
      </w:r>
    </w:p>
    <w:p w14:paraId="6D80695C">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4.4</w:t>
      </w:r>
      <w:r>
        <w:rPr>
          <w:rFonts w:hint="eastAsia" w:ascii="微软雅黑" w:hAnsi="微软雅黑" w:eastAsia="微软雅黑" w:cs="微软雅黑"/>
          <w:color w:val="000000"/>
          <w:sz w:val="28"/>
          <w:szCs w:val="28"/>
          <w:highlight w:val="none"/>
        </w:rPr>
        <w:t>在服务过程中杜绝任何刑事、民事案件发生。</w:t>
      </w:r>
    </w:p>
    <w:p w14:paraId="3F2709EF">
      <w:pPr>
        <w:keepNext w:val="0"/>
        <w:keepLines w:val="0"/>
        <w:pageBreakBefore w:val="0"/>
        <w:widowControl/>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kern w:val="2"/>
          <w:sz w:val="28"/>
          <w:szCs w:val="28"/>
          <w:highlight w:val="none"/>
          <w:lang w:val="en-US" w:eastAsia="zh-CN" w:bidi="ar-SA"/>
        </w:rPr>
      </w:pPr>
      <w:r>
        <w:rPr>
          <w:rFonts w:hint="eastAsia" w:ascii="微软雅黑" w:hAnsi="微软雅黑" w:eastAsia="微软雅黑" w:cs="微软雅黑"/>
          <w:b/>
          <w:color w:val="000000"/>
          <w:sz w:val="28"/>
          <w:szCs w:val="28"/>
          <w:highlight w:val="none"/>
          <w:lang w:val="en-US" w:eastAsia="zh-CN"/>
        </w:rPr>
        <w:t>6</w:t>
      </w:r>
      <w:r>
        <w:rPr>
          <w:rFonts w:hint="eastAsia" w:ascii="微软雅黑" w:hAnsi="微软雅黑" w:eastAsia="微软雅黑" w:cs="微软雅黑"/>
          <w:b/>
          <w:color w:val="000000"/>
          <w:sz w:val="28"/>
          <w:szCs w:val="28"/>
          <w:highlight w:val="none"/>
          <w:lang w:eastAsia="zh-CN"/>
        </w:rPr>
        <w:t>、</w:t>
      </w:r>
      <w:r>
        <w:rPr>
          <w:rFonts w:hint="eastAsia" w:ascii="微软雅黑" w:hAnsi="微软雅黑" w:eastAsia="微软雅黑" w:cs="微软雅黑"/>
          <w:b/>
          <w:color w:val="000000"/>
          <w:sz w:val="28"/>
          <w:szCs w:val="28"/>
          <w:highlight w:val="none"/>
        </w:rPr>
        <w:t>服务期限：</w:t>
      </w:r>
      <w:r>
        <w:rPr>
          <w:rFonts w:hint="eastAsia" w:ascii="微软雅黑" w:hAnsi="微软雅黑" w:eastAsia="微软雅黑" w:cs="微软雅黑"/>
          <w:color w:val="auto"/>
          <w:kern w:val="2"/>
          <w:sz w:val="28"/>
          <w:szCs w:val="28"/>
          <w:highlight w:val="none"/>
          <w:lang w:val="en-US" w:eastAsia="zh-CN" w:bidi="ar-SA"/>
        </w:rPr>
        <w:t>依据《喀什地区民政部门向社会组织购买服务项目管理暂行办法》喀地民字[2024]3号文件规定，政府购买社会组织服务合同履行期限一般不超过1年，在预算保障的前提下，对于购买内容相对固定、连续性强、经费来源稳定、价格变化幅度小的政府购买社会组织服务项目，在评估合格的前提下，可签订履行期限不超过3年的服务合同。</w:t>
      </w:r>
    </w:p>
    <w:p w14:paraId="3C8D6CF5">
      <w:pPr>
        <w:keepNext w:val="0"/>
        <w:keepLines w:val="0"/>
        <w:pageBreakBefore w:val="0"/>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b/>
          <w:color w:val="000000"/>
          <w:sz w:val="28"/>
          <w:szCs w:val="28"/>
          <w:highlight w:val="none"/>
        </w:rPr>
      </w:pPr>
      <w:r>
        <w:rPr>
          <w:rFonts w:hint="eastAsia" w:ascii="微软雅黑" w:hAnsi="微软雅黑" w:eastAsia="微软雅黑" w:cs="微软雅黑"/>
          <w:b/>
          <w:color w:val="000000"/>
          <w:sz w:val="28"/>
          <w:szCs w:val="28"/>
          <w:highlight w:val="none"/>
          <w:lang w:val="en-US" w:eastAsia="zh-CN"/>
        </w:rPr>
        <w:t>7</w:t>
      </w:r>
      <w:r>
        <w:rPr>
          <w:rFonts w:hint="eastAsia" w:ascii="微软雅黑" w:hAnsi="微软雅黑" w:eastAsia="微软雅黑" w:cs="微软雅黑"/>
          <w:b/>
          <w:color w:val="000000"/>
          <w:sz w:val="28"/>
          <w:szCs w:val="28"/>
          <w:highlight w:val="none"/>
          <w:lang w:eastAsia="zh-CN"/>
        </w:rPr>
        <w:t>、</w:t>
      </w:r>
      <w:r>
        <w:rPr>
          <w:rFonts w:hint="eastAsia" w:ascii="微软雅黑" w:hAnsi="微软雅黑" w:eastAsia="微软雅黑" w:cs="微软雅黑"/>
          <w:b/>
          <w:color w:val="000000"/>
          <w:sz w:val="28"/>
          <w:szCs w:val="28"/>
          <w:highlight w:val="none"/>
        </w:rPr>
        <w:t>付款要求及方式：</w:t>
      </w:r>
    </w:p>
    <w:p w14:paraId="21EA10BE">
      <w:pPr>
        <w:pStyle w:val="9"/>
        <w:keepNext w:val="0"/>
        <w:keepLines w:val="0"/>
        <w:pageBreakBefore w:val="0"/>
        <w:widowControl/>
        <w:kinsoku/>
        <w:wordWrap/>
        <w:overflowPunct/>
        <w:topLinePunct w:val="0"/>
        <w:autoSpaceDE/>
        <w:autoSpaceDN/>
        <w:bidi w:val="0"/>
        <w:adjustRightInd/>
        <w:snapToGrid/>
        <w:spacing w:line="520" w:lineRule="atLeast"/>
        <w:ind w:left="0" w:right="0" w:firstLine="560" w:firstLineChars="200"/>
        <w:textAlignment w:val="auto"/>
        <w:rPr>
          <w:rFonts w:hint="eastAsia" w:ascii="微软雅黑" w:hAnsi="微软雅黑" w:eastAsia="微软雅黑" w:cs="微软雅黑"/>
          <w:color w:val="auto"/>
          <w:kern w:val="2"/>
          <w:sz w:val="28"/>
          <w:szCs w:val="28"/>
          <w:highlight w:val="none"/>
          <w:lang w:val="en-US" w:eastAsia="zh-CN" w:bidi="ar-SA"/>
        </w:rPr>
      </w:pPr>
      <w:r>
        <w:rPr>
          <w:rFonts w:hint="eastAsia" w:ascii="微软雅黑" w:hAnsi="微软雅黑" w:eastAsia="微软雅黑" w:cs="微软雅黑"/>
          <w:color w:val="auto"/>
          <w:kern w:val="2"/>
          <w:sz w:val="28"/>
          <w:szCs w:val="28"/>
          <w:highlight w:val="none"/>
          <w:lang w:val="en-US" w:eastAsia="zh-CN" w:bidi="ar-SA"/>
        </w:rPr>
        <w:t>(一)首期款支付:合同签订之后七日内，甲方在收到乙方递交的</w:t>
      </w:r>
    </w:p>
    <w:p w14:paraId="6671AB91">
      <w:pPr>
        <w:pStyle w:val="9"/>
        <w:keepNext w:val="0"/>
        <w:keepLines w:val="0"/>
        <w:pageBreakBefore w:val="0"/>
        <w:widowControl/>
        <w:kinsoku/>
        <w:wordWrap/>
        <w:overflowPunct/>
        <w:topLinePunct w:val="0"/>
        <w:autoSpaceDE/>
        <w:autoSpaceDN/>
        <w:bidi w:val="0"/>
        <w:adjustRightInd/>
        <w:snapToGrid/>
        <w:spacing w:line="520" w:lineRule="atLeast"/>
        <w:ind w:left="0" w:right="0" w:firstLine="560" w:firstLineChars="200"/>
        <w:textAlignment w:val="auto"/>
        <w:rPr>
          <w:rFonts w:hint="eastAsia" w:ascii="微软雅黑" w:hAnsi="微软雅黑" w:eastAsia="微软雅黑" w:cs="微软雅黑"/>
          <w:color w:val="auto"/>
          <w:kern w:val="2"/>
          <w:sz w:val="28"/>
          <w:szCs w:val="28"/>
          <w:highlight w:val="none"/>
          <w:lang w:val="en-US" w:eastAsia="zh-CN" w:bidi="ar-SA"/>
        </w:rPr>
      </w:pPr>
      <w:r>
        <w:rPr>
          <w:rFonts w:hint="eastAsia" w:ascii="微软雅黑" w:hAnsi="微软雅黑" w:eastAsia="微软雅黑" w:cs="微软雅黑"/>
          <w:color w:val="auto"/>
          <w:kern w:val="2"/>
          <w:sz w:val="28"/>
          <w:szCs w:val="28"/>
          <w:highlight w:val="none"/>
          <w:lang w:val="en-US" w:eastAsia="zh-CN" w:bidi="ar-SA"/>
        </w:rPr>
        <w:t>项目服务工作方案(正式稿),并在取得乙方开具的符合要求的发票后，支付合同金额</w:t>
      </w:r>
      <w:r>
        <w:rPr>
          <w:rFonts w:hint="eastAsia" w:ascii="微软雅黑" w:hAnsi="微软雅黑" w:eastAsia="微软雅黑" w:cs="微软雅黑"/>
          <w:color w:val="auto"/>
          <w:kern w:val="2"/>
          <w:sz w:val="28"/>
          <w:szCs w:val="28"/>
          <w:highlight w:val="none"/>
          <w:lang w:val="en-US" w:eastAsia="zh-CN" w:bidi="ar-SA"/>
        </w:rPr>
        <w:t>的50%。</w:t>
      </w:r>
    </w:p>
    <w:p w14:paraId="09A7A9E1">
      <w:pPr>
        <w:pStyle w:val="9"/>
        <w:keepNext w:val="0"/>
        <w:keepLines w:val="0"/>
        <w:pageBreakBefore w:val="0"/>
        <w:widowControl/>
        <w:kinsoku/>
        <w:wordWrap/>
        <w:overflowPunct/>
        <w:topLinePunct w:val="0"/>
        <w:autoSpaceDE/>
        <w:autoSpaceDN/>
        <w:bidi w:val="0"/>
        <w:adjustRightInd/>
        <w:snapToGrid/>
        <w:spacing w:line="520" w:lineRule="atLeast"/>
        <w:ind w:left="0" w:right="0" w:firstLine="560" w:firstLineChars="200"/>
        <w:textAlignment w:val="auto"/>
        <w:rPr>
          <w:rFonts w:hint="eastAsia" w:ascii="微软雅黑" w:hAnsi="微软雅黑" w:eastAsia="微软雅黑" w:cs="微软雅黑"/>
          <w:color w:val="auto"/>
          <w:kern w:val="2"/>
          <w:sz w:val="28"/>
          <w:szCs w:val="28"/>
          <w:highlight w:val="none"/>
          <w:lang w:val="en-US" w:eastAsia="zh-CN" w:bidi="ar-SA"/>
        </w:rPr>
      </w:pPr>
      <w:r>
        <w:rPr>
          <w:rFonts w:hint="eastAsia" w:ascii="微软雅黑" w:hAnsi="微软雅黑" w:eastAsia="微软雅黑" w:cs="微软雅黑"/>
          <w:color w:val="auto"/>
          <w:kern w:val="2"/>
          <w:sz w:val="28"/>
          <w:szCs w:val="28"/>
          <w:highlight w:val="none"/>
          <w:lang w:val="en-US" w:eastAsia="zh-CN" w:bidi="ar-SA"/>
        </w:rPr>
        <w:t>(二)二期款支付:项目执行至2025年8月进行中期评估，乙方向甲方提交中期评估报告，甲方在收到乙方递交的评估报告，并在取得乙方开具的符合要求的发票后支付合同金额的30%。</w:t>
      </w:r>
    </w:p>
    <w:p w14:paraId="79983BBF">
      <w:pPr>
        <w:pStyle w:val="9"/>
        <w:keepNext w:val="0"/>
        <w:keepLines w:val="0"/>
        <w:pageBreakBefore w:val="0"/>
        <w:numPr>
          <w:ilvl w:val="0"/>
          <w:numId w:val="5"/>
        </w:numPr>
        <w:tabs>
          <w:tab w:val="clear" w:pos="312"/>
        </w:tabs>
        <w:kinsoku/>
        <w:wordWrap/>
        <w:overflowPunct/>
        <w:topLinePunct w:val="0"/>
        <w:autoSpaceDE/>
        <w:autoSpaceDN/>
        <w:bidi w:val="0"/>
        <w:adjustRightInd/>
        <w:snapToGrid/>
        <w:spacing w:after="0" w:line="560" w:lineRule="exact"/>
        <w:ind w:left="0" w:firstLine="560" w:firstLineChars="200"/>
        <w:textAlignment w:val="auto"/>
        <w:rPr>
          <w:rFonts w:hint="eastAsia" w:ascii="微软雅黑" w:hAnsi="微软雅黑" w:eastAsia="微软雅黑" w:cs="微软雅黑"/>
          <w:color w:val="auto"/>
          <w:kern w:val="2"/>
          <w:sz w:val="28"/>
          <w:szCs w:val="28"/>
          <w:highlight w:val="none"/>
          <w:lang w:val="en-US" w:eastAsia="zh-CN" w:bidi="ar-SA"/>
        </w:rPr>
      </w:pPr>
      <w:r>
        <w:rPr>
          <w:rFonts w:hint="eastAsia" w:ascii="微软雅黑" w:hAnsi="微软雅黑" w:eastAsia="微软雅黑" w:cs="微软雅黑"/>
          <w:color w:val="auto"/>
          <w:kern w:val="2"/>
          <w:sz w:val="28"/>
          <w:szCs w:val="28"/>
          <w:highlight w:val="none"/>
          <w:lang w:val="en-US" w:eastAsia="zh-CN" w:bidi="ar-SA"/>
        </w:rPr>
        <w:t>尾款支付:11月15日前，甲方在取得乙方开具</w:t>
      </w:r>
      <w:r>
        <w:rPr>
          <w:rFonts w:hint="eastAsia" w:ascii="微软雅黑" w:hAnsi="微软雅黑" w:eastAsia="微软雅黑" w:cs="微软雅黑"/>
          <w:color w:val="auto"/>
          <w:kern w:val="2"/>
          <w:sz w:val="28"/>
          <w:szCs w:val="28"/>
          <w:highlight w:val="none"/>
          <w:lang w:val="en-US" w:eastAsia="zh-CN" w:bidi="ar-SA"/>
        </w:rPr>
        <w:t>的符合要求的发票后支付合同金额的20%。</w:t>
      </w:r>
    </w:p>
    <w:p w14:paraId="6EB9392A">
      <w:pPr>
        <w:pStyle w:val="9"/>
        <w:keepNext w:val="0"/>
        <w:keepLines w:val="0"/>
        <w:pageBreakBefore w:val="0"/>
        <w:numPr>
          <w:ilvl w:val="0"/>
          <w:numId w:val="5"/>
        </w:numPr>
        <w:tabs>
          <w:tab w:val="clear" w:pos="312"/>
        </w:tabs>
        <w:kinsoku/>
        <w:wordWrap/>
        <w:overflowPunct/>
        <w:topLinePunct w:val="0"/>
        <w:autoSpaceDE/>
        <w:autoSpaceDN/>
        <w:bidi w:val="0"/>
        <w:adjustRightInd/>
        <w:snapToGrid/>
        <w:spacing w:after="0" w:line="560" w:lineRule="exact"/>
        <w:ind w:left="0" w:firstLine="560" w:firstLineChars="200"/>
        <w:textAlignment w:val="auto"/>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rPr>
        <w:t>付款方式：</w:t>
      </w:r>
      <w:r>
        <w:rPr>
          <w:rFonts w:hint="eastAsia" w:ascii="微软雅黑" w:hAnsi="微软雅黑" w:eastAsia="微软雅黑" w:cs="微软雅黑"/>
          <w:color w:val="000000"/>
          <w:sz w:val="28"/>
          <w:szCs w:val="28"/>
          <w:highlight w:val="none"/>
          <w:lang w:val="en-US" w:eastAsia="zh-CN"/>
        </w:rPr>
        <w:t>财政国库集中支付。</w:t>
      </w:r>
    </w:p>
    <w:p w14:paraId="332268E0">
      <w:pPr>
        <w:pStyle w:val="9"/>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微软雅黑" w:hAnsi="微软雅黑" w:eastAsia="微软雅黑" w:cs="微软雅黑"/>
          <w:color w:val="auto"/>
          <w:kern w:val="2"/>
          <w:sz w:val="28"/>
          <w:szCs w:val="28"/>
          <w:highlight w:val="none"/>
          <w:lang w:val="en-US" w:eastAsia="zh-CN" w:bidi="ar-SA"/>
        </w:rPr>
      </w:pPr>
      <w:r>
        <w:rPr>
          <w:rFonts w:hint="eastAsia" w:ascii="微软雅黑" w:hAnsi="微软雅黑" w:eastAsia="微软雅黑" w:cs="微软雅黑"/>
          <w:b/>
          <w:bCs/>
          <w:sz w:val="28"/>
          <w:szCs w:val="28"/>
          <w:highlight w:val="none"/>
          <w:lang w:val="en-US" w:eastAsia="zh-CN"/>
        </w:rPr>
        <w:t>五、履约保证金：</w:t>
      </w:r>
      <w:r>
        <w:rPr>
          <w:rFonts w:hint="eastAsia" w:ascii="微软雅黑" w:hAnsi="微软雅黑" w:eastAsia="微软雅黑" w:cs="微软雅黑"/>
          <w:color w:val="auto"/>
          <w:kern w:val="2"/>
          <w:sz w:val="28"/>
          <w:szCs w:val="28"/>
          <w:highlight w:val="none"/>
          <w:lang w:val="en-US" w:eastAsia="zh-CN" w:bidi="ar-SA"/>
        </w:rPr>
        <w:t>履约保证金为合同总价的5%，中标方在签订合同前打入甲方账户，中标方可以转账支票、电汇、银行汇票或网上银行支付、保函等非现金形式公对公交</w:t>
      </w:r>
      <w:r>
        <w:rPr>
          <w:rFonts w:hint="eastAsia" w:ascii="微软雅黑" w:hAnsi="微软雅黑" w:eastAsia="微软雅黑" w:cs="微软雅黑"/>
          <w:color w:val="auto"/>
          <w:kern w:val="2"/>
          <w:sz w:val="28"/>
          <w:szCs w:val="28"/>
          <w:highlight w:val="none"/>
          <w:lang w:val="en-US" w:eastAsia="zh-CN" w:bidi="ar-SA"/>
        </w:rPr>
        <w:t>纳。项目结束，项目末期评估报告为合格以上后全额退还履约保证金。</w:t>
      </w:r>
    </w:p>
    <w:p w14:paraId="246C1936">
      <w:pPr>
        <w:pStyle w:val="9"/>
        <w:keepNext w:val="0"/>
        <w:keepLines w:val="0"/>
        <w:pageBreakBefore w:val="0"/>
        <w:kinsoku/>
        <w:wordWrap/>
        <w:overflowPunct/>
        <w:topLinePunct w:val="0"/>
        <w:autoSpaceDE/>
        <w:autoSpaceDN/>
        <w:bidi w:val="0"/>
        <w:adjustRightInd/>
        <w:snapToGrid/>
        <w:spacing w:after="0" w:line="560" w:lineRule="exact"/>
        <w:ind w:left="0" w:firstLine="560" w:firstLineChars="200"/>
        <w:textAlignment w:val="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合同价的确定：以成交（中标）价格为合同价。</w:t>
      </w:r>
    </w:p>
    <w:p w14:paraId="0EABD808">
      <w:pPr>
        <w:keepNext w:val="0"/>
        <w:keepLines w:val="0"/>
        <w:pageBreakBefore w:val="0"/>
        <w:numPr>
          <w:ilvl w:val="0"/>
          <w:numId w:val="6"/>
        </w:numPr>
        <w:kinsoku/>
        <w:wordWrap/>
        <w:overflowPunct/>
        <w:topLinePunct w:val="0"/>
        <w:autoSpaceDE/>
        <w:autoSpaceDN/>
        <w:bidi w:val="0"/>
        <w:adjustRightInd/>
        <w:snapToGrid/>
        <w:spacing w:line="560" w:lineRule="exact"/>
        <w:ind w:left="0" w:firstLine="560" w:firstLineChars="200"/>
        <w:textAlignment w:val="auto"/>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b/>
          <w:color w:val="000000"/>
          <w:sz w:val="28"/>
          <w:szCs w:val="28"/>
          <w:highlight w:val="none"/>
          <w:lang w:val="en-US" w:eastAsia="zh-CN"/>
        </w:rPr>
        <w:t>服务地点：</w:t>
      </w:r>
      <w:r>
        <w:rPr>
          <w:rFonts w:hint="eastAsia" w:ascii="微软雅黑" w:hAnsi="微软雅黑" w:eastAsia="微软雅黑" w:cs="微软雅黑"/>
          <w:color w:val="000000"/>
          <w:sz w:val="28"/>
          <w:szCs w:val="28"/>
          <w:highlight w:val="none"/>
          <w:lang w:val="en-US" w:eastAsia="zh-CN"/>
        </w:rPr>
        <w:t>麦盖提县</w:t>
      </w:r>
    </w:p>
    <w:p w14:paraId="1302F7C9">
      <w:pPr>
        <w:pStyle w:val="8"/>
        <w:widowControl w:val="0"/>
        <w:numPr>
          <w:ilvl w:val="0"/>
          <w:numId w:val="0"/>
        </w:numPr>
        <w:spacing w:before="120" w:beforeAutospacing="0" w:afterAutospacing="0"/>
        <w:jc w:val="both"/>
        <w:rPr>
          <w:rFonts w:hint="eastAsia"/>
          <w:highlight w:val="none"/>
          <w:lang w:val="en-US" w:eastAsia="zh-CN"/>
        </w:rPr>
      </w:pPr>
    </w:p>
    <w:p w14:paraId="0DCC62EF">
      <w:pPr>
        <w:rPr>
          <w:rFonts w:hint="eastAsia"/>
          <w:highlight w:val="none"/>
          <w:lang w:val="en-US" w:eastAsia="zh-CN"/>
        </w:rPr>
      </w:pPr>
    </w:p>
    <w:p w14:paraId="35F2A3B7">
      <w:pPr>
        <w:pStyle w:val="8"/>
        <w:rPr>
          <w:rFonts w:hint="eastAsia"/>
          <w:highlight w:val="none"/>
          <w:lang w:val="en-US" w:eastAsia="zh-CN"/>
        </w:rPr>
      </w:pPr>
    </w:p>
    <w:p w14:paraId="2822D625">
      <w:pPr>
        <w:rPr>
          <w:rFonts w:hint="eastAsia"/>
          <w:highlight w:val="none"/>
          <w:lang w:val="en-US" w:eastAsia="zh-CN"/>
        </w:rPr>
      </w:pPr>
    </w:p>
    <w:p w14:paraId="053206FF">
      <w:pPr>
        <w:pStyle w:val="8"/>
        <w:rPr>
          <w:rFonts w:hint="eastAsia"/>
          <w:highlight w:val="none"/>
          <w:lang w:val="en-US" w:eastAsia="zh-CN"/>
        </w:rPr>
      </w:pPr>
    </w:p>
    <w:p w14:paraId="24AC6B42">
      <w:pPr>
        <w:rPr>
          <w:rFonts w:hint="eastAsia"/>
          <w:highlight w:val="none"/>
          <w:lang w:val="en-US" w:eastAsia="zh-CN"/>
        </w:rPr>
      </w:pPr>
    </w:p>
    <w:p w14:paraId="1D47E4FE">
      <w:pPr>
        <w:keepNext w:val="0"/>
        <w:keepLines w:val="0"/>
        <w:pageBreakBefore w:val="0"/>
        <w:widowControl/>
        <w:kinsoku/>
        <w:wordWrap/>
        <w:overflowPunct/>
        <w:topLinePunct w:val="0"/>
        <w:autoSpaceDE w:val="0"/>
        <w:bidi w:val="0"/>
        <w:snapToGrid/>
        <w:spacing w:line="570" w:lineRule="exact"/>
        <w:ind w:firstLine="560" w:firstLineChars="200"/>
        <w:textAlignment w:val="auto"/>
        <w:rPr>
          <w:rFonts w:hint="eastAsia" w:ascii="微软雅黑" w:hAnsi="微软雅黑" w:eastAsia="微软雅黑" w:cs="微软雅黑"/>
          <w:sz w:val="28"/>
          <w:szCs w:val="28"/>
          <w:highlight w:val="none"/>
          <w:lang w:val="en-US" w:eastAsia="zh-CN"/>
        </w:rPr>
      </w:pPr>
    </w:p>
    <w:p w14:paraId="5B757A63">
      <w:pPr>
        <w:pStyle w:val="5"/>
        <w:ind w:firstLine="0"/>
        <w:jc w:val="center"/>
        <w:outlineLvl w:val="0"/>
        <w:rPr>
          <w:rFonts w:hint="eastAsia" w:ascii="宋体" w:hAnsi="宋体" w:eastAsia="宋体" w:cs="宋体"/>
          <w:b/>
          <w:bCs/>
          <w:color w:val="auto"/>
          <w:sz w:val="32"/>
          <w:szCs w:val="32"/>
          <w:highlight w:val="none"/>
          <w:lang w:val="en-US" w:eastAsia="zh-CN"/>
        </w:rPr>
      </w:pPr>
    </w:p>
    <w:p w14:paraId="4EF1A531">
      <w:pPr>
        <w:rPr>
          <w:rFonts w:hint="eastAsia" w:ascii="宋体" w:hAnsi="宋体" w:eastAsia="宋体" w:cs="宋体"/>
          <w:b/>
          <w:bCs/>
          <w:color w:val="auto"/>
          <w:sz w:val="32"/>
          <w:szCs w:val="32"/>
          <w:highlight w:val="none"/>
          <w:lang w:val="en-US" w:eastAsia="zh-CN"/>
        </w:rPr>
      </w:pPr>
    </w:p>
    <w:p w14:paraId="64003643">
      <w:pPr>
        <w:pStyle w:val="21"/>
        <w:rPr>
          <w:rFonts w:hint="eastAsia" w:ascii="宋体" w:hAnsi="宋体" w:eastAsia="宋体" w:cs="宋体"/>
          <w:b/>
          <w:bCs/>
          <w:color w:val="auto"/>
          <w:sz w:val="32"/>
          <w:szCs w:val="32"/>
          <w:highlight w:val="none"/>
          <w:lang w:val="en-US" w:eastAsia="zh-CN"/>
        </w:rPr>
      </w:pPr>
    </w:p>
    <w:p w14:paraId="36C731DD">
      <w:pPr>
        <w:pStyle w:val="21"/>
        <w:rPr>
          <w:rFonts w:hint="eastAsia" w:ascii="宋体" w:hAnsi="宋体" w:eastAsia="宋体" w:cs="宋体"/>
          <w:b/>
          <w:bCs/>
          <w:color w:val="auto"/>
          <w:sz w:val="32"/>
          <w:szCs w:val="32"/>
          <w:highlight w:val="none"/>
          <w:lang w:val="en-US" w:eastAsia="zh-CN"/>
        </w:rPr>
      </w:pPr>
    </w:p>
    <w:p w14:paraId="5FA00C24">
      <w:pPr>
        <w:pStyle w:val="21"/>
        <w:jc w:val="both"/>
        <w:rPr>
          <w:rFonts w:hint="eastAsia" w:ascii="宋体" w:hAnsi="宋体" w:eastAsia="宋体" w:cs="宋体"/>
          <w:b/>
          <w:bCs/>
          <w:color w:val="auto"/>
          <w:sz w:val="32"/>
          <w:szCs w:val="32"/>
          <w:highlight w:val="none"/>
          <w:lang w:val="en-US" w:eastAsia="zh-CN"/>
        </w:rPr>
      </w:pPr>
    </w:p>
    <w:p w14:paraId="4BEB76DC">
      <w:pPr>
        <w:pStyle w:val="21"/>
        <w:jc w:val="both"/>
        <w:rPr>
          <w:rFonts w:hint="eastAsia" w:ascii="宋体" w:hAnsi="宋体" w:eastAsia="宋体" w:cs="宋体"/>
          <w:b/>
          <w:bCs/>
          <w:color w:val="auto"/>
          <w:sz w:val="32"/>
          <w:szCs w:val="32"/>
          <w:highlight w:val="none"/>
          <w:lang w:val="en-US" w:eastAsia="zh-CN"/>
        </w:rPr>
      </w:pPr>
    </w:p>
    <w:p w14:paraId="30B55DBC">
      <w:pPr>
        <w:pStyle w:val="21"/>
        <w:jc w:val="both"/>
        <w:rPr>
          <w:rFonts w:hint="eastAsia" w:ascii="宋体" w:hAnsi="宋体" w:eastAsia="宋体" w:cs="宋体"/>
          <w:b/>
          <w:bCs/>
          <w:color w:val="auto"/>
          <w:sz w:val="32"/>
          <w:szCs w:val="32"/>
          <w:highlight w:val="none"/>
          <w:lang w:val="en-US" w:eastAsia="zh-CN"/>
        </w:rPr>
      </w:pPr>
    </w:p>
    <w:p w14:paraId="004CBFEB">
      <w:pPr>
        <w:pStyle w:val="21"/>
        <w:jc w:val="both"/>
        <w:rPr>
          <w:rFonts w:hint="eastAsia" w:ascii="宋体" w:hAnsi="宋体" w:eastAsia="宋体" w:cs="宋体"/>
          <w:b/>
          <w:bCs/>
          <w:color w:val="auto"/>
          <w:sz w:val="32"/>
          <w:szCs w:val="32"/>
          <w:highlight w:val="none"/>
          <w:lang w:val="en-US" w:eastAsia="zh-CN"/>
        </w:rPr>
      </w:pPr>
    </w:p>
    <w:p w14:paraId="3CC7A59A">
      <w:pPr>
        <w:pStyle w:val="21"/>
        <w:jc w:val="both"/>
        <w:rPr>
          <w:rFonts w:hint="eastAsia" w:ascii="宋体" w:hAnsi="宋体" w:eastAsia="宋体" w:cs="宋体"/>
          <w:b/>
          <w:bCs/>
          <w:color w:val="auto"/>
          <w:sz w:val="32"/>
          <w:szCs w:val="32"/>
          <w:highlight w:val="none"/>
          <w:lang w:val="en-US" w:eastAsia="zh-CN"/>
        </w:rPr>
      </w:pPr>
    </w:p>
    <w:p w14:paraId="641A7E6B">
      <w:pPr>
        <w:pStyle w:val="21"/>
        <w:jc w:val="both"/>
        <w:rPr>
          <w:rFonts w:hint="eastAsia" w:ascii="宋体" w:hAnsi="宋体" w:eastAsia="宋体" w:cs="宋体"/>
          <w:b/>
          <w:bCs/>
          <w:color w:val="auto"/>
          <w:sz w:val="32"/>
          <w:szCs w:val="32"/>
          <w:highlight w:val="none"/>
          <w:lang w:val="en-US" w:eastAsia="zh-CN"/>
        </w:rPr>
      </w:pPr>
    </w:p>
    <w:p w14:paraId="47742881">
      <w:pPr>
        <w:pStyle w:val="21"/>
        <w:jc w:val="both"/>
        <w:rPr>
          <w:rFonts w:hint="eastAsia" w:ascii="宋体" w:hAnsi="宋体" w:eastAsia="宋体" w:cs="宋体"/>
          <w:b/>
          <w:bCs/>
          <w:color w:val="auto"/>
          <w:sz w:val="32"/>
          <w:szCs w:val="32"/>
          <w:highlight w:val="none"/>
          <w:lang w:val="en-US" w:eastAsia="zh-CN"/>
        </w:rPr>
      </w:pPr>
    </w:p>
    <w:p w14:paraId="4372B336">
      <w:pPr>
        <w:pStyle w:val="5"/>
        <w:ind w:firstLine="0"/>
        <w:jc w:val="center"/>
        <w:outlineLvl w:val="0"/>
        <w:rPr>
          <w:rFonts w:hint="eastAsia" w:ascii="宋体" w:hAnsi="宋体" w:eastAsia="宋体" w:cs="宋体"/>
          <w:b/>
          <w:bCs/>
          <w:color w:val="auto"/>
          <w:sz w:val="32"/>
          <w:szCs w:val="32"/>
          <w:highlight w:val="none"/>
          <w:lang w:val="en-US" w:eastAsia="zh-CN"/>
        </w:rPr>
      </w:pPr>
    </w:p>
    <w:p w14:paraId="366BA6CF">
      <w:pPr>
        <w:pStyle w:val="5"/>
        <w:ind w:firstLine="0"/>
        <w:jc w:val="center"/>
        <w:outlineLvl w:val="0"/>
        <w:rPr>
          <w:rFonts w:hint="eastAsia" w:ascii="宋体" w:hAnsi="宋体" w:eastAsia="宋体" w:cs="宋体"/>
          <w:b/>
          <w:bCs/>
          <w:color w:val="auto"/>
          <w:sz w:val="32"/>
          <w:szCs w:val="32"/>
          <w:highlight w:val="none"/>
          <w:lang w:val="en-US" w:eastAsia="zh-CN"/>
        </w:rPr>
      </w:pPr>
    </w:p>
    <w:p w14:paraId="5F2D9DAD">
      <w:pPr>
        <w:pStyle w:val="5"/>
        <w:ind w:firstLine="0"/>
        <w:jc w:val="center"/>
        <w:outlineLvl w:val="0"/>
        <w:rPr>
          <w:rFonts w:hint="eastAsia" w:ascii="宋体" w:hAnsi="宋体" w:eastAsia="宋体" w:cs="宋体"/>
          <w:b/>
          <w:bCs/>
          <w:color w:val="auto"/>
          <w:sz w:val="32"/>
          <w:szCs w:val="32"/>
          <w:highlight w:val="none"/>
          <w:lang w:val="en-US" w:eastAsia="zh-CN"/>
        </w:rPr>
      </w:pPr>
    </w:p>
    <w:p w14:paraId="2E01D0D1">
      <w:pPr>
        <w:pStyle w:val="5"/>
        <w:ind w:firstLine="0"/>
        <w:jc w:val="center"/>
        <w:outlineLvl w:val="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第6章 评审方法和标准</w:t>
      </w:r>
      <w:bookmarkEnd w:id="732"/>
    </w:p>
    <w:p w14:paraId="2B76340A">
      <w:pPr>
        <w:pStyle w:val="9"/>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p>
    <w:p w14:paraId="7CA5D99F">
      <w:pPr>
        <w:pStyle w:val="9"/>
        <w:keepNext w:val="0"/>
        <w:keepLines w:val="0"/>
        <w:pageBreakBefore w:val="0"/>
        <w:widowControl w:val="0"/>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本项目将按照磋商文件第一章供应商须知中“五磋商开启及评审”、“六确定成交”及本章的规定</w:t>
      </w:r>
      <w:r>
        <w:rPr>
          <w:rFonts w:hint="eastAsia" w:ascii="宋体" w:hAnsi="宋体" w:eastAsia="宋体" w:cs="宋体"/>
          <w:b w:val="0"/>
          <w:i w:val="0"/>
          <w:color w:val="auto"/>
          <w:spacing w:val="0"/>
          <w:w w:val="100"/>
          <w:sz w:val="24"/>
          <w:szCs w:val="24"/>
          <w:highlight w:val="none"/>
          <w:lang w:eastAsia="zh-CN"/>
        </w:rPr>
        <w:t>评审</w:t>
      </w:r>
      <w:r>
        <w:rPr>
          <w:rFonts w:hint="eastAsia" w:ascii="宋体" w:hAnsi="宋体" w:eastAsia="宋体" w:cs="宋体"/>
          <w:b w:val="0"/>
          <w:i w:val="0"/>
          <w:color w:val="auto"/>
          <w:spacing w:val="0"/>
          <w:w w:val="100"/>
          <w:sz w:val="24"/>
          <w:szCs w:val="24"/>
          <w:highlight w:val="none"/>
        </w:rPr>
        <w:t>。</w:t>
      </w:r>
    </w:p>
    <w:p w14:paraId="0A0FF6EA">
      <w:pPr>
        <w:keepNext w:val="0"/>
        <w:keepLines w:val="0"/>
        <w:pageBreakBefore w:val="0"/>
        <w:widowControl/>
        <w:shd w:val="clear" w:color="auto" w:fill="auto"/>
        <w:kinsoku/>
        <w:wordWrap/>
        <w:overflowPunct/>
        <w:topLinePunct w:val="0"/>
        <w:bidi w:val="0"/>
        <w:snapToGrid w:val="0"/>
        <w:spacing w:before="0" w:beforeAutospacing="0" w:after="0" w:afterAutospacing="0" w:line="360" w:lineRule="exact"/>
        <w:jc w:val="both"/>
        <w:textAlignment w:val="baseline"/>
        <w:rPr>
          <w:rFonts w:hint="eastAsia" w:ascii="宋体" w:hAnsi="宋体" w:eastAsia="宋体" w:cs="宋体"/>
          <w:b/>
          <w:bCs/>
          <w:i w:val="0"/>
          <w:color w:val="auto"/>
          <w:spacing w:val="0"/>
          <w:w w:val="100"/>
          <w:sz w:val="24"/>
          <w:szCs w:val="24"/>
          <w:highlight w:val="none"/>
        </w:rPr>
      </w:pPr>
      <w:r>
        <w:rPr>
          <w:rFonts w:hint="eastAsia" w:ascii="宋体" w:hAnsi="宋体" w:eastAsia="宋体" w:cs="宋体"/>
          <w:b/>
          <w:bCs/>
          <w:i w:val="0"/>
          <w:color w:val="auto"/>
          <w:spacing w:val="0"/>
          <w:w w:val="100"/>
          <w:sz w:val="24"/>
          <w:szCs w:val="24"/>
          <w:highlight w:val="none"/>
        </w:rPr>
        <w:t>注：</w:t>
      </w:r>
    </w:p>
    <w:p w14:paraId="679AF8F1">
      <w:pPr>
        <w:keepNext w:val="0"/>
        <w:keepLines w:val="0"/>
        <w:pageBreakBefore w:val="0"/>
        <w:widowControl/>
        <w:shd w:val="clear" w:color="auto" w:fill="auto"/>
        <w:kinsoku/>
        <w:wordWrap/>
        <w:overflowPunct/>
        <w:topLinePunct w:val="0"/>
        <w:bidi w:val="0"/>
        <w:snapToGrid w:val="0"/>
        <w:spacing w:before="0" w:beforeAutospacing="0" w:after="0" w:afterAutospacing="0" w:line="360" w:lineRule="exact"/>
        <w:jc w:val="both"/>
        <w:textAlignment w:val="baseline"/>
        <w:rPr>
          <w:rFonts w:hint="eastAsia" w:ascii="宋体" w:hAnsi="宋体" w:eastAsia="宋体" w:cs="宋体"/>
          <w:b/>
          <w:bCs/>
          <w:i w:val="0"/>
          <w:color w:val="auto"/>
          <w:spacing w:val="0"/>
          <w:w w:val="100"/>
          <w:sz w:val="24"/>
          <w:szCs w:val="24"/>
          <w:highlight w:val="none"/>
        </w:rPr>
      </w:pPr>
      <w:r>
        <w:rPr>
          <w:rFonts w:hint="eastAsia" w:ascii="宋体" w:hAnsi="宋体" w:eastAsia="宋体" w:cs="宋体"/>
          <w:b/>
          <w:bCs/>
          <w:i w:val="0"/>
          <w:color w:val="auto"/>
          <w:spacing w:val="0"/>
          <w:w w:val="100"/>
          <w:sz w:val="24"/>
          <w:szCs w:val="24"/>
          <w:highlight w:val="none"/>
        </w:rPr>
        <w:t>1.磋商无效的情形：</w:t>
      </w:r>
    </w:p>
    <w:p w14:paraId="30AC7750">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（1）单位负责人为同一人或者存在直接控股、管理关系的不同供应商，其相关磋商将被认定为磋商无效。</w:t>
      </w:r>
    </w:p>
    <w:p w14:paraId="0E6B692E">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（2）若供应商须知资料表中未写明允许采购进</w:t>
      </w:r>
      <w:r>
        <w:rPr>
          <w:rFonts w:hint="eastAsia" w:ascii="宋体" w:hAnsi="宋体" w:cs="宋体"/>
          <w:b w:val="0"/>
          <w:i w:val="0"/>
          <w:color w:val="auto"/>
          <w:spacing w:val="0"/>
          <w:w w:val="100"/>
          <w:sz w:val="24"/>
          <w:szCs w:val="24"/>
          <w:highlight w:val="none"/>
          <w:lang w:eastAsia="zh-CN"/>
        </w:rPr>
        <w:t>口、</w:t>
      </w:r>
      <w:r>
        <w:rPr>
          <w:rFonts w:hint="eastAsia" w:ascii="宋体" w:hAnsi="宋体" w:eastAsia="宋体" w:cs="宋体"/>
          <w:b w:val="0"/>
          <w:i w:val="0"/>
          <w:color w:val="auto"/>
          <w:spacing w:val="0"/>
          <w:w w:val="100"/>
          <w:sz w:val="24"/>
          <w:szCs w:val="24"/>
          <w:highlight w:val="none"/>
        </w:rPr>
        <w:t>产品，如供应商所投产品为进</w:t>
      </w:r>
      <w:r>
        <w:rPr>
          <w:rFonts w:hint="eastAsia" w:ascii="宋体" w:hAnsi="宋体" w:cs="宋体"/>
          <w:b w:val="0"/>
          <w:i w:val="0"/>
          <w:color w:val="auto"/>
          <w:spacing w:val="0"/>
          <w:w w:val="100"/>
          <w:sz w:val="24"/>
          <w:szCs w:val="24"/>
          <w:highlight w:val="none"/>
          <w:lang w:eastAsia="zh-CN"/>
        </w:rPr>
        <w:t>口、</w:t>
      </w:r>
      <w:r>
        <w:rPr>
          <w:rFonts w:hint="eastAsia" w:ascii="宋体" w:hAnsi="宋体" w:eastAsia="宋体" w:cs="宋体"/>
          <w:b w:val="0"/>
          <w:i w:val="0"/>
          <w:color w:val="auto"/>
          <w:spacing w:val="0"/>
          <w:w w:val="100"/>
          <w:sz w:val="24"/>
          <w:szCs w:val="24"/>
          <w:highlight w:val="none"/>
        </w:rPr>
        <w:t>产品，其磋商将被认定为磋商无效。</w:t>
      </w:r>
    </w:p>
    <w:p w14:paraId="491D6B77">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（3）为本项目提供过整体设计、规范编制或者项目管理、监理、检测等</w:t>
      </w:r>
      <w:r>
        <w:rPr>
          <w:rFonts w:hint="eastAsia" w:ascii="宋体" w:hAnsi="宋体" w:eastAsia="宋体" w:cs="宋体"/>
          <w:b w:val="0"/>
          <w:i w:val="0"/>
          <w:color w:val="auto"/>
          <w:spacing w:val="0"/>
          <w:w w:val="100"/>
          <w:sz w:val="24"/>
          <w:szCs w:val="24"/>
          <w:highlight w:val="none"/>
          <w:lang w:val="en-US" w:eastAsia="zh-CN"/>
        </w:rPr>
        <w:t>服务</w:t>
      </w:r>
      <w:r>
        <w:rPr>
          <w:rFonts w:hint="eastAsia" w:ascii="宋体" w:hAnsi="宋体" w:eastAsia="宋体" w:cs="宋体"/>
          <w:b w:val="0"/>
          <w:i w:val="0"/>
          <w:color w:val="auto"/>
          <w:spacing w:val="0"/>
          <w:w w:val="100"/>
          <w:sz w:val="24"/>
          <w:szCs w:val="24"/>
          <w:highlight w:val="none"/>
        </w:rPr>
        <w:t>的供应商，不得再参加本项目上述</w:t>
      </w:r>
      <w:r>
        <w:rPr>
          <w:rFonts w:hint="eastAsia" w:ascii="宋体" w:hAnsi="宋体" w:eastAsia="宋体" w:cs="宋体"/>
          <w:b w:val="0"/>
          <w:i w:val="0"/>
          <w:color w:val="auto"/>
          <w:spacing w:val="0"/>
          <w:w w:val="100"/>
          <w:sz w:val="24"/>
          <w:szCs w:val="24"/>
          <w:highlight w:val="none"/>
          <w:lang w:val="en-US" w:eastAsia="zh-CN"/>
        </w:rPr>
        <w:t>服务</w:t>
      </w:r>
      <w:r>
        <w:rPr>
          <w:rFonts w:hint="eastAsia" w:ascii="宋体" w:hAnsi="宋体" w:eastAsia="宋体" w:cs="宋体"/>
          <w:b w:val="0"/>
          <w:i w:val="0"/>
          <w:color w:val="auto"/>
          <w:spacing w:val="0"/>
          <w:w w:val="100"/>
          <w:sz w:val="24"/>
          <w:szCs w:val="24"/>
          <w:highlight w:val="none"/>
        </w:rPr>
        <w:t>以外的其他采购活动。否则其磋商将被认定为磋商无效。</w:t>
      </w:r>
    </w:p>
    <w:p w14:paraId="38DB1E46">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供应商在磋商过程中不得向采购人提供、给予任何有价值的物品，影响其正常决策行为。一经发现，其将被认定为磋商无效。</w:t>
      </w:r>
    </w:p>
    <w:p w14:paraId="79420595">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（4）供应商报价超过磋商文件规定的预算金额或者分项、分包最高限价的，其磋商将被认定为磋商无效。</w:t>
      </w:r>
    </w:p>
    <w:p w14:paraId="22A08D06">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7E87E6C1">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（6）供应商应当对所投分包磋商文件中“</w:t>
      </w:r>
      <w:r>
        <w:rPr>
          <w:rFonts w:hint="eastAsia" w:ascii="宋体" w:hAnsi="宋体" w:eastAsia="宋体" w:cs="宋体"/>
          <w:b w:val="0"/>
          <w:i w:val="0"/>
          <w:color w:val="auto"/>
          <w:spacing w:val="0"/>
          <w:w w:val="100"/>
          <w:sz w:val="24"/>
          <w:szCs w:val="24"/>
          <w:highlight w:val="none"/>
          <w:lang w:val="en-US" w:eastAsia="zh-CN"/>
        </w:rPr>
        <w:t>服务需求</w:t>
      </w:r>
      <w:r>
        <w:rPr>
          <w:rFonts w:hint="eastAsia" w:ascii="宋体" w:hAnsi="宋体" w:eastAsia="宋体" w:cs="宋体"/>
          <w:b w:val="0"/>
          <w:i w:val="0"/>
          <w:color w:val="auto"/>
          <w:spacing w:val="0"/>
          <w:w w:val="100"/>
          <w:sz w:val="24"/>
          <w:szCs w:val="24"/>
          <w:highlight w:val="none"/>
        </w:rPr>
        <w:t>”所列的所有内容进行磋商，如仅响应某一包中的部分内容，其该包磋商将被认定为磋商无效。</w:t>
      </w:r>
    </w:p>
    <w:p w14:paraId="581F3F0D">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（7）供应商未按本须知第12.1和12.3条规定提交磋商保证金的，其磋商资格将被认定为无效。</w:t>
      </w:r>
    </w:p>
    <w:p w14:paraId="650F68C9">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（8）所有磋商均以人民币报价。供应商的磋商报价应遵守《中华人民共和国价格法》。同时，根据《中华人民共和国政府采购法》第二条的规定，为保证公平竞争，如有</w:t>
      </w:r>
      <w:r>
        <w:rPr>
          <w:rFonts w:hint="eastAsia" w:ascii="宋体" w:hAnsi="宋体" w:eastAsia="宋体" w:cs="宋体"/>
          <w:b w:val="0"/>
          <w:i w:val="0"/>
          <w:color w:val="auto"/>
          <w:spacing w:val="0"/>
          <w:w w:val="100"/>
          <w:sz w:val="24"/>
          <w:szCs w:val="24"/>
          <w:highlight w:val="none"/>
          <w:lang w:val="en-US" w:eastAsia="zh-CN"/>
        </w:rPr>
        <w:t>服务</w:t>
      </w:r>
      <w:r>
        <w:rPr>
          <w:rFonts w:hint="eastAsia" w:ascii="宋体" w:hAnsi="宋体" w:eastAsia="宋体" w:cs="宋体"/>
          <w:b w:val="0"/>
          <w:i w:val="0"/>
          <w:color w:val="auto"/>
          <w:spacing w:val="0"/>
          <w:w w:val="100"/>
          <w:sz w:val="24"/>
          <w:szCs w:val="24"/>
          <w:highlight w:val="none"/>
        </w:rPr>
        <w:t>主体部分的赠与行为，其磋商将被认定为磋商无效。</w:t>
      </w:r>
    </w:p>
    <w:p w14:paraId="179EFF11">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（9）供应商所报的各分项磋商单价在合同履行过程中是固定不变的，不得以任何理由予以变更。任何包含价格调整要求的磋商，其磋商将被认定为磋商无效。</w:t>
      </w:r>
    </w:p>
    <w:p w14:paraId="7F6A62A2">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（10）磋商应在供应商须知资料表中规定时间内保持有效。磋商有效期不满足要求的磋商，其磋商将被认定为磋商无效。</w:t>
      </w:r>
    </w:p>
    <w:p w14:paraId="5F24101E">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（11）采购人或采购代理机构将在</w:t>
      </w:r>
      <w:r>
        <w:rPr>
          <w:rFonts w:hint="eastAsia" w:ascii="宋体" w:hAnsi="宋体" w:eastAsia="宋体" w:cs="宋体"/>
          <w:b w:val="0"/>
          <w:i w:val="0"/>
          <w:color w:val="auto"/>
          <w:spacing w:val="0"/>
          <w:w w:val="100"/>
          <w:sz w:val="24"/>
          <w:szCs w:val="24"/>
          <w:highlight w:val="none"/>
          <w:lang w:eastAsia="zh-CN"/>
        </w:rPr>
        <w:t>磋商</w:t>
      </w:r>
      <w:r>
        <w:rPr>
          <w:rFonts w:hint="eastAsia" w:ascii="宋体" w:hAnsi="宋体" w:eastAsia="宋体" w:cs="宋体"/>
          <w:b w:val="0"/>
          <w:i w:val="0"/>
          <w:color w:val="auto"/>
          <w:spacing w:val="0"/>
          <w:w w:val="100"/>
          <w:sz w:val="24"/>
          <w:szCs w:val="24"/>
          <w:highlight w:val="none"/>
        </w:rPr>
        <w:t>截止后1小时的期间内查询供应商的信用记录。供应商存在不良信用记录的，其磋商将被认定为磋商无效。</w:t>
      </w:r>
    </w:p>
    <w:p w14:paraId="77A4DDDE">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w:t>
      </w:r>
      <w:r>
        <w:rPr>
          <w:rFonts w:hint="eastAsia" w:ascii="宋体" w:hAnsi="宋体" w:eastAsia="宋体" w:cs="宋体"/>
          <w:b w:val="0"/>
          <w:i w:val="0"/>
          <w:color w:val="auto"/>
          <w:spacing w:val="0"/>
          <w:w w:val="100"/>
          <w:sz w:val="24"/>
          <w:szCs w:val="24"/>
          <w:highlight w:val="none"/>
          <w:lang w:val="en-US" w:eastAsia="zh-CN"/>
        </w:rPr>
        <w:t>12</w:t>
      </w:r>
      <w:r>
        <w:rPr>
          <w:rFonts w:hint="eastAsia" w:ascii="宋体" w:hAnsi="宋体" w:eastAsia="宋体" w:cs="宋体"/>
          <w:b w:val="0"/>
          <w:i w:val="0"/>
          <w:color w:val="auto"/>
          <w:spacing w:val="0"/>
          <w:w w:val="100"/>
          <w:sz w:val="24"/>
          <w:szCs w:val="24"/>
          <w:highlight w:val="none"/>
        </w:rPr>
        <w:t>）</w:t>
      </w:r>
      <w:r>
        <w:rPr>
          <w:rFonts w:hint="eastAsia" w:ascii="宋体" w:hAnsi="宋体" w:eastAsia="宋体" w:cs="宋体"/>
          <w:b w:val="0"/>
          <w:i w:val="0"/>
          <w:color w:val="auto"/>
          <w:spacing w:val="0"/>
          <w:w w:val="100"/>
          <w:sz w:val="24"/>
          <w:szCs w:val="24"/>
          <w:highlight w:val="none"/>
          <w:u w:val="none"/>
        </w:rPr>
        <w:t>总价金额与按单价汇总金额不一致的，以单价金额计算结果为准。</w:t>
      </w:r>
      <w:r>
        <w:rPr>
          <w:rFonts w:hint="eastAsia" w:ascii="宋体" w:hAnsi="宋体" w:eastAsia="宋体" w:cs="宋体"/>
          <w:b w:val="0"/>
          <w:i w:val="0"/>
          <w:color w:val="auto"/>
          <w:spacing w:val="0"/>
          <w:w w:val="100"/>
          <w:sz w:val="24"/>
          <w:szCs w:val="24"/>
          <w:highlight w:val="none"/>
        </w:rPr>
        <w:t>同时出现两种以上不一致的，按照前款规定的顺序修正。修正后的报价按照第20.2条的规定经供应商确认后产生约束力，供应商不确认的，其磋商将被认定为磋商无效。</w:t>
      </w:r>
    </w:p>
    <w:p w14:paraId="5F1075A5">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w:t>
      </w:r>
      <w:r>
        <w:rPr>
          <w:rFonts w:hint="eastAsia" w:ascii="宋体" w:hAnsi="宋体" w:eastAsia="宋体" w:cs="宋体"/>
          <w:b w:val="0"/>
          <w:i w:val="0"/>
          <w:color w:val="auto"/>
          <w:spacing w:val="0"/>
          <w:w w:val="100"/>
          <w:sz w:val="24"/>
          <w:szCs w:val="24"/>
          <w:highlight w:val="none"/>
          <w:lang w:val="en-US" w:eastAsia="zh-CN"/>
        </w:rPr>
        <w:t>13</w:t>
      </w:r>
      <w:r>
        <w:rPr>
          <w:rFonts w:hint="eastAsia" w:ascii="宋体" w:hAnsi="宋体" w:eastAsia="宋体" w:cs="宋体"/>
          <w:b w:val="0"/>
          <w:i w:val="0"/>
          <w:color w:val="auto"/>
          <w:spacing w:val="0"/>
          <w:w w:val="100"/>
          <w:sz w:val="24"/>
          <w:szCs w:val="24"/>
          <w:highlight w:val="none"/>
        </w:rPr>
        <w:t>）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0595B3F1">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w:t>
      </w:r>
      <w:r>
        <w:rPr>
          <w:rFonts w:hint="eastAsia" w:ascii="宋体" w:hAnsi="宋体" w:eastAsia="宋体" w:cs="宋体"/>
          <w:b w:val="0"/>
          <w:i w:val="0"/>
          <w:color w:val="auto"/>
          <w:spacing w:val="0"/>
          <w:w w:val="100"/>
          <w:sz w:val="24"/>
          <w:szCs w:val="24"/>
          <w:highlight w:val="none"/>
          <w:lang w:val="en-US" w:eastAsia="zh-CN"/>
        </w:rPr>
        <w:t>14</w:t>
      </w:r>
      <w:r>
        <w:rPr>
          <w:rFonts w:hint="eastAsia" w:ascii="宋体" w:hAnsi="宋体" w:eastAsia="宋体" w:cs="宋体"/>
          <w:b w:val="0"/>
          <w:i w:val="0"/>
          <w:color w:val="auto"/>
          <w:spacing w:val="0"/>
          <w:w w:val="100"/>
          <w:sz w:val="24"/>
          <w:szCs w:val="24"/>
          <w:highlight w:val="none"/>
        </w:rPr>
        <w:t>）如发现下列情况之一的，其磋商将被认定为磋商无效：</w:t>
      </w:r>
    </w:p>
    <w:p w14:paraId="08BEBD04">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未按磋商文件规定的形式和金额提交磋商保证金的；未按照磋商文件规定要求签署、盖章的；未满足磋商文件中技术条款的实质性要求；与其他供应商串通磋商，或者与</w:t>
      </w:r>
      <w:r>
        <w:rPr>
          <w:rFonts w:hint="eastAsia" w:ascii="宋体" w:hAnsi="宋体" w:eastAsia="宋体" w:cs="宋体"/>
          <w:b w:val="0"/>
          <w:i w:val="0"/>
          <w:color w:val="auto"/>
          <w:spacing w:val="0"/>
          <w:w w:val="100"/>
          <w:sz w:val="24"/>
          <w:szCs w:val="24"/>
          <w:highlight w:val="none"/>
          <w:lang w:eastAsia="zh-CN"/>
        </w:rPr>
        <w:t>采购人</w:t>
      </w:r>
      <w:r>
        <w:rPr>
          <w:rFonts w:hint="eastAsia" w:ascii="宋体" w:hAnsi="宋体" w:eastAsia="宋体" w:cs="宋体"/>
          <w:b w:val="0"/>
          <w:i w:val="0"/>
          <w:color w:val="auto"/>
          <w:spacing w:val="0"/>
          <w:w w:val="100"/>
          <w:sz w:val="24"/>
          <w:szCs w:val="24"/>
          <w:highlight w:val="none"/>
        </w:rPr>
        <w:t>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4BB6D0A7">
      <w:pPr>
        <w:keepNext w:val="0"/>
        <w:keepLines w:val="0"/>
        <w:pageBreakBefore w:val="0"/>
        <w:widowControl/>
        <w:numPr>
          <w:ilvl w:val="0"/>
          <w:numId w:val="7"/>
        </w:numPr>
        <w:shd w:val="clear" w:color="auto" w:fill="auto"/>
        <w:kinsoku/>
        <w:wordWrap/>
        <w:overflowPunct/>
        <w:topLinePunct w:val="0"/>
        <w:bidi w:val="0"/>
        <w:snapToGrid w:val="0"/>
        <w:spacing w:before="0" w:beforeAutospacing="0" w:after="0" w:afterAutospacing="0" w:line="360" w:lineRule="exact"/>
        <w:ind w:leftChars="0"/>
        <w:jc w:val="left"/>
        <w:textAlignment w:val="baseline"/>
        <w:rPr>
          <w:rFonts w:hint="eastAsia" w:ascii="宋体" w:hAnsi="宋体" w:eastAsia="宋体" w:cs="宋体"/>
          <w:b/>
          <w:bCs/>
          <w:i w:val="0"/>
          <w:color w:val="auto"/>
          <w:spacing w:val="0"/>
          <w:w w:val="100"/>
          <w:kern w:val="2"/>
          <w:sz w:val="24"/>
          <w:szCs w:val="24"/>
          <w:highlight w:val="none"/>
          <w:lang w:val="en-US" w:eastAsia="zh-CN" w:bidi="ar-SA"/>
        </w:rPr>
      </w:pPr>
      <w:r>
        <w:rPr>
          <w:rFonts w:hint="eastAsia" w:ascii="宋体" w:hAnsi="宋体" w:cs="宋体"/>
          <w:b/>
          <w:bCs/>
          <w:i w:val="0"/>
          <w:color w:val="auto"/>
          <w:spacing w:val="0"/>
          <w:w w:val="100"/>
          <w:kern w:val="2"/>
          <w:sz w:val="24"/>
          <w:szCs w:val="24"/>
          <w:highlight w:val="none"/>
          <w:lang w:val="en-US" w:eastAsia="zh-CN" w:bidi="ar-SA"/>
        </w:rPr>
        <w:t>本项目专门面向中小企业采购</w:t>
      </w:r>
      <w:r>
        <w:rPr>
          <w:rFonts w:hint="eastAsia" w:ascii="宋体" w:hAnsi="宋体" w:eastAsia="宋体" w:cs="宋体"/>
          <w:b/>
          <w:bCs/>
          <w:i w:val="0"/>
          <w:color w:val="auto"/>
          <w:spacing w:val="0"/>
          <w:w w:val="100"/>
          <w:kern w:val="2"/>
          <w:sz w:val="24"/>
          <w:szCs w:val="24"/>
          <w:highlight w:val="none"/>
          <w:lang w:val="en-US" w:eastAsia="zh-CN" w:bidi="ar-SA"/>
        </w:rPr>
        <w:t>。根据《财政部关于进一步加大政府采购支持中小企业力度的通知》财库〔2022〕19号、《政府采购促进中小企业发展管理办法》（财库[2020]46号）、《财政部司法部关于政府采购支持监狱企业发展有关问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w:t>
      </w:r>
      <w:r>
        <w:rPr>
          <w:rFonts w:hint="eastAsia" w:ascii="宋体" w:hAnsi="宋体" w:cs="宋体"/>
          <w:b/>
          <w:bCs/>
          <w:i w:val="0"/>
          <w:color w:val="auto"/>
          <w:spacing w:val="0"/>
          <w:w w:val="100"/>
          <w:kern w:val="2"/>
          <w:sz w:val="24"/>
          <w:szCs w:val="24"/>
          <w:highlight w:val="none"/>
          <w:lang w:val="en-US" w:eastAsia="zh-CN" w:bidi="ar-SA"/>
        </w:rPr>
        <w:t>磋商</w:t>
      </w:r>
      <w:r>
        <w:rPr>
          <w:rFonts w:hint="eastAsia" w:ascii="宋体" w:hAnsi="宋体" w:eastAsia="宋体" w:cs="宋体"/>
          <w:b/>
          <w:bCs/>
          <w:i w:val="0"/>
          <w:color w:val="auto"/>
          <w:spacing w:val="0"/>
          <w:w w:val="100"/>
          <w:kern w:val="2"/>
          <w:sz w:val="24"/>
          <w:szCs w:val="24"/>
          <w:highlight w:val="none"/>
          <w:lang w:val="en-US" w:eastAsia="zh-CN" w:bidi="ar-SA"/>
        </w:rPr>
        <w:t>文件中提交了《中小企业声明函》、《残疾人福利性单位声明函》或省级以上监狱管理局、戒毒管理局（含新疆生产建设兵团）出具的属于监狱企业的证明文件的供应商，其投标报价扣除10%后参与评审。对于同时属于小型、微型及小微企业、监狱企业或残疾人福利性单位的，不重复进行报价扣除。</w:t>
      </w:r>
    </w:p>
    <w:p w14:paraId="130FF4A0">
      <w:pPr>
        <w:pStyle w:val="21"/>
        <w:numPr>
          <w:ilvl w:val="0"/>
          <w:numId w:val="0"/>
        </w:numPr>
        <w:jc w:val="both"/>
        <w:rPr>
          <w:rFonts w:hint="eastAsia" w:ascii="宋体" w:hAnsi="宋体" w:eastAsia="宋体" w:cs="宋体"/>
          <w:b/>
          <w:bCs/>
          <w:i w:val="0"/>
          <w:snapToGrid/>
          <w:color w:val="auto"/>
          <w:spacing w:val="0"/>
          <w:w w:val="100"/>
          <w:kern w:val="2"/>
          <w:sz w:val="24"/>
          <w:szCs w:val="24"/>
          <w:highlight w:val="none"/>
          <w:lang w:val="en-US" w:eastAsia="zh-CN" w:bidi="ar-SA"/>
        </w:rPr>
      </w:pPr>
      <w:r>
        <w:rPr>
          <w:rFonts w:hint="eastAsia" w:ascii="宋体" w:hAnsi="宋体" w:eastAsia="宋体" w:cs="宋体"/>
          <w:b/>
          <w:bCs/>
          <w:i w:val="0"/>
          <w:snapToGrid/>
          <w:color w:val="auto"/>
          <w:spacing w:val="0"/>
          <w:w w:val="100"/>
          <w:kern w:val="2"/>
          <w:sz w:val="24"/>
          <w:szCs w:val="24"/>
          <w:highlight w:val="none"/>
          <w:lang w:val="en-US" w:eastAsia="zh-CN" w:bidi="ar-SA"/>
        </w:rPr>
        <w:t>注：</w:t>
      </w:r>
      <w:r>
        <w:rPr>
          <w:rFonts w:hint="eastAsia" w:ascii="宋体" w:eastAsia="宋体" w:cs="宋体"/>
          <w:b/>
          <w:bCs/>
          <w:i w:val="0"/>
          <w:snapToGrid/>
          <w:color w:val="auto"/>
          <w:spacing w:val="0"/>
          <w:w w:val="100"/>
          <w:kern w:val="2"/>
          <w:sz w:val="24"/>
          <w:szCs w:val="24"/>
          <w:highlight w:val="none"/>
          <w:lang w:val="en-US" w:eastAsia="zh-CN" w:bidi="ar-SA"/>
        </w:rPr>
        <w:t>本项目专门面向中小企业采购，根据要求单独上传《中小企业声明函（服务）》</w:t>
      </w:r>
      <w:r>
        <w:rPr>
          <w:rFonts w:hint="eastAsia" w:ascii="宋体" w:hAnsi="宋体" w:eastAsia="宋体" w:cs="宋体"/>
          <w:b/>
          <w:bCs/>
          <w:i w:val="0"/>
          <w:snapToGrid/>
          <w:color w:val="auto"/>
          <w:spacing w:val="0"/>
          <w:w w:val="100"/>
          <w:kern w:val="2"/>
          <w:sz w:val="24"/>
          <w:szCs w:val="24"/>
          <w:highlight w:val="none"/>
          <w:lang w:val="en-US" w:eastAsia="zh-CN" w:bidi="ar-SA"/>
        </w:rPr>
        <w:t>。</w:t>
      </w:r>
    </w:p>
    <w:p w14:paraId="36157FA7">
      <w:pPr>
        <w:keepNext w:val="0"/>
        <w:keepLines w:val="0"/>
        <w:pageBreakBefore w:val="0"/>
        <w:widowControl/>
        <w:numPr>
          <w:ilvl w:val="0"/>
          <w:numId w:val="0"/>
        </w:numPr>
        <w:shd w:val="clear" w:color="auto" w:fill="auto"/>
        <w:kinsoku/>
        <w:wordWrap/>
        <w:overflowPunct/>
        <w:topLinePunct w:val="0"/>
        <w:bidi w:val="0"/>
        <w:snapToGrid w:val="0"/>
        <w:spacing w:before="0" w:beforeAutospacing="0" w:after="0" w:afterAutospacing="0" w:line="360" w:lineRule="exact"/>
        <w:ind w:leftChars="0"/>
        <w:jc w:val="left"/>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3.联合协议中约定，小型、微型企业和监狱企业的协议合同金额占到联合体协议合同总金额30%以上的，可给予联合体</w:t>
      </w:r>
      <w:r>
        <w:rPr>
          <w:rFonts w:hint="eastAsia" w:ascii="宋体" w:hAnsi="宋体" w:eastAsia="宋体" w:cs="宋体"/>
          <w:b w:val="0"/>
          <w:i w:val="0"/>
          <w:color w:val="auto"/>
          <w:spacing w:val="0"/>
          <w:w w:val="100"/>
          <w:sz w:val="24"/>
          <w:szCs w:val="24"/>
          <w:highlight w:val="none"/>
          <w:u w:val="single" w:color="000000"/>
        </w:rPr>
        <w:t>2%-3</w:t>
      </w:r>
      <w:r>
        <w:rPr>
          <w:rFonts w:hint="eastAsia" w:ascii="宋体" w:hAnsi="宋体" w:eastAsia="宋体" w:cs="宋体"/>
          <w:b w:val="0"/>
          <w:i w:val="0"/>
          <w:color w:val="auto"/>
          <w:spacing w:val="0"/>
          <w:w w:val="100"/>
          <w:sz w:val="24"/>
          <w:szCs w:val="24"/>
          <w:highlight w:val="none"/>
        </w:rPr>
        <w:t>%的价格扣除。</w:t>
      </w:r>
      <w:r>
        <w:rPr>
          <w:rFonts w:hint="eastAsia" w:ascii="宋体" w:hAnsi="宋体" w:eastAsia="宋体" w:cs="宋体"/>
          <w:b/>
          <w:bCs/>
          <w:i w:val="0"/>
          <w:color w:val="auto"/>
          <w:spacing w:val="0"/>
          <w:w w:val="100"/>
          <w:sz w:val="24"/>
          <w:szCs w:val="24"/>
          <w:highlight w:val="none"/>
        </w:rPr>
        <w:t>（本项目不适用）</w:t>
      </w:r>
    </w:p>
    <w:p w14:paraId="062B172D">
      <w:pPr>
        <w:keepNext w:val="0"/>
        <w:keepLines w:val="0"/>
        <w:pageBreakBefore w:val="0"/>
        <w:widowControl/>
        <w:shd w:val="clear" w:color="auto" w:fill="auto"/>
        <w:kinsoku/>
        <w:wordWrap/>
        <w:overflowPunct/>
        <w:topLinePunct w:val="0"/>
        <w:bidi w:val="0"/>
        <w:snapToGrid w:val="0"/>
        <w:spacing w:before="0" w:beforeAutospacing="0" w:after="0" w:afterAutospacing="0" w:line="360" w:lineRule="exact"/>
        <w:ind w:firstLine="480" w:firstLineChars="200"/>
        <w:jc w:val="left"/>
        <w:textAlignment w:val="baseline"/>
        <w:rPr>
          <w:rFonts w:hint="eastAsia" w:ascii="宋体" w:hAnsi="宋体" w:eastAsia="宋体" w:cs="宋体"/>
          <w:b w:val="0"/>
          <w:i w:val="0"/>
          <w:color w:val="auto"/>
          <w:spacing w:val="0"/>
          <w:w w:val="100"/>
          <w:sz w:val="24"/>
          <w:szCs w:val="24"/>
          <w:highlight w:val="none"/>
        </w:rPr>
      </w:pPr>
      <w:r>
        <w:rPr>
          <w:rFonts w:hint="eastAsia" w:ascii="宋体" w:hAnsi="宋体" w:eastAsia="宋体" w:cs="宋体"/>
          <w:b w:val="0"/>
          <w:i w:val="0"/>
          <w:color w:val="auto"/>
          <w:spacing w:val="0"/>
          <w:w w:val="100"/>
          <w:sz w:val="24"/>
          <w:szCs w:val="24"/>
          <w:highlight w:val="none"/>
        </w:rPr>
        <w:t>联合体各方均为小型、微型企业和监狱企业的，联合体视同为小型、微型企业和监狱企业。</w:t>
      </w:r>
    </w:p>
    <w:p w14:paraId="15A0965A">
      <w:pPr>
        <w:pStyle w:val="9"/>
        <w:keepNext w:val="0"/>
        <w:keepLines w:val="0"/>
        <w:pageBreakBefore w:val="0"/>
        <w:numPr>
          <w:ilvl w:val="0"/>
          <w:numId w:val="0"/>
        </w:numPr>
        <w:shd w:val="clear" w:color="auto" w:fill="auto"/>
        <w:kinsoku/>
        <w:wordWrap/>
        <w:overflowPunct/>
        <w:topLinePunct w:val="0"/>
        <w:bidi w:val="0"/>
        <w:snapToGrid w:val="0"/>
        <w:spacing w:before="0" w:beforeAutospacing="0" w:after="0" w:afterAutospacing="0" w:line="360" w:lineRule="exact"/>
        <w:jc w:val="both"/>
        <w:textAlignment w:val="baseline"/>
        <w:rPr>
          <w:rFonts w:hint="eastAsia" w:ascii="宋体" w:hAnsi="宋体" w:eastAsia="宋体" w:cs="宋体"/>
          <w:b w:val="0"/>
          <w:bCs w:val="0"/>
          <w:i w:val="0"/>
          <w:color w:val="auto"/>
          <w:spacing w:val="0"/>
          <w:w w:val="100"/>
          <w:sz w:val="24"/>
          <w:szCs w:val="24"/>
          <w:highlight w:val="none"/>
          <w:u w:val="single" w:color="000000"/>
        </w:rPr>
      </w:pPr>
      <w:r>
        <w:rPr>
          <w:rFonts w:hint="eastAsia" w:ascii="宋体" w:hAnsi="宋体" w:eastAsia="宋体" w:cs="宋体"/>
          <w:b w:val="0"/>
          <w:bCs w:val="0"/>
          <w:i w:val="0"/>
          <w:color w:val="auto"/>
          <w:spacing w:val="0"/>
          <w:w w:val="100"/>
          <w:kern w:val="2"/>
          <w:sz w:val="24"/>
          <w:szCs w:val="24"/>
          <w:highlight w:val="none"/>
          <w:u w:color="000000"/>
          <w:lang w:val="en-US" w:eastAsia="zh-CN" w:bidi="ar-SA"/>
        </w:rPr>
        <w:t>4.</w:t>
      </w:r>
      <w:r>
        <w:rPr>
          <w:rFonts w:hint="eastAsia" w:ascii="宋体" w:hAnsi="宋体" w:eastAsia="宋体" w:cs="宋体"/>
          <w:b w:val="0"/>
          <w:i w:val="0"/>
          <w:color w:val="auto"/>
          <w:spacing w:val="0"/>
          <w:w w:val="100"/>
          <w:sz w:val="24"/>
          <w:szCs w:val="24"/>
          <w:highlight w:val="none"/>
        </w:rPr>
        <w:t>供应商为提供</w:t>
      </w:r>
      <w:r>
        <w:rPr>
          <w:rFonts w:hint="eastAsia" w:ascii="宋体" w:hAnsi="宋体" w:eastAsia="宋体" w:cs="宋体"/>
          <w:b w:val="0"/>
          <w:i w:val="0"/>
          <w:color w:val="auto"/>
          <w:spacing w:val="0"/>
          <w:w w:val="100"/>
          <w:sz w:val="24"/>
          <w:szCs w:val="24"/>
          <w:highlight w:val="none"/>
          <w:lang w:val="en-US" w:eastAsia="zh-CN"/>
        </w:rPr>
        <w:t>货物</w:t>
      </w:r>
      <w:r>
        <w:rPr>
          <w:rFonts w:hint="eastAsia" w:ascii="宋体" w:hAnsi="宋体" w:eastAsia="宋体" w:cs="宋体"/>
          <w:b w:val="0"/>
          <w:i w:val="0"/>
          <w:color w:val="auto"/>
          <w:spacing w:val="0"/>
          <w:w w:val="100"/>
          <w:sz w:val="24"/>
          <w:szCs w:val="24"/>
          <w:highlight w:val="none"/>
        </w:rPr>
        <w:t>在磋商中伴随磋商的产品如被列入财政部与国家主管部门颁发的节能产品目录或环境标志产品目录或无线局域网产品目录，应提供相关证明，在</w:t>
      </w:r>
      <w:r>
        <w:rPr>
          <w:rFonts w:hint="eastAsia" w:ascii="宋体" w:hAnsi="宋体" w:eastAsia="宋体" w:cs="宋体"/>
          <w:b w:val="0"/>
          <w:i w:val="0"/>
          <w:color w:val="auto"/>
          <w:spacing w:val="0"/>
          <w:w w:val="100"/>
          <w:sz w:val="24"/>
          <w:szCs w:val="24"/>
          <w:highlight w:val="none"/>
          <w:lang w:eastAsia="zh-CN"/>
        </w:rPr>
        <w:t>评审</w:t>
      </w:r>
      <w:r>
        <w:rPr>
          <w:rFonts w:hint="eastAsia" w:ascii="宋体" w:hAnsi="宋体" w:eastAsia="宋体" w:cs="宋体"/>
          <w:b w:val="0"/>
          <w:i w:val="0"/>
          <w:color w:val="auto"/>
          <w:spacing w:val="0"/>
          <w:w w:val="100"/>
          <w:sz w:val="24"/>
          <w:szCs w:val="24"/>
          <w:highlight w:val="none"/>
        </w:rPr>
        <w:t>时予以优先采购</w:t>
      </w:r>
      <w:r>
        <w:rPr>
          <w:rFonts w:hint="eastAsia" w:ascii="宋体" w:hAnsi="宋体" w:eastAsia="宋体" w:cs="宋体"/>
          <w:b w:val="0"/>
          <w:i w:val="0"/>
          <w:color w:val="auto"/>
          <w:spacing w:val="0"/>
          <w:w w:val="100"/>
          <w:sz w:val="24"/>
          <w:szCs w:val="24"/>
          <w:highlight w:val="none"/>
          <w:lang w:eastAsia="zh-CN"/>
        </w:rPr>
        <w:t>，</w:t>
      </w:r>
      <w:r>
        <w:rPr>
          <w:rFonts w:hint="eastAsia" w:ascii="宋体" w:hAnsi="宋体" w:eastAsia="宋体" w:cs="宋体"/>
          <w:b w:val="0"/>
          <w:i w:val="0"/>
          <w:color w:val="auto"/>
          <w:spacing w:val="0"/>
          <w:w w:val="100"/>
          <w:sz w:val="24"/>
          <w:szCs w:val="24"/>
          <w:highlight w:val="none"/>
        </w:rPr>
        <w:t>具体优惠措施为</w:t>
      </w:r>
      <w:r>
        <w:rPr>
          <w:rFonts w:hint="eastAsia" w:ascii="宋体" w:hAnsi="宋体" w:eastAsia="宋体" w:cs="宋体"/>
          <w:b w:val="0"/>
          <w:bCs w:val="0"/>
          <w:i w:val="0"/>
          <w:color w:val="auto"/>
          <w:spacing w:val="0"/>
          <w:w w:val="100"/>
          <w:sz w:val="24"/>
          <w:szCs w:val="24"/>
          <w:highlight w:val="none"/>
          <w:u w:val="single" w:color="000000"/>
        </w:rPr>
        <w:t>：</w:t>
      </w:r>
      <w:r>
        <w:rPr>
          <w:rFonts w:hint="eastAsia" w:ascii="宋体" w:hAnsi="宋体" w:eastAsia="宋体" w:cs="宋体"/>
          <w:b w:val="0"/>
          <w:bCs w:val="0"/>
          <w:i w:val="0"/>
          <w:color w:val="auto"/>
          <w:spacing w:val="0"/>
          <w:w w:val="100"/>
          <w:sz w:val="24"/>
          <w:szCs w:val="24"/>
          <w:highlight w:val="none"/>
          <w:u w:val="single" w:color="000000"/>
          <w:lang w:val="en-US" w:eastAsia="zh-CN"/>
        </w:rPr>
        <w:t>供应商</w:t>
      </w:r>
      <w:r>
        <w:rPr>
          <w:rFonts w:hint="eastAsia" w:ascii="宋体" w:hAnsi="宋体" w:eastAsia="宋体" w:cs="宋体"/>
          <w:b w:val="0"/>
          <w:bCs w:val="0"/>
          <w:i w:val="0"/>
          <w:color w:val="auto"/>
          <w:spacing w:val="0"/>
          <w:w w:val="100"/>
          <w:sz w:val="24"/>
          <w:szCs w:val="24"/>
          <w:highlight w:val="none"/>
          <w:u w:val="single" w:color="000000"/>
        </w:rPr>
        <w:t>所投产品应优先选择《关于印发节能产品政府采购品目清单的通知》（财库〔2019〕19号）、《关于印发环境标志产品政府采购品目清单的通知》（财库〔2019〕</w:t>
      </w:r>
      <w:r>
        <w:rPr>
          <w:rFonts w:hint="eastAsia" w:ascii="宋体" w:hAnsi="宋体" w:eastAsia="宋体" w:cs="宋体"/>
          <w:b w:val="0"/>
          <w:bCs w:val="0"/>
          <w:i w:val="0"/>
          <w:color w:val="auto"/>
          <w:spacing w:val="0"/>
          <w:w w:val="100"/>
          <w:sz w:val="24"/>
          <w:szCs w:val="24"/>
          <w:highlight w:val="none"/>
          <w:u w:val="single" w:color="000000"/>
          <w:lang w:val="en-US" w:eastAsia="zh-CN"/>
        </w:rPr>
        <w:t>18</w:t>
      </w:r>
      <w:r>
        <w:rPr>
          <w:rFonts w:hint="eastAsia" w:ascii="宋体" w:hAnsi="宋体" w:eastAsia="宋体" w:cs="宋体"/>
          <w:b w:val="0"/>
          <w:bCs w:val="0"/>
          <w:i w:val="0"/>
          <w:color w:val="auto"/>
          <w:spacing w:val="0"/>
          <w:w w:val="100"/>
          <w:sz w:val="24"/>
          <w:szCs w:val="24"/>
          <w:highlight w:val="none"/>
          <w:u w:val="single" w:color="000000"/>
        </w:rPr>
        <w:t>号）目录内的产品。</w:t>
      </w:r>
    </w:p>
    <w:p w14:paraId="791E40FD">
      <w:pPr>
        <w:pStyle w:val="9"/>
        <w:keepNext w:val="0"/>
        <w:keepLines w:val="0"/>
        <w:pageBreakBefore w:val="0"/>
        <w:tabs>
          <w:tab w:val="clear" w:pos="567"/>
        </w:tabs>
        <w:kinsoku/>
        <w:wordWrap/>
        <w:overflowPunct/>
        <w:topLinePunct w:val="0"/>
        <w:autoSpaceDE/>
        <w:autoSpaceDN/>
        <w:bidi w:val="0"/>
        <w:adjustRightInd/>
        <w:spacing w:before="0" w:beforeAutospacing="0" w:afterAutospacing="0" w:line="36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5.对创新产品</w:t>
      </w:r>
      <w:r>
        <w:rPr>
          <w:rFonts w:hint="eastAsia" w:ascii="宋体" w:hAnsi="宋体" w:eastAsia="宋体" w:cs="宋体"/>
          <w:color w:val="auto"/>
          <w:sz w:val="24"/>
          <w:szCs w:val="24"/>
          <w:highlight w:val="none"/>
        </w:rPr>
        <w:t>或创新性企业的优惠措施为：</w:t>
      </w:r>
      <w:r>
        <w:rPr>
          <w:rFonts w:hint="eastAsia" w:ascii="宋体" w:hAnsi="宋体" w:eastAsia="宋体" w:cs="宋体"/>
          <w:color w:val="auto"/>
          <w:sz w:val="24"/>
          <w:szCs w:val="24"/>
          <w:highlight w:val="none"/>
          <w:u w:val="single"/>
        </w:rPr>
        <w:t xml:space="preserve">     /      </w:t>
      </w:r>
    </w:p>
    <w:p w14:paraId="0D8BC32F">
      <w:pPr>
        <w:pStyle w:val="5"/>
        <w:keepNext w:val="0"/>
        <w:keepLines w:val="0"/>
        <w:pageBreakBefore w:val="0"/>
        <w:widowControl w:val="0"/>
        <w:shd w:val="clear" w:color="auto" w:fill="auto"/>
        <w:kinsoku/>
        <w:wordWrap/>
        <w:overflowPunct/>
        <w:topLinePunct w:val="0"/>
        <w:bidi w:val="0"/>
        <w:snapToGrid w:val="0"/>
        <w:spacing w:before="0" w:beforeAutospacing="0" w:after="0" w:afterAutospacing="0" w:line="360" w:lineRule="exact"/>
        <w:ind w:firstLine="0"/>
        <w:jc w:val="left"/>
        <w:textAlignment w:val="baseline"/>
        <w:rPr>
          <w:rFonts w:hint="eastAsia" w:ascii="宋体" w:hAnsi="宋体" w:eastAsia="宋体" w:cs="宋体"/>
          <w:b/>
          <w:bCs/>
          <w:i w:val="0"/>
          <w:color w:val="auto"/>
          <w:spacing w:val="0"/>
          <w:w w:val="100"/>
          <w:kern w:val="2"/>
          <w:sz w:val="24"/>
          <w:szCs w:val="24"/>
          <w:highlight w:val="none"/>
          <w:lang w:val="en-US" w:eastAsia="zh-CN" w:bidi="ar-SA"/>
        </w:rPr>
      </w:pPr>
      <w:r>
        <w:rPr>
          <w:rFonts w:hint="eastAsia" w:ascii="宋体" w:hAnsi="宋体" w:eastAsia="宋体" w:cs="宋体"/>
          <w:b/>
          <w:bCs/>
          <w:i w:val="0"/>
          <w:color w:val="auto"/>
          <w:spacing w:val="0"/>
          <w:w w:val="100"/>
          <w:kern w:val="2"/>
          <w:sz w:val="24"/>
          <w:szCs w:val="24"/>
          <w:highlight w:val="none"/>
          <w:lang w:val="en-US" w:eastAsia="zh-CN" w:bidi="ar-SA"/>
        </w:rPr>
        <w:t>6.磋商：</w:t>
      </w:r>
    </w:p>
    <w:p w14:paraId="33F8B835">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（1）供应商按照须知资料表中规定的</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时间和地点，在规定时间内上传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p>
    <w:p w14:paraId="57BE66A7">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前，工作人员收取所有参会人员的手机，主持人宣读</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纪律。</w:t>
      </w:r>
    </w:p>
    <w:p w14:paraId="21B40B9C">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时，由代理机构对供应商的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文件进行解密，解密时间为30分钟。</w:t>
      </w:r>
    </w:p>
    <w:p w14:paraId="1EBF181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（4）由代理机构开启报价，所有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签字确认。</w:t>
      </w:r>
    </w:p>
    <w:p w14:paraId="37638D78">
      <w:pPr>
        <w:keepNext w:val="0"/>
        <w:keepLines w:val="0"/>
        <w:pageBreakBefore w:val="0"/>
        <w:widowControl/>
        <w:kinsoku/>
        <w:wordWrap/>
        <w:overflowPunct/>
        <w:topLinePunct w:val="0"/>
        <w:autoSpaceDE/>
        <w:autoSpaceDN/>
        <w:bidi w:val="0"/>
        <w:adjustRightInd/>
        <w:snapToGrid w:val="0"/>
        <w:spacing w:beforeAutospacing="0" w:afterAutospacing="0" w:line="360" w:lineRule="exact"/>
        <w:ind w:firstLine="480" w:firstLineChars="200"/>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color w:val="auto"/>
          <w:sz w:val="24"/>
          <w:szCs w:val="24"/>
          <w:highlight w:val="none"/>
        </w:rPr>
        <w:t>（5）采购人或采购代理机构登录政采云平台对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的资格证明材料进行审查。</w:t>
      </w:r>
    </w:p>
    <w:p w14:paraId="174E5314">
      <w:pPr>
        <w:keepNext w:val="0"/>
        <w:keepLines w:val="0"/>
        <w:pageBreakBefore w:val="0"/>
        <w:shd w:val="clear" w:color="auto" w:fill="auto"/>
        <w:kinsoku/>
        <w:wordWrap/>
        <w:overflowPunct/>
        <w:topLinePunct w:val="0"/>
        <w:bidi w:val="0"/>
        <w:spacing w:line="3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评审：</w:t>
      </w:r>
    </w:p>
    <w:p w14:paraId="16829A4F">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（1）在政采云平台上</w:t>
      </w:r>
      <w:r>
        <w:rPr>
          <w:rFonts w:hint="eastAsia" w:ascii="宋体" w:hAnsi="宋体" w:eastAsia="宋体" w:cs="宋体"/>
          <w:color w:val="auto"/>
          <w:sz w:val="24"/>
          <w:szCs w:val="24"/>
          <w:highlight w:val="none"/>
          <w:lang w:eastAsia="zh-CN"/>
        </w:rPr>
        <w:t>随机</w:t>
      </w:r>
      <w:r>
        <w:rPr>
          <w:rFonts w:hint="eastAsia" w:ascii="宋体" w:hAnsi="宋体" w:eastAsia="宋体" w:cs="宋体"/>
          <w:color w:val="auto"/>
          <w:sz w:val="24"/>
          <w:szCs w:val="24"/>
          <w:highlight w:val="none"/>
        </w:rPr>
        <w:t>抽取</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名专家</w:t>
      </w:r>
      <w:r>
        <w:rPr>
          <w:rFonts w:hint="eastAsia" w:ascii="宋体" w:hAnsi="宋体" w:eastAsia="宋体" w:cs="宋体"/>
          <w:color w:val="auto"/>
          <w:sz w:val="24"/>
          <w:szCs w:val="24"/>
          <w:highlight w:val="none"/>
          <w:lang w:val="en-US" w:eastAsia="zh-CN"/>
        </w:rPr>
        <w:t>，共3名专家</w:t>
      </w:r>
      <w:r>
        <w:rPr>
          <w:rFonts w:hint="eastAsia" w:ascii="宋体" w:hAnsi="宋体" w:eastAsia="宋体" w:cs="宋体"/>
          <w:color w:val="auto"/>
          <w:sz w:val="24"/>
          <w:szCs w:val="24"/>
          <w:highlight w:val="none"/>
          <w:lang w:eastAsia="zh-CN"/>
        </w:rPr>
        <w:t>组成磋商小组</w:t>
      </w:r>
      <w:r>
        <w:rPr>
          <w:rFonts w:hint="eastAsia" w:ascii="宋体" w:hAnsi="宋体" w:eastAsia="宋体" w:cs="宋体"/>
          <w:color w:val="auto"/>
          <w:sz w:val="24"/>
          <w:szCs w:val="24"/>
          <w:highlight w:val="none"/>
          <w:lang w:val="en-US" w:eastAsia="zh-CN"/>
        </w:rPr>
        <w:t>，负责评</w:t>
      </w:r>
      <w:r>
        <w:rPr>
          <w:rFonts w:hint="eastAsia" w:ascii="宋体" w:hAnsi="宋体" w:eastAsia="宋体" w:cs="宋体"/>
          <w:b w:val="0"/>
          <w:i w:val="0"/>
          <w:color w:val="auto"/>
          <w:spacing w:val="0"/>
          <w:w w:val="100"/>
          <w:sz w:val="24"/>
          <w:szCs w:val="24"/>
          <w:highlight w:val="none"/>
          <w:lang w:val="en-US" w:eastAsia="zh-CN"/>
        </w:rPr>
        <w:t>标工作。</w:t>
      </w:r>
    </w:p>
    <w:p w14:paraId="0BB0D452">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（2）磋商小组应当按照磋商文件中规定的评标方法和标准，对所有响应文件进行资格性审查，再对符合资格要求的供应商的响应文件进行符合性审查，以确定其是否满足磋商文件的实质性要求。</w:t>
      </w:r>
    </w:p>
    <w:p w14:paraId="651A7D65">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3）若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14:paraId="50FFD2C1">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4）磋商小组要求供应商澄清、说明或者更正响应文件应当以书面形式作出。供应商的澄清、说明或者更正应当由法定代表人签字或者加盖公章。由授权代表签字的，应当附法定代表人授权书。供应商为自然人的，应当由本人签字并附身份证明。</w:t>
      </w:r>
    </w:p>
    <w:p w14:paraId="6B33C603">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（5）</w:t>
      </w:r>
      <w:r>
        <w:rPr>
          <w:rFonts w:hint="eastAsia" w:ascii="宋体" w:hAnsi="宋体" w:eastAsia="宋体" w:cs="宋体"/>
          <w:b/>
          <w:bCs/>
          <w:i w:val="0"/>
          <w:color w:val="auto"/>
          <w:spacing w:val="0"/>
          <w:w w:val="100"/>
          <w:sz w:val="24"/>
          <w:szCs w:val="24"/>
          <w:highlight w:val="none"/>
          <w:lang w:val="en-US" w:eastAsia="zh-CN"/>
        </w:rPr>
        <w:t>共有两次报价，二次报价为最终报价</w:t>
      </w:r>
      <w:r>
        <w:rPr>
          <w:rFonts w:hint="eastAsia" w:ascii="宋体" w:hAnsi="宋体" w:eastAsia="宋体" w:cs="宋体"/>
          <w:b w:val="0"/>
          <w:i w:val="0"/>
          <w:color w:val="auto"/>
          <w:spacing w:val="0"/>
          <w:w w:val="100"/>
          <w:sz w:val="24"/>
          <w:szCs w:val="24"/>
          <w:highlight w:val="none"/>
          <w:lang w:val="en-US" w:eastAsia="zh-CN"/>
        </w:rPr>
        <w:t>，磋商小组所有成员集中与单一供应商分别进行磋商，并给予所有参加磋商的供应商平等的磋商机会，磋商小组要求所有实质性响应的供应商在规定时间内提交最后报价。　</w:t>
      </w:r>
    </w:p>
    <w:p w14:paraId="36D3A744">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（6）磋商小组应当按照磋商文件中规定的评标方法和标准，对符合性审查合格的响应文件进行商务和技术评估，综合比较与评价。</w:t>
      </w:r>
    </w:p>
    <w:p w14:paraId="1EA788FE">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综合评分法，是指响应文件满足磋商文件全部实质性要求，且按照评审因素的量化指标评审得分最高的供应商为成交候选人的评标方法。</w:t>
      </w:r>
    </w:p>
    <w:p w14:paraId="288F5E20">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7）采用综合评分法的，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w:t>
      </w:r>
    </w:p>
    <w:p w14:paraId="307F8DCD">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（9）磋商小组成员对需要共同认定的事项存在争议的，应当按照少数服从多数的原则作出结论。持不同意见的磋商小组成员应当在评标报告上签署不同意见及理由，否则视为同意评标报告。</w:t>
      </w:r>
    </w:p>
    <w:p w14:paraId="43E7E076">
      <w:pPr>
        <w:pStyle w:val="9"/>
        <w:keepNext w:val="0"/>
        <w:keepLines w:val="0"/>
        <w:pageBreakBefore w:val="0"/>
        <w:shd w:val="clear" w:color="auto" w:fill="auto"/>
        <w:kinsoku/>
        <w:wordWrap/>
        <w:overflowPunct/>
        <w:topLinePunct w:val="0"/>
        <w:bidi w:val="0"/>
        <w:snapToGrid w:val="0"/>
        <w:spacing w:before="0" w:beforeAutospacing="0" w:afterAutospacing="0" w:line="36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.定标：</w:t>
      </w:r>
    </w:p>
    <w:p w14:paraId="7EEEE0CE">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（1）采购代理机构应当在评标结束后2个工作日内将评标报告送采购人。</w:t>
      </w:r>
    </w:p>
    <w:p w14:paraId="3ED41307">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（2）采购人委托磋商小组直接确定成交人。磋商小组推荐成交候选供应商的数量为</w:t>
      </w:r>
      <w:r>
        <w:rPr>
          <w:rFonts w:hint="eastAsia" w:ascii="宋体" w:hAnsi="宋体" w:cs="宋体"/>
          <w:b w:val="0"/>
          <w:i w:val="0"/>
          <w:color w:val="auto"/>
          <w:spacing w:val="0"/>
          <w:w w:val="100"/>
          <w:sz w:val="24"/>
          <w:szCs w:val="24"/>
          <w:highlight w:val="none"/>
          <w:lang w:val="en-US" w:eastAsia="zh-CN"/>
        </w:rPr>
        <w:t>1</w:t>
      </w:r>
      <w:r>
        <w:rPr>
          <w:rFonts w:hint="eastAsia" w:ascii="宋体" w:hAnsi="宋体" w:eastAsia="宋体" w:cs="宋体"/>
          <w:b w:val="0"/>
          <w:i w:val="0"/>
          <w:color w:val="auto"/>
          <w:spacing w:val="0"/>
          <w:w w:val="100"/>
          <w:sz w:val="24"/>
          <w:szCs w:val="24"/>
          <w:highlight w:val="none"/>
          <w:lang w:val="en-US" w:eastAsia="zh-CN"/>
        </w:rPr>
        <w:t>家。采购人应当自收到评标报告之日起5个工作日内，在评标报告确定的成交候选人名单中按顺序确定成交人。成交候选人并列的，由采购人按照磋商文件规定的方式确定成交人。</w:t>
      </w:r>
    </w:p>
    <w:p w14:paraId="00C349B6">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 xml:space="preserve">（3）成交候选人并列式时的处理方式：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p>
    <w:p w14:paraId="298A203D">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（4）采购人在收到评标报告5个工作日内未按评标报告推荐的成交候选人顺序确定成交人，又不能说明合法理由的，视同按评标报告推荐的顺序确定排名第一的成交候选人为成交人。</w:t>
      </w:r>
    </w:p>
    <w:p w14:paraId="59D570A8">
      <w:pPr>
        <w:pStyle w:val="22"/>
        <w:keepNext w:val="0"/>
        <w:keepLines w:val="0"/>
        <w:pageBreakBefore w:val="0"/>
        <w:shd w:val="clear" w:color="auto" w:fill="auto"/>
        <w:kinsoku/>
        <w:wordWrap/>
        <w:overflowPunct/>
        <w:topLinePunct w:val="0"/>
        <w:autoSpaceDE/>
        <w:autoSpaceDN/>
        <w:bidi w:val="0"/>
        <w:adjustRightInd/>
        <w:snapToGrid w:val="0"/>
        <w:spacing w:beforeAutospacing="0" w:afterAutospacing="0" w:line="3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9.答疑澄清：</w:t>
      </w:r>
    </w:p>
    <w:p w14:paraId="72755991">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（1）磋商小组对于响应文件中含义不明确、同类问题表述不一致或者有明显文字和计算错误的内容，要求供应商以书面形式现场作出必要的澄清、说明或者补正。</w:t>
      </w:r>
    </w:p>
    <w:p w14:paraId="03BAD058">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i w:val="0"/>
          <w:color w:val="auto"/>
          <w:spacing w:val="0"/>
          <w:w w:val="100"/>
          <w:sz w:val="24"/>
          <w:szCs w:val="24"/>
          <w:highlight w:val="none"/>
          <w:lang w:val="en-US" w:eastAsia="zh-CN"/>
        </w:rPr>
        <w:t>（2）供应商的澄清、说明或者补正应当采用书面形式，并加盖公章，或者由法定代表人或其授权的代表签字。供应商的澄清、说明或者补正不得超出响应文件的范围或者改变响应文件的实质性内容。</w:t>
      </w:r>
    </w:p>
    <w:p w14:paraId="6B21A195">
      <w:pPr>
        <w:keepNext w:val="0"/>
        <w:keepLines w:val="0"/>
        <w:pageBreakBefore w:val="0"/>
        <w:widowControl/>
        <w:shd w:val="clear" w:color="auto" w:fill="auto"/>
        <w:kinsoku/>
        <w:wordWrap/>
        <w:overflowPunct/>
        <w:topLinePunct w:val="0"/>
        <w:bidi w:val="0"/>
        <w:snapToGrid w:val="0"/>
        <w:spacing w:beforeAutospacing="0" w:afterAutospacing="0" w:line="360" w:lineRule="exac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.评审标准</w:t>
      </w:r>
      <w:r>
        <w:rPr>
          <w:rFonts w:hint="eastAsia" w:ascii="宋体" w:hAnsi="宋体" w:eastAsia="宋体" w:cs="宋体"/>
          <w:color w:val="auto"/>
          <w:sz w:val="24"/>
          <w:szCs w:val="24"/>
          <w:highlight w:val="none"/>
        </w:rPr>
        <w:t>：（具体详见综合评分表）</w:t>
      </w:r>
    </w:p>
    <w:p w14:paraId="42840788">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rPr>
          <w:rFonts w:hint="eastAsia" w:ascii="宋体" w:hAnsi="宋体" w:eastAsia="宋体" w:cs="宋体"/>
          <w:b w:val="0"/>
          <w:i w:val="0"/>
          <w:color w:val="auto"/>
          <w:spacing w:val="0"/>
          <w:w w:val="100"/>
          <w:sz w:val="24"/>
          <w:szCs w:val="24"/>
          <w:highlight w:val="none"/>
          <w:lang w:val="en-US" w:eastAsia="zh-CN"/>
        </w:rPr>
      </w:pPr>
      <w:r>
        <w:rPr>
          <w:rFonts w:hint="eastAsia" w:ascii="宋体" w:hAnsi="宋体" w:eastAsia="宋体" w:cs="宋体"/>
          <w:b w:val="0"/>
          <w:bCs w:val="0"/>
          <w:i w:val="0"/>
          <w:color w:val="auto"/>
          <w:spacing w:val="0"/>
          <w:w w:val="100"/>
          <w:sz w:val="24"/>
          <w:szCs w:val="24"/>
          <w:highlight w:val="none"/>
          <w:lang w:val="en-US" w:eastAsia="zh-CN"/>
        </w:rPr>
        <w:t>（1）</w:t>
      </w:r>
      <w:r>
        <w:rPr>
          <w:rFonts w:hint="eastAsia" w:ascii="宋体" w:hAnsi="宋体" w:eastAsia="宋体" w:cs="宋体"/>
          <w:b w:val="0"/>
          <w:bCs w:val="0"/>
          <w:i w:val="0"/>
          <w:color w:val="auto"/>
          <w:spacing w:val="0"/>
          <w:w w:val="100"/>
          <w:sz w:val="24"/>
          <w:szCs w:val="24"/>
          <w:highlight w:val="non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r>
        <w:rPr>
          <w:rFonts w:hint="eastAsia" w:ascii="宋体" w:hAnsi="宋体" w:eastAsia="宋体" w:cs="宋体"/>
          <w:b w:val="0"/>
          <w:bCs w:val="0"/>
          <w:i w:val="0"/>
          <w:color w:val="auto"/>
          <w:spacing w:val="0"/>
          <w:w w:val="100"/>
          <w:sz w:val="24"/>
          <w:szCs w:val="24"/>
          <w:highlight w:val="none"/>
          <w:lang w:eastAsia="zh-CN"/>
        </w:rPr>
        <w:t>。</w:t>
      </w:r>
    </w:p>
    <w:p w14:paraId="20A4F8E7">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宋体" w:hAnsi="宋体" w:eastAsia="宋体" w:cs="宋体"/>
          <w:b/>
          <w:i w:val="0"/>
          <w:color w:val="auto"/>
          <w:spacing w:val="0"/>
          <w:w w:val="100"/>
          <w:sz w:val="28"/>
          <w:szCs w:val="28"/>
          <w:highlight w:val="none"/>
        </w:rPr>
      </w:pPr>
      <w:bookmarkStart w:id="733" w:name="_Toc32167"/>
      <w:bookmarkEnd w:id="733"/>
      <w:bookmarkStart w:id="734" w:name="_Toc18687"/>
      <w:bookmarkEnd w:id="734"/>
      <w:bookmarkStart w:id="735" w:name="_Toc19540"/>
      <w:bookmarkEnd w:id="735"/>
      <w:bookmarkStart w:id="736" w:name="_Toc12438"/>
      <w:bookmarkEnd w:id="736"/>
      <w:bookmarkStart w:id="737" w:name="_Toc13647"/>
      <w:bookmarkEnd w:id="737"/>
      <w:bookmarkStart w:id="738" w:name="_Toc26572"/>
      <w:bookmarkEnd w:id="738"/>
      <w:bookmarkStart w:id="739" w:name="_Toc19633"/>
      <w:bookmarkEnd w:id="739"/>
      <w:bookmarkStart w:id="740" w:name="_Toc12716"/>
      <w:bookmarkEnd w:id="740"/>
      <w:bookmarkStart w:id="741" w:name="_Toc13711"/>
      <w:bookmarkEnd w:id="741"/>
      <w:bookmarkStart w:id="742" w:name="_Toc1545"/>
      <w:bookmarkEnd w:id="742"/>
      <w:bookmarkStart w:id="743" w:name="_Toc1126"/>
      <w:bookmarkEnd w:id="743"/>
      <w:bookmarkStart w:id="744" w:name="_Toc3470"/>
      <w:bookmarkEnd w:id="744"/>
      <w:bookmarkStart w:id="745" w:name="_Toc7781"/>
      <w:bookmarkEnd w:id="745"/>
      <w:bookmarkStart w:id="746" w:name="_Toc27829"/>
      <w:bookmarkEnd w:id="746"/>
      <w:bookmarkStart w:id="747" w:name="_Toc8137"/>
      <w:bookmarkEnd w:id="747"/>
      <w:bookmarkStart w:id="748" w:name="_Toc30709"/>
    </w:p>
    <w:p w14:paraId="220AEF0D">
      <w:pPr>
        <w:pStyle w:val="4"/>
        <w:pageBreakBefore w:val="0"/>
        <w:shd w:val="clear" w:color="auto" w:fill="auto"/>
        <w:kinsoku/>
        <w:wordWrap/>
        <w:overflowPunct/>
        <w:topLinePunct w:val="0"/>
        <w:bidi w:val="0"/>
        <w:snapToGrid w:val="0"/>
        <w:spacing w:before="0" w:beforeAutospacing="0" w:after="0" w:afterAutospacing="0" w:line="360" w:lineRule="exact"/>
        <w:jc w:val="both"/>
        <w:textAlignment w:val="baseline"/>
        <w:rPr>
          <w:rFonts w:hint="eastAsia" w:ascii="宋体" w:hAnsi="宋体" w:eastAsia="宋体" w:cs="宋体"/>
          <w:b/>
          <w:i w:val="0"/>
          <w:color w:val="auto"/>
          <w:spacing w:val="0"/>
          <w:w w:val="100"/>
          <w:sz w:val="28"/>
          <w:szCs w:val="28"/>
          <w:highlight w:val="none"/>
        </w:rPr>
      </w:pPr>
    </w:p>
    <w:p w14:paraId="67F9B1C7">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宋体" w:hAnsi="宋体" w:eastAsia="宋体" w:cs="宋体"/>
          <w:b/>
          <w:i w:val="0"/>
          <w:color w:val="auto"/>
          <w:spacing w:val="0"/>
          <w:w w:val="100"/>
          <w:sz w:val="28"/>
          <w:szCs w:val="28"/>
          <w:highlight w:val="none"/>
        </w:rPr>
      </w:pPr>
    </w:p>
    <w:p w14:paraId="6CA7F0E8">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宋体" w:hAnsi="宋体" w:eastAsia="宋体" w:cs="宋体"/>
          <w:b/>
          <w:i w:val="0"/>
          <w:color w:val="auto"/>
          <w:spacing w:val="0"/>
          <w:w w:val="100"/>
          <w:sz w:val="28"/>
          <w:szCs w:val="28"/>
          <w:highlight w:val="none"/>
        </w:rPr>
      </w:pPr>
    </w:p>
    <w:p w14:paraId="381D9C4A">
      <w:pPr>
        <w:rPr>
          <w:rFonts w:hint="eastAsia"/>
          <w:highlight w:val="none"/>
        </w:rPr>
      </w:pPr>
    </w:p>
    <w:p w14:paraId="19E51F05">
      <w:pPr>
        <w:pStyle w:val="8"/>
        <w:rPr>
          <w:rFonts w:hint="eastAsia"/>
          <w:highlight w:val="none"/>
        </w:rPr>
      </w:pPr>
    </w:p>
    <w:p w14:paraId="55058E93">
      <w:pPr>
        <w:rPr>
          <w:rFonts w:hint="eastAsia"/>
          <w:highlight w:val="none"/>
        </w:rPr>
      </w:pPr>
    </w:p>
    <w:p w14:paraId="32A888E5">
      <w:pPr>
        <w:pStyle w:val="8"/>
        <w:rPr>
          <w:rFonts w:hint="eastAsia"/>
          <w:highlight w:val="none"/>
        </w:rPr>
      </w:pPr>
    </w:p>
    <w:p w14:paraId="693F506B">
      <w:pPr>
        <w:rPr>
          <w:rFonts w:hint="eastAsia"/>
          <w:highlight w:val="none"/>
        </w:rPr>
      </w:pPr>
    </w:p>
    <w:p w14:paraId="12629B77">
      <w:pPr>
        <w:pStyle w:val="8"/>
        <w:rPr>
          <w:rFonts w:hint="eastAsia"/>
          <w:highlight w:val="none"/>
        </w:rPr>
      </w:pPr>
    </w:p>
    <w:p w14:paraId="2A9B06EC">
      <w:pPr>
        <w:rPr>
          <w:rFonts w:hint="eastAsia"/>
          <w:highlight w:val="none"/>
        </w:rPr>
      </w:pPr>
    </w:p>
    <w:p w14:paraId="7117A9BE">
      <w:pPr>
        <w:pStyle w:val="8"/>
        <w:rPr>
          <w:rFonts w:hint="eastAsia"/>
          <w:highlight w:val="none"/>
        </w:rPr>
      </w:pPr>
    </w:p>
    <w:p w14:paraId="6906EE16">
      <w:pPr>
        <w:rPr>
          <w:rFonts w:hint="eastAsia"/>
          <w:highlight w:val="none"/>
        </w:rPr>
      </w:pPr>
    </w:p>
    <w:p w14:paraId="4D7F57EF">
      <w:pPr>
        <w:pStyle w:val="8"/>
        <w:rPr>
          <w:rFonts w:hint="eastAsia"/>
          <w:highlight w:val="none"/>
        </w:rPr>
      </w:pPr>
    </w:p>
    <w:p w14:paraId="1CECEE92">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宋体" w:hAnsi="宋体" w:eastAsia="宋体" w:cs="宋体"/>
          <w:b/>
          <w:i w:val="0"/>
          <w:color w:val="auto"/>
          <w:spacing w:val="0"/>
          <w:w w:val="100"/>
          <w:sz w:val="28"/>
          <w:szCs w:val="28"/>
          <w:highlight w:val="none"/>
        </w:rPr>
      </w:pPr>
      <w:r>
        <w:rPr>
          <w:rFonts w:hint="eastAsia" w:ascii="宋体" w:hAnsi="宋体" w:eastAsia="宋体" w:cs="宋体"/>
          <w:b/>
          <w:i w:val="0"/>
          <w:color w:val="auto"/>
          <w:spacing w:val="0"/>
          <w:w w:val="100"/>
          <w:sz w:val="28"/>
          <w:szCs w:val="28"/>
          <w:highlight w:val="none"/>
        </w:rPr>
        <w:t>初步评审—资格性审查表</w:t>
      </w:r>
      <w:bookmarkEnd w:id="748"/>
    </w:p>
    <w:tbl>
      <w:tblPr>
        <w:tblStyle w:val="30"/>
        <w:tblW w:w="5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75"/>
        <w:gridCol w:w="485"/>
        <w:gridCol w:w="485"/>
        <w:gridCol w:w="505"/>
      </w:tblGrid>
      <w:tr w14:paraId="63C9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81" w:type="pct"/>
            <w:vMerge w:val="restart"/>
            <w:noWrap w:val="0"/>
            <w:vAlign w:val="center"/>
          </w:tcPr>
          <w:p w14:paraId="5F1BFD84">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3830" w:type="pct"/>
            <w:vMerge w:val="restart"/>
            <w:noWrap w:val="0"/>
            <w:vAlign w:val="center"/>
          </w:tcPr>
          <w:p w14:paraId="1076DD0C">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评审内容</w:t>
            </w:r>
          </w:p>
        </w:tc>
        <w:tc>
          <w:tcPr>
            <w:tcW w:w="787" w:type="pct"/>
            <w:gridSpan w:val="3"/>
            <w:noWrap w:val="0"/>
            <w:vAlign w:val="center"/>
          </w:tcPr>
          <w:p w14:paraId="73A9364F">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供应商</w:t>
            </w:r>
          </w:p>
        </w:tc>
      </w:tr>
      <w:tr w14:paraId="1AB6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1" w:type="pct"/>
            <w:vMerge w:val="continue"/>
            <w:noWrap w:val="0"/>
            <w:vAlign w:val="center"/>
          </w:tcPr>
          <w:p w14:paraId="232D67D4">
            <w:pPr>
              <w:spacing w:line="320" w:lineRule="exact"/>
              <w:jc w:val="center"/>
              <w:rPr>
                <w:rFonts w:hint="eastAsia" w:ascii="宋体" w:hAnsi="宋体" w:eastAsia="宋体" w:cs="宋体"/>
                <w:b/>
                <w:bCs/>
                <w:color w:val="auto"/>
                <w:sz w:val="22"/>
                <w:szCs w:val="22"/>
                <w:highlight w:val="none"/>
              </w:rPr>
            </w:pPr>
          </w:p>
        </w:tc>
        <w:tc>
          <w:tcPr>
            <w:tcW w:w="3830" w:type="pct"/>
            <w:vMerge w:val="continue"/>
            <w:noWrap w:val="0"/>
            <w:vAlign w:val="center"/>
          </w:tcPr>
          <w:p w14:paraId="00B412CF">
            <w:pPr>
              <w:spacing w:line="320" w:lineRule="exact"/>
              <w:jc w:val="center"/>
              <w:rPr>
                <w:rFonts w:hint="eastAsia" w:ascii="宋体" w:hAnsi="宋体" w:eastAsia="宋体" w:cs="宋体"/>
                <w:b/>
                <w:bCs/>
                <w:color w:val="auto"/>
                <w:sz w:val="22"/>
                <w:szCs w:val="22"/>
                <w:highlight w:val="none"/>
              </w:rPr>
            </w:pPr>
          </w:p>
        </w:tc>
        <w:tc>
          <w:tcPr>
            <w:tcW w:w="258" w:type="pct"/>
            <w:noWrap w:val="0"/>
            <w:vAlign w:val="center"/>
          </w:tcPr>
          <w:p w14:paraId="443E833C">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是否合格</w:t>
            </w:r>
          </w:p>
        </w:tc>
        <w:tc>
          <w:tcPr>
            <w:tcW w:w="258" w:type="pct"/>
            <w:noWrap w:val="0"/>
            <w:vAlign w:val="center"/>
          </w:tcPr>
          <w:p w14:paraId="743DEAC5">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是否合格</w:t>
            </w:r>
          </w:p>
        </w:tc>
        <w:tc>
          <w:tcPr>
            <w:tcW w:w="269" w:type="pct"/>
            <w:noWrap w:val="0"/>
            <w:vAlign w:val="center"/>
          </w:tcPr>
          <w:p w14:paraId="14ED4C85">
            <w:pPr>
              <w:spacing w:line="32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是否合格</w:t>
            </w:r>
          </w:p>
        </w:tc>
      </w:tr>
      <w:tr w14:paraId="6338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1" w:type="pct"/>
            <w:noWrap w:val="0"/>
            <w:vAlign w:val="center"/>
          </w:tcPr>
          <w:p w14:paraId="0E134BD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1</w:t>
            </w:r>
          </w:p>
        </w:tc>
        <w:tc>
          <w:tcPr>
            <w:tcW w:w="3830" w:type="pct"/>
            <w:noWrap w:val="0"/>
            <w:vAlign w:val="center"/>
          </w:tcPr>
          <w:p w14:paraId="33FD9E6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8" w:type="pct"/>
            <w:noWrap w:val="0"/>
            <w:vAlign w:val="top"/>
          </w:tcPr>
          <w:p w14:paraId="3FF67FA2">
            <w:pPr>
              <w:spacing w:line="320" w:lineRule="exact"/>
              <w:rPr>
                <w:rFonts w:hint="eastAsia" w:ascii="宋体" w:hAnsi="宋体" w:eastAsia="宋体" w:cs="宋体"/>
                <w:color w:val="auto"/>
                <w:sz w:val="22"/>
                <w:szCs w:val="22"/>
                <w:highlight w:val="none"/>
              </w:rPr>
            </w:pPr>
          </w:p>
        </w:tc>
        <w:tc>
          <w:tcPr>
            <w:tcW w:w="258" w:type="pct"/>
            <w:noWrap w:val="0"/>
            <w:vAlign w:val="top"/>
          </w:tcPr>
          <w:p w14:paraId="79516F64">
            <w:pPr>
              <w:spacing w:line="320" w:lineRule="exact"/>
              <w:rPr>
                <w:rFonts w:hint="eastAsia" w:ascii="宋体" w:hAnsi="宋体" w:eastAsia="宋体" w:cs="宋体"/>
                <w:color w:val="auto"/>
                <w:sz w:val="22"/>
                <w:szCs w:val="22"/>
                <w:highlight w:val="none"/>
              </w:rPr>
            </w:pPr>
          </w:p>
        </w:tc>
        <w:tc>
          <w:tcPr>
            <w:tcW w:w="269" w:type="pct"/>
            <w:noWrap w:val="0"/>
            <w:vAlign w:val="top"/>
          </w:tcPr>
          <w:p w14:paraId="209F5D84">
            <w:pPr>
              <w:spacing w:line="320" w:lineRule="exact"/>
              <w:rPr>
                <w:rFonts w:hint="eastAsia" w:ascii="宋体" w:hAnsi="宋体" w:eastAsia="宋体" w:cs="宋体"/>
                <w:color w:val="auto"/>
                <w:sz w:val="22"/>
                <w:szCs w:val="22"/>
                <w:highlight w:val="none"/>
              </w:rPr>
            </w:pPr>
          </w:p>
        </w:tc>
      </w:tr>
      <w:tr w14:paraId="6723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81" w:type="pct"/>
            <w:noWrap w:val="0"/>
            <w:vAlign w:val="center"/>
          </w:tcPr>
          <w:p w14:paraId="6172B39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2</w:t>
            </w:r>
          </w:p>
        </w:tc>
        <w:tc>
          <w:tcPr>
            <w:tcW w:w="3830" w:type="pct"/>
            <w:noWrap w:val="0"/>
            <w:vAlign w:val="center"/>
          </w:tcPr>
          <w:p w14:paraId="47867C4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8" w:type="pct"/>
            <w:noWrap w:val="0"/>
            <w:vAlign w:val="top"/>
          </w:tcPr>
          <w:p w14:paraId="7E33A3B9">
            <w:pPr>
              <w:spacing w:line="320" w:lineRule="exact"/>
              <w:rPr>
                <w:rFonts w:hint="eastAsia" w:ascii="宋体" w:hAnsi="宋体" w:eastAsia="宋体" w:cs="宋体"/>
                <w:color w:val="auto"/>
                <w:sz w:val="22"/>
                <w:szCs w:val="22"/>
                <w:highlight w:val="none"/>
              </w:rPr>
            </w:pPr>
          </w:p>
        </w:tc>
        <w:tc>
          <w:tcPr>
            <w:tcW w:w="258" w:type="pct"/>
            <w:noWrap w:val="0"/>
            <w:vAlign w:val="top"/>
          </w:tcPr>
          <w:p w14:paraId="2351A75B">
            <w:pPr>
              <w:spacing w:line="320" w:lineRule="exact"/>
              <w:rPr>
                <w:rFonts w:hint="eastAsia" w:ascii="宋体" w:hAnsi="宋体" w:eastAsia="宋体" w:cs="宋体"/>
                <w:color w:val="auto"/>
                <w:sz w:val="22"/>
                <w:szCs w:val="22"/>
                <w:highlight w:val="none"/>
              </w:rPr>
            </w:pPr>
          </w:p>
        </w:tc>
        <w:tc>
          <w:tcPr>
            <w:tcW w:w="269" w:type="pct"/>
            <w:noWrap w:val="0"/>
            <w:vAlign w:val="top"/>
          </w:tcPr>
          <w:p w14:paraId="738FD4E4">
            <w:pPr>
              <w:spacing w:line="320" w:lineRule="exact"/>
              <w:rPr>
                <w:rFonts w:hint="eastAsia" w:ascii="宋体" w:hAnsi="宋体" w:eastAsia="宋体" w:cs="宋体"/>
                <w:color w:val="auto"/>
                <w:sz w:val="22"/>
                <w:szCs w:val="22"/>
                <w:highlight w:val="none"/>
              </w:rPr>
            </w:pPr>
          </w:p>
        </w:tc>
      </w:tr>
      <w:tr w14:paraId="219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81" w:type="pct"/>
            <w:noWrap w:val="0"/>
            <w:vAlign w:val="center"/>
          </w:tcPr>
          <w:p w14:paraId="1F777E0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3</w:t>
            </w:r>
          </w:p>
        </w:tc>
        <w:tc>
          <w:tcPr>
            <w:tcW w:w="3830" w:type="pct"/>
            <w:noWrap w:val="0"/>
            <w:vAlign w:val="center"/>
          </w:tcPr>
          <w:p w14:paraId="5043474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具有良好的商业信誉和健全的财务会计制度（投标人提供近两年任意一年财务审计报告，新成立未满一年的公司提供开标前三个月内有效银行资信证明）</w:t>
            </w:r>
          </w:p>
        </w:tc>
        <w:tc>
          <w:tcPr>
            <w:tcW w:w="258" w:type="pct"/>
            <w:noWrap w:val="0"/>
            <w:vAlign w:val="top"/>
          </w:tcPr>
          <w:p w14:paraId="6D65F5C3">
            <w:pPr>
              <w:spacing w:line="320" w:lineRule="exact"/>
              <w:rPr>
                <w:rFonts w:hint="eastAsia" w:ascii="宋体" w:hAnsi="宋体" w:eastAsia="宋体" w:cs="宋体"/>
                <w:color w:val="auto"/>
                <w:sz w:val="22"/>
                <w:szCs w:val="22"/>
                <w:highlight w:val="none"/>
              </w:rPr>
            </w:pPr>
          </w:p>
        </w:tc>
        <w:tc>
          <w:tcPr>
            <w:tcW w:w="258" w:type="pct"/>
            <w:noWrap w:val="0"/>
            <w:vAlign w:val="top"/>
          </w:tcPr>
          <w:p w14:paraId="308BF3AA">
            <w:pPr>
              <w:spacing w:line="320" w:lineRule="exact"/>
              <w:rPr>
                <w:rFonts w:hint="eastAsia" w:ascii="宋体" w:hAnsi="宋体" w:eastAsia="宋体" w:cs="宋体"/>
                <w:color w:val="auto"/>
                <w:sz w:val="22"/>
                <w:szCs w:val="22"/>
                <w:highlight w:val="none"/>
              </w:rPr>
            </w:pPr>
          </w:p>
        </w:tc>
        <w:tc>
          <w:tcPr>
            <w:tcW w:w="269" w:type="pct"/>
            <w:noWrap w:val="0"/>
            <w:vAlign w:val="top"/>
          </w:tcPr>
          <w:p w14:paraId="5AE92DAC">
            <w:pPr>
              <w:spacing w:line="320" w:lineRule="exact"/>
              <w:rPr>
                <w:rFonts w:hint="eastAsia" w:ascii="宋体" w:hAnsi="宋体" w:eastAsia="宋体" w:cs="宋体"/>
                <w:color w:val="auto"/>
                <w:sz w:val="22"/>
                <w:szCs w:val="22"/>
                <w:highlight w:val="none"/>
              </w:rPr>
            </w:pPr>
          </w:p>
        </w:tc>
      </w:tr>
      <w:tr w14:paraId="6E6A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81" w:type="pct"/>
            <w:noWrap w:val="0"/>
            <w:vAlign w:val="center"/>
          </w:tcPr>
          <w:p w14:paraId="3DF0243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4</w:t>
            </w:r>
          </w:p>
        </w:tc>
        <w:tc>
          <w:tcPr>
            <w:tcW w:w="3830" w:type="pct"/>
            <w:noWrap w:val="0"/>
            <w:vAlign w:val="center"/>
          </w:tcPr>
          <w:p w14:paraId="4A3721E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期连续3个月的法人及被授权人&lt;被授权人必须为投标单位正式员工&gt;社保部门出具的投标单位的缴纳社保证明和法人及被授权人缴纳社保明细表原件扫描件/复印件&lt;社保证明可提供一下任意一个：社保缴费凭证、社保缴费证明、社保缴费汇总单、依法缴纳社保的完税证明&gt;；</w:t>
            </w:r>
          </w:p>
        </w:tc>
        <w:tc>
          <w:tcPr>
            <w:tcW w:w="258" w:type="pct"/>
            <w:noWrap w:val="0"/>
            <w:vAlign w:val="top"/>
          </w:tcPr>
          <w:p w14:paraId="27A860E7">
            <w:pPr>
              <w:spacing w:line="320" w:lineRule="exact"/>
              <w:rPr>
                <w:rFonts w:hint="eastAsia" w:ascii="宋体" w:hAnsi="宋体" w:eastAsia="宋体" w:cs="宋体"/>
                <w:color w:val="auto"/>
                <w:sz w:val="22"/>
                <w:szCs w:val="22"/>
                <w:highlight w:val="none"/>
              </w:rPr>
            </w:pPr>
          </w:p>
        </w:tc>
        <w:tc>
          <w:tcPr>
            <w:tcW w:w="258" w:type="pct"/>
            <w:noWrap w:val="0"/>
            <w:vAlign w:val="top"/>
          </w:tcPr>
          <w:p w14:paraId="06F78E08">
            <w:pPr>
              <w:spacing w:line="320" w:lineRule="exact"/>
              <w:rPr>
                <w:rFonts w:hint="eastAsia" w:ascii="宋体" w:hAnsi="宋体" w:eastAsia="宋体" w:cs="宋体"/>
                <w:color w:val="auto"/>
                <w:sz w:val="22"/>
                <w:szCs w:val="22"/>
                <w:highlight w:val="none"/>
              </w:rPr>
            </w:pPr>
          </w:p>
        </w:tc>
        <w:tc>
          <w:tcPr>
            <w:tcW w:w="269" w:type="pct"/>
            <w:noWrap w:val="0"/>
            <w:vAlign w:val="top"/>
          </w:tcPr>
          <w:p w14:paraId="632F046B">
            <w:pPr>
              <w:spacing w:line="320" w:lineRule="exact"/>
              <w:rPr>
                <w:rFonts w:hint="eastAsia" w:ascii="宋体" w:hAnsi="宋体" w:eastAsia="宋体" w:cs="宋体"/>
                <w:color w:val="auto"/>
                <w:sz w:val="22"/>
                <w:szCs w:val="22"/>
                <w:highlight w:val="none"/>
              </w:rPr>
            </w:pPr>
          </w:p>
        </w:tc>
      </w:tr>
      <w:tr w14:paraId="1CA7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81" w:type="pct"/>
            <w:noWrap w:val="0"/>
            <w:vAlign w:val="center"/>
          </w:tcPr>
          <w:p w14:paraId="28E5090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5</w:t>
            </w:r>
          </w:p>
        </w:tc>
        <w:tc>
          <w:tcPr>
            <w:tcW w:w="3830" w:type="pct"/>
            <w:noWrap w:val="0"/>
            <w:vAlign w:val="center"/>
          </w:tcPr>
          <w:p w14:paraId="2B3123D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有依法缴纳税收的良好记录；投标单位近期连续3个月依法缴纳税收的完税证明原件扫描件/复印件，依法免缴的，应提供依法免缴的相关证明文件或零申报报表（新公司提交上述内容实际证明材料）；</w:t>
            </w:r>
          </w:p>
        </w:tc>
        <w:tc>
          <w:tcPr>
            <w:tcW w:w="258" w:type="pct"/>
            <w:noWrap w:val="0"/>
            <w:vAlign w:val="top"/>
          </w:tcPr>
          <w:p w14:paraId="219A6D20">
            <w:pPr>
              <w:spacing w:line="320" w:lineRule="exact"/>
              <w:rPr>
                <w:rFonts w:hint="eastAsia" w:ascii="宋体" w:hAnsi="宋体" w:eastAsia="宋体" w:cs="宋体"/>
                <w:color w:val="auto"/>
                <w:sz w:val="22"/>
                <w:szCs w:val="22"/>
                <w:highlight w:val="none"/>
              </w:rPr>
            </w:pPr>
          </w:p>
        </w:tc>
        <w:tc>
          <w:tcPr>
            <w:tcW w:w="258" w:type="pct"/>
            <w:noWrap w:val="0"/>
            <w:vAlign w:val="top"/>
          </w:tcPr>
          <w:p w14:paraId="3AB1DF5D">
            <w:pPr>
              <w:spacing w:line="320" w:lineRule="exact"/>
              <w:rPr>
                <w:rFonts w:hint="eastAsia" w:ascii="宋体" w:hAnsi="宋体" w:eastAsia="宋体" w:cs="宋体"/>
                <w:color w:val="auto"/>
                <w:sz w:val="22"/>
                <w:szCs w:val="22"/>
                <w:highlight w:val="none"/>
              </w:rPr>
            </w:pPr>
          </w:p>
        </w:tc>
        <w:tc>
          <w:tcPr>
            <w:tcW w:w="269" w:type="pct"/>
            <w:noWrap w:val="0"/>
            <w:vAlign w:val="top"/>
          </w:tcPr>
          <w:p w14:paraId="712743B2">
            <w:pPr>
              <w:spacing w:line="320" w:lineRule="exact"/>
              <w:rPr>
                <w:rFonts w:hint="eastAsia" w:ascii="宋体" w:hAnsi="宋体" w:eastAsia="宋体" w:cs="宋体"/>
                <w:color w:val="auto"/>
                <w:sz w:val="22"/>
                <w:szCs w:val="22"/>
                <w:highlight w:val="none"/>
              </w:rPr>
            </w:pPr>
          </w:p>
        </w:tc>
      </w:tr>
      <w:tr w14:paraId="6D2D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81" w:type="pct"/>
            <w:noWrap w:val="0"/>
            <w:vAlign w:val="center"/>
          </w:tcPr>
          <w:p w14:paraId="579612E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6</w:t>
            </w:r>
          </w:p>
        </w:tc>
        <w:tc>
          <w:tcPr>
            <w:tcW w:w="3830" w:type="pct"/>
            <w:noWrap w:val="0"/>
            <w:vAlign w:val="center"/>
          </w:tcPr>
          <w:p w14:paraId="104693A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2022年02月25日-2025年02月25日）不得在“信用中国”网站（www.creditchina.gov.cn）被列入失信被执行人、重大税收违法失信主体内将拒绝其参加本次招标活动。以上内容由投标企业自行承诺，由采购人或采购代理机构在投标截止后核查；</w:t>
            </w:r>
          </w:p>
        </w:tc>
        <w:tc>
          <w:tcPr>
            <w:tcW w:w="258" w:type="pct"/>
            <w:noWrap w:val="0"/>
            <w:vAlign w:val="top"/>
          </w:tcPr>
          <w:p w14:paraId="6F4A3883">
            <w:pPr>
              <w:spacing w:line="320" w:lineRule="exact"/>
              <w:rPr>
                <w:rFonts w:hint="eastAsia" w:ascii="宋体" w:hAnsi="宋体" w:eastAsia="宋体" w:cs="宋体"/>
                <w:color w:val="auto"/>
                <w:sz w:val="22"/>
                <w:szCs w:val="22"/>
                <w:highlight w:val="none"/>
              </w:rPr>
            </w:pPr>
          </w:p>
        </w:tc>
        <w:tc>
          <w:tcPr>
            <w:tcW w:w="258" w:type="pct"/>
            <w:noWrap w:val="0"/>
            <w:vAlign w:val="top"/>
          </w:tcPr>
          <w:p w14:paraId="29318A2B">
            <w:pPr>
              <w:spacing w:line="320" w:lineRule="exact"/>
              <w:rPr>
                <w:rFonts w:hint="eastAsia" w:ascii="宋体" w:hAnsi="宋体" w:eastAsia="宋体" w:cs="宋体"/>
                <w:color w:val="auto"/>
                <w:sz w:val="22"/>
                <w:szCs w:val="22"/>
                <w:highlight w:val="none"/>
              </w:rPr>
            </w:pPr>
          </w:p>
        </w:tc>
        <w:tc>
          <w:tcPr>
            <w:tcW w:w="269" w:type="pct"/>
            <w:noWrap w:val="0"/>
            <w:vAlign w:val="top"/>
          </w:tcPr>
          <w:p w14:paraId="59AF9F32">
            <w:pPr>
              <w:spacing w:line="320" w:lineRule="exact"/>
              <w:rPr>
                <w:rFonts w:hint="eastAsia" w:ascii="宋体" w:hAnsi="宋体" w:eastAsia="宋体" w:cs="宋体"/>
                <w:color w:val="auto"/>
                <w:sz w:val="22"/>
                <w:szCs w:val="22"/>
                <w:highlight w:val="none"/>
              </w:rPr>
            </w:pPr>
          </w:p>
        </w:tc>
      </w:tr>
      <w:tr w14:paraId="3A7B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1" w:type="pct"/>
            <w:noWrap w:val="0"/>
            <w:vAlign w:val="center"/>
          </w:tcPr>
          <w:p w14:paraId="261AB18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7</w:t>
            </w:r>
          </w:p>
        </w:tc>
        <w:tc>
          <w:tcPr>
            <w:tcW w:w="3830" w:type="pct"/>
            <w:noWrap w:val="0"/>
            <w:vAlign w:val="center"/>
          </w:tcPr>
          <w:p w14:paraId="37954D8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8" w:type="pct"/>
            <w:noWrap w:val="0"/>
            <w:vAlign w:val="top"/>
          </w:tcPr>
          <w:p w14:paraId="53821741">
            <w:pPr>
              <w:spacing w:line="320" w:lineRule="exact"/>
              <w:rPr>
                <w:rFonts w:hint="eastAsia" w:ascii="宋体" w:hAnsi="宋体" w:eastAsia="宋体" w:cs="宋体"/>
                <w:color w:val="auto"/>
                <w:sz w:val="22"/>
                <w:szCs w:val="22"/>
                <w:highlight w:val="none"/>
              </w:rPr>
            </w:pPr>
          </w:p>
        </w:tc>
        <w:tc>
          <w:tcPr>
            <w:tcW w:w="258" w:type="pct"/>
            <w:noWrap w:val="0"/>
            <w:vAlign w:val="top"/>
          </w:tcPr>
          <w:p w14:paraId="7B7198B2">
            <w:pPr>
              <w:spacing w:line="320" w:lineRule="exact"/>
              <w:rPr>
                <w:rFonts w:hint="eastAsia" w:ascii="宋体" w:hAnsi="宋体" w:eastAsia="宋体" w:cs="宋体"/>
                <w:color w:val="auto"/>
                <w:sz w:val="22"/>
                <w:szCs w:val="22"/>
                <w:highlight w:val="none"/>
              </w:rPr>
            </w:pPr>
          </w:p>
        </w:tc>
        <w:tc>
          <w:tcPr>
            <w:tcW w:w="269" w:type="pct"/>
            <w:noWrap w:val="0"/>
            <w:vAlign w:val="top"/>
          </w:tcPr>
          <w:p w14:paraId="11EDC0AE">
            <w:pPr>
              <w:spacing w:line="320" w:lineRule="exact"/>
              <w:rPr>
                <w:rFonts w:hint="eastAsia" w:ascii="宋体" w:hAnsi="宋体" w:eastAsia="宋体" w:cs="宋体"/>
                <w:color w:val="auto"/>
                <w:sz w:val="22"/>
                <w:szCs w:val="22"/>
                <w:highlight w:val="none"/>
              </w:rPr>
            </w:pPr>
          </w:p>
        </w:tc>
      </w:tr>
      <w:tr w14:paraId="64D8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81" w:type="pct"/>
            <w:noWrap w:val="0"/>
            <w:vAlign w:val="center"/>
          </w:tcPr>
          <w:p w14:paraId="5771984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8</w:t>
            </w:r>
          </w:p>
        </w:tc>
        <w:tc>
          <w:tcPr>
            <w:tcW w:w="3830" w:type="pct"/>
            <w:noWrap w:val="0"/>
            <w:vAlign w:val="center"/>
          </w:tcPr>
          <w:p w14:paraId="0CC3710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8" w:type="pct"/>
            <w:noWrap w:val="0"/>
            <w:vAlign w:val="top"/>
          </w:tcPr>
          <w:p w14:paraId="13B24D82">
            <w:pPr>
              <w:spacing w:line="320" w:lineRule="exact"/>
              <w:rPr>
                <w:rFonts w:hint="eastAsia" w:ascii="宋体" w:hAnsi="宋体" w:eastAsia="宋体" w:cs="宋体"/>
                <w:color w:val="auto"/>
                <w:sz w:val="22"/>
                <w:szCs w:val="22"/>
                <w:highlight w:val="none"/>
              </w:rPr>
            </w:pPr>
          </w:p>
        </w:tc>
        <w:tc>
          <w:tcPr>
            <w:tcW w:w="258" w:type="pct"/>
            <w:noWrap w:val="0"/>
            <w:vAlign w:val="top"/>
          </w:tcPr>
          <w:p w14:paraId="785252CB">
            <w:pPr>
              <w:spacing w:line="320" w:lineRule="exact"/>
              <w:rPr>
                <w:rFonts w:hint="eastAsia" w:ascii="宋体" w:hAnsi="宋体" w:eastAsia="宋体" w:cs="宋体"/>
                <w:color w:val="auto"/>
                <w:sz w:val="22"/>
                <w:szCs w:val="22"/>
                <w:highlight w:val="none"/>
              </w:rPr>
            </w:pPr>
          </w:p>
        </w:tc>
        <w:tc>
          <w:tcPr>
            <w:tcW w:w="269" w:type="pct"/>
            <w:noWrap w:val="0"/>
            <w:vAlign w:val="top"/>
          </w:tcPr>
          <w:p w14:paraId="74609DC9">
            <w:pPr>
              <w:spacing w:line="320" w:lineRule="exact"/>
              <w:rPr>
                <w:rFonts w:hint="eastAsia" w:ascii="宋体" w:hAnsi="宋体" w:eastAsia="宋体" w:cs="宋体"/>
                <w:color w:val="auto"/>
                <w:sz w:val="22"/>
                <w:szCs w:val="22"/>
                <w:highlight w:val="none"/>
              </w:rPr>
            </w:pPr>
          </w:p>
        </w:tc>
      </w:tr>
      <w:tr w14:paraId="2C8D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15" w:type="dxa"/>
            <w:noWrap w:val="0"/>
            <w:vAlign w:val="center"/>
          </w:tcPr>
          <w:p w14:paraId="7BF7F9D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7175" w:type="dxa"/>
            <w:noWrap w:val="0"/>
            <w:vAlign w:val="center"/>
          </w:tcPr>
          <w:p w14:paraId="6271678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8" w:type="pct"/>
            <w:noWrap w:val="0"/>
            <w:vAlign w:val="top"/>
          </w:tcPr>
          <w:p w14:paraId="7EEB5B0F">
            <w:pPr>
              <w:spacing w:line="320" w:lineRule="exact"/>
              <w:rPr>
                <w:rFonts w:hint="eastAsia" w:ascii="宋体" w:hAnsi="宋体" w:eastAsia="宋体" w:cs="宋体"/>
                <w:color w:val="auto"/>
                <w:sz w:val="22"/>
                <w:szCs w:val="22"/>
                <w:highlight w:val="none"/>
              </w:rPr>
            </w:pPr>
          </w:p>
        </w:tc>
        <w:tc>
          <w:tcPr>
            <w:tcW w:w="258" w:type="pct"/>
            <w:noWrap w:val="0"/>
            <w:vAlign w:val="top"/>
          </w:tcPr>
          <w:p w14:paraId="53BD9BD6">
            <w:pPr>
              <w:spacing w:line="320" w:lineRule="exact"/>
              <w:rPr>
                <w:rFonts w:hint="eastAsia" w:ascii="宋体" w:hAnsi="宋体" w:eastAsia="宋体" w:cs="宋体"/>
                <w:color w:val="auto"/>
                <w:sz w:val="22"/>
                <w:szCs w:val="22"/>
                <w:highlight w:val="none"/>
              </w:rPr>
            </w:pPr>
          </w:p>
        </w:tc>
        <w:tc>
          <w:tcPr>
            <w:tcW w:w="269" w:type="pct"/>
            <w:noWrap w:val="0"/>
            <w:vAlign w:val="top"/>
          </w:tcPr>
          <w:p w14:paraId="12138CE4">
            <w:pPr>
              <w:spacing w:line="320" w:lineRule="exact"/>
              <w:rPr>
                <w:rFonts w:hint="eastAsia" w:ascii="宋体" w:hAnsi="宋体" w:eastAsia="宋体" w:cs="宋体"/>
                <w:color w:val="auto"/>
                <w:sz w:val="22"/>
                <w:szCs w:val="22"/>
                <w:highlight w:val="none"/>
              </w:rPr>
            </w:pPr>
          </w:p>
        </w:tc>
      </w:tr>
      <w:tr w14:paraId="15D9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15" w:type="dxa"/>
            <w:noWrap w:val="0"/>
            <w:vAlign w:val="center"/>
          </w:tcPr>
          <w:p w14:paraId="4B5F686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10</w:t>
            </w:r>
          </w:p>
        </w:tc>
        <w:tc>
          <w:tcPr>
            <w:tcW w:w="7175" w:type="dxa"/>
            <w:noWrap w:val="0"/>
            <w:vAlign w:val="center"/>
          </w:tcPr>
          <w:p w14:paraId="45C1DE3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根据要求单独上传《中小企业声明函（服务）》的扫描件</w:t>
            </w:r>
          </w:p>
        </w:tc>
        <w:tc>
          <w:tcPr>
            <w:tcW w:w="258" w:type="pct"/>
            <w:noWrap w:val="0"/>
            <w:vAlign w:val="top"/>
          </w:tcPr>
          <w:p w14:paraId="76B2747E">
            <w:pPr>
              <w:spacing w:line="320" w:lineRule="exact"/>
              <w:rPr>
                <w:rFonts w:hint="eastAsia" w:ascii="宋体" w:hAnsi="宋体" w:eastAsia="宋体" w:cs="宋体"/>
                <w:color w:val="auto"/>
                <w:sz w:val="22"/>
                <w:szCs w:val="22"/>
                <w:highlight w:val="none"/>
              </w:rPr>
            </w:pPr>
          </w:p>
        </w:tc>
        <w:tc>
          <w:tcPr>
            <w:tcW w:w="258" w:type="pct"/>
            <w:noWrap w:val="0"/>
            <w:vAlign w:val="top"/>
          </w:tcPr>
          <w:p w14:paraId="6D8B0A96">
            <w:pPr>
              <w:spacing w:line="320" w:lineRule="exact"/>
              <w:rPr>
                <w:rFonts w:hint="eastAsia" w:ascii="宋体" w:hAnsi="宋体" w:eastAsia="宋体" w:cs="宋体"/>
                <w:color w:val="auto"/>
                <w:sz w:val="22"/>
                <w:szCs w:val="22"/>
                <w:highlight w:val="none"/>
              </w:rPr>
            </w:pPr>
          </w:p>
        </w:tc>
        <w:tc>
          <w:tcPr>
            <w:tcW w:w="269" w:type="pct"/>
            <w:noWrap w:val="0"/>
            <w:vAlign w:val="top"/>
          </w:tcPr>
          <w:p w14:paraId="4298F66E">
            <w:pPr>
              <w:spacing w:line="320" w:lineRule="exact"/>
              <w:rPr>
                <w:rFonts w:hint="eastAsia" w:ascii="宋体" w:hAnsi="宋体" w:eastAsia="宋体" w:cs="宋体"/>
                <w:color w:val="auto"/>
                <w:sz w:val="22"/>
                <w:szCs w:val="22"/>
                <w:highlight w:val="none"/>
              </w:rPr>
            </w:pPr>
          </w:p>
        </w:tc>
      </w:tr>
      <w:tr w14:paraId="5A0C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1" w:type="pct"/>
            <w:noWrap w:val="0"/>
            <w:vAlign w:val="center"/>
          </w:tcPr>
          <w:p w14:paraId="210B6E8B">
            <w:pPr>
              <w:spacing w:line="320" w:lineRule="exact"/>
              <w:jc w:val="left"/>
              <w:rPr>
                <w:rFonts w:hint="eastAsia" w:ascii="宋体" w:hAnsi="宋体" w:eastAsia="宋体" w:cs="宋体"/>
                <w:color w:val="auto"/>
                <w:spacing w:val="-2"/>
                <w:sz w:val="22"/>
                <w:szCs w:val="22"/>
                <w:highlight w:val="none"/>
              </w:rPr>
            </w:pPr>
          </w:p>
        </w:tc>
        <w:tc>
          <w:tcPr>
            <w:tcW w:w="3830" w:type="pct"/>
            <w:noWrap w:val="0"/>
            <w:vAlign w:val="center"/>
          </w:tcPr>
          <w:p w14:paraId="29B5354B">
            <w:pPr>
              <w:spacing w:line="320" w:lineRule="exact"/>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结论</w:t>
            </w:r>
          </w:p>
        </w:tc>
        <w:tc>
          <w:tcPr>
            <w:tcW w:w="258" w:type="pct"/>
            <w:noWrap w:val="0"/>
            <w:vAlign w:val="top"/>
          </w:tcPr>
          <w:p w14:paraId="3216DBC6">
            <w:pPr>
              <w:spacing w:line="320" w:lineRule="exact"/>
              <w:rPr>
                <w:rFonts w:hint="eastAsia" w:ascii="宋体" w:hAnsi="宋体" w:eastAsia="宋体" w:cs="宋体"/>
                <w:color w:val="auto"/>
                <w:sz w:val="22"/>
                <w:szCs w:val="22"/>
                <w:highlight w:val="none"/>
              </w:rPr>
            </w:pPr>
          </w:p>
        </w:tc>
        <w:tc>
          <w:tcPr>
            <w:tcW w:w="258" w:type="pct"/>
            <w:noWrap w:val="0"/>
            <w:vAlign w:val="top"/>
          </w:tcPr>
          <w:p w14:paraId="623AAF89">
            <w:pPr>
              <w:spacing w:line="320" w:lineRule="exact"/>
              <w:rPr>
                <w:rFonts w:hint="eastAsia" w:ascii="宋体" w:hAnsi="宋体" w:eastAsia="宋体" w:cs="宋体"/>
                <w:color w:val="auto"/>
                <w:sz w:val="22"/>
                <w:szCs w:val="22"/>
                <w:highlight w:val="none"/>
              </w:rPr>
            </w:pPr>
          </w:p>
        </w:tc>
        <w:tc>
          <w:tcPr>
            <w:tcW w:w="269" w:type="pct"/>
            <w:noWrap w:val="0"/>
            <w:vAlign w:val="top"/>
          </w:tcPr>
          <w:p w14:paraId="6408E28C">
            <w:pPr>
              <w:spacing w:line="320" w:lineRule="exact"/>
              <w:rPr>
                <w:rFonts w:hint="eastAsia" w:ascii="宋体" w:hAnsi="宋体" w:eastAsia="宋体" w:cs="宋体"/>
                <w:color w:val="auto"/>
                <w:sz w:val="22"/>
                <w:szCs w:val="22"/>
                <w:highlight w:val="none"/>
              </w:rPr>
            </w:pPr>
          </w:p>
        </w:tc>
      </w:tr>
    </w:tbl>
    <w:p w14:paraId="15C5CEE2">
      <w:pPr>
        <w:keepNext w:val="0"/>
        <w:keepLines w:val="0"/>
        <w:pageBreakBefore w:val="0"/>
        <w:widowControl w:val="0"/>
        <w:kinsoku/>
        <w:wordWrap/>
        <w:overflowPunct/>
        <w:topLinePunct w:val="0"/>
        <w:bidi w:val="0"/>
        <w:snapToGrid/>
        <w:spacing w:line="400" w:lineRule="exact"/>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4D646228">
      <w:pPr>
        <w:keepNext w:val="0"/>
        <w:keepLines w:val="0"/>
        <w:pageBreakBefore w:val="0"/>
        <w:widowControl w:val="0"/>
        <w:kinsoku/>
        <w:wordWrap/>
        <w:overflowPunct/>
        <w:topLinePunct w:val="0"/>
        <w:bidi w:val="0"/>
        <w:snapToGrid/>
        <w:spacing w:line="400" w:lineRule="exact"/>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14:paraId="2949D0D5">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文件中存在重大偏差，不能通过初步评审；评委对某一分项评审认为不合格时，必须要写明原因。</w:t>
      </w:r>
    </w:p>
    <w:p w14:paraId="5E285D63">
      <w:pPr>
        <w:keepNext w:val="0"/>
        <w:keepLines w:val="0"/>
        <w:pageBreakBefore w:val="0"/>
        <w:widowControl w:val="0"/>
        <w:kinsoku/>
        <w:wordWrap/>
        <w:overflowPunct/>
        <w:topLinePunct w:val="0"/>
        <w:autoSpaceDE w:val="0"/>
        <w:autoSpaceDN w:val="0"/>
        <w:bidi w:val="0"/>
        <w:adjustRightInd w:val="0"/>
        <w:snapToGrid/>
        <w:spacing w:line="400" w:lineRule="exact"/>
        <w:ind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（3）响应文件最终合格与否，以所有评委的评审意见中少数服从多数为原则定论。</w:t>
      </w:r>
    </w:p>
    <w:p w14:paraId="69D21FCE">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未通过资格审查的供应商不进入评标；通过资格审查的供应商少于三家的，不得评标。</w:t>
      </w:r>
    </w:p>
    <w:p w14:paraId="1A826705">
      <w:pPr>
        <w:pStyle w:val="8"/>
        <w:rPr>
          <w:rFonts w:hint="eastAsia"/>
          <w:highlight w:val="none"/>
        </w:rPr>
      </w:pPr>
    </w:p>
    <w:p w14:paraId="6A556D0C">
      <w:pPr>
        <w:rPr>
          <w:rFonts w:hint="eastAsia"/>
          <w:highlight w:val="none"/>
        </w:rPr>
      </w:pPr>
    </w:p>
    <w:p w14:paraId="573FB45A">
      <w:pPr>
        <w:rPr>
          <w:rFonts w:hint="eastAsia"/>
          <w:highlight w:val="none"/>
        </w:rPr>
      </w:pPr>
    </w:p>
    <w:p w14:paraId="0FD939C6">
      <w:pPr>
        <w:rPr>
          <w:rFonts w:hint="eastAsia"/>
          <w:highlight w:val="none"/>
        </w:rPr>
      </w:pPr>
    </w:p>
    <w:p w14:paraId="482CC94F">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宋体" w:hAnsi="宋体" w:eastAsia="宋体" w:cs="宋体"/>
          <w:b/>
          <w:i w:val="0"/>
          <w:color w:val="auto"/>
          <w:spacing w:val="0"/>
          <w:w w:val="100"/>
          <w:sz w:val="28"/>
          <w:szCs w:val="28"/>
          <w:highlight w:val="none"/>
        </w:rPr>
      </w:pPr>
      <w:bookmarkStart w:id="749" w:name="_Toc20613"/>
      <w:bookmarkEnd w:id="749"/>
      <w:bookmarkStart w:id="750" w:name="_Toc11241"/>
      <w:bookmarkEnd w:id="750"/>
      <w:bookmarkStart w:id="751" w:name="_Toc12276"/>
      <w:bookmarkEnd w:id="751"/>
      <w:bookmarkStart w:id="752" w:name="_Toc19523"/>
      <w:bookmarkEnd w:id="752"/>
      <w:bookmarkStart w:id="753" w:name="_Toc12096"/>
      <w:bookmarkEnd w:id="753"/>
      <w:bookmarkStart w:id="754" w:name="_Toc8628"/>
      <w:bookmarkEnd w:id="754"/>
      <w:bookmarkStart w:id="755" w:name="_Toc8771"/>
      <w:bookmarkEnd w:id="755"/>
      <w:bookmarkStart w:id="756" w:name="_Toc2556"/>
      <w:bookmarkEnd w:id="756"/>
      <w:bookmarkStart w:id="757" w:name="_Toc22718"/>
      <w:bookmarkEnd w:id="757"/>
      <w:bookmarkStart w:id="758" w:name="_Toc29061"/>
      <w:bookmarkEnd w:id="758"/>
      <w:bookmarkStart w:id="759" w:name="_Toc70"/>
      <w:bookmarkEnd w:id="759"/>
      <w:bookmarkStart w:id="760" w:name="_Toc23770"/>
      <w:bookmarkEnd w:id="760"/>
      <w:bookmarkStart w:id="761" w:name="_Toc28345"/>
      <w:bookmarkEnd w:id="761"/>
      <w:bookmarkStart w:id="762" w:name="_Toc946"/>
      <w:bookmarkEnd w:id="762"/>
      <w:bookmarkStart w:id="763" w:name="_Toc7343"/>
      <w:bookmarkEnd w:id="763"/>
      <w:bookmarkStart w:id="764" w:name="_Toc22884"/>
      <w:r>
        <w:rPr>
          <w:rFonts w:hint="eastAsia" w:ascii="宋体" w:hAnsi="宋体" w:eastAsia="宋体" w:cs="宋体"/>
          <w:b/>
          <w:i w:val="0"/>
          <w:color w:val="auto"/>
          <w:spacing w:val="0"/>
          <w:w w:val="100"/>
          <w:sz w:val="28"/>
          <w:szCs w:val="28"/>
          <w:highlight w:val="none"/>
        </w:rPr>
        <w:t>初步评审—符合性审查表</w:t>
      </w:r>
      <w:bookmarkEnd w:id="764"/>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7188"/>
        <w:gridCol w:w="768"/>
      </w:tblGrid>
      <w:tr w14:paraId="7000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47" w:type="pct"/>
            <w:gridSpan w:val="2"/>
            <w:noWrap w:val="0"/>
            <w:vAlign w:val="center"/>
          </w:tcPr>
          <w:p w14:paraId="205A0FBA">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评审内容</w:t>
            </w:r>
          </w:p>
        </w:tc>
        <w:tc>
          <w:tcPr>
            <w:tcW w:w="452" w:type="pct"/>
            <w:noWrap w:val="0"/>
            <w:vAlign w:val="center"/>
          </w:tcPr>
          <w:p w14:paraId="14AE7342">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b/>
                <w:color w:val="auto"/>
                <w:szCs w:val="21"/>
                <w:highlight w:val="none"/>
              </w:rPr>
              <w:t>评审意见</w:t>
            </w:r>
          </w:p>
        </w:tc>
      </w:tr>
      <w:tr w14:paraId="0DED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7" w:type="pct"/>
            <w:noWrap w:val="0"/>
            <w:vAlign w:val="center"/>
          </w:tcPr>
          <w:p w14:paraId="3438127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230" w:type="pct"/>
            <w:noWrap w:val="0"/>
            <w:vAlign w:val="center"/>
          </w:tcPr>
          <w:p w14:paraId="4946C307">
            <w:pPr>
              <w:spacing w:line="400" w:lineRule="exact"/>
              <w:rPr>
                <w:rFonts w:hint="eastAsia" w:ascii="宋体" w:hAnsi="宋体" w:eastAsia="宋体" w:cs="宋体"/>
                <w:color w:val="auto"/>
                <w:spacing w:val="-2"/>
                <w:szCs w:val="21"/>
                <w:highlight w:val="none"/>
              </w:rPr>
            </w:pPr>
          </w:p>
        </w:tc>
        <w:tc>
          <w:tcPr>
            <w:tcW w:w="452" w:type="pct"/>
            <w:noWrap w:val="0"/>
            <w:vAlign w:val="center"/>
          </w:tcPr>
          <w:p w14:paraId="00477D39">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是否合格</w:t>
            </w:r>
          </w:p>
        </w:tc>
      </w:tr>
      <w:tr w14:paraId="445F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7" w:type="pct"/>
            <w:noWrap w:val="0"/>
            <w:vAlign w:val="center"/>
          </w:tcPr>
          <w:p w14:paraId="41C9E970">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w:t>
            </w:r>
          </w:p>
        </w:tc>
        <w:tc>
          <w:tcPr>
            <w:tcW w:w="4230" w:type="pct"/>
            <w:noWrap w:val="0"/>
            <w:vAlign w:val="center"/>
          </w:tcPr>
          <w:p w14:paraId="15CA0CB5">
            <w:pPr>
              <w:spacing w:line="320" w:lineRule="exact"/>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各供应商</w:t>
            </w:r>
            <w:r>
              <w:rPr>
                <w:rFonts w:hint="eastAsia" w:ascii="宋体" w:hAnsi="宋体" w:cs="宋体"/>
                <w:color w:val="auto"/>
                <w:spacing w:val="-2"/>
                <w:szCs w:val="21"/>
                <w:highlight w:val="none"/>
                <w:lang w:eastAsia="zh-CN"/>
              </w:rPr>
              <w:t>磋商</w:t>
            </w:r>
            <w:r>
              <w:rPr>
                <w:rFonts w:hint="eastAsia" w:ascii="宋体" w:hAnsi="宋体" w:eastAsia="宋体" w:cs="宋体"/>
                <w:color w:val="auto"/>
                <w:spacing w:val="-2"/>
                <w:szCs w:val="21"/>
                <w:highlight w:val="none"/>
                <w:lang w:val="en-US" w:eastAsia="zh-CN"/>
              </w:rPr>
              <w:t>价格</w:t>
            </w:r>
            <w:r>
              <w:rPr>
                <w:rFonts w:hint="eastAsia" w:ascii="宋体" w:hAnsi="宋体" w:eastAsia="宋体" w:cs="宋体"/>
                <w:color w:val="auto"/>
                <w:spacing w:val="-2"/>
                <w:szCs w:val="21"/>
                <w:highlight w:val="none"/>
              </w:rPr>
              <w:t>未高于预算</w:t>
            </w:r>
            <w:r>
              <w:rPr>
                <w:rFonts w:hint="eastAsia" w:ascii="宋体" w:hAnsi="宋体" w:eastAsia="宋体" w:cs="宋体"/>
                <w:color w:val="auto"/>
                <w:spacing w:val="-2"/>
                <w:szCs w:val="21"/>
                <w:highlight w:val="none"/>
                <w:lang w:val="en-US" w:eastAsia="zh-CN"/>
              </w:rPr>
              <w:t>金额</w:t>
            </w:r>
            <w:r>
              <w:rPr>
                <w:rFonts w:hint="eastAsia" w:ascii="宋体" w:hAnsi="宋体" w:eastAsia="宋体" w:cs="宋体"/>
                <w:color w:val="auto"/>
                <w:spacing w:val="-2"/>
                <w:szCs w:val="21"/>
                <w:highlight w:val="none"/>
              </w:rPr>
              <w:t>；</w:t>
            </w:r>
          </w:p>
        </w:tc>
        <w:tc>
          <w:tcPr>
            <w:tcW w:w="452" w:type="pct"/>
            <w:noWrap w:val="0"/>
            <w:vAlign w:val="center"/>
          </w:tcPr>
          <w:p w14:paraId="784189F2">
            <w:pPr>
              <w:spacing w:line="400" w:lineRule="exact"/>
              <w:rPr>
                <w:rFonts w:hint="eastAsia" w:ascii="宋体" w:hAnsi="宋体" w:eastAsia="宋体" w:cs="宋体"/>
                <w:color w:val="auto"/>
                <w:spacing w:val="-2"/>
                <w:szCs w:val="21"/>
                <w:highlight w:val="none"/>
              </w:rPr>
            </w:pPr>
          </w:p>
        </w:tc>
      </w:tr>
      <w:tr w14:paraId="1ABB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17" w:type="pct"/>
            <w:noWrap w:val="0"/>
            <w:vAlign w:val="center"/>
          </w:tcPr>
          <w:p w14:paraId="71AD0FA5">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w:t>
            </w:r>
          </w:p>
        </w:tc>
        <w:tc>
          <w:tcPr>
            <w:tcW w:w="4230" w:type="pct"/>
            <w:noWrap w:val="0"/>
            <w:vAlign w:val="center"/>
          </w:tcPr>
          <w:p w14:paraId="4266EEBA">
            <w:pPr>
              <w:spacing w:line="320" w:lineRule="exact"/>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eastAsia="zh-CN"/>
              </w:rPr>
              <w:t>磋商小组</w:t>
            </w:r>
            <w:r>
              <w:rPr>
                <w:rFonts w:hint="eastAsia" w:ascii="宋体" w:hAnsi="宋体" w:eastAsia="宋体" w:cs="宋体"/>
                <w:color w:val="auto"/>
                <w:spacing w:val="-2"/>
                <w:szCs w:val="21"/>
                <w:highlight w:val="none"/>
              </w:rPr>
              <w:t>认为供应商的报价无明显低于其他通过符合性审查供应商的报价的，供应商的报价不存在异常一致并成规律性的，其报价合理；</w:t>
            </w:r>
          </w:p>
        </w:tc>
        <w:tc>
          <w:tcPr>
            <w:tcW w:w="452" w:type="pct"/>
            <w:noWrap w:val="0"/>
            <w:vAlign w:val="center"/>
          </w:tcPr>
          <w:p w14:paraId="23573AC2">
            <w:pPr>
              <w:spacing w:line="400" w:lineRule="exact"/>
              <w:rPr>
                <w:rFonts w:hint="eastAsia" w:ascii="宋体" w:hAnsi="宋体" w:eastAsia="宋体" w:cs="宋体"/>
                <w:color w:val="auto"/>
                <w:spacing w:val="-2"/>
                <w:szCs w:val="21"/>
                <w:highlight w:val="none"/>
              </w:rPr>
            </w:pPr>
          </w:p>
        </w:tc>
      </w:tr>
      <w:tr w14:paraId="45C3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17" w:type="pct"/>
            <w:noWrap w:val="0"/>
            <w:vAlign w:val="center"/>
          </w:tcPr>
          <w:p w14:paraId="002F8B4A">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w:t>
            </w:r>
          </w:p>
        </w:tc>
        <w:tc>
          <w:tcPr>
            <w:tcW w:w="4230" w:type="pct"/>
            <w:noWrap w:val="0"/>
            <w:vAlign w:val="center"/>
          </w:tcPr>
          <w:p w14:paraId="04E7C8A8">
            <w:pPr>
              <w:spacing w:line="320" w:lineRule="exact"/>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响应文件按照磋商文件的规定编制、标记及签署盖章的，法定代表人签/章和加盖供应商公章的；</w:t>
            </w:r>
          </w:p>
        </w:tc>
        <w:tc>
          <w:tcPr>
            <w:tcW w:w="452" w:type="pct"/>
            <w:noWrap w:val="0"/>
            <w:vAlign w:val="center"/>
          </w:tcPr>
          <w:p w14:paraId="45DC220F">
            <w:pPr>
              <w:spacing w:line="400" w:lineRule="exact"/>
              <w:rPr>
                <w:rFonts w:hint="eastAsia" w:ascii="宋体" w:hAnsi="宋体" w:eastAsia="宋体" w:cs="宋体"/>
                <w:color w:val="auto"/>
                <w:szCs w:val="21"/>
                <w:highlight w:val="none"/>
              </w:rPr>
            </w:pPr>
          </w:p>
        </w:tc>
      </w:tr>
      <w:tr w14:paraId="3242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17" w:type="pct"/>
            <w:noWrap w:val="0"/>
            <w:vAlign w:val="center"/>
          </w:tcPr>
          <w:p w14:paraId="2C0A6F01">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w:t>
            </w:r>
          </w:p>
        </w:tc>
        <w:tc>
          <w:tcPr>
            <w:tcW w:w="4230" w:type="pct"/>
            <w:noWrap w:val="0"/>
            <w:vAlign w:val="center"/>
          </w:tcPr>
          <w:p w14:paraId="6837E8B4">
            <w:pPr>
              <w:spacing w:line="320" w:lineRule="exact"/>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所投</w:t>
            </w:r>
            <w:r>
              <w:rPr>
                <w:rFonts w:hint="eastAsia" w:ascii="宋体" w:hAnsi="宋体" w:eastAsia="宋体" w:cs="宋体"/>
                <w:color w:val="auto"/>
                <w:spacing w:val="-2"/>
                <w:szCs w:val="21"/>
                <w:highlight w:val="none"/>
                <w:lang w:val="en-US" w:eastAsia="zh-CN"/>
              </w:rPr>
              <w:t>服务及内容</w:t>
            </w:r>
            <w:r>
              <w:rPr>
                <w:rFonts w:hint="eastAsia" w:ascii="宋体" w:hAnsi="宋体" w:eastAsia="宋体" w:cs="宋体"/>
                <w:color w:val="auto"/>
                <w:spacing w:val="-2"/>
                <w:szCs w:val="21"/>
                <w:highlight w:val="none"/>
              </w:rPr>
              <w:t>满足</w:t>
            </w:r>
            <w:r>
              <w:rPr>
                <w:rFonts w:hint="eastAsia" w:ascii="宋体" w:hAnsi="宋体" w:eastAsia="宋体" w:cs="宋体"/>
                <w:color w:val="auto"/>
                <w:spacing w:val="-2"/>
                <w:szCs w:val="21"/>
                <w:highlight w:val="none"/>
                <w:lang w:eastAsia="zh-CN"/>
              </w:rPr>
              <w:t>磋商文件</w:t>
            </w:r>
            <w:r>
              <w:rPr>
                <w:rFonts w:hint="eastAsia" w:ascii="宋体" w:hAnsi="宋体" w:eastAsia="宋体" w:cs="宋体"/>
                <w:color w:val="auto"/>
                <w:spacing w:val="-2"/>
                <w:szCs w:val="21"/>
                <w:highlight w:val="none"/>
              </w:rPr>
              <w:t>要求的；</w:t>
            </w:r>
          </w:p>
        </w:tc>
        <w:tc>
          <w:tcPr>
            <w:tcW w:w="452" w:type="pct"/>
            <w:noWrap w:val="0"/>
            <w:vAlign w:val="center"/>
          </w:tcPr>
          <w:p w14:paraId="51E6BFE2">
            <w:pPr>
              <w:spacing w:line="400" w:lineRule="exact"/>
              <w:rPr>
                <w:rFonts w:hint="eastAsia" w:ascii="宋体" w:hAnsi="宋体" w:eastAsia="宋体" w:cs="宋体"/>
                <w:color w:val="auto"/>
                <w:spacing w:val="-2"/>
                <w:szCs w:val="21"/>
                <w:highlight w:val="none"/>
              </w:rPr>
            </w:pPr>
          </w:p>
        </w:tc>
      </w:tr>
      <w:tr w14:paraId="53C6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7" w:type="pct"/>
            <w:noWrap w:val="0"/>
            <w:vAlign w:val="center"/>
          </w:tcPr>
          <w:p w14:paraId="52099B96">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5</w:t>
            </w:r>
          </w:p>
        </w:tc>
        <w:tc>
          <w:tcPr>
            <w:tcW w:w="4230" w:type="pct"/>
            <w:noWrap w:val="0"/>
            <w:vAlign w:val="center"/>
          </w:tcPr>
          <w:p w14:paraId="5E82730C">
            <w:pPr>
              <w:spacing w:line="320" w:lineRule="exact"/>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按磋商文件规定的格式填写，内容全面、关键字迹清晰；</w:t>
            </w:r>
          </w:p>
        </w:tc>
        <w:tc>
          <w:tcPr>
            <w:tcW w:w="452" w:type="pct"/>
            <w:noWrap w:val="0"/>
            <w:vAlign w:val="center"/>
          </w:tcPr>
          <w:p w14:paraId="47113073">
            <w:pPr>
              <w:spacing w:line="400" w:lineRule="exact"/>
              <w:rPr>
                <w:rFonts w:hint="eastAsia" w:ascii="宋体" w:hAnsi="宋体" w:eastAsia="宋体" w:cs="宋体"/>
                <w:color w:val="auto"/>
                <w:spacing w:val="-2"/>
                <w:szCs w:val="21"/>
                <w:highlight w:val="none"/>
              </w:rPr>
            </w:pPr>
          </w:p>
        </w:tc>
      </w:tr>
      <w:tr w14:paraId="3E16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7" w:type="pct"/>
            <w:noWrap w:val="0"/>
            <w:vAlign w:val="center"/>
          </w:tcPr>
          <w:p w14:paraId="36466D10">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6</w:t>
            </w:r>
          </w:p>
        </w:tc>
        <w:tc>
          <w:tcPr>
            <w:tcW w:w="4230" w:type="pct"/>
            <w:noWrap w:val="0"/>
            <w:vAlign w:val="center"/>
          </w:tcPr>
          <w:p w14:paraId="41208156">
            <w:pPr>
              <w:spacing w:line="320" w:lineRule="exact"/>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符合磋商文件中规定的实质性要求</w:t>
            </w:r>
            <w:r>
              <w:rPr>
                <w:rFonts w:hint="eastAsia" w:ascii="宋体" w:hAnsi="宋体" w:eastAsia="宋体" w:cs="宋体"/>
                <w:color w:val="auto"/>
                <w:spacing w:val="-2"/>
                <w:szCs w:val="21"/>
                <w:highlight w:val="none"/>
                <w:lang w:eastAsia="zh-CN"/>
              </w:rPr>
              <w:t>（</w:t>
            </w:r>
            <w:r>
              <w:rPr>
                <w:rFonts w:hint="eastAsia" w:ascii="宋体" w:hAnsi="宋体" w:eastAsia="宋体" w:cs="宋体"/>
                <w:color w:val="auto"/>
                <w:spacing w:val="-2"/>
                <w:szCs w:val="21"/>
                <w:highlight w:val="none"/>
                <w:lang w:val="en-US" w:eastAsia="zh-CN"/>
              </w:rPr>
              <w:t>服务期限、服务地点</w:t>
            </w:r>
            <w:r>
              <w:rPr>
                <w:rFonts w:hint="eastAsia" w:ascii="宋体" w:hAnsi="宋体" w:eastAsia="宋体" w:cs="宋体"/>
                <w:color w:val="auto"/>
                <w:spacing w:val="-2"/>
                <w:szCs w:val="21"/>
                <w:highlight w:val="none"/>
                <w:lang w:eastAsia="zh-CN"/>
              </w:rPr>
              <w:t>）</w:t>
            </w:r>
            <w:r>
              <w:rPr>
                <w:rFonts w:hint="eastAsia" w:ascii="宋体" w:hAnsi="宋体" w:eastAsia="宋体" w:cs="宋体"/>
                <w:color w:val="auto"/>
                <w:spacing w:val="-2"/>
                <w:szCs w:val="21"/>
                <w:highlight w:val="none"/>
              </w:rPr>
              <w:t>；</w:t>
            </w:r>
          </w:p>
        </w:tc>
        <w:tc>
          <w:tcPr>
            <w:tcW w:w="452" w:type="pct"/>
            <w:noWrap w:val="0"/>
            <w:vAlign w:val="center"/>
          </w:tcPr>
          <w:p w14:paraId="11EA5497">
            <w:pPr>
              <w:spacing w:line="400" w:lineRule="exact"/>
              <w:rPr>
                <w:rFonts w:hint="eastAsia" w:ascii="宋体" w:hAnsi="宋体" w:eastAsia="宋体" w:cs="宋体"/>
                <w:color w:val="auto"/>
                <w:spacing w:val="-2"/>
                <w:szCs w:val="21"/>
                <w:highlight w:val="none"/>
              </w:rPr>
            </w:pPr>
          </w:p>
        </w:tc>
      </w:tr>
      <w:tr w14:paraId="69A5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17" w:type="pct"/>
            <w:noWrap w:val="0"/>
            <w:vAlign w:val="center"/>
          </w:tcPr>
          <w:p w14:paraId="1BB7FC9E">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7</w:t>
            </w:r>
          </w:p>
        </w:tc>
        <w:tc>
          <w:tcPr>
            <w:tcW w:w="4230" w:type="pct"/>
            <w:noWrap w:val="0"/>
            <w:vAlign w:val="center"/>
          </w:tcPr>
          <w:p w14:paraId="0773FCF9">
            <w:pPr>
              <w:spacing w:line="320" w:lineRule="exact"/>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没有采购人不能接受的附加条件的；</w:t>
            </w:r>
          </w:p>
        </w:tc>
        <w:tc>
          <w:tcPr>
            <w:tcW w:w="452" w:type="pct"/>
            <w:noWrap w:val="0"/>
            <w:vAlign w:val="center"/>
          </w:tcPr>
          <w:p w14:paraId="1FDCC7C4">
            <w:pPr>
              <w:spacing w:line="400" w:lineRule="exact"/>
              <w:rPr>
                <w:rFonts w:hint="eastAsia" w:ascii="宋体" w:hAnsi="宋体" w:eastAsia="宋体" w:cs="宋体"/>
                <w:color w:val="auto"/>
                <w:spacing w:val="-2"/>
                <w:szCs w:val="21"/>
                <w:highlight w:val="none"/>
              </w:rPr>
            </w:pPr>
          </w:p>
        </w:tc>
      </w:tr>
      <w:tr w14:paraId="2890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7" w:type="pct"/>
            <w:noWrap w:val="0"/>
            <w:vAlign w:val="center"/>
          </w:tcPr>
          <w:p w14:paraId="2CFA0DE7">
            <w:pPr>
              <w:spacing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8</w:t>
            </w:r>
          </w:p>
        </w:tc>
        <w:tc>
          <w:tcPr>
            <w:tcW w:w="4230" w:type="pct"/>
            <w:noWrap w:val="0"/>
            <w:vAlign w:val="center"/>
          </w:tcPr>
          <w:p w14:paraId="636325A6">
            <w:pPr>
              <w:spacing w:line="320" w:lineRule="exact"/>
              <w:jc w:val="lef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不同供应商的</w:t>
            </w:r>
            <w:r>
              <w:rPr>
                <w:rFonts w:hint="eastAsia" w:ascii="宋体" w:hAnsi="宋体" w:eastAsia="宋体" w:cs="宋体"/>
                <w:color w:val="auto"/>
                <w:spacing w:val="-2"/>
                <w:szCs w:val="21"/>
                <w:highlight w:val="none"/>
                <w:lang w:eastAsia="zh-CN"/>
              </w:rPr>
              <w:t>响应文件</w:t>
            </w:r>
            <w:r>
              <w:rPr>
                <w:rFonts w:hint="eastAsia" w:ascii="宋体" w:hAnsi="宋体" w:eastAsia="宋体" w:cs="宋体"/>
                <w:color w:val="auto"/>
                <w:spacing w:val="-2"/>
                <w:szCs w:val="21"/>
                <w:highlight w:val="none"/>
              </w:rPr>
              <w:t>没有错漏一致的情况；</w:t>
            </w:r>
          </w:p>
        </w:tc>
        <w:tc>
          <w:tcPr>
            <w:tcW w:w="452" w:type="pct"/>
            <w:noWrap w:val="0"/>
            <w:vAlign w:val="center"/>
          </w:tcPr>
          <w:p w14:paraId="1DB0B926">
            <w:pPr>
              <w:spacing w:line="400" w:lineRule="exact"/>
              <w:rPr>
                <w:rFonts w:hint="eastAsia" w:ascii="宋体" w:hAnsi="宋体" w:eastAsia="宋体" w:cs="宋体"/>
                <w:color w:val="auto"/>
                <w:spacing w:val="-2"/>
                <w:szCs w:val="21"/>
                <w:highlight w:val="none"/>
              </w:rPr>
            </w:pPr>
          </w:p>
        </w:tc>
      </w:tr>
      <w:tr w14:paraId="6648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7" w:type="pct"/>
            <w:noWrap w:val="0"/>
            <w:vAlign w:val="center"/>
          </w:tcPr>
          <w:p w14:paraId="679011C8">
            <w:pPr>
              <w:spacing w:line="400" w:lineRule="exact"/>
              <w:jc w:val="center"/>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Cs w:val="21"/>
                <w:highlight w:val="none"/>
              </w:rPr>
              <w:t>9</w:t>
            </w:r>
          </w:p>
        </w:tc>
        <w:tc>
          <w:tcPr>
            <w:tcW w:w="4230" w:type="pct"/>
            <w:noWrap w:val="0"/>
            <w:vAlign w:val="center"/>
          </w:tcPr>
          <w:p w14:paraId="3AAC903B">
            <w:pPr>
              <w:spacing w:line="320" w:lineRule="exact"/>
              <w:jc w:val="left"/>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Cs w:val="21"/>
                <w:highlight w:val="none"/>
              </w:rPr>
              <w:t>供应商附有详细地址、联系人、电话标明的</w:t>
            </w:r>
            <w:r>
              <w:rPr>
                <w:rFonts w:hint="eastAsia" w:ascii="宋体" w:hAnsi="宋体" w:eastAsia="宋体" w:cs="宋体"/>
                <w:color w:val="auto"/>
                <w:spacing w:val="-2"/>
                <w:szCs w:val="21"/>
                <w:highlight w:val="none"/>
                <w:lang w:eastAsia="zh-CN"/>
              </w:rPr>
              <w:t>；</w:t>
            </w:r>
          </w:p>
        </w:tc>
        <w:tc>
          <w:tcPr>
            <w:tcW w:w="452" w:type="pct"/>
            <w:noWrap w:val="0"/>
            <w:vAlign w:val="center"/>
          </w:tcPr>
          <w:p w14:paraId="521AC3EF">
            <w:pPr>
              <w:spacing w:line="400" w:lineRule="exact"/>
              <w:rPr>
                <w:rFonts w:hint="eastAsia" w:ascii="宋体" w:hAnsi="宋体" w:eastAsia="宋体" w:cs="宋体"/>
                <w:color w:val="auto"/>
                <w:spacing w:val="-2"/>
                <w:szCs w:val="21"/>
                <w:highlight w:val="none"/>
              </w:rPr>
            </w:pPr>
          </w:p>
        </w:tc>
      </w:tr>
      <w:tr w14:paraId="2C67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7" w:type="pct"/>
            <w:noWrap w:val="0"/>
            <w:vAlign w:val="center"/>
          </w:tcPr>
          <w:p w14:paraId="40C9843B">
            <w:pPr>
              <w:spacing w:line="400" w:lineRule="exact"/>
              <w:jc w:val="center"/>
              <w:rPr>
                <w:rFonts w:hint="eastAsia" w:ascii="宋体" w:hAnsi="宋体" w:eastAsia="宋体" w:cs="宋体"/>
                <w:color w:val="auto"/>
                <w:spacing w:val="-2"/>
                <w:szCs w:val="21"/>
                <w:highlight w:val="none"/>
                <w:lang w:val="en-US" w:eastAsia="zh-CN"/>
              </w:rPr>
            </w:pPr>
            <w:r>
              <w:rPr>
                <w:rFonts w:hint="eastAsia" w:ascii="宋体" w:hAnsi="宋体" w:eastAsia="宋体" w:cs="宋体"/>
                <w:color w:val="auto"/>
                <w:spacing w:val="-2"/>
                <w:szCs w:val="21"/>
                <w:highlight w:val="none"/>
                <w:lang w:val="en-US" w:eastAsia="zh-CN"/>
              </w:rPr>
              <w:t>10</w:t>
            </w:r>
          </w:p>
        </w:tc>
        <w:tc>
          <w:tcPr>
            <w:tcW w:w="4230" w:type="pct"/>
            <w:noWrap w:val="0"/>
            <w:vAlign w:val="center"/>
          </w:tcPr>
          <w:p w14:paraId="7CC0C8D3">
            <w:pPr>
              <w:spacing w:line="320" w:lineRule="exact"/>
              <w:jc w:val="left"/>
              <w:rPr>
                <w:rFonts w:hint="eastAsia" w:ascii="宋体" w:hAnsi="宋体" w:eastAsia="宋体" w:cs="宋体"/>
                <w:color w:val="auto"/>
                <w:spacing w:val="-2"/>
                <w:szCs w:val="21"/>
                <w:highlight w:val="none"/>
                <w:lang w:eastAsia="zh-CN"/>
              </w:rPr>
            </w:pPr>
            <w:r>
              <w:rPr>
                <w:rFonts w:hint="eastAsia" w:ascii="宋体" w:hAnsi="宋体" w:eastAsia="宋体" w:cs="宋体"/>
                <w:color w:val="auto"/>
                <w:spacing w:val="-2"/>
                <w:szCs w:val="21"/>
                <w:highlight w:val="none"/>
                <w:lang w:eastAsia="zh-CN"/>
              </w:rPr>
              <w:t>不存在法律、法规和磋商文件规定的其他无效情形。</w:t>
            </w:r>
          </w:p>
        </w:tc>
        <w:tc>
          <w:tcPr>
            <w:tcW w:w="452" w:type="pct"/>
            <w:noWrap w:val="0"/>
            <w:vAlign w:val="center"/>
          </w:tcPr>
          <w:p w14:paraId="7496DEAD">
            <w:pPr>
              <w:spacing w:line="400" w:lineRule="exact"/>
              <w:rPr>
                <w:rFonts w:hint="eastAsia" w:ascii="宋体" w:hAnsi="宋体" w:eastAsia="宋体" w:cs="宋体"/>
                <w:color w:val="auto"/>
                <w:spacing w:val="-2"/>
                <w:szCs w:val="21"/>
                <w:highlight w:val="none"/>
              </w:rPr>
            </w:pPr>
          </w:p>
        </w:tc>
      </w:tr>
      <w:tr w14:paraId="482F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547" w:type="pct"/>
            <w:gridSpan w:val="2"/>
            <w:noWrap w:val="0"/>
            <w:vAlign w:val="center"/>
          </w:tcPr>
          <w:p w14:paraId="7F49B91A">
            <w:pPr>
              <w:spacing w:line="400" w:lineRule="exact"/>
              <w:ind w:firstLine="370" w:firstLineChars="180"/>
              <w:rPr>
                <w:rFonts w:hint="eastAsia" w:ascii="宋体" w:hAnsi="宋体" w:eastAsia="宋体" w:cs="宋体"/>
                <w:color w:val="auto"/>
                <w:spacing w:val="-2"/>
                <w:sz w:val="24"/>
                <w:highlight w:val="none"/>
              </w:rPr>
            </w:pPr>
            <w:r>
              <w:rPr>
                <w:rFonts w:hint="eastAsia" w:ascii="宋体" w:hAnsi="宋体" w:eastAsia="宋体" w:cs="宋体"/>
                <w:color w:val="auto"/>
                <w:spacing w:val="-2"/>
                <w:szCs w:val="21"/>
                <w:highlight w:val="none"/>
              </w:rPr>
              <w:t>结论：通过评审打“√”，未通过评审打“×”</w:t>
            </w:r>
          </w:p>
        </w:tc>
        <w:tc>
          <w:tcPr>
            <w:tcW w:w="452" w:type="pct"/>
            <w:noWrap w:val="0"/>
            <w:vAlign w:val="center"/>
          </w:tcPr>
          <w:p w14:paraId="0D9F0572">
            <w:pPr>
              <w:spacing w:line="400" w:lineRule="exact"/>
              <w:ind w:firstLine="370" w:firstLineChars="180"/>
              <w:rPr>
                <w:rFonts w:hint="eastAsia" w:ascii="宋体" w:hAnsi="宋体" w:eastAsia="宋体" w:cs="宋体"/>
                <w:color w:val="auto"/>
                <w:spacing w:val="-2"/>
                <w:szCs w:val="21"/>
                <w:highlight w:val="none"/>
              </w:rPr>
            </w:pPr>
          </w:p>
        </w:tc>
      </w:tr>
    </w:tbl>
    <w:p w14:paraId="3FD2EDE1">
      <w:pPr>
        <w:keepNext w:val="0"/>
        <w:keepLines w:val="0"/>
        <w:pageBreakBefore w:val="0"/>
        <w:widowControl w:val="0"/>
        <w:kinsoku/>
        <w:wordWrap/>
        <w:overflowPunct/>
        <w:topLinePunct w:val="0"/>
        <w:bidi w:val="0"/>
        <w:snapToGrid/>
        <w:spacing w:line="400" w:lineRule="exact"/>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32A4BF4">
      <w:pPr>
        <w:keepNext w:val="0"/>
        <w:keepLines w:val="0"/>
        <w:pageBreakBefore w:val="0"/>
        <w:widowControl w:val="0"/>
        <w:kinsoku/>
        <w:wordWrap/>
        <w:overflowPunct/>
        <w:topLinePunct w:val="0"/>
        <w:bidi w:val="0"/>
        <w:snapToGrid/>
        <w:spacing w:line="400" w:lineRule="exact"/>
        <w:ind w:left="6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（1）上述各项中用“√”表示合格，“×”表示不合格；</w:t>
      </w:r>
    </w:p>
    <w:p w14:paraId="274EE026">
      <w:pPr>
        <w:keepNext w:val="0"/>
        <w:keepLines w:val="0"/>
        <w:pageBreakBefore w:val="0"/>
        <w:widowControl w:val="0"/>
        <w:kinsoku/>
        <w:wordWrap/>
        <w:overflowPunct/>
        <w:topLinePunct w:val="0"/>
        <w:bidi w:val="0"/>
        <w:snapToGrid/>
        <w:spacing w:line="400" w:lineRule="exact"/>
        <w:ind w:left="689" w:leftChars="28" w:hanging="630" w:hanging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（2）上述各项中如有一项为“×”，则结论为“×”，表示该</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文件中存在重大偏差，不能通过初步评审；评委对某一分项评审认为不合格时，必须要写明原因。</w:t>
      </w:r>
    </w:p>
    <w:p w14:paraId="676163EA">
      <w:pPr>
        <w:keepNext w:val="0"/>
        <w:keepLines w:val="0"/>
        <w:pageBreakBefore w:val="0"/>
        <w:widowControl w:val="0"/>
        <w:kinsoku/>
        <w:wordWrap/>
        <w:overflowPunct/>
        <w:topLinePunct w:val="0"/>
        <w:autoSpaceDE w:val="0"/>
        <w:autoSpaceDN w:val="0"/>
        <w:bidi w:val="0"/>
        <w:adjustRightInd w:val="0"/>
        <w:snapToGrid/>
        <w:spacing w:line="400" w:lineRule="exact"/>
        <w:ind w:firstLine="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（3）响应文件最终合格与否，以所有评委的评审意见中少数服从多数为原则定论。</w:t>
      </w:r>
    </w:p>
    <w:p w14:paraId="7FD1A0E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未通过</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审查的供应商不进入评标；通过</w:t>
      </w:r>
      <w:r>
        <w:rPr>
          <w:rFonts w:hint="eastAsia" w:ascii="宋体" w:hAnsi="宋体" w:eastAsia="宋体" w:cs="宋体"/>
          <w:b/>
          <w:bCs/>
          <w:color w:val="auto"/>
          <w:szCs w:val="21"/>
          <w:highlight w:val="none"/>
          <w:lang w:val="en-US" w:eastAsia="zh-CN"/>
        </w:rPr>
        <w:t>符合</w:t>
      </w:r>
      <w:r>
        <w:rPr>
          <w:rFonts w:hint="eastAsia" w:ascii="宋体" w:hAnsi="宋体" w:eastAsia="宋体" w:cs="宋体"/>
          <w:b/>
          <w:bCs/>
          <w:color w:val="auto"/>
          <w:szCs w:val="21"/>
          <w:highlight w:val="none"/>
        </w:rPr>
        <w:t>审查的供应商少于三家的，不得评标。</w:t>
      </w:r>
    </w:p>
    <w:p w14:paraId="406CD4BD">
      <w:pPr>
        <w:pStyle w:val="22"/>
        <w:rPr>
          <w:rFonts w:hint="eastAsia" w:ascii="宋体" w:hAnsi="宋体" w:eastAsia="宋体" w:cs="宋体"/>
          <w:b/>
          <w:bCs/>
          <w:color w:val="auto"/>
          <w:szCs w:val="21"/>
          <w:highlight w:val="none"/>
        </w:rPr>
      </w:pPr>
    </w:p>
    <w:p w14:paraId="7B7B769A">
      <w:pPr>
        <w:pStyle w:val="22"/>
        <w:rPr>
          <w:rFonts w:hint="eastAsia" w:ascii="宋体" w:hAnsi="宋体" w:eastAsia="宋体" w:cs="宋体"/>
          <w:b/>
          <w:bCs/>
          <w:color w:val="auto"/>
          <w:szCs w:val="21"/>
          <w:highlight w:val="none"/>
        </w:rPr>
      </w:pPr>
    </w:p>
    <w:p w14:paraId="0047FEE5">
      <w:pPr>
        <w:pStyle w:val="22"/>
        <w:rPr>
          <w:rFonts w:hint="eastAsia" w:ascii="宋体" w:hAnsi="宋体" w:eastAsia="宋体" w:cs="宋体"/>
          <w:b/>
          <w:bCs/>
          <w:color w:val="auto"/>
          <w:szCs w:val="21"/>
          <w:highlight w:val="none"/>
        </w:rPr>
      </w:pPr>
    </w:p>
    <w:p w14:paraId="14BE04EA">
      <w:pPr>
        <w:pStyle w:val="22"/>
        <w:rPr>
          <w:rFonts w:hint="eastAsia" w:ascii="宋体" w:hAnsi="宋体" w:eastAsia="宋体" w:cs="宋体"/>
          <w:b/>
          <w:bCs/>
          <w:color w:val="auto"/>
          <w:szCs w:val="21"/>
          <w:highlight w:val="none"/>
        </w:rPr>
      </w:pPr>
    </w:p>
    <w:p w14:paraId="12441A1C">
      <w:pPr>
        <w:pStyle w:val="22"/>
        <w:rPr>
          <w:rFonts w:hint="eastAsia" w:ascii="宋体" w:hAnsi="宋体" w:eastAsia="宋体" w:cs="宋体"/>
          <w:b/>
          <w:bCs/>
          <w:color w:val="auto"/>
          <w:szCs w:val="21"/>
          <w:highlight w:val="none"/>
        </w:rPr>
      </w:pPr>
    </w:p>
    <w:p w14:paraId="5FF1EEEC">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37B5DED8">
      <w:pPr>
        <w:pStyle w:val="4"/>
        <w:pageBreakBefore w:val="0"/>
        <w:shd w:val="clear" w:color="auto" w:fill="auto"/>
        <w:kinsoku/>
        <w:wordWrap/>
        <w:overflowPunct/>
        <w:topLinePunct w:val="0"/>
        <w:bidi w:val="0"/>
        <w:snapToGrid w:val="0"/>
        <w:spacing w:before="0" w:beforeAutospacing="0" w:after="0" w:afterAutospacing="0" w:line="360" w:lineRule="exact"/>
        <w:ind w:left="1080" w:leftChars="257" w:hanging="540"/>
        <w:jc w:val="center"/>
        <w:textAlignment w:val="baseline"/>
        <w:rPr>
          <w:rFonts w:hint="eastAsia" w:ascii="微软雅黑" w:hAnsi="微软雅黑" w:eastAsia="微软雅黑" w:cs="微软雅黑"/>
          <w:sz w:val="32"/>
          <w:szCs w:val="32"/>
          <w:highlight w:val="none"/>
        </w:rPr>
      </w:pPr>
      <w:bookmarkStart w:id="765" w:name="_Toc515647833"/>
      <w:bookmarkEnd w:id="765"/>
      <w:bookmarkStart w:id="766" w:name="_Toc29006"/>
      <w:bookmarkEnd w:id="766"/>
      <w:bookmarkStart w:id="767" w:name="_Toc4748"/>
      <w:bookmarkEnd w:id="767"/>
      <w:bookmarkStart w:id="768" w:name="_Toc3812"/>
      <w:bookmarkEnd w:id="768"/>
      <w:bookmarkStart w:id="769" w:name="_Toc5375"/>
      <w:bookmarkEnd w:id="769"/>
      <w:bookmarkStart w:id="770" w:name="_Toc26924"/>
      <w:bookmarkEnd w:id="770"/>
      <w:bookmarkStart w:id="771" w:name="_Toc6865"/>
      <w:bookmarkEnd w:id="771"/>
      <w:bookmarkStart w:id="772" w:name="_Hlt487972895"/>
      <w:bookmarkEnd w:id="772"/>
      <w:bookmarkStart w:id="773" w:name="_Toc21350"/>
      <w:bookmarkEnd w:id="773"/>
      <w:bookmarkStart w:id="774" w:name="_Toc21392"/>
      <w:bookmarkEnd w:id="774"/>
      <w:bookmarkStart w:id="775" w:name="_Toc17586"/>
      <w:bookmarkEnd w:id="775"/>
      <w:bookmarkStart w:id="776" w:name="_Toc4034"/>
      <w:bookmarkEnd w:id="776"/>
      <w:bookmarkStart w:id="777" w:name="_Toc19967"/>
      <w:bookmarkEnd w:id="777"/>
      <w:bookmarkStart w:id="778" w:name="_Toc359"/>
      <w:bookmarkEnd w:id="778"/>
      <w:bookmarkStart w:id="779" w:name="_Toc12089"/>
      <w:bookmarkEnd w:id="779"/>
      <w:bookmarkStart w:id="780" w:name="_Toc32068"/>
      <w:bookmarkEnd w:id="780"/>
      <w:bookmarkStart w:id="781" w:name="_Toc31042"/>
      <w:bookmarkEnd w:id="781"/>
      <w:bookmarkStart w:id="782" w:name="_Toc31737"/>
      <w:bookmarkEnd w:id="782"/>
      <w:bookmarkStart w:id="783" w:name="_Toc11449"/>
      <w:bookmarkEnd w:id="783"/>
      <w:bookmarkStart w:id="784" w:name="_Toc4796"/>
      <w:bookmarkEnd w:id="784"/>
      <w:bookmarkStart w:id="785" w:name="_Toc20505"/>
      <w:bookmarkEnd w:id="785"/>
      <w:bookmarkStart w:id="786" w:name="_Toc7491"/>
      <w:r>
        <w:rPr>
          <w:rFonts w:hint="eastAsia" w:ascii="宋体" w:hAnsi="宋体" w:eastAsia="宋体" w:cs="宋体"/>
          <w:b/>
          <w:i w:val="0"/>
          <w:color w:val="auto"/>
          <w:spacing w:val="0"/>
          <w:w w:val="100"/>
          <w:sz w:val="36"/>
          <w:szCs w:val="36"/>
          <w:highlight w:val="none"/>
        </w:rPr>
        <w:t>综合评分表</w:t>
      </w:r>
      <w:bookmarkEnd w:id="786"/>
    </w:p>
    <w:tbl>
      <w:tblPr>
        <w:tblStyle w:val="30"/>
        <w:tblW w:w="91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1"/>
        <w:gridCol w:w="1721"/>
        <w:gridCol w:w="1114"/>
        <w:gridCol w:w="5468"/>
      </w:tblGrid>
      <w:tr w14:paraId="3039E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trPr>
        <w:tc>
          <w:tcPr>
            <w:tcW w:w="821" w:type="dxa"/>
            <w:noWrap w:val="0"/>
            <w:vAlign w:val="center"/>
          </w:tcPr>
          <w:p w14:paraId="3132DE00">
            <w:pPr>
              <w:spacing w:line="440" w:lineRule="exact"/>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序号</w:t>
            </w:r>
          </w:p>
        </w:tc>
        <w:tc>
          <w:tcPr>
            <w:tcW w:w="1721" w:type="dxa"/>
            <w:noWrap w:val="0"/>
            <w:vAlign w:val="center"/>
          </w:tcPr>
          <w:p w14:paraId="69721A87">
            <w:pPr>
              <w:spacing w:line="440" w:lineRule="exact"/>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评分项目</w:t>
            </w:r>
          </w:p>
        </w:tc>
        <w:tc>
          <w:tcPr>
            <w:tcW w:w="1114" w:type="dxa"/>
            <w:noWrap w:val="0"/>
            <w:vAlign w:val="center"/>
          </w:tcPr>
          <w:p w14:paraId="1BE962FB">
            <w:pPr>
              <w:spacing w:line="440" w:lineRule="exact"/>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分值</w:t>
            </w:r>
          </w:p>
        </w:tc>
        <w:tc>
          <w:tcPr>
            <w:tcW w:w="5468" w:type="dxa"/>
            <w:noWrap w:val="0"/>
            <w:vAlign w:val="center"/>
          </w:tcPr>
          <w:p w14:paraId="0D63B56A">
            <w:pPr>
              <w:spacing w:line="440" w:lineRule="exact"/>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评分标准</w:t>
            </w:r>
          </w:p>
        </w:tc>
      </w:tr>
      <w:tr w14:paraId="311B53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trPr>
        <w:tc>
          <w:tcPr>
            <w:tcW w:w="821" w:type="dxa"/>
            <w:noWrap w:val="0"/>
            <w:vAlign w:val="center"/>
          </w:tcPr>
          <w:p w14:paraId="1F7CCEFD">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一</w:t>
            </w:r>
          </w:p>
        </w:tc>
        <w:tc>
          <w:tcPr>
            <w:tcW w:w="1721" w:type="dxa"/>
            <w:noWrap w:val="0"/>
            <w:vAlign w:val="center"/>
          </w:tcPr>
          <w:p w14:paraId="6C5C56C4">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报价部分</w:t>
            </w:r>
          </w:p>
        </w:tc>
        <w:tc>
          <w:tcPr>
            <w:tcW w:w="1114" w:type="dxa"/>
            <w:noWrap w:val="0"/>
            <w:vAlign w:val="center"/>
          </w:tcPr>
          <w:p w14:paraId="6F5A046D">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（30分）</w:t>
            </w:r>
          </w:p>
        </w:tc>
        <w:tc>
          <w:tcPr>
            <w:tcW w:w="5468" w:type="dxa"/>
            <w:noWrap w:val="0"/>
            <w:vAlign w:val="center"/>
          </w:tcPr>
          <w:p w14:paraId="2EF573AC">
            <w:pPr>
              <w:spacing w:line="440" w:lineRule="exact"/>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bidi="ar-SA"/>
              </w:rPr>
              <w:t xml:space="preserve">评标基准价=有效投标报价的最低值，有效投标报价等于基准值的得满分 </w:t>
            </w:r>
            <w:r>
              <w:rPr>
                <w:rFonts w:hint="eastAsia" w:asciiTheme="minorEastAsia" w:hAnsiTheme="minorEastAsia" w:eastAsiaTheme="minorEastAsia" w:cstheme="minorEastAsia"/>
                <w:bCs/>
                <w:color w:val="000000"/>
                <w:sz w:val="24"/>
                <w:szCs w:val="24"/>
                <w:highlight w:val="none"/>
                <w:lang w:val="en-US" w:eastAsia="zh-CN" w:bidi="ar-SA"/>
              </w:rPr>
              <w:t>30</w:t>
            </w:r>
            <w:r>
              <w:rPr>
                <w:rFonts w:hint="eastAsia" w:asciiTheme="minorEastAsia" w:hAnsiTheme="minorEastAsia" w:eastAsiaTheme="minorEastAsia" w:cstheme="minorEastAsia"/>
                <w:bCs/>
                <w:color w:val="000000"/>
                <w:sz w:val="24"/>
                <w:szCs w:val="24"/>
                <w:highlight w:val="none"/>
                <w:lang w:bidi="ar-SA"/>
              </w:rPr>
              <w:t>分，投标报价得分 =（评标基准价/投标报价） ×价格权重 ×100；有效投标报价为通过初步审查的供应商报价。</w:t>
            </w:r>
          </w:p>
        </w:tc>
      </w:tr>
      <w:tr w14:paraId="016BF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21" w:type="dxa"/>
            <w:noWrap w:val="0"/>
            <w:vAlign w:val="center"/>
          </w:tcPr>
          <w:p w14:paraId="7170A814">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二</w:t>
            </w:r>
          </w:p>
        </w:tc>
        <w:tc>
          <w:tcPr>
            <w:tcW w:w="1721" w:type="dxa"/>
            <w:noWrap w:val="0"/>
            <w:vAlign w:val="center"/>
          </w:tcPr>
          <w:p w14:paraId="443EA38E">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商务部分</w:t>
            </w:r>
          </w:p>
        </w:tc>
        <w:tc>
          <w:tcPr>
            <w:tcW w:w="1114" w:type="dxa"/>
            <w:noWrap w:val="0"/>
            <w:vAlign w:val="center"/>
          </w:tcPr>
          <w:p w14:paraId="66A05598">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（11分）</w:t>
            </w:r>
          </w:p>
        </w:tc>
        <w:tc>
          <w:tcPr>
            <w:tcW w:w="5468" w:type="dxa"/>
            <w:noWrap w:val="0"/>
            <w:vAlign w:val="center"/>
          </w:tcPr>
          <w:p w14:paraId="54A741E9">
            <w:pPr>
              <w:spacing w:line="440" w:lineRule="exact"/>
              <w:rPr>
                <w:rFonts w:hint="eastAsia" w:asciiTheme="minorEastAsia" w:hAnsiTheme="minorEastAsia" w:eastAsiaTheme="minorEastAsia" w:cstheme="minorEastAsia"/>
                <w:i w:val="0"/>
                <w:iCs w:val="0"/>
                <w:sz w:val="24"/>
                <w:szCs w:val="24"/>
                <w:highlight w:val="none"/>
                <w:lang w:val="en-US" w:eastAsia="zh-CN"/>
              </w:rPr>
            </w:pPr>
          </w:p>
        </w:tc>
      </w:tr>
      <w:tr w14:paraId="1C2EEB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8" w:hRule="atLeast"/>
        </w:trPr>
        <w:tc>
          <w:tcPr>
            <w:tcW w:w="821" w:type="dxa"/>
            <w:tcBorders>
              <w:top w:val="single" w:color="auto" w:sz="4" w:space="0"/>
              <w:bottom w:val="single" w:color="auto" w:sz="4" w:space="0"/>
            </w:tcBorders>
            <w:noWrap w:val="0"/>
            <w:vAlign w:val="center"/>
          </w:tcPr>
          <w:p w14:paraId="07F08E28">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1</w:t>
            </w:r>
          </w:p>
        </w:tc>
        <w:tc>
          <w:tcPr>
            <w:tcW w:w="1721" w:type="dxa"/>
            <w:tcBorders>
              <w:top w:val="single" w:color="auto" w:sz="4" w:space="0"/>
              <w:bottom w:val="single" w:color="auto" w:sz="4" w:space="0"/>
            </w:tcBorders>
            <w:noWrap w:val="0"/>
            <w:vAlign w:val="center"/>
          </w:tcPr>
          <w:p w14:paraId="2FCB7A3B">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bidi="ar-SA"/>
              </w:rPr>
              <w:t>信誉与实力</w:t>
            </w:r>
          </w:p>
        </w:tc>
        <w:tc>
          <w:tcPr>
            <w:tcW w:w="1114" w:type="dxa"/>
            <w:tcBorders>
              <w:bottom w:val="single" w:color="auto" w:sz="4" w:space="0"/>
            </w:tcBorders>
            <w:noWrap w:val="0"/>
            <w:vAlign w:val="center"/>
          </w:tcPr>
          <w:p w14:paraId="4AE5A11D">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3</w:t>
            </w:r>
          </w:p>
        </w:tc>
        <w:tc>
          <w:tcPr>
            <w:tcW w:w="5468" w:type="dxa"/>
            <w:tcBorders>
              <w:bottom w:val="single" w:color="auto" w:sz="4" w:space="0"/>
            </w:tcBorders>
            <w:noWrap w:val="0"/>
            <w:vAlign w:val="center"/>
          </w:tcPr>
          <w:p w14:paraId="51711C00">
            <w:pPr>
              <w:spacing w:line="440" w:lineRule="exact"/>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bidi="ar-SA"/>
              </w:rPr>
              <w:t>提供近三年相关类似业绩</w:t>
            </w:r>
            <w:r>
              <w:rPr>
                <w:rFonts w:hint="eastAsia" w:asciiTheme="minorEastAsia" w:hAnsiTheme="minorEastAsia" w:eastAsiaTheme="minorEastAsia" w:cstheme="minorEastAsia"/>
                <w:bCs/>
                <w:color w:val="000000"/>
                <w:sz w:val="24"/>
                <w:szCs w:val="24"/>
                <w:highlight w:val="none"/>
                <w:lang w:bidi="ar-SA"/>
              </w:rPr>
              <w:t>证明材料中标通知书或合同，每提供一个得</w:t>
            </w:r>
            <w:r>
              <w:rPr>
                <w:rFonts w:hint="eastAsia" w:asciiTheme="minorEastAsia" w:hAnsiTheme="minorEastAsia" w:eastAsiaTheme="minorEastAsia" w:cstheme="minorEastAsia"/>
                <w:bCs/>
                <w:color w:val="000000"/>
                <w:sz w:val="24"/>
                <w:szCs w:val="24"/>
                <w:highlight w:val="none"/>
                <w:lang w:val="en-US" w:eastAsia="zh-CN" w:bidi="ar-SA"/>
              </w:rPr>
              <w:t>1</w:t>
            </w:r>
            <w:r>
              <w:rPr>
                <w:rFonts w:hint="eastAsia" w:asciiTheme="minorEastAsia" w:hAnsiTheme="minorEastAsia" w:eastAsiaTheme="minorEastAsia" w:cstheme="minorEastAsia"/>
                <w:bCs/>
                <w:color w:val="000000"/>
                <w:sz w:val="24"/>
                <w:szCs w:val="24"/>
                <w:highlight w:val="none"/>
                <w:lang w:bidi="ar-SA"/>
              </w:rPr>
              <w:t>分，最高得</w:t>
            </w:r>
            <w:r>
              <w:rPr>
                <w:rFonts w:hint="eastAsia" w:asciiTheme="minorEastAsia" w:hAnsiTheme="minorEastAsia" w:eastAsiaTheme="minorEastAsia" w:cstheme="minorEastAsia"/>
                <w:bCs/>
                <w:color w:val="000000"/>
                <w:sz w:val="24"/>
                <w:szCs w:val="24"/>
                <w:highlight w:val="none"/>
                <w:lang w:val="en-US" w:eastAsia="zh-CN" w:bidi="ar-SA"/>
              </w:rPr>
              <w:t>3</w:t>
            </w:r>
            <w:r>
              <w:rPr>
                <w:rFonts w:hint="eastAsia" w:asciiTheme="minorEastAsia" w:hAnsiTheme="minorEastAsia" w:eastAsiaTheme="minorEastAsia" w:cstheme="minorEastAsia"/>
                <w:bCs/>
                <w:color w:val="000000"/>
                <w:sz w:val="24"/>
                <w:szCs w:val="24"/>
                <w:highlight w:val="none"/>
                <w:lang w:bidi="ar-SA"/>
              </w:rPr>
              <w:t>分。</w:t>
            </w:r>
          </w:p>
        </w:tc>
      </w:tr>
      <w:tr w14:paraId="56DAE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21" w:type="dxa"/>
            <w:tcBorders>
              <w:top w:val="single" w:color="auto" w:sz="4" w:space="0"/>
            </w:tcBorders>
            <w:shd w:val="clear" w:color="auto" w:fill="auto"/>
            <w:noWrap w:val="0"/>
            <w:vAlign w:val="center"/>
          </w:tcPr>
          <w:p w14:paraId="1D00BFD6">
            <w:pPr>
              <w:spacing w:line="440" w:lineRule="exact"/>
              <w:jc w:val="center"/>
              <w:rPr>
                <w:rFonts w:hint="eastAsia" w:asciiTheme="minorEastAsia" w:hAnsiTheme="minorEastAsia" w:eastAsiaTheme="minorEastAsia" w:cstheme="minorEastAsia"/>
                <w:i w:val="0"/>
                <w:iCs w:val="0"/>
                <w:kern w:val="2"/>
                <w:sz w:val="24"/>
                <w:szCs w:val="24"/>
                <w:highlight w:val="none"/>
                <w:rtl w:val="0"/>
                <w:cs w:val="0"/>
                <w:lang w:val="en-US" w:eastAsia="zh-CN" w:bidi="ar-SA"/>
              </w:rPr>
            </w:pPr>
            <w:r>
              <w:rPr>
                <w:rFonts w:hint="eastAsia" w:asciiTheme="minorEastAsia" w:hAnsiTheme="minorEastAsia" w:eastAsiaTheme="minorEastAsia" w:cstheme="minorEastAsia"/>
                <w:i w:val="0"/>
                <w:iCs w:val="0"/>
                <w:sz w:val="24"/>
                <w:szCs w:val="24"/>
                <w:highlight w:val="none"/>
                <w:rtl w:val="0"/>
                <w:cs w:val="0"/>
                <w:lang w:val="en-US" w:eastAsia="zh-CN"/>
              </w:rPr>
              <w:t>2</w:t>
            </w:r>
          </w:p>
        </w:tc>
        <w:tc>
          <w:tcPr>
            <w:tcW w:w="1721" w:type="dxa"/>
            <w:tcBorders>
              <w:top w:val="single" w:color="auto" w:sz="4" w:space="0"/>
            </w:tcBorders>
            <w:shd w:val="clear" w:color="auto" w:fill="auto"/>
            <w:noWrap w:val="0"/>
            <w:vAlign w:val="center"/>
          </w:tcPr>
          <w:p w14:paraId="753F0566">
            <w:pPr>
              <w:spacing w:line="440" w:lineRule="exact"/>
              <w:jc w:val="center"/>
              <w:rPr>
                <w:rFonts w:hint="eastAsia" w:asciiTheme="minorEastAsia" w:hAnsiTheme="minorEastAsia" w:eastAsiaTheme="minorEastAsia" w:cstheme="minorEastAsia"/>
                <w:i w:val="0"/>
                <w:iCs w:val="0"/>
                <w:kern w:val="2"/>
                <w:sz w:val="24"/>
                <w:szCs w:val="24"/>
                <w:highlight w:val="none"/>
                <w:rtl w:val="0"/>
                <w:cs w:val="0"/>
                <w:lang w:val="en-US" w:eastAsia="zh-CN" w:bidi="ar-SA"/>
              </w:rPr>
            </w:pPr>
            <w:r>
              <w:rPr>
                <w:rFonts w:hint="eastAsia" w:asciiTheme="minorEastAsia" w:hAnsiTheme="minorEastAsia" w:eastAsiaTheme="minorEastAsia" w:cstheme="minorEastAsia"/>
                <w:i w:val="0"/>
                <w:iCs w:val="0"/>
                <w:sz w:val="24"/>
                <w:szCs w:val="24"/>
                <w:highlight w:val="none"/>
                <w:rtl w:val="0"/>
                <w:cs w:val="0"/>
                <w:lang w:val="en-US" w:eastAsia="zh-CN"/>
              </w:rPr>
              <w:t>各项制度</w:t>
            </w:r>
          </w:p>
        </w:tc>
        <w:tc>
          <w:tcPr>
            <w:tcW w:w="1114" w:type="dxa"/>
            <w:tcBorders>
              <w:top w:val="single" w:color="auto" w:sz="4" w:space="0"/>
            </w:tcBorders>
            <w:shd w:val="clear" w:color="auto" w:fill="auto"/>
            <w:noWrap w:val="0"/>
            <w:vAlign w:val="center"/>
          </w:tcPr>
          <w:p w14:paraId="3B712592">
            <w:pPr>
              <w:spacing w:line="440" w:lineRule="exact"/>
              <w:jc w:val="center"/>
              <w:rPr>
                <w:rFonts w:hint="eastAsia" w:asciiTheme="minorEastAsia" w:hAnsiTheme="minorEastAsia" w:eastAsiaTheme="minorEastAsia" w:cstheme="minorEastAsia"/>
                <w:i w:val="0"/>
                <w:iCs w:val="0"/>
                <w:kern w:val="2"/>
                <w:sz w:val="24"/>
                <w:szCs w:val="24"/>
                <w:highlight w:val="none"/>
                <w:rtl w:val="0"/>
                <w:cs w:val="0"/>
                <w:lang w:val="en-US" w:eastAsia="zh-CN" w:bidi="ar-SA"/>
              </w:rPr>
            </w:pPr>
            <w:r>
              <w:rPr>
                <w:rFonts w:hint="eastAsia" w:asciiTheme="minorEastAsia" w:hAnsiTheme="minorEastAsia" w:eastAsiaTheme="minorEastAsia" w:cstheme="minorEastAsia"/>
                <w:i w:val="0"/>
                <w:iCs w:val="0"/>
                <w:color w:val="auto"/>
                <w:sz w:val="24"/>
                <w:szCs w:val="24"/>
                <w:highlight w:val="none"/>
                <w:rtl w:val="0"/>
                <w:cs w:val="0"/>
                <w:lang w:val="en-US" w:eastAsia="zh-CN"/>
              </w:rPr>
              <w:t>8</w:t>
            </w:r>
          </w:p>
        </w:tc>
        <w:tc>
          <w:tcPr>
            <w:tcW w:w="5468" w:type="dxa"/>
            <w:tcBorders>
              <w:top w:val="single" w:color="auto" w:sz="4" w:space="0"/>
            </w:tcBorders>
            <w:shd w:val="clear" w:color="auto" w:fill="auto"/>
            <w:noWrap w:val="0"/>
            <w:vAlign w:val="center"/>
          </w:tcPr>
          <w:p w14:paraId="0C296DA5">
            <w:pPr>
              <w:spacing w:line="440" w:lineRule="exact"/>
              <w:rPr>
                <w:rFonts w:hint="eastAsia" w:asciiTheme="minorEastAsia" w:hAnsiTheme="minorEastAsia" w:eastAsiaTheme="minorEastAsia" w:cstheme="minorEastAsia"/>
                <w:i w:val="0"/>
                <w:iCs w:val="0"/>
                <w:kern w:val="2"/>
                <w:sz w:val="24"/>
                <w:szCs w:val="24"/>
                <w:highlight w:val="none"/>
                <w:cs w:val="0"/>
                <w:lang w:val="en-US" w:eastAsia="zh-CN" w:bidi="ar-SA"/>
              </w:rPr>
            </w:pPr>
            <w:r>
              <w:rPr>
                <w:rFonts w:hint="eastAsia" w:asciiTheme="minorEastAsia" w:hAnsiTheme="minorEastAsia" w:eastAsiaTheme="minorEastAsia" w:cstheme="minorEastAsia"/>
                <w:i w:val="0"/>
                <w:iCs w:val="0"/>
                <w:sz w:val="24"/>
                <w:szCs w:val="24"/>
                <w:highlight w:val="none"/>
                <w:cs w:val="0"/>
                <w:lang w:val="en-US" w:eastAsia="zh-CN"/>
              </w:rPr>
              <w:t>服务机构人员稳定，具有健全的经营管理制度及管理措施(如财务制度、资料保管、服务质量跟踪、投诉处理、各岗位职责等)，全部提供得8分，未提供不得分。</w:t>
            </w:r>
          </w:p>
        </w:tc>
      </w:tr>
      <w:tr w14:paraId="554285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21" w:type="dxa"/>
            <w:noWrap w:val="0"/>
            <w:vAlign w:val="center"/>
          </w:tcPr>
          <w:p w14:paraId="182786BA">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三</w:t>
            </w:r>
          </w:p>
        </w:tc>
        <w:tc>
          <w:tcPr>
            <w:tcW w:w="1721" w:type="dxa"/>
            <w:tcBorders>
              <w:top w:val="single" w:color="auto" w:sz="4" w:space="0"/>
              <w:bottom w:val="single" w:color="auto" w:sz="4" w:space="0"/>
              <w:right w:val="single" w:color="auto" w:sz="4" w:space="0"/>
            </w:tcBorders>
            <w:noWrap w:val="0"/>
            <w:vAlign w:val="center"/>
          </w:tcPr>
          <w:p w14:paraId="417D6642">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技术部分</w:t>
            </w:r>
          </w:p>
        </w:tc>
        <w:tc>
          <w:tcPr>
            <w:tcW w:w="1114" w:type="dxa"/>
            <w:tcBorders>
              <w:top w:val="single" w:color="auto" w:sz="4" w:space="0"/>
              <w:left w:val="single" w:color="auto" w:sz="4" w:space="0"/>
              <w:bottom w:val="single" w:color="auto" w:sz="4" w:space="0"/>
            </w:tcBorders>
            <w:noWrap w:val="0"/>
            <w:vAlign w:val="center"/>
          </w:tcPr>
          <w:p w14:paraId="7D3039CB">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（59分）</w:t>
            </w:r>
          </w:p>
        </w:tc>
        <w:tc>
          <w:tcPr>
            <w:tcW w:w="5468" w:type="dxa"/>
            <w:noWrap w:val="0"/>
            <w:vAlign w:val="center"/>
          </w:tcPr>
          <w:p w14:paraId="2265BF7E">
            <w:pPr>
              <w:spacing w:line="440" w:lineRule="exact"/>
              <w:rPr>
                <w:rFonts w:hint="eastAsia" w:asciiTheme="minorEastAsia" w:hAnsiTheme="minorEastAsia" w:eastAsiaTheme="minorEastAsia" w:cstheme="minorEastAsia"/>
                <w:i w:val="0"/>
                <w:iCs w:val="0"/>
                <w:sz w:val="24"/>
                <w:szCs w:val="24"/>
                <w:highlight w:val="none"/>
                <w:lang w:val="en-US" w:eastAsia="zh-CN"/>
              </w:rPr>
            </w:pPr>
          </w:p>
        </w:tc>
      </w:tr>
      <w:tr w14:paraId="243D9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21" w:type="dxa"/>
            <w:tcBorders>
              <w:right w:val="single" w:color="auto" w:sz="4" w:space="0"/>
            </w:tcBorders>
            <w:noWrap w:val="0"/>
            <w:vAlign w:val="center"/>
          </w:tcPr>
          <w:p w14:paraId="0472CA3B">
            <w:pPr>
              <w:spacing w:line="440" w:lineRule="exact"/>
              <w:jc w:val="center"/>
              <w:rPr>
                <w:rFonts w:hint="eastAsia" w:asciiTheme="minorEastAsia" w:hAnsiTheme="minorEastAsia" w:eastAsiaTheme="minorEastAsia" w:cstheme="minorEastAsia"/>
                <w:i w:val="0"/>
                <w:iCs w:val="0"/>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52CFDDFE">
            <w:pPr>
              <w:spacing w:line="440" w:lineRule="exact"/>
              <w:jc w:val="center"/>
              <w:rPr>
                <w:rFonts w:hint="eastAsia" w:asciiTheme="minorEastAsia" w:hAnsiTheme="minorEastAsia" w:eastAsiaTheme="minorEastAsia" w:cstheme="minorEastAsia"/>
                <w:i w:val="0"/>
                <w:iCs w:val="0"/>
                <w:sz w:val="24"/>
                <w:szCs w:val="24"/>
                <w:highlight w:val="none"/>
                <w:lang w:val="en-US" w:eastAsia="zh-CN" w:bidi="ar-SA"/>
              </w:rPr>
            </w:pPr>
            <w:r>
              <w:rPr>
                <w:rFonts w:hint="eastAsia" w:asciiTheme="minorEastAsia" w:hAnsiTheme="minorEastAsia" w:eastAsiaTheme="minorEastAsia" w:cstheme="minorEastAsia"/>
                <w:bCs/>
                <w:color w:val="000000"/>
                <w:sz w:val="24"/>
                <w:szCs w:val="24"/>
                <w:highlight w:val="none"/>
                <w:lang w:bidi="ar-SA"/>
              </w:rPr>
              <w:t>项目实施方案</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B011D2B">
            <w:pPr>
              <w:spacing w:line="440" w:lineRule="exact"/>
              <w:jc w:val="center"/>
              <w:rPr>
                <w:rFonts w:hint="eastAsia" w:asciiTheme="minorEastAsia" w:hAnsiTheme="minorEastAsia" w:eastAsiaTheme="minorEastAsia" w:cstheme="minorEastAsia"/>
                <w:i w:val="0"/>
                <w:iCs w:val="0"/>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20分</w:t>
            </w:r>
          </w:p>
        </w:tc>
        <w:tc>
          <w:tcPr>
            <w:tcW w:w="5468" w:type="dxa"/>
            <w:tcBorders>
              <w:left w:val="single" w:color="auto" w:sz="4" w:space="0"/>
            </w:tcBorders>
            <w:noWrap w:val="0"/>
            <w:vAlign w:val="center"/>
          </w:tcPr>
          <w:p w14:paraId="53DFD0F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bCs/>
                <w:color w:val="000000"/>
                <w:sz w:val="24"/>
                <w:szCs w:val="24"/>
                <w:highlight w:val="none"/>
                <w:lang w:bidi="ar-SA"/>
              </w:rPr>
            </w:pPr>
            <w:r>
              <w:rPr>
                <w:rFonts w:hint="eastAsia" w:asciiTheme="minorEastAsia" w:hAnsiTheme="minorEastAsia" w:eastAsiaTheme="minorEastAsia" w:cstheme="minorEastAsia"/>
                <w:bCs/>
                <w:color w:val="000000"/>
                <w:sz w:val="24"/>
                <w:szCs w:val="24"/>
                <w:highlight w:val="none"/>
                <w:lang w:bidi="ar-SA"/>
              </w:rPr>
              <w:t>根据招标文件要求，针对本项目提供相对应的服务实施方案 :</w:t>
            </w:r>
          </w:p>
          <w:p w14:paraId="67EEAB95">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bCs/>
                <w:color w:val="000000"/>
                <w:sz w:val="24"/>
                <w:szCs w:val="24"/>
                <w:highlight w:val="none"/>
                <w:lang w:bidi="ar-SA"/>
              </w:rPr>
            </w:pPr>
            <w:r>
              <w:rPr>
                <w:rFonts w:hint="eastAsia" w:asciiTheme="minorEastAsia" w:hAnsiTheme="minorEastAsia" w:eastAsiaTheme="minorEastAsia" w:cstheme="minorEastAsia"/>
                <w:bCs/>
                <w:color w:val="000000"/>
                <w:sz w:val="24"/>
                <w:szCs w:val="24"/>
                <w:highlight w:val="none"/>
                <w:lang w:bidi="ar-SA"/>
              </w:rPr>
              <w:t>整体工作阶段及任务划分安排合理、可行，关键时间节点把握科学准确；质量保证体系完备周全，具有针对性，应对措施强；工作思路清晰、科学可行得</w:t>
            </w:r>
            <w:r>
              <w:rPr>
                <w:rFonts w:hint="eastAsia" w:asciiTheme="minorEastAsia" w:hAnsiTheme="minorEastAsia" w:eastAsiaTheme="minorEastAsia" w:cstheme="minorEastAsia"/>
                <w:bCs/>
                <w:color w:val="000000"/>
                <w:sz w:val="24"/>
                <w:szCs w:val="24"/>
                <w:highlight w:val="none"/>
                <w:lang w:val="en-US" w:eastAsia="zh-CN" w:bidi="ar-SA"/>
              </w:rPr>
              <w:t>20</w:t>
            </w:r>
            <w:r>
              <w:rPr>
                <w:rFonts w:hint="eastAsia" w:asciiTheme="minorEastAsia" w:hAnsiTheme="minorEastAsia" w:eastAsiaTheme="minorEastAsia" w:cstheme="minorEastAsia"/>
                <w:bCs/>
                <w:color w:val="000000"/>
                <w:sz w:val="24"/>
                <w:szCs w:val="24"/>
                <w:highlight w:val="none"/>
                <w:lang w:bidi="ar-SA"/>
              </w:rPr>
              <w:t>分；</w:t>
            </w:r>
          </w:p>
          <w:p w14:paraId="47D7F6CF">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bCs/>
                <w:color w:val="000000"/>
                <w:sz w:val="24"/>
                <w:szCs w:val="24"/>
                <w:highlight w:val="none"/>
                <w:lang w:bidi="ar-SA"/>
              </w:rPr>
            </w:pPr>
            <w:r>
              <w:rPr>
                <w:rFonts w:hint="eastAsia" w:asciiTheme="minorEastAsia" w:hAnsiTheme="minorEastAsia" w:eastAsiaTheme="minorEastAsia" w:cstheme="minorEastAsia"/>
                <w:bCs/>
                <w:color w:val="000000"/>
                <w:sz w:val="24"/>
                <w:szCs w:val="24"/>
                <w:highlight w:val="none"/>
                <w:lang w:bidi="ar-SA"/>
              </w:rPr>
              <w:t>整体工作阶段及任务划分安排较合理、可行，关键时间节点把握准确；质量保证体系较完备，具有针对性，应对措施较强；工作思路较清晰、可行得</w:t>
            </w:r>
            <w:r>
              <w:rPr>
                <w:rFonts w:hint="eastAsia" w:asciiTheme="minorEastAsia" w:hAnsiTheme="minorEastAsia" w:eastAsiaTheme="minorEastAsia" w:cstheme="minorEastAsia"/>
                <w:bCs/>
                <w:color w:val="000000"/>
                <w:sz w:val="24"/>
                <w:szCs w:val="24"/>
                <w:highlight w:val="none"/>
                <w:lang w:val="en-US" w:eastAsia="zh-CN" w:bidi="ar-SA"/>
              </w:rPr>
              <w:t>14</w:t>
            </w:r>
            <w:r>
              <w:rPr>
                <w:rFonts w:hint="eastAsia" w:asciiTheme="minorEastAsia" w:hAnsiTheme="minorEastAsia" w:eastAsiaTheme="minorEastAsia" w:cstheme="minorEastAsia"/>
                <w:bCs/>
                <w:color w:val="000000"/>
                <w:sz w:val="24"/>
                <w:szCs w:val="24"/>
                <w:highlight w:val="none"/>
                <w:lang w:bidi="ar-SA"/>
              </w:rPr>
              <w:t>分；</w:t>
            </w:r>
          </w:p>
          <w:p w14:paraId="70E0D054">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i w:val="0"/>
                <w:iCs w:val="0"/>
                <w:sz w:val="24"/>
                <w:szCs w:val="24"/>
                <w:highlight w:val="none"/>
                <w:lang w:val="en-US" w:eastAsia="zh-CN" w:bidi="ar-SA"/>
              </w:rPr>
            </w:pPr>
            <w:r>
              <w:rPr>
                <w:rFonts w:hint="eastAsia" w:asciiTheme="minorEastAsia" w:hAnsiTheme="minorEastAsia" w:eastAsiaTheme="minorEastAsia" w:cstheme="minorEastAsia"/>
                <w:bCs/>
                <w:color w:val="000000"/>
                <w:sz w:val="24"/>
                <w:szCs w:val="24"/>
                <w:highlight w:val="none"/>
                <w:lang w:bidi="ar-SA"/>
              </w:rPr>
              <w:t xml:space="preserve">整体工作阶段及任务划分安排一般、可行，关键时间节点把握准确；质量保证体系一般，无针对性，应对措施一般；工作思路不清晰、可行得 </w:t>
            </w:r>
            <w:r>
              <w:rPr>
                <w:rFonts w:hint="eastAsia" w:asciiTheme="minorEastAsia" w:hAnsiTheme="minorEastAsia" w:eastAsiaTheme="minorEastAsia" w:cstheme="minorEastAsia"/>
                <w:bCs/>
                <w:color w:val="000000"/>
                <w:sz w:val="24"/>
                <w:szCs w:val="24"/>
                <w:highlight w:val="none"/>
                <w:lang w:val="en-US" w:eastAsia="zh-CN" w:bidi="ar-SA"/>
              </w:rPr>
              <w:t>9</w:t>
            </w:r>
            <w:r>
              <w:rPr>
                <w:rFonts w:hint="eastAsia" w:asciiTheme="minorEastAsia" w:hAnsiTheme="minorEastAsia" w:eastAsiaTheme="minorEastAsia" w:cstheme="minorEastAsia"/>
                <w:bCs/>
                <w:color w:val="000000"/>
                <w:sz w:val="24"/>
                <w:szCs w:val="24"/>
                <w:highlight w:val="none"/>
                <w:lang w:bidi="ar-SA"/>
              </w:rPr>
              <w:t>分；整体工作阶段及任务划分安排</w:t>
            </w:r>
            <w:r>
              <w:rPr>
                <w:rFonts w:hint="eastAsia" w:asciiTheme="minorEastAsia" w:hAnsiTheme="minorEastAsia" w:eastAsiaTheme="minorEastAsia" w:cstheme="minorEastAsia"/>
                <w:bCs/>
                <w:color w:val="000000"/>
                <w:sz w:val="24"/>
                <w:szCs w:val="24"/>
                <w:highlight w:val="none"/>
                <w:lang w:eastAsia="zh-CN" w:bidi="ar-SA"/>
              </w:rPr>
              <w:t>不合理，</w:t>
            </w:r>
            <w:r>
              <w:rPr>
                <w:rFonts w:hint="eastAsia" w:asciiTheme="minorEastAsia" w:hAnsiTheme="minorEastAsia" w:eastAsiaTheme="minorEastAsia" w:cstheme="minorEastAsia"/>
                <w:bCs/>
                <w:color w:val="000000"/>
                <w:sz w:val="24"/>
                <w:szCs w:val="24"/>
                <w:highlight w:val="none"/>
                <w:lang w:bidi="ar-SA"/>
              </w:rPr>
              <w:t>不提供方案不得分。</w:t>
            </w:r>
          </w:p>
        </w:tc>
      </w:tr>
      <w:tr w14:paraId="568B56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21" w:type="dxa"/>
            <w:tcBorders>
              <w:right w:val="single" w:color="auto" w:sz="4" w:space="0"/>
            </w:tcBorders>
            <w:noWrap w:val="0"/>
            <w:vAlign w:val="center"/>
          </w:tcPr>
          <w:p w14:paraId="4BF7EC10">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2</w:t>
            </w:r>
          </w:p>
        </w:tc>
        <w:tc>
          <w:tcPr>
            <w:tcW w:w="1721" w:type="dxa"/>
            <w:tcBorders>
              <w:top w:val="single" w:color="auto" w:sz="4" w:space="0"/>
              <w:left w:val="single" w:color="auto" w:sz="4" w:space="0"/>
              <w:bottom w:val="single" w:color="auto" w:sz="4" w:space="0"/>
              <w:right w:val="single" w:color="auto" w:sz="4" w:space="0"/>
            </w:tcBorders>
            <w:noWrap w:val="0"/>
            <w:vAlign w:val="center"/>
          </w:tcPr>
          <w:p w14:paraId="7558743D">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i w:val="0"/>
                <w:iCs w:val="0"/>
                <w:sz w:val="24"/>
                <w:szCs w:val="24"/>
                <w:highlight w:val="none"/>
                <w:u w:val="none"/>
                <w:lang w:val="en-US" w:eastAsia="zh-CN"/>
              </w:rPr>
            </w:pPr>
            <w:r>
              <w:rPr>
                <w:rFonts w:hint="eastAsia" w:asciiTheme="minorEastAsia" w:hAnsiTheme="minorEastAsia" w:eastAsiaTheme="minorEastAsia" w:cstheme="minorEastAsia"/>
                <w:bCs/>
                <w:color w:val="000000"/>
                <w:sz w:val="24"/>
                <w:szCs w:val="24"/>
                <w:highlight w:val="none"/>
                <w:lang w:bidi="ar-SA"/>
              </w:rPr>
              <w:t>服务技术指标</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DF32506">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i w:val="0"/>
                <w:iCs w:val="0"/>
                <w:sz w:val="24"/>
                <w:szCs w:val="24"/>
                <w:highlight w:val="none"/>
                <w:u w:val="none"/>
                <w:lang w:val="en-US" w:eastAsia="zh-CN"/>
              </w:rPr>
            </w:pPr>
            <w:r>
              <w:rPr>
                <w:rFonts w:hint="eastAsia" w:asciiTheme="minorEastAsia" w:hAnsiTheme="minorEastAsia" w:eastAsiaTheme="minorEastAsia" w:cstheme="minorEastAsia"/>
                <w:bCs/>
                <w:color w:val="000000"/>
                <w:sz w:val="24"/>
                <w:szCs w:val="24"/>
                <w:highlight w:val="none"/>
                <w:lang w:bidi="ar-SA"/>
              </w:rPr>
              <w:t>10分</w:t>
            </w:r>
          </w:p>
        </w:tc>
        <w:tc>
          <w:tcPr>
            <w:tcW w:w="5468" w:type="dxa"/>
            <w:tcBorders>
              <w:left w:val="single" w:color="auto" w:sz="4" w:space="0"/>
            </w:tcBorders>
            <w:noWrap w:val="0"/>
            <w:vAlign w:val="center"/>
          </w:tcPr>
          <w:p w14:paraId="3BDD253C">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bidi="ar-SA"/>
              </w:rPr>
              <w:t>根据所投服务的技术内容及需求的响应程度打分，全部响应招标文件的得10分。每有一项指标未满足招标参数的扣 2分，直至扣完。</w:t>
            </w:r>
          </w:p>
        </w:tc>
      </w:tr>
      <w:tr w14:paraId="765AF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21" w:type="dxa"/>
            <w:noWrap w:val="0"/>
            <w:vAlign w:val="center"/>
          </w:tcPr>
          <w:p w14:paraId="462E4F37">
            <w:pPr>
              <w:spacing w:line="440" w:lineRule="exact"/>
              <w:jc w:val="center"/>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3</w:t>
            </w:r>
          </w:p>
        </w:tc>
        <w:tc>
          <w:tcPr>
            <w:tcW w:w="1721" w:type="dxa"/>
            <w:tcBorders>
              <w:top w:val="single" w:color="auto" w:sz="4" w:space="0"/>
              <w:bottom w:val="single" w:color="auto" w:sz="4" w:space="0"/>
              <w:right w:val="single" w:color="auto" w:sz="4" w:space="0"/>
            </w:tcBorders>
            <w:noWrap w:val="0"/>
            <w:vAlign w:val="center"/>
          </w:tcPr>
          <w:p w14:paraId="3ABF25F8">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管理人员配备</w:t>
            </w:r>
          </w:p>
        </w:tc>
        <w:tc>
          <w:tcPr>
            <w:tcW w:w="1114" w:type="dxa"/>
            <w:tcBorders>
              <w:top w:val="single" w:color="auto" w:sz="4" w:space="0"/>
              <w:left w:val="single" w:color="auto" w:sz="4" w:space="0"/>
              <w:bottom w:val="single" w:color="auto" w:sz="4" w:space="0"/>
            </w:tcBorders>
            <w:noWrap w:val="0"/>
            <w:vAlign w:val="center"/>
          </w:tcPr>
          <w:p w14:paraId="1B99C39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bCs/>
                <w:color w:val="auto"/>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bidi="ar-SA"/>
              </w:rPr>
              <w:t>8</w:t>
            </w:r>
          </w:p>
        </w:tc>
        <w:tc>
          <w:tcPr>
            <w:tcW w:w="5468" w:type="dxa"/>
            <w:noWrap w:val="0"/>
            <w:vAlign w:val="center"/>
          </w:tcPr>
          <w:p w14:paraId="75BD8CA1">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 xml:space="preserve">承接机构负责人具有中华人民共和国人力资源和 </w:t>
            </w:r>
            <w:r>
              <w:rPr>
                <w:rFonts w:hint="eastAsia" w:asciiTheme="minorEastAsia" w:hAnsiTheme="minorEastAsia" w:eastAsiaTheme="minorEastAsia" w:cstheme="minorEastAsia"/>
                <w:color w:val="auto"/>
                <w:spacing w:val="-1"/>
                <w:sz w:val="24"/>
                <w:szCs w:val="24"/>
                <w:highlight w:val="none"/>
              </w:rPr>
              <w:t>社会保障部、</w:t>
            </w:r>
            <w:r>
              <w:rPr>
                <w:rFonts w:hint="eastAsia" w:asciiTheme="minorEastAsia" w:hAnsiTheme="minorEastAsia" w:eastAsiaTheme="minorEastAsia" w:cstheme="minorEastAsia"/>
                <w:color w:val="auto"/>
                <w:spacing w:val="-64"/>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民政部颁发的社会工作</w:t>
            </w:r>
            <w:r>
              <w:rPr>
                <w:rFonts w:hint="eastAsia" w:asciiTheme="minorEastAsia" w:hAnsiTheme="minorEastAsia" w:eastAsiaTheme="minorEastAsia" w:cstheme="minorEastAsia"/>
                <w:color w:val="auto"/>
                <w:spacing w:val="-1"/>
                <w:sz w:val="24"/>
                <w:szCs w:val="24"/>
                <w:highlight w:val="none"/>
                <w:lang w:val="en-US" w:eastAsia="zh-CN"/>
              </w:rPr>
              <w:t>者职业资格证书中级及以上</w:t>
            </w:r>
            <w:r>
              <w:rPr>
                <w:rFonts w:hint="eastAsia" w:asciiTheme="minorEastAsia" w:hAnsiTheme="minorEastAsia" w:eastAsiaTheme="minorEastAsia" w:cstheme="minorEastAsia"/>
                <w:color w:val="auto"/>
                <w:spacing w:val="-1"/>
                <w:sz w:val="24"/>
                <w:szCs w:val="24"/>
                <w:highlight w:val="none"/>
              </w:rPr>
              <w:t>职业资格证书</w:t>
            </w:r>
            <w:r>
              <w:rPr>
                <w:rFonts w:hint="eastAsia" w:asciiTheme="minorEastAsia" w:hAnsiTheme="minorEastAsia" w:eastAsiaTheme="minorEastAsia" w:cstheme="minorEastAsia"/>
                <w:color w:val="auto"/>
                <w:spacing w:val="-1"/>
                <w:sz w:val="24"/>
                <w:szCs w:val="24"/>
                <w:highlight w:val="none"/>
                <w:lang w:val="en-US" w:eastAsia="zh-CN"/>
              </w:rPr>
              <w:t>和社会工作服务类似业绩</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
                <w:sz w:val="24"/>
                <w:szCs w:val="24"/>
                <w:highlight w:val="none"/>
              </w:rPr>
              <w:t>具有国家中级</w:t>
            </w:r>
            <w:r>
              <w:rPr>
                <w:rFonts w:hint="eastAsia" w:asciiTheme="minorEastAsia" w:hAnsiTheme="minorEastAsia" w:eastAsiaTheme="minorEastAsia" w:cstheme="minorEastAsia"/>
                <w:color w:val="auto"/>
                <w:spacing w:val="-1"/>
                <w:sz w:val="24"/>
                <w:szCs w:val="24"/>
                <w:highlight w:val="none"/>
                <w:lang w:val="en-US" w:eastAsia="zh-CN"/>
              </w:rPr>
              <w:t>及以上</w:t>
            </w:r>
            <w:r>
              <w:rPr>
                <w:rFonts w:hint="eastAsia" w:asciiTheme="minorEastAsia" w:hAnsiTheme="minorEastAsia" w:eastAsiaTheme="minorEastAsia" w:cstheme="minorEastAsia"/>
                <w:color w:val="auto"/>
                <w:spacing w:val="-1"/>
                <w:sz w:val="24"/>
                <w:szCs w:val="24"/>
                <w:highlight w:val="none"/>
              </w:rPr>
              <w:t>社会工</w:t>
            </w:r>
            <w:r>
              <w:rPr>
                <w:rFonts w:hint="eastAsia" w:asciiTheme="minorEastAsia" w:hAnsiTheme="minorEastAsia" w:eastAsiaTheme="minorEastAsia" w:cstheme="minorEastAsia"/>
                <w:color w:val="auto"/>
                <w:spacing w:val="-4"/>
                <w:sz w:val="24"/>
                <w:szCs w:val="24"/>
                <w:highlight w:val="none"/>
              </w:rPr>
              <w:t>作</w:t>
            </w:r>
            <w:r>
              <w:rPr>
                <w:rFonts w:hint="eastAsia" w:asciiTheme="minorEastAsia" w:hAnsiTheme="minorEastAsia" w:eastAsiaTheme="minorEastAsia" w:cstheme="minorEastAsia"/>
                <w:color w:val="auto"/>
                <w:spacing w:val="-4"/>
                <w:sz w:val="24"/>
                <w:szCs w:val="24"/>
                <w:highlight w:val="none"/>
                <w:lang w:val="en-US" w:eastAsia="zh-CN"/>
              </w:rPr>
              <w:t>者职业</w:t>
            </w:r>
            <w:r>
              <w:rPr>
                <w:rFonts w:hint="eastAsia" w:asciiTheme="minorEastAsia" w:hAnsiTheme="minorEastAsia" w:eastAsiaTheme="minorEastAsia" w:cstheme="minorEastAsia"/>
                <w:color w:val="auto"/>
                <w:spacing w:val="-4"/>
                <w:sz w:val="24"/>
                <w:szCs w:val="24"/>
                <w:highlight w:val="none"/>
              </w:rPr>
              <w:t>资格证</w:t>
            </w:r>
            <w:r>
              <w:rPr>
                <w:rFonts w:hint="eastAsia" w:asciiTheme="minorEastAsia" w:hAnsiTheme="minorEastAsia" w:eastAsiaTheme="minorEastAsia" w:cstheme="minorEastAsia"/>
                <w:color w:val="auto"/>
                <w:spacing w:val="-4"/>
                <w:sz w:val="24"/>
                <w:szCs w:val="24"/>
                <w:highlight w:val="none"/>
                <w:lang w:val="en-US" w:eastAsia="zh-CN"/>
              </w:rPr>
              <w:t>书且从事工作满3年，每人计3分；持助理社会工作执业资格证书或者社会工作专业且工作满2年每人计2分，</w:t>
            </w:r>
            <w:r>
              <w:rPr>
                <w:rFonts w:hint="eastAsia" w:asciiTheme="minorEastAsia" w:hAnsiTheme="minorEastAsia" w:eastAsiaTheme="minorEastAsia" w:cstheme="minorEastAsia"/>
                <w:color w:val="auto"/>
                <w:spacing w:val="-1"/>
                <w:sz w:val="24"/>
                <w:szCs w:val="24"/>
                <w:highlight w:val="none"/>
              </w:rPr>
              <w:t>响应文件中提供人员身份证复印件、职业资格证书复印件、否则不计分</w:t>
            </w: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lang w:val="en-US" w:eastAsia="zh-CN"/>
              </w:rPr>
              <w:t>最高得8分。</w:t>
            </w:r>
            <w:r>
              <w:rPr>
                <w:rFonts w:hint="eastAsia" w:asciiTheme="minorEastAsia" w:hAnsiTheme="minorEastAsia" w:eastAsiaTheme="minorEastAsia" w:cstheme="minorEastAsia"/>
                <w:color w:val="auto"/>
                <w:spacing w:val="-1"/>
                <w:sz w:val="24"/>
                <w:szCs w:val="24"/>
                <w:highlight w:val="none"/>
                <w:lang w:eastAsia="zh-CN"/>
              </w:rPr>
              <w:t>）</w:t>
            </w:r>
          </w:p>
        </w:tc>
      </w:tr>
      <w:tr w14:paraId="0BD29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821" w:type="dxa"/>
            <w:noWrap w:val="0"/>
            <w:vAlign w:val="center"/>
          </w:tcPr>
          <w:p w14:paraId="059BA555">
            <w:pPr>
              <w:spacing w:line="440" w:lineRule="exact"/>
              <w:jc w:val="center"/>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4</w:t>
            </w:r>
          </w:p>
        </w:tc>
        <w:tc>
          <w:tcPr>
            <w:tcW w:w="1721" w:type="dxa"/>
            <w:tcBorders>
              <w:top w:val="single" w:color="auto" w:sz="4" w:space="0"/>
              <w:bottom w:val="single" w:color="auto" w:sz="4" w:space="0"/>
              <w:right w:val="single" w:color="auto" w:sz="4" w:space="0"/>
            </w:tcBorders>
            <w:noWrap w:val="0"/>
            <w:vAlign w:val="center"/>
          </w:tcPr>
          <w:p w14:paraId="6FF33854">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服务和管理</w:t>
            </w:r>
          </w:p>
        </w:tc>
        <w:tc>
          <w:tcPr>
            <w:tcW w:w="1114" w:type="dxa"/>
            <w:tcBorders>
              <w:top w:val="single" w:color="auto" w:sz="4" w:space="0"/>
              <w:left w:val="single" w:color="auto" w:sz="4" w:space="0"/>
              <w:bottom w:val="single" w:color="auto" w:sz="4" w:space="0"/>
            </w:tcBorders>
            <w:noWrap w:val="0"/>
            <w:vAlign w:val="center"/>
          </w:tcPr>
          <w:p w14:paraId="6F8C314C">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bidi="ar-SA"/>
              </w:rPr>
              <w:t>3</w:t>
            </w:r>
            <w:r>
              <w:rPr>
                <w:rFonts w:hint="eastAsia" w:asciiTheme="minorEastAsia" w:hAnsiTheme="minorEastAsia" w:eastAsiaTheme="minorEastAsia" w:cstheme="minorEastAsia"/>
                <w:bCs/>
                <w:color w:val="auto"/>
                <w:sz w:val="24"/>
                <w:szCs w:val="24"/>
                <w:highlight w:val="none"/>
                <w:lang w:bidi="ar-SA"/>
              </w:rPr>
              <w:t>分</w:t>
            </w:r>
          </w:p>
        </w:tc>
        <w:tc>
          <w:tcPr>
            <w:tcW w:w="5468" w:type="dxa"/>
            <w:noWrap w:val="0"/>
            <w:vAlign w:val="center"/>
          </w:tcPr>
          <w:p w14:paraId="3EF1FB5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售后服务体系及保障措施齐全</w:t>
            </w:r>
            <w:r>
              <w:rPr>
                <w:rFonts w:hint="eastAsia" w:asciiTheme="minorEastAsia" w:hAnsiTheme="minorEastAsia" w:eastAsiaTheme="minorEastAsia" w:cstheme="minorEastAsia"/>
                <w:color w:val="auto"/>
                <w:kern w:val="0"/>
                <w:sz w:val="24"/>
                <w:szCs w:val="24"/>
                <w:highlight w:val="none"/>
                <w:lang w:eastAsia="zh-CN"/>
              </w:rPr>
              <w:t>得</w:t>
            </w:r>
            <w:r>
              <w:rPr>
                <w:rFonts w:hint="eastAsia" w:asciiTheme="minorEastAsia" w:hAnsiTheme="minorEastAsia" w:eastAsiaTheme="minorEastAsia" w:cstheme="minorEastAsia"/>
                <w:color w:val="auto"/>
                <w:kern w:val="0"/>
                <w:sz w:val="24"/>
                <w:szCs w:val="24"/>
                <w:highlight w:val="none"/>
                <w:lang w:val="en-US" w:eastAsia="zh-CN"/>
              </w:rPr>
              <w:t>3分，</w:t>
            </w:r>
            <w:r>
              <w:rPr>
                <w:rFonts w:hint="eastAsia" w:asciiTheme="minorEastAsia" w:hAnsiTheme="minorEastAsia" w:eastAsiaTheme="minorEastAsia" w:cstheme="minorEastAsia"/>
                <w:color w:val="auto"/>
                <w:kern w:val="0"/>
                <w:sz w:val="24"/>
                <w:szCs w:val="24"/>
                <w:highlight w:val="none"/>
              </w:rPr>
              <w:t>售后服务体系及保障措施</w:t>
            </w:r>
            <w:r>
              <w:rPr>
                <w:rFonts w:hint="eastAsia" w:asciiTheme="minorEastAsia" w:hAnsiTheme="minorEastAsia" w:eastAsiaTheme="minorEastAsia" w:cstheme="minorEastAsia"/>
                <w:color w:val="auto"/>
                <w:kern w:val="0"/>
                <w:sz w:val="24"/>
                <w:szCs w:val="24"/>
                <w:highlight w:val="none"/>
                <w:lang w:eastAsia="zh-CN"/>
              </w:rPr>
              <w:t>缺一项得</w:t>
            </w:r>
            <w:r>
              <w:rPr>
                <w:rFonts w:hint="eastAsia" w:asciiTheme="minorEastAsia" w:hAnsiTheme="minorEastAsia" w:eastAsiaTheme="minorEastAsia" w:cstheme="minorEastAsia"/>
                <w:color w:val="auto"/>
                <w:kern w:val="0"/>
                <w:sz w:val="24"/>
                <w:szCs w:val="24"/>
                <w:highlight w:val="none"/>
                <w:lang w:val="en-US" w:eastAsia="zh-CN"/>
              </w:rPr>
              <w:t>2分，不提供不得分</w:t>
            </w:r>
            <w:r>
              <w:rPr>
                <w:rFonts w:hint="eastAsia" w:asciiTheme="minorEastAsia" w:hAnsiTheme="minorEastAsia" w:eastAsiaTheme="minorEastAsia" w:cstheme="minorEastAsia"/>
                <w:color w:val="auto"/>
                <w:kern w:val="0"/>
                <w:sz w:val="24"/>
                <w:szCs w:val="24"/>
                <w:highlight w:val="none"/>
              </w:rPr>
              <w:t>。</w:t>
            </w:r>
          </w:p>
        </w:tc>
      </w:tr>
      <w:tr w14:paraId="7BF9DE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5" w:hRule="atLeast"/>
        </w:trPr>
        <w:tc>
          <w:tcPr>
            <w:tcW w:w="821" w:type="dxa"/>
            <w:noWrap w:val="0"/>
            <w:vAlign w:val="center"/>
          </w:tcPr>
          <w:p w14:paraId="231E6C41">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5</w:t>
            </w:r>
          </w:p>
        </w:tc>
        <w:tc>
          <w:tcPr>
            <w:tcW w:w="1721" w:type="dxa"/>
            <w:tcBorders>
              <w:top w:val="single" w:color="auto" w:sz="4" w:space="0"/>
              <w:bottom w:val="single" w:color="auto" w:sz="4" w:space="0"/>
              <w:right w:val="single" w:color="auto" w:sz="4" w:space="0"/>
            </w:tcBorders>
            <w:noWrap w:val="0"/>
            <w:vAlign w:val="center"/>
          </w:tcPr>
          <w:p w14:paraId="42B4AFA5">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val="en-US" w:eastAsia="zh-CN" w:bidi="ar-SA"/>
              </w:rPr>
              <w:t>业绩方面</w:t>
            </w:r>
          </w:p>
        </w:tc>
        <w:tc>
          <w:tcPr>
            <w:tcW w:w="1114" w:type="dxa"/>
            <w:tcBorders>
              <w:top w:val="single" w:color="auto" w:sz="4" w:space="0"/>
              <w:left w:val="single" w:color="auto" w:sz="4" w:space="0"/>
              <w:bottom w:val="single" w:color="auto" w:sz="4" w:space="0"/>
            </w:tcBorders>
            <w:noWrap w:val="0"/>
            <w:vAlign w:val="center"/>
          </w:tcPr>
          <w:p w14:paraId="1B64A02E">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bidi="ar-SA"/>
              </w:rPr>
              <w:t>6</w:t>
            </w:r>
            <w:r>
              <w:rPr>
                <w:rFonts w:hint="eastAsia" w:asciiTheme="minorEastAsia" w:hAnsiTheme="minorEastAsia" w:eastAsiaTheme="minorEastAsia" w:cstheme="minorEastAsia"/>
                <w:bCs/>
                <w:color w:val="auto"/>
                <w:sz w:val="24"/>
                <w:szCs w:val="24"/>
                <w:highlight w:val="none"/>
                <w:lang w:bidi="ar-SA"/>
              </w:rPr>
              <w:t>分</w:t>
            </w:r>
          </w:p>
        </w:tc>
        <w:tc>
          <w:tcPr>
            <w:tcW w:w="5468" w:type="dxa"/>
            <w:noWrap w:val="0"/>
            <w:vAlign w:val="center"/>
          </w:tcPr>
          <w:p w14:paraId="45CE738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bidi="ar-SA"/>
              </w:rPr>
              <w:t>提供近三年社会救助服务项目的相关资料，</w:t>
            </w:r>
            <w:r>
              <w:rPr>
                <w:rFonts w:hint="eastAsia" w:asciiTheme="minorEastAsia" w:hAnsiTheme="minorEastAsia" w:eastAsiaTheme="minorEastAsia" w:cstheme="minorEastAsia"/>
                <w:color w:val="auto"/>
                <w:spacing w:val="-1"/>
                <w:sz w:val="24"/>
                <w:szCs w:val="24"/>
                <w:highlight w:val="none"/>
              </w:rPr>
              <w:t>响应文件中提供</w:t>
            </w:r>
            <w:r>
              <w:rPr>
                <w:rFonts w:hint="eastAsia" w:asciiTheme="minorEastAsia" w:hAnsiTheme="minorEastAsia" w:eastAsiaTheme="minorEastAsia" w:cstheme="minorEastAsia"/>
                <w:color w:val="auto"/>
                <w:spacing w:val="-1"/>
                <w:sz w:val="24"/>
                <w:szCs w:val="24"/>
                <w:highlight w:val="none"/>
                <w:lang w:val="en-US" w:eastAsia="zh-CN"/>
              </w:rPr>
              <w:t>相关服务项目合同或中标通知书及业主好评资料（加盖公章）</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bidi="ar-SA"/>
              </w:rPr>
              <w:t>每提供一个得1分，最高得6分。</w:t>
            </w:r>
          </w:p>
        </w:tc>
      </w:tr>
      <w:tr w14:paraId="5DA2D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21" w:type="dxa"/>
            <w:noWrap w:val="0"/>
            <w:vAlign w:val="center"/>
          </w:tcPr>
          <w:p w14:paraId="4901F7F3">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p>
          <w:p w14:paraId="622823BB">
            <w:pPr>
              <w:spacing w:line="440" w:lineRule="exact"/>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6</w:t>
            </w:r>
          </w:p>
        </w:tc>
        <w:tc>
          <w:tcPr>
            <w:tcW w:w="1721" w:type="dxa"/>
            <w:tcBorders>
              <w:top w:val="single" w:color="auto" w:sz="4" w:space="0"/>
              <w:bottom w:val="single" w:color="auto" w:sz="4" w:space="0"/>
              <w:right w:val="single" w:color="auto" w:sz="4" w:space="0"/>
            </w:tcBorders>
            <w:noWrap w:val="0"/>
            <w:vAlign w:val="center"/>
          </w:tcPr>
          <w:p w14:paraId="3CBBFCEA">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bidi="ar-SA"/>
              </w:rPr>
              <w:t>标书制作</w:t>
            </w:r>
          </w:p>
        </w:tc>
        <w:tc>
          <w:tcPr>
            <w:tcW w:w="1114" w:type="dxa"/>
            <w:tcBorders>
              <w:top w:val="single" w:color="auto" w:sz="4" w:space="0"/>
              <w:left w:val="single" w:color="auto" w:sz="4" w:space="0"/>
              <w:bottom w:val="single" w:color="auto" w:sz="4" w:space="0"/>
            </w:tcBorders>
            <w:noWrap w:val="0"/>
            <w:vAlign w:val="center"/>
          </w:tcPr>
          <w:p w14:paraId="4F838831">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0"/>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bidi="ar-SA"/>
              </w:rPr>
              <w:t>2分</w:t>
            </w:r>
          </w:p>
        </w:tc>
        <w:tc>
          <w:tcPr>
            <w:tcW w:w="5468" w:type="dxa"/>
            <w:noWrap w:val="0"/>
            <w:vAlign w:val="center"/>
          </w:tcPr>
          <w:p w14:paraId="2930EB9B">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bCs/>
                <w:color w:val="000000"/>
                <w:sz w:val="24"/>
                <w:szCs w:val="24"/>
                <w:highlight w:val="none"/>
                <w:lang w:bidi="ar-SA"/>
              </w:rPr>
              <w:t>投标文件按照招标文件要求的格式、内容及顺序填写（包括目录、页码、签字、总体编排等项目），整齐美观得 2分，否则得 0分。</w:t>
            </w:r>
          </w:p>
        </w:tc>
      </w:tr>
      <w:tr w14:paraId="2867B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21" w:type="dxa"/>
            <w:noWrap w:val="0"/>
            <w:vAlign w:val="center"/>
          </w:tcPr>
          <w:p w14:paraId="30BC2A29">
            <w:pPr>
              <w:spacing w:line="440" w:lineRule="exact"/>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7</w:t>
            </w:r>
          </w:p>
        </w:tc>
        <w:tc>
          <w:tcPr>
            <w:tcW w:w="1721" w:type="dxa"/>
            <w:tcBorders>
              <w:top w:val="single" w:color="auto" w:sz="4" w:space="0"/>
              <w:bottom w:val="single" w:color="auto" w:sz="4" w:space="0"/>
              <w:right w:val="single" w:color="auto" w:sz="4" w:space="0"/>
            </w:tcBorders>
            <w:noWrap w:val="0"/>
            <w:vAlign w:val="center"/>
          </w:tcPr>
          <w:p w14:paraId="1EEFB684">
            <w:pPr>
              <w:spacing w:line="440" w:lineRule="exact"/>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投标文件及相关资料的完整性</w:t>
            </w:r>
          </w:p>
          <w:p w14:paraId="5B206364">
            <w:pPr>
              <w:spacing w:line="440" w:lineRule="exact"/>
              <w:jc w:val="center"/>
              <w:rPr>
                <w:rFonts w:hint="eastAsia" w:asciiTheme="minorEastAsia" w:hAnsiTheme="minorEastAsia" w:eastAsiaTheme="minorEastAsia" w:cstheme="minorEastAsia"/>
                <w:i w:val="0"/>
                <w:iCs w:val="0"/>
                <w:kern w:val="2"/>
                <w:sz w:val="24"/>
                <w:szCs w:val="24"/>
                <w:highlight w:val="none"/>
                <w:lang w:val="en-US" w:eastAsia="zh-CN" w:bidi="ar-SA"/>
              </w:rPr>
            </w:pPr>
          </w:p>
        </w:tc>
        <w:tc>
          <w:tcPr>
            <w:tcW w:w="1114" w:type="dxa"/>
            <w:tcBorders>
              <w:top w:val="single" w:color="auto" w:sz="4" w:space="0"/>
              <w:left w:val="single" w:color="auto" w:sz="4" w:space="0"/>
              <w:bottom w:val="single" w:color="auto" w:sz="4" w:space="0"/>
            </w:tcBorders>
            <w:noWrap w:val="0"/>
            <w:vAlign w:val="center"/>
          </w:tcPr>
          <w:p w14:paraId="3C6E4A28">
            <w:pPr>
              <w:spacing w:line="440" w:lineRule="exact"/>
              <w:jc w:val="cente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（10分）</w:t>
            </w:r>
          </w:p>
        </w:tc>
        <w:tc>
          <w:tcPr>
            <w:tcW w:w="5468" w:type="dxa"/>
            <w:noWrap w:val="0"/>
            <w:vAlign w:val="center"/>
          </w:tcPr>
          <w:p w14:paraId="1F929601">
            <w:pPr>
              <w:spacing w:line="440" w:lineRule="exact"/>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1.相关资料的提供情况真实、完整、清晰、有序、合理，投标文件编制完整、格式规范、内容齐全、表述准确、条理清晰，内容无前后矛盾得</w:t>
            </w:r>
            <w:r>
              <w:rPr>
                <w:rFonts w:hint="eastAsia" w:asciiTheme="minorEastAsia" w:hAnsiTheme="minorEastAsia" w:eastAsiaTheme="minorEastAsia" w:cstheme="minorEastAsia"/>
                <w:i w:val="0"/>
                <w:iCs w:val="0"/>
                <w:sz w:val="24"/>
                <w:szCs w:val="24"/>
                <w:highlight w:val="none"/>
                <w:lang w:val="en-US" w:eastAsia="zh-CN"/>
              </w:rPr>
              <w:t>10</w:t>
            </w:r>
            <w:r>
              <w:rPr>
                <w:rFonts w:hint="eastAsia" w:asciiTheme="minorEastAsia" w:hAnsiTheme="minorEastAsia" w:eastAsiaTheme="minorEastAsia" w:cstheme="minorEastAsia"/>
                <w:i w:val="0"/>
                <w:iCs w:val="0"/>
                <w:sz w:val="24"/>
                <w:szCs w:val="24"/>
                <w:highlight w:val="none"/>
              </w:rPr>
              <w:t>分；</w:t>
            </w:r>
          </w:p>
          <w:p w14:paraId="6A9FCC1C">
            <w:pPr>
              <w:spacing w:line="440" w:lineRule="exact"/>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2.相关资料的提供情况相对真实、完整、清晰、有序、合理，投标文件编制相对完整、格式相对规范、内容相对齐全、表述相对准确、条理相对清晰，内容无前后矛盾得</w:t>
            </w:r>
            <w:r>
              <w:rPr>
                <w:rFonts w:hint="eastAsia" w:asciiTheme="minorEastAsia" w:hAnsiTheme="minorEastAsia" w:eastAsiaTheme="minorEastAsia" w:cstheme="minorEastAsia"/>
                <w:i w:val="0"/>
                <w:iCs w:val="0"/>
                <w:sz w:val="24"/>
                <w:szCs w:val="24"/>
                <w:highlight w:val="none"/>
                <w:lang w:val="en-US" w:eastAsia="zh-CN"/>
              </w:rPr>
              <w:t>5</w:t>
            </w:r>
            <w:r>
              <w:rPr>
                <w:rFonts w:hint="eastAsia" w:asciiTheme="minorEastAsia" w:hAnsiTheme="minorEastAsia" w:eastAsiaTheme="minorEastAsia" w:cstheme="minorEastAsia"/>
                <w:i w:val="0"/>
                <w:iCs w:val="0"/>
                <w:sz w:val="24"/>
                <w:szCs w:val="24"/>
                <w:highlight w:val="none"/>
              </w:rPr>
              <w:t>分；</w:t>
            </w:r>
          </w:p>
          <w:p w14:paraId="0EFC490E">
            <w:pPr>
              <w:spacing w:line="440" w:lineRule="exact"/>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rPr>
              <w:t>3.相关资料的提供情况较为真实、完整、清晰、有序、合理，投标文件编制不完整、格式不规范、内容齐全、表述准确、条理不清晰，内容前后矛盾得</w:t>
            </w:r>
            <w:r>
              <w:rPr>
                <w:rFonts w:hint="eastAsia" w:asciiTheme="minorEastAsia" w:hAnsiTheme="minorEastAsia" w:eastAsiaTheme="minorEastAsia" w:cstheme="minorEastAsia"/>
                <w:i w:val="0"/>
                <w:iCs w:val="0"/>
                <w:sz w:val="24"/>
                <w:szCs w:val="24"/>
                <w:highlight w:val="none"/>
                <w:lang w:val="en-US" w:eastAsia="zh-CN"/>
              </w:rPr>
              <w:t>2</w:t>
            </w:r>
            <w:r>
              <w:rPr>
                <w:rFonts w:hint="eastAsia" w:asciiTheme="minorEastAsia" w:hAnsiTheme="minorEastAsia" w:eastAsiaTheme="minorEastAsia" w:cstheme="minorEastAsia"/>
                <w:i w:val="0"/>
                <w:iCs w:val="0"/>
                <w:sz w:val="24"/>
                <w:szCs w:val="24"/>
                <w:highlight w:val="none"/>
              </w:rPr>
              <w:t>分。</w:t>
            </w:r>
          </w:p>
        </w:tc>
      </w:tr>
    </w:tbl>
    <w:p w14:paraId="1BBE022C">
      <w:pPr>
        <w:pStyle w:val="28"/>
        <w:outlineLvl w:val="9"/>
        <w:rPr>
          <w:rFonts w:hint="eastAsia" w:ascii="方正仿宋_GBK" w:hAnsi="方正仿宋_GBK" w:eastAsia="方正仿宋_GBK" w:cs="方正仿宋_GBK"/>
          <w:sz w:val="24"/>
          <w:szCs w:val="24"/>
          <w:highlight w:val="none"/>
        </w:rPr>
      </w:pPr>
    </w:p>
    <w:p w14:paraId="2E92E518">
      <w:pPr>
        <w:spacing w:beforeAutospacing="0" w:afterAutospacing="0" w:line="240" w:lineRule="atLeast"/>
        <w:jc w:val="center"/>
        <w:outlineLvl w:val="0"/>
        <w:rPr>
          <w:rFonts w:hint="eastAsia" w:ascii="微软雅黑" w:hAnsi="微软雅黑" w:eastAsia="微软雅黑" w:cs="微软雅黑"/>
          <w:b/>
          <w:color w:val="auto"/>
          <w:sz w:val="24"/>
          <w:szCs w:val="24"/>
          <w:highlight w:val="none"/>
          <w:lang w:eastAsia="zh-CN"/>
        </w:rPr>
      </w:pPr>
    </w:p>
    <w:p w14:paraId="1438FE8A">
      <w:pPr>
        <w:spacing w:beforeAutospacing="0" w:afterAutospacing="0" w:line="240" w:lineRule="atLeast"/>
        <w:jc w:val="center"/>
        <w:outlineLvl w:val="0"/>
        <w:rPr>
          <w:rFonts w:hint="eastAsia" w:ascii="微软雅黑" w:hAnsi="微软雅黑" w:eastAsia="微软雅黑" w:cs="微软雅黑"/>
          <w:b/>
          <w:color w:val="auto"/>
          <w:sz w:val="24"/>
          <w:szCs w:val="24"/>
          <w:highlight w:val="none"/>
          <w:lang w:eastAsia="zh-CN"/>
        </w:rPr>
      </w:pPr>
    </w:p>
    <w:p w14:paraId="204F9855">
      <w:pPr>
        <w:spacing w:beforeAutospacing="0" w:afterAutospacing="0" w:line="240" w:lineRule="atLeast"/>
        <w:jc w:val="center"/>
        <w:outlineLvl w:val="0"/>
        <w:rPr>
          <w:rFonts w:hint="eastAsia" w:ascii="微软雅黑" w:hAnsi="微软雅黑" w:eastAsia="微软雅黑" w:cs="微软雅黑"/>
          <w:b/>
          <w:color w:val="auto"/>
          <w:sz w:val="24"/>
          <w:szCs w:val="24"/>
          <w:highlight w:val="none"/>
          <w:lang w:eastAsia="zh-CN"/>
        </w:rPr>
      </w:pPr>
    </w:p>
    <w:p w14:paraId="75DCCCDA">
      <w:pPr>
        <w:spacing w:beforeAutospacing="0" w:afterAutospacing="0" w:line="240" w:lineRule="atLeast"/>
        <w:jc w:val="both"/>
        <w:outlineLvl w:val="0"/>
        <w:rPr>
          <w:rFonts w:hint="eastAsia" w:ascii="微软雅黑" w:hAnsi="微软雅黑" w:eastAsia="微软雅黑" w:cs="微软雅黑"/>
          <w:b/>
          <w:color w:val="auto"/>
          <w:sz w:val="24"/>
          <w:szCs w:val="24"/>
          <w:highlight w:val="none"/>
          <w:lang w:eastAsia="zh-CN"/>
        </w:rPr>
      </w:pPr>
    </w:p>
    <w:p w14:paraId="0987B654">
      <w:pPr>
        <w:spacing w:beforeAutospacing="0" w:afterAutospacing="0" w:line="240" w:lineRule="atLeast"/>
        <w:jc w:val="center"/>
        <w:outlineLvl w:val="0"/>
        <w:rPr>
          <w:rFonts w:hint="eastAsia" w:ascii="微软雅黑" w:hAnsi="微软雅黑" w:eastAsia="微软雅黑" w:cs="微软雅黑"/>
          <w:b/>
          <w:color w:val="auto"/>
          <w:sz w:val="24"/>
          <w:szCs w:val="24"/>
          <w:highlight w:val="none"/>
          <w:lang w:eastAsia="zh-CN"/>
        </w:rPr>
      </w:pPr>
    </w:p>
    <w:p w14:paraId="3B815CDF">
      <w:pPr>
        <w:pStyle w:val="21"/>
        <w:jc w:val="both"/>
        <w:rPr>
          <w:rFonts w:hint="eastAsia" w:ascii="宋体" w:hAnsi="宋体" w:eastAsia="宋体" w:cs="宋体"/>
          <w:b/>
          <w:color w:val="auto"/>
          <w:sz w:val="44"/>
          <w:szCs w:val="44"/>
          <w:highlight w:val="none"/>
          <w:lang w:eastAsia="zh-CN"/>
        </w:rPr>
      </w:pPr>
    </w:p>
    <w:p w14:paraId="30F87E82">
      <w:pPr>
        <w:pStyle w:val="21"/>
        <w:rPr>
          <w:rFonts w:hint="eastAsia" w:ascii="宋体" w:hAnsi="宋体" w:eastAsia="宋体" w:cs="宋体"/>
          <w:b/>
          <w:color w:val="auto"/>
          <w:sz w:val="44"/>
          <w:szCs w:val="44"/>
          <w:highlight w:val="none"/>
          <w:lang w:eastAsia="zh-CN"/>
        </w:rPr>
      </w:pPr>
    </w:p>
    <w:p w14:paraId="2A516FC7">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p>
    <w:p w14:paraId="55C12EE2">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p>
    <w:p w14:paraId="7B80CBBD">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p>
    <w:p w14:paraId="0A71DC2C">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p>
    <w:p w14:paraId="0E01C632">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p>
    <w:p w14:paraId="11C21827">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p>
    <w:p w14:paraId="27C11B48">
      <w:pPr>
        <w:spacing w:beforeAutospacing="0" w:afterAutospacing="0" w:line="240" w:lineRule="atLeast"/>
        <w:jc w:val="center"/>
        <w:outlineLvl w:val="0"/>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磋 商 文 件</w:t>
      </w:r>
    </w:p>
    <w:p w14:paraId="651B6BCB">
      <w:pPr>
        <w:spacing w:beforeAutospacing="0" w:afterAutospacing="0" w:line="240" w:lineRule="atLeast"/>
        <w:jc w:val="center"/>
        <w:rPr>
          <w:rFonts w:hint="eastAsia" w:ascii="宋体" w:hAnsi="宋体" w:eastAsia="宋体" w:cs="宋体"/>
          <w:b/>
          <w:color w:val="auto"/>
          <w:sz w:val="40"/>
          <w:szCs w:val="40"/>
          <w:highlight w:val="none"/>
        </w:rPr>
      </w:pPr>
    </w:p>
    <w:p w14:paraId="735AB92A">
      <w:pPr>
        <w:spacing w:beforeAutospacing="0" w:afterAutospacing="0" w:line="240" w:lineRule="atLeast"/>
        <w:jc w:val="center"/>
        <w:rPr>
          <w:rFonts w:hint="eastAsia" w:ascii="宋体" w:hAnsi="宋体" w:eastAsia="宋体" w:cs="宋体"/>
          <w:b/>
          <w:color w:val="auto"/>
          <w:sz w:val="40"/>
          <w:szCs w:val="40"/>
          <w:highlight w:val="none"/>
          <w:lang w:val="en-US" w:eastAsia="zh-CN"/>
        </w:rPr>
      </w:pPr>
      <w:r>
        <w:rPr>
          <w:rFonts w:hint="eastAsia" w:ascii="宋体" w:hAnsi="宋体" w:eastAsia="宋体" w:cs="宋体"/>
          <w:b/>
          <w:color w:val="auto"/>
          <w:sz w:val="40"/>
          <w:szCs w:val="40"/>
          <w:highlight w:val="none"/>
          <w:lang w:eastAsia="zh-CN"/>
        </w:rPr>
        <w:t>项目编号：</w:t>
      </w:r>
      <w:r>
        <w:rPr>
          <w:rFonts w:hint="eastAsia" w:ascii="宋体" w:hAnsi="宋体" w:cs="宋体"/>
          <w:b/>
          <w:color w:val="auto"/>
          <w:sz w:val="40"/>
          <w:szCs w:val="40"/>
          <w:highlight w:val="none"/>
          <w:lang w:eastAsia="zh-CN"/>
        </w:rPr>
        <w:t>KSMGTX(FSJZCS)2025-01号</w:t>
      </w:r>
    </w:p>
    <w:p w14:paraId="2F1358EC">
      <w:pPr>
        <w:pStyle w:val="5"/>
        <w:rPr>
          <w:rFonts w:hint="eastAsia" w:ascii="宋体" w:hAnsi="宋体" w:eastAsia="宋体" w:cs="宋体"/>
          <w:color w:val="auto"/>
          <w:highlight w:val="none"/>
        </w:rPr>
      </w:pPr>
    </w:p>
    <w:p w14:paraId="45BAFB64">
      <w:pPr>
        <w:pStyle w:val="5"/>
        <w:rPr>
          <w:rFonts w:hint="eastAsia" w:ascii="宋体" w:hAnsi="宋体" w:eastAsia="宋体" w:cs="宋体"/>
          <w:color w:val="auto"/>
          <w:highlight w:val="none"/>
        </w:rPr>
      </w:pPr>
    </w:p>
    <w:p w14:paraId="57F2E222">
      <w:pPr>
        <w:spacing w:beforeAutospacing="0" w:afterAutospacing="0" w:line="240" w:lineRule="atLeast"/>
        <w:jc w:val="center"/>
        <w:outlineLvl w:val="9"/>
        <w:rPr>
          <w:rFonts w:hint="eastAsia" w:ascii="宋体" w:hAnsi="宋体" w:eastAsia="宋体" w:cs="宋体"/>
          <w:b/>
          <w:color w:val="auto"/>
          <w:sz w:val="40"/>
          <w:szCs w:val="40"/>
          <w:highlight w:val="none"/>
        </w:rPr>
      </w:pPr>
      <w:bookmarkStart w:id="787" w:name="_Toc8381"/>
      <w:bookmarkEnd w:id="787"/>
      <w:bookmarkStart w:id="788" w:name="_Toc22799"/>
      <w:bookmarkEnd w:id="788"/>
      <w:bookmarkStart w:id="789" w:name="_Toc25236"/>
      <w:bookmarkEnd w:id="789"/>
      <w:bookmarkStart w:id="790" w:name="_Toc4522"/>
      <w:bookmarkEnd w:id="790"/>
      <w:bookmarkStart w:id="791" w:name="_Toc28750"/>
      <w:bookmarkEnd w:id="791"/>
      <w:bookmarkStart w:id="792" w:name="_Toc17537"/>
      <w:bookmarkEnd w:id="792"/>
      <w:bookmarkStart w:id="793" w:name="_Toc5580"/>
      <w:bookmarkEnd w:id="793"/>
      <w:bookmarkStart w:id="794" w:name="_Toc30135"/>
      <w:bookmarkEnd w:id="794"/>
      <w:bookmarkStart w:id="795" w:name="_Toc997"/>
      <w:bookmarkEnd w:id="795"/>
      <w:bookmarkStart w:id="796" w:name="_Toc11428"/>
      <w:bookmarkEnd w:id="796"/>
      <w:bookmarkStart w:id="797" w:name="_Toc10296"/>
      <w:bookmarkEnd w:id="797"/>
      <w:bookmarkStart w:id="798" w:name="_Toc16427"/>
      <w:bookmarkEnd w:id="798"/>
      <w:bookmarkStart w:id="799" w:name="_Toc20854"/>
      <w:bookmarkEnd w:id="799"/>
      <w:bookmarkStart w:id="800" w:name="_Toc25543"/>
      <w:bookmarkEnd w:id="800"/>
      <w:bookmarkStart w:id="801" w:name="_Toc29605"/>
      <w:bookmarkEnd w:id="801"/>
      <w:bookmarkStart w:id="802" w:name="_Toc24544"/>
      <w:bookmarkEnd w:id="802"/>
      <w:bookmarkStart w:id="803" w:name="_Toc7062"/>
      <w:bookmarkEnd w:id="803"/>
      <w:bookmarkStart w:id="804" w:name="_Toc8709"/>
      <w:bookmarkEnd w:id="804"/>
      <w:r>
        <w:rPr>
          <w:rFonts w:hint="eastAsia" w:ascii="宋体" w:hAnsi="宋体" w:eastAsia="宋体" w:cs="宋体"/>
          <w:b/>
          <w:color w:val="auto"/>
          <w:sz w:val="40"/>
          <w:szCs w:val="40"/>
          <w:highlight w:val="none"/>
        </w:rPr>
        <w:t>第 三 册</w:t>
      </w:r>
    </w:p>
    <w:p w14:paraId="48BF89F8">
      <w:pPr>
        <w:spacing w:beforeAutospacing="0" w:afterAutospacing="0" w:line="240" w:lineRule="atLeast"/>
        <w:jc w:val="center"/>
        <w:rPr>
          <w:rFonts w:hint="eastAsia" w:ascii="宋体" w:hAnsi="宋体" w:eastAsia="宋体" w:cs="宋体"/>
          <w:b/>
          <w:color w:val="auto"/>
          <w:sz w:val="32"/>
          <w:highlight w:val="none"/>
        </w:rPr>
      </w:pPr>
    </w:p>
    <w:p w14:paraId="480A266D">
      <w:pPr>
        <w:spacing w:beforeAutospacing="0" w:afterAutospacing="0" w:line="240" w:lineRule="atLeast"/>
        <w:ind w:left="1080" w:leftChars="257" w:hanging="540"/>
        <w:jc w:val="center"/>
        <w:rPr>
          <w:rFonts w:hint="eastAsia" w:ascii="宋体" w:hAnsi="宋体" w:eastAsia="宋体" w:cs="宋体"/>
          <w:b/>
          <w:color w:val="auto"/>
          <w:sz w:val="52"/>
          <w:highlight w:val="none"/>
        </w:rPr>
      </w:pPr>
    </w:p>
    <w:p w14:paraId="09D515BC">
      <w:pPr>
        <w:spacing w:beforeAutospacing="0" w:afterAutospacing="0" w:line="240" w:lineRule="atLeast"/>
        <w:ind w:left="1080" w:leftChars="257" w:hanging="540"/>
        <w:jc w:val="center"/>
        <w:rPr>
          <w:rFonts w:hint="eastAsia" w:ascii="宋体" w:hAnsi="宋体" w:eastAsia="宋体" w:cs="宋体"/>
          <w:b/>
          <w:color w:val="auto"/>
          <w:sz w:val="52"/>
          <w:highlight w:val="none"/>
        </w:rPr>
      </w:pPr>
    </w:p>
    <w:p w14:paraId="01720A45">
      <w:pPr>
        <w:spacing w:beforeAutospacing="0" w:afterAutospacing="0" w:line="240" w:lineRule="atLeast"/>
        <w:ind w:left="1080" w:leftChars="257" w:hanging="540"/>
        <w:jc w:val="center"/>
        <w:rPr>
          <w:rFonts w:hint="eastAsia" w:ascii="宋体" w:hAnsi="宋体" w:eastAsia="宋体" w:cs="宋体"/>
          <w:b/>
          <w:color w:val="auto"/>
          <w:sz w:val="52"/>
          <w:highlight w:val="none"/>
        </w:rPr>
      </w:pPr>
    </w:p>
    <w:p w14:paraId="395BF1A1">
      <w:pPr>
        <w:pStyle w:val="5"/>
        <w:rPr>
          <w:rFonts w:hint="eastAsia" w:ascii="宋体" w:hAnsi="宋体" w:eastAsia="宋体" w:cs="宋体"/>
          <w:b/>
          <w:color w:val="auto"/>
          <w:sz w:val="52"/>
          <w:highlight w:val="none"/>
        </w:rPr>
      </w:pPr>
    </w:p>
    <w:p w14:paraId="24E3462D">
      <w:pPr>
        <w:spacing w:beforeAutospacing="0" w:afterAutospacing="0" w:line="240" w:lineRule="atLeast"/>
        <w:jc w:val="both"/>
        <w:rPr>
          <w:rFonts w:hint="eastAsia" w:ascii="宋体" w:hAnsi="宋体" w:eastAsia="宋体" w:cs="宋体"/>
          <w:b/>
          <w:color w:val="auto"/>
          <w:sz w:val="52"/>
          <w:highlight w:val="none"/>
        </w:rPr>
        <w:sectPr>
          <w:pgSz w:w="11907" w:h="16840"/>
          <w:pgMar w:top="1474" w:right="1814" w:bottom="1474" w:left="1814" w:header="851" w:footer="851" w:gutter="0"/>
          <w:pgNumType w:fmt="decimal"/>
          <w:cols w:space="720" w:num="1"/>
          <w:docGrid w:linePitch="462" w:charSpace="0"/>
        </w:sectPr>
      </w:pPr>
    </w:p>
    <w:p w14:paraId="3239C0EE">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tLeast"/>
        <w:textAlignment w:val="auto"/>
        <w:rPr>
          <w:rFonts w:hint="eastAsia" w:ascii="微软雅黑" w:hAnsi="微软雅黑" w:eastAsia="微软雅黑" w:cs="微软雅黑"/>
          <w:b/>
          <w:bCs/>
          <w:sz w:val="44"/>
          <w:szCs w:val="44"/>
          <w:highlight w:val="none"/>
          <w:lang w:val="en-US" w:eastAsia="zh-CN"/>
        </w:rPr>
      </w:pPr>
      <w:bookmarkStart w:id="805" w:name="_Toc4337"/>
      <w:bookmarkStart w:id="806" w:name="_Toc973"/>
      <w:bookmarkStart w:id="807" w:name="_Toc8925"/>
      <w:bookmarkStart w:id="808" w:name="_Toc22495"/>
      <w:r>
        <w:rPr>
          <w:rFonts w:hint="eastAsia" w:ascii="微软雅黑" w:hAnsi="微软雅黑" w:eastAsia="微软雅黑" w:cs="微软雅黑"/>
          <w:b/>
          <w:bCs/>
          <w:sz w:val="44"/>
          <w:szCs w:val="44"/>
          <w:highlight w:val="none"/>
          <w:lang w:val="en-US" w:eastAsia="zh-CN"/>
        </w:rPr>
        <w:t>第七章  政府采购合同</w:t>
      </w:r>
      <w:bookmarkEnd w:id="805"/>
      <w:bookmarkEnd w:id="806"/>
      <w:bookmarkEnd w:id="807"/>
      <w:bookmarkEnd w:id="808"/>
      <w:bookmarkStart w:id="809" w:name="_Toc216513788"/>
      <w:bookmarkStart w:id="810" w:name="_Toc487900382"/>
    </w:p>
    <w:bookmarkEnd w:id="809"/>
    <w:bookmarkEnd w:id="810"/>
    <w:p w14:paraId="7BDC65F8">
      <w:pPr>
        <w:pageBreakBefore w:val="0"/>
        <w:kinsoku/>
        <w:wordWrap/>
        <w:overflowPunct/>
        <w:topLinePunct w:val="0"/>
        <w:bidi w:val="0"/>
        <w:snapToGrid/>
        <w:spacing w:line="240" w:lineRule="atLeast"/>
        <w:textAlignment w:val="auto"/>
        <w:outlineLvl w:val="9"/>
        <w:rPr>
          <w:rFonts w:hint="eastAsia" w:ascii="微软雅黑" w:hAnsi="微软雅黑" w:eastAsia="微软雅黑" w:cs="微软雅黑"/>
          <w:b/>
          <w:kern w:val="44"/>
          <w:sz w:val="32"/>
          <w:szCs w:val="20"/>
          <w:highlight w:val="none"/>
        </w:rPr>
      </w:pPr>
    </w:p>
    <w:p w14:paraId="37CC268B">
      <w:pPr>
        <w:pageBreakBefore w:val="0"/>
        <w:kinsoku/>
        <w:wordWrap/>
        <w:overflowPunct/>
        <w:topLinePunct w:val="0"/>
        <w:bidi w:val="0"/>
        <w:snapToGrid/>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合同编号：</w:t>
      </w:r>
      <w:r>
        <w:rPr>
          <w:rFonts w:hint="eastAsia" w:ascii="微软雅黑" w:hAnsi="微软雅黑" w:eastAsia="微软雅黑" w:cs="微软雅黑"/>
          <w:sz w:val="24"/>
          <w:highlight w:val="none"/>
          <w:u w:val="single"/>
        </w:rPr>
        <w:t xml:space="preserve">           </w:t>
      </w:r>
    </w:p>
    <w:p w14:paraId="43C050F7">
      <w:pPr>
        <w:pageBreakBefore w:val="0"/>
        <w:kinsoku/>
        <w:wordWrap/>
        <w:overflowPunct/>
        <w:topLinePunct w:val="0"/>
        <w:bidi w:val="0"/>
        <w:snapToGrid/>
        <w:spacing w:line="480" w:lineRule="auto"/>
        <w:jc w:val="center"/>
        <w:textAlignment w:val="auto"/>
        <w:outlineLvl w:val="9"/>
        <w:rPr>
          <w:rFonts w:hint="eastAsia" w:ascii="微软雅黑" w:hAnsi="微软雅黑" w:eastAsia="微软雅黑" w:cs="微软雅黑"/>
          <w:b/>
          <w:sz w:val="28"/>
          <w:szCs w:val="28"/>
          <w:highlight w:val="none"/>
        </w:rPr>
      </w:pPr>
    </w:p>
    <w:p w14:paraId="747BB377">
      <w:pPr>
        <w:pageBreakBefore w:val="0"/>
        <w:kinsoku/>
        <w:wordWrap/>
        <w:overflowPunct/>
        <w:topLinePunct w:val="0"/>
        <w:bidi w:val="0"/>
        <w:snapToGrid/>
        <w:spacing w:line="340" w:lineRule="exact"/>
        <w:jc w:val="center"/>
        <w:textAlignment w:val="auto"/>
        <w:outlineLvl w:val="9"/>
        <w:rPr>
          <w:rFonts w:hint="eastAsia" w:ascii="微软雅黑" w:hAnsi="微软雅黑" w:eastAsia="微软雅黑" w:cs="微软雅黑"/>
          <w:b/>
          <w:sz w:val="24"/>
          <w:highlight w:val="none"/>
        </w:rPr>
      </w:pPr>
    </w:p>
    <w:p w14:paraId="166A9402">
      <w:pPr>
        <w:pageBreakBefore w:val="0"/>
        <w:kinsoku/>
        <w:wordWrap/>
        <w:overflowPunct/>
        <w:topLinePunct w:val="0"/>
        <w:bidi w:val="0"/>
        <w:snapToGrid/>
        <w:spacing w:line="340" w:lineRule="exact"/>
        <w:jc w:val="center"/>
        <w:textAlignment w:val="auto"/>
        <w:outlineLvl w:val="9"/>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政府采购合同参考范本</w:t>
      </w:r>
    </w:p>
    <w:p w14:paraId="5CB6C8F2">
      <w:pPr>
        <w:pageBreakBefore w:val="0"/>
        <w:kinsoku/>
        <w:wordWrap/>
        <w:overflowPunct/>
        <w:topLinePunct w:val="0"/>
        <w:bidi w:val="0"/>
        <w:snapToGrid/>
        <w:spacing w:line="340" w:lineRule="exact"/>
        <w:jc w:val="center"/>
        <w:textAlignment w:val="auto"/>
        <w:outlineLvl w:val="9"/>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（服务类）</w:t>
      </w:r>
    </w:p>
    <w:p w14:paraId="72B5DFFE">
      <w:pPr>
        <w:pStyle w:val="40"/>
        <w:pageBreakBefore w:val="0"/>
        <w:kinsoku/>
        <w:wordWrap/>
        <w:overflowPunct/>
        <w:topLinePunct w:val="0"/>
        <w:bidi w:val="0"/>
        <w:snapToGrid/>
        <w:spacing w:line="340" w:lineRule="exact"/>
        <w:ind w:firstLine="0"/>
        <w:textAlignment w:val="auto"/>
        <w:outlineLvl w:val="9"/>
        <w:rPr>
          <w:rFonts w:hint="eastAsia" w:ascii="微软雅黑" w:hAnsi="微软雅黑" w:eastAsia="微软雅黑" w:cs="微软雅黑"/>
          <w:szCs w:val="24"/>
          <w:highlight w:val="none"/>
        </w:rPr>
      </w:pPr>
    </w:p>
    <w:p w14:paraId="1F2C100B">
      <w:pPr>
        <w:pStyle w:val="40"/>
        <w:pageBreakBefore w:val="0"/>
        <w:kinsoku/>
        <w:wordWrap/>
        <w:overflowPunct/>
        <w:topLinePunct w:val="0"/>
        <w:bidi w:val="0"/>
        <w:snapToGrid/>
        <w:spacing w:line="340" w:lineRule="exact"/>
        <w:ind w:firstLine="0"/>
        <w:textAlignment w:val="auto"/>
        <w:outlineLvl w:val="9"/>
        <w:rPr>
          <w:rFonts w:hint="eastAsia" w:ascii="微软雅黑" w:hAnsi="微软雅黑" w:eastAsia="微软雅黑" w:cs="微软雅黑"/>
          <w:szCs w:val="24"/>
          <w:highlight w:val="none"/>
        </w:rPr>
      </w:pPr>
    </w:p>
    <w:p w14:paraId="5386CA1B">
      <w:pPr>
        <w:pStyle w:val="40"/>
        <w:pageBreakBefore w:val="0"/>
        <w:kinsoku/>
        <w:wordWrap/>
        <w:overflowPunct/>
        <w:topLinePunct w:val="0"/>
        <w:bidi w:val="0"/>
        <w:snapToGrid/>
        <w:spacing w:line="340" w:lineRule="exact"/>
        <w:ind w:firstLine="0"/>
        <w:textAlignment w:val="auto"/>
        <w:outlineLvl w:val="9"/>
        <w:rPr>
          <w:rFonts w:hint="eastAsia" w:ascii="微软雅黑" w:hAnsi="微软雅黑" w:eastAsia="微软雅黑" w:cs="微软雅黑"/>
          <w:szCs w:val="24"/>
          <w:highlight w:val="none"/>
        </w:rPr>
      </w:pPr>
    </w:p>
    <w:p w14:paraId="266FB06D">
      <w:pPr>
        <w:pStyle w:val="40"/>
        <w:pageBreakBefore w:val="0"/>
        <w:kinsoku/>
        <w:wordWrap/>
        <w:overflowPunct/>
        <w:topLinePunct w:val="0"/>
        <w:bidi w:val="0"/>
        <w:snapToGrid/>
        <w:spacing w:line="340" w:lineRule="exact"/>
        <w:ind w:firstLine="0"/>
        <w:jc w:val="center"/>
        <w:textAlignment w:val="auto"/>
        <w:outlineLvl w:val="9"/>
        <w:rPr>
          <w:rFonts w:hint="eastAsia" w:ascii="微软雅黑" w:hAnsi="微软雅黑" w:eastAsia="微软雅黑" w:cs="微软雅黑"/>
          <w:b/>
          <w:szCs w:val="24"/>
          <w:highlight w:val="none"/>
        </w:rPr>
      </w:pPr>
      <w:r>
        <w:rPr>
          <w:rFonts w:hint="eastAsia" w:ascii="微软雅黑" w:hAnsi="微软雅黑" w:eastAsia="微软雅黑" w:cs="微软雅黑"/>
          <w:b/>
          <w:szCs w:val="24"/>
          <w:highlight w:val="none"/>
        </w:rPr>
        <w:t>第一部分 合同书</w:t>
      </w:r>
    </w:p>
    <w:p w14:paraId="632D2C05">
      <w:pPr>
        <w:pStyle w:val="40"/>
        <w:pageBreakBefore w:val="0"/>
        <w:kinsoku/>
        <w:wordWrap/>
        <w:overflowPunct/>
        <w:topLinePunct w:val="0"/>
        <w:bidi w:val="0"/>
        <w:snapToGrid/>
        <w:spacing w:line="340" w:lineRule="exact"/>
        <w:ind w:firstLine="0"/>
        <w:textAlignment w:val="auto"/>
        <w:outlineLvl w:val="9"/>
        <w:rPr>
          <w:rFonts w:hint="eastAsia" w:ascii="微软雅黑" w:hAnsi="微软雅黑" w:eastAsia="微软雅黑" w:cs="微软雅黑"/>
          <w:szCs w:val="24"/>
          <w:highlight w:val="none"/>
        </w:rPr>
      </w:pPr>
    </w:p>
    <w:p w14:paraId="66373917">
      <w:pPr>
        <w:pStyle w:val="40"/>
        <w:pageBreakBefore w:val="0"/>
        <w:kinsoku/>
        <w:wordWrap/>
        <w:overflowPunct/>
        <w:topLinePunct w:val="0"/>
        <w:bidi w:val="0"/>
        <w:snapToGrid/>
        <w:spacing w:line="340" w:lineRule="exact"/>
        <w:ind w:firstLine="0"/>
        <w:textAlignment w:val="auto"/>
        <w:outlineLvl w:val="9"/>
        <w:rPr>
          <w:rFonts w:hint="eastAsia" w:ascii="微软雅黑" w:hAnsi="微软雅黑" w:eastAsia="微软雅黑" w:cs="微软雅黑"/>
          <w:szCs w:val="24"/>
          <w:highlight w:val="none"/>
        </w:rPr>
      </w:pPr>
    </w:p>
    <w:p w14:paraId="4C1C7D96">
      <w:pPr>
        <w:pageBreakBefore w:val="0"/>
        <w:kinsoku/>
        <w:wordWrap/>
        <w:overflowPunct/>
        <w:topLinePunct w:val="0"/>
        <w:bidi w:val="0"/>
        <w:snapToGrid/>
        <w:spacing w:before="120" w:line="340" w:lineRule="exact"/>
        <w:textAlignment w:val="auto"/>
        <w:outlineLvl w:val="9"/>
        <w:rPr>
          <w:rFonts w:hint="eastAsia" w:ascii="微软雅黑" w:hAnsi="微软雅黑" w:eastAsia="微软雅黑" w:cs="微软雅黑"/>
          <w:sz w:val="24"/>
          <w:highlight w:val="none"/>
        </w:rPr>
      </w:pPr>
    </w:p>
    <w:p w14:paraId="5955AA45">
      <w:pPr>
        <w:pageBreakBefore w:val="0"/>
        <w:kinsoku/>
        <w:wordWrap/>
        <w:overflowPunct/>
        <w:topLinePunct w:val="0"/>
        <w:bidi w:val="0"/>
        <w:snapToGrid/>
        <w:spacing w:before="120" w:line="340" w:lineRule="exact"/>
        <w:ind w:left="96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项目名称：</w:t>
      </w:r>
      <w:r>
        <w:rPr>
          <w:rFonts w:hint="eastAsia" w:ascii="微软雅黑" w:hAnsi="微软雅黑" w:eastAsia="微软雅黑" w:cs="微软雅黑"/>
          <w:sz w:val="24"/>
          <w:highlight w:val="none"/>
          <w:u w:val="single"/>
        </w:rPr>
        <w:t xml:space="preserve">                                   </w:t>
      </w:r>
    </w:p>
    <w:p w14:paraId="6C225B47">
      <w:pPr>
        <w:pStyle w:val="41"/>
        <w:pageBreakBefore w:val="0"/>
        <w:kinsoku/>
        <w:wordWrap/>
        <w:overflowPunct/>
        <w:topLinePunct w:val="0"/>
        <w:bidi w:val="0"/>
        <w:snapToGrid/>
        <w:spacing w:before="120" w:line="340" w:lineRule="exact"/>
        <w:textAlignment w:val="auto"/>
        <w:outlineLvl w:val="9"/>
        <w:rPr>
          <w:rFonts w:hint="eastAsia" w:ascii="微软雅黑" w:hAnsi="微软雅黑" w:eastAsia="微软雅黑" w:cs="微软雅黑"/>
          <w:szCs w:val="24"/>
          <w:highlight w:val="none"/>
        </w:rPr>
      </w:pPr>
    </w:p>
    <w:p w14:paraId="6388476D">
      <w:pPr>
        <w:pStyle w:val="41"/>
        <w:pageBreakBefore w:val="0"/>
        <w:kinsoku/>
        <w:wordWrap/>
        <w:overflowPunct/>
        <w:topLinePunct w:val="0"/>
        <w:bidi w:val="0"/>
        <w:snapToGrid/>
        <w:spacing w:before="120" w:line="340" w:lineRule="exact"/>
        <w:textAlignment w:val="auto"/>
        <w:outlineLvl w:val="9"/>
        <w:rPr>
          <w:rFonts w:hint="eastAsia" w:ascii="微软雅黑" w:hAnsi="微软雅黑" w:eastAsia="微软雅黑" w:cs="微软雅黑"/>
          <w:szCs w:val="24"/>
          <w:highlight w:val="none"/>
        </w:rPr>
      </w:pPr>
    </w:p>
    <w:p w14:paraId="27736981">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p w14:paraId="17E48F1E">
      <w:pPr>
        <w:pageBreakBefore w:val="0"/>
        <w:kinsoku/>
        <w:wordWrap/>
        <w:overflowPunct/>
        <w:topLinePunct w:val="0"/>
        <w:bidi w:val="0"/>
        <w:snapToGrid/>
        <w:spacing w:before="120" w:line="340" w:lineRule="exact"/>
        <w:ind w:left="960"/>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甲方：</w:t>
      </w:r>
      <w:r>
        <w:rPr>
          <w:rFonts w:hint="eastAsia" w:ascii="微软雅黑" w:hAnsi="微软雅黑" w:eastAsia="微软雅黑" w:cs="微软雅黑"/>
          <w:sz w:val="24"/>
          <w:highlight w:val="none"/>
          <w:u w:val="single"/>
        </w:rPr>
        <w:t xml:space="preserve">                                       </w:t>
      </w:r>
    </w:p>
    <w:p w14:paraId="0270622F">
      <w:pPr>
        <w:pageBreakBefore w:val="0"/>
        <w:kinsoku/>
        <w:wordWrap/>
        <w:overflowPunct/>
        <w:topLinePunct w:val="0"/>
        <w:bidi w:val="0"/>
        <w:snapToGrid/>
        <w:spacing w:before="120" w:line="340" w:lineRule="exact"/>
        <w:textAlignment w:val="auto"/>
        <w:outlineLvl w:val="9"/>
        <w:rPr>
          <w:rFonts w:hint="eastAsia" w:ascii="微软雅黑" w:hAnsi="微软雅黑" w:eastAsia="微软雅黑" w:cs="微软雅黑"/>
          <w:sz w:val="24"/>
          <w:highlight w:val="none"/>
        </w:rPr>
      </w:pPr>
    </w:p>
    <w:p w14:paraId="5C1CC1BB">
      <w:pPr>
        <w:pageBreakBefore w:val="0"/>
        <w:kinsoku/>
        <w:wordWrap/>
        <w:overflowPunct/>
        <w:topLinePunct w:val="0"/>
        <w:bidi w:val="0"/>
        <w:snapToGrid/>
        <w:spacing w:before="120" w:line="340" w:lineRule="exact"/>
        <w:ind w:left="960"/>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乙方：</w:t>
      </w:r>
      <w:r>
        <w:rPr>
          <w:rFonts w:hint="eastAsia" w:ascii="微软雅黑" w:hAnsi="微软雅黑" w:eastAsia="微软雅黑" w:cs="微软雅黑"/>
          <w:sz w:val="24"/>
          <w:highlight w:val="none"/>
          <w:u w:val="single"/>
        </w:rPr>
        <w:t xml:space="preserve">                                       </w:t>
      </w:r>
    </w:p>
    <w:p w14:paraId="7B1F1BCD">
      <w:pPr>
        <w:pageBreakBefore w:val="0"/>
        <w:kinsoku/>
        <w:wordWrap/>
        <w:overflowPunct/>
        <w:topLinePunct w:val="0"/>
        <w:bidi w:val="0"/>
        <w:snapToGrid/>
        <w:spacing w:before="120" w:line="340" w:lineRule="exact"/>
        <w:textAlignment w:val="auto"/>
        <w:outlineLvl w:val="9"/>
        <w:rPr>
          <w:rFonts w:hint="eastAsia" w:ascii="微软雅黑" w:hAnsi="微软雅黑" w:eastAsia="微软雅黑" w:cs="微软雅黑"/>
          <w:sz w:val="24"/>
          <w:highlight w:val="none"/>
        </w:rPr>
      </w:pPr>
    </w:p>
    <w:p w14:paraId="3D5D122D">
      <w:pPr>
        <w:pageBreakBefore w:val="0"/>
        <w:kinsoku/>
        <w:wordWrap/>
        <w:overflowPunct/>
        <w:topLinePunct w:val="0"/>
        <w:bidi w:val="0"/>
        <w:snapToGrid/>
        <w:spacing w:before="120" w:line="340" w:lineRule="exact"/>
        <w:ind w:firstLine="960" w:firstLineChars="400"/>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签订地：</w:t>
      </w:r>
      <w:r>
        <w:rPr>
          <w:rFonts w:hint="eastAsia" w:ascii="微软雅黑" w:hAnsi="微软雅黑" w:eastAsia="微软雅黑" w:cs="微软雅黑"/>
          <w:sz w:val="24"/>
          <w:highlight w:val="none"/>
          <w:u w:val="single"/>
        </w:rPr>
        <w:t xml:space="preserve">                                     </w:t>
      </w:r>
    </w:p>
    <w:p w14:paraId="1B06BA7D">
      <w:pPr>
        <w:pageBreakBefore w:val="0"/>
        <w:kinsoku/>
        <w:wordWrap/>
        <w:overflowPunct/>
        <w:topLinePunct w:val="0"/>
        <w:bidi w:val="0"/>
        <w:snapToGrid/>
        <w:spacing w:before="120" w:line="340" w:lineRule="exact"/>
        <w:textAlignment w:val="auto"/>
        <w:outlineLvl w:val="9"/>
        <w:rPr>
          <w:rFonts w:hint="eastAsia" w:ascii="微软雅黑" w:hAnsi="微软雅黑" w:eastAsia="微软雅黑" w:cs="微软雅黑"/>
          <w:sz w:val="24"/>
          <w:highlight w:val="none"/>
        </w:rPr>
      </w:pPr>
    </w:p>
    <w:p w14:paraId="31CCCDE4">
      <w:pPr>
        <w:pageBreakBefore w:val="0"/>
        <w:kinsoku/>
        <w:wordWrap/>
        <w:overflowPunct/>
        <w:topLinePunct w:val="0"/>
        <w:bidi w:val="0"/>
        <w:snapToGrid/>
        <w:spacing w:before="120" w:line="340" w:lineRule="exact"/>
        <w:ind w:firstLine="960" w:firstLineChars="400"/>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签订日期：</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年</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日</w:t>
      </w:r>
    </w:p>
    <w:p w14:paraId="6064AEB3">
      <w:pPr>
        <w:pageBreakBefore w:val="0"/>
        <w:kinsoku/>
        <w:wordWrap/>
        <w:overflowPunct/>
        <w:topLinePunct w:val="0"/>
        <w:autoSpaceDE w:val="0"/>
        <w:autoSpaceDN w:val="0"/>
        <w:bidi w:val="0"/>
        <w:adjustRightInd w:val="0"/>
        <w:snapToGrid/>
        <w:spacing w:line="340" w:lineRule="exact"/>
        <w:ind w:firstLine="640"/>
        <w:jc w:val="center"/>
        <w:textAlignment w:val="auto"/>
        <w:outlineLvl w:val="9"/>
        <w:rPr>
          <w:rFonts w:hint="eastAsia" w:ascii="微软雅黑" w:hAnsi="微软雅黑" w:eastAsia="微软雅黑" w:cs="微软雅黑"/>
          <w:sz w:val="24"/>
          <w:highlight w:val="none"/>
        </w:rPr>
        <w:sectPr>
          <w:headerReference r:id="rId5" w:type="default"/>
          <w:footerReference r:id="rId6" w:type="default"/>
          <w:pgSz w:w="11907" w:h="16840"/>
          <w:pgMar w:top="1474" w:right="1361" w:bottom="1474" w:left="1361" w:header="851" w:footer="851" w:gutter="0"/>
          <w:pgNumType w:fmt="decimal"/>
          <w:cols w:space="720" w:num="1"/>
          <w:docGrid w:linePitch="462" w:charSpace="0"/>
        </w:sectPr>
      </w:pPr>
    </w:p>
    <w:p w14:paraId="4A9527EB">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u w:val="single"/>
          <w:lang w:val="zh-CN"/>
        </w:rPr>
        <w:t xml:space="preserve">        </w:t>
      </w:r>
      <w:r>
        <w:rPr>
          <w:rFonts w:hint="eastAsia" w:ascii="微软雅黑" w:hAnsi="微软雅黑" w:eastAsia="微软雅黑" w:cs="微软雅黑"/>
          <w:sz w:val="24"/>
          <w:highlight w:val="none"/>
          <w:lang w:val="zh-CN"/>
        </w:rPr>
        <w:t>年</w:t>
      </w:r>
      <w:r>
        <w:rPr>
          <w:rFonts w:hint="eastAsia" w:ascii="微软雅黑" w:hAnsi="微软雅黑" w:eastAsia="微软雅黑" w:cs="微软雅黑"/>
          <w:sz w:val="24"/>
          <w:highlight w:val="none"/>
          <w:u w:val="single"/>
          <w:lang w:val="zh-CN"/>
        </w:rPr>
        <w:t xml:space="preserve">    </w:t>
      </w:r>
      <w:r>
        <w:rPr>
          <w:rFonts w:hint="eastAsia" w:ascii="微软雅黑" w:hAnsi="微软雅黑" w:eastAsia="微软雅黑" w:cs="微软雅黑"/>
          <w:sz w:val="24"/>
          <w:highlight w:val="none"/>
          <w:lang w:val="zh-CN"/>
        </w:rPr>
        <w:t>月</w:t>
      </w:r>
      <w:r>
        <w:rPr>
          <w:rFonts w:hint="eastAsia" w:ascii="微软雅黑" w:hAnsi="微软雅黑" w:eastAsia="微软雅黑" w:cs="微软雅黑"/>
          <w:sz w:val="24"/>
          <w:highlight w:val="none"/>
          <w:u w:val="single"/>
          <w:lang w:val="zh-CN"/>
        </w:rPr>
        <w:t xml:space="preserve">    </w:t>
      </w:r>
      <w:r>
        <w:rPr>
          <w:rFonts w:hint="eastAsia" w:ascii="微软雅黑" w:hAnsi="微软雅黑" w:eastAsia="微软雅黑" w:cs="微软雅黑"/>
          <w:sz w:val="24"/>
          <w:highlight w:val="none"/>
          <w:lang w:val="zh-CN"/>
        </w:rPr>
        <w:t>日</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u w:val="single"/>
        </w:rPr>
        <w:t xml:space="preserve">   （采购人名称）   </w:t>
      </w:r>
      <w:r>
        <w:rPr>
          <w:rFonts w:hint="eastAsia" w:ascii="微软雅黑" w:hAnsi="微软雅黑" w:eastAsia="微软雅黑" w:cs="微软雅黑"/>
          <w:sz w:val="24"/>
          <w:highlight w:val="none"/>
        </w:rPr>
        <w:t>以</w:t>
      </w:r>
      <w:r>
        <w:rPr>
          <w:rFonts w:hint="eastAsia" w:ascii="微软雅黑" w:hAnsi="微软雅黑" w:eastAsia="微软雅黑" w:cs="微软雅黑"/>
          <w:sz w:val="24"/>
          <w:highlight w:val="none"/>
          <w:u w:val="single"/>
        </w:rPr>
        <w:t xml:space="preserve">   （政府采购方式）  </w:t>
      </w:r>
      <w:r>
        <w:rPr>
          <w:rFonts w:hint="eastAsia" w:ascii="微软雅黑" w:hAnsi="微软雅黑" w:eastAsia="微软雅黑" w:cs="微软雅黑"/>
          <w:sz w:val="24"/>
          <w:highlight w:val="none"/>
        </w:rPr>
        <w:t>对</w:t>
      </w:r>
      <w:r>
        <w:rPr>
          <w:rFonts w:hint="eastAsia" w:ascii="微软雅黑" w:hAnsi="微软雅黑" w:eastAsia="微软雅黑" w:cs="微软雅黑"/>
          <w:sz w:val="24"/>
          <w:highlight w:val="none"/>
          <w:u w:val="single"/>
        </w:rPr>
        <w:t xml:space="preserve">   （同前页项目名称）   </w:t>
      </w:r>
      <w:r>
        <w:rPr>
          <w:rFonts w:hint="eastAsia" w:ascii="微软雅黑" w:hAnsi="微软雅黑" w:eastAsia="微软雅黑" w:cs="微软雅黑"/>
          <w:sz w:val="24"/>
          <w:highlight w:val="none"/>
        </w:rPr>
        <w:t>项目进行了采购。经</w:t>
      </w:r>
      <w:r>
        <w:rPr>
          <w:rFonts w:hint="eastAsia" w:ascii="微软雅黑" w:hAnsi="微软雅黑" w:eastAsia="微软雅黑" w:cs="微软雅黑"/>
          <w:sz w:val="24"/>
          <w:highlight w:val="none"/>
          <w:u w:val="single"/>
        </w:rPr>
        <w:t xml:space="preserve">   （相关评定主体名称）   </w:t>
      </w:r>
      <w:r>
        <w:rPr>
          <w:rFonts w:hint="eastAsia" w:ascii="微软雅黑" w:hAnsi="微软雅黑" w:eastAsia="微软雅黑" w:cs="微软雅黑"/>
          <w:sz w:val="24"/>
          <w:highlight w:val="none"/>
        </w:rPr>
        <w:t>评定，</w:t>
      </w:r>
      <w:r>
        <w:rPr>
          <w:rFonts w:hint="eastAsia" w:ascii="微软雅黑" w:hAnsi="微软雅黑" w:eastAsia="微软雅黑" w:cs="微软雅黑"/>
          <w:sz w:val="24"/>
          <w:highlight w:val="none"/>
          <w:u w:val="single"/>
        </w:rPr>
        <w:t xml:space="preserve">   （中标供应商名称） </w:t>
      </w:r>
      <w:r>
        <w:rPr>
          <w:rFonts w:hint="eastAsia" w:ascii="微软雅黑" w:hAnsi="微软雅黑" w:eastAsia="微软雅黑" w:cs="微软雅黑"/>
          <w:sz w:val="24"/>
          <w:highlight w:val="none"/>
        </w:rPr>
        <w:t>为该项目中标供应商。现于中标通知书发出之日起三十日内，按照采购文件确定的事项签订本合同。</w:t>
      </w:r>
    </w:p>
    <w:p w14:paraId="01AB8651">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sz w:val="24"/>
          <w:highlight w:val="none"/>
          <w:u w:val="single"/>
        </w:rPr>
        <w:t xml:space="preserve">   （采购人名称）   </w:t>
      </w:r>
      <w:r>
        <w:rPr>
          <w:rFonts w:hint="eastAsia" w:ascii="微软雅黑" w:hAnsi="微软雅黑" w:eastAsia="微软雅黑" w:cs="微软雅黑"/>
          <w:sz w:val="24"/>
          <w:highlight w:val="none"/>
          <w:lang w:val="zh-CN"/>
        </w:rPr>
        <w:t>(以下简称：甲方)和</w:t>
      </w:r>
      <w:r>
        <w:rPr>
          <w:rFonts w:hint="eastAsia" w:ascii="微软雅黑" w:hAnsi="微软雅黑" w:eastAsia="微软雅黑" w:cs="微软雅黑"/>
          <w:sz w:val="24"/>
          <w:highlight w:val="none"/>
          <w:u w:val="single"/>
        </w:rPr>
        <w:t xml:space="preserve">   （中标供应商名称）   </w:t>
      </w:r>
      <w:r>
        <w:rPr>
          <w:rFonts w:hint="eastAsia" w:ascii="微软雅黑" w:hAnsi="微软雅黑" w:eastAsia="微软雅黑" w:cs="微软雅黑"/>
          <w:sz w:val="24"/>
          <w:highlight w:val="none"/>
          <w:lang w:val="zh-CN"/>
        </w:rPr>
        <w:t>(以下简称：乙方)协商一致，约定以下合同</w:t>
      </w:r>
      <w:r>
        <w:rPr>
          <w:rFonts w:hint="eastAsia" w:ascii="微软雅黑" w:hAnsi="微软雅黑" w:eastAsia="微软雅黑" w:cs="微软雅黑"/>
          <w:sz w:val="24"/>
          <w:highlight w:val="none"/>
        </w:rPr>
        <w:t>条款，以兹共同遵守、全面履行。</w:t>
      </w:r>
    </w:p>
    <w:p w14:paraId="04101CBD">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bookmarkStart w:id="811" w:name="_Toc28855"/>
      <w:bookmarkStart w:id="812" w:name="_Toc22967"/>
      <w:bookmarkStart w:id="813" w:name="_Toc15367"/>
      <w:bookmarkStart w:id="814" w:name="_Toc20421"/>
      <w:bookmarkStart w:id="815" w:name="_Toc19273"/>
      <w:r>
        <w:rPr>
          <w:rFonts w:hint="eastAsia" w:ascii="微软雅黑" w:hAnsi="微软雅黑" w:eastAsia="微软雅黑" w:cs="微软雅黑"/>
          <w:b/>
          <w:sz w:val="24"/>
          <w:highlight w:val="none"/>
        </w:rPr>
        <w:t>1.1 合同组成部分</w:t>
      </w:r>
      <w:bookmarkEnd w:id="811"/>
      <w:bookmarkEnd w:id="812"/>
      <w:bookmarkEnd w:id="813"/>
      <w:bookmarkEnd w:id="814"/>
      <w:bookmarkEnd w:id="815"/>
    </w:p>
    <w:p w14:paraId="127027D5">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EF64A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1.1.1 本合同及其补充合同、变更协议；</w:t>
      </w:r>
    </w:p>
    <w:p w14:paraId="3C7EC1CD">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1.1.2 中标通知书；</w:t>
      </w:r>
    </w:p>
    <w:p w14:paraId="4311A8DC">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1.1.3 </w:t>
      </w:r>
      <w:r>
        <w:rPr>
          <w:rFonts w:hint="eastAsia" w:ascii="微软雅黑" w:hAnsi="微软雅黑" w:eastAsia="微软雅黑" w:cs="微软雅黑"/>
          <w:sz w:val="24"/>
          <w:highlight w:val="none"/>
          <w:lang w:eastAsia="zh-CN"/>
        </w:rPr>
        <w:t>响应文件</w:t>
      </w:r>
      <w:r>
        <w:rPr>
          <w:rFonts w:hint="eastAsia" w:ascii="微软雅黑" w:hAnsi="微软雅黑" w:eastAsia="微软雅黑" w:cs="微软雅黑"/>
          <w:sz w:val="24"/>
          <w:highlight w:val="none"/>
        </w:rPr>
        <w:t>（含澄清或者说明文件）；</w:t>
      </w:r>
    </w:p>
    <w:p w14:paraId="59093908">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1.1.4 </w:t>
      </w:r>
      <w:r>
        <w:rPr>
          <w:rFonts w:hint="eastAsia" w:ascii="微软雅黑" w:hAnsi="微软雅黑" w:eastAsia="微软雅黑" w:cs="微软雅黑"/>
          <w:sz w:val="24"/>
          <w:highlight w:val="none"/>
          <w:lang w:eastAsia="zh-CN"/>
        </w:rPr>
        <w:t>磋商文件</w:t>
      </w:r>
      <w:r>
        <w:rPr>
          <w:rFonts w:hint="eastAsia" w:ascii="微软雅黑" w:hAnsi="微软雅黑" w:eastAsia="微软雅黑" w:cs="微软雅黑"/>
          <w:sz w:val="24"/>
          <w:highlight w:val="none"/>
        </w:rPr>
        <w:t>（含澄清或者修改文件）；</w:t>
      </w:r>
    </w:p>
    <w:p w14:paraId="39D254E5">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1.1.5 其他相关采购文件。</w:t>
      </w:r>
    </w:p>
    <w:p w14:paraId="2EF3A761">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16" w:name="_Toc6311"/>
      <w:bookmarkStart w:id="817" w:name="_Toc6773"/>
      <w:bookmarkStart w:id="818" w:name="_Toc22185"/>
      <w:bookmarkStart w:id="819" w:name="_Toc18585"/>
      <w:bookmarkStart w:id="820" w:name="_Toc2918"/>
      <w:r>
        <w:rPr>
          <w:rFonts w:hint="eastAsia" w:ascii="微软雅黑" w:hAnsi="微软雅黑" w:eastAsia="微软雅黑" w:cs="微软雅黑"/>
          <w:b/>
          <w:sz w:val="24"/>
          <w:highlight w:val="none"/>
        </w:rPr>
        <w:t>1.2 标的</w:t>
      </w:r>
      <w:bookmarkEnd w:id="816"/>
      <w:bookmarkEnd w:id="817"/>
      <w:bookmarkEnd w:id="818"/>
      <w:bookmarkEnd w:id="819"/>
      <w:bookmarkEnd w:id="820"/>
    </w:p>
    <w:p w14:paraId="694F04A4">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1.2.1 标的名称：</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1D7DEE9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1.2.2 标的数量：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686B4EC">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1.2.3 标的质量：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69AA0436">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21" w:name="_Toc4929"/>
      <w:bookmarkStart w:id="822" w:name="_Toc1386"/>
      <w:bookmarkStart w:id="823" w:name="_Toc5635"/>
      <w:bookmarkStart w:id="824" w:name="_Toc21124"/>
      <w:bookmarkStart w:id="825" w:name="_Toc13918"/>
      <w:r>
        <w:rPr>
          <w:rFonts w:hint="eastAsia" w:ascii="微软雅黑" w:hAnsi="微软雅黑" w:eastAsia="微软雅黑" w:cs="微软雅黑"/>
          <w:b/>
          <w:sz w:val="24"/>
          <w:highlight w:val="none"/>
        </w:rPr>
        <w:t>1.3 价款</w:t>
      </w:r>
      <w:bookmarkEnd w:id="821"/>
      <w:bookmarkEnd w:id="822"/>
      <w:bookmarkEnd w:id="823"/>
      <w:bookmarkEnd w:id="824"/>
      <w:bookmarkEnd w:id="825"/>
    </w:p>
    <w:p w14:paraId="4C4A4E7A">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本合同总价为：￥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元（大写：</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元人民币）。</w:t>
      </w:r>
    </w:p>
    <w:p w14:paraId="32689D1E">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D9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A70C84A">
            <w:pPr>
              <w:pStyle w:val="42"/>
              <w:pageBreakBefore w:val="0"/>
              <w:kinsoku/>
              <w:wordWrap/>
              <w:overflowPunct/>
              <w:topLinePunct w:val="0"/>
              <w:bidi w:val="0"/>
              <w:snapToGrid/>
              <w:spacing w:line="340" w:lineRule="exact"/>
              <w:jc w:val="center"/>
              <w:textAlignment w:val="auto"/>
              <w:outlineLvl w:val="9"/>
              <w:rPr>
                <w:rFonts w:hint="eastAsia" w:ascii="微软雅黑" w:hAnsi="微软雅黑" w:eastAsia="微软雅黑" w:cs="微软雅黑"/>
                <w:kern w:val="2"/>
                <w:sz w:val="24"/>
                <w:szCs w:val="24"/>
                <w:highlight w:val="none"/>
              </w:rPr>
            </w:pPr>
            <w:r>
              <w:rPr>
                <w:rFonts w:hint="eastAsia" w:ascii="微软雅黑" w:hAnsi="微软雅黑" w:eastAsia="微软雅黑" w:cs="微软雅黑"/>
                <w:kern w:val="2"/>
                <w:sz w:val="24"/>
                <w:szCs w:val="24"/>
                <w:highlight w:val="none"/>
              </w:rPr>
              <w:t>序号</w:t>
            </w:r>
          </w:p>
        </w:tc>
        <w:tc>
          <w:tcPr>
            <w:tcW w:w="3402" w:type="dxa"/>
            <w:noWrap w:val="0"/>
            <w:vAlign w:val="center"/>
          </w:tcPr>
          <w:p w14:paraId="6FDADB92">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r>
              <w:rPr>
                <w:rFonts w:hint="eastAsia" w:ascii="微软雅黑" w:hAnsi="微软雅黑" w:eastAsia="微软雅黑" w:cs="微软雅黑"/>
                <w:kern w:val="2"/>
                <w:sz w:val="24"/>
                <w:szCs w:val="24"/>
                <w:highlight w:val="none"/>
              </w:rPr>
              <w:t>分项名称</w:t>
            </w:r>
          </w:p>
        </w:tc>
        <w:tc>
          <w:tcPr>
            <w:tcW w:w="2552" w:type="dxa"/>
            <w:noWrap w:val="0"/>
            <w:vAlign w:val="center"/>
          </w:tcPr>
          <w:p w14:paraId="1C9B5E65">
            <w:pPr>
              <w:pStyle w:val="42"/>
              <w:pageBreakBefore w:val="0"/>
              <w:kinsoku/>
              <w:wordWrap/>
              <w:overflowPunct/>
              <w:topLinePunct w:val="0"/>
              <w:bidi w:val="0"/>
              <w:snapToGrid/>
              <w:spacing w:line="340" w:lineRule="exact"/>
              <w:jc w:val="center"/>
              <w:textAlignment w:val="auto"/>
              <w:outlineLvl w:val="9"/>
              <w:rPr>
                <w:rFonts w:hint="eastAsia" w:ascii="微软雅黑" w:hAnsi="微软雅黑" w:eastAsia="微软雅黑" w:cs="微软雅黑"/>
                <w:kern w:val="2"/>
                <w:sz w:val="24"/>
                <w:szCs w:val="24"/>
                <w:highlight w:val="none"/>
              </w:rPr>
            </w:pPr>
            <w:r>
              <w:rPr>
                <w:rFonts w:hint="eastAsia" w:ascii="微软雅黑" w:hAnsi="微软雅黑" w:eastAsia="微软雅黑" w:cs="微软雅黑"/>
                <w:kern w:val="2"/>
                <w:sz w:val="24"/>
                <w:szCs w:val="24"/>
                <w:highlight w:val="none"/>
              </w:rPr>
              <w:t>分项价格</w:t>
            </w:r>
          </w:p>
        </w:tc>
      </w:tr>
      <w:tr w14:paraId="773C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840E205">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c>
          <w:tcPr>
            <w:tcW w:w="3402" w:type="dxa"/>
            <w:noWrap w:val="0"/>
            <w:vAlign w:val="center"/>
          </w:tcPr>
          <w:p w14:paraId="5BF60962">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c>
          <w:tcPr>
            <w:tcW w:w="2552" w:type="dxa"/>
            <w:noWrap w:val="0"/>
            <w:vAlign w:val="center"/>
          </w:tcPr>
          <w:p w14:paraId="43CFD9FE">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r>
      <w:tr w14:paraId="087A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81ECF9D">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c>
          <w:tcPr>
            <w:tcW w:w="3402" w:type="dxa"/>
            <w:noWrap w:val="0"/>
            <w:vAlign w:val="center"/>
          </w:tcPr>
          <w:p w14:paraId="359E55E4">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c>
          <w:tcPr>
            <w:tcW w:w="2552" w:type="dxa"/>
            <w:noWrap w:val="0"/>
            <w:vAlign w:val="center"/>
          </w:tcPr>
          <w:p w14:paraId="6281BA74">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r>
      <w:tr w14:paraId="3625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1EA1F23">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c>
          <w:tcPr>
            <w:tcW w:w="3402" w:type="dxa"/>
            <w:noWrap w:val="0"/>
            <w:vAlign w:val="center"/>
          </w:tcPr>
          <w:p w14:paraId="35F6C9D7">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c>
          <w:tcPr>
            <w:tcW w:w="2552" w:type="dxa"/>
            <w:noWrap w:val="0"/>
            <w:vAlign w:val="center"/>
          </w:tcPr>
          <w:p w14:paraId="530C5B3C">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r>
      <w:tr w14:paraId="67E0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836424">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c>
          <w:tcPr>
            <w:tcW w:w="3402" w:type="dxa"/>
            <w:noWrap w:val="0"/>
            <w:vAlign w:val="center"/>
          </w:tcPr>
          <w:p w14:paraId="185E9E87">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c>
          <w:tcPr>
            <w:tcW w:w="2552" w:type="dxa"/>
            <w:noWrap w:val="0"/>
            <w:vAlign w:val="center"/>
          </w:tcPr>
          <w:p w14:paraId="506008B1">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r>
      <w:tr w14:paraId="791A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1DA5C31">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r>
              <w:rPr>
                <w:rFonts w:hint="eastAsia" w:ascii="微软雅黑" w:hAnsi="微软雅黑" w:eastAsia="微软雅黑" w:cs="微软雅黑"/>
                <w:kern w:val="2"/>
                <w:sz w:val="24"/>
                <w:szCs w:val="24"/>
                <w:highlight w:val="none"/>
              </w:rPr>
              <w:t>总价</w:t>
            </w:r>
          </w:p>
        </w:tc>
        <w:tc>
          <w:tcPr>
            <w:tcW w:w="2552" w:type="dxa"/>
            <w:noWrap w:val="0"/>
            <w:vAlign w:val="center"/>
          </w:tcPr>
          <w:p w14:paraId="2F10AF65">
            <w:pPr>
              <w:pStyle w:val="42"/>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kern w:val="2"/>
                <w:sz w:val="24"/>
                <w:szCs w:val="24"/>
                <w:highlight w:val="none"/>
              </w:rPr>
            </w:pPr>
          </w:p>
        </w:tc>
      </w:tr>
    </w:tbl>
    <w:p w14:paraId="2361DBC8">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26" w:name="_Toc14993"/>
      <w:bookmarkStart w:id="827" w:name="_Toc3654"/>
      <w:bookmarkStart w:id="828" w:name="_Toc30506"/>
      <w:bookmarkStart w:id="829" w:name="_Toc26916"/>
      <w:bookmarkStart w:id="830" w:name="_Toc30158"/>
      <w:r>
        <w:rPr>
          <w:rFonts w:hint="eastAsia" w:ascii="微软雅黑" w:hAnsi="微软雅黑" w:eastAsia="微软雅黑" w:cs="微软雅黑"/>
          <w:b/>
          <w:sz w:val="24"/>
          <w:highlight w:val="none"/>
        </w:rPr>
        <w:t>1.4 付款方式和发票开具方式</w:t>
      </w:r>
      <w:bookmarkEnd w:id="826"/>
      <w:bookmarkEnd w:id="827"/>
      <w:bookmarkEnd w:id="828"/>
      <w:bookmarkEnd w:id="829"/>
      <w:bookmarkEnd w:id="830"/>
    </w:p>
    <w:p w14:paraId="6ED750C4">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1.4.1付款方式：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07BB790B">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1.4.2 发票开具方式：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0E163D9A">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31" w:name="_Toc31421"/>
      <w:bookmarkStart w:id="832" w:name="_Toc8772"/>
      <w:bookmarkStart w:id="833" w:name="_Toc4760"/>
      <w:bookmarkStart w:id="834" w:name="_Toc3625"/>
      <w:bookmarkStart w:id="835" w:name="_Toc11108"/>
      <w:r>
        <w:rPr>
          <w:rFonts w:hint="eastAsia" w:ascii="微软雅黑" w:hAnsi="微软雅黑" w:eastAsia="微软雅黑" w:cs="微软雅黑"/>
          <w:b/>
          <w:sz w:val="24"/>
          <w:highlight w:val="none"/>
        </w:rPr>
        <w:t>1.5 履行期限、地点和方式</w:t>
      </w:r>
      <w:bookmarkEnd w:id="831"/>
      <w:bookmarkEnd w:id="832"/>
      <w:bookmarkEnd w:id="833"/>
      <w:bookmarkEnd w:id="834"/>
      <w:bookmarkEnd w:id="835"/>
    </w:p>
    <w:p w14:paraId="79DD973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1.5.1 履行期限：</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1D0AC58">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1.5.2 履行地点：</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002DB7C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1.5.3 履行方式：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58124385">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u w:val="single"/>
        </w:rPr>
      </w:pPr>
      <w:bookmarkStart w:id="836" w:name="_Toc5698"/>
      <w:bookmarkStart w:id="837" w:name="_Toc3079"/>
      <w:bookmarkStart w:id="838" w:name="_Toc24662"/>
      <w:bookmarkStart w:id="839" w:name="_Toc8586"/>
      <w:bookmarkStart w:id="840" w:name="_Toc2375"/>
      <w:r>
        <w:rPr>
          <w:rFonts w:hint="eastAsia" w:ascii="微软雅黑" w:hAnsi="微软雅黑" w:eastAsia="微软雅黑" w:cs="微软雅黑"/>
          <w:b/>
          <w:sz w:val="24"/>
          <w:highlight w:val="none"/>
        </w:rPr>
        <w:t>1.6 违约责任</w:t>
      </w:r>
      <w:bookmarkEnd w:id="836"/>
      <w:bookmarkEnd w:id="837"/>
      <w:bookmarkEnd w:id="838"/>
      <w:bookmarkEnd w:id="839"/>
      <w:bookmarkEnd w:id="840"/>
    </w:p>
    <w:p w14:paraId="69E2AF7B">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1.6.1 除不可抗力外，如果乙方没有按照本合同约定的</w:t>
      </w:r>
      <w:r>
        <w:rPr>
          <w:rFonts w:hint="eastAsia" w:ascii="微软雅黑" w:hAnsi="微软雅黑" w:eastAsia="微软雅黑" w:cs="微软雅黑"/>
          <w:sz w:val="24"/>
          <w:highlight w:val="none"/>
          <w:lang w:eastAsia="zh-CN"/>
        </w:rPr>
        <w:t>内容、</w:t>
      </w:r>
      <w:r>
        <w:rPr>
          <w:rFonts w:hint="eastAsia" w:ascii="微软雅黑" w:hAnsi="微软雅黑" w:eastAsia="微软雅黑" w:cs="微软雅黑"/>
          <w:sz w:val="24"/>
          <w:highlight w:val="none"/>
        </w:rPr>
        <w:t>期限、地点和方式履行，那么甲方可要求乙方支付违约金，违约金按每迟延履行一日的应提供而未提供服务价格的</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%计算，最高限额为本合同总价的</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%；迟延履行的违约金计算数额达到前述最高限额之日起，甲方有权在要求乙方支付违约金的同时，书面通知乙方解除本合同；</w:t>
      </w:r>
    </w:p>
    <w:p w14:paraId="42C004C3">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%计算，最高限额为本合同总价的</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%；迟延付款的违约金计算数额达到前述最高限额之日起，乙方有权在要求甲方支付违约金的同时，书面通知甲方解除本合同；</w:t>
      </w:r>
    </w:p>
    <w:p w14:paraId="0A17BC37">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B078D11">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447C4D9">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493E0F">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08BF289">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41" w:name="_Toc26807"/>
      <w:bookmarkStart w:id="842" w:name="_Toc32454"/>
      <w:bookmarkStart w:id="843" w:name="_Toc18683"/>
      <w:bookmarkStart w:id="844" w:name="_Toc30329"/>
      <w:bookmarkStart w:id="845" w:name="_Toc9497"/>
      <w:r>
        <w:rPr>
          <w:rFonts w:hint="eastAsia" w:ascii="微软雅黑" w:hAnsi="微软雅黑" w:eastAsia="微软雅黑" w:cs="微软雅黑"/>
          <w:b/>
          <w:sz w:val="24"/>
          <w:highlight w:val="none"/>
        </w:rPr>
        <w:t>1.7 合同争议的解决</w:t>
      </w:r>
      <w:bookmarkEnd w:id="841"/>
      <w:bookmarkEnd w:id="842"/>
      <w:bookmarkEnd w:id="843"/>
      <w:bookmarkEnd w:id="844"/>
      <w:bookmarkEnd w:id="845"/>
    </w:p>
    <w:p w14:paraId="3114FDA9">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种方式解决：</w:t>
      </w:r>
    </w:p>
    <w:p w14:paraId="2227A07F">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1.7.1 将争议提交</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仲裁委员会依申请仲裁时其现行有效的仲裁规则裁决；</w:t>
      </w:r>
    </w:p>
    <w:p w14:paraId="0155261D">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1.7.2 向</w:t>
      </w:r>
      <w:r>
        <w:rPr>
          <w:rFonts w:hint="eastAsia" w:ascii="微软雅黑" w:hAnsi="微软雅黑" w:eastAsia="微软雅黑" w:cs="微软雅黑"/>
          <w:sz w:val="24"/>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sz w:val="24"/>
          <w:highlight w:val="none"/>
        </w:rPr>
        <w:t>人民法院起诉。</w:t>
      </w:r>
    </w:p>
    <w:p w14:paraId="1B977B8B">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46" w:name="_Toc12273"/>
      <w:bookmarkStart w:id="847" w:name="_Toc15827"/>
      <w:bookmarkStart w:id="848" w:name="_Toc26227"/>
      <w:bookmarkStart w:id="849" w:name="_Toc16417"/>
      <w:bookmarkStart w:id="850" w:name="_Toc23784"/>
      <w:r>
        <w:rPr>
          <w:rFonts w:hint="eastAsia" w:ascii="微软雅黑" w:hAnsi="微软雅黑" w:eastAsia="微软雅黑" w:cs="微软雅黑"/>
          <w:b/>
          <w:sz w:val="24"/>
          <w:highlight w:val="none"/>
        </w:rPr>
        <w:t>1.8 合同生效</w:t>
      </w:r>
      <w:bookmarkEnd w:id="846"/>
      <w:bookmarkEnd w:id="847"/>
      <w:bookmarkEnd w:id="848"/>
      <w:bookmarkEnd w:id="849"/>
      <w:bookmarkEnd w:id="850"/>
    </w:p>
    <w:p w14:paraId="325ACCB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r>
        <w:rPr>
          <w:rFonts w:hint="eastAsia" w:ascii="微软雅黑" w:hAnsi="微软雅黑" w:eastAsia="微软雅黑" w:cs="微软雅黑"/>
          <w:sz w:val="24"/>
          <w:highlight w:val="none"/>
        </w:rPr>
        <w:t>本合同自双方当事人盖章或者签字时生效。</w:t>
      </w:r>
    </w:p>
    <w:p w14:paraId="1C067C28">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p>
    <w:p w14:paraId="4D4A3712">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b/>
          <w:sz w:val="24"/>
          <w:highlight w:val="none"/>
          <w:lang w:val="zh-CN"/>
        </w:rPr>
        <w:t>甲方</w:t>
      </w:r>
      <w:r>
        <w:rPr>
          <w:rFonts w:hint="eastAsia" w:ascii="微软雅黑" w:hAnsi="微软雅黑" w:eastAsia="微软雅黑" w:cs="微软雅黑"/>
          <w:sz w:val="24"/>
          <w:highlight w:val="none"/>
          <w:lang w:val="zh-CN"/>
        </w:rPr>
        <w:t xml:space="preserve">：                             </w:t>
      </w:r>
      <w:r>
        <w:rPr>
          <w:rFonts w:hint="eastAsia" w:ascii="微软雅黑" w:hAnsi="微软雅黑" w:eastAsia="微软雅黑" w:cs="微软雅黑"/>
          <w:b/>
          <w:sz w:val="24"/>
          <w:highlight w:val="none"/>
          <w:lang w:val="zh-CN"/>
        </w:rPr>
        <w:t xml:space="preserve">      乙方</w:t>
      </w:r>
      <w:r>
        <w:rPr>
          <w:rFonts w:hint="eastAsia" w:ascii="微软雅黑" w:hAnsi="微软雅黑" w:eastAsia="微软雅黑" w:cs="微软雅黑"/>
          <w:sz w:val="24"/>
          <w:highlight w:val="none"/>
          <w:lang w:val="zh-CN"/>
        </w:rPr>
        <w:t>：</w:t>
      </w:r>
    </w:p>
    <w:p w14:paraId="53AA2175">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统一社会信用代码：                        统一社会信用代码或身份证号码：</w:t>
      </w:r>
    </w:p>
    <w:p w14:paraId="367BF1FF">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p>
    <w:p w14:paraId="0ABE84AF">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住所：                                   住所：</w:t>
      </w:r>
    </w:p>
    <w:p w14:paraId="0F2D94AF">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法定代表人或                             法定代表人</w:t>
      </w:r>
    </w:p>
    <w:p w14:paraId="15B39D28">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 xml:space="preserve">授权代表（签字）：                        或授权代表（签字）: </w:t>
      </w:r>
    </w:p>
    <w:p w14:paraId="37C0CB69">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联系人：                                 联系人：</w:t>
      </w:r>
    </w:p>
    <w:p w14:paraId="699010CF">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约定送达地址：                           约定送达地址：</w:t>
      </w:r>
    </w:p>
    <w:p w14:paraId="214FCD79">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邮政编码：                               邮政编码：</w:t>
      </w:r>
    </w:p>
    <w:p w14:paraId="32CE193E">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 xml:space="preserve">电话:                                    电话: </w:t>
      </w:r>
    </w:p>
    <w:p w14:paraId="038B0222">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lang w:val="zh-CN"/>
        </w:rPr>
      </w:pPr>
      <w:r>
        <w:rPr>
          <w:rFonts w:hint="eastAsia" w:ascii="微软雅黑" w:hAnsi="微软雅黑" w:eastAsia="微软雅黑" w:cs="微软雅黑"/>
          <w:sz w:val="24"/>
          <w:highlight w:val="none"/>
          <w:lang w:val="zh-CN"/>
        </w:rPr>
        <w:t>传真:                                    传真:</w:t>
      </w:r>
    </w:p>
    <w:p w14:paraId="50B6F980">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zh-CN"/>
        </w:rPr>
        <w:t>电子邮箱：                               电子邮箱：</w:t>
      </w:r>
    </w:p>
    <w:p w14:paraId="03023F0D">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 xml:space="preserve">开户银行：                               开户银行： </w:t>
      </w:r>
    </w:p>
    <w:p w14:paraId="4D53AC07">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 xml:space="preserve">开户名称：                               开户名称： </w:t>
      </w:r>
    </w:p>
    <w:p w14:paraId="169A21E9">
      <w:pPr>
        <w:pageBreakBefore w:val="0"/>
        <w:kinsoku/>
        <w:wordWrap/>
        <w:overflowPunct/>
        <w:topLinePunct w:val="0"/>
        <w:autoSpaceDE w:val="0"/>
        <w:autoSpaceDN w:val="0"/>
        <w:bidi w:val="0"/>
        <w:adjustRightInd w:val="0"/>
        <w:snapToGrid/>
        <w:spacing w:line="340" w:lineRule="exact"/>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开户账号：</w:t>
      </w:r>
      <w:r>
        <w:rPr>
          <w:rFonts w:hint="eastAsia" w:ascii="微软雅黑" w:hAnsi="微软雅黑" w:eastAsia="微软雅黑" w:cs="微软雅黑"/>
          <w:sz w:val="24"/>
          <w:highlight w:val="none"/>
          <w:lang w:val="zh-CN"/>
        </w:rPr>
        <w:t xml:space="preserve">                               </w:t>
      </w:r>
      <w:r>
        <w:rPr>
          <w:rFonts w:hint="eastAsia" w:ascii="微软雅黑" w:hAnsi="微软雅黑" w:eastAsia="微软雅黑" w:cs="微软雅黑"/>
          <w:sz w:val="24"/>
          <w:highlight w:val="none"/>
        </w:rPr>
        <w:t>开户账号：</w:t>
      </w:r>
    </w:p>
    <w:p w14:paraId="6F10A920">
      <w:pPr>
        <w:pageBreakBefore w:val="0"/>
        <w:widowControl/>
        <w:kinsoku/>
        <w:wordWrap/>
        <w:overflowPunct/>
        <w:topLinePunct w:val="0"/>
        <w:bidi w:val="0"/>
        <w:snapToGrid/>
        <w:spacing w:line="340" w:lineRule="exact"/>
        <w:jc w:val="left"/>
        <w:textAlignment w:val="auto"/>
        <w:outlineLvl w:val="9"/>
        <w:rPr>
          <w:rFonts w:hint="eastAsia" w:ascii="微软雅黑" w:hAnsi="微软雅黑" w:eastAsia="微软雅黑" w:cs="微软雅黑"/>
          <w:b/>
          <w:sz w:val="24"/>
          <w:highlight w:val="none"/>
        </w:rPr>
      </w:pPr>
      <w:bookmarkStart w:id="851" w:name="_Toc331685783"/>
    </w:p>
    <w:p w14:paraId="0CB8CDA8">
      <w:pPr>
        <w:pageBreakBefore w:val="0"/>
        <w:widowControl/>
        <w:kinsoku/>
        <w:wordWrap/>
        <w:overflowPunct/>
        <w:topLinePunct w:val="0"/>
        <w:bidi w:val="0"/>
        <w:snapToGrid/>
        <w:spacing w:line="340" w:lineRule="exact"/>
        <w:jc w:val="left"/>
        <w:textAlignment w:val="auto"/>
        <w:outlineLvl w:val="9"/>
        <w:rPr>
          <w:rFonts w:hint="eastAsia" w:ascii="微软雅黑" w:hAnsi="微软雅黑" w:eastAsia="微软雅黑" w:cs="微软雅黑"/>
          <w:b/>
          <w:sz w:val="24"/>
          <w:highlight w:val="none"/>
        </w:rPr>
      </w:pPr>
    </w:p>
    <w:p w14:paraId="1D453B94">
      <w:pPr>
        <w:pStyle w:val="40"/>
        <w:pageBreakBefore w:val="0"/>
        <w:kinsoku/>
        <w:wordWrap/>
        <w:overflowPunct/>
        <w:topLinePunct w:val="0"/>
        <w:bidi w:val="0"/>
        <w:snapToGrid/>
        <w:spacing w:line="340" w:lineRule="exact"/>
        <w:ind w:firstLine="200"/>
        <w:jc w:val="center"/>
        <w:textAlignment w:val="auto"/>
        <w:outlineLvl w:val="9"/>
        <w:rPr>
          <w:rFonts w:hint="eastAsia" w:ascii="微软雅黑" w:hAnsi="微软雅黑" w:eastAsia="微软雅黑" w:cs="微软雅黑"/>
          <w:b/>
          <w:szCs w:val="24"/>
          <w:highlight w:val="none"/>
        </w:rPr>
      </w:pPr>
      <w:r>
        <w:rPr>
          <w:rFonts w:hint="eastAsia" w:ascii="微软雅黑" w:hAnsi="微软雅黑" w:eastAsia="微软雅黑" w:cs="微软雅黑"/>
          <w:b/>
          <w:szCs w:val="24"/>
          <w:highlight w:val="none"/>
        </w:rPr>
        <w:t>第二部分 合同一般条款</w:t>
      </w:r>
      <w:bookmarkEnd w:id="851"/>
    </w:p>
    <w:p w14:paraId="5DFB1CF9">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52" w:name="_Toc31297"/>
      <w:bookmarkStart w:id="853" w:name="_Toc5228"/>
      <w:bookmarkStart w:id="854" w:name="_Ref467379214"/>
      <w:bookmarkStart w:id="855" w:name="_Toc279701240"/>
      <w:bookmarkStart w:id="856" w:name="_Ref467379094"/>
      <w:bookmarkStart w:id="857" w:name="_Ref467379195"/>
      <w:bookmarkStart w:id="858" w:name="_Toc14021"/>
      <w:bookmarkStart w:id="859" w:name="_Ref467378499"/>
      <w:bookmarkStart w:id="860" w:name="_Ref467379225"/>
      <w:bookmarkStart w:id="861" w:name="_Ref467379205"/>
      <w:bookmarkStart w:id="862" w:name="_Toc25079"/>
      <w:bookmarkStart w:id="863" w:name="_Toc487900349"/>
      <w:bookmarkStart w:id="864" w:name="_Ref467378404"/>
      <w:bookmarkStart w:id="865" w:name="_Ref467379109"/>
      <w:bookmarkStart w:id="866" w:name="_Ref467378463"/>
      <w:bookmarkStart w:id="867" w:name="_Toc259093669"/>
      <w:bookmarkStart w:id="868" w:name="_Ref467379101"/>
      <w:bookmarkStart w:id="869" w:name="_Toc19680"/>
      <w:r>
        <w:rPr>
          <w:rFonts w:hint="eastAsia" w:ascii="微软雅黑" w:hAnsi="微软雅黑" w:eastAsia="微软雅黑" w:cs="微软雅黑"/>
          <w:b/>
          <w:sz w:val="24"/>
          <w:highlight w:val="none"/>
        </w:rPr>
        <w:t>2.1 定义</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6839A9D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本合同中的下列词语应按以下内容进行解释：</w:t>
      </w:r>
    </w:p>
    <w:p w14:paraId="47EF399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2.1.1 “合同”系指采购人和中标供应商签订的载明双方当事人所达成的协议，并包括所有的附件、附录和构成合同的其他文件。</w:t>
      </w:r>
    </w:p>
    <w:p w14:paraId="28E88483">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2.1.2 “合同价”系指根据合同约定，中标供应商在完全履行合同义务后，采购人应支付给中标供应商的价格。</w:t>
      </w:r>
    </w:p>
    <w:p w14:paraId="564F9129">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2.1.3 “服务”系指中标供应商根据合同约定应向采购人履行的除货物和工程以外的其他政府采购对象，包括采购人自身需要的服务和向社会公众提供的公共服务。</w:t>
      </w:r>
    </w:p>
    <w:p w14:paraId="5DF955BE">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bookmarkStart w:id="870" w:name="_Ref467378840"/>
      <w:r>
        <w:rPr>
          <w:rFonts w:hint="eastAsia" w:ascii="微软雅黑" w:hAnsi="微软雅黑" w:eastAsia="微软雅黑" w:cs="微软雅黑"/>
          <w:sz w:val="24"/>
          <w:highlight w:val="none"/>
        </w:rPr>
        <w:t>2.1.4 “甲方”系指与中标供应商签署合同的采购人</w:t>
      </w:r>
      <w:bookmarkEnd w:id="870"/>
      <w:r>
        <w:rPr>
          <w:rFonts w:hint="eastAsia" w:ascii="微软雅黑" w:hAnsi="微软雅黑" w:eastAsia="微软雅黑" w:cs="微软雅黑"/>
          <w:sz w:val="24"/>
          <w:highlight w:val="none"/>
        </w:rPr>
        <w:t>；采购人委托采购代理机构代表其与乙方签订合同的，采购人的授权委托书作为合同附件。</w:t>
      </w:r>
    </w:p>
    <w:p w14:paraId="3C3A0318">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bookmarkStart w:id="871" w:name="_Ref467379400"/>
      <w:r>
        <w:rPr>
          <w:rFonts w:hint="eastAsia" w:ascii="微软雅黑" w:hAnsi="微软雅黑" w:eastAsia="微软雅黑" w:cs="微软雅黑"/>
          <w:sz w:val="24"/>
          <w:highlight w:val="none"/>
        </w:rPr>
        <w:t>2.1.5 “乙方”系指根据合同约定提供服务的中标供应商</w:t>
      </w:r>
      <w:bookmarkEnd w:id="871"/>
      <w:r>
        <w:rPr>
          <w:rFonts w:hint="eastAsia" w:ascii="微软雅黑" w:hAnsi="微软雅黑" w:eastAsia="微软雅黑" w:cs="微软雅黑"/>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F5827EA">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bookmarkStart w:id="872" w:name="_Ref467379436"/>
      <w:r>
        <w:rPr>
          <w:rFonts w:hint="eastAsia" w:ascii="微软雅黑" w:hAnsi="微软雅黑" w:eastAsia="微软雅黑" w:cs="微软雅黑"/>
          <w:sz w:val="24"/>
          <w:highlight w:val="none"/>
        </w:rPr>
        <w:t>2.1.6 “现场”系指合同约定提供服务的地点。</w:t>
      </w:r>
      <w:bookmarkEnd w:id="872"/>
    </w:p>
    <w:p w14:paraId="29514A5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73" w:name="_Toc31402"/>
      <w:bookmarkStart w:id="874" w:name="_Toc259093670"/>
      <w:bookmarkStart w:id="875" w:name="_Toc279701241"/>
      <w:bookmarkStart w:id="876" w:name="_Toc23289"/>
      <w:bookmarkStart w:id="877" w:name="_Toc3769"/>
      <w:bookmarkStart w:id="878" w:name="_Toc16752"/>
      <w:bookmarkStart w:id="879" w:name="_Toc19539"/>
      <w:bookmarkStart w:id="880" w:name="_Toc487900350"/>
      <w:r>
        <w:rPr>
          <w:rFonts w:hint="eastAsia" w:ascii="微软雅黑" w:hAnsi="微软雅黑" w:eastAsia="微软雅黑" w:cs="微软雅黑"/>
          <w:b/>
          <w:sz w:val="24"/>
          <w:highlight w:val="none"/>
        </w:rPr>
        <w:t>2.2 技术规范</w:t>
      </w:r>
      <w:bookmarkEnd w:id="873"/>
      <w:bookmarkEnd w:id="874"/>
      <w:bookmarkEnd w:id="875"/>
      <w:bookmarkEnd w:id="876"/>
      <w:bookmarkEnd w:id="877"/>
      <w:bookmarkEnd w:id="878"/>
      <w:bookmarkEnd w:id="879"/>
      <w:bookmarkEnd w:id="880"/>
    </w:p>
    <w:p w14:paraId="6826722C">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BD71BD3">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81" w:name="_Toc259093671"/>
      <w:bookmarkStart w:id="882" w:name="_Toc9161"/>
      <w:bookmarkStart w:id="883" w:name="_Toc279701242"/>
      <w:bookmarkStart w:id="884" w:name="_Toc27945"/>
      <w:bookmarkStart w:id="885" w:name="_Toc12412"/>
      <w:bookmarkStart w:id="886" w:name="_Toc487900351"/>
      <w:bookmarkStart w:id="887" w:name="_Toc13673"/>
      <w:r>
        <w:rPr>
          <w:rFonts w:hint="eastAsia" w:ascii="微软雅黑" w:hAnsi="微软雅黑" w:eastAsia="微软雅黑" w:cs="微软雅黑"/>
          <w:b/>
          <w:sz w:val="24"/>
          <w:highlight w:val="none"/>
        </w:rPr>
        <w:t>2.3 知识产权</w:t>
      </w:r>
      <w:bookmarkEnd w:id="881"/>
      <w:bookmarkEnd w:id="882"/>
      <w:bookmarkEnd w:id="883"/>
      <w:bookmarkEnd w:id="884"/>
      <w:bookmarkEnd w:id="885"/>
      <w:bookmarkEnd w:id="886"/>
      <w:bookmarkEnd w:id="887"/>
    </w:p>
    <w:p w14:paraId="1BBE1989">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E7FF8D3">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2.3.2 合同涉及技术成果的归属和收益的分成办法的，详见</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w:t>
      </w:r>
    </w:p>
    <w:p w14:paraId="6F84E4DD">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2.4 履约检查和问题反馈</w:t>
      </w:r>
    </w:p>
    <w:p w14:paraId="7CE4E1F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bookmarkStart w:id="888" w:name="_Ref467379657"/>
      <w:r>
        <w:rPr>
          <w:rFonts w:hint="eastAsia" w:ascii="微软雅黑" w:hAnsi="微软雅黑" w:eastAsia="微软雅黑" w:cs="微软雅黑"/>
          <w:sz w:val="24"/>
          <w:highlight w:val="none"/>
        </w:rPr>
        <w:t>2.4.1</w:t>
      </w:r>
      <w:bookmarkEnd w:id="888"/>
      <w:bookmarkStart w:id="889" w:name="_Toc186431854"/>
      <w:bookmarkStart w:id="890" w:name="_Toc259093676"/>
      <w:bookmarkStart w:id="891" w:name="_Toc279701247"/>
      <w:bookmarkStart w:id="892" w:name="_Ref467379793"/>
      <w:bookmarkStart w:id="893" w:name="_Ref467379807"/>
      <w:bookmarkStart w:id="894" w:name="_Toc487900357"/>
      <w:r>
        <w:rPr>
          <w:rFonts w:hint="eastAsia" w:ascii="微软雅黑" w:hAnsi="微软雅黑" w:eastAsia="微软雅黑" w:cs="微软雅黑"/>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D81FE55">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2.4.2 合同履行期间，甲方有权将履行过程中出现的问题反馈给乙方，双方当事人应以书面形式约定需要完善和改进的内容</w:t>
      </w:r>
      <w:bookmarkEnd w:id="889"/>
      <w:bookmarkStart w:id="895" w:name="_Toc186431855"/>
      <w:r>
        <w:rPr>
          <w:rFonts w:hint="eastAsia" w:ascii="微软雅黑" w:hAnsi="微软雅黑" w:eastAsia="微软雅黑" w:cs="微软雅黑"/>
          <w:sz w:val="24"/>
          <w:highlight w:val="none"/>
        </w:rPr>
        <w:t>。</w:t>
      </w:r>
    </w:p>
    <w:bookmarkEnd w:id="895"/>
    <w:p w14:paraId="24E4A053">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896" w:name="_Toc22011"/>
      <w:bookmarkStart w:id="897" w:name="_Toc26555"/>
      <w:bookmarkStart w:id="898" w:name="_Toc32670"/>
      <w:bookmarkStart w:id="899" w:name="_Toc31233"/>
      <w:bookmarkStart w:id="900" w:name="_Toc15447"/>
      <w:r>
        <w:rPr>
          <w:rFonts w:hint="eastAsia" w:ascii="微软雅黑" w:hAnsi="微软雅黑" w:eastAsia="微软雅黑" w:cs="微软雅黑"/>
          <w:b/>
          <w:sz w:val="24"/>
          <w:highlight w:val="none"/>
        </w:rPr>
        <w:t>2.5 结算方式和付款条件</w:t>
      </w:r>
      <w:bookmarkEnd w:id="890"/>
      <w:bookmarkEnd w:id="891"/>
      <w:bookmarkEnd w:id="892"/>
      <w:bookmarkEnd w:id="893"/>
      <w:bookmarkEnd w:id="894"/>
      <w:bookmarkEnd w:id="896"/>
      <w:bookmarkEnd w:id="897"/>
      <w:bookmarkEnd w:id="898"/>
      <w:bookmarkEnd w:id="899"/>
      <w:bookmarkEnd w:id="900"/>
    </w:p>
    <w:p w14:paraId="6E250AE4">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详见</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w:t>
      </w:r>
    </w:p>
    <w:p w14:paraId="4E662DC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01" w:name="_Toc259093677"/>
      <w:bookmarkStart w:id="902" w:name="_Ref467379852"/>
      <w:bookmarkStart w:id="903" w:name="_Toc279701248"/>
      <w:bookmarkStart w:id="904" w:name="_Toc487900358"/>
      <w:bookmarkStart w:id="905" w:name="_Ref467379923"/>
      <w:bookmarkStart w:id="906" w:name="_Ref467379863"/>
      <w:bookmarkStart w:id="907" w:name="_Toc13467"/>
      <w:bookmarkStart w:id="908" w:name="_Toc16163"/>
      <w:bookmarkStart w:id="909" w:name="_Toc18990"/>
      <w:bookmarkStart w:id="910" w:name="_Toc30507"/>
      <w:bookmarkStart w:id="911" w:name="_Toc13154"/>
      <w:r>
        <w:rPr>
          <w:rFonts w:hint="eastAsia" w:ascii="微软雅黑" w:hAnsi="微软雅黑" w:eastAsia="微软雅黑" w:cs="微软雅黑"/>
          <w:b/>
          <w:sz w:val="24"/>
          <w:highlight w:val="none"/>
        </w:rPr>
        <w:t>2.6 技术资料</w:t>
      </w:r>
      <w:bookmarkEnd w:id="901"/>
      <w:bookmarkEnd w:id="902"/>
      <w:bookmarkEnd w:id="903"/>
      <w:bookmarkEnd w:id="904"/>
      <w:bookmarkEnd w:id="905"/>
      <w:bookmarkEnd w:id="906"/>
      <w:r>
        <w:rPr>
          <w:rFonts w:hint="eastAsia" w:ascii="微软雅黑" w:hAnsi="微软雅黑" w:eastAsia="微软雅黑" w:cs="微软雅黑"/>
          <w:b/>
          <w:sz w:val="24"/>
          <w:highlight w:val="none"/>
        </w:rPr>
        <w:t>和保密义务</w:t>
      </w:r>
      <w:bookmarkEnd w:id="907"/>
      <w:bookmarkEnd w:id="908"/>
      <w:bookmarkEnd w:id="909"/>
      <w:bookmarkEnd w:id="910"/>
      <w:bookmarkEnd w:id="911"/>
    </w:p>
    <w:p w14:paraId="2BEDBF8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2.6.1 乙方有权依据合同约定和项目需要，向甲方了解有关情况，调阅有关资料等，甲方应予积极配合；</w:t>
      </w:r>
    </w:p>
    <w:p w14:paraId="1C269C31">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2.6.2 乙方有义务妥善保管和保护由甲方提供的前款信息和资料等；</w:t>
      </w:r>
    </w:p>
    <w:p w14:paraId="4F220ADB">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4A1971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12" w:name="_Toc19069"/>
      <w:bookmarkStart w:id="913" w:name="_Toc279701252"/>
      <w:bookmarkStart w:id="914" w:name="_Toc487900362"/>
      <w:bookmarkStart w:id="915" w:name="_Toc259093681"/>
      <w:r>
        <w:rPr>
          <w:rFonts w:hint="eastAsia" w:ascii="微软雅黑" w:hAnsi="微软雅黑" w:eastAsia="微软雅黑" w:cs="微软雅黑"/>
          <w:b/>
          <w:sz w:val="24"/>
          <w:highlight w:val="none"/>
        </w:rPr>
        <w:t>2.7 质量保证</w:t>
      </w:r>
      <w:bookmarkEnd w:id="912"/>
    </w:p>
    <w:p w14:paraId="7A38446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2.7.1 乙方应建立和完善履行合同的内部质量保证体系，并提供相关内部规章制度给甲方，以便甲方进行监督检查；</w:t>
      </w:r>
    </w:p>
    <w:p w14:paraId="5C618199">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2.7.2 乙方应保证履行合同的人员数量和素质、软件和硬件设备的配置、场地、环境和设施等满足全面履行合同的要求，并应接受甲方的监督检查。</w:t>
      </w:r>
    </w:p>
    <w:p w14:paraId="5A9280FE">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16" w:name="_Toc22267"/>
      <w:r>
        <w:rPr>
          <w:rFonts w:hint="eastAsia" w:ascii="微软雅黑" w:hAnsi="微软雅黑" w:eastAsia="微软雅黑" w:cs="微软雅黑"/>
          <w:b/>
          <w:sz w:val="24"/>
          <w:highlight w:val="none"/>
        </w:rPr>
        <w:t>2.8 延迟</w:t>
      </w:r>
      <w:bookmarkEnd w:id="913"/>
      <w:bookmarkEnd w:id="914"/>
      <w:bookmarkEnd w:id="915"/>
      <w:r>
        <w:rPr>
          <w:rFonts w:hint="eastAsia" w:ascii="微软雅黑" w:hAnsi="微软雅黑" w:eastAsia="微软雅黑" w:cs="微软雅黑"/>
          <w:b/>
          <w:sz w:val="24"/>
          <w:highlight w:val="none"/>
        </w:rPr>
        <w:t>履行</w:t>
      </w:r>
      <w:bookmarkEnd w:id="916"/>
    </w:p>
    <w:p w14:paraId="187BBD2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F153DA6">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17" w:name="_Toc10611"/>
      <w:bookmarkStart w:id="918" w:name="_Toc259093683"/>
      <w:bookmarkStart w:id="919" w:name="_Ref467378121"/>
      <w:bookmarkStart w:id="920" w:name="_Toc279701254"/>
      <w:bookmarkStart w:id="921" w:name="_Toc487900364"/>
      <w:r>
        <w:rPr>
          <w:rFonts w:hint="eastAsia" w:ascii="微软雅黑" w:hAnsi="微软雅黑" w:eastAsia="微软雅黑" w:cs="微软雅黑"/>
          <w:b/>
          <w:sz w:val="24"/>
          <w:highlight w:val="none"/>
        </w:rPr>
        <w:t>2.9 合同变更</w:t>
      </w:r>
      <w:bookmarkEnd w:id="917"/>
    </w:p>
    <w:p w14:paraId="7D46219A">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601C5E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2.9.2 合同继续履行将损害国家利益和社会公共利益的，双方当事人应当以书面形式变更合同。有过错的一方应当承担赔偿责任，双方当事人都有过错的，各自承担相应的责任。</w:t>
      </w:r>
      <w:bookmarkStart w:id="922" w:name="_Toc487900369"/>
      <w:bookmarkStart w:id="923" w:name="_Toc279701259"/>
      <w:bookmarkStart w:id="924" w:name="_Toc259093688"/>
    </w:p>
    <w:p w14:paraId="4AA6CDEE">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25" w:name="_Toc21830"/>
      <w:bookmarkStart w:id="926" w:name="_Toc23368"/>
      <w:bookmarkStart w:id="927" w:name="_Toc26689"/>
      <w:bookmarkStart w:id="928" w:name="_Toc10663"/>
      <w:bookmarkStart w:id="929" w:name="_Toc42"/>
      <w:r>
        <w:rPr>
          <w:rFonts w:hint="eastAsia" w:ascii="微软雅黑" w:hAnsi="微软雅黑" w:eastAsia="微软雅黑" w:cs="微软雅黑"/>
          <w:b/>
          <w:sz w:val="24"/>
          <w:highlight w:val="none"/>
        </w:rPr>
        <w:t>2.10 合同转让</w:t>
      </w:r>
      <w:bookmarkEnd w:id="922"/>
      <w:bookmarkEnd w:id="923"/>
      <w:bookmarkEnd w:id="924"/>
      <w:r>
        <w:rPr>
          <w:rFonts w:hint="eastAsia" w:ascii="微软雅黑" w:hAnsi="微软雅黑" w:eastAsia="微软雅黑" w:cs="微软雅黑"/>
          <w:b/>
          <w:sz w:val="24"/>
          <w:highlight w:val="none"/>
        </w:rPr>
        <w:t>和分包</w:t>
      </w:r>
      <w:bookmarkEnd w:id="925"/>
      <w:bookmarkEnd w:id="926"/>
      <w:bookmarkEnd w:id="927"/>
      <w:bookmarkEnd w:id="928"/>
      <w:bookmarkEnd w:id="929"/>
    </w:p>
    <w:p w14:paraId="38BBDA14">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12A2E5D">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30" w:name="_Toc26633"/>
      <w:bookmarkStart w:id="931" w:name="_Toc14371"/>
      <w:bookmarkStart w:id="932" w:name="_Toc32494"/>
      <w:bookmarkStart w:id="933" w:name="_Toc25571"/>
      <w:bookmarkStart w:id="934" w:name="_Toc4720"/>
      <w:r>
        <w:rPr>
          <w:rFonts w:hint="eastAsia" w:ascii="微软雅黑" w:hAnsi="微软雅黑" w:eastAsia="微软雅黑" w:cs="微软雅黑"/>
          <w:b/>
          <w:sz w:val="24"/>
          <w:highlight w:val="none"/>
        </w:rPr>
        <w:t>2.11 不可抗力</w:t>
      </w:r>
      <w:bookmarkEnd w:id="930"/>
      <w:bookmarkEnd w:id="931"/>
      <w:bookmarkEnd w:id="932"/>
      <w:bookmarkEnd w:id="933"/>
      <w:bookmarkEnd w:id="934"/>
    </w:p>
    <w:p w14:paraId="3CEF87CA">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2.11.1如果任何一方遭遇法律规定的不可抗力，致使合同履行受阻时，履行合同的期限应予延长，延长的期限应相当于不可抗力所影响的时间；</w:t>
      </w:r>
    </w:p>
    <w:p w14:paraId="568D6225">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2.11.2 因不可抗力致使不能实现合同目的的，当事人可以解除合同；</w:t>
      </w:r>
    </w:p>
    <w:p w14:paraId="23972CF6">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2.11.3 因不可抗力致使合同有变更必要的，双方当事人应在</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约定时间内以书面形式变更合同；</w:t>
      </w:r>
    </w:p>
    <w:p w14:paraId="057AE188">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2.11.4受不可抗力影响的一方在不可抗力发生后，应在</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约定时间内以书面形式通知对方当事人，并在</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约定时间内，将有关部门出具的证明文件送达对方当事人。</w:t>
      </w:r>
    </w:p>
    <w:p w14:paraId="6FB2F1B5">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35" w:name="_Toc23854"/>
      <w:bookmarkStart w:id="936" w:name="_Toc25783"/>
      <w:bookmarkStart w:id="937" w:name="_Toc3638"/>
      <w:bookmarkStart w:id="938" w:name="_Toc14115"/>
      <w:bookmarkStart w:id="939" w:name="_Toc487900365"/>
      <w:bookmarkStart w:id="940" w:name="_Toc259093684"/>
      <w:bookmarkStart w:id="941" w:name="_Toc279701255"/>
      <w:bookmarkStart w:id="942" w:name="_Toc24465"/>
      <w:r>
        <w:rPr>
          <w:rFonts w:hint="eastAsia" w:ascii="微软雅黑" w:hAnsi="微软雅黑" w:eastAsia="微软雅黑" w:cs="微软雅黑"/>
          <w:b/>
          <w:sz w:val="24"/>
          <w:highlight w:val="none"/>
        </w:rPr>
        <w:t>2.12 税费</w:t>
      </w:r>
      <w:bookmarkEnd w:id="935"/>
      <w:bookmarkEnd w:id="936"/>
      <w:bookmarkEnd w:id="937"/>
      <w:bookmarkEnd w:id="938"/>
      <w:bookmarkEnd w:id="939"/>
      <w:bookmarkEnd w:id="940"/>
      <w:bookmarkEnd w:id="941"/>
      <w:bookmarkEnd w:id="942"/>
    </w:p>
    <w:p w14:paraId="583E5393">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与合同有关的一切税费，均按照中华人民共和国法律的相关规定缴纳。</w:t>
      </w:r>
    </w:p>
    <w:p w14:paraId="6E99885A">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43" w:name="_Toc7315"/>
      <w:bookmarkStart w:id="944" w:name="_Toc279701258"/>
      <w:bookmarkStart w:id="945" w:name="_Toc259093687"/>
      <w:bookmarkStart w:id="946" w:name="_Toc26883"/>
      <w:bookmarkStart w:id="947" w:name="_Toc30105"/>
      <w:bookmarkStart w:id="948" w:name="_Toc487900368"/>
      <w:bookmarkStart w:id="949" w:name="_Toc25525"/>
      <w:bookmarkStart w:id="950" w:name="_Toc14814"/>
      <w:r>
        <w:rPr>
          <w:rFonts w:hint="eastAsia" w:ascii="微软雅黑" w:hAnsi="微软雅黑" w:eastAsia="微软雅黑" w:cs="微软雅黑"/>
          <w:b/>
          <w:sz w:val="24"/>
          <w:highlight w:val="none"/>
        </w:rPr>
        <w:t>2.13 乙方破产</w:t>
      </w:r>
      <w:bookmarkEnd w:id="943"/>
      <w:bookmarkEnd w:id="944"/>
      <w:bookmarkEnd w:id="945"/>
      <w:bookmarkEnd w:id="946"/>
      <w:bookmarkEnd w:id="947"/>
      <w:bookmarkEnd w:id="948"/>
      <w:bookmarkEnd w:id="949"/>
      <w:bookmarkEnd w:id="950"/>
    </w:p>
    <w:p w14:paraId="7320C59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C2B3256">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51" w:name="_Toc1123"/>
      <w:bookmarkStart w:id="952" w:name="_Toc2016"/>
      <w:bookmarkStart w:id="953" w:name="_Toc23323"/>
      <w:r>
        <w:rPr>
          <w:rFonts w:hint="eastAsia" w:ascii="微软雅黑" w:hAnsi="微软雅黑" w:eastAsia="微软雅黑" w:cs="微软雅黑"/>
          <w:b/>
          <w:sz w:val="24"/>
          <w:highlight w:val="none"/>
        </w:rPr>
        <w:t>2.14 合同中止、终止</w:t>
      </w:r>
      <w:bookmarkEnd w:id="951"/>
      <w:bookmarkEnd w:id="952"/>
      <w:bookmarkEnd w:id="953"/>
    </w:p>
    <w:p w14:paraId="61EAF50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2.14.1 双方当事人不得擅自中止或者终止合同；</w:t>
      </w:r>
    </w:p>
    <w:p w14:paraId="7C64D87C">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2.14.2合同继续履行将损害国家利益和社会公共利益的，双方当事人应当中止或者终止合同。有过错的一方应当承担赔偿责任，双方当事人都有过错的，各自承担相应的责任。</w:t>
      </w:r>
    </w:p>
    <w:p w14:paraId="66C90EF4">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54" w:name="_Toc17363"/>
      <w:bookmarkStart w:id="955" w:name="_Toc1969"/>
      <w:r>
        <w:rPr>
          <w:rFonts w:hint="eastAsia" w:ascii="微软雅黑" w:hAnsi="微软雅黑" w:eastAsia="微软雅黑" w:cs="微软雅黑"/>
          <w:b/>
          <w:sz w:val="24"/>
          <w:highlight w:val="none"/>
        </w:rPr>
        <w:t>2.15 检验和验收</w:t>
      </w:r>
      <w:bookmarkEnd w:id="954"/>
      <w:bookmarkEnd w:id="955"/>
    </w:p>
    <w:p w14:paraId="5F77423C">
      <w:pPr>
        <w:pageBreakBefore w:val="0"/>
        <w:tabs>
          <w:tab w:val="left" w:pos="360"/>
          <w:tab w:val="left" w:pos="540"/>
          <w:tab w:val="left" w:pos="1080"/>
        </w:tabs>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2.15.1 乙方按照</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的约定，定期提交服务报告，甲方按照</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的约定进行定期验收；</w:t>
      </w:r>
    </w:p>
    <w:p w14:paraId="6291891E">
      <w:pPr>
        <w:pageBreakBefore w:val="0"/>
        <w:tabs>
          <w:tab w:val="left" w:pos="360"/>
          <w:tab w:val="left" w:pos="540"/>
          <w:tab w:val="left" w:pos="1080"/>
        </w:tabs>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E478AB">
      <w:pPr>
        <w:pageBreakBefore w:val="0"/>
        <w:tabs>
          <w:tab w:val="left" w:pos="360"/>
          <w:tab w:val="left" w:pos="540"/>
          <w:tab w:val="left" w:pos="1080"/>
        </w:tabs>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2.15.3 检验和验收标准、程序等具体内容以及前述验收书的效力详见</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i/>
          <w:sz w:val="24"/>
          <w:highlight w:val="none"/>
        </w:rPr>
        <w:t>。</w:t>
      </w:r>
    </w:p>
    <w:bookmarkEnd w:id="918"/>
    <w:bookmarkEnd w:id="919"/>
    <w:bookmarkEnd w:id="920"/>
    <w:bookmarkEnd w:id="921"/>
    <w:p w14:paraId="17138CC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56" w:name="_Toc487900371"/>
      <w:bookmarkStart w:id="957" w:name="_Toc259093690"/>
      <w:bookmarkStart w:id="958" w:name="_Toc279701261"/>
      <w:bookmarkStart w:id="959" w:name="_Toc25198"/>
      <w:bookmarkStart w:id="960" w:name="_Toc31892"/>
      <w:bookmarkStart w:id="961" w:name="_Toc12666"/>
      <w:bookmarkStart w:id="962" w:name="_Toc2308"/>
      <w:bookmarkStart w:id="963" w:name="_Toc9808"/>
      <w:r>
        <w:rPr>
          <w:rFonts w:hint="eastAsia" w:ascii="微软雅黑" w:hAnsi="微软雅黑" w:eastAsia="微软雅黑" w:cs="微软雅黑"/>
          <w:b/>
          <w:sz w:val="24"/>
          <w:highlight w:val="none"/>
        </w:rPr>
        <w:t>2.16 通知</w:t>
      </w:r>
      <w:bookmarkEnd w:id="956"/>
      <w:bookmarkEnd w:id="957"/>
      <w:bookmarkEnd w:id="958"/>
      <w:r>
        <w:rPr>
          <w:rFonts w:hint="eastAsia" w:ascii="微软雅黑" w:hAnsi="微软雅黑" w:eastAsia="微软雅黑" w:cs="微软雅黑"/>
          <w:b/>
          <w:sz w:val="24"/>
          <w:highlight w:val="none"/>
        </w:rPr>
        <w:t>和送达</w:t>
      </w:r>
      <w:bookmarkEnd w:id="959"/>
      <w:bookmarkEnd w:id="960"/>
      <w:bookmarkEnd w:id="961"/>
      <w:bookmarkEnd w:id="962"/>
      <w:bookmarkEnd w:id="963"/>
    </w:p>
    <w:p w14:paraId="32EA8D3C">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bookmarkStart w:id="964" w:name="_Toc7073"/>
      <w:bookmarkStart w:id="965" w:name="_Toc487900372"/>
      <w:bookmarkStart w:id="966" w:name="_Toc279701262"/>
      <w:bookmarkStart w:id="967" w:name="_Toc259093691"/>
      <w:r>
        <w:rPr>
          <w:rFonts w:hint="eastAsia" w:ascii="微软雅黑" w:hAnsi="微软雅黑" w:eastAsia="微软雅黑" w:cs="微软雅黑"/>
          <w:sz w:val="24"/>
          <w:highlight w:val="none"/>
        </w:rPr>
        <w:t>2.16.1 任何一方因履行合同而以合同第一部分尾部所列明的</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发出的所有通知、文件、材料，均视为已向对方当事人送达；任何一方变更上述送达方式或者地址的，应于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个工作日内书面通知对方当事人，在对方当事人收到有关变更通知之前，变更前的约定送达方式或者地址仍视为有效。</w:t>
      </w:r>
      <w:bookmarkEnd w:id="964"/>
    </w:p>
    <w:p w14:paraId="201CB324">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bookmarkStart w:id="968" w:name="_Toc27674"/>
      <w:bookmarkStart w:id="969" w:name="_Toc18401"/>
      <w:r>
        <w:rPr>
          <w:rFonts w:hint="eastAsia" w:ascii="微软雅黑" w:hAnsi="微软雅黑" w:eastAsia="微软雅黑" w:cs="微软雅黑"/>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968"/>
      <w:bookmarkEnd w:id="969"/>
    </w:p>
    <w:bookmarkEnd w:id="965"/>
    <w:bookmarkEnd w:id="966"/>
    <w:bookmarkEnd w:id="967"/>
    <w:p w14:paraId="03C642C0">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70" w:name="_Toc28906"/>
      <w:bookmarkStart w:id="971" w:name="_Toc5063"/>
      <w:bookmarkStart w:id="972" w:name="_Toc20808"/>
      <w:bookmarkStart w:id="973" w:name="_Toc259093692"/>
      <w:bookmarkStart w:id="974" w:name="_Toc12254"/>
      <w:bookmarkStart w:id="975" w:name="_Toc27644"/>
      <w:bookmarkStart w:id="976" w:name="_Toc487900373"/>
      <w:bookmarkStart w:id="977" w:name="_Toc279701263"/>
      <w:r>
        <w:rPr>
          <w:rFonts w:hint="eastAsia" w:ascii="微软雅黑" w:hAnsi="微软雅黑" w:eastAsia="微软雅黑" w:cs="微软雅黑"/>
          <w:b/>
          <w:sz w:val="24"/>
          <w:highlight w:val="none"/>
        </w:rPr>
        <w:t>2.17 合同使用的文字和适用的法律</w:t>
      </w:r>
      <w:bookmarkEnd w:id="970"/>
      <w:bookmarkEnd w:id="971"/>
      <w:bookmarkEnd w:id="972"/>
      <w:bookmarkEnd w:id="973"/>
      <w:bookmarkEnd w:id="974"/>
      <w:bookmarkEnd w:id="975"/>
      <w:bookmarkEnd w:id="976"/>
      <w:bookmarkEnd w:id="977"/>
    </w:p>
    <w:p w14:paraId="1BD029FD">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2.17.1 合同使用汉语书就、变更和解释；</w:t>
      </w:r>
    </w:p>
    <w:p w14:paraId="73FB3315">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2.17.2 合同适用中华人民共和国法律。</w:t>
      </w:r>
    </w:p>
    <w:p w14:paraId="24BBE279">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bookmarkStart w:id="978" w:name="_Toc259093693"/>
      <w:bookmarkStart w:id="979" w:name="_Toc279701264"/>
      <w:bookmarkStart w:id="980" w:name="_Toc22266"/>
      <w:bookmarkStart w:id="981" w:name="_Toc1492"/>
      <w:bookmarkStart w:id="982" w:name="_Toc27403"/>
      <w:bookmarkStart w:id="983" w:name="_Toc27127"/>
      <w:bookmarkStart w:id="984" w:name="_Toc30096"/>
      <w:bookmarkStart w:id="985" w:name="_Toc487900374"/>
      <w:r>
        <w:rPr>
          <w:rFonts w:hint="eastAsia" w:ascii="微软雅黑" w:hAnsi="微软雅黑" w:eastAsia="微软雅黑" w:cs="微软雅黑"/>
          <w:b/>
          <w:sz w:val="24"/>
          <w:highlight w:val="none"/>
        </w:rPr>
        <w:t>2.18 履约保证金</w:t>
      </w:r>
      <w:bookmarkEnd w:id="978"/>
      <w:bookmarkEnd w:id="979"/>
      <w:bookmarkEnd w:id="980"/>
      <w:bookmarkEnd w:id="981"/>
      <w:bookmarkEnd w:id="982"/>
      <w:bookmarkEnd w:id="983"/>
      <w:bookmarkEnd w:id="984"/>
    </w:p>
    <w:p w14:paraId="519E5BCC">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2.18.1 采购文件要求乙方提交履约保证金的，乙方应按</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约定的方式，以支票、汇票、本票或者金融机构、担保机构出具的保函等非现金形式，提交不超过合同价10%的履约保证金；</w:t>
      </w:r>
    </w:p>
    <w:p w14:paraId="75A5E5E4">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2.18.2 履约保证金在</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约定期间内不予退还或者应完全有效，前述约定期间届满之日起</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个工作日内，甲方应将履约保证金退还乙方；</w:t>
      </w:r>
    </w:p>
    <w:p w14:paraId="5CC419B2">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985"/>
    <w:p w14:paraId="79A776A6">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2.19 合同份数</w:t>
      </w:r>
    </w:p>
    <w:p w14:paraId="2556D7CF">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合同份数按</w:t>
      </w:r>
      <w:r>
        <w:rPr>
          <w:rFonts w:hint="eastAsia" w:ascii="微软雅黑" w:hAnsi="微软雅黑" w:eastAsia="微软雅黑" w:cs="微软雅黑"/>
          <w:b/>
          <w:i/>
          <w:sz w:val="24"/>
          <w:highlight w:val="none"/>
          <w:u w:val="single"/>
        </w:rPr>
        <w:t>合同专用条款</w:t>
      </w:r>
      <w:r>
        <w:rPr>
          <w:rFonts w:hint="eastAsia" w:ascii="微软雅黑" w:hAnsi="微软雅黑" w:eastAsia="微软雅黑" w:cs="微软雅黑"/>
          <w:sz w:val="24"/>
          <w:highlight w:val="none"/>
        </w:rPr>
        <w:t>规定，每份均具有同等法律效力。</w:t>
      </w:r>
    </w:p>
    <w:p w14:paraId="0CCC86E1">
      <w:pPr>
        <w:pStyle w:val="40"/>
        <w:pageBreakBefore w:val="0"/>
        <w:kinsoku/>
        <w:wordWrap/>
        <w:overflowPunct/>
        <w:topLinePunct w:val="0"/>
        <w:bidi w:val="0"/>
        <w:snapToGrid/>
        <w:spacing w:line="340" w:lineRule="exact"/>
        <w:ind w:firstLine="0"/>
        <w:jc w:val="both"/>
        <w:textAlignment w:val="auto"/>
        <w:outlineLvl w:val="9"/>
        <w:rPr>
          <w:rFonts w:hint="eastAsia" w:ascii="微软雅黑" w:hAnsi="微软雅黑" w:eastAsia="微软雅黑" w:cs="微软雅黑"/>
          <w:b/>
          <w:szCs w:val="24"/>
          <w:highlight w:val="none"/>
        </w:rPr>
      </w:pPr>
      <w:bookmarkStart w:id="986" w:name="_Toc331685784"/>
      <w:r>
        <w:rPr>
          <w:rFonts w:hint="eastAsia" w:ascii="微软雅黑" w:hAnsi="微软雅黑" w:eastAsia="微软雅黑" w:cs="微软雅黑"/>
          <w:b/>
          <w:szCs w:val="24"/>
          <w:highlight w:val="none"/>
        </w:rPr>
        <w:t>第三部分  合同专用条款</w:t>
      </w:r>
      <w:bookmarkEnd w:id="986"/>
    </w:p>
    <w:p w14:paraId="2276EA08">
      <w:pPr>
        <w:pageBreakBefore w:val="0"/>
        <w:kinsoku/>
        <w:wordWrap/>
        <w:overflowPunct/>
        <w:topLinePunct w:val="0"/>
        <w:bidi w:val="0"/>
        <w:snapToGrid/>
        <w:spacing w:line="340" w:lineRule="exact"/>
        <w:ind w:firstLine="480" w:firstLineChars="200"/>
        <w:textAlignment w:val="auto"/>
        <w:outlineLvl w:val="9"/>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BFE1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10CEB89D">
            <w:pPr>
              <w:pageBreakBefore w:val="0"/>
              <w:kinsoku/>
              <w:wordWrap/>
              <w:overflowPunct/>
              <w:topLinePunct w:val="0"/>
              <w:bidi w:val="0"/>
              <w:snapToGrid/>
              <w:spacing w:line="340" w:lineRule="exact"/>
              <w:jc w:val="center"/>
              <w:textAlignment w:val="auto"/>
              <w:outlineLvl w:val="9"/>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条款号</w:t>
            </w:r>
          </w:p>
        </w:tc>
        <w:tc>
          <w:tcPr>
            <w:tcW w:w="7633" w:type="dxa"/>
            <w:noWrap w:val="0"/>
            <w:vAlign w:val="center"/>
          </w:tcPr>
          <w:p w14:paraId="7929BBBA">
            <w:pPr>
              <w:pageBreakBefore w:val="0"/>
              <w:kinsoku/>
              <w:wordWrap/>
              <w:overflowPunct/>
              <w:topLinePunct w:val="0"/>
              <w:bidi w:val="0"/>
              <w:snapToGrid/>
              <w:spacing w:line="340" w:lineRule="exact"/>
              <w:jc w:val="center"/>
              <w:textAlignment w:val="auto"/>
              <w:outlineLvl w:val="9"/>
              <w:rPr>
                <w:rFonts w:hint="eastAsia" w:ascii="微软雅黑" w:hAnsi="微软雅黑" w:eastAsia="微软雅黑" w:cs="微软雅黑"/>
                <w:b/>
                <w:sz w:val="24"/>
                <w:highlight w:val="none"/>
              </w:rPr>
            </w:pPr>
            <w:r>
              <w:rPr>
                <w:rFonts w:hint="eastAsia" w:ascii="微软雅黑" w:hAnsi="微软雅黑" w:eastAsia="微软雅黑" w:cs="微软雅黑"/>
                <w:b/>
                <w:sz w:val="24"/>
                <w:highlight w:val="none"/>
              </w:rPr>
              <w:t>约定内容</w:t>
            </w:r>
          </w:p>
        </w:tc>
      </w:tr>
      <w:tr w14:paraId="1BF1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356196ED">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5DF2AF05">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48402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D2BBA83">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5A9D1E61">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0DF3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34A36DC">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72C495F3">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18AC2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3850D3C">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22214152">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5D104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1961287">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1E6C697E">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u w:val="single"/>
              </w:rPr>
            </w:pPr>
          </w:p>
        </w:tc>
      </w:tr>
      <w:tr w14:paraId="13169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174C504">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70373BC5">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11EC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91E43C4">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5CDB66EC">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u w:val="single"/>
              </w:rPr>
            </w:pPr>
          </w:p>
        </w:tc>
      </w:tr>
      <w:tr w14:paraId="256A4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C8E672F">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4CC6BFD9">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7D7B5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7845105">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3886C644">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39BED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87762A5">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7217FB32">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79129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7F97CD5">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1561D67C">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r w14:paraId="762C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5855B87">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c>
          <w:tcPr>
            <w:tcW w:w="7633" w:type="dxa"/>
            <w:noWrap w:val="0"/>
            <w:vAlign w:val="center"/>
          </w:tcPr>
          <w:p w14:paraId="4A75976D">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tc>
      </w:tr>
    </w:tbl>
    <w:p w14:paraId="3D56F57D">
      <w:pPr>
        <w:pageBreakBefore w:val="0"/>
        <w:kinsoku/>
        <w:wordWrap/>
        <w:overflowPunct/>
        <w:topLinePunct w:val="0"/>
        <w:bidi w:val="0"/>
        <w:snapToGrid/>
        <w:spacing w:after="156" w:line="340" w:lineRule="exact"/>
        <w:ind w:firstLine="480"/>
        <w:textAlignment w:val="auto"/>
        <w:outlineLvl w:val="9"/>
        <w:rPr>
          <w:rFonts w:hint="eastAsia" w:ascii="微软雅黑" w:hAnsi="微软雅黑" w:eastAsia="微软雅黑" w:cs="微软雅黑"/>
          <w:sz w:val="24"/>
          <w:highlight w:val="none"/>
        </w:rPr>
      </w:pPr>
    </w:p>
    <w:p w14:paraId="32FCBCC5">
      <w:pPr>
        <w:pageBreakBefore w:val="0"/>
        <w:kinsoku/>
        <w:wordWrap/>
        <w:overflowPunct/>
        <w:topLinePunct w:val="0"/>
        <w:bidi w:val="0"/>
        <w:snapToGrid/>
        <w:spacing w:before="0" w:line="340" w:lineRule="exact"/>
        <w:ind w:left="1080" w:leftChars="257" w:hanging="540"/>
        <w:textAlignment w:val="auto"/>
        <w:outlineLvl w:val="9"/>
        <w:rPr>
          <w:rFonts w:hint="eastAsia" w:ascii="微软雅黑" w:hAnsi="微软雅黑" w:eastAsia="微软雅黑" w:cs="微软雅黑"/>
          <w:sz w:val="24"/>
          <w:szCs w:val="24"/>
          <w:highlight w:val="none"/>
        </w:rPr>
      </w:pPr>
    </w:p>
    <w:p w14:paraId="77C6FFCB">
      <w:pPr>
        <w:pageBreakBefore w:val="0"/>
        <w:kinsoku/>
        <w:wordWrap/>
        <w:overflowPunct/>
        <w:topLinePunct w:val="0"/>
        <w:bidi w:val="0"/>
        <w:snapToGrid/>
        <w:spacing w:line="340" w:lineRule="exact"/>
        <w:textAlignment w:val="auto"/>
        <w:outlineLvl w:val="9"/>
        <w:rPr>
          <w:rFonts w:hint="eastAsia" w:ascii="微软雅黑" w:hAnsi="微软雅黑" w:eastAsia="微软雅黑" w:cs="微软雅黑"/>
          <w:sz w:val="24"/>
          <w:highlight w:val="none"/>
        </w:rPr>
      </w:pPr>
    </w:p>
    <w:p w14:paraId="7317C41C">
      <w:pPr>
        <w:pageBreakBefore w:val="0"/>
        <w:kinsoku/>
        <w:wordWrap/>
        <w:overflowPunct/>
        <w:topLinePunct w:val="0"/>
        <w:bidi w:val="0"/>
        <w:snapToGrid/>
        <w:spacing w:before="0" w:line="340" w:lineRule="exact"/>
        <w:ind w:left="1080" w:leftChars="257" w:hanging="540"/>
        <w:textAlignment w:val="auto"/>
        <w:outlineLvl w:val="9"/>
        <w:rPr>
          <w:rFonts w:hint="eastAsia" w:ascii="微软雅黑" w:hAnsi="微软雅黑" w:eastAsia="微软雅黑" w:cs="微软雅黑"/>
          <w:sz w:val="24"/>
          <w:szCs w:val="24"/>
          <w:highlight w:val="none"/>
        </w:rPr>
      </w:pPr>
    </w:p>
    <w:p w14:paraId="75CF4906">
      <w:pPr>
        <w:pageBreakBefore w:val="0"/>
        <w:numPr>
          <w:ilvl w:val="3"/>
          <w:numId w:val="0"/>
        </w:numPr>
        <w:kinsoku/>
        <w:wordWrap/>
        <w:overflowPunct/>
        <w:topLinePunct w:val="0"/>
        <w:bidi w:val="0"/>
        <w:snapToGrid/>
        <w:textAlignment w:val="auto"/>
        <w:outlineLvl w:val="9"/>
        <w:rPr>
          <w:rFonts w:hint="eastAsia" w:ascii="微软雅黑" w:hAnsi="微软雅黑" w:eastAsia="微软雅黑" w:cs="微软雅黑"/>
          <w:highlight w:val="none"/>
        </w:rPr>
      </w:pPr>
    </w:p>
    <w:p w14:paraId="4996B0EF">
      <w:pPr>
        <w:outlineLvl w:val="9"/>
        <w:rPr>
          <w:rFonts w:hint="eastAsia" w:ascii="宋体" w:hAnsi="宋体" w:eastAsia="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1728">
    <w:pPr>
      <w:pStyle w:val="17"/>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D92EA">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C9D92EA">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D759">
    <w:pPr>
      <w:pStyle w:val="17"/>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051E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8B051E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p w14:paraId="7760F61F">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B14B">
    <w:pPr>
      <w:pStyle w:val="19"/>
      <w:jc w:val="both"/>
      <w:rPr>
        <w:rFonts w:ascii="Times New Roman" w:hAnsi="Times New Roman" w:eastAsia="宋体" w:cs="Times New Roman"/>
        <w:kern w:val="2"/>
        <w:sz w:val="18"/>
        <w:szCs w:val="18"/>
        <w:lang w:val="en-US" w:eastAsia="zh-CN" w:bidi="ar-SA"/>
      </w:rPr>
    </w:pPr>
    <w:r>
      <w:rPr>
        <w:rFonts w:hint="eastAsia"/>
      </w:rPr>
      <w:t>麦盖提县政府采购中心</w:t>
    </w:r>
    <w:r>
      <w:rPr>
        <w:rFonts w:hint="eastAsia"/>
        <w:lang w:eastAsia="zh-CN"/>
      </w:rPr>
      <w:t>竞争性磋商文件</w:t>
    </w:r>
    <w:r>
      <w:rPr>
        <w:rFonts w:hint="eastAsia"/>
      </w:rPr>
      <w:t xml:space="preserve">         </w:t>
    </w:r>
    <w:r>
      <w:rPr>
        <w:rFonts w:hint="eastAsia"/>
        <w:lang w:val="en-US" w:eastAsia="zh-CN"/>
      </w:rPr>
      <w:t xml:space="preserve">           </w:t>
    </w:r>
    <w:r>
      <w:rPr>
        <w:rFonts w:hint="eastAsia"/>
      </w:rPr>
      <w:t>项目编号：</w:t>
    </w:r>
    <w:r>
      <w:rPr>
        <w:rFonts w:hint="eastAsia"/>
        <w:lang w:eastAsia="zh-CN"/>
      </w:rPr>
      <w:t>KSMGTX(FSJZCS)2025-01号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5B86">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EF1AD"/>
    <w:multiLevelType w:val="singleLevel"/>
    <w:tmpl w:val="E72EF1AD"/>
    <w:lvl w:ilvl="0" w:tentative="0">
      <w:start w:val="2"/>
      <w:numFmt w:val="decimal"/>
      <w:lvlText w:val="%1."/>
      <w:lvlJc w:val="left"/>
      <w:pPr>
        <w:tabs>
          <w:tab w:val="left" w:pos="312"/>
        </w:tabs>
      </w:pPr>
    </w:lvl>
  </w:abstractNum>
  <w:abstractNum w:abstractNumId="1">
    <w:nsid w:val="27C233BF"/>
    <w:multiLevelType w:val="singleLevel"/>
    <w:tmpl w:val="27C233BF"/>
    <w:lvl w:ilvl="0" w:tentative="0">
      <w:start w:val="6"/>
      <w:numFmt w:val="chineseCounting"/>
      <w:suff w:val="nothing"/>
      <w:lvlText w:val="%1、"/>
      <w:lvlJc w:val="left"/>
      <w:rPr>
        <w:rFonts w:hint="eastAsia"/>
      </w:rPr>
    </w:lvl>
  </w:abstractNum>
  <w:abstractNum w:abstractNumId="2">
    <w:nsid w:val="3513B346"/>
    <w:multiLevelType w:val="singleLevel"/>
    <w:tmpl w:val="3513B346"/>
    <w:lvl w:ilvl="0" w:tentative="0">
      <w:start w:val="10"/>
      <w:numFmt w:val="decimal"/>
      <w:suff w:val="nothing"/>
      <w:lvlText w:val="%1、"/>
      <w:lvlJc w:val="left"/>
    </w:lvl>
  </w:abstractNum>
  <w:abstractNum w:abstractNumId="3">
    <w:nsid w:val="36E1116A"/>
    <w:multiLevelType w:val="multilevel"/>
    <w:tmpl w:val="36E1116A"/>
    <w:lvl w:ilvl="0" w:tentative="0">
      <w:start w:val="1"/>
      <w:numFmt w:val="decimal"/>
      <w:pStyle w:val="52"/>
      <w:lvlText w:val="%1"/>
      <w:lvlJc w:val="left"/>
      <w:pPr>
        <w:widowControl/>
        <w:ind w:left="432" w:hanging="432"/>
        <w:textAlignment w:val="baseline"/>
      </w:pPr>
    </w:lvl>
    <w:lvl w:ilvl="1" w:tentative="0">
      <w:start w:val="1"/>
      <w:numFmt w:val="decimal"/>
      <w:pStyle w:val="54"/>
      <w:lvlText w:val="%1.%2"/>
      <w:lvlJc w:val="left"/>
      <w:pPr>
        <w:widowControl/>
        <w:ind w:left="1710" w:hanging="576"/>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4">
    <w:nsid w:val="3F8FE70F"/>
    <w:multiLevelType w:val="singleLevel"/>
    <w:tmpl w:val="3F8FE70F"/>
    <w:lvl w:ilvl="0" w:tentative="0">
      <w:start w:val="36"/>
      <w:numFmt w:val="decimal"/>
      <w:lvlText w:val="%1."/>
      <w:lvlJc w:val="left"/>
      <w:pPr>
        <w:tabs>
          <w:tab w:val="left" w:pos="312"/>
        </w:tabs>
      </w:pPr>
    </w:lvl>
  </w:abstractNum>
  <w:abstractNum w:abstractNumId="5">
    <w:nsid w:val="47C2C472"/>
    <w:multiLevelType w:val="singleLevel"/>
    <w:tmpl w:val="47C2C472"/>
    <w:lvl w:ilvl="0" w:tentative="0">
      <w:start w:val="3"/>
      <w:numFmt w:val="chineseCounting"/>
      <w:lvlText w:val="(%1)"/>
      <w:lvlJc w:val="left"/>
      <w:pPr>
        <w:tabs>
          <w:tab w:val="left" w:pos="312"/>
        </w:tabs>
      </w:pPr>
      <w:rPr>
        <w:rFonts w:hint="eastAsia"/>
      </w:rPr>
    </w:lvl>
  </w:abstractNum>
  <w:abstractNum w:abstractNumId="6">
    <w:nsid w:val="488BD47B"/>
    <w:multiLevelType w:val="singleLevel"/>
    <w:tmpl w:val="488BD47B"/>
    <w:lvl w:ilvl="0" w:tentative="0">
      <w:start w:val="5"/>
      <w:numFmt w:val="decimal"/>
      <w:suff w:val="space"/>
      <w:lvlText w:val="第%1章"/>
      <w:lvlJc w:val="left"/>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172A27"/>
    <w:rsid w:val="00030AA0"/>
    <w:rsid w:val="000731DD"/>
    <w:rsid w:val="00076B15"/>
    <w:rsid w:val="000A5125"/>
    <w:rsid w:val="00125DB3"/>
    <w:rsid w:val="001F1D2C"/>
    <w:rsid w:val="001F5B38"/>
    <w:rsid w:val="00202BA0"/>
    <w:rsid w:val="002726EE"/>
    <w:rsid w:val="00340A80"/>
    <w:rsid w:val="003A7815"/>
    <w:rsid w:val="00494FFB"/>
    <w:rsid w:val="004C238E"/>
    <w:rsid w:val="004C3054"/>
    <w:rsid w:val="00501EE6"/>
    <w:rsid w:val="00510400"/>
    <w:rsid w:val="00610CAD"/>
    <w:rsid w:val="006B4D0F"/>
    <w:rsid w:val="006B4F71"/>
    <w:rsid w:val="00763B64"/>
    <w:rsid w:val="00775D4B"/>
    <w:rsid w:val="007A7E42"/>
    <w:rsid w:val="007C4834"/>
    <w:rsid w:val="008149E8"/>
    <w:rsid w:val="00853197"/>
    <w:rsid w:val="00A23C04"/>
    <w:rsid w:val="00C11035"/>
    <w:rsid w:val="00C80F19"/>
    <w:rsid w:val="00CC27C3"/>
    <w:rsid w:val="00D65959"/>
    <w:rsid w:val="00D65B2D"/>
    <w:rsid w:val="00DD4EA4"/>
    <w:rsid w:val="00F55B83"/>
    <w:rsid w:val="01042D6B"/>
    <w:rsid w:val="01164E10"/>
    <w:rsid w:val="0116633F"/>
    <w:rsid w:val="01247F68"/>
    <w:rsid w:val="01315131"/>
    <w:rsid w:val="01331233"/>
    <w:rsid w:val="01550864"/>
    <w:rsid w:val="015D435D"/>
    <w:rsid w:val="0171009C"/>
    <w:rsid w:val="017604FA"/>
    <w:rsid w:val="01891B53"/>
    <w:rsid w:val="018F17E7"/>
    <w:rsid w:val="019E64FB"/>
    <w:rsid w:val="01A53393"/>
    <w:rsid w:val="01AB7941"/>
    <w:rsid w:val="01B14D78"/>
    <w:rsid w:val="01BF6EF9"/>
    <w:rsid w:val="01C94168"/>
    <w:rsid w:val="01CE508C"/>
    <w:rsid w:val="01EE19B6"/>
    <w:rsid w:val="01FB0D25"/>
    <w:rsid w:val="020016E9"/>
    <w:rsid w:val="02117F7A"/>
    <w:rsid w:val="02280BA0"/>
    <w:rsid w:val="022D5FDD"/>
    <w:rsid w:val="027D660A"/>
    <w:rsid w:val="02867E41"/>
    <w:rsid w:val="029A1DE3"/>
    <w:rsid w:val="02AD5B80"/>
    <w:rsid w:val="02BB465C"/>
    <w:rsid w:val="02C205D8"/>
    <w:rsid w:val="02C2626F"/>
    <w:rsid w:val="02C74346"/>
    <w:rsid w:val="02D52FF9"/>
    <w:rsid w:val="02E132C9"/>
    <w:rsid w:val="02F96F18"/>
    <w:rsid w:val="031414D5"/>
    <w:rsid w:val="03163184"/>
    <w:rsid w:val="031F3DF1"/>
    <w:rsid w:val="032735EA"/>
    <w:rsid w:val="03276C17"/>
    <w:rsid w:val="032D143B"/>
    <w:rsid w:val="03334901"/>
    <w:rsid w:val="036C34DA"/>
    <w:rsid w:val="036D13E1"/>
    <w:rsid w:val="03747731"/>
    <w:rsid w:val="037B5F6A"/>
    <w:rsid w:val="03822CFE"/>
    <w:rsid w:val="03906A9D"/>
    <w:rsid w:val="03950D2E"/>
    <w:rsid w:val="039973EE"/>
    <w:rsid w:val="039C163C"/>
    <w:rsid w:val="039F3D1E"/>
    <w:rsid w:val="03B1713F"/>
    <w:rsid w:val="03B42576"/>
    <w:rsid w:val="03BB77AF"/>
    <w:rsid w:val="03BC344D"/>
    <w:rsid w:val="03CB7A9E"/>
    <w:rsid w:val="03DD6186"/>
    <w:rsid w:val="03E827EF"/>
    <w:rsid w:val="03EC0177"/>
    <w:rsid w:val="03FE3777"/>
    <w:rsid w:val="040556DD"/>
    <w:rsid w:val="04091461"/>
    <w:rsid w:val="040A5D56"/>
    <w:rsid w:val="040B1F6C"/>
    <w:rsid w:val="040C7AB5"/>
    <w:rsid w:val="040D2765"/>
    <w:rsid w:val="042F6907"/>
    <w:rsid w:val="0431202E"/>
    <w:rsid w:val="043C701B"/>
    <w:rsid w:val="044518AC"/>
    <w:rsid w:val="045649DA"/>
    <w:rsid w:val="04583A5F"/>
    <w:rsid w:val="04592163"/>
    <w:rsid w:val="045D1075"/>
    <w:rsid w:val="04604E84"/>
    <w:rsid w:val="046E5030"/>
    <w:rsid w:val="04702B56"/>
    <w:rsid w:val="047852BE"/>
    <w:rsid w:val="048402BB"/>
    <w:rsid w:val="048A208B"/>
    <w:rsid w:val="04942D64"/>
    <w:rsid w:val="049802FF"/>
    <w:rsid w:val="04A07FF8"/>
    <w:rsid w:val="04B172D6"/>
    <w:rsid w:val="04B2316F"/>
    <w:rsid w:val="04BB4DCE"/>
    <w:rsid w:val="04C10E1A"/>
    <w:rsid w:val="04CB4D1F"/>
    <w:rsid w:val="04E43544"/>
    <w:rsid w:val="04F06D02"/>
    <w:rsid w:val="05050820"/>
    <w:rsid w:val="050F5CFC"/>
    <w:rsid w:val="05116EE3"/>
    <w:rsid w:val="052E65F6"/>
    <w:rsid w:val="053A5A5D"/>
    <w:rsid w:val="0549629B"/>
    <w:rsid w:val="054F6C10"/>
    <w:rsid w:val="05512D7D"/>
    <w:rsid w:val="055F7C82"/>
    <w:rsid w:val="05656433"/>
    <w:rsid w:val="056A3A4A"/>
    <w:rsid w:val="056C042B"/>
    <w:rsid w:val="057747FC"/>
    <w:rsid w:val="058663AA"/>
    <w:rsid w:val="05AD3CA0"/>
    <w:rsid w:val="05D127B7"/>
    <w:rsid w:val="05D91524"/>
    <w:rsid w:val="05EA06E6"/>
    <w:rsid w:val="05F754E0"/>
    <w:rsid w:val="05FA70D2"/>
    <w:rsid w:val="05FF513E"/>
    <w:rsid w:val="06113EC5"/>
    <w:rsid w:val="061A0A72"/>
    <w:rsid w:val="061B2F96"/>
    <w:rsid w:val="06281901"/>
    <w:rsid w:val="062F4971"/>
    <w:rsid w:val="063F0D24"/>
    <w:rsid w:val="064D5B1C"/>
    <w:rsid w:val="06550CE5"/>
    <w:rsid w:val="06725776"/>
    <w:rsid w:val="06734B80"/>
    <w:rsid w:val="067370FD"/>
    <w:rsid w:val="06805F9B"/>
    <w:rsid w:val="069D4B6B"/>
    <w:rsid w:val="06AE53EC"/>
    <w:rsid w:val="06CE51BA"/>
    <w:rsid w:val="06DA5697"/>
    <w:rsid w:val="06DE343A"/>
    <w:rsid w:val="06DE450E"/>
    <w:rsid w:val="06E25862"/>
    <w:rsid w:val="06E35BEF"/>
    <w:rsid w:val="06E40ABE"/>
    <w:rsid w:val="06EF2D1A"/>
    <w:rsid w:val="06F061D0"/>
    <w:rsid w:val="06F7755F"/>
    <w:rsid w:val="070547C7"/>
    <w:rsid w:val="070F1B33"/>
    <w:rsid w:val="071E532B"/>
    <w:rsid w:val="07211EDF"/>
    <w:rsid w:val="0721282E"/>
    <w:rsid w:val="073736D8"/>
    <w:rsid w:val="073A744C"/>
    <w:rsid w:val="073E518E"/>
    <w:rsid w:val="07481B68"/>
    <w:rsid w:val="07496D8C"/>
    <w:rsid w:val="074F58DD"/>
    <w:rsid w:val="07666BAD"/>
    <w:rsid w:val="07702E6D"/>
    <w:rsid w:val="077818C4"/>
    <w:rsid w:val="07801315"/>
    <w:rsid w:val="07852686"/>
    <w:rsid w:val="079D01FD"/>
    <w:rsid w:val="07AD3F51"/>
    <w:rsid w:val="07AE5396"/>
    <w:rsid w:val="07B463DA"/>
    <w:rsid w:val="07BC1112"/>
    <w:rsid w:val="07C45E6C"/>
    <w:rsid w:val="07C63415"/>
    <w:rsid w:val="07DE755A"/>
    <w:rsid w:val="07E07666"/>
    <w:rsid w:val="07F13FAE"/>
    <w:rsid w:val="07F47C3D"/>
    <w:rsid w:val="07F910B5"/>
    <w:rsid w:val="081957CD"/>
    <w:rsid w:val="081D3AD7"/>
    <w:rsid w:val="08224765"/>
    <w:rsid w:val="08267B7E"/>
    <w:rsid w:val="083E5963"/>
    <w:rsid w:val="08580825"/>
    <w:rsid w:val="08591AD2"/>
    <w:rsid w:val="08700460"/>
    <w:rsid w:val="08770C8C"/>
    <w:rsid w:val="089861DE"/>
    <w:rsid w:val="08A00680"/>
    <w:rsid w:val="08B1155B"/>
    <w:rsid w:val="08BA76A7"/>
    <w:rsid w:val="08C72F61"/>
    <w:rsid w:val="08D1030C"/>
    <w:rsid w:val="08D5177C"/>
    <w:rsid w:val="08E104C7"/>
    <w:rsid w:val="08E84E88"/>
    <w:rsid w:val="08E9737B"/>
    <w:rsid w:val="08F265CA"/>
    <w:rsid w:val="08FF6B9F"/>
    <w:rsid w:val="0905045B"/>
    <w:rsid w:val="090B5E88"/>
    <w:rsid w:val="091C4C21"/>
    <w:rsid w:val="091E4412"/>
    <w:rsid w:val="09204442"/>
    <w:rsid w:val="0924515A"/>
    <w:rsid w:val="0927393C"/>
    <w:rsid w:val="093E76C7"/>
    <w:rsid w:val="0946657C"/>
    <w:rsid w:val="09513AEA"/>
    <w:rsid w:val="09572537"/>
    <w:rsid w:val="09690451"/>
    <w:rsid w:val="098068E0"/>
    <w:rsid w:val="09855091"/>
    <w:rsid w:val="09885D9B"/>
    <w:rsid w:val="098C780B"/>
    <w:rsid w:val="098E7D07"/>
    <w:rsid w:val="09934684"/>
    <w:rsid w:val="099E3EED"/>
    <w:rsid w:val="09AF1C61"/>
    <w:rsid w:val="09B6611A"/>
    <w:rsid w:val="09B70E66"/>
    <w:rsid w:val="09B90AFC"/>
    <w:rsid w:val="09D210F0"/>
    <w:rsid w:val="09DC47EA"/>
    <w:rsid w:val="09E44647"/>
    <w:rsid w:val="09FC2F26"/>
    <w:rsid w:val="0A037FB9"/>
    <w:rsid w:val="0A1A4FC1"/>
    <w:rsid w:val="0A2B3163"/>
    <w:rsid w:val="0A374488"/>
    <w:rsid w:val="0A5C751F"/>
    <w:rsid w:val="0A61573D"/>
    <w:rsid w:val="0A821935"/>
    <w:rsid w:val="0A873396"/>
    <w:rsid w:val="0AA96DC2"/>
    <w:rsid w:val="0AAC240E"/>
    <w:rsid w:val="0AB55DA2"/>
    <w:rsid w:val="0AD26657"/>
    <w:rsid w:val="0AE045B7"/>
    <w:rsid w:val="0AF2314C"/>
    <w:rsid w:val="0AF3003D"/>
    <w:rsid w:val="0AF61524"/>
    <w:rsid w:val="0B04049C"/>
    <w:rsid w:val="0B0410FE"/>
    <w:rsid w:val="0B0661BE"/>
    <w:rsid w:val="0B0D365A"/>
    <w:rsid w:val="0B142B13"/>
    <w:rsid w:val="0B2428ED"/>
    <w:rsid w:val="0B2823A0"/>
    <w:rsid w:val="0B305EC4"/>
    <w:rsid w:val="0B3870DE"/>
    <w:rsid w:val="0B390427"/>
    <w:rsid w:val="0B4E1717"/>
    <w:rsid w:val="0B541562"/>
    <w:rsid w:val="0B5D1DDE"/>
    <w:rsid w:val="0B670F75"/>
    <w:rsid w:val="0B6B0CC0"/>
    <w:rsid w:val="0B6E4FD4"/>
    <w:rsid w:val="0B74036C"/>
    <w:rsid w:val="0B8F1176"/>
    <w:rsid w:val="0B94532D"/>
    <w:rsid w:val="0BB73761"/>
    <w:rsid w:val="0BE9677F"/>
    <w:rsid w:val="0BED2CDE"/>
    <w:rsid w:val="0BF56B61"/>
    <w:rsid w:val="0BF63E46"/>
    <w:rsid w:val="0C0F0EA7"/>
    <w:rsid w:val="0C1A784C"/>
    <w:rsid w:val="0C236700"/>
    <w:rsid w:val="0C252478"/>
    <w:rsid w:val="0C282F23"/>
    <w:rsid w:val="0C2878DD"/>
    <w:rsid w:val="0C3152C1"/>
    <w:rsid w:val="0C346B5F"/>
    <w:rsid w:val="0C3A58C0"/>
    <w:rsid w:val="0C453D8E"/>
    <w:rsid w:val="0C4548C9"/>
    <w:rsid w:val="0C457CCF"/>
    <w:rsid w:val="0C48685B"/>
    <w:rsid w:val="0C493BA6"/>
    <w:rsid w:val="0C4F01D1"/>
    <w:rsid w:val="0C655B78"/>
    <w:rsid w:val="0C6670A4"/>
    <w:rsid w:val="0C691080"/>
    <w:rsid w:val="0C7A3B49"/>
    <w:rsid w:val="0C8518A3"/>
    <w:rsid w:val="0C941EFA"/>
    <w:rsid w:val="0CAC7FA3"/>
    <w:rsid w:val="0CB33B52"/>
    <w:rsid w:val="0CBC418B"/>
    <w:rsid w:val="0CC010AA"/>
    <w:rsid w:val="0CC33E28"/>
    <w:rsid w:val="0CC57122"/>
    <w:rsid w:val="0CC66D0B"/>
    <w:rsid w:val="0CDF43CB"/>
    <w:rsid w:val="0D3145E2"/>
    <w:rsid w:val="0D322733"/>
    <w:rsid w:val="0D3A658D"/>
    <w:rsid w:val="0D4C147D"/>
    <w:rsid w:val="0D54223D"/>
    <w:rsid w:val="0D5C6F07"/>
    <w:rsid w:val="0D5D3E94"/>
    <w:rsid w:val="0D642C52"/>
    <w:rsid w:val="0D702609"/>
    <w:rsid w:val="0D705975"/>
    <w:rsid w:val="0D797D2D"/>
    <w:rsid w:val="0D82059D"/>
    <w:rsid w:val="0D870AD3"/>
    <w:rsid w:val="0D8860AE"/>
    <w:rsid w:val="0D9378B6"/>
    <w:rsid w:val="0DA170D7"/>
    <w:rsid w:val="0DA87B2D"/>
    <w:rsid w:val="0DB33E73"/>
    <w:rsid w:val="0DBD57D4"/>
    <w:rsid w:val="0DC15569"/>
    <w:rsid w:val="0DC41C7A"/>
    <w:rsid w:val="0DDF0F54"/>
    <w:rsid w:val="0DDF4ABB"/>
    <w:rsid w:val="0DE46363"/>
    <w:rsid w:val="0DF44021"/>
    <w:rsid w:val="0DF8713D"/>
    <w:rsid w:val="0DFA5B87"/>
    <w:rsid w:val="0E011897"/>
    <w:rsid w:val="0E014FA5"/>
    <w:rsid w:val="0E0802A4"/>
    <w:rsid w:val="0E1002F1"/>
    <w:rsid w:val="0E11138E"/>
    <w:rsid w:val="0E122ED0"/>
    <w:rsid w:val="0E2449B2"/>
    <w:rsid w:val="0E267FA8"/>
    <w:rsid w:val="0E2B3460"/>
    <w:rsid w:val="0E320976"/>
    <w:rsid w:val="0E3A5F83"/>
    <w:rsid w:val="0E4752A1"/>
    <w:rsid w:val="0E6047D4"/>
    <w:rsid w:val="0E6F7F1F"/>
    <w:rsid w:val="0E792F4F"/>
    <w:rsid w:val="0E8B0030"/>
    <w:rsid w:val="0E8F3DC8"/>
    <w:rsid w:val="0E8F4E04"/>
    <w:rsid w:val="0E9E362D"/>
    <w:rsid w:val="0EA33B28"/>
    <w:rsid w:val="0EBC26DF"/>
    <w:rsid w:val="0EBE4D85"/>
    <w:rsid w:val="0ECE01CA"/>
    <w:rsid w:val="0ED358EE"/>
    <w:rsid w:val="0ED7095E"/>
    <w:rsid w:val="0EF5552E"/>
    <w:rsid w:val="0EF56A7A"/>
    <w:rsid w:val="0F045A96"/>
    <w:rsid w:val="0F174D55"/>
    <w:rsid w:val="0F20705B"/>
    <w:rsid w:val="0F367867"/>
    <w:rsid w:val="0F64710E"/>
    <w:rsid w:val="0F8424C5"/>
    <w:rsid w:val="0F887B3F"/>
    <w:rsid w:val="0F900551"/>
    <w:rsid w:val="0F904049"/>
    <w:rsid w:val="0FA0434C"/>
    <w:rsid w:val="0FA07A02"/>
    <w:rsid w:val="0FB81806"/>
    <w:rsid w:val="0FC22610"/>
    <w:rsid w:val="0FCA771C"/>
    <w:rsid w:val="0FCB018C"/>
    <w:rsid w:val="0FDC4EB3"/>
    <w:rsid w:val="0FE979A7"/>
    <w:rsid w:val="0FF97C3C"/>
    <w:rsid w:val="1009448A"/>
    <w:rsid w:val="101B6CAF"/>
    <w:rsid w:val="101C30BD"/>
    <w:rsid w:val="102B1FDE"/>
    <w:rsid w:val="10310440"/>
    <w:rsid w:val="10413C96"/>
    <w:rsid w:val="10437371"/>
    <w:rsid w:val="10437714"/>
    <w:rsid w:val="105649F0"/>
    <w:rsid w:val="106043C7"/>
    <w:rsid w:val="106519DD"/>
    <w:rsid w:val="106A0DA2"/>
    <w:rsid w:val="106A24F4"/>
    <w:rsid w:val="106A366C"/>
    <w:rsid w:val="10742BBD"/>
    <w:rsid w:val="108F0F3F"/>
    <w:rsid w:val="1094085C"/>
    <w:rsid w:val="10D17AEF"/>
    <w:rsid w:val="10E665CC"/>
    <w:rsid w:val="10E77350"/>
    <w:rsid w:val="10EC17B7"/>
    <w:rsid w:val="10F41306"/>
    <w:rsid w:val="10F4582D"/>
    <w:rsid w:val="11014CEC"/>
    <w:rsid w:val="111357E9"/>
    <w:rsid w:val="111474AA"/>
    <w:rsid w:val="111B6540"/>
    <w:rsid w:val="111C6825"/>
    <w:rsid w:val="11261718"/>
    <w:rsid w:val="113C08D0"/>
    <w:rsid w:val="113F5260"/>
    <w:rsid w:val="114D79D4"/>
    <w:rsid w:val="11533EC5"/>
    <w:rsid w:val="115B6A10"/>
    <w:rsid w:val="1164031A"/>
    <w:rsid w:val="116412EF"/>
    <w:rsid w:val="11730B34"/>
    <w:rsid w:val="11836833"/>
    <w:rsid w:val="118454F7"/>
    <w:rsid w:val="11AB0442"/>
    <w:rsid w:val="11BB462E"/>
    <w:rsid w:val="11BB6A83"/>
    <w:rsid w:val="11C2781A"/>
    <w:rsid w:val="11DE16C3"/>
    <w:rsid w:val="11E73E84"/>
    <w:rsid w:val="11FC0C39"/>
    <w:rsid w:val="11FE37AE"/>
    <w:rsid w:val="12065B35"/>
    <w:rsid w:val="12080872"/>
    <w:rsid w:val="121D0077"/>
    <w:rsid w:val="12396026"/>
    <w:rsid w:val="125735A8"/>
    <w:rsid w:val="1271533B"/>
    <w:rsid w:val="12745F08"/>
    <w:rsid w:val="127C300E"/>
    <w:rsid w:val="127F2777"/>
    <w:rsid w:val="128375CC"/>
    <w:rsid w:val="12846FD9"/>
    <w:rsid w:val="12903B44"/>
    <w:rsid w:val="129173AD"/>
    <w:rsid w:val="12A12A8E"/>
    <w:rsid w:val="12B207DE"/>
    <w:rsid w:val="12B97DBE"/>
    <w:rsid w:val="12CB6213"/>
    <w:rsid w:val="12D165F3"/>
    <w:rsid w:val="12DE26FE"/>
    <w:rsid w:val="12E91AD5"/>
    <w:rsid w:val="130B7EEE"/>
    <w:rsid w:val="13306ABF"/>
    <w:rsid w:val="13354F26"/>
    <w:rsid w:val="133E59C9"/>
    <w:rsid w:val="133E6515"/>
    <w:rsid w:val="13496D93"/>
    <w:rsid w:val="134B1893"/>
    <w:rsid w:val="134D3AE5"/>
    <w:rsid w:val="13525B1D"/>
    <w:rsid w:val="136E34DC"/>
    <w:rsid w:val="137E6912"/>
    <w:rsid w:val="138D0E77"/>
    <w:rsid w:val="13912AE9"/>
    <w:rsid w:val="13B15D46"/>
    <w:rsid w:val="13B509D0"/>
    <w:rsid w:val="13B660AC"/>
    <w:rsid w:val="13C71C86"/>
    <w:rsid w:val="13C82FDD"/>
    <w:rsid w:val="13DE3E65"/>
    <w:rsid w:val="13EE0564"/>
    <w:rsid w:val="13F31F58"/>
    <w:rsid w:val="13FD3CDB"/>
    <w:rsid w:val="14025795"/>
    <w:rsid w:val="14027543"/>
    <w:rsid w:val="14056FCA"/>
    <w:rsid w:val="140A6504"/>
    <w:rsid w:val="140E6D1D"/>
    <w:rsid w:val="141A3A83"/>
    <w:rsid w:val="141D25CF"/>
    <w:rsid w:val="1426560B"/>
    <w:rsid w:val="14282CCF"/>
    <w:rsid w:val="14411E19"/>
    <w:rsid w:val="14587163"/>
    <w:rsid w:val="14651540"/>
    <w:rsid w:val="14750E4D"/>
    <w:rsid w:val="147C44D6"/>
    <w:rsid w:val="147F2942"/>
    <w:rsid w:val="148443FC"/>
    <w:rsid w:val="148461AA"/>
    <w:rsid w:val="14B057F3"/>
    <w:rsid w:val="14BC4974"/>
    <w:rsid w:val="14CF75D8"/>
    <w:rsid w:val="14D42F61"/>
    <w:rsid w:val="14DD4A58"/>
    <w:rsid w:val="14E37374"/>
    <w:rsid w:val="14E860FE"/>
    <w:rsid w:val="14F90946"/>
    <w:rsid w:val="14FA2AC4"/>
    <w:rsid w:val="15062EBB"/>
    <w:rsid w:val="15185D0E"/>
    <w:rsid w:val="151B7163"/>
    <w:rsid w:val="15385703"/>
    <w:rsid w:val="1541576C"/>
    <w:rsid w:val="154D0C92"/>
    <w:rsid w:val="1566105C"/>
    <w:rsid w:val="15811E5B"/>
    <w:rsid w:val="159D7523"/>
    <w:rsid w:val="15A25376"/>
    <w:rsid w:val="15A44D56"/>
    <w:rsid w:val="15B14D7D"/>
    <w:rsid w:val="15B4486D"/>
    <w:rsid w:val="15C3785F"/>
    <w:rsid w:val="15D22C36"/>
    <w:rsid w:val="15E42FFB"/>
    <w:rsid w:val="15EF085A"/>
    <w:rsid w:val="161654B3"/>
    <w:rsid w:val="16181947"/>
    <w:rsid w:val="1619330A"/>
    <w:rsid w:val="162B2EE2"/>
    <w:rsid w:val="162C32E2"/>
    <w:rsid w:val="16403F0B"/>
    <w:rsid w:val="164A0069"/>
    <w:rsid w:val="16556050"/>
    <w:rsid w:val="16592972"/>
    <w:rsid w:val="16734047"/>
    <w:rsid w:val="167F131F"/>
    <w:rsid w:val="16922E00"/>
    <w:rsid w:val="1693395F"/>
    <w:rsid w:val="16AA3D7D"/>
    <w:rsid w:val="16B919FC"/>
    <w:rsid w:val="16C17241"/>
    <w:rsid w:val="16C4115D"/>
    <w:rsid w:val="16CA7173"/>
    <w:rsid w:val="16CE74DF"/>
    <w:rsid w:val="1706734A"/>
    <w:rsid w:val="1708409D"/>
    <w:rsid w:val="172103FF"/>
    <w:rsid w:val="172766BA"/>
    <w:rsid w:val="172F4439"/>
    <w:rsid w:val="173340D0"/>
    <w:rsid w:val="1735378C"/>
    <w:rsid w:val="17AC564A"/>
    <w:rsid w:val="17AD4D65"/>
    <w:rsid w:val="17AF0A4D"/>
    <w:rsid w:val="17B1375A"/>
    <w:rsid w:val="17B42F69"/>
    <w:rsid w:val="17C849CC"/>
    <w:rsid w:val="17E06E97"/>
    <w:rsid w:val="17E55E6E"/>
    <w:rsid w:val="17EF2387"/>
    <w:rsid w:val="17F83751"/>
    <w:rsid w:val="181C220D"/>
    <w:rsid w:val="18243F2C"/>
    <w:rsid w:val="183F3A74"/>
    <w:rsid w:val="18455910"/>
    <w:rsid w:val="184F70CC"/>
    <w:rsid w:val="185706E0"/>
    <w:rsid w:val="18733129"/>
    <w:rsid w:val="188140C3"/>
    <w:rsid w:val="188B7B07"/>
    <w:rsid w:val="189305FF"/>
    <w:rsid w:val="18AB29C3"/>
    <w:rsid w:val="18BA672F"/>
    <w:rsid w:val="18C47C3E"/>
    <w:rsid w:val="18F558C8"/>
    <w:rsid w:val="192E125B"/>
    <w:rsid w:val="193D0A53"/>
    <w:rsid w:val="1945415A"/>
    <w:rsid w:val="194C74C1"/>
    <w:rsid w:val="19510A53"/>
    <w:rsid w:val="1952400A"/>
    <w:rsid w:val="1960657D"/>
    <w:rsid w:val="196A1E12"/>
    <w:rsid w:val="196E465F"/>
    <w:rsid w:val="19836FA6"/>
    <w:rsid w:val="19AF7825"/>
    <w:rsid w:val="19B07173"/>
    <w:rsid w:val="19BE215E"/>
    <w:rsid w:val="19D33678"/>
    <w:rsid w:val="19D33C35"/>
    <w:rsid w:val="19EC175E"/>
    <w:rsid w:val="1A060701"/>
    <w:rsid w:val="1A084A4F"/>
    <w:rsid w:val="1A0F372C"/>
    <w:rsid w:val="1A170EA3"/>
    <w:rsid w:val="1A332204"/>
    <w:rsid w:val="1A3B1994"/>
    <w:rsid w:val="1A4E33FF"/>
    <w:rsid w:val="1A616198"/>
    <w:rsid w:val="1A675266"/>
    <w:rsid w:val="1A683C43"/>
    <w:rsid w:val="1A7A05B3"/>
    <w:rsid w:val="1A877678"/>
    <w:rsid w:val="1AA43102"/>
    <w:rsid w:val="1AA56733"/>
    <w:rsid w:val="1AA915D2"/>
    <w:rsid w:val="1AB93757"/>
    <w:rsid w:val="1ACC625C"/>
    <w:rsid w:val="1AEB2ADF"/>
    <w:rsid w:val="1AFB2E5B"/>
    <w:rsid w:val="1B03683B"/>
    <w:rsid w:val="1B163FDB"/>
    <w:rsid w:val="1B19589E"/>
    <w:rsid w:val="1B381609"/>
    <w:rsid w:val="1B395F40"/>
    <w:rsid w:val="1B432435"/>
    <w:rsid w:val="1B506DE6"/>
    <w:rsid w:val="1B5E1503"/>
    <w:rsid w:val="1B68701E"/>
    <w:rsid w:val="1B6B12FD"/>
    <w:rsid w:val="1B6B269C"/>
    <w:rsid w:val="1B7C6503"/>
    <w:rsid w:val="1B926DEC"/>
    <w:rsid w:val="1BB630ED"/>
    <w:rsid w:val="1BCF40B2"/>
    <w:rsid w:val="1BD364C3"/>
    <w:rsid w:val="1BD91BAB"/>
    <w:rsid w:val="1BFE443D"/>
    <w:rsid w:val="1C01417E"/>
    <w:rsid w:val="1C065F0D"/>
    <w:rsid w:val="1C0E338C"/>
    <w:rsid w:val="1C19262A"/>
    <w:rsid w:val="1C23374F"/>
    <w:rsid w:val="1C251583"/>
    <w:rsid w:val="1C345C07"/>
    <w:rsid w:val="1C3930B6"/>
    <w:rsid w:val="1C3955DF"/>
    <w:rsid w:val="1C3A6110"/>
    <w:rsid w:val="1C4D0527"/>
    <w:rsid w:val="1C5C2E8E"/>
    <w:rsid w:val="1C813293"/>
    <w:rsid w:val="1C9F0025"/>
    <w:rsid w:val="1CA218C3"/>
    <w:rsid w:val="1CA83281"/>
    <w:rsid w:val="1CBC0DC5"/>
    <w:rsid w:val="1CCE58B8"/>
    <w:rsid w:val="1CD35F20"/>
    <w:rsid w:val="1CEB6DC6"/>
    <w:rsid w:val="1CFA525B"/>
    <w:rsid w:val="1D047715"/>
    <w:rsid w:val="1D0A037A"/>
    <w:rsid w:val="1D1F3FD5"/>
    <w:rsid w:val="1D2A1156"/>
    <w:rsid w:val="1D447B52"/>
    <w:rsid w:val="1D497AAD"/>
    <w:rsid w:val="1D5A0D1B"/>
    <w:rsid w:val="1D5B6A50"/>
    <w:rsid w:val="1D5E2718"/>
    <w:rsid w:val="1D70551D"/>
    <w:rsid w:val="1D7856CB"/>
    <w:rsid w:val="1D884F5D"/>
    <w:rsid w:val="1DA07640"/>
    <w:rsid w:val="1DB512C6"/>
    <w:rsid w:val="1DCF4136"/>
    <w:rsid w:val="1DD0420E"/>
    <w:rsid w:val="1DF502FC"/>
    <w:rsid w:val="1DF63306"/>
    <w:rsid w:val="1E0A69A5"/>
    <w:rsid w:val="1E0F5CD4"/>
    <w:rsid w:val="1E116D00"/>
    <w:rsid w:val="1E132F5C"/>
    <w:rsid w:val="1E176CBF"/>
    <w:rsid w:val="1E187616"/>
    <w:rsid w:val="1E206781"/>
    <w:rsid w:val="1E276524"/>
    <w:rsid w:val="1E280486"/>
    <w:rsid w:val="1E455D2F"/>
    <w:rsid w:val="1E52526A"/>
    <w:rsid w:val="1E5A77C8"/>
    <w:rsid w:val="1E5D5099"/>
    <w:rsid w:val="1E6E2F38"/>
    <w:rsid w:val="1E7B146A"/>
    <w:rsid w:val="1E84244A"/>
    <w:rsid w:val="1E9012D5"/>
    <w:rsid w:val="1E931972"/>
    <w:rsid w:val="1E995082"/>
    <w:rsid w:val="1EBA2EF4"/>
    <w:rsid w:val="1EC9373C"/>
    <w:rsid w:val="1EEE2B9E"/>
    <w:rsid w:val="1EF34658"/>
    <w:rsid w:val="1EFA3C38"/>
    <w:rsid w:val="1F197A9E"/>
    <w:rsid w:val="1F2A6719"/>
    <w:rsid w:val="1F2D7DC5"/>
    <w:rsid w:val="1F30765A"/>
    <w:rsid w:val="1F346096"/>
    <w:rsid w:val="1F3C030A"/>
    <w:rsid w:val="1F6E745D"/>
    <w:rsid w:val="1F795068"/>
    <w:rsid w:val="1F7B4EE6"/>
    <w:rsid w:val="1F7C4834"/>
    <w:rsid w:val="1F88755A"/>
    <w:rsid w:val="1F944AF4"/>
    <w:rsid w:val="1F9B56A3"/>
    <w:rsid w:val="1F9C7317"/>
    <w:rsid w:val="1FA47FC0"/>
    <w:rsid w:val="1FA83D68"/>
    <w:rsid w:val="1FB65DC3"/>
    <w:rsid w:val="1FBD7DDF"/>
    <w:rsid w:val="1FC57DA2"/>
    <w:rsid w:val="1FCD636A"/>
    <w:rsid w:val="1FD01F06"/>
    <w:rsid w:val="1FE05F93"/>
    <w:rsid w:val="1FE32CD0"/>
    <w:rsid w:val="1FE656BF"/>
    <w:rsid w:val="1FF30812"/>
    <w:rsid w:val="1FF43F7F"/>
    <w:rsid w:val="1FF62A5A"/>
    <w:rsid w:val="1FFA1053"/>
    <w:rsid w:val="1FFB5401"/>
    <w:rsid w:val="200029E4"/>
    <w:rsid w:val="20027070"/>
    <w:rsid w:val="2016424A"/>
    <w:rsid w:val="20166C04"/>
    <w:rsid w:val="201B4C40"/>
    <w:rsid w:val="201C198C"/>
    <w:rsid w:val="20234AC9"/>
    <w:rsid w:val="202569A9"/>
    <w:rsid w:val="202C2D14"/>
    <w:rsid w:val="202F7499"/>
    <w:rsid w:val="203615D5"/>
    <w:rsid w:val="203D7410"/>
    <w:rsid w:val="20436883"/>
    <w:rsid w:val="20547378"/>
    <w:rsid w:val="206104E5"/>
    <w:rsid w:val="206C7436"/>
    <w:rsid w:val="209239FD"/>
    <w:rsid w:val="20AE4CDA"/>
    <w:rsid w:val="20D32F93"/>
    <w:rsid w:val="20E51B86"/>
    <w:rsid w:val="20E91BE2"/>
    <w:rsid w:val="20F205CC"/>
    <w:rsid w:val="20FD356C"/>
    <w:rsid w:val="21084B85"/>
    <w:rsid w:val="21122A7A"/>
    <w:rsid w:val="212862A1"/>
    <w:rsid w:val="214571DB"/>
    <w:rsid w:val="215D225D"/>
    <w:rsid w:val="2163792F"/>
    <w:rsid w:val="21653836"/>
    <w:rsid w:val="216B57C1"/>
    <w:rsid w:val="216E282D"/>
    <w:rsid w:val="217C77B1"/>
    <w:rsid w:val="218436E7"/>
    <w:rsid w:val="21845E02"/>
    <w:rsid w:val="2188160C"/>
    <w:rsid w:val="218C132D"/>
    <w:rsid w:val="21937664"/>
    <w:rsid w:val="219439F4"/>
    <w:rsid w:val="21A83D9E"/>
    <w:rsid w:val="21AE3BB2"/>
    <w:rsid w:val="21BA76AF"/>
    <w:rsid w:val="21BE4A18"/>
    <w:rsid w:val="21C6646C"/>
    <w:rsid w:val="21CB2B63"/>
    <w:rsid w:val="21CD2F3E"/>
    <w:rsid w:val="21CD510A"/>
    <w:rsid w:val="21D20555"/>
    <w:rsid w:val="21E00BB2"/>
    <w:rsid w:val="21E729B4"/>
    <w:rsid w:val="21FE17B0"/>
    <w:rsid w:val="220A23E4"/>
    <w:rsid w:val="221F0FA2"/>
    <w:rsid w:val="222144F8"/>
    <w:rsid w:val="222B5EB7"/>
    <w:rsid w:val="222F6599"/>
    <w:rsid w:val="22416C93"/>
    <w:rsid w:val="22421B7E"/>
    <w:rsid w:val="224A1325"/>
    <w:rsid w:val="224D407F"/>
    <w:rsid w:val="225A5A56"/>
    <w:rsid w:val="225E44DE"/>
    <w:rsid w:val="22721109"/>
    <w:rsid w:val="228A59BE"/>
    <w:rsid w:val="229059AC"/>
    <w:rsid w:val="22A719E1"/>
    <w:rsid w:val="22A743E5"/>
    <w:rsid w:val="22B673C3"/>
    <w:rsid w:val="22EC1935"/>
    <w:rsid w:val="2309269C"/>
    <w:rsid w:val="2309444A"/>
    <w:rsid w:val="23184AF7"/>
    <w:rsid w:val="23241284"/>
    <w:rsid w:val="232474D6"/>
    <w:rsid w:val="23356FED"/>
    <w:rsid w:val="23400BC4"/>
    <w:rsid w:val="2342795C"/>
    <w:rsid w:val="23644B98"/>
    <w:rsid w:val="23752B2F"/>
    <w:rsid w:val="238D5F1B"/>
    <w:rsid w:val="239046FC"/>
    <w:rsid w:val="23933D5B"/>
    <w:rsid w:val="239776CF"/>
    <w:rsid w:val="23AC3027"/>
    <w:rsid w:val="23B02B18"/>
    <w:rsid w:val="23B40D7E"/>
    <w:rsid w:val="23DC390D"/>
    <w:rsid w:val="23EA146F"/>
    <w:rsid w:val="23F25CB7"/>
    <w:rsid w:val="240C6D4F"/>
    <w:rsid w:val="241C3A86"/>
    <w:rsid w:val="24232BBD"/>
    <w:rsid w:val="2446761B"/>
    <w:rsid w:val="245A2AD1"/>
    <w:rsid w:val="246102B6"/>
    <w:rsid w:val="247B1749"/>
    <w:rsid w:val="248C6CF3"/>
    <w:rsid w:val="249141CD"/>
    <w:rsid w:val="249413D2"/>
    <w:rsid w:val="24BB79C6"/>
    <w:rsid w:val="24C04FDC"/>
    <w:rsid w:val="24C50845"/>
    <w:rsid w:val="24D4440C"/>
    <w:rsid w:val="24D64800"/>
    <w:rsid w:val="25227A45"/>
    <w:rsid w:val="252972B1"/>
    <w:rsid w:val="253A6F43"/>
    <w:rsid w:val="254C6870"/>
    <w:rsid w:val="25543DB1"/>
    <w:rsid w:val="255C7774"/>
    <w:rsid w:val="25656B86"/>
    <w:rsid w:val="25667A5B"/>
    <w:rsid w:val="25755BB3"/>
    <w:rsid w:val="25824E1D"/>
    <w:rsid w:val="25A95A70"/>
    <w:rsid w:val="25BB69DB"/>
    <w:rsid w:val="25BC39F6"/>
    <w:rsid w:val="25BD7891"/>
    <w:rsid w:val="25C31EE3"/>
    <w:rsid w:val="25F34F3E"/>
    <w:rsid w:val="260158AC"/>
    <w:rsid w:val="260D5FFF"/>
    <w:rsid w:val="26372CEA"/>
    <w:rsid w:val="263B070E"/>
    <w:rsid w:val="263C5D40"/>
    <w:rsid w:val="263F23CC"/>
    <w:rsid w:val="26557860"/>
    <w:rsid w:val="266D70B2"/>
    <w:rsid w:val="26773820"/>
    <w:rsid w:val="267E3309"/>
    <w:rsid w:val="26A1499A"/>
    <w:rsid w:val="26C0182E"/>
    <w:rsid w:val="26C27944"/>
    <w:rsid w:val="26CD678A"/>
    <w:rsid w:val="26CE6106"/>
    <w:rsid w:val="26D00778"/>
    <w:rsid w:val="26D034EA"/>
    <w:rsid w:val="26D237B8"/>
    <w:rsid w:val="26DA3F2C"/>
    <w:rsid w:val="26DE13AC"/>
    <w:rsid w:val="26EA6341"/>
    <w:rsid w:val="26F433AA"/>
    <w:rsid w:val="27076EF2"/>
    <w:rsid w:val="27541A0C"/>
    <w:rsid w:val="275D3A97"/>
    <w:rsid w:val="276169F3"/>
    <w:rsid w:val="27671109"/>
    <w:rsid w:val="277D0157"/>
    <w:rsid w:val="277D0248"/>
    <w:rsid w:val="278C3BAB"/>
    <w:rsid w:val="278D7840"/>
    <w:rsid w:val="27914A0E"/>
    <w:rsid w:val="27B40458"/>
    <w:rsid w:val="27C513F7"/>
    <w:rsid w:val="27CE2E7F"/>
    <w:rsid w:val="27CE5C62"/>
    <w:rsid w:val="27CF71E8"/>
    <w:rsid w:val="27D7418A"/>
    <w:rsid w:val="27E62FDA"/>
    <w:rsid w:val="27ED77D1"/>
    <w:rsid w:val="27FD7583"/>
    <w:rsid w:val="281574CA"/>
    <w:rsid w:val="282A6C56"/>
    <w:rsid w:val="28416434"/>
    <w:rsid w:val="284652BC"/>
    <w:rsid w:val="28844573"/>
    <w:rsid w:val="288A0F5F"/>
    <w:rsid w:val="28925416"/>
    <w:rsid w:val="289840F2"/>
    <w:rsid w:val="2898690A"/>
    <w:rsid w:val="289A78F2"/>
    <w:rsid w:val="28A943B9"/>
    <w:rsid w:val="28CA07A5"/>
    <w:rsid w:val="28D11F30"/>
    <w:rsid w:val="28D177B8"/>
    <w:rsid w:val="28D5784B"/>
    <w:rsid w:val="28ED28E1"/>
    <w:rsid w:val="29015BC3"/>
    <w:rsid w:val="290A2562"/>
    <w:rsid w:val="290C6252"/>
    <w:rsid w:val="29166294"/>
    <w:rsid w:val="2927777C"/>
    <w:rsid w:val="292F7C85"/>
    <w:rsid w:val="2940049A"/>
    <w:rsid w:val="295C64EF"/>
    <w:rsid w:val="29673C78"/>
    <w:rsid w:val="296A44CB"/>
    <w:rsid w:val="296C5F1A"/>
    <w:rsid w:val="296F7074"/>
    <w:rsid w:val="29746395"/>
    <w:rsid w:val="297A0292"/>
    <w:rsid w:val="297E2AE9"/>
    <w:rsid w:val="29960197"/>
    <w:rsid w:val="299A404E"/>
    <w:rsid w:val="29C13CBC"/>
    <w:rsid w:val="29C27E66"/>
    <w:rsid w:val="29C76E0D"/>
    <w:rsid w:val="29E452C9"/>
    <w:rsid w:val="29EA6657"/>
    <w:rsid w:val="29EC794F"/>
    <w:rsid w:val="29F232F0"/>
    <w:rsid w:val="29F954E0"/>
    <w:rsid w:val="2A0302FB"/>
    <w:rsid w:val="2A0D3DFC"/>
    <w:rsid w:val="2A2878AC"/>
    <w:rsid w:val="2A316034"/>
    <w:rsid w:val="2A3373D0"/>
    <w:rsid w:val="2A405D70"/>
    <w:rsid w:val="2A5333AB"/>
    <w:rsid w:val="2A587DEC"/>
    <w:rsid w:val="2A6149C8"/>
    <w:rsid w:val="2A9F7442"/>
    <w:rsid w:val="2AB133DB"/>
    <w:rsid w:val="2AC471B5"/>
    <w:rsid w:val="2ADD75D8"/>
    <w:rsid w:val="2ADF1AC3"/>
    <w:rsid w:val="2AED3701"/>
    <w:rsid w:val="2B1961E0"/>
    <w:rsid w:val="2B2E2CA4"/>
    <w:rsid w:val="2B373B1E"/>
    <w:rsid w:val="2B525F1A"/>
    <w:rsid w:val="2B5A5044"/>
    <w:rsid w:val="2B5D4F0A"/>
    <w:rsid w:val="2B7B2C0D"/>
    <w:rsid w:val="2B7C0995"/>
    <w:rsid w:val="2B8E6FB0"/>
    <w:rsid w:val="2BAF1204"/>
    <w:rsid w:val="2BBC5854"/>
    <w:rsid w:val="2BCC4FC5"/>
    <w:rsid w:val="2BD03B08"/>
    <w:rsid w:val="2BEE5DDA"/>
    <w:rsid w:val="2BF35C97"/>
    <w:rsid w:val="2BFD069B"/>
    <w:rsid w:val="2C293467"/>
    <w:rsid w:val="2C2D52D1"/>
    <w:rsid w:val="2C311F31"/>
    <w:rsid w:val="2C426C33"/>
    <w:rsid w:val="2C5B7F75"/>
    <w:rsid w:val="2C660F58"/>
    <w:rsid w:val="2C665FAE"/>
    <w:rsid w:val="2C6F1F5E"/>
    <w:rsid w:val="2C6F4AD6"/>
    <w:rsid w:val="2C7856BC"/>
    <w:rsid w:val="2C7D1A05"/>
    <w:rsid w:val="2C7D49E2"/>
    <w:rsid w:val="2C7F3012"/>
    <w:rsid w:val="2C9254B0"/>
    <w:rsid w:val="2C961E4D"/>
    <w:rsid w:val="2C9D0B2A"/>
    <w:rsid w:val="2CA90A4C"/>
    <w:rsid w:val="2CAE0793"/>
    <w:rsid w:val="2CCA7E9F"/>
    <w:rsid w:val="2CCB0888"/>
    <w:rsid w:val="2CD35AD8"/>
    <w:rsid w:val="2CE865EB"/>
    <w:rsid w:val="2D080026"/>
    <w:rsid w:val="2D2B7142"/>
    <w:rsid w:val="2D704F82"/>
    <w:rsid w:val="2D791513"/>
    <w:rsid w:val="2D7A181B"/>
    <w:rsid w:val="2D9D15CC"/>
    <w:rsid w:val="2DC303FB"/>
    <w:rsid w:val="2DCA49A5"/>
    <w:rsid w:val="2DD90EBD"/>
    <w:rsid w:val="2DDD12B9"/>
    <w:rsid w:val="2DE25FC3"/>
    <w:rsid w:val="2E107E5C"/>
    <w:rsid w:val="2E213A49"/>
    <w:rsid w:val="2E343E9D"/>
    <w:rsid w:val="2E4A5917"/>
    <w:rsid w:val="2E4B2AB6"/>
    <w:rsid w:val="2E52480F"/>
    <w:rsid w:val="2E730855"/>
    <w:rsid w:val="2E870919"/>
    <w:rsid w:val="2E88384B"/>
    <w:rsid w:val="2E8B0406"/>
    <w:rsid w:val="2EAE0780"/>
    <w:rsid w:val="2EB3170E"/>
    <w:rsid w:val="2EBF4557"/>
    <w:rsid w:val="2ED011F9"/>
    <w:rsid w:val="2EE37691"/>
    <w:rsid w:val="2EE815BF"/>
    <w:rsid w:val="2EF64A68"/>
    <w:rsid w:val="2EFC4B42"/>
    <w:rsid w:val="2F0302EC"/>
    <w:rsid w:val="2F182848"/>
    <w:rsid w:val="2F3C4CFF"/>
    <w:rsid w:val="2F601BF4"/>
    <w:rsid w:val="2F627ABE"/>
    <w:rsid w:val="2F6C023B"/>
    <w:rsid w:val="2F6E083E"/>
    <w:rsid w:val="2F762E67"/>
    <w:rsid w:val="2F8207F8"/>
    <w:rsid w:val="2F9E1A6C"/>
    <w:rsid w:val="2FA12CF7"/>
    <w:rsid w:val="2FAB231E"/>
    <w:rsid w:val="2FAD0F30"/>
    <w:rsid w:val="2FB05E47"/>
    <w:rsid w:val="2FB21D8F"/>
    <w:rsid w:val="2FCD13DA"/>
    <w:rsid w:val="2FDA583C"/>
    <w:rsid w:val="2FE34801"/>
    <w:rsid w:val="2FEA611B"/>
    <w:rsid w:val="2FF1050E"/>
    <w:rsid w:val="300A183E"/>
    <w:rsid w:val="30156361"/>
    <w:rsid w:val="302312BF"/>
    <w:rsid w:val="30267DE1"/>
    <w:rsid w:val="302C5104"/>
    <w:rsid w:val="30354AD0"/>
    <w:rsid w:val="303E06BD"/>
    <w:rsid w:val="30490022"/>
    <w:rsid w:val="3054490A"/>
    <w:rsid w:val="306A7DB6"/>
    <w:rsid w:val="30766E97"/>
    <w:rsid w:val="307A6ED8"/>
    <w:rsid w:val="3082583C"/>
    <w:rsid w:val="30843145"/>
    <w:rsid w:val="30865441"/>
    <w:rsid w:val="308C1E8F"/>
    <w:rsid w:val="30961F94"/>
    <w:rsid w:val="30B654E5"/>
    <w:rsid w:val="30BD27AC"/>
    <w:rsid w:val="30BD5B30"/>
    <w:rsid w:val="30C142E0"/>
    <w:rsid w:val="30D40E3D"/>
    <w:rsid w:val="30E3277E"/>
    <w:rsid w:val="30F3628A"/>
    <w:rsid w:val="31033E19"/>
    <w:rsid w:val="31080849"/>
    <w:rsid w:val="310D683A"/>
    <w:rsid w:val="310F3040"/>
    <w:rsid w:val="31187C97"/>
    <w:rsid w:val="311F44DC"/>
    <w:rsid w:val="312B2E01"/>
    <w:rsid w:val="31425526"/>
    <w:rsid w:val="314B22F5"/>
    <w:rsid w:val="31704A79"/>
    <w:rsid w:val="31705223"/>
    <w:rsid w:val="3192385D"/>
    <w:rsid w:val="319D7931"/>
    <w:rsid w:val="319E283C"/>
    <w:rsid w:val="31A277C8"/>
    <w:rsid w:val="31A35EED"/>
    <w:rsid w:val="31A737AC"/>
    <w:rsid w:val="31AF0186"/>
    <w:rsid w:val="31B05B0C"/>
    <w:rsid w:val="31C003CA"/>
    <w:rsid w:val="31C9380E"/>
    <w:rsid w:val="31D03078"/>
    <w:rsid w:val="31D87CF4"/>
    <w:rsid w:val="31DB1086"/>
    <w:rsid w:val="31E45457"/>
    <w:rsid w:val="31E45A29"/>
    <w:rsid w:val="31E5172B"/>
    <w:rsid w:val="31EB6C4B"/>
    <w:rsid w:val="31ED4287"/>
    <w:rsid w:val="31F63CCE"/>
    <w:rsid w:val="31FD2462"/>
    <w:rsid w:val="320D5268"/>
    <w:rsid w:val="32141C05"/>
    <w:rsid w:val="32147ECD"/>
    <w:rsid w:val="32164D63"/>
    <w:rsid w:val="321F1EAA"/>
    <w:rsid w:val="32202632"/>
    <w:rsid w:val="322A1CDE"/>
    <w:rsid w:val="32333393"/>
    <w:rsid w:val="32346191"/>
    <w:rsid w:val="32456A35"/>
    <w:rsid w:val="324E43E3"/>
    <w:rsid w:val="32511749"/>
    <w:rsid w:val="327A521A"/>
    <w:rsid w:val="328D515C"/>
    <w:rsid w:val="32A92928"/>
    <w:rsid w:val="32B55B54"/>
    <w:rsid w:val="32C168D7"/>
    <w:rsid w:val="32C739DA"/>
    <w:rsid w:val="32D61522"/>
    <w:rsid w:val="32D76817"/>
    <w:rsid w:val="32DC2DD8"/>
    <w:rsid w:val="32E97DF4"/>
    <w:rsid w:val="32F20F99"/>
    <w:rsid w:val="32F27783"/>
    <w:rsid w:val="32F30491"/>
    <w:rsid w:val="32F64F0D"/>
    <w:rsid w:val="32F87BE7"/>
    <w:rsid w:val="33010656"/>
    <w:rsid w:val="331420C3"/>
    <w:rsid w:val="33271070"/>
    <w:rsid w:val="332F3F54"/>
    <w:rsid w:val="33301C28"/>
    <w:rsid w:val="33334A6E"/>
    <w:rsid w:val="33376964"/>
    <w:rsid w:val="333A27FF"/>
    <w:rsid w:val="333B7242"/>
    <w:rsid w:val="334119DE"/>
    <w:rsid w:val="334943EF"/>
    <w:rsid w:val="336F7772"/>
    <w:rsid w:val="337C47C4"/>
    <w:rsid w:val="338352EC"/>
    <w:rsid w:val="33840EF6"/>
    <w:rsid w:val="339B125D"/>
    <w:rsid w:val="33BB7FBE"/>
    <w:rsid w:val="33C00B55"/>
    <w:rsid w:val="33C543BD"/>
    <w:rsid w:val="33D208B5"/>
    <w:rsid w:val="33D35997"/>
    <w:rsid w:val="33D36AC6"/>
    <w:rsid w:val="33D75E02"/>
    <w:rsid w:val="33D912CE"/>
    <w:rsid w:val="33D9176F"/>
    <w:rsid w:val="33DB504E"/>
    <w:rsid w:val="33EB36F8"/>
    <w:rsid w:val="340E037E"/>
    <w:rsid w:val="34306EA1"/>
    <w:rsid w:val="344A6FB9"/>
    <w:rsid w:val="34525525"/>
    <w:rsid w:val="34563E84"/>
    <w:rsid w:val="34571D4E"/>
    <w:rsid w:val="34593939"/>
    <w:rsid w:val="345E53D1"/>
    <w:rsid w:val="34880F47"/>
    <w:rsid w:val="348F22D5"/>
    <w:rsid w:val="34962838"/>
    <w:rsid w:val="34AC5AD6"/>
    <w:rsid w:val="34CF3BC0"/>
    <w:rsid w:val="34DD3022"/>
    <w:rsid w:val="35171FDA"/>
    <w:rsid w:val="35172534"/>
    <w:rsid w:val="3521444F"/>
    <w:rsid w:val="35251DDC"/>
    <w:rsid w:val="3546508A"/>
    <w:rsid w:val="35466C5F"/>
    <w:rsid w:val="354D1CB3"/>
    <w:rsid w:val="355754E9"/>
    <w:rsid w:val="35590327"/>
    <w:rsid w:val="358677E3"/>
    <w:rsid w:val="358A13C5"/>
    <w:rsid w:val="358B27CB"/>
    <w:rsid w:val="35943677"/>
    <w:rsid w:val="35957188"/>
    <w:rsid w:val="359F0C3E"/>
    <w:rsid w:val="35A26038"/>
    <w:rsid w:val="35B84483"/>
    <w:rsid w:val="35BC6F9E"/>
    <w:rsid w:val="35BF6BEA"/>
    <w:rsid w:val="35CA3350"/>
    <w:rsid w:val="35CE486B"/>
    <w:rsid w:val="35E254CE"/>
    <w:rsid w:val="35FE3BB6"/>
    <w:rsid w:val="35FF1E65"/>
    <w:rsid w:val="360D00F6"/>
    <w:rsid w:val="36332F64"/>
    <w:rsid w:val="36620A6D"/>
    <w:rsid w:val="36641E58"/>
    <w:rsid w:val="366F136D"/>
    <w:rsid w:val="368869E5"/>
    <w:rsid w:val="368D6CE8"/>
    <w:rsid w:val="368E0053"/>
    <w:rsid w:val="36AA5C59"/>
    <w:rsid w:val="36AF0658"/>
    <w:rsid w:val="36B53385"/>
    <w:rsid w:val="36BC6F7C"/>
    <w:rsid w:val="36BD75CE"/>
    <w:rsid w:val="36D51EC2"/>
    <w:rsid w:val="36D641EB"/>
    <w:rsid w:val="36DA55A8"/>
    <w:rsid w:val="36F13872"/>
    <w:rsid w:val="36F34D9D"/>
    <w:rsid w:val="36F823B4"/>
    <w:rsid w:val="371A451C"/>
    <w:rsid w:val="373175CA"/>
    <w:rsid w:val="3741002D"/>
    <w:rsid w:val="374B4187"/>
    <w:rsid w:val="37550D96"/>
    <w:rsid w:val="37723BB2"/>
    <w:rsid w:val="378000C8"/>
    <w:rsid w:val="37887BDC"/>
    <w:rsid w:val="378A207C"/>
    <w:rsid w:val="378B147A"/>
    <w:rsid w:val="37A125AF"/>
    <w:rsid w:val="37C37463"/>
    <w:rsid w:val="37C529C0"/>
    <w:rsid w:val="37C555CA"/>
    <w:rsid w:val="37CB5D1A"/>
    <w:rsid w:val="37CF75A8"/>
    <w:rsid w:val="37D052E6"/>
    <w:rsid w:val="37D66CAB"/>
    <w:rsid w:val="37EE5B1B"/>
    <w:rsid w:val="37FC07A5"/>
    <w:rsid w:val="3800568F"/>
    <w:rsid w:val="38080D1C"/>
    <w:rsid w:val="38191D46"/>
    <w:rsid w:val="38317DAB"/>
    <w:rsid w:val="38341B11"/>
    <w:rsid w:val="383C7520"/>
    <w:rsid w:val="38432180"/>
    <w:rsid w:val="384A49E5"/>
    <w:rsid w:val="38656B9D"/>
    <w:rsid w:val="386A17F4"/>
    <w:rsid w:val="388C7258"/>
    <w:rsid w:val="38901F97"/>
    <w:rsid w:val="38C2711D"/>
    <w:rsid w:val="38C34F94"/>
    <w:rsid w:val="38D54816"/>
    <w:rsid w:val="38D80852"/>
    <w:rsid w:val="38D95261"/>
    <w:rsid w:val="38ED022F"/>
    <w:rsid w:val="38F320DA"/>
    <w:rsid w:val="39035398"/>
    <w:rsid w:val="3916130C"/>
    <w:rsid w:val="391E6C20"/>
    <w:rsid w:val="39276F80"/>
    <w:rsid w:val="39366563"/>
    <w:rsid w:val="394F316D"/>
    <w:rsid w:val="395E00D8"/>
    <w:rsid w:val="39A9208B"/>
    <w:rsid w:val="39A94515"/>
    <w:rsid w:val="39AC56D7"/>
    <w:rsid w:val="39B60AD4"/>
    <w:rsid w:val="39C04884"/>
    <w:rsid w:val="39C57F40"/>
    <w:rsid w:val="39CA4596"/>
    <w:rsid w:val="39EA2D41"/>
    <w:rsid w:val="39EC47D8"/>
    <w:rsid w:val="3A001741"/>
    <w:rsid w:val="3A002717"/>
    <w:rsid w:val="3A026740"/>
    <w:rsid w:val="3A043521"/>
    <w:rsid w:val="3A18017C"/>
    <w:rsid w:val="3A263BF9"/>
    <w:rsid w:val="3A275949"/>
    <w:rsid w:val="3A2E0608"/>
    <w:rsid w:val="3A597245"/>
    <w:rsid w:val="3A5F40D4"/>
    <w:rsid w:val="3A7973FC"/>
    <w:rsid w:val="3A8D6500"/>
    <w:rsid w:val="3A964BEF"/>
    <w:rsid w:val="3A987F17"/>
    <w:rsid w:val="3A9B7C26"/>
    <w:rsid w:val="3A9C62F1"/>
    <w:rsid w:val="3AA00D92"/>
    <w:rsid w:val="3AA0348E"/>
    <w:rsid w:val="3AAA7E69"/>
    <w:rsid w:val="3AAB1717"/>
    <w:rsid w:val="3AB473B4"/>
    <w:rsid w:val="3AC541BE"/>
    <w:rsid w:val="3AF934EF"/>
    <w:rsid w:val="3AFB18FD"/>
    <w:rsid w:val="3B1922E5"/>
    <w:rsid w:val="3B246374"/>
    <w:rsid w:val="3B3014F0"/>
    <w:rsid w:val="3B3325A6"/>
    <w:rsid w:val="3B3B1F84"/>
    <w:rsid w:val="3B3E6803"/>
    <w:rsid w:val="3B5444BC"/>
    <w:rsid w:val="3B551DDF"/>
    <w:rsid w:val="3B62588A"/>
    <w:rsid w:val="3B8D604A"/>
    <w:rsid w:val="3B901E97"/>
    <w:rsid w:val="3B995CAC"/>
    <w:rsid w:val="3BC81962"/>
    <w:rsid w:val="3BCF7530"/>
    <w:rsid w:val="3BD02B1C"/>
    <w:rsid w:val="3BF13876"/>
    <w:rsid w:val="3BFA1A63"/>
    <w:rsid w:val="3BFC254A"/>
    <w:rsid w:val="3C055507"/>
    <w:rsid w:val="3C0B2F5E"/>
    <w:rsid w:val="3C0D06AF"/>
    <w:rsid w:val="3C291261"/>
    <w:rsid w:val="3C2B4038"/>
    <w:rsid w:val="3C3230C8"/>
    <w:rsid w:val="3C4165AB"/>
    <w:rsid w:val="3C506241"/>
    <w:rsid w:val="3C5A141B"/>
    <w:rsid w:val="3C5B3EEB"/>
    <w:rsid w:val="3C5C6808"/>
    <w:rsid w:val="3C680446"/>
    <w:rsid w:val="3C7F1545"/>
    <w:rsid w:val="3CA139D0"/>
    <w:rsid w:val="3CAC7CF3"/>
    <w:rsid w:val="3CB21257"/>
    <w:rsid w:val="3CBB144D"/>
    <w:rsid w:val="3CDC404C"/>
    <w:rsid w:val="3CED6733"/>
    <w:rsid w:val="3CFB0E50"/>
    <w:rsid w:val="3D0862EA"/>
    <w:rsid w:val="3D150D62"/>
    <w:rsid w:val="3D163594"/>
    <w:rsid w:val="3D446734"/>
    <w:rsid w:val="3D4D374C"/>
    <w:rsid w:val="3D4E27E7"/>
    <w:rsid w:val="3D567E89"/>
    <w:rsid w:val="3D6A74A7"/>
    <w:rsid w:val="3D78424E"/>
    <w:rsid w:val="3D894EDC"/>
    <w:rsid w:val="3D8A3F82"/>
    <w:rsid w:val="3D9017E2"/>
    <w:rsid w:val="3DA176FD"/>
    <w:rsid w:val="3DA83769"/>
    <w:rsid w:val="3DA8555E"/>
    <w:rsid w:val="3DBB53F0"/>
    <w:rsid w:val="3DC72AE0"/>
    <w:rsid w:val="3DE317B3"/>
    <w:rsid w:val="3DEC2546"/>
    <w:rsid w:val="3DEC3C01"/>
    <w:rsid w:val="3DF00289"/>
    <w:rsid w:val="3DF31039"/>
    <w:rsid w:val="3DF77869"/>
    <w:rsid w:val="3DF8713D"/>
    <w:rsid w:val="3DFF0148"/>
    <w:rsid w:val="3E0B084A"/>
    <w:rsid w:val="3E0D2A11"/>
    <w:rsid w:val="3E284656"/>
    <w:rsid w:val="3E2E0DB1"/>
    <w:rsid w:val="3E330175"/>
    <w:rsid w:val="3E361A42"/>
    <w:rsid w:val="3E477131"/>
    <w:rsid w:val="3E6165C8"/>
    <w:rsid w:val="3E782BEC"/>
    <w:rsid w:val="3E78493B"/>
    <w:rsid w:val="3E8272C7"/>
    <w:rsid w:val="3E887A2E"/>
    <w:rsid w:val="3E967C75"/>
    <w:rsid w:val="3E970B7D"/>
    <w:rsid w:val="3E9C1E20"/>
    <w:rsid w:val="3E9C5D1B"/>
    <w:rsid w:val="3E9D5FD8"/>
    <w:rsid w:val="3EB56DDC"/>
    <w:rsid w:val="3EB76FF8"/>
    <w:rsid w:val="3EBF28AB"/>
    <w:rsid w:val="3EC534AE"/>
    <w:rsid w:val="3ECA5CBD"/>
    <w:rsid w:val="3EF34D13"/>
    <w:rsid w:val="3F1735F3"/>
    <w:rsid w:val="3F1C411D"/>
    <w:rsid w:val="3F2C0A1A"/>
    <w:rsid w:val="3F4621F2"/>
    <w:rsid w:val="3F6E100A"/>
    <w:rsid w:val="3F78621A"/>
    <w:rsid w:val="3F7E18C4"/>
    <w:rsid w:val="3F7E650B"/>
    <w:rsid w:val="3F840590"/>
    <w:rsid w:val="3F9E7CED"/>
    <w:rsid w:val="3FC34E91"/>
    <w:rsid w:val="3FCE63A8"/>
    <w:rsid w:val="3FDF4941"/>
    <w:rsid w:val="3FFA7383"/>
    <w:rsid w:val="400319F2"/>
    <w:rsid w:val="400D6F01"/>
    <w:rsid w:val="40286A36"/>
    <w:rsid w:val="40301F41"/>
    <w:rsid w:val="40401E8C"/>
    <w:rsid w:val="40425CC8"/>
    <w:rsid w:val="404F4944"/>
    <w:rsid w:val="40546965"/>
    <w:rsid w:val="40583EC3"/>
    <w:rsid w:val="40737557"/>
    <w:rsid w:val="4081341A"/>
    <w:rsid w:val="40856735"/>
    <w:rsid w:val="408C4B33"/>
    <w:rsid w:val="409C0254"/>
    <w:rsid w:val="40CE4847"/>
    <w:rsid w:val="40CF0629"/>
    <w:rsid w:val="40D95004"/>
    <w:rsid w:val="40DF47EC"/>
    <w:rsid w:val="40E801F4"/>
    <w:rsid w:val="40F65792"/>
    <w:rsid w:val="411918A4"/>
    <w:rsid w:val="41210E2E"/>
    <w:rsid w:val="414053B1"/>
    <w:rsid w:val="416F2D92"/>
    <w:rsid w:val="417727C9"/>
    <w:rsid w:val="417872E9"/>
    <w:rsid w:val="418E4E4D"/>
    <w:rsid w:val="41916DC2"/>
    <w:rsid w:val="41A30B63"/>
    <w:rsid w:val="41AA69A0"/>
    <w:rsid w:val="41BB5617"/>
    <w:rsid w:val="41F67E38"/>
    <w:rsid w:val="42057C91"/>
    <w:rsid w:val="420A6C8A"/>
    <w:rsid w:val="420C28DA"/>
    <w:rsid w:val="42135944"/>
    <w:rsid w:val="42157DA2"/>
    <w:rsid w:val="422E7A08"/>
    <w:rsid w:val="423C432C"/>
    <w:rsid w:val="42544F71"/>
    <w:rsid w:val="4259011F"/>
    <w:rsid w:val="425A7760"/>
    <w:rsid w:val="425B0CF1"/>
    <w:rsid w:val="427C4831"/>
    <w:rsid w:val="42850C6F"/>
    <w:rsid w:val="42A64DB8"/>
    <w:rsid w:val="42A97C45"/>
    <w:rsid w:val="42AE4616"/>
    <w:rsid w:val="42CF7FDC"/>
    <w:rsid w:val="42D52715"/>
    <w:rsid w:val="42E17AB5"/>
    <w:rsid w:val="42ED7226"/>
    <w:rsid w:val="42F90BF0"/>
    <w:rsid w:val="430E6249"/>
    <w:rsid w:val="43117016"/>
    <w:rsid w:val="43307A9B"/>
    <w:rsid w:val="43353BEB"/>
    <w:rsid w:val="43553283"/>
    <w:rsid w:val="436D5ED7"/>
    <w:rsid w:val="43760CA2"/>
    <w:rsid w:val="43786ED1"/>
    <w:rsid w:val="438C2E90"/>
    <w:rsid w:val="438E0176"/>
    <w:rsid w:val="43B63876"/>
    <w:rsid w:val="43DA7175"/>
    <w:rsid w:val="43F639B2"/>
    <w:rsid w:val="43FE3FE5"/>
    <w:rsid w:val="44081505"/>
    <w:rsid w:val="441920D4"/>
    <w:rsid w:val="44224EAD"/>
    <w:rsid w:val="443C2FF5"/>
    <w:rsid w:val="44564A5D"/>
    <w:rsid w:val="44580FED"/>
    <w:rsid w:val="4460072E"/>
    <w:rsid w:val="446A007A"/>
    <w:rsid w:val="44703ED1"/>
    <w:rsid w:val="44A27086"/>
    <w:rsid w:val="44A5739E"/>
    <w:rsid w:val="44AB68D4"/>
    <w:rsid w:val="44BE2E8F"/>
    <w:rsid w:val="44C53514"/>
    <w:rsid w:val="44C65159"/>
    <w:rsid w:val="44DB1A0E"/>
    <w:rsid w:val="44F00864"/>
    <w:rsid w:val="44FC3511"/>
    <w:rsid w:val="450A1050"/>
    <w:rsid w:val="451F5C7D"/>
    <w:rsid w:val="45224C9F"/>
    <w:rsid w:val="452A207C"/>
    <w:rsid w:val="452D1E76"/>
    <w:rsid w:val="45557DF1"/>
    <w:rsid w:val="45575091"/>
    <w:rsid w:val="456A25CC"/>
    <w:rsid w:val="45855C45"/>
    <w:rsid w:val="458B0897"/>
    <w:rsid w:val="45AE633E"/>
    <w:rsid w:val="45BA35E2"/>
    <w:rsid w:val="45C5072A"/>
    <w:rsid w:val="45C734F9"/>
    <w:rsid w:val="45C911E0"/>
    <w:rsid w:val="45CF2E79"/>
    <w:rsid w:val="45D6031A"/>
    <w:rsid w:val="45E61751"/>
    <w:rsid w:val="45E65C7A"/>
    <w:rsid w:val="45E975D9"/>
    <w:rsid w:val="45EA58D8"/>
    <w:rsid w:val="45FB3AA0"/>
    <w:rsid w:val="46032B23"/>
    <w:rsid w:val="462413C5"/>
    <w:rsid w:val="463F2D00"/>
    <w:rsid w:val="465F6DE9"/>
    <w:rsid w:val="466378CD"/>
    <w:rsid w:val="467D4A5C"/>
    <w:rsid w:val="468009C3"/>
    <w:rsid w:val="468E063F"/>
    <w:rsid w:val="46906224"/>
    <w:rsid w:val="469419FB"/>
    <w:rsid w:val="46A46B0C"/>
    <w:rsid w:val="46AF765B"/>
    <w:rsid w:val="46B832C1"/>
    <w:rsid w:val="46BA196D"/>
    <w:rsid w:val="46E250BE"/>
    <w:rsid w:val="46E9520A"/>
    <w:rsid w:val="472C2120"/>
    <w:rsid w:val="474A0FBF"/>
    <w:rsid w:val="475C4043"/>
    <w:rsid w:val="476C3D13"/>
    <w:rsid w:val="476D15CB"/>
    <w:rsid w:val="47743410"/>
    <w:rsid w:val="47AA76FA"/>
    <w:rsid w:val="47C85DD2"/>
    <w:rsid w:val="47CB2063"/>
    <w:rsid w:val="47DC7B7B"/>
    <w:rsid w:val="47E756FB"/>
    <w:rsid w:val="47ED38E3"/>
    <w:rsid w:val="4809072B"/>
    <w:rsid w:val="4818393D"/>
    <w:rsid w:val="482057DA"/>
    <w:rsid w:val="48396CD0"/>
    <w:rsid w:val="484648F7"/>
    <w:rsid w:val="484759FA"/>
    <w:rsid w:val="48504B47"/>
    <w:rsid w:val="4858739E"/>
    <w:rsid w:val="485E0D69"/>
    <w:rsid w:val="48662444"/>
    <w:rsid w:val="487D4E0F"/>
    <w:rsid w:val="48892425"/>
    <w:rsid w:val="48A87E70"/>
    <w:rsid w:val="48B6200F"/>
    <w:rsid w:val="48BD16AF"/>
    <w:rsid w:val="48CF18DA"/>
    <w:rsid w:val="48DA50B4"/>
    <w:rsid w:val="48DA773A"/>
    <w:rsid w:val="48FC4E6D"/>
    <w:rsid w:val="49102C7F"/>
    <w:rsid w:val="492359B6"/>
    <w:rsid w:val="492C65D4"/>
    <w:rsid w:val="493C4382"/>
    <w:rsid w:val="495027B8"/>
    <w:rsid w:val="49681DDE"/>
    <w:rsid w:val="49804BB7"/>
    <w:rsid w:val="498C6039"/>
    <w:rsid w:val="49A35ED3"/>
    <w:rsid w:val="49A76B50"/>
    <w:rsid w:val="49A77ED4"/>
    <w:rsid w:val="49B60563"/>
    <w:rsid w:val="49C97B22"/>
    <w:rsid w:val="49D60FDF"/>
    <w:rsid w:val="49E50EBD"/>
    <w:rsid w:val="49FD7ED0"/>
    <w:rsid w:val="4A2507D0"/>
    <w:rsid w:val="4A3414FD"/>
    <w:rsid w:val="4A4F6735"/>
    <w:rsid w:val="4A7522DE"/>
    <w:rsid w:val="4A7B712C"/>
    <w:rsid w:val="4A9B3185"/>
    <w:rsid w:val="4AA913F2"/>
    <w:rsid w:val="4AAB0447"/>
    <w:rsid w:val="4AAC6BD2"/>
    <w:rsid w:val="4AAF3CE0"/>
    <w:rsid w:val="4AB36943"/>
    <w:rsid w:val="4AB40322"/>
    <w:rsid w:val="4AD2416E"/>
    <w:rsid w:val="4AD30D16"/>
    <w:rsid w:val="4ADB406F"/>
    <w:rsid w:val="4AE54406"/>
    <w:rsid w:val="4AEE78FE"/>
    <w:rsid w:val="4AFA0201"/>
    <w:rsid w:val="4B114AF3"/>
    <w:rsid w:val="4B2033E9"/>
    <w:rsid w:val="4B2302FD"/>
    <w:rsid w:val="4B2C18FC"/>
    <w:rsid w:val="4B4A15AB"/>
    <w:rsid w:val="4B4A1B05"/>
    <w:rsid w:val="4B4D7AEB"/>
    <w:rsid w:val="4B6A39A8"/>
    <w:rsid w:val="4B8F5447"/>
    <w:rsid w:val="4B9448A9"/>
    <w:rsid w:val="4B9D5B96"/>
    <w:rsid w:val="4BAA5ED1"/>
    <w:rsid w:val="4BC47FB9"/>
    <w:rsid w:val="4BD9672F"/>
    <w:rsid w:val="4BDA0268"/>
    <w:rsid w:val="4BDD3E43"/>
    <w:rsid w:val="4C0513A3"/>
    <w:rsid w:val="4C144E40"/>
    <w:rsid w:val="4C1B38D4"/>
    <w:rsid w:val="4C2630C7"/>
    <w:rsid w:val="4C4F003A"/>
    <w:rsid w:val="4C611E98"/>
    <w:rsid w:val="4C6525E1"/>
    <w:rsid w:val="4C6B0617"/>
    <w:rsid w:val="4C722F28"/>
    <w:rsid w:val="4C727933"/>
    <w:rsid w:val="4C981319"/>
    <w:rsid w:val="4C9818B5"/>
    <w:rsid w:val="4CB05284"/>
    <w:rsid w:val="4CB16E35"/>
    <w:rsid w:val="4CB67988"/>
    <w:rsid w:val="4CB67C11"/>
    <w:rsid w:val="4CBA7643"/>
    <w:rsid w:val="4CBE371D"/>
    <w:rsid w:val="4CCA44B2"/>
    <w:rsid w:val="4CD04A15"/>
    <w:rsid w:val="4CE908CB"/>
    <w:rsid w:val="4CF84A64"/>
    <w:rsid w:val="4D043409"/>
    <w:rsid w:val="4D0A3E08"/>
    <w:rsid w:val="4D0C0798"/>
    <w:rsid w:val="4D0D7D70"/>
    <w:rsid w:val="4D161DBB"/>
    <w:rsid w:val="4D1B460B"/>
    <w:rsid w:val="4D267823"/>
    <w:rsid w:val="4D4B001D"/>
    <w:rsid w:val="4D61115C"/>
    <w:rsid w:val="4D6A2DDD"/>
    <w:rsid w:val="4D84002C"/>
    <w:rsid w:val="4D88319C"/>
    <w:rsid w:val="4D8C3B2A"/>
    <w:rsid w:val="4D902826"/>
    <w:rsid w:val="4D930ED8"/>
    <w:rsid w:val="4DA70238"/>
    <w:rsid w:val="4DA81CFA"/>
    <w:rsid w:val="4DAD0C10"/>
    <w:rsid w:val="4DBB3949"/>
    <w:rsid w:val="4DBB4542"/>
    <w:rsid w:val="4DC41DE8"/>
    <w:rsid w:val="4DD02F4B"/>
    <w:rsid w:val="4DDA70CD"/>
    <w:rsid w:val="4DF55840"/>
    <w:rsid w:val="4DFE0029"/>
    <w:rsid w:val="4E0F29BA"/>
    <w:rsid w:val="4E112C44"/>
    <w:rsid w:val="4E2D1F6C"/>
    <w:rsid w:val="4E372E8A"/>
    <w:rsid w:val="4E460B62"/>
    <w:rsid w:val="4E4F0BFE"/>
    <w:rsid w:val="4E543413"/>
    <w:rsid w:val="4E5A45A8"/>
    <w:rsid w:val="4E656129"/>
    <w:rsid w:val="4E670682"/>
    <w:rsid w:val="4E6C5DE1"/>
    <w:rsid w:val="4E6D16E9"/>
    <w:rsid w:val="4E846870"/>
    <w:rsid w:val="4E9151EC"/>
    <w:rsid w:val="4E9B67BC"/>
    <w:rsid w:val="4EB224F0"/>
    <w:rsid w:val="4EB30F6C"/>
    <w:rsid w:val="4EC27306"/>
    <w:rsid w:val="4EDB2A71"/>
    <w:rsid w:val="4EE239D8"/>
    <w:rsid w:val="4EE94641"/>
    <w:rsid w:val="4F042515"/>
    <w:rsid w:val="4F0E0EB8"/>
    <w:rsid w:val="4F1843E7"/>
    <w:rsid w:val="4F1B1C63"/>
    <w:rsid w:val="4F2553DB"/>
    <w:rsid w:val="4F3D0B7B"/>
    <w:rsid w:val="4F3E4DC9"/>
    <w:rsid w:val="4F457D08"/>
    <w:rsid w:val="4F4736CC"/>
    <w:rsid w:val="4F532425"/>
    <w:rsid w:val="4F5F0DCA"/>
    <w:rsid w:val="4F692643"/>
    <w:rsid w:val="4F695BB6"/>
    <w:rsid w:val="4F6C798B"/>
    <w:rsid w:val="4F746C04"/>
    <w:rsid w:val="4F9019DF"/>
    <w:rsid w:val="4F9E7A0D"/>
    <w:rsid w:val="4FB1737A"/>
    <w:rsid w:val="4FB4321E"/>
    <w:rsid w:val="4FBD29A4"/>
    <w:rsid w:val="4FD979F2"/>
    <w:rsid w:val="4FEA3E96"/>
    <w:rsid w:val="4FF27E90"/>
    <w:rsid w:val="4FF625BD"/>
    <w:rsid w:val="50034FBA"/>
    <w:rsid w:val="50051BA2"/>
    <w:rsid w:val="50067A26"/>
    <w:rsid w:val="501B510D"/>
    <w:rsid w:val="501E1A1C"/>
    <w:rsid w:val="503D7340"/>
    <w:rsid w:val="506021F2"/>
    <w:rsid w:val="50641625"/>
    <w:rsid w:val="5067484B"/>
    <w:rsid w:val="509542B2"/>
    <w:rsid w:val="50A2121E"/>
    <w:rsid w:val="50A309A8"/>
    <w:rsid w:val="50B044CF"/>
    <w:rsid w:val="50B72E52"/>
    <w:rsid w:val="50BF666E"/>
    <w:rsid w:val="50E55D68"/>
    <w:rsid w:val="50E6185A"/>
    <w:rsid w:val="50E7551B"/>
    <w:rsid w:val="50E85D56"/>
    <w:rsid w:val="50EA6846"/>
    <w:rsid w:val="50F47A0B"/>
    <w:rsid w:val="50F50A56"/>
    <w:rsid w:val="50F57D3C"/>
    <w:rsid w:val="5107796B"/>
    <w:rsid w:val="5116486C"/>
    <w:rsid w:val="51210641"/>
    <w:rsid w:val="5123052A"/>
    <w:rsid w:val="513368EC"/>
    <w:rsid w:val="513603E0"/>
    <w:rsid w:val="51387528"/>
    <w:rsid w:val="51437C75"/>
    <w:rsid w:val="51477D68"/>
    <w:rsid w:val="514E1587"/>
    <w:rsid w:val="51501348"/>
    <w:rsid w:val="515412A0"/>
    <w:rsid w:val="51551D75"/>
    <w:rsid w:val="51577195"/>
    <w:rsid w:val="516D67BC"/>
    <w:rsid w:val="518457F1"/>
    <w:rsid w:val="51857947"/>
    <w:rsid w:val="518656A6"/>
    <w:rsid w:val="518E46B7"/>
    <w:rsid w:val="519403F7"/>
    <w:rsid w:val="5194203F"/>
    <w:rsid w:val="51955765"/>
    <w:rsid w:val="51B11AEC"/>
    <w:rsid w:val="51BF3DA2"/>
    <w:rsid w:val="51C105F9"/>
    <w:rsid w:val="51C94C21"/>
    <w:rsid w:val="51D433F8"/>
    <w:rsid w:val="51E1082E"/>
    <w:rsid w:val="52075749"/>
    <w:rsid w:val="52092F10"/>
    <w:rsid w:val="52197AC7"/>
    <w:rsid w:val="523A5775"/>
    <w:rsid w:val="524C24BC"/>
    <w:rsid w:val="526A759C"/>
    <w:rsid w:val="527A43C6"/>
    <w:rsid w:val="527E38B1"/>
    <w:rsid w:val="52856796"/>
    <w:rsid w:val="528E6D27"/>
    <w:rsid w:val="52900B8B"/>
    <w:rsid w:val="52952D55"/>
    <w:rsid w:val="529D5C8E"/>
    <w:rsid w:val="52A7252D"/>
    <w:rsid w:val="52B14033"/>
    <w:rsid w:val="52B22DE6"/>
    <w:rsid w:val="52BD5910"/>
    <w:rsid w:val="52C35822"/>
    <w:rsid w:val="52CF0C27"/>
    <w:rsid w:val="52D01FDF"/>
    <w:rsid w:val="52E45B92"/>
    <w:rsid w:val="52E506EB"/>
    <w:rsid w:val="52E72BE5"/>
    <w:rsid w:val="52F162D0"/>
    <w:rsid w:val="530C1B08"/>
    <w:rsid w:val="5320688E"/>
    <w:rsid w:val="53251FB9"/>
    <w:rsid w:val="533109EA"/>
    <w:rsid w:val="53682217"/>
    <w:rsid w:val="536A5F90"/>
    <w:rsid w:val="536E789B"/>
    <w:rsid w:val="537233AA"/>
    <w:rsid w:val="537335D2"/>
    <w:rsid w:val="537920FC"/>
    <w:rsid w:val="537C6790"/>
    <w:rsid w:val="5385101B"/>
    <w:rsid w:val="539574B0"/>
    <w:rsid w:val="539A63C3"/>
    <w:rsid w:val="53A41EEB"/>
    <w:rsid w:val="53AA427E"/>
    <w:rsid w:val="53BB5C5A"/>
    <w:rsid w:val="53BF36C2"/>
    <w:rsid w:val="53C807F8"/>
    <w:rsid w:val="53E94069"/>
    <w:rsid w:val="53F50E1D"/>
    <w:rsid w:val="54007CFB"/>
    <w:rsid w:val="54065CB8"/>
    <w:rsid w:val="541D1C42"/>
    <w:rsid w:val="542720D3"/>
    <w:rsid w:val="54613836"/>
    <w:rsid w:val="546B0211"/>
    <w:rsid w:val="546E1CC1"/>
    <w:rsid w:val="547F1F0F"/>
    <w:rsid w:val="548B08B3"/>
    <w:rsid w:val="548E6AD0"/>
    <w:rsid w:val="549456CF"/>
    <w:rsid w:val="54984837"/>
    <w:rsid w:val="549A4653"/>
    <w:rsid w:val="549E0435"/>
    <w:rsid w:val="54B41BB8"/>
    <w:rsid w:val="54B5148C"/>
    <w:rsid w:val="54BB625E"/>
    <w:rsid w:val="54F56ADF"/>
    <w:rsid w:val="54F950B9"/>
    <w:rsid w:val="5507618C"/>
    <w:rsid w:val="550765AD"/>
    <w:rsid w:val="551F09C2"/>
    <w:rsid w:val="55306D65"/>
    <w:rsid w:val="553538A2"/>
    <w:rsid w:val="5537314C"/>
    <w:rsid w:val="55581C62"/>
    <w:rsid w:val="555C38D4"/>
    <w:rsid w:val="557F054C"/>
    <w:rsid w:val="55804C4D"/>
    <w:rsid w:val="55805F3E"/>
    <w:rsid w:val="55853555"/>
    <w:rsid w:val="55874323"/>
    <w:rsid w:val="55905070"/>
    <w:rsid w:val="55A44EAB"/>
    <w:rsid w:val="55A54E1C"/>
    <w:rsid w:val="55B8760D"/>
    <w:rsid w:val="55C20305"/>
    <w:rsid w:val="55CA182B"/>
    <w:rsid w:val="55D0087D"/>
    <w:rsid w:val="55D1751C"/>
    <w:rsid w:val="55DB7A63"/>
    <w:rsid w:val="55E81A73"/>
    <w:rsid w:val="56180EB4"/>
    <w:rsid w:val="563A60ED"/>
    <w:rsid w:val="56405DC9"/>
    <w:rsid w:val="56446F6C"/>
    <w:rsid w:val="56466CFB"/>
    <w:rsid w:val="56476FF0"/>
    <w:rsid w:val="565D55F9"/>
    <w:rsid w:val="566128EF"/>
    <w:rsid w:val="5668109E"/>
    <w:rsid w:val="567F0E22"/>
    <w:rsid w:val="568430D7"/>
    <w:rsid w:val="569D2515"/>
    <w:rsid w:val="56A14FB4"/>
    <w:rsid w:val="56B4773C"/>
    <w:rsid w:val="56C16039"/>
    <w:rsid w:val="56D73BB4"/>
    <w:rsid w:val="56E44D6B"/>
    <w:rsid w:val="57355D8D"/>
    <w:rsid w:val="5737555F"/>
    <w:rsid w:val="573D4A5D"/>
    <w:rsid w:val="573F2D6B"/>
    <w:rsid w:val="57563EB4"/>
    <w:rsid w:val="575E22AF"/>
    <w:rsid w:val="576863F9"/>
    <w:rsid w:val="576B0506"/>
    <w:rsid w:val="578A30A4"/>
    <w:rsid w:val="579664CC"/>
    <w:rsid w:val="57995095"/>
    <w:rsid w:val="57A74818"/>
    <w:rsid w:val="57AB0DA5"/>
    <w:rsid w:val="57CC546B"/>
    <w:rsid w:val="57CD6698"/>
    <w:rsid w:val="57DD4F82"/>
    <w:rsid w:val="57EB29F2"/>
    <w:rsid w:val="57F64A30"/>
    <w:rsid w:val="57F70204"/>
    <w:rsid w:val="57F7034F"/>
    <w:rsid w:val="57F878BB"/>
    <w:rsid w:val="580649C1"/>
    <w:rsid w:val="580B2A22"/>
    <w:rsid w:val="581C286A"/>
    <w:rsid w:val="582937B3"/>
    <w:rsid w:val="583008DF"/>
    <w:rsid w:val="583215D0"/>
    <w:rsid w:val="58326493"/>
    <w:rsid w:val="583D29F9"/>
    <w:rsid w:val="585D25CA"/>
    <w:rsid w:val="58705DF6"/>
    <w:rsid w:val="587B2BC7"/>
    <w:rsid w:val="588B59A3"/>
    <w:rsid w:val="58911275"/>
    <w:rsid w:val="58AA2C3A"/>
    <w:rsid w:val="58B3282B"/>
    <w:rsid w:val="58BD284A"/>
    <w:rsid w:val="58D640D2"/>
    <w:rsid w:val="58D740C7"/>
    <w:rsid w:val="59131F57"/>
    <w:rsid w:val="59133F81"/>
    <w:rsid w:val="591B6794"/>
    <w:rsid w:val="59363A5E"/>
    <w:rsid w:val="594828CF"/>
    <w:rsid w:val="5975743C"/>
    <w:rsid w:val="59A02B41"/>
    <w:rsid w:val="59A27613"/>
    <w:rsid w:val="59BE5F83"/>
    <w:rsid w:val="59D0262B"/>
    <w:rsid w:val="59E52840"/>
    <w:rsid w:val="59EE791A"/>
    <w:rsid w:val="59EF3692"/>
    <w:rsid w:val="5A0564BE"/>
    <w:rsid w:val="5A212E99"/>
    <w:rsid w:val="5A274BDA"/>
    <w:rsid w:val="5A303319"/>
    <w:rsid w:val="5A384ABA"/>
    <w:rsid w:val="5A4812E8"/>
    <w:rsid w:val="5A782D91"/>
    <w:rsid w:val="5A7C4F26"/>
    <w:rsid w:val="5A84202D"/>
    <w:rsid w:val="5A8A7C62"/>
    <w:rsid w:val="5A991F91"/>
    <w:rsid w:val="5AAB0B54"/>
    <w:rsid w:val="5AB71A4D"/>
    <w:rsid w:val="5ABE267E"/>
    <w:rsid w:val="5AC266B1"/>
    <w:rsid w:val="5AC96837"/>
    <w:rsid w:val="5AD60F96"/>
    <w:rsid w:val="5AE41419"/>
    <w:rsid w:val="5AF05E01"/>
    <w:rsid w:val="5AF9278A"/>
    <w:rsid w:val="5B0D5ACB"/>
    <w:rsid w:val="5B1939D9"/>
    <w:rsid w:val="5B1A64ED"/>
    <w:rsid w:val="5B244EB1"/>
    <w:rsid w:val="5B307306"/>
    <w:rsid w:val="5B400934"/>
    <w:rsid w:val="5B4F5BFF"/>
    <w:rsid w:val="5B600C6F"/>
    <w:rsid w:val="5B61411C"/>
    <w:rsid w:val="5B6223A3"/>
    <w:rsid w:val="5B6A7D58"/>
    <w:rsid w:val="5B7A5691"/>
    <w:rsid w:val="5B863B83"/>
    <w:rsid w:val="5B9840FE"/>
    <w:rsid w:val="5B9A4E6A"/>
    <w:rsid w:val="5BAC20F2"/>
    <w:rsid w:val="5BC419AB"/>
    <w:rsid w:val="5BD16D68"/>
    <w:rsid w:val="5BD35CA1"/>
    <w:rsid w:val="5BD5009A"/>
    <w:rsid w:val="5BD605AC"/>
    <w:rsid w:val="5BDA6742"/>
    <w:rsid w:val="5BE42C0C"/>
    <w:rsid w:val="5BED4606"/>
    <w:rsid w:val="5BFA7AA1"/>
    <w:rsid w:val="5C032BD0"/>
    <w:rsid w:val="5C0B5E1C"/>
    <w:rsid w:val="5C2149BB"/>
    <w:rsid w:val="5C2F7D76"/>
    <w:rsid w:val="5C354358"/>
    <w:rsid w:val="5C3A003F"/>
    <w:rsid w:val="5C3E7FB9"/>
    <w:rsid w:val="5C473312"/>
    <w:rsid w:val="5C5771DC"/>
    <w:rsid w:val="5C7B61E8"/>
    <w:rsid w:val="5C7C6623"/>
    <w:rsid w:val="5C85706F"/>
    <w:rsid w:val="5C9522CF"/>
    <w:rsid w:val="5CB62246"/>
    <w:rsid w:val="5CDC4E93"/>
    <w:rsid w:val="5CED1619"/>
    <w:rsid w:val="5CF21854"/>
    <w:rsid w:val="5D0330B8"/>
    <w:rsid w:val="5D072AA1"/>
    <w:rsid w:val="5D0E501A"/>
    <w:rsid w:val="5D1217CA"/>
    <w:rsid w:val="5D2011EE"/>
    <w:rsid w:val="5D2D4537"/>
    <w:rsid w:val="5D2F0E01"/>
    <w:rsid w:val="5D394B2B"/>
    <w:rsid w:val="5D3D7004"/>
    <w:rsid w:val="5D5E10EC"/>
    <w:rsid w:val="5D6A3A99"/>
    <w:rsid w:val="5D8F1ECE"/>
    <w:rsid w:val="5D8F31C2"/>
    <w:rsid w:val="5D912377"/>
    <w:rsid w:val="5D924A61"/>
    <w:rsid w:val="5D9C143B"/>
    <w:rsid w:val="5D9F2244"/>
    <w:rsid w:val="5DBA685B"/>
    <w:rsid w:val="5DBC4321"/>
    <w:rsid w:val="5DC1475D"/>
    <w:rsid w:val="5DCE15B8"/>
    <w:rsid w:val="5DD05414"/>
    <w:rsid w:val="5DDF5CD5"/>
    <w:rsid w:val="5DE40203"/>
    <w:rsid w:val="5DF52A18"/>
    <w:rsid w:val="5E0B7922"/>
    <w:rsid w:val="5E1324F6"/>
    <w:rsid w:val="5E136FDE"/>
    <w:rsid w:val="5E187A25"/>
    <w:rsid w:val="5E3945AA"/>
    <w:rsid w:val="5E6D561C"/>
    <w:rsid w:val="5E7128C8"/>
    <w:rsid w:val="5E766130"/>
    <w:rsid w:val="5E856502"/>
    <w:rsid w:val="5E8C37C6"/>
    <w:rsid w:val="5E8D3FB3"/>
    <w:rsid w:val="5EBC649C"/>
    <w:rsid w:val="5EC93B52"/>
    <w:rsid w:val="5ED05841"/>
    <w:rsid w:val="5ED35331"/>
    <w:rsid w:val="5EDF2062"/>
    <w:rsid w:val="5EE26C41"/>
    <w:rsid w:val="5EE35A61"/>
    <w:rsid w:val="5EE35C3F"/>
    <w:rsid w:val="5EE412EC"/>
    <w:rsid w:val="5EE4550A"/>
    <w:rsid w:val="5EF24A69"/>
    <w:rsid w:val="5F0F58FA"/>
    <w:rsid w:val="5F1D6D4B"/>
    <w:rsid w:val="5F230F8F"/>
    <w:rsid w:val="5F36141C"/>
    <w:rsid w:val="5F41007D"/>
    <w:rsid w:val="5F467B3C"/>
    <w:rsid w:val="5F4E3AC1"/>
    <w:rsid w:val="5F573B8C"/>
    <w:rsid w:val="5F577D10"/>
    <w:rsid w:val="5F6340B0"/>
    <w:rsid w:val="5F741F72"/>
    <w:rsid w:val="5F7C7C73"/>
    <w:rsid w:val="5F8054A9"/>
    <w:rsid w:val="5F955A33"/>
    <w:rsid w:val="5F963B95"/>
    <w:rsid w:val="5F990328"/>
    <w:rsid w:val="5FAD16DE"/>
    <w:rsid w:val="5FB66F29"/>
    <w:rsid w:val="5FC229D6"/>
    <w:rsid w:val="5FD00309"/>
    <w:rsid w:val="5FD70593"/>
    <w:rsid w:val="5FE20D54"/>
    <w:rsid w:val="5FE31B71"/>
    <w:rsid w:val="5FE81B04"/>
    <w:rsid w:val="5FFB5969"/>
    <w:rsid w:val="6020520C"/>
    <w:rsid w:val="603E2017"/>
    <w:rsid w:val="60453A0D"/>
    <w:rsid w:val="60514A84"/>
    <w:rsid w:val="605B6893"/>
    <w:rsid w:val="606A2EC4"/>
    <w:rsid w:val="606C1599"/>
    <w:rsid w:val="608A299F"/>
    <w:rsid w:val="609610E9"/>
    <w:rsid w:val="60A0523E"/>
    <w:rsid w:val="60B57D15"/>
    <w:rsid w:val="60CD74EA"/>
    <w:rsid w:val="60D07D7A"/>
    <w:rsid w:val="60DC114A"/>
    <w:rsid w:val="60E2185B"/>
    <w:rsid w:val="60E43825"/>
    <w:rsid w:val="60E92BEA"/>
    <w:rsid w:val="60EE6C94"/>
    <w:rsid w:val="6103085D"/>
    <w:rsid w:val="61073D37"/>
    <w:rsid w:val="6109503A"/>
    <w:rsid w:val="610C0686"/>
    <w:rsid w:val="6130773D"/>
    <w:rsid w:val="614B30F7"/>
    <w:rsid w:val="6153376C"/>
    <w:rsid w:val="616E1341"/>
    <w:rsid w:val="61787C68"/>
    <w:rsid w:val="617E77D6"/>
    <w:rsid w:val="61882638"/>
    <w:rsid w:val="618F76AE"/>
    <w:rsid w:val="61A34137"/>
    <w:rsid w:val="61AA0BE8"/>
    <w:rsid w:val="61C204EF"/>
    <w:rsid w:val="61D92C5E"/>
    <w:rsid w:val="61EE3C4B"/>
    <w:rsid w:val="62025AC3"/>
    <w:rsid w:val="62210454"/>
    <w:rsid w:val="62255EA3"/>
    <w:rsid w:val="62261C1B"/>
    <w:rsid w:val="622738DC"/>
    <w:rsid w:val="625A72E6"/>
    <w:rsid w:val="625E6CB7"/>
    <w:rsid w:val="628726BA"/>
    <w:rsid w:val="628F33F4"/>
    <w:rsid w:val="62A12D3E"/>
    <w:rsid w:val="62A2324F"/>
    <w:rsid w:val="62A52B40"/>
    <w:rsid w:val="62A66409"/>
    <w:rsid w:val="62B706C7"/>
    <w:rsid w:val="62E5110B"/>
    <w:rsid w:val="62FB09B2"/>
    <w:rsid w:val="63012912"/>
    <w:rsid w:val="630F0C7A"/>
    <w:rsid w:val="63144DD9"/>
    <w:rsid w:val="6315751D"/>
    <w:rsid w:val="631F7287"/>
    <w:rsid w:val="63316ACA"/>
    <w:rsid w:val="634E1FB8"/>
    <w:rsid w:val="636B6C93"/>
    <w:rsid w:val="637B4714"/>
    <w:rsid w:val="638C34F2"/>
    <w:rsid w:val="639257BA"/>
    <w:rsid w:val="63B81330"/>
    <w:rsid w:val="63D13E2A"/>
    <w:rsid w:val="640912D0"/>
    <w:rsid w:val="6443602B"/>
    <w:rsid w:val="64690252"/>
    <w:rsid w:val="646D0802"/>
    <w:rsid w:val="64754395"/>
    <w:rsid w:val="64760C38"/>
    <w:rsid w:val="647B0E2D"/>
    <w:rsid w:val="649E71CC"/>
    <w:rsid w:val="64CD6456"/>
    <w:rsid w:val="64D12312"/>
    <w:rsid w:val="64E961BE"/>
    <w:rsid w:val="64EF4547"/>
    <w:rsid w:val="64F53A18"/>
    <w:rsid w:val="65036F8F"/>
    <w:rsid w:val="65071EB3"/>
    <w:rsid w:val="650A3CC9"/>
    <w:rsid w:val="65133987"/>
    <w:rsid w:val="65172AEE"/>
    <w:rsid w:val="65180AF8"/>
    <w:rsid w:val="65343DE0"/>
    <w:rsid w:val="65612AD8"/>
    <w:rsid w:val="6569254B"/>
    <w:rsid w:val="657541C2"/>
    <w:rsid w:val="6589748D"/>
    <w:rsid w:val="65991F2D"/>
    <w:rsid w:val="65A31E64"/>
    <w:rsid w:val="65A36811"/>
    <w:rsid w:val="65C941D2"/>
    <w:rsid w:val="65D4562B"/>
    <w:rsid w:val="65DE6309"/>
    <w:rsid w:val="65E11EF7"/>
    <w:rsid w:val="65EF2CF0"/>
    <w:rsid w:val="66103D73"/>
    <w:rsid w:val="66285F62"/>
    <w:rsid w:val="6635242D"/>
    <w:rsid w:val="663C11D8"/>
    <w:rsid w:val="663C1604"/>
    <w:rsid w:val="664408C2"/>
    <w:rsid w:val="6659611C"/>
    <w:rsid w:val="665E03F0"/>
    <w:rsid w:val="66714988"/>
    <w:rsid w:val="667E3EC0"/>
    <w:rsid w:val="668062FC"/>
    <w:rsid w:val="66821CF9"/>
    <w:rsid w:val="668F4A52"/>
    <w:rsid w:val="66946455"/>
    <w:rsid w:val="669730E8"/>
    <w:rsid w:val="66AA5B84"/>
    <w:rsid w:val="66BC4927"/>
    <w:rsid w:val="66C13303"/>
    <w:rsid w:val="66C80737"/>
    <w:rsid w:val="66D31219"/>
    <w:rsid w:val="66D400B1"/>
    <w:rsid w:val="66DE2AC5"/>
    <w:rsid w:val="66DF7335"/>
    <w:rsid w:val="66EF6944"/>
    <w:rsid w:val="66F45E44"/>
    <w:rsid w:val="66FA215B"/>
    <w:rsid w:val="67086733"/>
    <w:rsid w:val="67132B98"/>
    <w:rsid w:val="671A2F6C"/>
    <w:rsid w:val="671E1113"/>
    <w:rsid w:val="672524A2"/>
    <w:rsid w:val="672C4A61"/>
    <w:rsid w:val="672C55DE"/>
    <w:rsid w:val="67381F9D"/>
    <w:rsid w:val="6746061B"/>
    <w:rsid w:val="674D3D3F"/>
    <w:rsid w:val="67550474"/>
    <w:rsid w:val="67697E25"/>
    <w:rsid w:val="67755984"/>
    <w:rsid w:val="677B3E11"/>
    <w:rsid w:val="67805F84"/>
    <w:rsid w:val="678238B6"/>
    <w:rsid w:val="67894088"/>
    <w:rsid w:val="6798320E"/>
    <w:rsid w:val="67A1534C"/>
    <w:rsid w:val="67A455D5"/>
    <w:rsid w:val="67A45ABC"/>
    <w:rsid w:val="67A755AC"/>
    <w:rsid w:val="67AF00E2"/>
    <w:rsid w:val="67B17D2B"/>
    <w:rsid w:val="67C100F4"/>
    <w:rsid w:val="67CC136F"/>
    <w:rsid w:val="67CD7156"/>
    <w:rsid w:val="67D933C8"/>
    <w:rsid w:val="67DA14DE"/>
    <w:rsid w:val="67DD1078"/>
    <w:rsid w:val="67E30616"/>
    <w:rsid w:val="67F87BB6"/>
    <w:rsid w:val="67F93745"/>
    <w:rsid w:val="68094ABE"/>
    <w:rsid w:val="680B58AB"/>
    <w:rsid w:val="680D4692"/>
    <w:rsid w:val="683400B7"/>
    <w:rsid w:val="685459C4"/>
    <w:rsid w:val="68793FCA"/>
    <w:rsid w:val="688547FA"/>
    <w:rsid w:val="68975621"/>
    <w:rsid w:val="68AE0222"/>
    <w:rsid w:val="68BB130F"/>
    <w:rsid w:val="68D13432"/>
    <w:rsid w:val="68D34E91"/>
    <w:rsid w:val="68D75A1D"/>
    <w:rsid w:val="68DB7F4E"/>
    <w:rsid w:val="68DC0A90"/>
    <w:rsid w:val="68E50078"/>
    <w:rsid w:val="68F04C35"/>
    <w:rsid w:val="68F24741"/>
    <w:rsid w:val="68F377B0"/>
    <w:rsid w:val="690B6C28"/>
    <w:rsid w:val="69100420"/>
    <w:rsid w:val="692A7F8C"/>
    <w:rsid w:val="693615C1"/>
    <w:rsid w:val="69726A55"/>
    <w:rsid w:val="697F530A"/>
    <w:rsid w:val="69846199"/>
    <w:rsid w:val="699B063E"/>
    <w:rsid w:val="69B22968"/>
    <w:rsid w:val="69B55FD4"/>
    <w:rsid w:val="69CF4947"/>
    <w:rsid w:val="69D106BF"/>
    <w:rsid w:val="69FA3D1C"/>
    <w:rsid w:val="69FC6B01"/>
    <w:rsid w:val="6A0942FC"/>
    <w:rsid w:val="6A0C66BF"/>
    <w:rsid w:val="6A184F47"/>
    <w:rsid w:val="6A1F58CE"/>
    <w:rsid w:val="6A2E2725"/>
    <w:rsid w:val="6A3D7441"/>
    <w:rsid w:val="6A3E1DE9"/>
    <w:rsid w:val="6A42336B"/>
    <w:rsid w:val="6A5962C4"/>
    <w:rsid w:val="6A5A6906"/>
    <w:rsid w:val="6A657521"/>
    <w:rsid w:val="6A6A16CD"/>
    <w:rsid w:val="6A6C4FD8"/>
    <w:rsid w:val="6A786D8C"/>
    <w:rsid w:val="6AAB3A9D"/>
    <w:rsid w:val="6ABC311D"/>
    <w:rsid w:val="6AC54251"/>
    <w:rsid w:val="6ACD4BA6"/>
    <w:rsid w:val="6AD16EC7"/>
    <w:rsid w:val="6ADC25E1"/>
    <w:rsid w:val="6AEA6655"/>
    <w:rsid w:val="6AEB3A02"/>
    <w:rsid w:val="6AEC13C1"/>
    <w:rsid w:val="6AEC76D4"/>
    <w:rsid w:val="6AF6662F"/>
    <w:rsid w:val="6B510402"/>
    <w:rsid w:val="6B574BF4"/>
    <w:rsid w:val="6B5945CF"/>
    <w:rsid w:val="6B5E42AC"/>
    <w:rsid w:val="6B5F5FD1"/>
    <w:rsid w:val="6B601D3B"/>
    <w:rsid w:val="6B6327F6"/>
    <w:rsid w:val="6B65142C"/>
    <w:rsid w:val="6B751CE5"/>
    <w:rsid w:val="6B8340F7"/>
    <w:rsid w:val="6BA37E39"/>
    <w:rsid w:val="6BB16C12"/>
    <w:rsid w:val="6BB64F14"/>
    <w:rsid w:val="6BBB1626"/>
    <w:rsid w:val="6BCD2AFF"/>
    <w:rsid w:val="6BD116D9"/>
    <w:rsid w:val="6BDB75D3"/>
    <w:rsid w:val="6BDC1E77"/>
    <w:rsid w:val="6BE91CF0"/>
    <w:rsid w:val="6BE95DD7"/>
    <w:rsid w:val="6C0C7A7C"/>
    <w:rsid w:val="6C240F7A"/>
    <w:rsid w:val="6C4859F1"/>
    <w:rsid w:val="6C4E1FA3"/>
    <w:rsid w:val="6C65505C"/>
    <w:rsid w:val="6C783074"/>
    <w:rsid w:val="6C7C0D36"/>
    <w:rsid w:val="6C7F7C1C"/>
    <w:rsid w:val="6C841C3A"/>
    <w:rsid w:val="6C8B2DA7"/>
    <w:rsid w:val="6CA655AD"/>
    <w:rsid w:val="6CA675F8"/>
    <w:rsid w:val="6CA91782"/>
    <w:rsid w:val="6CB565B3"/>
    <w:rsid w:val="6CB70040"/>
    <w:rsid w:val="6CC67CC3"/>
    <w:rsid w:val="6CCA77E4"/>
    <w:rsid w:val="6CD57EAD"/>
    <w:rsid w:val="6CDD2C1D"/>
    <w:rsid w:val="6CE24195"/>
    <w:rsid w:val="6CE842B7"/>
    <w:rsid w:val="6CEE3336"/>
    <w:rsid w:val="6CFA617E"/>
    <w:rsid w:val="6D00196C"/>
    <w:rsid w:val="6D08798C"/>
    <w:rsid w:val="6D0D7C60"/>
    <w:rsid w:val="6D184DC4"/>
    <w:rsid w:val="6D201BB4"/>
    <w:rsid w:val="6D286848"/>
    <w:rsid w:val="6D371181"/>
    <w:rsid w:val="6D3D02C0"/>
    <w:rsid w:val="6D677152"/>
    <w:rsid w:val="6D6B4183"/>
    <w:rsid w:val="6D743834"/>
    <w:rsid w:val="6DA73C10"/>
    <w:rsid w:val="6DB273BE"/>
    <w:rsid w:val="6DB77BCC"/>
    <w:rsid w:val="6DBC51E2"/>
    <w:rsid w:val="6DBD739B"/>
    <w:rsid w:val="6DCF3167"/>
    <w:rsid w:val="6DDC1615"/>
    <w:rsid w:val="6E0874CE"/>
    <w:rsid w:val="6E3051AF"/>
    <w:rsid w:val="6E327FB5"/>
    <w:rsid w:val="6E364F94"/>
    <w:rsid w:val="6E5042A8"/>
    <w:rsid w:val="6E553BDE"/>
    <w:rsid w:val="6E6E61CB"/>
    <w:rsid w:val="6E71421E"/>
    <w:rsid w:val="6E7778FB"/>
    <w:rsid w:val="6E7A5A98"/>
    <w:rsid w:val="6E8B387C"/>
    <w:rsid w:val="6E8D262C"/>
    <w:rsid w:val="6E985C4F"/>
    <w:rsid w:val="6EE40EB5"/>
    <w:rsid w:val="6EF10982"/>
    <w:rsid w:val="6EF52BFF"/>
    <w:rsid w:val="6EF54D98"/>
    <w:rsid w:val="6EFA2466"/>
    <w:rsid w:val="6F0926A9"/>
    <w:rsid w:val="6F107757"/>
    <w:rsid w:val="6F1618BC"/>
    <w:rsid w:val="6F164DD9"/>
    <w:rsid w:val="6F18352C"/>
    <w:rsid w:val="6F2F1B20"/>
    <w:rsid w:val="6F2F210F"/>
    <w:rsid w:val="6F4E70DA"/>
    <w:rsid w:val="6F517354"/>
    <w:rsid w:val="6F5E4972"/>
    <w:rsid w:val="6F840784"/>
    <w:rsid w:val="6F887A72"/>
    <w:rsid w:val="6F9D0676"/>
    <w:rsid w:val="6FA843BB"/>
    <w:rsid w:val="6FB90493"/>
    <w:rsid w:val="6FBF25D5"/>
    <w:rsid w:val="6FC26645"/>
    <w:rsid w:val="6FC767C3"/>
    <w:rsid w:val="6FEC2FF1"/>
    <w:rsid w:val="700B5F53"/>
    <w:rsid w:val="7012670B"/>
    <w:rsid w:val="701267C9"/>
    <w:rsid w:val="701F7759"/>
    <w:rsid w:val="7021318F"/>
    <w:rsid w:val="70230CBF"/>
    <w:rsid w:val="703419A7"/>
    <w:rsid w:val="7038387B"/>
    <w:rsid w:val="705067E1"/>
    <w:rsid w:val="70756D77"/>
    <w:rsid w:val="707E0BD8"/>
    <w:rsid w:val="7080520C"/>
    <w:rsid w:val="7090112E"/>
    <w:rsid w:val="70904E30"/>
    <w:rsid w:val="70937EDE"/>
    <w:rsid w:val="709D2305"/>
    <w:rsid w:val="709F2B32"/>
    <w:rsid w:val="70A42689"/>
    <w:rsid w:val="70C42D2B"/>
    <w:rsid w:val="70C732DA"/>
    <w:rsid w:val="70D10E1A"/>
    <w:rsid w:val="70DD7A9D"/>
    <w:rsid w:val="70E873D8"/>
    <w:rsid w:val="70E92AF3"/>
    <w:rsid w:val="70F6637C"/>
    <w:rsid w:val="7101329C"/>
    <w:rsid w:val="7101671C"/>
    <w:rsid w:val="710D47CF"/>
    <w:rsid w:val="710F02DC"/>
    <w:rsid w:val="711456B4"/>
    <w:rsid w:val="711C4FBD"/>
    <w:rsid w:val="7120131E"/>
    <w:rsid w:val="71282A75"/>
    <w:rsid w:val="71381023"/>
    <w:rsid w:val="71593474"/>
    <w:rsid w:val="71596CC2"/>
    <w:rsid w:val="71676D11"/>
    <w:rsid w:val="718801FD"/>
    <w:rsid w:val="71926986"/>
    <w:rsid w:val="71A927B9"/>
    <w:rsid w:val="71BE3C1E"/>
    <w:rsid w:val="71BF7D4C"/>
    <w:rsid w:val="71C05268"/>
    <w:rsid w:val="71CF18CE"/>
    <w:rsid w:val="71E52F59"/>
    <w:rsid w:val="71E80C9B"/>
    <w:rsid w:val="720262D4"/>
    <w:rsid w:val="72106980"/>
    <w:rsid w:val="7221099D"/>
    <w:rsid w:val="72231346"/>
    <w:rsid w:val="72637D44"/>
    <w:rsid w:val="726C71D7"/>
    <w:rsid w:val="727953E3"/>
    <w:rsid w:val="727A0326"/>
    <w:rsid w:val="727C014C"/>
    <w:rsid w:val="72A328D9"/>
    <w:rsid w:val="72A45766"/>
    <w:rsid w:val="72AC6DFC"/>
    <w:rsid w:val="72C82923"/>
    <w:rsid w:val="72D1774A"/>
    <w:rsid w:val="72D37ED4"/>
    <w:rsid w:val="72D948CC"/>
    <w:rsid w:val="72FB4065"/>
    <w:rsid w:val="73104D96"/>
    <w:rsid w:val="73124222"/>
    <w:rsid w:val="73131DFE"/>
    <w:rsid w:val="73387EC0"/>
    <w:rsid w:val="73393E4E"/>
    <w:rsid w:val="734716BA"/>
    <w:rsid w:val="734F0FD2"/>
    <w:rsid w:val="735A34D3"/>
    <w:rsid w:val="73601522"/>
    <w:rsid w:val="73702CF6"/>
    <w:rsid w:val="737B09C9"/>
    <w:rsid w:val="737F2F3A"/>
    <w:rsid w:val="73854EF4"/>
    <w:rsid w:val="738B18DE"/>
    <w:rsid w:val="738F7621"/>
    <w:rsid w:val="73D239B1"/>
    <w:rsid w:val="73EA666A"/>
    <w:rsid w:val="73FD53D5"/>
    <w:rsid w:val="73FD79EB"/>
    <w:rsid w:val="740D50D2"/>
    <w:rsid w:val="740E4617"/>
    <w:rsid w:val="742D2854"/>
    <w:rsid w:val="744D3038"/>
    <w:rsid w:val="7462388B"/>
    <w:rsid w:val="746C3BA2"/>
    <w:rsid w:val="7479348D"/>
    <w:rsid w:val="7483764E"/>
    <w:rsid w:val="74842EFD"/>
    <w:rsid w:val="74A62F76"/>
    <w:rsid w:val="74B142F1"/>
    <w:rsid w:val="74B86703"/>
    <w:rsid w:val="74DC6388"/>
    <w:rsid w:val="74EA2BF3"/>
    <w:rsid w:val="74EA5A04"/>
    <w:rsid w:val="74F7386A"/>
    <w:rsid w:val="74FB55CD"/>
    <w:rsid w:val="75020BE3"/>
    <w:rsid w:val="75037F41"/>
    <w:rsid w:val="750740F3"/>
    <w:rsid w:val="750B4F43"/>
    <w:rsid w:val="750D0913"/>
    <w:rsid w:val="7511445C"/>
    <w:rsid w:val="75120509"/>
    <w:rsid w:val="751F545D"/>
    <w:rsid w:val="753A35BC"/>
    <w:rsid w:val="754C14DB"/>
    <w:rsid w:val="7567769F"/>
    <w:rsid w:val="756A6FCE"/>
    <w:rsid w:val="756D6306"/>
    <w:rsid w:val="7574140D"/>
    <w:rsid w:val="758051DE"/>
    <w:rsid w:val="75866B03"/>
    <w:rsid w:val="758B30EE"/>
    <w:rsid w:val="758D1184"/>
    <w:rsid w:val="759913C6"/>
    <w:rsid w:val="75AE5003"/>
    <w:rsid w:val="75B515B9"/>
    <w:rsid w:val="75B9571C"/>
    <w:rsid w:val="75BD30D1"/>
    <w:rsid w:val="75C8506C"/>
    <w:rsid w:val="75C9484F"/>
    <w:rsid w:val="75D25EEA"/>
    <w:rsid w:val="75DB5193"/>
    <w:rsid w:val="75EA4FE2"/>
    <w:rsid w:val="75EF6B1F"/>
    <w:rsid w:val="75F0757B"/>
    <w:rsid w:val="75F406CA"/>
    <w:rsid w:val="75F875DA"/>
    <w:rsid w:val="75F92705"/>
    <w:rsid w:val="75F96A63"/>
    <w:rsid w:val="75FE0A8D"/>
    <w:rsid w:val="761E7A96"/>
    <w:rsid w:val="7625426C"/>
    <w:rsid w:val="76273FDD"/>
    <w:rsid w:val="7633519A"/>
    <w:rsid w:val="763B55AB"/>
    <w:rsid w:val="764C17F9"/>
    <w:rsid w:val="764E2556"/>
    <w:rsid w:val="76693B0E"/>
    <w:rsid w:val="766B0E9C"/>
    <w:rsid w:val="76872831"/>
    <w:rsid w:val="76960CC6"/>
    <w:rsid w:val="769A48E2"/>
    <w:rsid w:val="76AF148C"/>
    <w:rsid w:val="76B850E0"/>
    <w:rsid w:val="76DB48E7"/>
    <w:rsid w:val="76DB492B"/>
    <w:rsid w:val="76DF2562"/>
    <w:rsid w:val="76E24079"/>
    <w:rsid w:val="76E46758"/>
    <w:rsid w:val="76F459ED"/>
    <w:rsid w:val="770B3840"/>
    <w:rsid w:val="771403A2"/>
    <w:rsid w:val="77277B70"/>
    <w:rsid w:val="772C1565"/>
    <w:rsid w:val="7735228D"/>
    <w:rsid w:val="77395F93"/>
    <w:rsid w:val="773E7E2D"/>
    <w:rsid w:val="77444BC6"/>
    <w:rsid w:val="7748215F"/>
    <w:rsid w:val="774A3638"/>
    <w:rsid w:val="77533A19"/>
    <w:rsid w:val="775848E3"/>
    <w:rsid w:val="77693BAF"/>
    <w:rsid w:val="776A560F"/>
    <w:rsid w:val="776B20CD"/>
    <w:rsid w:val="7790430F"/>
    <w:rsid w:val="77A7423C"/>
    <w:rsid w:val="77B60A83"/>
    <w:rsid w:val="77DC095A"/>
    <w:rsid w:val="77DE1B73"/>
    <w:rsid w:val="77E66B14"/>
    <w:rsid w:val="77FD1CCE"/>
    <w:rsid w:val="7808174F"/>
    <w:rsid w:val="781225CE"/>
    <w:rsid w:val="781C4E44"/>
    <w:rsid w:val="781D2AD9"/>
    <w:rsid w:val="78215C39"/>
    <w:rsid w:val="78236A9F"/>
    <w:rsid w:val="782A0928"/>
    <w:rsid w:val="783178E9"/>
    <w:rsid w:val="784D0730"/>
    <w:rsid w:val="78595EB3"/>
    <w:rsid w:val="7865472F"/>
    <w:rsid w:val="78723196"/>
    <w:rsid w:val="788248FB"/>
    <w:rsid w:val="78852686"/>
    <w:rsid w:val="78B85E43"/>
    <w:rsid w:val="78C04508"/>
    <w:rsid w:val="78C66FCE"/>
    <w:rsid w:val="78CF04BF"/>
    <w:rsid w:val="78D45F78"/>
    <w:rsid w:val="78D46256"/>
    <w:rsid w:val="78E57CE3"/>
    <w:rsid w:val="79077C59"/>
    <w:rsid w:val="79165DCC"/>
    <w:rsid w:val="792B1718"/>
    <w:rsid w:val="794D00F9"/>
    <w:rsid w:val="7967154F"/>
    <w:rsid w:val="798300E6"/>
    <w:rsid w:val="79877399"/>
    <w:rsid w:val="798B2638"/>
    <w:rsid w:val="798B688D"/>
    <w:rsid w:val="799534B7"/>
    <w:rsid w:val="799E2066"/>
    <w:rsid w:val="79A226EE"/>
    <w:rsid w:val="79A36298"/>
    <w:rsid w:val="79C41B77"/>
    <w:rsid w:val="79CC129B"/>
    <w:rsid w:val="79CF28A1"/>
    <w:rsid w:val="79D815F5"/>
    <w:rsid w:val="79E24E87"/>
    <w:rsid w:val="79E33D9E"/>
    <w:rsid w:val="79E87A8A"/>
    <w:rsid w:val="79FA3474"/>
    <w:rsid w:val="79FC4BDB"/>
    <w:rsid w:val="7A0C0C09"/>
    <w:rsid w:val="7A257DA0"/>
    <w:rsid w:val="7A266805"/>
    <w:rsid w:val="7A287E87"/>
    <w:rsid w:val="7A29350B"/>
    <w:rsid w:val="7A302531"/>
    <w:rsid w:val="7A356A48"/>
    <w:rsid w:val="7A3902E6"/>
    <w:rsid w:val="7A420050"/>
    <w:rsid w:val="7A461F6A"/>
    <w:rsid w:val="7A4B62BB"/>
    <w:rsid w:val="7A756E44"/>
    <w:rsid w:val="7A782A0C"/>
    <w:rsid w:val="7A7C5652"/>
    <w:rsid w:val="7A8840F1"/>
    <w:rsid w:val="7A9529FB"/>
    <w:rsid w:val="7A9959DA"/>
    <w:rsid w:val="7AA6067E"/>
    <w:rsid w:val="7AAD55AE"/>
    <w:rsid w:val="7AB43E11"/>
    <w:rsid w:val="7AB63E59"/>
    <w:rsid w:val="7ABB1638"/>
    <w:rsid w:val="7AC655B6"/>
    <w:rsid w:val="7AEB4950"/>
    <w:rsid w:val="7AF01D68"/>
    <w:rsid w:val="7AFB37ED"/>
    <w:rsid w:val="7B017D5F"/>
    <w:rsid w:val="7B164295"/>
    <w:rsid w:val="7B3559DB"/>
    <w:rsid w:val="7B3D6B8B"/>
    <w:rsid w:val="7B5F4152"/>
    <w:rsid w:val="7B645383"/>
    <w:rsid w:val="7B6A7B36"/>
    <w:rsid w:val="7B7B7852"/>
    <w:rsid w:val="7B82584B"/>
    <w:rsid w:val="7B884941"/>
    <w:rsid w:val="7B8E4662"/>
    <w:rsid w:val="7B933A26"/>
    <w:rsid w:val="7BAE260E"/>
    <w:rsid w:val="7BB10738"/>
    <w:rsid w:val="7BBE549C"/>
    <w:rsid w:val="7BC02341"/>
    <w:rsid w:val="7BD5161C"/>
    <w:rsid w:val="7BD83B2F"/>
    <w:rsid w:val="7BE451DA"/>
    <w:rsid w:val="7BE65803"/>
    <w:rsid w:val="7BFA5853"/>
    <w:rsid w:val="7BFC6CB8"/>
    <w:rsid w:val="7BFF79D7"/>
    <w:rsid w:val="7C021026"/>
    <w:rsid w:val="7C02295A"/>
    <w:rsid w:val="7C0F0270"/>
    <w:rsid w:val="7C2428D0"/>
    <w:rsid w:val="7C29716A"/>
    <w:rsid w:val="7C3061EB"/>
    <w:rsid w:val="7C374EB1"/>
    <w:rsid w:val="7C4D6DB9"/>
    <w:rsid w:val="7C4F4D0D"/>
    <w:rsid w:val="7C5E5DE2"/>
    <w:rsid w:val="7C653EF3"/>
    <w:rsid w:val="7C6B7F1F"/>
    <w:rsid w:val="7C7317DD"/>
    <w:rsid w:val="7C824CA0"/>
    <w:rsid w:val="7C8D1E2F"/>
    <w:rsid w:val="7C94501B"/>
    <w:rsid w:val="7C977546"/>
    <w:rsid w:val="7C993B8A"/>
    <w:rsid w:val="7C9A6E65"/>
    <w:rsid w:val="7C9E2682"/>
    <w:rsid w:val="7CA75240"/>
    <w:rsid w:val="7CAA18A1"/>
    <w:rsid w:val="7CB43C54"/>
    <w:rsid w:val="7CC142B7"/>
    <w:rsid w:val="7CCB202D"/>
    <w:rsid w:val="7CCE22DA"/>
    <w:rsid w:val="7CE502B1"/>
    <w:rsid w:val="7CE75DB4"/>
    <w:rsid w:val="7D060F1D"/>
    <w:rsid w:val="7D1275F9"/>
    <w:rsid w:val="7D146394"/>
    <w:rsid w:val="7D1708A1"/>
    <w:rsid w:val="7D1B5538"/>
    <w:rsid w:val="7D1F53D1"/>
    <w:rsid w:val="7D243682"/>
    <w:rsid w:val="7D5A46B1"/>
    <w:rsid w:val="7D691F8A"/>
    <w:rsid w:val="7D6C2781"/>
    <w:rsid w:val="7D6F401F"/>
    <w:rsid w:val="7D750F71"/>
    <w:rsid w:val="7D75106F"/>
    <w:rsid w:val="7D7816F0"/>
    <w:rsid w:val="7D814B58"/>
    <w:rsid w:val="7D836880"/>
    <w:rsid w:val="7D8B3A26"/>
    <w:rsid w:val="7DB639FC"/>
    <w:rsid w:val="7DBA173E"/>
    <w:rsid w:val="7DE10703"/>
    <w:rsid w:val="7DE47D98"/>
    <w:rsid w:val="7DF30B59"/>
    <w:rsid w:val="7E066063"/>
    <w:rsid w:val="7E163A44"/>
    <w:rsid w:val="7E3312FB"/>
    <w:rsid w:val="7E3A2689"/>
    <w:rsid w:val="7E476CA8"/>
    <w:rsid w:val="7E592823"/>
    <w:rsid w:val="7E7D02A1"/>
    <w:rsid w:val="7E7E276B"/>
    <w:rsid w:val="7E7F1D77"/>
    <w:rsid w:val="7E967AAD"/>
    <w:rsid w:val="7EB74F33"/>
    <w:rsid w:val="7EBB34BE"/>
    <w:rsid w:val="7EBD4CBE"/>
    <w:rsid w:val="7ECF746B"/>
    <w:rsid w:val="7ED06A9B"/>
    <w:rsid w:val="7EE76817"/>
    <w:rsid w:val="7EFC7B34"/>
    <w:rsid w:val="7F174961"/>
    <w:rsid w:val="7F22231B"/>
    <w:rsid w:val="7F264BB1"/>
    <w:rsid w:val="7F292ABC"/>
    <w:rsid w:val="7F2D1C7C"/>
    <w:rsid w:val="7F347880"/>
    <w:rsid w:val="7F3564AC"/>
    <w:rsid w:val="7F376FF3"/>
    <w:rsid w:val="7F3B065C"/>
    <w:rsid w:val="7F403EC5"/>
    <w:rsid w:val="7F4C0ABC"/>
    <w:rsid w:val="7F670FDD"/>
    <w:rsid w:val="7F6E24A2"/>
    <w:rsid w:val="7F754363"/>
    <w:rsid w:val="7F876101"/>
    <w:rsid w:val="7F8B79ED"/>
    <w:rsid w:val="7F8C3F39"/>
    <w:rsid w:val="7FB046FA"/>
    <w:rsid w:val="7FB623D9"/>
    <w:rsid w:val="7FCD5263"/>
    <w:rsid w:val="7FDB3BED"/>
    <w:rsid w:val="7FF14B0C"/>
    <w:rsid w:val="7FF64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autoSpaceDE w:val="0"/>
      <w:autoSpaceDN w:val="0"/>
      <w:adjustRightInd w:val="0"/>
      <w:spacing w:before="240" w:beforeAutospacing="0" w:after="120" w:afterAutospacing="0" w:line="300" w:lineRule="auto"/>
      <w:jc w:val="center"/>
      <w:outlineLvl w:val="0"/>
    </w:pPr>
    <w:rPr>
      <w:rFonts w:ascii="宋体"/>
      <w:b/>
      <w:kern w:val="44"/>
      <w:sz w:val="32"/>
      <w:szCs w:val="20"/>
    </w:rPr>
  </w:style>
  <w:style w:type="paragraph" w:styleId="4">
    <w:name w:val="heading 2"/>
    <w:basedOn w:val="1"/>
    <w:next w:val="5"/>
    <w:qFormat/>
    <w:uiPriority w:val="0"/>
    <w:pPr>
      <w:keepNext/>
      <w:keepLines/>
      <w:autoSpaceDE w:val="0"/>
      <w:autoSpaceDN w:val="0"/>
      <w:adjustRightInd w:val="0"/>
      <w:spacing w:before="120" w:beforeAutospacing="0" w:afterAutospacing="0" w:line="300" w:lineRule="auto"/>
      <w:jc w:val="center"/>
      <w:outlineLvl w:val="1"/>
    </w:pPr>
    <w:rPr>
      <w:rFonts w:ascii="Arial" w:hAnsi="Arial" w:eastAsia="黑体"/>
      <w:kern w:val="0"/>
      <w:sz w:val="30"/>
      <w:szCs w:val="20"/>
    </w:rPr>
  </w:style>
  <w:style w:type="paragraph" w:styleId="2">
    <w:name w:val="heading 3"/>
    <w:basedOn w:val="1"/>
    <w:next w:val="1"/>
    <w:qFormat/>
    <w:uiPriority w:val="0"/>
    <w:pPr>
      <w:spacing w:before="360" w:beforeAutospacing="0" w:after="120" w:afterAutospacing="0"/>
      <w:jc w:val="left"/>
      <w:outlineLvl w:val="2"/>
    </w:pPr>
    <w:rPr>
      <w:rFonts w:ascii="宋体" w:hAnsi="Times New Roman" w:eastAsia="宋体"/>
      <w:b/>
      <w:sz w:val="24"/>
      <w:u w:val="single"/>
    </w:rPr>
  </w:style>
  <w:style w:type="paragraph" w:styleId="6">
    <w:name w:val="heading 4"/>
    <w:basedOn w:val="1"/>
    <w:next w:val="1"/>
    <w:qFormat/>
    <w:uiPriority w:val="0"/>
    <w:pPr>
      <w:keepNext/>
      <w:keepLines/>
      <w:spacing w:before="280" w:beforeAutospacing="0" w:after="290" w:afterAutospacing="0" w:line="374" w:lineRule="auto"/>
      <w:ind w:left="1296" w:hanging="1296"/>
      <w:jc w:val="left"/>
      <w:outlineLvl w:val="3"/>
    </w:pPr>
    <w:rPr>
      <w:rFonts w:ascii="Cambria" w:hAnsi="Cambria" w:eastAsia="黑体"/>
      <w:bCs/>
      <w:kern w:val="0"/>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able of authorities"/>
    <w:basedOn w:val="1"/>
    <w:next w:val="1"/>
    <w:qFormat/>
    <w:uiPriority w:val="0"/>
    <w:pPr>
      <w:ind w:left="420" w:leftChars="200"/>
    </w:pPr>
  </w:style>
  <w:style w:type="paragraph" w:styleId="8">
    <w:name w:val="toa heading"/>
    <w:basedOn w:val="1"/>
    <w:next w:val="1"/>
    <w:qFormat/>
    <w:uiPriority w:val="0"/>
    <w:pPr>
      <w:spacing w:before="120" w:beforeAutospacing="0" w:afterAutospacing="0"/>
    </w:pPr>
    <w:rPr>
      <w:rFonts w:ascii="Cambria" w:hAnsi="Cambria"/>
      <w:sz w:val="24"/>
      <w:szCs w:val="24"/>
    </w:rPr>
  </w:style>
  <w:style w:type="paragraph" w:styleId="9">
    <w:name w:val="Body Text"/>
    <w:basedOn w:val="1"/>
    <w:next w:val="10"/>
    <w:qFormat/>
    <w:uiPriority w:val="0"/>
    <w:pPr>
      <w:tabs>
        <w:tab w:val="left" w:pos="567"/>
      </w:tabs>
      <w:spacing w:before="120" w:beforeAutospacing="0" w:afterAutospacing="0" w:line="22" w:lineRule="atLeast"/>
    </w:pPr>
    <w:rPr>
      <w:rFonts w:ascii="宋体" w:hAnsi="宋体"/>
      <w:sz w:val="24"/>
    </w:rPr>
  </w:style>
  <w:style w:type="paragraph" w:customStyle="1" w:styleId="10">
    <w:name w:val="Default"/>
    <w:next w:val="11"/>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11">
    <w:name w:val="大标题"/>
    <w:basedOn w:val="1"/>
    <w:next w:val="12"/>
    <w:qFormat/>
    <w:uiPriority w:val="0"/>
    <w:pPr>
      <w:jc w:val="center"/>
    </w:pPr>
    <w:rPr>
      <w:rFonts w:ascii="Arial" w:hAnsi="Arial" w:eastAsia="宋体"/>
      <w:b/>
      <w:sz w:val="28"/>
      <w:szCs w:val="24"/>
    </w:rPr>
  </w:style>
  <w:style w:type="paragraph" w:styleId="12">
    <w:name w:val="Body Text First Indent 2"/>
    <w:basedOn w:val="13"/>
    <w:next w:val="1"/>
    <w:qFormat/>
    <w:uiPriority w:val="0"/>
    <w:pPr>
      <w:ind w:firstLine="420" w:firstLineChars="200"/>
    </w:pPr>
    <w:rPr>
      <w:rFonts w:ascii="Times New Roman" w:hAnsi="Times New Roman" w:eastAsia="宋体" w:cs="Times New Roman"/>
      <w:szCs w:val="24"/>
    </w:rPr>
  </w:style>
  <w:style w:type="paragraph" w:styleId="13">
    <w:name w:val="Body Text Indent"/>
    <w:basedOn w:val="1"/>
    <w:qFormat/>
    <w:uiPriority w:val="0"/>
    <w:pPr>
      <w:spacing w:beforeAutospacing="0" w:afterAutospacing="0" w:line="360" w:lineRule="auto"/>
      <w:ind w:firstLine="570"/>
    </w:pPr>
    <w:rPr>
      <w:sz w:val="24"/>
    </w:rPr>
  </w:style>
  <w:style w:type="paragraph" w:styleId="14">
    <w:name w:val="toc 3"/>
    <w:basedOn w:val="1"/>
    <w:next w:val="1"/>
    <w:semiHidden/>
    <w:unhideWhenUsed/>
    <w:qFormat/>
    <w:uiPriority w:val="99"/>
    <w:pPr>
      <w:ind w:left="420"/>
      <w:jc w:val="left"/>
    </w:pPr>
    <w:rPr>
      <w:i/>
      <w:iCs/>
      <w:sz w:val="20"/>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rPr>
      <w:color w:val="000000"/>
      <w:kern w:val="0"/>
      <w:sz w:val="30"/>
    </w:rPr>
  </w:style>
  <w:style w:type="paragraph" w:styleId="17">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envelope return"/>
    <w:qFormat/>
    <w:uiPriority w:val="99"/>
    <w:pPr>
      <w:widowControl w:val="0"/>
      <w:jc w:val="both"/>
    </w:pPr>
    <w:rPr>
      <w:rFonts w:ascii="Calibri" w:hAnsi="Calibri" w:eastAsia="宋体" w:cs="Times New Roman"/>
      <w:kern w:val="2"/>
      <w:sz w:val="21"/>
      <w:szCs w:val="24"/>
      <w:lang w:val="en-US" w:eastAsia="zh-CN" w:bidi="ar-SA"/>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List"/>
    <w:basedOn w:val="1"/>
    <w:qFormat/>
    <w:uiPriority w:val="0"/>
    <w:pPr>
      <w:widowControl/>
      <w:adjustRightInd w:val="0"/>
      <w:snapToGrid w:val="0"/>
      <w:spacing w:line="312" w:lineRule="auto"/>
      <w:jc w:val="center"/>
    </w:pPr>
    <w:rPr>
      <w:rFonts w:ascii="黑体" w:hAnsi="宋体" w:eastAsia="黑体" w:cs="宋体"/>
      <w:snapToGrid w:val="0"/>
      <w:sz w:val="24"/>
    </w:rPr>
  </w:style>
  <w:style w:type="paragraph" w:styleId="22">
    <w:name w:val="footnote text"/>
    <w:basedOn w:val="1"/>
    <w:qFormat/>
    <w:uiPriority w:val="0"/>
    <w:pPr>
      <w:snapToGrid w:val="0"/>
      <w:jc w:val="left"/>
    </w:pPr>
    <w:rPr>
      <w:rFonts w:ascii="Times New Roman" w:hAnsi="Times New Roman" w:eastAsia="宋体" w:cs="Times New Roman"/>
      <w:sz w:val="18"/>
    </w:rPr>
  </w:style>
  <w:style w:type="paragraph" w:styleId="23">
    <w:name w:val="index 7"/>
    <w:basedOn w:val="1"/>
    <w:next w:val="1"/>
    <w:qFormat/>
    <w:uiPriority w:val="0"/>
    <w:pPr>
      <w:ind w:left="2520"/>
    </w:pPr>
  </w:style>
  <w:style w:type="paragraph" w:styleId="24">
    <w:name w:val="toc 2"/>
    <w:basedOn w:val="1"/>
    <w:next w:val="1"/>
    <w:qFormat/>
    <w:uiPriority w:val="0"/>
    <w:pPr>
      <w:ind w:left="420" w:leftChars="200"/>
    </w:pPr>
  </w:style>
  <w:style w:type="paragraph" w:styleId="25">
    <w:name w:val="Body Text 2"/>
    <w:basedOn w:val="1"/>
    <w:qFormat/>
    <w:uiPriority w:val="0"/>
    <w:pPr>
      <w:spacing w:after="120" w:line="480" w:lineRule="auto"/>
    </w:pPr>
  </w:style>
  <w:style w:type="paragraph" w:styleId="26">
    <w:name w:val="List Continue 2"/>
    <w:basedOn w:val="1"/>
    <w:qFormat/>
    <w:uiPriority w:val="0"/>
    <w:pPr>
      <w:spacing w:after="120"/>
      <w:ind w:left="840" w:leftChars="400"/>
    </w:pPr>
    <w:rPr>
      <w:sz w:val="21"/>
    </w:rPr>
  </w:style>
  <w:style w:type="paragraph" w:styleId="27">
    <w:name w:val="Normal (Web)"/>
    <w:basedOn w:val="1"/>
    <w:next w:val="1"/>
    <w:qFormat/>
    <w:uiPriority w:val="0"/>
    <w:pPr>
      <w:spacing w:before="100" w:beforeAutospacing="1" w:after="100" w:afterAutospacing="1"/>
      <w:jc w:val="left"/>
    </w:pPr>
    <w:rPr>
      <w:rFonts w:ascii="Calibri" w:hAnsi="Calibri"/>
      <w:kern w:val="0"/>
      <w:sz w:val="24"/>
    </w:rPr>
  </w:style>
  <w:style w:type="paragraph" w:styleId="28">
    <w:name w:val="Title"/>
    <w:basedOn w:val="1"/>
    <w:next w:val="1"/>
    <w:qFormat/>
    <w:uiPriority w:val="10"/>
    <w:pPr>
      <w:jc w:val="center"/>
      <w:outlineLvl w:val="0"/>
    </w:pPr>
    <w:rPr>
      <w:rFonts w:ascii="Cambria" w:hAnsi="Cambria"/>
      <w:b/>
      <w:bCs/>
      <w:kern w:val="28"/>
      <w:szCs w:val="32"/>
    </w:rPr>
  </w:style>
  <w:style w:type="paragraph" w:styleId="29">
    <w:name w:val="Body Text First Indent"/>
    <w:basedOn w:val="9"/>
    <w:next w:val="1"/>
    <w:qFormat/>
    <w:uiPriority w:val="0"/>
    <w:pPr>
      <w:ind w:firstLine="420" w:firstLineChars="100"/>
    </w:pPr>
    <w:rPr>
      <w:rFonts w:ascii="Times New Roman" w:hAnsi="Times New Roman" w:eastAsia="宋体" w:cs="Times New Roman"/>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rPr>
      <w:rFonts w:ascii="Times New Roman" w:hAnsi="Times New Roman" w:eastAsia="宋体" w:cs="Times New Roman"/>
    </w:rPr>
  </w:style>
  <w:style w:type="character" w:styleId="35">
    <w:name w:val="Hyperlink"/>
    <w:basedOn w:val="32"/>
    <w:qFormat/>
    <w:uiPriority w:val="0"/>
    <w:rPr>
      <w:color w:val="0000FF"/>
      <w:u w:val="single"/>
    </w:rPr>
  </w:style>
  <w:style w:type="character" w:styleId="36">
    <w:name w:val="HTML Sample"/>
    <w:basedOn w:val="32"/>
    <w:qFormat/>
    <w:uiPriority w:val="0"/>
    <w:rPr>
      <w:rFonts w:ascii="Courier New" w:hAnsi="Courier New"/>
    </w:rPr>
  </w:style>
  <w:style w:type="character" w:customStyle="1" w:styleId="37">
    <w:name w:val="默认段落字体1"/>
    <w:qFormat/>
    <w:uiPriority w:val="0"/>
  </w:style>
  <w:style w:type="character" w:customStyle="1" w:styleId="38">
    <w:name w:val="标题 1 字符"/>
    <w:link w:val="3"/>
    <w:qFormat/>
    <w:uiPriority w:val="0"/>
    <w:rPr>
      <w:rFonts w:ascii="宋体" w:hAnsi="Times New Roman" w:eastAsia="宋体" w:cs="Times New Roman"/>
      <w:b/>
      <w:kern w:val="44"/>
      <w:sz w:val="32"/>
      <w:szCs w:val="20"/>
    </w:rPr>
  </w:style>
  <w:style w:type="character" w:customStyle="1" w:styleId="39">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4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1">
    <w:name w:val="索引 11"/>
    <w:basedOn w:val="1"/>
    <w:next w:val="1"/>
    <w:qFormat/>
    <w:uiPriority w:val="0"/>
    <w:pPr>
      <w:spacing w:beforeAutospacing="0" w:afterAutospacing="0" w:line="360" w:lineRule="auto"/>
    </w:pPr>
    <w:rPr>
      <w:rFonts w:ascii="仿宋_GB2312" w:eastAsia="仿宋_GB2312"/>
      <w:sz w:val="24"/>
      <w:szCs w:val="20"/>
    </w:rPr>
  </w:style>
  <w:style w:type="paragraph" w:customStyle="1" w:styleId="42">
    <w:name w:val="纯文本1"/>
    <w:basedOn w:val="1"/>
    <w:qFormat/>
    <w:uiPriority w:val="0"/>
    <w:rPr>
      <w:rFonts w:ascii="宋体" w:hAnsi="Courier New"/>
      <w:kern w:val="0"/>
      <w:sz w:val="20"/>
      <w:szCs w:val="20"/>
    </w:rPr>
  </w:style>
  <w:style w:type="paragraph" w:customStyle="1" w:styleId="43">
    <w:name w:val="UserStyle_44"/>
    <w:basedOn w:val="1"/>
    <w:qFormat/>
    <w:uiPriority w:val="0"/>
    <w:pPr>
      <w:spacing w:before="120" w:beforeAutospacing="0" w:after="120" w:afterAutospacing="0" w:line="360" w:lineRule="auto"/>
      <w:jc w:val="center"/>
    </w:pPr>
    <w:rPr>
      <w:rFonts w:eastAsia="仿宋_GB2312"/>
      <w:b/>
      <w:sz w:val="24"/>
    </w:rPr>
  </w:style>
  <w:style w:type="paragraph" w:customStyle="1" w:styleId="44">
    <w:name w:val="NormalIndent"/>
    <w:basedOn w:val="1"/>
    <w:qFormat/>
    <w:uiPriority w:val="0"/>
    <w:pPr>
      <w:ind w:firstLine="420"/>
      <w:jc w:val="left"/>
    </w:pPr>
    <w:rPr>
      <w:rFonts w:ascii="宋体"/>
      <w:kern w:val="0"/>
      <w:sz w:val="24"/>
      <w:szCs w:val="20"/>
    </w:rPr>
  </w:style>
  <w:style w:type="paragraph" w:customStyle="1" w:styleId="45">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46">
    <w:name w:val="font11"/>
    <w:basedOn w:val="32"/>
    <w:qFormat/>
    <w:uiPriority w:val="0"/>
    <w:rPr>
      <w:rFonts w:hint="eastAsia" w:ascii="宋体" w:hAnsi="宋体" w:eastAsia="宋体" w:cs="宋体"/>
      <w:color w:val="FF0000"/>
      <w:sz w:val="16"/>
      <w:szCs w:val="16"/>
      <w:u w:val="none"/>
    </w:rPr>
  </w:style>
  <w:style w:type="character" w:customStyle="1" w:styleId="47">
    <w:name w:val="font21"/>
    <w:basedOn w:val="32"/>
    <w:qFormat/>
    <w:uiPriority w:val="0"/>
    <w:rPr>
      <w:rFonts w:hint="eastAsia" w:ascii="宋体" w:hAnsi="宋体" w:eastAsia="宋体" w:cs="宋体"/>
      <w:color w:val="000000"/>
      <w:sz w:val="16"/>
      <w:szCs w:val="16"/>
      <w:u w:val="none"/>
    </w:rPr>
  </w:style>
  <w:style w:type="character" w:customStyle="1" w:styleId="48">
    <w:name w:val="style23"/>
    <w:basedOn w:val="32"/>
    <w:qFormat/>
    <w:uiPriority w:val="0"/>
  </w:style>
  <w:style w:type="paragraph" w:customStyle="1" w:styleId="49">
    <w:name w:val="表格文字"/>
    <w:basedOn w:val="50"/>
    <w:qFormat/>
    <w:uiPriority w:val="0"/>
    <w:pPr>
      <w:spacing w:before="25" w:beforeAutospacing="0" w:after="25" w:afterAutospacing="0"/>
      <w:jc w:val="left"/>
    </w:pPr>
    <w:rPr>
      <w:bCs/>
      <w:spacing w:val="10"/>
      <w:kern w:val="0"/>
      <w:sz w:val="24"/>
    </w:rPr>
  </w:style>
  <w:style w:type="paragraph" w:customStyle="1" w:styleId="50">
    <w:name w:val="表格文字（两侧对齐）"/>
    <w:basedOn w:val="1"/>
    <w:qFormat/>
    <w:uiPriority w:val="0"/>
    <w:rPr>
      <w:rFonts w:ascii="Calibri" w:hAnsi="Calibri"/>
      <w:kern w:val="0"/>
      <w:sz w:val="20"/>
    </w:rPr>
  </w:style>
  <w:style w:type="paragraph" w:styleId="51">
    <w:name w:val="List Paragraph"/>
    <w:basedOn w:val="1"/>
    <w:qFormat/>
    <w:uiPriority w:val="34"/>
    <w:pPr>
      <w:ind w:firstLine="420" w:firstLineChars="200"/>
    </w:pPr>
  </w:style>
  <w:style w:type="paragraph" w:customStyle="1" w:styleId="52">
    <w:name w:val="Heading1"/>
    <w:basedOn w:val="1"/>
    <w:qFormat/>
    <w:uiPriority w:val="0"/>
    <w:pPr>
      <w:keepNext/>
      <w:numPr>
        <w:ilvl w:val="0"/>
        <w:numId w:val="1"/>
      </w:numPr>
      <w:spacing w:before="240" w:beforeAutospacing="0" w:after="60" w:afterAutospacing="0"/>
      <w:ind w:left="100" w:firstLine="0"/>
      <w:contextualSpacing/>
      <w:jc w:val="left"/>
    </w:pPr>
    <w:rPr>
      <w:rFonts w:ascii="Cambria" w:hAnsi="Cambria" w:eastAsia="宋体" w:cs="Times New Roman"/>
      <w:bCs/>
      <w:iCs/>
      <w:kern w:val="32"/>
      <w:sz w:val="24"/>
      <w:szCs w:val="32"/>
      <w:lang w:eastAsia="en-US"/>
    </w:rPr>
  </w:style>
  <w:style w:type="paragraph" w:customStyle="1" w:styleId="53">
    <w:name w:val="UserStyle_15"/>
    <w:basedOn w:val="54"/>
    <w:qFormat/>
    <w:uiPriority w:val="0"/>
    <w:pPr>
      <w:spacing w:before="100" w:beforeAutospacing="1" w:after="100" w:afterAutospacing="1"/>
      <w:ind w:right="100" w:rightChars="100"/>
    </w:pPr>
    <w:rPr>
      <w:sz w:val="21"/>
    </w:rPr>
  </w:style>
  <w:style w:type="paragraph" w:customStyle="1" w:styleId="54">
    <w:name w:val="Heading2"/>
    <w:basedOn w:val="1"/>
    <w:qFormat/>
    <w:uiPriority w:val="0"/>
    <w:pPr>
      <w:keepNext/>
      <w:numPr>
        <w:ilvl w:val="1"/>
        <w:numId w:val="1"/>
      </w:numPr>
      <w:spacing w:before="240" w:beforeAutospacing="0" w:after="60" w:afterAutospacing="0"/>
      <w:jc w:val="left"/>
    </w:pPr>
    <w:rPr>
      <w:rFonts w:ascii="Cambria" w:hAnsi="Cambria" w:eastAsia="宋体" w:cs="Times New Roman"/>
      <w:b/>
      <w:bCs/>
      <w:i/>
      <w:iCs/>
      <w:kern w:val="0"/>
      <w:sz w:val="28"/>
      <w:szCs w:val="28"/>
      <w:lang w:eastAsia="en-US"/>
    </w:rPr>
  </w:style>
  <w:style w:type="paragraph" w:customStyle="1" w:styleId="55">
    <w:name w:val="列出段落1"/>
    <w:basedOn w:val="1"/>
    <w:qFormat/>
    <w:uiPriority w:val="34"/>
    <w:pPr>
      <w:ind w:firstLine="420" w:firstLineChars="200"/>
    </w:pPr>
  </w:style>
  <w:style w:type="paragraph" w:customStyle="1" w:styleId="56">
    <w:name w:val="章标题"/>
    <w:qFormat/>
    <w:uiPriority w:val="0"/>
    <w:pPr>
      <w:spacing w:before="156" w:beforeLines="50" w:beforeAutospacing="0" w:after="156" w:afterLines="50" w:afterAutospacing="0"/>
      <w:jc w:val="both"/>
      <w:outlineLvl w:val="1"/>
    </w:pPr>
    <w:rPr>
      <w:rFonts w:ascii="黑体" w:hAnsi="Times New Roman" w:eastAsia="黑体" w:cs="Times New Roman"/>
      <w:sz w:val="21"/>
      <w:lang w:val="en-US" w:eastAsia="zh-CN" w:bidi="ar-SA"/>
    </w:rPr>
  </w:style>
  <w:style w:type="character" w:customStyle="1" w:styleId="57">
    <w:name w:val="font31"/>
    <w:basedOn w:val="32"/>
    <w:qFormat/>
    <w:uiPriority w:val="0"/>
    <w:rPr>
      <w:rFonts w:hint="eastAsia" w:ascii="宋体" w:hAnsi="宋体" w:eastAsia="宋体" w:cs="宋体"/>
      <w:color w:val="000000"/>
      <w:sz w:val="24"/>
      <w:szCs w:val="24"/>
      <w:u w:val="none"/>
    </w:rPr>
  </w:style>
  <w:style w:type="paragraph" w:customStyle="1" w:styleId="58">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59">
    <w:name w:val="p0"/>
    <w:basedOn w:val="1"/>
    <w:qFormat/>
    <w:uiPriority w:val="0"/>
    <w:pPr>
      <w:widowControl/>
    </w:pPr>
    <w:rPr>
      <w:kern w:val="0"/>
      <w:szCs w:val="21"/>
    </w:rPr>
  </w:style>
  <w:style w:type="paragraph" w:customStyle="1" w:styleId="60">
    <w:name w:val="Normal"/>
    <w:qFormat/>
    <w:uiPriority w:val="0"/>
    <w:rPr>
      <w:rFonts w:ascii="Times New Roman" w:hAnsi="Times New Roman" w:eastAsia="Times New Roman" w:cs="Times New Roman"/>
      <w:sz w:val="24"/>
      <w:szCs w:val="24"/>
      <w:lang w:bidi="ar-SA"/>
    </w:rPr>
  </w:style>
  <w:style w:type="paragraph" w:customStyle="1" w:styleId="6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62">
    <w:name w:val="Heading3"/>
    <w:basedOn w:val="1"/>
    <w:next w:val="1"/>
    <w:qFormat/>
    <w:uiPriority w:val="0"/>
    <w:pPr>
      <w:keepNext/>
      <w:keepLines/>
      <w:widowControl/>
      <w:spacing w:before="260" w:beforeAutospacing="0" w:after="260" w:afterAutospacing="0" w:line="416" w:lineRule="auto"/>
      <w:textAlignment w:val="baseline"/>
    </w:pPr>
    <w:rPr>
      <w:sz w:val="32"/>
      <w:szCs w:val="32"/>
    </w:rPr>
  </w:style>
  <w:style w:type="paragraph" w:customStyle="1" w:styleId="63">
    <w:name w:val="样式 样式 样式 左侧:  2 字符1 + 首行缩进:  2 字符1 + 首行缩进:  2 字符"/>
    <w:basedOn w:val="1"/>
    <w:qFormat/>
    <w:uiPriority w:val="0"/>
    <w:pPr>
      <w:widowControl/>
      <w:adjustRightInd w:val="0"/>
      <w:spacing w:before="60" w:beforeAutospacing="0" w:after="120" w:afterAutospacing="0" w:line="440" w:lineRule="atLeast"/>
      <w:ind w:firstLine="480"/>
      <w:textAlignment w:val="baseline"/>
    </w:pPr>
    <w:rPr>
      <w:rFonts w:ascii="Times New Roman" w:hAnsi="Times New Roman"/>
      <w:sz w:val="24"/>
    </w:rPr>
  </w:style>
  <w:style w:type="character" w:customStyle="1" w:styleId="64">
    <w:name w:val="content1"/>
    <w:qFormat/>
    <w:uiPriority w:val="99"/>
    <w:rPr>
      <w:rFonts w:ascii="Tahoma" w:hAnsi="Tahoma" w:cs="Tahoma"/>
      <w:sz w:val="21"/>
      <w:szCs w:val="21"/>
    </w:rPr>
  </w:style>
  <w:style w:type="paragraph" w:customStyle="1" w:styleId="65">
    <w:name w:val="pa-0"/>
    <w:basedOn w:val="1"/>
    <w:qFormat/>
    <w:uiPriority w:val="0"/>
    <w:pPr>
      <w:widowControl/>
      <w:spacing w:before="150" w:after="150"/>
      <w:jc w:val="left"/>
    </w:pPr>
    <w:rPr>
      <w:rFonts w:ascii="宋体" w:hAnsi="宋体" w:cs="宋体"/>
      <w:kern w:val="0"/>
      <w:sz w:val="24"/>
      <w:szCs w:val="20"/>
    </w:rPr>
  </w:style>
  <w:style w:type="character" w:customStyle="1" w:styleId="66">
    <w:name w:val="ca-0"/>
    <w:basedOn w:val="32"/>
    <w:qFormat/>
    <w:uiPriority w:val="0"/>
  </w:style>
  <w:style w:type="character" w:customStyle="1" w:styleId="67">
    <w:name w:val="concon"/>
    <w:qFormat/>
    <w:uiPriority w:val="0"/>
  </w:style>
  <w:style w:type="paragraph" w:customStyle="1" w:styleId="68">
    <w:name w:val="列出段落5"/>
    <w:basedOn w:val="1"/>
    <w:qFormat/>
    <w:uiPriority w:val="34"/>
    <w:pPr>
      <w:ind w:firstLine="420" w:firstLineChars="200"/>
    </w:pPr>
    <w:rPr>
      <w:szCs w:val="20"/>
    </w:rPr>
  </w:style>
  <w:style w:type="paragraph" w:customStyle="1" w:styleId="69">
    <w:name w:val="Table Paragraph"/>
    <w:qFormat/>
    <w:uiPriority w:val="1"/>
    <w:pPr>
      <w:widowControl w:val="0"/>
      <w:jc w:val="both"/>
    </w:pPr>
    <w:rPr>
      <w:rFonts w:ascii="宋体" w:hAnsi="宋体" w:eastAsia="宋体" w:cs="宋体"/>
      <w:kern w:val="2"/>
      <w:sz w:val="21"/>
      <w:szCs w:val="22"/>
      <w:lang w:val="zh-CN" w:eastAsia="zh-CN" w:bidi="zh-CN"/>
    </w:rPr>
  </w:style>
  <w:style w:type="paragraph" w:customStyle="1" w:styleId="70">
    <w:name w:val="Default Text"/>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36922</Words>
  <Characters>39774</Characters>
  <Lines>303</Lines>
  <Paragraphs>85</Paragraphs>
  <TotalTime>19</TotalTime>
  <ScaleCrop>false</ScaleCrop>
  <LinksUpToDate>false</LinksUpToDate>
  <CharactersWithSpaces>44375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Administrator</cp:lastModifiedBy>
  <cp:lastPrinted>2024-07-29T09:25:00Z</cp:lastPrinted>
  <dcterms:modified xsi:type="dcterms:W3CDTF">2025-02-25T09:30:41Z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BCE77216F6704813A5A9B6E95B8177BB_13</vt:lpwstr>
  </property>
  <property fmtid="{D5CDD505-2E9C-101B-9397-08002B2CF9AE}" pid="4" name="KSOTemplateDocerSaveRecord">
    <vt:lpwstr>eyJoZGlkIjoiZDM0M2M1YTY3OGQzNjdmNDMyMmQ4ZTk3YTk1Y2U5NWUifQ==</vt:lpwstr>
  </property>
</Properties>
</file>