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0D9">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麦盖提县2024-2025年度中小学（幼儿园）食堂米面油等大宗食材采购配送项目四标段三次</w:t>
      </w:r>
    </w:p>
    <w:p w14:paraId="644E047F">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eastAsia="zh-CN"/>
        </w:rPr>
        <w:t>分散公开招标</w:t>
      </w:r>
      <w:r>
        <w:rPr>
          <w:rFonts w:hint="eastAsia" w:ascii="微软雅黑" w:hAnsi="微软雅黑" w:eastAsia="微软雅黑" w:cs="微软雅黑"/>
          <w:b/>
          <w:color w:val="auto"/>
          <w:sz w:val="52"/>
          <w:szCs w:val="52"/>
          <w:highlight w:val="none"/>
        </w:rPr>
        <w:t>文件</w:t>
      </w:r>
    </w:p>
    <w:p w14:paraId="27C307A2">
      <w:pPr>
        <w:spacing w:line="360" w:lineRule="auto"/>
        <w:jc w:val="both"/>
        <w:rPr>
          <w:rFonts w:hint="eastAsia" w:ascii="微软雅黑" w:hAnsi="微软雅黑" w:eastAsia="微软雅黑" w:cs="微软雅黑"/>
          <w:bCs/>
          <w:color w:val="auto"/>
          <w:sz w:val="32"/>
          <w:szCs w:val="32"/>
          <w:highlight w:val="none"/>
        </w:rPr>
      </w:pPr>
    </w:p>
    <w:p w14:paraId="17314790">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KSMGTX（FSGK）2024-02-03号</w:t>
      </w:r>
      <w:r>
        <w:rPr>
          <w:rFonts w:hint="eastAsia" w:ascii="微软雅黑" w:hAnsi="微软雅黑" w:eastAsia="微软雅黑" w:cs="微软雅黑"/>
          <w:bCs/>
          <w:color w:val="auto"/>
          <w:sz w:val="32"/>
          <w:szCs w:val="32"/>
          <w:highlight w:val="none"/>
        </w:rPr>
        <w:t>）</w:t>
      </w:r>
    </w:p>
    <w:p w14:paraId="58120701">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292F828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一</w:t>
      </w:r>
      <w:r>
        <w:rPr>
          <w:rFonts w:hint="eastAsia" w:ascii="微软雅黑" w:hAnsi="微软雅黑" w:eastAsia="微软雅黑" w:cs="微软雅黑"/>
          <w:b/>
          <w:color w:val="auto"/>
          <w:sz w:val="36"/>
          <w:szCs w:val="36"/>
          <w:highlight w:val="none"/>
        </w:rPr>
        <w:t>册</w:t>
      </w:r>
    </w:p>
    <w:p w14:paraId="2A180A74">
      <w:pPr>
        <w:spacing w:line="360" w:lineRule="auto"/>
        <w:jc w:val="both"/>
        <w:rPr>
          <w:rFonts w:hint="eastAsia" w:ascii="微软雅黑" w:hAnsi="微软雅黑" w:eastAsia="微软雅黑" w:cs="微软雅黑"/>
          <w:color w:val="auto"/>
          <w:sz w:val="28"/>
          <w:szCs w:val="28"/>
          <w:highlight w:val="none"/>
        </w:rPr>
      </w:pPr>
    </w:p>
    <w:p w14:paraId="6944F220">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2D3C8D32">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买买提艾力</w:t>
      </w:r>
    </w:p>
    <w:p w14:paraId="1EE4F505">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15886896333</w:t>
      </w:r>
    </w:p>
    <w:p w14:paraId="59620DEB">
      <w:pPr>
        <w:pStyle w:val="23"/>
        <w:jc w:val="center"/>
        <w:rPr>
          <w:rFonts w:hint="eastAsia" w:ascii="微软雅黑" w:hAnsi="微软雅黑" w:eastAsia="微软雅黑" w:cs="微软雅黑"/>
          <w:color w:val="auto"/>
          <w:sz w:val="28"/>
          <w:szCs w:val="28"/>
          <w:highlight w:val="none"/>
          <w:u w:val="single"/>
        </w:rPr>
      </w:pPr>
    </w:p>
    <w:p w14:paraId="57867E11">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48BDEACA">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1C22DB5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5EB8400">
      <w:pPr>
        <w:spacing w:line="360" w:lineRule="auto"/>
        <w:jc w:val="center"/>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2025年02月07日</w:t>
      </w:r>
    </w:p>
    <w:p w14:paraId="09977524">
      <w:pPr>
        <w:spacing w:line="360" w:lineRule="auto"/>
        <w:jc w:val="both"/>
        <w:rPr>
          <w:rFonts w:hint="eastAsia" w:ascii="微软雅黑" w:hAnsi="微软雅黑" w:eastAsia="微软雅黑" w:cs="微软雅黑"/>
          <w:b/>
          <w:color w:val="auto"/>
          <w:sz w:val="32"/>
          <w:highlight w:val="none"/>
        </w:rPr>
      </w:pPr>
    </w:p>
    <w:p w14:paraId="750A1AC6">
      <w:pPr>
        <w:spacing w:line="360" w:lineRule="auto"/>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目录</w:t>
      </w:r>
    </w:p>
    <w:p w14:paraId="00E8055D">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第一章供应商须知</w:t>
      </w:r>
    </w:p>
    <w:p w14:paraId="50734352">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一总则</w:t>
      </w:r>
      <w:r>
        <w:rPr>
          <w:rFonts w:hint="eastAsia" w:ascii="微软雅黑" w:hAnsi="微软雅黑" w:eastAsia="微软雅黑" w:cs="微软雅黑"/>
          <w:b w:val="0"/>
          <w:bCs/>
          <w:color w:val="auto"/>
          <w:sz w:val="24"/>
          <w:szCs w:val="24"/>
          <w:highlight w:val="none"/>
          <w:lang w:val="en-US" w:eastAsia="zh-CN"/>
        </w:rPr>
        <w:tab/>
      </w:r>
    </w:p>
    <w:p w14:paraId="18A6D97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二招标文件</w:t>
      </w:r>
      <w:r>
        <w:rPr>
          <w:rFonts w:hint="eastAsia" w:ascii="微软雅黑" w:hAnsi="微软雅黑" w:eastAsia="微软雅黑" w:cs="微软雅黑"/>
          <w:b w:val="0"/>
          <w:bCs/>
          <w:color w:val="auto"/>
          <w:sz w:val="24"/>
          <w:szCs w:val="24"/>
          <w:highlight w:val="none"/>
          <w:lang w:val="en-US" w:eastAsia="zh-CN"/>
        </w:rPr>
        <w:tab/>
      </w:r>
    </w:p>
    <w:p w14:paraId="32F02E5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三投标文件的编制</w:t>
      </w:r>
      <w:r>
        <w:rPr>
          <w:rFonts w:hint="eastAsia" w:ascii="微软雅黑" w:hAnsi="微软雅黑" w:eastAsia="微软雅黑" w:cs="微软雅黑"/>
          <w:b w:val="0"/>
          <w:bCs/>
          <w:color w:val="auto"/>
          <w:sz w:val="24"/>
          <w:szCs w:val="24"/>
          <w:highlight w:val="none"/>
          <w:lang w:val="en-US" w:eastAsia="zh-CN"/>
        </w:rPr>
        <w:tab/>
      </w:r>
    </w:p>
    <w:p w14:paraId="3416299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四投标文件的递交</w:t>
      </w:r>
      <w:r>
        <w:rPr>
          <w:rFonts w:hint="eastAsia" w:ascii="微软雅黑" w:hAnsi="微软雅黑" w:eastAsia="微软雅黑" w:cs="微软雅黑"/>
          <w:b w:val="0"/>
          <w:bCs/>
          <w:color w:val="auto"/>
          <w:sz w:val="24"/>
          <w:szCs w:val="24"/>
          <w:highlight w:val="none"/>
          <w:lang w:val="en-US" w:eastAsia="zh-CN"/>
        </w:rPr>
        <w:tab/>
      </w:r>
    </w:p>
    <w:p w14:paraId="31F6E21A">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五开标及评标</w:t>
      </w:r>
      <w:r>
        <w:rPr>
          <w:rFonts w:hint="eastAsia" w:ascii="微软雅黑" w:hAnsi="微软雅黑" w:eastAsia="微软雅黑" w:cs="微软雅黑"/>
          <w:b w:val="0"/>
          <w:bCs/>
          <w:color w:val="auto"/>
          <w:sz w:val="24"/>
          <w:szCs w:val="24"/>
          <w:highlight w:val="none"/>
          <w:lang w:val="en-US" w:eastAsia="zh-CN"/>
        </w:rPr>
        <w:tab/>
      </w:r>
    </w:p>
    <w:p w14:paraId="54C2CE1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六确定中标</w:t>
      </w:r>
      <w:r>
        <w:rPr>
          <w:rFonts w:hint="eastAsia" w:ascii="微软雅黑" w:hAnsi="微软雅黑" w:eastAsia="微软雅黑" w:cs="微软雅黑"/>
          <w:b w:val="0"/>
          <w:bCs/>
          <w:color w:val="auto"/>
          <w:sz w:val="24"/>
          <w:szCs w:val="24"/>
          <w:highlight w:val="none"/>
          <w:lang w:val="en-US" w:eastAsia="zh-CN"/>
        </w:rPr>
        <w:tab/>
      </w:r>
    </w:p>
    <w:p w14:paraId="6E4DAE5E">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第二章投标文件格式</w:t>
      </w:r>
    </w:p>
    <w:p w14:paraId="59EE3A81">
      <w:pPr>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第一部分开标一览表及资格证明文件</w:t>
      </w:r>
      <w:r>
        <w:rPr>
          <w:rFonts w:hint="eastAsia" w:ascii="微软雅黑" w:hAnsi="微软雅黑" w:eastAsia="微软雅黑" w:cs="微软雅黑"/>
          <w:b/>
          <w:bCs w:val="0"/>
          <w:color w:val="auto"/>
          <w:sz w:val="24"/>
          <w:szCs w:val="24"/>
          <w:highlight w:val="none"/>
          <w:lang w:val="en-US" w:eastAsia="zh-CN"/>
        </w:rPr>
        <w:tab/>
      </w:r>
    </w:p>
    <w:p w14:paraId="6C7CEFC6">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第二部分商务及技术文件</w:t>
      </w:r>
      <w:r>
        <w:rPr>
          <w:rFonts w:hint="eastAsia" w:ascii="微软雅黑" w:hAnsi="微软雅黑" w:eastAsia="微软雅黑" w:cs="微软雅黑"/>
          <w:b/>
          <w:bCs w:val="0"/>
          <w:color w:val="auto"/>
          <w:sz w:val="24"/>
          <w:szCs w:val="24"/>
          <w:highlight w:val="none"/>
          <w:lang w:val="en-US" w:eastAsia="zh-CN"/>
        </w:rPr>
        <w:tab/>
      </w:r>
    </w:p>
    <w:p w14:paraId="5B28E94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1、投标书</w:t>
      </w:r>
    </w:p>
    <w:p w14:paraId="28FCE386">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2、投标分项报价表</w:t>
      </w:r>
    </w:p>
    <w:p w14:paraId="6306A7E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3、货物说明一览表</w:t>
      </w:r>
    </w:p>
    <w:p w14:paraId="2206179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4、技术规格偏离表</w:t>
      </w:r>
    </w:p>
    <w:p w14:paraId="04AE684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093A196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注：本项目专门面向中小企业采购，根据要求单独上传《中小企业声明函（货物）》。</w:t>
      </w:r>
    </w:p>
    <w:p w14:paraId="41E7D78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7、供应商关联单位的说明</w:t>
      </w:r>
    </w:p>
    <w:p w14:paraId="70F2256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8、其他有利于供应商的文件或证明材料</w:t>
      </w:r>
    </w:p>
    <w:p w14:paraId="4D279A6D">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9、对本项目响应文件（响应文件）中资料真实性的承诺</w:t>
      </w:r>
    </w:p>
    <w:p w14:paraId="0938902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10、投标文件格式范本</w:t>
      </w:r>
    </w:p>
    <w:p w14:paraId="2B5CAB18">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第三章投标邀请</w:t>
      </w:r>
    </w:p>
    <w:p w14:paraId="1EE62601">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第四章供应商须知资料表</w:t>
      </w:r>
    </w:p>
    <w:p w14:paraId="23486B4F">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第五章货物需求及项目要求</w:t>
      </w:r>
    </w:p>
    <w:p w14:paraId="3D5819EB">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第六章评审方法和标准</w:t>
      </w:r>
    </w:p>
    <w:p w14:paraId="3B1B6A7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响应文件-资格性审查表</w:t>
      </w:r>
      <w:r>
        <w:rPr>
          <w:rFonts w:hint="eastAsia" w:ascii="微软雅黑" w:hAnsi="微软雅黑" w:eastAsia="微软雅黑" w:cs="微软雅黑"/>
          <w:b w:val="0"/>
          <w:bCs/>
          <w:color w:val="auto"/>
          <w:sz w:val="24"/>
          <w:szCs w:val="24"/>
          <w:highlight w:val="none"/>
          <w:lang w:val="en-US" w:eastAsia="zh-CN"/>
        </w:rPr>
        <w:tab/>
      </w:r>
    </w:p>
    <w:p w14:paraId="79E5DAF4">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响应文件-符合性审查表</w:t>
      </w:r>
      <w:r>
        <w:rPr>
          <w:rFonts w:hint="eastAsia" w:ascii="微软雅黑" w:hAnsi="微软雅黑" w:eastAsia="微软雅黑" w:cs="微软雅黑"/>
          <w:b w:val="0"/>
          <w:bCs/>
          <w:color w:val="auto"/>
          <w:sz w:val="24"/>
          <w:szCs w:val="24"/>
          <w:highlight w:val="none"/>
          <w:lang w:val="en-US" w:eastAsia="zh-CN"/>
        </w:rPr>
        <w:tab/>
      </w:r>
    </w:p>
    <w:p w14:paraId="79A27278">
      <w:pPr>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响应文件-综合评分标准</w:t>
      </w:r>
      <w:r>
        <w:rPr>
          <w:rFonts w:hint="eastAsia" w:ascii="微软雅黑" w:hAnsi="微软雅黑" w:eastAsia="微软雅黑" w:cs="微软雅黑"/>
          <w:b w:val="0"/>
          <w:bCs/>
          <w:color w:val="auto"/>
          <w:sz w:val="24"/>
          <w:szCs w:val="24"/>
          <w:highlight w:val="none"/>
          <w:lang w:val="en-US" w:eastAsia="zh-CN"/>
        </w:rPr>
        <w:tab/>
      </w:r>
    </w:p>
    <w:p w14:paraId="08D88864">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第七章政府采购合同</w:t>
      </w:r>
      <w:r>
        <w:rPr>
          <w:rFonts w:hint="eastAsia" w:ascii="微软雅黑" w:hAnsi="微软雅黑" w:eastAsia="微软雅黑" w:cs="微软雅黑"/>
          <w:b/>
          <w:bCs w:val="0"/>
          <w:color w:val="auto"/>
          <w:sz w:val="24"/>
          <w:szCs w:val="24"/>
          <w:highlight w:val="none"/>
          <w:lang w:val="en-US" w:eastAsia="zh-CN"/>
        </w:rPr>
        <w:tab/>
      </w:r>
    </w:p>
    <w:p w14:paraId="518FD790">
      <w:pPr>
        <w:spacing w:line="360" w:lineRule="auto"/>
        <w:jc w:val="center"/>
        <w:rPr>
          <w:rFonts w:hint="eastAsia" w:ascii="微软雅黑" w:hAnsi="微软雅黑" w:eastAsia="微软雅黑" w:cs="微软雅黑"/>
          <w:color w:val="auto"/>
          <w:highlight w:val="none"/>
        </w:rPr>
      </w:pPr>
      <w:bookmarkStart w:id="0" w:name="_Toc216582804"/>
      <w:bookmarkStart w:id="1" w:name="_Toc9228"/>
      <w:bookmarkStart w:id="2" w:name="_Toc7254"/>
      <w:r>
        <w:rPr>
          <w:rFonts w:hint="eastAsia" w:ascii="微软雅黑" w:hAnsi="微软雅黑" w:eastAsia="微软雅黑" w:cs="微软雅黑"/>
          <w:color w:val="auto"/>
          <w:kern w:val="0"/>
          <w:szCs w:val="21"/>
          <w:highlight w:val="none"/>
        </w:rPr>
        <w:br w:type="page"/>
      </w:r>
      <w:bookmarkStart w:id="3" w:name="_Toc518923059"/>
      <w:bookmarkStart w:id="4" w:name="_Toc18647"/>
      <w:bookmarkStart w:id="5" w:name="_Toc24295"/>
      <w:r>
        <w:rPr>
          <w:rFonts w:hint="eastAsia" w:ascii="微软雅黑" w:hAnsi="微软雅黑" w:eastAsia="微软雅黑" w:cs="微软雅黑"/>
          <w:b/>
          <w:color w:val="auto"/>
          <w:kern w:val="2"/>
          <w:sz w:val="36"/>
          <w:szCs w:val="22"/>
          <w:highlight w:val="none"/>
          <w:lang w:val="en-US" w:eastAsia="zh-CN" w:bidi="ar-SA"/>
        </w:rPr>
        <w:t>第1章供应商须知</w:t>
      </w:r>
      <w:bookmarkEnd w:id="0"/>
      <w:bookmarkEnd w:id="1"/>
      <w:bookmarkEnd w:id="2"/>
      <w:bookmarkEnd w:id="3"/>
      <w:bookmarkEnd w:id="4"/>
      <w:bookmarkEnd w:id="5"/>
    </w:p>
    <w:p w14:paraId="73CD148E">
      <w:pPr>
        <w:pStyle w:val="3"/>
        <w:jc w:val="center"/>
        <w:rPr>
          <w:rFonts w:hint="eastAsia" w:ascii="微软雅黑" w:hAnsi="微软雅黑" w:eastAsia="微软雅黑" w:cs="微软雅黑"/>
          <w:color w:val="auto"/>
          <w:highlight w:val="none"/>
        </w:rPr>
      </w:pPr>
      <w:bookmarkStart w:id="6" w:name="_Toc518923060"/>
      <w:bookmarkStart w:id="7" w:name="_Toc22313"/>
      <w:bookmarkStart w:id="8" w:name="_Toc17990"/>
      <w:bookmarkStart w:id="9" w:name="_Toc9485"/>
      <w:bookmarkStart w:id="10" w:name="_Toc29666"/>
      <w:r>
        <w:rPr>
          <w:rFonts w:hint="eastAsia" w:ascii="微软雅黑" w:hAnsi="微软雅黑" w:eastAsia="微软雅黑" w:cs="微软雅黑"/>
          <w:color w:val="auto"/>
          <w:highlight w:val="none"/>
        </w:rPr>
        <w:t>总则</w:t>
      </w:r>
      <w:bookmarkEnd w:id="6"/>
      <w:bookmarkEnd w:id="7"/>
      <w:bookmarkEnd w:id="8"/>
      <w:bookmarkEnd w:id="9"/>
      <w:bookmarkEnd w:id="10"/>
    </w:p>
    <w:p w14:paraId="66769A0C">
      <w:pPr>
        <w:pStyle w:val="7"/>
        <w:spacing w:line="360" w:lineRule="auto"/>
        <w:rPr>
          <w:rFonts w:hint="eastAsia" w:ascii="微软雅黑" w:hAnsi="微软雅黑" w:eastAsia="微软雅黑" w:cs="微软雅黑"/>
          <w:color w:val="auto"/>
          <w:highlight w:val="none"/>
        </w:rPr>
      </w:pPr>
    </w:p>
    <w:p w14:paraId="4CF9E859">
      <w:pPr>
        <w:pStyle w:val="4"/>
        <w:spacing w:before="0" w:after="0" w:line="360" w:lineRule="auto"/>
        <w:rPr>
          <w:rFonts w:hint="eastAsia" w:ascii="微软雅黑" w:hAnsi="微软雅黑" w:eastAsia="微软雅黑" w:cs="微软雅黑"/>
          <w:color w:val="auto"/>
          <w:highlight w:val="none"/>
          <w:u w:val="none"/>
          <w:lang w:eastAsia="zh-CN"/>
        </w:rPr>
      </w:pPr>
      <w:bookmarkStart w:id="11" w:name="_Toc10238"/>
      <w:bookmarkStart w:id="12" w:name="_Toc518923061"/>
      <w:bookmarkStart w:id="13" w:name="_Toc22535"/>
      <w:bookmarkStart w:id="14" w:name="_Toc12013"/>
      <w:bookmarkStart w:id="15" w:name="_Toc520356144"/>
      <w:bookmarkStart w:id="16" w:name="_Toc1500"/>
      <w:r>
        <w:rPr>
          <w:rFonts w:hint="eastAsia" w:ascii="微软雅黑" w:hAnsi="微软雅黑" w:eastAsia="微软雅黑" w:cs="微软雅黑"/>
          <w:color w:val="auto"/>
          <w:highlight w:val="none"/>
          <w:u w:val="none"/>
        </w:rPr>
        <w:t>1.采购人、采购代理机构及</w:t>
      </w:r>
      <w:bookmarkEnd w:id="11"/>
      <w:bookmarkEnd w:id="12"/>
      <w:bookmarkEnd w:id="13"/>
      <w:bookmarkEnd w:id="14"/>
      <w:bookmarkEnd w:id="15"/>
      <w:bookmarkEnd w:id="16"/>
      <w:r>
        <w:rPr>
          <w:rFonts w:hint="eastAsia" w:ascii="微软雅黑" w:hAnsi="微软雅黑" w:eastAsia="微软雅黑" w:cs="微软雅黑"/>
          <w:color w:val="auto"/>
          <w:highlight w:val="none"/>
          <w:u w:val="none"/>
          <w:lang w:eastAsia="zh-CN"/>
        </w:rPr>
        <w:t>供应商</w:t>
      </w:r>
    </w:p>
    <w:p w14:paraId="41C7FF5A">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采购人：是指依法开展政府采购活动的国家机关、事业单位、团体组织。</w:t>
      </w:r>
    </w:p>
    <w:p w14:paraId="27EE0B3D">
      <w:pPr>
        <w:tabs>
          <w:tab w:val="left" w:pos="0"/>
        </w:tabs>
        <w:spacing w:line="360"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794D2FD1">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6482A24C">
      <w:pPr>
        <w:numPr>
          <w:ilvl w:val="1"/>
          <w:numId w:val="1"/>
        </w:numPr>
        <w:spacing w:line="360"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：是指向采购人提供货物、工程或者服务的法人、非法人组织或者自然人。本项目的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须满足以下条件：</w:t>
      </w:r>
    </w:p>
    <w:p w14:paraId="63D0E0C8">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64FA54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1.3.2具备《中华人民共和国政府采购法》第二十二条关于供应商条件的规定，遵守本项目采购人本级和上级财政部门政府采购的有关规定。</w:t>
      </w:r>
    </w:p>
    <w:p w14:paraId="2435E78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1.3.3以采购代理机构认可的方式获得了本项目的招标文件。</w:t>
      </w:r>
    </w:p>
    <w:p w14:paraId="1E8BE10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1.3.4符合</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中规定的其他要求。</w:t>
      </w:r>
    </w:p>
    <w:p w14:paraId="0B225FE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1.3.5若</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中写明专门面向中小企业采购的，如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为非中小企业，其投标将被认定为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534237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1.4如</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中允许联合体投标，对联合体规定如下：</w:t>
      </w:r>
    </w:p>
    <w:p w14:paraId="4AF6EC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1.4.1两个以上供应商可以组成一个投标联合体，以一个</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的身份投标。</w:t>
      </w:r>
    </w:p>
    <w:p w14:paraId="22C24BE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1.4.2联合体各方均应符合《中华人民共和国政府采购法》第二十二条规定的条件。</w:t>
      </w:r>
    </w:p>
    <w:p w14:paraId="5DFBAE2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1.4.3采购人根据采购项目对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的特殊要求，联合体中至少应当有一方符合相关规定。</w:t>
      </w:r>
    </w:p>
    <w:p w14:paraId="06EC23C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1.4.4联合体各方应签订共同投标协议，明确约定联合体各方承担的工作和相应的责任，并将共同投标协议连同投标文件一并提交招标采购单位。</w:t>
      </w:r>
    </w:p>
    <w:p w14:paraId="166B38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ABCE78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1.4.6联合体中有同类资质的供应商按照联合体分工承担相同工作的，按照资质等级较低的供应商确定资质等级。</w:t>
      </w:r>
    </w:p>
    <w:p w14:paraId="7BFA9FB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72E9188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1.4.8对联合体投标的其他资格要求见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A4AB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F7A97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r>
        <w:rPr>
          <w:rFonts w:hint="eastAsia" w:ascii="微软雅黑" w:hAnsi="微软雅黑" w:eastAsia="微软雅黑" w:cs="微软雅黑"/>
          <w:b w:val="0"/>
          <w:bCs w:val="0"/>
          <w:color w:val="auto"/>
          <w:sz w:val="24"/>
          <w:highlight w:val="none"/>
        </w:rPr>
        <w:t>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b w:val="0"/>
          <w:bCs w:val="0"/>
          <w:color w:val="auto"/>
          <w:sz w:val="24"/>
          <w:highlight w:val="none"/>
        </w:rPr>
        <w:t>。</w:t>
      </w:r>
    </w:p>
    <w:p w14:paraId="4BB06B8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在投标过程中不得向采购人提供或给予影响其正常决策行为的任何有价值物品或服务。一经发现，其投标将被认定为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2969CB9">
      <w:pPr>
        <w:pStyle w:val="4"/>
        <w:spacing w:before="0" w:after="0" w:line="360" w:lineRule="auto"/>
        <w:rPr>
          <w:rFonts w:hint="eastAsia" w:ascii="微软雅黑" w:hAnsi="微软雅黑" w:eastAsia="微软雅黑" w:cs="微软雅黑"/>
          <w:color w:val="auto"/>
          <w:highlight w:val="none"/>
          <w:u w:val="none"/>
        </w:rPr>
      </w:pPr>
      <w:bookmarkStart w:id="17" w:name="_Toc17203"/>
      <w:bookmarkStart w:id="18" w:name="_Toc30217"/>
      <w:bookmarkStart w:id="19" w:name="_Toc2643"/>
      <w:bookmarkStart w:id="20" w:name="_Toc17198"/>
      <w:bookmarkStart w:id="21" w:name="_Toc518923062"/>
      <w:r>
        <w:rPr>
          <w:rFonts w:hint="eastAsia" w:ascii="微软雅黑" w:hAnsi="微软雅黑" w:eastAsia="微软雅黑" w:cs="微软雅黑"/>
          <w:color w:val="auto"/>
          <w:highlight w:val="none"/>
          <w:u w:val="none"/>
        </w:rPr>
        <w:t>2.资金来源</w:t>
      </w:r>
      <w:bookmarkEnd w:id="17"/>
      <w:bookmarkEnd w:id="18"/>
      <w:bookmarkEnd w:id="19"/>
      <w:bookmarkEnd w:id="20"/>
      <w:bookmarkEnd w:id="21"/>
    </w:p>
    <w:p w14:paraId="533292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14:paraId="1F34E4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2.2项目预算金额和分项或分包最高限价</w:t>
      </w:r>
      <w:r>
        <w:rPr>
          <w:rFonts w:hint="eastAsia" w:ascii="微软雅黑" w:hAnsi="微软雅黑" w:eastAsia="微软雅黑" w:cs="微软雅黑"/>
          <w:b/>
          <w:bCs/>
          <w:color w:val="auto"/>
          <w:sz w:val="24"/>
          <w:highlight w:val="none"/>
          <w:u w:val="single"/>
        </w:rPr>
        <w:t>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004F47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05F3390">
      <w:pPr>
        <w:pStyle w:val="4"/>
        <w:spacing w:before="0" w:after="0" w:line="360" w:lineRule="auto"/>
        <w:rPr>
          <w:rFonts w:hint="eastAsia" w:ascii="微软雅黑" w:hAnsi="微软雅黑" w:eastAsia="微软雅黑" w:cs="微软雅黑"/>
          <w:color w:val="auto"/>
          <w:highlight w:val="none"/>
          <w:u w:val="none"/>
        </w:rPr>
      </w:pPr>
      <w:bookmarkStart w:id="22" w:name="_Toc28166"/>
      <w:bookmarkStart w:id="23" w:name="_Toc14892"/>
      <w:bookmarkStart w:id="24" w:name="_Toc22756"/>
      <w:bookmarkStart w:id="25" w:name="_Toc3551"/>
      <w:bookmarkStart w:id="26" w:name="_Toc518923063"/>
      <w:bookmarkStart w:id="27" w:name="_Toc520356145"/>
      <w:r>
        <w:rPr>
          <w:rFonts w:hint="eastAsia" w:ascii="微软雅黑" w:hAnsi="微软雅黑" w:eastAsia="微软雅黑" w:cs="微软雅黑"/>
          <w:color w:val="auto"/>
          <w:highlight w:val="none"/>
          <w:u w:val="none"/>
        </w:rPr>
        <w:t>3.投标费用</w:t>
      </w:r>
      <w:bookmarkEnd w:id="22"/>
      <w:bookmarkEnd w:id="23"/>
      <w:bookmarkEnd w:id="24"/>
      <w:bookmarkEnd w:id="25"/>
      <w:bookmarkEnd w:id="26"/>
      <w:bookmarkEnd w:id="27"/>
    </w:p>
    <w:p w14:paraId="53A44E9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应承担所有与准备和参加投标有关的费用。</w:t>
      </w:r>
      <w:r>
        <w:rPr>
          <w:rFonts w:hint="eastAsia" w:ascii="微软雅黑" w:hAnsi="微软雅黑" w:eastAsia="微软雅黑" w:cs="微软雅黑"/>
          <w:b/>
          <w:bCs/>
          <w:color w:val="auto"/>
          <w:sz w:val="24"/>
          <w:highlight w:val="none"/>
          <w:u w:val="single"/>
        </w:rPr>
        <w:t>本项目不收取招标代理费</w:t>
      </w:r>
      <w:r>
        <w:rPr>
          <w:rFonts w:hint="eastAsia" w:ascii="微软雅黑" w:hAnsi="微软雅黑" w:eastAsia="微软雅黑" w:cs="微软雅黑"/>
          <w:b/>
          <w:bCs/>
          <w:color w:val="auto"/>
          <w:sz w:val="24"/>
          <w:highlight w:val="none"/>
        </w:rPr>
        <w:t>。</w:t>
      </w:r>
    </w:p>
    <w:p w14:paraId="5CA520E1">
      <w:pPr>
        <w:pStyle w:val="4"/>
        <w:spacing w:before="0" w:after="0" w:line="360" w:lineRule="auto"/>
        <w:rPr>
          <w:rFonts w:hint="eastAsia" w:ascii="微软雅黑" w:hAnsi="微软雅黑" w:eastAsia="微软雅黑" w:cs="微软雅黑"/>
          <w:color w:val="auto"/>
          <w:highlight w:val="none"/>
          <w:u w:val="none"/>
        </w:rPr>
      </w:pPr>
      <w:bookmarkStart w:id="28" w:name="_Toc32365"/>
      <w:bookmarkStart w:id="29" w:name="_Toc26306"/>
      <w:bookmarkStart w:id="30" w:name="_Toc518923064"/>
      <w:bookmarkStart w:id="31" w:name="_Toc28093"/>
      <w:bookmarkStart w:id="32" w:name="_Toc30739"/>
      <w:r>
        <w:rPr>
          <w:rFonts w:hint="eastAsia" w:ascii="微软雅黑" w:hAnsi="微软雅黑" w:eastAsia="微软雅黑" w:cs="微软雅黑"/>
          <w:color w:val="auto"/>
          <w:highlight w:val="none"/>
          <w:u w:val="none"/>
        </w:rPr>
        <w:t>4.适用法律</w:t>
      </w:r>
      <w:bookmarkEnd w:id="28"/>
      <w:bookmarkEnd w:id="29"/>
      <w:bookmarkEnd w:id="30"/>
      <w:bookmarkEnd w:id="31"/>
      <w:bookmarkEnd w:id="32"/>
    </w:p>
    <w:p w14:paraId="4F4D108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14:paraId="494125DC">
      <w:pPr>
        <w:spacing w:line="360" w:lineRule="auto"/>
        <w:rPr>
          <w:rFonts w:hint="eastAsia" w:ascii="微软雅黑" w:hAnsi="微软雅黑" w:eastAsia="微软雅黑" w:cs="微软雅黑"/>
          <w:color w:val="auto"/>
          <w:sz w:val="24"/>
          <w:highlight w:val="none"/>
        </w:rPr>
      </w:pPr>
    </w:p>
    <w:p w14:paraId="391132D5">
      <w:pPr>
        <w:pStyle w:val="3"/>
        <w:spacing w:before="0" w:line="360" w:lineRule="auto"/>
        <w:ind w:left="1080" w:leftChars="257" w:hanging="540"/>
        <w:rPr>
          <w:rFonts w:hint="eastAsia" w:ascii="微软雅黑" w:hAnsi="微软雅黑" w:eastAsia="微软雅黑" w:cs="微软雅黑"/>
          <w:color w:val="auto"/>
          <w:sz w:val="28"/>
          <w:highlight w:val="none"/>
        </w:rPr>
      </w:pPr>
      <w:bookmarkStart w:id="33" w:name="_Toc520356146"/>
      <w:bookmarkStart w:id="34" w:name="_Toc518923065"/>
      <w:bookmarkStart w:id="35" w:name="_Toc216582806"/>
      <w:bookmarkStart w:id="36" w:name="_Toc30516"/>
      <w:bookmarkStart w:id="37" w:name="_Toc809"/>
      <w:bookmarkStart w:id="38" w:name="_Toc8499"/>
      <w:bookmarkStart w:id="39" w:name="_Toc4348"/>
      <w:r>
        <w:rPr>
          <w:rFonts w:hint="eastAsia" w:ascii="微软雅黑" w:hAnsi="微软雅黑" w:eastAsia="微软雅黑" w:cs="微软雅黑"/>
          <w:color w:val="auto"/>
          <w:sz w:val="28"/>
          <w:highlight w:val="none"/>
        </w:rPr>
        <w:t>二招标文件</w:t>
      </w:r>
      <w:bookmarkEnd w:id="33"/>
      <w:bookmarkEnd w:id="34"/>
      <w:bookmarkEnd w:id="35"/>
      <w:bookmarkEnd w:id="36"/>
      <w:bookmarkEnd w:id="37"/>
      <w:bookmarkEnd w:id="38"/>
      <w:bookmarkEnd w:id="39"/>
    </w:p>
    <w:p w14:paraId="3C18DC5D">
      <w:pPr>
        <w:pStyle w:val="7"/>
        <w:spacing w:line="360" w:lineRule="auto"/>
        <w:rPr>
          <w:rFonts w:hint="eastAsia" w:ascii="微软雅黑" w:hAnsi="微软雅黑" w:eastAsia="微软雅黑" w:cs="微软雅黑"/>
          <w:color w:val="auto"/>
          <w:highlight w:val="none"/>
        </w:rPr>
      </w:pPr>
    </w:p>
    <w:p w14:paraId="7CEE2041">
      <w:pPr>
        <w:pStyle w:val="4"/>
        <w:spacing w:before="0" w:after="0" w:line="360" w:lineRule="auto"/>
        <w:rPr>
          <w:rFonts w:hint="eastAsia" w:ascii="微软雅黑" w:hAnsi="微软雅黑" w:eastAsia="微软雅黑" w:cs="微软雅黑"/>
          <w:color w:val="auto"/>
          <w:highlight w:val="none"/>
          <w:u w:val="none"/>
        </w:rPr>
      </w:pPr>
      <w:bookmarkStart w:id="40" w:name="_Toc22990"/>
      <w:bookmarkStart w:id="41" w:name="_Toc11127"/>
      <w:bookmarkStart w:id="42" w:name="_Toc29205"/>
      <w:bookmarkStart w:id="43" w:name="_Toc5195"/>
      <w:bookmarkStart w:id="44" w:name="_Toc518923066"/>
      <w:bookmarkStart w:id="45" w:name="_Toc520356147"/>
      <w:r>
        <w:rPr>
          <w:rFonts w:hint="eastAsia" w:ascii="微软雅黑" w:hAnsi="微软雅黑" w:eastAsia="微软雅黑" w:cs="微软雅黑"/>
          <w:color w:val="auto"/>
          <w:highlight w:val="none"/>
          <w:u w:val="none"/>
        </w:rPr>
        <w:t>5.招标文件构成</w:t>
      </w:r>
      <w:bookmarkEnd w:id="40"/>
      <w:bookmarkEnd w:id="41"/>
      <w:bookmarkEnd w:id="42"/>
      <w:bookmarkEnd w:id="43"/>
      <w:bookmarkEnd w:id="44"/>
      <w:bookmarkEnd w:id="45"/>
    </w:p>
    <w:p w14:paraId="4AB550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招标文件分为三册共7章，内容如下：</w:t>
      </w:r>
    </w:p>
    <w:p w14:paraId="7DC79BCD">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698DE5D2">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第1章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w:t>
      </w:r>
    </w:p>
    <w:p w14:paraId="4581E313">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第2章投标文件格式</w:t>
      </w:r>
    </w:p>
    <w:p w14:paraId="6C1DE733">
      <w:pPr>
        <w:spacing w:line="360" w:lineRule="auto"/>
        <w:ind w:left="1081" w:leftChars="429"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DC74B6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第3章投标邀请</w:t>
      </w:r>
    </w:p>
    <w:p w14:paraId="147694F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第4章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须知资料表</w:t>
      </w:r>
    </w:p>
    <w:p w14:paraId="1890B448">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需求及项目要求</w:t>
      </w:r>
    </w:p>
    <w:p w14:paraId="09EF246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第6章评标方法和标准</w:t>
      </w:r>
    </w:p>
    <w:p w14:paraId="1C25B31B">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22F4C21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第7章政府采购合同格式</w:t>
      </w:r>
    </w:p>
    <w:p w14:paraId="0CED60F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07A0F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应认真阅读招标文件所有的事项、格式、条款和技术规范等。如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没有按照招标文件要求提交全部资料，或者投标文件没有对招标文件在各方面都做出实质性响应，可能导致其投标被认定为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91DFF40">
      <w:pPr>
        <w:pStyle w:val="4"/>
        <w:spacing w:before="0" w:after="0" w:line="360" w:lineRule="auto"/>
        <w:rPr>
          <w:rFonts w:hint="eastAsia" w:ascii="微软雅黑" w:hAnsi="微软雅黑" w:eastAsia="微软雅黑" w:cs="微软雅黑"/>
          <w:b w:val="0"/>
          <w:color w:val="auto"/>
          <w:highlight w:val="none"/>
          <w:u w:val="none"/>
        </w:rPr>
      </w:pPr>
      <w:bookmarkStart w:id="46" w:name="_Toc520356148"/>
      <w:bookmarkStart w:id="47" w:name="_Toc21314"/>
      <w:bookmarkStart w:id="48" w:name="_Toc20560"/>
      <w:bookmarkStart w:id="49" w:name="_Toc25261"/>
      <w:bookmarkStart w:id="50" w:name="_Toc3735"/>
      <w:bookmarkStart w:id="51" w:name="_Toc518923067"/>
      <w:r>
        <w:rPr>
          <w:rFonts w:hint="eastAsia" w:ascii="微软雅黑" w:hAnsi="微软雅黑" w:eastAsia="微软雅黑" w:cs="微软雅黑"/>
          <w:color w:val="auto"/>
          <w:highlight w:val="none"/>
          <w:u w:val="none"/>
        </w:rPr>
        <w:t>6.招标文件的澄清</w:t>
      </w:r>
      <w:bookmarkEnd w:id="46"/>
      <w:r>
        <w:rPr>
          <w:rFonts w:hint="eastAsia" w:ascii="微软雅黑" w:hAnsi="微软雅黑" w:eastAsia="微软雅黑" w:cs="微软雅黑"/>
          <w:color w:val="auto"/>
          <w:highlight w:val="none"/>
          <w:u w:val="none"/>
        </w:rPr>
        <w:t>与修改</w:t>
      </w:r>
      <w:bookmarkEnd w:id="47"/>
      <w:bookmarkEnd w:id="48"/>
      <w:bookmarkEnd w:id="49"/>
      <w:bookmarkEnd w:id="50"/>
      <w:bookmarkEnd w:id="51"/>
    </w:p>
    <w:p w14:paraId="199AB08E">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6.1为了保证对招标文件的澄清和修改满足法律的时限要求，任何要求对招标文件进行澄清的</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，均应在投标截止期十五日前，以书面形式将澄清要求通知采购人或采购代理机构。</w:t>
      </w:r>
    </w:p>
    <w:p w14:paraId="41A470DB">
      <w:pPr>
        <w:pStyle w:val="7"/>
        <w:spacing w:line="360" w:lineRule="auto"/>
        <w:ind w:left="840" w:hanging="840" w:hangingChars="350"/>
        <w:rPr>
          <w:rFonts w:hint="eastAsia" w:ascii="微软雅黑" w:hAnsi="微软雅黑" w:eastAsia="微软雅黑" w:cs="微软雅黑"/>
          <w:color w:val="auto"/>
          <w:szCs w:val="24"/>
          <w:highlight w:val="none"/>
        </w:rPr>
      </w:pPr>
      <w:bookmarkStart w:id="52" w:name="_Toc520356149"/>
      <w:bookmarkStart w:id="53" w:name="_Ref467378678"/>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提出的澄清问题时对招标文件澄清或修改。采购代理机构将以发布澄清（更正）公告的方式，澄清或修改招标文件，澄清或修改内容作为招标文件的组成部分。</w:t>
      </w:r>
    </w:p>
    <w:p w14:paraId="47A05E01">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澄清或者修改的内容可能影响投标文件编制的，采购代理机构将以发布澄清（更正）公告的方式告知所有潜在</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，并对其具有约束力。</w:t>
      </w:r>
    </w:p>
    <w:p w14:paraId="1D84F33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54" w:name="_Toc17979"/>
      <w:bookmarkStart w:id="55" w:name="_Toc10994"/>
      <w:bookmarkStart w:id="56" w:name="_Toc19178"/>
      <w:bookmarkStart w:id="57" w:name="_Toc13430"/>
      <w:bookmarkStart w:id="58" w:name="_Toc518923068"/>
      <w:r>
        <w:rPr>
          <w:rFonts w:hint="eastAsia" w:ascii="微软雅黑" w:hAnsi="微软雅黑" w:eastAsia="微软雅黑" w:cs="微软雅黑"/>
          <w:color w:val="auto"/>
          <w:highlight w:val="none"/>
          <w:u w:val="none"/>
        </w:rPr>
        <w:t>7</w:t>
      </w:r>
      <w:bookmarkEnd w:id="52"/>
      <w:bookmarkEnd w:id="53"/>
      <w:r>
        <w:rPr>
          <w:rFonts w:hint="eastAsia" w:ascii="微软雅黑" w:hAnsi="微软雅黑" w:eastAsia="微软雅黑" w:cs="微软雅黑"/>
          <w:color w:val="auto"/>
          <w:highlight w:val="none"/>
          <w:u w:val="none"/>
        </w:rPr>
        <w:t>.投标截止时间的顺延</w:t>
      </w:r>
      <w:bookmarkEnd w:id="54"/>
      <w:bookmarkEnd w:id="55"/>
      <w:bookmarkEnd w:id="56"/>
      <w:bookmarkEnd w:id="57"/>
      <w:bookmarkEnd w:id="58"/>
    </w:p>
    <w:p w14:paraId="2757FBA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准备投标时有足够的时间对招标文件的澄清或者修改部分进行研究，采购人将依法决定是否顺延投标截止时间。</w:t>
      </w:r>
    </w:p>
    <w:p w14:paraId="18401B0C">
      <w:pPr>
        <w:spacing w:line="360" w:lineRule="auto"/>
        <w:ind w:left="900" w:hanging="900" w:hangingChars="375"/>
        <w:rPr>
          <w:rFonts w:hint="eastAsia" w:ascii="微软雅黑" w:hAnsi="微软雅黑" w:eastAsia="微软雅黑" w:cs="微软雅黑"/>
          <w:color w:val="auto"/>
          <w:sz w:val="24"/>
          <w:highlight w:val="none"/>
        </w:rPr>
      </w:pPr>
    </w:p>
    <w:p w14:paraId="6D7FA059">
      <w:pPr>
        <w:pStyle w:val="3"/>
        <w:tabs>
          <w:tab w:val="left" w:pos="900"/>
        </w:tabs>
        <w:spacing w:before="0" w:line="360" w:lineRule="auto"/>
        <w:ind w:left="1080" w:leftChars="257" w:hanging="540"/>
        <w:rPr>
          <w:rFonts w:hint="eastAsia" w:ascii="微软雅黑" w:hAnsi="微软雅黑" w:eastAsia="微软雅黑" w:cs="微软雅黑"/>
          <w:color w:val="auto"/>
          <w:sz w:val="28"/>
          <w:highlight w:val="none"/>
        </w:rPr>
      </w:pPr>
      <w:bookmarkStart w:id="59" w:name="_Toc516367020"/>
      <w:bookmarkStart w:id="60" w:name="_Toc24640"/>
      <w:bookmarkStart w:id="61" w:name="_Toc216582807"/>
      <w:bookmarkStart w:id="62" w:name="_Toc520356150"/>
      <w:bookmarkStart w:id="63" w:name="_Toc518923069"/>
      <w:bookmarkStart w:id="64" w:name="_Toc17255"/>
      <w:bookmarkStart w:id="65" w:name="_Toc12398"/>
      <w:bookmarkStart w:id="66" w:name="_Toc25389"/>
      <w:r>
        <w:rPr>
          <w:rFonts w:hint="eastAsia" w:ascii="微软雅黑" w:hAnsi="微软雅黑" w:eastAsia="微软雅黑" w:cs="微软雅黑"/>
          <w:color w:val="auto"/>
          <w:sz w:val="28"/>
          <w:highlight w:val="none"/>
        </w:rPr>
        <w:t>三投标文件</w:t>
      </w:r>
      <w:bookmarkEnd w:id="59"/>
      <w:r>
        <w:rPr>
          <w:rFonts w:hint="eastAsia" w:ascii="微软雅黑" w:hAnsi="微软雅黑" w:eastAsia="微软雅黑" w:cs="微软雅黑"/>
          <w:color w:val="auto"/>
          <w:sz w:val="28"/>
          <w:highlight w:val="none"/>
        </w:rPr>
        <w:t>的编制</w:t>
      </w:r>
      <w:bookmarkEnd w:id="60"/>
      <w:bookmarkEnd w:id="61"/>
      <w:bookmarkEnd w:id="62"/>
      <w:bookmarkEnd w:id="63"/>
      <w:bookmarkEnd w:id="64"/>
      <w:bookmarkEnd w:id="65"/>
      <w:bookmarkEnd w:id="66"/>
    </w:p>
    <w:p w14:paraId="71ABDFFE">
      <w:pPr>
        <w:pStyle w:val="7"/>
        <w:spacing w:line="360" w:lineRule="auto"/>
        <w:rPr>
          <w:rFonts w:hint="eastAsia" w:ascii="微软雅黑" w:hAnsi="微软雅黑" w:eastAsia="微软雅黑" w:cs="微软雅黑"/>
          <w:color w:val="auto"/>
          <w:highlight w:val="none"/>
        </w:rPr>
      </w:pPr>
    </w:p>
    <w:p w14:paraId="5EEF6639">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67" w:name="_Toc12703"/>
      <w:bookmarkStart w:id="68" w:name="_Toc520356151"/>
      <w:bookmarkStart w:id="69" w:name="_Toc26751"/>
      <w:bookmarkStart w:id="70" w:name="_Toc6728"/>
      <w:bookmarkStart w:id="71" w:name="_Toc516367021"/>
      <w:bookmarkStart w:id="72" w:name="_Toc518923070"/>
      <w:bookmarkStart w:id="73" w:name="_Toc25074"/>
      <w:r>
        <w:rPr>
          <w:rFonts w:hint="eastAsia" w:ascii="微软雅黑" w:hAnsi="微软雅黑" w:eastAsia="微软雅黑" w:cs="微软雅黑"/>
          <w:color w:val="auto"/>
          <w:highlight w:val="none"/>
          <w:u w:val="none"/>
        </w:rPr>
        <w:t>8.</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投标范围及投标文件中标准和计量单位的使用</w:t>
      </w:r>
      <w:bookmarkEnd w:id="67"/>
      <w:bookmarkEnd w:id="68"/>
      <w:bookmarkEnd w:id="69"/>
      <w:bookmarkEnd w:id="70"/>
      <w:bookmarkEnd w:id="71"/>
      <w:bookmarkEnd w:id="72"/>
      <w:bookmarkEnd w:id="73"/>
    </w:p>
    <w:p w14:paraId="2CD1A7E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可对招标文件其中一个或几个分包进行投标，除非在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中另有规定。</w:t>
      </w:r>
    </w:p>
    <w:p w14:paraId="14452DE5">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应当对所投分包招标文件中“</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需求一览表”所列的所有内容进行投标，如仅响应分包中的部分内容，其投标将被认定为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E137A6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8.3无论招标文件第5章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需求中是否要求，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均应符合国家强制性标准。</w:t>
      </w:r>
    </w:p>
    <w:p w14:paraId="1744E8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8.4除招标文件中有特殊要求外，投标文件中所使用的计量单位，应采用中华人民共和国法定计量单位。</w:t>
      </w:r>
    </w:p>
    <w:p w14:paraId="6E6C52C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74" w:name="_Ref467306676"/>
      <w:bookmarkStart w:id="75" w:name="_Ref467306195"/>
      <w:bookmarkStart w:id="76" w:name="_Toc516367022"/>
      <w:bookmarkStart w:id="77" w:name="_Toc518923071"/>
      <w:bookmarkStart w:id="78" w:name="_Toc520356152"/>
      <w:bookmarkStart w:id="79" w:name="_Toc30846"/>
      <w:bookmarkStart w:id="80" w:name="_Toc14141"/>
      <w:bookmarkStart w:id="81" w:name="_Toc12543"/>
      <w:bookmarkStart w:id="82" w:name="_Toc15487"/>
      <w:r>
        <w:rPr>
          <w:rFonts w:hint="eastAsia" w:ascii="微软雅黑" w:hAnsi="微软雅黑" w:eastAsia="微软雅黑" w:cs="微软雅黑"/>
          <w:color w:val="auto"/>
          <w:highlight w:val="none"/>
          <w:u w:val="none"/>
        </w:rPr>
        <w:t>9.投标文件</w:t>
      </w:r>
      <w:bookmarkEnd w:id="74"/>
      <w:bookmarkEnd w:id="75"/>
      <w:bookmarkEnd w:id="76"/>
      <w:r>
        <w:rPr>
          <w:rFonts w:hint="eastAsia" w:ascii="微软雅黑" w:hAnsi="微软雅黑" w:eastAsia="微软雅黑" w:cs="微软雅黑"/>
          <w:color w:val="auto"/>
          <w:highlight w:val="none"/>
          <w:u w:val="none"/>
        </w:rPr>
        <w:t>构成</w:t>
      </w:r>
      <w:bookmarkEnd w:id="77"/>
      <w:bookmarkEnd w:id="78"/>
      <w:bookmarkEnd w:id="79"/>
      <w:bookmarkEnd w:id="80"/>
      <w:bookmarkEnd w:id="81"/>
      <w:bookmarkEnd w:id="82"/>
    </w:p>
    <w:p w14:paraId="2B13AD59">
      <w:pPr>
        <w:tabs>
          <w:tab w:val="left" w:pos="900"/>
          <w:tab w:val="left" w:pos="5580"/>
        </w:tabs>
        <w:spacing w:line="360" w:lineRule="auto"/>
        <w:ind w:left="960" w:hanging="960" w:hangingChars="400"/>
        <w:jc w:val="left"/>
        <w:rPr>
          <w:rFonts w:hint="eastAsia" w:ascii="微软雅黑" w:hAnsi="微软雅黑" w:eastAsia="微软雅黑" w:cs="微软雅黑"/>
          <w:b/>
          <w:bCs/>
          <w:color w:val="auto"/>
          <w:sz w:val="24"/>
          <w:highlight w:val="none"/>
          <w:u w:val="single"/>
        </w:rPr>
      </w:pPr>
      <w:bookmarkStart w:id="83" w:name="_Ref467052588"/>
      <w:r>
        <w:rPr>
          <w:rFonts w:hint="eastAsia" w:ascii="微软雅黑" w:hAnsi="微软雅黑" w:eastAsia="微软雅黑" w:cs="微软雅黑"/>
          <w:color w:val="auto"/>
          <w:sz w:val="24"/>
          <w:highlight w:val="none"/>
        </w:rPr>
        <w:t>9.1</w:t>
      </w:r>
      <w:bookmarkEnd w:id="83"/>
      <w:r>
        <w:rPr>
          <w:rFonts w:hint="eastAsia" w:ascii="微软雅黑" w:hAnsi="微软雅黑" w:eastAsia="微软雅黑" w:cs="微软雅黑"/>
          <w:b/>
          <w:bCs/>
          <w:color w:val="auto"/>
          <w:sz w:val="24"/>
          <w:highlight w:val="none"/>
          <w:u w:val="single"/>
        </w:rPr>
        <w:t>供应商应完整地按</w:t>
      </w:r>
      <w:r>
        <w:rPr>
          <w:rFonts w:hint="eastAsia" w:ascii="微软雅黑" w:hAnsi="微软雅黑" w:eastAsia="微软雅黑" w:cs="微软雅黑"/>
          <w:b/>
          <w:bCs/>
          <w:color w:val="auto"/>
          <w:sz w:val="24"/>
          <w:highlight w:val="none"/>
          <w:u w:val="single"/>
          <w:lang w:eastAsia="zh-CN"/>
        </w:rPr>
        <w:t>招标</w:t>
      </w:r>
      <w:r>
        <w:rPr>
          <w:rFonts w:hint="eastAsia" w:ascii="微软雅黑" w:hAnsi="微软雅黑" w:eastAsia="微软雅黑" w:cs="微软雅黑"/>
          <w:b/>
          <w:bCs/>
          <w:color w:val="auto"/>
          <w:sz w:val="24"/>
          <w:highlight w:val="none"/>
          <w:u w:val="single"/>
        </w:rPr>
        <w:t>文件提供的响应文件格式及要求编写响应文件，根据平台关联点上传对应佐证资料，响应文件应包括“报价一览表及资格证明文件”和“商务及技术文件”两部分，两部分合并成完整一册上传至政采云平台。供应商应承担上传失误产生的任何后果。</w:t>
      </w:r>
    </w:p>
    <w:p w14:paraId="5AC3B65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9.2上述文件应按照招标文件规定的格式填写、签署和盖章。若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未依照要求制作投标文件的，则视为不响应招标文件编制投标文件的要求，</w:t>
      </w:r>
      <w:r>
        <w:rPr>
          <w:rFonts w:hint="eastAsia" w:ascii="微软雅黑" w:hAnsi="微软雅黑" w:eastAsia="微软雅黑" w:cs="微软雅黑"/>
          <w:b/>
          <w:bCs/>
          <w:color w:val="auto"/>
          <w:sz w:val="24"/>
          <w:highlight w:val="none"/>
        </w:rPr>
        <w:t>为无效投标。</w:t>
      </w:r>
    </w:p>
    <w:p w14:paraId="111EF157">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84" w:name="_Toc5095"/>
      <w:bookmarkStart w:id="85" w:name="_Toc520356153"/>
      <w:bookmarkStart w:id="86" w:name="_Toc15670"/>
      <w:bookmarkStart w:id="87" w:name="_Toc508185920"/>
      <w:bookmarkStart w:id="88" w:name="_Toc518923072"/>
      <w:bookmarkStart w:id="89" w:name="_Toc516367023"/>
      <w:bookmarkStart w:id="90" w:name="_Toc1889"/>
      <w:bookmarkStart w:id="91" w:name="_Toc2671"/>
      <w:bookmarkStart w:id="92" w:name="_Toc520356155"/>
      <w:r>
        <w:rPr>
          <w:rFonts w:hint="eastAsia" w:ascii="微软雅黑" w:hAnsi="微软雅黑" w:eastAsia="微软雅黑" w:cs="微软雅黑"/>
          <w:color w:val="auto"/>
          <w:highlight w:val="none"/>
          <w:u w:val="none"/>
        </w:rPr>
        <w:t>10.</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证明投标</w:t>
      </w:r>
      <w:r>
        <w:rPr>
          <w:rFonts w:hint="eastAsia" w:ascii="微软雅黑" w:hAnsi="微软雅黑" w:eastAsia="微软雅黑" w:cs="微软雅黑"/>
          <w:color w:val="auto"/>
          <w:highlight w:val="none"/>
          <w:u w:val="none"/>
          <w:lang w:eastAsia="zh-CN"/>
        </w:rPr>
        <w:t>报价</w:t>
      </w:r>
      <w:r>
        <w:rPr>
          <w:rFonts w:hint="eastAsia" w:ascii="微软雅黑" w:hAnsi="微软雅黑" w:eastAsia="微软雅黑" w:cs="微软雅黑"/>
          <w:color w:val="auto"/>
          <w:highlight w:val="none"/>
          <w:u w:val="none"/>
        </w:rPr>
        <w:t>的合格性和符合招标文件规定的响应文件</w:t>
      </w:r>
      <w:bookmarkEnd w:id="84"/>
      <w:bookmarkEnd w:id="85"/>
      <w:bookmarkEnd w:id="86"/>
      <w:bookmarkEnd w:id="87"/>
      <w:bookmarkEnd w:id="88"/>
      <w:bookmarkEnd w:id="89"/>
      <w:bookmarkEnd w:id="90"/>
      <w:bookmarkEnd w:id="91"/>
    </w:p>
    <w:p w14:paraId="2D463B0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应提交证明文件，证明其投标内容符合招标文件规定。该证明文件是投标文件的一部分。</w:t>
      </w:r>
    </w:p>
    <w:p w14:paraId="61521593">
      <w:pPr>
        <w:spacing w:line="360" w:lineRule="auto"/>
        <w:ind w:left="900" w:hanging="900" w:hangingChars="375"/>
        <w:rPr>
          <w:rFonts w:hint="eastAsia" w:ascii="微软雅黑" w:hAnsi="微软雅黑" w:eastAsia="微软雅黑" w:cs="微软雅黑"/>
          <w:color w:val="auto"/>
          <w:sz w:val="24"/>
          <w:highlight w:val="none"/>
          <w:lang w:val="en-US" w:eastAsia="zh-CN"/>
        </w:rPr>
      </w:pPr>
      <w:bookmarkStart w:id="9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93"/>
      <w:r>
        <w:rPr>
          <w:rFonts w:hint="eastAsia" w:ascii="微软雅黑" w:hAnsi="微软雅黑" w:eastAsia="微软雅黑" w:cs="微软雅黑"/>
          <w:color w:val="auto"/>
          <w:sz w:val="24"/>
          <w:highlight w:val="none"/>
          <w:lang w:eastAsia="zh-CN"/>
        </w:rPr>
        <w:t>，它包括：</w:t>
      </w:r>
    </w:p>
    <w:p w14:paraId="4941B0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设备主要技术指标的详细说明；</w:t>
      </w:r>
    </w:p>
    <w:p w14:paraId="0A35EB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14:paraId="3BCEE62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14:paraId="47D503C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注意采购人在技术规格中指出的工艺、材料和货物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668676D">
      <w:pPr>
        <w:pStyle w:val="4"/>
        <w:spacing w:before="0" w:after="0" w:line="360" w:lineRule="auto"/>
        <w:rPr>
          <w:rFonts w:hint="eastAsia" w:ascii="微软雅黑" w:hAnsi="微软雅黑" w:eastAsia="微软雅黑" w:cs="微软雅黑"/>
          <w:color w:val="auto"/>
          <w:highlight w:val="none"/>
          <w:u w:val="none"/>
        </w:rPr>
      </w:pPr>
      <w:bookmarkStart w:id="94" w:name="_Toc518923073"/>
      <w:bookmarkStart w:id="95" w:name="_Toc8529"/>
      <w:bookmarkStart w:id="96" w:name="_Toc32744"/>
      <w:bookmarkStart w:id="97" w:name="_Toc13028"/>
      <w:bookmarkStart w:id="98" w:name="_Toc23148"/>
      <w:r>
        <w:rPr>
          <w:rFonts w:hint="eastAsia" w:ascii="微软雅黑" w:hAnsi="微软雅黑" w:eastAsia="微软雅黑" w:cs="微软雅黑"/>
          <w:color w:val="auto"/>
          <w:highlight w:val="none"/>
          <w:u w:val="none"/>
        </w:rPr>
        <w:t>11.投标报价</w:t>
      </w:r>
      <w:bookmarkEnd w:id="92"/>
      <w:bookmarkEnd w:id="94"/>
      <w:bookmarkEnd w:id="95"/>
      <w:bookmarkEnd w:id="96"/>
      <w:bookmarkEnd w:id="97"/>
      <w:bookmarkEnd w:id="98"/>
    </w:p>
    <w:p w14:paraId="17CC644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77F2ED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应在投标分项报价表上标明所投货物及相关服务的单价（如适用）和总价，并由法定代表人或其委托代理人签署。</w:t>
      </w:r>
    </w:p>
    <w:p w14:paraId="469B5E6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14:paraId="740CE72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2C51D4A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11.3.2货物运至最终目的地的运输费和保险费用。</w:t>
      </w:r>
    </w:p>
    <w:p w14:paraId="553171EE">
      <w:pPr>
        <w:spacing w:line="360" w:lineRule="auto"/>
        <w:ind w:left="900" w:hanging="900" w:hangingChars="37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color w:val="auto"/>
          <w:sz w:val="24"/>
          <w:highlight w:val="none"/>
        </w:rPr>
        <w:t>投标无效。</w:t>
      </w:r>
    </w:p>
    <w:p w14:paraId="7DE1F166">
      <w:pPr>
        <w:pStyle w:val="25"/>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每种货物只能有一个投标报价。采购人不接受具有附加条件的报价。</w:t>
      </w:r>
    </w:p>
    <w:p w14:paraId="1B83C65E">
      <w:pPr>
        <w:pStyle w:val="4"/>
        <w:spacing w:before="0" w:after="0" w:line="360" w:lineRule="auto"/>
        <w:rPr>
          <w:rFonts w:hint="eastAsia" w:ascii="微软雅黑" w:hAnsi="微软雅黑" w:eastAsia="微软雅黑" w:cs="微软雅黑"/>
          <w:color w:val="auto"/>
          <w:highlight w:val="none"/>
          <w:u w:val="none"/>
        </w:rPr>
      </w:pPr>
      <w:bookmarkStart w:id="99" w:name="_Ref467306513"/>
      <w:bookmarkStart w:id="100" w:name="_Toc518923074"/>
      <w:bookmarkStart w:id="101" w:name="_Toc16199"/>
      <w:bookmarkStart w:id="102" w:name="_Toc520356156"/>
      <w:bookmarkStart w:id="103" w:name="_Toc3009"/>
      <w:bookmarkStart w:id="104" w:name="_Toc24515"/>
      <w:bookmarkStart w:id="105" w:name="_Toc18305"/>
      <w:r>
        <w:rPr>
          <w:rFonts w:hint="eastAsia" w:ascii="微软雅黑" w:hAnsi="微软雅黑" w:eastAsia="微软雅黑" w:cs="微软雅黑"/>
          <w:color w:val="auto"/>
          <w:highlight w:val="none"/>
          <w:u w:val="none"/>
        </w:rPr>
        <w:t>12.投标保证金</w:t>
      </w:r>
      <w:bookmarkEnd w:id="99"/>
      <w:bookmarkEnd w:id="100"/>
      <w:bookmarkEnd w:id="101"/>
      <w:bookmarkEnd w:id="102"/>
      <w:bookmarkEnd w:id="103"/>
      <w:bookmarkEnd w:id="104"/>
      <w:bookmarkEnd w:id="105"/>
    </w:p>
    <w:p w14:paraId="05AE3AEA">
      <w:pPr>
        <w:spacing w:line="360" w:lineRule="auto"/>
        <w:ind w:left="900" w:hanging="900" w:hangingChars="375"/>
        <w:rPr>
          <w:rFonts w:hint="eastAsia" w:ascii="微软雅黑" w:hAnsi="微软雅黑" w:eastAsia="微软雅黑" w:cs="微软雅黑"/>
          <w:color w:val="auto"/>
          <w:sz w:val="24"/>
          <w:highlight w:val="none"/>
        </w:rPr>
      </w:pPr>
      <w:bookmarkStart w:id="106"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中规定的投标保证金</w:t>
      </w:r>
      <w:bookmarkEnd w:id="106"/>
      <w:r>
        <w:rPr>
          <w:rFonts w:hint="eastAsia" w:ascii="微软雅黑" w:hAnsi="微软雅黑" w:eastAsia="微软雅黑" w:cs="微软雅黑"/>
          <w:color w:val="auto"/>
          <w:sz w:val="24"/>
          <w:highlight w:val="none"/>
        </w:rPr>
        <w:t>，并作为其投标的一部分。</w:t>
      </w:r>
    </w:p>
    <w:p w14:paraId="1C1A8BC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存在下列情形的，投标保证金不予退还：</w:t>
      </w:r>
    </w:p>
    <w:p w14:paraId="526278C2">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（1）在投标有效期内，撤销投标的；</w:t>
      </w:r>
    </w:p>
    <w:p w14:paraId="0105469A">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（2）中标后不按本须知第30条的规定与采购人签订合同的；</w:t>
      </w:r>
    </w:p>
    <w:p w14:paraId="62DA50C2">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（3）中标后不按本须知第31条的规定提交履约保证金的；</w:t>
      </w:r>
    </w:p>
    <w:p w14:paraId="6F5A01DF">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）存在其他违法违规行为的。</w:t>
      </w:r>
    </w:p>
    <w:p w14:paraId="41E5D429">
      <w:pPr>
        <w:spacing w:line="360" w:lineRule="auto"/>
        <w:ind w:left="900" w:hanging="900" w:hangingChars="375"/>
        <w:rPr>
          <w:rFonts w:hint="eastAsia" w:ascii="微软雅黑" w:hAnsi="微软雅黑" w:eastAsia="微软雅黑" w:cs="微软雅黑"/>
          <w:color w:val="auto"/>
          <w:sz w:val="24"/>
          <w:highlight w:val="none"/>
        </w:rPr>
      </w:pPr>
      <w:bookmarkStart w:id="107"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107"/>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r>
        <w:rPr>
          <w:rFonts w:hint="eastAsia" w:ascii="微软雅黑" w:hAnsi="微软雅黑" w:eastAsia="微软雅黑" w:cs="微软雅黑"/>
          <w:color w:val="auto"/>
          <w:sz w:val="24"/>
          <w:highlight w:val="none"/>
          <w:lang w:eastAsia="zh-CN"/>
        </w:rPr>
        <w:t>的扫描件</w:t>
      </w:r>
      <w:r>
        <w:rPr>
          <w:rFonts w:hint="eastAsia" w:ascii="微软雅黑" w:hAnsi="微软雅黑" w:eastAsia="微软雅黑" w:cs="微软雅黑"/>
          <w:color w:val="auto"/>
          <w:sz w:val="24"/>
          <w:highlight w:val="none"/>
        </w:rPr>
        <w:t>。</w:t>
      </w:r>
    </w:p>
    <w:p w14:paraId="572A148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未按本须知第12.1和12.3条规定提交投标保证金的，其投标将被认定为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14ACE567">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12.4.1采用电汇形式的，一般可以实时入账；</w:t>
      </w:r>
    </w:p>
    <w:p w14:paraId="4B2D2242">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12.4.2采用支票形式的，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未及时提交支票或支票不符合银行委托收款要求（如污损、折叠、胶装等），导致投标保证金不能按时进入指定账户的，将按照招标文件的第22.2条相关规定处理。</w:t>
      </w:r>
    </w:p>
    <w:p w14:paraId="28246A36">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12.5联合体投标的，可以由联合体中的一方或者共同提交投标保证金。以一方名义提交投标保证金的，对联合体各方均具有约束力。</w:t>
      </w:r>
      <w:r>
        <w:rPr>
          <w:rFonts w:hint="eastAsia" w:ascii="微软雅黑" w:hAnsi="微软雅黑" w:eastAsia="微软雅黑" w:cs="微软雅黑"/>
          <w:b/>
          <w:bCs/>
          <w:color w:val="auto"/>
          <w:sz w:val="24"/>
          <w:highlight w:val="none"/>
          <w:u w:val="single"/>
        </w:rPr>
        <w:t>本项目不接受联合体投标</w:t>
      </w:r>
    </w:p>
    <w:p w14:paraId="23CD322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color w:val="auto"/>
          <w:sz w:val="24"/>
          <w:highlight w:val="none"/>
        </w:rPr>
        <w:t>投标保证金的退还</w:t>
      </w:r>
    </w:p>
    <w:p w14:paraId="42A630A0">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12.6.1中标人应在与采购人签订合同之日起5个工作日内，及时联系保证金收受机构办理投标保证金无息退还手续。</w:t>
      </w:r>
    </w:p>
    <w:p w14:paraId="6441EB2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12.6.2未中标</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及时联系保证金收受机构办理退还投标保证金手续。</w:t>
      </w:r>
      <w:bookmarkStart w:id="108" w:name="_Toc518923075"/>
    </w:p>
    <w:p w14:paraId="07640263">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12.6.3政府采购投标担保函不予退回。</w:t>
      </w:r>
      <w:bookmarkEnd w:id="108"/>
    </w:p>
    <w:p w14:paraId="56468FD8">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自身原因导致无法及时退还的，采购人或采购代理机构将不承担相应责任。</w:t>
      </w:r>
    </w:p>
    <w:p w14:paraId="08982CF8">
      <w:pPr>
        <w:pStyle w:val="4"/>
        <w:spacing w:before="0" w:after="0" w:line="360" w:lineRule="auto"/>
        <w:rPr>
          <w:rFonts w:hint="eastAsia" w:ascii="微软雅黑" w:hAnsi="微软雅黑" w:eastAsia="微软雅黑" w:cs="微软雅黑"/>
          <w:color w:val="auto"/>
          <w:highlight w:val="none"/>
          <w:u w:val="none"/>
        </w:rPr>
      </w:pPr>
      <w:bookmarkStart w:id="109" w:name="_Toc518923076"/>
      <w:bookmarkStart w:id="110" w:name="_Toc520356157"/>
      <w:bookmarkStart w:id="111" w:name="_Toc20355"/>
      <w:bookmarkStart w:id="112" w:name="_Toc12440"/>
      <w:bookmarkStart w:id="113" w:name="_Toc22981"/>
      <w:bookmarkStart w:id="114" w:name="_Toc25375"/>
      <w:r>
        <w:rPr>
          <w:rFonts w:hint="eastAsia" w:ascii="微软雅黑" w:hAnsi="微软雅黑" w:eastAsia="微软雅黑" w:cs="微软雅黑"/>
          <w:color w:val="auto"/>
          <w:highlight w:val="none"/>
          <w:u w:val="none"/>
        </w:rPr>
        <w:t>13.投标有效期</w:t>
      </w:r>
      <w:bookmarkEnd w:id="109"/>
      <w:bookmarkEnd w:id="110"/>
      <w:bookmarkEnd w:id="111"/>
      <w:bookmarkEnd w:id="112"/>
      <w:bookmarkEnd w:id="113"/>
      <w:bookmarkEnd w:id="114"/>
    </w:p>
    <w:p w14:paraId="5E04B9B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2AA8CDA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延长投标文件的有效期。接受该要求的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可以拒绝延长投标有效期的要求，其投标保证金将及时按规定无息退还。上述要求和答复都应以书面形式提交。</w:t>
      </w:r>
    </w:p>
    <w:p w14:paraId="39A859F9">
      <w:pPr>
        <w:spacing w:line="360" w:lineRule="auto"/>
        <w:ind w:left="900" w:hanging="900" w:hangingChars="375"/>
        <w:rPr>
          <w:rFonts w:hint="eastAsia" w:ascii="微软雅黑" w:hAnsi="微软雅黑" w:eastAsia="微软雅黑" w:cs="微软雅黑"/>
          <w:b/>
          <w:color w:val="auto"/>
          <w:kern w:val="0"/>
          <w:sz w:val="24"/>
          <w:szCs w:val="20"/>
          <w:highlight w:val="none"/>
          <w:u w:val="none"/>
          <w:lang w:val="en-US" w:eastAsia="zh-CN" w:bidi="ar-SA"/>
        </w:rPr>
      </w:pPr>
      <w:r>
        <w:rPr>
          <w:rFonts w:hint="eastAsia" w:ascii="微软雅黑" w:hAnsi="微软雅黑" w:eastAsia="微软雅黑" w:cs="微软雅黑"/>
          <w:b/>
          <w:color w:val="auto"/>
          <w:kern w:val="0"/>
          <w:sz w:val="24"/>
          <w:szCs w:val="20"/>
          <w:highlight w:val="none"/>
          <w:u w:val="none"/>
          <w:lang w:val="en-US" w:eastAsia="zh-CN" w:bidi="ar-SA"/>
        </w:rPr>
        <w:t>14.投标文件的签署及规定</w:t>
      </w:r>
    </w:p>
    <w:p w14:paraId="594A85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供应商应按</w:t>
      </w:r>
      <w:r>
        <w:rPr>
          <w:rFonts w:hint="eastAsia" w:ascii="微软雅黑" w:hAnsi="微软雅黑" w:eastAsia="微软雅黑" w:cs="微软雅黑"/>
          <w:b/>
          <w:bCs/>
          <w:color w:val="auto"/>
          <w:sz w:val="24"/>
          <w:highlight w:val="none"/>
          <w:u w:val="single"/>
        </w:rPr>
        <w:t>供应商须知资料表</w:t>
      </w:r>
      <w:r>
        <w:rPr>
          <w:rFonts w:hint="eastAsia" w:ascii="微软雅黑" w:hAnsi="微软雅黑" w:eastAsia="微软雅黑" w:cs="微软雅黑"/>
          <w:color w:val="auto"/>
          <w:sz w:val="24"/>
          <w:highlight w:val="none"/>
        </w:rPr>
        <w:t>中的规定，准备和上传响应文件。</w:t>
      </w:r>
    </w:p>
    <w:p w14:paraId="266B84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文件由供应商的法定代表人按</w:t>
      </w:r>
      <w:r>
        <w:rPr>
          <w:rFonts w:hint="eastAsia" w:ascii="微软雅黑" w:hAnsi="微软雅黑" w:eastAsia="微软雅黑" w:cs="微软雅黑"/>
          <w:color w:val="auto"/>
          <w:sz w:val="24"/>
          <w:highlight w:val="none"/>
          <w:lang w:eastAsia="zh-CN"/>
        </w:rPr>
        <w:t>招标</w:t>
      </w:r>
      <w:r>
        <w:rPr>
          <w:rFonts w:hint="eastAsia" w:ascii="微软雅黑" w:hAnsi="微软雅黑" w:eastAsia="微软雅黑" w:cs="微软雅黑"/>
          <w:color w:val="auto"/>
          <w:sz w:val="24"/>
          <w:highlight w:val="none"/>
        </w:rPr>
        <w:t>文件规定在</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文件上签字或盖章并加盖单位印章。如对</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文件进行了修改，则应由供应商的法定代表人在每一修改处签字。</w:t>
      </w:r>
    </w:p>
    <w:p w14:paraId="4DAAED8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文件因字迹潦草、表达不清所引起的后果由供应商负责。</w:t>
      </w:r>
    </w:p>
    <w:p w14:paraId="1CAD60E7">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115" w:name="_Toc3050"/>
      <w:bookmarkStart w:id="116" w:name="_Toc22303"/>
      <w:bookmarkStart w:id="117" w:name="_Toc15497"/>
      <w:bookmarkStart w:id="118" w:name="_Toc520356159"/>
      <w:bookmarkStart w:id="119" w:name="_Toc216582808"/>
      <w:bookmarkStart w:id="120" w:name="_Toc4415"/>
      <w:bookmarkStart w:id="121" w:name="_Toc518923078"/>
      <w:r>
        <w:rPr>
          <w:rFonts w:hint="eastAsia" w:ascii="微软雅黑" w:hAnsi="微软雅黑" w:eastAsia="微软雅黑" w:cs="微软雅黑"/>
          <w:color w:val="auto"/>
          <w:sz w:val="24"/>
          <w:highlight w:val="none"/>
        </w:rPr>
        <w:t>四投标文件的递交</w:t>
      </w:r>
      <w:bookmarkEnd w:id="115"/>
      <w:bookmarkEnd w:id="116"/>
      <w:bookmarkEnd w:id="117"/>
      <w:bookmarkEnd w:id="118"/>
      <w:bookmarkEnd w:id="119"/>
      <w:bookmarkEnd w:id="120"/>
      <w:bookmarkEnd w:id="121"/>
    </w:p>
    <w:p w14:paraId="3A16B61F">
      <w:pPr>
        <w:pStyle w:val="7"/>
        <w:spacing w:line="360" w:lineRule="auto"/>
        <w:rPr>
          <w:rFonts w:hint="eastAsia" w:ascii="微软雅黑" w:hAnsi="微软雅黑" w:eastAsia="微软雅黑" w:cs="微软雅黑"/>
          <w:color w:val="auto"/>
          <w:highlight w:val="none"/>
        </w:rPr>
      </w:pPr>
    </w:p>
    <w:p w14:paraId="76C4ABCD">
      <w:pPr>
        <w:pStyle w:val="4"/>
        <w:spacing w:before="0" w:after="0" w:line="360" w:lineRule="auto"/>
        <w:rPr>
          <w:rFonts w:hint="eastAsia" w:ascii="微软雅黑" w:hAnsi="微软雅黑" w:eastAsia="微软雅黑" w:cs="微软雅黑"/>
          <w:color w:val="auto"/>
          <w:highlight w:val="none"/>
          <w:u w:val="none"/>
        </w:rPr>
      </w:pPr>
      <w:bookmarkStart w:id="122" w:name="_Toc13247"/>
      <w:bookmarkStart w:id="123" w:name="_Toc16644"/>
      <w:bookmarkStart w:id="124" w:name="_Toc518923079"/>
      <w:bookmarkStart w:id="125" w:name="_Toc12245"/>
      <w:bookmarkStart w:id="126" w:name="_Toc3038"/>
      <w:bookmarkStart w:id="127" w:name="_Toc520356160"/>
      <w:r>
        <w:rPr>
          <w:rFonts w:hint="eastAsia" w:ascii="微软雅黑" w:hAnsi="微软雅黑" w:eastAsia="微软雅黑" w:cs="微软雅黑"/>
          <w:color w:val="auto"/>
          <w:highlight w:val="none"/>
          <w:u w:val="none"/>
        </w:rPr>
        <w:t>15.投标文件的密封和标记</w:t>
      </w:r>
      <w:bookmarkEnd w:id="122"/>
      <w:bookmarkEnd w:id="123"/>
      <w:bookmarkEnd w:id="124"/>
      <w:bookmarkEnd w:id="125"/>
      <w:bookmarkEnd w:id="126"/>
      <w:bookmarkEnd w:id="127"/>
    </w:p>
    <w:p w14:paraId="29B8E20C">
      <w:pPr>
        <w:spacing w:line="360"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应将投标文件第一部分和第二部分合并，并在每部分标明“第一部分开标一览表及资格证明文件”或“第二部分商务及技术文件”字样。电子版投标文件必须通过新疆CA数字证书编制、完整上传至新疆政府采购网政采云平台。</w:t>
      </w:r>
    </w:p>
    <w:p w14:paraId="03270C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15.2所有电子投标文件封皮应：</w:t>
      </w:r>
    </w:p>
    <w:p w14:paraId="5699C0DF">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注明招标公告或投标邀请书中指明的项目名称、招标编号、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名称的字样。</w:t>
      </w:r>
    </w:p>
    <w:p w14:paraId="000BFB5C">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15.3如果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未按上述要求标记的，其投标文件将</w:t>
      </w:r>
      <w:r>
        <w:rPr>
          <w:rFonts w:hint="eastAsia" w:ascii="微软雅黑" w:hAnsi="微软雅黑" w:eastAsia="微软雅黑" w:cs="微软雅黑"/>
          <w:b/>
          <w:bCs/>
          <w:color w:val="auto"/>
          <w:sz w:val="24"/>
          <w:highlight w:val="none"/>
        </w:rPr>
        <w:t>被拒绝接收。</w:t>
      </w:r>
    </w:p>
    <w:p w14:paraId="667F7779">
      <w:pPr>
        <w:pStyle w:val="4"/>
        <w:spacing w:before="0" w:after="0" w:line="360" w:lineRule="auto"/>
        <w:rPr>
          <w:rFonts w:hint="eastAsia" w:ascii="微软雅黑" w:hAnsi="微软雅黑" w:eastAsia="微软雅黑" w:cs="微软雅黑"/>
          <w:color w:val="auto"/>
          <w:highlight w:val="none"/>
          <w:u w:val="none"/>
        </w:rPr>
      </w:pPr>
      <w:bookmarkStart w:id="128" w:name="_Toc518923080"/>
      <w:bookmarkStart w:id="129" w:name="_Toc520356161"/>
      <w:bookmarkStart w:id="130" w:name="_Toc10904"/>
      <w:bookmarkStart w:id="131" w:name="_Toc25787"/>
      <w:bookmarkStart w:id="132" w:name="_Toc30117"/>
      <w:bookmarkStart w:id="133" w:name="_Toc30605"/>
      <w:r>
        <w:rPr>
          <w:rFonts w:hint="eastAsia" w:ascii="微软雅黑" w:hAnsi="微软雅黑" w:eastAsia="微软雅黑" w:cs="微软雅黑"/>
          <w:color w:val="auto"/>
          <w:highlight w:val="none"/>
          <w:u w:val="none"/>
        </w:rPr>
        <w:t>16.投标截止</w:t>
      </w:r>
      <w:bookmarkEnd w:id="128"/>
      <w:bookmarkEnd w:id="129"/>
      <w:bookmarkEnd w:id="130"/>
      <w:bookmarkEnd w:id="131"/>
      <w:bookmarkEnd w:id="132"/>
      <w:bookmarkEnd w:id="133"/>
    </w:p>
    <w:p w14:paraId="167B9E0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中规定的截止时间前，将投标文件上传到到招标公告中规定的地点。</w:t>
      </w:r>
    </w:p>
    <w:p w14:paraId="5255EB3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受投标截止时间制约的所有权利和义务均应延长至新的截止时间。</w:t>
      </w:r>
    </w:p>
    <w:p w14:paraId="7965E3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14:paraId="2DA3C7BC">
      <w:pPr>
        <w:pStyle w:val="4"/>
        <w:spacing w:before="0" w:after="0" w:line="360" w:lineRule="auto"/>
        <w:rPr>
          <w:rFonts w:hint="eastAsia" w:ascii="微软雅黑" w:hAnsi="微软雅黑" w:eastAsia="微软雅黑" w:cs="微软雅黑"/>
          <w:color w:val="auto"/>
          <w:highlight w:val="none"/>
          <w:u w:val="none"/>
        </w:rPr>
      </w:pPr>
      <w:bookmarkStart w:id="134" w:name="_Toc13921"/>
      <w:bookmarkStart w:id="135" w:name="_Toc22116"/>
      <w:bookmarkStart w:id="136" w:name="_Toc518923081"/>
      <w:bookmarkStart w:id="137" w:name="_Toc25814"/>
      <w:bookmarkStart w:id="138" w:name="_Toc520356162"/>
      <w:bookmarkStart w:id="139" w:name="_Toc1148"/>
      <w:r>
        <w:rPr>
          <w:rFonts w:hint="eastAsia" w:ascii="微软雅黑" w:hAnsi="微软雅黑" w:eastAsia="微软雅黑" w:cs="微软雅黑"/>
          <w:color w:val="auto"/>
          <w:highlight w:val="none"/>
          <w:u w:val="none"/>
        </w:rPr>
        <w:t>17.投标文件的接收、修改与撤回</w:t>
      </w:r>
      <w:bookmarkEnd w:id="134"/>
      <w:bookmarkEnd w:id="135"/>
      <w:bookmarkEnd w:id="136"/>
      <w:bookmarkEnd w:id="137"/>
      <w:bookmarkEnd w:id="138"/>
      <w:bookmarkEnd w:id="139"/>
    </w:p>
    <w:p w14:paraId="69361C5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17.1在投标截止时间后上传投标文件的，采购人和采购代理机构将拒绝接收。</w:t>
      </w:r>
    </w:p>
    <w:p w14:paraId="4082E2A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在投标截止期之后，采购人和采购代理机构不接受</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主动对其投标文件做任何修改。</w:t>
      </w:r>
    </w:p>
    <w:p w14:paraId="525A6456">
      <w:pPr>
        <w:spacing w:line="360" w:lineRule="auto"/>
        <w:ind w:left="1080" w:leftChars="257" w:hanging="540"/>
        <w:rPr>
          <w:rFonts w:hint="eastAsia" w:ascii="微软雅黑" w:hAnsi="微软雅黑" w:eastAsia="微软雅黑" w:cs="微软雅黑"/>
          <w:color w:val="auto"/>
          <w:sz w:val="24"/>
          <w:highlight w:val="none"/>
        </w:rPr>
      </w:pPr>
    </w:p>
    <w:p w14:paraId="118FCA21">
      <w:pPr>
        <w:pStyle w:val="3"/>
        <w:spacing w:before="0" w:line="360" w:lineRule="auto"/>
        <w:rPr>
          <w:rFonts w:hint="eastAsia" w:ascii="微软雅黑" w:hAnsi="微软雅黑" w:eastAsia="微软雅黑" w:cs="微软雅黑"/>
          <w:color w:val="auto"/>
          <w:sz w:val="24"/>
          <w:highlight w:val="none"/>
        </w:rPr>
      </w:pPr>
      <w:bookmarkStart w:id="140" w:name="_Toc6389"/>
      <w:bookmarkStart w:id="141" w:name="_Toc10257"/>
      <w:bookmarkStart w:id="142" w:name="_Toc5784"/>
      <w:bookmarkStart w:id="143" w:name="_Toc518923082"/>
      <w:bookmarkStart w:id="144" w:name="_Toc23627"/>
      <w:bookmarkStart w:id="145" w:name="_Toc216582809"/>
      <w:bookmarkStart w:id="146" w:name="_Toc520356163"/>
      <w:r>
        <w:rPr>
          <w:rFonts w:hint="eastAsia" w:ascii="微软雅黑" w:hAnsi="微软雅黑" w:eastAsia="微软雅黑" w:cs="微软雅黑"/>
          <w:color w:val="auto"/>
          <w:sz w:val="24"/>
          <w:highlight w:val="none"/>
        </w:rPr>
        <w:t>五开标及评标</w:t>
      </w:r>
      <w:bookmarkEnd w:id="140"/>
      <w:bookmarkEnd w:id="141"/>
      <w:bookmarkEnd w:id="142"/>
      <w:bookmarkEnd w:id="143"/>
      <w:bookmarkEnd w:id="144"/>
      <w:bookmarkEnd w:id="145"/>
      <w:bookmarkEnd w:id="146"/>
    </w:p>
    <w:p w14:paraId="607532CE">
      <w:pPr>
        <w:pStyle w:val="7"/>
        <w:spacing w:line="360" w:lineRule="auto"/>
        <w:rPr>
          <w:rFonts w:hint="eastAsia" w:ascii="微软雅黑" w:hAnsi="微软雅黑" w:eastAsia="微软雅黑" w:cs="微软雅黑"/>
          <w:color w:val="auto"/>
          <w:highlight w:val="none"/>
        </w:rPr>
      </w:pPr>
    </w:p>
    <w:p w14:paraId="633D538E">
      <w:pPr>
        <w:pStyle w:val="4"/>
        <w:spacing w:before="0" w:after="0" w:line="360" w:lineRule="auto"/>
        <w:rPr>
          <w:rFonts w:hint="eastAsia" w:ascii="微软雅黑" w:hAnsi="微软雅黑" w:eastAsia="微软雅黑" w:cs="微软雅黑"/>
          <w:color w:val="auto"/>
          <w:highlight w:val="none"/>
          <w:u w:val="none"/>
        </w:rPr>
      </w:pPr>
      <w:bookmarkStart w:id="147" w:name="_Toc16580"/>
      <w:bookmarkStart w:id="148" w:name="_Toc17912"/>
      <w:bookmarkStart w:id="149" w:name="_Toc8653"/>
      <w:bookmarkStart w:id="150" w:name="_Toc1813"/>
      <w:bookmarkStart w:id="151" w:name="_Toc520356164"/>
      <w:bookmarkStart w:id="152" w:name="_Toc518923083"/>
      <w:r>
        <w:rPr>
          <w:rFonts w:hint="eastAsia" w:ascii="微软雅黑" w:hAnsi="微软雅黑" w:eastAsia="微软雅黑" w:cs="微软雅黑"/>
          <w:color w:val="auto"/>
          <w:highlight w:val="none"/>
          <w:u w:val="none"/>
        </w:rPr>
        <w:t>18.开标</w:t>
      </w:r>
      <w:bookmarkEnd w:id="147"/>
      <w:bookmarkEnd w:id="148"/>
      <w:bookmarkEnd w:id="149"/>
      <w:bookmarkEnd w:id="150"/>
      <w:bookmarkEnd w:id="151"/>
      <w:bookmarkEnd w:id="152"/>
    </w:p>
    <w:p w14:paraId="21424F0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组织公开开标。</w:t>
      </w:r>
    </w:p>
    <w:p w14:paraId="697E630E">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不足3家的，不得开标。</w:t>
      </w:r>
    </w:p>
    <w:p w14:paraId="6D6E4D11">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中规定的开标时间和地点，在规定的时间内上传投标文件。</w:t>
      </w:r>
    </w:p>
    <w:p w14:paraId="391820F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w:t>
      </w:r>
      <w:r>
        <w:rPr>
          <w:rFonts w:hint="eastAsia" w:ascii="微软雅黑" w:hAnsi="微软雅黑" w:eastAsia="微软雅黑" w:cs="微软雅黑"/>
          <w:b/>
          <w:bCs/>
          <w:color w:val="auto"/>
          <w:sz w:val="24"/>
          <w:highlight w:val="none"/>
        </w:rPr>
        <w:t>采购代理机构</w:t>
      </w:r>
      <w:bookmarkStart w:id="153" w:name="_Toc520356165"/>
      <w:r>
        <w:rPr>
          <w:rFonts w:hint="eastAsia" w:ascii="微软雅黑" w:hAnsi="微软雅黑" w:eastAsia="微软雅黑" w:cs="微软雅黑"/>
          <w:b/>
          <w:bCs/>
          <w:color w:val="auto"/>
          <w:sz w:val="24"/>
          <w:highlight w:val="none"/>
        </w:rPr>
        <w:t>在规定的时间对投标文件进行解密，时长为30分钟。</w:t>
      </w:r>
    </w:p>
    <w:p w14:paraId="0D9FBEC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18.4开标时，</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应登录新疆政府采购网政采云平台开标大厅签到并在规定的解锁电子投标文件时间内解锁其电子投标文件。由采购人或采购代理机构当众宣读</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名称、投标价格及开标一览表规定的内容。对于</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在投标截止期前递交（上传）的投标声明，在开标时当众宣读，评标时有效。</w:t>
      </w:r>
    </w:p>
    <w:p w14:paraId="36BFD042">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14:paraId="64084A49">
      <w:pPr>
        <w:pStyle w:val="4"/>
        <w:spacing w:before="0" w:after="0" w:line="360" w:lineRule="auto"/>
        <w:rPr>
          <w:rFonts w:hint="eastAsia" w:ascii="微软雅黑" w:hAnsi="微软雅黑" w:eastAsia="微软雅黑" w:cs="微软雅黑"/>
          <w:color w:val="auto"/>
          <w:highlight w:val="none"/>
          <w:u w:val="none"/>
        </w:rPr>
      </w:pPr>
      <w:bookmarkStart w:id="154" w:name="_Toc34"/>
      <w:bookmarkStart w:id="155" w:name="_Toc2093"/>
      <w:bookmarkStart w:id="156" w:name="_Toc24828"/>
      <w:bookmarkStart w:id="157" w:name="_Toc5486"/>
      <w:bookmarkStart w:id="158" w:name="_Toc518923084"/>
      <w:r>
        <w:rPr>
          <w:rFonts w:hint="eastAsia" w:ascii="微软雅黑" w:hAnsi="微软雅黑" w:eastAsia="微软雅黑" w:cs="微软雅黑"/>
          <w:color w:val="auto"/>
          <w:highlight w:val="none"/>
          <w:u w:val="none"/>
        </w:rPr>
        <w:t>19</w:t>
      </w:r>
      <w:bookmarkEnd w:id="153"/>
      <w:r>
        <w:rPr>
          <w:rFonts w:hint="eastAsia" w:ascii="微软雅黑" w:hAnsi="微软雅黑" w:eastAsia="微软雅黑" w:cs="微软雅黑"/>
          <w:color w:val="auto"/>
          <w:highlight w:val="none"/>
          <w:u w:val="none"/>
        </w:rPr>
        <w:t>.资格审查及组建评标委员会</w:t>
      </w:r>
      <w:bookmarkEnd w:id="154"/>
      <w:bookmarkEnd w:id="155"/>
      <w:bookmarkEnd w:id="156"/>
      <w:bookmarkEnd w:id="157"/>
      <w:bookmarkEnd w:id="158"/>
    </w:p>
    <w:p w14:paraId="30AD8853">
      <w:pPr>
        <w:spacing w:line="360" w:lineRule="auto"/>
        <w:ind w:left="960" w:hanging="960" w:hangingChars="4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19.1采购人或采购代理机构依据法律法规和招标文件中规定的内容，对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不进入评标；进入评标的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不足3家的，不得评标。</w:t>
      </w:r>
      <w:r>
        <w:rPr>
          <w:rFonts w:hint="eastAsia" w:ascii="微软雅黑" w:hAnsi="微软雅黑" w:eastAsia="微软雅黑" w:cs="微软雅黑"/>
          <w:b/>
          <w:bCs/>
          <w:color w:val="auto"/>
          <w:sz w:val="24"/>
          <w:highlight w:val="none"/>
          <w:u w:val="single"/>
          <w:lang w:eastAsia="zh-CN"/>
        </w:rPr>
        <w:t>此项目由采购人审查资质。</w:t>
      </w:r>
    </w:p>
    <w:p w14:paraId="1BC1099E">
      <w:pPr>
        <w:spacing w:line="360" w:lineRule="exact"/>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54DA8FE2">
      <w:pPr>
        <w:spacing w:line="360" w:lineRule="exact"/>
        <w:ind w:left="850" w:hanging="849" w:hangingChars="354"/>
        <w:rPr>
          <w:rFonts w:hint="eastAsia" w:ascii="微软雅黑" w:hAnsi="微软雅黑" w:eastAsia="微软雅黑" w:cs="微软雅黑"/>
          <w:b/>
          <w:bCs/>
          <w:i/>
          <w:iCs/>
          <w:color w:val="auto"/>
          <w:sz w:val="24"/>
          <w:highlight w:val="none"/>
          <w:u w:val="single"/>
        </w:rPr>
      </w:pPr>
      <w:r>
        <w:rPr>
          <w:rFonts w:hint="eastAsia" w:ascii="微软雅黑" w:hAnsi="微软雅黑" w:eastAsia="微软雅黑" w:cs="微软雅黑"/>
          <w:color w:val="auto"/>
          <w:sz w:val="24"/>
          <w:highlight w:val="none"/>
        </w:rPr>
        <w:t>19.3按照《中华人民共和国政府采购法》、《中华人民共和国政府采购法实施条例》及本项目本级和上级财政部门的有关规定依法组建的评标委员会，负责本项目评标工作。</w:t>
      </w:r>
      <w:bookmarkStart w:id="159" w:name="_Toc520356166"/>
    </w:p>
    <w:p w14:paraId="7C7DE199">
      <w:pPr>
        <w:spacing w:line="360" w:lineRule="auto"/>
        <w:ind w:left="850" w:hanging="849" w:hangingChars="354"/>
        <w:rPr>
          <w:rFonts w:hint="eastAsia" w:ascii="微软雅黑" w:hAnsi="微软雅黑" w:eastAsia="微软雅黑" w:cs="微软雅黑"/>
          <w:color w:val="auto"/>
          <w:sz w:val="24"/>
          <w:highlight w:val="none"/>
        </w:rPr>
      </w:pPr>
    </w:p>
    <w:p w14:paraId="370196CE">
      <w:pPr>
        <w:pStyle w:val="4"/>
        <w:spacing w:before="0" w:after="0" w:line="360" w:lineRule="auto"/>
        <w:rPr>
          <w:rFonts w:hint="eastAsia" w:ascii="微软雅黑" w:hAnsi="微软雅黑" w:eastAsia="微软雅黑" w:cs="微软雅黑"/>
          <w:b w:val="0"/>
          <w:bCs/>
          <w:color w:val="auto"/>
          <w:highlight w:val="none"/>
          <w:bdr w:val="single" w:color="auto" w:sz="4" w:space="0"/>
        </w:rPr>
      </w:pPr>
      <w:bookmarkStart w:id="160" w:name="_Toc8768"/>
      <w:bookmarkStart w:id="161" w:name="_Toc22894"/>
      <w:bookmarkStart w:id="162" w:name="_Toc6842"/>
      <w:bookmarkStart w:id="163" w:name="_Toc518923085"/>
      <w:bookmarkStart w:id="164" w:name="_Toc23348"/>
      <w:r>
        <w:rPr>
          <w:rFonts w:hint="eastAsia" w:ascii="微软雅黑" w:hAnsi="微软雅黑" w:eastAsia="微软雅黑" w:cs="微软雅黑"/>
          <w:color w:val="auto"/>
          <w:highlight w:val="none"/>
          <w:u w:val="none"/>
        </w:rPr>
        <w:t>20.投标文件的</w:t>
      </w:r>
      <w:bookmarkEnd w:id="159"/>
      <w:r>
        <w:rPr>
          <w:rFonts w:hint="eastAsia" w:ascii="微软雅黑" w:hAnsi="微软雅黑" w:eastAsia="微软雅黑" w:cs="微软雅黑"/>
          <w:color w:val="auto"/>
          <w:highlight w:val="none"/>
          <w:u w:val="none"/>
        </w:rPr>
        <w:t>符合性审查与澄清</w:t>
      </w:r>
      <w:bookmarkEnd w:id="160"/>
      <w:bookmarkEnd w:id="161"/>
      <w:bookmarkEnd w:id="162"/>
      <w:bookmarkEnd w:id="163"/>
      <w:bookmarkEnd w:id="164"/>
    </w:p>
    <w:p w14:paraId="0831CB9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20.1符合性审查是指依据招标文件的规定，从投标文件的有效性和完整性对招标文件的响应程度进行审查，以确定是否对招标文件的实质性要求做出响应。</w:t>
      </w:r>
      <w:bookmarkStart w:id="165" w:name="_Hlt522424701"/>
      <w:bookmarkEnd w:id="165"/>
      <w:bookmarkStart w:id="166" w:name="_Toc520356167"/>
      <w:r>
        <w:rPr>
          <w:rFonts w:hint="eastAsia" w:ascii="微软雅黑" w:hAnsi="微软雅黑" w:eastAsia="微软雅黑" w:cs="微软雅黑"/>
          <w:b/>
          <w:bCs/>
          <w:color w:val="auto"/>
          <w:sz w:val="24"/>
          <w:highlight w:val="none"/>
        </w:rPr>
        <w:t>投标文件必须按照招标文件第2章投标文件格式要求，完整上传，不得随意更改或者缺项，否则作废标处理</w:t>
      </w:r>
      <w:r>
        <w:rPr>
          <w:rFonts w:hint="eastAsia" w:ascii="微软雅黑" w:hAnsi="微软雅黑" w:eastAsia="微软雅黑" w:cs="微软雅黑"/>
          <w:color w:val="auto"/>
          <w:sz w:val="24"/>
          <w:highlight w:val="none"/>
        </w:rPr>
        <w:t>。</w:t>
      </w:r>
    </w:p>
    <w:p w14:paraId="6388A6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14:paraId="60DE7680">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在评标期间，评标委员会将以书面方式要求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的报价明显低于其他通过符合性检查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的报价，有可能影响履约的情况作必要的澄清、说明或补正。</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澄清、说明或补正。应在评标委员会规定的时间内以书面方式进行，并不得超出投标文件范围或者改变投标文件的实质性内容。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的澄清、说明或补正将作为投标文件的一部分。</w:t>
      </w:r>
    </w:p>
    <w:p w14:paraId="597CD6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20.3投标文件报价出现前后不一致的，按照下列规定修正：</w:t>
      </w:r>
    </w:p>
    <w:p w14:paraId="3B4042D9">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（一）投标文件中开标一览表（报价表）内容与投标文件中相应内容不一致的，以开标一览表（报价表）为准；</w:t>
      </w:r>
    </w:p>
    <w:p w14:paraId="5E2A7ED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（二）大写金额和小写金额不一致的，以大写金额为准；</w:t>
      </w:r>
    </w:p>
    <w:p w14:paraId="467EB2A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（三）单价金额小数点或者百分比有明显错位的，以开标一览表的总价为准，并修改单价；</w:t>
      </w:r>
    </w:p>
    <w:p w14:paraId="56F57F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（四）总价金额与按单价汇总金额不一致的，以单价金额计算结果为准。同时出现两种以上不一致的，按照前款规定的顺序修正。修正后的报价按照第20.2条的规定经</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确认后产生约束力，</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不确认的，将被认定为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C645EED">
      <w:pPr>
        <w:spacing w:line="360" w:lineRule="auto"/>
        <w:ind w:left="735" w:leftChars="350" w:firstLine="120" w:firstLineChars="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14:paraId="5975F2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1A5F414">
      <w:pPr>
        <w:spacing w:line="360" w:lineRule="auto"/>
        <w:ind w:left="958" w:leftChars="456" w:firstLine="60" w:firstLineChars="2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如采购人所采购产品为政府强制采购的节能产品，</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p>
    <w:p w14:paraId="3659AC2F">
      <w:pPr>
        <w:pStyle w:val="4"/>
        <w:spacing w:before="0" w:after="0" w:line="360" w:lineRule="auto"/>
        <w:rPr>
          <w:rFonts w:hint="eastAsia" w:ascii="微软雅黑" w:hAnsi="微软雅黑" w:eastAsia="微软雅黑" w:cs="微软雅黑"/>
          <w:color w:val="auto"/>
          <w:highlight w:val="none"/>
          <w:u w:val="none"/>
        </w:rPr>
      </w:pPr>
      <w:bookmarkStart w:id="167" w:name="_Toc19998"/>
      <w:bookmarkStart w:id="168" w:name="_Toc3679"/>
      <w:bookmarkStart w:id="169" w:name="_Toc18231"/>
      <w:bookmarkStart w:id="170" w:name="_Toc8603"/>
      <w:bookmarkStart w:id="171" w:name="_Toc518923086"/>
      <w:r>
        <w:rPr>
          <w:rFonts w:hint="eastAsia" w:ascii="微软雅黑" w:hAnsi="微软雅黑" w:eastAsia="微软雅黑" w:cs="微软雅黑"/>
          <w:color w:val="auto"/>
          <w:highlight w:val="none"/>
          <w:u w:val="none"/>
        </w:rPr>
        <w:t>21.投标偏离</w:t>
      </w:r>
      <w:bookmarkEnd w:id="167"/>
      <w:bookmarkEnd w:id="168"/>
      <w:bookmarkEnd w:id="169"/>
      <w:bookmarkEnd w:id="170"/>
      <w:bookmarkEnd w:id="171"/>
    </w:p>
    <w:p w14:paraId="1D15DE74">
      <w:pPr>
        <w:spacing w:line="360" w:lineRule="auto"/>
        <w:ind w:left="848" w:leftChars="99" w:hanging="640" w:hangingChars="26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评标委员会可以接受投标文件中不构成实质性偏离的不正规或不一致。</w:t>
      </w:r>
    </w:p>
    <w:p w14:paraId="7BEE9B03">
      <w:pPr>
        <w:pStyle w:val="4"/>
        <w:spacing w:before="0" w:after="0" w:line="360" w:lineRule="auto"/>
        <w:rPr>
          <w:rFonts w:hint="eastAsia" w:ascii="微软雅黑" w:hAnsi="微软雅黑" w:eastAsia="微软雅黑" w:cs="微软雅黑"/>
          <w:color w:val="auto"/>
          <w:highlight w:val="none"/>
          <w:u w:val="none"/>
        </w:rPr>
      </w:pPr>
      <w:bookmarkStart w:id="172" w:name="_Toc31087"/>
      <w:bookmarkStart w:id="173" w:name="_Toc518923087"/>
      <w:bookmarkStart w:id="174" w:name="_Toc16356"/>
      <w:bookmarkStart w:id="175" w:name="_Toc17838"/>
      <w:bookmarkStart w:id="176" w:name="_Toc25255"/>
      <w:r>
        <w:rPr>
          <w:rFonts w:hint="eastAsia" w:ascii="微软雅黑" w:hAnsi="微软雅黑" w:eastAsia="微软雅黑" w:cs="微软雅黑"/>
          <w:color w:val="auto"/>
          <w:highlight w:val="none"/>
          <w:u w:val="none"/>
        </w:rPr>
        <w:t>22.投标无效</w:t>
      </w:r>
      <w:bookmarkEnd w:id="172"/>
      <w:bookmarkEnd w:id="173"/>
      <w:bookmarkEnd w:id="174"/>
      <w:bookmarkEnd w:id="175"/>
      <w:bookmarkEnd w:id="176"/>
    </w:p>
    <w:p w14:paraId="62F43062">
      <w:pPr>
        <w:spacing w:line="360"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不得通过修正或撤销不符合要求的偏离从而使其投标成为实质上响应的投标。</w:t>
      </w:r>
    </w:p>
    <w:p w14:paraId="6C744125">
      <w:pPr>
        <w:spacing w:line="360" w:lineRule="auto"/>
        <w:ind w:left="792"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14:paraId="726BC3B2">
      <w:pPr>
        <w:spacing w:line="360" w:lineRule="auto"/>
        <w:ind w:left="900" w:hanging="900" w:hangingChars="375"/>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以下情形应当在招标文件中规定，并以醒目的方式标明）</w:t>
      </w:r>
    </w:p>
    <w:p w14:paraId="23336BE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未按招标文件规定的形式和金额提交投标保证金的；</w:t>
      </w:r>
    </w:p>
    <w:p w14:paraId="76B881C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未按照招标文件规定要求签署、盖章的；</w:t>
      </w:r>
    </w:p>
    <w:p w14:paraId="3ACDAD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未满足招标文件中技术条款的实质性要求；</w:t>
      </w:r>
    </w:p>
    <w:p w14:paraId="0C5A4E7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串通投标，或者与招标人串通投标；</w:t>
      </w:r>
    </w:p>
    <w:p w14:paraId="47BE84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属于招标文件规定的其他投标无效情形；</w:t>
      </w:r>
    </w:p>
    <w:p w14:paraId="3FF1C07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的报价明显低于其他通过符合性检查</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的报价，有可能影响履约的，且</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未按照规定证明其报价合理性的；</w:t>
      </w:r>
    </w:p>
    <w:p w14:paraId="14396926">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投标文件含有采购人不能接受的附加条件的；</w:t>
      </w:r>
    </w:p>
    <w:p w14:paraId="71375F22">
      <w:pPr>
        <w:numPr>
          <w:ilvl w:val="0"/>
          <w:numId w:val="2"/>
        </w:numPr>
        <w:tabs>
          <w:tab w:val="left" w:pos="0"/>
        </w:tabs>
        <w:spacing w:line="360" w:lineRule="auto"/>
        <w:ind w:left="1230"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不符合法规和招标文件中规定的其他实质性要求的。</w:t>
      </w:r>
    </w:p>
    <w:p w14:paraId="150E9C76">
      <w:pPr>
        <w:spacing w:line="360" w:lineRule="auto"/>
        <w:rPr>
          <w:rFonts w:hint="eastAsia" w:ascii="微软雅黑" w:hAnsi="微软雅黑" w:eastAsia="微软雅黑" w:cs="微软雅黑"/>
          <w:color w:val="auto"/>
          <w:highlight w:val="none"/>
        </w:rPr>
      </w:pPr>
      <w:bookmarkStart w:id="177" w:name="_Toc518923088"/>
      <w:bookmarkStart w:id="178" w:name="_Toc20835"/>
      <w:r>
        <w:rPr>
          <w:rFonts w:hint="eastAsia" w:ascii="微软雅黑" w:hAnsi="微软雅黑" w:eastAsia="微软雅黑" w:cs="微软雅黑"/>
          <w:b/>
          <w:color w:val="auto"/>
          <w:kern w:val="0"/>
          <w:sz w:val="24"/>
          <w:szCs w:val="20"/>
          <w:highlight w:val="none"/>
        </w:rPr>
        <w:t>23</w:t>
      </w:r>
      <w:bookmarkEnd w:id="166"/>
      <w:r>
        <w:rPr>
          <w:rFonts w:hint="eastAsia" w:ascii="微软雅黑" w:hAnsi="微软雅黑" w:eastAsia="微软雅黑" w:cs="微软雅黑"/>
          <w:b/>
          <w:color w:val="auto"/>
          <w:kern w:val="0"/>
          <w:sz w:val="24"/>
          <w:szCs w:val="20"/>
          <w:highlight w:val="none"/>
        </w:rPr>
        <w:t>.比较与评价</w:t>
      </w:r>
      <w:bookmarkEnd w:id="177"/>
      <w:bookmarkEnd w:id="178"/>
    </w:p>
    <w:p w14:paraId="14B7A14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经符合性审查合格的投标文件，评标委员会将根据招标文件确定的评标方法和标准，对其技术部分和商务部分作进一步的比较和评价。</w:t>
      </w:r>
    </w:p>
    <w:p w14:paraId="142B75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中规定采用下列一种评标方法，详细评标标准见招标文件第六章：</w:t>
      </w:r>
    </w:p>
    <w:p w14:paraId="09D8A1F7">
      <w:pPr>
        <w:pStyle w:val="12"/>
        <w:spacing w:line="360" w:lineRule="auto"/>
        <w:ind w:left="899" w:leftChars="342" w:hanging="1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7F9A1A81">
      <w:pPr>
        <w:pStyle w:val="12"/>
        <w:spacing w:line="360" w:lineRule="auto"/>
        <w:ind w:left="898" w:leftChars="342" w:hanging="1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14DC2C9B">
      <w:pPr>
        <w:spacing w:line="360" w:lineRule="auto"/>
        <w:ind w:left="720" w:hanging="720" w:hangingChars="300"/>
        <w:rPr>
          <w:rFonts w:hint="eastAsia" w:ascii="微软雅黑" w:hAnsi="微软雅黑" w:eastAsia="微软雅黑" w:cs="微软雅黑"/>
          <w:color w:val="auto"/>
          <w:sz w:val="24"/>
          <w:highlight w:val="none"/>
        </w:rPr>
      </w:pPr>
      <w:bookmarkStart w:id="179" w:name="_Toc15234"/>
      <w:bookmarkStart w:id="180" w:name="_Toc46"/>
      <w:r>
        <w:rPr>
          <w:rFonts w:hint="eastAsia" w:ascii="微软雅黑" w:hAnsi="微软雅黑" w:eastAsia="微软雅黑" w:cs="微软雅黑"/>
          <w:color w:val="auto"/>
          <w:sz w:val="24"/>
          <w:highlight w:val="none"/>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1" w:name="sendNo"/>
      <w:r>
        <w:rPr>
          <w:rFonts w:hint="eastAsia" w:ascii="微软雅黑" w:hAnsi="微软雅黑" w:eastAsia="微软雅黑" w:cs="微软雅黑"/>
          <w:color w:val="auto"/>
          <w:sz w:val="24"/>
          <w:highlight w:val="none"/>
        </w:rPr>
        <w:t>财库〔</w:t>
      </w:r>
      <w:bookmarkEnd w:id="181"/>
      <w:r>
        <w:rPr>
          <w:rFonts w:hint="eastAsia" w:ascii="微软雅黑" w:hAnsi="微软雅黑" w:eastAsia="微软雅黑" w:cs="微软雅黑"/>
          <w:color w:val="auto"/>
          <w:sz w:val="24"/>
          <w:highlight w:val="none"/>
        </w:rPr>
        <w:t>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，其投标报价扣除10%后参与评审。具体办法详见招标文件第6章。</w:t>
      </w:r>
      <w:bookmarkEnd w:id="179"/>
      <w:bookmarkEnd w:id="180"/>
    </w:p>
    <w:p w14:paraId="6A652D05">
      <w:pPr>
        <w:pStyle w:val="4"/>
        <w:spacing w:before="0" w:after="0" w:line="360" w:lineRule="auto"/>
        <w:rPr>
          <w:rFonts w:hint="eastAsia" w:ascii="微软雅黑" w:hAnsi="微软雅黑" w:eastAsia="微软雅黑" w:cs="微软雅黑"/>
          <w:color w:val="auto"/>
          <w:highlight w:val="none"/>
          <w:u w:val="none"/>
        </w:rPr>
      </w:pPr>
      <w:bookmarkStart w:id="182" w:name="_Toc520356168"/>
      <w:bookmarkStart w:id="183" w:name="_Toc518923089"/>
      <w:bookmarkStart w:id="184" w:name="_Toc21286"/>
      <w:bookmarkStart w:id="185" w:name="_Toc21639"/>
      <w:bookmarkStart w:id="186" w:name="_Toc5823"/>
      <w:bookmarkStart w:id="187" w:name="_Toc21098"/>
      <w:r>
        <w:rPr>
          <w:rFonts w:hint="eastAsia" w:ascii="微软雅黑" w:hAnsi="微软雅黑" w:eastAsia="微软雅黑" w:cs="微软雅黑"/>
          <w:color w:val="auto"/>
          <w:highlight w:val="none"/>
          <w:u w:val="none"/>
        </w:rPr>
        <w:t>24</w:t>
      </w:r>
      <w:bookmarkEnd w:id="182"/>
      <w:r>
        <w:rPr>
          <w:rFonts w:hint="eastAsia" w:ascii="微软雅黑" w:hAnsi="微软雅黑" w:eastAsia="微软雅黑" w:cs="微软雅黑"/>
          <w:color w:val="auto"/>
          <w:highlight w:val="none"/>
          <w:u w:val="none"/>
        </w:rPr>
        <w:t>.废标</w:t>
      </w:r>
      <w:bookmarkEnd w:id="183"/>
      <w:bookmarkEnd w:id="184"/>
      <w:bookmarkEnd w:id="185"/>
      <w:bookmarkEnd w:id="186"/>
      <w:bookmarkEnd w:id="187"/>
    </w:p>
    <w:p w14:paraId="03F5FE6E">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出现下列情形之一，将导致项目废标：</w:t>
      </w:r>
    </w:p>
    <w:p w14:paraId="3A5CE12A">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（1）符合专业条件的供应商或者对招标文件做实质性响应的供应商不足三家；</w:t>
      </w:r>
    </w:p>
    <w:p w14:paraId="6AE6D809">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（2）出现影响采购公正的违法、违规行为的；</w:t>
      </w:r>
    </w:p>
    <w:p w14:paraId="6352CB04">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的报价均超过了采购预算，采购人不能支付的；</w:t>
      </w:r>
    </w:p>
    <w:p w14:paraId="627C0BBB">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（4）因重大变故，采购任务取消的。</w:t>
      </w:r>
    </w:p>
    <w:p w14:paraId="1EE6625E">
      <w:pPr>
        <w:pStyle w:val="4"/>
        <w:spacing w:before="0" w:after="0" w:line="360" w:lineRule="auto"/>
        <w:rPr>
          <w:rFonts w:hint="eastAsia" w:ascii="微软雅黑" w:hAnsi="微软雅黑" w:eastAsia="微软雅黑" w:cs="微软雅黑"/>
          <w:color w:val="auto"/>
          <w:highlight w:val="none"/>
          <w:u w:val="none"/>
        </w:rPr>
      </w:pPr>
      <w:bookmarkStart w:id="188" w:name="_Toc25392"/>
      <w:bookmarkStart w:id="189" w:name="_Toc518923090"/>
      <w:bookmarkStart w:id="190" w:name="_Toc9809"/>
      <w:bookmarkStart w:id="191" w:name="_Toc23660"/>
      <w:bookmarkStart w:id="192" w:name="_Toc10697"/>
      <w:bookmarkStart w:id="193" w:name="_Toc520356169"/>
      <w:r>
        <w:rPr>
          <w:rFonts w:hint="eastAsia" w:ascii="微软雅黑" w:hAnsi="微软雅黑" w:eastAsia="微软雅黑" w:cs="微软雅黑"/>
          <w:color w:val="auto"/>
          <w:highlight w:val="none"/>
          <w:u w:val="none"/>
        </w:rPr>
        <w:t>25.保密原则</w:t>
      </w:r>
      <w:bookmarkEnd w:id="188"/>
      <w:bookmarkEnd w:id="189"/>
      <w:bookmarkEnd w:id="190"/>
      <w:bookmarkEnd w:id="191"/>
      <w:bookmarkEnd w:id="192"/>
    </w:p>
    <w:p w14:paraId="0A28C88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14:paraId="1D566C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p>
    <w:p w14:paraId="76A74A5F">
      <w:pPr>
        <w:spacing w:line="360" w:lineRule="auto"/>
        <w:ind w:left="1080" w:leftChars="257" w:hanging="540"/>
        <w:rPr>
          <w:rFonts w:hint="eastAsia" w:ascii="微软雅黑" w:hAnsi="微软雅黑" w:eastAsia="微软雅黑" w:cs="微软雅黑"/>
          <w:color w:val="auto"/>
          <w:sz w:val="24"/>
          <w:highlight w:val="none"/>
        </w:rPr>
      </w:pPr>
    </w:p>
    <w:p w14:paraId="2A7A5286">
      <w:pPr>
        <w:pStyle w:val="3"/>
        <w:spacing w:before="0" w:line="360" w:lineRule="auto"/>
        <w:rPr>
          <w:rFonts w:hint="eastAsia" w:ascii="微软雅黑" w:hAnsi="微软雅黑" w:eastAsia="微软雅黑" w:cs="微软雅黑"/>
          <w:color w:val="auto"/>
          <w:sz w:val="24"/>
          <w:highlight w:val="none"/>
        </w:rPr>
      </w:pPr>
      <w:bookmarkStart w:id="194" w:name="_Toc15684"/>
      <w:bookmarkStart w:id="195" w:name="_Toc518923091"/>
      <w:bookmarkStart w:id="196" w:name="_Toc24350"/>
      <w:bookmarkStart w:id="197" w:name="_Toc216582810"/>
      <w:bookmarkStart w:id="198" w:name="_Toc10964"/>
      <w:bookmarkStart w:id="199" w:name="_Toc905"/>
      <w:r>
        <w:rPr>
          <w:rFonts w:hint="eastAsia" w:ascii="微软雅黑" w:hAnsi="微软雅黑" w:eastAsia="微软雅黑" w:cs="微软雅黑"/>
          <w:color w:val="auto"/>
          <w:sz w:val="24"/>
          <w:highlight w:val="none"/>
        </w:rPr>
        <w:t>六</w:t>
      </w:r>
      <w:bookmarkEnd w:id="193"/>
      <w:r>
        <w:rPr>
          <w:rFonts w:hint="eastAsia" w:ascii="微软雅黑" w:hAnsi="微软雅黑" w:eastAsia="微软雅黑" w:cs="微软雅黑"/>
          <w:color w:val="auto"/>
          <w:sz w:val="24"/>
          <w:highlight w:val="none"/>
        </w:rPr>
        <w:t>确定中标</w:t>
      </w:r>
      <w:bookmarkEnd w:id="194"/>
      <w:bookmarkEnd w:id="195"/>
      <w:bookmarkEnd w:id="196"/>
      <w:bookmarkEnd w:id="197"/>
      <w:bookmarkEnd w:id="198"/>
      <w:bookmarkEnd w:id="199"/>
    </w:p>
    <w:p w14:paraId="14765C8D">
      <w:pPr>
        <w:pStyle w:val="7"/>
        <w:spacing w:line="360" w:lineRule="auto"/>
        <w:rPr>
          <w:rFonts w:hint="eastAsia" w:ascii="微软雅黑" w:hAnsi="微软雅黑" w:eastAsia="微软雅黑" w:cs="微软雅黑"/>
          <w:color w:val="auto"/>
          <w:highlight w:val="none"/>
        </w:rPr>
      </w:pPr>
    </w:p>
    <w:p w14:paraId="16F0156D">
      <w:pPr>
        <w:pStyle w:val="4"/>
        <w:spacing w:before="0" w:after="0" w:line="360" w:lineRule="auto"/>
        <w:rPr>
          <w:rFonts w:hint="eastAsia" w:ascii="微软雅黑" w:hAnsi="微软雅黑" w:eastAsia="微软雅黑" w:cs="微软雅黑"/>
          <w:color w:val="auto"/>
          <w:highlight w:val="none"/>
          <w:u w:val="none"/>
        </w:rPr>
      </w:pPr>
      <w:bookmarkStart w:id="200" w:name="_Toc9990"/>
      <w:bookmarkStart w:id="201" w:name="_Toc518923092"/>
      <w:bookmarkStart w:id="202" w:name="_Toc30436"/>
      <w:bookmarkStart w:id="203" w:name="_Toc11388"/>
      <w:bookmarkStart w:id="204" w:name="_Ref467307010"/>
      <w:bookmarkStart w:id="205" w:name="_Toc520356170"/>
      <w:bookmarkStart w:id="206" w:name="_Toc32578"/>
      <w:r>
        <w:rPr>
          <w:rFonts w:hint="eastAsia" w:ascii="微软雅黑" w:hAnsi="微软雅黑" w:eastAsia="微软雅黑" w:cs="微软雅黑"/>
          <w:color w:val="auto"/>
          <w:highlight w:val="none"/>
          <w:u w:val="none"/>
        </w:rPr>
        <w:t>26.中标候选人的确定原则及标准</w:t>
      </w:r>
      <w:bookmarkEnd w:id="200"/>
      <w:bookmarkEnd w:id="201"/>
      <w:bookmarkEnd w:id="202"/>
      <w:bookmarkEnd w:id="203"/>
      <w:bookmarkEnd w:id="204"/>
      <w:bookmarkEnd w:id="205"/>
      <w:bookmarkEnd w:id="206"/>
    </w:p>
    <w:p w14:paraId="0C4BC65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按下列方法进行排序，确定中标候选人：</w:t>
      </w:r>
    </w:p>
    <w:p w14:paraId="255016A2">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的投标价格进行任何调整。评标结果按修正和扣除后的投标报价由低到高顺序排列。报价相同的处理方式详见招标文件第6章。</w:t>
      </w:r>
    </w:p>
    <w:p w14:paraId="4D4EE347">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BB09BA2">
      <w:pPr>
        <w:pStyle w:val="4"/>
        <w:spacing w:before="0" w:after="0" w:line="360" w:lineRule="auto"/>
        <w:rPr>
          <w:rFonts w:hint="eastAsia" w:ascii="微软雅黑" w:hAnsi="微软雅黑" w:eastAsia="微软雅黑" w:cs="微软雅黑"/>
          <w:color w:val="auto"/>
          <w:highlight w:val="none"/>
          <w:u w:val="none"/>
        </w:rPr>
      </w:pPr>
      <w:bookmarkStart w:id="207" w:name="_Toc520356171"/>
      <w:bookmarkStart w:id="208" w:name="_Toc30599"/>
      <w:bookmarkStart w:id="209" w:name="_Toc3646"/>
      <w:bookmarkStart w:id="210" w:name="_Toc518923093"/>
      <w:bookmarkStart w:id="211" w:name="_Toc2277"/>
      <w:bookmarkStart w:id="212" w:name="_Toc10555"/>
      <w:r>
        <w:rPr>
          <w:rFonts w:hint="eastAsia" w:ascii="微软雅黑" w:hAnsi="微软雅黑" w:eastAsia="微软雅黑" w:cs="微软雅黑"/>
          <w:color w:val="auto"/>
          <w:highlight w:val="none"/>
          <w:u w:val="none"/>
        </w:rPr>
        <w:t>27</w:t>
      </w:r>
      <w:bookmarkEnd w:id="207"/>
      <w:r>
        <w:rPr>
          <w:rFonts w:hint="eastAsia" w:ascii="微软雅黑" w:hAnsi="微软雅黑" w:eastAsia="微软雅黑" w:cs="微软雅黑"/>
          <w:color w:val="auto"/>
          <w:highlight w:val="none"/>
          <w:u w:val="none"/>
        </w:rPr>
        <w:t>.确定中标候选人和中标人</w:t>
      </w:r>
      <w:bookmarkEnd w:id="208"/>
      <w:bookmarkEnd w:id="209"/>
      <w:bookmarkEnd w:id="210"/>
      <w:bookmarkEnd w:id="211"/>
      <w:bookmarkEnd w:id="212"/>
    </w:p>
    <w:p w14:paraId="36C6170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中规定数量推荐中标候选人或根据采购人的委托，直接确定中标人。</w:t>
      </w:r>
    </w:p>
    <w:p w14:paraId="5A55C814">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213" w:name="_Ref467306874"/>
      <w:bookmarkStart w:id="214" w:name="_Toc520356173"/>
      <w:bookmarkStart w:id="215" w:name="_Toc31903"/>
      <w:bookmarkStart w:id="216" w:name="_Toc12407"/>
      <w:bookmarkStart w:id="217" w:name="_Toc17138"/>
      <w:bookmarkStart w:id="218" w:name="_Toc19263"/>
      <w:bookmarkStart w:id="219" w:name="_Toc518923094"/>
      <w:r>
        <w:rPr>
          <w:rFonts w:hint="eastAsia" w:ascii="微软雅黑" w:hAnsi="微软雅黑" w:eastAsia="微软雅黑" w:cs="微软雅黑"/>
          <w:color w:val="auto"/>
          <w:highlight w:val="none"/>
          <w:u w:val="none"/>
        </w:rPr>
        <w:t>28</w:t>
      </w:r>
      <w:bookmarkEnd w:id="213"/>
      <w:bookmarkEnd w:id="214"/>
      <w:r>
        <w:rPr>
          <w:rFonts w:hint="eastAsia" w:ascii="微软雅黑" w:hAnsi="微软雅黑" w:eastAsia="微软雅黑" w:cs="微软雅黑"/>
          <w:color w:val="auto"/>
          <w:highlight w:val="none"/>
          <w:u w:val="none"/>
        </w:rPr>
        <w:t>.采购任务取消</w:t>
      </w:r>
      <w:bookmarkEnd w:id="215"/>
      <w:bookmarkEnd w:id="216"/>
      <w:bookmarkEnd w:id="217"/>
      <w:bookmarkEnd w:id="218"/>
      <w:bookmarkEnd w:id="219"/>
    </w:p>
    <w:p w14:paraId="0FD486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中标，且对受影响的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不承担任何责任。</w:t>
      </w:r>
      <w:bookmarkStart w:id="220" w:name="_Toc520356174"/>
    </w:p>
    <w:p w14:paraId="48F84B98">
      <w:pPr>
        <w:pStyle w:val="4"/>
        <w:spacing w:before="0" w:after="0" w:line="360" w:lineRule="auto"/>
        <w:rPr>
          <w:rFonts w:hint="eastAsia" w:ascii="微软雅黑" w:hAnsi="微软雅黑" w:eastAsia="微软雅黑" w:cs="微软雅黑"/>
          <w:color w:val="auto"/>
          <w:highlight w:val="none"/>
          <w:u w:val="none"/>
        </w:rPr>
      </w:pPr>
      <w:bookmarkStart w:id="221" w:name="_Toc518923095"/>
      <w:bookmarkStart w:id="222" w:name="_Toc14874"/>
      <w:bookmarkStart w:id="223" w:name="_Toc29889"/>
      <w:bookmarkStart w:id="224" w:name="_Toc18072"/>
      <w:bookmarkStart w:id="225" w:name="_Toc9317"/>
      <w:r>
        <w:rPr>
          <w:rFonts w:hint="eastAsia" w:ascii="微软雅黑" w:hAnsi="微软雅黑" w:eastAsia="微软雅黑" w:cs="微软雅黑"/>
          <w:color w:val="auto"/>
          <w:highlight w:val="none"/>
          <w:u w:val="none"/>
        </w:rPr>
        <w:t>29.中标通知书</w:t>
      </w:r>
      <w:bookmarkEnd w:id="220"/>
      <w:r>
        <w:rPr>
          <w:rFonts w:hint="eastAsia" w:ascii="微软雅黑" w:hAnsi="微软雅黑" w:eastAsia="微软雅黑" w:cs="微软雅黑"/>
          <w:color w:val="auto"/>
          <w:highlight w:val="none"/>
          <w:u w:val="none"/>
        </w:rPr>
        <w:t>和招标结果通知书</w:t>
      </w:r>
      <w:bookmarkEnd w:id="221"/>
      <w:bookmarkEnd w:id="222"/>
      <w:bookmarkEnd w:id="223"/>
      <w:bookmarkEnd w:id="224"/>
      <w:bookmarkEnd w:id="225"/>
    </w:p>
    <w:p w14:paraId="23CB83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14:paraId="729F3F7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14:paraId="418543D0">
      <w:pPr>
        <w:pStyle w:val="4"/>
        <w:spacing w:before="0" w:after="0" w:line="360" w:lineRule="auto"/>
        <w:rPr>
          <w:rFonts w:hint="eastAsia" w:ascii="微软雅黑" w:hAnsi="微软雅黑" w:eastAsia="微软雅黑" w:cs="微软雅黑"/>
          <w:color w:val="auto"/>
          <w:highlight w:val="none"/>
          <w:u w:val="none"/>
        </w:rPr>
      </w:pPr>
      <w:bookmarkStart w:id="226" w:name="_Ref467307062"/>
      <w:bookmarkStart w:id="227" w:name="_Toc169"/>
      <w:bookmarkStart w:id="228" w:name="_Ref467306978"/>
      <w:bookmarkStart w:id="229" w:name="_Ref467307204"/>
      <w:bookmarkStart w:id="230" w:name="_Toc13825"/>
      <w:bookmarkStart w:id="231" w:name="_Toc21023"/>
      <w:bookmarkStart w:id="232" w:name="_Toc16952"/>
      <w:bookmarkStart w:id="233" w:name="_Ref467306377"/>
      <w:bookmarkStart w:id="234" w:name="_Toc518923096"/>
      <w:bookmarkStart w:id="235" w:name="_Toc520356175"/>
      <w:r>
        <w:rPr>
          <w:rFonts w:hint="eastAsia" w:ascii="微软雅黑" w:hAnsi="微软雅黑" w:eastAsia="微软雅黑" w:cs="微软雅黑"/>
          <w:color w:val="auto"/>
          <w:highlight w:val="none"/>
          <w:u w:val="none"/>
        </w:rPr>
        <w:t>30.签订合同</w:t>
      </w:r>
      <w:bookmarkEnd w:id="226"/>
      <w:bookmarkEnd w:id="227"/>
      <w:bookmarkEnd w:id="228"/>
      <w:bookmarkEnd w:id="229"/>
      <w:bookmarkEnd w:id="230"/>
      <w:bookmarkEnd w:id="231"/>
      <w:bookmarkEnd w:id="232"/>
      <w:bookmarkEnd w:id="233"/>
      <w:bookmarkEnd w:id="234"/>
      <w:bookmarkEnd w:id="235"/>
    </w:p>
    <w:p w14:paraId="62AF215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14:paraId="1FC57B0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36" w:name="_Toc520356176"/>
      <w:bookmarkStart w:id="237" w:name="_Ref467307090"/>
      <w:bookmarkStart w:id="238" w:name="_Ref467306425"/>
      <w:r>
        <w:rPr>
          <w:rFonts w:hint="eastAsia" w:ascii="微软雅黑" w:hAnsi="微软雅黑" w:eastAsia="微软雅黑" w:cs="微软雅黑"/>
          <w:color w:val="auto"/>
          <w:sz w:val="24"/>
          <w:highlight w:val="none"/>
        </w:rPr>
        <w:t>招标文件、中标人的投标文件及其澄清文件等，均为签订合同的依据。</w:t>
      </w:r>
    </w:p>
    <w:p w14:paraId="1EC5AB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30.3中标人拒绝与采购人签订合同的，采购人可以按照评审报告推荐的中标候选人名单排序，确定下一中标候选人为中标人，也可以重新开展政府采购活动。</w:t>
      </w:r>
    </w:p>
    <w:p w14:paraId="70EBE12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14:paraId="336FA170">
      <w:pPr>
        <w:pStyle w:val="4"/>
        <w:spacing w:before="0" w:after="0" w:line="360" w:lineRule="auto"/>
        <w:rPr>
          <w:rFonts w:hint="eastAsia" w:ascii="微软雅黑" w:hAnsi="微软雅黑" w:eastAsia="微软雅黑" w:cs="微软雅黑"/>
          <w:color w:val="auto"/>
          <w:highlight w:val="none"/>
          <w:u w:val="none"/>
        </w:rPr>
      </w:pPr>
      <w:bookmarkStart w:id="239" w:name="_Toc4113"/>
      <w:bookmarkStart w:id="240" w:name="_Toc31416"/>
      <w:bookmarkStart w:id="241" w:name="_Toc4302"/>
      <w:bookmarkStart w:id="242" w:name="_Toc518923097"/>
      <w:bookmarkStart w:id="243" w:name="_Toc8276"/>
      <w:r>
        <w:rPr>
          <w:rFonts w:hint="eastAsia" w:ascii="微软雅黑" w:hAnsi="微软雅黑" w:eastAsia="微软雅黑" w:cs="微软雅黑"/>
          <w:color w:val="auto"/>
          <w:highlight w:val="none"/>
          <w:u w:val="none"/>
        </w:rPr>
        <w:t>31.履约保证金</w:t>
      </w:r>
      <w:bookmarkEnd w:id="236"/>
      <w:bookmarkEnd w:id="237"/>
      <w:bookmarkEnd w:id="238"/>
      <w:bookmarkEnd w:id="239"/>
      <w:bookmarkEnd w:id="240"/>
      <w:bookmarkEnd w:id="241"/>
      <w:bookmarkEnd w:id="242"/>
      <w:bookmarkEnd w:id="243"/>
    </w:p>
    <w:p w14:paraId="047B523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5DA0DDE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14:paraId="7C1D54CC">
      <w:pPr>
        <w:pStyle w:val="4"/>
        <w:spacing w:before="0" w:after="0" w:line="360" w:lineRule="auto"/>
        <w:rPr>
          <w:rFonts w:hint="eastAsia" w:ascii="微软雅黑" w:hAnsi="微软雅黑" w:eastAsia="微软雅黑" w:cs="微软雅黑"/>
          <w:color w:val="auto"/>
          <w:highlight w:val="none"/>
          <w:u w:val="none"/>
        </w:rPr>
      </w:pPr>
      <w:bookmarkStart w:id="244" w:name="_Toc8476"/>
      <w:bookmarkStart w:id="245" w:name="_Toc8478"/>
      <w:bookmarkStart w:id="246" w:name="_Toc17150"/>
      <w:bookmarkStart w:id="247" w:name="_Toc5576"/>
      <w:bookmarkStart w:id="248" w:name="_Toc518923098"/>
      <w:r>
        <w:rPr>
          <w:rFonts w:hint="eastAsia" w:ascii="微软雅黑" w:hAnsi="微软雅黑" w:eastAsia="微软雅黑" w:cs="微软雅黑"/>
          <w:color w:val="auto"/>
          <w:highlight w:val="none"/>
          <w:u w:val="none"/>
        </w:rPr>
        <w:t>32.中标服务费</w:t>
      </w:r>
      <w:bookmarkEnd w:id="244"/>
      <w:bookmarkEnd w:id="245"/>
      <w:bookmarkEnd w:id="246"/>
      <w:bookmarkEnd w:id="247"/>
      <w:bookmarkEnd w:id="248"/>
    </w:p>
    <w:p w14:paraId="559F81D8">
      <w:pPr>
        <w:spacing w:line="360" w:lineRule="auto"/>
        <w:ind w:left="840" w:leftChars="200" w:hanging="420" w:hanging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本项目由集采机构代理，无</w:t>
      </w:r>
      <w:r>
        <w:rPr>
          <w:rFonts w:hint="eastAsia" w:ascii="微软雅黑" w:hAnsi="微软雅黑" w:eastAsia="微软雅黑" w:cs="微软雅黑"/>
          <w:color w:val="auto"/>
          <w:sz w:val="24"/>
          <w:highlight w:val="none"/>
          <w:lang w:eastAsia="zh-CN"/>
        </w:rPr>
        <w:t>需支付</w:t>
      </w:r>
      <w:r>
        <w:rPr>
          <w:rFonts w:hint="eastAsia" w:ascii="微软雅黑" w:hAnsi="微软雅黑" w:eastAsia="微软雅黑" w:cs="微软雅黑"/>
          <w:color w:val="auto"/>
          <w:sz w:val="24"/>
          <w:highlight w:val="none"/>
        </w:rPr>
        <w:t>中标服务费。</w:t>
      </w:r>
    </w:p>
    <w:p w14:paraId="0321D1BD">
      <w:pPr>
        <w:pStyle w:val="4"/>
        <w:spacing w:before="0" w:after="0" w:line="360" w:lineRule="auto"/>
        <w:rPr>
          <w:rFonts w:hint="eastAsia" w:ascii="微软雅黑" w:hAnsi="微软雅黑" w:eastAsia="微软雅黑" w:cs="微软雅黑"/>
          <w:color w:val="auto"/>
          <w:highlight w:val="none"/>
          <w:u w:val="none"/>
        </w:rPr>
      </w:pPr>
      <w:bookmarkStart w:id="249" w:name="_Toc16784"/>
      <w:bookmarkStart w:id="250" w:name="_Toc518923099"/>
      <w:bookmarkStart w:id="251" w:name="_Toc31411"/>
      <w:bookmarkStart w:id="252" w:name="_Toc18216"/>
      <w:bookmarkStart w:id="253" w:name="_Toc10203"/>
      <w:r>
        <w:rPr>
          <w:rFonts w:hint="eastAsia" w:ascii="微软雅黑" w:hAnsi="微软雅黑" w:eastAsia="微软雅黑" w:cs="微软雅黑"/>
          <w:color w:val="auto"/>
          <w:highlight w:val="none"/>
          <w:u w:val="none"/>
        </w:rPr>
        <w:t>33.政府采购信用担保</w:t>
      </w:r>
      <w:bookmarkEnd w:id="249"/>
      <w:bookmarkEnd w:id="250"/>
      <w:bookmarkEnd w:id="251"/>
      <w:bookmarkEnd w:id="252"/>
      <w:bookmarkEnd w:id="253"/>
    </w:p>
    <w:p w14:paraId="661EAB1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33.1本项目是否属于信用担保试点范围见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0FEAFF6">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33.2如属于政府采购信用担保试点范围内，中小型企业</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可以自由按照财政部门的规定，采用投标担保、履约担保和融资担保。</w:t>
      </w:r>
    </w:p>
    <w:p w14:paraId="2C1472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递交的投标担保函和履约担保函应符合本招标文件的规定。</w:t>
      </w:r>
    </w:p>
    <w:p w14:paraId="7E7F716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33.2.2中标人可以采取融资担保的形式为政府采购项目履约进行融资。</w:t>
      </w:r>
    </w:p>
    <w:p w14:paraId="474859B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33.2.3合格的政府采购专业信用担保机构见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4C2620">
      <w:pPr>
        <w:pStyle w:val="4"/>
        <w:spacing w:before="0" w:after="0" w:line="360" w:lineRule="auto"/>
        <w:rPr>
          <w:rFonts w:hint="eastAsia" w:ascii="微软雅黑" w:hAnsi="微软雅黑" w:eastAsia="微软雅黑" w:cs="微软雅黑"/>
          <w:color w:val="auto"/>
          <w:highlight w:val="none"/>
          <w:u w:val="none"/>
        </w:rPr>
      </w:pPr>
      <w:bookmarkStart w:id="254" w:name="_Toc32108"/>
      <w:bookmarkStart w:id="255" w:name="_Toc10219"/>
      <w:bookmarkStart w:id="256" w:name="_Toc28987"/>
      <w:bookmarkStart w:id="257" w:name="_Toc4701"/>
      <w:bookmarkStart w:id="258" w:name="_Toc518923100"/>
      <w:r>
        <w:rPr>
          <w:rFonts w:hint="eastAsia" w:ascii="微软雅黑" w:hAnsi="微软雅黑" w:eastAsia="微软雅黑" w:cs="微软雅黑"/>
          <w:color w:val="auto"/>
          <w:highlight w:val="none"/>
          <w:u w:val="none"/>
        </w:rPr>
        <w:t>34.廉洁自律规定</w:t>
      </w:r>
      <w:bookmarkEnd w:id="254"/>
      <w:bookmarkEnd w:id="255"/>
      <w:bookmarkEnd w:id="256"/>
      <w:bookmarkEnd w:id="257"/>
      <w:bookmarkEnd w:id="258"/>
    </w:p>
    <w:p w14:paraId="3CD97C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34.1采购代理机构工作人员不得以不正当手段获取政府采购代理业务，不得与采购人、供应商恶意串通操纵政府采购活动。</w:t>
      </w:r>
    </w:p>
    <w:p w14:paraId="209D31E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34.2采购代理机构工作人员不得接受采购人或者供应商组织的宴请、旅游、娱乐，不得收受礼品、现金、有价证券等，不得向采购人或者供应商报销应当由个人承担的费用。</w:t>
      </w:r>
    </w:p>
    <w:p w14:paraId="3505977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34.3为强化采购代理机构内部监督机制，供应商可按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中的监督电话和信箱，反映采购代理机构的廉洁自律等问题。</w:t>
      </w:r>
    </w:p>
    <w:p w14:paraId="2B0431C7">
      <w:pPr>
        <w:pStyle w:val="4"/>
        <w:spacing w:before="0" w:after="0" w:line="360" w:lineRule="auto"/>
        <w:rPr>
          <w:rFonts w:hint="eastAsia" w:ascii="微软雅黑" w:hAnsi="微软雅黑" w:eastAsia="微软雅黑" w:cs="微软雅黑"/>
          <w:color w:val="auto"/>
          <w:highlight w:val="none"/>
          <w:u w:val="none"/>
        </w:rPr>
      </w:pPr>
      <w:bookmarkStart w:id="259" w:name="_Toc21055"/>
      <w:bookmarkStart w:id="260" w:name="_Toc30899"/>
      <w:bookmarkStart w:id="261" w:name="_Toc518923101"/>
      <w:bookmarkStart w:id="262" w:name="_Toc12715"/>
      <w:bookmarkStart w:id="263" w:name="_Toc743"/>
      <w:r>
        <w:rPr>
          <w:rFonts w:hint="eastAsia" w:ascii="微软雅黑" w:hAnsi="微软雅黑" w:eastAsia="微软雅黑" w:cs="微软雅黑"/>
          <w:color w:val="auto"/>
          <w:highlight w:val="none"/>
          <w:u w:val="none"/>
        </w:rPr>
        <w:t>35.人员回避</w:t>
      </w:r>
      <w:bookmarkEnd w:id="259"/>
      <w:bookmarkEnd w:id="260"/>
      <w:bookmarkEnd w:id="261"/>
      <w:bookmarkEnd w:id="262"/>
      <w:bookmarkEnd w:id="263"/>
    </w:p>
    <w:p w14:paraId="03A09F35">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认为采购人员及其相关人员有法律法规所列与其他供应商有利害关系的，可以向采购人或采购代理机构书面提出回避申请，并说明理由。</w:t>
      </w:r>
    </w:p>
    <w:p w14:paraId="546FA2D9">
      <w:pPr>
        <w:pStyle w:val="4"/>
        <w:spacing w:before="0" w:after="0" w:line="360" w:lineRule="auto"/>
        <w:rPr>
          <w:rFonts w:hint="eastAsia" w:ascii="微软雅黑" w:hAnsi="微软雅黑" w:eastAsia="微软雅黑" w:cs="微软雅黑"/>
          <w:color w:val="auto"/>
          <w:highlight w:val="none"/>
          <w:u w:val="none"/>
        </w:rPr>
      </w:pPr>
      <w:bookmarkStart w:id="264" w:name="_Toc24931"/>
      <w:bookmarkStart w:id="265" w:name="_Toc518923102"/>
      <w:bookmarkStart w:id="266" w:name="_Toc12358"/>
      <w:bookmarkStart w:id="267" w:name="_Toc12494"/>
      <w:bookmarkStart w:id="268" w:name="_Toc14752"/>
      <w:r>
        <w:rPr>
          <w:rFonts w:hint="eastAsia" w:ascii="微软雅黑" w:hAnsi="微软雅黑" w:eastAsia="微软雅黑" w:cs="微软雅黑"/>
          <w:color w:val="auto"/>
          <w:highlight w:val="none"/>
          <w:u w:val="none"/>
        </w:rPr>
        <w:t>36.质疑与接收</w:t>
      </w:r>
      <w:bookmarkEnd w:id="264"/>
      <w:bookmarkEnd w:id="265"/>
      <w:bookmarkEnd w:id="266"/>
      <w:bookmarkEnd w:id="267"/>
      <w:bookmarkEnd w:id="268"/>
    </w:p>
    <w:p w14:paraId="2C814988">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A59E3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46364B6">
      <w:pPr>
        <w:spacing w:line="360" w:lineRule="auto"/>
        <w:ind w:left="959" w:leftChars="114"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49161F6">
      <w:pPr>
        <w:spacing w:line="360" w:lineRule="auto"/>
        <w:ind w:left="959" w:leftChars="114" w:hanging="720" w:hangingChars="300"/>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C3568C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采购代理机构质疑函接收部门、联系电话和通讯地址,见</w:t>
      </w:r>
      <w:r>
        <w:rPr>
          <w:rFonts w:hint="eastAsia" w:ascii="微软雅黑" w:hAnsi="微软雅黑" w:eastAsia="微软雅黑" w:cs="微软雅黑"/>
          <w:color w:val="auto"/>
          <w:sz w:val="24"/>
          <w:highlight w:val="none"/>
          <w:u w:val="single"/>
          <w:lang w:eastAsia="zh-CN"/>
        </w:rPr>
        <w:t>供应商</w:t>
      </w:r>
      <w:r>
        <w:rPr>
          <w:rFonts w:hint="eastAsia" w:ascii="微软雅黑" w:hAnsi="微软雅黑" w:eastAsia="微软雅黑" w:cs="微软雅黑"/>
          <w:color w:val="auto"/>
          <w:sz w:val="24"/>
          <w:highlight w:val="none"/>
          <w:u w:val="single"/>
        </w:rPr>
        <w:t>须知资料表。</w:t>
      </w:r>
    </w:p>
    <w:p w14:paraId="73D7925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质疑的提出：一次提出全部质疑</w:t>
      </w:r>
    </w:p>
    <w:p w14:paraId="428248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本采购文件中所称质疑及答复，是指参加本次采购活动的供应商对政府采购活动中的采购文件、采购过程和成交结果向采购方提出质疑，采购方答复质疑的行为。</w:t>
      </w:r>
    </w:p>
    <w:p w14:paraId="7A2837B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供应商认为采购文件、采购过程和成交结果使自己的权益受到损害的，可以在知道或者应知其权益受到损害之日起7个工作日内，以书面形式向采购方提出质疑。供应商应知其权益受到损害之日，是指：</w:t>
      </w:r>
    </w:p>
    <w:p w14:paraId="34A3915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37B80CC9">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4D129E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2FA253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7232B58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FD3DD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11</w:t>
      </w:r>
      <w:r>
        <w:rPr>
          <w:rFonts w:hint="eastAsia" w:ascii="微软雅黑" w:hAnsi="微软雅黑" w:eastAsia="微软雅黑" w:cs="微软雅黑"/>
          <w:color w:val="auto"/>
          <w:sz w:val="24"/>
          <w:highlight w:val="none"/>
        </w:rPr>
        <w:t>提出质疑应当符合下列条件：</w:t>
      </w:r>
    </w:p>
    <w:p w14:paraId="418ED52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0F27135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EA522C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59BF75A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98DA4A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13F33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37.1质疑人所提供的证明材料应当具有真实性、合法性以及与质疑事项的关联性和证明力，否则不能作为认定该质疑事项成立的依据。</w:t>
      </w:r>
    </w:p>
    <w:p w14:paraId="1C99A963">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37.2质疑人提出质疑时应当提交质疑函。质疑函包括下列内容：</w:t>
      </w:r>
    </w:p>
    <w:p w14:paraId="6B44A75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5AEFF3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7019D2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000D129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261C6B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23780CD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608401BE">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5BFBF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37.3质疑人可以委托代理人进行质疑。代理人应当提交授权委托书。授权委托书应当载明委托代理的具体权限、期限和相关事项。</w:t>
      </w:r>
    </w:p>
    <w:p w14:paraId="210FC86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37.4、质疑的审查和受理</w:t>
      </w:r>
    </w:p>
    <w:p w14:paraId="3ED4ECEA">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48333E2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37.5对不符合质疑受理条件的，分别按照下列不同情形予以处理：</w:t>
      </w:r>
    </w:p>
    <w:p w14:paraId="60D8DCD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0CEABFD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173458C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518E43F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1450E1E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7E3FDF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5D6605B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37.6、质疑的处理和答复</w:t>
      </w:r>
    </w:p>
    <w:p w14:paraId="643065B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37.7采购方受理质疑后，将及时把质疑函发送给被质疑人，并要求其在一定限期人提交书面答复，同时提供有关证据、依据和相关材料。</w:t>
      </w:r>
    </w:p>
    <w:p w14:paraId="18752C6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37.8对于质疑事项中涉及的问题较多、情况比较复杂的，为了全面查清事实、取得充分的证据，采购方认为有必要时，可以进行调查取证或者组织质证。</w:t>
      </w:r>
    </w:p>
    <w:p w14:paraId="3551E66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37.9对评审过程、成交结果提出质疑的，采购方可以组织原评审委员会协助答复质疑。</w:t>
      </w:r>
    </w:p>
    <w:p w14:paraId="4466B11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38.质疑处理过程中，质疑人书面申请撤回质疑的，将终止质疑处理程序。</w:t>
      </w:r>
    </w:p>
    <w:p w14:paraId="6A1D23C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38.1质疑人拒绝配合采购方依法对质疑进行调查处理的，采购方将按质疑人自动撤回质疑处理；被质疑人拒绝配合采购方依法对质疑进行调查处理的，采购方将视同其认可质疑事项。</w:t>
      </w:r>
    </w:p>
    <w:p w14:paraId="525BFD7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38.2采购方将在正式受理质疑后7个工作日内作出答复，但处理质疑需要进行调查取证、组织专家评审、质疑人及被质疑人提交或补正材料等所需时间，不计算在质疑处理期限内。</w:t>
      </w:r>
    </w:p>
    <w:p w14:paraId="40AA02CD">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38.3采购方经调查、论证、核实，认定质疑不能成立的，继续开展采购活动；认定质疑成立的，按照以下情况处理：</w:t>
      </w:r>
    </w:p>
    <w:p w14:paraId="05C2FE6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61517E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7A3A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38.4采购方将书面答复质疑，质疑答复包括下列内容：</w:t>
      </w:r>
    </w:p>
    <w:p w14:paraId="563255E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（一）质疑人名称；</w:t>
      </w:r>
    </w:p>
    <w:p w14:paraId="59CCC28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（二）收到质疑函的日期、质疑项目名称及编号;</w:t>
      </w:r>
    </w:p>
    <w:p w14:paraId="4655DC33">
      <w:pPr>
        <w:spacing w:line="360" w:lineRule="auto"/>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(三)质疑事项、质疑答复的具体内容、事实依据和法律依据；</w:t>
      </w:r>
    </w:p>
    <w:p w14:paraId="527E68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（四）告知质疑人依法投诉的权利；</w:t>
      </w:r>
    </w:p>
    <w:p w14:paraId="2A2D02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（五）质疑答复日期。</w:t>
      </w:r>
    </w:p>
    <w:p w14:paraId="3D83814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38.5质疑人有下列行为之一的，属于虚假、恶意质疑，将由采购方建议财政部门将其列入不良行为记录名单，禁止其1至3年内参加政府采购活动：</w:t>
      </w:r>
    </w:p>
    <w:p w14:paraId="1A2591D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（一）捏造事实；</w:t>
      </w:r>
    </w:p>
    <w:p w14:paraId="4835EEF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（二）提供虚假材料；</w:t>
      </w:r>
    </w:p>
    <w:p w14:paraId="7F1B9C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（三）以非法手段取得证明材料或者无法提供证据的合法来源；</w:t>
      </w:r>
    </w:p>
    <w:p w14:paraId="4540D2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（四）法律法规规定的其他违法情形。</w:t>
      </w:r>
    </w:p>
    <w:p w14:paraId="1FAFDBAB">
      <w:pPr>
        <w:spacing w:line="360" w:lineRule="auto"/>
        <w:ind w:left="851" w:leftChars="68" w:hanging="708" w:hangingChars="29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p>
    <w:p w14:paraId="5A4A3EE3">
      <w:pPr>
        <w:spacing w:line="240" w:lineRule="atLeast"/>
        <w:ind w:left="861" w:leftChars="410" w:firstLine="2564" w:firstLineChars="801"/>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质疑函范本</w:t>
      </w:r>
    </w:p>
    <w:p w14:paraId="6D0D8DBA">
      <w:pPr>
        <w:spacing w:line="240" w:lineRule="atLeast"/>
        <w:ind w:left="851" w:leftChars="68" w:hanging="708" w:hangingChars="295"/>
        <w:rPr>
          <w:rFonts w:hint="eastAsia" w:ascii="微软雅黑" w:hAnsi="微软雅黑" w:eastAsia="微软雅黑" w:cs="微软雅黑"/>
          <w:color w:val="auto"/>
          <w:sz w:val="24"/>
          <w:highlight w:val="none"/>
        </w:rPr>
      </w:pPr>
    </w:p>
    <w:p w14:paraId="709D19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一、质疑供应商基本信息</w:t>
      </w:r>
    </w:p>
    <w:p w14:paraId="0CFCB2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质疑供应商：</w:t>
      </w:r>
    </w:p>
    <w:p w14:paraId="6947B9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7F0B80B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联系人：联系电话：</w:t>
      </w:r>
    </w:p>
    <w:p w14:paraId="0910AF6E">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w:t>
      </w:r>
    </w:p>
    <w:p w14:paraId="327C5EB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14:paraId="1E769D33">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2526782A">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二、质疑项目基本情况</w:t>
      </w:r>
    </w:p>
    <w:p w14:paraId="4D27861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p>
    <w:p w14:paraId="6C648B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质疑项目的编号：包号：</w:t>
      </w:r>
    </w:p>
    <w:p w14:paraId="5F9E3CD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采购人名称：</w:t>
      </w:r>
    </w:p>
    <w:p w14:paraId="732075C9">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p>
    <w:p w14:paraId="42AE62B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三、质疑事项具体内容</w:t>
      </w:r>
    </w:p>
    <w:p w14:paraId="5884118D">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质疑事项1：</w:t>
      </w:r>
    </w:p>
    <w:p w14:paraId="0F31129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事实依据：</w:t>
      </w:r>
    </w:p>
    <w:p w14:paraId="3B85D14F">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法律依据：</w:t>
      </w:r>
    </w:p>
    <w:p w14:paraId="064BA21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质疑事项2</w:t>
      </w:r>
    </w:p>
    <w:p w14:paraId="55940E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14:paraId="4A77035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四、与质疑事项相关的质疑请求</w:t>
      </w:r>
    </w:p>
    <w:p w14:paraId="269F793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请求：</w:t>
      </w:r>
    </w:p>
    <w:p w14:paraId="65CE4F05">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签字(签章)：公章：</w:t>
      </w:r>
    </w:p>
    <w:p w14:paraId="2FF1357D">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日期：</w:t>
      </w:r>
    </w:p>
    <w:p w14:paraId="2722150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质疑函制作说明：</w:t>
      </w:r>
    </w:p>
    <w:p w14:paraId="0947408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2630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E7F418">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27BF43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6CF83BD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4B7B165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432BEF">
      <w:pPr>
        <w:pStyle w:val="3"/>
        <w:spacing w:before="0" w:line="400" w:lineRule="atLeast"/>
        <w:jc w:val="both"/>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69" w:name="_Toc518923103"/>
      <w:bookmarkStart w:id="270" w:name="_Toc28552"/>
      <w:bookmarkStart w:id="271" w:name="_Toc10881"/>
      <w:bookmarkStart w:id="272" w:name="_Toc23883"/>
      <w:bookmarkStart w:id="273" w:name="_Toc16661"/>
      <w:r>
        <w:rPr>
          <w:rFonts w:hint="eastAsia" w:ascii="微软雅黑" w:hAnsi="微软雅黑" w:eastAsia="微软雅黑" w:cs="微软雅黑"/>
          <w:color w:val="auto"/>
          <w:szCs w:val="24"/>
          <w:highlight w:val="none"/>
        </w:rPr>
        <w:t>附件1：履约保证金保函（格式）</w:t>
      </w:r>
      <w:bookmarkEnd w:id="269"/>
      <w:bookmarkEnd w:id="270"/>
      <w:bookmarkEnd w:id="271"/>
      <w:bookmarkEnd w:id="272"/>
      <w:bookmarkEnd w:id="273"/>
    </w:p>
    <w:p w14:paraId="55CEF4B7">
      <w:pPr>
        <w:pStyle w:val="12"/>
        <w:spacing w:line="400" w:lineRule="atLeast"/>
        <w:ind w:left="1080" w:leftChars="257" w:hanging="54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（中标后开具）</w:t>
      </w:r>
    </w:p>
    <w:p w14:paraId="5A434A36">
      <w:pPr>
        <w:pStyle w:val="12"/>
        <w:spacing w:line="400" w:lineRule="atLeast"/>
        <w:ind w:left="1080" w:leftChars="257" w:hanging="540"/>
        <w:rPr>
          <w:rFonts w:hint="eastAsia" w:ascii="微软雅黑" w:hAnsi="微软雅黑" w:eastAsia="微软雅黑" w:cs="微软雅黑"/>
          <w:b/>
          <w:color w:val="auto"/>
          <w:sz w:val="24"/>
          <w:highlight w:val="none"/>
        </w:rPr>
      </w:pPr>
    </w:p>
    <w:p w14:paraId="0A2D51B3">
      <w:pPr>
        <w:pStyle w:val="12"/>
        <w:spacing w:line="40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i/>
          <w:color w:val="auto"/>
          <w:sz w:val="24"/>
          <w:highlight w:val="none"/>
          <w:u w:val="single"/>
        </w:rPr>
        <w:t>买方名称</w:t>
      </w:r>
      <w:r>
        <w:rPr>
          <w:rFonts w:hint="eastAsia" w:ascii="微软雅黑" w:hAnsi="微软雅黑" w:eastAsia="微软雅黑" w:cs="微软雅黑"/>
          <w:color w:val="auto"/>
          <w:sz w:val="24"/>
          <w:highlight w:val="none"/>
        </w:rPr>
        <w:t>)</w:t>
      </w:r>
    </w:p>
    <w:p w14:paraId="76F7373C">
      <w:pPr>
        <w:pStyle w:val="12"/>
        <w:spacing w:line="400" w:lineRule="atLeast"/>
        <w:ind w:left="1080" w:leftChars="257" w:hanging="54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合同履约保函</w:t>
      </w:r>
    </w:p>
    <w:p w14:paraId="470B0E07">
      <w:pPr>
        <w:pStyle w:val="12"/>
        <w:spacing w:line="400" w:lineRule="atLeast"/>
        <w:ind w:left="1080" w:leftChars="257" w:hanging="540"/>
        <w:jc w:val="center"/>
        <w:rPr>
          <w:rFonts w:hint="eastAsia" w:ascii="微软雅黑" w:hAnsi="微软雅黑" w:eastAsia="微软雅黑" w:cs="微软雅黑"/>
          <w:color w:val="auto"/>
          <w:sz w:val="24"/>
          <w:highlight w:val="none"/>
        </w:rPr>
      </w:pPr>
    </w:p>
    <w:p w14:paraId="4BB47376">
      <w:pPr>
        <w:pStyle w:val="12"/>
        <w:spacing w:line="400" w:lineRule="atLeast"/>
        <w:ind w:firstLine="6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本保函作为贵方与(</w:t>
      </w:r>
      <w:r>
        <w:rPr>
          <w:rFonts w:hint="eastAsia" w:ascii="微软雅黑" w:hAnsi="微软雅黑" w:eastAsia="微软雅黑" w:cs="微软雅黑"/>
          <w:i/>
          <w:color w:val="auto"/>
          <w:sz w:val="24"/>
          <w:highlight w:val="none"/>
          <w:u w:val="single"/>
        </w:rPr>
        <w:t>卖方名称</w:t>
      </w:r>
      <w:r>
        <w:rPr>
          <w:rFonts w:hint="eastAsia" w:ascii="微软雅黑" w:hAnsi="微软雅黑" w:eastAsia="微软雅黑" w:cs="微软雅黑"/>
          <w:color w:val="auto"/>
          <w:sz w:val="24"/>
          <w:highlight w:val="none"/>
        </w:rPr>
        <w:t>)(以下简称卖方)于年月日就项目(以下简称项目)项下提供(</w:t>
      </w:r>
      <w:r>
        <w:rPr>
          <w:rFonts w:hint="eastAsia" w:ascii="微软雅黑" w:hAnsi="微软雅黑" w:eastAsia="微软雅黑" w:cs="微软雅黑"/>
          <w:i/>
          <w:color w:val="auto"/>
          <w:sz w:val="24"/>
          <w:highlight w:val="none"/>
          <w:u w:val="single"/>
          <w:lang w:eastAsia="zh-CN"/>
        </w:rPr>
        <w:t>货物</w:t>
      </w:r>
      <w:r>
        <w:rPr>
          <w:rFonts w:hint="eastAsia" w:ascii="微软雅黑" w:hAnsi="微软雅黑" w:eastAsia="微软雅黑" w:cs="微软雅黑"/>
          <w:i/>
          <w:color w:val="auto"/>
          <w:sz w:val="24"/>
          <w:highlight w:val="none"/>
          <w:u w:val="single"/>
        </w:rPr>
        <w:t>名称</w:t>
      </w:r>
      <w:r>
        <w:rPr>
          <w:rFonts w:hint="eastAsia" w:ascii="微软雅黑" w:hAnsi="微软雅黑" w:eastAsia="微软雅黑" w:cs="微软雅黑"/>
          <w:color w:val="auto"/>
          <w:sz w:val="24"/>
          <w:highlight w:val="none"/>
        </w:rPr>
        <w:t>)(以下简称</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)签订的(</w:t>
      </w:r>
      <w:r>
        <w:rPr>
          <w:rFonts w:hint="eastAsia" w:ascii="微软雅黑" w:hAnsi="微软雅黑" w:eastAsia="微软雅黑" w:cs="微软雅黑"/>
          <w:i/>
          <w:color w:val="auto"/>
          <w:sz w:val="24"/>
          <w:highlight w:val="none"/>
          <w:u w:val="single"/>
        </w:rPr>
        <w:t>合同号</w:t>
      </w:r>
      <w:r>
        <w:rPr>
          <w:rFonts w:hint="eastAsia" w:ascii="微软雅黑" w:hAnsi="微软雅黑" w:eastAsia="微软雅黑" w:cs="微软雅黑"/>
          <w:color w:val="auto"/>
          <w:sz w:val="24"/>
          <w:highlight w:val="none"/>
        </w:rPr>
        <w:t>)号合同的履约保函。</w:t>
      </w:r>
    </w:p>
    <w:p w14:paraId="64626367">
      <w:pPr>
        <w:pStyle w:val="12"/>
        <w:spacing w:line="400" w:lineRule="atLeast"/>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出具保函的银行名称</w:t>
      </w:r>
      <w:r>
        <w:rPr>
          <w:rFonts w:hint="eastAsia" w:ascii="微软雅黑" w:hAnsi="微软雅黑" w:eastAsia="微软雅黑" w:cs="微软雅黑"/>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highlight w:val="none"/>
          <w:u w:val="single"/>
        </w:rPr>
        <w:t>货币名称</w:t>
      </w:r>
      <w:r>
        <w:rPr>
          <w:rFonts w:hint="eastAsia" w:ascii="微软雅黑" w:hAnsi="微软雅黑" w:eastAsia="微软雅黑" w:cs="微软雅黑"/>
          <w:color w:val="auto"/>
          <w:sz w:val="24"/>
          <w:highlight w:val="none"/>
        </w:rPr>
        <w:t>)支付总额不超过(</w:t>
      </w:r>
      <w:r>
        <w:rPr>
          <w:rFonts w:hint="eastAsia" w:ascii="微软雅黑" w:hAnsi="微软雅黑" w:eastAsia="微软雅黑" w:cs="微软雅黑"/>
          <w:i/>
          <w:color w:val="auto"/>
          <w:sz w:val="24"/>
          <w:highlight w:val="none"/>
          <w:u w:val="single"/>
        </w:rPr>
        <w:t>货币数量</w:t>
      </w:r>
      <w:r>
        <w:rPr>
          <w:rFonts w:hint="eastAsia" w:ascii="微软雅黑" w:hAnsi="微软雅黑" w:eastAsia="微软雅黑" w:cs="微软雅黑"/>
          <w:color w:val="auto"/>
          <w:sz w:val="24"/>
          <w:highlight w:val="none"/>
        </w:rPr>
        <w:t>),即相当于合同价格的%,并以此约定如下:</w:t>
      </w:r>
    </w:p>
    <w:p w14:paraId="08310BB5">
      <w:pPr>
        <w:pStyle w:val="12"/>
        <w:spacing w:line="400" w:lineRule="atLeast"/>
        <w:ind w:left="540" w:leftChars="2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1.只要贵方确定卖方未能忠实地履行所有合同文件的规定和双方此后一致同意的修改、补充和变动,包括更改和/或修补贵方认为有缺陷的</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76AE6639">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B61144A">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1FA595">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4.本保函在本合同规定的保证期期满前完全有效。</w:t>
      </w:r>
    </w:p>
    <w:p w14:paraId="1644F339">
      <w:pPr>
        <w:pStyle w:val="12"/>
        <w:spacing w:line="400" w:lineRule="atLeast"/>
        <w:ind w:left="1080" w:leftChars="257" w:hanging="540"/>
        <w:rPr>
          <w:rFonts w:hint="eastAsia" w:ascii="微软雅黑" w:hAnsi="微软雅黑" w:eastAsia="微软雅黑" w:cs="微软雅黑"/>
          <w:color w:val="auto"/>
          <w:sz w:val="24"/>
          <w:highlight w:val="none"/>
        </w:rPr>
      </w:pPr>
    </w:p>
    <w:p w14:paraId="45840576">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谨启</w:t>
      </w:r>
    </w:p>
    <w:p w14:paraId="30783A42">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出具保函银行名称：</w:t>
      </w:r>
    </w:p>
    <w:p w14:paraId="4D93AEA3">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签字人姓名和职务：</w:t>
      </w:r>
    </w:p>
    <w:p w14:paraId="3BF8F017">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签字人签名：</w:t>
      </w:r>
    </w:p>
    <w:p w14:paraId="5183B49A">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公章：</w:t>
      </w:r>
    </w:p>
    <w:p w14:paraId="21EA8D43">
      <w:pPr>
        <w:pStyle w:val="3"/>
        <w:spacing w:before="0" w:line="400" w:lineRule="atLeast"/>
        <w:ind w:left="1080" w:leftChars="257" w:hanging="54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74" w:name="_Toc518923104"/>
      <w:bookmarkStart w:id="275" w:name="_Toc18040"/>
      <w:bookmarkStart w:id="276" w:name="_Toc6418"/>
      <w:bookmarkStart w:id="277" w:name="_Toc27788"/>
      <w:bookmarkStart w:id="278" w:name="_Toc2099"/>
      <w:r>
        <w:rPr>
          <w:rFonts w:hint="eastAsia" w:ascii="微软雅黑" w:hAnsi="微软雅黑" w:eastAsia="微软雅黑" w:cs="微软雅黑"/>
          <w:color w:val="auto"/>
          <w:szCs w:val="24"/>
          <w:highlight w:val="none"/>
        </w:rPr>
        <w:t>附件2：履约担保函格式</w:t>
      </w:r>
      <w:bookmarkEnd w:id="274"/>
      <w:bookmarkEnd w:id="275"/>
      <w:bookmarkEnd w:id="276"/>
      <w:bookmarkEnd w:id="277"/>
      <w:bookmarkEnd w:id="278"/>
    </w:p>
    <w:p w14:paraId="62526819">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279" w:name="_Toc30995"/>
      <w:bookmarkStart w:id="280" w:name="_Toc765"/>
      <w:bookmarkStart w:id="281" w:name="_Toc518923105"/>
      <w:bookmarkStart w:id="282" w:name="_Toc13619"/>
      <w:bookmarkStart w:id="283" w:name="_Toc515904842"/>
      <w:bookmarkStart w:id="284" w:name="_Toc10213"/>
      <w:r>
        <w:rPr>
          <w:rFonts w:hint="eastAsia" w:ascii="微软雅黑" w:hAnsi="微软雅黑" w:eastAsia="微软雅黑" w:cs="微软雅黑"/>
          <w:color w:val="auto"/>
          <w:szCs w:val="24"/>
          <w:highlight w:val="none"/>
        </w:rPr>
        <w:t>（采用政府采购信用担保形式时使用）</w:t>
      </w:r>
      <w:bookmarkEnd w:id="279"/>
      <w:bookmarkEnd w:id="280"/>
      <w:bookmarkEnd w:id="281"/>
      <w:bookmarkEnd w:id="282"/>
      <w:bookmarkEnd w:id="283"/>
      <w:bookmarkEnd w:id="284"/>
    </w:p>
    <w:p w14:paraId="0B512910">
      <w:pPr>
        <w:spacing w:line="240" w:lineRule="atLeas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14:paraId="21A33CFC">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编号：</w:t>
      </w:r>
    </w:p>
    <w:p w14:paraId="2249080E">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w:t>
      </w:r>
    </w:p>
    <w:p w14:paraId="237EF39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鉴于你方与（以下简称供应商）于年月日签定编号为的《政府采购合同》（以下简称主合同），且依据该合同的约定，供应商应在年</w:t>
      </w:r>
    </w:p>
    <w:p w14:paraId="5D6580C6">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月日前向你方交纳履约保证金，且可以履约担保函的形式交纳履约保证金。应供应商的申请，我方以保证的方式向你方提供如下履约保证金担保：</w:t>
      </w:r>
    </w:p>
    <w:p w14:paraId="30936343">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一、保证责任的情形及保证金额</w:t>
      </w:r>
    </w:p>
    <w:p w14:paraId="5AC7F2D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14:paraId="536F0E4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14:paraId="5CBBD2CD">
      <w:pPr>
        <w:spacing w:line="240" w:lineRule="atLeas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2．主合同约定的应当缴纳履约保证金的情形:</w:t>
      </w:r>
    </w:p>
    <w:p w14:paraId="3BE8B21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14:paraId="76D1E70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p w14:paraId="574CDBB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（二）我方的保证范围是主合同约定的合同价款总额的%数额为元（大写），币种为。（即主合同履约保证金金额）</w:t>
      </w:r>
    </w:p>
    <w:p w14:paraId="156B203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二、保证的方式及保证期间</w:t>
      </w:r>
    </w:p>
    <w:p w14:paraId="4CC5602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14:paraId="1382FE3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我方保证的期间为：自本合同生效之日起至供应商按照主合同约定的供货/完工期限届满后日内。</w:t>
      </w:r>
    </w:p>
    <w:p w14:paraId="1B446C2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14:paraId="73DB8D2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三、承担保证责任的程序</w:t>
      </w:r>
    </w:p>
    <w:p w14:paraId="68C8516E">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22D786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w:t>
      </w:r>
      <w:r>
        <w:rPr>
          <w:rFonts w:hint="eastAsia" w:ascii="微软雅黑" w:hAnsi="微软雅黑" w:eastAsia="微软雅黑" w:cs="微软雅黑"/>
          <w:color w:val="auto"/>
          <w:sz w:val="24"/>
          <w:highlight w:val="none"/>
          <w:lang w:eastAsia="zh-CN"/>
        </w:rPr>
        <w:t>（服务）</w:t>
      </w:r>
      <w:r>
        <w:rPr>
          <w:rFonts w:hint="eastAsia" w:ascii="微软雅黑" w:hAnsi="微软雅黑" w:eastAsia="微软雅黑" w:cs="微软雅黑"/>
          <w:color w:val="auto"/>
          <w:sz w:val="24"/>
          <w:highlight w:val="none"/>
        </w:rPr>
        <w:t>质量问题产生争议，你方还需同时提供部门出具的质量检测报告，或经诉讼（仲裁）程序裁决后的裁决书、调解书，本保证人即按照检测结果或裁决书、调解书决定是否承担保证责任。</w:t>
      </w:r>
    </w:p>
    <w:p w14:paraId="7A32B8F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2．我方收到你方的书面索赔通知及相应证明材料，在工作日内进行核定后按照本保函的承诺承担保证责任。</w:t>
      </w:r>
    </w:p>
    <w:p w14:paraId="07AE6DB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四、保证责任的终止</w:t>
      </w:r>
    </w:p>
    <w:p w14:paraId="489D1DB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4550B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14:paraId="46B68FD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14:paraId="1F00EC8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E3AFA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五、免责条款</w:t>
      </w:r>
    </w:p>
    <w:p w14:paraId="081EE1D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14:paraId="292BA5E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14:paraId="5B65E71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14:paraId="5B0700C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六、争议的解决</w:t>
      </w:r>
    </w:p>
    <w:p w14:paraId="624CA725">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因本保函发生的纠纷，由你我双方协商解决，协商不成的，通过诉讼程序解决，诉讼管辖地法院为法院。</w:t>
      </w:r>
    </w:p>
    <w:p w14:paraId="791B21F0">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14:paraId="6DA570F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14:paraId="1FD76EF3">
      <w:pPr>
        <w:spacing w:line="240" w:lineRule="atLeast"/>
        <w:rPr>
          <w:rFonts w:hint="eastAsia" w:ascii="微软雅黑" w:hAnsi="微软雅黑" w:eastAsia="微软雅黑" w:cs="微软雅黑"/>
          <w:color w:val="auto"/>
          <w:sz w:val="24"/>
          <w:highlight w:val="none"/>
        </w:rPr>
      </w:pPr>
    </w:p>
    <w:p w14:paraId="4C3F54FA">
      <w:pPr>
        <w:spacing w:line="240" w:lineRule="atLeast"/>
        <w:ind w:firstLine="6240" w:firstLineChars="2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保证人：（公章）</w:t>
      </w:r>
    </w:p>
    <w:p w14:paraId="509A25DC">
      <w:pPr>
        <w:spacing w:line="240" w:lineRule="atLeast"/>
        <w:ind w:firstLine="6480" w:firstLineChars="2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年月日</w:t>
      </w:r>
    </w:p>
    <w:p w14:paraId="1EC83EBC">
      <w:pPr>
        <w:pStyle w:val="7"/>
        <w:spacing w:line="360" w:lineRule="auto"/>
        <w:ind w:firstLine="0"/>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br w:type="page"/>
      </w:r>
      <w:bookmarkStart w:id="285" w:name="_Toc26371"/>
      <w:bookmarkStart w:id="286" w:name="_Toc1185"/>
      <w:bookmarkStart w:id="287" w:name="_Toc216582812"/>
      <w:bookmarkStart w:id="288" w:name="_Toc6923"/>
      <w:bookmarkStart w:id="289" w:name="_Toc518923106"/>
      <w:bookmarkStart w:id="290" w:name="_Toc22884"/>
    </w:p>
    <w:p w14:paraId="205F5BD9">
      <w:pPr>
        <w:pStyle w:val="2"/>
        <w:spacing w:before="0" w:after="0" w:line="360" w:lineRule="auto"/>
        <w:rPr>
          <w:rFonts w:hint="eastAsia" w:ascii="微软雅黑" w:hAnsi="微软雅黑" w:eastAsia="微软雅黑" w:cs="微软雅黑"/>
          <w:color w:val="auto"/>
          <w:sz w:val="40"/>
          <w:szCs w:val="22"/>
          <w:highlight w:val="none"/>
        </w:rPr>
      </w:pPr>
      <w:r>
        <w:rPr>
          <w:rFonts w:hint="eastAsia" w:ascii="微软雅黑" w:hAnsi="微软雅黑" w:eastAsia="微软雅黑" w:cs="微软雅黑"/>
          <w:color w:val="auto"/>
          <w:sz w:val="40"/>
          <w:szCs w:val="22"/>
          <w:highlight w:val="none"/>
        </w:rPr>
        <w:t>第</w:t>
      </w:r>
      <w:r>
        <w:rPr>
          <w:rFonts w:hint="eastAsia" w:ascii="微软雅黑" w:hAnsi="微软雅黑" w:eastAsia="微软雅黑" w:cs="微软雅黑"/>
          <w:color w:val="auto"/>
          <w:sz w:val="40"/>
          <w:szCs w:val="22"/>
          <w:highlight w:val="none"/>
          <w:lang w:val="en-US" w:eastAsia="zh-CN"/>
        </w:rPr>
        <w:t>2</w:t>
      </w:r>
      <w:r>
        <w:rPr>
          <w:rFonts w:hint="eastAsia" w:ascii="微软雅黑" w:hAnsi="微软雅黑" w:eastAsia="微软雅黑" w:cs="微软雅黑"/>
          <w:color w:val="auto"/>
          <w:sz w:val="40"/>
          <w:szCs w:val="22"/>
          <w:highlight w:val="none"/>
        </w:rPr>
        <w:t>章投标文件格式</w:t>
      </w:r>
      <w:bookmarkEnd w:id="285"/>
      <w:bookmarkEnd w:id="286"/>
      <w:bookmarkEnd w:id="287"/>
      <w:bookmarkEnd w:id="288"/>
      <w:bookmarkEnd w:id="289"/>
      <w:bookmarkEnd w:id="290"/>
    </w:p>
    <w:p w14:paraId="749C9C36">
      <w:pPr>
        <w:jc w:val="center"/>
        <w:rPr>
          <w:rFonts w:hint="eastAsia" w:ascii="微软雅黑" w:hAnsi="微软雅黑" w:eastAsia="微软雅黑" w:cs="微软雅黑"/>
          <w:b/>
          <w:bCs/>
          <w:color w:val="auto"/>
          <w:sz w:val="56"/>
          <w:szCs w:val="56"/>
          <w:highlight w:val="none"/>
        </w:rPr>
      </w:pPr>
      <w:r>
        <w:rPr>
          <w:rFonts w:hint="eastAsia" w:ascii="微软雅黑" w:hAnsi="微软雅黑" w:eastAsia="微软雅黑" w:cs="微软雅黑"/>
          <w:b/>
          <w:bCs/>
          <w:color w:val="auto"/>
          <w:sz w:val="56"/>
          <w:szCs w:val="56"/>
          <w:highlight w:val="none"/>
          <w:lang w:eastAsia="zh-CN"/>
        </w:rPr>
        <w:t>投标</w:t>
      </w:r>
      <w:r>
        <w:rPr>
          <w:rFonts w:hint="eastAsia" w:ascii="微软雅黑" w:hAnsi="微软雅黑" w:eastAsia="微软雅黑" w:cs="微软雅黑"/>
          <w:b/>
          <w:bCs/>
          <w:color w:val="auto"/>
          <w:sz w:val="56"/>
          <w:szCs w:val="56"/>
          <w:highlight w:val="none"/>
        </w:rPr>
        <w:t>文件</w:t>
      </w:r>
    </w:p>
    <w:p w14:paraId="64186A82">
      <w:pPr>
        <w:pStyle w:val="26"/>
        <w:spacing w:line="380" w:lineRule="exact"/>
        <w:jc w:val="center"/>
        <w:rPr>
          <w:rFonts w:hint="eastAsia" w:ascii="微软雅黑" w:hAnsi="微软雅黑" w:eastAsia="微软雅黑" w:cs="微软雅黑"/>
          <w:color w:val="auto"/>
          <w:sz w:val="28"/>
          <w:szCs w:val="28"/>
          <w:highlight w:val="none"/>
        </w:rPr>
      </w:pPr>
    </w:p>
    <w:p w14:paraId="0164849E">
      <w:pPr>
        <w:pStyle w:val="26"/>
        <w:spacing w:line="380" w:lineRule="exact"/>
        <w:jc w:val="center"/>
        <w:rPr>
          <w:rFonts w:hint="eastAsia" w:ascii="微软雅黑" w:hAnsi="微软雅黑" w:eastAsia="微软雅黑" w:cs="微软雅黑"/>
          <w:color w:val="auto"/>
          <w:sz w:val="28"/>
          <w:szCs w:val="28"/>
          <w:highlight w:val="none"/>
        </w:rPr>
      </w:pPr>
    </w:p>
    <w:p w14:paraId="4E61A0CF">
      <w:pPr>
        <w:pStyle w:val="26"/>
        <w:spacing w:line="380" w:lineRule="exact"/>
        <w:jc w:val="center"/>
        <w:rPr>
          <w:rFonts w:hint="eastAsia" w:ascii="微软雅黑" w:hAnsi="微软雅黑" w:eastAsia="微软雅黑" w:cs="微软雅黑"/>
          <w:color w:val="auto"/>
          <w:sz w:val="28"/>
          <w:szCs w:val="28"/>
          <w:highlight w:val="none"/>
        </w:rPr>
      </w:pPr>
    </w:p>
    <w:p w14:paraId="6BD0F73A">
      <w:pPr>
        <w:pStyle w:val="26"/>
        <w:spacing w:line="380" w:lineRule="exact"/>
        <w:jc w:val="center"/>
        <w:rPr>
          <w:rFonts w:hint="eastAsia" w:ascii="微软雅黑" w:hAnsi="微软雅黑" w:eastAsia="微软雅黑" w:cs="微软雅黑"/>
          <w:color w:val="auto"/>
          <w:sz w:val="28"/>
          <w:szCs w:val="28"/>
          <w:highlight w:val="none"/>
        </w:rPr>
      </w:pPr>
    </w:p>
    <w:p w14:paraId="1559E39A">
      <w:pPr>
        <w:pStyle w:val="26"/>
        <w:spacing w:line="380" w:lineRule="exact"/>
        <w:jc w:val="center"/>
        <w:rPr>
          <w:rFonts w:hint="eastAsia" w:ascii="微软雅黑" w:hAnsi="微软雅黑" w:eastAsia="微软雅黑" w:cs="微软雅黑"/>
          <w:color w:val="auto"/>
          <w:sz w:val="28"/>
          <w:szCs w:val="28"/>
          <w:highlight w:val="none"/>
        </w:rPr>
      </w:pPr>
    </w:p>
    <w:p w14:paraId="0D8E09A0">
      <w:pPr>
        <w:pStyle w:val="26"/>
        <w:spacing w:line="380" w:lineRule="exact"/>
        <w:jc w:val="center"/>
        <w:rPr>
          <w:rFonts w:hint="eastAsia" w:ascii="微软雅黑" w:hAnsi="微软雅黑" w:eastAsia="微软雅黑" w:cs="微软雅黑"/>
          <w:color w:val="auto"/>
          <w:sz w:val="28"/>
          <w:szCs w:val="28"/>
          <w:highlight w:val="none"/>
        </w:rPr>
      </w:pPr>
    </w:p>
    <w:p w14:paraId="417A82EB">
      <w:pPr>
        <w:ind w:right="980"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项目名称：</w:t>
      </w:r>
    </w:p>
    <w:p w14:paraId="04257A49">
      <w:pPr>
        <w:rPr>
          <w:rFonts w:hint="eastAsia" w:ascii="微软雅黑" w:hAnsi="微软雅黑" w:eastAsia="微软雅黑" w:cs="微软雅黑"/>
          <w:color w:val="auto"/>
          <w:sz w:val="32"/>
          <w:szCs w:val="32"/>
          <w:highlight w:val="none"/>
        </w:rPr>
      </w:pPr>
    </w:p>
    <w:p w14:paraId="5AA6A36D">
      <w:pPr>
        <w:ind w:firstLine="960" w:firstLineChars="3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项目编号：</w:t>
      </w:r>
    </w:p>
    <w:p w14:paraId="6B5D7887">
      <w:pPr>
        <w:rPr>
          <w:rFonts w:hint="eastAsia" w:ascii="微软雅黑" w:hAnsi="微软雅黑" w:eastAsia="微软雅黑" w:cs="微软雅黑"/>
          <w:color w:val="auto"/>
          <w:szCs w:val="28"/>
          <w:highlight w:val="none"/>
        </w:rPr>
      </w:pPr>
    </w:p>
    <w:p w14:paraId="35B6E339">
      <w:pPr>
        <w:rPr>
          <w:rFonts w:hint="eastAsia" w:ascii="微软雅黑" w:hAnsi="微软雅黑" w:eastAsia="微软雅黑" w:cs="微软雅黑"/>
          <w:color w:val="auto"/>
          <w:szCs w:val="28"/>
          <w:highlight w:val="none"/>
        </w:rPr>
      </w:pPr>
    </w:p>
    <w:p w14:paraId="4806AFC1">
      <w:pPr>
        <w:rPr>
          <w:rFonts w:hint="eastAsia" w:ascii="微软雅黑" w:hAnsi="微软雅黑" w:eastAsia="微软雅黑" w:cs="微软雅黑"/>
          <w:color w:val="auto"/>
          <w:szCs w:val="28"/>
          <w:highlight w:val="none"/>
        </w:rPr>
      </w:pPr>
    </w:p>
    <w:p w14:paraId="38FAD269">
      <w:pPr>
        <w:rPr>
          <w:rFonts w:hint="eastAsia" w:ascii="微软雅黑" w:hAnsi="微软雅黑" w:eastAsia="微软雅黑" w:cs="微软雅黑"/>
          <w:color w:val="auto"/>
          <w:szCs w:val="28"/>
          <w:highlight w:val="none"/>
        </w:rPr>
      </w:pPr>
    </w:p>
    <w:p w14:paraId="21FC43F0">
      <w:pPr>
        <w:rPr>
          <w:rFonts w:hint="eastAsia" w:ascii="微软雅黑" w:hAnsi="微软雅黑" w:eastAsia="微软雅黑" w:cs="微软雅黑"/>
          <w:bCs/>
          <w:color w:val="auto"/>
          <w:sz w:val="36"/>
          <w:szCs w:val="36"/>
          <w:highlight w:val="none"/>
        </w:rPr>
      </w:pPr>
    </w:p>
    <w:p w14:paraId="32B793C3">
      <w:pPr>
        <w:rPr>
          <w:rFonts w:hint="eastAsia" w:ascii="微软雅黑" w:hAnsi="微软雅黑" w:eastAsia="微软雅黑" w:cs="微软雅黑"/>
          <w:bCs/>
          <w:color w:val="auto"/>
          <w:sz w:val="36"/>
          <w:szCs w:val="36"/>
          <w:highlight w:val="none"/>
        </w:rPr>
      </w:pPr>
    </w:p>
    <w:p w14:paraId="299790B0">
      <w:pPr>
        <w:ind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供应商：（盖单位章）</w:t>
      </w:r>
    </w:p>
    <w:p w14:paraId="33941F2C">
      <w:pPr>
        <w:ind w:firstLine="800" w:firstLineChars="250"/>
        <w:rPr>
          <w:rFonts w:hint="eastAsia" w:ascii="微软雅黑" w:hAnsi="微软雅黑" w:eastAsia="微软雅黑" w:cs="微软雅黑"/>
          <w:color w:val="auto"/>
          <w:sz w:val="32"/>
          <w:szCs w:val="32"/>
          <w:highlight w:val="none"/>
        </w:rPr>
      </w:pPr>
    </w:p>
    <w:p w14:paraId="38AD161D">
      <w:pPr>
        <w:ind w:firstLine="800" w:firstLineChars="250"/>
        <w:rPr>
          <w:rFonts w:hint="eastAsia" w:ascii="微软雅黑" w:hAnsi="微软雅黑" w:eastAsia="微软雅黑" w:cs="微软雅黑"/>
          <w:color w:val="auto"/>
          <w:sz w:val="32"/>
          <w:szCs w:val="32"/>
          <w:highlight w:val="none"/>
        </w:rPr>
      </w:pPr>
    </w:p>
    <w:p w14:paraId="0AC39D09">
      <w:pPr>
        <w:ind w:firstLine="8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32"/>
          <w:szCs w:val="32"/>
          <w:highlight w:val="none"/>
        </w:rPr>
        <w:t>法定代表人（授权人）（签字或签章）</w:t>
      </w:r>
    </w:p>
    <w:p w14:paraId="36690C30">
      <w:pPr>
        <w:jc w:val="center"/>
        <w:rPr>
          <w:rFonts w:hint="eastAsia" w:ascii="微软雅黑" w:hAnsi="微软雅黑" w:eastAsia="微软雅黑" w:cs="微软雅黑"/>
          <w:color w:val="auto"/>
          <w:highlight w:val="none"/>
        </w:rPr>
      </w:pPr>
    </w:p>
    <w:p w14:paraId="7812204C">
      <w:pPr>
        <w:pStyle w:val="9"/>
        <w:rPr>
          <w:rFonts w:hint="eastAsia" w:ascii="微软雅黑" w:hAnsi="微软雅黑" w:eastAsia="微软雅黑" w:cs="微软雅黑"/>
          <w:color w:val="auto"/>
          <w:highlight w:val="none"/>
        </w:rPr>
      </w:pPr>
    </w:p>
    <w:p w14:paraId="30901E1B">
      <w:pPr>
        <w:rPr>
          <w:rFonts w:hint="eastAsia" w:ascii="微软雅黑" w:hAnsi="微软雅黑" w:eastAsia="微软雅黑" w:cs="微软雅黑"/>
          <w:color w:val="auto"/>
          <w:highlight w:val="none"/>
        </w:rPr>
      </w:pPr>
    </w:p>
    <w:p w14:paraId="085820A6">
      <w:pPr>
        <w:pStyle w:val="9"/>
        <w:rPr>
          <w:rFonts w:hint="eastAsia" w:ascii="微软雅黑" w:hAnsi="微软雅黑" w:eastAsia="微软雅黑" w:cs="微软雅黑"/>
          <w:color w:val="auto"/>
          <w:highlight w:val="none"/>
        </w:rPr>
      </w:pPr>
    </w:p>
    <w:p w14:paraId="7D434099">
      <w:pPr>
        <w:rPr>
          <w:rFonts w:hint="eastAsia" w:ascii="微软雅黑" w:hAnsi="微软雅黑" w:eastAsia="微软雅黑" w:cs="微软雅黑"/>
          <w:color w:val="auto"/>
          <w:highlight w:val="none"/>
        </w:rPr>
      </w:pPr>
    </w:p>
    <w:p w14:paraId="676F2D0F">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月</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日</w:t>
      </w:r>
    </w:p>
    <w:p w14:paraId="520432F5">
      <w:pPr>
        <w:pStyle w:val="10"/>
        <w:ind w:firstLine="0"/>
        <w:rPr>
          <w:rFonts w:hint="eastAsia" w:ascii="微软雅黑" w:hAnsi="微软雅黑" w:eastAsia="微软雅黑" w:cs="微软雅黑"/>
          <w:color w:val="auto"/>
          <w:highlight w:val="none"/>
        </w:rPr>
      </w:pPr>
    </w:p>
    <w:p w14:paraId="0A548334">
      <w:pPr>
        <w:pStyle w:val="3"/>
        <w:spacing w:before="0" w:line="360" w:lineRule="auto"/>
        <w:rPr>
          <w:rFonts w:hint="eastAsia" w:ascii="微软雅黑" w:hAnsi="微软雅黑" w:eastAsia="微软雅黑" w:cs="微软雅黑"/>
          <w:color w:val="auto"/>
          <w:sz w:val="24"/>
          <w:highlight w:val="none"/>
        </w:rPr>
      </w:pPr>
      <w:bookmarkStart w:id="291" w:name="_Toc10789"/>
      <w:bookmarkStart w:id="292" w:name="_Toc15142"/>
      <w:bookmarkStart w:id="293" w:name="_Toc21715"/>
      <w:bookmarkStart w:id="294" w:name="_Toc17893"/>
      <w:bookmarkStart w:id="295" w:name="_Toc518923107"/>
      <w:bookmarkStart w:id="296" w:name="_Toc636"/>
      <w:r>
        <w:rPr>
          <w:rFonts w:hint="eastAsia" w:ascii="微软雅黑" w:hAnsi="微软雅黑" w:eastAsia="微软雅黑" w:cs="微软雅黑"/>
          <w:color w:val="auto"/>
          <w:sz w:val="24"/>
          <w:highlight w:val="none"/>
        </w:rPr>
        <w:t>第一部分开标一览表及资格证明文件</w:t>
      </w:r>
      <w:bookmarkEnd w:id="291"/>
      <w:bookmarkEnd w:id="292"/>
      <w:bookmarkEnd w:id="293"/>
      <w:bookmarkEnd w:id="294"/>
      <w:bookmarkEnd w:id="295"/>
      <w:bookmarkEnd w:id="296"/>
    </w:p>
    <w:p w14:paraId="3FB652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一</w:t>
      </w:r>
      <w:r>
        <w:rPr>
          <w:rFonts w:hint="eastAsia" w:ascii="方正黑体_GBK" w:hAnsi="方正黑体_GBK" w:eastAsia="方正黑体_GBK" w:cs="方正黑体_GBK"/>
          <w:color w:val="auto"/>
          <w:sz w:val="24"/>
          <w:highlight w:val="none"/>
        </w:rPr>
        <w:t>、开标一览表</w:t>
      </w:r>
    </w:p>
    <w:p w14:paraId="59DB7B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val="en-US" w:eastAsia="zh-CN"/>
        </w:rPr>
      </w:pPr>
      <w:r>
        <w:rPr>
          <w:rFonts w:hint="eastAsia" w:ascii="方正黑体_GBK" w:hAnsi="方正黑体_GBK" w:eastAsia="方正黑体_GBK" w:cs="方正黑体_GBK"/>
          <w:color w:val="auto"/>
          <w:sz w:val="24"/>
          <w:highlight w:val="none"/>
          <w:lang w:eastAsia="zh-CN"/>
        </w:rPr>
        <w:t>二、资格证明文件（详见招标文件，第4章供应商须知资料表第</w:t>
      </w:r>
      <w:r>
        <w:rPr>
          <w:rFonts w:hint="eastAsia" w:ascii="方正黑体_GBK" w:hAnsi="方正黑体_GBK" w:eastAsia="方正黑体_GBK" w:cs="方正黑体_GBK"/>
          <w:color w:val="auto"/>
          <w:sz w:val="24"/>
          <w:highlight w:val="none"/>
          <w:lang w:val="en-US" w:eastAsia="zh-CN"/>
        </w:rPr>
        <w:t>27条投标人资格条件</w:t>
      </w:r>
      <w:r>
        <w:rPr>
          <w:rFonts w:hint="eastAsia" w:ascii="方正黑体_GBK" w:hAnsi="方正黑体_GBK" w:eastAsia="方正黑体_GBK" w:cs="方正黑体_GBK"/>
          <w:color w:val="auto"/>
          <w:sz w:val="24"/>
          <w:highlight w:val="none"/>
          <w:lang w:eastAsia="zh-CN"/>
        </w:rPr>
        <w:t>）</w:t>
      </w:r>
    </w:p>
    <w:p w14:paraId="37356BAE">
      <w:pPr>
        <w:tabs>
          <w:tab w:val="left" w:pos="5580"/>
        </w:tabs>
        <w:spacing w:line="360" w:lineRule="auto"/>
        <w:jc w:val="center"/>
        <w:rPr>
          <w:rFonts w:hint="eastAsia" w:ascii="微软雅黑" w:hAnsi="微软雅黑" w:eastAsia="微软雅黑" w:cs="微软雅黑"/>
          <w:b/>
          <w:color w:val="auto"/>
          <w:kern w:val="0"/>
          <w:sz w:val="24"/>
          <w:szCs w:val="20"/>
          <w:highlight w:val="none"/>
        </w:rPr>
      </w:pPr>
      <w:bookmarkStart w:id="297" w:name="_Toc518923108"/>
      <w:bookmarkStart w:id="298" w:name="_Toc29377"/>
    </w:p>
    <w:p w14:paraId="7DB32271">
      <w:pPr>
        <w:pStyle w:val="4"/>
        <w:rPr>
          <w:rFonts w:hint="eastAsia" w:ascii="微软雅黑" w:hAnsi="微软雅黑" w:eastAsia="微软雅黑" w:cs="微软雅黑"/>
          <w:b/>
          <w:color w:val="auto"/>
          <w:kern w:val="0"/>
          <w:sz w:val="24"/>
          <w:szCs w:val="20"/>
          <w:highlight w:val="none"/>
        </w:rPr>
      </w:pPr>
    </w:p>
    <w:p w14:paraId="5538523C">
      <w:pPr>
        <w:rPr>
          <w:rFonts w:hint="eastAsia" w:ascii="微软雅黑" w:hAnsi="微软雅黑" w:eastAsia="微软雅黑" w:cs="微软雅黑"/>
          <w:b/>
          <w:color w:val="auto"/>
          <w:kern w:val="0"/>
          <w:sz w:val="24"/>
          <w:szCs w:val="20"/>
          <w:highlight w:val="none"/>
        </w:rPr>
      </w:pPr>
    </w:p>
    <w:p w14:paraId="77152DBF">
      <w:pPr>
        <w:pStyle w:val="4"/>
        <w:rPr>
          <w:rFonts w:hint="eastAsia" w:ascii="微软雅黑" w:hAnsi="微软雅黑" w:eastAsia="微软雅黑" w:cs="微软雅黑"/>
          <w:b/>
          <w:color w:val="auto"/>
          <w:kern w:val="0"/>
          <w:sz w:val="24"/>
          <w:szCs w:val="20"/>
          <w:highlight w:val="none"/>
        </w:rPr>
      </w:pPr>
    </w:p>
    <w:p w14:paraId="4986586B">
      <w:pPr>
        <w:rPr>
          <w:rFonts w:hint="eastAsia" w:ascii="微软雅黑" w:hAnsi="微软雅黑" w:eastAsia="微软雅黑" w:cs="微软雅黑"/>
          <w:b/>
          <w:color w:val="auto"/>
          <w:kern w:val="0"/>
          <w:sz w:val="24"/>
          <w:szCs w:val="20"/>
          <w:highlight w:val="none"/>
        </w:rPr>
      </w:pPr>
    </w:p>
    <w:p w14:paraId="42B27717">
      <w:pPr>
        <w:pStyle w:val="4"/>
        <w:rPr>
          <w:rFonts w:hint="eastAsia" w:ascii="微软雅黑" w:hAnsi="微软雅黑" w:eastAsia="微软雅黑" w:cs="微软雅黑"/>
          <w:b/>
          <w:color w:val="auto"/>
          <w:kern w:val="0"/>
          <w:sz w:val="24"/>
          <w:szCs w:val="20"/>
          <w:highlight w:val="none"/>
        </w:rPr>
      </w:pPr>
    </w:p>
    <w:p w14:paraId="08A9C2AD">
      <w:pPr>
        <w:rPr>
          <w:rFonts w:hint="eastAsia" w:ascii="微软雅黑" w:hAnsi="微软雅黑" w:eastAsia="微软雅黑" w:cs="微软雅黑"/>
          <w:b/>
          <w:color w:val="auto"/>
          <w:kern w:val="0"/>
          <w:sz w:val="24"/>
          <w:szCs w:val="20"/>
          <w:highlight w:val="none"/>
        </w:rPr>
      </w:pPr>
    </w:p>
    <w:p w14:paraId="0353248C">
      <w:pPr>
        <w:pStyle w:val="4"/>
        <w:rPr>
          <w:rFonts w:hint="eastAsia" w:ascii="微软雅黑" w:hAnsi="微软雅黑" w:eastAsia="微软雅黑" w:cs="微软雅黑"/>
          <w:b/>
          <w:color w:val="auto"/>
          <w:kern w:val="0"/>
          <w:sz w:val="24"/>
          <w:szCs w:val="20"/>
          <w:highlight w:val="none"/>
        </w:rPr>
      </w:pPr>
    </w:p>
    <w:p w14:paraId="2D5DEF47">
      <w:pPr>
        <w:rPr>
          <w:rFonts w:hint="eastAsia" w:ascii="微软雅黑" w:hAnsi="微软雅黑" w:eastAsia="微软雅黑" w:cs="微软雅黑"/>
          <w:b/>
          <w:color w:val="auto"/>
          <w:kern w:val="0"/>
          <w:sz w:val="24"/>
          <w:szCs w:val="20"/>
          <w:highlight w:val="none"/>
        </w:rPr>
      </w:pPr>
    </w:p>
    <w:p w14:paraId="7329CA9D">
      <w:pPr>
        <w:pStyle w:val="4"/>
        <w:rPr>
          <w:rFonts w:hint="eastAsia" w:ascii="微软雅黑" w:hAnsi="微软雅黑" w:eastAsia="微软雅黑" w:cs="微软雅黑"/>
          <w:b/>
          <w:color w:val="auto"/>
          <w:kern w:val="0"/>
          <w:sz w:val="24"/>
          <w:szCs w:val="20"/>
          <w:highlight w:val="none"/>
        </w:rPr>
      </w:pPr>
    </w:p>
    <w:p w14:paraId="44B51B11">
      <w:pPr>
        <w:rPr>
          <w:rFonts w:hint="eastAsia" w:ascii="微软雅黑" w:hAnsi="微软雅黑" w:eastAsia="微软雅黑" w:cs="微软雅黑"/>
          <w:b/>
          <w:color w:val="auto"/>
          <w:kern w:val="0"/>
          <w:sz w:val="24"/>
          <w:szCs w:val="20"/>
          <w:highlight w:val="none"/>
        </w:rPr>
      </w:pPr>
    </w:p>
    <w:p w14:paraId="707E5BD3">
      <w:pPr>
        <w:pStyle w:val="4"/>
        <w:rPr>
          <w:rFonts w:hint="eastAsia" w:ascii="微软雅黑" w:hAnsi="微软雅黑" w:eastAsia="微软雅黑" w:cs="微软雅黑"/>
          <w:b/>
          <w:color w:val="auto"/>
          <w:kern w:val="0"/>
          <w:sz w:val="24"/>
          <w:szCs w:val="20"/>
          <w:highlight w:val="none"/>
        </w:rPr>
      </w:pPr>
    </w:p>
    <w:p w14:paraId="40086551">
      <w:pPr>
        <w:rPr>
          <w:rFonts w:hint="eastAsia" w:ascii="微软雅黑" w:hAnsi="微软雅黑" w:eastAsia="微软雅黑" w:cs="微软雅黑"/>
          <w:b/>
          <w:color w:val="auto"/>
          <w:kern w:val="0"/>
          <w:sz w:val="24"/>
          <w:szCs w:val="20"/>
          <w:highlight w:val="none"/>
        </w:rPr>
      </w:pPr>
    </w:p>
    <w:p w14:paraId="6417E102">
      <w:pPr>
        <w:pStyle w:val="4"/>
        <w:rPr>
          <w:rFonts w:hint="eastAsia" w:ascii="微软雅黑" w:hAnsi="微软雅黑" w:eastAsia="微软雅黑" w:cs="微软雅黑"/>
          <w:b/>
          <w:color w:val="auto"/>
          <w:kern w:val="0"/>
          <w:sz w:val="24"/>
          <w:szCs w:val="20"/>
          <w:highlight w:val="none"/>
        </w:rPr>
      </w:pPr>
    </w:p>
    <w:p w14:paraId="018CB5FA">
      <w:pPr>
        <w:rPr>
          <w:rFonts w:hint="eastAsia" w:ascii="微软雅黑" w:hAnsi="微软雅黑" w:eastAsia="微软雅黑" w:cs="微软雅黑"/>
          <w:b/>
          <w:color w:val="auto"/>
          <w:kern w:val="0"/>
          <w:sz w:val="24"/>
          <w:szCs w:val="20"/>
          <w:highlight w:val="none"/>
        </w:rPr>
      </w:pPr>
    </w:p>
    <w:p w14:paraId="1BC7DA8E">
      <w:pPr>
        <w:pStyle w:val="4"/>
        <w:rPr>
          <w:rFonts w:hint="eastAsia" w:ascii="微软雅黑" w:hAnsi="微软雅黑" w:eastAsia="微软雅黑" w:cs="微软雅黑"/>
          <w:b/>
          <w:color w:val="auto"/>
          <w:kern w:val="0"/>
          <w:sz w:val="24"/>
          <w:szCs w:val="20"/>
          <w:highlight w:val="none"/>
        </w:rPr>
      </w:pPr>
    </w:p>
    <w:p w14:paraId="73070174">
      <w:pPr>
        <w:rPr>
          <w:rFonts w:hint="eastAsia" w:ascii="微软雅黑" w:hAnsi="微软雅黑" w:eastAsia="微软雅黑" w:cs="微软雅黑"/>
          <w:b/>
          <w:color w:val="auto"/>
          <w:kern w:val="0"/>
          <w:sz w:val="24"/>
          <w:szCs w:val="20"/>
          <w:highlight w:val="none"/>
        </w:rPr>
      </w:pPr>
    </w:p>
    <w:p w14:paraId="51432E6E">
      <w:pPr>
        <w:pStyle w:val="4"/>
        <w:rPr>
          <w:rFonts w:hint="eastAsia"/>
          <w:color w:val="auto"/>
          <w:highlight w:val="none"/>
        </w:rPr>
      </w:pPr>
    </w:p>
    <w:p w14:paraId="6D6D6253">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kern w:val="0"/>
          <w:sz w:val="24"/>
          <w:szCs w:val="20"/>
          <w:highlight w:val="none"/>
        </w:rPr>
        <w:t>开标一览表</w:t>
      </w:r>
      <w:bookmarkEnd w:id="297"/>
      <w:bookmarkEnd w:id="298"/>
    </w:p>
    <w:p w14:paraId="3C71B2AA">
      <w:pPr>
        <w:tabs>
          <w:tab w:val="left" w:pos="1800"/>
          <w:tab w:val="left" w:pos="5580"/>
        </w:tabs>
        <w:spacing w:line="360" w:lineRule="auto"/>
        <w:ind w:left="1258" w:leftChars="599" w:right="-867" w:rightChars="-413" w:firstLine="719" w:firstLineChars="342"/>
        <w:rPr>
          <w:rFonts w:hint="eastAsia" w:ascii="微软雅黑" w:hAnsi="微软雅黑" w:eastAsia="微软雅黑" w:cs="微软雅黑"/>
          <w:color w:val="auto"/>
          <w:highlight w:val="none"/>
        </w:rPr>
      </w:pPr>
      <w:bookmarkStart w:id="299" w:name="_Hlt520356241"/>
      <w:bookmarkEnd w:id="299"/>
      <w:bookmarkStart w:id="300" w:name="_Toc480942349"/>
      <w:bookmarkStart w:id="301" w:name="_Ref467988698"/>
      <w:bookmarkStart w:id="302" w:name="_Toc216582813"/>
      <w:bookmarkStart w:id="303" w:name="_Toc520356217"/>
      <w:r>
        <w:rPr>
          <w:rFonts w:hint="eastAsia" w:ascii="微软雅黑" w:hAnsi="微软雅黑" w:eastAsia="微软雅黑" w:cs="微软雅黑"/>
          <w:b/>
          <w:color w:val="auto"/>
          <w:highlight w:val="none"/>
        </w:rPr>
        <w:cr/>
      </w:r>
    </w:p>
    <w:p w14:paraId="191F2677">
      <w:pPr>
        <w:tabs>
          <w:tab w:val="left" w:pos="1800"/>
          <w:tab w:val="left" w:pos="5580"/>
        </w:tabs>
        <w:spacing w:line="360" w:lineRule="auto"/>
        <w:ind w:left="1080" w:leftChars="257" w:right="-867" w:rightChars="-413"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6ABF2487">
      <w:pPr>
        <w:tabs>
          <w:tab w:val="left" w:pos="1800"/>
          <w:tab w:val="left" w:pos="5580"/>
        </w:tabs>
        <w:spacing w:line="360" w:lineRule="auto"/>
        <w:ind w:left="1080" w:leftChars="257" w:right="-867" w:rightChars="-413" w:hanging="540"/>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w:t>
      </w:r>
      <w:r>
        <w:rPr>
          <w:rFonts w:hint="eastAsia" w:ascii="微软雅黑" w:hAnsi="微软雅黑" w:eastAsia="微软雅黑" w:cs="微软雅黑"/>
          <w:b/>
          <w:bCs/>
          <w:color w:val="auto"/>
          <w:sz w:val="24"/>
          <w:highlight w:val="none"/>
        </w:rPr>
        <w:t>万元</w:t>
      </w:r>
      <w:r>
        <w:rPr>
          <w:rFonts w:hint="eastAsia" w:ascii="微软雅黑" w:hAnsi="微软雅黑" w:eastAsia="微软雅黑" w:cs="微软雅黑"/>
          <w:b/>
          <w:bCs/>
          <w:color w:val="auto"/>
          <w:sz w:val="24"/>
          <w:highlight w:val="none"/>
          <w:lang w:val="en-US" w:eastAsia="zh-CN"/>
        </w:rPr>
        <w:t xml:space="preserve">                             </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445"/>
        <w:gridCol w:w="1129"/>
      </w:tblGrid>
      <w:tr w14:paraId="78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2EE09473">
            <w:pPr>
              <w:tabs>
                <w:tab w:val="left" w:pos="5580"/>
              </w:tabs>
              <w:spacing w:line="360" w:lineRule="auto"/>
              <w:ind w:right="-199"/>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tc>
        <w:tc>
          <w:tcPr>
            <w:tcW w:w="2340" w:type="dxa"/>
            <w:vAlign w:val="center"/>
          </w:tcPr>
          <w:p w14:paraId="602AC0D6">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投标总价</w:t>
            </w:r>
          </w:p>
        </w:tc>
        <w:tc>
          <w:tcPr>
            <w:tcW w:w="1805" w:type="dxa"/>
            <w:vAlign w:val="center"/>
          </w:tcPr>
          <w:p w14:paraId="6FBF7FEA">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投标保证金缴纳方式</w:t>
            </w:r>
          </w:p>
        </w:tc>
        <w:tc>
          <w:tcPr>
            <w:tcW w:w="1445" w:type="dxa"/>
            <w:vAlign w:val="center"/>
          </w:tcPr>
          <w:p w14:paraId="1D54282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项目实施</w:t>
            </w:r>
          </w:p>
          <w:p w14:paraId="1A6303E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时间</w:t>
            </w:r>
          </w:p>
        </w:tc>
        <w:tc>
          <w:tcPr>
            <w:tcW w:w="1445" w:type="dxa"/>
            <w:vAlign w:val="center"/>
          </w:tcPr>
          <w:p w14:paraId="6B03363D">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实施</w:t>
            </w:r>
            <w:r>
              <w:rPr>
                <w:rFonts w:hint="eastAsia" w:ascii="微软雅黑" w:hAnsi="微软雅黑" w:eastAsia="微软雅黑" w:cs="微软雅黑"/>
                <w:color w:val="auto"/>
                <w:sz w:val="24"/>
                <w:highlight w:val="none"/>
              </w:rPr>
              <w:t>地点</w:t>
            </w:r>
          </w:p>
        </w:tc>
        <w:tc>
          <w:tcPr>
            <w:tcW w:w="1129" w:type="dxa"/>
            <w:vAlign w:val="center"/>
          </w:tcPr>
          <w:p w14:paraId="5ECF9A11">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604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58C0028">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2340" w:type="dxa"/>
            <w:vAlign w:val="center"/>
          </w:tcPr>
          <w:p w14:paraId="5A678987">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p w14:paraId="29B23D1B">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1805" w:type="dxa"/>
            <w:vAlign w:val="center"/>
          </w:tcPr>
          <w:p w14:paraId="7A9AE6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107EAC34">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234E1D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129" w:type="dxa"/>
            <w:vAlign w:val="center"/>
          </w:tcPr>
          <w:p w14:paraId="7816C25C">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r>
    </w:tbl>
    <w:p w14:paraId="3D24CEE1">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p>
    <w:p w14:paraId="4FE5CF26">
      <w:pPr>
        <w:pStyle w:val="12"/>
        <w:tabs>
          <w:tab w:val="left" w:pos="5580"/>
        </w:tabs>
        <w:spacing w:line="360" w:lineRule="auto"/>
        <w:rPr>
          <w:rFonts w:hint="eastAsia" w:ascii="微软雅黑" w:hAnsi="微软雅黑" w:eastAsia="微软雅黑" w:cs="微软雅黑"/>
          <w:color w:val="auto"/>
          <w:sz w:val="24"/>
          <w:highlight w:val="none"/>
          <w:u w:val="single"/>
        </w:rPr>
      </w:pPr>
    </w:p>
    <w:p w14:paraId="5C99344B">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名称（单位章）：</w:t>
      </w:r>
    </w:p>
    <w:p w14:paraId="0D2EBF7A">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法定代表人或其委托代理人(</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00CD8E44">
      <w:pPr>
        <w:pStyle w:val="12"/>
        <w:tabs>
          <w:tab w:val="left" w:pos="5580"/>
        </w:tabs>
        <w:spacing w:line="360" w:lineRule="auto"/>
        <w:rPr>
          <w:rFonts w:hint="eastAsia" w:ascii="微软雅黑" w:hAnsi="微软雅黑" w:eastAsia="微软雅黑" w:cs="微软雅黑"/>
          <w:b/>
          <w:color w:val="auto"/>
          <w:highlight w:val="none"/>
        </w:rPr>
      </w:pPr>
    </w:p>
    <w:p w14:paraId="20BFF7B0">
      <w:pPr>
        <w:pStyle w:val="12"/>
        <w:tabs>
          <w:tab w:val="left" w:pos="5580"/>
        </w:tabs>
        <w:spacing w:line="360" w:lineRule="auto"/>
        <w:rPr>
          <w:rFonts w:hint="eastAsia" w:ascii="微软雅黑" w:hAnsi="微软雅黑" w:eastAsia="微软雅黑" w:cs="微软雅黑"/>
          <w:color w:val="auto"/>
          <w:sz w:val="24"/>
          <w:highlight w:val="none"/>
          <w:u w:val="single"/>
        </w:rPr>
      </w:pPr>
    </w:p>
    <w:p w14:paraId="50E802E4">
      <w:pPr>
        <w:pStyle w:val="12"/>
        <w:tabs>
          <w:tab w:val="left" w:pos="5580"/>
        </w:tabs>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此表中，标的总价应和标的分项报价表的总价相一致。</w:t>
      </w:r>
    </w:p>
    <w:p w14:paraId="1929C543">
      <w:pPr>
        <w:pStyle w:val="12"/>
        <w:numPr>
          <w:ilvl w:val="0"/>
          <w:numId w:val="0"/>
        </w:numPr>
        <w:tabs>
          <w:tab w:val="left" w:pos="5580"/>
        </w:tabs>
        <w:spacing w:line="440" w:lineRule="exact"/>
        <w:ind w:firstLine="960" w:firstLineChars="4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2、</w:t>
      </w:r>
      <w:r>
        <w:rPr>
          <w:rFonts w:hint="eastAsia" w:ascii="微软雅黑" w:hAnsi="微软雅黑" w:eastAsia="微软雅黑" w:cs="微软雅黑"/>
          <w:bCs/>
          <w:color w:val="auto"/>
          <w:sz w:val="24"/>
          <w:szCs w:val="24"/>
          <w:highlight w:val="none"/>
        </w:rPr>
        <w:t>此报价包含与本项目有关的所有费用。</w:t>
      </w:r>
    </w:p>
    <w:p w14:paraId="2EBD735C">
      <w:pPr>
        <w:rPr>
          <w:rFonts w:hint="eastAsia" w:ascii="微软雅黑" w:hAnsi="微软雅黑" w:eastAsia="微软雅黑" w:cs="微软雅黑"/>
          <w:color w:val="auto"/>
          <w:highlight w:val="none"/>
        </w:rPr>
      </w:pPr>
    </w:p>
    <w:p w14:paraId="4039B483">
      <w:pPr>
        <w:rPr>
          <w:rFonts w:hint="eastAsia" w:ascii="微软雅黑" w:hAnsi="微软雅黑" w:eastAsia="微软雅黑" w:cs="微软雅黑"/>
          <w:color w:val="auto"/>
          <w:highlight w:val="none"/>
        </w:rPr>
      </w:pPr>
    </w:p>
    <w:p w14:paraId="72B48920">
      <w:pPr>
        <w:pStyle w:val="3"/>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b/>
          <w:bCs w:val="0"/>
          <w:color w:val="auto"/>
          <w:sz w:val="24"/>
          <w:szCs w:val="24"/>
          <w:highlight w:val="none"/>
          <w:lang w:val="en-US" w:eastAsia="zh-CN"/>
        </w:rPr>
      </w:pPr>
    </w:p>
    <w:p w14:paraId="60BEFA7B">
      <w:pPr>
        <w:rPr>
          <w:rFonts w:hint="eastAsia" w:ascii="微软雅黑" w:hAnsi="微软雅黑" w:eastAsia="微软雅黑" w:cs="微软雅黑"/>
          <w:b/>
          <w:bCs w:val="0"/>
          <w:color w:val="auto"/>
          <w:sz w:val="24"/>
          <w:szCs w:val="24"/>
          <w:highlight w:val="none"/>
          <w:lang w:val="en-US" w:eastAsia="zh-CN"/>
        </w:rPr>
      </w:pPr>
    </w:p>
    <w:p w14:paraId="6AF3433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722F4AB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118C1D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6987FD66">
      <w:pPr>
        <w:tabs>
          <w:tab w:val="left" w:pos="5580"/>
        </w:tabs>
        <w:spacing w:line="360" w:lineRule="auto"/>
        <w:jc w:val="center"/>
        <w:rPr>
          <w:rFonts w:hint="eastAsia"/>
          <w:color w:val="auto"/>
          <w:highlight w:val="none"/>
          <w:lang w:val="en-US" w:eastAsia="zh-CN"/>
        </w:rPr>
      </w:pPr>
      <w:r>
        <w:rPr>
          <w:rFonts w:hint="eastAsia" w:ascii="微软雅黑" w:hAnsi="微软雅黑" w:eastAsia="微软雅黑" w:cs="微软雅黑"/>
          <w:b/>
          <w:color w:val="auto"/>
          <w:kern w:val="0"/>
          <w:sz w:val="24"/>
          <w:szCs w:val="20"/>
          <w:highlight w:val="none"/>
          <w:lang w:eastAsia="zh-CN"/>
        </w:rPr>
        <w:t>资格证明文件</w:t>
      </w:r>
    </w:p>
    <w:p w14:paraId="0C5B9AED">
      <w:pPr>
        <w:pStyle w:val="3"/>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color w:val="auto"/>
          <w:sz w:val="24"/>
          <w:szCs w:val="24"/>
          <w:highlight w:val="none"/>
          <w:lang w:val="en-US" w:eastAsia="zh-CN"/>
        </w:rPr>
        <w:t>1.具有三证合一企业法人营业执照副本原件的扫描件</w:t>
      </w:r>
    </w:p>
    <w:p w14:paraId="11972B9E">
      <w:pPr>
        <w:pStyle w:val="7"/>
        <w:ind w:left="0" w:leftChars="0" w:firstLine="0" w:firstLineChars="0"/>
        <w:outlineLvl w:val="1"/>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注：1、投标商必须符合《中华人民共和国政府采购法》第二十二条的相关规定；</w:t>
      </w:r>
    </w:p>
    <w:p w14:paraId="736D880A">
      <w:pPr>
        <w:pStyle w:val="12"/>
        <w:numPr>
          <w:ilvl w:val="0"/>
          <w:numId w:val="3"/>
        </w:numPr>
        <w:tabs>
          <w:tab w:val="left" w:pos="5580"/>
        </w:tabs>
        <w:spacing w:line="360" w:lineRule="auto"/>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提供有效的营业执照等证明文件复印件，复印件上应加盖本单位鲜章。</w:t>
      </w:r>
    </w:p>
    <w:p w14:paraId="77C8C018">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bookmarkStart w:id="304" w:name="_Toc1138"/>
      <w:bookmarkStart w:id="305" w:name="_Toc29812"/>
      <w:bookmarkStart w:id="306" w:name="_Toc24623"/>
      <w:bookmarkStart w:id="307" w:name="_Toc28753"/>
      <w:bookmarkStart w:id="308" w:name="_Toc130"/>
      <w:bookmarkStart w:id="309" w:name="_Toc515647808"/>
      <w:bookmarkStart w:id="310" w:name="_Toc7039"/>
      <w:bookmarkStart w:id="311" w:name="_Toc32520"/>
      <w:r>
        <w:rPr>
          <w:rFonts w:hint="eastAsia" w:ascii="微软雅黑" w:hAnsi="微软雅黑" w:eastAsia="微软雅黑" w:cs="微软雅黑"/>
          <w:b/>
          <w:bCs/>
          <w:color w:val="auto"/>
          <w:kern w:val="0"/>
          <w:sz w:val="24"/>
          <w:szCs w:val="24"/>
          <w:highlight w:val="none"/>
          <w:lang w:val="en-US" w:eastAsia="zh-CN" w:bidi="ar-SA"/>
        </w:rPr>
        <w:t>2.法定代表人资格证明(法定代表人投标需提供法定代表人身份证)；</w:t>
      </w:r>
      <w:bookmarkEnd w:id="304"/>
      <w:bookmarkEnd w:id="305"/>
      <w:bookmarkEnd w:id="306"/>
      <w:bookmarkEnd w:id="307"/>
    </w:p>
    <w:p w14:paraId="0AD5BB06">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lang w:val="en-US" w:eastAsia="zh-CN"/>
        </w:rPr>
        <w:t>1</w:t>
      </w: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rPr>
        <w:t>法定代表人身份证明</w:t>
      </w:r>
    </w:p>
    <w:p w14:paraId="71A7AC8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同志，现任我单位职务，为法定代表人，特此证明。</w:t>
      </w:r>
    </w:p>
    <w:p w14:paraId="038F875D">
      <w:pPr>
        <w:spacing w:line="360" w:lineRule="auto"/>
        <w:ind w:firstLine="240" w:firstLineChars="1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签发日期：单位：</w:t>
      </w:r>
    </w:p>
    <w:p w14:paraId="00B0166C">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附：代表人性别：年龄：身份证号码：</w:t>
      </w:r>
    </w:p>
    <w:p w14:paraId="72DE34A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7663167">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营业执照号码：经济性质：</w:t>
      </w:r>
    </w:p>
    <w:p w14:paraId="23E6EC8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6672F78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A8945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2、内容必须填写真实、清楚、涂改无效，不得转让。</w:t>
      </w:r>
    </w:p>
    <w:p w14:paraId="01348C19">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(为避免废标，请</w:t>
      </w:r>
      <w:r>
        <w:rPr>
          <w:rFonts w:hint="eastAsia" w:ascii="微软雅黑" w:hAnsi="微软雅黑" w:eastAsia="微软雅黑" w:cs="微软雅黑"/>
          <w:b/>
          <w:bCs/>
          <w:color w:val="auto"/>
          <w:sz w:val="24"/>
          <w:szCs w:val="24"/>
          <w:highlight w:val="none"/>
          <w:u w:val="single"/>
          <w:lang w:eastAsia="zh-CN"/>
        </w:rPr>
        <w:t>投标人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395A792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v:textbox>
              </v:roundrect>
            </w:pict>
          </mc:Fallback>
        </mc:AlternateContent>
      </w:r>
    </w:p>
    <w:p w14:paraId="134A7ECB">
      <w:pPr>
        <w:spacing w:line="360" w:lineRule="auto"/>
        <w:rPr>
          <w:rFonts w:hint="eastAsia" w:ascii="微软雅黑" w:hAnsi="微软雅黑" w:eastAsia="微软雅黑" w:cs="微软雅黑"/>
          <w:color w:val="auto"/>
          <w:sz w:val="24"/>
          <w:szCs w:val="24"/>
          <w:highlight w:val="none"/>
        </w:rPr>
      </w:pPr>
    </w:p>
    <w:p w14:paraId="2C2852D1">
      <w:pPr>
        <w:spacing w:line="360" w:lineRule="auto"/>
        <w:rPr>
          <w:rFonts w:hint="eastAsia" w:ascii="微软雅黑" w:hAnsi="微软雅黑" w:eastAsia="微软雅黑" w:cs="微软雅黑"/>
          <w:color w:val="auto"/>
          <w:sz w:val="24"/>
          <w:szCs w:val="24"/>
          <w:highlight w:val="none"/>
        </w:rPr>
      </w:pPr>
    </w:p>
    <w:p w14:paraId="623F48E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614679BF">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3E06A8F9">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5BD3059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74FEB632">
      <w:pPr>
        <w:pStyle w:val="7"/>
        <w:numPr>
          <w:ilvl w:val="0"/>
          <w:numId w:val="0"/>
        </w:num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F64B29C">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619BA1F0">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1A64340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2.供应商为自然人的，应提供身份证明的复印件。</w:t>
      </w:r>
    </w:p>
    <w:p w14:paraId="4C5AAFA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color w:val="auto"/>
          <w:highlight w:val="none"/>
        </w:rPr>
      </w:pPr>
      <w:r>
        <w:rPr>
          <w:rFonts w:hint="eastAsia" w:ascii="微软雅黑" w:hAnsi="微软雅黑" w:eastAsia="微软雅黑" w:cs="微软雅黑"/>
          <w:color w:val="auto"/>
          <w:kern w:val="2"/>
          <w:sz w:val="24"/>
          <w:szCs w:val="24"/>
          <w:highlight w:val="none"/>
          <w:lang w:val="en-US" w:eastAsia="zh-CN" w:bidi="ar-SA"/>
        </w:rPr>
        <w:t>3.联合体投标应提供联合体各方满足以上要求的证明文件。</w:t>
      </w:r>
    </w:p>
    <w:p w14:paraId="78FDCC43">
      <w:pPr>
        <w:pStyle w:val="18"/>
        <w:tabs>
          <w:tab w:val="left" w:pos="567"/>
        </w:tabs>
        <w:spacing w:line="400" w:lineRule="exact"/>
        <w:ind w:left="0" w:leftChars="0" w:firstLine="0" w:firstLineChars="0"/>
        <w:jc w:val="both"/>
        <w:outlineLvl w:val="1"/>
        <w:rPr>
          <w:rFonts w:hint="eastAsia" w:ascii="微软雅黑" w:hAnsi="微软雅黑" w:eastAsia="微软雅黑" w:cs="微软雅黑"/>
          <w:b/>
          <w:bCs/>
          <w:color w:val="auto"/>
          <w:kern w:val="0"/>
          <w:sz w:val="24"/>
          <w:szCs w:val="24"/>
          <w:highlight w:val="none"/>
          <w:lang w:val="en-US" w:eastAsia="zh-CN" w:bidi="ar-SA"/>
        </w:rPr>
      </w:pPr>
    </w:p>
    <w:p w14:paraId="42CE3819">
      <w:pPr>
        <w:pStyle w:val="18"/>
        <w:tabs>
          <w:tab w:val="left" w:pos="567"/>
        </w:tabs>
        <w:spacing w:line="400" w:lineRule="exact"/>
        <w:ind w:left="0" w:leftChars="0" w:firstLine="0" w:firstLineChars="0"/>
        <w:jc w:val="center"/>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（2）法人授权委托书及法人身份及投标人身份证明</w:t>
      </w:r>
    </w:p>
    <w:p w14:paraId="69AC006C">
      <w:pPr>
        <w:pStyle w:val="15"/>
        <w:rPr>
          <w:rFonts w:hint="eastAsia" w:ascii="微软雅黑" w:hAnsi="微软雅黑" w:eastAsia="微软雅黑" w:cs="微软雅黑"/>
          <w:b/>
          <w:bCs/>
          <w:color w:val="auto"/>
          <w:sz w:val="24"/>
          <w:szCs w:val="24"/>
          <w:highlight w:val="none"/>
        </w:rPr>
      </w:pPr>
    </w:p>
    <w:p w14:paraId="58816975">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264BA088">
      <w:pPr>
        <w:pStyle w:val="12"/>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07BDB0A7">
      <w:pPr>
        <w:pStyle w:val="12"/>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本授权书于年月日签字生效,特此声明。</w:t>
      </w:r>
    </w:p>
    <w:p w14:paraId="1CF10D9E">
      <w:pPr>
        <w:pStyle w:val="12"/>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5" name="圆角矩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wps:txbx>
                      <wps:bodyPr wrap="square" upright="1"/>
                    </wps:wsp>
                  </a:graphicData>
                </a:graphic>
              </wp:anchor>
            </w:drawing>
          </mc:Choice>
          <mc:Fallback>
            <w:pict>
              <v:roundrect id="_x0000_s1026"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wWfuNsAAAAKAQAADwAAAAAAAAABACAAAAAiAAAAZHJzL2Rvd25y&#10;ZXYueG1sUEsBAhQAFAAAAAgAh07iQFBeo5o0AgAAcwQAAA4AAAAAAAAAAQAgAAAAKgEAAGRycy9l&#10;Mm9Eb2MueG1sUEsFBgAAAAAGAAYAWQEAANAFAAAAAA==&#10;">
                <v:fill on="t" focussize="0,0"/>
                <v:stroke weight="1.25pt" color="#808080" joinstyle="round"/>
                <v:imagedata o:title=""/>
                <o:lock v:ext="edit" aspectratio="f"/>
                <v:textbo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v:textbox>
              </v:shape>
            </w:pict>
          </mc:Fallback>
        </mc:AlternateContent>
      </w:r>
    </w:p>
    <w:p w14:paraId="3A04721C">
      <w:pPr>
        <w:spacing w:line="360" w:lineRule="auto"/>
        <w:ind w:firstLine="240" w:firstLineChars="100"/>
        <w:rPr>
          <w:rFonts w:hint="eastAsia" w:ascii="微软雅黑" w:hAnsi="微软雅黑" w:eastAsia="微软雅黑" w:cs="微软雅黑"/>
          <w:color w:val="auto"/>
          <w:sz w:val="24"/>
          <w:szCs w:val="24"/>
          <w:highlight w:val="none"/>
        </w:rPr>
      </w:pPr>
    </w:p>
    <w:p w14:paraId="3960DDDB">
      <w:pPr>
        <w:spacing w:line="360" w:lineRule="auto"/>
        <w:ind w:firstLine="240" w:firstLineChars="100"/>
        <w:rPr>
          <w:rFonts w:hint="eastAsia" w:ascii="微软雅黑" w:hAnsi="微软雅黑" w:eastAsia="微软雅黑" w:cs="微软雅黑"/>
          <w:color w:val="auto"/>
          <w:sz w:val="24"/>
          <w:szCs w:val="24"/>
          <w:highlight w:val="none"/>
        </w:rPr>
      </w:pPr>
    </w:p>
    <w:p w14:paraId="0B91B98F">
      <w:pPr>
        <w:spacing w:line="360" w:lineRule="auto"/>
        <w:ind w:firstLine="240" w:firstLineChars="100"/>
        <w:rPr>
          <w:rFonts w:hint="eastAsia" w:ascii="微软雅黑" w:hAnsi="微软雅黑" w:eastAsia="微软雅黑" w:cs="微软雅黑"/>
          <w:color w:val="auto"/>
          <w:sz w:val="24"/>
          <w:szCs w:val="24"/>
          <w:highlight w:val="none"/>
        </w:rPr>
      </w:pPr>
    </w:p>
    <w:p w14:paraId="57AF98CF">
      <w:pPr>
        <w:spacing w:line="360" w:lineRule="auto"/>
        <w:ind w:firstLine="240" w:firstLineChars="100"/>
        <w:rPr>
          <w:rFonts w:hint="eastAsia" w:ascii="微软雅黑" w:hAnsi="微软雅黑" w:eastAsia="微软雅黑" w:cs="微软雅黑"/>
          <w:color w:val="auto"/>
          <w:sz w:val="24"/>
          <w:szCs w:val="24"/>
          <w:highlight w:val="none"/>
        </w:rPr>
      </w:pPr>
    </w:p>
    <w:p w14:paraId="0C74D65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wps:txbx>
                      <wps:bodyPr wrap="square" upright="1"/>
                    </wps:wsp>
                  </a:graphicData>
                </a:graphic>
              </wp:anchor>
            </w:drawing>
          </mc:Choice>
          <mc:Fallback>
            <w:pict>
              <v:roundrect id="_x0000_s1026"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6" name="圆角矩形 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wps:txbx>
                      <wps:bodyPr wrap="square"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AeCGiQ3AgAAdAQAAA4AAAAAAAAAAQAgAAAAJwEAAGRycy9l&#10;Mm9Eb2MueG1sUEsFBgAAAAAGAAYAWQEAANAFAAAAAA==&#10;">
                <v:fill on="t" focussize="0,0"/>
                <v:stroke weight="1.25pt" color="#808080" joinstyle="round"/>
                <v:imagedata o:title=""/>
                <o:lock v:ext="edit" aspectratio="f"/>
                <v:textbo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v:textbox>
              </v:roundrect>
            </w:pict>
          </mc:Fallback>
        </mc:AlternateContent>
      </w:r>
    </w:p>
    <w:p w14:paraId="6B0E4C53">
      <w:pPr>
        <w:spacing w:line="360" w:lineRule="auto"/>
        <w:ind w:firstLine="240" w:firstLineChars="100"/>
        <w:rPr>
          <w:rFonts w:hint="eastAsia" w:ascii="微软雅黑" w:hAnsi="微软雅黑" w:eastAsia="微软雅黑" w:cs="微软雅黑"/>
          <w:color w:val="auto"/>
          <w:sz w:val="24"/>
          <w:szCs w:val="24"/>
          <w:highlight w:val="none"/>
        </w:rPr>
      </w:pPr>
    </w:p>
    <w:p w14:paraId="33525ACC">
      <w:pPr>
        <w:spacing w:line="360" w:lineRule="auto"/>
        <w:ind w:firstLine="240" w:firstLineChars="100"/>
        <w:rPr>
          <w:rFonts w:hint="eastAsia" w:ascii="微软雅黑" w:hAnsi="微软雅黑" w:eastAsia="微软雅黑" w:cs="微软雅黑"/>
          <w:color w:val="auto"/>
          <w:sz w:val="24"/>
          <w:szCs w:val="24"/>
          <w:highlight w:val="none"/>
        </w:rPr>
      </w:pPr>
    </w:p>
    <w:p w14:paraId="29E00AF6">
      <w:pPr>
        <w:spacing w:line="360" w:lineRule="auto"/>
        <w:ind w:firstLine="240" w:firstLineChars="100"/>
        <w:rPr>
          <w:rFonts w:hint="eastAsia" w:ascii="微软雅黑" w:hAnsi="微软雅黑" w:eastAsia="微软雅黑" w:cs="微软雅黑"/>
          <w:color w:val="auto"/>
          <w:sz w:val="24"/>
          <w:szCs w:val="24"/>
          <w:highlight w:val="none"/>
        </w:rPr>
      </w:pPr>
    </w:p>
    <w:p w14:paraId="6A76BE26">
      <w:pPr>
        <w:spacing w:line="360" w:lineRule="auto"/>
        <w:ind w:firstLine="240" w:firstLineChars="100"/>
        <w:rPr>
          <w:rFonts w:hint="eastAsia" w:ascii="微软雅黑" w:hAnsi="微软雅黑" w:eastAsia="微软雅黑" w:cs="微软雅黑"/>
          <w:color w:val="auto"/>
          <w:sz w:val="24"/>
          <w:szCs w:val="24"/>
          <w:highlight w:val="none"/>
        </w:rPr>
      </w:pPr>
    </w:p>
    <w:p w14:paraId="282EB6C9">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p>
    <w:p w14:paraId="2F7F3481">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5615FEE8">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身份证号码：__________________________________</w:t>
      </w:r>
    </w:p>
    <w:p w14:paraId="29AF28E5">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B12BF4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w:t>
      </w:r>
    </w:p>
    <w:p w14:paraId="7B4C3E6F">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详细通讯地址：</w:t>
      </w:r>
    </w:p>
    <w:p w14:paraId="56F31C3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邮政编码：</w:t>
      </w:r>
    </w:p>
    <w:p w14:paraId="1BAD4791">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传　　　　真：</w:t>
      </w:r>
    </w:p>
    <w:p w14:paraId="3A0E1B2A">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w:t>
      </w:r>
    </w:p>
    <w:p w14:paraId="445C1ECB">
      <w:pPr>
        <w:pStyle w:val="12"/>
        <w:tabs>
          <w:tab w:val="left" w:pos="5580"/>
        </w:tabs>
        <w:spacing w:line="360" w:lineRule="exact"/>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14:paraId="46A83712">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p>
    <w:bookmarkEnd w:id="308"/>
    <w:p w14:paraId="080E765B">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3.具有良好的商业信誉和健全的财务会计制度的证明文件</w:t>
      </w:r>
    </w:p>
    <w:p w14:paraId="1AFAF4BF">
      <w:pPr>
        <w:tabs>
          <w:tab w:val="left" w:pos="5580"/>
        </w:tabs>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p w14:paraId="73407E58">
      <w:pPr>
        <w:pStyle w:val="7"/>
        <w:numPr>
          <w:ilvl w:val="0"/>
          <w:numId w:val="0"/>
        </w:numPr>
        <w:ind w:firstLine="480" w:firstLineChars="200"/>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vertAlign w:val="baseline"/>
          <w:lang w:val="en-US" w:eastAsia="zh-CN"/>
        </w:rPr>
        <w:t>提供本单位会计师事务所出具的审计期间为</w:t>
      </w:r>
      <w:r>
        <w:rPr>
          <w:rFonts w:hint="eastAsia" w:ascii="微软雅黑" w:hAnsi="微软雅黑" w:eastAsia="微软雅黑" w:cs="微软雅黑"/>
          <w:color w:val="auto"/>
          <w:highlight w:val="none"/>
        </w:rPr>
        <w:t>（</w:t>
      </w:r>
      <w:r>
        <w:rPr>
          <w:rFonts w:hint="eastAsia" w:ascii="微软雅黑" w:hAnsi="微软雅黑" w:eastAsia="微软雅黑" w:cs="微软雅黑"/>
          <w:b w:val="0"/>
          <w:bCs w:val="0"/>
          <w:color w:val="auto"/>
          <w:sz w:val="24"/>
          <w:szCs w:val="24"/>
          <w:highlight w:val="none"/>
          <w:vertAlign w:val="baseline"/>
          <w:lang w:val="en-US" w:eastAsia="zh-CN"/>
        </w:rPr>
        <w:t>投标人提供会计事务所出具的2022年度或2023年度财务审计报告，新成立公司可提</w:t>
      </w:r>
      <w:r>
        <w:rPr>
          <w:rFonts w:hint="eastAsia" w:ascii="微软雅黑" w:hAnsi="微软雅黑" w:eastAsia="微软雅黑" w:cs="微软雅黑"/>
          <w:color w:val="auto"/>
          <w:highlight w:val="none"/>
        </w:rPr>
        <w:t>供有效内银行出具的资信证明）</w:t>
      </w:r>
      <w:r>
        <w:rPr>
          <w:rFonts w:hint="eastAsia" w:ascii="微软雅黑" w:hAnsi="微软雅黑" w:eastAsia="微软雅黑" w:cs="微软雅黑"/>
          <w:b w:val="0"/>
          <w:bCs w:val="0"/>
          <w:color w:val="auto"/>
          <w:sz w:val="24"/>
          <w:szCs w:val="24"/>
          <w:highlight w:val="none"/>
          <w:vertAlign w:val="baseline"/>
          <w:lang w:val="en-US" w:eastAsia="zh-CN"/>
        </w:rPr>
        <w:t>未满一年的公司提供开标前三个月任意一个月有效银行资信证明）（①财务审计报告须包括资产负债表、利润表、现金流量表、所有者权益变动（如有）及其附注。②银行资信证明可提供原件的扫描件，也可提供复印件。若银行开具的资信证明声明复印无效的，则投标人必须提供原件的扫描件，否则视为无效。提供复印件的，必须提供银行资信证明所有内容页的齐全的复印件，含首页、声明页等，否则视为无效。③银行出具的存款证明不能替代银行资信证明，存款证明无效。④注册成立未满一年新公司可提供近三个月内任意一个月的银行资信证明）</w:t>
      </w:r>
    </w:p>
    <w:p w14:paraId="4208A683">
      <w:pPr>
        <w:tabs>
          <w:tab w:val="left" w:pos="5580"/>
        </w:tabs>
        <w:spacing w:line="240" w:lineRule="atLeast"/>
        <w:ind w:firstLine="480" w:firstLineChars="200"/>
        <w:rPr>
          <w:rFonts w:hint="eastAsia"/>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如提供银行出具的证明文件。银行证明文件可提供原件</w:t>
      </w:r>
      <w:r>
        <w:rPr>
          <w:rFonts w:hint="eastAsia" w:ascii="微软雅黑" w:hAnsi="微软雅黑" w:eastAsia="微软雅黑" w:cs="微软雅黑"/>
          <w:b w:val="0"/>
          <w:bCs w:val="0"/>
          <w:color w:val="auto"/>
          <w:sz w:val="24"/>
          <w:szCs w:val="24"/>
          <w:highlight w:val="none"/>
          <w:lang w:eastAsia="zh-CN"/>
        </w:rPr>
        <w:t>扫描件</w:t>
      </w:r>
      <w:r>
        <w:rPr>
          <w:rFonts w:hint="eastAsia" w:ascii="微软雅黑" w:hAnsi="微软雅黑" w:eastAsia="微软雅黑" w:cs="微软雅黑"/>
          <w:b w:val="0"/>
          <w:bCs w:val="0"/>
          <w:color w:val="auto"/>
          <w:sz w:val="24"/>
          <w:szCs w:val="24"/>
          <w:highlight w:val="none"/>
        </w:rPr>
        <w:t>，也可提供银行在开标日前</w:t>
      </w:r>
      <w:r>
        <w:rPr>
          <w:rFonts w:hint="eastAsia" w:ascii="微软雅黑" w:hAnsi="微软雅黑" w:eastAsia="微软雅黑" w:cs="微软雅黑"/>
          <w:b w:val="0"/>
          <w:bCs w:val="0"/>
          <w:color w:val="auto"/>
          <w:sz w:val="24"/>
          <w:szCs w:val="24"/>
          <w:highlight w:val="none"/>
          <w:vertAlign w:val="baseline"/>
          <w:lang w:val="en-US" w:eastAsia="zh-CN"/>
        </w:rPr>
        <w:t>近三个月内任意一个月</w:t>
      </w:r>
      <w:r>
        <w:rPr>
          <w:rFonts w:hint="eastAsia" w:ascii="微软雅黑" w:hAnsi="微软雅黑" w:eastAsia="微软雅黑" w:cs="微软雅黑"/>
          <w:b w:val="0"/>
          <w:bCs w:val="0"/>
          <w:color w:val="auto"/>
          <w:sz w:val="24"/>
          <w:szCs w:val="24"/>
          <w:highlight w:val="none"/>
        </w:rPr>
        <w:t>开具证明文件的复印件。银行出具的证明文件应能说明该投标人与银行之间业务往来正常，企业信誉良好等。</w:t>
      </w:r>
    </w:p>
    <w:p w14:paraId="63974277">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143F78B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4有依法缴纳社会保障资金的良好记录</w:t>
      </w:r>
    </w:p>
    <w:p w14:paraId="187638C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color w:val="auto"/>
          <w:highlight w:val="none"/>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6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3C80A20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3D7B180C">
      <w:pPr>
        <w:pageBreakBefore w:val="0"/>
        <w:widowControl w:val="0"/>
        <w:numPr>
          <w:ilvl w:val="0"/>
          <w:numId w:val="4"/>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投标企业有依法缴纳税收的良好记录</w:t>
      </w:r>
    </w:p>
    <w:p w14:paraId="0BF2E133">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投标企业近期近6个月任意一个月的依法缴纳税收的完税证明原件扫描件/复印件，依法免缴的，应提供依法免缴的相关证明文件或零申报报表（新公司提交上述内容实际证明材料）；</w:t>
      </w:r>
    </w:p>
    <w:p w14:paraId="4D194C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w:t>
      </w:r>
      <w:r>
        <w:rPr>
          <w:rFonts w:hint="eastAsia" w:ascii="微软雅黑" w:hAnsi="微软雅黑" w:eastAsia="微软雅黑" w:cs="微软雅黑"/>
          <w:color w:val="auto"/>
          <w:sz w:val="24"/>
          <w:szCs w:val="24"/>
          <w:highlight w:val="none"/>
          <w:lang w:val="en-US" w:eastAsia="zh-CN"/>
        </w:rPr>
        <w:t>税务部门出具近 6个月任意一个月的完税证明”：①若供应商某月税收为零申报，须提供当月加盖税务局公章的无</w:t>
      </w:r>
      <w:r>
        <w:rPr>
          <w:rFonts w:hint="eastAsia" w:ascii="微软雅黑" w:hAnsi="微软雅黑" w:eastAsia="微软雅黑" w:cs="微软雅黑"/>
          <w:color w:val="auto"/>
          <w:kern w:val="2"/>
          <w:sz w:val="24"/>
          <w:szCs w:val="24"/>
          <w:highlight w:val="none"/>
          <w:lang w:val="en-US" w:eastAsia="zh-CN" w:bidi="ar-SA"/>
        </w:rPr>
        <w:t>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r>
        <w:rPr>
          <w:rFonts w:hint="eastAsia" w:ascii="微软雅黑" w:hAnsi="微软雅黑" w:eastAsia="微软雅黑" w:cs="微软雅黑"/>
          <w:color w:val="auto"/>
          <w:sz w:val="24"/>
          <w:highlight w:val="none"/>
        </w:rPr>
        <w:t>复印件上应加盖本单位章。</w:t>
      </w:r>
      <w:bookmarkEnd w:id="309"/>
      <w:bookmarkEnd w:id="310"/>
      <w:bookmarkEnd w:id="311"/>
    </w:p>
    <w:p w14:paraId="15B50BF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47B61DF">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02月07日-2025年02月07日）不得在“信用中国”网站（www.creditchina.gov.cn）被列入失信被执行人、重大税收违法失信主体内将拒绝其参加本次招标活动。以上内容由投标企业自行承诺，由采购人或采购代理机构在投标截止后核查。</w:t>
      </w:r>
    </w:p>
    <w:p w14:paraId="517C85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61B16F3E">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0629278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val="en-US" w:eastAsia="zh-CN"/>
        </w:rPr>
        <w:t>投标企业须提供有效期内的《食品生产许可证》或《食品经营许可证》或《食品流通许可证》</w:t>
      </w:r>
    </w:p>
    <w:p w14:paraId="55C61EE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24295FF5">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4CFADA4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7B79659">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提供针对本次项目《反商业贿赂承诺书》</w:t>
      </w:r>
    </w:p>
    <w:p w14:paraId="0FD49C9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承诺书应加盖本单位章。</w:t>
      </w:r>
    </w:p>
    <w:p w14:paraId="22C19511">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720" w:firstLineChars="300"/>
        <w:jc w:val="both"/>
        <w:textAlignment w:val="auto"/>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投标人需提供的其他资料，招标文件文件中无固定文件格式的，投标人自行制作。</w:t>
      </w:r>
      <w:bookmarkStart w:id="312" w:name="_Toc21096"/>
      <w:bookmarkStart w:id="313" w:name="_Toc22494204"/>
      <w:bookmarkStart w:id="314" w:name="_Toc39671745"/>
    </w:p>
    <w:p w14:paraId="4FE038F6">
      <w:pPr>
        <w:rPr>
          <w:rFonts w:hint="eastAsia"/>
          <w:color w:val="auto"/>
          <w:highlight w:val="none"/>
          <w:lang w:val="en-US" w:eastAsia="zh-CN"/>
        </w:rPr>
      </w:pPr>
    </w:p>
    <w:p w14:paraId="3C73017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缴纳投标保证金（电汇或转账）凭证复印件加盖公章；</w:t>
      </w:r>
      <w:bookmarkEnd w:id="312"/>
      <w:bookmarkEnd w:id="313"/>
      <w:bookmarkEnd w:id="314"/>
    </w:p>
    <w:tbl>
      <w:tblPr>
        <w:tblStyle w:val="19"/>
        <w:tblpPr w:leftFromText="180" w:rightFromText="180" w:vertAnchor="text" w:horzAnchor="page" w:tblpXSpec="center" w:tblpY="393"/>
        <w:tblOverlap w:val="never"/>
        <w:tblW w:w="6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tblGrid>
      <w:tr w14:paraId="77C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00" w:type="dxa"/>
            <w:noWrap w:val="0"/>
            <w:vAlign w:val="top"/>
          </w:tcPr>
          <w:p w14:paraId="268D6049">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A44FE91">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0A49DCB0">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（银行回执单</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val="0"/>
                <w:i w:val="0"/>
                <w:caps w:val="0"/>
                <w:color w:val="auto"/>
                <w:spacing w:val="0"/>
                <w:w w:val="100"/>
                <w:sz w:val="24"/>
                <w:szCs w:val="24"/>
                <w:highlight w:val="none"/>
                <w:lang w:eastAsia="zh-CN"/>
              </w:rPr>
              <w:t>保函</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cs="微软雅黑"/>
                <w:b w:val="0"/>
                <w:i w:val="0"/>
                <w:caps w:val="0"/>
                <w:color w:val="auto"/>
                <w:spacing w:val="0"/>
                <w:w w:val="100"/>
                <w:sz w:val="24"/>
                <w:szCs w:val="24"/>
                <w:highlight w:val="none"/>
                <w:lang w:val="en-US" w:eastAsia="zh-CN"/>
              </w:rPr>
              <w:t>支票</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56AFB425">
      <w:pPr>
        <w:pStyle w:val="7"/>
        <w:ind w:firstLine="422"/>
        <w:rPr>
          <w:rFonts w:hint="eastAsia" w:ascii="微软雅黑" w:hAnsi="微软雅黑" w:eastAsia="微软雅黑" w:cs="微软雅黑"/>
          <w:b/>
          <w:color w:val="auto"/>
          <w:szCs w:val="24"/>
          <w:highlight w:val="none"/>
        </w:rPr>
      </w:pPr>
    </w:p>
    <w:p w14:paraId="3EA4E1E1">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auto"/>
          <w:kern w:val="2"/>
          <w:sz w:val="24"/>
          <w:szCs w:val="24"/>
          <w:highlight w:val="none"/>
          <w:lang w:val="en-US" w:eastAsia="zh-CN" w:bidi="ar-SA"/>
        </w:rPr>
        <w:t>投标人可将本项目投标保证金支付的汇款凭证、支票、汇票、使用银行保函等其他投标担保函或采购中心出具的收款收据（如有）的复印件作为缴纳凭证放入本部分，复印件上应加盖本单位章。</w:t>
      </w:r>
      <w:bookmarkStart w:id="315" w:name="_Toc29456"/>
      <w:bookmarkStart w:id="316" w:name="_Toc5342"/>
    </w:p>
    <w:p w14:paraId="0FD6C9F6">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p>
    <w:p w14:paraId="1693786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宋体" w:hAnsi="宋体"/>
          <w:color w:val="auto"/>
          <w:highlight w:val="none"/>
        </w:rPr>
      </w:pPr>
      <w:r>
        <w:rPr>
          <w:rFonts w:hint="eastAsia" w:ascii="微软雅黑" w:hAnsi="微软雅黑" w:eastAsia="微软雅黑" w:cs="微软雅黑"/>
          <w:b w:val="0"/>
          <w:bCs w:val="0"/>
          <w:color w:val="auto"/>
          <w:kern w:val="2"/>
          <w:sz w:val="24"/>
          <w:szCs w:val="24"/>
          <w:highlight w:val="none"/>
          <w:lang w:val="en-US" w:eastAsia="zh-CN" w:bidi="ar-SA"/>
        </w:rPr>
        <w:t>10.</w:t>
      </w:r>
      <w:r>
        <w:rPr>
          <w:rFonts w:hint="eastAsia" w:ascii="微软雅黑" w:hAnsi="微软雅黑" w:eastAsia="微软雅黑" w:cs="微软雅黑"/>
          <w:b/>
          <w:bCs/>
          <w:color w:val="auto"/>
          <w:kern w:val="0"/>
          <w:sz w:val="24"/>
          <w:szCs w:val="24"/>
          <w:highlight w:val="none"/>
          <w:lang w:val="en-US" w:eastAsia="zh-CN" w:bidi="ar-SA"/>
        </w:rPr>
        <w:t>提供其他有利于投标的证明资料。</w:t>
      </w:r>
      <w:bookmarkEnd w:id="315"/>
      <w:bookmarkEnd w:id="316"/>
    </w:p>
    <w:p w14:paraId="772B83CE">
      <w:pPr>
        <w:pStyle w:val="13"/>
        <w:tabs>
          <w:tab w:val="center" w:pos="4140"/>
          <w:tab w:val="right" w:pos="8300"/>
          <w:tab w:val="clear" w:pos="4153"/>
          <w:tab w:val="clear" w:pos="8306"/>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Cs/>
          <w:iCs/>
          <w:color w:val="auto"/>
          <w:kern w:val="2"/>
          <w:sz w:val="24"/>
          <w:szCs w:val="24"/>
          <w:highlight w:val="none"/>
        </w:rPr>
        <w:br w:type="page"/>
      </w:r>
      <w:bookmarkStart w:id="317" w:name="_Toc518923115"/>
      <w:bookmarkStart w:id="318" w:name="_Toc16844"/>
      <w:r>
        <w:rPr>
          <w:rFonts w:hint="eastAsia" w:ascii="微软雅黑" w:hAnsi="微软雅黑" w:eastAsia="微软雅黑" w:cs="微软雅黑"/>
          <w:b/>
          <w:bCs/>
          <w:color w:val="auto"/>
          <w:sz w:val="24"/>
          <w:highlight w:val="none"/>
        </w:rPr>
        <w:t>第二部分商务及技术文件</w:t>
      </w:r>
      <w:bookmarkEnd w:id="317"/>
      <w:bookmarkEnd w:id="318"/>
    </w:p>
    <w:p w14:paraId="69A2A81F">
      <w:pPr>
        <w:pStyle w:val="12"/>
        <w:spacing w:line="360" w:lineRule="auto"/>
        <w:ind w:left="1080" w:leftChars="257" w:hanging="540"/>
        <w:rPr>
          <w:rFonts w:hint="eastAsia" w:ascii="微软雅黑" w:hAnsi="微软雅黑" w:eastAsia="微软雅黑" w:cs="微软雅黑"/>
          <w:color w:val="auto"/>
          <w:sz w:val="24"/>
          <w:highlight w:val="none"/>
        </w:rPr>
      </w:pPr>
    </w:p>
    <w:p w14:paraId="2D4E619E">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1、投标书</w:t>
      </w:r>
    </w:p>
    <w:p w14:paraId="5C71CD9B">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2、投标分项报价表</w:t>
      </w:r>
    </w:p>
    <w:p w14:paraId="48B89FE7">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3、货物说明一览表</w:t>
      </w:r>
    </w:p>
    <w:p w14:paraId="3B3C2D81">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p>
    <w:p w14:paraId="1E3C53C5">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p>
    <w:p w14:paraId="1B6EFFB0">
      <w:pPr>
        <w:pStyle w:val="12"/>
        <w:spacing w:line="360" w:lineRule="auto"/>
        <w:ind w:firstLine="480" w:firstLineChars="200"/>
        <w:rPr>
          <w:rFonts w:hint="eastAsia" w:ascii="微软雅黑" w:hAnsi="微软雅黑" w:eastAsia="微软雅黑" w:cs="微软雅黑"/>
          <w:color w:val="auto"/>
          <w:sz w:val="24"/>
          <w:highlight w:val="yellow"/>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须提交）注：</w:t>
      </w:r>
      <w:r>
        <w:rPr>
          <w:rFonts w:hint="eastAsia" w:ascii="微软雅黑" w:hAnsi="微软雅黑" w:eastAsia="微软雅黑" w:cs="微软雅黑"/>
          <w:color w:val="auto"/>
          <w:sz w:val="24"/>
          <w:highlight w:val="none"/>
          <w:lang w:eastAsia="zh-CN"/>
        </w:rPr>
        <w:t>本项目专门面向中小企业采购，根据要求单独上传《中小企业声明函（货物）》</w:t>
      </w:r>
      <w:r>
        <w:rPr>
          <w:rFonts w:hint="eastAsia" w:ascii="微软雅黑" w:hAnsi="微软雅黑" w:eastAsia="微软雅黑" w:cs="微软雅黑"/>
          <w:color w:val="auto"/>
          <w:sz w:val="24"/>
          <w:highlight w:val="none"/>
        </w:rPr>
        <w:t>。</w:t>
      </w:r>
    </w:p>
    <w:p w14:paraId="009AA6D2">
      <w:pPr>
        <w:pStyle w:val="12"/>
        <w:spacing w:line="360" w:lineRule="auto"/>
        <w:ind w:left="1155" w:leftChars="371" w:hanging="376" w:hangingChars="1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p>
    <w:p w14:paraId="214476B0">
      <w:pPr>
        <w:pStyle w:val="12"/>
        <w:spacing w:line="360" w:lineRule="auto"/>
        <w:ind w:left="1155" w:leftChars="371" w:hanging="376" w:hangingChars="15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-2《中小企业声明函》</w:t>
      </w:r>
      <w:r>
        <w:rPr>
          <w:rFonts w:hint="eastAsia" w:ascii="微软雅黑" w:hAnsi="微软雅黑" w:eastAsia="微软雅黑" w:cs="微软雅黑"/>
          <w:color w:val="auto"/>
          <w:sz w:val="24"/>
          <w:highlight w:val="none"/>
          <w:lang w:eastAsia="zh-CN"/>
        </w:rPr>
        <w:t>（货物）</w:t>
      </w:r>
    </w:p>
    <w:p w14:paraId="7D0B509F">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、供应商关联单位的说明</w:t>
      </w:r>
    </w:p>
    <w:p w14:paraId="38EDB8CA">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、其他有利于供应商的文件或证明材料</w:t>
      </w:r>
    </w:p>
    <w:p w14:paraId="4B6F5934">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、对本项目响应文件（响应文件）中资料真实性的承诺</w:t>
      </w:r>
    </w:p>
    <w:p w14:paraId="6210AFDB">
      <w:pPr>
        <w:pStyle w:val="12"/>
        <w:spacing w:line="360" w:lineRule="auto"/>
        <w:rPr>
          <w:rFonts w:hint="default" w:ascii="微软雅黑" w:hAnsi="微软雅黑" w:eastAsia="微软雅黑" w:cs="微软雅黑"/>
          <w:color w:val="auto"/>
          <w:sz w:val="24"/>
          <w:highlight w:val="none"/>
          <w:lang w:val="en-US" w:eastAsia="zh-CN"/>
        </w:rPr>
      </w:pPr>
    </w:p>
    <w:p w14:paraId="4FDAF95F">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D03E7FF">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319" w:name="_Toc518923116"/>
      <w:bookmarkStart w:id="320" w:name="_Toc9768"/>
      <w:bookmarkStart w:id="321" w:name="_Toc15081"/>
      <w:bookmarkStart w:id="322" w:name="_Toc26126"/>
      <w:bookmarkStart w:id="323" w:name="_Toc10878"/>
      <w:r>
        <w:rPr>
          <w:rFonts w:hint="eastAsia" w:ascii="微软雅黑" w:hAnsi="微软雅黑" w:eastAsia="微软雅黑" w:cs="微软雅黑"/>
          <w:color w:val="auto"/>
          <w:sz w:val="24"/>
          <w:highlight w:val="none"/>
        </w:rPr>
        <w:t>1</w:t>
      </w:r>
      <w:bookmarkStart w:id="324" w:name="_Hlt520355504"/>
      <w:bookmarkEnd w:id="324"/>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w:t>
      </w:r>
      <w:bookmarkEnd w:id="300"/>
      <w:bookmarkEnd w:id="301"/>
      <w:r>
        <w:rPr>
          <w:rFonts w:hint="eastAsia" w:ascii="微软雅黑" w:hAnsi="微软雅黑" w:eastAsia="微软雅黑" w:cs="微软雅黑"/>
          <w:color w:val="auto"/>
          <w:sz w:val="24"/>
          <w:highlight w:val="none"/>
        </w:rPr>
        <w:t>书</w:t>
      </w:r>
      <w:bookmarkEnd w:id="302"/>
      <w:bookmarkEnd w:id="303"/>
      <w:bookmarkEnd w:id="319"/>
      <w:bookmarkEnd w:id="320"/>
      <w:bookmarkEnd w:id="321"/>
      <w:bookmarkEnd w:id="322"/>
      <w:bookmarkEnd w:id="323"/>
    </w:p>
    <w:p w14:paraId="3DC20426">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hanging="10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lang w:eastAsia="zh-CN"/>
        </w:rPr>
        <w:t>麦盖提县政府采购中心</w:t>
      </w:r>
    </w:p>
    <w:p w14:paraId="456C25E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i/>
          <w:color w:val="auto"/>
          <w:sz w:val="24"/>
          <w:highlight w:val="none"/>
          <w:u w:val="single"/>
        </w:rPr>
        <w:t>项目名称</w:t>
      </w:r>
      <w:r>
        <w:rPr>
          <w:rFonts w:hint="eastAsia" w:ascii="微软雅黑" w:hAnsi="微软雅黑" w:eastAsia="微软雅黑" w:cs="微软雅黑"/>
          <w:i/>
          <w:color w:val="auto"/>
          <w:sz w:val="24"/>
          <w:highlight w:val="none"/>
          <w:u w:val="single"/>
          <w:lang w:eastAsia="zh-CN"/>
        </w:rPr>
        <w:t>、</w:t>
      </w:r>
      <w:r>
        <w:rPr>
          <w:rFonts w:hint="eastAsia" w:ascii="微软雅黑" w:hAnsi="微软雅黑" w:eastAsia="微软雅黑" w:cs="微软雅黑"/>
          <w:i/>
          <w:color w:val="auto"/>
          <w:sz w:val="24"/>
          <w:highlight w:val="none"/>
          <w:u w:val="single"/>
          <w:lang w:val="en-US" w:eastAsia="zh-CN"/>
        </w:rPr>
        <w:t>标段</w:t>
      </w:r>
      <w:r>
        <w:rPr>
          <w:rFonts w:hint="eastAsia" w:ascii="微软雅黑" w:hAnsi="微软雅黑" w:eastAsia="微软雅黑" w:cs="微软雅黑"/>
          <w:color w:val="auto"/>
          <w:sz w:val="24"/>
          <w:highlight w:val="none"/>
        </w:rPr>
        <w:t>)项目的投标邀请(</w:t>
      </w:r>
      <w:r>
        <w:rPr>
          <w:rFonts w:hint="eastAsia" w:ascii="微软雅黑" w:hAnsi="微软雅黑" w:eastAsia="微软雅黑" w:cs="微软雅黑"/>
          <w:i/>
          <w:color w:val="auto"/>
          <w:sz w:val="24"/>
          <w:highlight w:val="none"/>
          <w:u w:val="single"/>
        </w:rPr>
        <w:t>招标编号</w:t>
      </w:r>
      <w:r>
        <w:rPr>
          <w:rFonts w:hint="eastAsia" w:ascii="微软雅黑" w:hAnsi="微软雅黑" w:eastAsia="微软雅黑" w:cs="微软雅黑"/>
          <w:color w:val="auto"/>
          <w:sz w:val="24"/>
          <w:highlight w:val="none"/>
        </w:rPr>
        <w:t>),签字代表(</w:t>
      </w:r>
      <w:r>
        <w:rPr>
          <w:rFonts w:hint="eastAsia" w:ascii="微软雅黑" w:hAnsi="微软雅黑" w:eastAsia="微软雅黑" w:cs="微软雅黑"/>
          <w:i/>
          <w:color w:val="auto"/>
          <w:sz w:val="24"/>
          <w:highlight w:val="none"/>
          <w:u w:val="single"/>
        </w:rPr>
        <w:t>姓名、职务</w:t>
      </w:r>
      <w:r>
        <w:rPr>
          <w:rFonts w:hint="eastAsia" w:ascii="微软雅黑" w:hAnsi="微软雅黑" w:eastAsia="微软雅黑" w:cs="微软雅黑"/>
          <w:color w:val="auto"/>
          <w:sz w:val="24"/>
          <w:highlight w:val="none"/>
        </w:rPr>
        <w:t>)经正式授权并代表</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名称、地址</w:t>
      </w:r>
      <w:r>
        <w:rPr>
          <w:rFonts w:hint="eastAsia" w:ascii="微软雅黑" w:hAnsi="微软雅黑" w:eastAsia="微软雅黑" w:cs="微软雅黑"/>
          <w:color w:val="auto"/>
          <w:sz w:val="24"/>
          <w:highlight w:val="none"/>
        </w:rPr>
        <w:t>）提交电子文档份，并以形式出具的金额为人民币元的投标保证金。</w:t>
      </w:r>
    </w:p>
    <w:p w14:paraId="2908837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据此，签字代表宣布同意如下：</w:t>
      </w:r>
    </w:p>
    <w:p w14:paraId="46D860E8">
      <w:pPr>
        <w:pStyle w:val="12"/>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left="769" w:leftChars="257" w:hanging="229"/>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（1）附投标价格表中规定的应提供</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的投标总价详见开标一览表。</w:t>
      </w:r>
    </w:p>
    <w:p w14:paraId="5E8AEDD4">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（2）本投标有效期为自投标截止之日起个日历日。</w:t>
      </w:r>
    </w:p>
    <w:p w14:paraId="4F63A512">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存在、不存在）投资关系（如果联合体的话）。</w:t>
      </w:r>
    </w:p>
    <w:p w14:paraId="34774640">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（4）已详细审查全部招标文件，包括所有补充通知（如果有的话），完全理解并同意放弃对这方面有不明、误解和质疑的权力。</w:t>
      </w:r>
    </w:p>
    <w:p w14:paraId="53833E6E">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（5）在规定的开标时间后，遵守招标文件中有关保证金的规定。</w:t>
      </w:r>
    </w:p>
    <w:p w14:paraId="1C79FA6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（6）根据</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须知第1条规定，我方不是为本项目提供整体设计、规范编制或者项目管理、监理、检测等服务的供应商，我方不是采购代理机构的附属机构。</w:t>
      </w:r>
    </w:p>
    <w:p w14:paraId="5FC8E84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（7）在领取中标通知书的同时按招标文件规定的形式，向贵方一次性支付中标服务费。</w:t>
      </w:r>
    </w:p>
    <w:p w14:paraId="622E4BBD">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（8）按照贵方可能要求，提供与其投标有关的一切数据或资料，完全理解贵方不一定接受最低价的投标或收到的任何投标。</w:t>
      </w:r>
    </w:p>
    <w:p w14:paraId="371B4B0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（9）按照招标文件的规定履行合同责任和义务。</w:t>
      </w:r>
    </w:p>
    <w:p w14:paraId="557CC8F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382" w:leftChars="182" w:firstLine="264" w:firstLineChars="11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与本投标有关的一切正式往来信函请寄：</w:t>
      </w:r>
    </w:p>
    <w:p w14:paraId="60FD1CD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p>
    <w:p w14:paraId="1E48A14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14:paraId="35076E3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14:paraId="41D84EC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电子函件：</w:t>
      </w:r>
    </w:p>
    <w:p w14:paraId="2912DF0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p>
    <w:p w14:paraId="77227885">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名称（全称）：</w:t>
      </w:r>
    </w:p>
    <w:p w14:paraId="086F608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开户银行（全称）：</w:t>
      </w:r>
    </w:p>
    <w:p w14:paraId="3800DE07">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银行帐号：</w:t>
      </w:r>
    </w:p>
    <w:p w14:paraId="48ADFE7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单位章：</w:t>
      </w:r>
    </w:p>
    <w:p w14:paraId="7828FA0B">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w:t>
      </w:r>
    </w:p>
    <w:p w14:paraId="334BA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bookmarkStart w:id="325" w:name="_Hlt520355938"/>
      <w:bookmarkEnd w:id="325"/>
      <w:bookmarkStart w:id="326" w:name="_Hlt520356243"/>
      <w:bookmarkEnd w:id="326"/>
      <w:bookmarkStart w:id="327" w:name="_Toc216582815"/>
      <w:r>
        <w:rPr>
          <w:rFonts w:hint="eastAsia" w:ascii="微软雅黑" w:hAnsi="微软雅黑" w:eastAsia="微软雅黑" w:cs="微软雅黑"/>
          <w:color w:val="auto"/>
          <w:highlight w:val="none"/>
        </w:rPr>
        <w:br w:type="page"/>
      </w:r>
      <w:bookmarkStart w:id="328" w:name="_Toc2343"/>
      <w:bookmarkStart w:id="329" w:name="_Toc1893"/>
      <w:bookmarkStart w:id="330" w:name="_Toc24572"/>
      <w:bookmarkStart w:id="331" w:name="_Toc518923118"/>
    </w:p>
    <w:p w14:paraId="4E0470A4">
      <w:pPr>
        <w:pStyle w:val="3"/>
        <w:spacing w:before="0" w:line="360" w:lineRule="auto"/>
        <w:ind w:left="1080" w:leftChars="257" w:hanging="540"/>
        <w:rPr>
          <w:rFonts w:hint="eastAsia" w:ascii="微软雅黑" w:hAnsi="微软雅黑" w:eastAsia="微软雅黑" w:cs="微软雅黑"/>
          <w:color w:val="auto"/>
          <w:highlight w:val="none"/>
        </w:rPr>
      </w:pPr>
      <w:bookmarkStart w:id="332" w:name="_Toc11050"/>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投标分项报价表</w:t>
      </w:r>
      <w:bookmarkEnd w:id="327"/>
      <w:bookmarkEnd w:id="328"/>
      <w:bookmarkEnd w:id="329"/>
      <w:bookmarkEnd w:id="330"/>
      <w:bookmarkEnd w:id="331"/>
      <w:bookmarkEnd w:id="332"/>
    </w:p>
    <w:p w14:paraId="1B925DD6">
      <w:pPr>
        <w:pStyle w:val="12"/>
        <w:spacing w:line="360" w:lineRule="auto"/>
        <w:ind w:left="-141" w:leftChars="-6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7B4C1013">
      <w:pPr>
        <w:pStyle w:val="12"/>
        <w:spacing w:line="360" w:lineRule="auto"/>
        <w:ind w:left="-141" w:leftChars="-67"/>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报价单位：人民币元</w:t>
      </w:r>
      <w:r>
        <w:rPr>
          <w:rFonts w:hint="eastAsia" w:ascii="微软雅黑" w:hAnsi="微软雅黑" w:eastAsia="微软雅黑" w:cs="微软雅黑"/>
          <w:color w:val="auto"/>
          <w:sz w:val="24"/>
          <w:highlight w:val="none"/>
          <w:lang w:val="en-US" w:eastAsia="zh-CN"/>
        </w:rPr>
        <w:t xml:space="preserve">                                   </w:t>
      </w:r>
    </w:p>
    <w:tbl>
      <w:tblPr>
        <w:tblStyle w:val="19"/>
        <w:tblpPr w:leftFromText="180" w:rightFromText="180" w:vertAnchor="text" w:horzAnchor="page" w:tblpX="1150" w:tblpY="327"/>
        <w:tblOverlap w:val="never"/>
        <w:tblW w:w="8957" w:type="dxa"/>
        <w:tblInd w:w="0" w:type="dxa"/>
        <w:tblLayout w:type="fixed"/>
        <w:tblCellMar>
          <w:top w:w="0" w:type="dxa"/>
          <w:left w:w="0" w:type="dxa"/>
          <w:bottom w:w="0" w:type="dxa"/>
          <w:right w:w="0" w:type="dxa"/>
        </w:tblCellMar>
      </w:tblPr>
      <w:tblGrid>
        <w:gridCol w:w="520"/>
        <w:gridCol w:w="775"/>
        <w:gridCol w:w="1138"/>
        <w:gridCol w:w="787"/>
        <w:gridCol w:w="787"/>
        <w:gridCol w:w="787"/>
        <w:gridCol w:w="751"/>
        <w:gridCol w:w="650"/>
        <w:gridCol w:w="650"/>
        <w:gridCol w:w="813"/>
        <w:gridCol w:w="1299"/>
      </w:tblGrid>
      <w:tr w14:paraId="7D132999">
        <w:tblPrEx>
          <w:tblCellMar>
            <w:top w:w="0" w:type="dxa"/>
            <w:left w:w="0" w:type="dxa"/>
            <w:bottom w:w="0" w:type="dxa"/>
            <w:right w:w="0"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07D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A627">
            <w:pPr>
              <w:widowControl/>
              <w:spacing w:line="36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货物</w:t>
            </w:r>
          </w:p>
          <w:p w14:paraId="3B7A8917">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6690">
            <w:pPr>
              <w:widowControl/>
              <w:spacing w:line="360" w:lineRule="auto"/>
              <w:jc w:val="center"/>
              <w:textAlignment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lang w:eastAsia="zh-CN"/>
              </w:rPr>
              <w:t>品牌</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2EA0B">
            <w:pPr>
              <w:widowControl/>
              <w:spacing w:line="36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型号</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739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w:t>
            </w:r>
          </w:p>
          <w:p w14:paraId="070B2F0B">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lang w:val="en-US" w:eastAsia="zh-CN"/>
              </w:rPr>
              <w:t>参数</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FC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数量</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CED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制造商</w:t>
            </w:r>
          </w:p>
          <w:p w14:paraId="2FE7126E">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83C30">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rPr>
              <w:t>产地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FE2">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单价</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2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总价</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C596">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备注</w:t>
            </w:r>
          </w:p>
        </w:tc>
      </w:tr>
      <w:tr w14:paraId="46FB590F">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861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1</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ED07">
            <w:pPr>
              <w:spacing w:line="360" w:lineRule="auto"/>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AC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6B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70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A476">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3DAF">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7CA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3C26">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331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7E94">
            <w:pPr>
              <w:spacing w:line="360" w:lineRule="auto"/>
              <w:jc w:val="center"/>
              <w:rPr>
                <w:rFonts w:hint="eastAsia" w:ascii="微软雅黑" w:hAnsi="微软雅黑" w:eastAsia="微软雅黑" w:cs="微软雅黑"/>
                <w:color w:val="auto"/>
                <w:sz w:val="24"/>
                <w:highlight w:val="none"/>
              </w:rPr>
            </w:pPr>
          </w:p>
        </w:tc>
      </w:tr>
      <w:tr w14:paraId="21B788FA">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A3E3">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2</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88D07">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156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E780">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EFC0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C25D">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B66C">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09CB">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777F">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69BE">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C1E9">
            <w:pPr>
              <w:spacing w:line="360" w:lineRule="auto"/>
              <w:jc w:val="center"/>
              <w:rPr>
                <w:rFonts w:hint="eastAsia" w:ascii="微软雅黑" w:hAnsi="微软雅黑" w:eastAsia="微软雅黑" w:cs="微软雅黑"/>
                <w:color w:val="auto"/>
                <w:sz w:val="24"/>
                <w:highlight w:val="none"/>
              </w:rPr>
            </w:pPr>
          </w:p>
        </w:tc>
      </w:tr>
      <w:tr w14:paraId="022AFE9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2F15">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3</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9BAC0">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A4844">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C69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5EE7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C7A8F">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ED99">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2D2C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93BA">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5FFD">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24A">
            <w:pPr>
              <w:spacing w:line="360" w:lineRule="auto"/>
              <w:jc w:val="center"/>
              <w:rPr>
                <w:rFonts w:hint="eastAsia" w:ascii="微软雅黑" w:hAnsi="微软雅黑" w:eastAsia="微软雅黑" w:cs="微软雅黑"/>
                <w:color w:val="auto"/>
                <w:sz w:val="24"/>
                <w:highlight w:val="none"/>
              </w:rPr>
            </w:pPr>
          </w:p>
        </w:tc>
      </w:tr>
      <w:tr w14:paraId="44E7825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3DC">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4</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BF49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80EC7">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006E">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51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8AFA">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BF897">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83B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B27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2B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3DC4">
            <w:pPr>
              <w:spacing w:line="360" w:lineRule="auto"/>
              <w:jc w:val="center"/>
              <w:rPr>
                <w:rFonts w:hint="eastAsia" w:ascii="微软雅黑" w:hAnsi="微软雅黑" w:eastAsia="微软雅黑" w:cs="微软雅黑"/>
                <w:color w:val="auto"/>
                <w:sz w:val="24"/>
                <w:highlight w:val="none"/>
              </w:rPr>
            </w:pPr>
          </w:p>
        </w:tc>
      </w:tr>
      <w:tr w14:paraId="440BB762">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F189">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E2DC">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4A3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9BAA">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940E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4ADC2">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B07F8">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8F6B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39B4">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6C46">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994C">
            <w:pPr>
              <w:spacing w:line="360" w:lineRule="auto"/>
              <w:jc w:val="center"/>
              <w:rPr>
                <w:rFonts w:hint="eastAsia" w:ascii="微软雅黑" w:hAnsi="微软雅黑" w:eastAsia="微软雅黑" w:cs="微软雅黑"/>
                <w:color w:val="auto"/>
                <w:sz w:val="24"/>
                <w:highlight w:val="none"/>
              </w:rPr>
            </w:pPr>
          </w:p>
        </w:tc>
      </w:tr>
      <w:tr w14:paraId="00D1446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2E2B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750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0FF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482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BD5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2270">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AA5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5FD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31C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86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B7">
            <w:pPr>
              <w:spacing w:line="360" w:lineRule="auto"/>
              <w:jc w:val="center"/>
              <w:rPr>
                <w:rFonts w:hint="eastAsia" w:ascii="微软雅黑" w:hAnsi="微软雅黑" w:eastAsia="微软雅黑" w:cs="微软雅黑"/>
                <w:color w:val="auto"/>
                <w:sz w:val="24"/>
                <w:highlight w:val="none"/>
              </w:rPr>
            </w:pPr>
          </w:p>
        </w:tc>
      </w:tr>
      <w:tr w14:paraId="2789ED5A">
        <w:tblPrEx>
          <w:tblCellMar>
            <w:top w:w="0" w:type="dxa"/>
            <w:left w:w="0" w:type="dxa"/>
            <w:bottom w:w="0" w:type="dxa"/>
            <w:right w:w="0" w:type="dxa"/>
          </w:tblCellMar>
        </w:tblPrEx>
        <w:trPr>
          <w:trHeight w:val="285" w:hRule="atLeast"/>
        </w:trPr>
        <w:tc>
          <w:tcPr>
            <w:tcW w:w="8957"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D1D8">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4"/>
                <w:highlight w:val="none"/>
              </w:rPr>
              <w:t>总价</w:t>
            </w:r>
            <w:r>
              <w:rPr>
                <w:rFonts w:hint="eastAsia" w:ascii="微软雅黑" w:hAnsi="微软雅黑" w:eastAsia="微软雅黑" w:cs="微软雅黑"/>
                <w:color w:val="auto"/>
                <w:kern w:val="0"/>
                <w:sz w:val="24"/>
                <w:highlight w:val="none"/>
                <w:lang w:eastAsia="zh-CN"/>
              </w:rPr>
              <w:t>（元）</w:t>
            </w:r>
            <w:r>
              <w:rPr>
                <w:rFonts w:hint="eastAsia" w:ascii="微软雅黑" w:hAnsi="微软雅黑" w:eastAsia="微软雅黑" w:cs="微软雅黑"/>
                <w:color w:val="auto"/>
                <w:kern w:val="0"/>
                <w:sz w:val="24"/>
                <w:highlight w:val="none"/>
              </w:rPr>
              <w:t>：</w:t>
            </w:r>
          </w:p>
        </w:tc>
      </w:tr>
    </w:tbl>
    <w:p w14:paraId="7C0C608A">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r>
        <w:rPr>
          <w:rFonts w:hint="eastAsia" w:ascii="微软雅黑" w:hAnsi="微软雅黑" w:eastAsia="微软雅黑" w:cs="微软雅黑"/>
          <w:color w:val="auto"/>
          <w:sz w:val="24"/>
          <w:highlight w:val="none"/>
          <w:u w:val="single"/>
        </w:rPr>
        <w:tab/>
      </w:r>
    </w:p>
    <w:p w14:paraId="5CE54A4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3665DADE">
      <w:pPr>
        <w:widowControl w:val="0"/>
        <w:tabs>
          <w:tab w:val="left" w:pos="5370"/>
        </w:tabs>
        <w:spacing w:line="440" w:lineRule="exact"/>
        <w:ind w:left="1080" w:leftChars="257" w:hanging="540"/>
        <w:jc w:val="both"/>
        <w:rPr>
          <w:rFonts w:hint="eastAsia" w:ascii="微软雅黑" w:hAnsi="微软雅黑" w:eastAsia="微软雅黑" w:cs="微软雅黑"/>
          <w:color w:val="auto"/>
          <w:kern w:val="2"/>
          <w:sz w:val="24"/>
          <w:szCs w:val="20"/>
          <w:highlight w:val="none"/>
          <w:u w:val="single"/>
          <w:lang w:val="en-US" w:eastAsia="zh-CN" w:bidi="ar-SA"/>
        </w:rPr>
      </w:pPr>
      <w:r>
        <w:rPr>
          <w:rFonts w:hint="eastAsia" w:ascii="微软雅黑" w:hAnsi="微软雅黑" w:eastAsia="微软雅黑" w:cs="微软雅黑"/>
          <w:color w:val="auto"/>
          <w:kern w:val="2"/>
          <w:sz w:val="24"/>
          <w:szCs w:val="20"/>
          <w:highlight w:val="none"/>
          <w:lang w:val="en-US" w:eastAsia="zh-CN" w:bidi="ar-SA"/>
        </w:rPr>
        <w:t>日期：</w:t>
      </w:r>
      <w:r>
        <w:rPr>
          <w:rFonts w:hint="eastAsia" w:ascii="微软雅黑" w:hAnsi="微软雅黑" w:eastAsia="微软雅黑" w:cs="微软雅黑"/>
          <w:color w:val="auto"/>
          <w:kern w:val="2"/>
          <w:sz w:val="24"/>
          <w:szCs w:val="20"/>
          <w:highlight w:val="none"/>
          <w:u w:val="single"/>
          <w:lang w:val="en-US" w:eastAsia="zh-CN" w:bidi="ar-SA"/>
        </w:rPr>
        <w:t>年月日</w:t>
      </w:r>
    </w:p>
    <w:p w14:paraId="723C8F6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认为需要，每种货物填写一份该表。</w:t>
      </w:r>
    </w:p>
    <w:p w14:paraId="7DF199F4">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2.如果按单价计算的结果与总价不一致,以单价为准修正总价。</w:t>
      </w:r>
    </w:p>
    <w:p w14:paraId="3B8506B5">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3.如果不提供详细分项报价将视为没有实质性响应招标文件</w:t>
      </w:r>
      <w:r>
        <w:rPr>
          <w:rFonts w:hint="eastAsia" w:ascii="微软雅黑" w:hAnsi="微软雅黑" w:eastAsia="微软雅黑" w:cs="微软雅黑"/>
          <w:b/>
          <w:bCs/>
          <w:color w:val="auto"/>
          <w:sz w:val="24"/>
          <w:highlight w:val="none"/>
        </w:rPr>
        <w:t>（名称、型号和规格、数量、制造商名称、单价、总价需全部完整填写）</w:t>
      </w:r>
      <w:r>
        <w:rPr>
          <w:rFonts w:hint="eastAsia" w:ascii="微软雅黑" w:hAnsi="微软雅黑" w:eastAsia="微软雅黑" w:cs="微软雅黑"/>
          <w:color w:val="auto"/>
          <w:sz w:val="24"/>
          <w:highlight w:val="none"/>
        </w:rPr>
        <w:t>。</w:t>
      </w:r>
    </w:p>
    <w:p w14:paraId="40C52397">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.如果开标一览表（报价表）内容与投标文件中明细表内容不一致的，以开标一览表（报价表）内容为准。</w:t>
      </w:r>
    </w:p>
    <w:p w14:paraId="155C6606">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color w:val="auto"/>
          <w:kern w:val="0"/>
          <w:sz w:val="24"/>
          <w:szCs w:val="24"/>
          <w:highlight w:val="none"/>
          <w:lang w:val="en-US" w:eastAsia="zh-CN" w:bidi="ar-SA"/>
        </w:rPr>
      </w:pPr>
      <w:bookmarkStart w:id="333" w:name="_Toc20593"/>
      <w:bookmarkStart w:id="334" w:name="_Toc4276"/>
    </w:p>
    <w:p w14:paraId="13DB1CFA">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kern w:val="0"/>
          <w:sz w:val="24"/>
          <w:szCs w:val="24"/>
          <w:highlight w:val="none"/>
          <w:lang w:val="en-US" w:eastAsia="zh-CN" w:bidi="ar-SA"/>
        </w:rPr>
        <w:t>3.</w:t>
      </w:r>
      <w:r>
        <w:rPr>
          <w:rFonts w:hint="eastAsia" w:ascii="微软雅黑" w:hAnsi="微软雅黑" w:eastAsia="微软雅黑" w:cs="微软雅黑"/>
          <w:b/>
          <w:bCs/>
          <w:color w:val="auto"/>
          <w:sz w:val="24"/>
          <w:szCs w:val="24"/>
          <w:highlight w:val="none"/>
        </w:rPr>
        <w:t>货物说明一览表</w:t>
      </w:r>
      <w:bookmarkEnd w:id="333"/>
      <w:bookmarkEnd w:id="334"/>
    </w:p>
    <w:p w14:paraId="564CB8E0">
      <w:pPr>
        <w:pStyle w:val="12"/>
        <w:spacing w:line="440" w:lineRule="exact"/>
        <w:ind w:left="1080" w:leftChars="257" w:hanging="54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项目名称:</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lang w:eastAsia="zh-CN"/>
        </w:rPr>
        <w:t>项目编号</w:t>
      </w:r>
      <w:r>
        <w:rPr>
          <w:rFonts w:hint="eastAsia" w:ascii="微软雅黑" w:hAnsi="微软雅黑" w:eastAsia="微软雅黑" w:cs="微软雅黑"/>
          <w:bCs/>
          <w:color w:val="auto"/>
          <w:sz w:val="24"/>
          <w:szCs w:val="24"/>
          <w:highlight w:val="none"/>
        </w:rPr>
        <w:t>:</w:t>
      </w:r>
    </w:p>
    <w:tbl>
      <w:tblPr>
        <w:tblStyle w:val="19"/>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711"/>
        <w:gridCol w:w="1711"/>
        <w:gridCol w:w="1013"/>
        <w:gridCol w:w="1362"/>
        <w:gridCol w:w="1712"/>
        <w:gridCol w:w="1014"/>
      </w:tblGrid>
      <w:tr w14:paraId="7CD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0" w:type="pct"/>
            <w:noWrap w:val="0"/>
            <w:vAlign w:val="top"/>
          </w:tcPr>
          <w:p w14:paraId="48C1E42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序号</w:t>
            </w:r>
          </w:p>
        </w:tc>
        <w:tc>
          <w:tcPr>
            <w:tcW w:w="897" w:type="pct"/>
            <w:noWrap w:val="0"/>
            <w:vAlign w:val="top"/>
          </w:tcPr>
          <w:p w14:paraId="2B23E867">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货物名称</w:t>
            </w:r>
          </w:p>
        </w:tc>
        <w:tc>
          <w:tcPr>
            <w:tcW w:w="897" w:type="pct"/>
            <w:noWrap w:val="0"/>
            <w:vAlign w:val="top"/>
          </w:tcPr>
          <w:p w14:paraId="66CA1B9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主要规格</w:t>
            </w:r>
          </w:p>
        </w:tc>
        <w:tc>
          <w:tcPr>
            <w:tcW w:w="531" w:type="pct"/>
            <w:noWrap w:val="0"/>
            <w:vAlign w:val="top"/>
          </w:tcPr>
          <w:p w14:paraId="51BD730D">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数量</w:t>
            </w:r>
          </w:p>
        </w:tc>
        <w:tc>
          <w:tcPr>
            <w:tcW w:w="714" w:type="pct"/>
            <w:noWrap w:val="0"/>
            <w:vAlign w:val="top"/>
          </w:tcPr>
          <w:p w14:paraId="2705B87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交货期</w:t>
            </w:r>
          </w:p>
        </w:tc>
        <w:tc>
          <w:tcPr>
            <w:tcW w:w="897" w:type="pct"/>
            <w:noWrap w:val="0"/>
            <w:vAlign w:val="top"/>
          </w:tcPr>
          <w:p w14:paraId="6A9F04E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交货地点</w:t>
            </w:r>
          </w:p>
        </w:tc>
        <w:tc>
          <w:tcPr>
            <w:tcW w:w="531" w:type="pct"/>
            <w:noWrap w:val="0"/>
            <w:vAlign w:val="top"/>
          </w:tcPr>
          <w:p w14:paraId="7DF94C54">
            <w:pPr>
              <w:pStyle w:val="12"/>
              <w:spacing w:line="440" w:lineRule="exact"/>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备注</w:t>
            </w:r>
          </w:p>
        </w:tc>
      </w:tr>
      <w:tr w14:paraId="3C9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136BA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B38DD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7E7D9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2B21E4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30D6556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2D65D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43EEEB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266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2A82702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1DDEA3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31F5E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F123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EFC152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674A4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60B74F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652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4A4DA1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30FAD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E4BD42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04F59B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60366A1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F689D9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D13956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033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409AB66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9B223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CF293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EC42B6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4F97D34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487E27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8D46E8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194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FD66E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36EF84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12ABAB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742DA2E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24BFC5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FC1076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02DF957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34E20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580B7E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575DD1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64D91C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5B99BC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415127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1C9381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9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A5852C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995B42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5613AF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72D2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70A7D5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28D606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56D01E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7C2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0" w:type="pct"/>
            <w:noWrap w:val="0"/>
            <w:vAlign w:val="top"/>
          </w:tcPr>
          <w:p w14:paraId="7829F59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30F2FA3">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61F362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4B1F08F">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29B0AA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767E7E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109297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bl>
    <w:p w14:paraId="690F6708">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3745CD76">
      <w:pPr>
        <w:pStyle w:val="12"/>
        <w:spacing w:line="440" w:lineRule="exact"/>
        <w:ind w:left="1080" w:leftChars="257" w:hanging="54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法定代表人（签/章）:</w:t>
      </w:r>
      <w:r>
        <w:rPr>
          <w:rFonts w:hint="eastAsia" w:ascii="微软雅黑" w:hAnsi="微软雅黑" w:eastAsia="微软雅黑" w:cs="微软雅黑"/>
          <w:bCs/>
          <w:color w:val="auto"/>
          <w:sz w:val="24"/>
          <w:szCs w:val="24"/>
          <w:highlight w:val="none"/>
          <w:u w:val="single"/>
        </w:rPr>
        <w:tab/>
      </w:r>
    </w:p>
    <w:p w14:paraId="0306DB26">
      <w:pPr>
        <w:pStyle w:val="12"/>
        <w:tabs>
          <w:tab w:val="left" w:pos="5370"/>
        </w:tabs>
        <w:spacing w:line="440" w:lineRule="exact"/>
        <w:ind w:left="1080" w:leftChars="257" w:hanging="540"/>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供应商(公章):</w:t>
      </w:r>
      <w:r>
        <w:rPr>
          <w:rFonts w:hint="eastAsia" w:ascii="微软雅黑" w:hAnsi="微软雅黑" w:eastAsia="微软雅黑" w:cs="微软雅黑"/>
          <w:bCs/>
          <w:color w:val="auto"/>
          <w:sz w:val="24"/>
          <w:szCs w:val="24"/>
          <w:highlight w:val="none"/>
          <w:u w:val="single"/>
        </w:rPr>
        <w:tab/>
      </w:r>
    </w:p>
    <w:p w14:paraId="43DE460F">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5D9D8E59">
      <w:pPr>
        <w:pStyle w:val="12"/>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注:各项货物</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详细技术性能应另页描述。</w:t>
      </w:r>
    </w:p>
    <w:p w14:paraId="3DDA8274">
      <w:pPr>
        <w:pStyle w:val="3"/>
        <w:spacing w:before="0" w:line="360" w:lineRule="auto"/>
        <w:jc w:val="both"/>
        <w:rPr>
          <w:rFonts w:hint="eastAsia" w:ascii="微软雅黑" w:hAnsi="微软雅黑" w:eastAsia="微软雅黑" w:cs="微软雅黑"/>
          <w:color w:val="auto"/>
          <w:sz w:val="24"/>
          <w:highlight w:val="none"/>
        </w:rPr>
      </w:pPr>
    </w:p>
    <w:p w14:paraId="12B849C9">
      <w:pPr>
        <w:pStyle w:val="3"/>
        <w:spacing w:before="0" w:line="360" w:lineRule="auto"/>
        <w:jc w:val="both"/>
        <w:rPr>
          <w:rFonts w:hint="eastAsia" w:ascii="微软雅黑" w:hAnsi="微软雅黑" w:eastAsia="微软雅黑" w:cs="微软雅黑"/>
          <w:color w:val="auto"/>
          <w:sz w:val="24"/>
          <w:highlight w:val="none"/>
        </w:rPr>
      </w:pPr>
    </w:p>
    <w:p w14:paraId="0B80482B">
      <w:pPr>
        <w:pStyle w:val="3"/>
        <w:spacing w:before="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bookmarkStart w:id="335" w:name="_Toc14331"/>
      <w:bookmarkStart w:id="336" w:name="_Toc31304"/>
      <w:bookmarkStart w:id="337" w:name="_Toc2103"/>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bookmarkEnd w:id="335"/>
      <w:bookmarkEnd w:id="336"/>
      <w:bookmarkEnd w:id="337"/>
    </w:p>
    <w:p w14:paraId="1E504045">
      <w:pPr>
        <w:pStyle w:val="12"/>
        <w:spacing w:line="360" w:lineRule="auto"/>
        <w:ind w:left="1080" w:leftChars="257" w:hanging="540"/>
        <w:rPr>
          <w:rFonts w:hint="eastAsia" w:ascii="微软雅黑" w:hAnsi="微软雅黑" w:eastAsia="微软雅黑" w:cs="微软雅黑"/>
          <w:color w:val="auto"/>
          <w:sz w:val="24"/>
          <w:highlight w:val="none"/>
        </w:rPr>
      </w:pPr>
    </w:p>
    <w:p w14:paraId="3CFB2D10">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39"/>
        <w:gridCol w:w="1845"/>
        <w:gridCol w:w="1350"/>
        <w:gridCol w:w="1305"/>
      </w:tblGrid>
      <w:tr w14:paraId="145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vAlign w:val="center"/>
          </w:tcPr>
          <w:p w14:paraId="2609BFD7">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339" w:type="dxa"/>
            <w:vAlign w:val="center"/>
          </w:tcPr>
          <w:p w14:paraId="26232F9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招标规格</w:t>
            </w:r>
          </w:p>
        </w:tc>
        <w:tc>
          <w:tcPr>
            <w:tcW w:w="1845" w:type="dxa"/>
            <w:vAlign w:val="center"/>
          </w:tcPr>
          <w:p w14:paraId="44B4A983">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投标规格</w:t>
            </w:r>
          </w:p>
        </w:tc>
        <w:tc>
          <w:tcPr>
            <w:tcW w:w="1350" w:type="dxa"/>
            <w:vAlign w:val="center"/>
          </w:tcPr>
          <w:p w14:paraId="0C70B1DF">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1305" w:type="dxa"/>
            <w:vAlign w:val="center"/>
          </w:tcPr>
          <w:p w14:paraId="2118055B">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556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534F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334F93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B5D189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2244A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478DBC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D4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3E837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6EF7713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373AF8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2B32F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9367EC">
            <w:pPr>
              <w:pStyle w:val="12"/>
              <w:spacing w:line="360" w:lineRule="auto"/>
              <w:ind w:left="1080" w:leftChars="257" w:hanging="540"/>
              <w:rPr>
                <w:rFonts w:hint="eastAsia" w:ascii="微软雅黑" w:hAnsi="微软雅黑" w:eastAsia="微软雅黑" w:cs="微软雅黑"/>
                <w:color w:val="auto"/>
                <w:sz w:val="24"/>
                <w:highlight w:val="none"/>
              </w:rPr>
            </w:pPr>
          </w:p>
        </w:tc>
      </w:tr>
      <w:tr w14:paraId="52C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3C434351">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58C994E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08AADDA3">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FFBE5A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DEAE8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7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3AF87CB">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B688E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BE40D2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96DEF7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E194768">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1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C9108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B0BD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52765E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47E6EB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77FC03">
            <w:pPr>
              <w:pStyle w:val="12"/>
              <w:spacing w:line="360" w:lineRule="auto"/>
              <w:ind w:left="1080" w:leftChars="257" w:hanging="540"/>
              <w:rPr>
                <w:rFonts w:hint="eastAsia" w:ascii="微软雅黑" w:hAnsi="微软雅黑" w:eastAsia="微软雅黑" w:cs="微软雅黑"/>
                <w:color w:val="auto"/>
                <w:sz w:val="24"/>
                <w:highlight w:val="none"/>
              </w:rPr>
            </w:pPr>
          </w:p>
        </w:tc>
      </w:tr>
      <w:tr w14:paraId="4666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4FDE0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41BDC1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F25C92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13F59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49BE229">
            <w:pPr>
              <w:pStyle w:val="12"/>
              <w:spacing w:line="360" w:lineRule="auto"/>
              <w:ind w:left="1080" w:leftChars="257" w:hanging="540"/>
              <w:rPr>
                <w:rFonts w:hint="eastAsia" w:ascii="微软雅黑" w:hAnsi="微软雅黑" w:eastAsia="微软雅黑" w:cs="微软雅黑"/>
                <w:color w:val="auto"/>
                <w:sz w:val="24"/>
                <w:highlight w:val="none"/>
              </w:rPr>
            </w:pPr>
          </w:p>
        </w:tc>
      </w:tr>
      <w:tr w14:paraId="5EB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96F574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736BDB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6A4BA81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6C744E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3A31F4EB">
            <w:pPr>
              <w:pStyle w:val="12"/>
              <w:spacing w:line="360" w:lineRule="auto"/>
              <w:ind w:left="1080" w:leftChars="257" w:hanging="540"/>
              <w:rPr>
                <w:rFonts w:hint="eastAsia" w:ascii="微软雅黑" w:hAnsi="微软雅黑" w:eastAsia="微软雅黑" w:cs="微软雅黑"/>
                <w:color w:val="auto"/>
                <w:sz w:val="24"/>
                <w:highlight w:val="none"/>
              </w:rPr>
            </w:pPr>
          </w:p>
        </w:tc>
      </w:tr>
      <w:tr w14:paraId="41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CB8215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94C4BC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10B15A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129B40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2CF53208">
            <w:pPr>
              <w:pStyle w:val="12"/>
              <w:spacing w:line="360" w:lineRule="auto"/>
              <w:ind w:left="1080" w:leftChars="257" w:hanging="540"/>
              <w:rPr>
                <w:rFonts w:hint="eastAsia" w:ascii="微软雅黑" w:hAnsi="微软雅黑" w:eastAsia="微软雅黑" w:cs="微软雅黑"/>
                <w:color w:val="auto"/>
                <w:sz w:val="24"/>
                <w:highlight w:val="none"/>
              </w:rPr>
            </w:pPr>
          </w:p>
        </w:tc>
      </w:tr>
      <w:tr w14:paraId="53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7B92A66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9DE32C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A9577F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0073DC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659369E6">
            <w:pPr>
              <w:pStyle w:val="12"/>
              <w:spacing w:line="360" w:lineRule="auto"/>
              <w:ind w:left="1080" w:leftChars="257" w:hanging="540"/>
              <w:rPr>
                <w:rFonts w:hint="eastAsia" w:ascii="微软雅黑" w:hAnsi="微软雅黑" w:eastAsia="微软雅黑" w:cs="微软雅黑"/>
                <w:color w:val="auto"/>
                <w:sz w:val="24"/>
                <w:highlight w:val="none"/>
              </w:rPr>
            </w:pPr>
          </w:p>
        </w:tc>
      </w:tr>
      <w:tr w14:paraId="158F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4E6181F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90B1BE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3A104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999259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44A0C82">
            <w:pPr>
              <w:pStyle w:val="12"/>
              <w:spacing w:line="360" w:lineRule="auto"/>
              <w:ind w:left="1080" w:leftChars="257" w:hanging="540"/>
              <w:rPr>
                <w:rFonts w:hint="eastAsia" w:ascii="微软雅黑" w:hAnsi="微软雅黑" w:eastAsia="微软雅黑" w:cs="微软雅黑"/>
                <w:color w:val="auto"/>
                <w:sz w:val="24"/>
                <w:highlight w:val="none"/>
              </w:rPr>
            </w:pPr>
          </w:p>
        </w:tc>
      </w:tr>
      <w:tr w14:paraId="59F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4642AB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2D72789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712451F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9B8CD2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7769120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F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E58EFB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25B170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29AC7B0E">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424148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094D769">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B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2027B18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CE84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36B3525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D7FE80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6F729C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3B7C7EFE">
      <w:pPr>
        <w:pStyle w:val="12"/>
        <w:spacing w:line="360" w:lineRule="auto"/>
        <w:rPr>
          <w:rFonts w:hint="eastAsia" w:ascii="微软雅黑" w:hAnsi="微软雅黑" w:eastAsia="微软雅黑" w:cs="微软雅黑"/>
          <w:color w:val="auto"/>
          <w:sz w:val="24"/>
          <w:highlight w:val="none"/>
        </w:rPr>
      </w:pPr>
    </w:p>
    <w:p w14:paraId="358C4EB8">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A5A0AA3">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D94BBE2">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p>
    <w:p w14:paraId="104D4530">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338" w:name="_Toc8079"/>
      <w:bookmarkStart w:id="339" w:name="_Toc24529"/>
      <w:bookmarkStart w:id="340" w:name="_Toc15309"/>
      <w:bookmarkStart w:id="341" w:name="_Toc216582818"/>
      <w:bookmarkStart w:id="342" w:name="_Toc518923119"/>
      <w:bookmarkStart w:id="343" w:name="_Toc5567"/>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bookmarkEnd w:id="338"/>
      <w:bookmarkEnd w:id="339"/>
      <w:bookmarkEnd w:id="340"/>
      <w:bookmarkEnd w:id="341"/>
      <w:bookmarkEnd w:id="342"/>
      <w:bookmarkEnd w:id="343"/>
    </w:p>
    <w:p w14:paraId="3B9633AD">
      <w:pPr>
        <w:pStyle w:val="12"/>
        <w:spacing w:line="360" w:lineRule="auto"/>
        <w:rPr>
          <w:rFonts w:hint="eastAsia" w:ascii="微软雅黑" w:hAnsi="微软雅黑" w:eastAsia="微软雅黑" w:cs="微软雅黑"/>
          <w:color w:val="auto"/>
          <w:sz w:val="24"/>
          <w:highlight w:val="none"/>
        </w:rPr>
      </w:pPr>
    </w:p>
    <w:p w14:paraId="01F8DCFD">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80"/>
        <w:gridCol w:w="2490"/>
        <w:gridCol w:w="1264"/>
        <w:gridCol w:w="900"/>
      </w:tblGrid>
      <w:tr w14:paraId="2AA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9C1584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80" w:type="dxa"/>
          </w:tcPr>
          <w:p w14:paraId="7564EE7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招标文件的商务条款</w:t>
            </w:r>
          </w:p>
        </w:tc>
        <w:tc>
          <w:tcPr>
            <w:tcW w:w="2490" w:type="dxa"/>
          </w:tcPr>
          <w:p w14:paraId="23957F11">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投标文件的商务条款</w:t>
            </w:r>
          </w:p>
        </w:tc>
        <w:tc>
          <w:tcPr>
            <w:tcW w:w="1264" w:type="dxa"/>
          </w:tcPr>
          <w:p w14:paraId="53C13A88">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900" w:type="dxa"/>
          </w:tcPr>
          <w:p w14:paraId="1063066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71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42F9065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294F876">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2490" w:type="dxa"/>
          </w:tcPr>
          <w:p w14:paraId="1A529D18">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1264" w:type="dxa"/>
          </w:tcPr>
          <w:p w14:paraId="781123AE">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8732F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B4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1D871E4">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623659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DD9C9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A85019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6C4529A">
            <w:pPr>
              <w:pStyle w:val="12"/>
              <w:spacing w:line="360" w:lineRule="auto"/>
              <w:ind w:left="1080" w:leftChars="257" w:hanging="540"/>
              <w:rPr>
                <w:rFonts w:hint="eastAsia" w:ascii="微软雅黑" w:hAnsi="微软雅黑" w:eastAsia="微软雅黑" w:cs="微软雅黑"/>
                <w:color w:val="auto"/>
                <w:sz w:val="24"/>
                <w:highlight w:val="none"/>
              </w:rPr>
            </w:pPr>
          </w:p>
        </w:tc>
      </w:tr>
      <w:tr w14:paraId="7B7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3DAD27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DB5EB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BAF0F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913A1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DAE1817">
            <w:pPr>
              <w:pStyle w:val="12"/>
              <w:spacing w:line="360" w:lineRule="auto"/>
              <w:ind w:left="1080" w:leftChars="257" w:hanging="540"/>
              <w:rPr>
                <w:rFonts w:hint="eastAsia" w:ascii="微软雅黑" w:hAnsi="微软雅黑" w:eastAsia="微软雅黑" w:cs="微软雅黑"/>
                <w:color w:val="auto"/>
                <w:sz w:val="24"/>
                <w:highlight w:val="none"/>
              </w:rPr>
            </w:pPr>
          </w:p>
        </w:tc>
      </w:tr>
      <w:tr w14:paraId="617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CB5CD8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4593C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4A1B8FD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1606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40152F1">
            <w:pPr>
              <w:pStyle w:val="12"/>
              <w:spacing w:line="360" w:lineRule="auto"/>
              <w:ind w:left="1080" w:leftChars="257" w:hanging="540"/>
              <w:rPr>
                <w:rFonts w:hint="eastAsia" w:ascii="微软雅黑" w:hAnsi="微软雅黑" w:eastAsia="微软雅黑" w:cs="微软雅黑"/>
                <w:color w:val="auto"/>
                <w:sz w:val="24"/>
                <w:highlight w:val="none"/>
              </w:rPr>
            </w:pPr>
          </w:p>
        </w:tc>
      </w:tr>
      <w:tr w14:paraId="1C5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A49DC6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A1E7DE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0DDD5E0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5BECA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4E2195A1">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A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F3D17F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7F831F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1ADDFD7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06BE8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2F2606D">
            <w:pPr>
              <w:pStyle w:val="12"/>
              <w:spacing w:line="360" w:lineRule="auto"/>
              <w:ind w:left="1080" w:leftChars="257" w:hanging="540"/>
              <w:rPr>
                <w:rFonts w:hint="eastAsia" w:ascii="微软雅黑" w:hAnsi="微软雅黑" w:eastAsia="微软雅黑" w:cs="微软雅黑"/>
                <w:color w:val="auto"/>
                <w:sz w:val="24"/>
                <w:highlight w:val="none"/>
              </w:rPr>
            </w:pPr>
          </w:p>
        </w:tc>
      </w:tr>
      <w:tr w14:paraId="60F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56A79F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2EEDD9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51EAF1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2C635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99085B">
            <w:pPr>
              <w:pStyle w:val="12"/>
              <w:spacing w:line="360" w:lineRule="auto"/>
              <w:ind w:left="1080" w:leftChars="257" w:hanging="540"/>
              <w:rPr>
                <w:rFonts w:hint="eastAsia" w:ascii="微软雅黑" w:hAnsi="微软雅黑" w:eastAsia="微软雅黑" w:cs="微软雅黑"/>
                <w:color w:val="auto"/>
                <w:sz w:val="24"/>
                <w:highlight w:val="none"/>
              </w:rPr>
            </w:pPr>
          </w:p>
        </w:tc>
      </w:tr>
      <w:tr w14:paraId="76D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064F1F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4F7D2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3CB92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91A9CB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4CB0D7F">
            <w:pPr>
              <w:pStyle w:val="12"/>
              <w:spacing w:line="360" w:lineRule="auto"/>
              <w:ind w:left="1080" w:leftChars="257" w:hanging="540"/>
              <w:rPr>
                <w:rFonts w:hint="eastAsia" w:ascii="微软雅黑" w:hAnsi="微软雅黑" w:eastAsia="微软雅黑" w:cs="微软雅黑"/>
                <w:color w:val="auto"/>
                <w:sz w:val="24"/>
                <w:highlight w:val="none"/>
              </w:rPr>
            </w:pPr>
          </w:p>
        </w:tc>
      </w:tr>
      <w:tr w14:paraId="2F3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A38B63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3750FD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B9128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F5CF3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73455AF">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5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5A8AFFB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7E216B3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21EBEB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E0BBD2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526437AB">
            <w:pPr>
              <w:pStyle w:val="12"/>
              <w:spacing w:line="360" w:lineRule="auto"/>
              <w:ind w:left="1080" w:leftChars="257" w:hanging="540"/>
              <w:rPr>
                <w:rFonts w:hint="eastAsia" w:ascii="微软雅黑" w:hAnsi="微软雅黑" w:eastAsia="微软雅黑" w:cs="微软雅黑"/>
                <w:color w:val="auto"/>
                <w:sz w:val="24"/>
                <w:highlight w:val="none"/>
              </w:rPr>
            </w:pPr>
          </w:p>
        </w:tc>
      </w:tr>
      <w:tr w14:paraId="2D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C2AA71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6F84F6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7288DD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48D8401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E25ED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139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67C8772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C71092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D7EB19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21706C8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ADA6C1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E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981994A">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FB748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00D9B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352639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F9A5DBA">
            <w:pPr>
              <w:pStyle w:val="12"/>
              <w:spacing w:line="360" w:lineRule="auto"/>
              <w:ind w:left="1080" w:leftChars="257" w:hanging="540"/>
              <w:rPr>
                <w:rFonts w:hint="eastAsia" w:ascii="微软雅黑" w:hAnsi="微软雅黑" w:eastAsia="微软雅黑" w:cs="微软雅黑"/>
                <w:color w:val="auto"/>
                <w:sz w:val="24"/>
                <w:highlight w:val="none"/>
              </w:rPr>
            </w:pPr>
          </w:p>
        </w:tc>
      </w:tr>
      <w:tr w14:paraId="66D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F85441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36A9F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0201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3F195A5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62E1A7A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481BCB4C">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43ACC9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C20B71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bookmarkStart w:id="344" w:name="_Hlt520274407"/>
      <w:bookmarkEnd w:id="344"/>
      <w:bookmarkStart w:id="345" w:name="_Hlt520274065"/>
      <w:bookmarkEnd w:id="345"/>
      <w:bookmarkStart w:id="346" w:name="_Hlt520274911"/>
      <w:bookmarkEnd w:id="346"/>
      <w:bookmarkStart w:id="347" w:name="_Hlt520271212"/>
      <w:bookmarkEnd w:id="347"/>
      <w:bookmarkStart w:id="348" w:name="_Hlt520343000"/>
      <w:bookmarkEnd w:id="348"/>
      <w:bookmarkStart w:id="349" w:name="_Hlt520350957"/>
      <w:bookmarkEnd w:id="349"/>
      <w:bookmarkStart w:id="350" w:name="_Hlt520273973"/>
      <w:bookmarkEnd w:id="350"/>
      <w:bookmarkStart w:id="351" w:name="_Hlt520343392"/>
      <w:bookmarkEnd w:id="351"/>
      <w:bookmarkStart w:id="352" w:name="_Hlt520274393"/>
      <w:bookmarkEnd w:id="352"/>
      <w:bookmarkStart w:id="353" w:name="_Hlt520273711"/>
      <w:bookmarkEnd w:id="353"/>
      <w:bookmarkStart w:id="354" w:name="_Hlt520350918"/>
      <w:bookmarkEnd w:id="354"/>
    </w:p>
    <w:p w14:paraId="4E47AC49">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kern w:val="2"/>
          <w:sz w:val="24"/>
          <w:szCs w:val="20"/>
          <w:highlight w:val="none"/>
          <w:lang w:val="en-US" w:eastAsia="zh-CN" w:bidi="ar-SA"/>
        </w:rPr>
      </w:pPr>
      <w:bookmarkStart w:id="355" w:name="_Toc518923120"/>
      <w:bookmarkStart w:id="356" w:name="_Toc17685"/>
      <w:bookmarkStart w:id="357" w:name="_Toc12180"/>
      <w:bookmarkStart w:id="358" w:name="_Toc29458"/>
      <w:bookmarkStart w:id="359" w:name="_Toc480"/>
      <w:r>
        <w:rPr>
          <w:rFonts w:hint="eastAsia" w:ascii="微软雅黑" w:hAnsi="微软雅黑" w:eastAsia="微软雅黑" w:cs="微软雅黑"/>
          <w:b/>
          <w:color w:val="auto"/>
          <w:kern w:val="2"/>
          <w:sz w:val="24"/>
          <w:szCs w:val="20"/>
          <w:highlight w:val="none"/>
          <w:lang w:val="en-US" w:eastAsia="zh-CN" w:bidi="ar-SA"/>
        </w:rPr>
        <w:t>6.符合《政府采购促进中小企业发展暂行办法》、《关于政府采购支持监狱企业发展有关问题的通知》和《三部门联合发布关于促进残疾人就业政府采购政策的通知》价格扣减条件的供应商须提交），注：本项目专门面向中小企业采购，根据要求单独上传《中小企业声明函（货物）》。</w:t>
      </w:r>
    </w:p>
    <w:p w14:paraId="075C4773">
      <w:pPr>
        <w:pStyle w:val="3"/>
        <w:spacing w:before="0" w:line="360" w:lineRule="auto"/>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bookmarkEnd w:id="355"/>
      <w:bookmarkEnd w:id="356"/>
      <w:bookmarkEnd w:id="357"/>
      <w:bookmarkEnd w:id="358"/>
      <w:bookmarkEnd w:id="359"/>
    </w:p>
    <w:p w14:paraId="63C617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本企业（单位）郑重声明下列事项（按照实际情况勾选或填空）：</w:t>
      </w:r>
    </w:p>
    <w:p w14:paraId="0AFFE2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1、本企业（单位）为直接</w:t>
      </w: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，提供本企业（单位）服务。</w:t>
      </w:r>
    </w:p>
    <w:p w14:paraId="1939A5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14:paraId="35078F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（2）本企业_____（请填写：是、不是）监狱企业。后附省级以上监狱管理局、戒毒管理局（含新疆生产建设兵团）出具的属于监狱企业的证明文件。</w:t>
      </w:r>
    </w:p>
    <w:p w14:paraId="0D88A6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（3）根据《关于促进残疾人就业政府采购政策的通知》（财库〔2017〕141号）。本单位_____（请填写：是、不是）残疾人福利性单位。</w:t>
      </w:r>
    </w:p>
    <w:p w14:paraId="36CF837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2、本项目提供伴随货物，由其他______（请填写：中型、小型、微型）企业、监狱企业或残疾人福利性单位制造。本条所称货物不包括使用大型企业注册商标的货物。</w:t>
      </w:r>
    </w:p>
    <w:p w14:paraId="2ADE5C2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3、本企业（单位）为联合体一方，提供本企业（单位）制造的货物，由本企业（单位）承担工程、提供服务。本企业（单位）提供协议合同金额占到共同投标协议合同总金额的比例为_____。</w:t>
      </w:r>
    </w:p>
    <w:p w14:paraId="6A6456A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本企业（单位）对上述声明的真实性负责。如有虚假，将依法承担相应责任。</w:t>
      </w:r>
    </w:p>
    <w:p w14:paraId="4320D0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3960" w:firstLineChars="16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名称（盖单位章）：</w:t>
      </w:r>
    </w:p>
    <w:p w14:paraId="281A6E6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0" w:firstLineChars="17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w:t>
      </w:r>
    </w:p>
    <w:p w14:paraId="2AD5035A">
      <w:pP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kern w:val="0"/>
          <w:sz w:val="24"/>
          <w:highlight w:val="none"/>
        </w:rPr>
        <w:br w:type="page"/>
      </w:r>
      <w:bookmarkStart w:id="360" w:name="_Toc18774"/>
      <w:bookmarkStart w:id="361" w:name="_Toc25044"/>
      <w:bookmarkStart w:id="362" w:name="_Toc14769"/>
      <w:bookmarkStart w:id="363" w:name="_Toc625"/>
      <w:bookmarkStart w:id="364" w:name="_Toc12477"/>
      <w:bookmarkStart w:id="365" w:name="_Toc518923121"/>
    </w:p>
    <w:p w14:paraId="45E83D63">
      <w:pPr>
        <w:pStyle w:val="3"/>
        <w:spacing w:before="0" w:line="360" w:lineRule="auto"/>
        <w:jc w:val="center"/>
        <w:rPr>
          <w:rFonts w:hint="eastAsia" w:ascii="微软雅黑" w:hAnsi="微软雅黑" w:eastAsia="微软雅黑" w:cs="微软雅黑"/>
          <w:bCs/>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w:t>
      </w:r>
      <w:bookmarkEnd w:id="360"/>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bCs/>
          <w:color w:val="auto"/>
          <w:sz w:val="24"/>
          <w:highlight w:val="none"/>
          <w:lang w:eastAsia="zh-CN"/>
        </w:rPr>
        <w:t>中小企业声明函（货物）</w:t>
      </w:r>
    </w:p>
    <w:p w14:paraId="349BE2C8">
      <w:pPr>
        <w:pStyle w:val="9"/>
        <w:shd w:val="clear" w:color="auto" w:fill="auto"/>
        <w:spacing w:before="55" w:line="302" w:lineRule="auto"/>
        <w:ind w:right="415" w:firstLine="64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本公司</w:t>
      </w:r>
      <w:r>
        <w:rPr>
          <w:rFonts w:hint="eastAsia" w:ascii="微软雅黑" w:hAnsi="微软雅黑" w:eastAsia="微软雅黑" w:cs="微软雅黑"/>
          <w:color w:val="auto"/>
          <w:sz w:val="24"/>
          <w:szCs w:val="24"/>
          <w:highlight w:val="none"/>
        </w:rPr>
        <w:t>（联合体</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2"/>
          <w:sz w:val="24"/>
          <w:szCs w:val="24"/>
          <w:highlight w:val="none"/>
        </w:rPr>
        <w:t>郑重声明，根据《政府采购促进中小</w:t>
      </w:r>
      <w:r>
        <w:rPr>
          <w:rFonts w:hint="eastAsia" w:ascii="微软雅黑" w:hAnsi="微软雅黑" w:eastAsia="微软雅黑" w:cs="微软雅黑"/>
          <w:color w:val="auto"/>
          <w:spacing w:val="-18"/>
          <w:sz w:val="24"/>
          <w:szCs w:val="24"/>
          <w:highlight w:val="none"/>
        </w:rPr>
        <w:t>企业发展管理办法》</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pacing w:val="5"/>
          <w:sz w:val="24"/>
          <w:szCs w:val="24"/>
          <w:highlight w:val="none"/>
        </w:rPr>
        <w:t>财库</w:t>
      </w:r>
      <w:r>
        <w:rPr>
          <w:rFonts w:hint="eastAsia" w:ascii="微软雅黑" w:hAnsi="微软雅黑" w:eastAsia="微软雅黑" w:cs="微软雅黑"/>
          <w:color w:val="auto"/>
          <w:sz w:val="24"/>
          <w:szCs w:val="24"/>
          <w:highlight w:val="none"/>
        </w:rPr>
        <w:t>﹝2020﹞46</w:t>
      </w:r>
      <w:r>
        <w:rPr>
          <w:rFonts w:hint="eastAsia" w:ascii="微软雅黑" w:hAnsi="微软雅黑" w:eastAsia="微软雅黑" w:cs="微软雅黑"/>
          <w:color w:val="auto"/>
          <w:spacing w:val="-38"/>
          <w:sz w:val="24"/>
          <w:szCs w:val="24"/>
          <w:highlight w:val="none"/>
        </w:rPr>
        <w:t>号</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的规定，本公司（联合</w:t>
      </w:r>
      <w:r>
        <w:rPr>
          <w:rFonts w:hint="eastAsia" w:ascii="微软雅黑" w:hAnsi="微软雅黑" w:eastAsia="微软雅黑" w:cs="微软雅黑"/>
          <w:color w:val="auto"/>
          <w:kern w:val="2"/>
          <w:sz w:val="24"/>
          <w:szCs w:val="24"/>
          <w:highlight w:val="none"/>
          <w:lang w:val="en-US" w:eastAsia="zh-CN" w:bidi="ar-SA"/>
        </w:rPr>
        <w:t>体）参加（单位名称）的（项目名称）采购活动，提供的货物全部由符合政策要求的中小企业制造。相关企业（含联合体中的中小企业、签订分包意向协议的中小企业）的具体情况如下：</w:t>
      </w:r>
    </w:p>
    <w:p w14:paraId="1A20DFE2">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bookmarkStart w:id="366" w:name="_Toc9438"/>
      <w:bookmarkStart w:id="367" w:name="_Toc11460"/>
      <w:bookmarkStart w:id="368" w:name="_Toc20579"/>
      <w:bookmarkStart w:id="369" w:name="_Toc17046"/>
      <w:bookmarkStart w:id="370" w:name="_Toc32033"/>
      <w:bookmarkStart w:id="371" w:name="_Toc4536"/>
      <w:bookmarkStart w:id="372" w:name="_Toc7873"/>
      <w:bookmarkStart w:id="373" w:name="_Toc23613"/>
      <w:bookmarkStart w:id="374" w:name="_Toc9995"/>
      <w:bookmarkStart w:id="375" w:name="_Toc682"/>
      <w:bookmarkStart w:id="376" w:name="_Toc8030"/>
      <w:bookmarkStart w:id="377" w:name="_Toc15690"/>
      <w:bookmarkStart w:id="378" w:name="_Toc16978"/>
      <w:bookmarkStart w:id="379" w:name="_Toc24952"/>
      <w:bookmarkStart w:id="380" w:name="_Toc22452"/>
      <w:bookmarkStart w:id="381" w:name="_Toc6862"/>
      <w:bookmarkStart w:id="382" w:name="_Toc18316"/>
      <w:r>
        <w:rPr>
          <w:rFonts w:hint="eastAsia" w:ascii="微软雅黑" w:hAnsi="微软雅黑" w:eastAsia="微软雅黑" w:cs="微软雅黑"/>
          <w:color w:val="auto"/>
          <w:kern w:val="2"/>
          <w:sz w:val="24"/>
          <w:szCs w:val="24"/>
          <w:highlight w:val="none"/>
          <w:u w:val="single"/>
          <w:lang w:val="en-US" w:eastAsia="zh-CN" w:bidi="ar-SA"/>
        </w:rPr>
        <w:t>（标的名称）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0FA30C66">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（标的名称）</w:t>
      </w:r>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3FC7B397">
      <w:pPr>
        <w:pStyle w:val="9"/>
        <w:shd w:val="clear" w:color="auto" w:fill="auto"/>
        <w:ind w:left="86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p>
    <w:p w14:paraId="082BC77B">
      <w:pPr>
        <w:pStyle w:val="9"/>
        <w:shd w:val="clear" w:color="auto" w:fill="auto"/>
        <w:spacing w:before="105" w:line="304" w:lineRule="auto"/>
        <w:ind w:right="417"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以上企业，不属于大企业的分支机构，不存在控股股东</w:t>
      </w:r>
      <w:r>
        <w:rPr>
          <w:rFonts w:hint="eastAsia" w:ascii="微软雅黑" w:hAnsi="微软雅黑" w:eastAsia="微软雅黑" w:cs="微软雅黑"/>
          <w:color w:val="auto"/>
          <w:spacing w:val="-5"/>
          <w:sz w:val="24"/>
          <w:szCs w:val="24"/>
          <w:highlight w:val="none"/>
        </w:rPr>
        <w:t>为大企业的情形，也不存在与大企业的负责人为同一人的情形。</w:t>
      </w:r>
    </w:p>
    <w:p w14:paraId="7881F8D4">
      <w:pPr>
        <w:pStyle w:val="9"/>
        <w:shd w:val="clear" w:color="auto" w:fill="auto"/>
        <w:spacing w:line="302" w:lineRule="auto"/>
        <w:ind w:right="372"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1BF67008">
      <w:pPr>
        <w:pStyle w:val="9"/>
        <w:shd w:val="clear" w:color="auto" w:fill="auto"/>
        <w:spacing w:before="35" w:line="316" w:lineRule="auto"/>
        <w:ind w:left="4060" w:right="2166"/>
        <w:rPr>
          <w:rFonts w:hint="eastAsia" w:ascii="微软雅黑" w:hAnsi="微软雅黑" w:eastAsia="微软雅黑" w:cs="微软雅黑"/>
          <w:color w:val="auto"/>
          <w:spacing w:val="-8"/>
          <w:w w:val="99"/>
          <w:sz w:val="24"/>
          <w:szCs w:val="24"/>
          <w:highlight w:val="none"/>
        </w:rPr>
      </w:pPr>
      <w:r>
        <w:rPr>
          <w:rFonts w:hint="eastAsia" w:ascii="微软雅黑" w:hAnsi="微软雅黑" w:eastAsia="微软雅黑" w:cs="微软雅黑"/>
          <w:color w:val="auto"/>
          <w:w w:val="99"/>
          <w:sz w:val="24"/>
          <w:szCs w:val="24"/>
          <w:highlight w:val="none"/>
        </w:rPr>
        <w:t>企业名称</w:t>
      </w:r>
      <w:r>
        <w:rPr>
          <w:rFonts w:hint="eastAsia" w:ascii="微软雅黑" w:hAnsi="微软雅黑" w:eastAsia="微软雅黑" w:cs="微软雅黑"/>
          <w:color w:val="auto"/>
          <w:spacing w:val="2"/>
          <w:w w:val="99"/>
          <w:sz w:val="24"/>
          <w:szCs w:val="24"/>
          <w:highlight w:val="none"/>
        </w:rPr>
        <w:t>（</w:t>
      </w:r>
      <w:r>
        <w:rPr>
          <w:rFonts w:hint="eastAsia" w:ascii="微软雅黑" w:hAnsi="微软雅黑" w:eastAsia="微软雅黑" w:cs="微软雅黑"/>
          <w:color w:val="auto"/>
          <w:w w:val="99"/>
          <w:sz w:val="24"/>
          <w:szCs w:val="24"/>
          <w:highlight w:val="none"/>
        </w:rPr>
        <w:t>盖章</w:t>
      </w:r>
      <w:r>
        <w:rPr>
          <w:rFonts w:hint="eastAsia" w:ascii="微软雅黑" w:hAnsi="微软雅黑" w:eastAsia="微软雅黑" w:cs="微软雅黑"/>
          <w:color w:val="auto"/>
          <w:spacing w:val="-167"/>
          <w:w w:val="99"/>
          <w:sz w:val="24"/>
          <w:szCs w:val="24"/>
          <w:highlight w:val="none"/>
        </w:rPr>
        <w:t>）</w:t>
      </w:r>
      <w:r>
        <w:rPr>
          <w:rFonts w:hint="eastAsia" w:ascii="微软雅黑" w:hAnsi="微软雅黑" w:eastAsia="微软雅黑" w:cs="微软雅黑"/>
          <w:color w:val="auto"/>
          <w:spacing w:val="-8"/>
          <w:w w:val="99"/>
          <w:sz w:val="24"/>
          <w:szCs w:val="24"/>
          <w:highlight w:val="none"/>
        </w:rPr>
        <w:t>：</w:t>
      </w:r>
    </w:p>
    <w:p w14:paraId="3DDA4B84">
      <w:pPr>
        <w:pStyle w:val="9"/>
        <w:shd w:val="clear" w:color="auto" w:fill="auto"/>
        <w:spacing w:before="35" w:line="316" w:lineRule="auto"/>
        <w:ind w:left="4060" w:right="2166"/>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pacing w:val="24"/>
          <w:sz w:val="24"/>
          <w:szCs w:val="24"/>
          <w:highlight w:val="none"/>
        </w:rPr>
        <w:t>日期：</w:t>
      </w:r>
    </w:p>
    <w:bookmarkEnd w:id="361"/>
    <w:bookmarkEnd w:id="362"/>
    <w:bookmarkEnd w:id="363"/>
    <w:bookmarkEnd w:id="364"/>
    <w:bookmarkEnd w:id="365"/>
    <w:p w14:paraId="1F922F8A">
      <w:pPr>
        <w:widowControl/>
        <w:spacing w:line="330" w:lineRule="atLeast"/>
        <w:ind w:firstLine="480" w:firstLineChars="20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szCs w:val="24"/>
          <w:highlight w:val="none"/>
          <w:lang w:val="en-US" w:eastAsia="zh-CN"/>
        </w:rPr>
        <w:t>注：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D3821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6105A7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5CD60A3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7.</w:t>
      </w:r>
      <w:r>
        <w:rPr>
          <w:rFonts w:hint="eastAsia" w:ascii="微软雅黑" w:hAnsi="微软雅黑" w:eastAsia="微软雅黑" w:cs="微软雅黑"/>
          <w:b/>
          <w:bCs/>
          <w:color w:val="auto"/>
          <w:kern w:val="0"/>
          <w:sz w:val="24"/>
          <w:highlight w:val="none"/>
        </w:rPr>
        <w:t>供应商关联单位的说明</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lang w:val="en-US" w:eastAsia="zh-CN"/>
        </w:rPr>
        <w:t>格式自拟</w:t>
      </w:r>
      <w:r>
        <w:rPr>
          <w:rFonts w:hint="eastAsia" w:ascii="微软雅黑" w:hAnsi="微软雅黑" w:eastAsia="微软雅黑" w:cs="微软雅黑"/>
          <w:b/>
          <w:bCs w:val="0"/>
          <w:color w:val="auto"/>
          <w:sz w:val="24"/>
          <w:szCs w:val="24"/>
          <w:highlight w:val="none"/>
        </w:rPr>
        <w:t>）</w:t>
      </w:r>
    </w:p>
    <w:p w14:paraId="5F334D72">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说明：供应商应当如实披露与本单位存在下列关联关系的单位名称：</w:t>
      </w:r>
    </w:p>
    <w:p w14:paraId="49A7E381">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（1）与供应商单位负责人为同一人的其他单位；</w:t>
      </w:r>
    </w:p>
    <w:p w14:paraId="22EFDCF3">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（2）与供应商存在直接控股、管理关系的其他单位。</w:t>
      </w:r>
    </w:p>
    <w:p w14:paraId="4F895671">
      <w:pPr>
        <w:pStyle w:val="1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微软雅黑" w:hAnsi="微软雅黑" w:eastAsia="微软雅黑" w:cs="微软雅黑"/>
          <w:b/>
          <w:bCs/>
          <w:color w:val="auto"/>
          <w:kern w:val="0"/>
          <w:sz w:val="24"/>
          <w:highlight w:val="none"/>
          <w:lang w:val="en-US" w:eastAsia="zh-CN"/>
        </w:rPr>
      </w:pPr>
    </w:p>
    <w:p w14:paraId="3863336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8.</w:t>
      </w:r>
      <w:r>
        <w:rPr>
          <w:rFonts w:hint="eastAsia" w:ascii="微软雅黑" w:hAnsi="微软雅黑" w:eastAsia="微软雅黑" w:cs="微软雅黑"/>
          <w:b/>
          <w:bCs/>
          <w:color w:val="auto"/>
          <w:kern w:val="0"/>
          <w:sz w:val="24"/>
          <w:highlight w:val="none"/>
        </w:rPr>
        <w:t>其他有利于供应商的文件或证明材料</w:t>
      </w:r>
    </w:p>
    <w:p w14:paraId="2340F7DA">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color w:val="auto"/>
          <w:kern w:val="0"/>
          <w:sz w:val="24"/>
          <w:highlight w:val="none"/>
        </w:rPr>
        <w:t>注：参照“第六章评分方法和标准”，提供有利于供应商的其他证明文件或实施方案、服务方案等资料。</w:t>
      </w:r>
    </w:p>
    <w:p w14:paraId="1323B99C">
      <w:pPr>
        <w:pStyle w:val="12"/>
        <w:spacing w:line="360" w:lineRule="auto"/>
        <w:ind w:left="1080" w:leftChars="257" w:hanging="54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br w:type="page"/>
      </w:r>
    </w:p>
    <w:p w14:paraId="4FB19578">
      <w:pPr>
        <w:spacing w:line="360" w:lineRule="auto"/>
        <w:jc w:val="center"/>
        <w:rPr>
          <w:rFonts w:hint="eastAsia" w:ascii="微软雅黑" w:hAnsi="微软雅黑" w:eastAsia="微软雅黑" w:cs="微软雅黑"/>
          <w:b/>
          <w:bCs/>
          <w:color w:val="auto"/>
          <w:kern w:val="0"/>
          <w:sz w:val="24"/>
          <w:szCs w:val="20"/>
          <w:highlight w:val="none"/>
        </w:rPr>
      </w:pPr>
      <w:r>
        <w:rPr>
          <w:rFonts w:hint="eastAsia" w:ascii="微软雅黑" w:hAnsi="微软雅黑" w:eastAsia="微软雅黑" w:cs="微软雅黑"/>
          <w:b/>
          <w:bCs/>
          <w:color w:val="auto"/>
          <w:kern w:val="0"/>
          <w:sz w:val="24"/>
          <w:szCs w:val="20"/>
          <w:highlight w:val="none"/>
          <w:lang w:val="en-US" w:eastAsia="zh-CN"/>
        </w:rPr>
        <w:t>9.</w:t>
      </w:r>
      <w:r>
        <w:rPr>
          <w:rFonts w:hint="eastAsia" w:ascii="微软雅黑" w:hAnsi="微软雅黑" w:eastAsia="微软雅黑" w:cs="微软雅黑"/>
          <w:b/>
          <w:bCs/>
          <w:color w:val="auto"/>
          <w:kern w:val="0"/>
          <w:sz w:val="24"/>
          <w:szCs w:val="20"/>
          <w:highlight w:val="none"/>
        </w:rPr>
        <w:t>对本项目响应文件（响应文件）中资料真实性的承诺</w:t>
      </w:r>
    </w:p>
    <w:p w14:paraId="7E9CD4E3">
      <w:pPr>
        <w:spacing w:line="360" w:lineRule="auto"/>
        <w:ind w:left="1080" w:leftChars="257" w:hanging="540"/>
        <w:jc w:val="left"/>
        <w:rPr>
          <w:rFonts w:hint="eastAsia" w:ascii="微软雅黑" w:hAnsi="微软雅黑" w:eastAsia="微软雅黑" w:cs="微软雅黑"/>
          <w:b/>
          <w:bCs/>
          <w:color w:val="auto"/>
          <w:kern w:val="0"/>
          <w:sz w:val="24"/>
          <w:szCs w:val="20"/>
          <w:highlight w:val="none"/>
        </w:rPr>
      </w:pPr>
    </w:p>
    <w:p w14:paraId="527DFE48">
      <w:pPr>
        <w:spacing w:line="360" w:lineRule="auto"/>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项目名称）评标委员会：</w:t>
      </w:r>
    </w:p>
    <w:p w14:paraId="4555124F">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根据《中华人民共和国政府采购法》、《中华人民共和国政府采购法实施条例》等有关法律、法规的规定和</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项目名称）招标文件的要求，我公司在参加</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项目名称）响应文件（响应文件）中所提供资料真实性作如下承诺：</w:t>
      </w:r>
    </w:p>
    <w:p w14:paraId="5549CC74">
      <w:pPr>
        <w:spacing w:line="360" w:lineRule="auto"/>
        <w:ind w:firstLine="480" w:firstLineChars="200"/>
        <w:jc w:val="left"/>
        <w:rPr>
          <w:rFonts w:hint="eastAsia" w:ascii="微软雅黑" w:hAnsi="微软雅黑" w:eastAsia="微软雅黑" w:cs="微软雅黑"/>
          <w:color w:val="auto"/>
          <w:kern w:val="0"/>
          <w:sz w:val="24"/>
          <w:szCs w:val="20"/>
          <w:highlight w:val="none"/>
          <w:lang w:eastAsia="zh-CN"/>
        </w:rPr>
      </w:pPr>
      <w:r>
        <w:rPr>
          <w:rFonts w:hint="eastAsia" w:ascii="微软雅黑" w:hAnsi="微软雅黑" w:eastAsia="微软雅黑" w:cs="微软雅黑"/>
          <w:color w:val="auto"/>
          <w:kern w:val="0"/>
          <w:sz w:val="24"/>
          <w:szCs w:val="20"/>
          <w:highlight w:val="none"/>
        </w:rPr>
        <w:t>我公司将严格按招标文件要求，在编制本响应文件（响应文件）时，对响应文件中所提供的资料全部真实和正确，并对提供的所有资料（资格、其他材料等）的真实性负责！</w:t>
      </w:r>
    </w:p>
    <w:p w14:paraId="7CE9031B">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对提供的全部资料中有存在不真实（伪造或租借等虚假资料）情形，将无条件接受任何处罚，自行承担由此引起的一切责任！</w:t>
      </w:r>
    </w:p>
    <w:p w14:paraId="119473CB">
      <w:pPr>
        <w:spacing w:line="360" w:lineRule="auto"/>
        <w:ind w:firstLine="480" w:firstLineChars="200"/>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特此承诺</w:t>
      </w:r>
    </w:p>
    <w:p w14:paraId="72455DFA">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1CECC1FF">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供应商（盖单位章）：</w:t>
      </w:r>
    </w:p>
    <w:p w14:paraId="158D9F12">
      <w:pPr>
        <w:widowControl/>
        <w:spacing w:line="560" w:lineRule="exact"/>
        <w:ind w:firstLine="480" w:firstLineChars="200"/>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法定代表人或委托代理人（签字或签章）</w:t>
      </w:r>
      <w:r>
        <w:rPr>
          <w:rFonts w:hint="eastAsia" w:ascii="微软雅黑" w:hAnsi="微软雅黑" w:eastAsia="微软雅黑" w:cs="微软雅黑"/>
          <w:color w:val="auto"/>
          <w:kern w:val="0"/>
          <w:sz w:val="24"/>
          <w:highlight w:val="none"/>
          <w:u w:val="single"/>
        </w:rPr>
        <w:t>：</w:t>
      </w:r>
    </w:p>
    <w:p w14:paraId="095DF45E">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日期：年月日</w:t>
      </w:r>
    </w:p>
    <w:p w14:paraId="1CA463C8">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6260A4D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4005B0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29D26672">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00A5E11">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BCFC440">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1EC515E">
      <w:pPr>
        <w:pStyle w:val="12"/>
        <w:spacing w:line="360" w:lineRule="auto"/>
        <w:jc w:val="both"/>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color w:val="auto"/>
          <w:sz w:val="24"/>
          <w:highlight w:val="none"/>
        </w:rPr>
        <w:br w:type="page"/>
      </w:r>
    </w:p>
    <w:p w14:paraId="4234998E">
      <w:pPr>
        <w:widowControl/>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52"/>
          <w:szCs w:val="52"/>
          <w:highlight w:val="none"/>
          <w:lang w:val="en-US" w:eastAsia="zh-CN"/>
        </w:rPr>
        <w:t>麦盖提县2024-2025年度中小学（幼儿园）食堂米面油等大宗食材采购配送项目四标段三次</w:t>
      </w:r>
    </w:p>
    <w:p w14:paraId="1339C8F6">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eastAsia="zh-CN"/>
        </w:rPr>
        <w:t>分散公开招标</w:t>
      </w:r>
      <w:r>
        <w:rPr>
          <w:rFonts w:hint="eastAsia" w:ascii="微软雅黑" w:hAnsi="微软雅黑" w:eastAsia="微软雅黑" w:cs="微软雅黑"/>
          <w:b/>
          <w:color w:val="auto"/>
          <w:sz w:val="52"/>
          <w:szCs w:val="52"/>
          <w:highlight w:val="none"/>
        </w:rPr>
        <w:t>文件</w:t>
      </w:r>
    </w:p>
    <w:p w14:paraId="40233131">
      <w:pPr>
        <w:spacing w:line="360" w:lineRule="auto"/>
        <w:ind w:left="1080" w:leftChars="257" w:hanging="540"/>
        <w:jc w:val="center"/>
        <w:rPr>
          <w:rFonts w:hint="eastAsia" w:ascii="微软雅黑" w:hAnsi="微软雅黑" w:eastAsia="微软雅黑" w:cs="微软雅黑"/>
          <w:bCs/>
          <w:color w:val="auto"/>
          <w:sz w:val="52"/>
          <w:szCs w:val="52"/>
          <w:highlight w:val="none"/>
        </w:rPr>
      </w:pPr>
    </w:p>
    <w:p w14:paraId="1D6B249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KSMGTX（FSGK）2024-02-03号</w:t>
      </w:r>
      <w:r>
        <w:rPr>
          <w:rFonts w:hint="eastAsia" w:ascii="微软雅黑" w:hAnsi="微软雅黑" w:eastAsia="微软雅黑" w:cs="微软雅黑"/>
          <w:bCs/>
          <w:color w:val="auto"/>
          <w:sz w:val="32"/>
          <w:szCs w:val="32"/>
          <w:highlight w:val="none"/>
        </w:rPr>
        <w:t>）</w:t>
      </w:r>
    </w:p>
    <w:p w14:paraId="27236F82">
      <w:pPr>
        <w:spacing w:line="360" w:lineRule="auto"/>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第二册</w:t>
      </w:r>
    </w:p>
    <w:p w14:paraId="0DDF859D">
      <w:pPr>
        <w:spacing w:line="360" w:lineRule="auto"/>
        <w:ind w:left="1080" w:leftChars="257" w:hanging="540"/>
        <w:jc w:val="center"/>
        <w:rPr>
          <w:rFonts w:hint="eastAsia" w:ascii="微软雅黑" w:hAnsi="微软雅黑" w:eastAsia="微软雅黑" w:cs="微软雅黑"/>
          <w:b/>
          <w:color w:val="auto"/>
          <w:sz w:val="22"/>
          <w:szCs w:val="11"/>
          <w:highlight w:val="none"/>
        </w:rPr>
      </w:pPr>
    </w:p>
    <w:p w14:paraId="06CCC626">
      <w:pPr>
        <w:spacing w:line="360" w:lineRule="auto"/>
        <w:ind w:firstLine="2520" w:firstLineChars="900"/>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04541F33">
      <w:pPr>
        <w:spacing w:line="360" w:lineRule="auto"/>
        <w:ind w:firstLine="2520" w:firstLineChars="900"/>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买买提艾力</w:t>
      </w:r>
    </w:p>
    <w:p w14:paraId="29A5231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val="en-US" w:eastAsia="zh-CN"/>
        </w:rPr>
        <w:t>15886896333</w:t>
      </w:r>
    </w:p>
    <w:p w14:paraId="055D0BCF">
      <w:pPr>
        <w:pStyle w:val="23"/>
        <w:jc w:val="center"/>
        <w:rPr>
          <w:rFonts w:hint="eastAsia" w:ascii="微软雅黑" w:hAnsi="微软雅黑" w:eastAsia="微软雅黑" w:cs="微软雅黑"/>
          <w:color w:val="auto"/>
          <w:sz w:val="28"/>
          <w:szCs w:val="28"/>
          <w:highlight w:val="none"/>
          <w:u w:val="single"/>
        </w:rPr>
      </w:pPr>
    </w:p>
    <w:p w14:paraId="03B48730">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5A9D98A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6ECCDBD7">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EF64835">
      <w:pPr>
        <w:bidi w:val="0"/>
        <w:ind w:firstLine="2520" w:firstLineChars="9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2025年02月07日</w:t>
      </w:r>
      <w:r>
        <w:rPr>
          <w:rFonts w:hint="eastAsia" w:ascii="微软雅黑" w:hAnsi="微软雅黑" w:eastAsia="微软雅黑" w:cs="微软雅黑"/>
          <w:color w:val="auto"/>
          <w:highlight w:val="none"/>
        </w:rPr>
        <w:br w:type="page"/>
      </w:r>
      <w:bookmarkStart w:id="383" w:name="_Toc218935350"/>
      <w:bookmarkStart w:id="384" w:name="_Toc216582822"/>
      <w:bookmarkStart w:id="385" w:name="_Toc518923124"/>
      <w:bookmarkStart w:id="386" w:name="_Toc507399902"/>
      <w:bookmarkStart w:id="387" w:name="_Toc219175634"/>
      <w:bookmarkStart w:id="388" w:name="_Toc9913"/>
    </w:p>
    <w:p w14:paraId="6989DB74">
      <w:pPr>
        <w:pStyle w:val="2"/>
        <w:tabs>
          <w:tab w:val="left" w:pos="0"/>
        </w:tabs>
        <w:spacing w:before="0" w:after="0" w:line="360" w:lineRule="auto"/>
        <w:rPr>
          <w:rFonts w:hint="eastAsia" w:ascii="微软雅黑" w:hAnsi="微软雅黑" w:eastAsia="微软雅黑" w:cs="微软雅黑"/>
          <w:color w:val="auto"/>
          <w:highlight w:val="none"/>
        </w:rPr>
      </w:pPr>
      <w:bookmarkStart w:id="389" w:name="_Toc14452"/>
      <w:bookmarkStart w:id="390" w:name="_Toc30701"/>
      <w:bookmarkStart w:id="391" w:name="_Toc638"/>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章投标邀请</w:t>
      </w:r>
      <w:bookmarkEnd w:id="383"/>
      <w:bookmarkEnd w:id="384"/>
      <w:bookmarkEnd w:id="385"/>
      <w:bookmarkEnd w:id="386"/>
      <w:bookmarkEnd w:id="387"/>
      <w:bookmarkEnd w:id="388"/>
      <w:bookmarkEnd w:id="389"/>
      <w:bookmarkEnd w:id="390"/>
      <w:bookmarkEnd w:id="391"/>
    </w:p>
    <w:p w14:paraId="00FD0066">
      <w:pPr>
        <w:pStyle w:val="9"/>
        <w:jc w:val="center"/>
        <w:rPr>
          <w:rFonts w:hint="eastAsia" w:ascii="微软雅黑" w:hAnsi="微软雅黑" w:eastAsia="微软雅黑" w:cs="微软雅黑"/>
          <w:b/>
          <w:color w:val="auto"/>
          <w:kern w:val="2"/>
          <w:sz w:val="28"/>
          <w:szCs w:val="28"/>
          <w:highlight w:val="none"/>
          <w:lang w:val="en-US" w:eastAsia="zh-CN" w:bidi="ar-SA"/>
        </w:rPr>
      </w:pPr>
      <w:bookmarkStart w:id="392" w:name="_Toc512937850"/>
      <w:r>
        <w:rPr>
          <w:rFonts w:hint="eastAsia" w:ascii="微软雅黑" w:hAnsi="微软雅黑" w:eastAsia="微软雅黑" w:cs="微软雅黑"/>
          <w:b/>
          <w:color w:val="auto"/>
          <w:kern w:val="2"/>
          <w:sz w:val="28"/>
          <w:szCs w:val="28"/>
          <w:highlight w:val="none"/>
          <w:lang w:val="en-US" w:eastAsia="zh-CN" w:bidi="ar-SA"/>
        </w:rPr>
        <w:t>麦盖提县2024-2025年度中小学（幼儿园）食堂米面油等大宗食材采购配送项目四标段三次分散公开招标公告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麦盖提县政府采购中心受麦盖提县教育局的委托，对麦盖提县2024-2025年度中小学（幼儿园）食堂米面油等大宗食材采购配送项目四标段三次进</w:t>
      </w:r>
      <w:r>
        <w:rPr>
          <w:rFonts w:hint="eastAsia" w:ascii="微软雅黑" w:hAnsi="微软雅黑" w:eastAsia="微软雅黑" w:cs="微软雅黑"/>
          <w:color w:val="auto"/>
          <w:kern w:val="0"/>
          <w:sz w:val="24"/>
          <w:szCs w:val="24"/>
          <w:highlight w:val="none"/>
        </w:rPr>
        <w:t>行</w:t>
      </w:r>
      <w:r>
        <w:rPr>
          <w:rFonts w:hint="eastAsia" w:ascii="微软雅黑" w:hAnsi="微软雅黑" w:eastAsia="微软雅黑" w:cs="微软雅黑"/>
          <w:color w:val="auto"/>
          <w:kern w:val="0"/>
          <w:sz w:val="24"/>
          <w:szCs w:val="24"/>
          <w:highlight w:val="none"/>
          <w:lang w:val="en-US" w:eastAsia="zh-CN" w:bidi="ar-SA"/>
        </w:rPr>
        <w:t>分散</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1.项目编号：KSMGTX（FSGK）2024-02-03号</w:t>
      </w:r>
    </w:p>
    <w:p w14:paraId="6BF12E34">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麦盖提县2024-2025年度中小学（幼儿园）食堂米面油等大宗食材采购配送项目四标段三次</w:t>
      </w:r>
    </w:p>
    <w:p w14:paraId="0E905FDC">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w:t>
      </w:r>
      <w:r>
        <w:rPr>
          <w:rFonts w:hint="eastAsia" w:ascii="微软雅黑" w:hAnsi="微软雅黑" w:eastAsia="微软雅黑" w:cs="微软雅黑"/>
          <w:color w:val="auto"/>
          <w:highlight w:val="none"/>
          <w:lang w:eastAsia="zh-CN"/>
        </w:rPr>
        <w:t>分散</w:t>
      </w:r>
      <w:r>
        <w:rPr>
          <w:rFonts w:hint="eastAsia" w:ascii="微软雅黑" w:hAnsi="微软雅黑" w:eastAsia="微软雅黑" w:cs="微软雅黑"/>
          <w:color w:val="auto"/>
          <w:highlight w:val="none"/>
        </w:rPr>
        <w:t>公开招标</w:t>
      </w:r>
    </w:p>
    <w:p w14:paraId="18C64BE6">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178万元（壹佰柒拾捌万元整）</w:t>
      </w:r>
    </w:p>
    <w:p w14:paraId="5777EE2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第四标段-（幼儿园伙食补助、家庭经济困难学生寄宿生生活补助）大米、面粉、玉米面粉、菜籽油等一批（详见招标文件）</w:t>
      </w:r>
    </w:p>
    <w:p w14:paraId="1C17D37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393" w:name="_Toc28359013"/>
      <w:bookmarkStart w:id="394" w:name="_Toc35393630"/>
      <w:bookmarkStart w:id="395" w:name="_Toc28359090"/>
      <w:bookmarkStart w:id="396" w:name="_Toc35393799"/>
      <w:r>
        <w:rPr>
          <w:rFonts w:hint="eastAsia" w:ascii="微软雅黑" w:hAnsi="微软雅黑" w:eastAsia="微软雅黑" w:cs="微软雅黑"/>
          <w:b/>
          <w:bCs/>
          <w:color w:val="auto"/>
          <w:highlight w:val="none"/>
        </w:rPr>
        <w:t>二、投标供应商资格要求：</w:t>
      </w:r>
      <w:bookmarkEnd w:id="393"/>
      <w:bookmarkEnd w:id="394"/>
      <w:bookmarkEnd w:id="395"/>
      <w:bookmarkEnd w:id="396"/>
    </w:p>
    <w:p w14:paraId="3FE4D2F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）具有良好的商业信誉和健全的财务会计制度（投标人提供会计事务所出具的2022年度或2023年度财务审计报告，新成立公司可提供有效内银行出具的资信证明</w:t>
      </w:r>
      <w:r>
        <w:rPr>
          <w:rFonts w:hint="eastAsia" w:ascii="微软雅黑" w:hAnsi="微软雅黑" w:eastAsia="微软雅黑" w:cs="微软雅黑"/>
          <w:color w:val="auto"/>
          <w:highlight w:val="none"/>
          <w:lang w:eastAsia="zh-CN"/>
        </w:rPr>
        <w:t>，注册成立未满一年新公司可提供近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个月内任意一个月的银行资信证明</w:t>
      </w:r>
      <w:r>
        <w:rPr>
          <w:rFonts w:hint="eastAsia" w:ascii="微软雅黑" w:hAnsi="微软雅黑" w:eastAsia="微软雅黑" w:cs="微软雅黑"/>
          <w:color w:val="auto"/>
          <w:highlight w:val="none"/>
        </w:rPr>
        <w:t>）；</w:t>
      </w:r>
    </w:p>
    <w:p w14:paraId="3EDBD69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lang w:eastAsia="zh-CN"/>
        </w:rPr>
        <w:t>个月内（任意一个月）的法人及被授权人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 xml:space="preserve">近 </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lang w:eastAsia="zh-CN"/>
        </w:rPr>
        <w:t>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02月07日-2025年02月07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60F8F11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lang w:val="en-US" w:eastAsia="zh-CN"/>
        </w:rPr>
        <w:t>（9）本项目专门面向中小企业采购，根据要求单独上传《中小企业声明函（货物）》；</w:t>
      </w:r>
    </w:p>
    <w:p w14:paraId="51F2BD0A">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（10）投标企业须提供有效期内的《食品生产许可证》或《食品经营许可证》或《食品流通许可证》；</w:t>
      </w:r>
    </w:p>
    <w:p w14:paraId="4A83935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397" w:name="_Toc35393794"/>
      <w:bookmarkStart w:id="398" w:name="_Toc35393625"/>
      <w:bookmarkStart w:id="399" w:name="_Toc23672"/>
      <w:bookmarkStart w:id="400" w:name="_Toc30400"/>
      <w:bookmarkStart w:id="401" w:name="_Toc28359007"/>
      <w:bookmarkStart w:id="402" w:name="_Toc28359084"/>
      <w:bookmarkStart w:id="403" w:name="_Toc20863"/>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（2）获取采购文件时间：2025年02月07日至2025年02月13日。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5</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02月27日10</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02月27日10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397"/>
      <w:bookmarkEnd w:id="398"/>
      <w:bookmarkEnd w:id="399"/>
      <w:bookmarkEnd w:id="400"/>
      <w:bookmarkEnd w:id="401"/>
      <w:bookmarkEnd w:id="402"/>
      <w:bookmarkEnd w:id="403"/>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404"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405" w:name="_Toc35393636"/>
      <w:bookmarkStart w:id="406" w:name="_Toc28359018"/>
      <w:bookmarkStart w:id="407" w:name="_Toc28359095"/>
      <w:bookmarkStart w:id="408" w:name="_Toc35393805"/>
      <w:r>
        <w:rPr>
          <w:rFonts w:hint="eastAsia" w:ascii="微软雅黑" w:hAnsi="微软雅黑" w:eastAsia="微软雅黑" w:cs="微软雅黑"/>
          <w:b/>
          <w:bCs/>
          <w:color w:val="auto"/>
          <w:kern w:val="0"/>
          <w:sz w:val="24"/>
          <w:highlight w:val="none"/>
        </w:rPr>
        <w:t>凡对本次采购提出询问，请按以下方式联系。</w:t>
      </w:r>
      <w:bookmarkEnd w:id="404"/>
      <w:bookmarkEnd w:id="405"/>
      <w:bookmarkEnd w:id="406"/>
      <w:bookmarkEnd w:id="407"/>
      <w:bookmarkEnd w:id="408"/>
    </w:p>
    <w:tbl>
      <w:tblPr>
        <w:tblStyle w:val="20"/>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val="en-US"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买买提艾力</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15886896333</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7"/>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4"/>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五</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二</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七</w:t>
      </w:r>
      <w:r>
        <w:rPr>
          <w:rFonts w:hint="eastAsia" w:ascii="微软雅黑" w:hAnsi="微软雅黑" w:eastAsia="微软雅黑" w:cs="微软雅黑"/>
          <w:b/>
          <w:color w:val="auto"/>
          <w:sz w:val="24"/>
          <w:szCs w:val="24"/>
          <w:highlight w:val="none"/>
        </w:rPr>
        <w:t>日</w:t>
      </w:r>
    </w:p>
    <w:p w14:paraId="249D5173"/>
    <w:p w14:paraId="39DE5FBB">
      <w:pPr>
        <w:spacing w:line="400" w:lineRule="exact"/>
        <w:jc w:val="center"/>
        <w:rPr>
          <w:color w:val="auto"/>
          <w:highlight w:val="none"/>
        </w:rPr>
      </w:pPr>
    </w:p>
    <w:p w14:paraId="4E9BBC8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30EB1D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8"/>
          <w:szCs w:val="28"/>
          <w:highlight w:val="none"/>
        </w:rPr>
      </w:pPr>
    </w:p>
    <w:p w14:paraId="660D728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al="0"/>
          <w:color w:val="auto"/>
          <w:kern w:val="2"/>
          <w:sz w:val="28"/>
          <w:szCs w:val="28"/>
          <w:highlight w:val="none"/>
          <w:lang w:val="en-US" w:eastAsia="zh-CN" w:bidi="ar-SA"/>
        </w:rPr>
      </w:pPr>
      <w:bookmarkStart w:id="409" w:name="_Toc518923125"/>
      <w:bookmarkStart w:id="410" w:name="_Toc15034"/>
      <w:bookmarkStart w:id="411" w:name="_Toc507399903"/>
      <w:bookmarkStart w:id="412" w:name="_Toc28647"/>
      <w:bookmarkStart w:id="413" w:name="_Toc216582823"/>
      <w:bookmarkStart w:id="414" w:name="_Toc7955"/>
      <w:bookmarkStart w:id="415" w:name="_Toc20271"/>
      <w:r>
        <w:rPr>
          <w:rFonts w:hint="eastAsia" w:ascii="微软雅黑" w:hAnsi="微软雅黑" w:eastAsia="微软雅黑" w:cs="微软雅黑"/>
          <w:b/>
          <w:bCs w:val="0"/>
          <w:color w:val="auto"/>
          <w:kern w:val="2"/>
          <w:sz w:val="28"/>
          <w:szCs w:val="28"/>
          <w:highlight w:val="none"/>
          <w:lang w:val="en-US" w:eastAsia="zh-CN" w:bidi="ar-SA"/>
        </w:rPr>
        <w:t>第4章供应商须知资料表</w:t>
      </w:r>
      <w:bookmarkEnd w:id="392"/>
      <w:bookmarkEnd w:id="409"/>
      <w:bookmarkEnd w:id="410"/>
      <w:bookmarkEnd w:id="411"/>
      <w:bookmarkEnd w:id="412"/>
      <w:bookmarkEnd w:id="413"/>
      <w:bookmarkEnd w:id="414"/>
      <w:bookmarkEnd w:id="415"/>
    </w:p>
    <w:p w14:paraId="16AA3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本表是本招标项目的具体资料，是对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须知的具体补充和修改，如有矛盾，应</w:t>
      </w:r>
      <w:r>
        <w:rPr>
          <w:rFonts w:hint="eastAsia" w:ascii="微软雅黑" w:hAnsi="微软雅黑" w:eastAsia="微软雅黑" w:cs="微软雅黑"/>
          <w:b/>
          <w:color w:val="auto"/>
          <w:sz w:val="24"/>
          <w:highlight w:val="none"/>
        </w:rPr>
        <w:t>以本资料表为准</w:t>
      </w:r>
      <w:r>
        <w:rPr>
          <w:rFonts w:hint="eastAsia" w:ascii="微软雅黑" w:hAnsi="微软雅黑" w:eastAsia="微软雅黑" w:cs="微软雅黑"/>
          <w:color w:val="auto"/>
          <w:sz w:val="24"/>
          <w:highlight w:val="none"/>
        </w:rPr>
        <w:t>。</w:t>
      </w:r>
    </w:p>
    <w:tbl>
      <w:tblPr>
        <w:tblStyle w:val="1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7815"/>
      </w:tblGrid>
      <w:tr w14:paraId="7CA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45BA7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CCA1C6">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815" w:type="dxa"/>
            <w:tcBorders>
              <w:top w:val="single" w:color="auto" w:sz="4" w:space="0"/>
              <w:left w:val="single" w:color="auto" w:sz="4" w:space="0"/>
              <w:bottom w:val="single" w:color="auto" w:sz="4" w:space="0"/>
              <w:right w:val="single" w:color="auto" w:sz="4" w:space="0"/>
            </w:tcBorders>
            <w:vAlign w:val="center"/>
          </w:tcPr>
          <w:p w14:paraId="0A9DCFB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r>
      <w:tr w14:paraId="3B7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18040F">
            <w:pPr>
              <w:pStyle w:val="2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0E62C06">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238FB5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sz w:val="24"/>
                <w:highlight w:val="none"/>
                <w:lang w:val="en-US" w:eastAsia="zh-CN"/>
              </w:rPr>
              <w:t>麦盖提县2024-2025年度中小学（幼儿园）食堂米面油等大宗食材采购配送项目四标段三次</w:t>
            </w:r>
          </w:p>
        </w:tc>
      </w:tr>
      <w:tr w14:paraId="60D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1F3E47E">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920" w:type="dxa"/>
            <w:tcBorders>
              <w:top w:val="single" w:color="auto" w:sz="4" w:space="0"/>
              <w:left w:val="single" w:color="auto" w:sz="4" w:space="0"/>
              <w:bottom w:val="single" w:color="auto" w:sz="4" w:space="0"/>
              <w:right w:val="single" w:color="auto" w:sz="4" w:space="0"/>
            </w:tcBorders>
            <w:vAlign w:val="center"/>
          </w:tcPr>
          <w:p w14:paraId="0968399D">
            <w:pPr>
              <w:pStyle w:val="29"/>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815" w:type="dxa"/>
            <w:tcBorders>
              <w:top w:val="single" w:color="auto" w:sz="4" w:space="0"/>
              <w:left w:val="single" w:color="auto" w:sz="4" w:space="0"/>
              <w:bottom w:val="single" w:color="auto" w:sz="4" w:space="0"/>
              <w:right w:val="single" w:color="auto" w:sz="4" w:space="0"/>
            </w:tcBorders>
            <w:vAlign w:val="center"/>
          </w:tcPr>
          <w:p w14:paraId="7F307A29">
            <w:pPr>
              <w:pStyle w:val="29"/>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KSMGTX（FSGK）2024-02-03号</w:t>
            </w:r>
          </w:p>
        </w:tc>
      </w:tr>
      <w:tr w14:paraId="0CC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96CF55">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920" w:type="dxa"/>
            <w:tcBorders>
              <w:top w:val="single" w:color="auto" w:sz="4" w:space="0"/>
              <w:left w:val="single" w:color="auto" w:sz="4" w:space="0"/>
              <w:bottom w:val="single" w:color="auto" w:sz="4" w:space="0"/>
              <w:right w:val="single" w:color="auto" w:sz="4" w:space="0"/>
            </w:tcBorders>
            <w:vAlign w:val="center"/>
          </w:tcPr>
          <w:p w14:paraId="7BB2715E">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815" w:type="dxa"/>
            <w:tcBorders>
              <w:top w:val="single" w:color="auto" w:sz="4" w:space="0"/>
              <w:left w:val="single" w:color="auto" w:sz="4" w:space="0"/>
              <w:bottom w:val="single" w:color="auto" w:sz="4" w:space="0"/>
              <w:right w:val="single" w:color="auto" w:sz="4" w:space="0"/>
            </w:tcBorders>
            <w:vAlign w:val="center"/>
          </w:tcPr>
          <w:p w14:paraId="7A786EE3">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分散公开招标</w:t>
            </w:r>
          </w:p>
        </w:tc>
      </w:tr>
      <w:tr w14:paraId="5A4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20B86A2">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14:paraId="5AB6FB4E">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759F5E6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color w:val="auto"/>
                <w:sz w:val="24"/>
                <w:highlight w:val="none"/>
                <w:lang w:eastAsia="zh-CN"/>
              </w:rPr>
              <w:t>麦盖提县教育局</w:t>
            </w:r>
          </w:p>
          <w:p w14:paraId="015BDFB3">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地址：麦盖提县刀郎西路5号</w:t>
            </w:r>
          </w:p>
          <w:p w14:paraId="28B60A26">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color w:val="auto"/>
                <w:sz w:val="24"/>
                <w:highlight w:val="none"/>
                <w:lang w:eastAsia="zh-CN"/>
              </w:rPr>
              <w:t>买买提艾力</w:t>
            </w:r>
          </w:p>
          <w:p w14:paraId="5E853C5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color w:val="auto"/>
                <w:sz w:val="24"/>
                <w:highlight w:val="none"/>
                <w:lang w:val="en-US" w:eastAsia="zh-CN"/>
              </w:rPr>
              <w:t>15886896333</w:t>
            </w:r>
          </w:p>
        </w:tc>
      </w:tr>
      <w:tr w14:paraId="037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3F8E220">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920" w:type="dxa"/>
            <w:tcBorders>
              <w:top w:val="single" w:color="auto" w:sz="4" w:space="0"/>
              <w:left w:val="single" w:color="auto" w:sz="4" w:space="0"/>
              <w:bottom w:val="single" w:color="auto" w:sz="4" w:space="0"/>
              <w:right w:val="single" w:color="auto" w:sz="4" w:space="0"/>
            </w:tcBorders>
            <w:vAlign w:val="center"/>
          </w:tcPr>
          <w:p w14:paraId="3FA914B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0111C5C4">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815" w:type="dxa"/>
            <w:tcBorders>
              <w:top w:val="single" w:color="auto" w:sz="4" w:space="0"/>
              <w:left w:val="single" w:color="auto" w:sz="4" w:space="0"/>
              <w:bottom w:val="single" w:color="auto" w:sz="4" w:space="0"/>
              <w:right w:val="single" w:color="auto" w:sz="4" w:space="0"/>
            </w:tcBorders>
            <w:vAlign w:val="center"/>
          </w:tcPr>
          <w:p w14:paraId="525A81D2">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名称：麦盖提县政府采购中心</w:t>
            </w:r>
          </w:p>
          <w:p w14:paraId="565D458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地址：麦盖提县政务服务中心三楼政府采购中心</w:t>
            </w:r>
          </w:p>
          <w:p w14:paraId="5915267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联系人：帕提古·艾力</w:t>
            </w:r>
          </w:p>
          <w:p w14:paraId="74DA602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D6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2605E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70409A04">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6826F9B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bidi="ar-SA"/>
              </w:rPr>
            </w:pPr>
            <w:r>
              <w:rPr>
                <w:rFonts w:hint="eastAsia" w:ascii="微软雅黑" w:hAnsi="微软雅黑" w:eastAsia="微软雅黑" w:cs="微软雅黑"/>
                <w:color w:val="000000"/>
                <w:highlight w:val="none"/>
                <w:lang w:val="en-US" w:eastAsia="zh-CN"/>
              </w:rPr>
              <w:t>第四标段-（幼儿园伙食补助、家庭经济困难学生寄宿生生活补助）大米、面粉、玉米面粉、菜籽油等一批</w:t>
            </w:r>
          </w:p>
        </w:tc>
      </w:tr>
      <w:tr w14:paraId="572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3A847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618EB0F2">
            <w:pPr>
              <w:adjustRightInd w:val="0"/>
              <w:snapToGrid w:val="0"/>
              <w:spacing w:line="320" w:lineRule="exact"/>
              <w:ind w:firstLine="480" w:firstLineChars="200"/>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项目预算</w:t>
            </w:r>
          </w:p>
        </w:tc>
        <w:tc>
          <w:tcPr>
            <w:tcW w:w="7815" w:type="dxa"/>
            <w:tcBorders>
              <w:top w:val="single" w:color="auto" w:sz="4" w:space="0"/>
              <w:left w:val="single" w:color="auto" w:sz="4" w:space="0"/>
              <w:bottom w:val="single" w:color="auto" w:sz="4" w:space="0"/>
              <w:right w:val="single" w:color="auto" w:sz="4" w:space="0"/>
            </w:tcBorders>
            <w:vAlign w:val="center"/>
          </w:tcPr>
          <w:p w14:paraId="6F66146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bidi="ar-SA"/>
              </w:rPr>
              <w:t>178万元</w:t>
            </w:r>
          </w:p>
        </w:tc>
      </w:tr>
      <w:tr w14:paraId="502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0391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vAlign w:val="center"/>
          </w:tcPr>
          <w:p w14:paraId="4C645F31">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12CB00F">
            <w:pPr>
              <w:pStyle w:val="11"/>
              <w:ind w:left="0" w:lef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专项资金</w:t>
            </w:r>
          </w:p>
        </w:tc>
      </w:tr>
      <w:tr w14:paraId="04C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8D0F4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w:t>
            </w:r>
          </w:p>
        </w:tc>
        <w:tc>
          <w:tcPr>
            <w:tcW w:w="1920" w:type="dxa"/>
            <w:tcBorders>
              <w:top w:val="single" w:color="auto" w:sz="4" w:space="0"/>
              <w:left w:val="single" w:color="auto" w:sz="4" w:space="0"/>
              <w:bottom w:val="single" w:color="auto" w:sz="4" w:space="0"/>
              <w:right w:val="single" w:color="auto" w:sz="4" w:space="0"/>
            </w:tcBorders>
            <w:vAlign w:val="center"/>
          </w:tcPr>
          <w:p w14:paraId="5453ECB2">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74157D43">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（一）甲乙双方应在月底完成当月供货有关情况核对工作。</w:t>
            </w:r>
          </w:p>
          <w:p w14:paraId="31887E3A">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（二）乙方应于次月第二周，向甲方提供上月货款的正规发票，甲方经核实无异议后，在收到发票10个工作日内将上月采购款支付给乙方。</w:t>
            </w:r>
          </w:p>
          <w:p w14:paraId="500696EA">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（三）付款方式：公对公银行转账。</w:t>
            </w:r>
          </w:p>
          <w:p w14:paraId="2A3340EB">
            <w:pPr>
              <w:adjustRightInd w:val="0"/>
              <w:snapToGrid w:val="0"/>
              <w:spacing w:line="400" w:lineRule="exact"/>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（四）合同期满或中途解除合同，双方应当按照本合同的约定进行对账和结算，确定未结算的价款，甲方在确定价款后15个工作日内，一次性结算乙方的所有款项。</w:t>
            </w:r>
          </w:p>
        </w:tc>
      </w:tr>
      <w:tr w14:paraId="18B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6D16FA">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w:t>
            </w:r>
          </w:p>
        </w:tc>
        <w:tc>
          <w:tcPr>
            <w:tcW w:w="1920" w:type="dxa"/>
            <w:tcBorders>
              <w:top w:val="single" w:color="auto" w:sz="4" w:space="0"/>
              <w:left w:val="single" w:color="auto" w:sz="4" w:space="0"/>
              <w:bottom w:val="single" w:color="auto" w:sz="4" w:space="0"/>
              <w:right w:val="single" w:color="auto" w:sz="4" w:space="0"/>
            </w:tcBorders>
            <w:vAlign w:val="center"/>
          </w:tcPr>
          <w:p w14:paraId="7A02841D">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项目实施地点</w:t>
            </w:r>
          </w:p>
        </w:tc>
        <w:tc>
          <w:tcPr>
            <w:tcW w:w="7815" w:type="dxa"/>
            <w:tcBorders>
              <w:top w:val="single" w:color="auto" w:sz="4" w:space="0"/>
              <w:left w:val="single" w:color="auto" w:sz="4" w:space="0"/>
              <w:bottom w:val="single" w:color="auto" w:sz="4" w:space="0"/>
              <w:right w:val="single" w:color="auto" w:sz="4" w:space="0"/>
            </w:tcBorders>
            <w:vAlign w:val="center"/>
          </w:tcPr>
          <w:p w14:paraId="51C8AD0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各中标供应商须将大宗食材配送至全县寄宿制中小学（含乡级寄宿制小学）及幼儿园（包括村级学校及幼儿园）指定的地点。</w:t>
            </w:r>
          </w:p>
        </w:tc>
      </w:tr>
      <w:tr w14:paraId="355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9A6C2F">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920" w:type="dxa"/>
            <w:tcBorders>
              <w:top w:val="single" w:color="auto" w:sz="4" w:space="0"/>
              <w:left w:val="single" w:color="auto" w:sz="4" w:space="0"/>
              <w:bottom w:val="single" w:color="auto" w:sz="4" w:space="0"/>
              <w:right w:val="single" w:color="auto" w:sz="4" w:space="0"/>
            </w:tcBorders>
            <w:vAlign w:val="center"/>
          </w:tcPr>
          <w:p w14:paraId="711515AC">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供货时间</w:t>
            </w:r>
          </w:p>
        </w:tc>
        <w:tc>
          <w:tcPr>
            <w:tcW w:w="7815" w:type="dxa"/>
            <w:tcBorders>
              <w:top w:val="single" w:color="auto" w:sz="4" w:space="0"/>
              <w:left w:val="single" w:color="auto" w:sz="4" w:space="0"/>
              <w:bottom w:val="single" w:color="auto" w:sz="4" w:space="0"/>
              <w:right w:val="single" w:color="auto" w:sz="4" w:space="0"/>
            </w:tcBorders>
            <w:vAlign w:val="center"/>
          </w:tcPr>
          <w:p w14:paraId="32679A35">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合同签订日至2025年3月31日</w:t>
            </w:r>
          </w:p>
        </w:tc>
      </w:tr>
      <w:tr w14:paraId="7891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E487B8">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920" w:type="dxa"/>
            <w:tcBorders>
              <w:top w:val="single" w:color="auto" w:sz="4" w:space="0"/>
              <w:left w:val="single" w:color="auto" w:sz="4" w:space="0"/>
              <w:bottom w:val="single" w:color="auto" w:sz="4" w:space="0"/>
              <w:right w:val="single" w:color="auto" w:sz="4" w:space="0"/>
            </w:tcBorders>
            <w:vAlign w:val="center"/>
          </w:tcPr>
          <w:p w14:paraId="13BB2B16">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质保期</w:t>
            </w:r>
          </w:p>
        </w:tc>
        <w:tc>
          <w:tcPr>
            <w:tcW w:w="7815" w:type="dxa"/>
            <w:tcBorders>
              <w:top w:val="single" w:color="auto" w:sz="4" w:space="0"/>
              <w:left w:val="single" w:color="auto" w:sz="4" w:space="0"/>
              <w:bottom w:val="single" w:color="auto" w:sz="4" w:space="0"/>
              <w:right w:val="single" w:color="auto" w:sz="4" w:space="0"/>
            </w:tcBorders>
            <w:vAlign w:val="center"/>
          </w:tcPr>
          <w:p w14:paraId="6D2BAA41">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6个月，自项目验收合格之日算起</w:t>
            </w:r>
          </w:p>
        </w:tc>
      </w:tr>
      <w:tr w14:paraId="2EE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53353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920" w:type="dxa"/>
            <w:tcBorders>
              <w:top w:val="single" w:color="auto" w:sz="4" w:space="0"/>
              <w:left w:val="single" w:color="auto" w:sz="4" w:space="0"/>
              <w:bottom w:val="single" w:color="auto" w:sz="4" w:space="0"/>
              <w:right w:val="single" w:color="auto" w:sz="4" w:space="0"/>
            </w:tcBorders>
            <w:vAlign w:val="center"/>
          </w:tcPr>
          <w:p w14:paraId="6D175610">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评标办法</w:t>
            </w:r>
          </w:p>
        </w:tc>
        <w:tc>
          <w:tcPr>
            <w:tcW w:w="7815" w:type="dxa"/>
            <w:tcBorders>
              <w:top w:val="single" w:color="auto" w:sz="4" w:space="0"/>
              <w:left w:val="single" w:color="auto" w:sz="4" w:space="0"/>
              <w:bottom w:val="single" w:color="auto" w:sz="4" w:space="0"/>
              <w:right w:val="single" w:color="auto" w:sz="4" w:space="0"/>
            </w:tcBorders>
            <w:vAlign w:val="center"/>
          </w:tcPr>
          <w:p w14:paraId="0306F523">
            <w:pPr>
              <w:adjustRightInd w:val="0"/>
              <w:snapToGrid w:val="0"/>
              <w:spacing w:line="320" w:lineRule="exac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综合评分法</w:t>
            </w:r>
            <w:r>
              <w:rPr>
                <w:rFonts w:hint="eastAsia" w:ascii="微软雅黑" w:hAnsi="微软雅黑" w:eastAsia="微软雅黑" w:cs="微软雅黑"/>
                <w:color w:val="auto"/>
                <w:kern w:val="2"/>
                <w:sz w:val="24"/>
                <w:szCs w:val="24"/>
                <w:highlight w:val="none"/>
                <w:lang w:val="en-US" w:eastAsia="zh-CN" w:bidi="ar-SA"/>
              </w:rPr>
              <w:t>，是指响应文件满足招标文件全部实质性要求，且按照评审因素的量化指标评审得分最高的供应商为成交候选人的评标方法。</w:t>
            </w:r>
          </w:p>
        </w:tc>
      </w:tr>
      <w:tr w14:paraId="5DE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C2FB42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14</w:t>
            </w:r>
          </w:p>
        </w:tc>
        <w:tc>
          <w:tcPr>
            <w:tcW w:w="1920" w:type="dxa"/>
            <w:tcBorders>
              <w:top w:val="single" w:color="auto" w:sz="4" w:space="0"/>
              <w:left w:val="single" w:color="auto" w:sz="4" w:space="0"/>
              <w:bottom w:val="single" w:color="auto" w:sz="4" w:space="0"/>
              <w:right w:val="single" w:color="auto" w:sz="4" w:space="0"/>
            </w:tcBorders>
            <w:vAlign w:val="center"/>
          </w:tcPr>
          <w:p w14:paraId="310ADCA1">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评标委员会的组建</w:t>
            </w:r>
          </w:p>
        </w:tc>
        <w:tc>
          <w:tcPr>
            <w:tcW w:w="7815" w:type="dxa"/>
            <w:tcBorders>
              <w:top w:val="single" w:color="auto" w:sz="4" w:space="0"/>
              <w:left w:val="single" w:color="auto" w:sz="4" w:space="0"/>
              <w:bottom w:val="single" w:color="auto" w:sz="4" w:space="0"/>
              <w:right w:val="single" w:color="auto" w:sz="4" w:space="0"/>
            </w:tcBorders>
            <w:vAlign w:val="center"/>
          </w:tcPr>
          <w:p w14:paraId="76C61268">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评标委员会构成：在政采云平台上抽取5名专家，负责评标工作。其中采购单位代表0人，专家5人；评标专家确定方式：随机抽取。</w:t>
            </w:r>
          </w:p>
        </w:tc>
      </w:tr>
      <w:tr w14:paraId="7AB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E54581">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w:t>
            </w:r>
          </w:p>
        </w:tc>
        <w:tc>
          <w:tcPr>
            <w:tcW w:w="1920" w:type="dxa"/>
            <w:tcBorders>
              <w:top w:val="single" w:color="auto" w:sz="4" w:space="0"/>
              <w:left w:val="single" w:color="auto" w:sz="4" w:space="0"/>
              <w:bottom w:val="single" w:color="auto" w:sz="4" w:space="0"/>
              <w:right w:val="single" w:color="auto" w:sz="4" w:space="0"/>
            </w:tcBorders>
            <w:vAlign w:val="center"/>
          </w:tcPr>
          <w:p w14:paraId="266AC98E">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63B253F9">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sz w:val="24"/>
                <w:szCs w:val="24"/>
                <w:highlight w:val="none"/>
                <w:u w:val="single"/>
                <w:lang w:val="en-US" w:eastAsia="zh-CN"/>
              </w:rPr>
              <w:t>是</w:t>
            </w:r>
            <w:r>
              <w:rPr>
                <w:rFonts w:hint="eastAsia" w:ascii="微软雅黑" w:hAnsi="微软雅黑" w:eastAsia="微软雅黑" w:cs="微软雅黑"/>
                <w:b w:val="0"/>
                <w:bCs/>
                <w:i/>
                <w:color w:val="auto"/>
                <w:sz w:val="24"/>
                <w:szCs w:val="24"/>
                <w:highlight w:val="none"/>
              </w:rPr>
              <w:t>（是、否）</w:t>
            </w: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93BF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E956A5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815" w:type="dxa"/>
            <w:tcBorders>
              <w:top w:val="single" w:color="auto" w:sz="4" w:space="0"/>
              <w:left w:val="single" w:color="auto" w:sz="4" w:space="0"/>
              <w:bottom w:val="single" w:color="auto" w:sz="4" w:space="0"/>
              <w:right w:val="single" w:color="auto" w:sz="4" w:space="0"/>
            </w:tcBorders>
            <w:vAlign w:val="center"/>
          </w:tcPr>
          <w:p w14:paraId="062384B0">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1家</w:t>
            </w:r>
          </w:p>
        </w:tc>
      </w:tr>
      <w:tr w14:paraId="7DE1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3C49DA1">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920" w:type="dxa"/>
            <w:tcBorders>
              <w:top w:val="single" w:color="auto" w:sz="4" w:space="0"/>
              <w:left w:val="single" w:color="auto" w:sz="4" w:space="0"/>
              <w:bottom w:val="single" w:color="auto" w:sz="4" w:space="0"/>
              <w:right w:val="single" w:color="auto" w:sz="4" w:space="0"/>
            </w:tcBorders>
            <w:vAlign w:val="center"/>
          </w:tcPr>
          <w:p w14:paraId="4B5B7398">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是否采购进口产品</w:t>
            </w:r>
          </w:p>
        </w:tc>
        <w:tc>
          <w:tcPr>
            <w:tcW w:w="7815" w:type="dxa"/>
            <w:tcBorders>
              <w:top w:val="single" w:color="auto" w:sz="4" w:space="0"/>
              <w:left w:val="single" w:color="auto" w:sz="4" w:space="0"/>
              <w:bottom w:val="single" w:color="auto" w:sz="4" w:space="0"/>
              <w:right w:val="single" w:color="auto" w:sz="4" w:space="0"/>
            </w:tcBorders>
            <w:vAlign w:val="center"/>
          </w:tcPr>
          <w:p w14:paraId="35C6E083">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不允许</w:t>
            </w: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允许</w:t>
            </w:r>
          </w:p>
        </w:tc>
      </w:tr>
      <w:tr w14:paraId="538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8CFEA45">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w:t>
            </w:r>
          </w:p>
        </w:tc>
        <w:tc>
          <w:tcPr>
            <w:tcW w:w="1920" w:type="dxa"/>
            <w:tcBorders>
              <w:top w:val="single" w:color="auto" w:sz="4" w:space="0"/>
              <w:left w:val="single" w:color="auto" w:sz="4" w:space="0"/>
              <w:bottom w:val="single" w:color="auto" w:sz="4" w:space="0"/>
              <w:right w:val="single" w:color="auto" w:sz="4" w:space="0"/>
            </w:tcBorders>
            <w:vAlign w:val="center"/>
          </w:tcPr>
          <w:p w14:paraId="44600184">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最高投标限价</w:t>
            </w:r>
          </w:p>
        </w:tc>
        <w:tc>
          <w:tcPr>
            <w:tcW w:w="7815" w:type="dxa"/>
            <w:tcBorders>
              <w:top w:val="single" w:color="auto" w:sz="4" w:space="0"/>
              <w:left w:val="single" w:color="auto" w:sz="4" w:space="0"/>
              <w:bottom w:val="single" w:color="auto" w:sz="4" w:space="0"/>
              <w:right w:val="single" w:color="auto" w:sz="4" w:space="0"/>
            </w:tcBorders>
            <w:vAlign w:val="center"/>
          </w:tcPr>
          <w:p w14:paraId="4ADC1C1D">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无</w:t>
            </w: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有，最高投标限价：</w:t>
            </w:r>
            <w:r>
              <w:rPr>
                <w:rFonts w:hint="eastAsia" w:ascii="微软雅黑" w:hAnsi="微软雅黑" w:eastAsia="微软雅黑" w:cs="微软雅黑"/>
                <w:b/>
                <w:bCs/>
                <w:color w:val="auto"/>
                <w:kern w:val="0"/>
                <w:sz w:val="24"/>
                <w:szCs w:val="24"/>
                <w:highlight w:val="none"/>
                <w:u w:val="single"/>
                <w:lang w:val="en-US" w:eastAsia="zh-CN"/>
              </w:rPr>
              <w:t>本项目预算价</w:t>
            </w:r>
          </w:p>
        </w:tc>
      </w:tr>
      <w:tr w14:paraId="225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0F704C">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920" w:type="dxa"/>
            <w:tcBorders>
              <w:top w:val="single" w:color="auto" w:sz="4" w:space="0"/>
              <w:left w:val="single" w:color="auto" w:sz="4" w:space="0"/>
              <w:bottom w:val="single" w:color="auto" w:sz="4" w:space="0"/>
              <w:right w:val="single" w:color="auto" w:sz="4" w:space="0"/>
            </w:tcBorders>
            <w:vAlign w:val="center"/>
          </w:tcPr>
          <w:p w14:paraId="6483B7C9">
            <w:pPr>
              <w:adjustRightInd w:val="0"/>
              <w:snapToGrid w:val="0"/>
              <w:spacing w:line="400" w:lineRule="exact"/>
              <w:ind w:firstLine="240" w:firstLineChars="1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核心产品</w:t>
            </w:r>
          </w:p>
        </w:tc>
        <w:tc>
          <w:tcPr>
            <w:tcW w:w="7815" w:type="dxa"/>
            <w:tcBorders>
              <w:top w:val="single" w:color="auto" w:sz="4" w:space="0"/>
              <w:left w:val="single" w:color="auto" w:sz="4" w:space="0"/>
              <w:bottom w:val="single" w:color="auto" w:sz="4" w:space="0"/>
              <w:right w:val="single" w:color="auto" w:sz="4" w:space="0"/>
            </w:tcBorders>
            <w:vAlign w:val="center"/>
          </w:tcPr>
          <w:p w14:paraId="172FE97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u w:val="single"/>
                <w:lang w:val="en-US" w:eastAsia="zh-CN"/>
              </w:rPr>
              <w:t>大米、面粉、玉米面粉、菜籽油</w:t>
            </w:r>
          </w:p>
        </w:tc>
      </w:tr>
      <w:tr w14:paraId="50A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461B0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920" w:type="dxa"/>
            <w:tcBorders>
              <w:top w:val="single" w:color="auto" w:sz="4" w:space="0"/>
              <w:left w:val="single" w:color="auto" w:sz="4" w:space="0"/>
              <w:bottom w:val="single" w:color="auto" w:sz="4" w:space="0"/>
              <w:right w:val="single" w:color="auto" w:sz="4" w:space="0"/>
            </w:tcBorders>
            <w:vAlign w:val="center"/>
          </w:tcPr>
          <w:p w14:paraId="7FD6AD21">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w:t>
            </w:r>
          </w:p>
          <w:p w14:paraId="5231891A">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递交</w:t>
            </w:r>
          </w:p>
        </w:tc>
        <w:tc>
          <w:tcPr>
            <w:tcW w:w="7815" w:type="dxa"/>
            <w:tcBorders>
              <w:top w:val="single" w:color="auto" w:sz="4" w:space="0"/>
              <w:left w:val="single" w:color="auto" w:sz="4" w:space="0"/>
              <w:bottom w:val="single" w:color="auto" w:sz="4" w:space="0"/>
              <w:right w:val="single" w:color="auto" w:sz="4" w:space="0"/>
            </w:tcBorders>
            <w:vAlign w:val="center"/>
          </w:tcPr>
          <w:p w14:paraId="692955D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提交电子投标文件的截止时间：</w:t>
            </w:r>
            <w:r>
              <w:rPr>
                <w:rFonts w:hint="eastAsia" w:ascii="微软雅黑" w:hAnsi="微软雅黑" w:eastAsia="微软雅黑" w:cs="微软雅黑"/>
                <w:b/>
                <w:bCs/>
                <w:color w:val="auto"/>
                <w:kern w:val="2"/>
                <w:sz w:val="24"/>
                <w:szCs w:val="24"/>
                <w:highlight w:val="none"/>
                <w:u w:val="single"/>
                <w:lang w:val="en-US" w:eastAsia="zh-CN" w:bidi="ar-SA"/>
              </w:rPr>
              <w:t>2025年02月27日10：00（北京时间）</w:t>
            </w:r>
          </w:p>
          <w:p w14:paraId="08DC6999">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投标地点（网址）：政采云平台https://www.zcygov.cn在线投标</w:t>
            </w:r>
          </w:p>
          <w:p w14:paraId="735B54B1">
            <w:pPr>
              <w:pStyle w:val="18"/>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（电子投标文件提交至政采云平台在线投标，投标人无需到达评标现场）</w:t>
            </w:r>
          </w:p>
        </w:tc>
      </w:tr>
      <w:tr w14:paraId="233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E6D66F">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BABCD3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投标文件份数</w:t>
            </w:r>
          </w:p>
        </w:tc>
        <w:tc>
          <w:tcPr>
            <w:tcW w:w="7815" w:type="dxa"/>
            <w:tcBorders>
              <w:top w:val="single" w:color="auto" w:sz="4" w:space="0"/>
              <w:left w:val="single" w:color="auto" w:sz="4" w:space="0"/>
              <w:bottom w:val="single" w:color="auto" w:sz="4" w:space="0"/>
              <w:right w:val="single" w:color="auto" w:sz="4" w:space="0"/>
            </w:tcBorders>
            <w:vAlign w:val="center"/>
          </w:tcPr>
          <w:p w14:paraId="0AD84288">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电子加密投标文件一份</w:t>
            </w:r>
          </w:p>
        </w:tc>
      </w:tr>
      <w:tr w14:paraId="10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1D81F4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731D5F">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开</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标时间及地点</w:t>
            </w:r>
          </w:p>
        </w:tc>
        <w:tc>
          <w:tcPr>
            <w:tcW w:w="7815" w:type="dxa"/>
            <w:tcBorders>
              <w:top w:val="single" w:color="auto" w:sz="4" w:space="0"/>
              <w:left w:val="single" w:color="auto" w:sz="4" w:space="0"/>
              <w:bottom w:val="single" w:color="auto" w:sz="4" w:space="0"/>
              <w:right w:val="single" w:color="auto" w:sz="4" w:space="0"/>
            </w:tcBorders>
            <w:vAlign w:val="center"/>
          </w:tcPr>
          <w:p w14:paraId="1748BF0A">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2025年02月27日10:00分</w:t>
            </w:r>
          </w:p>
          <w:p w14:paraId="4A2ECD8F">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评标时间：</w:t>
            </w:r>
            <w:r>
              <w:rPr>
                <w:rFonts w:hint="eastAsia" w:ascii="微软雅黑" w:hAnsi="微软雅黑" w:eastAsia="微软雅黑" w:cs="微软雅黑"/>
                <w:b/>
                <w:bCs/>
                <w:color w:val="auto"/>
                <w:kern w:val="2"/>
                <w:sz w:val="24"/>
                <w:szCs w:val="24"/>
                <w:highlight w:val="none"/>
                <w:u w:val="single"/>
                <w:lang w:val="en-US" w:eastAsia="zh-CN" w:bidi="ar-SA"/>
              </w:rPr>
              <w:t>2025年02月27日11:30分</w:t>
            </w:r>
          </w:p>
          <w:p w14:paraId="59F6656C">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p w14:paraId="78814BBB">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麦盖提县行政服务中心三楼政府采购中心评标室,政采云平台（https://login.zcygov.cn/user-login/#/login）</w:t>
            </w:r>
          </w:p>
        </w:tc>
      </w:tr>
      <w:tr w14:paraId="6C6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2DE792">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14:paraId="138D9936">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1AA1BEE4">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098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9839F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w:t>
            </w:r>
          </w:p>
        </w:tc>
        <w:tc>
          <w:tcPr>
            <w:tcW w:w="1920" w:type="dxa"/>
            <w:tcBorders>
              <w:top w:val="single" w:color="auto" w:sz="4" w:space="0"/>
              <w:left w:val="single" w:color="auto" w:sz="4" w:space="0"/>
              <w:bottom w:val="single" w:color="auto" w:sz="4" w:space="0"/>
              <w:right w:val="single" w:color="auto" w:sz="4" w:space="0"/>
            </w:tcBorders>
            <w:vAlign w:val="center"/>
          </w:tcPr>
          <w:p w14:paraId="730CF22B">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w:t>
            </w:r>
          </w:p>
          <w:p w14:paraId="3EA156D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815" w:type="dxa"/>
            <w:tcBorders>
              <w:top w:val="single" w:color="auto" w:sz="4" w:space="0"/>
              <w:left w:val="single" w:color="auto" w:sz="4" w:space="0"/>
              <w:bottom w:val="single" w:color="auto" w:sz="4" w:space="0"/>
              <w:right w:val="single" w:color="auto" w:sz="4" w:space="0"/>
            </w:tcBorders>
            <w:vAlign w:val="center"/>
          </w:tcPr>
          <w:p w14:paraId="5295A5B1">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647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FA40DE">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920" w:type="dxa"/>
            <w:tcBorders>
              <w:top w:val="single" w:color="auto" w:sz="4" w:space="0"/>
              <w:left w:val="single" w:color="auto" w:sz="4" w:space="0"/>
              <w:bottom w:val="single" w:color="auto" w:sz="4" w:space="0"/>
              <w:right w:val="single" w:color="auto" w:sz="4" w:space="0"/>
            </w:tcBorders>
            <w:vAlign w:val="center"/>
          </w:tcPr>
          <w:p w14:paraId="1C0B9487">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投标文件签字或盖章要求</w:t>
            </w:r>
          </w:p>
        </w:tc>
        <w:tc>
          <w:tcPr>
            <w:tcW w:w="7815" w:type="dxa"/>
            <w:tcBorders>
              <w:top w:val="single" w:color="auto" w:sz="4" w:space="0"/>
              <w:left w:val="single" w:color="auto" w:sz="4" w:space="0"/>
              <w:bottom w:val="single" w:color="auto" w:sz="4" w:space="0"/>
              <w:right w:val="single" w:color="auto" w:sz="4" w:space="0"/>
            </w:tcBorders>
            <w:vAlign w:val="center"/>
          </w:tcPr>
          <w:p w14:paraId="2387A1F4">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投标格式中要求法定代表人或授权人签字或盖章的，必须签字或盖章，否则投标无效。</w:t>
            </w:r>
          </w:p>
        </w:tc>
      </w:tr>
      <w:tr w14:paraId="7A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848F59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920" w:type="dxa"/>
            <w:tcBorders>
              <w:top w:val="single" w:color="auto" w:sz="4" w:space="0"/>
              <w:left w:val="single" w:color="auto" w:sz="4" w:space="0"/>
              <w:bottom w:val="single" w:color="auto" w:sz="4" w:space="0"/>
              <w:right w:val="single" w:color="auto" w:sz="4" w:space="0"/>
            </w:tcBorders>
            <w:vAlign w:val="center"/>
          </w:tcPr>
          <w:p w14:paraId="7A607B54">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电子投标文件解密时间</w:t>
            </w:r>
          </w:p>
        </w:tc>
        <w:tc>
          <w:tcPr>
            <w:tcW w:w="7815" w:type="dxa"/>
            <w:tcBorders>
              <w:top w:val="single" w:color="auto" w:sz="4" w:space="0"/>
              <w:left w:val="single" w:color="auto" w:sz="4" w:space="0"/>
              <w:bottom w:val="single" w:color="auto" w:sz="4" w:space="0"/>
              <w:right w:val="single" w:color="auto" w:sz="4" w:space="0"/>
            </w:tcBorders>
            <w:vAlign w:val="center"/>
          </w:tcPr>
          <w:p w14:paraId="7EFA1990">
            <w:pPr>
              <w:adjustRightInd w:val="0"/>
              <w:snapToGrid w:val="0"/>
              <w:spacing w:line="400" w:lineRule="exact"/>
              <w:jc w:val="left"/>
              <w:rPr>
                <w:rFonts w:hint="eastAsia" w:ascii="微软雅黑" w:hAnsi="微软雅黑" w:eastAsia="微软雅黑" w:cs="微软雅黑"/>
                <w:b/>
                <w:bCs w:val="0"/>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开标时间后30分钟内（2025年02月27日10:00-10：30前）供应商登录“政采云”平台，用“项目采购-开标评标”功能进行解密投标文件。若供应商在规定时间内未按时解密的，视为无效投标。</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56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E9D9F3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3EBEEA7">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投标人资格条件</w:t>
            </w:r>
          </w:p>
        </w:tc>
        <w:tc>
          <w:tcPr>
            <w:tcW w:w="7815" w:type="dxa"/>
            <w:tcBorders>
              <w:top w:val="single" w:color="auto" w:sz="4" w:space="0"/>
              <w:left w:val="single" w:color="auto" w:sz="4" w:space="0"/>
              <w:bottom w:val="single" w:color="auto" w:sz="4" w:space="0"/>
              <w:right w:val="single" w:color="auto" w:sz="4" w:space="0"/>
            </w:tcBorders>
            <w:vAlign w:val="center"/>
          </w:tcPr>
          <w:p w14:paraId="79F54AC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64E31E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37052BB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会计事务所出具的2022年度或2023年度财务审计报告，新成立公司可提供有效内银行出具的资信证明，注册成立未满一年新公司可提供近三个月任意一个月的银行资信证明）；</w:t>
            </w:r>
          </w:p>
          <w:p w14:paraId="101BAB6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lang w:eastAsia="zh-CN"/>
              </w:rPr>
              <w:t>个月任意一个月的法人及被授权人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1F9AE0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lang w:eastAsia="zh-CN"/>
              </w:rPr>
              <w:t>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2992AC9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02月07日-2025年02月07日）不得在“信用中国”网站（www.creditchina.gov.cn）被列入失信被执行人、重大税收违法失信主体内将拒绝其参加本次招标活动。以上内容由投标企业自行承诺，由采购人或采购代理机构在投标截止后核查</w:t>
            </w:r>
            <w:r>
              <w:rPr>
                <w:rFonts w:hint="eastAsia" w:ascii="微软雅黑" w:hAnsi="微软雅黑" w:eastAsia="微软雅黑" w:cs="微软雅黑"/>
                <w:color w:val="auto"/>
                <w:sz w:val="24"/>
                <w:szCs w:val="24"/>
                <w:highlight w:val="none"/>
              </w:rPr>
              <w:t>；</w:t>
            </w:r>
          </w:p>
          <w:p w14:paraId="708343F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5529576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r>
              <w:rPr>
                <w:rFonts w:hint="eastAsia" w:ascii="微软雅黑" w:hAnsi="微软雅黑" w:eastAsia="微软雅黑" w:cs="微软雅黑"/>
                <w:color w:val="auto"/>
                <w:sz w:val="24"/>
                <w:szCs w:val="24"/>
                <w:highlight w:val="none"/>
                <w:lang w:val="en-US" w:eastAsia="zh-CN"/>
              </w:rPr>
              <w:t>；</w:t>
            </w:r>
          </w:p>
          <w:p w14:paraId="28AFC9A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（9）投标企业须提供有效期内的《食品生产许可证》或《食品经营许可证》或《食品流通许可证》；</w:t>
            </w:r>
          </w:p>
          <w:p w14:paraId="2D52D10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（10）本项目专门面向中小企业采购，根据要求单独上传《中小企业声明函（货物）》；</w:t>
            </w:r>
          </w:p>
          <w:p w14:paraId="4FB6900A">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注：所有资质及评标所需的资料证明不接受二次提供。</w:t>
            </w:r>
          </w:p>
        </w:tc>
      </w:tr>
      <w:tr w14:paraId="62B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719" w:type="dxa"/>
            <w:tcBorders>
              <w:top w:val="single" w:color="auto" w:sz="4" w:space="0"/>
              <w:left w:val="single" w:color="auto" w:sz="4" w:space="0"/>
              <w:right w:val="single" w:color="auto" w:sz="4" w:space="0"/>
            </w:tcBorders>
            <w:vAlign w:val="center"/>
          </w:tcPr>
          <w:p w14:paraId="55A666DD">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920" w:type="dxa"/>
            <w:tcBorders>
              <w:top w:val="single" w:color="auto" w:sz="4" w:space="0"/>
              <w:left w:val="single" w:color="auto" w:sz="4" w:space="0"/>
              <w:right w:val="single" w:color="auto" w:sz="4" w:space="0"/>
            </w:tcBorders>
            <w:vAlign w:val="center"/>
          </w:tcPr>
          <w:p w14:paraId="4FF3DEF9">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815" w:type="dxa"/>
            <w:tcBorders>
              <w:top w:val="single" w:color="auto" w:sz="4" w:space="0"/>
              <w:left w:val="single" w:color="auto" w:sz="4" w:space="0"/>
              <w:bottom w:val="single" w:color="auto" w:sz="4" w:space="0"/>
              <w:right w:val="single" w:color="auto" w:sz="4" w:space="0"/>
            </w:tcBorders>
            <w:vAlign w:val="center"/>
          </w:tcPr>
          <w:p w14:paraId="16211CFE">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工业</w:t>
            </w:r>
          </w:p>
        </w:tc>
      </w:tr>
      <w:tr w14:paraId="2BB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19" w:type="dxa"/>
            <w:vMerge w:val="restart"/>
            <w:tcBorders>
              <w:top w:val="single" w:color="auto" w:sz="4" w:space="0"/>
              <w:left w:val="single" w:color="auto" w:sz="4" w:space="0"/>
              <w:right w:val="single" w:color="auto" w:sz="4" w:space="0"/>
            </w:tcBorders>
            <w:vAlign w:val="center"/>
          </w:tcPr>
          <w:p w14:paraId="3E77C3BD">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920" w:type="dxa"/>
            <w:vMerge w:val="restart"/>
            <w:tcBorders>
              <w:top w:val="single" w:color="auto" w:sz="4" w:space="0"/>
              <w:left w:val="single" w:color="auto" w:sz="4" w:space="0"/>
              <w:right w:val="single" w:color="auto" w:sz="4" w:space="0"/>
            </w:tcBorders>
            <w:vAlign w:val="center"/>
          </w:tcPr>
          <w:p w14:paraId="2E36913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815" w:type="dxa"/>
            <w:tcBorders>
              <w:top w:val="single" w:color="auto" w:sz="4" w:space="0"/>
              <w:left w:val="single" w:color="auto" w:sz="4" w:space="0"/>
              <w:bottom w:val="single" w:color="auto" w:sz="4" w:space="0"/>
              <w:right w:val="single" w:color="auto" w:sz="4" w:space="0"/>
            </w:tcBorders>
            <w:vAlign w:val="center"/>
          </w:tcPr>
          <w:p w14:paraId="762017EC">
            <w:pPr>
              <w:keepNext w:val="0"/>
              <w:keepLines w:val="0"/>
              <w:pageBreakBefore w:val="0"/>
              <w:kinsoku/>
              <w:wordWrap/>
              <w:overflowPunct/>
              <w:topLinePunct w:val="0"/>
              <w:bidi w:val="0"/>
              <w:adjustRightInd w:val="0"/>
              <w:snapToGrid w:val="0"/>
              <w:spacing w:line="340" w:lineRule="exact"/>
              <w:textAlignment w:val="auto"/>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bCs w:val="0"/>
                <w:color w:val="auto"/>
                <w:sz w:val="24"/>
                <w:szCs w:val="24"/>
                <w:highlight w:val="none"/>
                <w:u w:val="single"/>
                <w:lang w:val="en-US" w:eastAsia="zh-CN"/>
              </w:rPr>
              <w:t>是</w:t>
            </w:r>
            <w:r>
              <w:rPr>
                <w:rFonts w:hint="eastAsia" w:ascii="微软雅黑" w:hAnsi="微软雅黑" w:eastAsia="微软雅黑" w:cs="微软雅黑"/>
                <w:b w:val="0"/>
                <w:bCs/>
                <w:color w:val="auto"/>
                <w:sz w:val="24"/>
                <w:szCs w:val="24"/>
                <w:highlight w:val="none"/>
                <w:lang w:val="en-US" w:eastAsia="zh-CN"/>
              </w:rPr>
              <w:t>（是、否）</w:t>
            </w:r>
          </w:p>
        </w:tc>
      </w:tr>
      <w:tr w14:paraId="64AA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jc w:val="center"/>
        </w:trPr>
        <w:tc>
          <w:tcPr>
            <w:tcW w:w="719" w:type="dxa"/>
            <w:vMerge w:val="continue"/>
            <w:tcBorders>
              <w:left w:val="single" w:color="auto" w:sz="4" w:space="0"/>
              <w:bottom w:val="single" w:color="auto" w:sz="4" w:space="0"/>
              <w:right w:val="single" w:color="auto" w:sz="4" w:space="0"/>
            </w:tcBorders>
            <w:vAlign w:val="center"/>
          </w:tcPr>
          <w:p w14:paraId="50732B11">
            <w:pPr>
              <w:pStyle w:val="29"/>
              <w:keepNext w:val="0"/>
              <w:keepLines w:val="0"/>
              <w:pageBreakBefore w:val="0"/>
              <w:kinsoku/>
              <w:wordWrap/>
              <w:overflowPunct/>
              <w:topLinePunct w:val="0"/>
              <w:bidi w:val="0"/>
              <w:spacing w:line="360" w:lineRule="exact"/>
              <w:jc w:val="center"/>
              <w:textAlignment w:val="auto"/>
              <w:rPr>
                <w:rFonts w:hint="eastAsia" w:ascii="微软雅黑" w:hAnsi="微软雅黑" w:eastAsia="微软雅黑" w:cs="微软雅黑"/>
                <w:color w:val="auto"/>
                <w:sz w:val="24"/>
                <w:szCs w:val="24"/>
                <w:highlight w:val="none"/>
                <w:lang w:val="en-US" w:eastAsia="zh-CN"/>
              </w:rPr>
            </w:pPr>
          </w:p>
        </w:tc>
        <w:tc>
          <w:tcPr>
            <w:tcW w:w="1920" w:type="dxa"/>
            <w:vMerge w:val="continue"/>
            <w:tcBorders>
              <w:left w:val="single" w:color="auto" w:sz="4" w:space="0"/>
              <w:bottom w:val="single" w:color="auto" w:sz="4" w:space="0"/>
              <w:right w:val="single" w:color="auto" w:sz="4" w:space="0"/>
            </w:tcBorders>
            <w:vAlign w:val="center"/>
          </w:tcPr>
          <w:p w14:paraId="491A5A5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6099B6D9">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421EAB7F">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注：投标人为中小企业的，须提供《中小企业声明函》原件扫描件方可享受优惠政策。</w:t>
            </w:r>
          </w:p>
        </w:tc>
      </w:tr>
      <w:tr w14:paraId="3EC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BF20338">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56C9859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政府采购优先采购节能产品、环境标志产品</w:t>
            </w:r>
          </w:p>
        </w:tc>
        <w:tc>
          <w:tcPr>
            <w:tcW w:w="7815" w:type="dxa"/>
            <w:tcBorders>
              <w:top w:val="single" w:color="auto" w:sz="4" w:space="0"/>
              <w:left w:val="single" w:color="auto" w:sz="4" w:space="0"/>
              <w:bottom w:val="single" w:color="auto" w:sz="4" w:space="0"/>
              <w:right w:val="single" w:color="auto" w:sz="4" w:space="0"/>
            </w:tcBorders>
            <w:vAlign w:val="center"/>
          </w:tcPr>
          <w:p w14:paraId="4D4EED45">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E82527">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EA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C17E07">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920" w:type="dxa"/>
            <w:tcBorders>
              <w:top w:val="single" w:color="auto" w:sz="4" w:space="0"/>
              <w:left w:val="single" w:color="auto" w:sz="4" w:space="0"/>
              <w:bottom w:val="single" w:color="auto" w:sz="4" w:space="0"/>
              <w:right w:val="single" w:color="auto" w:sz="4" w:space="0"/>
            </w:tcBorders>
            <w:vAlign w:val="center"/>
          </w:tcPr>
          <w:p w14:paraId="4DB449E8">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中小企业划型标准规定</w:t>
            </w:r>
          </w:p>
        </w:tc>
        <w:tc>
          <w:tcPr>
            <w:tcW w:w="7815" w:type="dxa"/>
            <w:tcBorders>
              <w:top w:val="single" w:color="auto" w:sz="4" w:space="0"/>
              <w:left w:val="single" w:color="auto" w:sz="4" w:space="0"/>
              <w:bottom w:val="single" w:color="auto" w:sz="4" w:space="0"/>
              <w:right w:val="single" w:color="auto" w:sz="4" w:space="0"/>
            </w:tcBorders>
            <w:vAlign w:val="center"/>
          </w:tcPr>
          <w:p w14:paraId="6A28DE8D">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工业</w:t>
            </w:r>
            <w:r>
              <w:t>。</w:t>
            </w:r>
            <w:r>
              <w:rPr>
                <w:rFonts w:hint="eastAsia" w:ascii="微软雅黑" w:hAnsi="微软雅黑" w:eastAsia="微软雅黑" w:cs="微软雅黑"/>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2BF2A8C">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C3B1AD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p w14:paraId="18A3226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的收取</w:t>
            </w:r>
          </w:p>
        </w:tc>
        <w:tc>
          <w:tcPr>
            <w:tcW w:w="7815" w:type="dxa"/>
            <w:tcBorders>
              <w:top w:val="single" w:color="auto" w:sz="4" w:space="0"/>
              <w:left w:val="single" w:color="auto" w:sz="4" w:space="0"/>
              <w:bottom w:val="single" w:color="auto" w:sz="4" w:space="0"/>
              <w:right w:val="single" w:color="auto" w:sz="4" w:space="0"/>
            </w:tcBorders>
            <w:vAlign w:val="center"/>
          </w:tcPr>
          <w:p w14:paraId="49951CA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投标保证金缴纳形式：</w:t>
            </w:r>
            <w:r>
              <w:rPr>
                <w:rFonts w:hint="eastAsia" w:ascii="微软雅黑" w:hAnsi="微软雅黑" w:eastAsia="微软雅黑" w:cs="微软雅黑"/>
                <w:color w:val="auto"/>
                <w:kern w:val="2"/>
                <w:sz w:val="24"/>
                <w:szCs w:val="24"/>
                <w:highlight w:val="none"/>
                <w:lang w:val="en-US" w:eastAsia="zh-CN" w:bidi="ar-SA"/>
              </w:rPr>
              <w:t>转账或电子保函；</w:t>
            </w:r>
          </w:p>
          <w:p w14:paraId="19160400">
            <w:pPr>
              <w:keepNext w:val="0"/>
              <w:keepLines w:val="0"/>
              <w:pageBreakBefore w:val="0"/>
              <w:kinsoku/>
              <w:wordWrap/>
              <w:overflowPunct/>
              <w:topLinePunct w:val="0"/>
              <w:bidi w:val="0"/>
              <w:adjustRightInd w:val="0"/>
              <w:snapToGrid w:val="0"/>
              <w:spacing w:line="340" w:lineRule="exact"/>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投标保证金金额：17800元（壹万柒仟捌佰元整）</w:t>
            </w:r>
            <w:r>
              <w:rPr>
                <w:rFonts w:hint="eastAsia" w:ascii="微软雅黑" w:hAnsi="微软雅黑" w:eastAsia="微软雅黑" w:cs="微软雅黑"/>
                <w:color w:val="auto"/>
                <w:kern w:val="2"/>
                <w:sz w:val="24"/>
                <w:szCs w:val="24"/>
                <w:highlight w:val="none"/>
                <w:lang w:val="en-US" w:eastAsia="zh-CN" w:bidi="ar-SA"/>
              </w:rPr>
              <w:t xml:space="preserve">                                      </w:t>
            </w:r>
          </w:p>
          <w:p w14:paraId="713011AD">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投标保证金缴纳要求：</w:t>
            </w:r>
            <w:r>
              <w:rPr>
                <w:rFonts w:hint="eastAsia" w:ascii="微软雅黑" w:hAnsi="微软雅黑" w:eastAsia="微软雅黑" w:cs="微软雅黑"/>
                <w:color w:val="auto"/>
                <w:kern w:val="2"/>
                <w:sz w:val="24"/>
                <w:szCs w:val="24"/>
                <w:highlight w:val="none"/>
                <w:lang w:val="en-US" w:eastAsia="zh-CN" w:bidi="ar-SA"/>
              </w:rPr>
              <w:t>（1）投标保证金以转账形式缴纳的，在开标前须从投标人的基本账户一次性汇入指定账户；（2）投标保证金以保函形式缴纳的，在开标前办理电子保函；（3）汇款单据或电子保函，须在投标文件中提供单据复印件并加盖投标单位公章，否则其投标无效。</w:t>
            </w:r>
          </w:p>
          <w:p w14:paraId="41D7D391">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账户信息：</w:t>
            </w:r>
          </w:p>
          <w:p w14:paraId="7C92BDFE">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收款单位：麦盖提县政府采购中心</w:t>
            </w:r>
          </w:p>
          <w:p w14:paraId="0CB5E458">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开户银行：麦盖提县农村信用合作社文化路信用社</w:t>
            </w:r>
          </w:p>
          <w:p w14:paraId="22C64EFB">
            <w:pPr>
              <w:keepNext w:val="0"/>
              <w:keepLines w:val="0"/>
              <w:pageBreakBefore w:val="0"/>
              <w:kinsoku/>
              <w:wordWrap/>
              <w:overflowPunct/>
              <w:topLinePunct w:val="0"/>
              <w:bidi w:val="0"/>
              <w:adjustRightInd w:val="0"/>
              <w:snapToGrid w:val="0"/>
              <w:spacing w:line="340" w:lineRule="exact"/>
              <w:jc w:val="lef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银行帐号：8691010101201100015025</w:t>
            </w:r>
          </w:p>
          <w:p w14:paraId="110EF136">
            <w:pPr>
              <w:pStyle w:val="16"/>
              <w:pageBreakBefore w:val="0"/>
              <w:kinsoku/>
              <w:wordWrap/>
              <w:overflowPunct/>
              <w:topLinePunct w:val="0"/>
              <w:bidi w:val="0"/>
              <w:snapToGrid/>
              <w:spacing w:line="380" w:lineRule="exac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注：转账缴纳投标保证金时，请在备注栏写明所投采购项目名称及项目编号[如：麦盖提县2024-2025年度中小学（幼儿园）食堂米面油等大宗食材采购配送项目四标段三次KSMGTX（FSGK）2024-02-03号；因项目名称字数多无法备注全称的，可简写：麦县教育局食材项目三次FSGK20240203号]。</w:t>
            </w:r>
          </w:p>
        </w:tc>
      </w:tr>
      <w:tr w14:paraId="01E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5F8CA9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920" w:type="dxa"/>
            <w:tcBorders>
              <w:top w:val="single" w:color="auto" w:sz="4" w:space="0"/>
              <w:left w:val="single" w:color="auto" w:sz="4" w:space="0"/>
              <w:bottom w:val="single" w:color="auto" w:sz="4" w:space="0"/>
              <w:right w:val="single" w:color="auto" w:sz="4" w:space="0"/>
            </w:tcBorders>
            <w:vAlign w:val="center"/>
          </w:tcPr>
          <w:p w14:paraId="46E78E7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投标保证金</w:t>
            </w:r>
          </w:p>
          <w:p w14:paraId="692AF5D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815" w:type="dxa"/>
            <w:tcBorders>
              <w:top w:val="single" w:color="auto" w:sz="4" w:space="0"/>
              <w:left w:val="single" w:color="auto" w:sz="4" w:space="0"/>
              <w:bottom w:val="single" w:color="auto" w:sz="4" w:space="0"/>
              <w:right w:val="single" w:color="auto" w:sz="4" w:space="0"/>
            </w:tcBorders>
            <w:vAlign w:val="center"/>
          </w:tcPr>
          <w:p w14:paraId="210FC52E">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服务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3A0B4B3">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（2）中标供应商的投标保证金在与采购单位签订合同，并在政采云平台生成后退回。</w:t>
            </w:r>
          </w:p>
          <w:p w14:paraId="39EEB40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投标有效期内不能确定中标供应商的，在投标有效期满后五个工作日内收到投标人邮寄的收据的同时，无息退回所有投标人的投标保证金。采购失败的项目，在采购结果公告后五个工作日内收到投标人邮寄的收据的同时，无息退回所有投标人的投标保证金。采购中心根据投标人提供的银行账号信息将投标保证金退回投标单位银行账号。</w:t>
            </w:r>
          </w:p>
          <w:p w14:paraId="2830A6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投标保证金时，须给麦盖提县政府采购中心开具盖有投标单位财务专用章的收款收据【内容为：今收到麦盖提县2024-2025年度中小学（幼儿园）食堂米面油等大宗食材采购配送项目四标段三次KSMGTX（FSGK）2024-02-03号，投标保证金：</w:t>
            </w:r>
            <w:r>
              <w:rPr>
                <w:rFonts w:hint="eastAsia" w:ascii="微软雅黑" w:hAnsi="微软雅黑" w:eastAsia="微软雅黑" w:cs="微软雅黑"/>
                <w:color w:val="auto"/>
                <w:highlight w:val="none"/>
                <w:lang w:val="en-US" w:eastAsia="zh-CN"/>
              </w:rPr>
              <w:t>17800</w:t>
            </w:r>
            <w:r>
              <w:rPr>
                <w:rFonts w:hint="eastAsia" w:ascii="微软雅黑" w:hAnsi="微软雅黑" w:eastAsia="微软雅黑" w:cs="微软雅黑"/>
                <w:b w:val="0"/>
                <w:bCs/>
                <w:color w:val="auto"/>
                <w:sz w:val="24"/>
                <w:szCs w:val="24"/>
                <w:highlight w:val="none"/>
                <w:lang w:val="en-US" w:eastAsia="zh-CN"/>
              </w:rPr>
              <w:t>元</w:t>
            </w:r>
            <w:r>
              <w:rPr>
                <w:rFonts w:hint="eastAsia" w:ascii="微软雅黑" w:hAnsi="微软雅黑" w:eastAsia="微软雅黑" w:cs="微软雅黑"/>
                <w:color w:val="auto"/>
                <w:kern w:val="2"/>
                <w:sz w:val="24"/>
                <w:szCs w:val="24"/>
                <w:highlight w:val="none"/>
                <w:lang w:val="en-US" w:eastAsia="zh-CN" w:bidi="ar-SA"/>
              </w:rPr>
              <w:t>，收款人：***】，法人须签字；同时必须提供加盖公章的营业执照复印件及开户银行许可证复印件，邮寄到麦盖提县政府采购中心。</w:t>
            </w:r>
          </w:p>
          <w:p w14:paraId="19F4A390">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注：为了能够及时退付各投标人的投标保证金，请各投标人于开标完成起3日内将以上材料邮寄至我中心，也可提前邮寄。</w:t>
            </w:r>
          </w:p>
          <w:p w14:paraId="3D58DCA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收件地址：麦盖提县行政服务中心三楼政府采购中心</w:t>
            </w:r>
          </w:p>
          <w:p w14:paraId="1FC6015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收件人：帕提古   联系电话：0998-7842765邮编：844600</w:t>
            </w:r>
          </w:p>
        </w:tc>
      </w:tr>
      <w:tr w14:paraId="3FE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4AE6C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920" w:type="dxa"/>
            <w:tcBorders>
              <w:top w:val="single" w:color="auto" w:sz="4" w:space="0"/>
              <w:left w:val="single" w:color="auto" w:sz="4" w:space="0"/>
              <w:bottom w:val="single" w:color="auto" w:sz="4" w:space="0"/>
              <w:right w:val="single" w:color="auto" w:sz="4" w:space="0"/>
            </w:tcBorders>
            <w:vAlign w:val="center"/>
          </w:tcPr>
          <w:p w14:paraId="379E52C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6349D46A">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的缴纳形式：</w:t>
            </w:r>
            <w:r>
              <w:rPr>
                <w:rFonts w:hint="eastAsia" w:ascii="微软雅黑" w:hAnsi="微软雅黑" w:eastAsia="微软雅黑" w:cs="微软雅黑"/>
                <w:color w:val="auto"/>
                <w:kern w:val="2"/>
                <w:sz w:val="24"/>
                <w:szCs w:val="24"/>
                <w:highlight w:val="none"/>
                <w:lang w:val="en-US" w:eastAsia="zh-CN" w:bidi="ar-SA"/>
              </w:rPr>
              <w:t>转账或电子保函（缴纳至采购单位账户）；</w:t>
            </w:r>
          </w:p>
          <w:p w14:paraId="719F0867">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的缴纳金额：</w:t>
            </w:r>
            <w:r>
              <w:rPr>
                <w:rFonts w:hint="eastAsia" w:ascii="微软雅黑" w:hAnsi="微软雅黑" w:eastAsia="微软雅黑" w:cs="微软雅黑"/>
                <w:color w:val="auto"/>
                <w:kern w:val="0"/>
                <w:sz w:val="24"/>
                <w:szCs w:val="24"/>
                <w:highlight w:val="none"/>
                <w:lang w:eastAsia="zh-CN"/>
              </w:rPr>
              <w:t>不得超过政府采购合同金额的10%。</w:t>
            </w:r>
          </w:p>
          <w:p w14:paraId="22657678">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履约保证金金额：合同总价的5%，中标方可以转账支票、电汇、银行汇票或网上银行支付、保函等非现金形式公对公交纳。</w:t>
            </w:r>
          </w:p>
          <w:p w14:paraId="6FE5AA6A">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中国工商银行股份有限公司麦盖提支行</w:t>
            </w:r>
          </w:p>
          <w:p w14:paraId="6B75DDC6">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麦盖提县</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教育局</w:t>
            </w:r>
          </w:p>
          <w:p w14:paraId="77DF3994">
            <w:pPr>
              <w:adjustRightInd w:val="0"/>
              <w:snapToGrid w:val="0"/>
              <w:spacing w:line="320" w:lineRule="exact"/>
              <w:jc w:val="left"/>
              <w:rPr>
                <w:rFonts w:hint="default"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301234800902</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4900319</w:t>
            </w:r>
          </w:p>
          <w:p w14:paraId="0F38E255">
            <w:pPr>
              <w:adjustRightInd w:val="0"/>
              <w:snapToGrid w:val="0"/>
              <w:spacing w:line="320" w:lineRule="exact"/>
              <w:jc w:val="left"/>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行号：102894800016</w:t>
            </w:r>
          </w:p>
        </w:tc>
      </w:tr>
      <w:tr w14:paraId="536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BD205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920" w:type="dxa"/>
            <w:tcBorders>
              <w:top w:val="single" w:color="auto" w:sz="4" w:space="0"/>
              <w:left w:val="single" w:color="auto" w:sz="4" w:space="0"/>
              <w:bottom w:val="single" w:color="auto" w:sz="4" w:space="0"/>
              <w:right w:val="single" w:color="auto" w:sz="4" w:space="0"/>
            </w:tcBorders>
            <w:vAlign w:val="center"/>
          </w:tcPr>
          <w:p w14:paraId="5B61FBDA">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815" w:type="dxa"/>
            <w:tcBorders>
              <w:top w:val="single" w:color="auto" w:sz="4" w:space="0"/>
              <w:left w:val="single" w:color="auto" w:sz="4" w:space="0"/>
              <w:bottom w:val="single" w:color="auto" w:sz="4" w:space="0"/>
              <w:right w:val="single" w:color="auto" w:sz="4" w:space="0"/>
            </w:tcBorders>
            <w:vAlign w:val="center"/>
          </w:tcPr>
          <w:p w14:paraId="586F5ED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本项目不接受联合体投标</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276B9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36</w:t>
            </w:r>
          </w:p>
        </w:tc>
        <w:tc>
          <w:tcPr>
            <w:tcW w:w="1920" w:type="dxa"/>
            <w:tcBorders>
              <w:top w:val="single" w:color="auto" w:sz="4" w:space="0"/>
              <w:left w:val="single" w:color="auto" w:sz="4" w:space="0"/>
              <w:bottom w:val="single" w:color="auto" w:sz="4" w:space="0"/>
              <w:right w:val="single" w:color="auto" w:sz="4" w:space="0"/>
            </w:tcBorders>
            <w:vAlign w:val="center"/>
          </w:tcPr>
          <w:p w14:paraId="3C5A03E0">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815" w:type="dxa"/>
            <w:tcBorders>
              <w:top w:val="single" w:color="auto" w:sz="4" w:space="0"/>
              <w:left w:val="single" w:color="auto" w:sz="4" w:space="0"/>
              <w:bottom w:val="single" w:color="auto" w:sz="4" w:space="0"/>
              <w:right w:val="single" w:color="auto" w:sz="4" w:space="0"/>
            </w:tcBorders>
            <w:vAlign w:val="center"/>
          </w:tcPr>
          <w:p w14:paraId="29E0A4D8">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本项目需提供现场勘查证明</w:t>
            </w:r>
          </w:p>
        </w:tc>
      </w:tr>
      <w:tr w14:paraId="068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93F1E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37</w:t>
            </w:r>
          </w:p>
        </w:tc>
        <w:tc>
          <w:tcPr>
            <w:tcW w:w="1920" w:type="dxa"/>
            <w:tcBorders>
              <w:top w:val="single" w:color="auto" w:sz="4" w:space="0"/>
              <w:left w:val="single" w:color="auto" w:sz="4" w:space="0"/>
              <w:bottom w:val="single" w:color="auto" w:sz="4" w:space="0"/>
              <w:right w:val="single" w:color="auto" w:sz="4" w:space="0"/>
            </w:tcBorders>
            <w:vAlign w:val="center"/>
          </w:tcPr>
          <w:p w14:paraId="283A3F48">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25FDA695">
            <w:pPr>
              <w:overflowPunct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13F8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F29B5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38</w:t>
            </w:r>
          </w:p>
        </w:tc>
        <w:tc>
          <w:tcPr>
            <w:tcW w:w="1920" w:type="dxa"/>
            <w:tcBorders>
              <w:top w:val="single" w:color="auto" w:sz="4" w:space="0"/>
              <w:left w:val="single" w:color="auto" w:sz="4" w:space="0"/>
              <w:bottom w:val="single" w:color="auto" w:sz="4" w:space="0"/>
              <w:right w:val="single" w:color="auto" w:sz="4" w:space="0"/>
            </w:tcBorders>
            <w:vAlign w:val="center"/>
          </w:tcPr>
          <w:p w14:paraId="7784E130">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采购代理机构内部监督部门</w:t>
            </w:r>
          </w:p>
        </w:tc>
        <w:tc>
          <w:tcPr>
            <w:tcW w:w="7815" w:type="dxa"/>
            <w:tcBorders>
              <w:top w:val="single" w:color="auto" w:sz="4" w:space="0"/>
              <w:left w:val="single" w:color="auto" w:sz="4" w:space="0"/>
              <w:bottom w:val="single" w:color="auto" w:sz="4" w:space="0"/>
              <w:right w:val="single" w:color="auto" w:sz="4" w:space="0"/>
            </w:tcBorders>
            <w:vAlign w:val="center"/>
          </w:tcPr>
          <w:p w14:paraId="3F1F6A46">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监督单位：麦盖提县财政局采购办</w:t>
            </w:r>
          </w:p>
          <w:p w14:paraId="42C4892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监督电话：0998-7846655</w:t>
            </w:r>
          </w:p>
        </w:tc>
      </w:tr>
      <w:tr w14:paraId="422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FEC703">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39</w:t>
            </w:r>
          </w:p>
        </w:tc>
        <w:tc>
          <w:tcPr>
            <w:tcW w:w="1920" w:type="dxa"/>
            <w:tcBorders>
              <w:top w:val="single" w:color="auto" w:sz="4" w:space="0"/>
              <w:left w:val="single" w:color="auto" w:sz="4" w:space="0"/>
              <w:bottom w:val="single" w:color="auto" w:sz="4" w:space="0"/>
              <w:right w:val="single" w:color="auto" w:sz="4" w:space="0"/>
            </w:tcBorders>
            <w:vAlign w:val="center"/>
          </w:tcPr>
          <w:p w14:paraId="1DFDF19F">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财政部门指定的媒体</w:t>
            </w:r>
          </w:p>
        </w:tc>
        <w:tc>
          <w:tcPr>
            <w:tcW w:w="7815" w:type="dxa"/>
            <w:tcBorders>
              <w:top w:val="single" w:color="auto" w:sz="4" w:space="0"/>
              <w:left w:val="single" w:color="auto" w:sz="4" w:space="0"/>
              <w:bottom w:val="single" w:color="auto" w:sz="4" w:space="0"/>
              <w:right w:val="single" w:color="auto" w:sz="4" w:space="0"/>
            </w:tcBorders>
            <w:vAlign w:val="center"/>
          </w:tcPr>
          <w:p w14:paraId="106CF31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新疆政府采购网http://www.ccgp-xinjiang.gov.cn</w:t>
            </w: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06222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40</w:t>
            </w:r>
          </w:p>
        </w:tc>
        <w:tc>
          <w:tcPr>
            <w:tcW w:w="1920" w:type="dxa"/>
            <w:tcBorders>
              <w:top w:val="single" w:color="auto" w:sz="4" w:space="0"/>
              <w:left w:val="single" w:color="auto" w:sz="4" w:space="0"/>
              <w:bottom w:val="single" w:color="auto" w:sz="4" w:space="0"/>
              <w:right w:val="single" w:color="auto" w:sz="4" w:space="0"/>
            </w:tcBorders>
            <w:vAlign w:val="center"/>
          </w:tcPr>
          <w:p w14:paraId="4F7CB0E3">
            <w:pPr>
              <w:spacing w:before="62" w:beforeLines="20" w:line="288"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CA办理及技术支持</w:t>
            </w:r>
          </w:p>
        </w:tc>
        <w:tc>
          <w:tcPr>
            <w:tcW w:w="7815" w:type="dxa"/>
            <w:tcBorders>
              <w:top w:val="single" w:color="auto" w:sz="4" w:space="0"/>
              <w:left w:val="single" w:color="auto" w:sz="4" w:space="0"/>
              <w:bottom w:val="single" w:color="auto" w:sz="4" w:space="0"/>
              <w:right w:val="single" w:color="auto" w:sz="4" w:space="0"/>
            </w:tcBorders>
            <w:vAlign w:val="center"/>
          </w:tcPr>
          <w:p w14:paraId="3EE519EF">
            <w:pPr>
              <w:pStyle w:val="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CA服务电话：0991-2819290</w:t>
            </w:r>
          </w:p>
          <w:p w14:paraId="240B8353">
            <w:pPr>
              <w:pStyle w:val="1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CA申领地址：https://www.xjca.com.cn/article/content/201802/582/1.html</w:t>
            </w:r>
          </w:p>
        </w:tc>
      </w:tr>
      <w:tr w14:paraId="65D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C8C0A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41</w:t>
            </w:r>
          </w:p>
        </w:tc>
        <w:tc>
          <w:tcPr>
            <w:tcW w:w="1920" w:type="dxa"/>
            <w:tcBorders>
              <w:top w:val="single" w:color="auto" w:sz="4" w:space="0"/>
              <w:left w:val="single" w:color="auto" w:sz="4" w:space="0"/>
              <w:bottom w:val="single" w:color="auto" w:sz="4" w:space="0"/>
              <w:right w:val="single" w:color="auto" w:sz="4" w:space="0"/>
            </w:tcBorders>
            <w:vAlign w:val="center"/>
          </w:tcPr>
          <w:p w14:paraId="48E44F30">
            <w:pPr>
              <w:adjustRightInd w:val="0"/>
              <w:snapToGrid w:val="0"/>
              <w:spacing w:line="400" w:lineRule="exact"/>
              <w:jc w:val="cente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最终解释权</w:t>
            </w:r>
          </w:p>
        </w:tc>
        <w:tc>
          <w:tcPr>
            <w:tcW w:w="7815" w:type="dxa"/>
            <w:tcBorders>
              <w:top w:val="single" w:color="auto" w:sz="4" w:space="0"/>
              <w:left w:val="single" w:color="auto" w:sz="4" w:space="0"/>
              <w:bottom w:val="single" w:color="auto" w:sz="4" w:space="0"/>
              <w:right w:val="single" w:color="auto" w:sz="4" w:space="0"/>
            </w:tcBorders>
            <w:vAlign w:val="center"/>
          </w:tcPr>
          <w:p w14:paraId="76A20D5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构成本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人负责解释。</w:t>
            </w:r>
          </w:p>
        </w:tc>
      </w:tr>
      <w:tr w14:paraId="53A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B40004E">
            <w:pPr>
              <w:pStyle w:val="29"/>
              <w:jc w:val="center"/>
              <w:rPr>
                <w:rFonts w:hint="default"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42</w:t>
            </w:r>
          </w:p>
        </w:tc>
        <w:tc>
          <w:tcPr>
            <w:tcW w:w="1920" w:type="dxa"/>
            <w:tcBorders>
              <w:top w:val="single" w:color="auto" w:sz="4" w:space="0"/>
              <w:left w:val="single" w:color="auto" w:sz="4" w:space="0"/>
              <w:bottom w:val="single" w:color="auto" w:sz="4" w:space="0"/>
              <w:right w:val="single" w:color="auto" w:sz="4" w:space="0"/>
            </w:tcBorders>
            <w:vAlign w:val="center"/>
          </w:tcPr>
          <w:p w14:paraId="01B24F3A">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关于政采云平台线上电子招投标的注意事项</w:t>
            </w:r>
          </w:p>
          <w:p w14:paraId="5B062F2D">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15BCEE12">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1D7B7B4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2、供应商报价CA签字确认：报价文件开启后将开启签字时段，供应商须在20分钟内用CA证书对报价进行签字确认。</w:t>
            </w:r>
          </w:p>
          <w:p w14:paraId="202AB2B9">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07A22C">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DDDE41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16F1EAD">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（4）供应商在开标时须使用制作加密电子投标文件所使用的CA锁及电脑，电脑须提前配置好浏览器（建议使用360浏览器或谷歌浏览器），以便开标时解锁。</w:t>
            </w:r>
          </w:p>
          <w:p w14:paraId="72924234">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"https://edu.zcygov.cn/luban/xinjiang-e-biding"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https://edu.zcygov.cn/luban/xinjiang-e-biding</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自助查询，也可在政采云帮助中心常见问题解答和操作流程讲解视频中自助查询，网址为：</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"https://service.zcygov.cn/" \l "/help"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https://service.zcygov.cn/#/help</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项目采购—操作流程—电子招投标—政府采购项目电子交易管理操作指南-供应商”版面获取操作指南，同时对自助查询无法解决的问题可通过钉钉群及政采云在线客服获取服务支持。政采云热线人工号码：400-881-7190（工作时间：08:00~20：00）</w:t>
            </w:r>
          </w:p>
          <w:p w14:paraId="15F3BD11">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6）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575EAF6">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p>
        </w:tc>
      </w:tr>
    </w:tbl>
    <w:p w14:paraId="27BC3393">
      <w:pPr>
        <w:pStyle w:val="18"/>
        <w:ind w:left="0" w:leftChars="0" w:firstLine="0" w:firstLineChars="0"/>
        <w:jc w:val="center"/>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14:paraId="19316C50">
      <w:pPr>
        <w:pStyle w:val="17"/>
        <w:ind w:left="0" w:leftChars="0" w:firstLine="0" w:firstLineChars="0"/>
        <w:jc w:val="center"/>
        <w:rPr>
          <w:rFonts w:hint="eastAsia" w:ascii="微软雅黑" w:hAnsi="微软雅黑" w:eastAsia="微软雅黑" w:cs="微软雅黑"/>
          <w:b/>
          <w:bCs w:val="0"/>
          <w:color w:val="auto"/>
          <w:sz w:val="32"/>
          <w:szCs w:val="32"/>
          <w:highlight w:val="none"/>
          <w:lang w:val="en-US" w:eastAsia="zh-CN"/>
        </w:rPr>
      </w:pPr>
      <w:bookmarkStart w:id="416" w:name="_Toc507399906"/>
      <w:bookmarkStart w:id="417" w:name="_Toc7112"/>
      <w:bookmarkStart w:id="418" w:name="_Toc218935354"/>
      <w:bookmarkStart w:id="419" w:name="_Toc30821"/>
      <w:bookmarkStart w:id="420" w:name="_Toc518923126"/>
      <w:bookmarkStart w:id="421" w:name="_Toc7801"/>
      <w:bookmarkStart w:id="422" w:name="_Toc219175638"/>
      <w:bookmarkStart w:id="423" w:name="_Toc6254"/>
      <w:bookmarkStart w:id="424" w:name="_Toc216582825"/>
      <w:bookmarkStart w:id="425" w:name="_Toc218935351"/>
      <w:bookmarkStart w:id="426" w:name="_Toc216582811"/>
      <w:bookmarkStart w:id="427" w:name="_Toc216513787"/>
      <w:bookmarkStart w:id="428" w:name="_Toc219175635"/>
      <w:r>
        <w:rPr>
          <w:rFonts w:hint="eastAsia" w:ascii="微软雅黑" w:hAnsi="微软雅黑" w:eastAsia="微软雅黑" w:cs="微软雅黑"/>
          <w:b/>
          <w:bCs w:val="0"/>
          <w:color w:val="auto"/>
          <w:sz w:val="32"/>
          <w:szCs w:val="32"/>
          <w:highlight w:val="none"/>
          <w:lang w:val="en-US" w:eastAsia="zh-CN"/>
        </w:rPr>
        <w:t>第5章</w:t>
      </w:r>
      <w:bookmarkEnd w:id="416"/>
      <w:bookmarkEnd w:id="417"/>
      <w:bookmarkEnd w:id="418"/>
      <w:bookmarkEnd w:id="419"/>
      <w:bookmarkEnd w:id="420"/>
      <w:bookmarkEnd w:id="421"/>
      <w:bookmarkEnd w:id="422"/>
      <w:bookmarkEnd w:id="423"/>
      <w:bookmarkEnd w:id="424"/>
      <w:bookmarkStart w:id="429" w:name="_Toc7578"/>
      <w:r>
        <w:rPr>
          <w:rFonts w:hint="eastAsia" w:ascii="微软雅黑" w:hAnsi="微软雅黑" w:eastAsia="微软雅黑" w:cs="微软雅黑"/>
          <w:b/>
          <w:bCs w:val="0"/>
          <w:color w:val="auto"/>
          <w:sz w:val="32"/>
          <w:szCs w:val="32"/>
          <w:highlight w:val="none"/>
          <w:lang w:val="en-US" w:eastAsia="zh-CN"/>
        </w:rPr>
        <w:t xml:space="preserve"> 货物需求</w:t>
      </w:r>
      <w:bookmarkEnd w:id="429"/>
      <w:r>
        <w:rPr>
          <w:rFonts w:hint="eastAsia" w:ascii="微软雅黑" w:hAnsi="微软雅黑" w:eastAsia="微软雅黑" w:cs="微软雅黑"/>
          <w:b/>
          <w:bCs w:val="0"/>
          <w:color w:val="auto"/>
          <w:sz w:val="32"/>
          <w:szCs w:val="32"/>
          <w:highlight w:val="none"/>
          <w:lang w:val="en-US" w:eastAsia="zh-CN"/>
        </w:rPr>
        <w:t>清单及技术规格要求</w:t>
      </w:r>
    </w:p>
    <w:bookmarkEnd w:id="425"/>
    <w:bookmarkEnd w:id="426"/>
    <w:bookmarkEnd w:id="427"/>
    <w:bookmarkEnd w:id="428"/>
    <w:p w14:paraId="7F6EB1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bidi="mn-Mong-CN"/>
        </w:rPr>
      </w:pPr>
      <w:bookmarkStart w:id="430" w:name="_Toc382927112"/>
      <w:bookmarkStart w:id="431" w:name="_Toc399777825"/>
      <w:bookmarkStart w:id="432" w:name="_Toc44922978"/>
      <w:bookmarkStart w:id="433" w:name="_Toc216582826"/>
      <w:bookmarkStart w:id="434" w:name="_Toc219175639"/>
      <w:bookmarkStart w:id="435" w:name="_Toc218935355"/>
    </w:p>
    <w:bookmarkEnd w:id="430"/>
    <w:bookmarkEnd w:id="431"/>
    <w:bookmarkEnd w:id="432"/>
    <w:p w14:paraId="3B7B75C4">
      <w:pPr>
        <w:numPr>
          <w:ilvl w:val="0"/>
          <w:numId w:val="8"/>
        </w:numPr>
        <w:jc w:val="both"/>
        <w:rPr>
          <w:rFonts w:hint="eastAsia" w:ascii="微软雅黑" w:hAnsi="微软雅黑" w:eastAsia="微软雅黑" w:cs="微软雅黑"/>
          <w:kern w:val="2"/>
          <w:sz w:val="28"/>
          <w:szCs w:val="28"/>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项目名称：</w:t>
      </w:r>
      <w:r>
        <w:rPr>
          <w:rFonts w:hint="eastAsia" w:ascii="微软雅黑" w:hAnsi="微软雅黑" w:eastAsia="微软雅黑" w:cs="微软雅黑"/>
          <w:kern w:val="2"/>
          <w:sz w:val="28"/>
          <w:szCs w:val="28"/>
          <w:lang w:val="en-US" w:eastAsia="zh-CN" w:bidi="mn-Mong-CN"/>
        </w:rPr>
        <w:t>麦盖提县2024-2025年度中小学（幼儿园）食堂米面油等大宗食材采购配送项目四标段三次</w:t>
      </w:r>
    </w:p>
    <w:p w14:paraId="34C01958">
      <w:pPr>
        <w:numPr>
          <w:ilvl w:val="0"/>
          <w:numId w:val="8"/>
        </w:numPr>
        <w:ind w:left="0" w:leftChars="0" w:firstLine="0" w:firstLineChars="0"/>
        <w:jc w:val="both"/>
        <w:rPr>
          <w:rFonts w:hint="eastAsia" w:ascii="微软雅黑" w:hAnsi="微软雅黑" w:eastAsia="微软雅黑" w:cs="微软雅黑"/>
          <w:kern w:val="2"/>
          <w:sz w:val="28"/>
          <w:szCs w:val="28"/>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采购内容：</w:t>
      </w:r>
      <w:r>
        <w:rPr>
          <w:rFonts w:hint="eastAsia" w:ascii="微软雅黑" w:hAnsi="微软雅黑" w:eastAsia="微软雅黑" w:cs="微软雅黑"/>
          <w:kern w:val="2"/>
          <w:sz w:val="28"/>
          <w:szCs w:val="28"/>
          <w:lang w:val="en-US" w:eastAsia="zh-CN" w:bidi="mn-Mong-CN"/>
        </w:rPr>
        <w:t>第四标段-（幼儿园伙食补助、家庭经济困难学生寄宿生生活补助）大米、面粉、玉米面粉、菜籽油等一批</w:t>
      </w:r>
    </w:p>
    <w:p w14:paraId="64C99413">
      <w:pPr>
        <w:numPr>
          <w:ilvl w:val="0"/>
          <w:numId w:val="0"/>
        </w:numPr>
        <w:ind w:leftChars="0"/>
        <w:jc w:val="both"/>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三、采购标的需实现的功能或者目标，以及为落实政府采购政策需满足的要求</w:t>
      </w:r>
    </w:p>
    <w:p w14:paraId="7C7BA0B5">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（一）采购标的需实现的功能或者目标</w:t>
      </w:r>
    </w:p>
    <w:p w14:paraId="678619A3">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满足项目需要的技术、服务、安全等要求，采购项目的数量、交付或者实施的时间和地点。</w:t>
      </w:r>
    </w:p>
    <w:p w14:paraId="483EF0EC">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（二）为落实政府采购政策需满足的要求</w:t>
      </w:r>
    </w:p>
    <w:p w14:paraId="074148CC">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 xml:space="preserve">（1）《关于中国环境标志产品政府采购实施的意见》（财库[2006]90号）； </w:t>
      </w:r>
    </w:p>
    <w:p w14:paraId="332306B4">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（2）《关于开展政府采购信用担保试点工作的通知》（财库【2011】124号）；</w:t>
      </w:r>
    </w:p>
    <w:p w14:paraId="123CC816">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（3）《关于印发《政府采购促进中小企业发展暂行办法》的通知》（财库【2011】181号）；</w:t>
      </w:r>
    </w:p>
    <w:p w14:paraId="02AE667E">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（4）《财政部、司法部关于政府采购支持监狱企业发展有关问题的通知》（财库【2014】68号）；</w:t>
      </w:r>
    </w:p>
    <w:p w14:paraId="1691353A">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spacing w:val="15"/>
          <w:kern w:val="10"/>
          <w:sz w:val="28"/>
          <w:szCs w:val="28"/>
          <w:lang w:val="en-US" w:eastAsia="zh-CN" w:bidi="ar-SA"/>
        </w:rPr>
      </w:pPr>
      <w:r>
        <w:rPr>
          <w:rFonts w:hint="eastAsia" w:ascii="微软雅黑" w:hAnsi="微软雅黑" w:eastAsia="微软雅黑" w:cs="微软雅黑"/>
          <w:b w:val="0"/>
          <w:bCs w:val="0"/>
          <w:color w:val="000000"/>
          <w:kern w:val="0"/>
          <w:sz w:val="28"/>
          <w:szCs w:val="28"/>
          <w:lang w:val="en-US" w:eastAsia="zh-CN" w:bidi="ar"/>
        </w:rPr>
        <w:t>（5）《关于促进残疾人就业政府采购政策的通知》（财库【2017】141号）等。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14:paraId="456451FB">
      <w:pPr>
        <w:keepNext w:val="0"/>
        <w:keepLines w:val="0"/>
        <w:pageBreakBefore w:val="0"/>
        <w:widowControl/>
        <w:suppressLineNumbers w:val="0"/>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四、采购实施计划主要内容</w:t>
      </w:r>
    </w:p>
    <w:p w14:paraId="0BE08456">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1、采购内容：麦盖提县2024年-2025年度中小学(幼儿园)食堂米、面、油等大宗食材采购配送项目-第四标段</w:t>
      </w:r>
    </w:p>
    <w:p w14:paraId="4E8B2C44">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2、采购项目预（概）算：178万元</w:t>
      </w:r>
    </w:p>
    <w:p w14:paraId="6E6FECF1">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3、最高限价：178万元</w:t>
      </w:r>
    </w:p>
    <w:p w14:paraId="025E289C">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4、采购方式：公开招标</w:t>
      </w:r>
    </w:p>
    <w:p w14:paraId="333424BE">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5、招标范围：第四标段-（幼儿园伙食补助、家庭经济困难学生寄宿生生活补助）大米、面粉、玉米面粉、菜籽油等一批；</w:t>
      </w:r>
    </w:p>
    <w:p w14:paraId="60AE62EF">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6、评审规则：本项目评标办法采用综合评标法，将依法组建5人组成的评标委员会，负责本项目的评标工作，采购单位不派评审人员。评标委员会按照“公平、公正、科学、择优”的原则，评价参加本次招标的投标供应商所提供的产品价格、配送卫生保障措施、质量保障措施、货物的可靠性、安全性、质量保障措施、食品安全保障方案、企业实力、人员配置、应急措施、类似业绩、售后服务及其投标文件的符合性及响应性。</w:t>
      </w:r>
    </w:p>
    <w:p w14:paraId="37615971">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7、初步评审：</w:t>
      </w:r>
    </w:p>
    <w:p w14:paraId="0750C7BA">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（1）评标委员会根据招标文件规定的评标标准和方法，对投标文件进行全面审核，主要审查投标文件的完整性、符合性以及投标报价的合理性是否满足招标文件中的有关规定。</w:t>
      </w:r>
    </w:p>
    <w:p w14:paraId="4D8A0B48">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（2）列出投标文件中的重大偏差和细微偏差。</w:t>
      </w:r>
    </w:p>
    <w:p w14:paraId="469F1667">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重大偏差是指投标文件未能实质上响应招标文件的要求，或者投标文件中存在按照招标文件规定应当判定为无效投标文件的情况。</w:t>
      </w:r>
    </w:p>
    <w:p w14:paraId="7AC09744">
      <w:pPr>
        <w:keepNext w:val="0"/>
        <w:keepLines w:val="0"/>
        <w:pageBreakBefore w:val="0"/>
        <w:widowControl/>
        <w:suppressLineNumbers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细微偏差是指投标文件在实质上响应招标文件的要求，但在个别地方存在漏项或者提供了不完整的技术信息和数据等情况，并且补正这些遗漏或不完整不会对其他投标单位造成不公平的结果。细微偏差不影响投标文件的有效性。</w:t>
      </w:r>
    </w:p>
    <w:p w14:paraId="43EDA98C">
      <w:pPr>
        <w:keepNext w:val="0"/>
        <w:keepLines w:val="0"/>
        <w:pageBreakBefore w:val="0"/>
        <w:widowControl/>
        <w:suppressLineNumbers w:val="0"/>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val="0"/>
          <w:bCs w:val="0"/>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五、采购标的内容、数量，包括技术要求和商务要求</w:t>
      </w:r>
    </w:p>
    <w:tbl>
      <w:tblPr>
        <w:tblStyle w:val="20"/>
        <w:tblW w:w="9286"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175"/>
        <w:gridCol w:w="2505"/>
        <w:gridCol w:w="3517"/>
      </w:tblGrid>
      <w:tr w14:paraId="1215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noWrap w:val="0"/>
            <w:vAlign w:val="top"/>
          </w:tcPr>
          <w:p w14:paraId="705F582D">
            <w:pPr>
              <w:keepNext w:val="0"/>
              <w:keepLines w:val="0"/>
              <w:pageBreakBefore w:val="0"/>
              <w:widowControl w:val="0"/>
              <w:kinsoku/>
              <w:wordWrap/>
              <w:overflowPunct/>
              <w:topLinePunct w:val="0"/>
              <w:autoSpaceDE/>
              <w:autoSpaceDN/>
              <w:bidi w:val="0"/>
              <w:adjustRightInd/>
              <w:snapToGrid/>
              <w:spacing w:line="520" w:lineRule="exact"/>
              <w:ind w:left="0" w:leftChars="0" w:firstLine="495" w:firstLineChars="177"/>
              <w:jc w:val="both"/>
              <w:textAlignment w:val="auto"/>
              <w:rPr>
                <w:rFonts w:hint="eastAsia" w:ascii="微软雅黑" w:hAnsi="微软雅黑" w:eastAsia="微软雅黑" w:cs="微软雅黑"/>
                <w:b/>
                <w:bCs/>
                <w:color w:val="auto"/>
                <w:sz w:val="28"/>
                <w:szCs w:val="28"/>
                <w:vertAlign w:val="baseline"/>
                <w:lang w:val="en-US" w:eastAsia="zh-CN"/>
              </w:rPr>
            </w:pPr>
            <w:bookmarkStart w:id="436" w:name="_Toc512937852"/>
            <w:r>
              <w:rPr>
                <w:rFonts w:hint="eastAsia" w:ascii="微软雅黑" w:hAnsi="微软雅黑" w:eastAsia="微软雅黑" w:cs="微软雅黑"/>
                <w:b w:val="0"/>
                <w:bCs w:val="0"/>
                <w:color w:val="auto"/>
                <w:kern w:val="0"/>
                <w:sz w:val="28"/>
                <w:szCs w:val="28"/>
                <w:lang w:val="en-US" w:eastAsia="zh-CN" w:bidi="ar"/>
              </w:rPr>
              <w:t>第四标段：（幼儿园伙食补助、家庭经济困难学生寄宿生生活补助）大米、面粉、玉米面粉、菜籽油等一批</w:t>
            </w:r>
          </w:p>
        </w:tc>
      </w:tr>
      <w:tr w14:paraId="040D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noWrap w:val="0"/>
            <w:vAlign w:val="top"/>
          </w:tcPr>
          <w:p w14:paraId="7292CC34">
            <w:pPr>
              <w:keepNext w:val="0"/>
              <w:keepLines w:val="0"/>
              <w:pageBreakBefore w:val="0"/>
              <w:kinsoku/>
              <w:wordWrap/>
              <w:overflowPunct/>
              <w:topLinePunct w:val="0"/>
              <w:autoSpaceDE/>
              <w:autoSpaceDN/>
              <w:bidi w:val="0"/>
              <w:snapToGrid/>
              <w:spacing w:line="620" w:lineRule="exact"/>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序号</w:t>
            </w:r>
          </w:p>
        </w:tc>
        <w:tc>
          <w:tcPr>
            <w:tcW w:w="2175" w:type="dxa"/>
            <w:noWrap w:val="0"/>
            <w:vAlign w:val="top"/>
          </w:tcPr>
          <w:p w14:paraId="09C13DFF">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货物名称</w:t>
            </w:r>
          </w:p>
        </w:tc>
        <w:tc>
          <w:tcPr>
            <w:tcW w:w="2505" w:type="dxa"/>
            <w:noWrap w:val="0"/>
            <w:vAlign w:val="top"/>
          </w:tcPr>
          <w:p w14:paraId="3D3E8A06">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eastAsia="zh-CN"/>
              </w:rPr>
            </w:pPr>
            <w:r>
              <w:rPr>
                <w:rFonts w:hint="eastAsia" w:ascii="微软雅黑" w:hAnsi="微软雅黑" w:eastAsia="微软雅黑" w:cs="微软雅黑"/>
                <w:color w:val="auto"/>
                <w:sz w:val="28"/>
                <w:szCs w:val="28"/>
                <w:vertAlign w:val="baseline"/>
                <w:lang w:val="en-US" w:eastAsia="zh-CN"/>
              </w:rPr>
              <w:t>数量</w:t>
            </w:r>
          </w:p>
        </w:tc>
        <w:tc>
          <w:tcPr>
            <w:tcW w:w="3517" w:type="dxa"/>
            <w:noWrap w:val="0"/>
            <w:vAlign w:val="top"/>
          </w:tcPr>
          <w:p w14:paraId="69B68EA2">
            <w:pPr>
              <w:keepNext w:val="0"/>
              <w:keepLines w:val="0"/>
              <w:pageBreakBefore w:val="0"/>
              <w:kinsoku/>
              <w:wordWrap/>
              <w:overflowPunct/>
              <w:topLinePunct w:val="0"/>
              <w:autoSpaceDE/>
              <w:autoSpaceDN/>
              <w:bidi w:val="0"/>
              <w:snapToGrid/>
              <w:spacing w:line="620" w:lineRule="exact"/>
              <w:ind w:left="0" w:leftChars="0" w:firstLine="1050" w:firstLineChars="375"/>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单位</w:t>
            </w:r>
          </w:p>
        </w:tc>
      </w:tr>
      <w:tr w14:paraId="30FF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89" w:type="dxa"/>
            <w:noWrap w:val="0"/>
            <w:vAlign w:val="top"/>
          </w:tcPr>
          <w:p w14:paraId="535BBCF6">
            <w:pPr>
              <w:keepNext w:val="0"/>
              <w:keepLines w:val="0"/>
              <w:pageBreakBefore w:val="0"/>
              <w:kinsoku/>
              <w:wordWrap/>
              <w:overflowPunct/>
              <w:topLinePunct w:val="0"/>
              <w:autoSpaceDE/>
              <w:autoSpaceDN/>
              <w:bidi w:val="0"/>
              <w:snapToGrid/>
              <w:spacing w:line="620" w:lineRule="exact"/>
              <w:jc w:val="center"/>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1</w:t>
            </w:r>
          </w:p>
        </w:tc>
        <w:tc>
          <w:tcPr>
            <w:tcW w:w="2175" w:type="dxa"/>
            <w:noWrap w:val="0"/>
            <w:vAlign w:val="top"/>
          </w:tcPr>
          <w:p w14:paraId="00259BAF">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highlight w:val="none"/>
                <w:vertAlign w:val="baseline"/>
                <w:lang w:val="en-US" w:eastAsia="zh-CN"/>
              </w:rPr>
            </w:pPr>
            <w:r>
              <w:rPr>
                <w:rFonts w:hint="eastAsia" w:ascii="微软雅黑" w:hAnsi="微软雅黑" w:eastAsia="微软雅黑" w:cs="微软雅黑"/>
                <w:color w:val="auto"/>
                <w:sz w:val="28"/>
                <w:szCs w:val="28"/>
                <w:highlight w:val="none"/>
                <w:vertAlign w:val="baseline"/>
                <w:lang w:val="en-US" w:eastAsia="zh-CN"/>
              </w:rPr>
              <w:t>大米</w:t>
            </w:r>
          </w:p>
        </w:tc>
        <w:tc>
          <w:tcPr>
            <w:tcW w:w="2505" w:type="dxa"/>
            <w:noWrap w:val="0"/>
            <w:vAlign w:val="top"/>
          </w:tcPr>
          <w:p w14:paraId="129928B7">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5280</w:t>
            </w:r>
          </w:p>
        </w:tc>
        <w:tc>
          <w:tcPr>
            <w:tcW w:w="3517" w:type="dxa"/>
            <w:noWrap w:val="0"/>
            <w:vAlign w:val="top"/>
          </w:tcPr>
          <w:p w14:paraId="2718B2D2">
            <w:pPr>
              <w:keepNext w:val="0"/>
              <w:keepLines w:val="0"/>
              <w:pageBreakBefore w:val="0"/>
              <w:kinsoku/>
              <w:wordWrap/>
              <w:overflowPunct/>
              <w:topLinePunct w:val="0"/>
              <w:autoSpaceDE/>
              <w:autoSpaceDN/>
              <w:bidi w:val="0"/>
              <w:snapToGrid/>
              <w:spacing w:line="620" w:lineRule="exact"/>
              <w:ind w:left="0" w:leftChars="0" w:firstLine="1050" w:firstLineChars="375"/>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25kg/袋</w:t>
            </w:r>
          </w:p>
        </w:tc>
      </w:tr>
      <w:tr w14:paraId="314B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9" w:type="dxa"/>
            <w:noWrap w:val="0"/>
            <w:vAlign w:val="top"/>
          </w:tcPr>
          <w:p w14:paraId="6AE4445E">
            <w:pPr>
              <w:keepNext w:val="0"/>
              <w:keepLines w:val="0"/>
              <w:pageBreakBefore w:val="0"/>
              <w:kinsoku/>
              <w:wordWrap/>
              <w:overflowPunct/>
              <w:topLinePunct w:val="0"/>
              <w:autoSpaceDE/>
              <w:autoSpaceDN/>
              <w:bidi w:val="0"/>
              <w:snapToGrid/>
              <w:spacing w:line="620" w:lineRule="exact"/>
              <w:jc w:val="center"/>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2</w:t>
            </w:r>
          </w:p>
        </w:tc>
        <w:tc>
          <w:tcPr>
            <w:tcW w:w="2175" w:type="dxa"/>
            <w:noWrap w:val="0"/>
            <w:vAlign w:val="top"/>
          </w:tcPr>
          <w:p w14:paraId="6AAD4DDF">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highlight w:val="none"/>
                <w:vertAlign w:val="baseline"/>
                <w:lang w:val="en-US" w:eastAsia="zh-CN"/>
              </w:rPr>
            </w:pPr>
            <w:r>
              <w:rPr>
                <w:rFonts w:hint="eastAsia" w:ascii="微软雅黑" w:hAnsi="微软雅黑" w:eastAsia="微软雅黑" w:cs="微软雅黑"/>
                <w:color w:val="auto"/>
                <w:sz w:val="28"/>
                <w:szCs w:val="28"/>
                <w:highlight w:val="none"/>
                <w:vertAlign w:val="baseline"/>
                <w:lang w:val="en-US" w:eastAsia="zh-CN"/>
              </w:rPr>
              <w:t>大米</w:t>
            </w:r>
          </w:p>
        </w:tc>
        <w:tc>
          <w:tcPr>
            <w:tcW w:w="2505" w:type="dxa"/>
            <w:noWrap w:val="0"/>
            <w:vAlign w:val="top"/>
          </w:tcPr>
          <w:p w14:paraId="0C4F33BB">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250</w:t>
            </w:r>
          </w:p>
        </w:tc>
        <w:tc>
          <w:tcPr>
            <w:tcW w:w="3517" w:type="dxa"/>
            <w:noWrap w:val="0"/>
            <w:vAlign w:val="top"/>
          </w:tcPr>
          <w:p w14:paraId="2FBF0CA3">
            <w:pPr>
              <w:keepNext w:val="0"/>
              <w:keepLines w:val="0"/>
              <w:pageBreakBefore w:val="0"/>
              <w:kinsoku/>
              <w:wordWrap/>
              <w:overflowPunct/>
              <w:topLinePunct w:val="0"/>
              <w:autoSpaceDE/>
              <w:autoSpaceDN/>
              <w:bidi w:val="0"/>
              <w:snapToGrid/>
              <w:spacing w:line="620" w:lineRule="exact"/>
              <w:ind w:left="0" w:leftChars="0" w:firstLine="1050" w:firstLineChars="375"/>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10kg/袋</w:t>
            </w:r>
          </w:p>
        </w:tc>
      </w:tr>
      <w:tr w14:paraId="027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89" w:type="dxa"/>
            <w:noWrap w:val="0"/>
            <w:vAlign w:val="top"/>
          </w:tcPr>
          <w:p w14:paraId="614CDD39">
            <w:pPr>
              <w:keepNext w:val="0"/>
              <w:keepLines w:val="0"/>
              <w:pageBreakBefore w:val="0"/>
              <w:kinsoku/>
              <w:wordWrap/>
              <w:overflowPunct/>
              <w:topLinePunct w:val="0"/>
              <w:autoSpaceDE/>
              <w:autoSpaceDN/>
              <w:bidi w:val="0"/>
              <w:snapToGrid/>
              <w:spacing w:line="620" w:lineRule="exact"/>
              <w:jc w:val="center"/>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3</w:t>
            </w:r>
          </w:p>
        </w:tc>
        <w:tc>
          <w:tcPr>
            <w:tcW w:w="2175" w:type="dxa"/>
            <w:noWrap w:val="0"/>
            <w:vAlign w:val="top"/>
          </w:tcPr>
          <w:p w14:paraId="21228B05">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highlight w:val="none"/>
                <w:vertAlign w:val="baseline"/>
                <w:lang w:val="en-US" w:eastAsia="zh-CN"/>
              </w:rPr>
            </w:pPr>
            <w:r>
              <w:rPr>
                <w:rFonts w:hint="eastAsia" w:ascii="微软雅黑" w:hAnsi="微软雅黑" w:eastAsia="微软雅黑" w:cs="微软雅黑"/>
                <w:color w:val="auto"/>
                <w:sz w:val="28"/>
                <w:szCs w:val="28"/>
                <w:highlight w:val="none"/>
                <w:vertAlign w:val="baseline"/>
                <w:lang w:val="en-US" w:eastAsia="zh-CN"/>
              </w:rPr>
              <w:t>面粉</w:t>
            </w:r>
          </w:p>
        </w:tc>
        <w:tc>
          <w:tcPr>
            <w:tcW w:w="2505" w:type="dxa"/>
            <w:noWrap w:val="0"/>
            <w:vAlign w:val="top"/>
          </w:tcPr>
          <w:p w14:paraId="3BA7323D">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5280</w:t>
            </w:r>
          </w:p>
        </w:tc>
        <w:tc>
          <w:tcPr>
            <w:tcW w:w="3517" w:type="dxa"/>
            <w:noWrap w:val="0"/>
            <w:vAlign w:val="top"/>
          </w:tcPr>
          <w:p w14:paraId="2E58CD4E">
            <w:pPr>
              <w:keepNext w:val="0"/>
              <w:keepLines w:val="0"/>
              <w:pageBreakBefore w:val="0"/>
              <w:kinsoku/>
              <w:wordWrap/>
              <w:overflowPunct/>
              <w:topLinePunct w:val="0"/>
              <w:autoSpaceDE/>
              <w:autoSpaceDN/>
              <w:bidi w:val="0"/>
              <w:snapToGrid/>
              <w:spacing w:line="620" w:lineRule="exact"/>
              <w:ind w:left="0" w:leftChars="0" w:firstLine="1050" w:firstLineChars="375"/>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25kg/袋</w:t>
            </w:r>
          </w:p>
        </w:tc>
      </w:tr>
      <w:tr w14:paraId="0FEC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089" w:type="dxa"/>
            <w:noWrap w:val="0"/>
            <w:vAlign w:val="top"/>
          </w:tcPr>
          <w:p w14:paraId="4E0DEE27">
            <w:pPr>
              <w:keepNext w:val="0"/>
              <w:keepLines w:val="0"/>
              <w:pageBreakBefore w:val="0"/>
              <w:kinsoku/>
              <w:wordWrap/>
              <w:overflowPunct/>
              <w:topLinePunct w:val="0"/>
              <w:autoSpaceDE/>
              <w:autoSpaceDN/>
              <w:bidi w:val="0"/>
              <w:snapToGrid/>
              <w:spacing w:line="620" w:lineRule="exact"/>
              <w:jc w:val="center"/>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4</w:t>
            </w:r>
          </w:p>
        </w:tc>
        <w:tc>
          <w:tcPr>
            <w:tcW w:w="2175" w:type="dxa"/>
            <w:noWrap w:val="0"/>
            <w:vAlign w:val="top"/>
          </w:tcPr>
          <w:p w14:paraId="4BA6B2C9">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highlight w:val="none"/>
                <w:vertAlign w:val="baseline"/>
                <w:lang w:val="en-US" w:eastAsia="zh-CN"/>
              </w:rPr>
            </w:pPr>
            <w:r>
              <w:rPr>
                <w:rFonts w:hint="eastAsia" w:ascii="微软雅黑" w:hAnsi="微软雅黑" w:eastAsia="微软雅黑" w:cs="微软雅黑"/>
                <w:color w:val="auto"/>
                <w:sz w:val="28"/>
                <w:szCs w:val="28"/>
                <w:highlight w:val="none"/>
                <w:vertAlign w:val="baseline"/>
                <w:lang w:val="en-US" w:eastAsia="zh-CN"/>
              </w:rPr>
              <w:t>面粉</w:t>
            </w:r>
          </w:p>
        </w:tc>
        <w:tc>
          <w:tcPr>
            <w:tcW w:w="2505" w:type="dxa"/>
            <w:noWrap w:val="0"/>
            <w:vAlign w:val="top"/>
          </w:tcPr>
          <w:p w14:paraId="1C4102E9">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250</w:t>
            </w:r>
          </w:p>
        </w:tc>
        <w:tc>
          <w:tcPr>
            <w:tcW w:w="3517" w:type="dxa"/>
            <w:noWrap w:val="0"/>
            <w:vAlign w:val="top"/>
          </w:tcPr>
          <w:p w14:paraId="15FB2D9B">
            <w:pPr>
              <w:keepNext w:val="0"/>
              <w:keepLines w:val="0"/>
              <w:pageBreakBefore w:val="0"/>
              <w:kinsoku/>
              <w:wordWrap/>
              <w:overflowPunct/>
              <w:topLinePunct w:val="0"/>
              <w:autoSpaceDE/>
              <w:autoSpaceDN/>
              <w:bidi w:val="0"/>
              <w:snapToGrid/>
              <w:spacing w:line="620" w:lineRule="exact"/>
              <w:ind w:left="0" w:leftChars="0" w:firstLine="1050" w:firstLineChars="375"/>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10kg/袋</w:t>
            </w:r>
          </w:p>
        </w:tc>
      </w:tr>
      <w:tr w14:paraId="0978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89" w:type="dxa"/>
            <w:noWrap w:val="0"/>
            <w:vAlign w:val="top"/>
          </w:tcPr>
          <w:p w14:paraId="3A12A4B8">
            <w:pPr>
              <w:keepNext w:val="0"/>
              <w:keepLines w:val="0"/>
              <w:pageBreakBefore w:val="0"/>
              <w:kinsoku/>
              <w:wordWrap/>
              <w:overflowPunct/>
              <w:topLinePunct w:val="0"/>
              <w:autoSpaceDE/>
              <w:autoSpaceDN/>
              <w:bidi w:val="0"/>
              <w:snapToGrid/>
              <w:spacing w:line="620" w:lineRule="exact"/>
              <w:jc w:val="center"/>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5</w:t>
            </w:r>
          </w:p>
        </w:tc>
        <w:tc>
          <w:tcPr>
            <w:tcW w:w="2175" w:type="dxa"/>
            <w:noWrap w:val="0"/>
            <w:vAlign w:val="top"/>
          </w:tcPr>
          <w:p w14:paraId="780798DC">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highlight w:val="none"/>
                <w:vertAlign w:val="baseline"/>
                <w:lang w:val="en-US" w:eastAsia="zh-CN"/>
              </w:rPr>
            </w:pPr>
            <w:r>
              <w:rPr>
                <w:rFonts w:hint="eastAsia" w:ascii="微软雅黑" w:hAnsi="微软雅黑" w:eastAsia="微软雅黑" w:cs="微软雅黑"/>
                <w:color w:val="auto"/>
                <w:sz w:val="28"/>
                <w:szCs w:val="28"/>
                <w:highlight w:val="none"/>
                <w:vertAlign w:val="baseline"/>
                <w:lang w:val="en-US" w:eastAsia="zh-CN"/>
              </w:rPr>
              <w:t>玉米面</w:t>
            </w:r>
          </w:p>
        </w:tc>
        <w:tc>
          <w:tcPr>
            <w:tcW w:w="2505" w:type="dxa"/>
            <w:noWrap w:val="0"/>
            <w:vAlign w:val="top"/>
          </w:tcPr>
          <w:p w14:paraId="6F7F165D">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686</w:t>
            </w:r>
          </w:p>
        </w:tc>
        <w:tc>
          <w:tcPr>
            <w:tcW w:w="3517" w:type="dxa"/>
            <w:noWrap w:val="0"/>
            <w:vAlign w:val="top"/>
          </w:tcPr>
          <w:p w14:paraId="7FA8712F">
            <w:pPr>
              <w:keepNext w:val="0"/>
              <w:keepLines w:val="0"/>
              <w:pageBreakBefore w:val="0"/>
              <w:kinsoku/>
              <w:wordWrap/>
              <w:overflowPunct/>
              <w:topLinePunct w:val="0"/>
              <w:autoSpaceDE/>
              <w:autoSpaceDN/>
              <w:bidi w:val="0"/>
              <w:snapToGrid/>
              <w:spacing w:line="620" w:lineRule="exact"/>
              <w:ind w:left="0" w:leftChars="0" w:firstLine="1050" w:firstLineChars="375"/>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25kg/袋</w:t>
            </w:r>
          </w:p>
        </w:tc>
      </w:tr>
      <w:tr w14:paraId="22F0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89" w:type="dxa"/>
            <w:noWrap w:val="0"/>
            <w:vAlign w:val="top"/>
          </w:tcPr>
          <w:p w14:paraId="5BAEA510">
            <w:pPr>
              <w:keepNext w:val="0"/>
              <w:keepLines w:val="0"/>
              <w:pageBreakBefore w:val="0"/>
              <w:kinsoku/>
              <w:wordWrap/>
              <w:overflowPunct/>
              <w:topLinePunct w:val="0"/>
              <w:autoSpaceDE/>
              <w:autoSpaceDN/>
              <w:bidi w:val="0"/>
              <w:snapToGrid/>
              <w:spacing w:line="620" w:lineRule="exact"/>
              <w:jc w:val="center"/>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6</w:t>
            </w:r>
          </w:p>
        </w:tc>
        <w:tc>
          <w:tcPr>
            <w:tcW w:w="2175" w:type="dxa"/>
            <w:noWrap w:val="0"/>
            <w:vAlign w:val="top"/>
          </w:tcPr>
          <w:p w14:paraId="35867A05">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highlight w:val="none"/>
                <w:vertAlign w:val="baseline"/>
                <w:lang w:val="en-US" w:eastAsia="zh-CN"/>
              </w:rPr>
            </w:pPr>
            <w:r>
              <w:rPr>
                <w:rFonts w:hint="eastAsia" w:ascii="微软雅黑" w:hAnsi="微软雅黑" w:eastAsia="微软雅黑" w:cs="微软雅黑"/>
                <w:color w:val="auto"/>
                <w:sz w:val="28"/>
                <w:szCs w:val="28"/>
                <w:highlight w:val="none"/>
                <w:vertAlign w:val="baseline"/>
                <w:lang w:val="en-US" w:eastAsia="zh-CN"/>
              </w:rPr>
              <w:t>玉米面</w:t>
            </w:r>
          </w:p>
        </w:tc>
        <w:tc>
          <w:tcPr>
            <w:tcW w:w="2505" w:type="dxa"/>
            <w:noWrap w:val="0"/>
            <w:vAlign w:val="top"/>
          </w:tcPr>
          <w:p w14:paraId="0D56AF4D">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85</w:t>
            </w:r>
          </w:p>
        </w:tc>
        <w:tc>
          <w:tcPr>
            <w:tcW w:w="3517" w:type="dxa"/>
            <w:noWrap w:val="0"/>
            <w:vAlign w:val="top"/>
          </w:tcPr>
          <w:p w14:paraId="32AE24C2">
            <w:pPr>
              <w:keepNext w:val="0"/>
              <w:keepLines w:val="0"/>
              <w:pageBreakBefore w:val="0"/>
              <w:kinsoku/>
              <w:wordWrap/>
              <w:overflowPunct/>
              <w:topLinePunct w:val="0"/>
              <w:autoSpaceDE/>
              <w:autoSpaceDN/>
              <w:bidi w:val="0"/>
              <w:snapToGrid/>
              <w:spacing w:line="620" w:lineRule="exact"/>
              <w:ind w:left="0" w:leftChars="0" w:firstLine="1050" w:firstLineChars="375"/>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10kg/袋</w:t>
            </w:r>
          </w:p>
        </w:tc>
      </w:tr>
      <w:tr w14:paraId="40A2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noWrap w:val="0"/>
            <w:vAlign w:val="top"/>
          </w:tcPr>
          <w:p w14:paraId="124E7A72">
            <w:pPr>
              <w:keepNext w:val="0"/>
              <w:keepLines w:val="0"/>
              <w:pageBreakBefore w:val="0"/>
              <w:kinsoku/>
              <w:wordWrap/>
              <w:overflowPunct/>
              <w:topLinePunct w:val="0"/>
              <w:autoSpaceDE/>
              <w:autoSpaceDN/>
              <w:bidi w:val="0"/>
              <w:snapToGrid/>
              <w:spacing w:line="620" w:lineRule="exact"/>
              <w:jc w:val="center"/>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7</w:t>
            </w:r>
          </w:p>
        </w:tc>
        <w:tc>
          <w:tcPr>
            <w:tcW w:w="2175" w:type="dxa"/>
            <w:noWrap w:val="0"/>
            <w:vAlign w:val="top"/>
          </w:tcPr>
          <w:p w14:paraId="0BD3C6B6">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highlight w:val="none"/>
                <w:vertAlign w:val="baseline"/>
                <w:lang w:val="en-US" w:eastAsia="zh-CN"/>
              </w:rPr>
            </w:pPr>
            <w:r>
              <w:rPr>
                <w:rFonts w:hint="eastAsia" w:ascii="微软雅黑" w:hAnsi="微软雅黑" w:eastAsia="微软雅黑" w:cs="微软雅黑"/>
                <w:color w:val="auto"/>
                <w:sz w:val="28"/>
                <w:szCs w:val="28"/>
                <w:highlight w:val="none"/>
                <w:vertAlign w:val="baseline"/>
                <w:lang w:val="en-US" w:eastAsia="zh-CN"/>
              </w:rPr>
              <w:t>菜籽油</w:t>
            </w:r>
          </w:p>
        </w:tc>
        <w:tc>
          <w:tcPr>
            <w:tcW w:w="2505" w:type="dxa"/>
            <w:noWrap w:val="0"/>
            <w:vAlign w:val="top"/>
          </w:tcPr>
          <w:p w14:paraId="1603D97E">
            <w:pPr>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7261</w:t>
            </w:r>
          </w:p>
        </w:tc>
        <w:tc>
          <w:tcPr>
            <w:tcW w:w="3517" w:type="dxa"/>
            <w:noWrap w:val="0"/>
            <w:vAlign w:val="top"/>
          </w:tcPr>
          <w:p w14:paraId="6571175F">
            <w:pPr>
              <w:keepNext w:val="0"/>
              <w:keepLines w:val="0"/>
              <w:pageBreakBefore w:val="0"/>
              <w:kinsoku/>
              <w:wordWrap/>
              <w:overflowPunct/>
              <w:topLinePunct w:val="0"/>
              <w:autoSpaceDE/>
              <w:autoSpaceDN/>
              <w:bidi w:val="0"/>
              <w:snapToGrid/>
              <w:spacing w:line="620" w:lineRule="exact"/>
              <w:ind w:firstLine="1120" w:firstLineChars="400"/>
              <w:jc w:val="both"/>
              <w:rPr>
                <w:rFonts w:hint="eastAsia" w:ascii="微软雅黑" w:hAnsi="微软雅黑" w:eastAsia="微软雅黑" w:cs="微软雅黑"/>
                <w:color w:val="auto"/>
                <w:sz w:val="28"/>
                <w:szCs w:val="28"/>
                <w:vertAlign w:val="baseline"/>
                <w:lang w:val="en-US" w:eastAsia="zh-CN"/>
              </w:rPr>
            </w:pPr>
            <w:r>
              <w:rPr>
                <w:rFonts w:hint="eastAsia" w:ascii="微软雅黑" w:hAnsi="微软雅黑" w:eastAsia="微软雅黑" w:cs="微软雅黑"/>
                <w:color w:val="auto"/>
                <w:sz w:val="28"/>
                <w:szCs w:val="28"/>
                <w:vertAlign w:val="baseline"/>
                <w:lang w:val="en-US" w:eastAsia="zh-CN"/>
              </w:rPr>
              <w:t>桶</w:t>
            </w:r>
          </w:p>
        </w:tc>
      </w:tr>
    </w:tbl>
    <w:p w14:paraId="0A02147E">
      <w:pPr>
        <w:pStyle w:val="7"/>
        <w:keepNext w:val="0"/>
        <w:keepLines w:val="0"/>
        <w:pageBreakBefore w:val="0"/>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1、大米一批：</w:t>
      </w:r>
      <w:r>
        <w:rPr>
          <w:rFonts w:hint="eastAsia" w:ascii="微软雅黑" w:hAnsi="微软雅黑" w:eastAsia="微软雅黑" w:cs="微软雅黑"/>
          <w:b w:val="0"/>
          <w:bCs w:val="0"/>
          <w:color w:val="000000"/>
          <w:kern w:val="0"/>
          <w:sz w:val="28"/>
          <w:szCs w:val="28"/>
          <w:lang w:val="en-US" w:eastAsia="zh-CN" w:bidi="ar"/>
        </w:rPr>
        <w:t>每袋分别25公斤、10公斤等两种袋装，大米（籼米、粳米等）。米质颗粒饱满，有清香味，无麸皮等杂质，碎米占比少。送货时一并提供该批货品的检验报告单，送达的货物不能过期，并保证该批货品不过期、不变质、不变味、无杂质、无毒无害，符合国家食品卫生相关规定。否则由此产生的经济损失由乙方承担，并负相关的法律责任，必须符合国家相关之条款要求，每袋上需有产地、批号、有效期等标识。</w:t>
      </w:r>
    </w:p>
    <w:p w14:paraId="4E1F46BF">
      <w:pPr>
        <w:ind w:left="0" w:leftChars="0" w:firstLine="597" w:firstLineChars="213"/>
        <w:rPr>
          <w:rFonts w:hint="eastAsia" w:ascii="微软雅黑" w:hAnsi="微软雅黑" w:eastAsia="微软雅黑" w:cs="微软雅黑"/>
          <w:sz w:val="28"/>
          <w:szCs w:val="28"/>
          <w:lang w:val="en-US" w:eastAsia="zh-CN"/>
        </w:rPr>
      </w:pPr>
      <w:r>
        <w:rPr>
          <w:rFonts w:hint="eastAsia" w:ascii="微软雅黑" w:hAnsi="微软雅黑" w:eastAsia="微软雅黑" w:cs="微软雅黑"/>
          <w:b/>
          <w:bCs/>
          <w:color w:val="000000"/>
          <w:kern w:val="0"/>
          <w:sz w:val="28"/>
          <w:szCs w:val="28"/>
          <w:lang w:val="en-US" w:eastAsia="zh-CN" w:bidi="ar"/>
        </w:rPr>
        <w:t>★大米执行标准：</w:t>
      </w:r>
      <w:r>
        <w:rPr>
          <w:rFonts w:hint="eastAsia" w:ascii="微软雅黑" w:hAnsi="微软雅黑" w:eastAsia="微软雅黑" w:cs="微软雅黑"/>
          <w:b w:val="0"/>
          <w:bCs w:val="0"/>
          <w:color w:val="000000"/>
          <w:kern w:val="0"/>
          <w:sz w:val="28"/>
          <w:szCs w:val="28"/>
          <w:lang w:val="en-US" w:eastAsia="zh-CN" w:bidi="ar"/>
        </w:rPr>
        <w:t>国标一级，质量达到GB/T1354-2018标准，拥有SC食品质量安全认证，须袋装。</w:t>
      </w:r>
    </w:p>
    <w:p w14:paraId="410A2D48">
      <w:pPr>
        <w:pStyle w:val="7"/>
        <w:keepNext w:val="0"/>
        <w:keepLines w:val="0"/>
        <w:pageBreakBefore w:val="0"/>
        <w:numPr>
          <w:ilvl w:val="0"/>
          <w:numId w:val="9"/>
        </w:numPr>
        <w:kinsoku/>
        <w:wordWrap/>
        <w:overflowPunct/>
        <w:topLinePunct w:val="0"/>
        <w:autoSpaceDE/>
        <w:autoSpaceDN/>
        <w:bidi w:val="0"/>
        <w:snapToGrid/>
        <w:spacing w:line="620" w:lineRule="exact"/>
        <w:ind w:left="0" w:leftChars="0" w:firstLine="597" w:firstLineChars="213"/>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面粉一批：</w:t>
      </w:r>
      <w:r>
        <w:rPr>
          <w:rFonts w:hint="eastAsia" w:ascii="微软雅黑" w:hAnsi="微软雅黑" w:eastAsia="微软雅黑" w:cs="微软雅黑"/>
          <w:b w:val="0"/>
          <w:bCs w:val="0"/>
          <w:color w:val="000000"/>
          <w:kern w:val="0"/>
          <w:sz w:val="28"/>
          <w:szCs w:val="28"/>
          <w:lang w:val="en-US" w:eastAsia="zh-CN" w:bidi="ar"/>
        </w:rPr>
        <w:t>特一面粉，每袋分别25公斤、10公斤等两种袋装。</w:t>
      </w:r>
      <w:r>
        <w:rPr>
          <w:rFonts w:hint="eastAsia" w:ascii="微软雅黑" w:hAnsi="微软雅黑" w:eastAsia="微软雅黑" w:cs="微软雅黑"/>
          <w:spacing w:val="-12"/>
          <w:sz w:val="28"/>
          <w:szCs w:val="28"/>
        </w:rPr>
        <w:t>干净无害，无异味、</w:t>
      </w:r>
      <w:r>
        <w:rPr>
          <w:rFonts w:hint="eastAsia" w:ascii="微软雅黑" w:hAnsi="微软雅黑" w:eastAsia="微软雅黑" w:cs="微软雅黑"/>
          <w:spacing w:val="-2"/>
          <w:sz w:val="28"/>
          <w:szCs w:val="28"/>
        </w:rPr>
        <w:t>异物、结块、杂质或霉点。严禁提供陈旧面粉。</w:t>
      </w:r>
      <w:r>
        <w:rPr>
          <w:rFonts w:hint="eastAsia" w:ascii="微软雅黑" w:hAnsi="微软雅黑" w:eastAsia="微软雅黑" w:cs="微软雅黑"/>
          <w:b w:val="0"/>
          <w:bCs w:val="0"/>
          <w:color w:val="000000"/>
          <w:kern w:val="0"/>
          <w:sz w:val="28"/>
          <w:szCs w:val="28"/>
          <w:lang w:val="en-US" w:eastAsia="zh-CN" w:bidi="ar"/>
        </w:rPr>
        <w:t>送货时一并提供该批货品的检验报告单，送达的货物不能过期，并保证不变质、不变味、无杂质、无毒无害，符合国家食品卫生相关规定、否则由此产生的经济损失由乙方承担，并负相关的法律责任，其他必须符合国家相关之条款要求，每袋上需有产地、批号、有效期等标识。</w:t>
      </w:r>
    </w:p>
    <w:p w14:paraId="582F2ED6">
      <w:pPr>
        <w:numPr>
          <w:ilvl w:val="0"/>
          <w:numId w:val="0"/>
        </w:numPr>
        <w:ind w:left="0" w:leftChars="0" w:firstLine="597" w:firstLineChars="213"/>
        <w:rPr>
          <w:rFonts w:hint="eastAsia" w:ascii="微软雅黑" w:hAnsi="微软雅黑" w:eastAsia="微软雅黑" w:cs="微软雅黑"/>
          <w:sz w:val="28"/>
          <w:szCs w:val="28"/>
          <w:lang w:val="en-US" w:eastAsia="zh-CN"/>
        </w:rPr>
      </w:pPr>
      <w:r>
        <w:rPr>
          <w:rFonts w:hint="eastAsia" w:ascii="微软雅黑" w:hAnsi="微软雅黑" w:eastAsia="微软雅黑" w:cs="微软雅黑"/>
          <w:b/>
          <w:bCs/>
          <w:color w:val="000000"/>
          <w:kern w:val="0"/>
          <w:sz w:val="28"/>
          <w:szCs w:val="28"/>
          <w:lang w:val="en-US" w:eastAsia="zh-CN" w:bidi="ar"/>
        </w:rPr>
        <w:t>★面粉执行标准：</w:t>
      </w:r>
      <w:r>
        <w:rPr>
          <w:rFonts w:hint="eastAsia" w:ascii="微软雅黑" w:hAnsi="微软雅黑" w:eastAsia="微软雅黑" w:cs="微软雅黑"/>
          <w:b w:val="0"/>
          <w:bCs w:val="0"/>
          <w:color w:val="000000"/>
          <w:kern w:val="0"/>
          <w:sz w:val="28"/>
          <w:szCs w:val="28"/>
          <w:lang w:val="en-US" w:eastAsia="zh-CN" w:bidi="ar"/>
        </w:rPr>
        <w:t>符合</w:t>
      </w:r>
      <w:r>
        <w:rPr>
          <w:rFonts w:hint="eastAsia" w:ascii="微软雅黑" w:hAnsi="微软雅黑" w:eastAsia="微软雅黑" w:cs="微软雅黑"/>
          <w:spacing w:val="-1"/>
          <w:sz w:val="28"/>
          <w:szCs w:val="28"/>
        </w:rPr>
        <w:t>国标一级，质量达到GB/T1355-2021标准，拥有</w:t>
      </w:r>
      <w:r>
        <w:rPr>
          <w:rFonts w:hint="eastAsia" w:ascii="微软雅黑" w:hAnsi="微软雅黑" w:eastAsia="微软雅黑" w:cs="微软雅黑"/>
          <w:spacing w:val="-12"/>
          <w:sz w:val="28"/>
          <w:szCs w:val="28"/>
        </w:rPr>
        <w:t>SC食品质量安全认证，须袋装。</w:t>
      </w:r>
    </w:p>
    <w:p w14:paraId="470B63E8">
      <w:pPr>
        <w:pStyle w:val="7"/>
        <w:keepNext w:val="0"/>
        <w:keepLines w:val="0"/>
        <w:pageBreakBefore w:val="0"/>
        <w:numPr>
          <w:ilvl w:val="0"/>
          <w:numId w:val="9"/>
        </w:numPr>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玉米面一批：</w:t>
      </w:r>
      <w:r>
        <w:rPr>
          <w:rFonts w:hint="eastAsia" w:ascii="微软雅黑" w:hAnsi="微软雅黑" w:eastAsia="微软雅黑" w:cs="微软雅黑"/>
          <w:b w:val="0"/>
          <w:bCs w:val="0"/>
          <w:color w:val="000000"/>
          <w:kern w:val="0"/>
          <w:sz w:val="28"/>
          <w:szCs w:val="28"/>
          <w:lang w:val="en-US" w:eastAsia="zh-CN" w:bidi="ar"/>
        </w:rPr>
        <w:t>玉米面每袋分别25公斤、10公斤等两种袋装。</w:t>
      </w:r>
      <w:r>
        <w:rPr>
          <w:rFonts w:hint="eastAsia" w:ascii="微软雅黑" w:hAnsi="微软雅黑" w:eastAsia="微软雅黑" w:cs="微软雅黑"/>
          <w:spacing w:val="-12"/>
          <w:sz w:val="28"/>
          <w:szCs w:val="28"/>
        </w:rPr>
        <w:t>干净无害，无异味、</w:t>
      </w:r>
      <w:r>
        <w:rPr>
          <w:rFonts w:hint="eastAsia" w:ascii="微软雅黑" w:hAnsi="微软雅黑" w:eastAsia="微软雅黑" w:cs="微软雅黑"/>
          <w:spacing w:val="-2"/>
          <w:sz w:val="28"/>
          <w:szCs w:val="28"/>
        </w:rPr>
        <w:t>异物、结块、杂质或霉点。严禁提供陈旧面粉。</w:t>
      </w:r>
      <w:r>
        <w:rPr>
          <w:rFonts w:hint="eastAsia" w:ascii="微软雅黑" w:hAnsi="微软雅黑" w:eastAsia="微软雅黑" w:cs="微软雅黑"/>
          <w:b w:val="0"/>
          <w:bCs w:val="0"/>
          <w:color w:val="000000"/>
          <w:kern w:val="0"/>
          <w:sz w:val="28"/>
          <w:szCs w:val="28"/>
          <w:lang w:val="en-US" w:eastAsia="zh-CN" w:bidi="ar"/>
        </w:rPr>
        <w:t>送货时一并提供该批货品的检验报告单，送达的货物不能过期，并保证不变质、不变味、无杂质、无毒无害，符合国家食品卫生相关规定、否则由此产生的经济损失由乙方承担，并负相关的法律责任，其他必须符合国家相关之条款要求，每袋上需有产地、批号、有效期等标识。</w:t>
      </w:r>
    </w:p>
    <w:p w14:paraId="00D4FF5C">
      <w:pPr>
        <w:numPr>
          <w:ilvl w:val="0"/>
          <w:numId w:val="0"/>
        </w:numPr>
        <w:ind w:left="10" w:leftChars="0" w:firstLine="585" w:firstLineChars="209"/>
        <w:rPr>
          <w:rFonts w:hint="eastAsia" w:ascii="微软雅黑" w:hAnsi="微软雅黑" w:eastAsia="微软雅黑" w:cs="微软雅黑"/>
          <w:sz w:val="28"/>
          <w:szCs w:val="28"/>
          <w:lang w:val="en-US" w:eastAsia="zh-CN"/>
        </w:rPr>
      </w:pPr>
      <w:r>
        <w:rPr>
          <w:rFonts w:hint="eastAsia" w:ascii="微软雅黑" w:hAnsi="微软雅黑" w:eastAsia="微软雅黑" w:cs="微软雅黑"/>
          <w:b/>
          <w:bCs/>
          <w:color w:val="000000"/>
          <w:kern w:val="0"/>
          <w:sz w:val="28"/>
          <w:szCs w:val="28"/>
          <w:lang w:val="en-US" w:eastAsia="zh-CN" w:bidi="ar"/>
        </w:rPr>
        <w:t>★玉米面执行标准：</w:t>
      </w:r>
      <w:r>
        <w:rPr>
          <w:rFonts w:hint="eastAsia" w:ascii="微软雅黑" w:hAnsi="微软雅黑" w:eastAsia="微软雅黑" w:cs="微软雅黑"/>
          <w:spacing w:val="-1"/>
          <w:sz w:val="28"/>
          <w:szCs w:val="28"/>
        </w:rPr>
        <w:t>国标一级，质量达到GB/T1355-2021标准，拥有</w:t>
      </w:r>
      <w:r>
        <w:rPr>
          <w:rFonts w:hint="eastAsia" w:ascii="微软雅黑" w:hAnsi="微软雅黑" w:eastAsia="微软雅黑" w:cs="微软雅黑"/>
          <w:spacing w:val="-12"/>
          <w:sz w:val="28"/>
          <w:szCs w:val="28"/>
        </w:rPr>
        <w:t>SC食品质量安全认证，须袋装。</w:t>
      </w:r>
    </w:p>
    <w:p w14:paraId="09889A10">
      <w:pPr>
        <w:pStyle w:val="7"/>
        <w:keepNext w:val="0"/>
        <w:keepLines w:val="0"/>
        <w:pageBreakBefore w:val="0"/>
        <w:numPr>
          <w:ilvl w:val="0"/>
          <w:numId w:val="9"/>
        </w:numPr>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菜籽油一批：</w:t>
      </w:r>
      <w:r>
        <w:rPr>
          <w:rFonts w:hint="eastAsia" w:ascii="微软雅黑" w:hAnsi="微软雅黑" w:eastAsia="微软雅黑" w:cs="微软雅黑"/>
          <w:spacing w:val="3"/>
          <w:sz w:val="28"/>
          <w:szCs w:val="28"/>
        </w:rPr>
        <w:t>菜籽油具有菜籽原油的固有气味和滋味，无异味。检验合格，塑化剂不能超标。</w:t>
      </w:r>
      <w:r>
        <w:rPr>
          <w:rFonts w:hint="eastAsia" w:ascii="微软雅黑" w:hAnsi="微软雅黑" w:eastAsia="微软雅黑" w:cs="微软雅黑"/>
          <w:b w:val="0"/>
          <w:bCs w:val="0"/>
          <w:color w:val="000000"/>
          <w:kern w:val="0"/>
          <w:sz w:val="28"/>
          <w:szCs w:val="28"/>
          <w:lang w:val="en-US" w:eastAsia="zh-CN" w:bidi="ar"/>
        </w:rPr>
        <w:t>每桶5升，送货时一并提供该批货品的检验报告单，送达的货物不能过期，符合国家食品卫生相关规定，否则由此产生的经济损失由乙方承担，并负相关的法律责任，其他必须符合国家相关之条款要求，每一批次要有质检报告，每桶上需有产地、批号、有效期等标识。</w:t>
      </w:r>
    </w:p>
    <w:p w14:paraId="4DC7F0D7">
      <w:pPr>
        <w:numPr>
          <w:ilvl w:val="0"/>
          <w:numId w:val="0"/>
        </w:numPr>
        <w:ind w:left="10" w:leftChars="0" w:firstLine="585" w:firstLineChars="209"/>
        <w:rPr>
          <w:rFonts w:hint="eastAsia" w:ascii="微软雅黑" w:hAnsi="微软雅黑" w:eastAsia="微软雅黑" w:cs="微软雅黑"/>
          <w:sz w:val="28"/>
          <w:szCs w:val="28"/>
          <w:lang w:val="en-US" w:eastAsia="zh-CN"/>
        </w:rPr>
      </w:pPr>
      <w:r>
        <w:rPr>
          <w:rFonts w:hint="eastAsia" w:ascii="微软雅黑" w:hAnsi="微软雅黑" w:eastAsia="微软雅黑" w:cs="微软雅黑"/>
          <w:b/>
          <w:bCs/>
          <w:color w:val="000000"/>
          <w:kern w:val="0"/>
          <w:sz w:val="28"/>
          <w:szCs w:val="28"/>
          <w:lang w:val="en-US" w:eastAsia="zh-CN" w:bidi="ar"/>
        </w:rPr>
        <w:t>★菜籽油执行标准：</w:t>
      </w:r>
      <w:r>
        <w:rPr>
          <w:rFonts w:hint="eastAsia" w:ascii="微软雅黑" w:hAnsi="微软雅黑" w:eastAsia="微软雅黑" w:cs="微软雅黑"/>
          <w:spacing w:val="-1"/>
          <w:sz w:val="28"/>
          <w:szCs w:val="28"/>
        </w:rPr>
        <w:t>质量达到GB1536-2004标准，国标三级及以上</w:t>
      </w:r>
      <w:r>
        <w:rPr>
          <w:rFonts w:hint="eastAsia" w:ascii="微软雅黑" w:hAnsi="微软雅黑" w:eastAsia="微软雅黑" w:cs="微软雅黑"/>
          <w:spacing w:val="-1"/>
          <w:sz w:val="28"/>
          <w:szCs w:val="28"/>
          <w:lang w:eastAsia="zh-CN"/>
        </w:rPr>
        <w:t>，</w:t>
      </w:r>
      <w:r>
        <w:rPr>
          <w:rFonts w:hint="eastAsia" w:ascii="微软雅黑" w:hAnsi="微软雅黑" w:eastAsia="微软雅黑" w:cs="微软雅黑"/>
          <w:spacing w:val="-4"/>
          <w:sz w:val="28"/>
          <w:szCs w:val="28"/>
        </w:rPr>
        <w:t>并拥</w:t>
      </w:r>
      <w:r>
        <w:rPr>
          <w:rFonts w:hint="eastAsia" w:ascii="微软雅黑" w:hAnsi="微软雅黑" w:eastAsia="微软雅黑" w:cs="微软雅黑"/>
          <w:spacing w:val="-4"/>
          <w:sz w:val="28"/>
          <w:szCs w:val="28"/>
          <w:lang w:val="en-US" w:eastAsia="zh-CN"/>
        </w:rPr>
        <w:t>有</w:t>
      </w:r>
      <w:r>
        <w:rPr>
          <w:rFonts w:hint="eastAsia" w:ascii="微软雅黑" w:hAnsi="微软雅黑" w:eastAsia="微软雅黑" w:cs="微软雅黑"/>
          <w:spacing w:val="-4"/>
          <w:sz w:val="28"/>
          <w:szCs w:val="28"/>
        </w:rPr>
        <w:t>SC食品质量安全认证，非转基因食用菜籽油、</w:t>
      </w:r>
      <w:r>
        <w:rPr>
          <w:rFonts w:hint="eastAsia" w:ascii="微软雅黑" w:hAnsi="微软雅黑" w:eastAsia="微软雅黑" w:cs="微软雅黑"/>
          <w:spacing w:val="3"/>
          <w:sz w:val="28"/>
          <w:szCs w:val="28"/>
        </w:rPr>
        <w:t>调和油。</w:t>
      </w:r>
    </w:p>
    <w:bookmarkEnd w:id="436"/>
    <w:p w14:paraId="55263B40">
      <w:pPr>
        <w:keepNext w:val="0"/>
        <w:keepLines w:val="0"/>
        <w:pageBreakBefore w:val="0"/>
        <w:widowControl/>
        <w:kinsoku w:val="0"/>
        <w:wordWrap/>
        <w:overflowPunct/>
        <w:topLinePunct w:val="0"/>
        <w:autoSpaceDE w:val="0"/>
        <w:autoSpaceDN w:val="0"/>
        <w:bidi w:val="0"/>
        <w:adjustRightInd w:val="0"/>
        <w:snapToGrid w:val="0"/>
        <w:spacing w:before="163" w:line="201" w:lineRule="auto"/>
        <w:ind w:left="496"/>
        <w:jc w:val="both"/>
        <w:textAlignment w:val="baseline"/>
        <w:rPr>
          <w:rFonts w:hint="eastAsia" w:ascii="微软雅黑" w:hAnsi="微软雅黑" w:eastAsia="微软雅黑" w:cs="微软雅黑"/>
          <w:sz w:val="28"/>
          <w:szCs w:val="28"/>
        </w:rPr>
      </w:pPr>
      <w:r>
        <w:rPr>
          <w:rFonts w:hint="eastAsia" w:ascii="微软雅黑" w:hAnsi="微软雅黑" w:eastAsia="微软雅黑" w:cs="微软雅黑"/>
          <w:b/>
          <w:bCs/>
          <w:color w:val="auto"/>
          <w:kern w:val="0"/>
          <w:sz w:val="28"/>
          <w:szCs w:val="28"/>
          <w:lang w:val="en-US" w:eastAsia="zh-CN" w:bidi="ar"/>
        </w:rPr>
        <w:t>六、</w:t>
      </w:r>
      <w:r>
        <w:rPr>
          <w:rFonts w:hint="eastAsia" w:ascii="微软雅黑" w:hAnsi="微软雅黑" w:eastAsia="微软雅黑" w:cs="微软雅黑"/>
          <w:b/>
          <w:bCs/>
          <w:sz w:val="28"/>
          <w:szCs w:val="28"/>
        </w:rPr>
        <w:t>供应方式</w:t>
      </w:r>
    </w:p>
    <w:p w14:paraId="15F9712B">
      <w:pPr>
        <w:keepNext w:val="0"/>
        <w:keepLines w:val="0"/>
        <w:pageBreakBefore w:val="0"/>
        <w:widowControl/>
        <w:kinsoku w:val="0"/>
        <w:wordWrap/>
        <w:overflowPunct/>
        <w:topLinePunct w:val="0"/>
        <w:autoSpaceDE w:val="0"/>
        <w:autoSpaceDN w:val="0"/>
        <w:bidi w:val="0"/>
        <w:adjustRightInd w:val="0"/>
        <w:snapToGrid w:val="0"/>
        <w:spacing w:before="103" w:line="289" w:lineRule="auto"/>
        <w:ind w:left="3" w:firstLine="495"/>
        <w:jc w:val="both"/>
        <w:textAlignment w:val="baseline"/>
        <w:rPr>
          <w:rFonts w:hint="eastAsia" w:ascii="微软雅黑" w:hAnsi="微软雅黑" w:eastAsia="微软雅黑" w:cs="微软雅黑"/>
          <w:spacing w:val="7"/>
          <w:sz w:val="28"/>
          <w:szCs w:val="28"/>
        </w:rPr>
      </w:pPr>
      <w:r>
        <w:rPr>
          <w:rFonts w:hint="eastAsia" w:ascii="微软雅黑" w:hAnsi="微软雅黑" w:eastAsia="微软雅黑" w:cs="微软雅黑"/>
          <w:spacing w:val="7"/>
          <w:sz w:val="28"/>
          <w:szCs w:val="28"/>
        </w:rPr>
        <w:t>为确保供餐质量，有效降低采购成本，学校（点）食堂实行食品原料采购“统一采购、统一配送”。以乙方为主体全面负责学生食品供应安全，负责学校食品原材料与副食品的采购与配送及食材检验，做好相关自检记录，并按食品安全要求和财务要求向学校提供相关票证。</w:t>
      </w:r>
    </w:p>
    <w:p w14:paraId="0177D9AB">
      <w:pPr>
        <w:keepNext w:val="0"/>
        <w:keepLines w:val="0"/>
        <w:pageBreakBefore w:val="0"/>
        <w:widowControl/>
        <w:suppressLineNumbers w:val="0"/>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七、配送时间、供货地点及其他要求：</w:t>
      </w:r>
    </w:p>
    <w:p w14:paraId="013AD25F">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（一）由各学校根据实际情况制定用餐食谱，乙方按学校提供的食谱进行配送。</w:t>
      </w:r>
    </w:p>
    <w:p w14:paraId="0CF6C2C9">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（二）确定食谱后通知学校提前1-2天把天或周需求量提交给乙方，乙方按学校要求进行配送。</w:t>
      </w:r>
    </w:p>
    <w:p w14:paraId="2ECAB370">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（三）乙方按照学校提供的购货申请单内容和要求进行配送，具体的配送时间根据各个学校的实际情况确定，并随货开据食品原料配送单。</w:t>
      </w:r>
    </w:p>
    <w:p w14:paraId="2BC1018B">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（四）学校食品管理员查验食品原料，校领导审核无误后，分别在食品配送单上签名确认，学校根据配送单做好台账及公示工作。</w:t>
      </w:r>
    </w:p>
    <w:p w14:paraId="5BDBFFF9">
      <w:pPr>
        <w:keepNext w:val="0"/>
        <w:keepLines w:val="0"/>
        <w:pageBreakBefore w:val="0"/>
        <w:widowControl/>
        <w:kinsoku w:val="0"/>
        <w:wordWrap/>
        <w:overflowPunct/>
        <w:topLinePunct w:val="0"/>
        <w:autoSpaceDE w:val="0"/>
        <w:autoSpaceDN w:val="0"/>
        <w:bidi w:val="0"/>
        <w:adjustRightInd w:val="0"/>
        <w:snapToGrid w:val="0"/>
        <w:spacing w:before="103" w:line="620" w:lineRule="exact"/>
        <w:ind w:left="3" w:firstLine="495"/>
        <w:jc w:val="both"/>
        <w:textAlignment w:val="baseline"/>
        <w:rPr>
          <w:rFonts w:hint="eastAsia" w:ascii="微软雅黑" w:hAnsi="微软雅黑" w:eastAsia="微软雅黑" w:cs="微软雅黑"/>
          <w:spacing w:val="7"/>
          <w:sz w:val="28"/>
          <w:szCs w:val="28"/>
        </w:rPr>
      </w:pPr>
      <w:r>
        <w:rPr>
          <w:rFonts w:hint="eastAsia" w:ascii="微软雅黑" w:hAnsi="微软雅黑" w:eastAsia="微软雅黑" w:cs="微软雅黑"/>
          <w:spacing w:val="7"/>
          <w:sz w:val="28"/>
          <w:szCs w:val="28"/>
        </w:rPr>
        <w:t>（五）每月底乙方据实开具税务发票直接与学校结算。</w:t>
      </w:r>
    </w:p>
    <w:p w14:paraId="7060BE4C">
      <w:pPr>
        <w:keepNext w:val="0"/>
        <w:keepLines w:val="0"/>
        <w:pageBreakBefore w:val="0"/>
        <w:widowControl/>
        <w:kinsoku w:val="0"/>
        <w:wordWrap/>
        <w:overflowPunct/>
        <w:topLinePunct w:val="0"/>
        <w:autoSpaceDE w:val="0"/>
        <w:autoSpaceDN w:val="0"/>
        <w:bidi w:val="0"/>
        <w:adjustRightInd w:val="0"/>
        <w:snapToGrid w:val="0"/>
        <w:spacing w:before="103" w:line="620" w:lineRule="exact"/>
        <w:ind w:left="3" w:firstLine="495"/>
        <w:jc w:val="both"/>
        <w:textAlignment w:val="baseline"/>
        <w:rPr>
          <w:rFonts w:hint="eastAsia" w:ascii="微软雅黑" w:hAnsi="微软雅黑" w:eastAsia="微软雅黑" w:cs="微软雅黑"/>
          <w:spacing w:val="7"/>
          <w:sz w:val="28"/>
          <w:szCs w:val="28"/>
        </w:rPr>
      </w:pPr>
      <w:r>
        <w:rPr>
          <w:rFonts w:hint="eastAsia" w:ascii="微软雅黑" w:hAnsi="微软雅黑" w:eastAsia="微软雅黑" w:cs="微软雅黑"/>
          <w:spacing w:val="7"/>
          <w:sz w:val="28"/>
          <w:szCs w:val="28"/>
        </w:rPr>
        <w:t>（六）原料的接收查验。乙方必须按照学校选定的中标品牌供应食品原料，必须确保食品原料的质量。乙方配送食品原料时，必须向采购学校提供产品检验检测相关报告、生产厂家的出厂抽检报告及产品检验合格证等国家规定的其它有效证明材料。</w:t>
      </w:r>
    </w:p>
    <w:p w14:paraId="7456AEA2">
      <w:pPr>
        <w:keepNext w:val="0"/>
        <w:keepLines w:val="0"/>
        <w:pageBreakBefore w:val="0"/>
        <w:widowControl/>
        <w:kinsoku w:val="0"/>
        <w:wordWrap/>
        <w:overflowPunct/>
        <w:topLinePunct w:val="0"/>
        <w:autoSpaceDE w:val="0"/>
        <w:autoSpaceDN w:val="0"/>
        <w:bidi w:val="0"/>
        <w:adjustRightInd w:val="0"/>
        <w:snapToGrid w:val="0"/>
        <w:spacing w:before="103" w:line="620" w:lineRule="exact"/>
        <w:ind w:left="3" w:firstLine="495"/>
        <w:jc w:val="both"/>
        <w:textAlignment w:val="baseline"/>
        <w:rPr>
          <w:rFonts w:hint="eastAsia" w:ascii="微软雅黑" w:hAnsi="微软雅黑" w:eastAsia="微软雅黑" w:cs="微软雅黑"/>
          <w:spacing w:val="7"/>
          <w:sz w:val="28"/>
          <w:szCs w:val="28"/>
        </w:rPr>
      </w:pPr>
      <w:r>
        <w:rPr>
          <w:rFonts w:hint="eastAsia" w:ascii="微软雅黑" w:hAnsi="微软雅黑" w:eastAsia="微软雅黑" w:cs="微软雅黑"/>
          <w:spacing w:val="7"/>
          <w:sz w:val="28"/>
          <w:szCs w:val="28"/>
        </w:rPr>
        <w:t>（七）食品储存。配备必要的食品原料储藏保鲜设施，配备良好的通风、防潮、防鼠、防虫、防蝇、防霉变等设施并能正常使用</w:t>
      </w:r>
      <w:r>
        <w:rPr>
          <w:rFonts w:hint="eastAsia" w:ascii="微软雅黑" w:hAnsi="微软雅黑" w:eastAsia="微软雅黑" w:cs="微软雅黑"/>
          <w:spacing w:val="7"/>
          <w:sz w:val="28"/>
          <w:szCs w:val="28"/>
          <w:lang w:eastAsia="zh-CN"/>
        </w:rPr>
        <w:t>；</w:t>
      </w:r>
      <w:r>
        <w:rPr>
          <w:rFonts w:hint="eastAsia" w:ascii="微软雅黑" w:hAnsi="微软雅黑" w:eastAsia="微软雅黑" w:cs="微软雅黑"/>
          <w:spacing w:val="7"/>
          <w:sz w:val="28"/>
          <w:szCs w:val="28"/>
        </w:rPr>
        <w:t>食品原料储藏应当分类、分架、离地安全管理</w:t>
      </w:r>
      <w:r>
        <w:rPr>
          <w:rFonts w:hint="eastAsia" w:ascii="微软雅黑" w:hAnsi="微软雅黑" w:eastAsia="微软雅黑" w:cs="微软雅黑"/>
          <w:spacing w:val="7"/>
          <w:sz w:val="28"/>
          <w:szCs w:val="28"/>
          <w:lang w:eastAsia="zh-CN"/>
        </w:rPr>
        <w:t>，</w:t>
      </w:r>
      <w:r>
        <w:rPr>
          <w:rFonts w:hint="eastAsia" w:ascii="微软雅黑" w:hAnsi="微软雅黑" w:eastAsia="微软雅黑" w:cs="微软雅黑"/>
          <w:spacing w:val="7"/>
          <w:sz w:val="28"/>
          <w:szCs w:val="28"/>
        </w:rPr>
        <w:t>遵循先进先出的原则摆放，不同区域应有明显标识，建立健全进出库管理制度，并落实双人管理；乙方须免费指导学校建立符合食品安全标准的储藏仓库。</w:t>
      </w:r>
    </w:p>
    <w:p w14:paraId="55316005">
      <w:pPr>
        <w:keepNext w:val="0"/>
        <w:keepLines w:val="0"/>
        <w:pageBreakBefore w:val="0"/>
        <w:widowControl/>
        <w:kinsoku w:val="0"/>
        <w:wordWrap/>
        <w:overflowPunct/>
        <w:topLinePunct w:val="0"/>
        <w:autoSpaceDE w:val="0"/>
        <w:autoSpaceDN w:val="0"/>
        <w:bidi w:val="0"/>
        <w:adjustRightInd w:val="0"/>
        <w:snapToGrid w:val="0"/>
        <w:spacing w:before="103" w:line="620" w:lineRule="exact"/>
        <w:ind w:left="3" w:firstLine="495"/>
        <w:jc w:val="both"/>
        <w:textAlignment w:val="baseline"/>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八）应急保障。乙方须自备应急车辆一台或多台。当运输车辆在配送途中出现故障时，可迅速补上；乙方须随时关注天气预报，特殊天气情况下，应提前准备雨衣、电筒、发电机等。提前检查车辆等设备是否正常运转。应加派人手，积极做好配送准备。</w:t>
      </w:r>
    </w:p>
    <w:p w14:paraId="3C8C090E">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（九）供货地点：各中标供应商须将大宗食材配送至全县寄宿制中小学（含乡级寄宿制小学）及幼儿园（包括村级学校及幼儿园）指定的地点。</w:t>
      </w:r>
    </w:p>
    <w:p w14:paraId="3AD5763A">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3.供货期：合同签订日至2025年3月31日</w:t>
      </w:r>
    </w:p>
    <w:p w14:paraId="4A6B5796">
      <w:pPr>
        <w:keepNext w:val="0"/>
        <w:keepLines w:val="0"/>
        <w:pageBreakBefore w:val="0"/>
        <w:widowControl/>
        <w:suppressLineNumbers w:val="0"/>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八、</w:t>
      </w:r>
      <w:r>
        <w:rPr>
          <w:rFonts w:hint="eastAsia" w:ascii="微软雅黑" w:hAnsi="微软雅黑" w:eastAsia="微软雅黑" w:cs="微软雅黑"/>
          <w:b/>
          <w:bCs/>
          <w:spacing w:val="1"/>
          <w:sz w:val="28"/>
          <w:szCs w:val="28"/>
        </w:rPr>
        <w:t>包装和运输</w:t>
      </w:r>
      <w:r>
        <w:rPr>
          <w:rFonts w:hint="eastAsia" w:ascii="微软雅黑" w:hAnsi="微软雅黑" w:eastAsia="微软雅黑" w:cs="微软雅黑"/>
          <w:b/>
          <w:bCs/>
          <w:color w:val="auto"/>
          <w:kern w:val="0"/>
          <w:sz w:val="28"/>
          <w:szCs w:val="28"/>
          <w:lang w:val="en-US" w:eastAsia="zh-CN" w:bidi="ar"/>
        </w:rPr>
        <w:t>：</w:t>
      </w:r>
    </w:p>
    <w:p w14:paraId="05C9B308">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11307F9B">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（二）由乙方负责完成食品运输过程中的全部工作内容，并安全送达到甲方或者各学校指定交货地点。</w:t>
      </w:r>
    </w:p>
    <w:p w14:paraId="3D8AE4B3">
      <w:pPr>
        <w:keepNext w:val="0"/>
        <w:keepLines w:val="0"/>
        <w:pageBreakBefore w:val="0"/>
        <w:widowControl/>
        <w:suppressLineNumbers w:val="0"/>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十、结算方式：</w:t>
      </w:r>
    </w:p>
    <w:p w14:paraId="0DA79297">
      <w:pPr>
        <w:keepNext w:val="0"/>
        <w:keepLines w:val="0"/>
        <w:pageBreakBefore w:val="0"/>
        <w:widowControl/>
        <w:kinsoku w:val="0"/>
        <w:wordWrap/>
        <w:overflowPunct/>
        <w:topLinePunct w:val="0"/>
        <w:autoSpaceDE w:val="0"/>
        <w:autoSpaceDN w:val="0"/>
        <w:bidi w:val="0"/>
        <w:adjustRightInd w:val="0"/>
        <w:snapToGrid w:val="0"/>
        <w:spacing w:before="103" w:line="289" w:lineRule="auto"/>
        <w:ind w:left="3" w:leftChars="0" w:firstLine="417" w:firstLineChars="0"/>
        <w:jc w:val="both"/>
        <w:textAlignment w:val="baseline"/>
        <w:rPr>
          <w:rFonts w:hint="eastAsia" w:ascii="微软雅黑" w:hAnsi="微软雅黑" w:eastAsia="微软雅黑" w:cs="微软雅黑"/>
          <w:spacing w:val="7"/>
          <w:sz w:val="28"/>
          <w:szCs w:val="28"/>
          <w:lang w:eastAsia="zh-CN"/>
        </w:rPr>
      </w:pPr>
      <w:r>
        <w:rPr>
          <w:rFonts w:hint="eastAsia" w:ascii="微软雅黑" w:hAnsi="微软雅黑" w:eastAsia="微软雅黑" w:cs="微软雅黑"/>
          <w:spacing w:val="7"/>
          <w:sz w:val="28"/>
          <w:szCs w:val="28"/>
        </w:rPr>
        <w:t>（一）甲乙双方应在月底完成当月供货有关情况核对工作</w:t>
      </w:r>
      <w:r>
        <w:rPr>
          <w:rFonts w:hint="eastAsia" w:ascii="微软雅黑" w:hAnsi="微软雅黑" w:eastAsia="微软雅黑" w:cs="微软雅黑"/>
          <w:spacing w:val="7"/>
          <w:sz w:val="28"/>
          <w:szCs w:val="28"/>
          <w:lang w:eastAsia="zh-CN"/>
        </w:rPr>
        <w:t>。</w:t>
      </w:r>
    </w:p>
    <w:p w14:paraId="6953DA8E">
      <w:pPr>
        <w:keepNext w:val="0"/>
        <w:keepLines w:val="0"/>
        <w:pageBreakBefore w:val="0"/>
        <w:widowControl/>
        <w:kinsoku w:val="0"/>
        <w:wordWrap/>
        <w:overflowPunct/>
        <w:topLinePunct w:val="0"/>
        <w:autoSpaceDE w:val="0"/>
        <w:autoSpaceDN w:val="0"/>
        <w:bidi w:val="0"/>
        <w:adjustRightInd w:val="0"/>
        <w:snapToGrid w:val="0"/>
        <w:spacing w:before="103" w:line="289" w:lineRule="auto"/>
        <w:ind w:left="3" w:firstLine="495"/>
        <w:jc w:val="both"/>
        <w:textAlignment w:val="baseline"/>
        <w:rPr>
          <w:rFonts w:hint="eastAsia" w:ascii="微软雅黑" w:hAnsi="微软雅黑" w:eastAsia="微软雅黑" w:cs="微软雅黑"/>
          <w:spacing w:val="7"/>
          <w:sz w:val="28"/>
          <w:szCs w:val="28"/>
        </w:rPr>
      </w:pPr>
      <w:r>
        <w:rPr>
          <w:rFonts w:hint="eastAsia" w:ascii="微软雅黑" w:hAnsi="微软雅黑" w:eastAsia="微软雅黑" w:cs="微软雅黑"/>
          <w:spacing w:val="7"/>
          <w:sz w:val="28"/>
          <w:szCs w:val="28"/>
        </w:rPr>
        <w:t>（二）乙方应于次月第</w:t>
      </w:r>
      <w:r>
        <w:rPr>
          <w:rFonts w:hint="eastAsia" w:ascii="微软雅黑" w:hAnsi="微软雅黑" w:eastAsia="微软雅黑" w:cs="微软雅黑"/>
          <w:spacing w:val="7"/>
          <w:sz w:val="28"/>
          <w:szCs w:val="28"/>
          <w:lang w:val="en-US" w:eastAsia="zh-CN"/>
        </w:rPr>
        <w:t>二</w:t>
      </w:r>
      <w:r>
        <w:rPr>
          <w:rFonts w:hint="eastAsia" w:ascii="微软雅黑" w:hAnsi="微软雅黑" w:eastAsia="微软雅黑" w:cs="微软雅黑"/>
          <w:spacing w:val="7"/>
          <w:sz w:val="28"/>
          <w:szCs w:val="28"/>
        </w:rPr>
        <w:t>周，向甲方提供上月货款的正规发票</w:t>
      </w:r>
      <w:r>
        <w:rPr>
          <w:rFonts w:hint="eastAsia" w:ascii="微软雅黑" w:hAnsi="微软雅黑" w:eastAsia="微软雅黑" w:cs="微软雅黑"/>
          <w:spacing w:val="7"/>
          <w:sz w:val="28"/>
          <w:szCs w:val="28"/>
          <w:lang w:eastAsia="zh-CN"/>
        </w:rPr>
        <w:t>，</w:t>
      </w:r>
      <w:r>
        <w:rPr>
          <w:rFonts w:hint="eastAsia" w:ascii="微软雅黑" w:hAnsi="微软雅黑" w:eastAsia="微软雅黑" w:cs="微软雅黑"/>
          <w:spacing w:val="7"/>
          <w:sz w:val="28"/>
          <w:szCs w:val="28"/>
        </w:rPr>
        <w:t>甲方经核实无异议后，在收到发票</w:t>
      </w:r>
      <w:r>
        <w:rPr>
          <w:rFonts w:hint="eastAsia" w:ascii="微软雅黑" w:hAnsi="微软雅黑" w:eastAsia="微软雅黑" w:cs="微软雅黑"/>
          <w:spacing w:val="7"/>
          <w:sz w:val="28"/>
          <w:szCs w:val="28"/>
          <w:lang w:val="en-US" w:eastAsia="zh-CN"/>
        </w:rPr>
        <w:t>10</w:t>
      </w:r>
      <w:r>
        <w:rPr>
          <w:rFonts w:hint="eastAsia" w:ascii="微软雅黑" w:hAnsi="微软雅黑" w:eastAsia="微软雅黑" w:cs="微软雅黑"/>
          <w:spacing w:val="7"/>
          <w:sz w:val="28"/>
          <w:szCs w:val="28"/>
        </w:rPr>
        <w:t>个工作日内将上月采购款支付给乙方。</w:t>
      </w:r>
    </w:p>
    <w:p w14:paraId="09E1AC69">
      <w:pPr>
        <w:keepNext w:val="0"/>
        <w:keepLines w:val="0"/>
        <w:pageBreakBefore w:val="0"/>
        <w:widowControl/>
        <w:kinsoku w:val="0"/>
        <w:wordWrap/>
        <w:overflowPunct/>
        <w:topLinePunct w:val="0"/>
        <w:autoSpaceDE w:val="0"/>
        <w:autoSpaceDN w:val="0"/>
        <w:bidi w:val="0"/>
        <w:adjustRightInd w:val="0"/>
        <w:snapToGrid w:val="0"/>
        <w:spacing w:before="103" w:line="289" w:lineRule="auto"/>
        <w:ind w:left="3" w:firstLine="495"/>
        <w:jc w:val="both"/>
        <w:textAlignment w:val="baseline"/>
        <w:rPr>
          <w:rFonts w:hint="eastAsia" w:ascii="微软雅黑" w:hAnsi="微软雅黑" w:eastAsia="微软雅黑" w:cs="微软雅黑"/>
          <w:sz w:val="28"/>
          <w:szCs w:val="28"/>
        </w:rPr>
      </w:pPr>
      <w:r>
        <w:rPr>
          <w:rFonts w:hint="eastAsia" w:ascii="微软雅黑" w:hAnsi="微软雅黑" w:eastAsia="微软雅黑" w:cs="微软雅黑"/>
          <w:spacing w:val="7"/>
          <w:sz w:val="28"/>
          <w:szCs w:val="28"/>
        </w:rPr>
        <w:t>（三）付款方式：公对公银行转账。</w:t>
      </w:r>
    </w:p>
    <w:p w14:paraId="62F6A37D">
      <w:pPr>
        <w:keepNext w:val="0"/>
        <w:keepLines w:val="0"/>
        <w:pageBreakBefore w:val="0"/>
        <w:widowControl/>
        <w:suppressLineNumbers w:val="0"/>
        <w:kinsoku/>
        <w:wordWrap/>
        <w:overflowPunct/>
        <w:topLinePunct w:val="0"/>
        <w:autoSpaceDE/>
        <w:autoSpaceDN/>
        <w:bidi w:val="0"/>
        <w:snapToGrid/>
        <w:spacing w:line="620" w:lineRule="exact"/>
        <w:ind w:left="0" w:leftChars="0" w:firstLine="520" w:firstLineChars="177"/>
        <w:jc w:val="both"/>
        <w:rPr>
          <w:rFonts w:hint="eastAsia" w:ascii="微软雅黑" w:hAnsi="微软雅黑" w:eastAsia="微软雅黑" w:cs="微软雅黑"/>
          <w:spacing w:val="7"/>
          <w:sz w:val="28"/>
          <w:szCs w:val="28"/>
        </w:rPr>
      </w:pPr>
      <w:r>
        <w:rPr>
          <w:rFonts w:hint="eastAsia" w:ascii="微软雅黑" w:hAnsi="微软雅黑" w:eastAsia="微软雅黑" w:cs="微软雅黑"/>
          <w:spacing w:val="7"/>
          <w:sz w:val="28"/>
          <w:szCs w:val="28"/>
        </w:rPr>
        <w:t>（</w:t>
      </w:r>
      <w:r>
        <w:rPr>
          <w:rFonts w:hint="eastAsia" w:ascii="微软雅黑" w:hAnsi="微软雅黑" w:eastAsia="微软雅黑" w:cs="微软雅黑"/>
          <w:spacing w:val="7"/>
          <w:sz w:val="28"/>
          <w:szCs w:val="28"/>
          <w:lang w:val="en-US" w:eastAsia="zh-CN"/>
        </w:rPr>
        <w:t>四</w:t>
      </w:r>
      <w:r>
        <w:rPr>
          <w:rFonts w:hint="eastAsia" w:ascii="微软雅黑" w:hAnsi="微软雅黑" w:eastAsia="微软雅黑" w:cs="微软雅黑"/>
          <w:spacing w:val="7"/>
          <w:sz w:val="28"/>
          <w:szCs w:val="28"/>
        </w:rPr>
        <w:t>）合同期满或中途解除合同，双方应当按照本合同的约定进行对账和结算，确定未结算的价款，甲方在确定价款后</w:t>
      </w:r>
      <w:r>
        <w:rPr>
          <w:rFonts w:hint="eastAsia" w:ascii="微软雅黑" w:hAnsi="微软雅黑" w:eastAsia="微软雅黑" w:cs="微软雅黑"/>
          <w:spacing w:val="7"/>
          <w:sz w:val="28"/>
          <w:szCs w:val="28"/>
          <w:lang w:val="en-US" w:eastAsia="zh-CN"/>
        </w:rPr>
        <w:t>15个工作日</w:t>
      </w:r>
      <w:r>
        <w:rPr>
          <w:rFonts w:hint="eastAsia" w:ascii="微软雅黑" w:hAnsi="微软雅黑" w:eastAsia="微软雅黑" w:cs="微软雅黑"/>
          <w:spacing w:val="7"/>
          <w:sz w:val="28"/>
          <w:szCs w:val="28"/>
        </w:rPr>
        <w:t>内，一次性结算乙方的所有款项。</w:t>
      </w:r>
    </w:p>
    <w:p w14:paraId="2DA0150B">
      <w:pPr>
        <w:keepNext w:val="0"/>
        <w:keepLines w:val="0"/>
        <w:pageBreakBefore w:val="0"/>
        <w:widowControl/>
        <w:suppressLineNumbers w:val="0"/>
        <w:kinsoku/>
        <w:wordWrap/>
        <w:overflowPunct/>
        <w:topLinePunct w:val="0"/>
        <w:autoSpaceDE/>
        <w:autoSpaceDN/>
        <w:bidi w:val="0"/>
        <w:snapToGrid/>
        <w:spacing w:line="620" w:lineRule="exact"/>
        <w:ind w:left="0" w:leftChars="0" w:firstLine="496" w:firstLineChars="177"/>
        <w:jc w:val="both"/>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十一、其他补充说明：</w:t>
      </w:r>
    </w:p>
    <w:p w14:paraId="7B2D01F4">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（一）为保证食品安全，投标人必须有按时送货能力，有专业的配送团队和厢式车辆，专门仓储的标准库，具有随时 配货，且具有良好的信誉及服务态度（需提供印证材料扫描件）；</w:t>
      </w:r>
    </w:p>
    <w:p w14:paraId="27C9EC1A">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（二）供货期间不得造成产品有任何损坏或污染，如有之，则按同标准、同质量、同数量及时给予调配或更换；</w:t>
      </w:r>
    </w:p>
    <w:p w14:paraId="06154ABB">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（三）保证所提供的食品每批次均合格，完好无损，保证食品卫生安全；</w:t>
      </w:r>
    </w:p>
    <w:p w14:paraId="0CFCD86E">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（四）具有履行合同所必须的设备和专业技术服务能力；</w:t>
      </w:r>
    </w:p>
    <w:p w14:paraId="117AAB1D">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（五）具有专职配送厢式车辆，配送员需政治上合格，品德良好，身体上健康，粮油在路途中保证不发生有关质量安全方面的问题，并且做到安全按时送达；</w:t>
      </w:r>
    </w:p>
    <w:p w14:paraId="31E90A14">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（六）中标企业应不断强化自律意识，不得少送多报、虚报冒领，严禁伙同学校套取专项资金。</w:t>
      </w:r>
    </w:p>
    <w:p w14:paraId="3E1FDBCE">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b w:val="0"/>
          <w:bCs w:val="0"/>
          <w:color w:val="000000"/>
          <w:kern w:val="0"/>
          <w:sz w:val="28"/>
          <w:szCs w:val="28"/>
          <w:lang w:val="en-US" w:eastAsia="zh-CN" w:bidi="ar"/>
        </w:rPr>
      </w:pPr>
      <w:r>
        <w:rPr>
          <w:rFonts w:hint="eastAsia" w:ascii="微软雅黑" w:hAnsi="微软雅黑" w:eastAsia="微软雅黑" w:cs="微软雅黑"/>
          <w:b w:val="0"/>
          <w:bCs w:val="0"/>
          <w:color w:val="000000"/>
          <w:kern w:val="0"/>
          <w:sz w:val="28"/>
          <w:szCs w:val="28"/>
          <w:lang w:val="en-US" w:eastAsia="zh-CN" w:bidi="ar"/>
        </w:rPr>
        <w:t>（七）中标供应商，在签订合同时需提供保险公司参保的《学生食品安全责任保险》，具体参保金额根据所供辖区的学生数确定。</w:t>
      </w:r>
    </w:p>
    <w:p w14:paraId="326FBF07">
      <w:pPr>
        <w:pStyle w:val="7"/>
        <w:keepNext w:val="0"/>
        <w:keepLines w:val="0"/>
        <w:pageBreakBefore w:val="0"/>
        <w:kinsoku/>
        <w:wordWrap/>
        <w:overflowPunct/>
        <w:topLinePunct w:val="0"/>
        <w:autoSpaceDE/>
        <w:autoSpaceDN/>
        <w:bidi w:val="0"/>
        <w:snapToGrid/>
        <w:spacing w:line="620" w:lineRule="exact"/>
        <w:ind w:left="0" w:leftChars="0" w:firstLine="495" w:firstLineChars="177"/>
        <w:jc w:val="both"/>
        <w:rPr>
          <w:rFonts w:hint="eastAsia" w:ascii="微软雅黑" w:hAnsi="微软雅黑" w:eastAsia="微软雅黑" w:cs="微软雅黑"/>
          <w:sz w:val="28"/>
          <w:szCs w:val="28"/>
        </w:rPr>
      </w:pPr>
      <w:r>
        <w:rPr>
          <w:rFonts w:hint="eastAsia" w:ascii="微软雅黑" w:hAnsi="微软雅黑" w:eastAsia="微软雅黑" w:cs="微软雅黑"/>
          <w:b w:val="0"/>
          <w:bCs w:val="0"/>
          <w:color w:val="000000"/>
          <w:kern w:val="0"/>
          <w:sz w:val="28"/>
          <w:szCs w:val="28"/>
          <w:lang w:val="en-US" w:eastAsia="zh-CN" w:bidi="ar"/>
        </w:rPr>
        <w:t>（八）所有投标总价应包含运费、装卸费及其他费用</w:t>
      </w:r>
    </w:p>
    <w:p w14:paraId="14AF7964">
      <w:pPr>
        <w:rPr>
          <w:rFonts w:hint="eastAsia"/>
          <w:lang w:val="en-US" w:eastAsia="zh-CN"/>
        </w:rPr>
      </w:pPr>
    </w:p>
    <w:p w14:paraId="7587DBEC">
      <w:pPr>
        <w:pStyle w:val="3"/>
        <w:rPr>
          <w:rFonts w:hint="eastAsia"/>
          <w:lang w:val="en-US" w:eastAsia="zh-CN"/>
        </w:rPr>
      </w:pPr>
    </w:p>
    <w:p w14:paraId="2F84907B">
      <w:pPr>
        <w:rPr>
          <w:rFonts w:hint="eastAsia"/>
          <w:lang w:val="en-US" w:eastAsia="zh-CN"/>
        </w:rPr>
      </w:pPr>
    </w:p>
    <w:p w14:paraId="30E2F545">
      <w:pPr>
        <w:pStyle w:val="3"/>
        <w:rPr>
          <w:rFonts w:hint="eastAsia"/>
          <w:lang w:val="en-US" w:eastAsia="zh-CN"/>
        </w:rPr>
      </w:pPr>
    </w:p>
    <w:p w14:paraId="2468B1D3">
      <w:pPr>
        <w:rPr>
          <w:rFonts w:hint="eastAsia"/>
          <w:lang w:val="en-US" w:eastAsia="zh-CN"/>
        </w:rPr>
      </w:pPr>
    </w:p>
    <w:p w14:paraId="45501391">
      <w:pPr>
        <w:pStyle w:val="3"/>
        <w:rPr>
          <w:rFonts w:hint="eastAsia"/>
          <w:lang w:val="en-US" w:eastAsia="zh-CN"/>
        </w:rPr>
      </w:pPr>
    </w:p>
    <w:p w14:paraId="06A43ACB">
      <w:pPr>
        <w:rPr>
          <w:rFonts w:hint="eastAsia"/>
          <w:lang w:val="en-US" w:eastAsia="zh-CN"/>
        </w:rPr>
      </w:pPr>
    </w:p>
    <w:p w14:paraId="04AEC765">
      <w:pPr>
        <w:pStyle w:val="3"/>
        <w:rPr>
          <w:rFonts w:hint="eastAsia"/>
          <w:lang w:val="en-US" w:eastAsia="zh-CN"/>
        </w:rPr>
      </w:pPr>
    </w:p>
    <w:p w14:paraId="4F1AD817">
      <w:pPr>
        <w:rPr>
          <w:rFonts w:hint="eastAsia"/>
          <w:lang w:val="en-US" w:eastAsia="zh-CN"/>
        </w:rPr>
      </w:pPr>
    </w:p>
    <w:p w14:paraId="637D392D">
      <w:pPr>
        <w:pStyle w:val="3"/>
        <w:rPr>
          <w:rFonts w:hint="eastAsia"/>
          <w:lang w:val="en-US" w:eastAsia="zh-CN"/>
        </w:rPr>
      </w:pPr>
    </w:p>
    <w:p w14:paraId="5EE1835D">
      <w:pPr>
        <w:rPr>
          <w:rFonts w:hint="eastAsia"/>
          <w:lang w:val="en-US" w:eastAsia="zh-CN"/>
        </w:rPr>
      </w:pPr>
    </w:p>
    <w:p w14:paraId="50838D60">
      <w:pPr>
        <w:pStyle w:val="3"/>
        <w:rPr>
          <w:rFonts w:hint="eastAsia"/>
          <w:lang w:val="en-US" w:eastAsia="zh-CN"/>
        </w:rPr>
      </w:pPr>
    </w:p>
    <w:p w14:paraId="78906BB3">
      <w:pPr>
        <w:rPr>
          <w:rFonts w:hint="eastAsia"/>
          <w:lang w:val="en-US" w:eastAsia="zh-CN"/>
        </w:rPr>
      </w:pPr>
    </w:p>
    <w:p w14:paraId="100BDF62">
      <w:pPr>
        <w:pStyle w:val="3"/>
        <w:rPr>
          <w:rFonts w:hint="eastAsia"/>
          <w:lang w:val="en-US" w:eastAsia="zh-CN"/>
        </w:rPr>
      </w:pPr>
    </w:p>
    <w:p w14:paraId="3D46CFF2">
      <w:pPr>
        <w:rPr>
          <w:rFonts w:hint="eastAsia"/>
          <w:lang w:val="en-US" w:eastAsia="zh-CN"/>
        </w:rPr>
      </w:pPr>
    </w:p>
    <w:p w14:paraId="7608B4FC">
      <w:pPr>
        <w:pStyle w:val="3"/>
        <w:rPr>
          <w:rFonts w:hint="eastAsia"/>
          <w:lang w:val="en-US" w:eastAsia="zh-CN"/>
        </w:rPr>
      </w:pPr>
    </w:p>
    <w:p w14:paraId="2B3180D0">
      <w:pPr>
        <w:rPr>
          <w:rFonts w:hint="eastAsia"/>
          <w:lang w:val="en-US" w:eastAsia="zh-CN"/>
        </w:rPr>
      </w:pPr>
    </w:p>
    <w:p w14:paraId="55D70C12">
      <w:pPr>
        <w:pStyle w:val="3"/>
        <w:rPr>
          <w:rFonts w:hint="eastAsia"/>
          <w:lang w:val="en-US" w:eastAsia="zh-CN"/>
        </w:rPr>
      </w:pPr>
    </w:p>
    <w:p w14:paraId="62440DBE">
      <w:pPr>
        <w:rPr>
          <w:rFonts w:hint="eastAsia"/>
          <w:lang w:val="en-US" w:eastAsia="zh-CN"/>
        </w:rPr>
      </w:pPr>
    </w:p>
    <w:p w14:paraId="5B07A869">
      <w:pPr>
        <w:spacing w:line="360" w:lineRule="auto"/>
        <w:jc w:val="center"/>
        <w:outlineLvl w:val="0"/>
        <w:rPr>
          <w:rFonts w:hint="eastAsia" w:ascii="微软雅黑" w:hAnsi="微软雅黑" w:eastAsia="微软雅黑" w:cs="微软雅黑"/>
          <w:color w:val="auto"/>
          <w:highlight w:val="none"/>
        </w:rPr>
      </w:pPr>
      <w:bookmarkStart w:id="437" w:name="_Toc7943"/>
      <w:r>
        <w:rPr>
          <w:rFonts w:hint="eastAsia" w:ascii="微软雅黑" w:hAnsi="微软雅黑" w:eastAsia="微软雅黑" w:cs="微软雅黑"/>
          <w:b/>
          <w:bCs/>
          <w:color w:val="auto"/>
          <w:sz w:val="28"/>
          <w:szCs w:val="28"/>
          <w:highlight w:val="none"/>
        </w:rPr>
        <w:t>第6章</w:t>
      </w:r>
      <w:bookmarkStart w:id="438" w:name="_Toc507399907"/>
      <w:bookmarkStart w:id="439" w:name="_Toc10220"/>
      <w:bookmarkStart w:id="440" w:name="_Toc518923127"/>
      <w:r>
        <w:rPr>
          <w:rFonts w:hint="eastAsia" w:ascii="微软雅黑" w:hAnsi="微软雅黑" w:eastAsia="微软雅黑" w:cs="微软雅黑"/>
          <w:b/>
          <w:bCs/>
          <w:color w:val="auto"/>
          <w:sz w:val="28"/>
          <w:szCs w:val="28"/>
          <w:highlight w:val="none"/>
        </w:rPr>
        <w:t>评标方法和标准</w:t>
      </w:r>
      <w:bookmarkEnd w:id="433"/>
      <w:bookmarkEnd w:id="434"/>
      <w:bookmarkEnd w:id="435"/>
      <w:bookmarkEnd w:id="437"/>
      <w:bookmarkEnd w:id="438"/>
      <w:bookmarkEnd w:id="439"/>
      <w:bookmarkEnd w:id="440"/>
    </w:p>
    <w:p w14:paraId="50722EF3">
      <w:pPr>
        <w:pStyle w:val="9"/>
        <w:tabs>
          <w:tab w:val="clear" w:pos="567"/>
        </w:tabs>
        <w:spacing w:before="0" w:line="360" w:lineRule="auto"/>
        <w:ind w:firstLine="540" w:firstLineChars="225"/>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须知中“五</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开标及评标”、“六</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确定中标”及本章的规定评标。</w:t>
      </w:r>
    </w:p>
    <w:p w14:paraId="0C213B70">
      <w:pPr>
        <w:pStyle w:val="9"/>
        <w:tabs>
          <w:tab w:val="clear" w:pos="567"/>
        </w:tabs>
        <w:spacing w:before="100" w:beforeAutospacing="1" w:after="100" w:afterAutospacing="1" w:line="360" w:lineRule="auto"/>
        <w:ind w:left="1080" w:leftChars="257" w:hanging="540"/>
        <w:rPr>
          <w:rFonts w:hint="eastAsia" w:ascii="微软雅黑" w:hAnsi="微软雅黑" w:eastAsia="微软雅黑" w:cs="微软雅黑"/>
          <w:i/>
          <w:color w:val="auto"/>
          <w:highlight w:val="none"/>
        </w:rPr>
      </w:pPr>
      <w:r>
        <w:rPr>
          <w:rFonts w:hint="eastAsia" w:ascii="微软雅黑" w:hAnsi="微软雅黑" w:eastAsia="微软雅黑" w:cs="微软雅黑"/>
          <w:i/>
          <w:color w:val="auto"/>
          <w:highlight w:val="none"/>
        </w:rPr>
        <w:t>（内容要包括</w:t>
      </w:r>
      <w:r>
        <w:rPr>
          <w:rFonts w:hint="eastAsia" w:ascii="微软雅黑" w:hAnsi="微软雅黑" w:eastAsia="微软雅黑" w:cs="微软雅黑"/>
          <w:b/>
          <w:i/>
          <w:color w:val="auto"/>
          <w:highlight w:val="none"/>
        </w:rPr>
        <w:t>投标无效</w:t>
      </w:r>
      <w:r>
        <w:rPr>
          <w:rFonts w:hint="eastAsia" w:ascii="微软雅黑" w:hAnsi="微软雅黑" w:eastAsia="微软雅黑" w:cs="微软雅黑"/>
          <w:i/>
          <w:color w:val="auto"/>
          <w:highlight w:val="none"/>
        </w:rPr>
        <w:t>界定和详细评标标准）</w:t>
      </w:r>
    </w:p>
    <w:p w14:paraId="388A9280">
      <w:pPr>
        <w:widowControl/>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企业类型声明函》、《残疾人福利性单位声明函》或省级以上监狱管理局、戒毒管理局（含新疆生产建设兵团）出具的属于监狱企业的证明文件的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rPr>
        <w:t>%后参与评审。对于同时属于小微企业、监狱企业或残疾人福利性单位的，不重复进行投标报价扣除。如有其它政策支持因素（如鼓励创新等）需一并列出。</w:t>
      </w:r>
    </w:p>
    <w:p w14:paraId="342F0BCC">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2.联合协议中约定，小型、微型企业和监狱企业的协议合同金额占到联合体协议合同总金额30%以上的，可给予联合体</w:t>
      </w:r>
      <w:r>
        <w:rPr>
          <w:rFonts w:hint="eastAsia" w:ascii="微软雅黑" w:hAnsi="微软雅黑" w:eastAsia="微软雅黑" w:cs="微软雅黑"/>
          <w:b w:val="0"/>
          <w:i w:val="0"/>
          <w:caps w:val="0"/>
          <w:color w:val="auto"/>
          <w:spacing w:val="0"/>
          <w:w w:val="100"/>
          <w:sz w:val="24"/>
          <w:szCs w:val="24"/>
          <w:highlight w:val="none"/>
          <w:u w:val="single" w:color="000000"/>
        </w:rPr>
        <w:t>2%-3</w:t>
      </w:r>
      <w:r>
        <w:rPr>
          <w:rFonts w:hint="eastAsia" w:ascii="微软雅黑" w:hAnsi="微软雅黑" w:eastAsia="微软雅黑" w:cs="微软雅黑"/>
          <w:b w:val="0"/>
          <w:i w:val="0"/>
          <w:caps w:val="0"/>
          <w:color w:val="auto"/>
          <w:spacing w:val="0"/>
          <w:w w:val="100"/>
          <w:sz w:val="24"/>
          <w:szCs w:val="24"/>
          <w:highlight w:val="none"/>
        </w:rPr>
        <w:t>%</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i w:val="0"/>
          <w:caps w:val="0"/>
          <w:color w:val="auto"/>
          <w:spacing w:val="0"/>
          <w:w w:val="100"/>
          <w:sz w:val="24"/>
          <w:szCs w:val="24"/>
          <w:highlight w:val="none"/>
        </w:rPr>
        <w:t>（本项目不适用）</w:t>
      </w:r>
    </w:p>
    <w:p w14:paraId="7449F02F">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14:paraId="1D77E226">
      <w:pPr>
        <w:pStyle w:val="9"/>
        <w:tabs>
          <w:tab w:val="clear" w:pos="567"/>
        </w:tabs>
        <w:spacing w:before="0" w:line="360" w:lineRule="auto"/>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：《财政部、发展改革委、生态环境部、市场监管总局关于优化节能产品、环境标志产品政府采购执行机制的通知》（财库〔2019〕9号）。</w:t>
      </w:r>
    </w:p>
    <w:p w14:paraId="0F8EE1EF">
      <w:pPr>
        <w:pStyle w:val="9"/>
        <w:keepNext w:val="0"/>
        <w:keepLines w:val="0"/>
        <w:pageBreakBefore w:val="0"/>
        <w:shd w:val="clear" w:color="auto" w:fill="auto"/>
        <w:kinsoku/>
        <w:wordWrap/>
        <w:overflowPunct/>
        <w:topLinePunct w:val="0"/>
        <w:bidi w:val="0"/>
        <w:spacing w:before="0" w:line="52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w:t>
      </w:r>
      <w:r>
        <w:rPr>
          <w:rFonts w:hint="eastAsia" w:ascii="微软雅黑" w:hAnsi="微软雅黑" w:eastAsia="微软雅黑" w:cs="微软雅黑"/>
          <w:b/>
          <w:bCs/>
          <w:i w:val="0"/>
          <w:caps w:val="0"/>
          <w:color w:val="auto"/>
          <w:spacing w:val="0"/>
          <w:w w:val="100"/>
          <w:sz w:val="24"/>
          <w:szCs w:val="24"/>
          <w:highlight w:val="none"/>
        </w:rPr>
        <w:t>.</w:t>
      </w:r>
      <w:r>
        <w:rPr>
          <w:rFonts w:hint="eastAsia" w:ascii="微软雅黑" w:hAnsi="微软雅黑" w:eastAsia="微软雅黑" w:cs="微软雅黑"/>
          <w:b/>
          <w:bCs/>
          <w:color w:val="auto"/>
          <w:sz w:val="24"/>
          <w:szCs w:val="24"/>
          <w:highlight w:val="none"/>
          <w:lang w:val="en-US" w:eastAsia="zh-CN"/>
        </w:rPr>
        <w:t>同品牌处理办法：</w:t>
      </w:r>
      <w:r>
        <w:rPr>
          <w:rFonts w:hint="eastAsia" w:ascii="微软雅黑" w:hAnsi="微软雅黑" w:eastAsia="微软雅黑" w:cs="微软雅黑"/>
          <w:color w:val="auto"/>
          <w:sz w:val="24"/>
          <w:szCs w:val="24"/>
          <w:highlight w:val="none"/>
          <w:u w:val="single"/>
          <w:lang w:val="en-US" w:eastAsia="zh-CN"/>
        </w:rPr>
        <w:t>提供相同品牌产品且通过资格审查、符合性审查的不同供应商参加同一合同项下投标的，按一家供应商计算，评审后得分最高的同品牌供应商获得成交人推荐资格;评审得分相同的，由采购人或者采购人委托评标小组按照招标文件规定的方式确定一个供应商获得成交人推荐资格，招标文件未规定的采取随机抽取方式确定，其他同品牌供应商不作为成交候选人。</w:t>
      </w:r>
    </w:p>
    <w:p w14:paraId="4F3C7AFE">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5.开标：</w:t>
      </w:r>
    </w:p>
    <w:p w14:paraId="77915E7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（1）采购人和采购代理机构将按供应商须知资料表中规定的开标时间和地点组织开标并邀请所有供应商代表参加。</w:t>
      </w:r>
    </w:p>
    <w:p w14:paraId="2CF6C370">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（2）开标前，工作人员收走所有参会人员的手机，主持人宣布开标纪律。</w:t>
      </w:r>
    </w:p>
    <w:p w14:paraId="616A4F6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（3）采购代理机构在政采云平台上进行标书解密，然后开启标书信息。</w:t>
      </w:r>
    </w:p>
    <w:p w14:paraId="32638C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5370DD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6.评标：</w:t>
      </w:r>
    </w:p>
    <w:p w14:paraId="3044BFE2">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（1）依法组建5名专家组成评审小组负责评审工作，并推选1名组长。</w:t>
      </w:r>
    </w:p>
    <w:p w14:paraId="56C2AC9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（2）评审小组应当按照招标文件中规定的评标方法和标准，对所有响应文件进行资格性审查，再对符合资格要求的供应商的响应文件进行符合性审查，以确定其是否满足招标文件的实质性要求。</w:t>
      </w:r>
    </w:p>
    <w:p w14:paraId="4F7D196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（3）评审小组成员对需要共同认定的事项存在争议的，应当按照少数服从多数的原则作出结论。持不同意见的评审小组成员应当在评审报告上签署不同意见及理由，否则视为同意评审报告。</w:t>
      </w:r>
    </w:p>
    <w:p w14:paraId="52B5CA6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7.定标：</w:t>
      </w:r>
    </w:p>
    <w:p w14:paraId="11376B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（1）采购代理机构应当在评标结束后2个工作日内将评审报告送采购人。</w:t>
      </w:r>
    </w:p>
    <w:p w14:paraId="6499420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采购人不委托评审委员会直接确定成交人。评审小组推荐成交候选供应商的数量为3家。采购人应当自收到评审报告之日起５个工作日内，在评审报告确定的成交候选人名单中按顺序确定成交人。成交候选人并列的，由采购人按照招标文件规定的方式确定成交人。</w:t>
      </w:r>
    </w:p>
    <w:p w14:paraId="698D3CE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（3）采购人在收到评审报告5个工作日内未按评审报告推荐的成交候选人顺序确定成交人，又不能说明合法理由的，视同按评审报告推荐的顺序确定排名第一的成交候选人为成交人。</w:t>
      </w:r>
    </w:p>
    <w:p w14:paraId="6C2A04C4">
      <w:pPr>
        <w:pStyle w:val="18"/>
        <w:ind w:left="0" w:leftChars="0" w:firstLine="0" w:firstLineChars="0"/>
        <w:rPr>
          <w:rFonts w:hint="eastAsia" w:ascii="微软雅黑" w:hAnsi="微软雅黑" w:eastAsia="微软雅黑" w:cs="微软雅黑"/>
          <w:color w:val="auto"/>
          <w:highlight w:val="none"/>
        </w:rPr>
      </w:pPr>
    </w:p>
    <w:p w14:paraId="7BB8A8F6">
      <w:pPr>
        <w:pStyle w:val="18"/>
        <w:ind w:left="0" w:leftChars="0" w:firstLine="0" w:firstLineChars="0"/>
        <w:rPr>
          <w:rFonts w:hint="eastAsia" w:ascii="微软雅黑" w:hAnsi="微软雅黑" w:eastAsia="微软雅黑" w:cs="微软雅黑"/>
          <w:color w:val="auto"/>
          <w:highlight w:val="none"/>
        </w:rPr>
      </w:pPr>
    </w:p>
    <w:p w14:paraId="54F46158">
      <w:pPr>
        <w:pStyle w:val="18"/>
        <w:ind w:left="0" w:leftChars="0" w:firstLine="0" w:firstLineChars="0"/>
        <w:rPr>
          <w:rFonts w:hint="eastAsia" w:ascii="微软雅黑" w:hAnsi="微软雅黑" w:eastAsia="微软雅黑" w:cs="微软雅黑"/>
          <w:color w:val="auto"/>
          <w:highlight w:val="none"/>
        </w:rPr>
      </w:pPr>
    </w:p>
    <w:p w14:paraId="26E7366F">
      <w:pPr>
        <w:pStyle w:val="18"/>
        <w:ind w:left="0" w:leftChars="0" w:firstLine="0" w:firstLineChars="0"/>
        <w:rPr>
          <w:rFonts w:hint="eastAsia" w:ascii="微软雅黑" w:hAnsi="微软雅黑" w:eastAsia="微软雅黑" w:cs="微软雅黑"/>
          <w:color w:val="auto"/>
          <w:highlight w:val="none"/>
        </w:rPr>
      </w:pPr>
    </w:p>
    <w:p w14:paraId="69D04956">
      <w:pPr>
        <w:pStyle w:val="18"/>
        <w:ind w:left="0" w:leftChars="0" w:firstLine="0" w:firstLineChars="0"/>
        <w:rPr>
          <w:rFonts w:hint="eastAsia" w:ascii="微软雅黑" w:hAnsi="微软雅黑" w:eastAsia="微软雅黑" w:cs="微软雅黑"/>
          <w:color w:val="auto"/>
          <w:highlight w:val="none"/>
        </w:rPr>
      </w:pPr>
    </w:p>
    <w:p w14:paraId="69391CD0">
      <w:pPr>
        <w:pStyle w:val="18"/>
        <w:ind w:left="0" w:leftChars="0" w:firstLine="0" w:firstLineChars="0"/>
        <w:rPr>
          <w:rFonts w:hint="eastAsia" w:ascii="微软雅黑" w:hAnsi="微软雅黑" w:eastAsia="微软雅黑" w:cs="微软雅黑"/>
          <w:color w:val="auto"/>
          <w:highlight w:val="none"/>
        </w:rPr>
      </w:pPr>
    </w:p>
    <w:p w14:paraId="03711C8A">
      <w:pPr>
        <w:pStyle w:val="18"/>
        <w:ind w:left="0" w:leftChars="0" w:firstLine="0" w:firstLineChars="0"/>
        <w:rPr>
          <w:rFonts w:hint="eastAsia" w:ascii="微软雅黑" w:hAnsi="微软雅黑" w:eastAsia="微软雅黑" w:cs="微软雅黑"/>
          <w:color w:val="auto"/>
          <w:highlight w:val="none"/>
        </w:rPr>
      </w:pPr>
    </w:p>
    <w:p w14:paraId="19E81427">
      <w:pPr>
        <w:pStyle w:val="18"/>
        <w:ind w:left="0" w:leftChars="0" w:firstLine="0" w:firstLineChars="0"/>
        <w:rPr>
          <w:rFonts w:hint="eastAsia" w:ascii="微软雅黑" w:hAnsi="微软雅黑" w:eastAsia="微软雅黑" w:cs="微软雅黑"/>
          <w:color w:val="auto"/>
          <w:highlight w:val="none"/>
        </w:rPr>
      </w:pPr>
    </w:p>
    <w:p w14:paraId="3110128E">
      <w:pPr>
        <w:pStyle w:val="18"/>
        <w:ind w:left="0" w:leftChars="0" w:firstLine="0" w:firstLineChars="0"/>
        <w:rPr>
          <w:rFonts w:hint="eastAsia" w:ascii="微软雅黑" w:hAnsi="微软雅黑" w:eastAsia="微软雅黑" w:cs="微软雅黑"/>
          <w:color w:val="auto"/>
          <w:highlight w:val="none"/>
        </w:rPr>
      </w:pPr>
    </w:p>
    <w:p w14:paraId="0EB672D6">
      <w:pPr>
        <w:pStyle w:val="18"/>
        <w:ind w:left="0" w:leftChars="0" w:firstLine="0" w:firstLineChars="0"/>
        <w:rPr>
          <w:rFonts w:hint="eastAsia" w:ascii="微软雅黑" w:hAnsi="微软雅黑" w:eastAsia="微软雅黑" w:cs="微软雅黑"/>
          <w:color w:val="auto"/>
          <w:highlight w:val="none"/>
        </w:rPr>
      </w:pPr>
    </w:p>
    <w:p w14:paraId="6B29AC42">
      <w:pPr>
        <w:pStyle w:val="18"/>
        <w:ind w:left="0" w:leftChars="0" w:firstLine="0" w:firstLineChars="0"/>
        <w:rPr>
          <w:rFonts w:hint="eastAsia" w:ascii="微软雅黑" w:hAnsi="微软雅黑" w:eastAsia="微软雅黑" w:cs="微软雅黑"/>
          <w:color w:val="auto"/>
          <w:highlight w:val="none"/>
        </w:rPr>
      </w:pPr>
    </w:p>
    <w:p w14:paraId="63D76B48">
      <w:pPr>
        <w:pStyle w:val="18"/>
        <w:ind w:left="0" w:leftChars="0" w:firstLine="0" w:firstLineChars="0"/>
        <w:rPr>
          <w:rFonts w:hint="eastAsia" w:ascii="微软雅黑" w:hAnsi="微软雅黑" w:eastAsia="微软雅黑" w:cs="微软雅黑"/>
          <w:color w:val="auto"/>
          <w:highlight w:val="none"/>
        </w:rPr>
      </w:pPr>
    </w:p>
    <w:p w14:paraId="4783B0D5">
      <w:pPr>
        <w:pStyle w:val="18"/>
        <w:ind w:left="0" w:leftChars="0" w:firstLine="0" w:firstLineChars="0"/>
        <w:rPr>
          <w:rFonts w:hint="eastAsia" w:ascii="微软雅黑" w:hAnsi="微软雅黑" w:eastAsia="微软雅黑" w:cs="微软雅黑"/>
          <w:color w:val="auto"/>
          <w:highlight w:val="none"/>
        </w:rPr>
      </w:pPr>
    </w:p>
    <w:p w14:paraId="05EA3567">
      <w:pPr>
        <w:pStyle w:val="18"/>
        <w:ind w:left="0" w:leftChars="0" w:firstLine="0" w:firstLineChars="0"/>
        <w:rPr>
          <w:rFonts w:hint="eastAsia" w:ascii="微软雅黑" w:hAnsi="微软雅黑" w:eastAsia="微软雅黑" w:cs="微软雅黑"/>
          <w:color w:val="auto"/>
          <w:highlight w:val="none"/>
        </w:rPr>
      </w:pPr>
    </w:p>
    <w:p w14:paraId="4419837C">
      <w:pPr>
        <w:pStyle w:val="18"/>
        <w:ind w:left="0" w:leftChars="0" w:firstLine="0" w:firstLineChars="0"/>
        <w:rPr>
          <w:rFonts w:hint="eastAsia" w:ascii="微软雅黑" w:hAnsi="微软雅黑" w:eastAsia="微软雅黑" w:cs="微软雅黑"/>
          <w:color w:val="auto"/>
          <w:highlight w:val="none"/>
        </w:rPr>
      </w:pPr>
    </w:p>
    <w:p w14:paraId="268EBCDB">
      <w:pPr>
        <w:pStyle w:val="4"/>
        <w:rPr>
          <w:rFonts w:hint="eastAsia"/>
          <w:color w:val="auto"/>
          <w:highlight w:val="none"/>
        </w:rPr>
      </w:pPr>
    </w:p>
    <w:p w14:paraId="55274E04">
      <w:pPr>
        <w:jc w:val="center"/>
        <w:rPr>
          <w:rFonts w:hint="eastAsia" w:ascii="微软雅黑" w:hAnsi="微软雅黑" w:eastAsia="微软雅黑" w:cs="微软雅黑"/>
          <w:b/>
          <w:bCs/>
          <w:color w:val="auto"/>
          <w:sz w:val="24"/>
          <w:szCs w:val="24"/>
          <w:highlight w:val="none"/>
          <w:lang w:eastAsia="zh-CN"/>
        </w:rPr>
      </w:pPr>
      <w:bookmarkStart w:id="441" w:name="_Toc13399"/>
    </w:p>
    <w:p w14:paraId="474B07E4">
      <w:pPr>
        <w:jc w:val="center"/>
        <w:rPr>
          <w:rFonts w:hint="eastAsia" w:ascii="微软雅黑" w:hAnsi="微软雅黑" w:eastAsia="微软雅黑" w:cs="微软雅黑"/>
          <w:b/>
          <w:bCs/>
          <w:color w:val="auto"/>
          <w:sz w:val="24"/>
          <w:szCs w:val="24"/>
          <w:highlight w:val="none"/>
          <w:lang w:eastAsia="zh-CN"/>
        </w:rPr>
      </w:pPr>
    </w:p>
    <w:p w14:paraId="6F4A81A4">
      <w:pPr>
        <w:jc w:val="center"/>
        <w:rPr>
          <w:rFonts w:hint="eastAsia" w:ascii="微软雅黑" w:hAnsi="微软雅黑" w:eastAsia="微软雅黑" w:cs="微软雅黑"/>
          <w:b/>
          <w:bCs/>
          <w:color w:val="auto"/>
          <w:sz w:val="24"/>
          <w:szCs w:val="24"/>
          <w:highlight w:val="none"/>
          <w:lang w:eastAsia="zh-CN"/>
        </w:rPr>
      </w:pPr>
    </w:p>
    <w:p w14:paraId="0D4FE8E6">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资格性审查表</w:t>
      </w:r>
      <w:bookmarkEnd w:id="441"/>
    </w:p>
    <w:tbl>
      <w:tblPr>
        <w:tblStyle w:val="19"/>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39"/>
        <w:gridCol w:w="472"/>
        <w:gridCol w:w="409"/>
        <w:gridCol w:w="497"/>
      </w:tblGrid>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92" w:type="pct"/>
            <w:vMerge w:val="restart"/>
            <w:noWrap w:val="0"/>
            <w:vAlign w:val="center"/>
          </w:tcPr>
          <w:p w14:paraId="5BEBE451">
            <w:pPr>
              <w:pStyle w:val="15"/>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760" w:type="pct"/>
            <w:vMerge w:val="restart"/>
            <w:noWrap w:val="0"/>
            <w:vAlign w:val="center"/>
          </w:tcPr>
          <w:p w14:paraId="4AF1157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评审内容</w:t>
            </w:r>
          </w:p>
        </w:tc>
        <w:tc>
          <w:tcPr>
            <w:tcW w:w="746" w:type="pct"/>
            <w:gridSpan w:val="3"/>
            <w:noWrap w:val="0"/>
            <w:vAlign w:val="center"/>
          </w:tcPr>
          <w:p w14:paraId="1561B91E">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供应商</w:t>
            </w:r>
          </w:p>
        </w:tc>
      </w:tr>
      <w:tr w14:paraId="107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2" w:type="pct"/>
            <w:vMerge w:val="continue"/>
            <w:noWrap w:val="0"/>
            <w:vAlign w:val="center"/>
          </w:tcPr>
          <w:p w14:paraId="206545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3760" w:type="pct"/>
            <w:vMerge w:val="continue"/>
            <w:noWrap w:val="0"/>
            <w:vAlign w:val="center"/>
          </w:tcPr>
          <w:p w14:paraId="634D605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255" w:type="pct"/>
            <w:noWrap w:val="0"/>
            <w:vAlign w:val="center"/>
          </w:tcPr>
          <w:p w14:paraId="50090F2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21" w:type="pct"/>
            <w:noWrap w:val="0"/>
            <w:vAlign w:val="center"/>
          </w:tcPr>
          <w:p w14:paraId="5F23380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69" w:type="pct"/>
            <w:noWrap w:val="0"/>
            <w:vAlign w:val="center"/>
          </w:tcPr>
          <w:p w14:paraId="06E6FEF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r>
      <w:tr w14:paraId="7F6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41C41FC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3760" w:type="pct"/>
            <w:noWrap w:val="0"/>
            <w:vAlign w:val="center"/>
          </w:tcPr>
          <w:p w14:paraId="1FA131EA">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5" w:type="pct"/>
            <w:noWrap w:val="0"/>
            <w:vAlign w:val="top"/>
          </w:tcPr>
          <w:p w14:paraId="3A72AB1C">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FEF7D7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965A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5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2D21AF10">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2</w:t>
            </w:r>
          </w:p>
        </w:tc>
        <w:tc>
          <w:tcPr>
            <w:tcW w:w="3760" w:type="pct"/>
            <w:noWrap w:val="0"/>
            <w:vAlign w:val="center"/>
          </w:tcPr>
          <w:p w14:paraId="51E962C3">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5" w:type="pct"/>
            <w:noWrap w:val="0"/>
            <w:vAlign w:val="top"/>
          </w:tcPr>
          <w:p w14:paraId="0F114A9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B56F28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9AF95E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1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noWrap w:val="0"/>
            <w:vAlign w:val="center"/>
          </w:tcPr>
          <w:p w14:paraId="48C0D8F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3</w:t>
            </w:r>
          </w:p>
        </w:tc>
        <w:tc>
          <w:tcPr>
            <w:tcW w:w="3760" w:type="pct"/>
            <w:noWrap w:val="0"/>
            <w:vAlign w:val="center"/>
          </w:tcPr>
          <w:p w14:paraId="4B67CE82">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会计事务所出具的2022年度或2023年度财务审计报告，新成立公司可提供有效内银行出具的资信证明，注册成立未满一年新公司可提供近三个月任意一个月的银行资信证明）</w:t>
            </w:r>
          </w:p>
        </w:tc>
        <w:tc>
          <w:tcPr>
            <w:tcW w:w="255" w:type="pct"/>
            <w:noWrap w:val="0"/>
            <w:vAlign w:val="top"/>
          </w:tcPr>
          <w:p w14:paraId="4C359DC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3C97EF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3A636A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pct"/>
            <w:noWrap w:val="0"/>
            <w:vAlign w:val="center"/>
          </w:tcPr>
          <w:p w14:paraId="41372C6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3760" w:type="pct"/>
            <w:noWrap w:val="0"/>
            <w:vAlign w:val="center"/>
          </w:tcPr>
          <w:p w14:paraId="04A80343">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6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tc>
        <w:tc>
          <w:tcPr>
            <w:tcW w:w="255" w:type="pct"/>
            <w:noWrap w:val="0"/>
            <w:vAlign w:val="top"/>
          </w:tcPr>
          <w:p w14:paraId="42CA0A0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59C7BB3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A3130A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0A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 w:type="pct"/>
            <w:noWrap w:val="0"/>
            <w:vAlign w:val="center"/>
          </w:tcPr>
          <w:p w14:paraId="0246904F">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3760" w:type="pct"/>
            <w:noWrap w:val="0"/>
            <w:vAlign w:val="center"/>
          </w:tcPr>
          <w:p w14:paraId="7B1918F7">
            <w:pPr>
              <w:pStyle w:val="16"/>
              <w:spacing w:line="36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 6个月任意一个月的依法缴纳税收的完税证明原件扫描件/复印件，依法免缴的，应提供依法免缴的相关证明文件或零申报报表（新公司提交上述内容实际证明材料）；</w:t>
            </w:r>
          </w:p>
        </w:tc>
        <w:tc>
          <w:tcPr>
            <w:tcW w:w="255" w:type="pct"/>
            <w:noWrap w:val="0"/>
            <w:vAlign w:val="top"/>
          </w:tcPr>
          <w:p w14:paraId="16497AB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CADBC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128425B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8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14:paraId="7EDC74F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6</w:t>
            </w:r>
          </w:p>
        </w:tc>
        <w:tc>
          <w:tcPr>
            <w:tcW w:w="3760" w:type="pct"/>
            <w:noWrap w:val="0"/>
            <w:vAlign w:val="center"/>
          </w:tcPr>
          <w:p w14:paraId="30106747">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2022年02月07日-2025年02月07日）不得在“信用中国”网站（www.creditchina.gov.cn）被列入失信被执行人、重大税收违法失信主体内将拒绝其参加本次招标活动。以上内容由投标企业自行承诺，由采购人或采购代理机构在投标截止后核查。</w:t>
            </w:r>
          </w:p>
        </w:tc>
        <w:tc>
          <w:tcPr>
            <w:tcW w:w="255" w:type="pct"/>
            <w:noWrap w:val="0"/>
            <w:vAlign w:val="top"/>
          </w:tcPr>
          <w:p w14:paraId="34FBC8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3C811C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01E96A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16B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19D7FE3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7</w:t>
            </w:r>
          </w:p>
        </w:tc>
        <w:tc>
          <w:tcPr>
            <w:tcW w:w="3760" w:type="pct"/>
            <w:noWrap w:val="0"/>
            <w:vAlign w:val="center"/>
          </w:tcPr>
          <w:p w14:paraId="370F00C1">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提供参与政府采购活动前3年内未被列入失信、重大税收违法案件、财政部门禁止参加政府采购活动的承诺书</w:t>
            </w:r>
          </w:p>
        </w:tc>
        <w:tc>
          <w:tcPr>
            <w:tcW w:w="255" w:type="pct"/>
            <w:noWrap w:val="0"/>
            <w:vAlign w:val="top"/>
          </w:tcPr>
          <w:p w14:paraId="6E9748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287210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7A886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80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92" w:type="pct"/>
            <w:noWrap w:val="0"/>
            <w:vAlign w:val="center"/>
          </w:tcPr>
          <w:p w14:paraId="2E5982B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3760" w:type="pct"/>
            <w:noWrap w:val="0"/>
            <w:vAlign w:val="center"/>
          </w:tcPr>
          <w:p w14:paraId="35C4DC1C">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5" w:type="pct"/>
            <w:noWrap w:val="0"/>
            <w:vAlign w:val="top"/>
          </w:tcPr>
          <w:p w14:paraId="038D4D5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C1D16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42D1CA7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07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92" w:type="pct"/>
            <w:noWrap w:val="0"/>
            <w:vAlign w:val="center"/>
          </w:tcPr>
          <w:p w14:paraId="22E3028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3760" w:type="pct"/>
            <w:noWrap w:val="0"/>
            <w:vAlign w:val="center"/>
          </w:tcPr>
          <w:p w14:paraId="4FFE10A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5" w:type="pct"/>
            <w:noWrap w:val="0"/>
            <w:vAlign w:val="top"/>
          </w:tcPr>
          <w:p w14:paraId="7D205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817697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17AE97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324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 w:type="pct"/>
            <w:noWrap w:val="0"/>
            <w:vAlign w:val="center"/>
          </w:tcPr>
          <w:p w14:paraId="1F3E5812">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10</w:t>
            </w:r>
          </w:p>
        </w:tc>
        <w:tc>
          <w:tcPr>
            <w:tcW w:w="3760" w:type="pct"/>
            <w:noWrap w:val="0"/>
            <w:vAlign w:val="center"/>
          </w:tcPr>
          <w:p w14:paraId="5D6A1CB5">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本项目专门面向中小企业采购，根据要求单独上传《中小企业声明函（货物）》</w:t>
            </w:r>
          </w:p>
        </w:tc>
        <w:tc>
          <w:tcPr>
            <w:tcW w:w="255" w:type="pct"/>
            <w:noWrap w:val="0"/>
            <w:vAlign w:val="top"/>
          </w:tcPr>
          <w:p w14:paraId="47A922A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1742AEC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3E75CC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C2E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 w:type="pct"/>
            <w:noWrap w:val="0"/>
            <w:vAlign w:val="center"/>
          </w:tcPr>
          <w:p w14:paraId="69A2C8F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11</w:t>
            </w:r>
          </w:p>
        </w:tc>
        <w:tc>
          <w:tcPr>
            <w:tcW w:w="3760" w:type="pct"/>
            <w:noWrap w:val="0"/>
            <w:vAlign w:val="center"/>
          </w:tcPr>
          <w:p w14:paraId="0348BAE8">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投标企业须提供有效期内的《食品生产许可证》或《食品经营许可证》或《食品流通许可证》</w:t>
            </w:r>
          </w:p>
        </w:tc>
        <w:tc>
          <w:tcPr>
            <w:tcW w:w="255" w:type="pct"/>
            <w:noWrap w:val="0"/>
            <w:vAlign w:val="top"/>
          </w:tcPr>
          <w:p w14:paraId="6390A81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6D1F380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864AC1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27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2" w:type="pct"/>
            <w:noWrap w:val="0"/>
            <w:vAlign w:val="center"/>
          </w:tcPr>
          <w:p w14:paraId="7DF3B2CC">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color w:val="auto"/>
                <w:spacing w:val="-2"/>
                <w:sz w:val="21"/>
                <w:szCs w:val="21"/>
                <w:highlight w:val="none"/>
              </w:rPr>
            </w:pPr>
          </w:p>
        </w:tc>
        <w:tc>
          <w:tcPr>
            <w:tcW w:w="3760" w:type="pct"/>
            <w:noWrap w:val="0"/>
            <w:vAlign w:val="center"/>
          </w:tcPr>
          <w:p w14:paraId="5FB69178">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结论</w:t>
            </w:r>
          </w:p>
        </w:tc>
        <w:tc>
          <w:tcPr>
            <w:tcW w:w="255" w:type="pct"/>
            <w:noWrap w:val="0"/>
            <w:vAlign w:val="top"/>
          </w:tcPr>
          <w:p w14:paraId="62EFA31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6BC052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6B3A88E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bl>
    <w:p w14:paraId="4F872E5C">
      <w:pPr>
        <w:pStyle w:val="9"/>
        <w:spacing w:before="0" w:line="240" w:lineRule="auto"/>
        <w:jc w:val="both"/>
        <w:rPr>
          <w:rFonts w:hint="eastAsia" w:ascii="微软雅黑" w:hAnsi="微软雅黑" w:eastAsia="微软雅黑" w:cs="微软雅黑"/>
          <w:b/>
          <w:color w:val="auto"/>
          <w:spacing w:val="-2"/>
          <w:highlight w:val="none"/>
          <w:lang w:eastAsia="zh-CN"/>
        </w:rPr>
      </w:pPr>
    </w:p>
    <w:p w14:paraId="47E4BFB0">
      <w:pPr>
        <w:pStyle w:val="9"/>
        <w:spacing w:before="0" w:line="240" w:lineRule="auto"/>
        <w:jc w:val="center"/>
        <w:rPr>
          <w:rFonts w:hint="eastAsia" w:ascii="微软雅黑" w:hAnsi="微软雅黑" w:eastAsia="微软雅黑" w:cs="微软雅黑"/>
          <w:b/>
          <w:color w:val="auto"/>
          <w:spacing w:val="-2"/>
          <w:highlight w:val="none"/>
          <w:lang w:eastAsia="zh-CN"/>
        </w:rPr>
      </w:pPr>
    </w:p>
    <w:p w14:paraId="2D81DEBB">
      <w:pPr>
        <w:pStyle w:val="9"/>
        <w:spacing w:before="0" w:line="240" w:lineRule="auto"/>
        <w:jc w:val="center"/>
        <w:rPr>
          <w:rFonts w:hint="eastAsia" w:ascii="微软雅黑" w:hAnsi="微软雅黑" w:eastAsia="微软雅黑" w:cs="微软雅黑"/>
          <w:b/>
          <w:color w:val="auto"/>
          <w:spacing w:val="-2"/>
          <w:highlight w:val="none"/>
          <w:lang w:eastAsia="zh-CN"/>
        </w:rPr>
      </w:pPr>
    </w:p>
    <w:p w14:paraId="4CB2A1AE">
      <w:pPr>
        <w:pStyle w:val="9"/>
        <w:spacing w:before="0" w:line="240" w:lineRule="auto"/>
        <w:jc w:val="center"/>
        <w:rPr>
          <w:rFonts w:hint="eastAsia" w:ascii="微软雅黑" w:hAnsi="微软雅黑" w:eastAsia="微软雅黑" w:cs="微软雅黑"/>
          <w:b/>
          <w:color w:val="auto"/>
          <w:spacing w:val="-2"/>
          <w:highlight w:val="none"/>
          <w:lang w:eastAsia="zh-CN"/>
        </w:rPr>
      </w:pPr>
    </w:p>
    <w:p w14:paraId="537E2D62">
      <w:pPr>
        <w:pStyle w:val="9"/>
        <w:spacing w:before="0" w:line="24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pacing w:val="-2"/>
          <w:highlight w:val="none"/>
          <w:lang w:eastAsia="zh-CN"/>
        </w:rPr>
        <w:t>投标文件</w:t>
      </w:r>
      <w:r>
        <w:rPr>
          <w:rFonts w:hint="eastAsia" w:ascii="微软雅黑" w:hAnsi="微软雅黑" w:eastAsia="微软雅黑" w:cs="微软雅黑"/>
          <w:b/>
          <w:color w:val="auto"/>
          <w:spacing w:val="-2"/>
          <w:highlight w:val="none"/>
        </w:rPr>
        <w:t>符合性审查表</w:t>
      </w:r>
    </w:p>
    <w:tbl>
      <w:tblPr>
        <w:tblStyle w:val="19"/>
        <w:tblpPr w:leftFromText="180" w:rightFromText="180" w:vertAnchor="text" w:horzAnchor="page" w:tblpXSpec="center" w:tblpY="1"/>
        <w:tblOverlap w:val="never"/>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849"/>
        <w:gridCol w:w="1446"/>
      </w:tblGrid>
      <w:tr w14:paraId="21D8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774" w:type="dxa"/>
            <w:vAlign w:val="bottom"/>
          </w:tcPr>
          <w:p w14:paraId="172BEF69">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序号</w:t>
            </w:r>
          </w:p>
        </w:tc>
        <w:tc>
          <w:tcPr>
            <w:tcW w:w="6849" w:type="dxa"/>
            <w:vAlign w:val="bottom"/>
          </w:tcPr>
          <w:p w14:paraId="09D71D87">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审查标准</w:t>
            </w:r>
          </w:p>
        </w:tc>
        <w:tc>
          <w:tcPr>
            <w:tcW w:w="1446" w:type="dxa"/>
            <w:vAlign w:val="bottom"/>
          </w:tcPr>
          <w:p w14:paraId="71FBB64A">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rPr>
              <w:t>评审意见</w:t>
            </w:r>
          </w:p>
        </w:tc>
      </w:tr>
      <w:tr w14:paraId="79D3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A1DCE93">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p>
        </w:tc>
        <w:tc>
          <w:tcPr>
            <w:tcW w:w="6849" w:type="dxa"/>
            <w:vAlign w:val="center"/>
          </w:tcPr>
          <w:p w14:paraId="3C2856CD">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投标文件内容基本完整，无重大错漏，并按要求签署、盖章，内容全面不存在字迹模糊、辨认不清的；</w:t>
            </w:r>
          </w:p>
        </w:tc>
        <w:tc>
          <w:tcPr>
            <w:tcW w:w="1446" w:type="dxa"/>
            <w:vAlign w:val="center"/>
          </w:tcPr>
          <w:p w14:paraId="19467BF0">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3B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981F30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w:t>
            </w:r>
          </w:p>
        </w:tc>
        <w:tc>
          <w:tcPr>
            <w:tcW w:w="6849" w:type="dxa"/>
            <w:vAlign w:val="center"/>
          </w:tcPr>
          <w:p w14:paraId="60E80CC8">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投标文件填写的完成期限是否超过招标文件规定的完成期限；</w:t>
            </w:r>
          </w:p>
        </w:tc>
        <w:tc>
          <w:tcPr>
            <w:tcW w:w="1446" w:type="dxa"/>
            <w:vAlign w:val="center"/>
          </w:tcPr>
          <w:p w14:paraId="5B4D63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603C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D37525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w:t>
            </w:r>
          </w:p>
        </w:tc>
        <w:tc>
          <w:tcPr>
            <w:tcW w:w="6849" w:type="dxa"/>
            <w:vAlign w:val="center"/>
          </w:tcPr>
          <w:p w14:paraId="6A848839">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投标有效期是否满足招标文件要求的；</w:t>
            </w:r>
          </w:p>
        </w:tc>
        <w:tc>
          <w:tcPr>
            <w:tcW w:w="1446" w:type="dxa"/>
            <w:vAlign w:val="center"/>
          </w:tcPr>
          <w:p w14:paraId="778B07B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015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EE3869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w:t>
            </w:r>
          </w:p>
        </w:tc>
        <w:tc>
          <w:tcPr>
            <w:tcW w:w="6849" w:type="dxa"/>
            <w:vAlign w:val="center"/>
          </w:tcPr>
          <w:p w14:paraId="3AEBD4C1">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投标报价是否高于采购预算价；</w:t>
            </w:r>
          </w:p>
        </w:tc>
        <w:tc>
          <w:tcPr>
            <w:tcW w:w="1446" w:type="dxa"/>
            <w:vAlign w:val="center"/>
          </w:tcPr>
          <w:p w14:paraId="6220DD31">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0D19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4EAF26E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5</w:t>
            </w:r>
          </w:p>
        </w:tc>
        <w:tc>
          <w:tcPr>
            <w:tcW w:w="6849" w:type="dxa"/>
            <w:vAlign w:val="center"/>
          </w:tcPr>
          <w:p w14:paraId="18659686">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缴纳投标保证金是否与招标文件金额一致；</w:t>
            </w:r>
          </w:p>
        </w:tc>
        <w:tc>
          <w:tcPr>
            <w:tcW w:w="1446" w:type="dxa"/>
            <w:vAlign w:val="center"/>
          </w:tcPr>
          <w:p w14:paraId="60BB88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84A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B76E967">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6</w:t>
            </w:r>
          </w:p>
        </w:tc>
        <w:tc>
          <w:tcPr>
            <w:tcW w:w="6849" w:type="dxa"/>
            <w:vAlign w:val="center"/>
          </w:tcPr>
          <w:p w14:paraId="43083963">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是否存在明显不符合技术规格和技术标准（技术规格偏离情况不满足采购人要求的）；</w:t>
            </w:r>
          </w:p>
        </w:tc>
        <w:tc>
          <w:tcPr>
            <w:tcW w:w="1446" w:type="dxa"/>
            <w:vAlign w:val="center"/>
          </w:tcPr>
          <w:p w14:paraId="7BD447F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ACA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1F6805C0">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7</w:t>
            </w:r>
          </w:p>
        </w:tc>
        <w:tc>
          <w:tcPr>
            <w:tcW w:w="6849" w:type="dxa"/>
            <w:vAlign w:val="center"/>
          </w:tcPr>
          <w:p w14:paraId="3D7BE44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商务条款是否有偏离情况的，供应商是否对招标文件所列的所有内容进行投标；</w:t>
            </w:r>
          </w:p>
        </w:tc>
        <w:tc>
          <w:tcPr>
            <w:tcW w:w="1446" w:type="dxa"/>
            <w:vAlign w:val="center"/>
          </w:tcPr>
          <w:p w14:paraId="6B9F736D">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B94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3C5B7866">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8</w:t>
            </w:r>
          </w:p>
        </w:tc>
        <w:tc>
          <w:tcPr>
            <w:tcW w:w="6849" w:type="dxa"/>
            <w:vAlign w:val="center"/>
          </w:tcPr>
          <w:p w14:paraId="76035855">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评审小组共同确定没有实质上不响应招标文件要求的；</w:t>
            </w:r>
          </w:p>
        </w:tc>
        <w:tc>
          <w:tcPr>
            <w:tcW w:w="1446" w:type="dxa"/>
            <w:vAlign w:val="center"/>
          </w:tcPr>
          <w:p w14:paraId="513D52E8">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2C76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3B33324">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9</w:t>
            </w:r>
          </w:p>
        </w:tc>
        <w:tc>
          <w:tcPr>
            <w:tcW w:w="6849" w:type="dxa"/>
            <w:vAlign w:val="center"/>
          </w:tcPr>
          <w:p w14:paraId="245801EE">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投标文件是否附有招标人不能接受条件的；</w:t>
            </w:r>
          </w:p>
        </w:tc>
        <w:tc>
          <w:tcPr>
            <w:tcW w:w="1446" w:type="dxa"/>
            <w:vAlign w:val="center"/>
          </w:tcPr>
          <w:p w14:paraId="535479A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C9C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1FFE38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10</w:t>
            </w:r>
          </w:p>
        </w:tc>
        <w:tc>
          <w:tcPr>
            <w:tcW w:w="6849" w:type="dxa"/>
            <w:vAlign w:val="center"/>
          </w:tcPr>
          <w:p w14:paraId="20ABA3D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是否存在法律、法规和招标文件规定的其他无效情形；</w:t>
            </w:r>
          </w:p>
        </w:tc>
        <w:tc>
          <w:tcPr>
            <w:tcW w:w="1446" w:type="dxa"/>
            <w:vAlign w:val="center"/>
          </w:tcPr>
          <w:p w14:paraId="0DAD5242">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bl>
    <w:p w14:paraId="45674906">
      <w:pPr>
        <w:pStyle w:val="9"/>
        <w:spacing w:before="0" w:line="240" w:lineRule="auto"/>
        <w:rPr>
          <w:rFonts w:hint="eastAsia" w:ascii="微软雅黑" w:hAnsi="微软雅黑" w:eastAsia="微软雅黑" w:cs="微软雅黑"/>
          <w:b/>
          <w:color w:val="auto"/>
          <w:spacing w:val="-2"/>
          <w:highlight w:val="none"/>
        </w:rPr>
      </w:pPr>
    </w:p>
    <w:p w14:paraId="622A9239">
      <w:pPr>
        <w:pageBreakBefore w:val="0"/>
        <w:kinsoku/>
        <w:wordWrap/>
        <w:overflowPunct/>
        <w:topLinePunct w:val="0"/>
        <w:bidi w:val="0"/>
        <w:spacing w:line="500" w:lineRule="exact"/>
        <w:ind w:left="1259" w:leftChars="28" w:hanging="1200" w:hangingChars="5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备注：</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如果投标文件中有一项未通过上述审查标准，评标委员会将认定整个投标文件未响应招标文件而予以废标处理。</w:t>
      </w:r>
    </w:p>
    <w:p w14:paraId="61247B3F">
      <w:pPr>
        <w:pageBreakBefore w:val="0"/>
        <w:kinsoku/>
        <w:wordWrap/>
        <w:overflowPunct/>
        <w:topLinePunct w:val="0"/>
        <w:bidi w:val="0"/>
        <w:spacing w:line="500" w:lineRule="exact"/>
        <w:ind w:left="777" w:leftChars="370" w:firstLine="0" w:firstLineChars="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表中所述分项评审结果分两种：（1）合格用“√”表示；（2）不</w:t>
      </w:r>
    </w:p>
    <w:p w14:paraId="60A1507A">
      <w:pPr>
        <w:pageBreakBefore w:val="0"/>
        <w:kinsoku/>
        <w:wordWrap/>
        <w:overflowPunct/>
        <w:topLinePunct w:val="0"/>
        <w:bidi w:val="0"/>
        <w:spacing w:line="500" w:lineRule="exact"/>
        <w:ind w:left="777" w:leftChars="370" w:firstLine="720" w:firstLine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合格用“×”表示。</w:t>
      </w:r>
    </w:p>
    <w:p w14:paraId="5472DA1F">
      <w:pPr>
        <w:pageBreakBefore w:val="0"/>
        <w:numPr>
          <w:ilvl w:val="0"/>
          <w:numId w:val="5"/>
        </w:numPr>
        <w:kinsoku/>
        <w:wordWrap/>
        <w:overflowPunct/>
        <w:topLinePunct w:val="0"/>
        <w:bidi w:val="0"/>
        <w:spacing w:line="500" w:lineRule="exact"/>
        <w:ind w:left="0" w:leftChars="0" w:firstLine="720" w:firstLineChars="300"/>
        <w:textAlignment w:val="auto"/>
        <w:rPr>
          <w:rFonts w:hint="eastAsia" w:ascii="宋体" w:hAnsi="宋体" w:eastAsia="宋体" w:cs="宋体"/>
          <w:b/>
          <w:color w:val="auto"/>
          <w:kern w:val="44"/>
          <w:sz w:val="32"/>
          <w:szCs w:val="32"/>
          <w:highlight w:val="none"/>
          <w:lang w:val="en-US" w:eastAsia="zh-CN" w:bidi="ar-SA"/>
        </w:rPr>
      </w:pPr>
      <w:r>
        <w:rPr>
          <w:rFonts w:hint="eastAsia" w:ascii="微软雅黑" w:hAnsi="微软雅黑" w:eastAsia="微软雅黑" w:cs="微软雅黑"/>
          <w:b w:val="0"/>
          <w:bCs/>
          <w:color w:val="auto"/>
          <w:sz w:val="24"/>
          <w:szCs w:val="24"/>
          <w:highlight w:val="none"/>
        </w:rPr>
        <w:t>上述各项中如有一项为“×”，则结论为“×”，表示该</w:t>
      </w:r>
      <w:r>
        <w:rPr>
          <w:rFonts w:hint="eastAsia" w:ascii="微软雅黑" w:hAnsi="微软雅黑" w:eastAsia="微软雅黑" w:cs="微软雅黑"/>
          <w:b w:val="0"/>
          <w:bCs/>
          <w:color w:val="auto"/>
          <w:sz w:val="24"/>
          <w:szCs w:val="24"/>
          <w:highlight w:val="none"/>
          <w:lang w:eastAsia="zh-CN"/>
        </w:rPr>
        <w:t>响应文件</w:t>
      </w:r>
      <w:r>
        <w:rPr>
          <w:rFonts w:hint="eastAsia" w:ascii="微软雅黑" w:hAnsi="微软雅黑" w:eastAsia="微软雅黑" w:cs="微软雅黑"/>
          <w:b w:val="0"/>
          <w:bCs/>
          <w:color w:val="auto"/>
          <w:sz w:val="24"/>
          <w:szCs w:val="24"/>
          <w:highlight w:val="none"/>
        </w:rPr>
        <w:t>中存在重大偏差，不能通过初步评审；</w:t>
      </w:r>
      <w:r>
        <w:rPr>
          <w:rFonts w:hint="eastAsia" w:ascii="微软雅黑" w:hAnsi="微软雅黑" w:eastAsia="微软雅黑" w:cs="微软雅黑"/>
          <w:b w:val="0"/>
          <w:bCs/>
          <w:color w:val="auto"/>
          <w:sz w:val="24"/>
          <w:szCs w:val="24"/>
          <w:highlight w:val="none"/>
          <w:lang w:eastAsia="zh-CN"/>
        </w:rPr>
        <w:t>评审小组</w:t>
      </w:r>
      <w:r>
        <w:rPr>
          <w:rFonts w:hint="eastAsia" w:ascii="微软雅黑" w:hAnsi="微软雅黑" w:eastAsia="微软雅黑" w:cs="微软雅黑"/>
          <w:b w:val="0"/>
          <w:bCs/>
          <w:color w:val="auto"/>
          <w:sz w:val="24"/>
          <w:szCs w:val="24"/>
          <w:highlight w:val="none"/>
        </w:rPr>
        <w:t>对某一分项评审认为不合格时，必须要写明原因。</w:t>
      </w:r>
    </w:p>
    <w:p w14:paraId="19488C56">
      <w:pPr>
        <w:pageBreakBefore w:val="0"/>
        <w:widowControl w:val="0"/>
        <w:numPr>
          <w:ilvl w:val="0"/>
          <w:numId w:val="0"/>
        </w:numPr>
        <w:kinsoku/>
        <w:wordWrap/>
        <w:overflowPunct/>
        <w:topLinePunct w:val="0"/>
        <w:bidi w:val="0"/>
        <w:spacing w:line="500" w:lineRule="exact"/>
        <w:jc w:val="both"/>
        <w:textAlignment w:val="auto"/>
        <w:rPr>
          <w:rFonts w:hint="eastAsia" w:ascii="宋体" w:hAnsi="宋体" w:eastAsia="宋体" w:cs="宋体"/>
          <w:b/>
          <w:color w:val="auto"/>
          <w:kern w:val="44"/>
          <w:sz w:val="32"/>
          <w:szCs w:val="32"/>
          <w:highlight w:val="none"/>
          <w:lang w:val="en-US" w:eastAsia="zh-CN" w:bidi="ar-SA"/>
        </w:rPr>
      </w:pPr>
    </w:p>
    <w:p w14:paraId="6E012A2A">
      <w:pPr>
        <w:pageBreakBefore w:val="0"/>
        <w:widowControl w:val="0"/>
        <w:numPr>
          <w:ilvl w:val="0"/>
          <w:numId w:val="0"/>
        </w:numPr>
        <w:kinsoku/>
        <w:wordWrap/>
        <w:overflowPunct/>
        <w:topLinePunct w:val="0"/>
        <w:bidi w:val="0"/>
        <w:spacing w:line="500" w:lineRule="exact"/>
        <w:jc w:val="both"/>
        <w:textAlignment w:val="auto"/>
        <w:rPr>
          <w:rFonts w:hint="eastAsia" w:ascii="宋体" w:hAnsi="宋体" w:eastAsia="宋体" w:cs="宋体"/>
          <w:b/>
          <w:color w:val="auto"/>
          <w:kern w:val="44"/>
          <w:sz w:val="32"/>
          <w:szCs w:val="32"/>
          <w:highlight w:val="none"/>
          <w:lang w:val="en-US" w:eastAsia="zh-CN" w:bidi="ar-SA"/>
        </w:rPr>
      </w:pPr>
    </w:p>
    <w:p w14:paraId="020B279E">
      <w:pPr>
        <w:pageBreakBefore w:val="0"/>
        <w:widowControl w:val="0"/>
        <w:numPr>
          <w:ilvl w:val="0"/>
          <w:numId w:val="0"/>
        </w:numPr>
        <w:kinsoku/>
        <w:wordWrap/>
        <w:overflowPunct/>
        <w:topLinePunct w:val="0"/>
        <w:bidi w:val="0"/>
        <w:spacing w:line="500" w:lineRule="exact"/>
        <w:jc w:val="both"/>
        <w:textAlignment w:val="auto"/>
        <w:rPr>
          <w:rFonts w:hint="eastAsia" w:ascii="宋体" w:hAnsi="宋体" w:eastAsia="宋体" w:cs="宋体"/>
          <w:b/>
          <w:color w:val="auto"/>
          <w:kern w:val="44"/>
          <w:sz w:val="32"/>
          <w:szCs w:val="32"/>
          <w:highlight w:val="none"/>
          <w:lang w:val="en-US" w:eastAsia="zh-CN" w:bidi="ar-SA"/>
        </w:rPr>
      </w:pPr>
    </w:p>
    <w:p w14:paraId="4469F782">
      <w:pPr>
        <w:jc w:val="center"/>
        <w:rPr>
          <w:rFonts w:hint="eastAsia" w:ascii="微软雅黑" w:hAnsi="微软雅黑" w:eastAsia="微软雅黑" w:cs="微软雅黑"/>
          <w:color w:val="auto"/>
          <w:kern w:val="0"/>
          <w:highlight w:val="none"/>
        </w:rPr>
      </w:pPr>
      <w:r>
        <w:rPr>
          <w:rFonts w:hint="eastAsia" w:ascii="宋体" w:hAnsi="宋体" w:eastAsia="宋体" w:cs="宋体"/>
          <w:b/>
          <w:color w:val="auto"/>
          <w:kern w:val="44"/>
          <w:sz w:val="32"/>
          <w:szCs w:val="32"/>
          <w:highlight w:val="none"/>
          <w:lang w:val="en-US" w:eastAsia="zh-CN" w:bidi="ar-SA"/>
        </w:rPr>
        <w:t>综合评分法评分标准</w:t>
      </w:r>
      <w:bookmarkStart w:id="442" w:name="_Toc507399904"/>
    </w:p>
    <w:p w14:paraId="1F10B16D">
      <w:pPr>
        <w:spacing w:before="133" w:line="219" w:lineRule="auto"/>
        <w:jc w:val="center"/>
        <w:rPr>
          <w:rFonts w:hint="default" w:ascii="微软雅黑" w:hAnsi="微软雅黑" w:eastAsia="微软雅黑" w:cs="微软雅黑"/>
          <w:b/>
          <w:bCs/>
          <w:color w:val="auto"/>
          <w:spacing w:val="9"/>
          <w:sz w:val="31"/>
          <w:szCs w:val="31"/>
          <w:lang w:val="en-US" w:eastAsia="zh-CN"/>
        </w:rPr>
      </w:pPr>
      <w:r>
        <w:rPr>
          <w:rFonts w:ascii="微软雅黑" w:hAnsi="微软雅黑" w:eastAsia="微软雅黑" w:cs="微软雅黑"/>
          <w:b/>
          <w:bCs/>
          <w:color w:val="auto"/>
          <w:spacing w:val="9"/>
          <w:sz w:val="31"/>
          <w:szCs w:val="31"/>
          <w:lang w:eastAsia="zh-CN"/>
        </w:rPr>
        <w:t>综合评分标准</w:t>
      </w:r>
    </w:p>
    <w:tbl>
      <w:tblPr>
        <w:tblStyle w:val="20"/>
        <w:tblpPr w:leftFromText="180" w:rightFromText="180" w:vertAnchor="text" w:tblpXSpec="center" w:tblpY="1"/>
        <w:tblOverlap w:val="never"/>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893"/>
        <w:gridCol w:w="927"/>
        <w:gridCol w:w="6236"/>
      </w:tblGrid>
      <w:tr w14:paraId="6902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Align w:val="center"/>
          </w:tcPr>
          <w:p w14:paraId="4A2E9869">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51B2D8A0">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评审内容</w:t>
            </w:r>
          </w:p>
        </w:tc>
        <w:tc>
          <w:tcPr>
            <w:tcW w:w="927" w:type="dxa"/>
            <w:vAlign w:val="center"/>
          </w:tcPr>
          <w:p w14:paraId="0A4C4917">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分值</w:t>
            </w:r>
          </w:p>
        </w:tc>
        <w:tc>
          <w:tcPr>
            <w:tcW w:w="6236" w:type="dxa"/>
            <w:vAlign w:val="center"/>
          </w:tcPr>
          <w:p w14:paraId="18A6BB87">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评分标准</w:t>
            </w:r>
          </w:p>
        </w:tc>
      </w:tr>
      <w:tr w14:paraId="382F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Align w:val="center"/>
          </w:tcPr>
          <w:p w14:paraId="3F40336C">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p w14:paraId="4502C6A4">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p w14:paraId="7F9220C5">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价格部分（30分）</w:t>
            </w:r>
          </w:p>
        </w:tc>
        <w:tc>
          <w:tcPr>
            <w:tcW w:w="893" w:type="dxa"/>
            <w:vAlign w:val="center"/>
          </w:tcPr>
          <w:p w14:paraId="745F5B2F">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p w14:paraId="34BA00D7">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p w14:paraId="0838E4EC">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投标价格</w:t>
            </w:r>
          </w:p>
        </w:tc>
        <w:tc>
          <w:tcPr>
            <w:tcW w:w="927" w:type="dxa"/>
            <w:vAlign w:val="center"/>
          </w:tcPr>
          <w:p w14:paraId="71FDA385">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p w14:paraId="638C5458">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p w14:paraId="31159EA6">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p w14:paraId="7E3411BE">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30分</w:t>
            </w:r>
          </w:p>
        </w:tc>
        <w:tc>
          <w:tcPr>
            <w:tcW w:w="6236" w:type="dxa"/>
            <w:vAlign w:val="center"/>
          </w:tcPr>
          <w:p w14:paraId="64CBD0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各供应商的价格得分的计算公式：满足招投标文件要求且投标价格最低的投标价为评标基准价，其价格分为满分。其他投标供应商的价格分同意按照下列公式计算:</w:t>
            </w:r>
          </w:p>
          <w:p w14:paraId="52F4F8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5" w:firstLineChars="177"/>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color w:val="000000"/>
                <w:kern w:val="0"/>
                <w:sz w:val="24"/>
                <w:szCs w:val="24"/>
                <w:lang w:val="en-US" w:eastAsia="zh-CN" w:bidi="ar"/>
              </w:rPr>
              <w:t>投标报价得分=（评标基准价/投标报价）×价格权值×100。计算分数是四舍五入取小数点后两位，份数最高不超过30分。</w:t>
            </w:r>
          </w:p>
        </w:tc>
      </w:tr>
      <w:tr w14:paraId="6A08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Merge w:val="restart"/>
            <w:vAlign w:val="center"/>
          </w:tcPr>
          <w:p w14:paraId="71D75C03">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技术部分（60分）</w:t>
            </w:r>
          </w:p>
        </w:tc>
        <w:tc>
          <w:tcPr>
            <w:tcW w:w="893" w:type="dxa"/>
            <w:vAlign w:val="center"/>
          </w:tcPr>
          <w:p w14:paraId="5AD3692C">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配送卫生保障措施</w:t>
            </w:r>
          </w:p>
        </w:tc>
        <w:tc>
          <w:tcPr>
            <w:tcW w:w="927" w:type="dxa"/>
            <w:vAlign w:val="center"/>
          </w:tcPr>
          <w:p w14:paraId="6238931E">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3分</w:t>
            </w:r>
          </w:p>
        </w:tc>
        <w:tc>
          <w:tcPr>
            <w:tcW w:w="6236" w:type="dxa"/>
            <w:vAlign w:val="center"/>
          </w:tcPr>
          <w:p w14:paraId="65821D54">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配送卫生及防疫保障措施方案，细致合理、措施具体、符合本项目实际得3分；配送卫生及防疫保障措施方案细致合理，但对卫生保障措施不详细得2分；只提供配送卫生及防疫保障措施方案得1分。未提供不得分（注：尤其是在针对如何保证食品从生产、储存、运输上符合相关卫生防疫保障措施及消毒措施）</w:t>
            </w:r>
          </w:p>
        </w:tc>
      </w:tr>
      <w:tr w14:paraId="262C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Merge w:val="continue"/>
            <w:vAlign w:val="center"/>
          </w:tcPr>
          <w:p w14:paraId="68B5FA50">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17730EAA">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auto"/>
                <w:kern w:val="0"/>
                <w:sz w:val="24"/>
                <w:szCs w:val="24"/>
                <w:highlight w:val="none"/>
                <w:lang w:val="en-US" w:eastAsia="zh-CN" w:bidi="ar"/>
              </w:rPr>
            </w:pPr>
            <w:r>
              <w:rPr>
                <w:rFonts w:hint="eastAsia" w:ascii="微软雅黑" w:hAnsi="微软雅黑" w:eastAsia="微软雅黑" w:cs="微软雅黑"/>
                <w:b w:val="0"/>
                <w:bCs w:val="0"/>
                <w:color w:val="auto"/>
                <w:kern w:val="0"/>
                <w:sz w:val="24"/>
                <w:szCs w:val="24"/>
                <w:highlight w:val="none"/>
                <w:lang w:val="en-US" w:eastAsia="zh-CN" w:bidi="ar"/>
              </w:rPr>
              <w:t>质量保障措施</w:t>
            </w:r>
          </w:p>
        </w:tc>
        <w:tc>
          <w:tcPr>
            <w:tcW w:w="927" w:type="dxa"/>
            <w:vAlign w:val="center"/>
          </w:tcPr>
          <w:p w14:paraId="101EBD7E">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auto"/>
                <w:kern w:val="0"/>
                <w:sz w:val="24"/>
                <w:szCs w:val="24"/>
                <w:highlight w:val="none"/>
                <w:lang w:val="en-US" w:eastAsia="zh-CN" w:bidi="ar"/>
              </w:rPr>
            </w:pPr>
            <w:r>
              <w:rPr>
                <w:rFonts w:hint="eastAsia" w:ascii="微软雅黑" w:hAnsi="微软雅黑" w:eastAsia="微软雅黑" w:cs="微软雅黑"/>
                <w:b w:val="0"/>
                <w:bCs w:val="0"/>
                <w:color w:val="auto"/>
                <w:kern w:val="0"/>
                <w:sz w:val="24"/>
                <w:szCs w:val="24"/>
                <w:highlight w:val="none"/>
                <w:lang w:val="en-US" w:eastAsia="zh-CN" w:bidi="ar"/>
              </w:rPr>
              <w:t>5分</w:t>
            </w:r>
          </w:p>
        </w:tc>
        <w:tc>
          <w:tcPr>
            <w:tcW w:w="6236" w:type="dxa"/>
            <w:vAlign w:val="center"/>
          </w:tcPr>
          <w:p w14:paraId="36B85890">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auto"/>
                <w:kern w:val="0"/>
                <w:sz w:val="24"/>
                <w:szCs w:val="24"/>
                <w:highlight w:val="none"/>
                <w:lang w:val="en-US" w:eastAsia="zh-CN" w:bidi="ar"/>
              </w:rPr>
            </w:pPr>
            <w:r>
              <w:rPr>
                <w:rFonts w:hint="eastAsia" w:ascii="微软雅黑" w:hAnsi="微软雅黑" w:eastAsia="微软雅黑" w:cs="微软雅黑"/>
                <w:b w:val="0"/>
                <w:bCs w:val="0"/>
                <w:color w:val="auto"/>
                <w:kern w:val="0"/>
                <w:sz w:val="24"/>
                <w:szCs w:val="24"/>
                <w:highlight w:val="none"/>
                <w:lang w:val="en-US" w:eastAsia="zh-CN" w:bidi="ar"/>
              </w:rPr>
              <w:t>投标供应商有货源组织、进货渠道、货源可靠性保障程度、货物质量检查、内部质量监督管理等质量保障措施明确（需提供</w:t>
            </w:r>
            <w:r>
              <w:rPr>
                <w:rFonts w:hint="eastAsia" w:ascii="微软雅黑" w:hAnsi="微软雅黑" w:eastAsia="微软雅黑" w:cs="微软雅黑"/>
                <w:b w:val="0"/>
                <w:bCs w:val="0"/>
                <w:color w:val="000000"/>
                <w:kern w:val="0"/>
                <w:sz w:val="24"/>
                <w:szCs w:val="24"/>
                <w:lang w:val="en-US" w:eastAsia="zh-CN" w:bidi="ar"/>
              </w:rPr>
              <w:t>①</w:t>
            </w:r>
            <w:r>
              <w:rPr>
                <w:rFonts w:hint="eastAsia" w:ascii="微软雅黑" w:hAnsi="微软雅黑" w:eastAsia="微软雅黑" w:cs="微软雅黑"/>
                <w:b w:val="0"/>
                <w:bCs w:val="0"/>
                <w:color w:val="auto"/>
                <w:kern w:val="0"/>
                <w:sz w:val="24"/>
                <w:szCs w:val="24"/>
                <w:highlight w:val="none"/>
                <w:lang w:val="en-US" w:eastAsia="zh-CN" w:bidi="ar"/>
              </w:rPr>
              <w:t>生产厂家经营资格、</w:t>
            </w:r>
            <w:r>
              <w:rPr>
                <w:rFonts w:hint="eastAsia" w:ascii="微软雅黑" w:hAnsi="微软雅黑" w:eastAsia="微软雅黑" w:cs="微软雅黑"/>
                <w:b w:val="0"/>
                <w:bCs w:val="0"/>
                <w:color w:val="000000"/>
                <w:kern w:val="0"/>
                <w:sz w:val="24"/>
                <w:szCs w:val="24"/>
                <w:lang w:val="en-US" w:eastAsia="zh-CN" w:bidi="ar"/>
              </w:rPr>
              <w:t>②</w:t>
            </w:r>
            <w:r>
              <w:rPr>
                <w:rFonts w:hint="eastAsia" w:ascii="微软雅黑" w:hAnsi="微软雅黑" w:eastAsia="微软雅黑" w:cs="微软雅黑"/>
                <w:b w:val="0"/>
                <w:bCs w:val="0"/>
                <w:color w:val="auto"/>
                <w:kern w:val="0"/>
                <w:sz w:val="24"/>
                <w:szCs w:val="24"/>
                <w:highlight w:val="none"/>
                <w:lang w:val="en-US" w:eastAsia="zh-CN" w:bidi="ar"/>
              </w:rPr>
              <w:t>厂家食品经营许可证、</w:t>
            </w:r>
            <w:r>
              <w:rPr>
                <w:rFonts w:hint="eastAsia" w:ascii="微软雅黑" w:hAnsi="微软雅黑" w:eastAsia="微软雅黑" w:cs="微软雅黑"/>
                <w:b w:val="0"/>
                <w:bCs w:val="0"/>
                <w:color w:val="000000"/>
                <w:kern w:val="0"/>
                <w:sz w:val="24"/>
                <w:szCs w:val="24"/>
                <w:lang w:val="en-US" w:eastAsia="zh-CN" w:bidi="ar"/>
              </w:rPr>
              <w:t>③</w:t>
            </w:r>
            <w:r>
              <w:rPr>
                <w:rFonts w:hint="eastAsia" w:ascii="微软雅黑" w:hAnsi="微软雅黑" w:eastAsia="微软雅黑" w:cs="微软雅黑"/>
                <w:b w:val="0"/>
                <w:bCs w:val="0"/>
                <w:color w:val="auto"/>
                <w:kern w:val="0"/>
                <w:sz w:val="24"/>
                <w:szCs w:val="24"/>
                <w:highlight w:val="none"/>
                <w:lang w:val="en-US" w:eastAsia="zh-CN" w:bidi="ar"/>
              </w:rPr>
              <w:t>信用证明、</w:t>
            </w:r>
            <w:r>
              <w:rPr>
                <w:rFonts w:hint="eastAsia" w:ascii="微软雅黑" w:hAnsi="微软雅黑" w:eastAsia="微软雅黑" w:cs="微软雅黑"/>
                <w:b w:val="0"/>
                <w:bCs w:val="0"/>
                <w:color w:val="000000"/>
                <w:kern w:val="0"/>
                <w:sz w:val="24"/>
                <w:szCs w:val="24"/>
                <w:lang w:val="en-US" w:eastAsia="zh-CN" w:bidi="ar"/>
              </w:rPr>
              <w:t>④</w:t>
            </w:r>
            <w:r>
              <w:rPr>
                <w:rFonts w:hint="eastAsia" w:ascii="微软雅黑" w:hAnsi="微软雅黑" w:eastAsia="微软雅黑" w:cs="微软雅黑"/>
                <w:b w:val="0"/>
                <w:bCs w:val="0"/>
                <w:color w:val="auto"/>
                <w:kern w:val="0"/>
                <w:sz w:val="24"/>
                <w:szCs w:val="24"/>
                <w:highlight w:val="none"/>
                <w:lang w:val="en-US" w:eastAsia="zh-CN" w:bidi="ar"/>
              </w:rPr>
              <w:t>货物品牌、</w:t>
            </w:r>
            <w:r>
              <w:rPr>
                <w:rFonts w:hint="eastAsia" w:ascii="微软雅黑" w:hAnsi="微软雅黑" w:eastAsia="微软雅黑" w:cs="微软雅黑"/>
                <w:b w:val="0"/>
                <w:bCs w:val="0"/>
                <w:color w:val="000000"/>
                <w:kern w:val="0"/>
                <w:sz w:val="24"/>
                <w:szCs w:val="24"/>
                <w:lang w:val="en-US" w:eastAsia="zh-CN" w:bidi="ar"/>
              </w:rPr>
              <w:t>⑤口碑情况</w:t>
            </w:r>
            <w:r>
              <w:rPr>
                <w:rFonts w:hint="eastAsia" w:ascii="微软雅黑" w:hAnsi="微软雅黑" w:eastAsia="微软雅黑" w:cs="微软雅黑"/>
                <w:b w:val="0"/>
                <w:bCs w:val="0"/>
                <w:color w:val="auto"/>
                <w:kern w:val="0"/>
                <w:sz w:val="24"/>
                <w:szCs w:val="24"/>
                <w:highlight w:val="none"/>
                <w:lang w:val="en-US" w:eastAsia="zh-CN" w:bidi="ar"/>
              </w:rPr>
              <w:t>等印证材料复印件）得5分；提供的每一项得1分，未提供不得分</w:t>
            </w:r>
          </w:p>
        </w:tc>
      </w:tr>
      <w:tr w14:paraId="6EA3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213" w:type="dxa"/>
            <w:vMerge w:val="continue"/>
            <w:vAlign w:val="center"/>
          </w:tcPr>
          <w:p w14:paraId="2159A303">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7A15891D">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w:t>
            </w:r>
            <w:r>
              <w:rPr>
                <w:rFonts w:hint="eastAsia" w:ascii="微软雅黑" w:hAnsi="微软雅黑" w:eastAsia="微软雅黑" w:cs="微软雅黑"/>
                <w:b w:val="0"/>
                <w:bCs w:val="0"/>
                <w:color w:val="auto"/>
                <w:kern w:val="0"/>
                <w:sz w:val="24"/>
                <w:szCs w:val="24"/>
                <w:lang w:val="en-US" w:eastAsia="zh-CN" w:bidi="ar"/>
              </w:rPr>
              <w:t>货物的可靠性</w:t>
            </w:r>
          </w:p>
        </w:tc>
        <w:tc>
          <w:tcPr>
            <w:tcW w:w="927" w:type="dxa"/>
            <w:vAlign w:val="center"/>
          </w:tcPr>
          <w:p w14:paraId="4F6A11E8">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6分</w:t>
            </w:r>
          </w:p>
        </w:tc>
        <w:tc>
          <w:tcPr>
            <w:tcW w:w="6236" w:type="dxa"/>
            <w:vAlign w:val="center"/>
          </w:tcPr>
          <w:p w14:paraId="34FD21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color w:val="auto"/>
                <w:sz w:val="24"/>
                <w:szCs w:val="24"/>
                <w:lang w:val="en-US" w:eastAsia="zh-CN"/>
              </w:rPr>
              <w:t>投标人所提供产品质量</w:t>
            </w:r>
            <w:r>
              <w:rPr>
                <w:rFonts w:hint="eastAsia" w:ascii="微软雅黑" w:hAnsi="微软雅黑" w:eastAsia="微软雅黑" w:cs="微软雅黑"/>
                <w:color w:val="auto"/>
                <w:sz w:val="24"/>
                <w:szCs w:val="24"/>
                <w:u w:val="single"/>
                <w:lang w:val="en-US" w:eastAsia="zh-CN"/>
              </w:rPr>
              <w:t>必须符合行业标准要求（详见带★部分）</w:t>
            </w:r>
            <w:r>
              <w:rPr>
                <w:rFonts w:hint="eastAsia" w:ascii="微软雅黑" w:hAnsi="微软雅黑" w:eastAsia="微软雅黑" w:cs="微软雅黑"/>
                <w:color w:val="auto"/>
                <w:sz w:val="24"/>
                <w:szCs w:val="24"/>
                <w:lang w:val="en-US" w:eastAsia="zh-CN"/>
              </w:rPr>
              <w:t>，投标人提供的完全符合得6分；未提供应征材料的或印证材料缺失的则为不响应本次招标要求。</w:t>
            </w:r>
          </w:p>
        </w:tc>
      </w:tr>
      <w:tr w14:paraId="2FB1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Merge w:val="continue"/>
            <w:vAlign w:val="center"/>
          </w:tcPr>
          <w:p w14:paraId="43389B40">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2D24E51E">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安全性保证书</w:t>
            </w:r>
          </w:p>
        </w:tc>
        <w:tc>
          <w:tcPr>
            <w:tcW w:w="927" w:type="dxa"/>
            <w:vAlign w:val="center"/>
          </w:tcPr>
          <w:p w14:paraId="4618601A">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3分</w:t>
            </w:r>
          </w:p>
        </w:tc>
        <w:tc>
          <w:tcPr>
            <w:tcW w:w="6236" w:type="dxa"/>
            <w:vAlign w:val="center"/>
          </w:tcPr>
          <w:p w14:paraId="14C4AFF6">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投标人提供米面油等产品在生产、加工、储存和运输过程中采取必要的安全措施，不得有掺假、变质、变味、过期等现象出现等内容及符合项目实际的安全保证书得3分，以上内容没有详细得1分，未提供不得分。</w:t>
            </w:r>
          </w:p>
          <w:p w14:paraId="4FB7A5AD">
            <w:pPr>
              <w:pageBreakBefore w:val="0"/>
              <w:widowControl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val="0"/>
                <w:bCs w:val="0"/>
                <w:color w:val="auto"/>
                <w:kern w:val="0"/>
                <w:sz w:val="24"/>
                <w:szCs w:val="24"/>
                <w:lang w:val="en-US" w:eastAsia="zh-CN" w:bidi="ar"/>
              </w:rPr>
              <w:t>备注：保证书需要法人签字盖章</w:t>
            </w:r>
          </w:p>
        </w:tc>
      </w:tr>
      <w:tr w14:paraId="02D2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Merge w:val="continue"/>
            <w:vAlign w:val="center"/>
          </w:tcPr>
          <w:p w14:paraId="4A480A0F">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5E1B8484">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供货计划及配送方案</w:t>
            </w:r>
          </w:p>
        </w:tc>
        <w:tc>
          <w:tcPr>
            <w:tcW w:w="927" w:type="dxa"/>
            <w:vAlign w:val="center"/>
          </w:tcPr>
          <w:p w14:paraId="13802964">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10分</w:t>
            </w:r>
          </w:p>
        </w:tc>
        <w:tc>
          <w:tcPr>
            <w:tcW w:w="6236" w:type="dxa"/>
            <w:vAlign w:val="center"/>
          </w:tcPr>
          <w:p w14:paraId="282902F2">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投标人需提供配送服务方案（包含：①配送方式及配送过程规划、②退货、换货流程、③验货不合格产品退还方案、④配送途中食材安全保障措施、⑤食材保鲜的详细供货计划），根据项目实际情况，有利于项目实施且资料详细完整的每提供一项得2分，存在不符合项目实际的不得分，最高分10分；未提供不得分。</w:t>
            </w:r>
          </w:p>
        </w:tc>
      </w:tr>
      <w:tr w14:paraId="071D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Merge w:val="continue"/>
            <w:vAlign w:val="center"/>
          </w:tcPr>
          <w:p w14:paraId="6C9145C5">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48ADB537">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食品安全保障方案</w:t>
            </w:r>
          </w:p>
        </w:tc>
        <w:tc>
          <w:tcPr>
            <w:tcW w:w="927" w:type="dxa"/>
            <w:vAlign w:val="center"/>
          </w:tcPr>
          <w:p w14:paraId="41D611E9">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10分</w:t>
            </w:r>
          </w:p>
        </w:tc>
        <w:tc>
          <w:tcPr>
            <w:tcW w:w="6236" w:type="dxa"/>
            <w:vAlign w:val="center"/>
          </w:tcPr>
          <w:p w14:paraId="5614961E">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投标人需提供食品安全保障方案，主要包括①进货渠道选择方案、②食品安全监测方案、③质量保证措施方案④出现产品质量问题后的应急处理方案、⑤食品安全“五防”措施等。评审小组根据食品安全保障方案的优势情况，横向比较进行评分。食品安全保障方案内容详细、全面的提供一项得2分，</w:t>
            </w:r>
            <w:r>
              <w:rPr>
                <w:rFonts w:hint="eastAsia" w:ascii="微软雅黑" w:hAnsi="微软雅黑" w:eastAsia="微软雅黑" w:cs="微软雅黑"/>
                <w:b w:val="0"/>
                <w:bCs w:val="0"/>
                <w:color w:val="auto"/>
                <w:kern w:val="0"/>
                <w:sz w:val="24"/>
                <w:szCs w:val="24"/>
                <w:lang w:val="en-US" w:eastAsia="zh-CN" w:bidi="ar"/>
              </w:rPr>
              <w:t>缺一项</w:t>
            </w:r>
            <w:r>
              <w:rPr>
                <w:rFonts w:hint="eastAsia" w:ascii="微软雅黑" w:hAnsi="微软雅黑" w:eastAsia="微软雅黑" w:cs="微软雅黑"/>
                <w:b w:val="0"/>
                <w:bCs w:val="0"/>
                <w:color w:val="000000"/>
                <w:kern w:val="0"/>
                <w:sz w:val="24"/>
                <w:szCs w:val="24"/>
                <w:lang w:val="en-US" w:eastAsia="zh-CN" w:bidi="ar"/>
              </w:rPr>
              <w:t>扣2分，最高得10分；未提供不得分。</w:t>
            </w:r>
          </w:p>
        </w:tc>
      </w:tr>
      <w:tr w14:paraId="3DA7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Merge w:val="continue"/>
            <w:vAlign w:val="center"/>
          </w:tcPr>
          <w:p w14:paraId="684F6C26">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4B3314D1">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企业实力</w:t>
            </w:r>
          </w:p>
        </w:tc>
        <w:tc>
          <w:tcPr>
            <w:tcW w:w="927" w:type="dxa"/>
            <w:vAlign w:val="center"/>
          </w:tcPr>
          <w:p w14:paraId="048A5BA6">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12分</w:t>
            </w:r>
          </w:p>
        </w:tc>
        <w:tc>
          <w:tcPr>
            <w:tcW w:w="6236" w:type="dxa"/>
            <w:vAlign w:val="center"/>
          </w:tcPr>
          <w:p w14:paraId="0CD86DA2">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1、投标人提供自有或租赁厢式货车的每辆厢式车得0.5分，最高得3分（须提供厢式车辆租赁合同或企业自有厢式车辆证明文件，同时提供车辆行驶证及车辆保险复印件加盖公章）；</w:t>
            </w:r>
          </w:p>
          <w:p w14:paraId="3A673A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2、投标人提供自有或租赁厢式车车厢内安装监控的得2分、未安装监控的不得分。</w:t>
            </w:r>
          </w:p>
          <w:p w14:paraId="3F2259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3、投标人提供车辆卫生措施材料得1分、提供消毒措施材料的得1分，未提供不得分；</w:t>
            </w:r>
          </w:p>
          <w:p w14:paraId="2A3988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4、投标人提供中标后购买食品安全责任保险承诺书的得2分，未提供不得分；</w:t>
            </w:r>
          </w:p>
          <w:p w14:paraId="7A51E0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color w:val="000000"/>
                <w:kern w:val="0"/>
                <w:sz w:val="24"/>
                <w:szCs w:val="24"/>
                <w:lang w:val="en-US" w:eastAsia="zh-CN" w:bidi="ar"/>
              </w:rPr>
              <w:t>5、投标人具有厂房或库房或租赁厂房或库房面积600平方及以上的得4分、400平方-600平方的得3分、200平方-400平方的得2分、150平方-200平方的得1分（须提供库内物品摆放图片及房产证明复印件加盖公章，租赁租赁厂房或库房租赁合同及相关其他材料等），未提供不得分；</w:t>
            </w:r>
          </w:p>
        </w:tc>
      </w:tr>
      <w:tr w14:paraId="6D21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trPr>
        <w:tc>
          <w:tcPr>
            <w:tcW w:w="1213" w:type="dxa"/>
            <w:vMerge w:val="continue"/>
            <w:vAlign w:val="center"/>
          </w:tcPr>
          <w:p w14:paraId="2EF30C34">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238F6EFF">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人员配置</w:t>
            </w:r>
          </w:p>
        </w:tc>
        <w:tc>
          <w:tcPr>
            <w:tcW w:w="927" w:type="dxa"/>
            <w:vAlign w:val="center"/>
          </w:tcPr>
          <w:p w14:paraId="1E7A7EC1">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5分</w:t>
            </w:r>
          </w:p>
        </w:tc>
        <w:tc>
          <w:tcPr>
            <w:tcW w:w="6236" w:type="dxa"/>
            <w:vAlign w:val="center"/>
          </w:tcPr>
          <w:p w14:paraId="413D76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根据拟投入本项目的人员配置：</w:t>
            </w:r>
          </w:p>
          <w:p w14:paraId="7DF654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投入本项目人员配置等于或者大于20人以上采购和配送人员的得5分；</w:t>
            </w:r>
          </w:p>
          <w:p w14:paraId="7F4A0E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投入本项目人员配置15至19人采购和配送人员的得4分；</w:t>
            </w:r>
          </w:p>
          <w:p w14:paraId="038108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投入本项目人员配置10至15人采购和配送人员的得3分；</w:t>
            </w:r>
          </w:p>
          <w:p w14:paraId="3FBE58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投入本项目人员配置8至10人采购和配送人员的得2分</w:t>
            </w:r>
          </w:p>
          <w:p w14:paraId="0B14DE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val="0"/>
                <w:bCs w:val="0"/>
                <w:color w:val="auto"/>
                <w:kern w:val="0"/>
                <w:sz w:val="24"/>
                <w:szCs w:val="24"/>
                <w:lang w:val="en-US" w:eastAsia="zh-CN" w:bidi="ar"/>
              </w:rPr>
              <w:t>投入本项目人员配置4至8人采购和配送人员的得1分</w:t>
            </w:r>
          </w:p>
          <w:p w14:paraId="2A7239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未提供配送人员配备证明的不得分；</w:t>
            </w:r>
          </w:p>
          <w:p w14:paraId="4C3399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color w:val="000000"/>
                <w:kern w:val="0"/>
                <w:sz w:val="24"/>
                <w:szCs w:val="24"/>
                <w:lang w:val="en-US" w:eastAsia="zh-CN" w:bidi="ar"/>
              </w:rPr>
              <w:t>注：项目配置人员须提供劳动合同证明和健康证明</w:t>
            </w:r>
          </w:p>
        </w:tc>
      </w:tr>
      <w:tr w14:paraId="1255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1213" w:type="dxa"/>
            <w:vMerge w:val="continue"/>
            <w:vAlign w:val="center"/>
          </w:tcPr>
          <w:p w14:paraId="427BA400">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53FE0A6F">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应急措施</w:t>
            </w:r>
          </w:p>
        </w:tc>
        <w:tc>
          <w:tcPr>
            <w:tcW w:w="927" w:type="dxa"/>
            <w:vAlign w:val="center"/>
          </w:tcPr>
          <w:p w14:paraId="522CF336">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6分</w:t>
            </w:r>
          </w:p>
        </w:tc>
        <w:tc>
          <w:tcPr>
            <w:tcW w:w="6236" w:type="dxa"/>
            <w:vAlign w:val="center"/>
          </w:tcPr>
          <w:p w14:paraId="5BDB76C9">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C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根据投标人提供的应急措施方案（①交通管制、②食品中毒、③应急配送、④极端天气、⑤食品原料引发的食物中毒应急方案、⑥停水停电或其他因素引发的事故应急方案）各项内容响应招标文件且能保障项目顺利实施的得3分，每有一项缺失扣0.5分，直至扣完。</w:t>
            </w:r>
          </w:p>
          <w:p w14:paraId="527A8B02">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color w:val="000000"/>
                <w:kern w:val="0"/>
                <w:sz w:val="24"/>
                <w:szCs w:val="24"/>
                <w:lang w:val="en-US" w:eastAsia="zh-CN" w:bidi="ar"/>
              </w:rPr>
              <w:t>投标人对货物的①运输、②配送、③装卸、④人员配备等方面的描述或说明，供货时能确保货物的⑤卫生、⑥安全等，全面得3分。每有一项缺失或不完整的扣0.5分。直至扣完。</w:t>
            </w:r>
          </w:p>
        </w:tc>
      </w:tr>
      <w:tr w14:paraId="1611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213" w:type="dxa"/>
            <w:vMerge w:val="restart"/>
            <w:vAlign w:val="center"/>
          </w:tcPr>
          <w:p w14:paraId="6821134A">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商务部分（10分）</w:t>
            </w:r>
          </w:p>
        </w:tc>
        <w:tc>
          <w:tcPr>
            <w:tcW w:w="893" w:type="dxa"/>
            <w:vAlign w:val="center"/>
          </w:tcPr>
          <w:p w14:paraId="1E281AA4">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类似业绩</w:t>
            </w:r>
          </w:p>
        </w:tc>
        <w:tc>
          <w:tcPr>
            <w:tcW w:w="927" w:type="dxa"/>
            <w:vAlign w:val="center"/>
          </w:tcPr>
          <w:p w14:paraId="214FABE0">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4分</w:t>
            </w:r>
          </w:p>
        </w:tc>
        <w:tc>
          <w:tcPr>
            <w:tcW w:w="6236" w:type="dxa"/>
            <w:vAlign w:val="center"/>
          </w:tcPr>
          <w:p w14:paraId="5B15722C">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供应商提供（2021年12月1日至今）类似项目业绩，每提供1项有效的类似项目业绩的得1分，本项最多得4分；</w:t>
            </w:r>
            <w:r>
              <w:rPr>
                <w:rFonts w:hint="eastAsia" w:ascii="微软雅黑" w:hAnsi="微软雅黑" w:eastAsia="微软雅黑" w:cs="微软雅黑"/>
                <w:b w:val="0"/>
                <w:bCs w:val="0"/>
                <w:color w:val="auto"/>
                <w:kern w:val="0"/>
                <w:sz w:val="24"/>
                <w:szCs w:val="24"/>
                <w:lang w:val="en-US" w:eastAsia="zh-CN" w:bidi="ar"/>
              </w:rPr>
              <w:t>注：有效业绩的认定及业绩证明材料：合同或成交（中标）通知书、须提供发票等复印件，未提供业绩证明材料或是经专家小组认定为无效业绩的，本项</w:t>
            </w:r>
            <w:bookmarkStart w:id="1373" w:name="_GoBack"/>
            <w:bookmarkEnd w:id="1373"/>
            <w:r>
              <w:rPr>
                <w:rFonts w:hint="eastAsia" w:ascii="微软雅黑" w:hAnsi="微软雅黑" w:eastAsia="微软雅黑" w:cs="微软雅黑"/>
                <w:b w:val="0"/>
                <w:bCs w:val="0"/>
                <w:color w:val="auto"/>
                <w:kern w:val="0"/>
                <w:sz w:val="24"/>
                <w:szCs w:val="24"/>
                <w:lang w:val="en-US" w:eastAsia="zh-CN" w:bidi="ar"/>
              </w:rPr>
              <w:t>不得分。</w:t>
            </w:r>
          </w:p>
        </w:tc>
      </w:tr>
      <w:tr w14:paraId="33CB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3" w:type="dxa"/>
            <w:vMerge w:val="continue"/>
            <w:vAlign w:val="center"/>
          </w:tcPr>
          <w:p w14:paraId="4662B892">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p>
        </w:tc>
        <w:tc>
          <w:tcPr>
            <w:tcW w:w="893" w:type="dxa"/>
            <w:vAlign w:val="center"/>
          </w:tcPr>
          <w:p w14:paraId="3529C5AD">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售后服务</w:t>
            </w:r>
          </w:p>
        </w:tc>
        <w:tc>
          <w:tcPr>
            <w:tcW w:w="927" w:type="dxa"/>
            <w:vAlign w:val="center"/>
          </w:tcPr>
          <w:p w14:paraId="7F8654F8">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6分</w:t>
            </w:r>
          </w:p>
        </w:tc>
        <w:tc>
          <w:tcPr>
            <w:tcW w:w="6236" w:type="dxa"/>
            <w:vAlign w:val="center"/>
          </w:tcPr>
          <w:p w14:paraId="203007C8">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auto"/>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1、投标人提供退换货措施（质量问题退换、投诉处理、定期回访等方面的材料）全部提供得3分，缺一项扣1分，未提供不得分。</w:t>
            </w:r>
          </w:p>
          <w:p w14:paraId="2EE0490F">
            <w:pPr>
              <w:pStyle w:val="3"/>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auto"/>
                <w:kern w:val="0"/>
                <w:sz w:val="24"/>
                <w:szCs w:val="24"/>
                <w:lang w:val="en-US" w:eastAsia="zh-CN" w:bidi="ar"/>
              </w:rPr>
              <w:t>2、换货的人员保障方案上要有专职售后服务回访、退换需求处理人员，有专职处理人员5人及以上的3分，3-4人的2分，1-2人的得1分。没有专职人员不得分。</w:t>
            </w:r>
          </w:p>
        </w:tc>
      </w:tr>
    </w:tbl>
    <w:p w14:paraId="0E3520BD">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麦盖提县2024-2025年度中小学（幼儿园）食堂米面油等大宗食材采购配送项目四标段三次</w:t>
      </w:r>
    </w:p>
    <w:p w14:paraId="35C722C0">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eastAsia="zh-CN"/>
        </w:rPr>
        <w:t>分散公开招标</w:t>
      </w:r>
      <w:r>
        <w:rPr>
          <w:rFonts w:hint="eastAsia" w:ascii="微软雅黑" w:hAnsi="微软雅黑" w:eastAsia="微软雅黑" w:cs="微软雅黑"/>
          <w:b/>
          <w:color w:val="auto"/>
          <w:sz w:val="52"/>
          <w:szCs w:val="52"/>
          <w:highlight w:val="none"/>
        </w:rPr>
        <w:t>文件</w:t>
      </w:r>
    </w:p>
    <w:p w14:paraId="232A067F">
      <w:pPr>
        <w:spacing w:line="360" w:lineRule="auto"/>
        <w:jc w:val="both"/>
        <w:rPr>
          <w:rFonts w:hint="eastAsia" w:ascii="微软雅黑" w:hAnsi="微软雅黑" w:eastAsia="微软雅黑" w:cs="微软雅黑"/>
          <w:bCs/>
          <w:color w:val="auto"/>
          <w:sz w:val="32"/>
          <w:szCs w:val="32"/>
          <w:highlight w:val="none"/>
        </w:rPr>
      </w:pPr>
    </w:p>
    <w:p w14:paraId="214178D1">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KSMGTX（FSGK）2024-02-03号</w:t>
      </w:r>
      <w:r>
        <w:rPr>
          <w:rFonts w:hint="eastAsia" w:ascii="微软雅黑" w:hAnsi="微软雅黑" w:eastAsia="微软雅黑" w:cs="微软雅黑"/>
          <w:bCs/>
          <w:color w:val="auto"/>
          <w:sz w:val="32"/>
          <w:szCs w:val="32"/>
          <w:highlight w:val="none"/>
        </w:rPr>
        <w:t>）</w:t>
      </w:r>
    </w:p>
    <w:p w14:paraId="0A929877">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7275CE25">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三</w:t>
      </w:r>
      <w:r>
        <w:rPr>
          <w:rFonts w:hint="eastAsia" w:ascii="微软雅黑" w:hAnsi="微软雅黑" w:eastAsia="微软雅黑" w:cs="微软雅黑"/>
          <w:b/>
          <w:color w:val="auto"/>
          <w:sz w:val="36"/>
          <w:szCs w:val="36"/>
          <w:highlight w:val="none"/>
        </w:rPr>
        <w:t>册</w:t>
      </w:r>
    </w:p>
    <w:p w14:paraId="682FCF98">
      <w:pPr>
        <w:spacing w:line="360" w:lineRule="auto"/>
        <w:jc w:val="both"/>
        <w:rPr>
          <w:rFonts w:hint="eastAsia" w:ascii="微软雅黑" w:hAnsi="微软雅黑" w:eastAsia="微软雅黑" w:cs="微软雅黑"/>
          <w:color w:val="auto"/>
          <w:sz w:val="28"/>
          <w:szCs w:val="28"/>
          <w:highlight w:val="none"/>
        </w:rPr>
      </w:pPr>
    </w:p>
    <w:p w14:paraId="6FAD9B62">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3AF4F5B0">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买买提艾力</w:t>
      </w:r>
    </w:p>
    <w:p w14:paraId="03401F17">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15886896333</w:t>
      </w:r>
    </w:p>
    <w:p w14:paraId="152262D8">
      <w:pPr>
        <w:pStyle w:val="23"/>
        <w:jc w:val="center"/>
        <w:rPr>
          <w:rFonts w:hint="eastAsia" w:ascii="微软雅黑" w:hAnsi="微软雅黑" w:eastAsia="微软雅黑" w:cs="微软雅黑"/>
          <w:color w:val="auto"/>
          <w:sz w:val="28"/>
          <w:szCs w:val="28"/>
          <w:highlight w:val="none"/>
          <w:u w:val="single"/>
        </w:rPr>
      </w:pPr>
    </w:p>
    <w:p w14:paraId="2619B3D8">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096CAB5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44D3A7F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6D4E4E7">
      <w:pPr>
        <w:pStyle w:val="31"/>
        <w:ind w:left="0" w:leftChars="0" w:firstLine="2520" w:firstLineChars="900"/>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2025年02月07日</w:t>
      </w:r>
    </w:p>
    <w:p w14:paraId="3E4B4AEB">
      <w:pPr>
        <w:pStyle w:val="2"/>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bookmarkStart w:id="443" w:name="_Toc10930"/>
      <w:bookmarkStart w:id="444" w:name="_Toc23018"/>
      <w:bookmarkStart w:id="445" w:name="_Toc27580"/>
      <w:bookmarkStart w:id="446" w:name="_Toc518923128"/>
      <w:bookmarkStart w:id="447" w:name="_Toc3601"/>
    </w:p>
    <w:p w14:paraId="731011C4">
      <w:pPr>
        <w:pStyle w:val="2"/>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第7章政府采购合同</w:t>
      </w:r>
      <w:bookmarkEnd w:id="442"/>
      <w:bookmarkEnd w:id="443"/>
      <w:bookmarkEnd w:id="444"/>
      <w:bookmarkEnd w:id="445"/>
      <w:bookmarkEnd w:id="446"/>
      <w:bookmarkEnd w:id="447"/>
      <w:bookmarkStart w:id="448" w:name="_Hlt487972895"/>
      <w:bookmarkEnd w:id="448"/>
      <w:bookmarkStart w:id="449" w:name="_Toc487900382"/>
      <w:bookmarkStart w:id="450" w:name="_Toc216513788"/>
    </w:p>
    <w:bookmarkEnd w:id="449"/>
    <w:bookmarkEnd w:id="450"/>
    <w:p w14:paraId="07289B8D">
      <w:pPr>
        <w:rPr>
          <w:rFonts w:hint="eastAsia" w:ascii="宋体" w:hAnsi="宋体" w:eastAsia="宋体" w:cs="宋体"/>
          <w:color w:val="auto"/>
        </w:rPr>
      </w:pPr>
      <w:r>
        <w:rPr>
          <w:rFonts w:hint="eastAsia" w:ascii="宋体" w:hAnsi="宋体" w:eastAsia="宋体" w:cs="宋体"/>
          <w:color w:val="auto"/>
          <w:sz w:val="24"/>
        </w:rPr>
        <w:t xml:space="preserve">合同编号：   </w:t>
      </w:r>
      <w:r>
        <w:rPr>
          <w:rFonts w:hint="eastAsia" w:ascii="宋体" w:hAnsi="宋体" w:eastAsia="宋体" w:cs="宋体"/>
          <w:color w:val="auto"/>
        </w:rPr>
        <w:t xml:space="preserve">        </w:t>
      </w:r>
    </w:p>
    <w:p w14:paraId="754C549F">
      <w:pPr>
        <w:rPr>
          <w:rFonts w:hint="eastAsia" w:ascii="宋体" w:hAnsi="宋体" w:eastAsia="宋体" w:cs="宋体"/>
          <w:color w:val="auto"/>
        </w:rPr>
      </w:pPr>
    </w:p>
    <w:p w14:paraId="31F1BAD8">
      <w:pPr>
        <w:rPr>
          <w:rFonts w:hint="eastAsia" w:ascii="宋体" w:hAnsi="宋体" w:eastAsia="宋体" w:cs="宋体"/>
          <w:color w:val="auto"/>
        </w:rPr>
      </w:pPr>
    </w:p>
    <w:p w14:paraId="1502F4DF">
      <w:pPr>
        <w:rPr>
          <w:rFonts w:hint="eastAsia" w:ascii="宋体" w:hAnsi="宋体" w:eastAsia="宋体" w:cs="宋体"/>
          <w:color w:val="auto"/>
        </w:rPr>
      </w:pPr>
    </w:p>
    <w:p w14:paraId="3C4AC70A">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14:paraId="3535D100">
      <w:pPr>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（货物类）</w:t>
      </w:r>
    </w:p>
    <w:p w14:paraId="720511AA">
      <w:pPr>
        <w:rPr>
          <w:rFonts w:hint="eastAsia" w:ascii="宋体" w:hAnsi="宋体" w:eastAsia="宋体" w:cs="宋体"/>
          <w:color w:val="auto"/>
        </w:rPr>
      </w:pPr>
    </w:p>
    <w:p w14:paraId="5CE98EDA">
      <w:pPr>
        <w:rPr>
          <w:rFonts w:hint="eastAsia" w:ascii="宋体" w:hAnsi="宋体" w:eastAsia="宋体" w:cs="宋体"/>
          <w:color w:val="auto"/>
        </w:rPr>
      </w:pPr>
    </w:p>
    <w:p w14:paraId="5D410C95">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合同书</w:t>
      </w:r>
    </w:p>
    <w:p w14:paraId="671130B8">
      <w:pPr>
        <w:rPr>
          <w:rFonts w:hint="eastAsia" w:ascii="宋体" w:hAnsi="宋体" w:eastAsia="宋体" w:cs="宋体"/>
          <w:color w:val="auto"/>
        </w:rPr>
      </w:pPr>
    </w:p>
    <w:p w14:paraId="0E2D534B">
      <w:pPr>
        <w:spacing w:before="120" w:line="360" w:lineRule="exac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65A0A49B">
      <w:pPr>
        <w:pStyle w:val="38"/>
        <w:spacing w:before="120" w:line="360" w:lineRule="exact"/>
        <w:rPr>
          <w:rFonts w:hint="eastAsia" w:ascii="宋体" w:hAnsi="宋体" w:eastAsia="宋体" w:cs="宋体"/>
          <w:color w:val="auto"/>
          <w:szCs w:val="24"/>
        </w:rPr>
      </w:pPr>
    </w:p>
    <w:p w14:paraId="60712604">
      <w:pPr>
        <w:pStyle w:val="38"/>
        <w:spacing w:before="120" w:line="360" w:lineRule="exact"/>
        <w:rPr>
          <w:rFonts w:hint="eastAsia" w:ascii="宋体" w:hAnsi="宋体" w:eastAsia="宋体" w:cs="宋体"/>
          <w:color w:val="auto"/>
          <w:szCs w:val="24"/>
        </w:rPr>
      </w:pPr>
    </w:p>
    <w:p w14:paraId="2CA71BAD">
      <w:pPr>
        <w:spacing w:line="360" w:lineRule="exact"/>
        <w:rPr>
          <w:rFonts w:hint="eastAsia" w:ascii="宋体" w:hAnsi="宋体" w:eastAsia="宋体" w:cs="宋体"/>
          <w:color w:val="auto"/>
        </w:rPr>
      </w:pPr>
    </w:p>
    <w:p w14:paraId="1DA34312">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2FD40B">
      <w:pPr>
        <w:spacing w:before="120" w:line="360" w:lineRule="exact"/>
        <w:rPr>
          <w:rFonts w:hint="eastAsia" w:ascii="宋体" w:hAnsi="宋体" w:eastAsia="宋体" w:cs="宋体"/>
          <w:color w:val="auto"/>
          <w:sz w:val="24"/>
        </w:rPr>
      </w:pPr>
    </w:p>
    <w:p w14:paraId="6FD02F34">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1482C4C2">
      <w:pPr>
        <w:spacing w:before="120" w:line="360" w:lineRule="exact"/>
        <w:rPr>
          <w:rFonts w:hint="eastAsia" w:ascii="宋体" w:hAnsi="宋体" w:eastAsia="宋体" w:cs="宋体"/>
          <w:color w:val="auto"/>
          <w:sz w:val="24"/>
        </w:rPr>
      </w:pPr>
    </w:p>
    <w:p w14:paraId="2C517259">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61BBF50">
      <w:pPr>
        <w:spacing w:before="120" w:line="360" w:lineRule="exact"/>
        <w:rPr>
          <w:rFonts w:hint="eastAsia" w:ascii="宋体" w:hAnsi="宋体" w:eastAsia="宋体" w:cs="宋体"/>
          <w:color w:val="auto"/>
          <w:sz w:val="24"/>
        </w:rPr>
      </w:pPr>
    </w:p>
    <w:p w14:paraId="0F0F0FA6">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363126F">
      <w:pPr>
        <w:autoSpaceDE w:val="0"/>
        <w:autoSpaceDN w:val="0"/>
        <w:adjustRightInd w:val="0"/>
        <w:spacing w:line="360" w:lineRule="exact"/>
        <w:ind w:firstLine="640"/>
        <w:jc w:val="center"/>
        <w:rPr>
          <w:rFonts w:hint="eastAsia" w:ascii="宋体" w:hAnsi="宋体" w:eastAsia="宋体" w:cs="宋体"/>
          <w:color w:val="auto"/>
          <w:sz w:val="24"/>
        </w:rPr>
        <w:sectPr>
          <w:footerReference r:id="rId7" w:type="default"/>
          <w:pgSz w:w="11907" w:h="16840"/>
          <w:pgMar w:top="1474" w:right="1814" w:bottom="1474" w:left="1814" w:header="851" w:footer="851" w:gutter="0"/>
          <w:pgNumType w:fmt="decimal"/>
          <w:cols w:space="720" w:num="1"/>
          <w:docGrid w:linePitch="462" w:charSpace="0"/>
        </w:sectPr>
      </w:pPr>
    </w:p>
    <w:p w14:paraId="277DDAC5">
      <w:pPr>
        <w:spacing w:line="360" w:lineRule="exact"/>
        <w:ind w:firstLine="480" w:firstLineChars="200"/>
        <w:rPr>
          <w:rFonts w:hint="eastAsia" w:ascii="宋体" w:hAnsi="宋体" w:eastAsia="宋体" w:cs="宋体"/>
          <w:color w:val="auto"/>
          <w:sz w:val="24"/>
        </w:rPr>
      </w:pPr>
      <w:bookmarkStart w:id="451" w:name="_Toc24059"/>
      <w:bookmarkStart w:id="452" w:name="_Toc2232"/>
      <w:bookmarkStart w:id="453" w:name="_Toc26721"/>
      <w:bookmarkStart w:id="454" w:name="_Toc1846"/>
      <w:bookmarkStart w:id="455" w:name="_Toc2659"/>
      <w:bookmarkStart w:id="456" w:name="_Toc3029"/>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w:t>
      </w:r>
      <w:r>
        <w:rPr>
          <w:rFonts w:hint="eastAsia" w:ascii="宋体" w:hAnsi="宋体" w:cs="宋体"/>
          <w:color w:val="auto"/>
          <w:sz w:val="24"/>
          <w:lang w:eastAsia="zh-CN"/>
        </w:rPr>
        <w:t>投标人</w:t>
      </w:r>
      <w:r>
        <w:rPr>
          <w:rFonts w:hint="eastAsia" w:ascii="宋体" w:hAnsi="宋体" w:eastAsia="宋体" w:cs="宋体"/>
          <w:color w:val="auto"/>
          <w:sz w:val="24"/>
        </w:rPr>
        <w:t>。现于中标通知书发出之日起三十日内，按照采购文件确定的事项签订本合同。</w:t>
      </w:r>
    </w:p>
    <w:p w14:paraId="2B78E7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bookmarkEnd w:id="451"/>
    <w:bookmarkEnd w:id="452"/>
    <w:bookmarkEnd w:id="453"/>
    <w:bookmarkEnd w:id="454"/>
    <w:bookmarkEnd w:id="455"/>
    <w:bookmarkEnd w:id="456"/>
    <w:p w14:paraId="7BE124D5">
      <w:pPr>
        <w:spacing w:line="360" w:lineRule="exact"/>
        <w:ind w:firstLine="482" w:firstLineChars="200"/>
        <w:outlineLvl w:val="0"/>
        <w:rPr>
          <w:rFonts w:hint="eastAsia" w:ascii="宋体" w:hAnsi="宋体" w:eastAsia="宋体" w:cs="宋体"/>
          <w:b/>
          <w:color w:val="auto"/>
          <w:sz w:val="24"/>
        </w:rPr>
      </w:pPr>
      <w:bookmarkStart w:id="457" w:name="_Toc25202"/>
      <w:bookmarkStart w:id="458" w:name="_Toc25352"/>
      <w:bookmarkStart w:id="459" w:name="_Toc4751"/>
      <w:bookmarkStart w:id="460" w:name="_Toc12974"/>
      <w:bookmarkStart w:id="461" w:name="_Toc18247"/>
      <w:bookmarkStart w:id="462" w:name="_Toc6038"/>
      <w:bookmarkStart w:id="463" w:name="_Toc21386"/>
      <w:bookmarkStart w:id="464" w:name="_Toc28090"/>
      <w:bookmarkStart w:id="465" w:name="_Toc29481"/>
      <w:bookmarkStart w:id="466" w:name="_Toc24186"/>
      <w:bookmarkStart w:id="467" w:name="_Toc30575"/>
      <w:bookmarkStart w:id="468" w:name="_Toc4498"/>
      <w:bookmarkStart w:id="469" w:name="_Toc14142"/>
      <w:r>
        <w:rPr>
          <w:rFonts w:hint="eastAsia" w:ascii="宋体" w:hAnsi="宋体" w:eastAsia="宋体" w:cs="宋体"/>
          <w:b/>
          <w:color w:val="auto"/>
          <w:sz w:val="24"/>
        </w:rPr>
        <w:t>1.1 合同组成部分</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0CBC369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DC3F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C9F2C4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39656B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692CBE2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2223E7C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AC36CC">
      <w:pPr>
        <w:spacing w:line="360" w:lineRule="exact"/>
        <w:ind w:firstLine="482" w:firstLineChars="200"/>
        <w:outlineLvl w:val="0"/>
        <w:rPr>
          <w:rFonts w:hint="eastAsia" w:ascii="宋体" w:hAnsi="宋体" w:eastAsia="宋体" w:cs="宋体"/>
          <w:b/>
          <w:color w:val="auto"/>
          <w:sz w:val="24"/>
        </w:rPr>
      </w:pPr>
      <w:bookmarkStart w:id="470" w:name="_Toc25402"/>
      <w:bookmarkStart w:id="471" w:name="_Toc1446"/>
      <w:bookmarkStart w:id="472" w:name="_Toc24300"/>
      <w:bookmarkStart w:id="473" w:name="_Toc7977"/>
      <w:bookmarkStart w:id="474" w:name="_Toc29371"/>
      <w:bookmarkStart w:id="475" w:name="_Toc21217"/>
      <w:bookmarkStart w:id="476" w:name="_Toc13138"/>
      <w:bookmarkStart w:id="477" w:name="_Toc19432"/>
      <w:bookmarkStart w:id="478" w:name="_Toc15345"/>
      <w:bookmarkStart w:id="479" w:name="_Toc9006"/>
      <w:bookmarkStart w:id="480" w:name="_Toc27318"/>
      <w:bookmarkStart w:id="481" w:name="_Toc21295"/>
      <w:bookmarkStart w:id="482" w:name="_Toc411"/>
      <w:bookmarkStart w:id="483" w:name="_Toc14235"/>
      <w:bookmarkStart w:id="484" w:name="_Toc5906"/>
      <w:bookmarkStart w:id="485" w:name="_Toc27126"/>
      <w:bookmarkStart w:id="486" w:name="_Toc8631"/>
      <w:bookmarkStart w:id="487" w:name="_Toc25735"/>
      <w:r>
        <w:rPr>
          <w:rFonts w:hint="eastAsia" w:ascii="宋体" w:hAnsi="宋体" w:eastAsia="宋体" w:cs="宋体"/>
          <w:b/>
          <w:color w:val="auto"/>
          <w:sz w:val="24"/>
        </w:rPr>
        <w:t>1.2 货物</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28A772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3CC97D">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44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397D45">
      <w:pPr>
        <w:spacing w:line="360" w:lineRule="exact"/>
        <w:ind w:firstLine="482" w:firstLineChars="200"/>
        <w:outlineLvl w:val="0"/>
        <w:rPr>
          <w:rFonts w:hint="eastAsia" w:ascii="宋体" w:hAnsi="宋体" w:eastAsia="宋体" w:cs="宋体"/>
          <w:b/>
          <w:color w:val="auto"/>
          <w:sz w:val="24"/>
        </w:rPr>
      </w:pPr>
      <w:bookmarkStart w:id="488" w:name="_Toc21040"/>
      <w:bookmarkStart w:id="489" w:name="_Toc21631"/>
      <w:bookmarkStart w:id="490" w:name="_Toc1267"/>
      <w:bookmarkStart w:id="491" w:name="_Toc13898"/>
      <w:bookmarkStart w:id="492" w:name="_Toc25368"/>
      <w:bookmarkStart w:id="493" w:name="_Toc24353"/>
      <w:bookmarkStart w:id="494" w:name="_Toc6395"/>
      <w:bookmarkStart w:id="495" w:name="_Toc9364"/>
      <w:bookmarkStart w:id="496" w:name="_Toc8386"/>
      <w:bookmarkStart w:id="497" w:name="_Toc23292"/>
      <w:bookmarkStart w:id="498" w:name="_Toc11537"/>
      <w:bookmarkStart w:id="499" w:name="_Toc10942"/>
      <w:bookmarkStart w:id="500" w:name="_Toc19682"/>
      <w:bookmarkStart w:id="501" w:name="_Toc21551"/>
      <w:bookmarkStart w:id="502" w:name="_Toc11045"/>
      <w:bookmarkStart w:id="503" w:name="_Toc12266"/>
      <w:bookmarkStart w:id="504" w:name="_Toc633"/>
      <w:bookmarkStart w:id="505" w:name="_Toc30755"/>
      <w:bookmarkStart w:id="506" w:name="_Toc30667"/>
      <w:r>
        <w:rPr>
          <w:rFonts w:hint="eastAsia" w:ascii="宋体" w:hAnsi="宋体" w:eastAsia="宋体" w:cs="宋体"/>
          <w:b/>
          <w:color w:val="auto"/>
          <w:sz w:val="24"/>
        </w:rPr>
        <w:t>1.3 价款</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36AEA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926505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0D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2F0BBF43">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738" w:type="dxa"/>
            <w:noWrap w:val="0"/>
            <w:vAlign w:val="center"/>
          </w:tcPr>
          <w:p w14:paraId="264E3C86">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803" w:type="dxa"/>
            <w:noWrap w:val="0"/>
            <w:vAlign w:val="center"/>
          </w:tcPr>
          <w:p w14:paraId="18C170DE">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58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BF0CD22">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25416357">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38AD91CD">
            <w:pPr>
              <w:pStyle w:val="27"/>
              <w:spacing w:line="360" w:lineRule="exact"/>
              <w:ind w:firstLine="200"/>
              <w:jc w:val="center"/>
              <w:rPr>
                <w:rFonts w:hint="eastAsia" w:ascii="宋体" w:hAnsi="宋体" w:eastAsia="宋体" w:cs="宋体"/>
                <w:color w:val="auto"/>
                <w:kern w:val="2"/>
                <w:sz w:val="24"/>
                <w:szCs w:val="24"/>
              </w:rPr>
            </w:pPr>
          </w:p>
        </w:tc>
      </w:tr>
      <w:tr w14:paraId="4D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C84C5A9">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0E75E5D4">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19B4882C">
            <w:pPr>
              <w:pStyle w:val="27"/>
              <w:spacing w:line="360" w:lineRule="exact"/>
              <w:ind w:firstLine="200"/>
              <w:jc w:val="center"/>
              <w:rPr>
                <w:rFonts w:hint="eastAsia" w:ascii="宋体" w:hAnsi="宋体" w:eastAsia="宋体" w:cs="宋体"/>
                <w:color w:val="auto"/>
                <w:kern w:val="2"/>
                <w:sz w:val="24"/>
                <w:szCs w:val="24"/>
              </w:rPr>
            </w:pPr>
          </w:p>
        </w:tc>
      </w:tr>
      <w:tr w14:paraId="07E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6C0B488">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803" w:type="dxa"/>
            <w:noWrap w:val="0"/>
            <w:vAlign w:val="center"/>
          </w:tcPr>
          <w:p w14:paraId="75EE2CD3">
            <w:pPr>
              <w:pStyle w:val="27"/>
              <w:spacing w:line="360" w:lineRule="exact"/>
              <w:ind w:firstLine="200"/>
              <w:jc w:val="center"/>
              <w:rPr>
                <w:rFonts w:hint="eastAsia" w:ascii="宋体" w:hAnsi="宋体" w:eastAsia="宋体" w:cs="宋体"/>
                <w:color w:val="auto"/>
                <w:kern w:val="2"/>
                <w:sz w:val="24"/>
                <w:szCs w:val="24"/>
              </w:rPr>
            </w:pPr>
          </w:p>
        </w:tc>
      </w:tr>
    </w:tbl>
    <w:p w14:paraId="38582448">
      <w:pPr>
        <w:spacing w:line="360" w:lineRule="exact"/>
        <w:ind w:firstLine="482" w:firstLineChars="200"/>
        <w:outlineLvl w:val="0"/>
        <w:rPr>
          <w:rFonts w:hint="eastAsia" w:ascii="宋体" w:hAnsi="宋体" w:eastAsia="宋体" w:cs="宋体"/>
          <w:b/>
          <w:color w:val="auto"/>
          <w:sz w:val="24"/>
        </w:rPr>
      </w:pPr>
      <w:bookmarkStart w:id="507" w:name="_Toc5736"/>
      <w:bookmarkStart w:id="508" w:name="_Toc10086"/>
      <w:bookmarkStart w:id="509" w:name="_Toc28773"/>
      <w:bookmarkStart w:id="510" w:name="_Toc24781"/>
      <w:bookmarkStart w:id="511" w:name="_Toc21349"/>
      <w:bookmarkStart w:id="512" w:name="_Toc27811"/>
      <w:bookmarkStart w:id="513" w:name="_Toc16850"/>
      <w:bookmarkStart w:id="514" w:name="_Toc27654"/>
      <w:bookmarkStart w:id="515" w:name="_Toc6407"/>
      <w:bookmarkStart w:id="516" w:name="_Toc30643"/>
      <w:bookmarkStart w:id="517" w:name="_Toc4585"/>
      <w:bookmarkStart w:id="518" w:name="_Toc28790"/>
      <w:bookmarkStart w:id="519" w:name="_Toc26470"/>
      <w:bookmarkStart w:id="520" w:name="_Toc7458"/>
      <w:bookmarkStart w:id="521" w:name="_Toc27817"/>
      <w:r>
        <w:rPr>
          <w:rFonts w:hint="eastAsia" w:ascii="宋体" w:hAnsi="宋体" w:eastAsia="宋体" w:cs="宋体"/>
          <w:b/>
          <w:color w:val="auto"/>
          <w:sz w:val="24"/>
        </w:rPr>
        <w:t>1.4 付款方式和发票开具方式</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3FA0E7E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90ECA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69D5081">
      <w:pPr>
        <w:spacing w:line="360" w:lineRule="exact"/>
        <w:ind w:firstLine="482" w:firstLineChars="200"/>
        <w:outlineLvl w:val="0"/>
        <w:rPr>
          <w:rFonts w:hint="eastAsia" w:ascii="宋体" w:hAnsi="宋体" w:eastAsia="宋体" w:cs="宋体"/>
          <w:b/>
          <w:color w:val="auto"/>
          <w:sz w:val="24"/>
        </w:rPr>
      </w:pPr>
      <w:bookmarkStart w:id="522" w:name="_Toc2852"/>
      <w:bookmarkStart w:id="523" w:name="_Toc22861"/>
      <w:bookmarkStart w:id="524" w:name="_Toc17179"/>
      <w:bookmarkStart w:id="525" w:name="_Toc16823"/>
      <w:bookmarkStart w:id="526" w:name="_Toc4501"/>
      <w:bookmarkStart w:id="527" w:name="_Toc17448"/>
      <w:bookmarkStart w:id="528" w:name="_Toc25278"/>
      <w:bookmarkStart w:id="529" w:name="_Toc23862"/>
      <w:bookmarkStart w:id="530" w:name="_Toc10276"/>
      <w:bookmarkStart w:id="531" w:name="_Toc30563"/>
      <w:bookmarkStart w:id="532" w:name="_Toc11920"/>
      <w:bookmarkStart w:id="533" w:name="_Toc12017"/>
      <w:bookmarkStart w:id="534" w:name="_Toc9478"/>
      <w:bookmarkStart w:id="535" w:name="_Toc18454"/>
      <w:bookmarkStart w:id="536" w:name="_Toc30447"/>
      <w:bookmarkStart w:id="537" w:name="_Toc2083"/>
      <w:r>
        <w:rPr>
          <w:rFonts w:hint="eastAsia" w:ascii="宋体" w:hAnsi="宋体" w:eastAsia="宋体" w:cs="宋体"/>
          <w:b/>
          <w:color w:val="auto"/>
          <w:sz w:val="24"/>
        </w:rPr>
        <w:t>1.5 货物交付期限、地点和方式</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03580C77">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CB00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60E5E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DDC89E">
      <w:pPr>
        <w:spacing w:line="360" w:lineRule="exact"/>
        <w:ind w:firstLine="482" w:firstLineChars="200"/>
        <w:outlineLvl w:val="0"/>
        <w:rPr>
          <w:rFonts w:hint="eastAsia" w:ascii="宋体" w:hAnsi="宋体" w:eastAsia="宋体" w:cs="宋体"/>
          <w:b/>
          <w:color w:val="auto"/>
          <w:sz w:val="24"/>
        </w:rPr>
      </w:pPr>
      <w:bookmarkStart w:id="538" w:name="_Toc6841"/>
      <w:bookmarkStart w:id="539" w:name="_Toc12988"/>
      <w:bookmarkStart w:id="540" w:name="_Toc15865"/>
      <w:bookmarkStart w:id="541" w:name="_Toc12753"/>
      <w:bookmarkStart w:id="542" w:name="_Toc21406"/>
      <w:bookmarkStart w:id="543" w:name="_Toc7847"/>
      <w:bookmarkStart w:id="544" w:name="_Toc2529"/>
      <w:bookmarkStart w:id="545" w:name="_Toc8754"/>
      <w:bookmarkStart w:id="546" w:name="_Toc4190"/>
      <w:bookmarkStart w:id="547" w:name="_Toc11237"/>
      <w:bookmarkStart w:id="548" w:name="_Toc12629"/>
      <w:bookmarkStart w:id="549" w:name="_Toc13569"/>
      <w:bookmarkStart w:id="550" w:name="_Toc26792"/>
      <w:bookmarkStart w:id="551" w:name="_Toc13854"/>
      <w:bookmarkStart w:id="552" w:name="_Toc26850"/>
      <w:bookmarkStart w:id="553" w:name="_Toc1835"/>
      <w:r>
        <w:rPr>
          <w:rFonts w:hint="eastAsia" w:ascii="宋体" w:hAnsi="宋体" w:eastAsia="宋体" w:cs="宋体"/>
          <w:b/>
          <w:color w:val="auto"/>
          <w:sz w:val="24"/>
        </w:rPr>
        <w:t>1.6 违约责任</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0F28038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002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897637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C1CF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91FB1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BD88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8654016">
      <w:pPr>
        <w:spacing w:line="360" w:lineRule="exact"/>
        <w:ind w:firstLine="482" w:firstLineChars="200"/>
        <w:outlineLvl w:val="0"/>
        <w:rPr>
          <w:rFonts w:hint="eastAsia" w:ascii="宋体" w:hAnsi="宋体" w:eastAsia="宋体" w:cs="宋体"/>
          <w:b/>
          <w:color w:val="auto"/>
          <w:sz w:val="24"/>
        </w:rPr>
      </w:pPr>
      <w:bookmarkStart w:id="554" w:name="_Toc3403"/>
      <w:bookmarkStart w:id="555" w:name="_Toc25915"/>
      <w:bookmarkStart w:id="556" w:name="_Toc28375"/>
      <w:bookmarkStart w:id="557" w:name="_Toc27762"/>
      <w:bookmarkStart w:id="558" w:name="_Toc7216"/>
      <w:bookmarkStart w:id="559" w:name="_Toc495"/>
      <w:bookmarkStart w:id="560" w:name="_Toc29338"/>
      <w:bookmarkStart w:id="561" w:name="_Toc16341"/>
      <w:bookmarkStart w:id="562" w:name="_Toc9202"/>
      <w:bookmarkStart w:id="563" w:name="_Toc10362"/>
      <w:bookmarkStart w:id="564" w:name="_Toc5482"/>
      <w:bookmarkStart w:id="565" w:name="_Toc8914"/>
      <w:bookmarkStart w:id="566" w:name="_Toc15583"/>
      <w:bookmarkStart w:id="567" w:name="_Toc27927"/>
      <w:bookmarkStart w:id="568" w:name="_Toc6344"/>
      <w:bookmarkStart w:id="569" w:name="_Toc19011"/>
      <w:bookmarkStart w:id="570" w:name="_Toc17792"/>
      <w:bookmarkStart w:id="571" w:name="_Toc16021"/>
      <w:bookmarkStart w:id="572" w:name="_Toc20610"/>
      <w:r>
        <w:rPr>
          <w:rFonts w:hint="eastAsia" w:ascii="宋体" w:hAnsi="宋体" w:eastAsia="宋体" w:cs="宋体"/>
          <w:b/>
          <w:color w:val="auto"/>
          <w:sz w:val="24"/>
        </w:rPr>
        <w:t>1.7 合同争议的解决</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46D33AF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4B8C89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66A6EA5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14:paraId="22FD4FC7">
      <w:pPr>
        <w:spacing w:line="360" w:lineRule="exact"/>
        <w:ind w:firstLine="482" w:firstLineChars="200"/>
        <w:outlineLvl w:val="0"/>
        <w:rPr>
          <w:rFonts w:hint="eastAsia" w:ascii="宋体" w:hAnsi="宋体" w:eastAsia="宋体" w:cs="宋体"/>
          <w:b/>
          <w:color w:val="auto"/>
          <w:sz w:val="24"/>
        </w:rPr>
      </w:pPr>
      <w:bookmarkStart w:id="573" w:name="_Toc10043"/>
      <w:bookmarkStart w:id="574" w:name="_Toc28642"/>
      <w:bookmarkStart w:id="575" w:name="_Toc7245"/>
      <w:bookmarkStart w:id="576" w:name="_Toc4516"/>
      <w:bookmarkStart w:id="577" w:name="_Toc4106"/>
      <w:bookmarkStart w:id="578" w:name="_Toc9329"/>
      <w:bookmarkStart w:id="579" w:name="_Toc10255"/>
      <w:bookmarkStart w:id="580" w:name="_Toc2901"/>
      <w:bookmarkStart w:id="581" w:name="_Toc16410"/>
      <w:bookmarkStart w:id="582" w:name="_Toc31952"/>
      <w:bookmarkStart w:id="583" w:name="_Toc6411"/>
      <w:bookmarkStart w:id="584" w:name="_Toc30260"/>
      <w:bookmarkStart w:id="585" w:name="_Toc10429"/>
      <w:bookmarkStart w:id="586" w:name="_Toc518"/>
      <w:bookmarkStart w:id="587" w:name="_Toc2894"/>
      <w:bookmarkStart w:id="588" w:name="_Toc11173"/>
      <w:bookmarkStart w:id="589" w:name="_Toc17113"/>
      <w:bookmarkStart w:id="590" w:name="_Toc15322"/>
      <w:bookmarkStart w:id="591" w:name="_Toc1647"/>
      <w:r>
        <w:rPr>
          <w:rFonts w:hint="eastAsia" w:ascii="宋体" w:hAnsi="宋体" w:eastAsia="宋体" w:cs="宋体"/>
          <w:b/>
          <w:color w:val="auto"/>
          <w:sz w:val="24"/>
        </w:rPr>
        <w:t>1.8 合同生效</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6307A0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14:paraId="5A466A9E">
      <w:pPr>
        <w:pStyle w:val="18"/>
        <w:tabs>
          <w:tab w:val="left" w:pos="567"/>
        </w:tabs>
        <w:rPr>
          <w:rFonts w:hint="eastAsia"/>
        </w:rPr>
      </w:pPr>
    </w:p>
    <w:p w14:paraId="2B6A2260">
      <w:pPr>
        <w:autoSpaceDE w:val="0"/>
        <w:autoSpaceDN w:val="0"/>
        <w:adjustRightInd w:val="0"/>
        <w:spacing w:line="360" w:lineRule="exact"/>
        <w:rPr>
          <w:rFonts w:hint="eastAsia" w:ascii="宋体" w:hAnsi="宋体" w:eastAsia="宋体" w:cs="宋体"/>
          <w:color w:val="auto"/>
          <w:sz w:val="24"/>
          <w:lang w:val="zh-CN"/>
        </w:rPr>
      </w:pPr>
    </w:p>
    <w:p w14:paraId="04494FF3">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11237797">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5E7BCDB">
      <w:pPr>
        <w:autoSpaceDE w:val="0"/>
        <w:autoSpaceDN w:val="0"/>
        <w:adjustRightInd w:val="0"/>
        <w:spacing w:line="360" w:lineRule="exact"/>
        <w:rPr>
          <w:rFonts w:hint="eastAsia" w:ascii="宋体" w:hAnsi="宋体" w:eastAsia="宋体" w:cs="宋体"/>
          <w:color w:val="auto"/>
          <w:sz w:val="24"/>
          <w:lang w:val="zh-CN"/>
        </w:rPr>
      </w:pPr>
    </w:p>
    <w:p w14:paraId="6A64DA01">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92E3ED9">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A5EAF2A">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1D0A4F1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849DD26">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1F01516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24627B4">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7028EF0">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5AD00E7">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E15E5F9">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604A966">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5D04685">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7E05FC14">
      <w:pPr>
        <w:widowControl/>
        <w:spacing w:line="360" w:lineRule="exact"/>
        <w:jc w:val="left"/>
        <w:rPr>
          <w:rFonts w:hint="eastAsia" w:ascii="宋体" w:hAnsi="宋体" w:eastAsia="宋体" w:cs="宋体"/>
          <w:b/>
          <w:color w:val="auto"/>
        </w:rPr>
      </w:pPr>
      <w:bookmarkStart w:id="592" w:name="_Toc331685783"/>
    </w:p>
    <w:p w14:paraId="1744118F">
      <w:pPr>
        <w:widowControl/>
        <w:spacing w:line="360" w:lineRule="exact"/>
        <w:jc w:val="left"/>
        <w:rPr>
          <w:rFonts w:hint="eastAsia" w:ascii="宋体" w:hAnsi="宋体" w:eastAsia="宋体" w:cs="宋体"/>
          <w:b/>
          <w:color w:val="auto"/>
        </w:rPr>
      </w:pPr>
    </w:p>
    <w:p w14:paraId="380DFBAD">
      <w:pPr>
        <w:pStyle w:val="32"/>
        <w:spacing w:line="360" w:lineRule="exact"/>
        <w:ind w:firstLine="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合同一般条款</w:t>
      </w:r>
      <w:bookmarkEnd w:id="592"/>
    </w:p>
    <w:p w14:paraId="3A78B508">
      <w:pPr>
        <w:spacing w:line="360" w:lineRule="exact"/>
        <w:ind w:firstLine="482" w:firstLineChars="200"/>
        <w:outlineLvl w:val="0"/>
        <w:rPr>
          <w:rFonts w:hint="eastAsia" w:ascii="宋体" w:hAnsi="宋体" w:eastAsia="宋体" w:cs="宋体"/>
          <w:b/>
          <w:color w:val="auto"/>
          <w:sz w:val="24"/>
        </w:rPr>
      </w:pPr>
      <w:bookmarkStart w:id="593" w:name="_Toc16917"/>
      <w:bookmarkStart w:id="594" w:name="_Ref467378499"/>
      <w:bookmarkStart w:id="595" w:name="_Toc28763"/>
      <w:bookmarkStart w:id="596" w:name="_Toc17886"/>
      <w:bookmarkStart w:id="597" w:name="_Ref467379101"/>
      <w:bookmarkStart w:id="598" w:name="_Toc31417"/>
      <w:bookmarkStart w:id="599" w:name="_Toc17718"/>
      <w:bookmarkStart w:id="600" w:name="_Toc29659"/>
      <w:bookmarkStart w:id="601" w:name="_Toc15647"/>
      <w:bookmarkStart w:id="602" w:name="_Toc26936"/>
      <w:bookmarkStart w:id="603" w:name="_Ref467379205"/>
      <w:bookmarkStart w:id="604" w:name="_Toc259093669"/>
      <w:bookmarkStart w:id="605" w:name="_Toc29788"/>
      <w:bookmarkStart w:id="606" w:name="_Ref467378404"/>
      <w:bookmarkStart w:id="607" w:name="_Toc279701240"/>
      <w:bookmarkStart w:id="608" w:name="_Ref467378463"/>
      <w:bookmarkStart w:id="609" w:name="_Toc26415"/>
      <w:bookmarkStart w:id="610" w:name="_Ref467379225"/>
      <w:bookmarkStart w:id="611" w:name="_Toc20709"/>
      <w:bookmarkStart w:id="612" w:name="_Toc2034"/>
      <w:bookmarkStart w:id="613" w:name="_Ref467379195"/>
      <w:bookmarkStart w:id="614" w:name="_Ref467379094"/>
      <w:bookmarkStart w:id="615" w:name="_Toc25554"/>
      <w:bookmarkStart w:id="616" w:name="_Toc19614"/>
      <w:bookmarkStart w:id="617" w:name="_Ref467379214"/>
      <w:bookmarkStart w:id="618" w:name="_Toc5579"/>
      <w:bookmarkStart w:id="619" w:name="_Toc14433"/>
      <w:bookmarkStart w:id="620" w:name="_Ref467379109"/>
      <w:bookmarkStart w:id="621" w:name="_Toc14827"/>
      <w:bookmarkStart w:id="622" w:name="_Toc510"/>
      <w:bookmarkStart w:id="623" w:name="_Toc32624"/>
      <w:bookmarkStart w:id="624" w:name="_Toc487900349"/>
      <w:r>
        <w:rPr>
          <w:rFonts w:hint="eastAsia" w:ascii="宋体" w:hAnsi="宋体" w:eastAsia="宋体" w:cs="宋体"/>
          <w:b/>
          <w:color w:val="auto"/>
          <w:sz w:val="24"/>
        </w:rPr>
        <w:t>2.1 定义</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697D200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3105FF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w:t>
      </w:r>
      <w:r>
        <w:rPr>
          <w:rFonts w:hint="eastAsia" w:ascii="宋体" w:hAnsi="宋体" w:cs="宋体"/>
          <w:color w:val="auto"/>
          <w:sz w:val="24"/>
          <w:lang w:eastAsia="zh-CN"/>
        </w:rPr>
        <w:t>投标人</w:t>
      </w:r>
      <w:r>
        <w:rPr>
          <w:rFonts w:hint="eastAsia" w:ascii="宋体" w:hAnsi="宋体" w:eastAsia="宋体" w:cs="宋体"/>
          <w:color w:val="auto"/>
          <w:sz w:val="24"/>
        </w:rPr>
        <w:t>签订的载明双方当事人所达成的协议，并包括所有的附件、附录和构成合同的其他文件。</w:t>
      </w:r>
    </w:p>
    <w:p w14:paraId="1444EE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w:t>
      </w:r>
      <w:r>
        <w:rPr>
          <w:rFonts w:hint="eastAsia" w:ascii="宋体" w:hAnsi="宋体" w:cs="宋体"/>
          <w:color w:val="auto"/>
          <w:sz w:val="24"/>
          <w:lang w:eastAsia="zh-CN"/>
        </w:rPr>
        <w:t>投标人</w:t>
      </w:r>
      <w:r>
        <w:rPr>
          <w:rFonts w:hint="eastAsia" w:ascii="宋体" w:hAnsi="宋体" w:eastAsia="宋体" w:cs="宋体"/>
          <w:color w:val="auto"/>
          <w:sz w:val="24"/>
        </w:rPr>
        <w:t>在完全履行合同义务后，采购人应支付给中标</w:t>
      </w:r>
      <w:r>
        <w:rPr>
          <w:rFonts w:hint="eastAsia" w:ascii="宋体" w:hAnsi="宋体" w:cs="宋体"/>
          <w:color w:val="auto"/>
          <w:sz w:val="24"/>
          <w:lang w:eastAsia="zh-CN"/>
        </w:rPr>
        <w:t>投标人</w:t>
      </w:r>
      <w:r>
        <w:rPr>
          <w:rFonts w:hint="eastAsia" w:ascii="宋体" w:hAnsi="宋体" w:eastAsia="宋体" w:cs="宋体"/>
          <w:color w:val="auto"/>
          <w:sz w:val="24"/>
        </w:rPr>
        <w:t>的价格。</w:t>
      </w:r>
    </w:p>
    <w:p w14:paraId="06FBAE8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w:t>
      </w:r>
      <w:r>
        <w:rPr>
          <w:rFonts w:hint="eastAsia" w:ascii="宋体" w:hAnsi="宋体" w:cs="宋体"/>
          <w:color w:val="auto"/>
          <w:sz w:val="24"/>
          <w:lang w:eastAsia="zh-CN"/>
        </w:rPr>
        <w:t>投标人</w:t>
      </w:r>
      <w:r>
        <w:rPr>
          <w:rFonts w:hint="eastAsia" w:ascii="宋体" w:hAnsi="宋体" w:eastAsia="宋体" w:cs="宋体"/>
          <w:color w:val="auto"/>
          <w:sz w:val="24"/>
        </w:rPr>
        <w:t>根据合同约定应向采购人交付的一切各种形态和种类的物品，包括原材料、燃料、设备、机械、仪表、备件、计算机软件、产品等，并包括工具、手册等其他相关资料。</w:t>
      </w:r>
    </w:p>
    <w:p w14:paraId="4C9801BD">
      <w:pPr>
        <w:spacing w:line="360" w:lineRule="exact"/>
        <w:ind w:firstLine="480" w:firstLineChars="200"/>
        <w:rPr>
          <w:rFonts w:hint="eastAsia" w:ascii="宋体" w:hAnsi="宋体" w:eastAsia="宋体" w:cs="宋体"/>
          <w:color w:val="auto"/>
          <w:sz w:val="24"/>
        </w:rPr>
      </w:pPr>
      <w:bookmarkStart w:id="625" w:name="_Ref467378840"/>
      <w:r>
        <w:rPr>
          <w:rFonts w:hint="eastAsia" w:ascii="宋体" w:hAnsi="宋体" w:eastAsia="宋体" w:cs="宋体"/>
          <w:color w:val="auto"/>
          <w:sz w:val="24"/>
        </w:rPr>
        <w:t>2.1.4 “甲方”系指与中标</w:t>
      </w:r>
      <w:r>
        <w:rPr>
          <w:rFonts w:hint="eastAsia" w:ascii="宋体" w:hAnsi="宋体" w:cs="宋体"/>
          <w:color w:val="auto"/>
          <w:sz w:val="24"/>
          <w:lang w:eastAsia="zh-CN"/>
        </w:rPr>
        <w:t>投标人</w:t>
      </w:r>
      <w:r>
        <w:rPr>
          <w:rFonts w:hint="eastAsia" w:ascii="宋体" w:hAnsi="宋体" w:eastAsia="宋体" w:cs="宋体"/>
          <w:color w:val="auto"/>
          <w:sz w:val="24"/>
        </w:rPr>
        <w:t>签署合同的采购人</w:t>
      </w:r>
      <w:bookmarkEnd w:id="625"/>
      <w:r>
        <w:rPr>
          <w:rFonts w:hint="eastAsia" w:ascii="宋体" w:hAnsi="宋体" w:eastAsia="宋体" w:cs="宋体"/>
          <w:color w:val="auto"/>
          <w:sz w:val="24"/>
        </w:rPr>
        <w:t>；采购人委托采购代理机构代表其与乙方签订合同的，采购人的授权委托书作为合同附件。</w:t>
      </w:r>
    </w:p>
    <w:p w14:paraId="4A247419">
      <w:pPr>
        <w:spacing w:line="360" w:lineRule="exact"/>
        <w:ind w:firstLine="480" w:firstLineChars="200"/>
        <w:rPr>
          <w:rFonts w:hint="eastAsia" w:ascii="宋体" w:hAnsi="宋体" w:eastAsia="宋体" w:cs="宋体"/>
          <w:color w:val="auto"/>
          <w:sz w:val="24"/>
        </w:rPr>
      </w:pPr>
      <w:bookmarkStart w:id="626" w:name="_Ref467379400"/>
      <w:r>
        <w:rPr>
          <w:rFonts w:hint="eastAsia" w:ascii="宋体" w:hAnsi="宋体" w:eastAsia="宋体" w:cs="宋体"/>
          <w:color w:val="auto"/>
          <w:sz w:val="24"/>
        </w:rPr>
        <w:t>2.1.5 “乙方”系指根据合同约定交付货物的中标</w:t>
      </w:r>
      <w:bookmarkEnd w:id="626"/>
      <w:r>
        <w:rPr>
          <w:rFonts w:hint="eastAsia" w:ascii="宋体" w:hAnsi="宋体" w:cs="宋体"/>
          <w:color w:val="auto"/>
          <w:sz w:val="24"/>
          <w:lang w:eastAsia="zh-CN"/>
        </w:rPr>
        <w:t>投标人</w:t>
      </w:r>
      <w:r>
        <w:rPr>
          <w:rFonts w:hint="eastAsia" w:ascii="宋体" w:hAnsi="宋体" w:eastAsia="宋体" w:cs="宋体"/>
          <w:color w:val="auto"/>
          <w:sz w:val="24"/>
        </w:rPr>
        <w:t>；两个以上的自然人、法人或者其他组织组成一个联合体，以一个</w:t>
      </w:r>
      <w:r>
        <w:rPr>
          <w:rFonts w:hint="eastAsia" w:ascii="宋体" w:hAnsi="宋体" w:cs="宋体"/>
          <w:color w:val="auto"/>
          <w:sz w:val="24"/>
          <w:lang w:eastAsia="zh-CN"/>
        </w:rPr>
        <w:t>投标人</w:t>
      </w:r>
      <w:r>
        <w:rPr>
          <w:rFonts w:hint="eastAsia" w:ascii="宋体" w:hAnsi="宋体" w:eastAsia="宋体" w:cs="宋体"/>
          <w:color w:val="auto"/>
          <w:sz w:val="24"/>
        </w:rPr>
        <w:t>的身份共同参加政府采购的，联合体各方均应为乙方或者与乙方相同地位的合同当事人，并就合同约定的事项对甲方承担连带责任。</w:t>
      </w:r>
    </w:p>
    <w:p w14:paraId="4FBA06C1">
      <w:pPr>
        <w:spacing w:line="360" w:lineRule="exact"/>
        <w:ind w:firstLine="480" w:firstLineChars="200"/>
        <w:rPr>
          <w:rFonts w:hint="eastAsia" w:ascii="宋体" w:hAnsi="宋体" w:eastAsia="宋体" w:cs="宋体"/>
          <w:color w:val="auto"/>
          <w:sz w:val="24"/>
        </w:rPr>
      </w:pPr>
      <w:bookmarkStart w:id="627" w:name="_Ref467379436"/>
      <w:r>
        <w:rPr>
          <w:rFonts w:hint="eastAsia" w:ascii="宋体" w:hAnsi="宋体" w:eastAsia="宋体" w:cs="宋体"/>
          <w:color w:val="auto"/>
          <w:sz w:val="24"/>
        </w:rPr>
        <w:t>2.1.6 “现场”系指合同约定货物将要运至或者安装的地点。</w:t>
      </w:r>
      <w:bookmarkEnd w:id="627"/>
    </w:p>
    <w:p w14:paraId="43D57EF0">
      <w:pPr>
        <w:spacing w:line="360" w:lineRule="exact"/>
        <w:ind w:firstLine="482" w:firstLineChars="200"/>
        <w:outlineLvl w:val="0"/>
        <w:rPr>
          <w:rFonts w:hint="eastAsia" w:ascii="宋体" w:hAnsi="宋体" w:eastAsia="宋体" w:cs="宋体"/>
          <w:b/>
          <w:color w:val="auto"/>
          <w:sz w:val="24"/>
        </w:rPr>
      </w:pPr>
      <w:bookmarkStart w:id="628" w:name="_Toc23689"/>
      <w:bookmarkStart w:id="629" w:name="_Toc259093670"/>
      <w:bookmarkStart w:id="630" w:name="_Toc22122"/>
      <w:bookmarkStart w:id="631" w:name="_Toc24523"/>
      <w:bookmarkStart w:id="632" w:name="_Toc11142"/>
      <w:bookmarkStart w:id="633" w:name="_Toc24792"/>
      <w:bookmarkStart w:id="634" w:name="_Toc10701"/>
      <w:bookmarkStart w:id="635" w:name="_Toc17151"/>
      <w:bookmarkStart w:id="636" w:name="_Toc32504"/>
      <w:bookmarkStart w:id="637" w:name="_Toc1352"/>
      <w:bookmarkStart w:id="638" w:name="_Toc24639"/>
      <w:bookmarkStart w:id="639" w:name="_Toc11263"/>
      <w:bookmarkStart w:id="640" w:name="_Toc1447"/>
      <w:bookmarkStart w:id="641" w:name="_Toc13336"/>
      <w:bookmarkStart w:id="642" w:name="_Toc22104"/>
      <w:bookmarkStart w:id="643" w:name="_Toc7416"/>
      <w:bookmarkStart w:id="644" w:name="_Toc279701241"/>
      <w:bookmarkStart w:id="645" w:name="_Toc1183"/>
      <w:bookmarkStart w:id="646" w:name="_Toc487900350"/>
      <w:bookmarkStart w:id="647" w:name="_Toc27635"/>
      <w:bookmarkStart w:id="648" w:name="_Toc1221"/>
      <w:bookmarkStart w:id="649" w:name="_Toc5592"/>
      <w:r>
        <w:rPr>
          <w:rFonts w:hint="eastAsia" w:ascii="宋体" w:hAnsi="宋体" w:eastAsia="宋体" w:cs="宋体"/>
          <w:b/>
          <w:color w:val="auto"/>
          <w:sz w:val="24"/>
        </w:rPr>
        <w:t>2.2 技术规范</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674B3B6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F3F0F">
      <w:pPr>
        <w:spacing w:line="360" w:lineRule="exact"/>
        <w:ind w:firstLine="482" w:firstLineChars="200"/>
        <w:outlineLvl w:val="0"/>
        <w:rPr>
          <w:rFonts w:hint="eastAsia" w:ascii="宋体" w:hAnsi="宋体" w:eastAsia="宋体" w:cs="宋体"/>
          <w:b/>
          <w:color w:val="auto"/>
          <w:sz w:val="24"/>
        </w:rPr>
      </w:pPr>
      <w:bookmarkStart w:id="650" w:name="_Toc7722"/>
      <w:bookmarkStart w:id="651" w:name="_Toc279701242"/>
      <w:bookmarkStart w:id="652" w:name="_Toc4029"/>
      <w:bookmarkStart w:id="653" w:name="_Toc259093671"/>
      <w:bookmarkStart w:id="654" w:name="_Toc4916"/>
      <w:bookmarkStart w:id="655" w:name="_Toc21622"/>
      <w:bookmarkStart w:id="656" w:name="_Toc12032"/>
      <w:bookmarkStart w:id="657" w:name="_Toc15733"/>
      <w:bookmarkStart w:id="658" w:name="_Toc14632"/>
      <w:bookmarkStart w:id="659" w:name="_Toc19191"/>
      <w:bookmarkStart w:id="660" w:name="_Toc20130"/>
      <w:bookmarkStart w:id="661" w:name="_Toc31634"/>
      <w:bookmarkStart w:id="662" w:name="_Toc9829"/>
      <w:bookmarkStart w:id="663" w:name="_Toc487900351"/>
      <w:bookmarkStart w:id="664" w:name="_Toc975"/>
      <w:bookmarkStart w:id="665" w:name="_Toc30552"/>
      <w:bookmarkStart w:id="666" w:name="_Toc6121"/>
      <w:bookmarkStart w:id="667" w:name="_Toc23649"/>
      <w:bookmarkStart w:id="668" w:name="_Toc24537"/>
      <w:bookmarkStart w:id="669" w:name="_Toc27853"/>
      <w:bookmarkStart w:id="670" w:name="_Toc32048"/>
      <w:r>
        <w:rPr>
          <w:rFonts w:hint="eastAsia" w:ascii="宋体" w:hAnsi="宋体" w:eastAsia="宋体" w:cs="宋体"/>
          <w:b/>
          <w:color w:val="auto"/>
          <w:sz w:val="24"/>
        </w:rPr>
        <w:t>2.3 知识产权</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565F88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B6CA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865116C">
      <w:pPr>
        <w:spacing w:line="360" w:lineRule="exact"/>
        <w:ind w:firstLine="482" w:firstLineChars="200"/>
        <w:outlineLvl w:val="0"/>
        <w:rPr>
          <w:rFonts w:hint="eastAsia" w:ascii="宋体" w:hAnsi="宋体" w:eastAsia="宋体" w:cs="宋体"/>
          <w:b/>
          <w:color w:val="auto"/>
          <w:sz w:val="24"/>
        </w:rPr>
      </w:pPr>
      <w:bookmarkStart w:id="671" w:name="_Toc479"/>
      <w:bookmarkStart w:id="672" w:name="_Toc20620"/>
      <w:bookmarkStart w:id="673" w:name="_Toc9470"/>
      <w:bookmarkStart w:id="674" w:name="_Toc17080"/>
      <w:bookmarkStart w:id="675" w:name="_Toc6781"/>
      <w:bookmarkStart w:id="676" w:name="_Toc365"/>
      <w:bookmarkStart w:id="677" w:name="_Toc12219"/>
      <w:bookmarkStart w:id="678" w:name="_Toc19638"/>
      <w:bookmarkStart w:id="679" w:name="_Toc10546"/>
      <w:bookmarkStart w:id="680" w:name="_Toc3486"/>
      <w:bookmarkStart w:id="681" w:name="_Toc23105"/>
      <w:bookmarkStart w:id="682" w:name="_Toc28714"/>
      <w:bookmarkStart w:id="683" w:name="_Toc9332"/>
      <w:bookmarkStart w:id="684" w:name="_Toc26731"/>
      <w:bookmarkStart w:id="685" w:name="_Toc5395"/>
      <w:bookmarkStart w:id="686" w:name="_Toc25767"/>
      <w:r>
        <w:rPr>
          <w:rFonts w:hint="eastAsia" w:ascii="宋体" w:hAnsi="宋体" w:eastAsia="宋体" w:cs="宋体"/>
          <w:b/>
          <w:color w:val="auto"/>
          <w:sz w:val="24"/>
        </w:rPr>
        <w:t>2.4 包装和装运</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3491660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4E2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2CF0590">
      <w:pPr>
        <w:spacing w:line="360" w:lineRule="exact"/>
        <w:ind w:firstLine="482" w:firstLineChars="200"/>
        <w:outlineLvl w:val="0"/>
        <w:rPr>
          <w:rFonts w:hint="eastAsia" w:ascii="宋体" w:hAnsi="宋体" w:eastAsia="宋体" w:cs="宋体"/>
          <w:b/>
          <w:color w:val="auto"/>
          <w:sz w:val="24"/>
        </w:rPr>
      </w:pPr>
      <w:bookmarkStart w:id="687" w:name="_Toc259093674"/>
      <w:bookmarkStart w:id="688" w:name="_Ref467379542"/>
      <w:bookmarkStart w:id="689" w:name="_Ref467379536"/>
      <w:bookmarkStart w:id="690" w:name="_Ref467379527"/>
      <w:bookmarkStart w:id="691" w:name="_Toc487900354"/>
      <w:bookmarkStart w:id="692" w:name="_Toc279701245"/>
      <w:bookmarkStart w:id="693" w:name="_Ref467378541"/>
      <w:bookmarkStart w:id="694" w:name="_Ref467378591"/>
      <w:bookmarkStart w:id="695" w:name="_Toc12428"/>
      <w:bookmarkStart w:id="696" w:name="_Toc19870"/>
      <w:bookmarkStart w:id="697" w:name="_Toc7299"/>
      <w:bookmarkStart w:id="698" w:name="_Toc2815"/>
      <w:bookmarkStart w:id="699" w:name="_Toc4831"/>
      <w:bookmarkStart w:id="700" w:name="_Toc28937"/>
      <w:bookmarkStart w:id="701" w:name="_Toc16539"/>
      <w:bookmarkStart w:id="702" w:name="_Toc19074"/>
      <w:bookmarkStart w:id="703" w:name="_Toc5927"/>
      <w:bookmarkStart w:id="704" w:name="_Toc24299"/>
      <w:bookmarkStart w:id="705" w:name="_Toc30272"/>
      <w:bookmarkStart w:id="706" w:name="_Toc1641"/>
      <w:bookmarkStart w:id="707" w:name="_Toc18307"/>
      <w:bookmarkStart w:id="708" w:name="_Toc18515"/>
      <w:bookmarkStart w:id="709" w:name="_Toc24935"/>
      <w:bookmarkStart w:id="710" w:name="_Toc26182"/>
      <w:bookmarkStart w:id="711" w:name="_Toc21198"/>
      <w:r>
        <w:rPr>
          <w:rFonts w:hint="eastAsia" w:ascii="宋体" w:hAnsi="宋体" w:eastAsia="宋体" w:cs="宋体"/>
          <w:b/>
          <w:color w:val="auto"/>
          <w:sz w:val="24"/>
        </w:rPr>
        <w:t>2.</w:t>
      </w:r>
      <w:bookmarkEnd w:id="687"/>
      <w:bookmarkEnd w:id="688"/>
      <w:bookmarkEnd w:id="689"/>
      <w:bookmarkEnd w:id="690"/>
      <w:bookmarkEnd w:id="691"/>
      <w:bookmarkEnd w:id="692"/>
      <w:bookmarkEnd w:id="693"/>
      <w:bookmarkEnd w:id="694"/>
      <w:r>
        <w:rPr>
          <w:rFonts w:hint="eastAsia" w:ascii="宋体" w:hAnsi="宋体" w:eastAsia="宋体" w:cs="宋体"/>
          <w:b/>
          <w:color w:val="auto"/>
          <w:sz w:val="24"/>
        </w:rPr>
        <w:t>5 履约检查和问题反馈</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3400AEF2">
      <w:pPr>
        <w:spacing w:line="360" w:lineRule="exact"/>
        <w:ind w:firstLine="480" w:firstLineChars="200"/>
        <w:rPr>
          <w:rFonts w:hint="eastAsia" w:ascii="宋体" w:hAnsi="宋体" w:eastAsia="宋体" w:cs="宋体"/>
          <w:color w:val="auto"/>
          <w:sz w:val="24"/>
        </w:rPr>
      </w:pPr>
      <w:bookmarkStart w:id="712" w:name="_Ref467379657"/>
      <w:r>
        <w:rPr>
          <w:rFonts w:hint="eastAsia" w:ascii="宋体" w:hAnsi="宋体" w:eastAsia="宋体" w:cs="宋体"/>
          <w:color w:val="auto"/>
          <w:sz w:val="24"/>
        </w:rPr>
        <w:t>2.5.1</w:t>
      </w:r>
      <w:bookmarkEnd w:id="712"/>
      <w:bookmarkStart w:id="713" w:name="_Toc186431854"/>
      <w:bookmarkStart w:id="714" w:name="_Toc487900357"/>
      <w:bookmarkStart w:id="715" w:name="_Toc279701247"/>
      <w:bookmarkStart w:id="716" w:name="_Toc259093676"/>
      <w:bookmarkStart w:id="717" w:name="_Ref467379807"/>
      <w:bookmarkStart w:id="718" w:name="_Ref467379793"/>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093F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713"/>
      <w:bookmarkStart w:id="719" w:name="_Toc186431855"/>
      <w:r>
        <w:rPr>
          <w:rFonts w:hint="eastAsia" w:ascii="宋体" w:hAnsi="宋体" w:eastAsia="宋体" w:cs="宋体"/>
          <w:color w:val="auto"/>
          <w:sz w:val="24"/>
        </w:rPr>
        <w:t>。</w:t>
      </w:r>
    </w:p>
    <w:bookmarkEnd w:id="719"/>
    <w:p w14:paraId="313250AD">
      <w:pPr>
        <w:spacing w:line="360" w:lineRule="exact"/>
        <w:ind w:firstLine="482" w:firstLineChars="200"/>
        <w:outlineLvl w:val="0"/>
        <w:rPr>
          <w:rFonts w:hint="eastAsia" w:ascii="宋体" w:hAnsi="宋体" w:eastAsia="宋体" w:cs="宋体"/>
          <w:b/>
          <w:color w:val="auto"/>
          <w:sz w:val="24"/>
        </w:rPr>
      </w:pPr>
      <w:bookmarkStart w:id="720" w:name="_Toc23261"/>
      <w:bookmarkStart w:id="721" w:name="_Toc19219"/>
      <w:bookmarkStart w:id="722" w:name="_Toc17283"/>
      <w:bookmarkStart w:id="723" w:name="_Toc26232"/>
      <w:bookmarkStart w:id="724" w:name="_Toc30354"/>
      <w:bookmarkStart w:id="725" w:name="_Toc11522"/>
      <w:bookmarkStart w:id="726" w:name="_Toc2067"/>
      <w:bookmarkStart w:id="727" w:name="_Toc4522"/>
      <w:bookmarkStart w:id="728" w:name="_Toc12360"/>
      <w:bookmarkStart w:id="729" w:name="_Toc31520"/>
      <w:bookmarkStart w:id="730" w:name="_Toc26298"/>
      <w:bookmarkStart w:id="731" w:name="_Toc28451"/>
      <w:bookmarkStart w:id="732" w:name="_Toc7836"/>
      <w:bookmarkStart w:id="733" w:name="_Toc5304"/>
      <w:bookmarkStart w:id="734" w:name="_Toc234"/>
      <w:bookmarkStart w:id="735" w:name="_Toc5007"/>
      <w:bookmarkStart w:id="736" w:name="_Toc582"/>
      <w:r>
        <w:rPr>
          <w:rFonts w:hint="eastAsia" w:ascii="宋体" w:hAnsi="宋体" w:eastAsia="宋体" w:cs="宋体"/>
          <w:b/>
          <w:color w:val="auto"/>
          <w:sz w:val="24"/>
        </w:rPr>
        <w:t>2.6 结算方式和付款条件</w:t>
      </w:r>
      <w:bookmarkEnd w:id="714"/>
      <w:bookmarkEnd w:id="715"/>
      <w:bookmarkEnd w:id="716"/>
      <w:bookmarkEnd w:id="717"/>
      <w:bookmarkEnd w:id="718"/>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5691E0C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28B803">
      <w:pPr>
        <w:spacing w:line="360" w:lineRule="exact"/>
        <w:ind w:firstLine="482" w:firstLineChars="200"/>
        <w:outlineLvl w:val="0"/>
        <w:rPr>
          <w:rFonts w:hint="eastAsia" w:ascii="宋体" w:hAnsi="宋体" w:eastAsia="宋体" w:cs="宋体"/>
          <w:b/>
          <w:color w:val="auto"/>
          <w:sz w:val="24"/>
        </w:rPr>
      </w:pPr>
      <w:bookmarkStart w:id="737" w:name="_Ref467379863"/>
      <w:bookmarkStart w:id="738" w:name="_Toc487900358"/>
      <w:bookmarkStart w:id="739" w:name="_Toc259093677"/>
      <w:bookmarkStart w:id="740" w:name="_Ref467379923"/>
      <w:bookmarkStart w:id="741" w:name="_Ref467379852"/>
      <w:bookmarkStart w:id="742" w:name="_Toc279701248"/>
      <w:bookmarkStart w:id="743" w:name="_Toc774"/>
      <w:bookmarkStart w:id="744" w:name="_Toc17607"/>
      <w:bookmarkStart w:id="745" w:name="_Toc29030"/>
      <w:bookmarkStart w:id="746" w:name="_Toc10173"/>
      <w:bookmarkStart w:id="747" w:name="_Toc1200"/>
      <w:bookmarkStart w:id="748" w:name="_Toc28781"/>
      <w:bookmarkStart w:id="749" w:name="_Toc18668"/>
      <w:bookmarkStart w:id="750" w:name="_Toc31971"/>
      <w:bookmarkStart w:id="751" w:name="_Toc14491"/>
      <w:bookmarkStart w:id="752" w:name="_Toc17051"/>
      <w:bookmarkStart w:id="753" w:name="_Toc10114"/>
      <w:bookmarkStart w:id="754" w:name="_Toc16110"/>
      <w:bookmarkStart w:id="755" w:name="_Toc9845"/>
      <w:bookmarkStart w:id="756" w:name="_Toc29616"/>
      <w:bookmarkStart w:id="757" w:name="_Toc13023"/>
      <w:bookmarkStart w:id="758" w:name="_Toc3225"/>
      <w:bookmarkStart w:id="759" w:name="_Toc31305"/>
      <w:bookmarkStart w:id="760" w:name="_Toc11236"/>
      <w:bookmarkStart w:id="761" w:name="_Toc3497"/>
      <w:r>
        <w:rPr>
          <w:rFonts w:hint="eastAsia" w:ascii="宋体" w:hAnsi="宋体" w:eastAsia="宋体" w:cs="宋体"/>
          <w:b/>
          <w:color w:val="auto"/>
          <w:sz w:val="24"/>
        </w:rPr>
        <w:t>2.7 技术资料</w:t>
      </w:r>
      <w:bookmarkEnd w:id="737"/>
      <w:bookmarkEnd w:id="738"/>
      <w:bookmarkEnd w:id="739"/>
      <w:bookmarkEnd w:id="740"/>
      <w:bookmarkEnd w:id="741"/>
      <w:bookmarkEnd w:id="742"/>
      <w:r>
        <w:rPr>
          <w:rFonts w:hint="eastAsia" w:ascii="宋体" w:hAnsi="宋体" w:eastAsia="宋体" w:cs="宋体"/>
          <w:b/>
          <w:color w:val="auto"/>
          <w:sz w:val="24"/>
        </w:rPr>
        <w:t>和保密义务</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4A60615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51A3B2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43BA7FE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BC6AAD">
      <w:pPr>
        <w:spacing w:line="360" w:lineRule="exact"/>
        <w:ind w:firstLine="482" w:firstLineChars="200"/>
        <w:outlineLvl w:val="0"/>
        <w:rPr>
          <w:rFonts w:hint="eastAsia" w:ascii="宋体" w:hAnsi="宋体" w:eastAsia="宋体" w:cs="宋体"/>
          <w:b/>
          <w:color w:val="auto"/>
          <w:sz w:val="24"/>
        </w:rPr>
      </w:pPr>
      <w:bookmarkStart w:id="762" w:name="_Toc19177"/>
      <w:bookmarkStart w:id="763" w:name="_Toc5200"/>
      <w:bookmarkStart w:id="764" w:name="_Toc27453"/>
      <w:bookmarkStart w:id="765" w:name="_Toc10326"/>
      <w:bookmarkStart w:id="766" w:name="_Toc4252"/>
      <w:bookmarkStart w:id="767" w:name="_Toc21267"/>
      <w:bookmarkStart w:id="768" w:name="_Toc23081"/>
      <w:bookmarkStart w:id="769" w:name="_Toc11328"/>
      <w:bookmarkStart w:id="770" w:name="_Toc18551"/>
      <w:bookmarkStart w:id="771" w:name="_Toc30477"/>
      <w:bookmarkStart w:id="772" w:name="_Toc11530"/>
      <w:bookmarkStart w:id="773" w:name="_Toc16190"/>
      <w:bookmarkStart w:id="774" w:name="_Toc7860"/>
      <w:bookmarkStart w:id="775" w:name="_Toc30503"/>
      <w:bookmarkStart w:id="776" w:name="_Toc30386"/>
      <w:bookmarkStart w:id="777" w:name="_Toc3156"/>
      <w:bookmarkStart w:id="778" w:name="_Toc8288"/>
      <w:r>
        <w:rPr>
          <w:rFonts w:hint="eastAsia" w:ascii="宋体" w:hAnsi="宋体" w:eastAsia="宋体" w:cs="宋体"/>
          <w:b/>
          <w:color w:val="auto"/>
          <w:sz w:val="24"/>
        </w:rPr>
        <w:t>2.8 质量保证</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7418F67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3545088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06F6278">
      <w:pPr>
        <w:spacing w:line="360" w:lineRule="exact"/>
        <w:ind w:firstLine="482" w:firstLineChars="200"/>
        <w:outlineLvl w:val="0"/>
        <w:rPr>
          <w:rFonts w:hint="eastAsia" w:ascii="宋体" w:hAnsi="宋体" w:eastAsia="宋体" w:cs="宋体"/>
          <w:b/>
          <w:color w:val="auto"/>
          <w:sz w:val="24"/>
        </w:rPr>
      </w:pPr>
      <w:bookmarkStart w:id="779" w:name="_Toc13812"/>
      <w:bookmarkStart w:id="780" w:name="_Toc12010"/>
      <w:bookmarkStart w:id="781" w:name="_Toc18977"/>
      <w:bookmarkStart w:id="782" w:name="_Toc14596"/>
      <w:bookmarkStart w:id="783" w:name="_Toc27708"/>
      <w:bookmarkStart w:id="784" w:name="_Toc26555"/>
      <w:bookmarkStart w:id="785" w:name="_Toc14663"/>
      <w:bookmarkStart w:id="786" w:name="_Toc17497"/>
      <w:bookmarkStart w:id="787" w:name="_Toc27238"/>
      <w:bookmarkStart w:id="788" w:name="_Toc22016"/>
      <w:bookmarkStart w:id="789" w:name="_Toc17030"/>
      <w:bookmarkStart w:id="790" w:name="_Toc25529"/>
      <w:bookmarkStart w:id="791" w:name="_Toc23172"/>
      <w:bookmarkStart w:id="792" w:name="_Toc27234"/>
      <w:bookmarkStart w:id="793" w:name="_Toc812"/>
      <w:bookmarkStart w:id="794" w:name="_Toc279701252"/>
      <w:bookmarkStart w:id="795" w:name="_Toc487900362"/>
      <w:bookmarkStart w:id="796" w:name="_Toc259093681"/>
      <w:r>
        <w:rPr>
          <w:rFonts w:hint="eastAsia" w:ascii="宋体" w:hAnsi="宋体" w:eastAsia="宋体" w:cs="宋体"/>
          <w:b/>
          <w:color w:val="auto"/>
          <w:sz w:val="24"/>
        </w:rPr>
        <w:t>2.9 货物的风险负担</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4121CA86">
      <w:pPr>
        <w:spacing w:line="3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E56A5BB">
      <w:pPr>
        <w:spacing w:line="360" w:lineRule="exact"/>
        <w:ind w:firstLine="482" w:firstLineChars="200"/>
        <w:outlineLvl w:val="0"/>
        <w:rPr>
          <w:rFonts w:hint="eastAsia" w:ascii="宋体" w:hAnsi="宋体" w:eastAsia="宋体" w:cs="宋体"/>
          <w:b/>
          <w:color w:val="auto"/>
          <w:sz w:val="24"/>
        </w:rPr>
      </w:pPr>
      <w:bookmarkStart w:id="797" w:name="_Toc14055"/>
      <w:bookmarkStart w:id="798" w:name="_Toc5196"/>
      <w:bookmarkStart w:id="799" w:name="_Toc11963"/>
      <w:bookmarkStart w:id="800" w:name="_Toc19684"/>
      <w:bookmarkStart w:id="801" w:name="_Toc1299"/>
      <w:bookmarkStart w:id="802" w:name="_Toc25663"/>
      <w:bookmarkStart w:id="803" w:name="_Toc22674"/>
      <w:bookmarkStart w:id="804" w:name="_Toc7986"/>
      <w:bookmarkStart w:id="805" w:name="_Toc15972"/>
      <w:bookmarkStart w:id="806" w:name="_Toc2"/>
      <w:bookmarkStart w:id="807" w:name="_Toc29837"/>
      <w:bookmarkStart w:id="808" w:name="_Toc6601"/>
      <w:bookmarkStart w:id="809" w:name="_Toc6602"/>
      <w:bookmarkStart w:id="810" w:name="_Toc15465"/>
      <w:bookmarkStart w:id="811" w:name="_Toc29224"/>
      <w:bookmarkStart w:id="812" w:name="_Toc14698"/>
      <w:bookmarkStart w:id="813" w:name="_Toc25231"/>
      <w:r>
        <w:rPr>
          <w:rFonts w:hint="eastAsia" w:ascii="宋体" w:hAnsi="宋体" w:eastAsia="宋体" w:cs="宋体"/>
          <w:b/>
          <w:color w:val="auto"/>
          <w:sz w:val="24"/>
        </w:rPr>
        <w:t>2.10 延迟交货</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2D9F48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181ABC1">
      <w:pPr>
        <w:spacing w:line="360" w:lineRule="exact"/>
        <w:ind w:firstLine="482" w:firstLineChars="200"/>
        <w:outlineLvl w:val="0"/>
        <w:rPr>
          <w:rFonts w:hint="eastAsia" w:ascii="宋体" w:hAnsi="宋体" w:eastAsia="宋体" w:cs="宋体"/>
          <w:b/>
          <w:color w:val="auto"/>
          <w:sz w:val="24"/>
        </w:rPr>
      </w:pPr>
      <w:bookmarkStart w:id="814" w:name="_Toc3064"/>
      <w:bookmarkStart w:id="815" w:name="_Toc7502"/>
      <w:bookmarkStart w:id="816" w:name="_Toc16430"/>
      <w:bookmarkStart w:id="817" w:name="_Toc16810"/>
      <w:bookmarkStart w:id="818" w:name="_Toc4586"/>
      <w:bookmarkStart w:id="819" w:name="_Toc14851"/>
      <w:bookmarkStart w:id="820" w:name="_Toc507"/>
      <w:bookmarkStart w:id="821" w:name="_Toc12175"/>
      <w:bookmarkStart w:id="822" w:name="_Toc8441"/>
      <w:bookmarkStart w:id="823" w:name="_Toc18704"/>
      <w:bookmarkStart w:id="824" w:name="_Toc7444"/>
      <w:bookmarkStart w:id="825" w:name="_Toc17237"/>
      <w:bookmarkStart w:id="826" w:name="_Toc25717"/>
      <w:bookmarkStart w:id="827" w:name="_Toc10956"/>
      <w:bookmarkStart w:id="828" w:name="_Toc26108"/>
      <w:bookmarkStart w:id="829" w:name="_Toc27737"/>
      <w:bookmarkStart w:id="830" w:name="_Toc16528"/>
      <w:bookmarkStart w:id="831" w:name="_Toc487900364"/>
      <w:bookmarkStart w:id="832" w:name="_Toc279701254"/>
      <w:bookmarkStart w:id="833" w:name="_Ref467378121"/>
      <w:bookmarkStart w:id="834" w:name="_Toc259093683"/>
      <w:r>
        <w:rPr>
          <w:rFonts w:hint="eastAsia" w:ascii="宋体" w:hAnsi="宋体" w:eastAsia="宋体" w:cs="宋体"/>
          <w:b/>
          <w:color w:val="auto"/>
          <w:sz w:val="24"/>
        </w:rPr>
        <w:t>2.11 合同变更</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7452216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AC36B4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835" w:name="_Toc259093688"/>
      <w:bookmarkStart w:id="836" w:name="_Toc279701259"/>
      <w:bookmarkStart w:id="837" w:name="_Toc487900369"/>
    </w:p>
    <w:p w14:paraId="1E4DEC64">
      <w:pPr>
        <w:spacing w:line="360" w:lineRule="exact"/>
        <w:ind w:firstLine="482" w:firstLineChars="200"/>
        <w:outlineLvl w:val="0"/>
        <w:rPr>
          <w:rFonts w:hint="eastAsia" w:ascii="宋体" w:hAnsi="宋体" w:eastAsia="宋体" w:cs="宋体"/>
          <w:b/>
          <w:color w:val="auto"/>
          <w:sz w:val="24"/>
        </w:rPr>
      </w:pPr>
      <w:bookmarkStart w:id="838" w:name="_Toc25508"/>
      <w:bookmarkStart w:id="839" w:name="_Toc10366"/>
      <w:bookmarkStart w:id="840" w:name="_Toc3928"/>
      <w:bookmarkStart w:id="841" w:name="_Toc26224"/>
      <w:bookmarkStart w:id="842" w:name="_Toc3062"/>
      <w:bookmarkStart w:id="843" w:name="_Toc21817"/>
      <w:bookmarkStart w:id="844" w:name="_Toc19839"/>
      <w:bookmarkStart w:id="845" w:name="_Toc14895"/>
      <w:bookmarkStart w:id="846" w:name="_Toc15237"/>
      <w:bookmarkStart w:id="847" w:name="_Toc10537"/>
      <w:bookmarkStart w:id="848" w:name="_Toc3931"/>
      <w:bookmarkStart w:id="849" w:name="_Toc23079"/>
      <w:bookmarkStart w:id="850" w:name="_Toc27772"/>
      <w:bookmarkStart w:id="851" w:name="_Toc19380"/>
      <w:bookmarkStart w:id="852" w:name="_Toc24511"/>
      <w:bookmarkStart w:id="853" w:name="_Toc3825"/>
      <w:bookmarkStart w:id="854" w:name="_Toc28630"/>
      <w:bookmarkStart w:id="855" w:name="_Toc22955"/>
      <w:bookmarkStart w:id="856" w:name="_Toc11626"/>
      <w:r>
        <w:rPr>
          <w:rFonts w:hint="eastAsia" w:ascii="宋体" w:hAnsi="宋体" w:eastAsia="宋体" w:cs="宋体"/>
          <w:b/>
          <w:color w:val="auto"/>
          <w:sz w:val="24"/>
        </w:rPr>
        <w:t>2.12 合同转让</w:t>
      </w:r>
      <w:bookmarkEnd w:id="835"/>
      <w:bookmarkEnd w:id="836"/>
      <w:bookmarkEnd w:id="837"/>
      <w:r>
        <w:rPr>
          <w:rFonts w:hint="eastAsia" w:ascii="宋体" w:hAnsi="宋体" w:eastAsia="宋体" w:cs="宋体"/>
          <w:b/>
          <w:color w:val="auto"/>
          <w:sz w:val="24"/>
        </w:rPr>
        <w:t>和分包</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273FC4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eastAsia="zh-CN"/>
        </w:rPr>
        <w:t>投标人</w:t>
      </w:r>
      <w:r>
        <w:rPr>
          <w:rFonts w:hint="eastAsia" w:ascii="宋体" w:hAnsi="宋体" w:eastAsia="宋体" w:cs="宋体"/>
          <w:color w:val="auto"/>
          <w:sz w:val="24"/>
        </w:rPr>
        <w:t>就分包项目向甲方承担连带责任。</w:t>
      </w:r>
    </w:p>
    <w:p w14:paraId="76F815AC">
      <w:pPr>
        <w:spacing w:line="360" w:lineRule="exact"/>
        <w:ind w:firstLine="482" w:firstLineChars="200"/>
        <w:outlineLvl w:val="0"/>
        <w:rPr>
          <w:rFonts w:hint="eastAsia" w:ascii="宋体" w:hAnsi="宋体" w:eastAsia="宋体" w:cs="宋体"/>
          <w:b/>
          <w:color w:val="auto"/>
          <w:sz w:val="24"/>
        </w:rPr>
      </w:pPr>
      <w:bookmarkStart w:id="857" w:name="_Toc15741"/>
      <w:bookmarkStart w:id="858" w:name="_Toc5484"/>
      <w:bookmarkStart w:id="859" w:name="_Toc12165"/>
      <w:bookmarkStart w:id="860" w:name="_Toc24741"/>
      <w:bookmarkStart w:id="861" w:name="_Toc12809"/>
      <w:bookmarkStart w:id="862" w:name="_Toc16893"/>
      <w:bookmarkStart w:id="863" w:name="_Toc3533"/>
      <w:bookmarkStart w:id="864" w:name="_Toc1850"/>
      <w:bookmarkStart w:id="865" w:name="_Toc14066"/>
      <w:bookmarkStart w:id="866" w:name="_Toc2586"/>
      <w:bookmarkStart w:id="867" w:name="_Toc4540"/>
      <w:bookmarkStart w:id="868" w:name="_Toc8114"/>
      <w:bookmarkStart w:id="869" w:name="_Toc15496"/>
      <w:bookmarkStart w:id="870" w:name="_Toc11252"/>
      <w:bookmarkStart w:id="871" w:name="_Toc17498"/>
      <w:bookmarkStart w:id="872" w:name="_Toc13566"/>
      <w:bookmarkStart w:id="873" w:name="_Toc16508"/>
      <w:bookmarkStart w:id="874" w:name="_Toc13557"/>
      <w:r>
        <w:rPr>
          <w:rFonts w:hint="eastAsia" w:ascii="宋体" w:hAnsi="宋体" w:eastAsia="宋体" w:cs="宋体"/>
          <w:b/>
          <w:color w:val="auto"/>
          <w:sz w:val="24"/>
        </w:rPr>
        <w:t>2.13 不可抗力</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526BA73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A107FE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39B83C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796BA9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A24E92B">
      <w:pPr>
        <w:spacing w:line="360" w:lineRule="exact"/>
        <w:ind w:firstLine="482" w:firstLineChars="200"/>
        <w:outlineLvl w:val="0"/>
        <w:rPr>
          <w:rFonts w:hint="eastAsia" w:ascii="宋体" w:hAnsi="宋体" w:eastAsia="宋体" w:cs="宋体"/>
          <w:b/>
          <w:color w:val="auto"/>
          <w:sz w:val="24"/>
        </w:rPr>
      </w:pPr>
      <w:bookmarkStart w:id="875" w:name="_Toc259093684"/>
      <w:bookmarkStart w:id="876" w:name="_Toc1584"/>
      <w:bookmarkStart w:id="877" w:name="_Toc10528"/>
      <w:bookmarkStart w:id="878" w:name="_Toc279701255"/>
      <w:bookmarkStart w:id="879" w:name="_Toc487900365"/>
      <w:bookmarkStart w:id="880" w:name="_Toc7145"/>
      <w:bookmarkStart w:id="881" w:name="_Toc30676"/>
      <w:bookmarkStart w:id="882" w:name="_Toc6047"/>
      <w:bookmarkStart w:id="883" w:name="_Toc6288"/>
      <w:bookmarkStart w:id="884" w:name="_Toc31597"/>
      <w:bookmarkStart w:id="885" w:name="_Toc20686"/>
      <w:bookmarkStart w:id="886" w:name="_Toc689"/>
      <w:bookmarkStart w:id="887" w:name="_Toc19677"/>
      <w:bookmarkStart w:id="888" w:name="_Toc11423"/>
      <w:bookmarkStart w:id="889" w:name="_Toc19312"/>
      <w:bookmarkStart w:id="890" w:name="_Toc13910"/>
      <w:bookmarkStart w:id="891" w:name="_Toc6676"/>
      <w:bookmarkStart w:id="892" w:name="_Toc6969"/>
      <w:bookmarkStart w:id="893" w:name="_Toc4006"/>
      <w:bookmarkStart w:id="894" w:name="_Toc3463"/>
      <w:bookmarkStart w:id="895" w:name="_Toc26085"/>
      <w:bookmarkStart w:id="896" w:name="_Toc11876"/>
      <w:r>
        <w:rPr>
          <w:rFonts w:hint="eastAsia" w:ascii="宋体" w:hAnsi="宋体" w:eastAsia="宋体" w:cs="宋体"/>
          <w:b/>
          <w:color w:val="auto"/>
          <w:sz w:val="24"/>
        </w:rPr>
        <w:t>2.14 税费</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0CF1F79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64C2DEB4">
      <w:pPr>
        <w:spacing w:line="360" w:lineRule="exact"/>
        <w:ind w:firstLine="482" w:firstLineChars="200"/>
        <w:outlineLvl w:val="0"/>
        <w:rPr>
          <w:rFonts w:hint="eastAsia" w:ascii="宋体" w:hAnsi="宋体" w:eastAsia="宋体" w:cs="宋体"/>
          <w:b/>
          <w:color w:val="auto"/>
          <w:sz w:val="24"/>
        </w:rPr>
      </w:pPr>
      <w:bookmarkStart w:id="897" w:name="_Toc16959"/>
      <w:bookmarkStart w:id="898" w:name="_Toc22239"/>
      <w:bookmarkStart w:id="899" w:name="_Toc23266"/>
      <w:bookmarkStart w:id="900" w:name="_Toc8298"/>
      <w:bookmarkStart w:id="901" w:name="_Toc14403"/>
      <w:bookmarkStart w:id="902" w:name="_Toc11308"/>
      <w:bookmarkStart w:id="903" w:name="_Toc7102"/>
      <w:bookmarkStart w:id="904" w:name="_Toc487900368"/>
      <w:bookmarkStart w:id="905" w:name="_Toc32313"/>
      <w:bookmarkStart w:id="906" w:name="_Toc4812"/>
      <w:bookmarkStart w:id="907" w:name="_Toc7117"/>
      <w:bookmarkStart w:id="908" w:name="_Toc20424"/>
      <w:bookmarkStart w:id="909" w:name="_Toc29869"/>
      <w:bookmarkStart w:id="910" w:name="_Toc25260"/>
      <w:bookmarkStart w:id="911" w:name="_Toc279701258"/>
      <w:bookmarkStart w:id="912" w:name="_Toc8934"/>
      <w:bookmarkStart w:id="913" w:name="_Toc29948"/>
      <w:bookmarkStart w:id="914" w:name="_Toc13626"/>
      <w:bookmarkStart w:id="915" w:name="_Toc20594"/>
      <w:bookmarkStart w:id="916" w:name="_Toc515"/>
      <w:bookmarkStart w:id="917" w:name="_Toc259093687"/>
      <w:bookmarkStart w:id="918" w:name="_Toc12141"/>
      <w:r>
        <w:rPr>
          <w:rFonts w:hint="eastAsia" w:ascii="宋体" w:hAnsi="宋体" w:eastAsia="宋体" w:cs="宋体"/>
          <w:b/>
          <w:color w:val="auto"/>
          <w:sz w:val="24"/>
        </w:rPr>
        <w:t>2.15 乙方破产</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63ABD72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88571">
      <w:pPr>
        <w:spacing w:line="360" w:lineRule="exact"/>
        <w:ind w:firstLine="482" w:firstLineChars="200"/>
        <w:outlineLvl w:val="0"/>
        <w:rPr>
          <w:rFonts w:hint="eastAsia" w:ascii="宋体" w:hAnsi="宋体" w:eastAsia="宋体" w:cs="宋体"/>
          <w:b/>
          <w:color w:val="auto"/>
          <w:sz w:val="24"/>
        </w:rPr>
      </w:pPr>
      <w:bookmarkStart w:id="919" w:name="_Toc15445"/>
      <w:bookmarkStart w:id="920" w:name="_Toc27106"/>
      <w:bookmarkStart w:id="921" w:name="_Toc29764"/>
      <w:bookmarkStart w:id="922" w:name="_Toc24867"/>
      <w:bookmarkStart w:id="923" w:name="_Toc6134"/>
      <w:bookmarkStart w:id="924" w:name="_Toc24976"/>
      <w:bookmarkStart w:id="925" w:name="_Toc8550"/>
      <w:bookmarkStart w:id="926" w:name="_Toc9318"/>
      <w:bookmarkStart w:id="927" w:name="_Toc15387"/>
      <w:bookmarkStart w:id="928" w:name="_Toc12606"/>
      <w:bookmarkStart w:id="929" w:name="_Toc29333"/>
      <w:bookmarkStart w:id="930" w:name="_Toc4227"/>
      <w:bookmarkStart w:id="931" w:name="_Toc31639"/>
      <w:bookmarkStart w:id="932" w:name="_Toc818"/>
      <w:bookmarkStart w:id="933" w:name="_Toc8260"/>
      <w:bookmarkStart w:id="934" w:name="_Toc26255"/>
      <w:bookmarkStart w:id="935" w:name="_Toc24066"/>
      <w:bookmarkStart w:id="936" w:name="_Toc15605"/>
      <w:r>
        <w:rPr>
          <w:rFonts w:hint="eastAsia" w:ascii="宋体" w:hAnsi="宋体" w:eastAsia="宋体" w:cs="宋体"/>
          <w:b/>
          <w:color w:val="auto"/>
          <w:sz w:val="24"/>
        </w:rPr>
        <w:t>2.16 合同中止、终止</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10107A1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4185140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73E10AF">
      <w:pPr>
        <w:spacing w:line="360" w:lineRule="exact"/>
        <w:ind w:firstLine="482" w:firstLineChars="200"/>
        <w:outlineLvl w:val="0"/>
        <w:rPr>
          <w:rFonts w:hint="eastAsia" w:ascii="宋体" w:hAnsi="宋体" w:eastAsia="宋体" w:cs="宋体"/>
          <w:b/>
          <w:color w:val="auto"/>
          <w:sz w:val="24"/>
        </w:rPr>
      </w:pPr>
      <w:bookmarkStart w:id="937" w:name="_Toc26299"/>
      <w:bookmarkStart w:id="938" w:name="_Toc25358"/>
      <w:bookmarkStart w:id="939" w:name="_Toc30476"/>
      <w:bookmarkStart w:id="940" w:name="_Toc25844"/>
      <w:bookmarkStart w:id="941" w:name="_Toc14890"/>
      <w:bookmarkStart w:id="942" w:name="_Toc25710"/>
      <w:bookmarkStart w:id="943" w:name="_Toc14563"/>
      <w:bookmarkStart w:id="944" w:name="_Toc30958"/>
      <w:bookmarkStart w:id="945" w:name="_Toc30133"/>
      <w:bookmarkStart w:id="946" w:name="_Toc1125"/>
      <w:bookmarkStart w:id="947" w:name="_Toc23927"/>
      <w:bookmarkStart w:id="948" w:name="_Toc13150"/>
      <w:bookmarkStart w:id="949" w:name="_Toc4111"/>
      <w:bookmarkStart w:id="950" w:name="_Toc11658"/>
      <w:bookmarkStart w:id="951" w:name="_Toc6596"/>
      <w:bookmarkStart w:id="952" w:name="_Toc19755"/>
      <w:bookmarkStart w:id="953" w:name="_Toc20145"/>
      <w:bookmarkStart w:id="954" w:name="_Toc24731"/>
      <w:bookmarkStart w:id="955" w:name="_Toc20534"/>
      <w:r>
        <w:rPr>
          <w:rFonts w:hint="eastAsia" w:ascii="宋体" w:hAnsi="宋体" w:eastAsia="宋体" w:cs="宋体"/>
          <w:b/>
          <w:color w:val="auto"/>
          <w:sz w:val="24"/>
        </w:rPr>
        <w:t>2.17 检验和验收</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0E307974">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E0E19EF">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DC36D0">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831"/>
    <w:bookmarkEnd w:id="832"/>
    <w:bookmarkEnd w:id="833"/>
    <w:bookmarkEnd w:id="834"/>
    <w:p w14:paraId="39172759">
      <w:pPr>
        <w:spacing w:line="360" w:lineRule="exact"/>
        <w:ind w:firstLine="482" w:firstLineChars="200"/>
        <w:outlineLvl w:val="0"/>
        <w:rPr>
          <w:rFonts w:hint="eastAsia" w:ascii="宋体" w:hAnsi="宋体" w:eastAsia="宋体" w:cs="宋体"/>
          <w:b/>
          <w:color w:val="auto"/>
          <w:sz w:val="24"/>
        </w:rPr>
      </w:pPr>
      <w:bookmarkStart w:id="956" w:name="_Toc259093690"/>
      <w:bookmarkStart w:id="957" w:name="_Toc279701261"/>
      <w:bookmarkStart w:id="958" w:name="_Toc487900371"/>
      <w:bookmarkStart w:id="959" w:name="_Toc8096"/>
      <w:bookmarkStart w:id="960" w:name="_Toc19604"/>
      <w:bookmarkStart w:id="961" w:name="_Toc197"/>
      <w:bookmarkStart w:id="962" w:name="_Toc17270"/>
      <w:bookmarkStart w:id="963" w:name="_Toc31218"/>
      <w:bookmarkStart w:id="964" w:name="_Toc22021"/>
      <w:bookmarkStart w:id="965" w:name="_Toc25182"/>
      <w:bookmarkStart w:id="966" w:name="_Toc12493"/>
      <w:bookmarkStart w:id="967" w:name="_Toc9266"/>
      <w:bookmarkStart w:id="968" w:name="_Toc13220"/>
      <w:bookmarkStart w:id="969" w:name="_Toc18538"/>
      <w:bookmarkStart w:id="970" w:name="_Toc26892"/>
      <w:bookmarkStart w:id="971" w:name="_Toc14242"/>
      <w:bookmarkStart w:id="972" w:name="_Toc11284"/>
      <w:bookmarkStart w:id="973" w:name="_Toc26823"/>
      <w:bookmarkStart w:id="974" w:name="_Toc725"/>
      <w:bookmarkStart w:id="975" w:name="_Toc15037"/>
      <w:bookmarkStart w:id="976" w:name="_Toc27621"/>
      <w:bookmarkStart w:id="977" w:name="_Toc4983"/>
      <w:r>
        <w:rPr>
          <w:rFonts w:hint="eastAsia" w:ascii="宋体" w:hAnsi="宋体" w:eastAsia="宋体" w:cs="宋体"/>
          <w:b/>
          <w:color w:val="auto"/>
          <w:sz w:val="24"/>
        </w:rPr>
        <w:t>2.18 通知</w:t>
      </w:r>
      <w:bookmarkEnd w:id="956"/>
      <w:bookmarkEnd w:id="957"/>
      <w:bookmarkEnd w:id="958"/>
      <w:r>
        <w:rPr>
          <w:rFonts w:hint="eastAsia" w:ascii="宋体" w:hAnsi="宋体" w:eastAsia="宋体" w:cs="宋体"/>
          <w:b/>
          <w:color w:val="auto"/>
          <w:sz w:val="24"/>
        </w:rPr>
        <w:t>和送达</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50AA9093">
      <w:pPr>
        <w:spacing w:line="360" w:lineRule="exact"/>
        <w:ind w:firstLine="480" w:firstLineChars="200"/>
        <w:rPr>
          <w:rFonts w:hint="eastAsia" w:ascii="宋体" w:hAnsi="宋体" w:eastAsia="宋体" w:cs="宋体"/>
          <w:color w:val="auto"/>
          <w:sz w:val="24"/>
        </w:rPr>
      </w:pPr>
      <w:bookmarkStart w:id="978" w:name="_Toc6698"/>
      <w:bookmarkStart w:id="979" w:name="_Toc3135"/>
      <w:bookmarkStart w:id="980" w:name="_Toc259093691"/>
      <w:bookmarkStart w:id="981" w:name="_Toc279701262"/>
      <w:bookmarkStart w:id="982" w:name="_Toc48790037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978"/>
      <w:bookmarkEnd w:id="979"/>
    </w:p>
    <w:p w14:paraId="69F728D3">
      <w:pPr>
        <w:spacing w:line="360" w:lineRule="exact"/>
        <w:ind w:firstLine="480" w:firstLineChars="200"/>
        <w:rPr>
          <w:rFonts w:hint="eastAsia" w:ascii="宋体" w:hAnsi="宋体" w:eastAsia="宋体" w:cs="宋体"/>
          <w:color w:val="auto"/>
          <w:sz w:val="24"/>
        </w:rPr>
      </w:pPr>
      <w:bookmarkStart w:id="983" w:name="_Toc23128"/>
      <w:bookmarkStart w:id="984" w:name="_Toc23294"/>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83"/>
      <w:bookmarkEnd w:id="984"/>
    </w:p>
    <w:p w14:paraId="5162C17A">
      <w:pPr>
        <w:spacing w:line="360" w:lineRule="exact"/>
        <w:ind w:firstLine="482" w:firstLineChars="200"/>
        <w:outlineLvl w:val="0"/>
        <w:rPr>
          <w:rFonts w:hint="eastAsia" w:ascii="宋体" w:hAnsi="宋体" w:eastAsia="宋体" w:cs="宋体"/>
          <w:b/>
          <w:color w:val="auto"/>
          <w:sz w:val="24"/>
        </w:rPr>
      </w:pPr>
      <w:bookmarkStart w:id="985" w:name="_Toc11892"/>
      <w:bookmarkStart w:id="986" w:name="_Toc4241"/>
      <w:bookmarkStart w:id="987" w:name="_Toc9371"/>
      <w:bookmarkStart w:id="988" w:name="_Toc2623"/>
      <w:bookmarkStart w:id="989" w:name="_Toc21923"/>
      <w:bookmarkStart w:id="990" w:name="_Toc4747"/>
      <w:bookmarkStart w:id="991" w:name="_Toc20914"/>
      <w:bookmarkStart w:id="992" w:name="_Toc32268"/>
      <w:bookmarkStart w:id="993" w:name="_Toc20309"/>
      <w:bookmarkStart w:id="994" w:name="_Toc12721"/>
      <w:bookmarkStart w:id="995" w:name="_Toc31861"/>
      <w:bookmarkStart w:id="996" w:name="_Toc14810"/>
      <w:bookmarkStart w:id="997" w:name="_Toc19885"/>
      <w:bookmarkStart w:id="998" w:name="_Toc27038"/>
      <w:bookmarkStart w:id="999" w:name="_Toc7327"/>
      <w:bookmarkStart w:id="1000" w:name="_Toc29312"/>
      <w:r>
        <w:rPr>
          <w:rFonts w:hint="eastAsia" w:ascii="宋体" w:hAnsi="宋体" w:eastAsia="宋体" w:cs="宋体"/>
          <w:b/>
          <w:color w:val="auto"/>
          <w:sz w:val="24"/>
        </w:rPr>
        <w:t>2.19 计量单位</w:t>
      </w:r>
      <w:bookmarkEnd w:id="980"/>
      <w:bookmarkEnd w:id="981"/>
      <w:bookmarkEnd w:id="982"/>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5266E55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FDC6C40">
      <w:pPr>
        <w:spacing w:line="360" w:lineRule="exact"/>
        <w:ind w:firstLine="482" w:firstLineChars="200"/>
        <w:outlineLvl w:val="0"/>
        <w:rPr>
          <w:rFonts w:hint="eastAsia" w:ascii="宋体" w:hAnsi="宋体" w:eastAsia="宋体" w:cs="宋体"/>
          <w:b/>
          <w:color w:val="auto"/>
          <w:sz w:val="24"/>
        </w:rPr>
      </w:pPr>
      <w:bookmarkStart w:id="1001" w:name="_Toc18322"/>
      <w:bookmarkStart w:id="1002" w:name="_Toc15868"/>
      <w:bookmarkStart w:id="1003" w:name="_Toc10330"/>
      <w:bookmarkStart w:id="1004" w:name="_Toc20624"/>
      <w:bookmarkStart w:id="1005" w:name="_Toc19154"/>
      <w:bookmarkStart w:id="1006" w:name="_Toc13131"/>
      <w:bookmarkStart w:id="1007" w:name="_Toc17517"/>
      <w:bookmarkStart w:id="1008" w:name="_Toc487900373"/>
      <w:bookmarkStart w:id="1009" w:name="_Toc18634"/>
      <w:bookmarkStart w:id="1010" w:name="_Toc21095"/>
      <w:bookmarkStart w:id="1011" w:name="_Toc5796"/>
      <w:bookmarkStart w:id="1012" w:name="_Toc18567"/>
      <w:bookmarkStart w:id="1013" w:name="_Toc27589"/>
      <w:bookmarkStart w:id="1014" w:name="_Toc12773"/>
      <w:bookmarkStart w:id="1015" w:name="_Toc16880"/>
      <w:bookmarkStart w:id="1016" w:name="_Toc279701263"/>
      <w:bookmarkStart w:id="1017" w:name="_Toc15428"/>
      <w:bookmarkStart w:id="1018" w:name="_Toc9626"/>
      <w:bookmarkStart w:id="1019" w:name="_Toc259093692"/>
      <w:bookmarkStart w:id="1020" w:name="_Toc32583"/>
      <w:bookmarkStart w:id="1021" w:name="_Toc8800"/>
      <w:r>
        <w:rPr>
          <w:rFonts w:hint="eastAsia" w:ascii="宋体" w:hAnsi="宋体" w:eastAsia="宋体" w:cs="宋体"/>
          <w:b/>
          <w:color w:val="auto"/>
          <w:sz w:val="24"/>
        </w:rPr>
        <w:t>2.20 合同使用的文字和适用的法律</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568A73D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CFF66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5EFA6BE7">
      <w:pPr>
        <w:spacing w:line="360" w:lineRule="exact"/>
        <w:ind w:firstLine="482" w:firstLineChars="200"/>
        <w:outlineLvl w:val="0"/>
        <w:rPr>
          <w:rFonts w:hint="eastAsia" w:ascii="宋体" w:hAnsi="宋体" w:eastAsia="宋体" w:cs="宋体"/>
          <w:b/>
          <w:color w:val="auto"/>
          <w:sz w:val="24"/>
        </w:rPr>
      </w:pPr>
      <w:bookmarkStart w:id="1022" w:name="_Toc14964"/>
      <w:bookmarkStart w:id="1023" w:name="_Toc14308"/>
      <w:bookmarkStart w:id="1024" w:name="_Toc279701264"/>
      <w:bookmarkStart w:id="1025" w:name="_Toc11628"/>
      <w:bookmarkStart w:id="1026" w:name="_Toc1670"/>
      <w:bookmarkStart w:id="1027" w:name="_Toc26372"/>
      <w:bookmarkStart w:id="1028" w:name="_Toc538"/>
      <w:bookmarkStart w:id="1029" w:name="_Toc31790"/>
      <w:bookmarkStart w:id="1030" w:name="_Toc23680"/>
      <w:bookmarkStart w:id="1031" w:name="_Toc5000"/>
      <w:bookmarkStart w:id="1032" w:name="_Toc12004"/>
      <w:bookmarkStart w:id="1033" w:name="_Toc18845"/>
      <w:bookmarkStart w:id="1034" w:name="_Toc8022"/>
      <w:bookmarkStart w:id="1035" w:name="_Toc259093693"/>
      <w:bookmarkStart w:id="1036" w:name="_Toc15434"/>
      <w:bookmarkStart w:id="1037" w:name="_Toc32497"/>
      <w:bookmarkStart w:id="1038" w:name="_Toc25551"/>
      <w:bookmarkStart w:id="1039" w:name="_Toc3148"/>
      <w:bookmarkStart w:id="1040" w:name="_Toc8602"/>
      <w:bookmarkStart w:id="1041" w:name="_Toc16673"/>
      <w:bookmarkStart w:id="1042" w:name="_Toc487900374"/>
      <w:r>
        <w:rPr>
          <w:rFonts w:hint="eastAsia" w:ascii="宋体" w:hAnsi="宋体" w:eastAsia="宋体" w:cs="宋体"/>
          <w:b/>
          <w:color w:val="auto"/>
          <w:sz w:val="24"/>
        </w:rPr>
        <w:t>2.21 履约保证金</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57BBF3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295E705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14:paraId="1054937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42"/>
    <w:p w14:paraId="5171E930">
      <w:pPr>
        <w:spacing w:line="360" w:lineRule="exact"/>
        <w:ind w:firstLine="482" w:firstLineChars="200"/>
        <w:outlineLvl w:val="0"/>
        <w:rPr>
          <w:rFonts w:hint="eastAsia" w:ascii="宋体" w:hAnsi="宋体" w:eastAsia="宋体" w:cs="宋体"/>
          <w:b/>
          <w:color w:val="auto"/>
          <w:sz w:val="24"/>
        </w:rPr>
      </w:pPr>
      <w:bookmarkStart w:id="1043" w:name="_Toc24006"/>
      <w:bookmarkStart w:id="1044" w:name="_Toc30496"/>
      <w:bookmarkStart w:id="1045" w:name="_Toc22184"/>
      <w:bookmarkStart w:id="1046" w:name="_Toc27563"/>
      <w:bookmarkStart w:id="1047" w:name="_Toc15273"/>
      <w:bookmarkStart w:id="1048" w:name="_Toc25691"/>
      <w:bookmarkStart w:id="1049" w:name="_Toc6885"/>
      <w:bookmarkStart w:id="1050" w:name="_Toc10801"/>
      <w:bookmarkStart w:id="1051" w:name="_Toc2720"/>
      <w:bookmarkStart w:id="1052" w:name="_Toc8867"/>
      <w:bookmarkStart w:id="1053" w:name="_Toc30847"/>
      <w:bookmarkStart w:id="1054" w:name="_Toc14001"/>
      <w:bookmarkStart w:id="1055" w:name="_Toc22496"/>
      <w:bookmarkStart w:id="1056" w:name="_Toc19890"/>
      <w:bookmarkStart w:id="1057" w:name="_Toc8495"/>
      <w:bookmarkStart w:id="1058" w:name="_Toc32408"/>
      <w:bookmarkStart w:id="1059" w:name="_Toc22821"/>
      <w:bookmarkStart w:id="1060" w:name="_Toc5227"/>
      <w:bookmarkStart w:id="1061" w:name="_Toc11103"/>
      <w:r>
        <w:rPr>
          <w:rFonts w:hint="eastAsia" w:ascii="宋体" w:hAnsi="宋体" w:eastAsia="宋体" w:cs="宋体"/>
          <w:b/>
          <w:color w:val="auto"/>
          <w:sz w:val="24"/>
        </w:rPr>
        <w:t>2.22 合同份数</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33663B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338DA437">
      <w:pPr>
        <w:pStyle w:val="32"/>
        <w:spacing w:line="360" w:lineRule="exact"/>
        <w:ind w:firstLine="0"/>
        <w:jc w:val="center"/>
        <w:rPr>
          <w:rFonts w:hint="eastAsia" w:ascii="宋体" w:hAnsi="宋体" w:eastAsia="宋体" w:cs="宋体"/>
          <w:b/>
          <w:color w:val="auto"/>
          <w:szCs w:val="24"/>
        </w:rPr>
      </w:pPr>
    </w:p>
    <w:p w14:paraId="39B9D046">
      <w:pPr>
        <w:pStyle w:val="32"/>
        <w:spacing w:line="360" w:lineRule="exact"/>
        <w:ind w:firstLine="0"/>
        <w:jc w:val="center"/>
        <w:rPr>
          <w:rFonts w:hint="eastAsia" w:ascii="宋体" w:hAnsi="宋体" w:eastAsia="宋体" w:cs="宋体"/>
          <w:b/>
          <w:color w:val="auto"/>
          <w:szCs w:val="24"/>
        </w:rPr>
      </w:pPr>
    </w:p>
    <w:p w14:paraId="08D3F9A1">
      <w:pPr>
        <w:pStyle w:val="32"/>
        <w:spacing w:line="360" w:lineRule="exact"/>
        <w:ind w:firstLine="0"/>
        <w:jc w:val="center"/>
        <w:rPr>
          <w:rFonts w:hint="eastAsia" w:ascii="宋体" w:hAnsi="宋体" w:eastAsia="宋体" w:cs="宋体"/>
          <w:b/>
          <w:color w:val="auto"/>
          <w:szCs w:val="24"/>
        </w:rPr>
      </w:pPr>
    </w:p>
    <w:p w14:paraId="1BD211A6">
      <w:pPr>
        <w:pStyle w:val="32"/>
        <w:spacing w:line="360" w:lineRule="exact"/>
        <w:ind w:firstLine="0"/>
        <w:jc w:val="center"/>
        <w:rPr>
          <w:rFonts w:hint="eastAsia" w:ascii="宋体" w:hAnsi="宋体" w:eastAsia="宋体" w:cs="宋体"/>
          <w:b/>
          <w:color w:val="auto"/>
          <w:szCs w:val="24"/>
        </w:rPr>
      </w:pPr>
    </w:p>
    <w:p w14:paraId="3892CE80">
      <w:pPr>
        <w:pStyle w:val="32"/>
        <w:spacing w:line="360" w:lineRule="exact"/>
        <w:ind w:firstLine="0"/>
        <w:jc w:val="center"/>
        <w:rPr>
          <w:rFonts w:hint="eastAsia" w:ascii="宋体" w:hAnsi="宋体" w:eastAsia="宋体" w:cs="宋体"/>
          <w:b/>
          <w:color w:val="auto"/>
          <w:szCs w:val="24"/>
        </w:rPr>
      </w:pPr>
    </w:p>
    <w:p w14:paraId="6CB3E7C7">
      <w:pPr>
        <w:pStyle w:val="32"/>
        <w:spacing w:line="360" w:lineRule="exact"/>
        <w:ind w:firstLine="0"/>
        <w:jc w:val="center"/>
        <w:rPr>
          <w:rFonts w:hint="eastAsia" w:ascii="宋体" w:hAnsi="宋体" w:eastAsia="宋体" w:cs="宋体"/>
          <w:b/>
          <w:color w:val="auto"/>
          <w:szCs w:val="24"/>
        </w:rPr>
      </w:pPr>
    </w:p>
    <w:p w14:paraId="1353874E">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合同专用条款</w:t>
      </w:r>
    </w:p>
    <w:p w14:paraId="3230ED7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2C4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5229B1D">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14:paraId="2FE6109A">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39F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97CFFDC">
            <w:pPr>
              <w:spacing w:line="360" w:lineRule="exact"/>
              <w:rPr>
                <w:rFonts w:hint="eastAsia" w:ascii="宋体" w:hAnsi="宋体" w:eastAsia="宋体" w:cs="宋体"/>
                <w:color w:val="auto"/>
                <w:sz w:val="24"/>
              </w:rPr>
            </w:pPr>
          </w:p>
        </w:tc>
        <w:tc>
          <w:tcPr>
            <w:tcW w:w="7633" w:type="dxa"/>
            <w:noWrap w:val="0"/>
            <w:vAlign w:val="center"/>
          </w:tcPr>
          <w:p w14:paraId="17DB713D">
            <w:pPr>
              <w:spacing w:line="360" w:lineRule="exact"/>
              <w:rPr>
                <w:rFonts w:hint="eastAsia" w:ascii="宋体" w:hAnsi="宋体" w:eastAsia="宋体" w:cs="宋体"/>
                <w:color w:val="auto"/>
                <w:sz w:val="24"/>
              </w:rPr>
            </w:pPr>
          </w:p>
        </w:tc>
      </w:tr>
      <w:tr w14:paraId="4D08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1B2CBF">
            <w:pPr>
              <w:spacing w:line="360" w:lineRule="exact"/>
              <w:rPr>
                <w:rFonts w:hint="eastAsia" w:ascii="宋体" w:hAnsi="宋体" w:eastAsia="宋体" w:cs="宋体"/>
                <w:color w:val="auto"/>
                <w:sz w:val="24"/>
              </w:rPr>
            </w:pPr>
          </w:p>
        </w:tc>
        <w:tc>
          <w:tcPr>
            <w:tcW w:w="7633" w:type="dxa"/>
            <w:noWrap w:val="0"/>
            <w:vAlign w:val="center"/>
          </w:tcPr>
          <w:p w14:paraId="2C4841EF">
            <w:pPr>
              <w:spacing w:line="360" w:lineRule="exact"/>
              <w:rPr>
                <w:rFonts w:hint="eastAsia" w:ascii="宋体" w:hAnsi="宋体" w:eastAsia="宋体" w:cs="宋体"/>
                <w:color w:val="auto"/>
                <w:sz w:val="24"/>
              </w:rPr>
            </w:pPr>
          </w:p>
        </w:tc>
      </w:tr>
      <w:tr w14:paraId="5438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98A314">
            <w:pPr>
              <w:spacing w:line="360" w:lineRule="exact"/>
              <w:rPr>
                <w:rFonts w:hint="eastAsia" w:ascii="宋体" w:hAnsi="宋体" w:eastAsia="宋体" w:cs="宋体"/>
                <w:color w:val="auto"/>
                <w:sz w:val="24"/>
              </w:rPr>
            </w:pPr>
          </w:p>
        </w:tc>
        <w:tc>
          <w:tcPr>
            <w:tcW w:w="7633" w:type="dxa"/>
            <w:noWrap w:val="0"/>
            <w:vAlign w:val="center"/>
          </w:tcPr>
          <w:p w14:paraId="7863ACCB">
            <w:pPr>
              <w:spacing w:line="360" w:lineRule="exact"/>
              <w:rPr>
                <w:rFonts w:hint="eastAsia" w:ascii="宋体" w:hAnsi="宋体" w:eastAsia="宋体" w:cs="宋体"/>
                <w:color w:val="auto"/>
                <w:sz w:val="24"/>
              </w:rPr>
            </w:pPr>
          </w:p>
        </w:tc>
      </w:tr>
      <w:tr w14:paraId="09DE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C3313B">
            <w:pPr>
              <w:spacing w:line="360" w:lineRule="exact"/>
              <w:rPr>
                <w:rFonts w:hint="eastAsia" w:ascii="宋体" w:hAnsi="宋体" w:eastAsia="宋体" w:cs="宋体"/>
                <w:color w:val="auto"/>
                <w:sz w:val="24"/>
              </w:rPr>
            </w:pPr>
          </w:p>
        </w:tc>
        <w:tc>
          <w:tcPr>
            <w:tcW w:w="7633" w:type="dxa"/>
            <w:noWrap w:val="0"/>
            <w:vAlign w:val="center"/>
          </w:tcPr>
          <w:p w14:paraId="0267B4B9">
            <w:pPr>
              <w:spacing w:line="360" w:lineRule="exact"/>
              <w:rPr>
                <w:rFonts w:hint="eastAsia" w:ascii="宋体" w:hAnsi="宋体" w:eastAsia="宋体" w:cs="宋体"/>
                <w:color w:val="auto"/>
                <w:sz w:val="24"/>
              </w:rPr>
            </w:pPr>
          </w:p>
        </w:tc>
      </w:tr>
      <w:tr w14:paraId="633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C51A93">
            <w:pPr>
              <w:spacing w:line="360" w:lineRule="exact"/>
              <w:rPr>
                <w:rFonts w:hint="eastAsia" w:ascii="宋体" w:hAnsi="宋体" w:eastAsia="宋体" w:cs="宋体"/>
                <w:color w:val="auto"/>
                <w:sz w:val="24"/>
              </w:rPr>
            </w:pPr>
          </w:p>
        </w:tc>
        <w:tc>
          <w:tcPr>
            <w:tcW w:w="7633" w:type="dxa"/>
            <w:noWrap w:val="0"/>
            <w:vAlign w:val="center"/>
          </w:tcPr>
          <w:p w14:paraId="1241B63F">
            <w:pPr>
              <w:spacing w:line="360" w:lineRule="exact"/>
              <w:rPr>
                <w:rFonts w:hint="eastAsia" w:ascii="宋体" w:hAnsi="宋体" w:eastAsia="宋体" w:cs="宋体"/>
                <w:color w:val="auto"/>
                <w:sz w:val="24"/>
                <w:u w:val="single"/>
              </w:rPr>
            </w:pPr>
          </w:p>
        </w:tc>
      </w:tr>
      <w:tr w14:paraId="318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97EF95">
            <w:pPr>
              <w:spacing w:line="360" w:lineRule="exact"/>
              <w:rPr>
                <w:rFonts w:hint="eastAsia" w:ascii="宋体" w:hAnsi="宋体" w:eastAsia="宋体" w:cs="宋体"/>
                <w:color w:val="auto"/>
                <w:sz w:val="24"/>
              </w:rPr>
            </w:pPr>
          </w:p>
        </w:tc>
        <w:tc>
          <w:tcPr>
            <w:tcW w:w="7633" w:type="dxa"/>
            <w:noWrap w:val="0"/>
            <w:vAlign w:val="center"/>
          </w:tcPr>
          <w:p w14:paraId="3AC7B602">
            <w:pPr>
              <w:spacing w:line="360" w:lineRule="exact"/>
              <w:rPr>
                <w:rFonts w:hint="eastAsia" w:ascii="宋体" w:hAnsi="宋体" w:eastAsia="宋体" w:cs="宋体"/>
                <w:color w:val="auto"/>
                <w:sz w:val="24"/>
              </w:rPr>
            </w:pPr>
          </w:p>
        </w:tc>
      </w:tr>
      <w:tr w14:paraId="7CB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DDDA09B">
            <w:pPr>
              <w:spacing w:line="360" w:lineRule="exact"/>
              <w:rPr>
                <w:rFonts w:hint="eastAsia" w:ascii="宋体" w:hAnsi="宋体" w:eastAsia="宋体" w:cs="宋体"/>
                <w:color w:val="auto"/>
                <w:sz w:val="24"/>
              </w:rPr>
            </w:pPr>
          </w:p>
        </w:tc>
        <w:tc>
          <w:tcPr>
            <w:tcW w:w="7633" w:type="dxa"/>
            <w:noWrap w:val="0"/>
            <w:vAlign w:val="center"/>
          </w:tcPr>
          <w:p w14:paraId="2636B7BA">
            <w:pPr>
              <w:spacing w:line="360" w:lineRule="exact"/>
              <w:rPr>
                <w:rFonts w:hint="eastAsia" w:ascii="宋体" w:hAnsi="宋体" w:eastAsia="宋体" w:cs="宋体"/>
                <w:color w:val="auto"/>
                <w:sz w:val="24"/>
                <w:u w:val="single"/>
              </w:rPr>
            </w:pPr>
          </w:p>
        </w:tc>
      </w:tr>
      <w:tr w14:paraId="0747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6083A9">
            <w:pPr>
              <w:spacing w:line="360" w:lineRule="exact"/>
              <w:rPr>
                <w:rFonts w:hint="eastAsia" w:ascii="宋体" w:hAnsi="宋体" w:eastAsia="宋体" w:cs="宋体"/>
                <w:color w:val="auto"/>
                <w:sz w:val="24"/>
              </w:rPr>
            </w:pPr>
          </w:p>
        </w:tc>
        <w:tc>
          <w:tcPr>
            <w:tcW w:w="7633" w:type="dxa"/>
            <w:noWrap w:val="0"/>
            <w:vAlign w:val="center"/>
          </w:tcPr>
          <w:p w14:paraId="72287973">
            <w:pPr>
              <w:spacing w:line="360" w:lineRule="exact"/>
              <w:rPr>
                <w:rFonts w:hint="eastAsia" w:ascii="宋体" w:hAnsi="宋体" w:eastAsia="宋体" w:cs="宋体"/>
                <w:color w:val="auto"/>
                <w:sz w:val="24"/>
              </w:rPr>
            </w:pPr>
          </w:p>
        </w:tc>
      </w:tr>
      <w:tr w14:paraId="072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854C6D">
            <w:pPr>
              <w:spacing w:line="360" w:lineRule="exact"/>
              <w:rPr>
                <w:rFonts w:hint="eastAsia" w:ascii="宋体" w:hAnsi="宋体" w:eastAsia="宋体" w:cs="宋体"/>
                <w:color w:val="auto"/>
                <w:sz w:val="24"/>
              </w:rPr>
            </w:pPr>
          </w:p>
        </w:tc>
        <w:tc>
          <w:tcPr>
            <w:tcW w:w="7633" w:type="dxa"/>
            <w:noWrap w:val="0"/>
            <w:vAlign w:val="center"/>
          </w:tcPr>
          <w:p w14:paraId="736C271A">
            <w:pPr>
              <w:spacing w:line="360" w:lineRule="exact"/>
              <w:rPr>
                <w:rFonts w:hint="eastAsia" w:ascii="宋体" w:hAnsi="宋体" w:eastAsia="宋体" w:cs="宋体"/>
                <w:color w:val="auto"/>
                <w:sz w:val="24"/>
              </w:rPr>
            </w:pPr>
          </w:p>
        </w:tc>
      </w:tr>
    </w:tbl>
    <w:p w14:paraId="7BD12D38">
      <w:pPr>
        <w:pStyle w:val="7"/>
        <w:spacing w:line="360" w:lineRule="exact"/>
        <w:ind w:firstLine="0"/>
        <w:rPr>
          <w:rFonts w:hint="eastAsia" w:ascii="宋体" w:hAnsi="宋体" w:eastAsia="宋体" w:cs="宋体"/>
          <w:color w:val="auto"/>
          <w:sz w:val="28"/>
        </w:rPr>
      </w:pPr>
      <w:r>
        <w:rPr>
          <w:rFonts w:hint="eastAsia" w:ascii="宋体" w:hAnsi="宋体" w:eastAsia="宋体" w:cs="宋体"/>
          <w:color w:val="auto"/>
          <w:sz w:val="28"/>
        </w:rPr>
        <w:t xml:space="preserve"> </w:t>
      </w:r>
    </w:p>
    <w:p w14:paraId="4CD252CC">
      <w:pPr>
        <w:rPr>
          <w:rFonts w:hint="eastAsia" w:ascii="宋体" w:hAnsi="宋体" w:eastAsia="宋体" w:cs="宋体"/>
          <w:color w:val="auto"/>
        </w:rPr>
      </w:pPr>
    </w:p>
    <w:p w14:paraId="3EF27CFE">
      <w:pPr>
        <w:pStyle w:val="7"/>
        <w:spacing w:line="240" w:lineRule="atLeast"/>
        <w:ind w:firstLine="0"/>
        <w:rPr>
          <w:rFonts w:hint="eastAsia" w:ascii="宋体" w:hAnsi="宋体" w:eastAsia="宋体" w:cs="宋体"/>
          <w:color w:val="auto"/>
          <w:sz w:val="28"/>
        </w:rPr>
      </w:pPr>
    </w:p>
    <w:p w14:paraId="7259161C">
      <w:pPr>
        <w:rPr>
          <w:rFonts w:hint="eastAsia" w:ascii="宋体" w:hAnsi="宋体" w:eastAsia="宋体" w:cs="宋体"/>
          <w:color w:val="auto"/>
        </w:rPr>
      </w:pPr>
    </w:p>
    <w:p w14:paraId="53C5E83D"/>
    <w:p w14:paraId="6DF7CDBA">
      <w:pPr>
        <w:pStyle w:val="7"/>
        <w:spacing w:line="360" w:lineRule="auto"/>
        <w:ind w:left="1080" w:leftChars="257" w:hanging="540"/>
        <w:rPr>
          <w:rFonts w:hint="eastAsia" w:ascii="微软雅黑" w:hAnsi="微软雅黑" w:eastAsia="微软雅黑" w:cs="微软雅黑"/>
          <w:color w:val="auto"/>
          <w:sz w:val="28"/>
          <w:highlight w:val="none"/>
        </w:rPr>
      </w:pPr>
    </w:p>
    <w:p w14:paraId="1C258D1F">
      <w:pPr>
        <w:rPr>
          <w:rFonts w:hint="eastAsia" w:ascii="微软雅黑" w:hAnsi="微软雅黑" w:eastAsia="微软雅黑" w:cs="微软雅黑"/>
          <w:color w:val="auto"/>
          <w:sz w:val="28"/>
          <w:highlight w:val="none"/>
        </w:rPr>
      </w:pPr>
    </w:p>
    <w:p w14:paraId="212390C6">
      <w:pPr>
        <w:rPr>
          <w:rFonts w:hint="eastAsia" w:ascii="微软雅黑" w:hAnsi="微软雅黑" w:eastAsia="微软雅黑" w:cs="微软雅黑"/>
          <w:color w:val="auto"/>
          <w:sz w:val="28"/>
          <w:highlight w:val="none"/>
        </w:rPr>
      </w:pPr>
    </w:p>
    <w:p w14:paraId="7DCC0E1C">
      <w:pPr>
        <w:rPr>
          <w:rFonts w:hint="eastAsia" w:ascii="微软雅黑" w:hAnsi="微软雅黑" w:eastAsia="微软雅黑" w:cs="微软雅黑"/>
          <w:color w:val="auto"/>
          <w:sz w:val="28"/>
          <w:highlight w:val="none"/>
        </w:rPr>
      </w:pPr>
    </w:p>
    <w:p w14:paraId="6DBB8C3A">
      <w:pPr>
        <w:rPr>
          <w:rFonts w:hint="eastAsia" w:ascii="微软雅黑" w:hAnsi="微软雅黑" w:eastAsia="微软雅黑" w:cs="微软雅黑"/>
          <w:color w:val="auto"/>
          <w:sz w:val="28"/>
          <w:highlight w:val="none"/>
        </w:rPr>
      </w:pPr>
    </w:p>
    <w:p w14:paraId="6FF86736">
      <w:pPr>
        <w:rPr>
          <w:rFonts w:hint="eastAsia" w:ascii="微软雅黑" w:hAnsi="微软雅黑" w:eastAsia="微软雅黑" w:cs="微软雅黑"/>
          <w:color w:val="auto"/>
          <w:sz w:val="28"/>
          <w:highlight w:val="none"/>
        </w:rPr>
      </w:pPr>
    </w:p>
    <w:p w14:paraId="421EB343">
      <w:pPr>
        <w:rPr>
          <w:rFonts w:hint="eastAsia" w:ascii="微软雅黑" w:hAnsi="微软雅黑" w:eastAsia="微软雅黑" w:cs="微软雅黑"/>
          <w:color w:val="auto"/>
          <w:sz w:val="28"/>
          <w:highlight w:val="none"/>
        </w:rPr>
      </w:pPr>
    </w:p>
    <w:p w14:paraId="2277D3EE">
      <w:pPr>
        <w:rPr>
          <w:rFonts w:hint="eastAsia" w:ascii="微软雅黑" w:hAnsi="微软雅黑" w:eastAsia="微软雅黑" w:cs="微软雅黑"/>
          <w:color w:val="auto"/>
          <w:sz w:val="28"/>
          <w:highlight w:val="none"/>
        </w:rPr>
      </w:pPr>
    </w:p>
    <w:p w14:paraId="17602620">
      <w:pPr>
        <w:rPr>
          <w:rFonts w:hint="eastAsia" w:ascii="微软雅黑" w:hAnsi="微软雅黑" w:eastAsia="微软雅黑" w:cs="微软雅黑"/>
          <w:color w:val="auto"/>
          <w:sz w:val="28"/>
          <w:highlight w:val="none"/>
        </w:rPr>
      </w:pPr>
    </w:p>
    <w:p w14:paraId="55C02CF5">
      <w:pPr>
        <w:spacing w:line="360" w:lineRule="auto"/>
        <w:ind w:left="-567" w:leftChars="-270" w:firstLine="540"/>
        <w:jc w:val="center"/>
        <w:rPr>
          <w:rFonts w:hint="eastAsia" w:ascii="微软雅黑" w:hAnsi="微软雅黑" w:eastAsia="微软雅黑" w:cs="微软雅黑"/>
          <w:color w:val="auto"/>
          <w:kern w:val="44"/>
          <w:sz w:val="24"/>
          <w:szCs w:val="24"/>
          <w:highlight w:val="none"/>
        </w:rPr>
      </w:pPr>
      <w:r>
        <w:rPr>
          <w:rFonts w:hint="eastAsia" w:ascii="微软雅黑" w:hAnsi="微软雅黑" w:eastAsia="微软雅黑" w:cs="微软雅黑"/>
          <w:color w:val="auto"/>
          <w:kern w:val="44"/>
          <w:sz w:val="24"/>
          <w:szCs w:val="24"/>
          <w:highlight w:val="none"/>
        </w:rPr>
        <w:t>请参照服务类政府采购合同参考范本订立采购合同。</w:t>
      </w:r>
    </w:p>
    <w:p w14:paraId="48AC74A1">
      <w:pPr>
        <w:spacing w:line="360" w:lineRule="auto"/>
        <w:rPr>
          <w:rFonts w:hint="eastAsia" w:ascii="微软雅黑" w:hAnsi="微软雅黑" w:eastAsia="微软雅黑" w:cs="微软雅黑"/>
          <w:color w:val="auto"/>
          <w:sz w:val="24"/>
          <w:szCs w:val="24"/>
          <w:highlight w:val="none"/>
        </w:rPr>
      </w:pPr>
    </w:p>
    <w:p w14:paraId="25CD85A1">
      <w:pPr>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合同编号：</w:t>
      </w:r>
    </w:p>
    <w:p w14:paraId="73629EF8">
      <w:pPr>
        <w:spacing w:line="360" w:lineRule="auto"/>
        <w:rPr>
          <w:rFonts w:hint="eastAsia" w:ascii="微软雅黑" w:hAnsi="微软雅黑" w:eastAsia="微软雅黑" w:cs="微软雅黑"/>
          <w:b/>
          <w:bCs/>
          <w:color w:val="auto"/>
          <w:sz w:val="24"/>
          <w:szCs w:val="24"/>
          <w:highlight w:val="none"/>
        </w:rPr>
      </w:pPr>
    </w:p>
    <w:p w14:paraId="63364B73">
      <w:pPr>
        <w:pStyle w:val="32"/>
        <w:spacing w:line="360" w:lineRule="auto"/>
        <w:ind w:firstLine="0"/>
        <w:rPr>
          <w:rFonts w:hint="eastAsia" w:ascii="微软雅黑" w:hAnsi="微软雅黑" w:eastAsia="微软雅黑" w:cs="微软雅黑"/>
          <w:color w:val="auto"/>
          <w:sz w:val="24"/>
          <w:szCs w:val="24"/>
          <w:highlight w:val="none"/>
        </w:rPr>
      </w:pPr>
    </w:p>
    <w:p w14:paraId="2028DF63">
      <w:pPr>
        <w:bidi w:val="0"/>
        <w:jc w:val="center"/>
        <w:outlineLvl w:val="9"/>
        <w:rPr>
          <w:rFonts w:hint="eastAsia" w:ascii="微软雅黑" w:hAnsi="微软雅黑" w:eastAsia="微软雅黑" w:cs="微软雅黑"/>
          <w:color w:val="auto"/>
          <w:sz w:val="24"/>
          <w:szCs w:val="24"/>
          <w:highlight w:val="none"/>
        </w:rPr>
      </w:pPr>
      <w:bookmarkStart w:id="1062" w:name="_Toc24382"/>
      <w:bookmarkStart w:id="1063" w:name="_Toc13913"/>
      <w:bookmarkStart w:id="1064" w:name="_Toc15367"/>
      <w:bookmarkStart w:id="1065" w:name="_Toc20421"/>
      <w:bookmarkStart w:id="1066" w:name="_Toc22967"/>
      <w:bookmarkStart w:id="1067" w:name="_Toc19273"/>
      <w:bookmarkStart w:id="1068" w:name="_Toc28855"/>
      <w:bookmarkStart w:id="1069" w:name="_Toc17104"/>
      <w:bookmarkStart w:id="1070" w:name="_Toc10692"/>
      <w:bookmarkStart w:id="1071" w:name="_Toc15512"/>
      <w:bookmarkStart w:id="1072" w:name="_Toc16315"/>
      <w:r>
        <w:rPr>
          <w:rFonts w:hint="eastAsia" w:ascii="微软雅黑" w:hAnsi="微软雅黑" w:eastAsia="微软雅黑" w:cs="微软雅黑"/>
          <w:color w:val="auto"/>
          <w:sz w:val="24"/>
          <w:szCs w:val="24"/>
          <w:highlight w:val="none"/>
        </w:rPr>
        <w:t>政府采购合同参考范本</w:t>
      </w:r>
    </w:p>
    <w:p w14:paraId="7F03A2B8">
      <w:pPr>
        <w:spacing w:line="440" w:lineRule="exact"/>
        <w:jc w:val="center"/>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类）</w:t>
      </w:r>
    </w:p>
    <w:p w14:paraId="69039339">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23E52478">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3739AF1">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B11BA80">
      <w:pPr>
        <w:pStyle w:val="32"/>
        <w:spacing w:line="440" w:lineRule="exact"/>
        <w:ind w:firstLine="0"/>
        <w:jc w:val="center"/>
        <w:outlineLvl w:val="9"/>
        <w:rPr>
          <w:rFonts w:hint="eastAsia" w:ascii="微软雅黑" w:hAnsi="微软雅黑" w:eastAsia="微软雅黑" w:cs="微软雅黑"/>
          <w:bCs/>
          <w:color w:val="auto"/>
          <w:sz w:val="24"/>
          <w:szCs w:val="24"/>
          <w:highlight w:val="none"/>
        </w:rPr>
      </w:pPr>
      <w:bookmarkStart w:id="1073" w:name="_Toc28080"/>
      <w:bookmarkStart w:id="1074" w:name="_Toc27047"/>
      <w:bookmarkStart w:id="1075" w:name="_Toc11486"/>
      <w:bookmarkStart w:id="1076" w:name="_Toc7744"/>
      <w:bookmarkStart w:id="1077" w:name="_Toc8287"/>
      <w:bookmarkStart w:id="1078" w:name="_Toc1883"/>
      <w:bookmarkStart w:id="1079" w:name="_Toc9999_WPSOffice_Level1"/>
      <w:bookmarkStart w:id="1080" w:name="_Toc24835"/>
      <w:bookmarkStart w:id="1081" w:name="_Toc29931"/>
      <w:bookmarkStart w:id="1082" w:name="_Toc9584"/>
      <w:bookmarkStart w:id="1083" w:name="_Toc19601"/>
      <w:bookmarkStart w:id="1084" w:name="_Toc21441"/>
      <w:bookmarkStart w:id="1085" w:name="_Toc32281_WPSOffice_Level1"/>
      <w:bookmarkStart w:id="1086" w:name="_Toc6560_WPSOffice_Level1"/>
      <w:r>
        <w:rPr>
          <w:rFonts w:hint="eastAsia" w:ascii="微软雅黑" w:hAnsi="微软雅黑" w:eastAsia="微软雅黑" w:cs="微软雅黑"/>
          <w:bCs/>
          <w:color w:val="auto"/>
          <w:sz w:val="24"/>
          <w:szCs w:val="24"/>
          <w:highlight w:val="none"/>
        </w:rPr>
        <w:t>第一部分合同书</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1B2A4523">
      <w:pPr>
        <w:spacing w:before="120" w:line="440" w:lineRule="exact"/>
        <w:outlineLvl w:val="9"/>
        <w:rPr>
          <w:rFonts w:hint="eastAsia" w:ascii="微软雅黑" w:hAnsi="微软雅黑" w:eastAsia="微软雅黑" w:cs="微软雅黑"/>
          <w:bCs/>
          <w:color w:val="auto"/>
          <w:sz w:val="24"/>
          <w:szCs w:val="24"/>
          <w:highlight w:val="none"/>
        </w:rPr>
      </w:pPr>
    </w:p>
    <w:p w14:paraId="2FABDBAE">
      <w:pPr>
        <w:spacing w:before="120" w:line="440" w:lineRule="exact"/>
        <w:ind w:left="96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项目名称：</w:t>
      </w:r>
    </w:p>
    <w:p w14:paraId="4E79BC65">
      <w:pPr>
        <w:spacing w:line="440" w:lineRule="exact"/>
        <w:outlineLvl w:val="9"/>
        <w:rPr>
          <w:rFonts w:hint="eastAsia" w:ascii="微软雅黑" w:hAnsi="微软雅黑" w:eastAsia="微软雅黑" w:cs="微软雅黑"/>
          <w:bCs/>
          <w:color w:val="auto"/>
          <w:sz w:val="24"/>
          <w:szCs w:val="24"/>
          <w:highlight w:val="none"/>
        </w:rPr>
      </w:pPr>
    </w:p>
    <w:p w14:paraId="4AA579A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甲方：</w:t>
      </w:r>
    </w:p>
    <w:p w14:paraId="3FEABB12">
      <w:pPr>
        <w:spacing w:before="120" w:line="440" w:lineRule="exact"/>
        <w:outlineLvl w:val="9"/>
        <w:rPr>
          <w:rFonts w:hint="eastAsia" w:ascii="微软雅黑" w:hAnsi="微软雅黑" w:eastAsia="微软雅黑" w:cs="微软雅黑"/>
          <w:bCs/>
          <w:color w:val="auto"/>
          <w:sz w:val="24"/>
          <w:szCs w:val="24"/>
          <w:highlight w:val="none"/>
        </w:rPr>
      </w:pPr>
    </w:p>
    <w:p w14:paraId="415E6A4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乙方：</w:t>
      </w:r>
    </w:p>
    <w:p w14:paraId="29F1CF08">
      <w:pPr>
        <w:spacing w:before="120" w:line="440" w:lineRule="exact"/>
        <w:outlineLvl w:val="9"/>
        <w:rPr>
          <w:rFonts w:hint="eastAsia" w:ascii="微软雅黑" w:hAnsi="微软雅黑" w:eastAsia="微软雅黑" w:cs="微软雅黑"/>
          <w:bCs/>
          <w:color w:val="auto"/>
          <w:sz w:val="24"/>
          <w:szCs w:val="24"/>
          <w:highlight w:val="none"/>
        </w:rPr>
      </w:pPr>
    </w:p>
    <w:p w14:paraId="3C513055">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签订地：</w:t>
      </w:r>
    </w:p>
    <w:p w14:paraId="013E7901">
      <w:pPr>
        <w:spacing w:before="120" w:line="440" w:lineRule="exact"/>
        <w:outlineLvl w:val="9"/>
        <w:rPr>
          <w:rFonts w:hint="eastAsia" w:ascii="微软雅黑" w:hAnsi="微软雅黑" w:eastAsia="微软雅黑" w:cs="微软雅黑"/>
          <w:bCs/>
          <w:color w:val="auto"/>
          <w:sz w:val="24"/>
          <w:szCs w:val="24"/>
          <w:highlight w:val="none"/>
        </w:rPr>
      </w:pPr>
    </w:p>
    <w:p w14:paraId="00E6092D">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签订日期：年月日</w:t>
      </w:r>
    </w:p>
    <w:p w14:paraId="3BB3750B">
      <w:pPr>
        <w:autoSpaceDE w:val="0"/>
        <w:autoSpaceDN w:val="0"/>
        <w:adjustRightInd w:val="0"/>
        <w:spacing w:line="440" w:lineRule="exact"/>
        <w:ind w:firstLine="640"/>
        <w:jc w:val="center"/>
        <w:outlineLvl w:val="9"/>
        <w:rPr>
          <w:rFonts w:hint="eastAsia" w:ascii="微软雅黑" w:hAnsi="微软雅黑" w:eastAsia="微软雅黑" w:cs="微软雅黑"/>
          <w:bCs/>
          <w:color w:val="auto"/>
          <w:sz w:val="24"/>
          <w:szCs w:val="24"/>
          <w:highlight w:val="none"/>
        </w:rPr>
        <w:sectPr>
          <w:pgSz w:w="11907" w:h="16840"/>
          <w:pgMar w:top="1474" w:right="1814" w:bottom="1474" w:left="1814" w:header="851" w:footer="851" w:gutter="0"/>
          <w:pgNumType w:fmt="decimal" w:start="1"/>
          <w:cols w:space="720" w:num="1"/>
          <w:docGrid w:linePitch="462" w:charSpace="0"/>
        </w:sectPr>
      </w:pPr>
    </w:p>
    <w:p w14:paraId="5B15EC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年月日</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rPr>
        <w:t>以</w:t>
      </w:r>
      <w:r>
        <w:rPr>
          <w:rFonts w:hint="eastAsia" w:ascii="微软雅黑" w:hAnsi="微软雅黑" w:eastAsia="微软雅黑" w:cs="微软雅黑"/>
          <w:bCs/>
          <w:color w:val="auto"/>
          <w:sz w:val="24"/>
          <w:szCs w:val="24"/>
          <w:highlight w:val="none"/>
          <w:u w:val="single"/>
        </w:rPr>
        <w:t>（政府采购方式）</w:t>
      </w:r>
      <w:r>
        <w:rPr>
          <w:rFonts w:hint="eastAsia" w:ascii="微软雅黑" w:hAnsi="微软雅黑" w:eastAsia="微软雅黑" w:cs="微软雅黑"/>
          <w:bCs/>
          <w:color w:val="auto"/>
          <w:sz w:val="24"/>
          <w:szCs w:val="24"/>
          <w:highlight w:val="none"/>
        </w:rPr>
        <w:t>对</w:t>
      </w:r>
      <w:r>
        <w:rPr>
          <w:rFonts w:hint="eastAsia" w:ascii="微软雅黑" w:hAnsi="微软雅黑" w:eastAsia="微软雅黑" w:cs="微软雅黑"/>
          <w:bCs/>
          <w:color w:val="auto"/>
          <w:sz w:val="24"/>
          <w:szCs w:val="24"/>
          <w:highlight w:val="none"/>
          <w:u w:val="single"/>
        </w:rPr>
        <w:t>（同前页项目名称）</w:t>
      </w:r>
      <w:r>
        <w:rPr>
          <w:rFonts w:hint="eastAsia" w:ascii="微软雅黑" w:hAnsi="微软雅黑" w:eastAsia="微软雅黑" w:cs="微软雅黑"/>
          <w:bCs/>
          <w:color w:val="auto"/>
          <w:sz w:val="24"/>
          <w:szCs w:val="24"/>
          <w:highlight w:val="none"/>
        </w:rPr>
        <w:t>项目进行了采购。经</w:t>
      </w:r>
      <w:r>
        <w:rPr>
          <w:rFonts w:hint="eastAsia" w:ascii="微软雅黑" w:hAnsi="微软雅黑" w:eastAsia="微软雅黑" w:cs="微软雅黑"/>
          <w:bCs/>
          <w:color w:val="auto"/>
          <w:sz w:val="24"/>
          <w:szCs w:val="24"/>
          <w:highlight w:val="none"/>
          <w:u w:val="single"/>
        </w:rPr>
        <w:t>（相关评定主体名称）</w:t>
      </w:r>
      <w:r>
        <w:rPr>
          <w:rFonts w:hint="eastAsia" w:ascii="微软雅黑" w:hAnsi="微软雅黑" w:eastAsia="微软雅黑" w:cs="微软雅黑"/>
          <w:bCs/>
          <w:color w:val="auto"/>
          <w:sz w:val="24"/>
          <w:szCs w:val="24"/>
          <w:highlight w:val="none"/>
        </w:rPr>
        <w:t>评定，</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rPr>
        <w:t>为该项目成交供应商。现于成交通知书发出之日起三十日内，按照采购文件确定的事项签订本合同。</w:t>
      </w:r>
    </w:p>
    <w:p w14:paraId="48D3080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lang w:val="zh-CN"/>
        </w:rPr>
        <w:t>(以下简称：甲方)和</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lang w:val="zh-CN"/>
        </w:rPr>
        <w:t>(以下简称：乙方)协商一致，约定以下合同</w:t>
      </w:r>
      <w:r>
        <w:rPr>
          <w:rFonts w:hint="eastAsia" w:ascii="微软雅黑" w:hAnsi="微软雅黑" w:eastAsia="微软雅黑" w:cs="微软雅黑"/>
          <w:bCs/>
          <w:color w:val="auto"/>
          <w:sz w:val="24"/>
          <w:szCs w:val="24"/>
          <w:highlight w:val="none"/>
        </w:rPr>
        <w:t>条款，以兹共同遵守、全面履行。</w:t>
      </w:r>
    </w:p>
    <w:p w14:paraId="5FD65D02">
      <w:pPr>
        <w:spacing w:line="360" w:lineRule="auto"/>
        <w:ind w:firstLine="480" w:firstLineChars="200"/>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1.1合同组成部分</w:t>
      </w:r>
      <w:bookmarkEnd w:id="1062"/>
      <w:bookmarkEnd w:id="1063"/>
      <w:bookmarkEnd w:id="1064"/>
      <w:bookmarkEnd w:id="1065"/>
      <w:bookmarkEnd w:id="1066"/>
      <w:bookmarkEnd w:id="1067"/>
      <w:bookmarkEnd w:id="1068"/>
      <w:bookmarkEnd w:id="1069"/>
      <w:bookmarkEnd w:id="1070"/>
      <w:bookmarkEnd w:id="1071"/>
      <w:bookmarkEnd w:id="1072"/>
    </w:p>
    <w:p w14:paraId="5E3D706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D937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1.1.1本合同及其补充合同、变更协议；</w:t>
      </w:r>
    </w:p>
    <w:p w14:paraId="79231B7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1.1.2中标通知书；</w:t>
      </w:r>
    </w:p>
    <w:p w14:paraId="6A079BE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1.1.3投标文件（含澄清或者说明文件）；</w:t>
      </w:r>
    </w:p>
    <w:p w14:paraId="1293BC6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1.1.4招标文件（含澄清或者修改文件）；</w:t>
      </w:r>
    </w:p>
    <w:p w14:paraId="2668674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1.1.5其他相关采购文件。</w:t>
      </w:r>
    </w:p>
    <w:p w14:paraId="29E8EBB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087" w:name="_Toc6773"/>
      <w:bookmarkStart w:id="1088" w:name="_Toc3854"/>
      <w:bookmarkStart w:id="1089" w:name="_Toc18585"/>
      <w:bookmarkStart w:id="1090" w:name="_Toc10622"/>
      <w:bookmarkStart w:id="1091" w:name="_Toc10091"/>
      <w:bookmarkStart w:id="1092" w:name="_Toc6311"/>
      <w:bookmarkStart w:id="1093" w:name="_Toc24140"/>
      <w:bookmarkStart w:id="1094" w:name="_Toc7536"/>
      <w:bookmarkStart w:id="1095" w:name="_Toc27040"/>
      <w:bookmarkStart w:id="1096" w:name="_Toc22185"/>
      <w:bookmarkStart w:id="1097" w:name="_Toc2918"/>
      <w:r>
        <w:rPr>
          <w:rFonts w:hint="eastAsia" w:ascii="微软雅黑" w:hAnsi="微软雅黑" w:eastAsia="微软雅黑" w:cs="微软雅黑"/>
          <w:b/>
          <w:bCs/>
          <w:color w:val="auto"/>
          <w:sz w:val="24"/>
          <w:szCs w:val="24"/>
          <w:highlight w:val="none"/>
        </w:rPr>
        <w:t>1.2标的</w:t>
      </w:r>
      <w:bookmarkEnd w:id="1087"/>
      <w:bookmarkEnd w:id="1088"/>
      <w:bookmarkEnd w:id="1089"/>
      <w:bookmarkEnd w:id="1090"/>
      <w:bookmarkEnd w:id="1091"/>
      <w:bookmarkEnd w:id="1092"/>
      <w:bookmarkEnd w:id="1093"/>
      <w:bookmarkEnd w:id="1094"/>
      <w:bookmarkEnd w:id="1095"/>
      <w:bookmarkEnd w:id="1096"/>
      <w:bookmarkEnd w:id="1097"/>
    </w:p>
    <w:p w14:paraId="4A1B24D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098" w:name="_Toc30139_WPSOffice_Level3"/>
      <w:bookmarkStart w:id="1099" w:name="_Toc11112"/>
      <w:bookmarkStart w:id="1100" w:name="_Toc23872"/>
      <w:bookmarkStart w:id="1101" w:name="_Toc22890"/>
      <w:bookmarkStart w:id="1102" w:name="_Toc21124"/>
      <w:bookmarkStart w:id="1103" w:name="_Toc10350"/>
      <w:bookmarkStart w:id="1104" w:name="_Toc30162"/>
      <w:bookmarkStart w:id="1105" w:name="_Toc20450"/>
      <w:bookmarkStart w:id="1106" w:name="_Toc4929"/>
      <w:bookmarkStart w:id="1107" w:name="_Toc13918"/>
      <w:bookmarkStart w:id="1108" w:name="_Toc5635"/>
      <w:bookmarkStart w:id="1109" w:name="_Toc1386"/>
      <w:r>
        <w:rPr>
          <w:rFonts w:hint="eastAsia" w:ascii="微软雅黑" w:hAnsi="微软雅黑" w:eastAsia="微软雅黑" w:cs="微软雅黑"/>
          <w:bCs/>
          <w:color w:val="auto"/>
          <w:sz w:val="24"/>
          <w:szCs w:val="24"/>
          <w:highlight w:val="none"/>
        </w:rPr>
        <w:t>1.2.1</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名称：；</w:t>
      </w:r>
      <w:bookmarkEnd w:id="1098"/>
    </w:p>
    <w:p w14:paraId="24BF5C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10" w:name="_Toc28718_WPSOffice_Level3"/>
      <w:r>
        <w:rPr>
          <w:rFonts w:hint="eastAsia" w:ascii="微软雅黑" w:hAnsi="微软雅黑" w:eastAsia="微软雅黑" w:cs="微软雅黑"/>
          <w:bCs/>
          <w:color w:val="auto"/>
          <w:sz w:val="24"/>
          <w:szCs w:val="24"/>
          <w:highlight w:val="none"/>
        </w:rPr>
        <w:t>1.2.2</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数量：；</w:t>
      </w:r>
      <w:bookmarkEnd w:id="1110"/>
    </w:p>
    <w:p w14:paraId="6F188B9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1" w:name="_Toc19652_WPSOffice_Level3"/>
      <w:r>
        <w:rPr>
          <w:rFonts w:hint="eastAsia" w:ascii="微软雅黑" w:hAnsi="微软雅黑" w:eastAsia="微软雅黑" w:cs="微软雅黑"/>
          <w:bCs/>
          <w:color w:val="auto"/>
          <w:sz w:val="24"/>
          <w:szCs w:val="24"/>
          <w:highlight w:val="none"/>
        </w:rPr>
        <w:t>1.2.3</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质量：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11"/>
    </w:p>
    <w:p w14:paraId="6DCAD6B1">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1.3价款</w:t>
      </w:r>
      <w:bookmarkEnd w:id="1099"/>
      <w:bookmarkEnd w:id="1100"/>
      <w:bookmarkEnd w:id="1101"/>
      <w:bookmarkEnd w:id="1102"/>
      <w:bookmarkEnd w:id="1103"/>
      <w:bookmarkEnd w:id="1104"/>
      <w:bookmarkEnd w:id="1105"/>
      <w:bookmarkEnd w:id="1106"/>
      <w:bookmarkEnd w:id="1107"/>
      <w:bookmarkEnd w:id="1108"/>
      <w:bookmarkEnd w:id="1109"/>
    </w:p>
    <w:p w14:paraId="362174E4">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本合同总价为：￥元（大写：元人民币）。</w:t>
      </w:r>
    </w:p>
    <w:p w14:paraId="59A74D50">
      <w:pPr>
        <w:spacing w:line="360" w:lineRule="auto"/>
        <w:ind w:firstLine="480" w:firstLineChars="2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F1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2AB82F">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402" w:type="dxa"/>
            <w:vAlign w:val="center"/>
          </w:tcPr>
          <w:p w14:paraId="0BBA3C40">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552" w:type="dxa"/>
            <w:vAlign w:val="center"/>
          </w:tcPr>
          <w:p w14:paraId="0A0B3323">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565D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3384A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C134151">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3FCFD9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3FB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A15BE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497E6A8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40E930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0E9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6F7D7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E44077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5ED0EC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2220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62C5A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B30D63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7C2F58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180E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537D96">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552" w:type="dxa"/>
            <w:vAlign w:val="center"/>
          </w:tcPr>
          <w:p w14:paraId="4493CEA8">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bl>
    <w:p w14:paraId="4A84562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2" w:name="_Toc1814"/>
      <w:bookmarkStart w:id="1113" w:name="_Toc32165"/>
      <w:bookmarkStart w:id="1114" w:name="_Toc22618"/>
      <w:bookmarkStart w:id="1115" w:name="_Toc10340"/>
      <w:bookmarkStart w:id="1116" w:name="_Toc23937_WPSOffice_Level2"/>
      <w:bookmarkStart w:id="1117" w:name="_Toc4166"/>
      <w:bookmarkStart w:id="1118" w:name="_Toc4640_WPSOffice_Level2"/>
      <w:bookmarkStart w:id="1119" w:name="_Toc7440"/>
      <w:bookmarkStart w:id="1120" w:name="_Toc32125"/>
      <w:bookmarkStart w:id="1121" w:name="_Toc11816"/>
      <w:bookmarkStart w:id="1122" w:name="_Toc7714"/>
      <w:bookmarkStart w:id="1123" w:name="_Toc11732"/>
      <w:bookmarkStart w:id="1124" w:name="_Toc29409"/>
      <w:bookmarkStart w:id="1125" w:name="_Toc4773"/>
      <w:bookmarkStart w:id="1126" w:name="_Toc9693_WPSOffice_Level2"/>
      <w:bookmarkStart w:id="1127" w:name="_Toc23730"/>
      <w:r>
        <w:rPr>
          <w:rFonts w:hint="eastAsia" w:ascii="微软雅黑" w:hAnsi="微软雅黑" w:eastAsia="微软雅黑" w:cs="微软雅黑"/>
          <w:bCs/>
          <w:color w:val="auto"/>
          <w:sz w:val="24"/>
          <w:szCs w:val="24"/>
          <w:highlight w:val="none"/>
        </w:rPr>
        <w:t>1.4付款方式和发票开具方式</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3F23787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28" w:name="_Toc16414_WPSOffice_Level3"/>
      <w:r>
        <w:rPr>
          <w:rFonts w:hint="eastAsia" w:ascii="微软雅黑" w:hAnsi="微软雅黑" w:eastAsia="微软雅黑" w:cs="微软雅黑"/>
          <w:bCs/>
          <w:color w:val="auto"/>
          <w:sz w:val="24"/>
          <w:szCs w:val="24"/>
          <w:highlight w:val="none"/>
        </w:rPr>
        <w:t>1.4.1付款方式：；</w:t>
      </w:r>
      <w:bookmarkEnd w:id="1128"/>
    </w:p>
    <w:p w14:paraId="2FE62C0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29" w:name="_Toc11822_WPSOffice_Level3"/>
      <w:r>
        <w:rPr>
          <w:rFonts w:hint="eastAsia" w:ascii="微软雅黑" w:hAnsi="微软雅黑" w:eastAsia="微软雅黑" w:cs="微软雅黑"/>
          <w:bCs/>
          <w:color w:val="auto"/>
          <w:sz w:val="24"/>
          <w:szCs w:val="24"/>
          <w:highlight w:val="none"/>
        </w:rPr>
        <w:t>1.4.2发票开具方式：。</w:t>
      </w:r>
      <w:bookmarkEnd w:id="1129"/>
    </w:p>
    <w:p w14:paraId="3890E36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0" w:name="_Toc22374"/>
      <w:bookmarkStart w:id="1131" w:name="_Toc15588"/>
      <w:bookmarkStart w:id="1132" w:name="_Toc1314_WPSOffice_Level2"/>
      <w:bookmarkStart w:id="1133" w:name="_Toc32071"/>
      <w:bookmarkStart w:id="1134" w:name="_Toc15926"/>
      <w:bookmarkStart w:id="1135" w:name="_Toc32345"/>
      <w:bookmarkStart w:id="1136" w:name="_Toc2846"/>
      <w:bookmarkStart w:id="1137" w:name="_Toc21670"/>
      <w:bookmarkStart w:id="1138" w:name="_Toc6133"/>
      <w:bookmarkStart w:id="1139" w:name="_Toc1336_WPSOffice_Level2"/>
      <w:bookmarkStart w:id="1140" w:name="_Toc3323"/>
      <w:bookmarkStart w:id="1141" w:name="_Toc2568"/>
      <w:bookmarkStart w:id="1142" w:name="_Toc19304"/>
      <w:bookmarkStart w:id="1143" w:name="_Toc26952_WPSOffice_Level2"/>
      <w:bookmarkStart w:id="1144" w:name="_Toc20544"/>
      <w:bookmarkStart w:id="1145" w:name="_Toc19207"/>
      <w:bookmarkStart w:id="1146" w:name="_Toc28457"/>
      <w:r>
        <w:rPr>
          <w:rFonts w:hint="eastAsia" w:ascii="微软雅黑" w:hAnsi="微软雅黑" w:eastAsia="微软雅黑" w:cs="微软雅黑"/>
          <w:bCs/>
          <w:color w:val="auto"/>
          <w:sz w:val="24"/>
          <w:szCs w:val="24"/>
          <w:highlight w:val="none"/>
        </w:rPr>
        <w:t>1.5货物交付期限、地点和方式</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66B784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47" w:name="_Toc21852_WPSOffice_Level3"/>
      <w:r>
        <w:rPr>
          <w:rFonts w:hint="eastAsia" w:ascii="微软雅黑" w:hAnsi="微软雅黑" w:eastAsia="微软雅黑" w:cs="微软雅黑"/>
          <w:bCs/>
          <w:color w:val="auto"/>
          <w:sz w:val="24"/>
          <w:szCs w:val="24"/>
          <w:highlight w:val="none"/>
        </w:rPr>
        <w:t>1.5.1</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期限：；</w:t>
      </w:r>
      <w:bookmarkEnd w:id="1147"/>
    </w:p>
    <w:p w14:paraId="535628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48" w:name="_Toc31317_WPSOffice_Level3"/>
      <w:r>
        <w:rPr>
          <w:rFonts w:hint="eastAsia" w:ascii="微软雅黑" w:hAnsi="微软雅黑" w:eastAsia="微软雅黑" w:cs="微软雅黑"/>
          <w:bCs/>
          <w:color w:val="auto"/>
          <w:sz w:val="24"/>
          <w:szCs w:val="24"/>
          <w:highlight w:val="none"/>
        </w:rPr>
        <w:t>1.5.2</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地点：；</w:t>
      </w:r>
      <w:bookmarkEnd w:id="1148"/>
    </w:p>
    <w:p w14:paraId="7E3C21F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49" w:name="_Toc19369_WPSOffice_Level3"/>
      <w:r>
        <w:rPr>
          <w:rFonts w:hint="eastAsia" w:ascii="微软雅黑" w:hAnsi="微软雅黑" w:eastAsia="微软雅黑" w:cs="微软雅黑"/>
          <w:bCs/>
          <w:color w:val="auto"/>
          <w:sz w:val="24"/>
          <w:szCs w:val="24"/>
          <w:highlight w:val="none"/>
        </w:rPr>
        <w:t>1.5.3</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方式：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49"/>
    </w:p>
    <w:p w14:paraId="7A35AD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0" w:name="_Toc21423"/>
      <w:bookmarkStart w:id="1151" w:name="_Toc12598"/>
      <w:bookmarkStart w:id="1152" w:name="_Toc19554"/>
      <w:bookmarkStart w:id="1153" w:name="_Toc15467_WPSOffice_Level2"/>
      <w:bookmarkStart w:id="1154" w:name="_Toc23102_WPSOffice_Level2"/>
      <w:bookmarkStart w:id="1155" w:name="_Toc3813"/>
      <w:bookmarkStart w:id="1156" w:name="_Toc27343"/>
      <w:bookmarkStart w:id="1157" w:name="_Toc18345"/>
      <w:bookmarkStart w:id="1158" w:name="_Toc18592"/>
      <w:bookmarkStart w:id="1159" w:name="_Toc18973"/>
      <w:bookmarkStart w:id="1160" w:name="_Toc27250"/>
      <w:bookmarkStart w:id="1161" w:name="_Toc10142"/>
      <w:bookmarkStart w:id="1162" w:name="_Toc19993"/>
      <w:bookmarkStart w:id="1163" w:name="_Toc8669"/>
      <w:bookmarkStart w:id="1164" w:name="_Toc21918_WPSOffice_Level2"/>
      <w:r>
        <w:rPr>
          <w:rFonts w:hint="eastAsia" w:ascii="微软雅黑" w:hAnsi="微软雅黑" w:eastAsia="微软雅黑" w:cs="微软雅黑"/>
          <w:bCs/>
          <w:color w:val="auto"/>
          <w:sz w:val="24"/>
          <w:szCs w:val="24"/>
          <w:highlight w:val="none"/>
        </w:rPr>
        <w:t>1.6违约责任</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7D15096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5EE03A7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3B642B7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D916D6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4B345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ABA4C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23035F0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65" w:name="_Toc12452"/>
      <w:bookmarkStart w:id="1166" w:name="_Toc9497"/>
      <w:bookmarkStart w:id="1167" w:name="_Toc26807"/>
      <w:bookmarkStart w:id="1168" w:name="_Toc18683"/>
      <w:bookmarkStart w:id="1169" w:name="_Toc11642"/>
      <w:bookmarkStart w:id="1170" w:name="_Toc21005"/>
      <w:bookmarkStart w:id="1171" w:name="_Toc32454"/>
      <w:bookmarkStart w:id="1172" w:name="_Toc26616"/>
      <w:bookmarkStart w:id="1173" w:name="_Toc30329"/>
      <w:bookmarkStart w:id="1174" w:name="_Toc7752"/>
      <w:bookmarkStart w:id="1175" w:name="_Toc7162"/>
      <w:r>
        <w:rPr>
          <w:rFonts w:hint="eastAsia" w:ascii="微软雅黑" w:hAnsi="微软雅黑" w:eastAsia="微软雅黑" w:cs="微软雅黑"/>
          <w:b/>
          <w:bCs/>
          <w:color w:val="auto"/>
          <w:sz w:val="24"/>
          <w:szCs w:val="24"/>
          <w:highlight w:val="none"/>
        </w:rPr>
        <w:t>1.7合同争议的解决</w:t>
      </w:r>
      <w:bookmarkEnd w:id="1165"/>
      <w:bookmarkEnd w:id="1166"/>
      <w:bookmarkEnd w:id="1167"/>
      <w:bookmarkEnd w:id="1168"/>
      <w:bookmarkEnd w:id="1169"/>
      <w:bookmarkEnd w:id="1170"/>
      <w:bookmarkEnd w:id="1171"/>
      <w:bookmarkEnd w:id="1172"/>
      <w:bookmarkEnd w:id="1173"/>
      <w:bookmarkEnd w:id="1174"/>
      <w:bookmarkEnd w:id="1175"/>
    </w:p>
    <w:p w14:paraId="3C8E8AC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本合同履行过程中发生的任何争议，双方当事人均可通过和解或者调解解决；不愿和解、调解或者和解、调解不成的，可以选择下列第种方式解决：</w:t>
      </w:r>
    </w:p>
    <w:p w14:paraId="63F4AD1A">
      <w:pPr>
        <w:ind w:firstLine="480" w:firstLineChars="200"/>
        <w:outlineLvl w:val="9"/>
        <w:rPr>
          <w:rFonts w:hint="eastAsia" w:ascii="微软雅黑" w:hAnsi="微软雅黑" w:eastAsia="微软雅黑" w:cs="微软雅黑"/>
          <w:bCs/>
          <w:color w:val="auto"/>
          <w:sz w:val="24"/>
          <w:szCs w:val="24"/>
          <w:highlight w:val="none"/>
        </w:rPr>
      </w:pPr>
      <w:bookmarkStart w:id="1176" w:name="_Toc10387"/>
      <w:bookmarkStart w:id="1177" w:name="_Toc12288"/>
      <w:bookmarkStart w:id="1178" w:name="_Toc25268"/>
      <w:bookmarkStart w:id="1179" w:name="_Toc26227"/>
      <w:bookmarkStart w:id="1180" w:name="_Toc22280"/>
      <w:bookmarkStart w:id="1181" w:name="_Toc7610"/>
      <w:bookmarkStart w:id="1182" w:name="_Toc23784"/>
      <w:bookmarkStart w:id="1183" w:name="_Toc30200"/>
      <w:bookmarkStart w:id="1184" w:name="_Toc16417"/>
      <w:bookmarkStart w:id="1185" w:name="_Toc12273"/>
      <w:bookmarkStart w:id="1186" w:name="_Toc15827"/>
      <w:r>
        <w:rPr>
          <w:rFonts w:hint="eastAsia" w:ascii="微软雅黑" w:hAnsi="微软雅黑" w:eastAsia="微软雅黑" w:cs="微软雅黑"/>
          <w:bCs/>
          <w:color w:val="auto"/>
          <w:sz w:val="24"/>
          <w:szCs w:val="24"/>
          <w:highlight w:val="none"/>
        </w:rPr>
        <w:t>1.7.1将争议提交仲裁委员会依申请仲裁时其现行有效的仲裁规则裁决；</w:t>
      </w:r>
    </w:p>
    <w:p w14:paraId="4F87DCBC">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1.7.2向</w:t>
      </w:r>
      <w:r>
        <w:rPr>
          <w:rFonts w:hint="eastAsia" w:ascii="微软雅黑" w:hAnsi="微软雅黑" w:eastAsia="微软雅黑" w:cs="微软雅黑"/>
          <w:bCs/>
          <w:color w:val="auto"/>
          <w:sz w:val="24"/>
          <w:szCs w:val="24"/>
          <w:highlight w:val="none"/>
          <w:u w:val="single"/>
        </w:rPr>
        <w:t>（被告住所地、合同履行地、合同签订地、原告住所地、标的物所在地等与争议有实际联系的地点中选出的人民法院名称）</w:t>
      </w:r>
      <w:r>
        <w:rPr>
          <w:rFonts w:hint="eastAsia" w:ascii="微软雅黑" w:hAnsi="微软雅黑" w:eastAsia="微软雅黑" w:cs="微软雅黑"/>
          <w:bCs/>
          <w:color w:val="auto"/>
          <w:sz w:val="24"/>
          <w:szCs w:val="24"/>
          <w:highlight w:val="none"/>
        </w:rPr>
        <w:t>人民法院起诉。</w:t>
      </w:r>
    </w:p>
    <w:p w14:paraId="34DDE1CA">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1.8合同生效</w:t>
      </w:r>
      <w:bookmarkEnd w:id="1176"/>
      <w:bookmarkEnd w:id="1177"/>
      <w:bookmarkEnd w:id="1178"/>
      <w:bookmarkEnd w:id="1179"/>
      <w:bookmarkEnd w:id="1180"/>
      <w:bookmarkEnd w:id="1181"/>
      <w:bookmarkEnd w:id="1182"/>
      <w:bookmarkEnd w:id="1183"/>
      <w:bookmarkEnd w:id="1184"/>
      <w:bookmarkEnd w:id="1185"/>
      <w:bookmarkEnd w:id="1186"/>
    </w:p>
    <w:p w14:paraId="71A1414B">
      <w:pPr>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本合同自双方当事人盖章或者签字时生效。</w:t>
      </w:r>
    </w:p>
    <w:p w14:paraId="0AE57131">
      <w:pPr>
        <w:autoSpaceDE w:val="0"/>
        <w:autoSpaceDN w:val="0"/>
        <w:adjustRightInd w:val="0"/>
        <w:spacing w:line="360" w:lineRule="auto"/>
        <w:rPr>
          <w:rFonts w:hint="eastAsia" w:ascii="微软雅黑" w:hAnsi="微软雅黑" w:eastAsia="微软雅黑" w:cs="微软雅黑"/>
          <w:color w:val="auto"/>
          <w:sz w:val="24"/>
          <w:szCs w:val="24"/>
          <w:highlight w:val="none"/>
          <w:lang w:val="zh-CN"/>
        </w:rPr>
      </w:pPr>
    </w:p>
    <w:p w14:paraId="23066D7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甲方：乙方：</w:t>
      </w:r>
    </w:p>
    <w:p w14:paraId="582EA30B">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统一社会信用代码：统一社会信用代码或身份证号码：</w:t>
      </w:r>
    </w:p>
    <w:p w14:paraId="26CEE16B">
      <w:pPr>
        <w:autoSpaceDE w:val="0"/>
        <w:autoSpaceDN w:val="0"/>
        <w:adjustRightInd w:val="0"/>
        <w:outlineLvl w:val="9"/>
        <w:rPr>
          <w:rFonts w:hint="eastAsia" w:ascii="微软雅黑" w:hAnsi="微软雅黑" w:eastAsia="微软雅黑" w:cs="微软雅黑"/>
          <w:bCs/>
          <w:color w:val="auto"/>
          <w:sz w:val="24"/>
          <w:szCs w:val="24"/>
          <w:highlight w:val="none"/>
          <w:lang w:val="zh-CN"/>
        </w:rPr>
      </w:pPr>
    </w:p>
    <w:p w14:paraId="201C8FB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住所：住所：</w:t>
      </w:r>
    </w:p>
    <w:p w14:paraId="54F9F3B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法定代表人或法定代表人</w:t>
      </w:r>
    </w:p>
    <w:p w14:paraId="02C95EC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授权代表（签字）：或授权代表（签字）:</w:t>
      </w:r>
    </w:p>
    <w:p w14:paraId="6766994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联系人：联系人：</w:t>
      </w:r>
    </w:p>
    <w:p w14:paraId="0CD94A41">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约定送达地址：约定送达地址：</w:t>
      </w:r>
    </w:p>
    <w:p w14:paraId="27645CD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邮政编码：邮政编码：</w:t>
      </w:r>
    </w:p>
    <w:p w14:paraId="15200DDA">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电话:电话:</w:t>
      </w:r>
    </w:p>
    <w:p w14:paraId="7EE1EC9D">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传真:传真:</w:t>
      </w:r>
    </w:p>
    <w:p w14:paraId="4E5F4011">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电子邮箱：电子邮箱：</w:t>
      </w:r>
    </w:p>
    <w:p w14:paraId="7FF4A4EA">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开户银行：开户银行：</w:t>
      </w:r>
    </w:p>
    <w:p w14:paraId="61042241">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开户名称：开户名称：</w:t>
      </w:r>
    </w:p>
    <w:p w14:paraId="65EFED68">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开户账号：开户账号：</w:t>
      </w:r>
    </w:p>
    <w:p w14:paraId="30D31E0F">
      <w:pPr>
        <w:widowControl/>
        <w:spacing w:line="360" w:lineRule="auto"/>
        <w:jc w:val="left"/>
        <w:rPr>
          <w:rFonts w:hint="eastAsia" w:ascii="微软雅黑" w:hAnsi="微软雅黑" w:eastAsia="微软雅黑" w:cs="微软雅黑"/>
          <w:b/>
          <w:bCs/>
          <w:color w:val="auto"/>
          <w:sz w:val="24"/>
          <w:szCs w:val="24"/>
          <w:highlight w:val="none"/>
        </w:rPr>
      </w:pPr>
    </w:p>
    <w:p w14:paraId="787E2707">
      <w:pPr>
        <w:pStyle w:val="18"/>
        <w:rPr>
          <w:rFonts w:hint="eastAsia" w:ascii="微软雅黑" w:hAnsi="微软雅黑" w:eastAsia="微软雅黑" w:cs="微软雅黑"/>
          <w:b/>
          <w:bCs/>
          <w:color w:val="auto"/>
          <w:sz w:val="24"/>
          <w:szCs w:val="24"/>
          <w:highlight w:val="none"/>
        </w:rPr>
      </w:pPr>
    </w:p>
    <w:p w14:paraId="1A853048">
      <w:pPr>
        <w:pStyle w:val="18"/>
        <w:rPr>
          <w:rFonts w:hint="eastAsia" w:ascii="微软雅黑" w:hAnsi="微软雅黑" w:eastAsia="微软雅黑" w:cs="微软雅黑"/>
          <w:b/>
          <w:bCs/>
          <w:color w:val="auto"/>
          <w:sz w:val="24"/>
          <w:szCs w:val="24"/>
          <w:highlight w:val="none"/>
        </w:rPr>
      </w:pPr>
    </w:p>
    <w:p w14:paraId="29B59D6E">
      <w:pPr>
        <w:pStyle w:val="18"/>
        <w:rPr>
          <w:rFonts w:hint="eastAsia" w:ascii="微软雅黑" w:hAnsi="微软雅黑" w:eastAsia="微软雅黑" w:cs="微软雅黑"/>
          <w:b/>
          <w:bCs/>
          <w:color w:val="auto"/>
          <w:sz w:val="24"/>
          <w:szCs w:val="24"/>
          <w:highlight w:val="none"/>
        </w:rPr>
      </w:pPr>
    </w:p>
    <w:p w14:paraId="48A82218">
      <w:pPr>
        <w:pStyle w:val="18"/>
        <w:rPr>
          <w:rFonts w:hint="eastAsia" w:ascii="微软雅黑" w:hAnsi="微软雅黑" w:eastAsia="微软雅黑" w:cs="微软雅黑"/>
          <w:b/>
          <w:bCs/>
          <w:color w:val="auto"/>
          <w:sz w:val="24"/>
          <w:szCs w:val="24"/>
          <w:highlight w:val="none"/>
        </w:rPr>
      </w:pPr>
    </w:p>
    <w:p w14:paraId="2C5D7AE1">
      <w:pPr>
        <w:widowControl/>
        <w:spacing w:line="360" w:lineRule="auto"/>
        <w:jc w:val="left"/>
        <w:rPr>
          <w:rFonts w:hint="eastAsia" w:ascii="微软雅黑" w:hAnsi="微软雅黑" w:eastAsia="微软雅黑" w:cs="微软雅黑"/>
          <w:b/>
          <w:bCs/>
          <w:color w:val="auto"/>
          <w:kern w:val="0"/>
          <w:sz w:val="24"/>
          <w:szCs w:val="24"/>
          <w:highlight w:val="none"/>
        </w:rPr>
      </w:pPr>
    </w:p>
    <w:p w14:paraId="085B367A">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p>
    <w:p w14:paraId="1B798C37">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bookmarkStart w:id="1187" w:name="_Toc5531"/>
      <w:bookmarkStart w:id="1188" w:name="_Toc30980"/>
      <w:bookmarkStart w:id="1189" w:name="_Toc3390"/>
      <w:bookmarkStart w:id="1190" w:name="_Toc10214"/>
      <w:r>
        <w:rPr>
          <w:rFonts w:hint="eastAsia" w:ascii="微软雅黑" w:hAnsi="微软雅黑" w:eastAsia="微软雅黑" w:cs="微软雅黑"/>
          <w:b/>
          <w:bCs/>
          <w:color w:val="auto"/>
          <w:sz w:val="24"/>
          <w:szCs w:val="24"/>
          <w:highlight w:val="none"/>
        </w:rPr>
        <w:t>第二部分合同一般条款</w:t>
      </w:r>
      <w:bookmarkEnd w:id="1187"/>
      <w:bookmarkEnd w:id="1188"/>
      <w:bookmarkEnd w:id="1189"/>
      <w:bookmarkEnd w:id="1190"/>
    </w:p>
    <w:p w14:paraId="1627787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91" w:name="_Toc30493"/>
      <w:bookmarkStart w:id="1192" w:name="_Toc28784"/>
      <w:bookmarkStart w:id="1193" w:name="_Toc24181"/>
      <w:bookmarkStart w:id="1194" w:name="_Toc25079"/>
      <w:bookmarkStart w:id="1195" w:name="_Toc28977"/>
      <w:bookmarkStart w:id="1196" w:name="_Toc5228"/>
      <w:bookmarkStart w:id="1197" w:name="_Toc27123"/>
      <w:bookmarkStart w:id="1198" w:name="_Toc22662"/>
      <w:bookmarkStart w:id="1199" w:name="_Toc14021"/>
      <w:bookmarkStart w:id="1200" w:name="_Toc19680"/>
      <w:bookmarkStart w:id="1201" w:name="_Toc31297"/>
      <w:r>
        <w:rPr>
          <w:rFonts w:hint="eastAsia" w:ascii="微软雅黑" w:hAnsi="微软雅黑" w:eastAsia="微软雅黑" w:cs="微软雅黑"/>
          <w:b/>
          <w:bCs/>
          <w:color w:val="auto"/>
          <w:sz w:val="24"/>
          <w:szCs w:val="24"/>
          <w:highlight w:val="none"/>
        </w:rPr>
        <w:t>2.1定义</w:t>
      </w:r>
      <w:bookmarkEnd w:id="1191"/>
      <w:bookmarkEnd w:id="1192"/>
      <w:bookmarkEnd w:id="1193"/>
      <w:bookmarkEnd w:id="1194"/>
      <w:bookmarkEnd w:id="1195"/>
      <w:bookmarkEnd w:id="1196"/>
      <w:bookmarkEnd w:id="1197"/>
      <w:bookmarkEnd w:id="1198"/>
      <w:bookmarkEnd w:id="1199"/>
      <w:bookmarkEnd w:id="1200"/>
      <w:bookmarkEnd w:id="1201"/>
    </w:p>
    <w:p w14:paraId="4100D43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本合同中的下列词语应按以下内容进行解释：</w:t>
      </w:r>
    </w:p>
    <w:p w14:paraId="2A92A6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2.1.1“合同”系指采购人和中标供应商签订的载明双方当事人所达成的协议，并包括所有的附件、附录和构成合同的其他文件。</w:t>
      </w:r>
    </w:p>
    <w:p w14:paraId="65E2B45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2.1.2“合同价”系指根据合同约定，中标供应商在完全履行合同义务后，采购人应支付给中标供应商的价格。</w:t>
      </w:r>
    </w:p>
    <w:p w14:paraId="4719B2B8">
      <w:pPr>
        <w:spacing w:line="56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2.1.3“货物”系指中标供应商根据合同约定应向采购人交付的一切各种形态和种类的物品，包括原材料、燃料、设备、机械、仪表、备件、计算机软件、产品等，并包括工具、手册等其他相关资料。</w:t>
      </w:r>
    </w:p>
    <w:p w14:paraId="6E10DBB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2.1.4“甲方”系指与中标供应商签署合同的采购人；采购人委托采购代理机构代表其与乙方签订合同的，采购人的授权委托书作为合同附件。</w:t>
      </w:r>
    </w:p>
    <w:p w14:paraId="33220F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AD68E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2.1.6“现场”系指合同约定提供服务的地点。</w:t>
      </w:r>
    </w:p>
    <w:p w14:paraId="22A4EAB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02" w:name="_Toc16752"/>
      <w:bookmarkStart w:id="1203" w:name="_Toc24542"/>
      <w:bookmarkStart w:id="1204" w:name="_Toc3769"/>
      <w:bookmarkStart w:id="1205" w:name="_Toc31402"/>
      <w:bookmarkStart w:id="1206" w:name="_Toc30691"/>
      <w:bookmarkStart w:id="1207" w:name="_Toc15098"/>
      <w:bookmarkStart w:id="1208" w:name="_Toc29502"/>
      <w:bookmarkStart w:id="1209" w:name="_Toc5530"/>
      <w:bookmarkStart w:id="1210" w:name="_Toc23289"/>
      <w:bookmarkStart w:id="1211" w:name="_Toc19539"/>
      <w:bookmarkStart w:id="1212" w:name="_Toc113"/>
      <w:r>
        <w:rPr>
          <w:rFonts w:hint="eastAsia" w:ascii="微软雅黑" w:hAnsi="微软雅黑" w:eastAsia="微软雅黑" w:cs="微软雅黑"/>
          <w:b/>
          <w:bCs/>
          <w:color w:val="auto"/>
          <w:sz w:val="24"/>
          <w:szCs w:val="24"/>
          <w:highlight w:val="none"/>
        </w:rPr>
        <w:t>2.2技术规范</w:t>
      </w:r>
      <w:bookmarkEnd w:id="1202"/>
      <w:bookmarkEnd w:id="1203"/>
      <w:bookmarkEnd w:id="1204"/>
      <w:bookmarkEnd w:id="1205"/>
      <w:bookmarkEnd w:id="1206"/>
      <w:bookmarkEnd w:id="1207"/>
      <w:bookmarkEnd w:id="1208"/>
      <w:bookmarkEnd w:id="1209"/>
      <w:bookmarkEnd w:id="1210"/>
      <w:bookmarkEnd w:id="1211"/>
      <w:bookmarkEnd w:id="1212"/>
    </w:p>
    <w:p w14:paraId="49736A06">
      <w:pPr>
        <w:spacing w:line="360" w:lineRule="auto"/>
        <w:ind w:firstLine="480" w:firstLineChars="200"/>
        <w:rPr>
          <w:rFonts w:hint="eastAsia" w:ascii="微软雅黑" w:hAnsi="微软雅黑" w:eastAsia="微软雅黑" w:cs="微软雅黑"/>
          <w:color w:val="auto"/>
          <w:sz w:val="24"/>
          <w:szCs w:val="24"/>
          <w:highlight w:val="none"/>
        </w:rPr>
      </w:pPr>
      <w:bookmarkStart w:id="1213" w:name="_Toc10170"/>
      <w:bookmarkStart w:id="1214" w:name="_Toc13673"/>
      <w:bookmarkStart w:id="1215" w:name="_Toc10746"/>
      <w:bookmarkStart w:id="1216" w:name="_Toc9161"/>
      <w:bookmarkStart w:id="1217" w:name="_Toc12412"/>
      <w:bookmarkStart w:id="1218" w:name="_Toc4133"/>
      <w:bookmarkStart w:id="1219" w:name="_Toc4384"/>
      <w:bookmarkStart w:id="1220" w:name="_Toc1803"/>
      <w:bookmarkStart w:id="1221" w:name="_Toc27945"/>
      <w:bookmarkStart w:id="1222" w:name="_Toc23803"/>
      <w:r>
        <w:rPr>
          <w:rFonts w:hint="eastAsia" w:ascii="微软雅黑" w:hAnsi="微软雅黑" w:eastAsia="微软雅黑" w:cs="微软雅黑"/>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E333D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3" w:name="_Toc30087"/>
      <w:r>
        <w:rPr>
          <w:rFonts w:hint="eastAsia" w:ascii="微软雅黑" w:hAnsi="微软雅黑" w:eastAsia="微软雅黑" w:cs="微软雅黑"/>
          <w:b/>
          <w:bCs/>
          <w:color w:val="auto"/>
          <w:sz w:val="24"/>
          <w:szCs w:val="24"/>
          <w:highlight w:val="none"/>
        </w:rPr>
        <w:t>2.3知识产权</w:t>
      </w:r>
      <w:bookmarkEnd w:id="1213"/>
      <w:bookmarkEnd w:id="1214"/>
      <w:bookmarkEnd w:id="1215"/>
      <w:bookmarkEnd w:id="1216"/>
      <w:bookmarkEnd w:id="1217"/>
      <w:bookmarkEnd w:id="1218"/>
      <w:bookmarkEnd w:id="1219"/>
      <w:bookmarkEnd w:id="1220"/>
      <w:bookmarkEnd w:id="1221"/>
      <w:bookmarkEnd w:id="1222"/>
      <w:bookmarkEnd w:id="1223"/>
    </w:p>
    <w:p w14:paraId="17D1A6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40A0200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2.3.2具有知识产权的计算机软件等货物的知识产权归属，详见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05D91B6E">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4" w:name="_Toc29149"/>
      <w:bookmarkStart w:id="1225" w:name="_Toc4194"/>
      <w:bookmarkStart w:id="1226" w:name="_Toc26940"/>
      <w:bookmarkStart w:id="1227" w:name="_Toc11932"/>
      <w:r>
        <w:rPr>
          <w:rFonts w:hint="eastAsia" w:ascii="微软雅黑" w:hAnsi="微软雅黑" w:eastAsia="微软雅黑" w:cs="微软雅黑"/>
          <w:b/>
          <w:bCs/>
          <w:color w:val="auto"/>
          <w:sz w:val="24"/>
          <w:szCs w:val="24"/>
          <w:highlight w:val="none"/>
        </w:rPr>
        <w:t>2.4包装和装运</w:t>
      </w:r>
      <w:bookmarkEnd w:id="1224"/>
      <w:bookmarkEnd w:id="1225"/>
      <w:bookmarkEnd w:id="1226"/>
      <w:bookmarkEnd w:id="1227"/>
    </w:p>
    <w:p w14:paraId="5B2E932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0B7FB8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2.4.2装运货物的要求和通知，详见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2403C2A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8" w:name="_Toc1404"/>
      <w:bookmarkStart w:id="1229" w:name="_Toc31211"/>
      <w:bookmarkStart w:id="1230" w:name="_Toc10477"/>
      <w:bookmarkStart w:id="1231" w:name="_Toc21189"/>
      <w:r>
        <w:rPr>
          <w:rFonts w:hint="eastAsia" w:ascii="微软雅黑" w:hAnsi="微软雅黑" w:eastAsia="微软雅黑" w:cs="微软雅黑"/>
          <w:b/>
          <w:bCs/>
          <w:color w:val="auto"/>
          <w:sz w:val="24"/>
          <w:szCs w:val="24"/>
          <w:highlight w:val="none"/>
        </w:rPr>
        <w:t>2.5履约检查和问题反馈</w:t>
      </w:r>
      <w:bookmarkEnd w:id="1228"/>
      <w:bookmarkEnd w:id="1229"/>
      <w:bookmarkEnd w:id="1230"/>
      <w:bookmarkEnd w:id="1231"/>
    </w:p>
    <w:p w14:paraId="290368E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2.5.1甲方有权在其认为必要时，对乙方是否能够按照合同约定提供服务进行履约检查，以确保乙方所提供的服务能够依约满足甲方之项目需求，但不得因履约检查妨碍乙方的正常工作，乙方应予积极配合；</w:t>
      </w:r>
    </w:p>
    <w:p w14:paraId="7FA6CA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2.5.2合同履行期间，甲方有权将履行过程中出现的问题反馈给乙方，双方当事人应以书面形式约定需要完善和改进的内容。</w:t>
      </w:r>
    </w:p>
    <w:p w14:paraId="265D9E6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2" w:name="_Toc30507"/>
      <w:bookmarkStart w:id="1233" w:name="_Toc18990"/>
      <w:bookmarkStart w:id="1234" w:name="_Toc6801"/>
      <w:bookmarkStart w:id="1235" w:name="_Toc21690"/>
      <w:bookmarkStart w:id="1236" w:name="_Toc27791"/>
      <w:bookmarkStart w:id="1237" w:name="_Toc21308"/>
      <w:bookmarkStart w:id="1238" w:name="_Toc22436"/>
      <w:bookmarkStart w:id="1239" w:name="_Toc13467"/>
      <w:bookmarkStart w:id="1240" w:name="_Toc16163"/>
      <w:bookmarkStart w:id="1241" w:name="_Toc14174"/>
      <w:bookmarkStart w:id="1242" w:name="_Toc13154"/>
      <w:r>
        <w:rPr>
          <w:rFonts w:hint="eastAsia" w:ascii="微软雅黑" w:hAnsi="微软雅黑" w:eastAsia="微软雅黑" w:cs="微软雅黑"/>
          <w:b/>
          <w:bCs/>
          <w:color w:val="auto"/>
          <w:sz w:val="24"/>
          <w:szCs w:val="24"/>
          <w:highlight w:val="none"/>
        </w:rPr>
        <w:t>2.6技术资料和保密义务</w:t>
      </w:r>
      <w:bookmarkEnd w:id="1232"/>
      <w:bookmarkEnd w:id="1233"/>
      <w:bookmarkEnd w:id="1234"/>
      <w:bookmarkEnd w:id="1235"/>
      <w:bookmarkEnd w:id="1236"/>
      <w:bookmarkEnd w:id="1237"/>
      <w:bookmarkEnd w:id="1238"/>
      <w:bookmarkEnd w:id="1239"/>
      <w:bookmarkEnd w:id="1240"/>
      <w:bookmarkEnd w:id="1241"/>
      <w:bookmarkEnd w:id="1242"/>
    </w:p>
    <w:p w14:paraId="18B4CE8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2.6.1乙方有权依据合同约定和项目需要，向甲方了解有关情况，调阅有关资料等，甲方应予积极配合；</w:t>
      </w:r>
    </w:p>
    <w:p w14:paraId="248CC3C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2.6.2乙方有义务妥善保管和保护由甲方提供的前款信息和资料等；</w:t>
      </w:r>
    </w:p>
    <w:p w14:paraId="20BB0EB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97449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43" w:name="_Toc12301"/>
      <w:bookmarkStart w:id="1244" w:name="_Toc22040"/>
      <w:bookmarkStart w:id="1245" w:name="_Toc27714"/>
      <w:bookmarkStart w:id="1246" w:name="_Toc22669"/>
      <w:bookmarkStart w:id="1247" w:name="_Toc5307"/>
      <w:bookmarkStart w:id="1248" w:name="_Toc2481"/>
      <w:bookmarkStart w:id="1249" w:name="_Toc19069"/>
      <w:r>
        <w:rPr>
          <w:rFonts w:hint="eastAsia" w:ascii="微软雅黑" w:hAnsi="微软雅黑" w:eastAsia="微软雅黑" w:cs="微软雅黑"/>
          <w:b/>
          <w:bCs/>
          <w:color w:val="auto"/>
          <w:sz w:val="24"/>
          <w:szCs w:val="24"/>
          <w:highlight w:val="none"/>
        </w:rPr>
        <w:t>2.7质量保证</w:t>
      </w:r>
      <w:bookmarkEnd w:id="1243"/>
      <w:bookmarkEnd w:id="1244"/>
      <w:bookmarkEnd w:id="1245"/>
      <w:bookmarkEnd w:id="1246"/>
      <w:bookmarkEnd w:id="1247"/>
      <w:bookmarkEnd w:id="1248"/>
      <w:bookmarkEnd w:id="1249"/>
    </w:p>
    <w:p w14:paraId="45C760D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2.7.1乙方应建立和完善履行合同的内部质量保证体系，并提供相关内部规章制度给甲方，以便甲方进行监督检查；</w:t>
      </w:r>
    </w:p>
    <w:p w14:paraId="19D5879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2.7.2乙方应保证履行合同的人员数量和素质、软件和硬件设备的配置、场地、环境和设施等满足全面履行合同的要求，并应接受甲方的监督检查。</w:t>
      </w:r>
    </w:p>
    <w:p w14:paraId="3C66837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0" w:name="_Toc17244"/>
      <w:bookmarkStart w:id="1251" w:name="_Toc10042"/>
      <w:r>
        <w:rPr>
          <w:rFonts w:hint="eastAsia" w:ascii="微软雅黑" w:hAnsi="微软雅黑" w:eastAsia="微软雅黑" w:cs="微软雅黑"/>
          <w:b/>
          <w:bCs/>
          <w:color w:val="auto"/>
          <w:sz w:val="24"/>
          <w:szCs w:val="24"/>
          <w:highlight w:val="none"/>
        </w:rPr>
        <w:t>2.8货物的风险负担</w:t>
      </w:r>
      <w:bookmarkEnd w:id="1250"/>
      <w:bookmarkEnd w:id="1251"/>
    </w:p>
    <w:p w14:paraId="7D2F2E7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货物或者在途货物或者交付给第一承运人后的货物毁损、灭失的风险负担详见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B726E49">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2" w:name="_Toc24939"/>
      <w:bookmarkStart w:id="1253" w:name="_Toc2673"/>
      <w:bookmarkStart w:id="1254" w:name="_Toc29767"/>
      <w:bookmarkStart w:id="1255" w:name="_Toc22267"/>
      <w:bookmarkStart w:id="1256" w:name="_Toc4146"/>
      <w:bookmarkStart w:id="1257" w:name="_Toc10440"/>
      <w:bookmarkStart w:id="1258" w:name="_Toc21177"/>
      <w:r>
        <w:rPr>
          <w:rFonts w:hint="eastAsia" w:ascii="微软雅黑" w:hAnsi="微软雅黑" w:eastAsia="微软雅黑" w:cs="微软雅黑"/>
          <w:b/>
          <w:bCs/>
          <w:color w:val="auto"/>
          <w:sz w:val="24"/>
          <w:szCs w:val="24"/>
          <w:highlight w:val="none"/>
        </w:rPr>
        <w:t>2.9延迟履行</w:t>
      </w:r>
      <w:bookmarkEnd w:id="1252"/>
      <w:bookmarkEnd w:id="1253"/>
      <w:bookmarkEnd w:id="1254"/>
      <w:bookmarkEnd w:id="1255"/>
      <w:bookmarkEnd w:id="1256"/>
      <w:bookmarkEnd w:id="1257"/>
      <w:bookmarkEnd w:id="1258"/>
    </w:p>
    <w:p w14:paraId="2DED3B4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794D14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9" w:name="_Toc9483"/>
      <w:bookmarkStart w:id="1260" w:name="_Toc30048"/>
      <w:bookmarkStart w:id="1261" w:name="_Toc3729"/>
      <w:bookmarkStart w:id="1262" w:name="_Toc12749"/>
      <w:bookmarkStart w:id="1263" w:name="_Toc2914"/>
      <w:bookmarkStart w:id="1264" w:name="_Toc16214"/>
      <w:bookmarkStart w:id="1265" w:name="_Toc10611"/>
      <w:r>
        <w:rPr>
          <w:rFonts w:hint="eastAsia" w:ascii="微软雅黑" w:hAnsi="微软雅黑" w:eastAsia="微软雅黑" w:cs="微软雅黑"/>
          <w:b/>
          <w:bCs/>
          <w:color w:val="auto"/>
          <w:sz w:val="24"/>
          <w:szCs w:val="24"/>
          <w:highlight w:val="none"/>
        </w:rPr>
        <w:t>2.10合同变更</w:t>
      </w:r>
      <w:bookmarkEnd w:id="1259"/>
      <w:bookmarkEnd w:id="1260"/>
      <w:bookmarkEnd w:id="1261"/>
      <w:bookmarkEnd w:id="1262"/>
      <w:bookmarkEnd w:id="1263"/>
      <w:bookmarkEnd w:id="1264"/>
      <w:bookmarkEnd w:id="1265"/>
    </w:p>
    <w:p w14:paraId="54C3046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2.10.1双方当事人协商一致，可以签订书面补充合同的形式变更合同，但不得违背采购文件确定的事项，且如果系追加与合同标的相同的服务的，那么所有补充合同的采购金额不得超过原合同价的10%；</w:t>
      </w:r>
    </w:p>
    <w:p w14:paraId="02693ED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2.10.2合同继续履行将损害国家利益和社会公共利益的，双方当事人应当以书面形式变更合同。有过错的一方应当承担赔偿责任，双方当事人都有过错的，各自承担相应的责任。</w:t>
      </w:r>
    </w:p>
    <w:p w14:paraId="632BBC4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66" w:name="_Toc42"/>
      <w:bookmarkStart w:id="1267" w:name="_Toc30634"/>
      <w:bookmarkStart w:id="1268" w:name="_Toc26689"/>
      <w:bookmarkStart w:id="1269" w:name="_Toc30276"/>
      <w:bookmarkStart w:id="1270" w:name="_Toc10663"/>
      <w:bookmarkStart w:id="1271" w:name="_Toc21830"/>
      <w:bookmarkStart w:id="1272" w:name="_Toc24612"/>
      <w:bookmarkStart w:id="1273" w:name="_Toc3584"/>
      <w:bookmarkStart w:id="1274" w:name="_Toc11047"/>
      <w:bookmarkStart w:id="1275" w:name="_Toc29450"/>
      <w:bookmarkStart w:id="1276" w:name="_Toc23368"/>
      <w:r>
        <w:rPr>
          <w:rFonts w:hint="eastAsia" w:ascii="微软雅黑" w:hAnsi="微软雅黑" w:eastAsia="微软雅黑" w:cs="微软雅黑"/>
          <w:b/>
          <w:bCs/>
          <w:color w:val="auto"/>
          <w:sz w:val="24"/>
          <w:szCs w:val="24"/>
          <w:highlight w:val="none"/>
        </w:rPr>
        <w:t>2.11合同转让和分包</w:t>
      </w:r>
      <w:bookmarkEnd w:id="1266"/>
      <w:bookmarkEnd w:id="1267"/>
      <w:bookmarkEnd w:id="1268"/>
      <w:bookmarkEnd w:id="1269"/>
      <w:bookmarkEnd w:id="1270"/>
      <w:bookmarkEnd w:id="1271"/>
      <w:bookmarkEnd w:id="1272"/>
      <w:bookmarkEnd w:id="1273"/>
      <w:bookmarkEnd w:id="1274"/>
      <w:bookmarkEnd w:id="1275"/>
      <w:bookmarkEnd w:id="1276"/>
    </w:p>
    <w:p w14:paraId="3FF7B62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FF36FE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77" w:name="_Toc28851"/>
      <w:bookmarkStart w:id="1278" w:name="_Toc8630"/>
      <w:bookmarkStart w:id="1279" w:name="_Toc14371"/>
      <w:bookmarkStart w:id="1280" w:name="_Toc26633"/>
      <w:bookmarkStart w:id="1281" w:name="_Toc27962"/>
      <w:bookmarkStart w:id="1282" w:name="_Toc10500"/>
      <w:bookmarkStart w:id="1283" w:name="_Toc17551"/>
      <w:bookmarkStart w:id="1284" w:name="_Toc18064"/>
      <w:bookmarkStart w:id="1285" w:name="_Toc4720"/>
      <w:bookmarkStart w:id="1286" w:name="_Toc32494"/>
      <w:bookmarkStart w:id="1287" w:name="_Toc25571"/>
      <w:r>
        <w:rPr>
          <w:rFonts w:hint="eastAsia" w:ascii="微软雅黑" w:hAnsi="微软雅黑" w:eastAsia="微软雅黑" w:cs="微软雅黑"/>
          <w:b/>
          <w:bCs/>
          <w:color w:val="auto"/>
          <w:sz w:val="24"/>
          <w:szCs w:val="24"/>
          <w:highlight w:val="none"/>
        </w:rPr>
        <w:t>2.12不可抗力</w:t>
      </w:r>
      <w:bookmarkEnd w:id="1277"/>
      <w:bookmarkEnd w:id="1278"/>
      <w:bookmarkEnd w:id="1279"/>
      <w:bookmarkEnd w:id="1280"/>
      <w:bookmarkEnd w:id="1281"/>
      <w:bookmarkEnd w:id="1282"/>
      <w:bookmarkEnd w:id="1283"/>
      <w:bookmarkEnd w:id="1284"/>
      <w:bookmarkEnd w:id="1285"/>
      <w:bookmarkEnd w:id="1286"/>
      <w:bookmarkEnd w:id="1287"/>
    </w:p>
    <w:p w14:paraId="4D2276B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2.12.1如果任何一方遭遇法律规定的不可抗力，致使合同履行受阻时，履行合同的期限应予延长，延长的期限应相当于不可抗力所影响的时间；</w:t>
      </w:r>
    </w:p>
    <w:p w14:paraId="73321C5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2.12.2因不可抗力致使不能实现合同目的的，当事人可以解除合同；</w:t>
      </w:r>
    </w:p>
    <w:p w14:paraId="12D0862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2.12.3因不可抗力致使合同有变更必要的，双方当事人应在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内以书面形式变更合同；</w:t>
      </w:r>
    </w:p>
    <w:p w14:paraId="6808638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2.12.4受不可抗力影响的一方在不可抗力发生后，应在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内以书面形式通知对方当事人，并在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内，将有关部门出具的证明文件送达对方当事人。</w:t>
      </w:r>
    </w:p>
    <w:p w14:paraId="377D4EDF">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88" w:name="_Toc3638"/>
      <w:bookmarkStart w:id="1289" w:name="_Toc15042"/>
      <w:bookmarkStart w:id="1290" w:name="_Toc12231"/>
      <w:bookmarkStart w:id="1291" w:name="_Toc23854"/>
      <w:bookmarkStart w:id="1292" w:name="_Toc18692"/>
      <w:bookmarkStart w:id="1293" w:name="_Toc25783"/>
      <w:bookmarkStart w:id="1294" w:name="_Toc14115"/>
      <w:bookmarkStart w:id="1295" w:name="_Toc20962"/>
      <w:bookmarkStart w:id="1296" w:name="_Toc9467"/>
      <w:bookmarkStart w:id="1297" w:name="_Toc24465"/>
      <w:bookmarkStart w:id="1298" w:name="_Toc914"/>
      <w:r>
        <w:rPr>
          <w:rFonts w:hint="eastAsia" w:ascii="微软雅黑" w:hAnsi="微软雅黑" w:eastAsia="微软雅黑" w:cs="微软雅黑"/>
          <w:b/>
          <w:bCs/>
          <w:color w:val="auto"/>
          <w:sz w:val="24"/>
          <w:szCs w:val="24"/>
          <w:highlight w:val="none"/>
        </w:rPr>
        <w:t>2.13税费</w:t>
      </w:r>
      <w:bookmarkEnd w:id="1288"/>
      <w:bookmarkEnd w:id="1289"/>
      <w:bookmarkEnd w:id="1290"/>
      <w:bookmarkEnd w:id="1291"/>
      <w:bookmarkEnd w:id="1292"/>
      <w:bookmarkEnd w:id="1293"/>
      <w:bookmarkEnd w:id="1294"/>
      <w:bookmarkEnd w:id="1295"/>
      <w:bookmarkEnd w:id="1296"/>
      <w:bookmarkEnd w:id="1297"/>
      <w:bookmarkEnd w:id="1298"/>
    </w:p>
    <w:p w14:paraId="0DAA6A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与合同有关的一切税费，均按照中华人民共和国法律的相关规定缴纳。</w:t>
      </w:r>
    </w:p>
    <w:p w14:paraId="70269C1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99" w:name="_Toc27164"/>
      <w:bookmarkStart w:id="1300" w:name="_Toc25525"/>
      <w:bookmarkStart w:id="1301" w:name="_Toc5302"/>
      <w:bookmarkStart w:id="1302" w:name="_Toc30105"/>
      <w:bookmarkStart w:id="1303" w:name="_Toc27119"/>
      <w:bookmarkStart w:id="1304" w:name="_Toc26476"/>
      <w:bookmarkStart w:id="1305" w:name="_Toc21593"/>
      <w:bookmarkStart w:id="1306" w:name="_Toc26678"/>
      <w:bookmarkStart w:id="1307" w:name="_Toc26883"/>
      <w:bookmarkStart w:id="1308" w:name="_Toc7315"/>
      <w:bookmarkStart w:id="1309" w:name="_Toc14814"/>
      <w:r>
        <w:rPr>
          <w:rFonts w:hint="eastAsia" w:ascii="微软雅黑" w:hAnsi="微软雅黑" w:eastAsia="微软雅黑" w:cs="微软雅黑"/>
          <w:b/>
          <w:bCs/>
          <w:color w:val="auto"/>
          <w:sz w:val="24"/>
          <w:szCs w:val="24"/>
          <w:highlight w:val="none"/>
        </w:rPr>
        <w:t>2.14乙方破产</w:t>
      </w:r>
      <w:bookmarkEnd w:id="1299"/>
      <w:bookmarkEnd w:id="1300"/>
      <w:bookmarkEnd w:id="1301"/>
      <w:bookmarkEnd w:id="1302"/>
      <w:bookmarkEnd w:id="1303"/>
      <w:bookmarkEnd w:id="1304"/>
      <w:bookmarkEnd w:id="1305"/>
      <w:bookmarkEnd w:id="1306"/>
      <w:bookmarkEnd w:id="1307"/>
      <w:bookmarkEnd w:id="1308"/>
      <w:bookmarkEnd w:id="1309"/>
    </w:p>
    <w:p w14:paraId="648746E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622DC1">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10" w:name="_Toc24189"/>
      <w:bookmarkStart w:id="1311" w:name="_Toc24614"/>
      <w:bookmarkStart w:id="1312" w:name="_Toc23323"/>
      <w:bookmarkStart w:id="1313" w:name="_Toc2016"/>
      <w:bookmarkStart w:id="1314" w:name="_Toc3791"/>
      <w:bookmarkStart w:id="1315" w:name="_Toc9735"/>
      <w:bookmarkStart w:id="1316" w:name="_Toc1123"/>
      <w:bookmarkStart w:id="1317" w:name="_Toc18508"/>
      <w:bookmarkStart w:id="1318" w:name="_Toc10235"/>
      <w:r>
        <w:rPr>
          <w:rFonts w:hint="eastAsia" w:ascii="微软雅黑" w:hAnsi="微软雅黑" w:eastAsia="微软雅黑" w:cs="微软雅黑"/>
          <w:b/>
          <w:bCs/>
          <w:color w:val="auto"/>
          <w:sz w:val="24"/>
          <w:szCs w:val="24"/>
          <w:highlight w:val="none"/>
        </w:rPr>
        <w:t>2.15合同中止、终止</w:t>
      </w:r>
      <w:bookmarkEnd w:id="1310"/>
      <w:bookmarkEnd w:id="1311"/>
      <w:bookmarkEnd w:id="1312"/>
      <w:bookmarkEnd w:id="1313"/>
      <w:bookmarkEnd w:id="1314"/>
      <w:bookmarkEnd w:id="1315"/>
      <w:bookmarkEnd w:id="1316"/>
      <w:bookmarkEnd w:id="1317"/>
      <w:bookmarkEnd w:id="1318"/>
    </w:p>
    <w:p w14:paraId="2A2800D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2.15.1双方当事人不得擅自中止或者终止合同；</w:t>
      </w:r>
    </w:p>
    <w:p w14:paraId="6DC40E6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1F5D12C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19" w:name="_Toc27931"/>
      <w:bookmarkStart w:id="1320" w:name="_Toc14525"/>
      <w:bookmarkStart w:id="1321" w:name="_Toc4661"/>
      <w:bookmarkStart w:id="1322" w:name="_Toc1969"/>
      <w:bookmarkStart w:id="1323" w:name="_Toc13139"/>
      <w:bookmarkStart w:id="1324" w:name="_Toc17363"/>
      <w:bookmarkStart w:id="1325" w:name="_Toc31753"/>
      <w:bookmarkStart w:id="1326" w:name="_Toc21927"/>
      <w:bookmarkStart w:id="1327" w:name="_Toc28282"/>
      <w:r>
        <w:rPr>
          <w:rFonts w:hint="eastAsia" w:ascii="微软雅黑" w:hAnsi="微软雅黑" w:eastAsia="微软雅黑" w:cs="微软雅黑"/>
          <w:b/>
          <w:bCs/>
          <w:color w:val="auto"/>
          <w:sz w:val="24"/>
          <w:szCs w:val="24"/>
          <w:highlight w:val="none"/>
        </w:rPr>
        <w:t>2.16检验和验收</w:t>
      </w:r>
      <w:bookmarkEnd w:id="1319"/>
      <w:bookmarkEnd w:id="1320"/>
      <w:bookmarkEnd w:id="1321"/>
      <w:bookmarkEnd w:id="1322"/>
      <w:bookmarkEnd w:id="1323"/>
      <w:bookmarkEnd w:id="1324"/>
      <w:bookmarkEnd w:id="1325"/>
      <w:bookmarkEnd w:id="1326"/>
      <w:bookmarkEnd w:id="1327"/>
    </w:p>
    <w:p w14:paraId="20DCE41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2.16.1货物交付前，乙方应对货物的质量、数量等方面进行详细、全面的检验，并向甲方出具证明货物符合合同约定的文件；货物交付时，乙方在</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约定时间内组织验收，并可依法邀请相关方参加，验收应出具验收书。</w:t>
      </w:r>
    </w:p>
    <w:p w14:paraId="3552C43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E6F43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2.16.3检验和验收标准、程序等具体内容以及前述验收书的效力详见</w:t>
      </w:r>
      <w:r>
        <w:rPr>
          <w:rFonts w:hint="eastAsia" w:ascii="微软雅黑" w:hAnsi="微软雅黑" w:eastAsia="微软雅黑" w:cs="微软雅黑"/>
          <w:color w:val="auto"/>
          <w:sz w:val="24"/>
          <w:szCs w:val="24"/>
          <w:highlight w:val="none"/>
          <w:u w:val="single"/>
        </w:rPr>
        <w:t>合同专用条款。</w:t>
      </w:r>
    </w:p>
    <w:p w14:paraId="73C1CB3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28" w:name="_Toc31892"/>
      <w:bookmarkStart w:id="1329" w:name="_Toc2308"/>
      <w:bookmarkStart w:id="1330" w:name="_Toc21022"/>
      <w:bookmarkStart w:id="1331" w:name="_Toc26606"/>
      <w:bookmarkStart w:id="1332" w:name="_Toc12666"/>
      <w:bookmarkStart w:id="1333" w:name="_Toc25198"/>
      <w:bookmarkStart w:id="1334" w:name="_Toc9808"/>
      <w:bookmarkStart w:id="1335" w:name="_Toc32200"/>
      <w:bookmarkStart w:id="1336" w:name="_Toc23066"/>
      <w:bookmarkStart w:id="1337" w:name="_Toc2628"/>
      <w:bookmarkStart w:id="1338" w:name="_Toc9092"/>
      <w:r>
        <w:rPr>
          <w:rFonts w:hint="eastAsia" w:ascii="微软雅黑" w:hAnsi="微软雅黑" w:eastAsia="微软雅黑" w:cs="微软雅黑"/>
          <w:b/>
          <w:bCs/>
          <w:color w:val="auto"/>
          <w:sz w:val="24"/>
          <w:szCs w:val="24"/>
          <w:highlight w:val="none"/>
        </w:rPr>
        <w:t>2.17通知和送达</w:t>
      </w:r>
      <w:bookmarkEnd w:id="1328"/>
      <w:bookmarkEnd w:id="1329"/>
      <w:bookmarkEnd w:id="1330"/>
      <w:bookmarkEnd w:id="1331"/>
      <w:bookmarkEnd w:id="1332"/>
      <w:bookmarkEnd w:id="1333"/>
      <w:bookmarkEnd w:id="1334"/>
      <w:bookmarkEnd w:id="1335"/>
      <w:bookmarkEnd w:id="1336"/>
      <w:bookmarkEnd w:id="1337"/>
      <w:bookmarkEnd w:id="1338"/>
    </w:p>
    <w:p w14:paraId="29F24B3E">
      <w:pPr>
        <w:spacing w:line="360" w:lineRule="auto"/>
        <w:ind w:firstLine="480" w:firstLineChars="200"/>
        <w:rPr>
          <w:rFonts w:hint="eastAsia" w:ascii="微软雅黑" w:hAnsi="微软雅黑" w:eastAsia="微软雅黑" w:cs="微软雅黑"/>
          <w:color w:val="auto"/>
          <w:sz w:val="24"/>
          <w:szCs w:val="24"/>
          <w:highlight w:val="none"/>
        </w:rPr>
      </w:pPr>
      <w:bookmarkStart w:id="1339" w:name="_Toc7073"/>
      <w:bookmarkStart w:id="1340" w:name="_Toc29220"/>
      <w:r>
        <w:rPr>
          <w:rFonts w:hint="eastAsia" w:ascii="微软雅黑" w:hAnsi="微软雅黑" w:eastAsia="微软雅黑" w:cs="微软雅黑"/>
          <w:color w:val="auto"/>
          <w:sz w:val="24"/>
          <w:szCs w:val="24"/>
          <w:highlight w:val="none"/>
        </w:rPr>
        <w:t>2.17.1任何一方因履行合同而以合同第一部分尾部所列明的所有通知、文件、材料，均视为已向对方当事人送达；任何一方变更上述送达方式或者地址的，应于</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color w:val="auto"/>
          <w:sz w:val="24"/>
          <w:szCs w:val="24"/>
          <w:highlight w:val="none"/>
        </w:rPr>
        <w:t>个工作日内书面通知对方当事人，在对方当事人收到有关变更通知之前，变更前的约定送达方式或者地址仍视为有效。</w:t>
      </w:r>
      <w:bookmarkEnd w:id="1339"/>
      <w:bookmarkEnd w:id="1340"/>
    </w:p>
    <w:p w14:paraId="115769BC">
      <w:pPr>
        <w:spacing w:line="360" w:lineRule="auto"/>
        <w:ind w:firstLine="480" w:firstLineChars="200"/>
        <w:rPr>
          <w:rFonts w:hint="eastAsia" w:ascii="微软雅黑" w:hAnsi="微软雅黑" w:eastAsia="微软雅黑" w:cs="微软雅黑"/>
          <w:color w:val="auto"/>
          <w:sz w:val="24"/>
          <w:szCs w:val="24"/>
          <w:highlight w:val="none"/>
        </w:rPr>
      </w:pPr>
      <w:bookmarkStart w:id="1341" w:name="_Toc18401"/>
      <w:bookmarkStart w:id="1342" w:name="_Toc27674"/>
      <w:r>
        <w:rPr>
          <w:rFonts w:hint="eastAsia" w:ascii="微软雅黑" w:hAnsi="微软雅黑" w:eastAsia="微软雅黑" w:cs="微软雅黑"/>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41"/>
      <w:bookmarkEnd w:id="1342"/>
    </w:p>
    <w:p w14:paraId="63D08C0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43" w:name="_Toc1478"/>
      <w:bookmarkStart w:id="1344" w:name="_Toc1420"/>
      <w:bookmarkStart w:id="1345" w:name="_Toc20171"/>
      <w:bookmarkStart w:id="1346" w:name="_Toc3711"/>
      <w:bookmarkStart w:id="1347" w:name="_Toc27644"/>
      <w:bookmarkStart w:id="1348" w:name="_Toc28906"/>
      <w:bookmarkStart w:id="1349" w:name="_Toc6574"/>
      <w:bookmarkStart w:id="1350" w:name="_Toc12254"/>
      <w:bookmarkStart w:id="1351" w:name="_Toc17754"/>
      <w:bookmarkStart w:id="1352" w:name="_Toc5063"/>
      <w:bookmarkStart w:id="1353" w:name="_Toc20808"/>
      <w:r>
        <w:rPr>
          <w:rFonts w:hint="eastAsia" w:ascii="微软雅黑" w:hAnsi="微软雅黑" w:eastAsia="微软雅黑" w:cs="微软雅黑"/>
          <w:b/>
          <w:bCs/>
          <w:color w:val="auto"/>
          <w:sz w:val="24"/>
          <w:szCs w:val="24"/>
          <w:highlight w:val="none"/>
        </w:rPr>
        <w:t>2.18合同使用的文字和适用的法律</w:t>
      </w:r>
      <w:bookmarkEnd w:id="1343"/>
      <w:bookmarkEnd w:id="1344"/>
      <w:bookmarkEnd w:id="1345"/>
      <w:bookmarkEnd w:id="1346"/>
      <w:bookmarkEnd w:id="1347"/>
      <w:bookmarkEnd w:id="1348"/>
      <w:bookmarkEnd w:id="1349"/>
      <w:bookmarkEnd w:id="1350"/>
      <w:bookmarkEnd w:id="1351"/>
      <w:bookmarkEnd w:id="1352"/>
      <w:bookmarkEnd w:id="1353"/>
    </w:p>
    <w:p w14:paraId="0072A40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2.18.1合同使用汉语书就、变更和解释；</w:t>
      </w:r>
    </w:p>
    <w:p w14:paraId="0A511C1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2.18.2合同适用中华人民共和国法律。</w:t>
      </w:r>
    </w:p>
    <w:p w14:paraId="5590D15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54" w:name="_Toc18540"/>
      <w:bookmarkStart w:id="1355" w:name="_Toc2476"/>
      <w:bookmarkStart w:id="1356" w:name="_Toc4355"/>
      <w:r>
        <w:rPr>
          <w:rFonts w:hint="eastAsia" w:ascii="微软雅黑" w:hAnsi="微软雅黑" w:eastAsia="微软雅黑" w:cs="微软雅黑"/>
          <w:b/>
          <w:bCs/>
          <w:color w:val="auto"/>
          <w:sz w:val="24"/>
          <w:szCs w:val="24"/>
          <w:highlight w:val="none"/>
        </w:rPr>
        <w:t>2.19计量单位</w:t>
      </w:r>
      <w:bookmarkEnd w:id="1354"/>
      <w:bookmarkEnd w:id="1355"/>
      <w:bookmarkEnd w:id="1356"/>
    </w:p>
    <w:p w14:paraId="58E47C2A">
      <w:pPr>
        <w:pStyle w:val="23"/>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pacing w:val="0"/>
          <w:kern w:val="2"/>
          <w:sz w:val="24"/>
          <w:szCs w:val="24"/>
          <w:highlight w:val="none"/>
        </w:rPr>
        <w:t>除技术规范中另有规定外,合同的计量单位均使用国家法定计量单位。</w:t>
      </w:r>
    </w:p>
    <w:p w14:paraId="57B77A4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57" w:name="_Toc12086"/>
      <w:bookmarkStart w:id="1358" w:name="_Toc22266"/>
      <w:bookmarkStart w:id="1359" w:name="_Toc27127"/>
      <w:bookmarkStart w:id="1360" w:name="_Toc27403"/>
      <w:bookmarkStart w:id="1361" w:name="_Toc30096"/>
      <w:bookmarkStart w:id="1362" w:name="_Toc31842"/>
      <w:bookmarkStart w:id="1363" w:name="_Toc8971"/>
      <w:bookmarkStart w:id="1364" w:name="_Toc6092"/>
      <w:bookmarkStart w:id="1365" w:name="_Toc23844"/>
      <w:bookmarkStart w:id="1366" w:name="_Toc29801"/>
      <w:bookmarkStart w:id="1367" w:name="_Toc1492"/>
      <w:r>
        <w:rPr>
          <w:rFonts w:hint="eastAsia" w:ascii="微软雅黑" w:hAnsi="微软雅黑" w:eastAsia="微软雅黑" w:cs="微软雅黑"/>
          <w:b/>
          <w:bCs/>
          <w:color w:val="auto"/>
          <w:sz w:val="24"/>
          <w:szCs w:val="24"/>
          <w:highlight w:val="none"/>
        </w:rPr>
        <w:t>2.20履约保证金</w:t>
      </w:r>
      <w:bookmarkEnd w:id="1357"/>
      <w:bookmarkEnd w:id="1358"/>
      <w:bookmarkEnd w:id="1359"/>
      <w:bookmarkEnd w:id="1360"/>
      <w:bookmarkEnd w:id="1361"/>
      <w:bookmarkEnd w:id="1362"/>
      <w:bookmarkEnd w:id="1363"/>
      <w:bookmarkEnd w:id="1364"/>
      <w:bookmarkEnd w:id="1365"/>
      <w:bookmarkEnd w:id="1366"/>
      <w:bookmarkEnd w:id="1367"/>
    </w:p>
    <w:p w14:paraId="52C1A21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2.20.1采购文件要求乙方提交履约保证金的，乙方应按合同金额的</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b/>
          <w:bCs/>
          <w:color w:val="auto"/>
          <w:sz w:val="24"/>
          <w:szCs w:val="24"/>
          <w:highlight w:val="none"/>
          <w:u w:val="single"/>
        </w:rPr>
        <w:t>%</w:t>
      </w:r>
      <w:r>
        <w:rPr>
          <w:rFonts w:hint="eastAsia" w:ascii="微软雅黑" w:hAnsi="微软雅黑" w:eastAsia="微软雅黑" w:cs="微软雅黑"/>
          <w:color w:val="auto"/>
          <w:sz w:val="24"/>
          <w:szCs w:val="24"/>
          <w:highlight w:val="none"/>
        </w:rPr>
        <w:t>计算向下取整至万元，以支票、汇票或者转账等非现金形式，在签订合同前5个日历日内向采购人交纳履约保证金；</w:t>
      </w:r>
    </w:p>
    <w:p w14:paraId="3994C7C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2.20.2履约保证金待质保期满后无息返还乙方；</w:t>
      </w:r>
    </w:p>
    <w:p w14:paraId="216217C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4CE02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68" w:name="_Toc3684"/>
      <w:bookmarkStart w:id="1369" w:name="_Toc31492"/>
      <w:bookmarkStart w:id="1370" w:name="_Toc2939"/>
      <w:bookmarkStart w:id="1371" w:name="_Toc11668"/>
      <w:r>
        <w:rPr>
          <w:rFonts w:hint="eastAsia" w:ascii="微软雅黑" w:hAnsi="微软雅黑" w:eastAsia="微软雅黑" w:cs="微软雅黑"/>
          <w:b/>
          <w:bCs/>
          <w:color w:val="auto"/>
          <w:sz w:val="24"/>
          <w:szCs w:val="24"/>
          <w:highlight w:val="none"/>
        </w:rPr>
        <w:t>2.21合同份数</w:t>
      </w:r>
      <w:bookmarkEnd w:id="1368"/>
      <w:bookmarkEnd w:id="1369"/>
      <w:bookmarkEnd w:id="1370"/>
      <w:bookmarkEnd w:id="1371"/>
    </w:p>
    <w:p w14:paraId="5FC7D1E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合同一式四份，甲乙双方各持2份，每份均具有同等法律效力。</w:t>
      </w:r>
    </w:p>
    <w:p w14:paraId="6494B6DF">
      <w:pPr>
        <w:pStyle w:val="18"/>
        <w:ind w:firstLine="0" w:firstLineChars="0"/>
        <w:rPr>
          <w:rFonts w:hint="eastAsia" w:ascii="微软雅黑" w:hAnsi="微软雅黑" w:eastAsia="微软雅黑" w:cs="微软雅黑"/>
          <w:color w:val="auto"/>
          <w:kern w:val="44"/>
          <w:sz w:val="24"/>
          <w:szCs w:val="24"/>
          <w:highlight w:val="none"/>
        </w:rPr>
      </w:pPr>
    </w:p>
    <w:p w14:paraId="00396E65">
      <w:pPr>
        <w:pStyle w:val="32"/>
        <w:spacing w:line="560" w:lineRule="exact"/>
        <w:ind w:firstLine="0"/>
        <w:jc w:val="center"/>
        <w:rPr>
          <w:rFonts w:hint="eastAsia" w:ascii="微软雅黑" w:hAnsi="微软雅黑" w:eastAsia="微软雅黑" w:cs="微软雅黑"/>
          <w:b/>
          <w:bCs/>
          <w:color w:val="auto"/>
          <w:kern w:val="2"/>
          <w:sz w:val="24"/>
          <w:szCs w:val="24"/>
          <w:highlight w:val="none"/>
        </w:rPr>
      </w:pPr>
      <w:bookmarkStart w:id="1372" w:name="_Toc331685784"/>
      <w:r>
        <w:rPr>
          <w:rFonts w:hint="eastAsia" w:ascii="微软雅黑" w:hAnsi="微软雅黑" w:eastAsia="微软雅黑" w:cs="微软雅黑"/>
          <w:b/>
          <w:bCs/>
          <w:color w:val="auto"/>
          <w:kern w:val="2"/>
          <w:sz w:val="24"/>
          <w:szCs w:val="24"/>
          <w:highlight w:val="none"/>
        </w:rPr>
        <w:t>第三部分合同专用条款</w:t>
      </w:r>
      <w:bookmarkEnd w:id="1372"/>
    </w:p>
    <w:p w14:paraId="12A1ECC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89F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9D078CB">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条款号</w:t>
            </w:r>
          </w:p>
        </w:tc>
        <w:tc>
          <w:tcPr>
            <w:tcW w:w="7633" w:type="dxa"/>
            <w:vAlign w:val="center"/>
          </w:tcPr>
          <w:p w14:paraId="0CBB25DA">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约定内容</w:t>
            </w:r>
          </w:p>
        </w:tc>
      </w:tr>
      <w:tr w14:paraId="26E3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05ED70D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2AF520F">
            <w:pPr>
              <w:spacing w:line="560" w:lineRule="exact"/>
              <w:rPr>
                <w:rFonts w:hint="eastAsia" w:ascii="微软雅黑" w:hAnsi="微软雅黑" w:eastAsia="微软雅黑" w:cs="微软雅黑"/>
                <w:color w:val="auto"/>
                <w:sz w:val="24"/>
                <w:szCs w:val="24"/>
                <w:highlight w:val="none"/>
              </w:rPr>
            </w:pPr>
          </w:p>
        </w:tc>
      </w:tr>
      <w:tr w14:paraId="0B1B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A56FBE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74E2889">
            <w:pPr>
              <w:spacing w:line="560" w:lineRule="exact"/>
              <w:rPr>
                <w:rFonts w:hint="eastAsia" w:ascii="微软雅黑" w:hAnsi="微软雅黑" w:eastAsia="微软雅黑" w:cs="微软雅黑"/>
                <w:color w:val="auto"/>
                <w:sz w:val="24"/>
                <w:szCs w:val="24"/>
                <w:highlight w:val="none"/>
              </w:rPr>
            </w:pPr>
          </w:p>
        </w:tc>
      </w:tr>
      <w:tr w14:paraId="50BBB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0E9EF7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D8C49FD">
            <w:pPr>
              <w:spacing w:line="560" w:lineRule="exact"/>
              <w:rPr>
                <w:rFonts w:hint="eastAsia" w:ascii="微软雅黑" w:hAnsi="微软雅黑" w:eastAsia="微软雅黑" w:cs="微软雅黑"/>
                <w:color w:val="auto"/>
                <w:sz w:val="24"/>
                <w:szCs w:val="24"/>
                <w:highlight w:val="none"/>
              </w:rPr>
            </w:pPr>
          </w:p>
        </w:tc>
      </w:tr>
      <w:tr w14:paraId="418F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74869E9">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64B64F64">
            <w:pPr>
              <w:spacing w:line="560" w:lineRule="exact"/>
              <w:rPr>
                <w:rFonts w:hint="eastAsia" w:ascii="微软雅黑" w:hAnsi="微软雅黑" w:eastAsia="微软雅黑" w:cs="微软雅黑"/>
                <w:color w:val="auto"/>
                <w:sz w:val="24"/>
                <w:szCs w:val="24"/>
                <w:highlight w:val="none"/>
              </w:rPr>
            </w:pPr>
          </w:p>
        </w:tc>
      </w:tr>
      <w:tr w14:paraId="5A015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AA96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7BBA28A1">
            <w:pPr>
              <w:spacing w:line="560" w:lineRule="exact"/>
              <w:rPr>
                <w:rFonts w:hint="eastAsia" w:ascii="微软雅黑" w:hAnsi="微软雅黑" w:eastAsia="微软雅黑" w:cs="微软雅黑"/>
                <w:color w:val="auto"/>
                <w:sz w:val="24"/>
                <w:szCs w:val="24"/>
                <w:highlight w:val="none"/>
                <w:u w:val="single"/>
              </w:rPr>
            </w:pPr>
          </w:p>
        </w:tc>
      </w:tr>
      <w:tr w14:paraId="76F4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574D3C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832A0BA">
            <w:pPr>
              <w:spacing w:line="560" w:lineRule="exact"/>
              <w:rPr>
                <w:rFonts w:hint="eastAsia" w:ascii="微软雅黑" w:hAnsi="微软雅黑" w:eastAsia="微软雅黑" w:cs="微软雅黑"/>
                <w:color w:val="auto"/>
                <w:sz w:val="24"/>
                <w:szCs w:val="24"/>
                <w:highlight w:val="none"/>
              </w:rPr>
            </w:pPr>
          </w:p>
        </w:tc>
      </w:tr>
      <w:tr w14:paraId="4D7C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9A4331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5B52A61">
            <w:pPr>
              <w:spacing w:line="560" w:lineRule="exact"/>
              <w:rPr>
                <w:rFonts w:hint="eastAsia" w:ascii="微软雅黑" w:hAnsi="微软雅黑" w:eastAsia="微软雅黑" w:cs="微软雅黑"/>
                <w:color w:val="auto"/>
                <w:sz w:val="24"/>
                <w:szCs w:val="24"/>
                <w:highlight w:val="none"/>
                <w:u w:val="single"/>
              </w:rPr>
            </w:pPr>
          </w:p>
        </w:tc>
      </w:tr>
      <w:tr w14:paraId="54CF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AF97F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0F9FAAFF">
            <w:pPr>
              <w:spacing w:line="560" w:lineRule="exact"/>
              <w:rPr>
                <w:rFonts w:hint="eastAsia" w:ascii="微软雅黑" w:hAnsi="微软雅黑" w:eastAsia="微软雅黑" w:cs="微软雅黑"/>
                <w:color w:val="auto"/>
                <w:sz w:val="24"/>
                <w:szCs w:val="24"/>
                <w:highlight w:val="none"/>
              </w:rPr>
            </w:pPr>
          </w:p>
        </w:tc>
      </w:tr>
      <w:tr w14:paraId="132D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E6EE3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6782B8B">
            <w:pPr>
              <w:spacing w:line="560" w:lineRule="exact"/>
              <w:rPr>
                <w:rFonts w:hint="eastAsia" w:ascii="微软雅黑" w:hAnsi="微软雅黑" w:eastAsia="微软雅黑" w:cs="微软雅黑"/>
                <w:color w:val="auto"/>
                <w:sz w:val="24"/>
                <w:szCs w:val="24"/>
                <w:highlight w:val="none"/>
              </w:rPr>
            </w:pPr>
          </w:p>
        </w:tc>
      </w:tr>
      <w:tr w14:paraId="01D4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4401890">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206B6BFB">
            <w:pPr>
              <w:spacing w:line="560" w:lineRule="exact"/>
              <w:rPr>
                <w:rFonts w:hint="eastAsia" w:ascii="微软雅黑" w:hAnsi="微软雅黑" w:eastAsia="微软雅黑" w:cs="微软雅黑"/>
                <w:color w:val="auto"/>
                <w:sz w:val="24"/>
                <w:szCs w:val="24"/>
                <w:highlight w:val="none"/>
              </w:rPr>
            </w:pPr>
          </w:p>
        </w:tc>
      </w:tr>
      <w:tr w14:paraId="6EFD5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EA6704">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38866845">
            <w:pPr>
              <w:spacing w:line="560" w:lineRule="exact"/>
              <w:rPr>
                <w:rFonts w:hint="eastAsia" w:ascii="微软雅黑" w:hAnsi="微软雅黑" w:eastAsia="微软雅黑" w:cs="微软雅黑"/>
                <w:color w:val="auto"/>
                <w:sz w:val="24"/>
                <w:szCs w:val="24"/>
                <w:highlight w:val="none"/>
              </w:rPr>
            </w:pPr>
          </w:p>
        </w:tc>
      </w:tr>
      <w:tr w14:paraId="2B1F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56F9B35">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3E336CA">
            <w:pPr>
              <w:spacing w:line="560" w:lineRule="exact"/>
              <w:rPr>
                <w:rFonts w:hint="eastAsia" w:ascii="微软雅黑" w:hAnsi="微软雅黑" w:eastAsia="微软雅黑" w:cs="微软雅黑"/>
                <w:color w:val="auto"/>
                <w:sz w:val="24"/>
                <w:szCs w:val="24"/>
                <w:highlight w:val="none"/>
              </w:rPr>
            </w:pPr>
          </w:p>
        </w:tc>
      </w:tr>
    </w:tbl>
    <w:p w14:paraId="46FF2D2C">
      <w:pPr>
        <w:pStyle w:val="18"/>
        <w:ind w:firstLine="560"/>
        <w:rPr>
          <w:rFonts w:hint="eastAsia" w:ascii="微软雅黑" w:hAnsi="微软雅黑" w:eastAsia="微软雅黑" w:cs="微软雅黑"/>
          <w:color w:val="auto"/>
          <w:kern w:val="44"/>
          <w:sz w:val="24"/>
          <w:szCs w:val="24"/>
          <w:highlight w:val="none"/>
        </w:rPr>
      </w:pPr>
    </w:p>
    <w:p w14:paraId="5672207F">
      <w:pPr>
        <w:pStyle w:val="7"/>
        <w:spacing w:line="360" w:lineRule="auto"/>
        <w:ind w:firstLine="0"/>
        <w:rPr>
          <w:rFonts w:hint="eastAsia" w:ascii="微软雅黑" w:hAnsi="微软雅黑" w:eastAsia="微软雅黑" w:cs="微软雅黑"/>
          <w:color w:val="auto"/>
          <w:sz w:val="24"/>
          <w:szCs w:val="24"/>
          <w:highlight w:val="none"/>
        </w:rPr>
      </w:pPr>
    </w:p>
    <w:p w14:paraId="0B180624">
      <w:pPr>
        <w:pStyle w:val="3"/>
        <w:spacing w:before="0" w:line="360" w:lineRule="auto"/>
        <w:ind w:left="1080" w:leftChars="257" w:hanging="540"/>
        <w:rPr>
          <w:rFonts w:hint="eastAsia" w:ascii="微软雅黑" w:hAnsi="微软雅黑" w:eastAsia="微软雅黑" w:cs="微软雅黑"/>
          <w:color w:val="auto"/>
          <w:sz w:val="24"/>
          <w:szCs w:val="24"/>
          <w:highlight w:val="none"/>
        </w:rPr>
      </w:pPr>
    </w:p>
    <w:p w14:paraId="42784CA2">
      <w:pPr>
        <w:rPr>
          <w:rFonts w:hint="eastAsia" w:ascii="微软雅黑" w:hAnsi="微软雅黑" w:eastAsia="微软雅黑" w:cs="微软雅黑"/>
          <w:color w:val="auto"/>
          <w:sz w:val="24"/>
          <w:szCs w:val="24"/>
          <w:highlight w:val="none"/>
        </w:rPr>
      </w:pPr>
    </w:p>
    <w:p w14:paraId="0D501F82">
      <w:pPr>
        <w:rPr>
          <w:rFonts w:hint="eastAsia" w:ascii="微软雅黑" w:hAnsi="微软雅黑" w:eastAsia="微软雅黑" w:cs="微软雅黑"/>
          <w:color w:val="auto"/>
          <w:sz w:val="24"/>
          <w:szCs w:val="24"/>
          <w:highlight w:val="none"/>
        </w:rPr>
      </w:pPr>
    </w:p>
    <w:p w14:paraId="488B995E"/>
    <w:sectPr>
      <w:headerReference r:id="rId8" w:type="default"/>
      <w:footerReference r:id="rId9"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54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0D8A">
    <w:pPr>
      <w:pStyle w:val="13"/>
      <w:framePr w:wrap="around" w:vAnchor="text" w:hAnchor="margin" w:xAlign="center" w:y="1"/>
      <w:rPr>
        <w:rStyle w:val="22"/>
      </w:rPr>
    </w:pPr>
    <w:r>
      <w:fldChar w:fldCharType="begin"/>
    </w:r>
    <w:r>
      <w:rPr>
        <w:rStyle w:val="22"/>
      </w:rPr>
      <w:instrText xml:space="preserve">PAGE  </w:instrText>
    </w:r>
    <w:r>
      <w:fldChar w:fldCharType="end"/>
    </w:r>
  </w:p>
  <w:p w14:paraId="57B2C7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58B">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190654">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14:paraId="65190654">
                    <w:pPr>
                      <w:pStyle w:val="13"/>
                    </w:pPr>
                    <w:r>
                      <w:fldChar w:fldCharType="begin"/>
                    </w:r>
                    <w:r>
                      <w:instrText xml:space="preserve"> PAGE  \* MERGEFORMAT </w:instrText>
                    </w:r>
                    <w:r>
                      <w:fldChar w:fldCharType="separate"/>
                    </w:r>
                    <w:r>
                      <w:t>60</w:t>
                    </w:r>
                    <w:r>
                      <w:fldChar w:fldCharType="end"/>
                    </w:r>
                  </w:p>
                </w:txbxContent>
              </v:textbox>
            </v:shape>
          </w:pict>
        </mc:Fallback>
      </mc:AlternateContent>
    </w:r>
  </w:p>
  <w:p w14:paraId="2687AC19">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9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v:textbox>
            </v:shape>
          </w:pict>
        </mc:Fallback>
      </mc:AlternateContent>
    </w:r>
  </w:p>
  <w:p w14:paraId="7FE8B154">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D5B">
    <w:pPr>
      <w:pStyle w:val="14"/>
      <w:jc w:val="both"/>
      <w:rPr>
        <w:rFonts w:hint="eastAsia" w:eastAsia="宋体"/>
        <w:lang w:eastAsia="zh-CN"/>
      </w:rPr>
    </w:pPr>
    <w:r>
      <w:rPr>
        <w:rFonts w:hint="eastAsia"/>
      </w:rPr>
      <w:t>麦盖提县政府采购中心招标文件</w:t>
    </w:r>
    <w:r>
      <w:rPr>
        <w:rFonts w:hint="eastAsia"/>
        <w:lang w:val="en-US" w:eastAsia="zh-CN"/>
      </w:rPr>
      <w:t xml:space="preserve">                        </w:t>
    </w:r>
    <w:r>
      <w:rPr>
        <w:rFonts w:hint="eastAsia"/>
      </w:rPr>
      <w:t>项目编号：</w:t>
    </w:r>
    <w:r>
      <w:rPr>
        <w:rFonts w:hint="eastAsia"/>
        <w:lang w:eastAsia="zh-CN"/>
      </w:rPr>
      <w:t>KSMGTX（FSGK）2024-02-03号</w:t>
    </w:r>
  </w:p>
  <w:p w14:paraId="726DE2F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99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207A">
    <w:pPr>
      <w:pStyle w:val="14"/>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1C31C"/>
    <w:multiLevelType w:val="singleLevel"/>
    <w:tmpl w:val="C4A1C31C"/>
    <w:lvl w:ilvl="0" w:tentative="0">
      <w:start w:val="2"/>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0467AE96"/>
    <w:multiLevelType w:val="singleLevel"/>
    <w:tmpl w:val="0467AE96"/>
    <w:lvl w:ilvl="0" w:tentative="0">
      <w:start w:val="1"/>
      <w:numFmt w:val="chineseCounting"/>
      <w:suff w:val="nothing"/>
      <w:lvlText w:val="%1、"/>
      <w:lvlJc w:val="left"/>
      <w:rPr>
        <w:rFonts w:hint="eastAsia"/>
      </w:rPr>
    </w:lvl>
  </w:abstractNum>
  <w:abstractNum w:abstractNumId="3">
    <w:nsid w:val="04BC58A9"/>
    <w:multiLevelType w:val="singleLevel"/>
    <w:tmpl w:val="04BC58A9"/>
    <w:lvl w:ilvl="0" w:tentative="0">
      <w:start w:val="5"/>
      <w:numFmt w:val="decimal"/>
      <w:lvlText w:val="%1."/>
      <w:lvlJc w:val="left"/>
      <w:pPr>
        <w:tabs>
          <w:tab w:val="left" w:pos="312"/>
        </w:tabs>
      </w:pPr>
      <w:rPr>
        <w:rFonts w:hint="default" w:ascii="方正黑体_GBK" w:hAnsi="方正黑体_GBK" w:eastAsia="方正黑体_GBK" w:cs="方正黑体_GBK"/>
        <w:b w:val="0"/>
        <w:bCs w:val="0"/>
      </w:rPr>
    </w:lvl>
  </w:abstractNum>
  <w:abstractNum w:abstractNumId="4">
    <w:nsid w:val="0B69BD99"/>
    <w:multiLevelType w:val="singleLevel"/>
    <w:tmpl w:val="0B69BD99"/>
    <w:lvl w:ilvl="0" w:tentative="0">
      <w:start w:val="2"/>
      <w:numFmt w:val="decimal"/>
      <w:suff w:val="nothing"/>
      <w:lvlText w:val="%1、"/>
      <w:lvlJc w:val="left"/>
    </w:lvl>
  </w:abstractNum>
  <w:abstractNum w:abstractNumId="5">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D3EC3C1"/>
    <w:multiLevelType w:val="singleLevel"/>
    <w:tmpl w:val="3D3EC3C1"/>
    <w:lvl w:ilvl="0" w:tentative="0">
      <w:start w:val="11"/>
      <w:numFmt w:val="chineseCounting"/>
      <w:suff w:val="nothing"/>
      <w:lvlText w:val="%1、"/>
      <w:lvlJc w:val="left"/>
      <w:rPr>
        <w:rFonts w:hint="eastAsia"/>
      </w:rPr>
    </w:lvl>
  </w:abstractNum>
  <w:abstractNum w:abstractNumId="8">
    <w:nsid w:val="7D94A426"/>
    <w:multiLevelType w:val="singleLevel"/>
    <w:tmpl w:val="7D94A426"/>
    <w:lvl w:ilvl="0" w:tentative="0">
      <w:start w:val="2"/>
      <w:numFmt w:val="decimal"/>
      <w:suff w:val="nothing"/>
      <w:lvlText w:val="（%1）"/>
      <w:lvlJc w:val="left"/>
    </w:lvl>
  </w:abstractNum>
  <w:num w:numId="1">
    <w:abstractNumId w:val="6"/>
  </w:num>
  <w:num w:numId="2">
    <w:abstractNumId w:val="5"/>
  </w:num>
  <w:num w:numId="3">
    <w:abstractNumId w:val="4"/>
  </w:num>
  <w:num w:numId="4">
    <w:abstractNumId w:val="3"/>
  </w:num>
  <w:num w:numId="5">
    <w:abstractNumId w:val="8"/>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46D22E5E"/>
    <w:rsid w:val="002F3CBC"/>
    <w:rsid w:val="00416146"/>
    <w:rsid w:val="009269A2"/>
    <w:rsid w:val="00E80370"/>
    <w:rsid w:val="013C4817"/>
    <w:rsid w:val="01934780"/>
    <w:rsid w:val="02F76817"/>
    <w:rsid w:val="036A59B4"/>
    <w:rsid w:val="0380534E"/>
    <w:rsid w:val="03CE5F43"/>
    <w:rsid w:val="047F5D4C"/>
    <w:rsid w:val="048C361D"/>
    <w:rsid w:val="04E2157A"/>
    <w:rsid w:val="0691175A"/>
    <w:rsid w:val="06AD6EE6"/>
    <w:rsid w:val="0716285F"/>
    <w:rsid w:val="072B3C09"/>
    <w:rsid w:val="07472E17"/>
    <w:rsid w:val="07606CDC"/>
    <w:rsid w:val="07666493"/>
    <w:rsid w:val="08BB2839"/>
    <w:rsid w:val="0958005D"/>
    <w:rsid w:val="09BA5BDC"/>
    <w:rsid w:val="0AA4158F"/>
    <w:rsid w:val="0AF0679F"/>
    <w:rsid w:val="0B2C17A1"/>
    <w:rsid w:val="0B350656"/>
    <w:rsid w:val="0B5F1B77"/>
    <w:rsid w:val="0C0369A6"/>
    <w:rsid w:val="0C7B653C"/>
    <w:rsid w:val="0C940FBA"/>
    <w:rsid w:val="0D113477"/>
    <w:rsid w:val="0D3122B2"/>
    <w:rsid w:val="0D9340E3"/>
    <w:rsid w:val="0E0364D1"/>
    <w:rsid w:val="0E9733D5"/>
    <w:rsid w:val="0FDD306A"/>
    <w:rsid w:val="108F58A4"/>
    <w:rsid w:val="121A2353"/>
    <w:rsid w:val="122B1778"/>
    <w:rsid w:val="12920546"/>
    <w:rsid w:val="130C25E4"/>
    <w:rsid w:val="1320430F"/>
    <w:rsid w:val="132C67E2"/>
    <w:rsid w:val="13783F44"/>
    <w:rsid w:val="138959E3"/>
    <w:rsid w:val="139452E8"/>
    <w:rsid w:val="13A57770"/>
    <w:rsid w:val="13B368AD"/>
    <w:rsid w:val="14025795"/>
    <w:rsid w:val="142E0338"/>
    <w:rsid w:val="14BC59D6"/>
    <w:rsid w:val="14DC30B0"/>
    <w:rsid w:val="1571672E"/>
    <w:rsid w:val="15FA4976"/>
    <w:rsid w:val="15FA6724"/>
    <w:rsid w:val="16783AEC"/>
    <w:rsid w:val="16A4225A"/>
    <w:rsid w:val="16AE3581"/>
    <w:rsid w:val="16F615E1"/>
    <w:rsid w:val="17712A16"/>
    <w:rsid w:val="17C20BA8"/>
    <w:rsid w:val="17D66D1D"/>
    <w:rsid w:val="18055854"/>
    <w:rsid w:val="18420856"/>
    <w:rsid w:val="18814EDA"/>
    <w:rsid w:val="18BD7EDC"/>
    <w:rsid w:val="18C9062F"/>
    <w:rsid w:val="19020C0B"/>
    <w:rsid w:val="19033B41"/>
    <w:rsid w:val="19385DE8"/>
    <w:rsid w:val="194D1260"/>
    <w:rsid w:val="196A1E12"/>
    <w:rsid w:val="19882298"/>
    <w:rsid w:val="19AF7825"/>
    <w:rsid w:val="19EF2318"/>
    <w:rsid w:val="1A165502"/>
    <w:rsid w:val="1A8E2925"/>
    <w:rsid w:val="1ACD2659"/>
    <w:rsid w:val="1B9273FE"/>
    <w:rsid w:val="1B99253B"/>
    <w:rsid w:val="1BC14FDA"/>
    <w:rsid w:val="1C275D99"/>
    <w:rsid w:val="1C821221"/>
    <w:rsid w:val="1D1722B1"/>
    <w:rsid w:val="1DC046F7"/>
    <w:rsid w:val="1DF07BE4"/>
    <w:rsid w:val="1EA5569B"/>
    <w:rsid w:val="1F212F73"/>
    <w:rsid w:val="1F611B76"/>
    <w:rsid w:val="1F9D59EC"/>
    <w:rsid w:val="204D7D98"/>
    <w:rsid w:val="20D1583D"/>
    <w:rsid w:val="219860B0"/>
    <w:rsid w:val="21B53E47"/>
    <w:rsid w:val="21E70D7C"/>
    <w:rsid w:val="22592A24"/>
    <w:rsid w:val="22E108B3"/>
    <w:rsid w:val="231057D9"/>
    <w:rsid w:val="23561618"/>
    <w:rsid w:val="23750E48"/>
    <w:rsid w:val="23D44D98"/>
    <w:rsid w:val="23FC4194"/>
    <w:rsid w:val="249069D4"/>
    <w:rsid w:val="249D6FE0"/>
    <w:rsid w:val="256056B2"/>
    <w:rsid w:val="25762543"/>
    <w:rsid w:val="25882EB2"/>
    <w:rsid w:val="25B74631"/>
    <w:rsid w:val="25CD79B1"/>
    <w:rsid w:val="260E1E57"/>
    <w:rsid w:val="261455E0"/>
    <w:rsid w:val="266B0F78"/>
    <w:rsid w:val="268362C1"/>
    <w:rsid w:val="26BD5C77"/>
    <w:rsid w:val="26C054D7"/>
    <w:rsid w:val="274A27F7"/>
    <w:rsid w:val="27D668C5"/>
    <w:rsid w:val="284D4DD9"/>
    <w:rsid w:val="28F74D45"/>
    <w:rsid w:val="29150E3D"/>
    <w:rsid w:val="2987431B"/>
    <w:rsid w:val="298C38F4"/>
    <w:rsid w:val="299D3B3E"/>
    <w:rsid w:val="2A0C563C"/>
    <w:rsid w:val="2A4B4CCF"/>
    <w:rsid w:val="2A506E02"/>
    <w:rsid w:val="2ABA427C"/>
    <w:rsid w:val="2B722A9E"/>
    <w:rsid w:val="2B857A80"/>
    <w:rsid w:val="2C014067"/>
    <w:rsid w:val="2C663A30"/>
    <w:rsid w:val="2C804090"/>
    <w:rsid w:val="2D4B565F"/>
    <w:rsid w:val="2D744BB6"/>
    <w:rsid w:val="2D92328E"/>
    <w:rsid w:val="2DC7118A"/>
    <w:rsid w:val="2DC84F02"/>
    <w:rsid w:val="2DD438A6"/>
    <w:rsid w:val="2E0F48DF"/>
    <w:rsid w:val="2E35500F"/>
    <w:rsid w:val="2EB609CB"/>
    <w:rsid w:val="2EDC2B09"/>
    <w:rsid w:val="2F124686"/>
    <w:rsid w:val="2F3D3BCF"/>
    <w:rsid w:val="2FBF40DD"/>
    <w:rsid w:val="30400B12"/>
    <w:rsid w:val="30735FBF"/>
    <w:rsid w:val="313265C4"/>
    <w:rsid w:val="314C6792"/>
    <w:rsid w:val="31C45633"/>
    <w:rsid w:val="329830F5"/>
    <w:rsid w:val="32B36180"/>
    <w:rsid w:val="32EB2E03"/>
    <w:rsid w:val="332A4F00"/>
    <w:rsid w:val="33955886"/>
    <w:rsid w:val="33A361F5"/>
    <w:rsid w:val="34346E4D"/>
    <w:rsid w:val="34BE788B"/>
    <w:rsid w:val="35683252"/>
    <w:rsid w:val="35BA7826"/>
    <w:rsid w:val="35CD7559"/>
    <w:rsid w:val="36160B3D"/>
    <w:rsid w:val="362664E5"/>
    <w:rsid w:val="36AF6DEB"/>
    <w:rsid w:val="37184804"/>
    <w:rsid w:val="37515F68"/>
    <w:rsid w:val="37B02C8E"/>
    <w:rsid w:val="385160B7"/>
    <w:rsid w:val="387A4C2A"/>
    <w:rsid w:val="391D25A6"/>
    <w:rsid w:val="397374D1"/>
    <w:rsid w:val="39D1167F"/>
    <w:rsid w:val="3A72247D"/>
    <w:rsid w:val="3AB02FA5"/>
    <w:rsid w:val="3AB22872"/>
    <w:rsid w:val="3AD43598"/>
    <w:rsid w:val="3AEE5F7D"/>
    <w:rsid w:val="3B0F5F1E"/>
    <w:rsid w:val="3B6E1F3B"/>
    <w:rsid w:val="3C6B267E"/>
    <w:rsid w:val="3CBE19AA"/>
    <w:rsid w:val="3CE80E5E"/>
    <w:rsid w:val="3D7F382F"/>
    <w:rsid w:val="3E863281"/>
    <w:rsid w:val="3F3A792A"/>
    <w:rsid w:val="3F6E5909"/>
    <w:rsid w:val="3FA4757D"/>
    <w:rsid w:val="400C1FED"/>
    <w:rsid w:val="401144E6"/>
    <w:rsid w:val="40776A3F"/>
    <w:rsid w:val="40980764"/>
    <w:rsid w:val="40D07EFD"/>
    <w:rsid w:val="40DA0D7C"/>
    <w:rsid w:val="40FB05FF"/>
    <w:rsid w:val="415E375B"/>
    <w:rsid w:val="419453CF"/>
    <w:rsid w:val="419B675D"/>
    <w:rsid w:val="42076048"/>
    <w:rsid w:val="421C5F3B"/>
    <w:rsid w:val="4253567D"/>
    <w:rsid w:val="425D3A13"/>
    <w:rsid w:val="427C033D"/>
    <w:rsid w:val="42B555FD"/>
    <w:rsid w:val="430345BA"/>
    <w:rsid w:val="434F4DF9"/>
    <w:rsid w:val="43E22422"/>
    <w:rsid w:val="440E1469"/>
    <w:rsid w:val="44B57B36"/>
    <w:rsid w:val="44BD69EB"/>
    <w:rsid w:val="45002FAD"/>
    <w:rsid w:val="453C3DB3"/>
    <w:rsid w:val="4565330A"/>
    <w:rsid w:val="45A3364E"/>
    <w:rsid w:val="45FB548D"/>
    <w:rsid w:val="46050649"/>
    <w:rsid w:val="46366A55"/>
    <w:rsid w:val="467A1037"/>
    <w:rsid w:val="46D22E5E"/>
    <w:rsid w:val="474745F6"/>
    <w:rsid w:val="493C49D6"/>
    <w:rsid w:val="49A07007"/>
    <w:rsid w:val="49FB423D"/>
    <w:rsid w:val="4A7331A3"/>
    <w:rsid w:val="4B553E21"/>
    <w:rsid w:val="4C8610C7"/>
    <w:rsid w:val="4C8E1E41"/>
    <w:rsid w:val="4CDD40CE"/>
    <w:rsid w:val="4CE07A5A"/>
    <w:rsid w:val="4CEA2347"/>
    <w:rsid w:val="4E270132"/>
    <w:rsid w:val="4E375A60"/>
    <w:rsid w:val="4E81258F"/>
    <w:rsid w:val="4F333444"/>
    <w:rsid w:val="4FAA0623"/>
    <w:rsid w:val="50850D04"/>
    <w:rsid w:val="51DA0BDC"/>
    <w:rsid w:val="520B348B"/>
    <w:rsid w:val="52410C5B"/>
    <w:rsid w:val="525954F8"/>
    <w:rsid w:val="52C47453"/>
    <w:rsid w:val="52C602E1"/>
    <w:rsid w:val="52FB705C"/>
    <w:rsid w:val="53784B50"/>
    <w:rsid w:val="53980D4F"/>
    <w:rsid w:val="53B813F1"/>
    <w:rsid w:val="53BD6A07"/>
    <w:rsid w:val="53C56D2D"/>
    <w:rsid w:val="53D50054"/>
    <w:rsid w:val="5400427A"/>
    <w:rsid w:val="54213D6D"/>
    <w:rsid w:val="545E16C8"/>
    <w:rsid w:val="54674CED"/>
    <w:rsid w:val="551B5793"/>
    <w:rsid w:val="564406D0"/>
    <w:rsid w:val="569752EE"/>
    <w:rsid w:val="56FE711B"/>
    <w:rsid w:val="571903F8"/>
    <w:rsid w:val="576A0977"/>
    <w:rsid w:val="59024359"/>
    <w:rsid w:val="59360827"/>
    <w:rsid w:val="595A5713"/>
    <w:rsid w:val="59672271"/>
    <w:rsid w:val="59B44408"/>
    <w:rsid w:val="5A751DEA"/>
    <w:rsid w:val="5ACB1A0A"/>
    <w:rsid w:val="5B6B21CB"/>
    <w:rsid w:val="5B7200D7"/>
    <w:rsid w:val="5BB81613"/>
    <w:rsid w:val="5BEC60DC"/>
    <w:rsid w:val="5C1D6295"/>
    <w:rsid w:val="5C3929A3"/>
    <w:rsid w:val="5CA32A14"/>
    <w:rsid w:val="5DAE3231"/>
    <w:rsid w:val="5DD60DF1"/>
    <w:rsid w:val="5DDC5CDC"/>
    <w:rsid w:val="5E860E5C"/>
    <w:rsid w:val="5ED259E7"/>
    <w:rsid w:val="5EDD19F8"/>
    <w:rsid w:val="5EFA466C"/>
    <w:rsid w:val="5EFB1AB0"/>
    <w:rsid w:val="5F681F1D"/>
    <w:rsid w:val="5F814D8D"/>
    <w:rsid w:val="5FCB425A"/>
    <w:rsid w:val="60624BBE"/>
    <w:rsid w:val="60745FCF"/>
    <w:rsid w:val="60A0265F"/>
    <w:rsid w:val="61616C24"/>
    <w:rsid w:val="61A84853"/>
    <w:rsid w:val="61BF394A"/>
    <w:rsid w:val="61E65DE7"/>
    <w:rsid w:val="624F4CCE"/>
    <w:rsid w:val="62A74B0A"/>
    <w:rsid w:val="62C555D8"/>
    <w:rsid w:val="63155E2C"/>
    <w:rsid w:val="632223E3"/>
    <w:rsid w:val="64850116"/>
    <w:rsid w:val="65264E0A"/>
    <w:rsid w:val="653603C7"/>
    <w:rsid w:val="65427495"/>
    <w:rsid w:val="659A08A8"/>
    <w:rsid w:val="65A45331"/>
    <w:rsid w:val="65BF2BC3"/>
    <w:rsid w:val="65E844FE"/>
    <w:rsid w:val="65F25407"/>
    <w:rsid w:val="660364FC"/>
    <w:rsid w:val="66320B8F"/>
    <w:rsid w:val="663658B2"/>
    <w:rsid w:val="66E71979"/>
    <w:rsid w:val="670267B3"/>
    <w:rsid w:val="67A23AF2"/>
    <w:rsid w:val="67B53825"/>
    <w:rsid w:val="68255D19"/>
    <w:rsid w:val="686B236A"/>
    <w:rsid w:val="687F174A"/>
    <w:rsid w:val="689C2C37"/>
    <w:rsid w:val="68AA7102"/>
    <w:rsid w:val="68DB550E"/>
    <w:rsid w:val="68DE0B5A"/>
    <w:rsid w:val="68FA5C34"/>
    <w:rsid w:val="69C9180A"/>
    <w:rsid w:val="6A0F3E3A"/>
    <w:rsid w:val="6A1C5DDE"/>
    <w:rsid w:val="6A547FFE"/>
    <w:rsid w:val="6AED10F4"/>
    <w:rsid w:val="6AF503DD"/>
    <w:rsid w:val="6B4A24D7"/>
    <w:rsid w:val="6C042FCD"/>
    <w:rsid w:val="6C2A3A55"/>
    <w:rsid w:val="6C364CDD"/>
    <w:rsid w:val="6C5C0714"/>
    <w:rsid w:val="6CB0280D"/>
    <w:rsid w:val="6D260D22"/>
    <w:rsid w:val="6D486939"/>
    <w:rsid w:val="6D4E0963"/>
    <w:rsid w:val="6DCE3893"/>
    <w:rsid w:val="6DFF2573"/>
    <w:rsid w:val="6E5E53C9"/>
    <w:rsid w:val="6E654EFF"/>
    <w:rsid w:val="6EDF1F2E"/>
    <w:rsid w:val="6F0A08FB"/>
    <w:rsid w:val="6FEF5D43"/>
    <w:rsid w:val="70082960"/>
    <w:rsid w:val="703379DD"/>
    <w:rsid w:val="703B4AE4"/>
    <w:rsid w:val="70BB443C"/>
    <w:rsid w:val="712F7C44"/>
    <w:rsid w:val="713C4FB8"/>
    <w:rsid w:val="714D4ACF"/>
    <w:rsid w:val="717B5AE0"/>
    <w:rsid w:val="726522EC"/>
    <w:rsid w:val="72800ED4"/>
    <w:rsid w:val="72A6253E"/>
    <w:rsid w:val="72D37256"/>
    <w:rsid w:val="72EB0A43"/>
    <w:rsid w:val="736425A4"/>
    <w:rsid w:val="7443040B"/>
    <w:rsid w:val="74803762"/>
    <w:rsid w:val="748527D2"/>
    <w:rsid w:val="7590142E"/>
    <w:rsid w:val="759326D0"/>
    <w:rsid w:val="7634625D"/>
    <w:rsid w:val="76D67314"/>
    <w:rsid w:val="774D3A7A"/>
    <w:rsid w:val="77560455"/>
    <w:rsid w:val="7771703D"/>
    <w:rsid w:val="77746A9E"/>
    <w:rsid w:val="77D575CC"/>
    <w:rsid w:val="78280044"/>
    <w:rsid w:val="78306EF8"/>
    <w:rsid w:val="7864232C"/>
    <w:rsid w:val="78CF0F1C"/>
    <w:rsid w:val="798C63B0"/>
    <w:rsid w:val="79BA21CE"/>
    <w:rsid w:val="79FC7092"/>
    <w:rsid w:val="7A1D4237"/>
    <w:rsid w:val="7A22322C"/>
    <w:rsid w:val="7AB45BBF"/>
    <w:rsid w:val="7AC35E02"/>
    <w:rsid w:val="7B0D54CF"/>
    <w:rsid w:val="7B9A1258"/>
    <w:rsid w:val="7BA63759"/>
    <w:rsid w:val="7BE2039A"/>
    <w:rsid w:val="7C277D11"/>
    <w:rsid w:val="7C596102"/>
    <w:rsid w:val="7C6B49A3"/>
    <w:rsid w:val="7C89424D"/>
    <w:rsid w:val="7C8F7444"/>
    <w:rsid w:val="7CE54755"/>
    <w:rsid w:val="7D580A83"/>
    <w:rsid w:val="7D6133FA"/>
    <w:rsid w:val="7D781125"/>
    <w:rsid w:val="7E162D9E"/>
    <w:rsid w:val="7E355268"/>
    <w:rsid w:val="7E4234E1"/>
    <w:rsid w:val="7E521976"/>
    <w:rsid w:val="7E5D1D14"/>
    <w:rsid w:val="7E834226"/>
    <w:rsid w:val="7E972DE5"/>
    <w:rsid w:val="7EBC3294"/>
    <w:rsid w:val="7EC67839"/>
    <w:rsid w:val="7F547970"/>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spacing w:line="360" w:lineRule="auto"/>
      <w:jc w:val="left"/>
      <w:outlineLvl w:val="3"/>
    </w:pPr>
    <w:rPr>
      <w:rFonts w:ascii="Arial" w:hAnsi="Arial"/>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9"/>
    <w:next w:val="1"/>
    <w:unhideWhenUsed/>
    <w:qFormat/>
    <w:uiPriority w:val="99"/>
    <w:pPr>
      <w:ind w:firstLine="420" w:firstLineChars="1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paragraph" w:customStyle="1" w:styleId="23">
    <w:name w:val="表格文字"/>
    <w:basedOn w:val="24"/>
    <w:autoRedefine/>
    <w:qFormat/>
    <w:uiPriority w:val="0"/>
    <w:pPr>
      <w:spacing w:before="25" w:after="25"/>
      <w:jc w:val="left"/>
    </w:pPr>
    <w:rPr>
      <w:bCs/>
      <w:spacing w:val="10"/>
      <w:sz w:val="24"/>
      <w:szCs w:val="20"/>
    </w:rPr>
  </w:style>
  <w:style w:type="paragraph" w:customStyle="1" w:styleId="24">
    <w:name w:val="表格文字（两侧对齐）"/>
    <w:basedOn w:val="1"/>
    <w:autoRedefine/>
    <w:qFormat/>
    <w:uiPriority w:val="0"/>
    <w:rPr>
      <w:rFonts w:ascii="Calibri" w:hAnsi="Calibri"/>
      <w:kern w:val="0"/>
      <w:sz w:val="20"/>
    </w:rPr>
  </w:style>
  <w:style w:type="paragraph" w:customStyle="1" w:styleId="25">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2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列出段落2"/>
    <w:basedOn w:val="1"/>
    <w:autoRedefine/>
    <w:qFormat/>
    <w:uiPriority w:val="34"/>
    <w:pPr>
      <w:ind w:firstLine="420" w:firstLineChars="200"/>
    </w:pPr>
  </w:style>
  <w:style w:type="paragraph" w:customStyle="1" w:styleId="29">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30">
    <w:name w:val="font01"/>
    <w:basedOn w:val="21"/>
    <w:autoRedefine/>
    <w:qFormat/>
    <w:uiPriority w:val="0"/>
    <w:rPr>
      <w:rFonts w:hint="eastAsia" w:ascii="宋体" w:hAnsi="宋体" w:eastAsia="宋体" w:cs="宋体"/>
      <w:color w:val="000000"/>
      <w:sz w:val="22"/>
      <w:szCs w:val="22"/>
      <w:u w:val="none"/>
    </w:rPr>
  </w:style>
  <w:style w:type="paragraph" w:customStyle="1" w:styleId="3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3">
    <w:name w:val="方案正文"/>
    <w:basedOn w:val="1"/>
    <w:autoRedefine/>
    <w:qFormat/>
    <w:uiPriority w:val="0"/>
    <w:pPr>
      <w:spacing w:line="360" w:lineRule="auto"/>
      <w:ind w:firstLine="171" w:firstLineChars="171"/>
      <w:jc w:val="left"/>
    </w:pPr>
    <w:rPr>
      <w:rFonts w:ascii="宋体" w:hAnsi="宋体" w:cs="宋体"/>
      <w:sz w:val="24"/>
      <w:szCs w:val="21"/>
    </w:rPr>
  </w:style>
  <w:style w:type="paragraph" w:customStyle="1" w:styleId="34">
    <w:name w:val="正文_0"/>
    <w:autoRedefine/>
    <w:qFormat/>
    <w:uiPriority w:val="0"/>
    <w:rPr>
      <w:rFonts w:ascii="Times New Roman" w:hAnsi="Times New Roman" w:eastAsia="宋体" w:cs="Times New Roman"/>
      <w:kern w:val="2"/>
      <w:sz w:val="24"/>
      <w:szCs w:val="24"/>
      <w:lang w:val="en-US" w:eastAsia="zh-CN" w:bidi="mn-Mong-CN"/>
    </w:rPr>
  </w:style>
  <w:style w:type="paragraph" w:customStyle="1" w:styleId="35">
    <w:name w:val="NormalIndent"/>
    <w:basedOn w:val="1"/>
    <w:qFormat/>
    <w:uiPriority w:val="0"/>
    <w:pPr>
      <w:widowControl/>
      <w:snapToGrid w:val="0"/>
      <w:jc w:val="center"/>
      <w:textAlignment w:val="baseline"/>
    </w:pPr>
    <w:rPr>
      <w:rFonts w:ascii="仿宋_GB2312" w:hAnsi="仿宋" w:eastAsia="仿宋_GB2312"/>
      <w:b/>
      <w:bCs/>
      <w:kern w:val="0"/>
      <w:sz w:val="32"/>
      <w:szCs w:val="32"/>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styleId="37">
    <w:name w:val="List Paragraph"/>
    <w:basedOn w:val="1"/>
    <w:qFormat/>
    <w:uiPriority w:val="99"/>
    <w:pPr>
      <w:ind w:firstLine="420" w:firstLineChars="200"/>
    </w:pPr>
  </w:style>
  <w:style w:type="paragraph" w:customStyle="1" w:styleId="38">
    <w:name w:val="索引 11"/>
    <w:basedOn w:val="1"/>
    <w:next w:val="1"/>
    <w:qFormat/>
    <w:uiPriority w:val="0"/>
    <w:pPr>
      <w:spacing w:line="360" w:lineRule="auto"/>
    </w:pPr>
    <w:rPr>
      <w:rFonts w:ascii="仿宋_GB2312" w:eastAsia="仿宋_GB2312"/>
      <w:sz w:val="24"/>
      <w:szCs w:val="20"/>
    </w:rPr>
  </w:style>
  <w:style w:type="paragraph" w:customStyle="1" w:styleId="3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0">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44751</Words>
  <Characters>47697</Characters>
  <Lines>0</Lines>
  <Paragraphs>0</Paragraphs>
  <TotalTime>30</TotalTime>
  <ScaleCrop>false</ScaleCrop>
  <LinksUpToDate>false</LinksUpToDate>
  <CharactersWithSpaces>49329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2024-08-01T09:41:00Z</dcterms:created>
  <dc:creator>Administrator</dc:creator>
  <cp:lastModifiedBy>Administrator</cp:lastModifiedBy>
  <dcterms:modified xsi:type="dcterms:W3CDTF">2025-02-07T03:43:24Z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3E4F53A2D22249FCA0B617BCF849A042_13</vt:lpwstr>
  </property>
  <property fmtid="{D5CDD505-2E9C-101B-9397-08002B2CF9AE}" pid="4" name="KSOTemplateDocerSaveRecord">
    <vt:lpwstr>eyJoZGlkIjoiZDM0M2M1YTY3OGQzNjdmNDMyMmQ4ZTk3YTk1Y2U5NWUifQ==</vt:lpwstr>
  </property>
</Properties>
</file>