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ED0710">
      <w:pPr>
        <w:pStyle w:val="2"/>
        <w:spacing w:line="600" w:lineRule="auto"/>
        <w:ind w:left="0" w:leftChars="0" w:firstLine="0" w:firstLineChars="0"/>
        <w:jc w:val="center"/>
        <w:rPr>
          <w:rFonts w:hint="eastAsia" w:ascii="仿宋" w:hAnsi="仿宋" w:eastAsia="仿宋" w:cs="仿宋"/>
          <w:b/>
          <w:color w:val="auto"/>
          <w:sz w:val="48"/>
          <w:szCs w:val="48"/>
          <w:highlight w:val="none"/>
          <w:lang w:eastAsia="zh-CN"/>
        </w:rPr>
      </w:pPr>
    </w:p>
    <w:p w14:paraId="0B962593">
      <w:pPr>
        <w:pStyle w:val="2"/>
        <w:spacing w:line="600" w:lineRule="auto"/>
        <w:ind w:left="0" w:leftChars="0" w:firstLine="0" w:firstLineChars="0"/>
        <w:jc w:val="center"/>
        <w:rPr>
          <w:rFonts w:hint="eastAsia" w:ascii="仿宋" w:hAnsi="仿宋" w:eastAsia="仿宋" w:cs="仿宋"/>
          <w:b/>
          <w:color w:val="auto"/>
          <w:sz w:val="48"/>
          <w:szCs w:val="48"/>
          <w:highlight w:val="none"/>
          <w:lang w:eastAsia="zh-CN"/>
        </w:rPr>
      </w:pPr>
      <w:r>
        <w:rPr>
          <w:rFonts w:hint="eastAsia" w:ascii="仿宋" w:hAnsi="仿宋" w:eastAsia="仿宋" w:cs="仿宋"/>
          <w:b/>
          <w:color w:val="auto"/>
          <w:sz w:val="48"/>
          <w:szCs w:val="48"/>
          <w:highlight w:val="none"/>
          <w:lang w:eastAsia="zh-CN"/>
        </w:rPr>
        <w:t>中共莎车县委统战部低氟砖茶采购项目</w:t>
      </w:r>
    </w:p>
    <w:p w14:paraId="713975A1">
      <w:pPr>
        <w:pStyle w:val="2"/>
        <w:spacing w:line="600" w:lineRule="auto"/>
        <w:ind w:left="0" w:leftChars="0" w:firstLine="2400" w:firstLineChars="500"/>
        <w:jc w:val="both"/>
        <w:rPr>
          <w:rFonts w:hint="eastAsia" w:ascii="仿宋" w:hAnsi="仿宋" w:eastAsia="仿宋" w:cs="仿宋"/>
          <w:b w:val="0"/>
          <w:i w:val="0"/>
          <w:caps w:val="0"/>
          <w:color w:val="auto"/>
          <w:spacing w:val="0"/>
          <w:w w:val="100"/>
          <w:sz w:val="28"/>
          <w:szCs w:val="21"/>
          <w:highlight w:val="none"/>
          <w:lang w:val="en-US" w:eastAsia="zh-CN"/>
        </w:rPr>
      </w:pPr>
      <w:r>
        <w:rPr>
          <w:rFonts w:hint="eastAsia" w:ascii="仿宋" w:hAnsi="仿宋" w:eastAsia="仿宋" w:cs="仿宋"/>
          <w:b/>
          <w:color w:val="auto"/>
          <w:sz w:val="48"/>
          <w:szCs w:val="48"/>
          <w:highlight w:val="none"/>
          <w:lang w:eastAsia="zh-CN"/>
        </w:rPr>
        <w:t>竞争性谈判文件</w:t>
      </w:r>
    </w:p>
    <w:p w14:paraId="103DEA0E">
      <w:pPr>
        <w:snapToGrid w:val="0"/>
        <w:spacing w:before="0" w:beforeAutospacing="0" w:after="0" w:afterAutospacing="0" w:line="240" w:lineRule="auto"/>
        <w:jc w:val="center"/>
        <w:textAlignment w:val="baseline"/>
        <w:rPr>
          <w:rFonts w:hint="eastAsia" w:ascii="仿宋" w:hAnsi="仿宋" w:eastAsia="仿宋" w:cs="仿宋"/>
          <w:b/>
          <w:i w:val="0"/>
          <w:caps w:val="0"/>
          <w:color w:val="auto"/>
          <w:spacing w:val="0"/>
          <w:w w:val="100"/>
          <w:sz w:val="28"/>
          <w:szCs w:val="28"/>
          <w:highlight w:val="none"/>
        </w:rPr>
      </w:pPr>
      <w:r>
        <w:rPr>
          <w:rFonts w:hint="eastAsia" w:ascii="仿宋" w:hAnsi="仿宋" w:eastAsia="仿宋" w:cs="仿宋"/>
          <w:color w:val="auto"/>
          <w:highlight w:val="none"/>
        </w:rPr>
        <w:drawing>
          <wp:inline distT="0" distB="0" distL="114300" distR="114300">
            <wp:extent cx="3397250" cy="3090545"/>
            <wp:effectExtent l="0" t="0" r="1270" b="3175"/>
            <wp:docPr id="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pic:cNvPicPr>
                      <a:picLocks noChangeAspect="1"/>
                    </pic:cNvPicPr>
                  </pic:nvPicPr>
                  <pic:blipFill>
                    <a:blip r:embed="rId16"/>
                    <a:stretch>
                      <a:fillRect/>
                    </a:stretch>
                  </pic:blipFill>
                  <pic:spPr>
                    <a:xfrm>
                      <a:off x="0" y="0"/>
                      <a:ext cx="3397250" cy="3090545"/>
                    </a:xfrm>
                    <a:prstGeom prst="rect">
                      <a:avLst/>
                    </a:prstGeom>
                    <a:noFill/>
                    <a:ln>
                      <a:noFill/>
                    </a:ln>
                  </pic:spPr>
                </pic:pic>
              </a:graphicData>
            </a:graphic>
          </wp:inline>
        </w:drawing>
      </w:r>
    </w:p>
    <w:p w14:paraId="4A9A8383">
      <w:pPr>
        <w:snapToGrid w:val="0"/>
        <w:spacing w:before="0" w:beforeAutospacing="0" w:after="0" w:afterAutospacing="0" w:line="480" w:lineRule="auto"/>
        <w:jc w:val="both"/>
        <w:textAlignment w:val="baseline"/>
        <w:rPr>
          <w:rFonts w:hint="eastAsia" w:ascii="仿宋" w:hAnsi="仿宋" w:eastAsia="仿宋" w:cs="仿宋"/>
          <w:b/>
          <w:i w:val="0"/>
          <w:caps w:val="0"/>
          <w:color w:val="auto"/>
          <w:spacing w:val="0"/>
          <w:w w:val="100"/>
          <w:sz w:val="28"/>
          <w:szCs w:val="28"/>
          <w:highlight w:val="none"/>
        </w:rPr>
      </w:pPr>
    </w:p>
    <w:p w14:paraId="2D03760C">
      <w:pPr>
        <w:snapToGrid w:val="0"/>
        <w:spacing w:before="0" w:beforeAutospacing="0" w:after="0" w:afterAutospacing="0" w:line="480" w:lineRule="auto"/>
        <w:ind w:firstLine="840" w:firstLineChars="300"/>
        <w:jc w:val="both"/>
        <w:textAlignment w:val="baseline"/>
        <w:rPr>
          <w:rFonts w:hint="eastAsia" w:ascii="仿宋" w:hAnsi="仿宋" w:eastAsia="仿宋" w:cs="仿宋"/>
          <w:b/>
          <w:i w:val="0"/>
          <w:caps w:val="0"/>
          <w:color w:val="auto"/>
          <w:spacing w:val="0"/>
          <w:w w:val="100"/>
          <w:sz w:val="32"/>
          <w:highlight w:val="none"/>
        </w:rPr>
      </w:pPr>
      <w:r>
        <w:rPr>
          <w:rFonts w:hint="eastAsia" w:ascii="仿宋" w:hAnsi="仿宋" w:eastAsia="仿宋" w:cs="仿宋"/>
          <w:b/>
          <w:i w:val="0"/>
          <w:caps w:val="0"/>
          <w:color w:val="auto"/>
          <w:spacing w:val="0"/>
          <w:w w:val="100"/>
          <w:sz w:val="28"/>
          <w:szCs w:val="28"/>
          <w:highlight w:val="none"/>
        </w:rPr>
        <w:t>项目编号：</w:t>
      </w:r>
      <w:r>
        <w:rPr>
          <w:rFonts w:hint="eastAsia" w:ascii="仿宋" w:hAnsi="仿宋" w:eastAsia="仿宋" w:cs="仿宋"/>
          <w:b/>
          <w:i w:val="0"/>
          <w:caps w:val="0"/>
          <w:color w:val="auto"/>
          <w:spacing w:val="0"/>
          <w:w w:val="100"/>
          <w:sz w:val="28"/>
          <w:szCs w:val="28"/>
          <w:highlight w:val="none"/>
          <w:u w:val="single"/>
          <w:lang w:val="en-US" w:eastAsia="zh-CN"/>
        </w:rPr>
        <w:t xml:space="preserve">     XJZY（TP）2025-02          </w:t>
      </w:r>
      <w:r>
        <w:rPr>
          <w:rFonts w:hint="eastAsia" w:ascii="仿宋" w:hAnsi="仿宋" w:eastAsia="仿宋" w:cs="仿宋"/>
          <w:b/>
          <w:i w:val="0"/>
          <w:caps w:val="0"/>
          <w:color w:val="auto"/>
          <w:spacing w:val="0"/>
          <w:w w:val="100"/>
          <w:sz w:val="28"/>
          <w:szCs w:val="28"/>
          <w:highlight w:val="none"/>
        </w:rPr>
        <w:t xml:space="preserve"> </w:t>
      </w:r>
    </w:p>
    <w:p w14:paraId="4A18A546">
      <w:pPr>
        <w:snapToGrid w:val="0"/>
        <w:spacing w:before="0" w:beforeAutospacing="0" w:after="0" w:afterAutospacing="0" w:line="480" w:lineRule="auto"/>
        <w:ind w:firstLine="840" w:firstLineChars="300"/>
        <w:jc w:val="both"/>
        <w:textAlignment w:val="baseline"/>
        <w:rPr>
          <w:rFonts w:hint="eastAsia" w:ascii="仿宋" w:hAnsi="仿宋" w:eastAsia="仿宋" w:cs="仿宋"/>
          <w:b/>
          <w:i w:val="0"/>
          <w:caps w:val="0"/>
          <w:color w:val="auto"/>
          <w:spacing w:val="0"/>
          <w:w w:val="100"/>
          <w:sz w:val="28"/>
          <w:szCs w:val="28"/>
          <w:highlight w:val="none"/>
          <w:u w:val="single"/>
          <w:lang w:val="en-US" w:eastAsia="zh-CN"/>
        </w:rPr>
      </w:pPr>
      <w:r>
        <w:rPr>
          <w:rFonts w:hint="eastAsia" w:ascii="仿宋" w:hAnsi="仿宋" w:eastAsia="仿宋" w:cs="仿宋"/>
          <w:b/>
          <w:i w:val="0"/>
          <w:caps w:val="0"/>
          <w:color w:val="auto"/>
          <w:spacing w:val="0"/>
          <w:w w:val="100"/>
          <w:sz w:val="28"/>
          <w:szCs w:val="28"/>
          <w:highlight w:val="none"/>
        </w:rPr>
        <w:t>采购单位：</w:t>
      </w:r>
      <w:r>
        <w:rPr>
          <w:rFonts w:hint="eastAsia" w:ascii="仿宋" w:hAnsi="仿宋" w:eastAsia="仿宋" w:cs="仿宋"/>
          <w:b/>
          <w:i w:val="0"/>
          <w:caps w:val="0"/>
          <w:color w:val="auto"/>
          <w:spacing w:val="0"/>
          <w:w w:val="100"/>
          <w:sz w:val="28"/>
          <w:szCs w:val="28"/>
          <w:highlight w:val="none"/>
          <w:u w:val="single"/>
          <w:lang w:val="en-US" w:eastAsia="zh-CN"/>
        </w:rPr>
        <w:t xml:space="preserve">     中共莎车县委统战部         </w:t>
      </w:r>
    </w:p>
    <w:p w14:paraId="4B52AD70">
      <w:pPr>
        <w:pStyle w:val="26"/>
        <w:spacing w:line="480" w:lineRule="auto"/>
        <w:ind w:firstLine="840" w:firstLineChars="300"/>
        <w:rPr>
          <w:rFonts w:hint="eastAsia" w:ascii="仿宋" w:hAnsi="仿宋" w:eastAsia="仿宋" w:cs="仿宋"/>
          <w:b/>
          <w:i w:val="0"/>
          <w:caps w:val="0"/>
          <w:color w:val="auto"/>
          <w:spacing w:val="0"/>
          <w:w w:val="100"/>
          <w:sz w:val="28"/>
          <w:szCs w:val="28"/>
          <w:highlight w:val="none"/>
          <w:u w:val="single"/>
          <w:lang w:val="en-US" w:eastAsia="zh-CN"/>
        </w:rPr>
      </w:pPr>
      <w:r>
        <w:rPr>
          <w:rFonts w:hint="eastAsia" w:ascii="仿宋" w:hAnsi="仿宋" w:eastAsia="仿宋" w:cs="仿宋"/>
          <w:b/>
          <w:i w:val="0"/>
          <w:caps w:val="0"/>
          <w:color w:val="auto"/>
          <w:spacing w:val="0"/>
          <w:w w:val="100"/>
          <w:sz w:val="28"/>
          <w:szCs w:val="28"/>
          <w:highlight w:val="none"/>
          <w:u w:val="none"/>
          <w:lang w:val="en-US" w:eastAsia="zh-CN"/>
        </w:rPr>
        <w:t>联系电话：</w:t>
      </w:r>
      <w:r>
        <w:rPr>
          <w:rFonts w:hint="eastAsia" w:ascii="仿宋" w:hAnsi="仿宋" w:eastAsia="仿宋" w:cs="仿宋"/>
          <w:b/>
          <w:i w:val="0"/>
          <w:caps w:val="0"/>
          <w:color w:val="auto"/>
          <w:spacing w:val="0"/>
          <w:w w:val="100"/>
          <w:sz w:val="28"/>
          <w:szCs w:val="28"/>
          <w:highlight w:val="none"/>
          <w:u w:val="single"/>
          <w:lang w:val="en-US" w:eastAsia="zh-CN"/>
        </w:rPr>
        <w:t xml:space="preserve">        15569439826             </w:t>
      </w:r>
    </w:p>
    <w:p w14:paraId="21A5AB20">
      <w:pPr>
        <w:snapToGrid w:val="0"/>
        <w:spacing w:before="0" w:beforeAutospacing="0" w:after="0" w:afterAutospacing="0" w:line="480" w:lineRule="auto"/>
        <w:ind w:firstLine="840" w:firstLineChars="300"/>
        <w:jc w:val="both"/>
        <w:textAlignment w:val="baseline"/>
        <w:rPr>
          <w:rFonts w:hint="eastAsia" w:ascii="仿宋" w:hAnsi="仿宋" w:eastAsia="仿宋" w:cs="仿宋"/>
          <w:b/>
          <w:i w:val="0"/>
          <w:caps w:val="0"/>
          <w:color w:val="auto"/>
          <w:spacing w:val="0"/>
          <w:w w:val="100"/>
          <w:sz w:val="28"/>
          <w:highlight w:val="none"/>
          <w:u w:val="single"/>
          <w:lang w:val="en-US" w:eastAsia="zh-CN"/>
        </w:rPr>
      </w:pPr>
      <w:r>
        <w:rPr>
          <w:rFonts w:hint="eastAsia" w:ascii="仿宋" w:hAnsi="仿宋" w:eastAsia="仿宋" w:cs="仿宋"/>
          <w:b/>
          <w:i w:val="0"/>
          <w:caps w:val="0"/>
          <w:color w:val="auto"/>
          <w:spacing w:val="0"/>
          <w:w w:val="100"/>
          <w:sz w:val="28"/>
          <w:highlight w:val="none"/>
          <w:u w:val="none"/>
          <w:lang w:eastAsia="zh-CN"/>
        </w:rPr>
        <w:t>代理机构：</w:t>
      </w:r>
      <w:r>
        <w:rPr>
          <w:rFonts w:hint="eastAsia" w:ascii="仿宋" w:hAnsi="仿宋" w:eastAsia="仿宋" w:cs="仿宋"/>
          <w:b/>
          <w:i w:val="0"/>
          <w:caps w:val="0"/>
          <w:color w:val="auto"/>
          <w:spacing w:val="0"/>
          <w:w w:val="100"/>
          <w:sz w:val="28"/>
          <w:highlight w:val="none"/>
          <w:u w:val="single"/>
          <w:lang w:val="en-US" w:eastAsia="zh-CN"/>
        </w:rPr>
        <w:t xml:space="preserve">  新疆众扬工程项目管理有限公司  </w:t>
      </w:r>
    </w:p>
    <w:p w14:paraId="666C0DF3">
      <w:pPr>
        <w:snapToGrid w:val="0"/>
        <w:spacing w:before="0" w:beforeAutospacing="0" w:after="0" w:afterAutospacing="0" w:line="480" w:lineRule="auto"/>
        <w:ind w:firstLine="840" w:firstLineChars="300"/>
        <w:jc w:val="both"/>
        <w:textAlignment w:val="baseline"/>
        <w:rPr>
          <w:rFonts w:hint="eastAsia" w:ascii="仿宋" w:hAnsi="仿宋" w:eastAsia="仿宋" w:cs="仿宋"/>
          <w:b/>
          <w:i w:val="0"/>
          <w:caps w:val="0"/>
          <w:color w:val="auto"/>
          <w:spacing w:val="0"/>
          <w:w w:val="100"/>
          <w:sz w:val="28"/>
          <w:szCs w:val="28"/>
          <w:highlight w:val="none"/>
        </w:rPr>
      </w:pPr>
      <w:r>
        <w:rPr>
          <w:rFonts w:hint="eastAsia" w:ascii="仿宋" w:hAnsi="仿宋" w:eastAsia="仿宋" w:cs="仿宋"/>
          <w:b/>
          <w:i w:val="0"/>
          <w:caps w:val="0"/>
          <w:color w:val="auto"/>
          <w:spacing w:val="0"/>
          <w:w w:val="100"/>
          <w:sz w:val="28"/>
          <w:szCs w:val="28"/>
          <w:highlight w:val="none"/>
          <w:lang w:val="en-US" w:eastAsia="zh-CN"/>
        </w:rPr>
        <w:t>联系电话</w:t>
      </w:r>
      <w:r>
        <w:rPr>
          <w:rFonts w:hint="eastAsia" w:ascii="仿宋" w:hAnsi="仿宋" w:eastAsia="仿宋" w:cs="仿宋"/>
          <w:b/>
          <w:i w:val="0"/>
          <w:caps w:val="0"/>
          <w:color w:val="auto"/>
          <w:spacing w:val="0"/>
          <w:w w:val="100"/>
          <w:sz w:val="28"/>
          <w:szCs w:val="28"/>
          <w:highlight w:val="none"/>
        </w:rPr>
        <w:t>：</w:t>
      </w:r>
      <w:r>
        <w:rPr>
          <w:rFonts w:hint="eastAsia" w:ascii="仿宋" w:hAnsi="仿宋" w:eastAsia="仿宋" w:cs="仿宋"/>
          <w:b/>
          <w:i w:val="0"/>
          <w:caps w:val="0"/>
          <w:color w:val="auto"/>
          <w:spacing w:val="0"/>
          <w:w w:val="100"/>
          <w:sz w:val="28"/>
          <w:szCs w:val="28"/>
          <w:highlight w:val="none"/>
          <w:u w:val="single"/>
          <w:lang w:val="en-US" w:eastAsia="zh-CN"/>
        </w:rPr>
        <w:t xml:space="preserve">        18997858983             </w:t>
      </w:r>
    </w:p>
    <w:p w14:paraId="2FCB0037">
      <w:pPr>
        <w:snapToGrid w:val="0"/>
        <w:spacing w:before="0" w:beforeAutospacing="0" w:after="0" w:afterAutospacing="0" w:line="240" w:lineRule="atLeast"/>
        <w:ind w:firstLine="2800" w:firstLineChars="1000"/>
        <w:jc w:val="both"/>
        <w:textAlignment w:val="baseline"/>
        <w:rPr>
          <w:rFonts w:hint="eastAsia"/>
          <w:color w:val="auto"/>
          <w:highlight w:val="none"/>
        </w:rPr>
        <w:sectPr>
          <w:footerReference r:id="rId3"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仿宋" w:hAnsi="仿宋" w:eastAsia="仿宋" w:cs="仿宋"/>
          <w:b/>
          <w:i w:val="0"/>
          <w:caps w:val="0"/>
          <w:color w:val="auto"/>
          <w:spacing w:val="0"/>
          <w:w w:val="100"/>
          <w:sz w:val="28"/>
          <w:szCs w:val="28"/>
          <w:highlight w:val="none"/>
        </w:rPr>
        <w:t>日期：20</w:t>
      </w:r>
      <w:r>
        <w:rPr>
          <w:rFonts w:hint="eastAsia" w:ascii="仿宋" w:hAnsi="仿宋" w:eastAsia="仿宋" w:cs="仿宋"/>
          <w:b/>
          <w:i w:val="0"/>
          <w:caps w:val="0"/>
          <w:color w:val="auto"/>
          <w:spacing w:val="0"/>
          <w:w w:val="100"/>
          <w:sz w:val="28"/>
          <w:szCs w:val="28"/>
          <w:highlight w:val="none"/>
          <w:lang w:val="en-US" w:eastAsia="zh-CN"/>
        </w:rPr>
        <w:t>25</w:t>
      </w:r>
      <w:r>
        <w:rPr>
          <w:rFonts w:hint="eastAsia" w:ascii="仿宋" w:hAnsi="仿宋" w:eastAsia="仿宋" w:cs="仿宋"/>
          <w:b/>
          <w:i w:val="0"/>
          <w:caps w:val="0"/>
          <w:color w:val="auto"/>
          <w:spacing w:val="0"/>
          <w:w w:val="100"/>
          <w:sz w:val="28"/>
          <w:szCs w:val="28"/>
          <w:highlight w:val="none"/>
        </w:rPr>
        <w:t xml:space="preserve"> 年</w:t>
      </w:r>
      <w:r>
        <w:rPr>
          <w:rFonts w:hint="eastAsia" w:ascii="仿宋" w:hAnsi="仿宋" w:eastAsia="仿宋" w:cs="仿宋"/>
          <w:b/>
          <w:i w:val="0"/>
          <w:caps w:val="0"/>
          <w:color w:val="auto"/>
          <w:spacing w:val="0"/>
          <w:w w:val="100"/>
          <w:sz w:val="28"/>
          <w:szCs w:val="28"/>
          <w:highlight w:val="none"/>
          <w:lang w:val="en-US" w:eastAsia="zh-CN"/>
        </w:rPr>
        <w:t>3</w:t>
      </w:r>
      <w:r>
        <w:rPr>
          <w:rFonts w:hint="eastAsia" w:ascii="仿宋" w:hAnsi="仿宋" w:eastAsia="仿宋" w:cs="仿宋"/>
          <w:b/>
          <w:i w:val="0"/>
          <w:caps w:val="0"/>
          <w:color w:val="auto"/>
          <w:spacing w:val="0"/>
          <w:w w:val="100"/>
          <w:sz w:val="28"/>
          <w:szCs w:val="28"/>
          <w:highlight w:val="none"/>
        </w:rPr>
        <w:t>月</w:t>
      </w:r>
    </w:p>
    <w:p w14:paraId="0566C15E">
      <w:pPr>
        <w:spacing w:line="440" w:lineRule="exact"/>
        <w:jc w:val="center"/>
        <w:rPr>
          <w:rFonts w:hint="eastAsia" w:ascii="仿宋" w:hAnsi="仿宋" w:eastAsia="仿宋" w:cs="仿宋"/>
          <w:b/>
          <w:color w:val="auto"/>
          <w:sz w:val="28"/>
          <w:szCs w:val="22"/>
          <w:highlight w:val="none"/>
        </w:rPr>
      </w:pPr>
      <w:r>
        <w:rPr>
          <w:rFonts w:hint="eastAsia" w:ascii="仿宋" w:hAnsi="仿宋" w:eastAsia="仿宋" w:cs="仿宋"/>
          <w:b/>
          <w:color w:val="auto"/>
          <w:sz w:val="28"/>
          <w:szCs w:val="22"/>
          <w:highlight w:val="none"/>
        </w:rPr>
        <w:t>目  录</w:t>
      </w:r>
    </w:p>
    <w:p w14:paraId="7CCAD654">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TOC \o "1-3" \h \z \u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_Toc11313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 xml:space="preserve">1章  </w:t>
      </w:r>
      <w:r>
        <w:rPr>
          <w:rFonts w:hint="eastAsia" w:ascii="仿宋" w:hAnsi="仿宋" w:eastAsia="仿宋" w:cs="仿宋"/>
          <w:color w:val="auto"/>
          <w:sz w:val="24"/>
          <w:szCs w:val="24"/>
          <w:highlight w:val="none"/>
        </w:rPr>
        <w:t>供应商须知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_Toc11313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824BDEA">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_Toc17284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一   总  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_Toc17284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2044F79">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_Toc5404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1.采购人、采购代理机构及供应商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_Toc5404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2A943C3">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_Toc24652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2.资金来源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_Toc24652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07C715C">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_Toc27327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3.谈判费用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_Toc27327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557307B">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_Toc17299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4.适用法律</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_Toc17299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7FDC6B5">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_Toc23553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二   谈判文件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_Toc23553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2834F0F">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_Toc18340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5.谈判文件构成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_Toc18340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D0DF1AC">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_Toc19684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6.谈判文件的澄清与修改</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_Toc19684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344119D">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_Toc28633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7.递交响应文件截止时间的顺延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_Toc28633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D613CFC">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_Toc3404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三   响应文件的编制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_Toc3404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D94C9FF">
      <w:pPr>
        <w:pStyle w:val="15"/>
        <w:tabs>
          <w:tab w:val="right" w:pos="3600"/>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_Toc1710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8.</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谈判报价范围及响应文件成交准和计量单位的使用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_Toc1710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B9B5BD8">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_Toc14150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9.     响应文件构成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_Toc14150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D45A14B">
      <w:pPr>
        <w:pStyle w:val="15"/>
        <w:tabs>
          <w:tab w:val="right" w:pos="3600"/>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_Toc22903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10.</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证明报价标的的合格性和符合谈判文件规定的技术文件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_Toc22903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E3DDA22">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_Toc30822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11. 谈判报价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_Toc30822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A584407">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_Toc26303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12.    谈判保证金</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_Toc26303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414C663">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_Toc26418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13.    谈判有效期</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_Toc26418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C166005">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_Toc15509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14.    响应文件的签署及规定</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_Toc15509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8D91D33">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_Toc19628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四   响应文件的递交</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_Toc19628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4F1BE45">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_Toc28245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15. 响应文件的密封和标记</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_Toc28245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1A411F3">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_Toc19330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16.    响应文件递交截止</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_Toc19330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C3D2C4D">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_Toc1457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17.响应文件的接收、修改与撤回</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_Toc1457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4826084">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_Toc22895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五   竞争性谈判及评审</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_Toc22895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72897B2">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_Toc12549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18. 谈判开启</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_Toc12549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66DBE3E">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_Toc25796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19.    资格审查及组建谈判小组</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_Toc25796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A44A842">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_Toc16694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20.响应文件符合性审查与澄清</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_Toc16694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E4E807B">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_Toc3903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21.响应偏离</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_Toc3903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10</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140E6EA">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_Toc23476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22.谈判无效</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_Toc23476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B91DC31">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_Toc28824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24.废标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_Toc28824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F54D8DD">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_Toc10577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25.保密原则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_Toc10577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B77D24B">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_Toc9833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六   确定成交</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_Toc9833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1673F8D">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_Toc20746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26.成交候选人的确定原则及标准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_Toc20746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36F1ABA">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_Toc25690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27.确定成交候选人和成交供应商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_Toc25690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3C92DC6F">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_Toc17920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28.采购任务取消</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_Toc17920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68A505F">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_Toc3774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29.成交通知书和采购结果通知书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_Toc3774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EE4B2D1">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_Toc27172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30.签订合同</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_Toc27172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2B1FEFA">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_Toc31489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31.履约保证金</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_Toc31489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ED11C0F">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_Toc21356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32.成交通知书服务费</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_Toc21356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5E0074D">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_Toc3222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33.政府采购信用担保</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_Toc3222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36180439">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_Toc12169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34.廉洁自律规定</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_Toc12169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FB56A81">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_Toc23111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35.人员回避</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_Toc23111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311AE0D8">
      <w:pPr>
        <w:pStyle w:val="15"/>
        <w:tabs>
          <w:tab w:val="right" w:leader="dot" w:pos="8312"/>
          <w:tab w:val="clear" w:pos="1260"/>
          <w:tab w:val="clear" w:pos="8630"/>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_Toc25208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36.质疑与接收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_Toc25208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797C723">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_Toc10005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质疑函范本</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_Toc10005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2974DD9D">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_Toc7776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一、质疑供应商基本信息</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_Toc7776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AD98F35">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_Toc4875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二、质疑项目基本情况</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_Toc4875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A2FA803">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_Toc26522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三、质疑事项具体内容</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_Toc26522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AC1F185">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_Toc19373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四、与质疑事项相关的质疑请求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_Toc19373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17</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191A354">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_Toc19936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附件1：履约保证金保函（格式）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_Toc19936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18</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3197F23F">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_Toc243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附件2：履约担保函格式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_Toc243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3B2A75AE">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_Toc11242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（采用政府采购信用担保形式时使用）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_Toc11242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80165AE">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_Toc19172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一、保证责任的情形及保证金额</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_Toc19172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E208B48">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_Toc2311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二、保证的方式及保证期间</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_Toc2311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C94D091">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_Toc19797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三、承担保证责任的程序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_Toc19797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97DA8FD">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_Toc21624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四、保证责任的终止</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_Toc21624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62C97F0">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_Toc4696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五、免责条款</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_Toc4696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621BF5B">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_Toc12431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六、争议的解决</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_Toc12431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F5C83DA">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_Toc6488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bCs/>
          <w:color w:val="auto"/>
          <w:sz w:val="24"/>
          <w:szCs w:val="24"/>
          <w:highlight w:val="none"/>
        </w:rPr>
        <w:t>七、保函的生效</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_Toc6488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53AD4E8F">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_Toc29667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rPr>
        <w:t xml:space="preserve">第1章 </w:t>
      </w:r>
      <w:r>
        <w:rPr>
          <w:rFonts w:hint="eastAsia" w:ascii="仿宋" w:hAnsi="仿宋" w:eastAsia="仿宋" w:cs="仿宋"/>
          <w:color w:val="auto"/>
          <w:sz w:val="24"/>
          <w:szCs w:val="24"/>
          <w:highlight w:val="none"/>
        </w:rPr>
        <w:t>响应文件格式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_Toc29667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868534E">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_Toc18432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第一部分 报价一览表及资格证明文件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_Toc18432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7C0007A">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_Toc31621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第二部分  商务及技术文件</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3DBDBABE">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_Toc5815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1   谈判报价书（响应文件格式五）</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08DA3442">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_Toc23511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pacing w:val="9"/>
          <w:sz w:val="24"/>
          <w:szCs w:val="24"/>
          <w:highlight w:val="none"/>
          <w14:textOutline w14:w="4358" w14:cap="sq" w14:cmpd="sng">
            <w14:solidFill>
              <w14:srgbClr w14:val="000000"/>
            </w14:solidFill>
            <w14:prstDash w14:val="solid"/>
            <w14:bevel/>
          </w14:textOutline>
        </w:rPr>
        <w:t>中小企业声明函</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5FFACCE5">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_Toc24780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eastAsia="zh-CN"/>
        </w:rPr>
        <w:t xml:space="preserve">5-2 </w:t>
      </w:r>
      <w:r>
        <w:rPr>
          <w:rFonts w:hint="eastAsia" w:ascii="仿宋" w:hAnsi="仿宋" w:eastAsia="仿宋" w:cs="仿宋"/>
          <w:color w:val="auto"/>
          <w:sz w:val="24"/>
          <w:szCs w:val="24"/>
          <w:highlight w:val="none"/>
        </w:rPr>
        <w:t>供应商企业（单位）类型声明函（响应文件格式十一）</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4480386C">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_Toc30421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制造商企业（单位）类型声明函（响应文件格式十二）</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0EDFB343">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_Toc21426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   残疾人福利性单位声明函（本项目不适用）（响应文件格式十三）</w:t>
      </w:r>
      <w:r>
        <w:rPr>
          <w:rFonts w:hint="eastAsia" w:ascii="仿宋" w:hAnsi="仿宋" w:eastAsia="仿宋" w:cs="仿宋"/>
          <w:bCs/>
          <w:color w:val="auto"/>
          <w:kern w:val="0"/>
          <w:sz w:val="24"/>
          <w:szCs w:val="24"/>
          <w:highlight w:val="none"/>
        </w:rPr>
        <w:fldChar w:fldCharType="end"/>
      </w:r>
    </w:p>
    <w:p w14:paraId="0EE0B115">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_Toc30494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 xml:space="preserve"> 供应商关联单位的说明</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6F9CABFE">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_Toc23036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eastAsia="zh-CN"/>
        </w:rPr>
        <w:t>注：①以上文件格式由供应商自拟；</w:t>
      </w:r>
      <w:r>
        <w:rPr>
          <w:rFonts w:hint="eastAsia" w:ascii="仿宋" w:hAnsi="仿宋" w:eastAsia="仿宋" w:cs="仿宋"/>
          <w:color w:val="auto"/>
          <w:sz w:val="24"/>
          <w:szCs w:val="24"/>
          <w:highlight w:val="none"/>
        </w:rPr>
        <w:tab/>
      </w:r>
      <w:r>
        <w:rPr>
          <w:rFonts w:hint="eastAsia" w:ascii="仿宋" w:hAnsi="仿宋" w:eastAsia="仿宋" w:cs="仿宋"/>
          <w:bCs/>
          <w:color w:val="auto"/>
          <w:kern w:val="0"/>
          <w:sz w:val="24"/>
          <w:szCs w:val="24"/>
          <w:highlight w:val="none"/>
        </w:rPr>
        <w:fldChar w:fldCharType="end"/>
      </w:r>
    </w:p>
    <w:p w14:paraId="2F821957">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_Toc31899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lang w:val="en-US"/>
        </w:rPr>
        <w:t xml:space="preserve">第2章 </w:t>
      </w:r>
      <w:r>
        <w:rPr>
          <w:rFonts w:hint="eastAsia" w:ascii="仿宋" w:hAnsi="仿宋" w:eastAsia="仿宋" w:cs="仿宋"/>
          <w:color w:val="auto"/>
          <w:sz w:val="24"/>
          <w:szCs w:val="24"/>
          <w:highlight w:val="none"/>
        </w:rPr>
        <w:t>谈判邀请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_Toc31899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09EBEE47">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_Toc13172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 xml:space="preserve">第四章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须知资料表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_Toc13172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46</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62406041">
      <w:pPr>
        <w:pStyle w:val="23"/>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_Toc15679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kern w:val="44"/>
          <w:sz w:val="24"/>
          <w:szCs w:val="24"/>
          <w:highlight w:val="none"/>
        </w:rPr>
        <w:t>第6章  评标方法和标准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_Toc15679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55</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1225FB79">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_Toc19294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响应文件—资格性审查表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_Toc19294 \h </w:instrText>
      </w:r>
      <w:r>
        <w:rPr>
          <w:rFonts w:hint="eastAsia" w:ascii="仿宋" w:hAnsi="仿宋" w:eastAsia="仿宋" w:cs="仿宋"/>
          <w:color w:val="auto"/>
          <w:sz w:val="24"/>
          <w:szCs w:val="24"/>
          <w:highlight w:val="none"/>
        </w:rPr>
        <w:fldChar w:fldCharType="separate"/>
      </w:r>
      <w:r>
        <w:rPr>
          <w:b/>
        </w:rPr>
        <w:t>。</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492D0FD0">
      <w:pPr>
        <w:pStyle w:val="30"/>
        <w:tabs>
          <w:tab w:val="right" w:leader="dot" w:pos="8312"/>
        </w:tabs>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fldChar w:fldCharType="begin"/>
      </w:r>
      <w:r>
        <w:rPr>
          <w:rFonts w:hint="eastAsia" w:ascii="仿宋" w:hAnsi="仿宋" w:eastAsia="仿宋" w:cs="仿宋"/>
          <w:bCs/>
          <w:color w:val="auto"/>
          <w:kern w:val="0"/>
          <w:sz w:val="24"/>
          <w:szCs w:val="24"/>
          <w:highlight w:val="none"/>
        </w:rPr>
        <w:instrText xml:space="preserve"> HYPERLINK \l _Toc986 </w:instrText>
      </w:r>
      <w:r>
        <w:rPr>
          <w:rFonts w:hint="eastAsia" w:ascii="仿宋" w:hAnsi="仿宋" w:eastAsia="仿宋" w:cs="仿宋"/>
          <w:bCs/>
          <w:color w:val="auto"/>
          <w:kern w:val="0"/>
          <w:sz w:val="24"/>
          <w:szCs w:val="24"/>
          <w:highlight w:val="none"/>
        </w:rPr>
        <w:fldChar w:fldCharType="separate"/>
      </w:r>
      <w:r>
        <w:rPr>
          <w:rFonts w:hint="eastAsia" w:ascii="仿宋" w:hAnsi="仿宋" w:eastAsia="仿宋" w:cs="仿宋"/>
          <w:color w:val="auto"/>
          <w:sz w:val="24"/>
          <w:szCs w:val="24"/>
          <w:highlight w:val="none"/>
        </w:rPr>
        <w:t>响应文件—</w:t>
      </w:r>
      <w:r>
        <w:rPr>
          <w:rFonts w:hint="eastAsia" w:ascii="仿宋" w:hAnsi="仿宋" w:eastAsia="仿宋" w:cs="仿宋"/>
          <w:color w:val="auto"/>
          <w:kern w:val="2"/>
          <w:sz w:val="24"/>
          <w:szCs w:val="24"/>
          <w:highlight w:val="none"/>
        </w:rPr>
        <w:t>符合性审查表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_Toc986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63</w:t>
      </w:r>
      <w:r>
        <w:rPr>
          <w:rFonts w:hint="eastAsia" w:ascii="仿宋" w:hAnsi="仿宋" w:eastAsia="仿宋" w:cs="仿宋"/>
          <w:color w:val="auto"/>
          <w:sz w:val="24"/>
          <w:szCs w:val="24"/>
          <w:highlight w:val="none"/>
        </w:rPr>
        <w:fldChar w:fldCharType="end"/>
      </w:r>
      <w:r>
        <w:rPr>
          <w:rFonts w:hint="eastAsia" w:ascii="仿宋" w:hAnsi="仿宋" w:eastAsia="仿宋" w:cs="仿宋"/>
          <w:bCs/>
          <w:color w:val="auto"/>
          <w:kern w:val="0"/>
          <w:sz w:val="24"/>
          <w:szCs w:val="24"/>
          <w:highlight w:val="none"/>
        </w:rPr>
        <w:fldChar w:fldCharType="end"/>
      </w:r>
    </w:p>
    <w:p w14:paraId="757E1C32">
      <w:pPr>
        <w:pStyle w:val="4"/>
        <w:numPr>
          <w:ilvl w:val="0"/>
          <w:numId w:val="0"/>
        </w:numPr>
        <w:tabs>
          <w:tab w:val="left" w:pos="0"/>
        </w:tabs>
        <w:spacing w:before="0" w:after="0" w:line="440" w:lineRule="exact"/>
        <w:ind w:leftChars="0"/>
        <w:jc w:val="both"/>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fldChar w:fldCharType="end"/>
      </w:r>
      <w:bookmarkStart w:id="0" w:name="_Toc25817"/>
      <w:bookmarkStart w:id="1" w:name="_Toc22782"/>
      <w:bookmarkStart w:id="2" w:name="_Toc17230"/>
      <w:bookmarkStart w:id="3" w:name="_Toc216582804"/>
    </w:p>
    <w:p w14:paraId="4C1B0A47">
      <w:pPr>
        <w:pStyle w:val="4"/>
        <w:numPr>
          <w:ilvl w:val="0"/>
          <w:numId w:val="0"/>
        </w:numPr>
        <w:tabs>
          <w:tab w:val="left" w:pos="0"/>
        </w:tabs>
        <w:spacing w:before="0" w:after="0" w:line="440" w:lineRule="exact"/>
        <w:ind w:leftChars="0"/>
        <w:jc w:val="both"/>
        <w:rPr>
          <w:rFonts w:hint="eastAsia" w:ascii="仿宋" w:hAnsi="仿宋" w:eastAsia="仿宋" w:cs="仿宋"/>
          <w:bCs/>
          <w:color w:val="auto"/>
          <w:kern w:val="0"/>
          <w:szCs w:val="21"/>
          <w:highlight w:val="none"/>
          <w:lang w:eastAsia="zh-CN"/>
        </w:rPr>
      </w:pPr>
    </w:p>
    <w:p w14:paraId="0E6EC9E7">
      <w:pPr>
        <w:rPr>
          <w:rFonts w:hint="eastAsia" w:ascii="仿宋" w:hAnsi="仿宋" w:eastAsia="仿宋" w:cs="仿宋"/>
          <w:bCs/>
          <w:color w:val="auto"/>
          <w:kern w:val="0"/>
          <w:szCs w:val="21"/>
          <w:highlight w:val="none"/>
          <w:lang w:eastAsia="zh-CN"/>
        </w:rPr>
      </w:pPr>
    </w:p>
    <w:p w14:paraId="41D94BF3">
      <w:pPr>
        <w:pStyle w:val="4"/>
        <w:numPr>
          <w:ilvl w:val="0"/>
          <w:numId w:val="0"/>
        </w:numPr>
        <w:tabs>
          <w:tab w:val="left" w:pos="0"/>
        </w:tabs>
        <w:spacing w:before="0" w:after="0" w:line="440" w:lineRule="exact"/>
        <w:ind w:leftChars="0"/>
        <w:jc w:val="both"/>
        <w:rPr>
          <w:rFonts w:hint="eastAsia" w:ascii="仿宋" w:hAnsi="仿宋" w:eastAsia="仿宋" w:cs="仿宋"/>
          <w:color w:val="auto"/>
          <w:highlight w:val="none"/>
          <w:lang w:val="en-US" w:eastAsia="zh-CN"/>
        </w:rPr>
        <w:sectPr>
          <w:footerReference r:id="rId4" w:type="default"/>
          <w:pgSz w:w="11906" w:h="16839"/>
          <w:pgMar w:top="1440" w:right="1797" w:bottom="1440" w:left="1797" w:header="0" w:footer="994" w:gutter="0"/>
          <w:pgBorders>
            <w:top w:val="none" w:sz="0" w:space="0"/>
            <w:left w:val="none" w:sz="0" w:space="0"/>
            <w:bottom w:val="none" w:sz="0" w:space="0"/>
            <w:right w:val="none" w:sz="0" w:space="0"/>
          </w:pgBorders>
          <w:pgNumType w:fmt="decimal" w:start="1"/>
          <w:cols w:space="720" w:num="1"/>
        </w:sectPr>
      </w:pPr>
      <w:bookmarkStart w:id="4" w:name="_Toc515647756"/>
      <w:r>
        <w:rPr>
          <w:rFonts w:hint="eastAsia" w:ascii="仿宋" w:hAnsi="仿宋" w:eastAsia="仿宋" w:cs="仿宋"/>
          <w:color w:val="auto"/>
          <w:highlight w:val="none"/>
          <w:lang w:val="en-US" w:eastAsia="zh-CN"/>
        </w:rPr>
        <w:t xml:space="preserve">       </w:t>
      </w:r>
    </w:p>
    <w:p w14:paraId="4FB9DB30">
      <w:pPr>
        <w:pStyle w:val="4"/>
        <w:numPr>
          <w:ilvl w:val="0"/>
          <w:numId w:val="0"/>
        </w:numPr>
        <w:tabs>
          <w:tab w:val="left" w:pos="0"/>
        </w:tabs>
        <w:spacing w:before="0" w:after="0" w:line="440" w:lineRule="exact"/>
        <w:ind w:leftChars="0"/>
        <w:jc w:val="center"/>
        <w:rPr>
          <w:rFonts w:hint="eastAsia" w:ascii="仿宋" w:hAnsi="仿宋" w:eastAsia="仿宋" w:cs="仿宋"/>
          <w:color w:val="auto"/>
          <w:highlight w:val="none"/>
        </w:rPr>
      </w:pPr>
      <w:bookmarkStart w:id="5" w:name="_Toc11313"/>
      <w:r>
        <w:rPr>
          <w:rFonts w:hint="eastAsia" w:ascii="仿宋" w:hAnsi="仿宋" w:eastAsia="仿宋" w:cs="仿宋"/>
          <w:color w:val="auto"/>
          <w:highlight w:val="none"/>
          <w:lang w:eastAsia="zh-CN"/>
        </w:rPr>
        <w:t>第</w:t>
      </w:r>
      <w:r>
        <w:rPr>
          <w:rFonts w:hint="eastAsia" w:ascii="仿宋" w:hAnsi="仿宋" w:eastAsia="仿宋" w:cs="仿宋"/>
          <w:color w:val="auto"/>
          <w:highlight w:val="none"/>
          <w:lang w:val="en-US" w:eastAsia="zh-CN"/>
        </w:rPr>
        <w:t xml:space="preserve">1章  </w:t>
      </w:r>
      <w:r>
        <w:rPr>
          <w:rFonts w:hint="eastAsia" w:ascii="仿宋" w:hAnsi="仿宋" w:eastAsia="仿宋" w:cs="仿宋"/>
          <w:color w:val="auto"/>
          <w:highlight w:val="none"/>
        </w:rPr>
        <w:t>供应商须知</w:t>
      </w:r>
      <w:bookmarkEnd w:id="0"/>
      <w:bookmarkEnd w:id="1"/>
      <w:bookmarkEnd w:id="2"/>
      <w:bookmarkEnd w:id="3"/>
      <w:bookmarkEnd w:id="4"/>
      <w:bookmarkEnd w:id="5"/>
    </w:p>
    <w:p w14:paraId="1B689C14">
      <w:pPr>
        <w:pStyle w:val="5"/>
        <w:spacing w:before="0" w:line="440" w:lineRule="exact"/>
        <w:ind w:left="1080" w:leftChars="257" w:hanging="540"/>
        <w:rPr>
          <w:rFonts w:hint="eastAsia" w:ascii="仿宋" w:hAnsi="仿宋" w:eastAsia="仿宋" w:cs="仿宋"/>
          <w:color w:val="auto"/>
          <w:sz w:val="24"/>
          <w:szCs w:val="24"/>
          <w:highlight w:val="none"/>
        </w:rPr>
      </w:pPr>
      <w:bookmarkStart w:id="6" w:name="_Toc515647757"/>
      <w:bookmarkStart w:id="7" w:name="_Toc520356143"/>
      <w:bookmarkStart w:id="8" w:name="_Toc216582805"/>
      <w:bookmarkStart w:id="9" w:name="_Toc21215"/>
      <w:bookmarkStart w:id="10" w:name="_Toc17284"/>
      <w:bookmarkStart w:id="11" w:name="_Toc21015"/>
      <w:bookmarkStart w:id="12" w:name="_Toc10096_WPSOffice_Level1"/>
      <w:bookmarkStart w:id="13" w:name="_Toc22145"/>
      <w:r>
        <w:rPr>
          <w:rFonts w:hint="eastAsia" w:ascii="仿宋" w:hAnsi="仿宋" w:eastAsia="仿宋" w:cs="仿宋"/>
          <w:color w:val="auto"/>
          <w:sz w:val="24"/>
          <w:szCs w:val="24"/>
          <w:highlight w:val="none"/>
        </w:rPr>
        <w:t xml:space="preserve">一   </w:t>
      </w:r>
      <w:bookmarkEnd w:id="6"/>
      <w:bookmarkEnd w:id="7"/>
      <w:bookmarkEnd w:id="8"/>
      <w:r>
        <w:rPr>
          <w:rFonts w:hint="eastAsia" w:ascii="仿宋" w:hAnsi="仿宋" w:eastAsia="仿宋" w:cs="仿宋"/>
          <w:color w:val="auto"/>
          <w:sz w:val="24"/>
          <w:szCs w:val="24"/>
          <w:highlight w:val="none"/>
        </w:rPr>
        <w:t>总  则</w:t>
      </w:r>
      <w:bookmarkEnd w:id="9"/>
      <w:bookmarkEnd w:id="10"/>
      <w:bookmarkEnd w:id="11"/>
      <w:bookmarkEnd w:id="12"/>
      <w:bookmarkEnd w:id="13"/>
    </w:p>
    <w:p w14:paraId="736FA43E">
      <w:pPr>
        <w:pStyle w:val="6"/>
        <w:spacing w:before="0" w:after="0" w:line="360" w:lineRule="exact"/>
        <w:rPr>
          <w:rFonts w:hint="eastAsia" w:ascii="仿宋" w:hAnsi="仿宋" w:eastAsia="仿宋" w:cs="仿宋"/>
          <w:b w:val="0"/>
          <w:bCs/>
          <w:color w:val="auto"/>
          <w:szCs w:val="24"/>
          <w:highlight w:val="none"/>
          <w:u w:val="none"/>
        </w:rPr>
      </w:pPr>
      <w:bookmarkStart w:id="14" w:name="_Toc32189"/>
      <w:bookmarkStart w:id="15" w:name="_Toc515647758"/>
      <w:bookmarkStart w:id="16" w:name="_Toc520356144"/>
      <w:bookmarkStart w:id="17" w:name="_Toc5999"/>
      <w:bookmarkStart w:id="18" w:name="_Toc32623"/>
      <w:bookmarkStart w:id="19" w:name="_Toc19833"/>
      <w:bookmarkStart w:id="20" w:name="_Toc5404"/>
      <w:bookmarkStart w:id="21" w:name="_Toc12501_WPSOffice_Level2"/>
      <w:r>
        <w:rPr>
          <w:rFonts w:hint="eastAsia" w:ascii="仿宋" w:hAnsi="仿宋" w:eastAsia="仿宋" w:cs="仿宋"/>
          <w:b w:val="0"/>
          <w:bCs/>
          <w:color w:val="auto"/>
          <w:szCs w:val="24"/>
          <w:highlight w:val="none"/>
          <w:u w:val="none"/>
        </w:rPr>
        <w:t>1.采购人、采购代理机构及</w:t>
      </w:r>
      <w:bookmarkEnd w:id="14"/>
      <w:bookmarkEnd w:id="15"/>
      <w:bookmarkEnd w:id="16"/>
      <w:bookmarkEnd w:id="17"/>
      <w:bookmarkEnd w:id="18"/>
      <w:r>
        <w:rPr>
          <w:rFonts w:hint="eastAsia" w:ascii="仿宋" w:hAnsi="仿宋" w:eastAsia="仿宋" w:cs="仿宋"/>
          <w:b w:val="0"/>
          <w:bCs/>
          <w:color w:val="auto"/>
          <w:szCs w:val="24"/>
          <w:highlight w:val="none"/>
          <w:u w:val="none"/>
        </w:rPr>
        <w:t>供应商</w:t>
      </w:r>
      <w:bookmarkEnd w:id="19"/>
      <w:bookmarkEnd w:id="20"/>
      <w:bookmarkEnd w:id="21"/>
    </w:p>
    <w:p w14:paraId="7614FA07">
      <w:pPr>
        <w:numPr>
          <w:ilvl w:val="1"/>
          <w:numId w:val="2"/>
        </w:numPr>
        <w:tabs>
          <w:tab w:val="left" w:pos="0"/>
          <w:tab w:val="clear" w:pos="900"/>
        </w:tabs>
        <w:spacing w:line="360" w:lineRule="exact"/>
        <w:ind w:hanging="898"/>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采购人：是指依法开展政府采购活动的国家机关、事业单位、团体组织。</w:t>
      </w:r>
    </w:p>
    <w:p w14:paraId="7F90B613">
      <w:pPr>
        <w:tabs>
          <w:tab w:val="left" w:pos="0"/>
        </w:tabs>
        <w:spacing w:line="360" w:lineRule="exact"/>
        <w:ind w:left="9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本项目的采购人见</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w:t>
      </w:r>
    </w:p>
    <w:p w14:paraId="0DEE437D">
      <w:pPr>
        <w:numPr>
          <w:ilvl w:val="1"/>
          <w:numId w:val="2"/>
        </w:numPr>
        <w:tabs>
          <w:tab w:val="left" w:pos="0"/>
          <w:tab w:val="clear" w:pos="900"/>
        </w:tabs>
        <w:spacing w:line="360" w:lineRule="exact"/>
        <w:ind w:hanging="898"/>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采购代理机构：是指在集中采购机构或从事采购代理业务的社会中介机构。本项目的采购代理机构见</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w:t>
      </w:r>
    </w:p>
    <w:p w14:paraId="19ABB1BF">
      <w:pPr>
        <w:numPr>
          <w:ilvl w:val="1"/>
          <w:numId w:val="2"/>
        </w:numPr>
        <w:spacing w:line="360" w:lineRule="exact"/>
        <w:ind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供应商：是指向采购人提供货物、工程或者服务的法人、非法人组织或者自然人。本项目的供应商及其所投货物须满足以下条件：</w:t>
      </w:r>
    </w:p>
    <w:p w14:paraId="02F4F639">
      <w:pPr>
        <w:spacing w:line="360" w:lineRule="exact"/>
        <w:ind w:left="850" w:hanging="849" w:hangingChars="354"/>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在中华人民共和国境内注册，能够独立承担民事责任，有生产或供应能力的本国供应商。</w:t>
      </w:r>
    </w:p>
    <w:p w14:paraId="1F357829">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1.3.2  具备《中华人民共和国政府采购法》第二十二条关于供应商条件的规定，遵守本项目采购人本级和上级财政部门政府采购的有关规定。</w:t>
      </w:r>
    </w:p>
    <w:p w14:paraId="47C5312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1.3.3   以采购代理机构认可的方式获得了本项目的谈判文件。</w:t>
      </w:r>
    </w:p>
    <w:p w14:paraId="444164A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1.3.4   符合</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中规定的其他要求。</w:t>
      </w:r>
    </w:p>
    <w:p w14:paraId="7A28D3C9">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1.3.5   若</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中写明允许采购进口产品，供应商应保证所投产品可履行合法报通关手续进入中国关境内。</w:t>
      </w:r>
    </w:p>
    <w:p w14:paraId="4B8DB51F">
      <w:pPr>
        <w:spacing w:line="360" w:lineRule="exact"/>
        <w:ind w:left="899" w:leftChars="428"/>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若</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中未写明允许采购进口产品，如供应商所投产品为进口产品，其响应文件将被认定为无效。</w:t>
      </w:r>
    </w:p>
    <w:p w14:paraId="0FB62E3C">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     如</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中允许联合体参加，对联合体规定如下：</w:t>
      </w:r>
    </w:p>
    <w:p w14:paraId="066B2F70">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   两个以上供应商可以组成一个谈判联合体，以一个供应商的身份谈判。</w:t>
      </w:r>
    </w:p>
    <w:p w14:paraId="3E3B389E">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   联合体各方均应符合《中华人民共和国政府采购法》第二十二条规定的条件。</w:t>
      </w:r>
    </w:p>
    <w:p w14:paraId="373BBAE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1.4.3   采购人根据采购项目对供应商的特殊要求，联合体中至少应当有一方符合相关规定。</w:t>
      </w:r>
    </w:p>
    <w:p w14:paraId="20CD72D4">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1.4.4   联合体各方应签订共同参加谈判协议，明确约定联合体各方承担的工作和相应的责任，并将共同参加谈判协议连同作为响应文件第一部分的内容提交。</w:t>
      </w:r>
    </w:p>
    <w:p w14:paraId="3F311E67">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1.4.5   大中型企业、其他自然人、法人或者非法人组织与小型、微型企业组成联合体共同参加谈判，共同谈判协议中应写明小型、微型企业的协议合同金额占到共同谈判协议报价总金额的比例。</w:t>
      </w:r>
    </w:p>
    <w:p w14:paraId="368DCA3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1.4.6  联合体中有同类资质的供应商按照联合体分工承担相同工作的，按照较低的资质等级确定联合体的资质等级。</w:t>
      </w:r>
    </w:p>
    <w:p w14:paraId="2BF9CDA5">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1.4.7  以联合体形式参加政府采购活动的，联合体各方不得再单独参加或者与其他供应商另外组成联合体参加本项目谈判，否则相关谈判资格将被认定为无效。</w:t>
      </w:r>
    </w:p>
    <w:p w14:paraId="667CA7FD">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1.4.8   对联合体参加谈判的其他资格要求见</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w:t>
      </w:r>
    </w:p>
    <w:p w14:paraId="47F5D0D1">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    单位负责人为同一人或者存在直接控股、管理关系的不同供应商，其相关谈判资格将被认定为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22259A01">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1.6    为本项目提供过整体设计、规范编制或者项目管理、监理、检测等服务的供应商，不得再参加本项目上述服务以外的其他采购活动。否则其谈判资格将被认定为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7BD4FB75">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1.7</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供应商在谈判过程中不得向采购人提供、给予任何有价值的物品，影响其正常决策行为。一经发现，其将被认定为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680F9734">
      <w:pPr>
        <w:pStyle w:val="6"/>
        <w:spacing w:before="0" w:after="0" w:line="360" w:lineRule="exact"/>
        <w:rPr>
          <w:rFonts w:hint="eastAsia" w:ascii="仿宋" w:hAnsi="仿宋" w:eastAsia="仿宋" w:cs="仿宋"/>
          <w:b w:val="0"/>
          <w:bCs/>
          <w:color w:val="auto"/>
          <w:szCs w:val="24"/>
          <w:highlight w:val="none"/>
          <w:u w:val="none"/>
        </w:rPr>
      </w:pPr>
      <w:bookmarkStart w:id="22" w:name="_Toc515647759"/>
      <w:bookmarkStart w:id="23" w:name="_Toc5286"/>
      <w:bookmarkStart w:id="24" w:name="_Toc24652"/>
      <w:bookmarkStart w:id="25" w:name="_Toc4322"/>
      <w:bookmarkStart w:id="26" w:name="_Toc12139"/>
      <w:bookmarkStart w:id="27" w:name="_Toc11272_WPSOffice_Level2"/>
      <w:bookmarkStart w:id="28" w:name="_Toc17427"/>
      <w:r>
        <w:rPr>
          <w:rFonts w:hint="eastAsia" w:ascii="仿宋" w:hAnsi="仿宋" w:eastAsia="仿宋" w:cs="仿宋"/>
          <w:b w:val="0"/>
          <w:bCs/>
          <w:color w:val="auto"/>
          <w:szCs w:val="24"/>
          <w:highlight w:val="none"/>
          <w:u w:val="none"/>
        </w:rPr>
        <w:t>2.资金来源</w:t>
      </w:r>
      <w:bookmarkEnd w:id="22"/>
      <w:bookmarkEnd w:id="23"/>
      <w:bookmarkEnd w:id="24"/>
      <w:bookmarkEnd w:id="25"/>
      <w:bookmarkEnd w:id="26"/>
      <w:bookmarkEnd w:id="27"/>
      <w:bookmarkEnd w:id="28"/>
    </w:p>
    <w:p w14:paraId="398CB41D">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本项目的采购人已获得足以支付本次谈判后所签订的合同项下的资金（包括财政性资金和本项目采购中无法与财政性资金分割的非财政性资金）。</w:t>
      </w:r>
    </w:p>
    <w:p w14:paraId="5EDEE4B7">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2.2    项目预算金额和分项或分包最高限价</w:t>
      </w:r>
      <w:r>
        <w:rPr>
          <w:rFonts w:hint="eastAsia" w:ascii="仿宋" w:hAnsi="仿宋" w:eastAsia="仿宋" w:cs="仿宋"/>
          <w:bCs/>
          <w:color w:val="auto"/>
          <w:sz w:val="24"/>
          <w:highlight w:val="none"/>
          <w:u w:val="single"/>
        </w:rPr>
        <w:t>见供应商须知资料表</w:t>
      </w:r>
      <w:r>
        <w:rPr>
          <w:rFonts w:hint="eastAsia" w:ascii="仿宋" w:hAnsi="仿宋" w:eastAsia="仿宋" w:cs="仿宋"/>
          <w:bCs/>
          <w:color w:val="auto"/>
          <w:sz w:val="24"/>
          <w:highlight w:val="none"/>
        </w:rPr>
        <w:t>。</w:t>
      </w:r>
    </w:p>
    <w:p w14:paraId="0F61FFC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2.3    供应商报价超过谈判文件规定的预算金额或者分项、分包最高限价的，其报价将被认定为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748A28C8">
      <w:pPr>
        <w:pStyle w:val="6"/>
        <w:spacing w:before="0" w:after="0" w:line="360" w:lineRule="exact"/>
        <w:rPr>
          <w:rFonts w:hint="eastAsia" w:ascii="仿宋" w:hAnsi="仿宋" w:eastAsia="仿宋" w:cs="仿宋"/>
          <w:b w:val="0"/>
          <w:bCs/>
          <w:color w:val="auto"/>
          <w:szCs w:val="24"/>
          <w:highlight w:val="none"/>
          <w:u w:val="none"/>
        </w:rPr>
      </w:pPr>
      <w:bookmarkStart w:id="29" w:name="_Toc27327"/>
      <w:bookmarkStart w:id="30" w:name="_Toc13828"/>
      <w:bookmarkStart w:id="31" w:name="_Toc20526"/>
      <w:bookmarkStart w:id="32" w:name="_Toc19127_WPSOffice_Level2"/>
      <w:bookmarkStart w:id="33" w:name="_Toc520356145"/>
      <w:bookmarkStart w:id="34" w:name="_Toc16954"/>
      <w:bookmarkStart w:id="35" w:name="_Toc515647760"/>
      <w:bookmarkStart w:id="36" w:name="_Toc15936"/>
      <w:r>
        <w:rPr>
          <w:rFonts w:hint="eastAsia" w:ascii="仿宋" w:hAnsi="仿宋" w:eastAsia="仿宋" w:cs="仿宋"/>
          <w:b w:val="0"/>
          <w:bCs/>
          <w:color w:val="auto"/>
          <w:szCs w:val="24"/>
          <w:highlight w:val="none"/>
          <w:u w:val="none"/>
        </w:rPr>
        <w:t>3.谈判费用</w:t>
      </w:r>
      <w:bookmarkEnd w:id="29"/>
      <w:bookmarkEnd w:id="30"/>
      <w:bookmarkEnd w:id="31"/>
      <w:bookmarkEnd w:id="32"/>
      <w:bookmarkEnd w:id="33"/>
      <w:bookmarkEnd w:id="34"/>
      <w:bookmarkEnd w:id="35"/>
      <w:bookmarkEnd w:id="36"/>
    </w:p>
    <w:p w14:paraId="6B36B90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不论谈判的结果如何，供应商应承担所有与准备和参加谈判有关的费用。</w:t>
      </w:r>
    </w:p>
    <w:p w14:paraId="7226D913">
      <w:pPr>
        <w:pStyle w:val="6"/>
        <w:spacing w:before="0" w:after="0" w:line="360" w:lineRule="exact"/>
        <w:rPr>
          <w:rFonts w:hint="eastAsia" w:ascii="仿宋" w:hAnsi="仿宋" w:eastAsia="仿宋" w:cs="仿宋"/>
          <w:b w:val="0"/>
          <w:bCs/>
          <w:color w:val="auto"/>
          <w:szCs w:val="24"/>
          <w:highlight w:val="none"/>
          <w:u w:val="none"/>
        </w:rPr>
      </w:pPr>
      <w:bookmarkStart w:id="37" w:name="_Toc17299"/>
      <w:bookmarkStart w:id="38" w:name="_Toc6116"/>
      <w:bookmarkStart w:id="39" w:name="_Toc515647761"/>
      <w:bookmarkStart w:id="40" w:name="_Toc14483"/>
      <w:bookmarkStart w:id="41" w:name="_Toc31363_WPSOffice_Level2"/>
      <w:bookmarkStart w:id="42" w:name="_Toc32665"/>
      <w:bookmarkStart w:id="43" w:name="_Toc4463"/>
      <w:r>
        <w:rPr>
          <w:rFonts w:hint="eastAsia" w:ascii="仿宋" w:hAnsi="仿宋" w:eastAsia="仿宋" w:cs="仿宋"/>
          <w:b w:val="0"/>
          <w:bCs/>
          <w:color w:val="auto"/>
          <w:szCs w:val="24"/>
          <w:highlight w:val="none"/>
          <w:u w:val="none"/>
        </w:rPr>
        <w:t>4.适用法律</w:t>
      </w:r>
      <w:bookmarkEnd w:id="37"/>
      <w:bookmarkEnd w:id="38"/>
      <w:bookmarkEnd w:id="39"/>
      <w:bookmarkEnd w:id="40"/>
      <w:bookmarkEnd w:id="41"/>
      <w:bookmarkEnd w:id="42"/>
      <w:bookmarkEnd w:id="43"/>
    </w:p>
    <w:p w14:paraId="5277A56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本项目采购人、采购代理机构、供应商、谈判小组的相关行为均受《中华人民共和国政府采购法》、《中华人民共和国政府采购法实施条例》及本项目本级和上级财政部门政府采购有关规定的约束，其权利受到上述法律法规的保护。</w:t>
      </w:r>
    </w:p>
    <w:p w14:paraId="18A90BE5">
      <w:pPr>
        <w:spacing w:line="360" w:lineRule="exact"/>
        <w:rPr>
          <w:rFonts w:hint="eastAsia" w:ascii="仿宋" w:hAnsi="仿宋" w:eastAsia="仿宋" w:cs="仿宋"/>
          <w:bCs/>
          <w:color w:val="auto"/>
          <w:sz w:val="24"/>
          <w:highlight w:val="none"/>
        </w:rPr>
      </w:pPr>
    </w:p>
    <w:p w14:paraId="01FD0961">
      <w:pPr>
        <w:pStyle w:val="5"/>
        <w:spacing w:before="0" w:line="360" w:lineRule="exact"/>
        <w:ind w:left="1080" w:leftChars="257" w:hanging="540"/>
        <w:rPr>
          <w:rFonts w:hint="eastAsia" w:ascii="仿宋" w:hAnsi="仿宋" w:eastAsia="仿宋" w:cs="仿宋"/>
          <w:color w:val="auto"/>
          <w:sz w:val="24"/>
          <w:szCs w:val="24"/>
          <w:highlight w:val="none"/>
        </w:rPr>
      </w:pPr>
      <w:bookmarkStart w:id="44" w:name="_Toc28572"/>
      <w:bookmarkStart w:id="45" w:name="_Toc520356146"/>
      <w:bookmarkStart w:id="46" w:name="_Toc216582806"/>
      <w:bookmarkStart w:id="47" w:name="_Toc4365"/>
      <w:bookmarkStart w:id="48" w:name="_Toc515647762"/>
      <w:bookmarkStart w:id="49" w:name="_Toc21566"/>
      <w:bookmarkStart w:id="50" w:name="_Toc20867_WPSOffice_Level1"/>
      <w:bookmarkStart w:id="51" w:name="_Toc23553"/>
      <w:r>
        <w:rPr>
          <w:rFonts w:hint="eastAsia" w:ascii="仿宋" w:hAnsi="仿宋" w:eastAsia="仿宋" w:cs="仿宋"/>
          <w:color w:val="auto"/>
          <w:sz w:val="24"/>
          <w:szCs w:val="24"/>
          <w:highlight w:val="none"/>
        </w:rPr>
        <w:t xml:space="preserve">二   </w:t>
      </w:r>
      <w:bookmarkEnd w:id="44"/>
      <w:bookmarkEnd w:id="45"/>
      <w:bookmarkEnd w:id="46"/>
      <w:bookmarkEnd w:id="47"/>
      <w:bookmarkEnd w:id="48"/>
      <w:bookmarkEnd w:id="49"/>
      <w:r>
        <w:rPr>
          <w:rFonts w:hint="eastAsia" w:ascii="仿宋" w:hAnsi="仿宋" w:eastAsia="仿宋" w:cs="仿宋"/>
          <w:color w:val="auto"/>
          <w:sz w:val="24"/>
          <w:szCs w:val="24"/>
          <w:highlight w:val="none"/>
        </w:rPr>
        <w:t>谈判文件</w:t>
      </w:r>
      <w:bookmarkEnd w:id="50"/>
      <w:bookmarkEnd w:id="51"/>
    </w:p>
    <w:p w14:paraId="6E9095EF">
      <w:pPr>
        <w:pStyle w:val="2"/>
        <w:spacing w:line="360" w:lineRule="exact"/>
        <w:rPr>
          <w:rFonts w:hint="eastAsia" w:ascii="仿宋" w:hAnsi="仿宋" w:eastAsia="仿宋" w:cs="仿宋"/>
          <w:bCs/>
          <w:color w:val="auto"/>
          <w:szCs w:val="24"/>
          <w:highlight w:val="none"/>
        </w:rPr>
      </w:pPr>
    </w:p>
    <w:p w14:paraId="34BC8BC6">
      <w:pPr>
        <w:pStyle w:val="6"/>
        <w:spacing w:before="0" w:after="0" w:line="360" w:lineRule="exact"/>
        <w:rPr>
          <w:rFonts w:hint="eastAsia" w:ascii="仿宋" w:hAnsi="仿宋" w:eastAsia="仿宋" w:cs="仿宋"/>
          <w:b w:val="0"/>
          <w:bCs/>
          <w:color w:val="auto"/>
          <w:szCs w:val="24"/>
          <w:highlight w:val="none"/>
          <w:u w:val="none"/>
        </w:rPr>
      </w:pPr>
      <w:bookmarkStart w:id="52" w:name="_Toc14084"/>
      <w:bookmarkStart w:id="53" w:name="_Toc18340"/>
      <w:bookmarkStart w:id="54" w:name="_Toc31551"/>
      <w:bookmarkStart w:id="55" w:name="_Toc4671"/>
      <w:bookmarkStart w:id="56" w:name="_Toc25743"/>
      <w:bookmarkStart w:id="57" w:name="_Toc520356147"/>
      <w:bookmarkStart w:id="58" w:name="_Toc515647763"/>
      <w:bookmarkStart w:id="59" w:name="_Toc15244_WPSOffice_Level2"/>
      <w:r>
        <w:rPr>
          <w:rFonts w:hint="eastAsia" w:ascii="仿宋" w:hAnsi="仿宋" w:eastAsia="仿宋" w:cs="仿宋"/>
          <w:b w:val="0"/>
          <w:bCs/>
          <w:color w:val="auto"/>
          <w:szCs w:val="24"/>
          <w:highlight w:val="none"/>
          <w:u w:val="none"/>
        </w:rPr>
        <w:t>5.谈判文件构成</w:t>
      </w:r>
      <w:bookmarkEnd w:id="52"/>
      <w:bookmarkEnd w:id="53"/>
      <w:bookmarkEnd w:id="54"/>
      <w:bookmarkEnd w:id="55"/>
      <w:bookmarkEnd w:id="56"/>
      <w:bookmarkEnd w:id="57"/>
      <w:bookmarkEnd w:id="58"/>
      <w:bookmarkEnd w:id="59"/>
    </w:p>
    <w:p w14:paraId="39124C6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谈判文件分为三册共7章，内容如下：</w:t>
      </w:r>
    </w:p>
    <w:p w14:paraId="55CDD16E">
      <w:pPr>
        <w:spacing w:line="360" w:lineRule="exact"/>
        <w:ind w:left="1079" w:leftChars="428" w:hanging="180" w:hangingChars="75"/>
        <w:rPr>
          <w:rFonts w:hint="eastAsia" w:ascii="仿宋" w:hAnsi="仿宋" w:eastAsia="仿宋" w:cs="仿宋"/>
          <w:bCs/>
          <w:color w:val="auto"/>
          <w:sz w:val="24"/>
          <w:highlight w:val="none"/>
        </w:rPr>
      </w:pPr>
      <w:bookmarkStart w:id="60" w:name="_Toc2506_WPSOffice_Level3"/>
      <w:r>
        <w:rPr>
          <w:rFonts w:hint="eastAsia" w:ascii="仿宋" w:hAnsi="仿宋" w:eastAsia="仿宋" w:cs="仿宋"/>
          <w:bCs/>
          <w:color w:val="auto"/>
          <w:sz w:val="24"/>
          <w:highlight w:val="none"/>
        </w:rPr>
        <w:t>第一册</w:t>
      </w:r>
      <w:bookmarkEnd w:id="60"/>
    </w:p>
    <w:p w14:paraId="432E9B29">
      <w:pPr>
        <w:numPr>
          <w:ilvl w:val="0"/>
          <w:numId w:val="3"/>
        </w:numPr>
        <w:tabs>
          <w:tab w:val="left" w:pos="0"/>
        </w:tabs>
        <w:spacing w:line="360" w:lineRule="exact"/>
        <w:ind w:hanging="82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供应商须知</w:t>
      </w:r>
    </w:p>
    <w:p w14:paraId="26F14A45">
      <w:pPr>
        <w:numPr>
          <w:ilvl w:val="0"/>
          <w:numId w:val="3"/>
        </w:numPr>
        <w:spacing w:line="360" w:lineRule="exact"/>
        <w:ind w:left="1081" w:leftChars="429" w:hanging="1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响应文件格式</w:t>
      </w:r>
    </w:p>
    <w:p w14:paraId="3C397DD2">
      <w:pPr>
        <w:spacing w:line="360" w:lineRule="exact"/>
        <w:ind w:left="1081" w:leftChars="429" w:hanging="180"/>
        <w:rPr>
          <w:rFonts w:hint="eastAsia" w:ascii="仿宋" w:hAnsi="仿宋" w:eastAsia="仿宋" w:cs="仿宋"/>
          <w:bCs/>
          <w:color w:val="auto"/>
          <w:sz w:val="24"/>
          <w:highlight w:val="none"/>
        </w:rPr>
      </w:pPr>
      <w:bookmarkStart w:id="61" w:name="_Toc11700_WPSOffice_Level3"/>
      <w:r>
        <w:rPr>
          <w:rFonts w:hint="eastAsia" w:ascii="仿宋" w:hAnsi="仿宋" w:eastAsia="仿宋" w:cs="仿宋"/>
          <w:bCs/>
          <w:color w:val="auto"/>
          <w:sz w:val="24"/>
          <w:highlight w:val="none"/>
        </w:rPr>
        <w:t>第二册</w:t>
      </w:r>
      <w:bookmarkEnd w:id="61"/>
    </w:p>
    <w:p w14:paraId="74621010">
      <w:pPr>
        <w:numPr>
          <w:ilvl w:val="0"/>
          <w:numId w:val="3"/>
        </w:numPr>
        <w:spacing w:line="360" w:lineRule="exact"/>
        <w:ind w:left="1081" w:leftChars="429" w:hanging="1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谈判邀请</w:t>
      </w:r>
    </w:p>
    <w:p w14:paraId="6C4C90BD">
      <w:pPr>
        <w:numPr>
          <w:ilvl w:val="0"/>
          <w:numId w:val="3"/>
        </w:numPr>
        <w:spacing w:line="360" w:lineRule="exact"/>
        <w:ind w:left="1081" w:leftChars="429" w:hanging="1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供应商须知资料表</w:t>
      </w:r>
    </w:p>
    <w:p w14:paraId="6C3F966F">
      <w:pPr>
        <w:numPr>
          <w:ilvl w:val="0"/>
          <w:numId w:val="3"/>
        </w:numPr>
        <w:spacing w:line="360" w:lineRule="exact"/>
        <w:ind w:left="1081" w:leftChars="429" w:hanging="1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货物需求一览表及技术规格</w:t>
      </w:r>
    </w:p>
    <w:p w14:paraId="3B604644">
      <w:pPr>
        <w:numPr>
          <w:ilvl w:val="0"/>
          <w:numId w:val="3"/>
        </w:numPr>
        <w:spacing w:line="360" w:lineRule="exact"/>
        <w:ind w:left="1081" w:leftChars="429" w:hanging="1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评审方法和标准</w:t>
      </w:r>
    </w:p>
    <w:p w14:paraId="3C107BFB">
      <w:pPr>
        <w:spacing w:line="360" w:lineRule="exact"/>
        <w:ind w:left="901"/>
        <w:rPr>
          <w:rFonts w:hint="eastAsia" w:ascii="仿宋" w:hAnsi="仿宋" w:eastAsia="仿宋" w:cs="仿宋"/>
          <w:bCs/>
          <w:color w:val="auto"/>
          <w:sz w:val="24"/>
          <w:highlight w:val="none"/>
        </w:rPr>
      </w:pPr>
      <w:bookmarkStart w:id="62" w:name="_Toc15095_WPSOffice_Level3"/>
      <w:r>
        <w:rPr>
          <w:rFonts w:hint="eastAsia" w:ascii="仿宋" w:hAnsi="仿宋" w:eastAsia="仿宋" w:cs="仿宋"/>
          <w:bCs/>
          <w:color w:val="auto"/>
          <w:sz w:val="24"/>
          <w:highlight w:val="none"/>
        </w:rPr>
        <w:t>第三册</w:t>
      </w:r>
      <w:bookmarkEnd w:id="62"/>
    </w:p>
    <w:p w14:paraId="1428133B">
      <w:pPr>
        <w:numPr>
          <w:ilvl w:val="0"/>
          <w:numId w:val="3"/>
        </w:numPr>
        <w:spacing w:line="360" w:lineRule="exact"/>
        <w:ind w:left="718" w:leftChars="342" w:firstLine="240" w:firstLineChars="1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政府采购合同格式</w:t>
      </w:r>
    </w:p>
    <w:p w14:paraId="62DBD2C3">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如本文件的前后内容不一致，以最后描述为准。</w:t>
      </w:r>
    </w:p>
    <w:p w14:paraId="1B0E6358">
      <w:pPr>
        <w:spacing w:line="360" w:lineRule="exact"/>
        <w:ind w:left="900" w:hanging="900" w:hangingChars="375"/>
        <w:rPr>
          <w:rFonts w:hint="eastAsia" w:ascii="仿宋" w:hAnsi="仿宋" w:eastAsia="仿宋" w:cs="仿宋"/>
          <w:b/>
          <w:bCs w:val="0"/>
          <w:color w:val="auto"/>
          <w:sz w:val="24"/>
          <w:highlight w:val="none"/>
        </w:rPr>
      </w:pPr>
      <w:r>
        <w:rPr>
          <w:rFonts w:hint="eastAsia" w:ascii="仿宋" w:hAnsi="仿宋" w:eastAsia="仿宋" w:cs="仿宋"/>
          <w:bCs/>
          <w:color w:val="auto"/>
          <w:sz w:val="24"/>
          <w:highlight w:val="none"/>
        </w:rPr>
        <w:t>5.3    供应商应认真阅读谈判文件所有的事项、格式、条款和技术规范等。如供应商没有按照谈判文件要求提交全部资料，或者响应文件没有对谈判文件在各方面都做出实质性响应，可能导致其响应文件将被认定为</w:t>
      </w:r>
      <w:r>
        <w:rPr>
          <w:rFonts w:hint="eastAsia" w:ascii="仿宋" w:hAnsi="仿宋" w:eastAsia="仿宋" w:cs="仿宋"/>
          <w:b/>
          <w:bCs w:val="0"/>
          <w:color w:val="auto"/>
          <w:sz w:val="24"/>
          <w:highlight w:val="none"/>
        </w:rPr>
        <w:t>无效。</w:t>
      </w:r>
    </w:p>
    <w:p w14:paraId="65BFCC4B">
      <w:pPr>
        <w:pStyle w:val="6"/>
        <w:spacing w:before="0" w:after="0" w:line="360" w:lineRule="exact"/>
        <w:rPr>
          <w:rFonts w:hint="eastAsia" w:ascii="仿宋" w:hAnsi="仿宋" w:eastAsia="仿宋" w:cs="仿宋"/>
          <w:b w:val="0"/>
          <w:bCs/>
          <w:color w:val="auto"/>
          <w:szCs w:val="24"/>
          <w:highlight w:val="none"/>
          <w:u w:val="none"/>
        </w:rPr>
      </w:pPr>
      <w:bookmarkStart w:id="63" w:name="_Toc520356148"/>
      <w:bookmarkStart w:id="64" w:name="_Toc515904805"/>
      <w:bookmarkStart w:id="65" w:name="_Toc9232"/>
      <w:bookmarkStart w:id="66" w:name="_Toc19684"/>
      <w:bookmarkStart w:id="67" w:name="_Toc29495"/>
      <w:bookmarkStart w:id="68" w:name="_Toc31062_WPSOffice_Level2"/>
      <w:bookmarkStart w:id="69" w:name="_Toc26044"/>
      <w:bookmarkStart w:id="70" w:name="_Toc1922"/>
      <w:r>
        <w:rPr>
          <w:rFonts w:hint="eastAsia" w:ascii="仿宋" w:hAnsi="仿宋" w:eastAsia="仿宋" w:cs="仿宋"/>
          <w:b w:val="0"/>
          <w:bCs/>
          <w:color w:val="auto"/>
          <w:szCs w:val="24"/>
          <w:highlight w:val="none"/>
          <w:u w:val="none"/>
        </w:rPr>
        <w:t>6.谈判文件的澄清</w:t>
      </w:r>
      <w:bookmarkEnd w:id="63"/>
      <w:bookmarkEnd w:id="64"/>
      <w:r>
        <w:rPr>
          <w:rFonts w:hint="eastAsia" w:ascii="仿宋" w:hAnsi="仿宋" w:eastAsia="仿宋" w:cs="仿宋"/>
          <w:b w:val="0"/>
          <w:bCs/>
          <w:color w:val="auto"/>
          <w:szCs w:val="24"/>
          <w:highlight w:val="none"/>
          <w:u w:val="none"/>
        </w:rPr>
        <w:t>与修改</w:t>
      </w:r>
      <w:bookmarkEnd w:id="65"/>
      <w:bookmarkEnd w:id="66"/>
      <w:bookmarkEnd w:id="67"/>
      <w:bookmarkEnd w:id="68"/>
      <w:bookmarkEnd w:id="69"/>
      <w:bookmarkEnd w:id="70"/>
    </w:p>
    <w:p w14:paraId="3FCB412E">
      <w:pPr>
        <w:pStyle w:val="2"/>
        <w:spacing w:line="360" w:lineRule="exact"/>
        <w:ind w:left="840" w:hanging="840" w:hangingChars="350"/>
        <w:rPr>
          <w:rFonts w:hint="eastAsia" w:ascii="仿宋" w:hAnsi="仿宋" w:eastAsia="仿宋" w:cs="仿宋"/>
          <w:bCs/>
          <w:color w:val="auto"/>
          <w:szCs w:val="24"/>
          <w:highlight w:val="none"/>
        </w:rPr>
      </w:pPr>
      <w:r>
        <w:rPr>
          <w:rFonts w:hint="eastAsia" w:ascii="仿宋" w:hAnsi="仿宋" w:eastAsia="仿宋" w:cs="仿宋"/>
          <w:bCs/>
          <w:color w:val="auto"/>
          <w:szCs w:val="24"/>
          <w:highlight w:val="none"/>
        </w:rPr>
        <w:t>6.1    为了保证对谈判文件的澄清和修改满足法律的时限要求，任何要求对谈判文件进行澄清的供应商，均应在递交响应文件截止期三个工作日前，以书面形式将澄清要求通知采购人或采购代理机构。</w:t>
      </w:r>
    </w:p>
    <w:p w14:paraId="4D7DEC72">
      <w:pPr>
        <w:pStyle w:val="2"/>
        <w:spacing w:line="360" w:lineRule="exact"/>
        <w:ind w:left="840" w:hanging="840" w:hangingChars="350"/>
        <w:rPr>
          <w:rFonts w:hint="eastAsia" w:ascii="仿宋" w:hAnsi="仿宋" w:eastAsia="仿宋" w:cs="仿宋"/>
          <w:bCs/>
          <w:color w:val="auto"/>
          <w:szCs w:val="24"/>
          <w:highlight w:val="none"/>
        </w:rPr>
      </w:pPr>
      <w:bookmarkStart w:id="71" w:name="_Toc515904806"/>
      <w:bookmarkStart w:id="72" w:name="_Ref467378678"/>
      <w:bookmarkStart w:id="73" w:name="_Toc520356149"/>
      <w:r>
        <w:rPr>
          <w:rFonts w:hint="eastAsia" w:ascii="仿宋" w:hAnsi="仿宋" w:eastAsia="仿宋" w:cs="仿宋"/>
          <w:bCs/>
          <w:color w:val="auto"/>
          <w:szCs w:val="24"/>
          <w:highlight w:val="none"/>
        </w:rPr>
        <w:t>6.2</w:t>
      </w:r>
      <w:r>
        <w:rPr>
          <w:rFonts w:hint="eastAsia" w:ascii="仿宋" w:hAnsi="仿宋" w:eastAsia="仿宋" w:cs="仿宋"/>
          <w:bCs/>
          <w:color w:val="auto"/>
          <w:szCs w:val="24"/>
          <w:highlight w:val="none"/>
        </w:rPr>
        <w:tab/>
      </w:r>
      <w:r>
        <w:rPr>
          <w:rFonts w:hint="eastAsia" w:ascii="仿宋" w:hAnsi="仿宋" w:eastAsia="仿宋" w:cs="仿宋"/>
          <w:bCs/>
          <w:color w:val="auto"/>
          <w:szCs w:val="24"/>
          <w:highlight w:val="none"/>
        </w:rPr>
        <w:t>采购人可主动地或在解答供应商提出的澄清问题时对谈判文件进行澄清或修改。采购代理机构将以发布澄清（更正）公告的方式，澄清或修改谈判文件，澄清或修改内容作为谈判文件的组成部分。</w:t>
      </w:r>
    </w:p>
    <w:p w14:paraId="5F22C46C">
      <w:pPr>
        <w:pStyle w:val="2"/>
        <w:spacing w:line="360" w:lineRule="exact"/>
        <w:ind w:left="840" w:hanging="840" w:hangingChars="350"/>
        <w:rPr>
          <w:rFonts w:hint="eastAsia" w:ascii="仿宋" w:hAnsi="仿宋" w:eastAsia="仿宋" w:cs="仿宋"/>
          <w:bCs/>
          <w:color w:val="auto"/>
          <w:szCs w:val="24"/>
          <w:highlight w:val="none"/>
        </w:rPr>
      </w:pPr>
      <w:r>
        <w:rPr>
          <w:rFonts w:hint="eastAsia" w:ascii="仿宋" w:hAnsi="仿宋" w:eastAsia="仿宋" w:cs="仿宋"/>
          <w:bCs/>
          <w:color w:val="auto"/>
          <w:szCs w:val="24"/>
          <w:highlight w:val="none"/>
        </w:rPr>
        <w:t>6.3</w:t>
      </w:r>
      <w:r>
        <w:rPr>
          <w:rFonts w:hint="eastAsia" w:ascii="仿宋" w:hAnsi="仿宋" w:eastAsia="仿宋" w:cs="仿宋"/>
          <w:bCs/>
          <w:color w:val="auto"/>
          <w:szCs w:val="24"/>
          <w:highlight w:val="none"/>
        </w:rPr>
        <w:tab/>
      </w:r>
      <w:r>
        <w:rPr>
          <w:rFonts w:hint="eastAsia" w:ascii="仿宋" w:hAnsi="仿宋" w:eastAsia="仿宋" w:cs="仿宋"/>
          <w:bCs/>
          <w:color w:val="auto"/>
          <w:szCs w:val="24"/>
          <w:highlight w:val="none"/>
        </w:rPr>
        <w:t>澄清或者修改的内容可能影响响应文件编制的，采购代理机构将以书面形式通知所有购买谈判文件的潜在供应商，并对其具有约束力。供应商在收到上述通知后，应及时向采购代理机构回函确认。</w:t>
      </w:r>
    </w:p>
    <w:p w14:paraId="21B31C73">
      <w:pPr>
        <w:pStyle w:val="6"/>
        <w:tabs>
          <w:tab w:val="left" w:pos="900"/>
        </w:tabs>
        <w:spacing w:before="0" w:after="0" w:line="360" w:lineRule="exact"/>
        <w:rPr>
          <w:rFonts w:hint="eastAsia" w:ascii="仿宋" w:hAnsi="仿宋" w:eastAsia="仿宋" w:cs="仿宋"/>
          <w:b w:val="0"/>
          <w:bCs/>
          <w:color w:val="auto"/>
          <w:szCs w:val="24"/>
          <w:highlight w:val="none"/>
          <w:u w:val="none"/>
        </w:rPr>
      </w:pPr>
      <w:bookmarkStart w:id="74" w:name="_Toc12448"/>
      <w:bookmarkStart w:id="75" w:name="_Toc29168"/>
      <w:bookmarkStart w:id="76" w:name="_Toc14569"/>
      <w:bookmarkStart w:id="77" w:name="_Toc22578_WPSOffice_Level2"/>
      <w:bookmarkStart w:id="78" w:name="_Toc28633"/>
      <w:bookmarkStart w:id="79" w:name="_Toc25635"/>
      <w:r>
        <w:rPr>
          <w:rFonts w:hint="eastAsia" w:ascii="仿宋" w:hAnsi="仿宋" w:eastAsia="仿宋" w:cs="仿宋"/>
          <w:b w:val="0"/>
          <w:bCs/>
          <w:color w:val="auto"/>
          <w:szCs w:val="24"/>
          <w:highlight w:val="none"/>
          <w:u w:val="none"/>
        </w:rPr>
        <w:t>7</w:t>
      </w:r>
      <w:bookmarkEnd w:id="71"/>
      <w:bookmarkEnd w:id="72"/>
      <w:bookmarkEnd w:id="73"/>
      <w:r>
        <w:rPr>
          <w:rFonts w:hint="eastAsia" w:ascii="仿宋" w:hAnsi="仿宋" w:eastAsia="仿宋" w:cs="仿宋"/>
          <w:b w:val="0"/>
          <w:bCs/>
          <w:color w:val="auto"/>
          <w:szCs w:val="24"/>
          <w:highlight w:val="none"/>
          <w:u w:val="none"/>
        </w:rPr>
        <w:t>.递交响应文件截止时间的顺延</w:t>
      </w:r>
      <w:bookmarkEnd w:id="74"/>
      <w:bookmarkEnd w:id="75"/>
      <w:bookmarkEnd w:id="76"/>
      <w:bookmarkEnd w:id="77"/>
      <w:bookmarkEnd w:id="78"/>
      <w:bookmarkEnd w:id="79"/>
    </w:p>
    <w:p w14:paraId="3DF14F1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为使供应商准备谈判时有足够的时间对谈判文件的澄清或者修改部分进行研究，采购人将依法决定是否顺延递交响应文件截止时间。</w:t>
      </w:r>
    </w:p>
    <w:p w14:paraId="409BB776">
      <w:pPr>
        <w:spacing w:line="360" w:lineRule="exact"/>
        <w:ind w:left="900" w:hanging="900" w:hangingChars="375"/>
        <w:rPr>
          <w:rFonts w:hint="eastAsia" w:ascii="仿宋" w:hAnsi="仿宋" w:eastAsia="仿宋" w:cs="仿宋"/>
          <w:bCs/>
          <w:color w:val="auto"/>
          <w:sz w:val="24"/>
          <w:highlight w:val="none"/>
        </w:rPr>
      </w:pPr>
    </w:p>
    <w:p w14:paraId="7F90C734">
      <w:pPr>
        <w:pStyle w:val="5"/>
        <w:tabs>
          <w:tab w:val="left" w:pos="900"/>
        </w:tabs>
        <w:spacing w:before="0" w:line="360" w:lineRule="exact"/>
        <w:ind w:left="1080" w:leftChars="257" w:hanging="540"/>
        <w:rPr>
          <w:rFonts w:hint="eastAsia" w:ascii="仿宋" w:hAnsi="仿宋" w:eastAsia="仿宋" w:cs="仿宋"/>
          <w:color w:val="auto"/>
          <w:sz w:val="24"/>
          <w:szCs w:val="24"/>
          <w:highlight w:val="none"/>
        </w:rPr>
      </w:pPr>
      <w:bookmarkStart w:id="80" w:name="_Toc516367020"/>
      <w:bookmarkStart w:id="81" w:name="_Toc30808"/>
      <w:bookmarkStart w:id="82" w:name="_Toc31039"/>
      <w:bookmarkStart w:id="83" w:name="_Toc3404"/>
      <w:bookmarkStart w:id="84" w:name="_Toc515647766"/>
      <w:bookmarkStart w:id="85" w:name="_Toc18537_WPSOffice_Level1"/>
      <w:bookmarkStart w:id="86" w:name="_Toc216582807"/>
      <w:bookmarkStart w:id="87" w:name="_Toc7636"/>
      <w:bookmarkStart w:id="88" w:name="_Toc520356150"/>
      <w:r>
        <w:rPr>
          <w:rFonts w:hint="eastAsia" w:ascii="仿宋" w:hAnsi="仿宋" w:eastAsia="仿宋" w:cs="仿宋"/>
          <w:color w:val="auto"/>
          <w:sz w:val="24"/>
          <w:szCs w:val="24"/>
          <w:highlight w:val="none"/>
        </w:rPr>
        <w:t xml:space="preserve">三   </w:t>
      </w:r>
      <w:bookmarkEnd w:id="80"/>
      <w:r>
        <w:rPr>
          <w:rFonts w:hint="eastAsia" w:ascii="仿宋" w:hAnsi="仿宋" w:eastAsia="仿宋" w:cs="仿宋"/>
          <w:color w:val="auto"/>
          <w:sz w:val="24"/>
          <w:szCs w:val="24"/>
          <w:highlight w:val="none"/>
        </w:rPr>
        <w:t>响应文件的编制</w:t>
      </w:r>
      <w:bookmarkEnd w:id="81"/>
      <w:bookmarkEnd w:id="82"/>
      <w:bookmarkEnd w:id="83"/>
      <w:bookmarkEnd w:id="84"/>
      <w:bookmarkEnd w:id="85"/>
      <w:bookmarkEnd w:id="86"/>
      <w:bookmarkEnd w:id="87"/>
      <w:bookmarkEnd w:id="88"/>
    </w:p>
    <w:p w14:paraId="027437AE">
      <w:pPr>
        <w:pStyle w:val="2"/>
        <w:spacing w:line="360" w:lineRule="exact"/>
        <w:rPr>
          <w:rFonts w:hint="eastAsia" w:ascii="仿宋" w:hAnsi="仿宋" w:eastAsia="仿宋" w:cs="仿宋"/>
          <w:bCs/>
          <w:color w:val="auto"/>
          <w:szCs w:val="24"/>
          <w:highlight w:val="none"/>
        </w:rPr>
      </w:pPr>
    </w:p>
    <w:p w14:paraId="3596F565">
      <w:pPr>
        <w:pStyle w:val="6"/>
        <w:tabs>
          <w:tab w:val="left" w:pos="900"/>
        </w:tabs>
        <w:spacing w:before="0" w:after="0" w:line="360" w:lineRule="exact"/>
        <w:rPr>
          <w:rFonts w:hint="eastAsia" w:ascii="仿宋" w:hAnsi="仿宋" w:eastAsia="仿宋" w:cs="仿宋"/>
          <w:b w:val="0"/>
          <w:bCs/>
          <w:color w:val="auto"/>
          <w:szCs w:val="24"/>
          <w:highlight w:val="none"/>
          <w:u w:val="none"/>
        </w:rPr>
      </w:pPr>
      <w:bookmarkStart w:id="89" w:name="_Toc520356151"/>
      <w:bookmarkStart w:id="90" w:name="_Toc515647767"/>
      <w:bookmarkStart w:id="91" w:name="_Toc16401"/>
      <w:bookmarkStart w:id="92" w:name="_Toc1710"/>
      <w:bookmarkStart w:id="93" w:name="_Toc337_WPSOffice_Level2"/>
      <w:bookmarkStart w:id="94" w:name="_Toc516367021"/>
      <w:bookmarkStart w:id="95" w:name="_Toc3553"/>
      <w:bookmarkStart w:id="96" w:name="_Toc7786"/>
      <w:bookmarkStart w:id="97" w:name="_Toc30570"/>
      <w:r>
        <w:rPr>
          <w:rFonts w:hint="eastAsia" w:ascii="仿宋" w:hAnsi="仿宋" w:eastAsia="仿宋" w:cs="仿宋"/>
          <w:b w:val="0"/>
          <w:bCs/>
          <w:color w:val="auto"/>
          <w:szCs w:val="24"/>
          <w:highlight w:val="none"/>
          <w:u w:val="none"/>
        </w:rPr>
        <w:t>8.</w:t>
      </w:r>
      <w:r>
        <w:rPr>
          <w:rFonts w:hint="eastAsia" w:ascii="仿宋" w:hAnsi="仿宋" w:eastAsia="仿宋" w:cs="仿宋"/>
          <w:b w:val="0"/>
          <w:bCs/>
          <w:color w:val="auto"/>
          <w:szCs w:val="24"/>
          <w:highlight w:val="none"/>
          <w:u w:val="none"/>
        </w:rPr>
        <w:tab/>
      </w:r>
      <w:r>
        <w:rPr>
          <w:rFonts w:hint="eastAsia" w:ascii="仿宋" w:hAnsi="仿宋" w:eastAsia="仿宋" w:cs="仿宋"/>
          <w:b w:val="0"/>
          <w:bCs/>
          <w:color w:val="auto"/>
          <w:szCs w:val="24"/>
          <w:highlight w:val="none"/>
          <w:u w:val="none"/>
        </w:rPr>
        <w:t>谈判报价范围及响应文件成交准和计量单位的使用</w:t>
      </w:r>
      <w:bookmarkEnd w:id="89"/>
      <w:bookmarkEnd w:id="90"/>
      <w:bookmarkEnd w:id="91"/>
      <w:bookmarkEnd w:id="92"/>
      <w:bookmarkEnd w:id="93"/>
      <w:bookmarkEnd w:id="94"/>
      <w:bookmarkEnd w:id="95"/>
      <w:bookmarkEnd w:id="96"/>
      <w:bookmarkEnd w:id="97"/>
    </w:p>
    <w:p w14:paraId="71F9F58C">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项目有分包的，供应商可对谈判文件其中某一个或几个分包货物进行投标，除非在</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中另有规定。</w:t>
      </w:r>
    </w:p>
    <w:p w14:paraId="2259403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8.2     供应商应当对所投分包谈判文件中“服务需求”所列的所有内容进行报价，如仅响应某一包中的部分内容，其该包将被认定</w:t>
      </w:r>
      <w:r>
        <w:rPr>
          <w:rFonts w:hint="eastAsia" w:ascii="仿宋" w:hAnsi="仿宋" w:eastAsia="仿宋" w:cs="仿宋"/>
          <w:b w:val="0"/>
          <w:bCs/>
          <w:color w:val="auto"/>
          <w:sz w:val="24"/>
          <w:highlight w:val="none"/>
        </w:rPr>
        <w:t>为</w:t>
      </w:r>
      <w:r>
        <w:rPr>
          <w:rFonts w:hint="eastAsia" w:ascii="仿宋" w:hAnsi="仿宋" w:eastAsia="仿宋" w:cs="仿宋"/>
          <w:b/>
          <w:bCs w:val="0"/>
          <w:color w:val="auto"/>
          <w:sz w:val="24"/>
          <w:highlight w:val="none"/>
        </w:rPr>
        <w:t>无效。</w:t>
      </w:r>
    </w:p>
    <w:p w14:paraId="7BA044FE">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8.3     无论谈判文件第5章货物需求一览表及技术规格中是否要求，供应商所投货物均应符合国家强制性标准。</w:t>
      </w:r>
    </w:p>
    <w:p w14:paraId="5814B656">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8.4     除谈判文件中有特殊要求外，响应文件中所使用的计量单位，应采用中华人民共和国法定计量单位。</w:t>
      </w:r>
    </w:p>
    <w:p w14:paraId="4EB725C6">
      <w:pPr>
        <w:pStyle w:val="6"/>
        <w:tabs>
          <w:tab w:val="left" w:pos="900"/>
        </w:tabs>
        <w:spacing w:before="0" w:after="0" w:line="360" w:lineRule="exact"/>
        <w:rPr>
          <w:rFonts w:hint="eastAsia" w:ascii="仿宋" w:hAnsi="仿宋" w:eastAsia="仿宋" w:cs="仿宋"/>
          <w:b w:val="0"/>
          <w:bCs/>
          <w:color w:val="auto"/>
          <w:szCs w:val="24"/>
          <w:highlight w:val="none"/>
          <w:u w:val="none"/>
        </w:rPr>
      </w:pPr>
      <w:bookmarkStart w:id="98" w:name="_Ref467306195"/>
      <w:bookmarkStart w:id="99" w:name="_Ref467306676"/>
      <w:bookmarkStart w:id="100" w:name="_Toc516367022"/>
      <w:bookmarkStart w:id="101" w:name="_Toc27167_WPSOffice_Level2"/>
      <w:bookmarkStart w:id="102" w:name="_Toc28307"/>
      <w:bookmarkStart w:id="103" w:name="_Toc30815"/>
      <w:bookmarkStart w:id="104" w:name="_Toc515647768"/>
      <w:bookmarkStart w:id="105" w:name="_Toc520356152"/>
      <w:bookmarkStart w:id="106" w:name="_Toc18692"/>
      <w:bookmarkStart w:id="107" w:name="_Toc10364"/>
      <w:bookmarkStart w:id="108" w:name="_Toc14150"/>
      <w:r>
        <w:rPr>
          <w:rFonts w:hint="eastAsia" w:ascii="仿宋" w:hAnsi="仿宋" w:eastAsia="仿宋" w:cs="仿宋"/>
          <w:b w:val="0"/>
          <w:bCs/>
          <w:color w:val="auto"/>
          <w:szCs w:val="24"/>
          <w:highlight w:val="none"/>
          <w:u w:val="none"/>
        </w:rPr>
        <w:t xml:space="preserve">9.     </w:t>
      </w:r>
      <w:bookmarkEnd w:id="98"/>
      <w:bookmarkEnd w:id="99"/>
      <w:bookmarkEnd w:id="100"/>
      <w:r>
        <w:rPr>
          <w:rFonts w:hint="eastAsia" w:ascii="仿宋" w:hAnsi="仿宋" w:eastAsia="仿宋" w:cs="仿宋"/>
          <w:b w:val="0"/>
          <w:bCs/>
          <w:color w:val="auto"/>
          <w:szCs w:val="24"/>
          <w:highlight w:val="none"/>
          <w:u w:val="none"/>
        </w:rPr>
        <w:t>响应文件构成</w:t>
      </w:r>
      <w:bookmarkEnd w:id="101"/>
      <w:bookmarkEnd w:id="102"/>
      <w:bookmarkEnd w:id="103"/>
      <w:bookmarkEnd w:id="104"/>
      <w:bookmarkEnd w:id="105"/>
      <w:bookmarkEnd w:id="106"/>
      <w:bookmarkEnd w:id="107"/>
      <w:bookmarkEnd w:id="108"/>
    </w:p>
    <w:p w14:paraId="1658B514">
      <w:pPr>
        <w:tabs>
          <w:tab w:val="left" w:pos="900"/>
          <w:tab w:val="left" w:pos="5580"/>
        </w:tabs>
        <w:spacing w:line="360" w:lineRule="exact"/>
        <w:ind w:left="960" w:hanging="960" w:hangingChars="400"/>
        <w:jc w:val="left"/>
        <w:rPr>
          <w:rFonts w:hint="eastAsia" w:ascii="仿宋" w:hAnsi="仿宋" w:eastAsia="仿宋" w:cs="仿宋"/>
          <w:bCs/>
          <w:color w:val="auto"/>
          <w:kern w:val="2"/>
          <w:sz w:val="24"/>
          <w:szCs w:val="24"/>
          <w:highlight w:val="none"/>
          <w:u w:val="single"/>
          <w:lang w:val="en-US" w:eastAsia="zh-CN" w:bidi="ar-SA"/>
        </w:rPr>
      </w:pPr>
      <w:bookmarkStart w:id="109" w:name="_Ref467052588"/>
      <w:r>
        <w:rPr>
          <w:rFonts w:hint="eastAsia" w:ascii="仿宋" w:hAnsi="仿宋" w:eastAsia="仿宋" w:cs="仿宋"/>
          <w:bCs/>
          <w:color w:val="auto"/>
          <w:sz w:val="24"/>
          <w:highlight w:val="none"/>
        </w:rPr>
        <w:t xml:space="preserve">9.1     </w:t>
      </w:r>
      <w:r>
        <w:rPr>
          <w:rFonts w:hint="eastAsia" w:ascii="仿宋" w:hAnsi="仿宋" w:eastAsia="仿宋" w:cs="仿宋"/>
          <w:bCs/>
          <w:color w:val="auto"/>
          <w:kern w:val="2"/>
          <w:sz w:val="24"/>
          <w:szCs w:val="24"/>
          <w:highlight w:val="none"/>
          <w:u w:val="single"/>
          <w:lang w:val="en-US" w:eastAsia="zh-CN" w:bidi="ar-SA"/>
        </w:rPr>
        <w:t>供应商应完整地按谈判文件提供的响应文件格式及要求编写响应文件（未提供格式的，格式自拟），响应文件应包括“开标一览表及资格证明文件 ”和“商务及技术文件 ”两部分，两部分装订成一册，密封递交。供应商应承担封装失误产生的任何后果。</w:t>
      </w:r>
    </w:p>
    <w:p w14:paraId="298D430E">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9.2    上述文件应按照谈判文件规定的格式填写、签署和盖章。</w:t>
      </w:r>
    </w:p>
    <w:bookmarkEnd w:id="109"/>
    <w:p w14:paraId="66319ECF">
      <w:pPr>
        <w:pStyle w:val="6"/>
        <w:tabs>
          <w:tab w:val="left" w:pos="900"/>
        </w:tabs>
        <w:spacing w:before="0" w:after="0" w:line="360" w:lineRule="exact"/>
        <w:rPr>
          <w:rFonts w:hint="eastAsia" w:ascii="仿宋" w:hAnsi="仿宋" w:eastAsia="仿宋" w:cs="仿宋"/>
          <w:b w:val="0"/>
          <w:bCs/>
          <w:color w:val="auto"/>
          <w:szCs w:val="24"/>
          <w:highlight w:val="none"/>
          <w:u w:val="none"/>
        </w:rPr>
      </w:pPr>
      <w:bookmarkStart w:id="110" w:name="_Toc520356153"/>
      <w:bookmarkStart w:id="111" w:name="_Toc4601"/>
      <w:bookmarkStart w:id="112" w:name="_Toc516367023"/>
      <w:bookmarkStart w:id="113" w:name="_Toc515647769"/>
      <w:bookmarkStart w:id="114" w:name="_Toc13143"/>
      <w:bookmarkStart w:id="115" w:name="_Toc9364_WPSOffice_Level2"/>
      <w:bookmarkStart w:id="116" w:name="_Toc22903"/>
      <w:bookmarkStart w:id="117" w:name="_Toc52"/>
      <w:bookmarkStart w:id="118" w:name="_Toc10379"/>
      <w:r>
        <w:rPr>
          <w:rFonts w:hint="eastAsia" w:ascii="仿宋" w:hAnsi="仿宋" w:eastAsia="仿宋" w:cs="仿宋"/>
          <w:b w:val="0"/>
          <w:bCs/>
          <w:color w:val="auto"/>
          <w:szCs w:val="24"/>
          <w:highlight w:val="none"/>
          <w:u w:val="none"/>
        </w:rPr>
        <w:t>10.</w:t>
      </w:r>
      <w:r>
        <w:rPr>
          <w:rFonts w:hint="eastAsia" w:ascii="仿宋" w:hAnsi="仿宋" w:eastAsia="仿宋" w:cs="仿宋"/>
          <w:b w:val="0"/>
          <w:bCs/>
          <w:color w:val="auto"/>
          <w:szCs w:val="24"/>
          <w:highlight w:val="none"/>
          <w:u w:val="none"/>
        </w:rPr>
        <w:tab/>
      </w:r>
      <w:r>
        <w:rPr>
          <w:rFonts w:hint="eastAsia" w:ascii="仿宋" w:hAnsi="仿宋" w:eastAsia="仿宋" w:cs="仿宋"/>
          <w:b w:val="0"/>
          <w:bCs/>
          <w:color w:val="auto"/>
          <w:szCs w:val="24"/>
          <w:highlight w:val="none"/>
          <w:u w:val="none"/>
        </w:rPr>
        <w:t>证明报价标的的合格性和符合谈判文件规定的技术文件</w:t>
      </w:r>
      <w:bookmarkEnd w:id="110"/>
      <w:bookmarkEnd w:id="111"/>
      <w:bookmarkEnd w:id="112"/>
      <w:bookmarkEnd w:id="113"/>
      <w:bookmarkEnd w:id="114"/>
      <w:bookmarkEnd w:id="115"/>
      <w:bookmarkEnd w:id="116"/>
      <w:bookmarkEnd w:id="117"/>
      <w:bookmarkEnd w:id="118"/>
    </w:p>
    <w:p w14:paraId="43E2BB18">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供应商应提交证明文件，证明其谈判报价内容符合谈判文件规定。该证明文件是响应文件的一部分。</w:t>
      </w:r>
    </w:p>
    <w:p w14:paraId="395EDC81">
      <w:pPr>
        <w:spacing w:line="360" w:lineRule="exact"/>
        <w:ind w:left="900" w:hanging="900" w:hangingChars="375"/>
        <w:rPr>
          <w:rFonts w:hint="eastAsia" w:ascii="仿宋" w:hAnsi="仿宋" w:eastAsia="仿宋" w:cs="仿宋"/>
          <w:bCs/>
          <w:color w:val="auto"/>
          <w:sz w:val="24"/>
          <w:highlight w:val="none"/>
        </w:rPr>
      </w:pPr>
      <w:bookmarkStart w:id="119" w:name="_Ref467306244"/>
      <w:r>
        <w:rPr>
          <w:rFonts w:hint="eastAsia" w:ascii="仿宋" w:hAnsi="仿宋" w:eastAsia="仿宋" w:cs="仿宋"/>
          <w:bCs/>
          <w:color w:val="auto"/>
          <w:sz w:val="24"/>
          <w:highlight w:val="none"/>
        </w:rPr>
        <w:t>10.2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上款所述的证明文件，可以是文字资料、图纸和数据，</w:t>
      </w:r>
      <w:bookmarkEnd w:id="119"/>
      <w:r>
        <w:rPr>
          <w:rFonts w:hint="eastAsia" w:ascii="仿宋" w:hAnsi="仿宋" w:eastAsia="仿宋" w:cs="仿宋"/>
          <w:bCs/>
          <w:color w:val="auto"/>
          <w:sz w:val="24"/>
          <w:highlight w:val="none"/>
        </w:rPr>
        <w:t>它包括：</w:t>
      </w:r>
    </w:p>
    <w:p w14:paraId="7C5D749E">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10.2.1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货物主要技术指标和性能的详细说明；</w:t>
      </w:r>
    </w:p>
    <w:p w14:paraId="63A4557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10.2.2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货物从买方开始使用至谈判文件规定的保质期内正常、连续地使用所必须的备件和专用工具清单，包括备件和专用工具的货源及现行价格；</w:t>
      </w:r>
    </w:p>
    <w:p w14:paraId="5C0EDAC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10.2.3</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对照谈判文件技术规格，逐条说明所提供货物及伴随的工程和服务已对谈判文件的技术规格做出了实质性的响应，或申明与技术规格条文的偏差和例外。</w:t>
      </w:r>
    </w:p>
    <w:p w14:paraId="1540550A">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10.3</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应注意采购人在技术规格中指出的工艺、材料和货物的参照品牌型号或分类号仅起说明作用，并没有任何限制性。供应商在谈判中可以选用替代牌号或分类号，但这些替代要实质上相当于技术规格的要求。采购人、采购代理机构承诺不以上述参照品牌型号或分类号作为评审时判定其响应文件是否有效的标准。</w:t>
      </w:r>
    </w:p>
    <w:p w14:paraId="454F1592">
      <w:pPr>
        <w:pStyle w:val="6"/>
        <w:numPr>
          <w:ilvl w:val="0"/>
          <w:numId w:val="4"/>
        </w:numPr>
        <w:spacing w:before="0" w:after="0" w:line="360" w:lineRule="exact"/>
        <w:rPr>
          <w:rFonts w:hint="eastAsia" w:ascii="仿宋" w:hAnsi="仿宋" w:eastAsia="仿宋" w:cs="仿宋"/>
          <w:b w:val="0"/>
          <w:bCs/>
          <w:color w:val="auto"/>
          <w:szCs w:val="24"/>
          <w:highlight w:val="none"/>
          <w:u w:val="none"/>
        </w:rPr>
      </w:pPr>
      <w:bookmarkStart w:id="120" w:name="_Toc2248"/>
      <w:bookmarkStart w:id="121" w:name="_Toc515647770"/>
      <w:bookmarkStart w:id="122" w:name="_Toc19624"/>
      <w:bookmarkStart w:id="123" w:name="_Toc23231"/>
      <w:bookmarkStart w:id="124" w:name="_Toc520356155"/>
      <w:r>
        <w:rPr>
          <w:rFonts w:hint="eastAsia" w:ascii="仿宋" w:hAnsi="仿宋" w:eastAsia="仿宋" w:cs="仿宋"/>
          <w:b w:val="0"/>
          <w:bCs/>
          <w:color w:val="auto"/>
          <w:szCs w:val="24"/>
          <w:highlight w:val="none"/>
          <w:u w:val="none"/>
        </w:rPr>
        <w:t xml:space="preserve">   </w:t>
      </w:r>
      <w:bookmarkStart w:id="125" w:name="_Toc18499_WPSOffice_Level2"/>
      <w:bookmarkStart w:id="126" w:name="_Toc28836"/>
      <w:bookmarkStart w:id="127" w:name="_Toc30822"/>
      <w:r>
        <w:rPr>
          <w:rFonts w:hint="eastAsia" w:ascii="仿宋" w:hAnsi="仿宋" w:eastAsia="仿宋" w:cs="仿宋"/>
          <w:b w:val="0"/>
          <w:bCs/>
          <w:color w:val="auto"/>
          <w:szCs w:val="24"/>
          <w:highlight w:val="none"/>
          <w:u w:val="none"/>
        </w:rPr>
        <w:t>谈判报价</w:t>
      </w:r>
      <w:bookmarkEnd w:id="120"/>
      <w:bookmarkEnd w:id="121"/>
      <w:bookmarkEnd w:id="122"/>
      <w:bookmarkEnd w:id="123"/>
      <w:bookmarkEnd w:id="124"/>
      <w:bookmarkEnd w:id="125"/>
      <w:bookmarkEnd w:id="126"/>
      <w:bookmarkEnd w:id="127"/>
    </w:p>
    <w:p w14:paraId="46DB0DFD">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所有谈判报价均以人民币报价。供应商的谈判报价应遵守《中华人民共和国价格法》。同时，根据《中华人民共和国政府采购法》第二条的规定，为保证公平竞争，如有货物主体部分的赠与行为，其响应文件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581FB51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供应商应在标的分项报价表上标明所投货物及相关服务的单价（如适用）和总价，并由法定代表人或其授权代表签署。</w:t>
      </w:r>
    </w:p>
    <w:p w14:paraId="53BCB04C">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11.3</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标的分项报价表上的价格应按下列方式填写：</w:t>
      </w:r>
    </w:p>
    <w:p w14:paraId="19478D9E">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11.3.1  标的货物（包括备品备件、专用工具等）的出厂价（包括已在中国国内的进口货物完税后的仓库交货价、展室交货价或货架交货价），标的标货物安装、调试、检验、技术服务和培训等费用；</w:t>
      </w:r>
    </w:p>
    <w:p w14:paraId="020218D5">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11.3.2  货物运至最终目的地的运输费和保险费用。</w:t>
      </w:r>
    </w:p>
    <w:p w14:paraId="5B4BE4EC">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11.4</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供应商所报的各分项单价在合同履行过程中是固定不变的，不得以任何理由予以变更。任何包含价格调整要求的报价，其报价将被认定为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011D7F66">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11.5</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每种货物只能有一个谈判报价。采购人不接受具有附加条件的报价。</w:t>
      </w:r>
    </w:p>
    <w:p w14:paraId="22B47185">
      <w:pPr>
        <w:pStyle w:val="6"/>
        <w:spacing w:before="0" w:after="0" w:line="360" w:lineRule="exact"/>
        <w:rPr>
          <w:rFonts w:hint="eastAsia" w:ascii="仿宋" w:hAnsi="仿宋" w:eastAsia="仿宋" w:cs="仿宋"/>
          <w:b w:val="0"/>
          <w:bCs/>
          <w:color w:val="auto"/>
          <w:szCs w:val="24"/>
          <w:highlight w:val="none"/>
          <w:u w:val="none"/>
        </w:rPr>
      </w:pPr>
      <w:bookmarkStart w:id="128" w:name="_Toc17788"/>
      <w:bookmarkStart w:id="129" w:name="_Toc26303"/>
      <w:bookmarkStart w:id="130" w:name="_Toc30971"/>
      <w:bookmarkStart w:id="131" w:name="_Ref467306513"/>
      <w:bookmarkStart w:id="132" w:name="_Toc22212"/>
      <w:bookmarkStart w:id="133" w:name="_Toc515647771"/>
      <w:bookmarkStart w:id="134" w:name="_Toc520356156"/>
      <w:bookmarkStart w:id="135" w:name="_Toc11514"/>
      <w:bookmarkStart w:id="136" w:name="_Toc3837_WPSOffice_Level2"/>
      <w:r>
        <w:rPr>
          <w:rFonts w:hint="eastAsia" w:ascii="仿宋" w:hAnsi="仿宋" w:eastAsia="仿宋" w:cs="仿宋"/>
          <w:b w:val="0"/>
          <w:bCs/>
          <w:color w:val="auto"/>
          <w:szCs w:val="24"/>
          <w:highlight w:val="none"/>
          <w:u w:val="none"/>
        </w:rPr>
        <w:t>12.    谈判保证金</w:t>
      </w:r>
      <w:bookmarkEnd w:id="128"/>
      <w:bookmarkEnd w:id="129"/>
      <w:bookmarkEnd w:id="130"/>
      <w:bookmarkEnd w:id="131"/>
      <w:bookmarkEnd w:id="132"/>
      <w:bookmarkEnd w:id="133"/>
      <w:bookmarkEnd w:id="134"/>
      <w:bookmarkEnd w:id="135"/>
      <w:bookmarkEnd w:id="136"/>
    </w:p>
    <w:p w14:paraId="2A7152CA">
      <w:pPr>
        <w:spacing w:line="360" w:lineRule="exact"/>
        <w:ind w:left="900" w:hanging="900" w:hangingChars="375"/>
        <w:rPr>
          <w:rFonts w:hint="eastAsia" w:ascii="仿宋" w:hAnsi="仿宋" w:eastAsia="仿宋" w:cs="仿宋"/>
          <w:bCs/>
          <w:color w:val="auto"/>
          <w:sz w:val="24"/>
          <w:highlight w:val="none"/>
        </w:rPr>
      </w:pPr>
      <w:bookmarkStart w:id="137" w:name="_Ref467306302"/>
      <w:r>
        <w:rPr>
          <w:rFonts w:hint="eastAsia" w:ascii="仿宋" w:hAnsi="仿宋" w:eastAsia="仿宋" w:cs="仿宋"/>
          <w:bCs/>
          <w:color w:val="auto"/>
          <w:sz w:val="24"/>
          <w:highlight w:val="none"/>
        </w:rPr>
        <w:t>12.1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供应商应提交</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中规定的</w:t>
      </w:r>
      <w:bookmarkEnd w:id="137"/>
      <w:r>
        <w:rPr>
          <w:rFonts w:hint="eastAsia" w:ascii="仿宋" w:hAnsi="仿宋" w:eastAsia="仿宋" w:cs="仿宋"/>
          <w:bCs/>
          <w:color w:val="auto"/>
          <w:sz w:val="24"/>
          <w:highlight w:val="none"/>
        </w:rPr>
        <w:t>谈判保证金，并作为其谈判响应的一部分。</w:t>
      </w:r>
    </w:p>
    <w:p w14:paraId="52B3E4E8">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供应商存在下列情形的，谈判保证金不予退还：</w:t>
      </w:r>
    </w:p>
    <w:p w14:paraId="72D7BDA4">
      <w:pPr>
        <w:pStyle w:val="16"/>
        <w:tabs>
          <w:tab w:val="left" w:pos="2240"/>
        </w:tabs>
        <w:spacing w:line="360" w:lineRule="exact"/>
        <w:ind w:left="1079" w:leftChars="371" w:hanging="300" w:hangingChars="125"/>
        <w:rPr>
          <w:rFonts w:hint="eastAsia" w:ascii="仿宋" w:hAnsi="仿宋" w:eastAsia="仿宋" w:cs="仿宋"/>
          <w:bCs/>
          <w:color w:val="auto"/>
          <w:sz w:val="24"/>
          <w:szCs w:val="24"/>
          <w:highlight w:val="none"/>
        </w:rPr>
      </w:pPr>
      <w:bookmarkStart w:id="138" w:name="_Toc25773_WPSOffice_Level3"/>
      <w:r>
        <w:rPr>
          <w:rFonts w:hint="eastAsia" w:ascii="仿宋" w:hAnsi="仿宋" w:eastAsia="仿宋" w:cs="仿宋"/>
          <w:bCs/>
          <w:color w:val="auto"/>
          <w:sz w:val="24"/>
          <w:szCs w:val="24"/>
          <w:highlight w:val="none"/>
        </w:rPr>
        <w:t>（1）在谈判有效期内，撤销投标的；</w:t>
      </w:r>
      <w:bookmarkEnd w:id="138"/>
    </w:p>
    <w:p w14:paraId="126B0DC3">
      <w:pPr>
        <w:pStyle w:val="16"/>
        <w:tabs>
          <w:tab w:val="left" w:pos="2240"/>
        </w:tabs>
        <w:spacing w:line="360" w:lineRule="exact"/>
        <w:ind w:left="1079" w:leftChars="371" w:hanging="300" w:hangingChars="125"/>
        <w:rPr>
          <w:rFonts w:hint="eastAsia" w:ascii="仿宋" w:hAnsi="仿宋" w:eastAsia="仿宋" w:cs="仿宋"/>
          <w:bCs/>
          <w:color w:val="auto"/>
          <w:sz w:val="24"/>
          <w:szCs w:val="24"/>
          <w:highlight w:val="none"/>
        </w:rPr>
      </w:pPr>
      <w:bookmarkStart w:id="139" w:name="_Toc26738_WPSOffice_Level3"/>
      <w:r>
        <w:rPr>
          <w:rFonts w:hint="eastAsia" w:ascii="仿宋" w:hAnsi="仿宋" w:eastAsia="仿宋" w:cs="仿宋"/>
          <w:bCs/>
          <w:color w:val="auto"/>
          <w:sz w:val="24"/>
          <w:szCs w:val="24"/>
          <w:highlight w:val="none"/>
        </w:rPr>
        <w:t>（2）成交后不按本须知第30条的规定与采购人签订合同的；</w:t>
      </w:r>
      <w:bookmarkEnd w:id="139"/>
    </w:p>
    <w:p w14:paraId="3141453D">
      <w:pPr>
        <w:pStyle w:val="16"/>
        <w:tabs>
          <w:tab w:val="left" w:pos="2240"/>
        </w:tabs>
        <w:spacing w:line="360" w:lineRule="exact"/>
        <w:ind w:left="1079" w:leftChars="371" w:hanging="300" w:hangingChars="125"/>
        <w:rPr>
          <w:rFonts w:hint="eastAsia" w:ascii="仿宋" w:hAnsi="仿宋" w:eastAsia="仿宋" w:cs="仿宋"/>
          <w:bCs/>
          <w:color w:val="auto"/>
          <w:sz w:val="24"/>
          <w:szCs w:val="24"/>
          <w:highlight w:val="none"/>
        </w:rPr>
      </w:pPr>
      <w:bookmarkStart w:id="140" w:name="_Toc1873_WPSOffice_Level3"/>
      <w:r>
        <w:rPr>
          <w:rFonts w:hint="eastAsia" w:ascii="仿宋" w:hAnsi="仿宋" w:eastAsia="仿宋" w:cs="仿宋"/>
          <w:bCs/>
          <w:color w:val="auto"/>
          <w:sz w:val="24"/>
          <w:szCs w:val="24"/>
          <w:highlight w:val="none"/>
        </w:rPr>
        <w:t>（3）成交后不按本须知第31条的规定提交履约保证金的；</w:t>
      </w:r>
      <w:bookmarkEnd w:id="140"/>
    </w:p>
    <w:p w14:paraId="06745025">
      <w:pPr>
        <w:pStyle w:val="16"/>
        <w:tabs>
          <w:tab w:val="left" w:pos="2240"/>
        </w:tabs>
        <w:spacing w:line="360" w:lineRule="exact"/>
        <w:ind w:left="1079" w:leftChars="371" w:hanging="300" w:hangingChars="125"/>
        <w:rPr>
          <w:rFonts w:hint="eastAsia" w:ascii="仿宋" w:hAnsi="仿宋" w:eastAsia="仿宋" w:cs="仿宋"/>
          <w:bCs/>
          <w:color w:val="auto"/>
          <w:sz w:val="24"/>
          <w:szCs w:val="24"/>
          <w:highlight w:val="none"/>
        </w:rPr>
      </w:pPr>
      <w:bookmarkStart w:id="141" w:name="_Toc16927_WPSOffice_Level3"/>
      <w:r>
        <w:rPr>
          <w:rFonts w:hint="eastAsia" w:ascii="仿宋" w:hAnsi="仿宋" w:eastAsia="仿宋" w:cs="仿宋"/>
          <w:bCs/>
          <w:color w:val="auto"/>
          <w:sz w:val="24"/>
          <w:szCs w:val="24"/>
          <w:highlight w:val="none"/>
        </w:rPr>
        <w:t>（4）成交后不按本须知第32条的规定缴纳成交服务费的；</w:t>
      </w:r>
      <w:bookmarkEnd w:id="141"/>
    </w:p>
    <w:p w14:paraId="6D878635">
      <w:pPr>
        <w:pStyle w:val="16"/>
        <w:tabs>
          <w:tab w:val="left" w:pos="2240"/>
        </w:tabs>
        <w:spacing w:line="360" w:lineRule="exact"/>
        <w:ind w:left="1079" w:leftChars="371" w:hanging="300" w:hangingChars="125"/>
        <w:rPr>
          <w:rFonts w:hint="eastAsia" w:ascii="仿宋" w:hAnsi="仿宋" w:eastAsia="仿宋" w:cs="仿宋"/>
          <w:bCs/>
          <w:color w:val="auto"/>
          <w:sz w:val="24"/>
          <w:szCs w:val="24"/>
          <w:highlight w:val="none"/>
        </w:rPr>
      </w:pPr>
      <w:bookmarkStart w:id="142" w:name="_Toc18854_WPSOffice_Level3"/>
      <w:r>
        <w:rPr>
          <w:rFonts w:hint="eastAsia" w:ascii="仿宋" w:hAnsi="仿宋" w:eastAsia="仿宋" w:cs="仿宋"/>
          <w:bCs/>
          <w:color w:val="auto"/>
          <w:sz w:val="24"/>
          <w:szCs w:val="24"/>
          <w:highlight w:val="none"/>
        </w:rPr>
        <w:t>（5）存在其他违法违规行为的。</w:t>
      </w:r>
      <w:bookmarkEnd w:id="142"/>
    </w:p>
    <w:p w14:paraId="18F0B705">
      <w:pPr>
        <w:spacing w:line="360" w:lineRule="exact"/>
        <w:ind w:left="900" w:hanging="900" w:hangingChars="375"/>
        <w:rPr>
          <w:rFonts w:hint="eastAsia" w:ascii="仿宋" w:hAnsi="仿宋" w:eastAsia="仿宋" w:cs="仿宋"/>
          <w:bCs/>
          <w:color w:val="auto"/>
          <w:sz w:val="24"/>
          <w:highlight w:val="none"/>
        </w:rPr>
      </w:pPr>
      <w:bookmarkStart w:id="143" w:name="_Ref467306336"/>
      <w:r>
        <w:rPr>
          <w:rFonts w:hint="eastAsia" w:ascii="仿宋" w:hAnsi="仿宋" w:eastAsia="仿宋" w:cs="仿宋"/>
          <w:bCs/>
          <w:color w:val="auto"/>
          <w:sz w:val="24"/>
          <w:highlight w:val="none"/>
        </w:rPr>
        <w:t>12.3</w:t>
      </w:r>
      <w:r>
        <w:rPr>
          <w:rFonts w:hint="eastAsia" w:ascii="仿宋" w:hAnsi="仿宋" w:eastAsia="仿宋" w:cs="仿宋"/>
          <w:bCs/>
          <w:color w:val="auto"/>
          <w:sz w:val="24"/>
          <w:highlight w:val="none"/>
        </w:rPr>
        <w:tab/>
      </w:r>
      <w:bookmarkEnd w:id="143"/>
      <w:r>
        <w:rPr>
          <w:rFonts w:hint="eastAsia" w:ascii="仿宋" w:hAnsi="仿宋" w:eastAsia="仿宋" w:cs="仿宋"/>
          <w:bCs/>
          <w:color w:val="auto"/>
          <w:sz w:val="24"/>
          <w:highlight w:val="none"/>
        </w:rPr>
        <w:t>政府采购信用担保试点范围内的项目，接受符合财政部门规定的政府采购谈判担保函原件。</w:t>
      </w:r>
    </w:p>
    <w:p w14:paraId="562E500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12.4</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供应商未按本须知第12.1和12.3条规定提交谈判保证金的，其谈判资格将被认定为</w:t>
      </w:r>
      <w:r>
        <w:rPr>
          <w:rFonts w:hint="eastAsia" w:ascii="仿宋" w:hAnsi="仿宋" w:eastAsia="仿宋" w:cs="仿宋"/>
          <w:b/>
          <w:bCs w:val="0"/>
          <w:color w:val="auto"/>
          <w:sz w:val="24"/>
          <w:highlight w:val="none"/>
        </w:rPr>
        <w:t>无效</w:t>
      </w:r>
      <w:r>
        <w:rPr>
          <w:rFonts w:hint="eastAsia" w:ascii="仿宋" w:hAnsi="仿宋" w:eastAsia="仿宋" w:cs="仿宋"/>
          <w:bCs/>
          <w:color w:val="auto"/>
          <w:sz w:val="24"/>
          <w:highlight w:val="none"/>
        </w:rPr>
        <w:t>。</w:t>
      </w:r>
    </w:p>
    <w:p w14:paraId="6C9BE6E3">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12.4.1  采用电汇形式的，一般可以实时入账。</w:t>
      </w:r>
    </w:p>
    <w:p w14:paraId="63ED2B58">
      <w:pPr>
        <w:spacing w:line="360" w:lineRule="exact"/>
        <w:ind w:left="960" w:hanging="960" w:hangingChars="4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12.4.2  采用支票形式的，供应商则应充分考虑支票入账时间，以确保谈判保证金能按时进入指定账户。根据银行信息交换和付款时间，支票从递交至实际入账一般需要4-5个工作日。如供应商未及时提交支票或支票不符合银行委托收款要求（如污损、折叠、胶装等），导致谈判保证金不能按时进入指定账户的，将按照谈判文件的第22.2条相关规定处理。</w:t>
      </w:r>
    </w:p>
    <w:p w14:paraId="7878F8BA">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12.5   联合体参加谈判的，可以由联合体中的一方或者共同提交谈判保证金。以一方名义提交谈判保证金的，对联合体各方均具有约束力。</w:t>
      </w:r>
    </w:p>
    <w:p w14:paraId="330FEE00">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12.6</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谈判保证金的退还</w:t>
      </w:r>
    </w:p>
    <w:p w14:paraId="17FC1A84">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12.6.1  成交供应商应在与采购人签订合同之日起5个工作日内，及时联系保证金收受机构办理谈判保证金无息退还手续。</w:t>
      </w:r>
    </w:p>
    <w:p w14:paraId="769C69F6">
      <w:pPr>
        <w:spacing w:line="360" w:lineRule="exact"/>
        <w:ind w:left="960" w:hanging="960" w:hangingChars="4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12.6.2  未成交供应商的谈判保证金将在成交通知书发出之日暨成交结果公告公布之日起5个工作日内无息退还。供应商应及时联系保证金收受机构办理退还谈判保证金手续。</w:t>
      </w:r>
    </w:p>
    <w:p w14:paraId="5FD07C75">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12.6.3  政府采购谈判担保函不予退回。</w:t>
      </w:r>
    </w:p>
    <w:p w14:paraId="7DBB17AD">
      <w:pPr>
        <w:spacing w:line="360" w:lineRule="exact"/>
        <w:ind w:left="960" w:hanging="960" w:hangingChars="4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12.7    因供应商自身原因导致无法及时退还的，采购人或采购代理机构将不承担相应责任。</w:t>
      </w:r>
    </w:p>
    <w:p w14:paraId="68B9A303">
      <w:pPr>
        <w:pStyle w:val="6"/>
        <w:spacing w:before="0" w:after="0" w:line="360" w:lineRule="exact"/>
        <w:rPr>
          <w:rFonts w:hint="eastAsia" w:ascii="仿宋" w:hAnsi="仿宋" w:eastAsia="仿宋" w:cs="仿宋"/>
          <w:b w:val="0"/>
          <w:bCs/>
          <w:color w:val="auto"/>
          <w:szCs w:val="24"/>
          <w:highlight w:val="none"/>
          <w:u w:val="none"/>
        </w:rPr>
      </w:pPr>
      <w:bookmarkStart w:id="144" w:name="_Toc32569"/>
      <w:bookmarkStart w:id="145" w:name="_Toc23590"/>
      <w:bookmarkStart w:id="146" w:name="_Toc520356157"/>
      <w:bookmarkStart w:id="147" w:name="_Toc22901"/>
      <w:bookmarkStart w:id="148" w:name="_Toc515647772"/>
      <w:bookmarkStart w:id="149" w:name="_Toc20651_WPSOffice_Level2"/>
      <w:bookmarkStart w:id="150" w:name="_Toc26418"/>
      <w:bookmarkStart w:id="151" w:name="_Toc16048"/>
      <w:r>
        <w:rPr>
          <w:rFonts w:hint="eastAsia" w:ascii="仿宋" w:hAnsi="仿宋" w:eastAsia="仿宋" w:cs="仿宋"/>
          <w:b w:val="0"/>
          <w:bCs/>
          <w:color w:val="auto"/>
          <w:szCs w:val="24"/>
          <w:highlight w:val="none"/>
          <w:u w:val="none"/>
        </w:rPr>
        <w:t xml:space="preserve">13.    </w:t>
      </w:r>
      <w:bookmarkEnd w:id="144"/>
      <w:bookmarkEnd w:id="145"/>
      <w:bookmarkEnd w:id="146"/>
      <w:bookmarkEnd w:id="147"/>
      <w:bookmarkEnd w:id="148"/>
      <w:r>
        <w:rPr>
          <w:rFonts w:hint="eastAsia" w:ascii="仿宋" w:hAnsi="仿宋" w:eastAsia="仿宋" w:cs="仿宋"/>
          <w:b w:val="0"/>
          <w:bCs/>
          <w:color w:val="auto"/>
          <w:szCs w:val="24"/>
          <w:highlight w:val="none"/>
          <w:u w:val="none"/>
        </w:rPr>
        <w:t>谈判有效期</w:t>
      </w:r>
      <w:bookmarkEnd w:id="149"/>
      <w:bookmarkEnd w:id="150"/>
      <w:bookmarkEnd w:id="151"/>
    </w:p>
    <w:p w14:paraId="5AE1F2D8">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谈判应在</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中规定时间内保持有效。谈判有效期不满足要求的供应商，其响应文件将被认定为无效。</w:t>
      </w:r>
    </w:p>
    <w:p w14:paraId="0442FFD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为保证有充分时间签订合同，采购人或采购代理机构可根据实际情况，在原谈判有效期截止之前，要求供应商延长响应文件的有效期。接受该要求的供应商将不会被要求和允许修正其响应文件，且本须知中有关谈判保证金的要求须在延长的有效期内继续有效。供应商可以拒绝延长谈判有效期的要求，其谈判保证金将及时无息退还。上述要求和答复都应以书面形式提交。</w:t>
      </w:r>
    </w:p>
    <w:p w14:paraId="3DF65D17">
      <w:pPr>
        <w:pStyle w:val="6"/>
        <w:spacing w:before="0" w:after="0" w:line="360" w:lineRule="exact"/>
        <w:rPr>
          <w:rFonts w:hint="eastAsia" w:ascii="仿宋" w:hAnsi="仿宋" w:eastAsia="仿宋" w:cs="仿宋"/>
          <w:b w:val="0"/>
          <w:bCs/>
          <w:color w:val="auto"/>
          <w:szCs w:val="24"/>
          <w:highlight w:val="none"/>
          <w:u w:val="none"/>
        </w:rPr>
      </w:pPr>
      <w:bookmarkStart w:id="152" w:name="_Toc520356158"/>
      <w:bookmarkStart w:id="153" w:name="_Toc21123_WPSOffice_Level2"/>
      <w:bookmarkStart w:id="154" w:name="_Toc493"/>
      <w:bookmarkStart w:id="155" w:name="_Toc20049"/>
      <w:bookmarkStart w:id="156" w:name="_Toc17609"/>
      <w:bookmarkStart w:id="157" w:name="_Toc15509"/>
      <w:bookmarkStart w:id="158" w:name="_Toc17074"/>
      <w:bookmarkStart w:id="159" w:name="_Toc515647773"/>
      <w:r>
        <w:rPr>
          <w:rFonts w:hint="eastAsia" w:ascii="仿宋" w:hAnsi="仿宋" w:eastAsia="仿宋" w:cs="仿宋"/>
          <w:b w:val="0"/>
          <w:bCs/>
          <w:color w:val="auto"/>
          <w:szCs w:val="24"/>
          <w:highlight w:val="none"/>
          <w:u w:val="none"/>
        </w:rPr>
        <w:t>14.    响应文件的签署</w:t>
      </w:r>
      <w:bookmarkEnd w:id="152"/>
      <w:r>
        <w:rPr>
          <w:rFonts w:hint="eastAsia" w:ascii="仿宋" w:hAnsi="仿宋" w:eastAsia="仿宋" w:cs="仿宋"/>
          <w:b w:val="0"/>
          <w:bCs/>
          <w:color w:val="auto"/>
          <w:szCs w:val="24"/>
          <w:highlight w:val="none"/>
          <w:u w:val="none"/>
        </w:rPr>
        <w:t>及规定</w:t>
      </w:r>
      <w:bookmarkEnd w:id="153"/>
      <w:bookmarkEnd w:id="154"/>
      <w:bookmarkEnd w:id="155"/>
      <w:bookmarkEnd w:id="156"/>
      <w:bookmarkEnd w:id="157"/>
      <w:bookmarkEnd w:id="158"/>
      <w:bookmarkEnd w:id="159"/>
    </w:p>
    <w:p w14:paraId="79FEFEC0">
      <w:pPr>
        <w:spacing w:line="360" w:lineRule="auto"/>
        <w:ind w:left="900" w:hanging="900" w:hangingChars="375"/>
        <w:rPr>
          <w:rFonts w:hint="eastAsia"/>
          <w:color w:val="auto"/>
          <w:highlight w:val="none"/>
        </w:rPr>
      </w:pPr>
      <w:r>
        <w:rPr>
          <w:rFonts w:hint="eastAsia" w:ascii="仿宋" w:hAnsi="仿宋" w:eastAsia="仿宋" w:cs="仿宋"/>
          <w:bCs/>
          <w:color w:val="auto"/>
          <w:sz w:val="24"/>
          <w:highlight w:val="none"/>
        </w:rPr>
        <w:t>14.</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ab/>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应按</w:t>
      </w:r>
      <w:r>
        <w:rPr>
          <w:rFonts w:hint="eastAsia" w:ascii="仿宋" w:hAnsi="仿宋" w:eastAsia="仿宋" w:cs="仿宋"/>
          <w:b/>
          <w:bCs/>
          <w:color w:val="auto"/>
          <w:sz w:val="24"/>
          <w:highlight w:val="none"/>
          <w:u w:val="single"/>
          <w:lang w:eastAsia="zh-CN"/>
        </w:rPr>
        <w:t>供应商</w:t>
      </w:r>
      <w:r>
        <w:rPr>
          <w:rFonts w:hint="eastAsia" w:ascii="仿宋" w:hAnsi="仿宋" w:eastAsia="仿宋" w:cs="仿宋"/>
          <w:b/>
          <w:bCs/>
          <w:color w:val="auto"/>
          <w:sz w:val="24"/>
          <w:highlight w:val="none"/>
          <w:u w:val="single"/>
        </w:rPr>
        <w:t>须知资料表</w:t>
      </w:r>
      <w:r>
        <w:rPr>
          <w:rFonts w:hint="eastAsia" w:ascii="仿宋" w:hAnsi="仿宋" w:eastAsia="仿宋" w:cs="仿宋"/>
          <w:color w:val="auto"/>
          <w:sz w:val="24"/>
          <w:highlight w:val="none"/>
        </w:rPr>
        <w:t>中的规定，</w:t>
      </w:r>
      <w:r>
        <w:rPr>
          <w:rFonts w:hint="eastAsia" w:ascii="仿宋" w:hAnsi="仿宋" w:eastAsia="仿宋" w:cs="仿宋"/>
          <w:color w:val="auto"/>
          <w:sz w:val="24"/>
          <w:szCs w:val="24"/>
          <w:highlight w:val="none"/>
        </w:rPr>
        <w:t>准备和递交</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文件正本、副 本和电子文档，每份</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文件封皮须清楚地标明“正本 ”或“副本 ”。 若正本和副本不符，以正本为准。</w:t>
      </w:r>
    </w:p>
    <w:p w14:paraId="16393861">
      <w:pPr>
        <w:spacing w:line="360" w:lineRule="auto"/>
        <w:ind w:left="900" w:hanging="900" w:hangingChars="375"/>
        <w:rPr>
          <w:rFonts w:hint="eastAsia" w:ascii="仿宋" w:hAnsi="仿宋" w:eastAsia="仿宋" w:cs="仿宋"/>
          <w:color w:val="auto"/>
          <w:sz w:val="24"/>
          <w:highlight w:val="none"/>
        </w:rPr>
      </w:pPr>
      <w:bookmarkStart w:id="160" w:name="_Toc11179"/>
      <w:bookmarkStart w:id="161" w:name="_Toc520356159"/>
      <w:bookmarkStart w:id="162" w:name="_Toc216582808"/>
      <w:bookmarkStart w:id="163" w:name="_Toc515647774"/>
      <w:bookmarkStart w:id="164" w:name="_Toc16865"/>
      <w:bookmarkStart w:id="165" w:name="_Toc31029_WPSOffice_Level1"/>
      <w:bookmarkStart w:id="166" w:name="_Toc25925"/>
      <w:r>
        <w:rPr>
          <w:rFonts w:hint="eastAsia" w:ascii="仿宋" w:hAnsi="仿宋" w:eastAsia="仿宋" w:cs="仿宋"/>
          <w:color w:val="auto"/>
          <w:sz w:val="24"/>
          <w:highlight w:val="none"/>
        </w:rPr>
        <w:t>14.2</w:t>
      </w:r>
      <w:r>
        <w:rPr>
          <w:rFonts w:hint="eastAsia" w:ascii="仿宋" w:hAnsi="仿宋" w:eastAsia="仿宋" w:cs="仿宋"/>
          <w:color w:val="auto"/>
          <w:sz w:val="24"/>
          <w:highlight w:val="none"/>
        </w:rPr>
        <w:tab/>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文件的正本须打印或用不褪色墨水书写，并由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的法定代表人或授权委托人在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文件正本上签字并加盖单位公章。</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文件的副本应与正本相一致，</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文件的副本可采用正本的复印件。</w:t>
      </w:r>
      <w:r>
        <w:rPr>
          <w:rFonts w:hint="eastAsia" w:ascii="仿宋" w:hAnsi="仿宋" w:eastAsia="仿宋" w:cs="仿宋"/>
          <w:color w:val="auto"/>
          <w:sz w:val="24"/>
          <w:szCs w:val="24"/>
          <w:highlight w:val="none"/>
          <w:lang w:eastAsia="zh-CN"/>
        </w:rPr>
        <w:t>谈判</w:t>
      </w:r>
      <w:r>
        <w:rPr>
          <w:rFonts w:hint="eastAsia" w:ascii="仿宋" w:hAnsi="仿宋" w:eastAsia="仿宋" w:cs="仿宋"/>
          <w:color w:val="auto"/>
          <w:sz w:val="24"/>
          <w:szCs w:val="24"/>
          <w:highlight w:val="none"/>
        </w:rPr>
        <w:t>文件要求盖章签字处必须盖章签字。否则其</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文件将被认定为</w:t>
      </w:r>
      <w:r>
        <w:rPr>
          <w:rFonts w:hint="eastAsia" w:ascii="仿宋" w:hAnsi="仿宋" w:eastAsia="仿宋" w:cs="仿宋"/>
          <w:b/>
          <w:bCs/>
          <w:color w:val="auto"/>
          <w:sz w:val="24"/>
          <w:szCs w:val="24"/>
          <w:highlight w:val="none"/>
        </w:rPr>
        <w:t>无效</w:t>
      </w:r>
      <w:r>
        <w:rPr>
          <w:rFonts w:hint="eastAsia" w:ascii="仿宋" w:hAnsi="仿宋" w:eastAsia="仿宋" w:cs="仿宋"/>
          <w:color w:val="auto"/>
          <w:sz w:val="24"/>
          <w:szCs w:val="24"/>
          <w:highlight w:val="none"/>
        </w:rPr>
        <w:t>。</w:t>
      </w:r>
    </w:p>
    <w:p w14:paraId="0E1F97A1">
      <w:pPr>
        <w:spacing w:line="360" w:lineRule="auto"/>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14.3    </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文件因字迹潦草、表达不清或装订不当所引起的后果由</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负责。</w:t>
      </w:r>
    </w:p>
    <w:p w14:paraId="7D52B035">
      <w:pPr>
        <w:spacing w:line="360" w:lineRule="auto"/>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r>
        <w:rPr>
          <w:rFonts w:hint="eastAsia" w:ascii="仿宋" w:hAnsi="仿宋" w:eastAsia="仿宋" w:cs="仿宋"/>
          <w:color w:val="auto"/>
          <w:sz w:val="24"/>
          <w:highlight w:val="none"/>
          <w:lang w:val="en-US" w:eastAsia="zh-CN"/>
        </w:rPr>
        <w:t xml:space="preserve">.4    </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文件必须制作目录及页码，页码必须连续并与目录相对应。</w:t>
      </w:r>
    </w:p>
    <w:p w14:paraId="03332C8B">
      <w:pPr>
        <w:pStyle w:val="5"/>
        <w:spacing w:before="0" w:line="360" w:lineRule="exact"/>
        <w:ind w:left="1080" w:leftChars="257" w:hanging="540"/>
        <w:rPr>
          <w:rFonts w:hint="eastAsia" w:ascii="仿宋" w:hAnsi="仿宋" w:eastAsia="仿宋" w:cs="仿宋"/>
          <w:color w:val="auto"/>
          <w:sz w:val="24"/>
          <w:szCs w:val="24"/>
          <w:highlight w:val="none"/>
        </w:rPr>
      </w:pPr>
      <w:bookmarkStart w:id="167" w:name="_Toc19628"/>
      <w:r>
        <w:rPr>
          <w:rFonts w:hint="eastAsia" w:ascii="仿宋" w:hAnsi="仿宋" w:eastAsia="仿宋" w:cs="仿宋"/>
          <w:color w:val="auto"/>
          <w:sz w:val="24"/>
          <w:szCs w:val="24"/>
          <w:highlight w:val="none"/>
        </w:rPr>
        <w:t>四   响应文件的递交</w:t>
      </w:r>
      <w:bookmarkEnd w:id="160"/>
      <w:bookmarkEnd w:id="161"/>
      <w:bookmarkEnd w:id="162"/>
      <w:bookmarkEnd w:id="163"/>
      <w:bookmarkEnd w:id="164"/>
      <w:bookmarkEnd w:id="165"/>
      <w:bookmarkEnd w:id="166"/>
      <w:bookmarkEnd w:id="167"/>
    </w:p>
    <w:p w14:paraId="3541F0D0">
      <w:pPr>
        <w:pStyle w:val="6"/>
        <w:numPr>
          <w:ilvl w:val="0"/>
          <w:numId w:val="5"/>
        </w:numPr>
        <w:spacing w:before="0" w:after="0" w:line="360" w:lineRule="exact"/>
        <w:rPr>
          <w:rFonts w:hint="eastAsia" w:ascii="仿宋" w:hAnsi="仿宋" w:eastAsia="仿宋" w:cs="仿宋"/>
          <w:b w:val="0"/>
          <w:bCs/>
          <w:color w:val="auto"/>
          <w:sz w:val="24"/>
          <w:szCs w:val="24"/>
          <w:highlight w:val="none"/>
          <w:u w:val="none"/>
        </w:rPr>
      </w:pPr>
      <w:bookmarkStart w:id="168" w:name="_Toc26195"/>
      <w:bookmarkStart w:id="169" w:name="_Toc515647775"/>
      <w:bookmarkStart w:id="170" w:name="_Toc21645"/>
      <w:bookmarkStart w:id="171" w:name="_Toc520356160"/>
      <w:bookmarkStart w:id="172" w:name="_Toc32337"/>
      <w:r>
        <w:rPr>
          <w:rFonts w:hint="eastAsia" w:ascii="仿宋" w:hAnsi="仿宋" w:eastAsia="仿宋" w:cs="仿宋"/>
          <w:b w:val="0"/>
          <w:bCs/>
          <w:color w:val="auto"/>
          <w:sz w:val="24"/>
          <w:szCs w:val="24"/>
          <w:highlight w:val="none"/>
          <w:u w:val="none"/>
        </w:rPr>
        <w:t xml:space="preserve">   </w:t>
      </w:r>
      <w:bookmarkStart w:id="173" w:name="_Toc28245"/>
      <w:bookmarkStart w:id="174" w:name="_Toc28066_WPSOffice_Level2"/>
      <w:bookmarkStart w:id="175" w:name="_Toc19934"/>
      <w:r>
        <w:rPr>
          <w:rFonts w:hint="eastAsia" w:ascii="仿宋" w:hAnsi="仿宋" w:eastAsia="仿宋" w:cs="仿宋"/>
          <w:b w:val="0"/>
          <w:bCs/>
          <w:color w:val="auto"/>
          <w:sz w:val="24"/>
          <w:szCs w:val="24"/>
          <w:highlight w:val="none"/>
          <w:u w:val="none"/>
        </w:rPr>
        <w:t>响应文件的密封和标记</w:t>
      </w:r>
      <w:bookmarkEnd w:id="168"/>
      <w:bookmarkEnd w:id="169"/>
      <w:bookmarkEnd w:id="170"/>
      <w:bookmarkEnd w:id="171"/>
      <w:bookmarkEnd w:id="172"/>
      <w:bookmarkEnd w:id="173"/>
      <w:bookmarkEnd w:id="174"/>
      <w:bookmarkEnd w:id="175"/>
    </w:p>
    <w:p w14:paraId="3A133364">
      <w:pPr>
        <w:pStyle w:val="6"/>
        <w:spacing w:before="0" w:after="0" w:line="360" w:lineRule="auto"/>
        <w:rPr>
          <w:rFonts w:hint="eastAsia" w:ascii="仿宋" w:hAnsi="仿宋" w:eastAsia="仿宋" w:cs="仿宋"/>
          <w:b w:val="0"/>
          <w:color w:val="auto"/>
          <w:kern w:val="2"/>
          <w:sz w:val="24"/>
          <w:szCs w:val="24"/>
          <w:highlight w:val="none"/>
          <w:u w:val="none"/>
          <w:lang w:val="en-US" w:eastAsia="zh-CN" w:bidi="ar-SA"/>
        </w:rPr>
      </w:pPr>
      <w:bookmarkStart w:id="176" w:name="_Toc515647776"/>
      <w:bookmarkStart w:id="177" w:name="_Toc24017"/>
      <w:bookmarkStart w:id="178" w:name="_Toc20289_WPSOffice_Level2"/>
      <w:bookmarkStart w:id="179" w:name="_Toc520356161"/>
      <w:bookmarkStart w:id="180" w:name="_Toc12751"/>
      <w:bookmarkStart w:id="181" w:name="_Toc9840"/>
      <w:bookmarkStart w:id="182" w:name="_Toc19330"/>
      <w:bookmarkStart w:id="183" w:name="_Toc31516"/>
      <w:r>
        <w:rPr>
          <w:rFonts w:hint="eastAsia" w:ascii="仿宋" w:hAnsi="仿宋" w:eastAsia="仿宋" w:cs="仿宋"/>
          <w:b w:val="0"/>
          <w:color w:val="auto"/>
          <w:kern w:val="2"/>
          <w:sz w:val="24"/>
          <w:szCs w:val="24"/>
          <w:highlight w:val="none"/>
          <w:u w:val="none"/>
          <w:lang w:val="en-US" w:eastAsia="zh-CN" w:bidi="ar-SA"/>
        </w:rPr>
        <w:t>15.1   为方便文件开启及进行资格审查，供应商应将响应文件第一部分和第二 部分的内容装订成一册，并在封皮正面标明“响应文件”字样。</w:t>
      </w:r>
    </w:p>
    <w:p w14:paraId="24CA2DE2">
      <w:pPr>
        <w:pStyle w:val="6"/>
        <w:spacing w:before="0" w:after="0" w:line="360" w:lineRule="auto"/>
        <w:rPr>
          <w:rFonts w:hint="eastAsia" w:ascii="仿宋" w:hAnsi="仿宋" w:eastAsia="仿宋" w:cs="仿宋"/>
          <w:b w:val="0"/>
          <w:color w:val="auto"/>
          <w:kern w:val="2"/>
          <w:sz w:val="24"/>
          <w:szCs w:val="24"/>
          <w:highlight w:val="none"/>
          <w:u w:val="none"/>
          <w:lang w:val="en-US" w:eastAsia="zh-CN" w:bidi="ar-SA"/>
        </w:rPr>
      </w:pPr>
      <w:r>
        <w:rPr>
          <w:rFonts w:hint="eastAsia" w:ascii="仿宋" w:hAnsi="仿宋" w:eastAsia="仿宋" w:cs="仿宋"/>
          <w:b w:val="0"/>
          <w:color w:val="auto"/>
          <w:kern w:val="2"/>
          <w:sz w:val="24"/>
          <w:szCs w:val="24"/>
          <w:highlight w:val="none"/>
          <w:u w:val="none"/>
          <w:lang w:val="en-US" w:eastAsia="zh-CN" w:bidi="ar-SA"/>
        </w:rPr>
        <w:t>15.2   所有包装封皮和信封上均应：</w:t>
      </w:r>
    </w:p>
    <w:p w14:paraId="46C266E4">
      <w:pPr>
        <w:pStyle w:val="6"/>
        <w:spacing w:before="0" w:after="0" w:line="360" w:lineRule="auto"/>
        <w:rPr>
          <w:rFonts w:hint="eastAsia" w:ascii="仿宋" w:hAnsi="仿宋" w:eastAsia="仿宋" w:cs="仿宋"/>
          <w:b w:val="0"/>
          <w:color w:val="auto"/>
          <w:kern w:val="2"/>
          <w:sz w:val="24"/>
          <w:szCs w:val="24"/>
          <w:highlight w:val="none"/>
          <w:u w:val="none"/>
          <w:lang w:val="en-US" w:eastAsia="zh-CN" w:bidi="ar-SA"/>
        </w:rPr>
      </w:pPr>
      <w:r>
        <w:rPr>
          <w:rFonts w:hint="eastAsia" w:ascii="仿宋" w:hAnsi="仿宋" w:eastAsia="仿宋" w:cs="仿宋"/>
          <w:b w:val="0"/>
          <w:color w:val="auto"/>
          <w:kern w:val="2"/>
          <w:sz w:val="24"/>
          <w:szCs w:val="24"/>
          <w:highlight w:val="none"/>
          <w:u w:val="none"/>
          <w:lang w:val="en-US" w:eastAsia="zh-CN" w:bidi="ar-SA"/>
        </w:rPr>
        <w:t>（1）注明谈判公告或谈判邀请书中指明的项目名称、项目编号、供应商名称、 地址和递交响应文件的地点“在（开标时间）之前不得启封 ”的字样。</w:t>
      </w:r>
    </w:p>
    <w:p w14:paraId="41603C2C">
      <w:pPr>
        <w:pStyle w:val="6"/>
        <w:spacing w:before="0" w:after="0" w:line="360" w:lineRule="auto"/>
        <w:rPr>
          <w:rFonts w:hint="eastAsia" w:ascii="仿宋" w:hAnsi="仿宋" w:eastAsia="仿宋" w:cs="仿宋"/>
          <w:b w:val="0"/>
          <w:color w:val="auto"/>
          <w:kern w:val="2"/>
          <w:sz w:val="24"/>
          <w:szCs w:val="24"/>
          <w:highlight w:val="none"/>
          <w:u w:val="none"/>
          <w:lang w:val="en-US" w:eastAsia="zh-CN" w:bidi="ar-SA"/>
        </w:rPr>
      </w:pPr>
      <w:r>
        <w:rPr>
          <w:rFonts w:hint="eastAsia" w:ascii="仿宋" w:hAnsi="仿宋" w:eastAsia="仿宋" w:cs="仿宋"/>
          <w:b w:val="0"/>
          <w:color w:val="auto"/>
          <w:kern w:val="2"/>
          <w:sz w:val="24"/>
          <w:szCs w:val="24"/>
          <w:highlight w:val="none"/>
          <w:u w:val="none"/>
          <w:lang w:val="en-US" w:eastAsia="zh-CN" w:bidi="ar-SA"/>
        </w:rPr>
        <w:t>15.3    如果供应商未按上述要求密封标记的，将被拒绝接收。</w:t>
      </w:r>
    </w:p>
    <w:p w14:paraId="08186669">
      <w:pPr>
        <w:pStyle w:val="6"/>
        <w:spacing w:before="0" w:after="0" w:line="360" w:lineRule="exact"/>
        <w:rPr>
          <w:rFonts w:hint="eastAsia" w:ascii="仿宋" w:hAnsi="仿宋" w:eastAsia="仿宋" w:cs="仿宋"/>
          <w:b w:val="0"/>
          <w:bCs/>
          <w:color w:val="auto"/>
          <w:sz w:val="24"/>
          <w:szCs w:val="24"/>
          <w:highlight w:val="none"/>
          <w:u w:val="none"/>
        </w:rPr>
      </w:pPr>
      <w:r>
        <w:rPr>
          <w:rFonts w:hint="eastAsia" w:ascii="仿宋" w:hAnsi="仿宋" w:eastAsia="仿宋" w:cs="仿宋"/>
          <w:b w:val="0"/>
          <w:bCs/>
          <w:color w:val="auto"/>
          <w:sz w:val="24"/>
          <w:szCs w:val="24"/>
          <w:highlight w:val="none"/>
          <w:u w:val="none"/>
        </w:rPr>
        <w:t>16.    响应文件递交截止</w:t>
      </w:r>
      <w:bookmarkEnd w:id="176"/>
      <w:bookmarkEnd w:id="177"/>
      <w:bookmarkEnd w:id="178"/>
      <w:bookmarkEnd w:id="179"/>
      <w:bookmarkEnd w:id="180"/>
      <w:bookmarkEnd w:id="181"/>
      <w:bookmarkEnd w:id="182"/>
      <w:bookmarkEnd w:id="183"/>
    </w:p>
    <w:p w14:paraId="2A432988">
      <w:pPr>
        <w:spacing w:line="360" w:lineRule="exact"/>
        <w:ind w:left="900" w:hanging="900" w:hangingChars="375"/>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16.1</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供应商应在</w:t>
      </w:r>
      <w:r>
        <w:rPr>
          <w:rFonts w:hint="eastAsia" w:ascii="仿宋" w:hAnsi="仿宋" w:eastAsia="仿宋" w:cs="仿宋"/>
          <w:bCs/>
          <w:color w:val="auto"/>
          <w:sz w:val="24"/>
          <w:szCs w:val="24"/>
          <w:highlight w:val="none"/>
          <w:u w:val="single"/>
        </w:rPr>
        <w:t>供应商须知资料表中</w:t>
      </w:r>
      <w:r>
        <w:rPr>
          <w:rFonts w:hint="eastAsia" w:ascii="仿宋" w:hAnsi="仿宋" w:eastAsia="仿宋" w:cs="仿宋"/>
          <w:bCs/>
          <w:color w:val="auto"/>
          <w:sz w:val="24"/>
          <w:szCs w:val="24"/>
          <w:highlight w:val="none"/>
        </w:rPr>
        <w:t>规定的截止时间前，将响应文件递交到采购公告中规定的地点。</w:t>
      </w:r>
    </w:p>
    <w:p w14:paraId="6F311DF8">
      <w:pPr>
        <w:spacing w:line="360" w:lineRule="exact"/>
        <w:ind w:left="900" w:hanging="900" w:hangingChars="375"/>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16.2</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采购人和采购代理机构有权按本须知的规定，延迟递交响应文件截止时间。在此情况下，采购人、采购代理机构和供应商受递交响应文件截止时间制约的所有权利和义务均应延长至新的截止时间。</w:t>
      </w:r>
    </w:p>
    <w:p w14:paraId="40B9927D">
      <w:pPr>
        <w:spacing w:line="360" w:lineRule="exact"/>
        <w:ind w:left="900" w:hanging="900" w:hangingChars="375"/>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16.3</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采购人和采购代理机构将拒绝接收在递交响应文件截止时间后送达的响应文件。</w:t>
      </w:r>
    </w:p>
    <w:p w14:paraId="72B3BE34">
      <w:pPr>
        <w:pStyle w:val="6"/>
        <w:spacing w:before="0" w:after="0" w:line="360" w:lineRule="exact"/>
        <w:rPr>
          <w:rFonts w:hint="eastAsia" w:ascii="仿宋" w:hAnsi="仿宋" w:eastAsia="仿宋" w:cs="仿宋"/>
          <w:b w:val="0"/>
          <w:bCs/>
          <w:color w:val="auto"/>
          <w:sz w:val="24"/>
          <w:szCs w:val="24"/>
          <w:highlight w:val="none"/>
          <w:u w:val="none"/>
        </w:rPr>
      </w:pPr>
      <w:bookmarkStart w:id="184" w:name="_Toc1457"/>
      <w:bookmarkStart w:id="185" w:name="_Toc24275"/>
      <w:bookmarkStart w:id="186" w:name="_Toc12303"/>
      <w:bookmarkStart w:id="187" w:name="_Toc18537"/>
      <w:bookmarkStart w:id="188" w:name="_Toc515647777"/>
      <w:bookmarkStart w:id="189" w:name="_Toc17505_WPSOffice_Level2"/>
      <w:bookmarkStart w:id="190" w:name="_Toc520356162"/>
      <w:bookmarkStart w:id="191" w:name="_Toc24785"/>
      <w:r>
        <w:rPr>
          <w:rFonts w:hint="eastAsia" w:ascii="仿宋" w:hAnsi="仿宋" w:eastAsia="仿宋" w:cs="仿宋"/>
          <w:b w:val="0"/>
          <w:bCs/>
          <w:color w:val="auto"/>
          <w:sz w:val="24"/>
          <w:szCs w:val="24"/>
          <w:highlight w:val="none"/>
          <w:u w:val="none"/>
        </w:rPr>
        <w:t>17.响应文件的接收、修改与撤回</w:t>
      </w:r>
      <w:bookmarkEnd w:id="184"/>
      <w:bookmarkEnd w:id="185"/>
      <w:bookmarkEnd w:id="186"/>
      <w:bookmarkEnd w:id="187"/>
      <w:bookmarkEnd w:id="188"/>
      <w:bookmarkEnd w:id="189"/>
      <w:bookmarkEnd w:id="190"/>
      <w:bookmarkEnd w:id="191"/>
    </w:p>
    <w:p w14:paraId="7AFDFBA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   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截止时间后送达的</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文件的，采购人和采购代理机构将拒绝接收。</w:t>
      </w:r>
    </w:p>
    <w:p w14:paraId="09F3FFE9">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17.2   采购人或者采购代理机构收到</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文件后，应当如实记载</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文件的送达时间和密封标记情况</w:t>
      </w:r>
      <w:r>
        <w:rPr>
          <w:rFonts w:hint="eastAsia" w:ascii="仿宋" w:hAnsi="仿宋" w:eastAsia="仿宋" w:cs="仿宋"/>
          <w:color w:val="auto"/>
          <w:sz w:val="24"/>
          <w:szCs w:val="24"/>
          <w:highlight w:val="none"/>
          <w:lang w:eastAsia="zh-CN"/>
        </w:rPr>
        <w:t>。</w:t>
      </w:r>
    </w:p>
    <w:p w14:paraId="63CCFA3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   递交</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文件以后，如果</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要进行修改或撤回投标，须提出书面申请并在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截止时间前送达开标地点，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文件的修改或撤回通知应按本须知规定编制、密封、标记。</w:t>
      </w:r>
    </w:p>
    <w:p w14:paraId="799F3CC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采购人和采购代理机构将予以接收，并视为</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文件的组成部分。</w:t>
      </w:r>
    </w:p>
    <w:p w14:paraId="53FE400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   在投标截止期之后，采购人和采购代理机构不接受</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主动对其</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文件做任何修改。</w:t>
      </w:r>
    </w:p>
    <w:p w14:paraId="0EE118E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17.5   采购人和采购代理机构对所接收</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文件概不退回。</w:t>
      </w:r>
    </w:p>
    <w:p w14:paraId="6579D299">
      <w:pPr>
        <w:spacing w:line="360" w:lineRule="exact"/>
        <w:ind w:left="900" w:hanging="900" w:hangingChars="375"/>
        <w:rPr>
          <w:rFonts w:hint="eastAsia" w:ascii="仿宋" w:hAnsi="仿宋" w:eastAsia="仿宋" w:cs="仿宋"/>
          <w:bCs/>
          <w:color w:val="auto"/>
          <w:sz w:val="24"/>
          <w:highlight w:val="none"/>
        </w:rPr>
      </w:pPr>
    </w:p>
    <w:p w14:paraId="58532AF2">
      <w:pPr>
        <w:pStyle w:val="5"/>
        <w:spacing w:before="0" w:line="360" w:lineRule="exact"/>
        <w:ind w:left="1080" w:leftChars="257" w:hanging="540"/>
        <w:rPr>
          <w:rFonts w:hint="eastAsia" w:ascii="仿宋" w:hAnsi="仿宋" w:eastAsia="仿宋" w:cs="仿宋"/>
          <w:color w:val="auto"/>
          <w:sz w:val="24"/>
          <w:szCs w:val="24"/>
          <w:highlight w:val="none"/>
        </w:rPr>
      </w:pPr>
      <w:bookmarkStart w:id="192" w:name="_Toc12436"/>
      <w:bookmarkStart w:id="193" w:name="_Toc520356163"/>
      <w:bookmarkStart w:id="194" w:name="_Toc28398"/>
      <w:bookmarkStart w:id="195" w:name="_Toc216582809"/>
      <w:bookmarkStart w:id="196" w:name="_Toc515647778"/>
      <w:bookmarkStart w:id="197" w:name="_Toc20246"/>
      <w:bookmarkStart w:id="198" w:name="_Toc21240_WPSOffice_Level1"/>
      <w:bookmarkStart w:id="199" w:name="_Toc22895"/>
      <w:r>
        <w:rPr>
          <w:rFonts w:hint="eastAsia" w:ascii="仿宋" w:hAnsi="仿宋" w:eastAsia="仿宋" w:cs="仿宋"/>
          <w:color w:val="auto"/>
          <w:sz w:val="24"/>
          <w:szCs w:val="24"/>
          <w:highlight w:val="none"/>
        </w:rPr>
        <w:t>五   竞争性谈判及评</w:t>
      </w:r>
      <w:bookmarkEnd w:id="192"/>
      <w:bookmarkEnd w:id="193"/>
      <w:bookmarkEnd w:id="194"/>
      <w:bookmarkEnd w:id="195"/>
      <w:bookmarkEnd w:id="196"/>
      <w:bookmarkEnd w:id="197"/>
      <w:r>
        <w:rPr>
          <w:rFonts w:hint="eastAsia" w:ascii="仿宋" w:hAnsi="仿宋" w:eastAsia="仿宋" w:cs="仿宋"/>
          <w:color w:val="auto"/>
          <w:sz w:val="24"/>
          <w:szCs w:val="24"/>
          <w:highlight w:val="none"/>
        </w:rPr>
        <w:t>审</w:t>
      </w:r>
      <w:bookmarkEnd w:id="198"/>
      <w:bookmarkEnd w:id="199"/>
    </w:p>
    <w:p w14:paraId="647A8BFA">
      <w:pPr>
        <w:pStyle w:val="6"/>
        <w:numPr>
          <w:ilvl w:val="0"/>
          <w:numId w:val="6"/>
        </w:numPr>
        <w:spacing w:line="360" w:lineRule="exact"/>
        <w:rPr>
          <w:rFonts w:hint="eastAsia" w:ascii="仿宋" w:hAnsi="仿宋" w:eastAsia="仿宋" w:cs="仿宋"/>
          <w:b w:val="0"/>
          <w:bCs/>
          <w:color w:val="auto"/>
          <w:szCs w:val="24"/>
          <w:highlight w:val="none"/>
        </w:rPr>
      </w:pPr>
      <w:bookmarkStart w:id="200" w:name="_Toc515647779"/>
      <w:bookmarkStart w:id="201" w:name="_Toc17257"/>
      <w:bookmarkStart w:id="202" w:name="_Toc7186"/>
      <w:bookmarkStart w:id="203" w:name="_Toc25345"/>
      <w:bookmarkStart w:id="204" w:name="_Toc520356164"/>
      <w:bookmarkStart w:id="205" w:name="_Toc27011_WPSOffice_Level2"/>
      <w:r>
        <w:rPr>
          <w:rFonts w:hint="eastAsia" w:ascii="仿宋" w:hAnsi="仿宋" w:eastAsia="仿宋" w:cs="仿宋"/>
          <w:b w:val="0"/>
          <w:bCs/>
          <w:color w:val="auto"/>
          <w:szCs w:val="24"/>
          <w:highlight w:val="none"/>
          <w:u w:val="none"/>
        </w:rPr>
        <w:t xml:space="preserve">  </w:t>
      </w:r>
      <w:bookmarkEnd w:id="200"/>
      <w:bookmarkEnd w:id="201"/>
      <w:bookmarkEnd w:id="202"/>
      <w:bookmarkEnd w:id="203"/>
      <w:bookmarkEnd w:id="204"/>
      <w:bookmarkStart w:id="206" w:name="_Toc12549"/>
      <w:bookmarkStart w:id="207" w:name="_Toc31321"/>
      <w:r>
        <w:rPr>
          <w:rFonts w:hint="eastAsia" w:ascii="仿宋" w:hAnsi="仿宋" w:eastAsia="仿宋" w:cs="仿宋"/>
          <w:b w:val="0"/>
          <w:bCs/>
          <w:color w:val="auto"/>
          <w:szCs w:val="24"/>
          <w:highlight w:val="none"/>
          <w:u w:val="none"/>
        </w:rPr>
        <w:t>谈判开启</w:t>
      </w:r>
      <w:bookmarkEnd w:id="206"/>
      <w:bookmarkEnd w:id="207"/>
    </w:p>
    <w:p w14:paraId="1142494F">
      <w:pPr>
        <w:spacing w:line="360" w:lineRule="exact"/>
        <w:rPr>
          <w:rFonts w:hint="eastAsia" w:ascii="仿宋" w:hAnsi="仿宋" w:eastAsia="仿宋" w:cs="仿宋"/>
          <w:bCs/>
          <w:color w:val="auto"/>
          <w:sz w:val="24"/>
          <w:highlight w:val="none"/>
        </w:rPr>
      </w:pPr>
      <w:r>
        <w:rPr>
          <w:rFonts w:hint="eastAsia" w:ascii="仿宋" w:hAnsi="仿宋" w:eastAsia="仿宋" w:cs="仿宋"/>
          <w:b w:val="0"/>
          <w:color w:val="auto"/>
          <w:kern w:val="2"/>
          <w:sz w:val="24"/>
          <w:szCs w:val="24"/>
          <w:highlight w:val="none"/>
          <w:u w:val="none"/>
          <w:lang w:val="en-US" w:eastAsia="zh-CN" w:bidi="ar-SA"/>
        </w:rPr>
        <w:t xml:space="preserve">18.1   </w:t>
      </w:r>
      <w:r>
        <w:rPr>
          <w:rFonts w:hint="eastAsia" w:ascii="仿宋" w:hAnsi="仿宋" w:eastAsia="仿宋" w:cs="仿宋"/>
          <w:bCs/>
          <w:color w:val="auto"/>
          <w:sz w:val="24"/>
          <w:highlight w:val="none"/>
        </w:rPr>
        <w:t>采购人和采购代理机构将按</w:t>
      </w:r>
      <w:r>
        <w:rPr>
          <w:rFonts w:hint="eastAsia" w:ascii="仿宋" w:hAnsi="仿宋" w:eastAsia="仿宋" w:cs="仿宋"/>
          <w:bCs/>
          <w:color w:val="auto"/>
          <w:sz w:val="24"/>
          <w:highlight w:val="none"/>
          <w:lang w:eastAsia="zh-CN"/>
        </w:rPr>
        <w:t>供应商</w:t>
      </w:r>
      <w:r>
        <w:rPr>
          <w:rFonts w:hint="eastAsia" w:ascii="仿宋" w:hAnsi="仿宋" w:eastAsia="仿宋" w:cs="仿宋"/>
          <w:bCs/>
          <w:color w:val="auto"/>
          <w:sz w:val="24"/>
          <w:highlight w:val="none"/>
        </w:rPr>
        <w:t>须知资料表中规定的开标时间和地点</w:t>
      </w:r>
    </w:p>
    <w:p w14:paraId="1ECB7965">
      <w:pPr>
        <w:spacing w:line="360" w:lineRule="exact"/>
        <w:ind w:left="735" w:leftChars="350" w:firstLine="120" w:firstLineChars="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组织并邀请所有</w:t>
      </w:r>
      <w:r>
        <w:rPr>
          <w:rFonts w:hint="eastAsia" w:ascii="仿宋" w:hAnsi="仿宋" w:eastAsia="仿宋" w:cs="仿宋"/>
          <w:bCs/>
          <w:color w:val="auto"/>
          <w:sz w:val="24"/>
          <w:highlight w:val="none"/>
          <w:lang w:eastAsia="zh-CN"/>
        </w:rPr>
        <w:t>供应商</w:t>
      </w:r>
      <w:r>
        <w:rPr>
          <w:rFonts w:hint="eastAsia" w:ascii="仿宋" w:hAnsi="仿宋" w:eastAsia="仿宋" w:cs="仿宋"/>
          <w:bCs/>
          <w:color w:val="auto"/>
          <w:sz w:val="24"/>
          <w:highlight w:val="none"/>
        </w:rPr>
        <w:t xml:space="preserve">代表参加。 </w:t>
      </w:r>
    </w:p>
    <w:p w14:paraId="1DE616AF">
      <w:pPr>
        <w:spacing w:line="360" w:lineRule="exact"/>
        <w:ind w:left="735" w:leftChars="350" w:firstLine="120" w:firstLineChars="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供应商不足3家的，不得开启谈判。</w:t>
      </w:r>
    </w:p>
    <w:p w14:paraId="5AB944BA">
      <w:pPr>
        <w:spacing w:line="360" w:lineRule="exact"/>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18.2   谈判开启时，由供应商或其推选的代表检查自己或所代表的响应文件的密封情况，经记录后，</w:t>
      </w:r>
      <w:r>
        <w:rPr>
          <w:rFonts w:hint="eastAsia" w:ascii="仿宋" w:hAnsi="仿宋" w:eastAsia="仿宋" w:cs="仿宋"/>
          <w:bCs/>
          <w:color w:val="auto"/>
          <w:sz w:val="24"/>
          <w:highlight w:val="none"/>
          <w:lang w:val="en-US" w:eastAsia="zh-CN"/>
        </w:rPr>
        <w:t>进入评审。</w:t>
      </w:r>
    </w:p>
    <w:p w14:paraId="31639D80">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18.3    采购人或采购代理机构将对谈判及评审过程进行记录</w:t>
      </w:r>
      <w:bookmarkStart w:id="208" w:name="_Toc520356165"/>
      <w:r>
        <w:rPr>
          <w:rFonts w:hint="eastAsia" w:ascii="仿宋" w:hAnsi="仿宋" w:eastAsia="仿宋" w:cs="仿宋"/>
          <w:bCs/>
          <w:color w:val="auto"/>
          <w:sz w:val="24"/>
          <w:highlight w:val="none"/>
        </w:rPr>
        <w:t>，由参加谈判的各供应商代表和相关工作人员签字确认，并存档备查。</w:t>
      </w:r>
    </w:p>
    <w:p w14:paraId="123A65D0">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bCs/>
          <w:color w:val="auto"/>
          <w:sz w:val="24"/>
          <w:highlight w:val="none"/>
        </w:rPr>
        <w:t>18.4    供应商代表对谈判及评审过程和谈判记录有疑义，以及认为采购人、采购代理机构相关工作人员有需要回避的情形的，应当场提出询问或者回避申请。</w:t>
      </w:r>
    </w:p>
    <w:p w14:paraId="06C3F7CE">
      <w:pPr>
        <w:pStyle w:val="6"/>
        <w:spacing w:before="0" w:after="0" w:line="360" w:lineRule="exact"/>
        <w:rPr>
          <w:rFonts w:hint="eastAsia" w:ascii="仿宋" w:hAnsi="仿宋" w:eastAsia="仿宋" w:cs="仿宋"/>
          <w:b w:val="0"/>
          <w:bCs/>
          <w:color w:val="auto"/>
          <w:szCs w:val="24"/>
          <w:highlight w:val="none"/>
          <w:u w:val="none"/>
        </w:rPr>
      </w:pPr>
      <w:bookmarkStart w:id="209" w:name="_Toc515647780"/>
      <w:bookmarkStart w:id="210" w:name="_Toc19296"/>
      <w:bookmarkStart w:id="211" w:name="_Toc21372"/>
      <w:bookmarkStart w:id="212" w:name="_Toc31290"/>
      <w:bookmarkStart w:id="213" w:name="_Toc25796"/>
      <w:bookmarkStart w:id="214" w:name="_Toc11349"/>
      <w:r>
        <w:rPr>
          <w:rFonts w:hint="eastAsia" w:ascii="仿宋" w:hAnsi="仿宋" w:eastAsia="仿宋" w:cs="仿宋"/>
          <w:b w:val="0"/>
          <w:bCs/>
          <w:color w:val="auto"/>
          <w:szCs w:val="24"/>
          <w:highlight w:val="none"/>
          <w:u w:val="none"/>
        </w:rPr>
        <w:t>19.</w:t>
      </w:r>
      <w:bookmarkEnd w:id="208"/>
      <w:r>
        <w:rPr>
          <w:rFonts w:hint="eastAsia" w:ascii="仿宋" w:hAnsi="仿宋" w:eastAsia="仿宋" w:cs="仿宋"/>
          <w:b w:val="0"/>
          <w:bCs/>
          <w:color w:val="auto"/>
          <w:szCs w:val="24"/>
          <w:highlight w:val="none"/>
          <w:u w:val="none"/>
        </w:rPr>
        <w:t xml:space="preserve">    资格审查及组建</w:t>
      </w:r>
      <w:bookmarkEnd w:id="209"/>
      <w:bookmarkEnd w:id="210"/>
      <w:bookmarkEnd w:id="211"/>
      <w:bookmarkEnd w:id="212"/>
      <w:r>
        <w:rPr>
          <w:rFonts w:hint="eastAsia" w:ascii="仿宋" w:hAnsi="仿宋" w:eastAsia="仿宋" w:cs="仿宋"/>
          <w:b w:val="0"/>
          <w:bCs/>
          <w:color w:val="auto"/>
          <w:szCs w:val="24"/>
          <w:highlight w:val="none"/>
          <w:u w:val="none"/>
        </w:rPr>
        <w:t>谈判小组</w:t>
      </w:r>
      <w:bookmarkEnd w:id="213"/>
      <w:bookmarkEnd w:id="214"/>
    </w:p>
    <w:p w14:paraId="1A119D17">
      <w:pPr>
        <w:keepNext w:val="0"/>
        <w:keepLines w:val="0"/>
        <w:widowControl/>
        <w:suppressLineNumbers w:val="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19.1   采购人或采购代理机构依据法律法规和谈判文件中规定的内容，对供应商及其货物的资格进行审查，</w:t>
      </w:r>
      <w:r>
        <w:rPr>
          <w:rFonts w:hint="eastAsia" w:ascii="仿宋" w:hAnsi="仿宋" w:eastAsia="仿宋" w:cs="仿宋"/>
          <w:bCs/>
          <w:color w:val="auto"/>
          <w:sz w:val="24"/>
          <w:highlight w:val="none"/>
          <w:lang w:val="en-US" w:eastAsia="zh-CN"/>
        </w:rPr>
        <w:t xml:space="preserve">未通过资格审查的供应商不进入评标；进入评标的 </w:t>
      </w:r>
    </w:p>
    <w:p w14:paraId="6C8C0944">
      <w:pPr>
        <w:keepNext w:val="0"/>
        <w:keepLines w:val="0"/>
        <w:widowControl/>
        <w:suppressLineNumbers w:val="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供应商不足 3 家的，不得评标。 </w:t>
      </w:r>
    </w:p>
    <w:p w14:paraId="2470C2EE">
      <w:pPr>
        <w:keepNext w:val="0"/>
        <w:keepLines w:val="0"/>
        <w:pageBreakBefore w:val="0"/>
        <w:widowControl w:val="0"/>
        <w:numPr>
          <w:ilvl w:val="0"/>
          <w:numId w:val="7"/>
        </w:numPr>
        <w:kinsoku/>
        <w:wordWrap/>
        <w:overflowPunct/>
        <w:topLinePunct w:val="0"/>
        <w:bidi w:val="0"/>
        <w:adjustRightInd/>
        <w:spacing w:line="360" w:lineRule="exact"/>
        <w:textAlignment w:val="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szCs w:val="24"/>
          <w:highlight w:val="none"/>
          <w:lang w:val="en-US" w:eastAsia="zh-CN" w:bidi="ar"/>
        </w:rPr>
        <w:t>本项目资格审查资料表应附在响应文件中：</w:t>
      </w:r>
    </w:p>
    <w:p w14:paraId="28829029">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符合《中华人民共和国采购法》第二十二条的相关规定：</w:t>
      </w:r>
    </w:p>
    <w:p w14:paraId="7B4F0E0B">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1、具有独立法人资格（三证合一的营业执照）；</w:t>
      </w:r>
    </w:p>
    <w:p w14:paraId="719C2D85">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2、法人代表资格证明书及授权书、被授权人身份证(法人投标具备法人身份证及法人代表资格证明书)；</w:t>
      </w:r>
    </w:p>
    <w:p w14:paraId="51EC4A3B">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3、被授权委托人参与投标需提供在本单位缴纳连续近三个月内任意一个月的社保证明（单位社保缴费凭证和个人明细表）；法定代表人参与投标需提供本单位社保缴费凭证；</w:t>
      </w:r>
    </w:p>
    <w:p w14:paraId="60C039F5">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实施条例》第十九条规定的行政处罚记录的，将被认定为投标无效。（须提供本 条款明确的网站查询截屏或导出的证明性材料，并加盖公章，查询时间为公告发 布之日起至投标截止时间止）；</w:t>
      </w:r>
    </w:p>
    <w:p w14:paraId="4C93676C">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5、提供2023年或2024年的财务审计报告与健全的财务会计制度（新成立的公司近三个月内的银行资信证明与健全的财务会计制度）；</w:t>
      </w:r>
    </w:p>
    <w:p w14:paraId="0EFA1B78">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6、税务部门出具的连续近三个月内任意一个月的完税证明（零申报需加盖税 务机关章）；</w:t>
      </w:r>
    </w:p>
    <w:p w14:paraId="107E59F3">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7、参加政府采购活动前3年内在经营活动中没有重大违法记录的书面声明；</w:t>
      </w:r>
    </w:p>
    <w:p w14:paraId="5B03E861">
      <w:pPr>
        <w:pStyle w:val="47"/>
        <w:ind w:left="239" w:leftChars="114"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8、投标单位（供应商）针对本次项目《反商业贿赂承诺书》；</w:t>
      </w:r>
    </w:p>
    <w:p w14:paraId="20898262">
      <w:pPr>
        <w:pStyle w:val="47"/>
        <w:ind w:left="239" w:leftChars="114"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9、供应商为厂家的需具备食品生产许可证，供应商为经销商的需具备食品经营许可证或仅销售预包装食品备案表。</w:t>
      </w:r>
    </w:p>
    <w:p w14:paraId="27449C21">
      <w:pPr>
        <w:ind w:firstLine="240" w:firstLineChars="100"/>
        <w:jc w:val="left"/>
        <w:rPr>
          <w:rFonts w:hint="eastAsia" w:ascii="仿宋" w:hAnsi="仿宋" w:eastAsia="仿宋" w:cs="仿宋"/>
          <w:color w:val="0000FF"/>
          <w:sz w:val="24"/>
          <w:szCs w:val="24"/>
          <w:highlight w:val="none"/>
          <w:lang w:val="en-US" w:eastAsia="zh-CN"/>
        </w:rPr>
      </w:pPr>
      <w:r>
        <w:rPr>
          <w:rFonts w:hint="eastAsia" w:ascii="仿宋" w:hAnsi="仿宋" w:eastAsia="仿宋" w:cs="仿宋"/>
          <w:color w:val="auto"/>
          <w:sz w:val="24"/>
          <w:szCs w:val="24"/>
          <w:highlight w:val="none"/>
          <w:lang w:val="en-US" w:eastAsia="zh-CN"/>
        </w:rPr>
        <w:t>10、本项目不接受联合体投标。</w:t>
      </w:r>
    </w:p>
    <w:p w14:paraId="745A525A">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备注：各供应商应注意以下事项：①本项目要求各投标供应商提供“依法缴纳连续近三个月内任意一个月的完税证明”，若供应商某月税收为零申报或免征，须提供加盖税 务 局公章的无欠税证明或申报成功网页截图（供应商可自主登录“国家税务总局电子税务12366.chinatax.gov.cn/bsfw/onlinetaxation/main——税费申 报及缴纳——申报结果查询）。②税务局代收的社保缴费证明不可作为本项目的完税证明（“税种”不可为养老保险、医疗保险、失业保险、工伤保险和生育保险）。</w:t>
      </w:r>
    </w:p>
    <w:p w14:paraId="72165934">
      <w:pPr>
        <w:pStyle w:val="84"/>
        <w:numPr>
          <w:ilvl w:val="0"/>
          <w:numId w:val="0"/>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提示：</w:t>
      </w:r>
    </w:p>
    <w:p w14:paraId="67D3F1AF">
      <w:pPr>
        <w:pStyle w:val="2"/>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lang w:val="en-US" w:eastAsia="zh-CN"/>
        </w:rPr>
        <w:t>上述内容一项</w:t>
      </w:r>
      <w:r>
        <w:rPr>
          <w:rFonts w:hint="eastAsia" w:ascii="仿宋" w:hAnsi="仿宋" w:eastAsia="仿宋" w:cs="仿宋"/>
          <w:b/>
          <w:bCs/>
          <w:color w:val="auto"/>
          <w:szCs w:val="24"/>
          <w:highlight w:val="none"/>
        </w:rPr>
        <w:t>未通过资格审查的供应商不进入评标。</w:t>
      </w:r>
    </w:p>
    <w:p w14:paraId="45214889">
      <w:pPr>
        <w:spacing w:line="360" w:lineRule="exact"/>
        <w:ind w:left="857" w:leftChars="2" w:hanging="853"/>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19.2  采购人或采购代理机构将在谈判开启前1个工作日至递交响应文件截止后1小时的期间内查询供应商的信用记录。供应商存在不良信用记录的，其谈判资格将被认定为无效。</w:t>
      </w:r>
    </w:p>
    <w:p w14:paraId="09965A43">
      <w:pPr>
        <w:spacing w:line="360" w:lineRule="exact"/>
        <w:ind w:left="857" w:leftChars="2" w:hanging="853"/>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19.2.1 不良信用记录指：凡拟参加本次招标项目的投标人，如在中国政府采购网（www.ccgp.gov.cn）、国家企业信用信息公示系统平台被列入政府采购严重违法失信行为记录名单、“信用中国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w:t>
      </w:r>
    </w:p>
    <w:p w14:paraId="50585CB7">
      <w:pPr>
        <w:spacing w:line="360" w:lineRule="exact"/>
        <w:ind w:left="849" w:leftChars="401" w:hanging="7" w:hangingChars="3"/>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以联合体形式参加谈判的，联合体任何成员存在以上不良信用记录的，联合体谈判资格将被认定为无效。</w:t>
      </w:r>
    </w:p>
    <w:p w14:paraId="3BD55F14">
      <w:pPr>
        <w:pStyle w:val="2"/>
        <w:spacing w:line="360" w:lineRule="exact"/>
        <w:ind w:left="850" w:hanging="849" w:hangingChars="354"/>
        <w:jc w:val="both"/>
        <w:rPr>
          <w:rFonts w:hint="eastAsia" w:ascii="仿宋" w:hAnsi="仿宋" w:eastAsia="仿宋" w:cs="仿宋"/>
          <w:bCs/>
          <w:color w:val="auto"/>
          <w:szCs w:val="24"/>
          <w:highlight w:val="none"/>
        </w:rPr>
      </w:pPr>
      <w:r>
        <w:rPr>
          <w:rFonts w:hint="eastAsia" w:ascii="仿宋" w:hAnsi="仿宋" w:eastAsia="仿宋" w:cs="仿宋"/>
          <w:bCs/>
          <w:color w:val="auto"/>
          <w:szCs w:val="24"/>
          <w:highlight w:val="none"/>
        </w:rPr>
        <w:t>19.2.2 查询及记录方式：供应商不良信用记录以采购人或采购代理机构查询结果为准。</w:t>
      </w:r>
    </w:p>
    <w:p w14:paraId="10AFB0C6">
      <w:pPr>
        <w:pStyle w:val="2"/>
        <w:spacing w:line="360" w:lineRule="exact"/>
        <w:ind w:left="850" w:leftChars="405" w:firstLine="0"/>
        <w:jc w:val="both"/>
        <w:rPr>
          <w:rFonts w:hint="eastAsia" w:ascii="仿宋" w:hAnsi="仿宋" w:eastAsia="仿宋" w:cs="仿宋"/>
          <w:bCs/>
          <w:color w:val="auto"/>
          <w:szCs w:val="24"/>
          <w:highlight w:val="none"/>
        </w:rPr>
      </w:pPr>
      <w:r>
        <w:rPr>
          <w:rFonts w:hint="eastAsia" w:ascii="仿宋" w:hAnsi="仿宋" w:eastAsia="仿宋" w:cs="仿宋"/>
          <w:bCs/>
          <w:color w:val="auto"/>
          <w:szCs w:val="24"/>
          <w:highlight w:val="none"/>
        </w:rPr>
        <w:t>在本谈判文件规定的查询时间之后，网站信息发生的任何变更均不再作为评审依据。</w:t>
      </w:r>
    </w:p>
    <w:p w14:paraId="7BEA090A">
      <w:pPr>
        <w:pStyle w:val="2"/>
        <w:spacing w:line="360" w:lineRule="exact"/>
        <w:ind w:left="850" w:leftChars="405" w:firstLine="0"/>
        <w:jc w:val="both"/>
        <w:rPr>
          <w:rFonts w:hint="eastAsia" w:ascii="仿宋" w:hAnsi="仿宋" w:eastAsia="仿宋" w:cs="仿宋"/>
          <w:bCs/>
          <w:color w:val="auto"/>
          <w:szCs w:val="24"/>
          <w:highlight w:val="none"/>
        </w:rPr>
      </w:pPr>
      <w:r>
        <w:rPr>
          <w:rFonts w:hint="eastAsia" w:ascii="仿宋" w:hAnsi="仿宋" w:eastAsia="仿宋" w:cs="仿宋"/>
          <w:bCs/>
          <w:color w:val="auto"/>
          <w:szCs w:val="24"/>
          <w:highlight w:val="none"/>
        </w:rPr>
        <w:t>供应商自行提供的与网站信息不一致的其他证明材料亦不作为资格审查依据。</w:t>
      </w:r>
    </w:p>
    <w:p w14:paraId="5EF33E49">
      <w:pPr>
        <w:spacing w:line="360" w:lineRule="exact"/>
        <w:ind w:left="850" w:hanging="849" w:hangingChars="354"/>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19.3   按照《中华人民共和国政府采购法》、《中华人民共和国政府采购法实施条例》及本项目本级和上级财政部门的有关规定依法组建的</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名谈判小组成员</w:t>
      </w:r>
      <w:r>
        <w:rPr>
          <w:rFonts w:hint="eastAsia" w:ascii="仿宋" w:hAnsi="仿宋" w:eastAsia="仿宋" w:cs="仿宋"/>
          <w:bCs/>
          <w:color w:val="auto"/>
          <w:sz w:val="24"/>
          <w:highlight w:val="none"/>
        </w:rPr>
        <w:t>，负责评审工作。</w:t>
      </w:r>
      <w:bookmarkStart w:id="215" w:name="_Toc520356166"/>
    </w:p>
    <w:p w14:paraId="0B0DAB75">
      <w:pPr>
        <w:pStyle w:val="6"/>
        <w:spacing w:before="0" w:after="0" w:line="360" w:lineRule="exact"/>
        <w:rPr>
          <w:rFonts w:hint="eastAsia" w:ascii="仿宋" w:hAnsi="仿宋" w:eastAsia="仿宋" w:cs="仿宋"/>
          <w:b w:val="0"/>
          <w:bCs/>
          <w:color w:val="auto"/>
          <w:szCs w:val="24"/>
          <w:highlight w:val="none"/>
          <w:bdr w:val="single" w:color="auto" w:sz="4" w:space="0"/>
        </w:rPr>
      </w:pPr>
      <w:bookmarkStart w:id="216" w:name="_Toc26332"/>
      <w:bookmarkStart w:id="217" w:name="_Toc19949"/>
      <w:bookmarkStart w:id="218" w:name="_Toc21670"/>
      <w:bookmarkStart w:id="219" w:name="_Toc28479"/>
      <w:bookmarkStart w:id="220" w:name="_Toc16694"/>
      <w:bookmarkStart w:id="221" w:name="_Toc515647781"/>
      <w:r>
        <w:rPr>
          <w:rFonts w:hint="eastAsia" w:ascii="仿宋" w:hAnsi="仿宋" w:eastAsia="仿宋" w:cs="仿宋"/>
          <w:b w:val="0"/>
          <w:bCs/>
          <w:color w:val="auto"/>
          <w:szCs w:val="24"/>
          <w:highlight w:val="none"/>
          <w:u w:val="none"/>
        </w:rPr>
        <w:t>20.响应文件</w:t>
      </w:r>
      <w:bookmarkEnd w:id="215"/>
      <w:r>
        <w:rPr>
          <w:rFonts w:hint="eastAsia" w:ascii="仿宋" w:hAnsi="仿宋" w:eastAsia="仿宋" w:cs="仿宋"/>
          <w:b w:val="0"/>
          <w:bCs/>
          <w:color w:val="auto"/>
          <w:szCs w:val="24"/>
          <w:highlight w:val="none"/>
          <w:u w:val="none"/>
        </w:rPr>
        <w:t>符合性审查与澄清</w:t>
      </w:r>
      <w:bookmarkEnd w:id="216"/>
      <w:bookmarkEnd w:id="217"/>
      <w:bookmarkEnd w:id="218"/>
      <w:bookmarkEnd w:id="219"/>
      <w:bookmarkEnd w:id="220"/>
      <w:bookmarkEnd w:id="221"/>
    </w:p>
    <w:p w14:paraId="2F5C05F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20.1   符合性审查是指依据谈判文件的规定，从响应文件的有效性和完整性对谈判文件的响应程度进行审查，以确定是否对谈判文件的实质性要求做出响应。</w:t>
      </w:r>
      <w:bookmarkStart w:id="222" w:name="_Toc520356167"/>
    </w:p>
    <w:p w14:paraId="400281C7">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响应文件的澄清</w:t>
      </w:r>
    </w:p>
    <w:p w14:paraId="38123626">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20.2.1  在评审期间，谈判小组将以书面方式要求供应商对其响应文件中含义不明确、对同类问题表述不一致或者有明显文字和计算错误的内容，以及谈判小组认为供应商的报价明显低于其他通过符合性检查供应商的报价，有可能影响履约的情况作必要的澄清、说明或补正。供应商的澄清、说明或补正应在谈判小组规定的时间内以书面方式进行，并不得超出响应文件范围或者改变响应文件的实质性内容。</w:t>
      </w:r>
    </w:p>
    <w:p w14:paraId="35D9EB4A">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20.2.2  供应商的澄清、说明或补正将作为响应文件的一部分。</w:t>
      </w:r>
    </w:p>
    <w:p w14:paraId="4968595F">
      <w:pPr>
        <w:spacing w:line="360" w:lineRule="exact"/>
        <w:ind w:left="900" w:hanging="900" w:hangingChars="3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20.3  响应文件报价出现前后不一致的，按照下列规定修正：</w:t>
      </w:r>
    </w:p>
    <w:p w14:paraId="4F7EECAF">
      <w:pPr>
        <w:spacing w:line="360" w:lineRule="exact"/>
        <w:ind w:left="1020" w:hanging="1020" w:hangingChars="42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（一）响应文件中报价一览表（报价表）内容与响应文件中相应内容不一致的，以报价一览表（报价表）为准；</w:t>
      </w:r>
    </w:p>
    <w:p w14:paraId="04BAC869">
      <w:pPr>
        <w:spacing w:line="360" w:lineRule="exact"/>
        <w:ind w:left="900" w:hanging="900" w:hangingChars="3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（二）大写金额和小写金额不一致的，以大写金额为准；</w:t>
      </w:r>
    </w:p>
    <w:p w14:paraId="3C9B12FF">
      <w:pPr>
        <w:spacing w:line="360" w:lineRule="exact"/>
        <w:ind w:left="1020" w:hanging="1020" w:hangingChars="42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（三）单价金额小数点或者百分比有明显错位的，以报价一览表的总价为准，并修改单价；</w:t>
      </w:r>
    </w:p>
    <w:p w14:paraId="142A2C0C">
      <w:pPr>
        <w:spacing w:line="360" w:lineRule="exact"/>
        <w:ind w:left="900" w:hanging="900" w:hangingChars="3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（四）总价金额与按单价汇总金额不一致的，以单价金额计算结果为准。</w:t>
      </w:r>
    </w:p>
    <w:p w14:paraId="5CC8524C">
      <w:pPr>
        <w:spacing w:line="3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同时出现两种以上不一致的，按照前款规定的顺序修正。修正后的报价按照第20.2条的规定经供应商确认后产生约束力，供应商不确认的，其谈判资格将被认定为无效。</w:t>
      </w:r>
    </w:p>
    <w:p w14:paraId="38E39752">
      <w:pPr>
        <w:spacing w:line="3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对不同文字文本响应文件的解释发生异议的，以中文文本为准。</w:t>
      </w:r>
    </w:p>
    <w:p w14:paraId="1976D147">
      <w:pPr>
        <w:spacing w:line="360" w:lineRule="exact"/>
        <w:ind w:left="900" w:hanging="900" w:hangingChars="3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20.4   如一个分包内只有一种产品，不同供应商所投产品为同一品牌的，按如下方式处理：</w:t>
      </w:r>
    </w:p>
    <w:p w14:paraId="4AFEBD66">
      <w:pPr>
        <w:spacing w:line="360" w:lineRule="exact"/>
        <w:ind w:left="900" w:hanging="900" w:hangingChars="3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20.4.1  如本项目使用最低评审价法，提供相同品牌产品的不同供应商人以其中通过资格审查、符合性审查且报价最低的参加评审；报价相同的，由采购人或者采购人委托谈判小组按照谈判文件中评审办法规定的方式确定一个参加评审的供应商；未规定的采取随机抽取方式确定，其他谈判资格将被认定为无效。</w:t>
      </w:r>
    </w:p>
    <w:p w14:paraId="26FDB85A">
      <w:pPr>
        <w:spacing w:line="360" w:lineRule="exact"/>
        <w:ind w:left="900" w:hanging="900" w:hangingChars="3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20.4.2  如本项目使用综合评分法，提供相同品牌产品且通过资格审查、符合性审查的不同供应商，按一家供应商计算，评审后得分最高的同品牌供应商获得成交供应商推荐资格；评审得分相同的，由采购人或者采购人委托谈判小组按照谈判文件中评审办法规定的方式确定一个供应商获得成交供应商推荐资格；未规定的采取随机抽取方式确定，其他同品牌供应商不作为成交候选人。</w:t>
      </w:r>
    </w:p>
    <w:p w14:paraId="1CBFBB4D">
      <w:pPr>
        <w:spacing w:line="360" w:lineRule="exact"/>
        <w:ind w:left="900" w:hanging="900" w:hangingChars="375"/>
        <w:jc w:val="left"/>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20.5    如一个分包内包含多种产品的，采购人或采购代理机构将在供应商须知资料表中载明核心产品，多家供应商提供的核心产品品牌相同的，按第20.4条规定处理。</w:t>
      </w:r>
    </w:p>
    <w:p w14:paraId="76F04AD6">
      <w:pPr>
        <w:spacing w:line="360" w:lineRule="exact"/>
        <w:ind w:left="900" w:hanging="900" w:hangingChars="375"/>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highlight w:val="none"/>
          <w:lang w:val="en-US" w:eastAsia="zh-CN"/>
        </w:rPr>
        <w:t>20.6   供应商所投产品如被列入财政部与国家主管部门颁发的节能产品目录或环境标志产品目录或无线局域网产品目录，应提供相关证明，在评标时予以优先采购。</w:t>
      </w:r>
    </w:p>
    <w:p w14:paraId="421468DE">
      <w:pPr>
        <w:pStyle w:val="6"/>
        <w:spacing w:before="0" w:after="0" w:line="360" w:lineRule="exact"/>
        <w:rPr>
          <w:rFonts w:hint="eastAsia" w:ascii="仿宋" w:hAnsi="仿宋" w:eastAsia="仿宋" w:cs="仿宋"/>
          <w:b w:val="0"/>
          <w:bCs/>
          <w:color w:val="auto"/>
          <w:szCs w:val="24"/>
          <w:highlight w:val="none"/>
          <w:u w:val="none"/>
        </w:rPr>
      </w:pPr>
      <w:bookmarkStart w:id="223" w:name="_Toc18529"/>
      <w:bookmarkStart w:id="224" w:name="_Toc6364"/>
      <w:bookmarkStart w:id="225" w:name="_Toc22552"/>
      <w:bookmarkStart w:id="226" w:name="_Toc515647782"/>
      <w:bookmarkStart w:id="227" w:name="_Toc9469"/>
      <w:bookmarkStart w:id="228" w:name="_Toc3903"/>
      <w:r>
        <w:rPr>
          <w:rFonts w:hint="eastAsia" w:ascii="仿宋" w:hAnsi="仿宋" w:eastAsia="仿宋" w:cs="仿宋"/>
          <w:b w:val="0"/>
          <w:bCs/>
          <w:color w:val="auto"/>
          <w:szCs w:val="24"/>
          <w:highlight w:val="none"/>
          <w:u w:val="none"/>
        </w:rPr>
        <w:t>21.响应偏离</w:t>
      </w:r>
      <w:bookmarkEnd w:id="223"/>
      <w:bookmarkEnd w:id="224"/>
      <w:bookmarkEnd w:id="225"/>
      <w:bookmarkEnd w:id="226"/>
      <w:bookmarkEnd w:id="227"/>
      <w:bookmarkEnd w:id="228"/>
    </w:p>
    <w:p w14:paraId="51D0B279">
      <w:pPr>
        <w:spacing w:line="360" w:lineRule="exact"/>
        <w:ind w:left="848" w:leftChars="99" w:hanging="640" w:hangingChars="267"/>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采购人允许响应文件偏离采购文件</w:t>
      </w:r>
      <w:r>
        <w:rPr>
          <w:rFonts w:hint="eastAsia" w:ascii="仿宋" w:hAnsi="仿宋" w:eastAsia="仿宋" w:cs="仿宋"/>
          <w:bCs/>
          <w:color w:val="auto"/>
          <w:sz w:val="24"/>
          <w:highlight w:val="none"/>
          <w:lang w:eastAsia="zh-CN"/>
        </w:rPr>
        <w:t>的</w:t>
      </w:r>
      <w:r>
        <w:rPr>
          <w:rFonts w:hint="eastAsia" w:ascii="仿宋" w:hAnsi="仿宋" w:eastAsia="仿宋" w:cs="仿宋"/>
          <w:bCs/>
          <w:color w:val="auto"/>
          <w:sz w:val="24"/>
          <w:highlight w:val="none"/>
        </w:rPr>
        <w:t>非实质性要求，</w:t>
      </w:r>
      <w:r>
        <w:rPr>
          <w:rFonts w:hint="eastAsia" w:ascii="仿宋" w:hAnsi="仿宋" w:eastAsia="仿宋" w:cs="仿宋"/>
          <w:bCs/>
          <w:color w:val="auto"/>
          <w:sz w:val="24"/>
          <w:highlight w:val="none"/>
          <w:lang w:eastAsia="zh-CN"/>
        </w:rPr>
        <w:t>但</w:t>
      </w:r>
      <w:r>
        <w:rPr>
          <w:rFonts w:hint="eastAsia" w:ascii="仿宋" w:hAnsi="仿宋" w:eastAsia="仿宋" w:cs="仿宋"/>
          <w:bCs/>
          <w:color w:val="auto"/>
          <w:sz w:val="24"/>
          <w:highlight w:val="none"/>
        </w:rPr>
        <w:t>偏离应当符合采购</w:t>
      </w:r>
      <w:r>
        <w:rPr>
          <w:rFonts w:hint="eastAsia" w:ascii="仿宋" w:hAnsi="仿宋" w:eastAsia="仿宋" w:cs="仿宋"/>
          <w:bCs/>
          <w:color w:val="auto"/>
          <w:sz w:val="24"/>
          <w:highlight w:val="none"/>
          <w:lang w:eastAsia="zh-CN"/>
        </w:rPr>
        <w:t>人实际使用可以接受</w:t>
      </w:r>
      <w:r>
        <w:rPr>
          <w:rFonts w:hint="eastAsia" w:ascii="仿宋" w:hAnsi="仿宋" w:eastAsia="仿宋" w:cs="仿宋"/>
          <w:bCs/>
          <w:color w:val="auto"/>
          <w:sz w:val="24"/>
          <w:highlight w:val="none"/>
        </w:rPr>
        <w:t>的偏离范围和幅度。</w:t>
      </w:r>
    </w:p>
    <w:p w14:paraId="697B085F">
      <w:pPr>
        <w:pStyle w:val="6"/>
        <w:spacing w:before="0" w:after="0" w:line="360" w:lineRule="exact"/>
        <w:rPr>
          <w:rFonts w:hint="eastAsia" w:ascii="仿宋" w:hAnsi="仿宋" w:eastAsia="仿宋" w:cs="仿宋"/>
          <w:b w:val="0"/>
          <w:bCs/>
          <w:color w:val="auto"/>
          <w:szCs w:val="24"/>
          <w:highlight w:val="none"/>
          <w:u w:val="none"/>
        </w:rPr>
      </w:pPr>
      <w:bookmarkStart w:id="229" w:name="_Toc515647783"/>
      <w:bookmarkStart w:id="230" w:name="_Toc6092"/>
      <w:bookmarkStart w:id="231" w:name="_Toc29447"/>
      <w:bookmarkStart w:id="232" w:name="_Toc4950"/>
      <w:bookmarkStart w:id="233" w:name="_Toc23936"/>
      <w:bookmarkStart w:id="234" w:name="_Toc23476"/>
      <w:r>
        <w:rPr>
          <w:rFonts w:hint="eastAsia" w:ascii="仿宋" w:hAnsi="仿宋" w:eastAsia="仿宋" w:cs="仿宋"/>
          <w:b w:val="0"/>
          <w:bCs/>
          <w:color w:val="auto"/>
          <w:szCs w:val="24"/>
          <w:highlight w:val="none"/>
          <w:u w:val="none"/>
        </w:rPr>
        <w:t>22.</w:t>
      </w:r>
      <w:bookmarkEnd w:id="229"/>
      <w:r>
        <w:rPr>
          <w:rFonts w:hint="eastAsia" w:ascii="仿宋" w:hAnsi="仿宋" w:eastAsia="仿宋" w:cs="仿宋"/>
          <w:b w:val="0"/>
          <w:bCs/>
          <w:color w:val="auto"/>
          <w:szCs w:val="24"/>
          <w:highlight w:val="none"/>
          <w:u w:val="none"/>
        </w:rPr>
        <w:t>谈判无效</w:t>
      </w:r>
      <w:bookmarkEnd w:id="230"/>
      <w:bookmarkEnd w:id="231"/>
      <w:bookmarkEnd w:id="232"/>
      <w:bookmarkEnd w:id="233"/>
      <w:bookmarkEnd w:id="234"/>
    </w:p>
    <w:p w14:paraId="2D953203">
      <w:pPr>
        <w:spacing w:line="360" w:lineRule="exact"/>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22.1 在比较与评价之前，根据本须知的规定，谈判小组要审查每份响应文件是否实质上响应了谈判文件的要求。</w:t>
      </w:r>
      <w:r>
        <w:rPr>
          <w:rFonts w:hint="eastAsia" w:ascii="仿宋" w:hAnsi="仿宋" w:eastAsia="仿宋" w:cs="仿宋"/>
          <w:bCs/>
          <w:color w:val="auto"/>
          <w:sz w:val="24"/>
          <w:highlight w:val="none"/>
          <w:lang w:eastAsia="zh-CN"/>
        </w:rPr>
        <w:t>谈判小组应当对响应文件进行评审，并根据谈判文件规定的程序、评定成交的标准等事项与实质性响应谈判文件要求的供应商进行谈判。</w:t>
      </w:r>
    </w:p>
    <w:p w14:paraId="693ECECC">
      <w:pPr>
        <w:spacing w:line="36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响应文件有以下情形的，视为未实质性响应谈判文件，按</w:t>
      </w:r>
      <w:r>
        <w:rPr>
          <w:rFonts w:hint="eastAsia" w:ascii="仿宋" w:hAnsi="仿宋" w:eastAsia="仿宋" w:cs="仿宋"/>
          <w:b/>
          <w:bCs w:val="0"/>
          <w:color w:val="auto"/>
          <w:sz w:val="24"/>
          <w:highlight w:val="none"/>
          <w:lang w:val="en-US" w:eastAsia="zh-CN"/>
        </w:rPr>
        <w:t>无效</w:t>
      </w:r>
      <w:r>
        <w:rPr>
          <w:rFonts w:hint="eastAsia" w:ascii="仿宋" w:hAnsi="仿宋" w:eastAsia="仿宋" w:cs="仿宋"/>
          <w:b w:val="0"/>
          <w:bCs/>
          <w:color w:val="auto"/>
          <w:sz w:val="24"/>
          <w:highlight w:val="none"/>
          <w:lang w:val="en-US" w:eastAsia="zh-CN"/>
        </w:rPr>
        <w:t xml:space="preserve">文件处理，谈判小组将告知有关供应商： </w:t>
      </w:r>
    </w:p>
    <w:p w14:paraId="678C3F9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1.逾期递交谈判响应文件或未将谈判响应文件送达至指定地点； </w:t>
      </w:r>
    </w:p>
    <w:p w14:paraId="7AB7C1FB">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2.供应商为联合体的，未附联合体各方共同参与竞争性谈判协议的（不接受联合体参与谈判的除外）； </w:t>
      </w:r>
    </w:p>
    <w:p w14:paraId="2245D8A6">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3.未按谈判文件要求签字或盖章的； </w:t>
      </w:r>
    </w:p>
    <w:p w14:paraId="43B8AD20">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4.未按谈判文件要求编制填写，或内容不全、字迹模糊、难以辨认的响应文件； </w:t>
      </w:r>
    </w:p>
    <w:p w14:paraId="69CC211F">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5.按谈判文件规定应交未交保证金或金额不足的； </w:t>
      </w:r>
    </w:p>
    <w:p w14:paraId="3B679ABF">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6.供应商不符合资格条件或未按谈判文件规定提供资格证明文件的； </w:t>
      </w:r>
    </w:p>
    <w:p w14:paraId="6899AD1E">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7.未能实质性响应谈判文件商务和技术要求的； </w:t>
      </w:r>
    </w:p>
    <w:p w14:paraId="099DAE8E">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8.最后报价超过采购预算或最高限价的； </w:t>
      </w:r>
    </w:p>
    <w:p w14:paraId="3AF9B746">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9.供应商未在规定的时间内提交最后报价的； </w:t>
      </w:r>
    </w:p>
    <w:p w14:paraId="4286CE94">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10.谈判小组认为供应商所递交的谈判响应文件所附相关资料内容不真实，且供应商不能提交证明其真实性的材料的； </w:t>
      </w:r>
    </w:p>
    <w:p w14:paraId="0D6AC26B">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11.报价有效期不足的； </w:t>
      </w:r>
    </w:p>
    <w:p w14:paraId="1BDEA360">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12.供应商串通报价或弄虚作假或有其他违法行为的； </w:t>
      </w:r>
    </w:p>
    <w:p w14:paraId="349246E5">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13.供应商未按谈判小组要求澄清、说明或补正的； </w:t>
      </w:r>
    </w:p>
    <w:p w14:paraId="66FBCC04">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14.附有采购人不能接受的条件； </w:t>
      </w:r>
    </w:p>
    <w:p w14:paraId="2DA1A9EE">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exact"/>
        <w:ind w:leftChars="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15.违反国家法律、法规规定的。 </w:t>
      </w:r>
    </w:p>
    <w:p w14:paraId="59E0DE53">
      <w:pPr>
        <w:spacing w:line="360" w:lineRule="exact"/>
        <w:rPr>
          <w:rFonts w:hint="eastAsia" w:ascii="仿宋" w:hAnsi="仿宋" w:eastAsia="仿宋" w:cs="仿宋"/>
          <w:bCs/>
          <w:color w:val="auto"/>
          <w:kern w:val="0"/>
          <w:sz w:val="24"/>
          <w:highlight w:val="none"/>
        </w:rPr>
      </w:pPr>
      <w:bookmarkStart w:id="235" w:name="_Toc515647784"/>
      <w:bookmarkStart w:id="236" w:name="_Toc13652"/>
      <w:bookmarkStart w:id="237" w:name="_Toc8521"/>
      <w:bookmarkStart w:id="238" w:name="_Toc22941"/>
      <w:r>
        <w:rPr>
          <w:rFonts w:hint="eastAsia" w:ascii="仿宋" w:hAnsi="仿宋" w:eastAsia="仿宋" w:cs="仿宋"/>
          <w:bCs/>
          <w:color w:val="auto"/>
          <w:kern w:val="0"/>
          <w:sz w:val="24"/>
          <w:highlight w:val="none"/>
        </w:rPr>
        <w:t>23.</w:t>
      </w:r>
      <w:bookmarkEnd w:id="222"/>
      <w:r>
        <w:rPr>
          <w:rFonts w:hint="eastAsia" w:ascii="仿宋" w:hAnsi="仿宋" w:eastAsia="仿宋" w:cs="仿宋"/>
          <w:bCs/>
          <w:color w:val="auto"/>
          <w:kern w:val="0"/>
          <w:sz w:val="24"/>
          <w:highlight w:val="none"/>
        </w:rPr>
        <w:t>比较与评价</w:t>
      </w:r>
      <w:bookmarkEnd w:id="235"/>
      <w:bookmarkEnd w:id="236"/>
      <w:bookmarkEnd w:id="237"/>
      <w:bookmarkEnd w:id="238"/>
    </w:p>
    <w:p w14:paraId="52774F78">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23.1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经符合性审查合格的响应文件，谈判小组将根据谈判文件确定的评审方法和标准，对其技术部分和商务部分作进一步的比较和评价。</w:t>
      </w:r>
    </w:p>
    <w:p w14:paraId="53EA3671">
      <w:pPr>
        <w:spacing w:line="360" w:lineRule="exact"/>
        <w:ind w:left="900" w:hanging="900" w:hangingChars="375"/>
        <w:rPr>
          <w:rFonts w:hint="eastAsia" w:ascii="仿宋" w:hAnsi="仿宋" w:eastAsia="仿宋" w:cs="仿宋"/>
          <w:bCs/>
          <w:color w:val="auto"/>
          <w:kern w:val="2"/>
          <w:szCs w:val="24"/>
          <w:highlight w:val="none"/>
        </w:rPr>
      </w:pPr>
      <w:r>
        <w:rPr>
          <w:rFonts w:hint="eastAsia" w:ascii="仿宋" w:hAnsi="仿宋" w:eastAsia="仿宋" w:cs="仿宋"/>
          <w:bCs/>
          <w:color w:val="auto"/>
          <w:sz w:val="24"/>
          <w:highlight w:val="none"/>
        </w:rPr>
        <w:t xml:space="preserve">23.2  </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评审严格按照谈判文件的要求和条件进行。根据实际情况，在</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中规定采用下列一种评审方法，详细评审标准见谈判文件第六章：</w:t>
      </w:r>
      <w:r>
        <w:rPr>
          <w:rFonts w:hint="eastAsia" w:ascii="仿宋" w:hAnsi="仿宋" w:eastAsia="仿宋" w:cs="仿宋"/>
          <w:bCs/>
          <w:color w:val="auto"/>
          <w:sz w:val="24"/>
          <w:highlight w:val="none"/>
          <w:lang w:eastAsia="zh-CN"/>
        </w:rPr>
        <w:t>本项目采用最低评标价法，是指响应文件满足谈判文件全部实质性要求，且投标报价最低的供应商为中标候选人的评标方法。</w:t>
      </w:r>
    </w:p>
    <w:p w14:paraId="35969072">
      <w:pPr>
        <w:keepNext w:val="0"/>
        <w:keepLines w:val="0"/>
        <w:widowControl/>
        <w:suppressLineNumbers w:val="0"/>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 xml:space="preserve">23.3谈判小组所有成员集中与单一供应商分别进行谈判。在谈判中，谈判的任何一方不得透露与谈判有关的其他供应商的技术资料、价格和其他信息。在谈判过程中，谈判小组可以根据谈判文件和谈判情况实质性变动采购需求中的技 </w:t>
      </w:r>
    </w:p>
    <w:p w14:paraId="6E9A08C9">
      <w:pPr>
        <w:keepNext w:val="0"/>
        <w:keepLines w:val="0"/>
        <w:widowControl/>
        <w:suppressLineNumbers w:val="0"/>
        <w:jc w:val="left"/>
        <w:rPr>
          <w:rFonts w:hint="eastAsia" w:ascii="仿宋" w:hAnsi="仿宋" w:eastAsia="仿宋" w:cs="仿宋"/>
          <w:bCs/>
          <w:color w:val="auto"/>
          <w:kern w:val="2"/>
          <w:sz w:val="24"/>
          <w:szCs w:val="24"/>
          <w:highlight w:val="none"/>
          <w:lang w:val="en-US" w:eastAsia="zh-CN" w:bidi="ar-SA"/>
        </w:rPr>
      </w:pPr>
      <w:r>
        <w:rPr>
          <w:rFonts w:hint="default" w:ascii="仿宋" w:hAnsi="仿宋" w:eastAsia="仿宋" w:cs="仿宋"/>
          <w:bCs/>
          <w:color w:val="auto"/>
          <w:kern w:val="2"/>
          <w:sz w:val="24"/>
          <w:szCs w:val="24"/>
          <w:highlight w:val="none"/>
          <w:lang w:val="en-US" w:eastAsia="zh-CN" w:bidi="ar-SA"/>
        </w:rPr>
        <w:t xml:space="preserve">术、服务要求以及合同草案条款，但不得变动谈判文件中的其他内容。实质性变动的内容，须经采购人代表确认。在此情况下，谈判小组将以书面形式将修改内容同时通知所有参加谈判的供应商。对谈判文件作出的实质性变动是谈判文件的有效组成部分。 </w:t>
      </w:r>
      <w:r>
        <w:rPr>
          <w:rFonts w:hint="eastAsia" w:ascii="仿宋" w:hAnsi="仿宋" w:eastAsia="仿宋" w:cs="仿宋"/>
          <w:bCs/>
          <w:color w:val="auto"/>
          <w:kern w:val="2"/>
          <w:sz w:val="24"/>
          <w:szCs w:val="24"/>
          <w:highlight w:val="none"/>
          <w:lang w:val="en-US" w:eastAsia="zh-CN" w:bidi="ar-SA"/>
        </w:rPr>
        <w:t>谈判结束后，谈判小组应当要求所有参加谈判的供应商在规定时间内进行最后报价，采购人从谈判小组提出的成交候选人中根据符合采购需求、质量和服务相等且报价最低的原则确定成交供应商，并将结果通知所有参加谈判的未成交的供应商。</w:t>
      </w:r>
    </w:p>
    <w:p w14:paraId="336DBBE0">
      <w:pPr>
        <w:keepNext w:val="0"/>
        <w:keepLines w:val="0"/>
        <w:widowControl/>
        <w:suppressLineNumbers w:val="0"/>
        <w:ind w:firstLine="241" w:firstLineChars="100"/>
        <w:jc w:val="left"/>
        <w:rPr>
          <w:rFonts w:hint="eastAsia" w:ascii="仿宋" w:hAnsi="仿宋" w:eastAsia="仿宋" w:cs="仿宋"/>
          <w:b/>
          <w:bCs/>
          <w:i/>
          <w:iCs/>
          <w:color w:val="auto"/>
          <w:kern w:val="0"/>
          <w:sz w:val="24"/>
          <w:szCs w:val="24"/>
          <w:highlight w:val="none"/>
          <w:lang w:val="en-US" w:eastAsia="zh-CN" w:bidi="ar"/>
        </w:rPr>
      </w:pPr>
    </w:p>
    <w:p w14:paraId="35753ABF">
      <w:pPr>
        <w:keepNext w:val="0"/>
        <w:keepLines w:val="0"/>
        <w:widowControl/>
        <w:suppressLineNumbers w:val="0"/>
        <w:ind w:firstLine="241" w:firstLineChars="100"/>
        <w:jc w:val="left"/>
        <w:rPr>
          <w:rFonts w:hint="eastAsia" w:ascii="仿宋" w:hAnsi="仿宋" w:eastAsia="仿宋" w:cs="仿宋"/>
          <w:b/>
          <w:bCs/>
          <w:color w:val="auto"/>
          <w:highlight w:val="none"/>
        </w:rPr>
      </w:pPr>
      <w:r>
        <w:rPr>
          <w:rFonts w:hint="eastAsia" w:ascii="仿宋" w:hAnsi="仿宋" w:eastAsia="仿宋" w:cs="仿宋"/>
          <w:b/>
          <w:bCs/>
          <w:i/>
          <w:iCs/>
          <w:color w:val="auto"/>
          <w:kern w:val="0"/>
          <w:sz w:val="24"/>
          <w:szCs w:val="24"/>
          <w:highlight w:val="none"/>
          <w:lang w:val="en-US" w:eastAsia="zh-CN" w:bidi="ar"/>
        </w:rPr>
        <w:t>本项目采用采购方式：竞争性谈判，评分方法：最低评标价法。</w:t>
      </w:r>
    </w:p>
    <w:p w14:paraId="1DCCA570">
      <w:pPr>
        <w:pStyle w:val="2"/>
        <w:spacing w:line="360" w:lineRule="exact"/>
        <w:ind w:firstLine="960" w:firstLineChars="400"/>
        <w:rPr>
          <w:rFonts w:hint="eastAsia" w:ascii="仿宋" w:hAnsi="仿宋" w:eastAsia="仿宋" w:cs="仿宋"/>
          <w:bCs/>
          <w:color w:val="auto"/>
          <w:szCs w:val="24"/>
          <w:highlight w:val="none"/>
        </w:rPr>
      </w:pPr>
    </w:p>
    <w:p w14:paraId="3CA51879">
      <w:pPr>
        <w:spacing w:line="360" w:lineRule="exact"/>
        <w:ind w:left="904" w:hanging="904" w:hangingChars="375"/>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23.</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 xml:space="preserve">   根据《政府采购促进中小企业发展管理办法》（财库[2020]46号）、《财政部司法部关于政府采购支持监狱企业发展有关问题的通知》（财库〔2014〕68号）和《三部门联合发布关于促进残疾人就业政府采购政策的通知》（财库〔2017〕141号）的规定，对满足价格扣除条件且在响应文件中提交了《供应商企业类型声明函》或省级以上监狱管理局、戒毒管理局（含新疆生产建设兵团）出具的属于监狱企业的证明文件的供应商，其投标报价扣除</w:t>
      </w:r>
      <w:r>
        <w:rPr>
          <w:rFonts w:hint="eastAsia" w:ascii="仿宋" w:hAnsi="仿宋" w:eastAsia="仿宋" w:cs="仿宋"/>
          <w:b/>
          <w:color w:val="auto"/>
          <w:sz w:val="24"/>
          <w:highlight w:val="none"/>
          <w:lang w:val="en-US" w:eastAsia="zh-CN"/>
        </w:rPr>
        <w:t>10</w:t>
      </w:r>
      <w:r>
        <w:rPr>
          <w:rFonts w:hint="eastAsia" w:ascii="仿宋" w:hAnsi="仿宋" w:eastAsia="仿宋" w:cs="仿宋"/>
          <w:b/>
          <w:color w:val="auto"/>
          <w:sz w:val="24"/>
          <w:highlight w:val="none"/>
        </w:rPr>
        <w:t>%后参与评审。具体办法详见</w:t>
      </w:r>
      <w:r>
        <w:rPr>
          <w:rFonts w:hint="eastAsia" w:ascii="仿宋" w:hAnsi="仿宋" w:eastAsia="仿宋" w:cs="仿宋"/>
          <w:b/>
          <w:color w:val="auto"/>
          <w:sz w:val="24"/>
          <w:highlight w:val="none"/>
          <w:lang w:eastAsia="zh-CN"/>
        </w:rPr>
        <w:t>谈判</w:t>
      </w:r>
      <w:r>
        <w:rPr>
          <w:rFonts w:hint="eastAsia" w:ascii="仿宋" w:hAnsi="仿宋" w:eastAsia="仿宋" w:cs="仿宋"/>
          <w:b/>
          <w:color w:val="auto"/>
          <w:sz w:val="24"/>
          <w:highlight w:val="none"/>
        </w:rPr>
        <w:t>文件第6章。</w:t>
      </w:r>
    </w:p>
    <w:p w14:paraId="6273581D">
      <w:pPr>
        <w:pStyle w:val="6"/>
        <w:spacing w:before="0" w:after="0" w:line="360" w:lineRule="exact"/>
        <w:rPr>
          <w:rFonts w:hint="eastAsia" w:ascii="仿宋" w:hAnsi="仿宋" w:eastAsia="仿宋" w:cs="仿宋"/>
          <w:color w:val="auto"/>
          <w:szCs w:val="24"/>
          <w:highlight w:val="none"/>
          <w:u w:val="none"/>
        </w:rPr>
      </w:pPr>
      <w:bookmarkStart w:id="239" w:name="_Toc520356168"/>
      <w:bookmarkStart w:id="240" w:name="_Toc31728"/>
      <w:bookmarkStart w:id="241" w:name="_Toc9378"/>
      <w:bookmarkStart w:id="242" w:name="_Toc515647785"/>
      <w:bookmarkStart w:id="243" w:name="_Toc20227"/>
      <w:bookmarkStart w:id="244" w:name="_Toc28824"/>
      <w:bookmarkStart w:id="245" w:name="_Toc8988"/>
      <w:r>
        <w:rPr>
          <w:rFonts w:hint="eastAsia" w:ascii="仿宋" w:hAnsi="仿宋" w:eastAsia="仿宋" w:cs="仿宋"/>
          <w:color w:val="auto"/>
          <w:szCs w:val="24"/>
          <w:highlight w:val="none"/>
          <w:u w:val="none"/>
        </w:rPr>
        <w:t>24</w:t>
      </w:r>
      <w:bookmarkEnd w:id="239"/>
      <w:r>
        <w:rPr>
          <w:rFonts w:hint="eastAsia" w:ascii="仿宋" w:hAnsi="仿宋" w:eastAsia="仿宋" w:cs="仿宋"/>
          <w:color w:val="auto"/>
          <w:szCs w:val="24"/>
          <w:highlight w:val="none"/>
          <w:u w:val="none"/>
        </w:rPr>
        <w:t>.废标</w:t>
      </w:r>
      <w:bookmarkEnd w:id="240"/>
      <w:bookmarkEnd w:id="241"/>
      <w:bookmarkEnd w:id="242"/>
      <w:bookmarkEnd w:id="243"/>
      <w:bookmarkEnd w:id="244"/>
      <w:bookmarkEnd w:id="245"/>
    </w:p>
    <w:p w14:paraId="0CEC2648">
      <w:pPr>
        <w:spacing w:line="360" w:lineRule="exact"/>
        <w:ind w:left="898" w:leftChars="399" w:hanging="60" w:hangingChars="25"/>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出现下列情形之一，将导致项目作废： </w:t>
      </w:r>
    </w:p>
    <w:p w14:paraId="3515506D">
      <w:pPr>
        <w:spacing w:line="360" w:lineRule="exact"/>
        <w:ind w:left="904" w:hanging="904" w:hangingChars="375"/>
        <w:rPr>
          <w:rFonts w:hint="eastAsia" w:ascii="仿宋" w:hAnsi="仿宋" w:eastAsia="仿宋" w:cs="仿宋"/>
          <w:b/>
          <w:color w:val="auto"/>
          <w:sz w:val="24"/>
          <w:highlight w:val="none"/>
        </w:rPr>
      </w:pPr>
      <w:r>
        <w:rPr>
          <w:rFonts w:hint="eastAsia" w:ascii="仿宋" w:hAnsi="仿宋" w:eastAsia="仿宋" w:cs="仿宋"/>
          <w:b/>
          <w:color w:val="auto"/>
          <w:sz w:val="24"/>
          <w:highlight w:val="none"/>
        </w:rPr>
        <w:tab/>
      </w:r>
      <w:r>
        <w:rPr>
          <w:rFonts w:hint="eastAsia" w:ascii="仿宋" w:hAnsi="仿宋" w:eastAsia="仿宋" w:cs="仿宋"/>
          <w:b/>
          <w:color w:val="auto"/>
          <w:sz w:val="24"/>
          <w:highlight w:val="none"/>
        </w:rPr>
        <w:t>（1）符合专业条件的供应商或者对谈判文件做实质性响应的供应商不足三家；</w:t>
      </w:r>
    </w:p>
    <w:p w14:paraId="368D0481">
      <w:pPr>
        <w:spacing w:line="360" w:lineRule="exact"/>
        <w:ind w:left="904" w:hanging="904" w:hangingChars="375"/>
        <w:rPr>
          <w:rFonts w:hint="eastAsia" w:ascii="仿宋" w:hAnsi="仿宋" w:eastAsia="仿宋" w:cs="仿宋"/>
          <w:b/>
          <w:color w:val="auto"/>
          <w:sz w:val="24"/>
          <w:highlight w:val="none"/>
        </w:rPr>
      </w:pPr>
      <w:r>
        <w:rPr>
          <w:rFonts w:hint="eastAsia" w:ascii="仿宋" w:hAnsi="仿宋" w:eastAsia="仿宋" w:cs="仿宋"/>
          <w:b/>
          <w:color w:val="auto"/>
          <w:sz w:val="24"/>
          <w:highlight w:val="none"/>
        </w:rPr>
        <w:tab/>
      </w:r>
      <w:r>
        <w:rPr>
          <w:rFonts w:hint="eastAsia" w:ascii="仿宋" w:hAnsi="仿宋" w:eastAsia="仿宋" w:cs="仿宋"/>
          <w:b/>
          <w:color w:val="auto"/>
          <w:sz w:val="24"/>
          <w:highlight w:val="none"/>
        </w:rPr>
        <w:t>（2）出现影响采购公正的违法、违规行为的；</w:t>
      </w:r>
    </w:p>
    <w:p w14:paraId="726AC135">
      <w:pPr>
        <w:spacing w:line="360" w:lineRule="exact"/>
        <w:ind w:firstLine="843" w:firstLineChars="35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（3）供应商的报价均超过了采购预算，采购人不能支付的；</w:t>
      </w:r>
    </w:p>
    <w:p w14:paraId="4462E223">
      <w:pPr>
        <w:spacing w:line="360" w:lineRule="exact"/>
        <w:ind w:firstLine="843" w:firstLineChars="35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（4）因重大变故，采购任务取消的。   </w:t>
      </w:r>
    </w:p>
    <w:p w14:paraId="268B4DA7">
      <w:pPr>
        <w:pStyle w:val="6"/>
        <w:spacing w:before="0" w:after="0" w:line="360" w:lineRule="exact"/>
        <w:rPr>
          <w:rFonts w:hint="eastAsia" w:ascii="仿宋" w:hAnsi="仿宋" w:eastAsia="仿宋" w:cs="仿宋"/>
          <w:b w:val="0"/>
          <w:bCs/>
          <w:color w:val="auto"/>
          <w:szCs w:val="24"/>
          <w:highlight w:val="none"/>
          <w:u w:val="none"/>
        </w:rPr>
      </w:pPr>
      <w:bookmarkStart w:id="246" w:name="_Toc32291"/>
      <w:bookmarkStart w:id="247" w:name="_Toc10577"/>
      <w:r>
        <w:rPr>
          <w:rFonts w:hint="eastAsia" w:ascii="仿宋" w:hAnsi="仿宋" w:eastAsia="仿宋" w:cs="仿宋"/>
          <w:b w:val="0"/>
          <w:bCs/>
          <w:color w:val="auto"/>
          <w:szCs w:val="24"/>
          <w:highlight w:val="none"/>
          <w:u w:val="none"/>
        </w:rPr>
        <w:t>25.保密原则</w:t>
      </w:r>
      <w:bookmarkEnd w:id="246"/>
      <w:bookmarkEnd w:id="247"/>
    </w:p>
    <w:p w14:paraId="03373ED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25.1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评审将在严格保密的情况下进行。</w:t>
      </w:r>
    </w:p>
    <w:p w14:paraId="52135F9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25.2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政府采购评审专家应当遵守评审工作纪律，不得泄露评审文件、评审情况和评审中获悉的商业秘密。</w:t>
      </w:r>
    </w:p>
    <w:p w14:paraId="4D88584E">
      <w:pPr>
        <w:pStyle w:val="5"/>
        <w:spacing w:before="0" w:line="360" w:lineRule="exact"/>
        <w:ind w:left="1080" w:leftChars="257" w:hanging="540"/>
        <w:rPr>
          <w:rFonts w:hint="eastAsia" w:ascii="仿宋" w:hAnsi="仿宋" w:eastAsia="仿宋" w:cs="仿宋"/>
          <w:color w:val="auto"/>
          <w:sz w:val="24"/>
          <w:szCs w:val="24"/>
          <w:highlight w:val="none"/>
        </w:rPr>
      </w:pPr>
      <w:bookmarkStart w:id="248" w:name="_Toc9833"/>
      <w:r>
        <w:rPr>
          <w:rFonts w:hint="eastAsia" w:ascii="仿宋" w:hAnsi="仿宋" w:eastAsia="仿宋" w:cs="仿宋"/>
          <w:color w:val="auto"/>
          <w:sz w:val="24"/>
          <w:szCs w:val="24"/>
          <w:highlight w:val="none"/>
        </w:rPr>
        <w:t>六   确定成交</w:t>
      </w:r>
      <w:bookmarkEnd w:id="248"/>
    </w:p>
    <w:p w14:paraId="22A5F028">
      <w:pPr>
        <w:pStyle w:val="2"/>
        <w:spacing w:line="360" w:lineRule="exact"/>
        <w:rPr>
          <w:rFonts w:hint="eastAsia" w:ascii="仿宋" w:hAnsi="仿宋" w:eastAsia="仿宋" w:cs="仿宋"/>
          <w:bCs/>
          <w:color w:val="auto"/>
          <w:szCs w:val="24"/>
          <w:highlight w:val="none"/>
        </w:rPr>
      </w:pPr>
    </w:p>
    <w:p w14:paraId="4C2F8AB2">
      <w:pPr>
        <w:pStyle w:val="6"/>
        <w:spacing w:before="0" w:after="0" w:line="360" w:lineRule="exact"/>
        <w:rPr>
          <w:rFonts w:hint="eastAsia" w:ascii="仿宋" w:hAnsi="仿宋" w:eastAsia="仿宋" w:cs="仿宋"/>
          <w:b w:val="0"/>
          <w:bCs/>
          <w:color w:val="auto"/>
          <w:szCs w:val="24"/>
          <w:highlight w:val="none"/>
          <w:u w:val="none"/>
        </w:rPr>
      </w:pPr>
      <w:bookmarkStart w:id="249" w:name="_Toc20746"/>
      <w:bookmarkStart w:id="250" w:name="_Toc30720"/>
      <w:r>
        <w:rPr>
          <w:rFonts w:hint="eastAsia" w:ascii="仿宋" w:hAnsi="仿宋" w:eastAsia="仿宋" w:cs="仿宋"/>
          <w:b w:val="0"/>
          <w:bCs/>
          <w:color w:val="auto"/>
          <w:szCs w:val="24"/>
          <w:highlight w:val="none"/>
          <w:u w:val="none"/>
        </w:rPr>
        <w:t>26.成交候选人的确定原则及标准</w:t>
      </w:r>
      <w:bookmarkEnd w:id="249"/>
      <w:bookmarkEnd w:id="250"/>
    </w:p>
    <w:p w14:paraId="2E3D9CA9">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对实质上响应谈判文件的供应商按下列方法进行排序，确定中标候选人：</w:t>
      </w:r>
    </w:p>
    <w:p w14:paraId="3ECD82DA">
      <w:pPr>
        <w:pStyle w:val="2"/>
        <w:spacing w:line="360" w:lineRule="exact"/>
        <w:ind w:left="899" w:leftChars="428" w:firstLine="0"/>
        <w:rPr>
          <w:rFonts w:hint="eastAsia" w:ascii="仿宋" w:hAnsi="仿宋" w:eastAsia="仿宋" w:cs="仿宋"/>
          <w:bCs/>
          <w:color w:val="auto"/>
          <w:szCs w:val="24"/>
          <w:highlight w:val="none"/>
        </w:rPr>
      </w:pPr>
      <w:r>
        <w:rPr>
          <w:rFonts w:hint="eastAsia" w:ascii="仿宋" w:hAnsi="仿宋" w:eastAsia="仿宋" w:cs="仿宋"/>
          <w:b/>
          <w:color w:val="auto"/>
          <w:szCs w:val="24"/>
          <w:highlight w:val="none"/>
        </w:rPr>
        <w:t>本项目采用最低评标价法，</w:t>
      </w:r>
      <w:r>
        <w:rPr>
          <w:rFonts w:hint="eastAsia" w:ascii="仿宋" w:hAnsi="仿宋" w:eastAsia="仿宋" w:cs="仿宋"/>
          <w:bCs/>
          <w:color w:val="auto"/>
          <w:szCs w:val="24"/>
          <w:highlight w:val="none"/>
        </w:rPr>
        <w:t>除了算术修正和落实政府采购政策需进行的价格扣除外，不对供应商的所投价格进行任何调整。评审结果按修正和扣除后的所投报价由低到高顺序排列。报价相同的处理方式详见谈判文件第6章。</w:t>
      </w:r>
    </w:p>
    <w:p w14:paraId="58FF1C85">
      <w:pPr>
        <w:pStyle w:val="2"/>
        <w:spacing w:line="360" w:lineRule="exact"/>
        <w:ind w:left="899" w:leftChars="428" w:firstLine="0"/>
        <w:rPr>
          <w:rFonts w:hint="eastAsia" w:ascii="仿宋" w:hAnsi="仿宋" w:eastAsia="仿宋" w:cs="仿宋"/>
          <w:bCs/>
          <w:color w:val="auto"/>
          <w:szCs w:val="24"/>
          <w:highlight w:val="none"/>
        </w:rPr>
      </w:pPr>
      <w:r>
        <w:rPr>
          <w:rFonts w:hint="eastAsia" w:ascii="仿宋" w:hAnsi="仿宋" w:eastAsia="仿宋" w:cs="仿宋"/>
          <w:bCs/>
          <w:color w:val="auto"/>
          <w:szCs w:val="24"/>
          <w:highlight w:val="none"/>
          <w:shd w:val="clear" w:color="auto" w:fill="FFFFFF"/>
        </w:rPr>
        <w:t>谈判结束后，谈判小组应当要求所有参加谈判的供应商在规定时间内进行最后报价，采购人从谈判小组提出的成交候选人中根据符合采购需求、质量和服务相等且报价最低的原则确定成交供应商，并将结果通知所有参加谈判的未成交的供应商。</w:t>
      </w:r>
    </w:p>
    <w:p w14:paraId="0CBA429E">
      <w:pPr>
        <w:pStyle w:val="6"/>
        <w:tabs>
          <w:tab w:val="left" w:pos="900"/>
        </w:tabs>
        <w:spacing w:before="0" w:after="0" w:line="360" w:lineRule="exact"/>
        <w:rPr>
          <w:rFonts w:hint="eastAsia" w:ascii="仿宋" w:hAnsi="仿宋" w:eastAsia="仿宋" w:cs="仿宋"/>
          <w:b w:val="0"/>
          <w:bCs/>
          <w:color w:val="auto"/>
          <w:szCs w:val="24"/>
          <w:highlight w:val="none"/>
          <w:u w:val="none"/>
        </w:rPr>
      </w:pPr>
      <w:bookmarkStart w:id="251" w:name="_Toc25690"/>
      <w:bookmarkStart w:id="252" w:name="_Toc23221"/>
      <w:r>
        <w:rPr>
          <w:rFonts w:hint="eastAsia" w:ascii="仿宋" w:hAnsi="仿宋" w:eastAsia="仿宋" w:cs="仿宋"/>
          <w:b w:val="0"/>
          <w:bCs/>
          <w:color w:val="auto"/>
          <w:szCs w:val="24"/>
          <w:highlight w:val="none"/>
          <w:u w:val="none"/>
        </w:rPr>
        <w:t>27.确定成交候选人和成交供应商</w:t>
      </w:r>
      <w:bookmarkEnd w:id="251"/>
      <w:bookmarkEnd w:id="252"/>
    </w:p>
    <w:p w14:paraId="5BADF1F0">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谈判小组将根据评审标准，按</w:t>
      </w:r>
      <w:r>
        <w:rPr>
          <w:rFonts w:hint="eastAsia" w:ascii="仿宋" w:hAnsi="仿宋" w:eastAsia="仿宋" w:cs="仿宋"/>
          <w:bCs/>
          <w:color w:val="auto"/>
          <w:sz w:val="24"/>
          <w:highlight w:val="none"/>
          <w:u w:val="single"/>
        </w:rPr>
        <w:t>供应商须知资料表中</w:t>
      </w:r>
      <w:r>
        <w:rPr>
          <w:rFonts w:hint="eastAsia" w:ascii="仿宋" w:hAnsi="仿宋" w:eastAsia="仿宋" w:cs="仿宋"/>
          <w:bCs/>
          <w:color w:val="auto"/>
          <w:sz w:val="24"/>
          <w:highlight w:val="none"/>
        </w:rPr>
        <w:t>规定数量推荐成交候选人；或根据采购人的委托，直接确定成交供应商。</w:t>
      </w:r>
    </w:p>
    <w:p w14:paraId="11A7BA1B">
      <w:pPr>
        <w:pStyle w:val="6"/>
        <w:tabs>
          <w:tab w:val="left" w:pos="900"/>
        </w:tabs>
        <w:spacing w:before="0" w:after="0" w:line="360" w:lineRule="exact"/>
        <w:rPr>
          <w:rFonts w:hint="eastAsia" w:ascii="仿宋" w:hAnsi="仿宋" w:eastAsia="仿宋" w:cs="仿宋"/>
          <w:b w:val="0"/>
          <w:bCs/>
          <w:color w:val="auto"/>
          <w:szCs w:val="24"/>
          <w:highlight w:val="none"/>
          <w:u w:val="none"/>
        </w:rPr>
      </w:pPr>
      <w:bookmarkStart w:id="253" w:name="_Toc18445"/>
      <w:bookmarkStart w:id="254" w:name="_Toc17920"/>
      <w:r>
        <w:rPr>
          <w:rFonts w:hint="eastAsia" w:ascii="仿宋" w:hAnsi="仿宋" w:eastAsia="仿宋" w:cs="仿宋"/>
          <w:b w:val="0"/>
          <w:bCs/>
          <w:color w:val="auto"/>
          <w:szCs w:val="24"/>
          <w:highlight w:val="none"/>
          <w:u w:val="none"/>
        </w:rPr>
        <w:t>28.采购任务取消</w:t>
      </w:r>
      <w:bookmarkEnd w:id="253"/>
      <w:bookmarkEnd w:id="254"/>
    </w:p>
    <w:p w14:paraId="1F6E40A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因重大变故采购任务取消时，采购人有权拒绝任何供应商成交，且对受影响的供应商不承担任何责任。</w:t>
      </w:r>
    </w:p>
    <w:p w14:paraId="7C14BA4D">
      <w:pPr>
        <w:pStyle w:val="6"/>
        <w:spacing w:before="0" w:after="0" w:line="360" w:lineRule="exact"/>
        <w:rPr>
          <w:rFonts w:hint="eastAsia" w:ascii="仿宋" w:hAnsi="仿宋" w:eastAsia="仿宋" w:cs="仿宋"/>
          <w:b w:val="0"/>
          <w:bCs/>
          <w:color w:val="auto"/>
          <w:szCs w:val="24"/>
          <w:highlight w:val="none"/>
          <w:u w:val="none"/>
        </w:rPr>
      </w:pPr>
      <w:bookmarkStart w:id="255" w:name="_Toc9421"/>
      <w:bookmarkStart w:id="256" w:name="_Toc3774"/>
      <w:r>
        <w:rPr>
          <w:rFonts w:hint="eastAsia" w:ascii="仿宋" w:hAnsi="仿宋" w:eastAsia="仿宋" w:cs="仿宋"/>
          <w:b w:val="0"/>
          <w:bCs/>
          <w:color w:val="auto"/>
          <w:szCs w:val="24"/>
          <w:highlight w:val="none"/>
          <w:u w:val="none"/>
        </w:rPr>
        <w:t>29.成交通知书和采购结果通知书</w:t>
      </w:r>
      <w:bookmarkEnd w:id="255"/>
      <w:bookmarkEnd w:id="256"/>
    </w:p>
    <w:p w14:paraId="4406D773">
      <w:pPr>
        <w:spacing w:line="360" w:lineRule="exact"/>
        <w:ind w:left="900" w:hanging="900" w:hangingChars="375"/>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29.1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在谈判有效期内，成交供应商确定后，采购人或者采购代理机构发布成交通知书公告，同时以书面形式向成交供应商发出成交通知书</w:t>
      </w:r>
      <w:r>
        <w:rPr>
          <w:rFonts w:hint="eastAsia" w:ascii="仿宋" w:hAnsi="仿宋" w:eastAsia="仿宋" w:cs="仿宋"/>
          <w:bCs/>
          <w:color w:val="auto"/>
          <w:sz w:val="24"/>
          <w:highlight w:val="none"/>
          <w:lang w:eastAsia="zh-CN"/>
        </w:rPr>
        <w:t>。</w:t>
      </w:r>
    </w:p>
    <w:p w14:paraId="6B706F94">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29.2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成交通知书是合同的组成部分。</w:t>
      </w:r>
    </w:p>
    <w:p w14:paraId="20AAA99D">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29.3    采购结果通知书和成交通知书同时发出。采购结果通知书中将告知未通过资格审查的供应商未通过的原因；采用综合评分法评审的，还将告知未成交供应商本人的评审得分和排序。</w:t>
      </w:r>
    </w:p>
    <w:p w14:paraId="3E259081">
      <w:pPr>
        <w:pStyle w:val="6"/>
        <w:spacing w:before="0" w:after="0" w:line="360" w:lineRule="exact"/>
        <w:rPr>
          <w:rFonts w:hint="eastAsia" w:ascii="仿宋" w:hAnsi="仿宋" w:eastAsia="仿宋" w:cs="仿宋"/>
          <w:b w:val="0"/>
          <w:bCs/>
          <w:color w:val="auto"/>
          <w:szCs w:val="24"/>
          <w:highlight w:val="none"/>
          <w:u w:val="none"/>
        </w:rPr>
      </w:pPr>
      <w:bookmarkStart w:id="257" w:name="_Toc27172"/>
      <w:bookmarkStart w:id="258" w:name="_Toc12450"/>
      <w:r>
        <w:rPr>
          <w:rFonts w:hint="eastAsia" w:ascii="仿宋" w:hAnsi="仿宋" w:eastAsia="仿宋" w:cs="仿宋"/>
          <w:b w:val="0"/>
          <w:bCs/>
          <w:color w:val="auto"/>
          <w:szCs w:val="24"/>
          <w:highlight w:val="none"/>
          <w:u w:val="none"/>
        </w:rPr>
        <w:t>30.签订合同</w:t>
      </w:r>
      <w:bookmarkEnd w:id="257"/>
      <w:bookmarkEnd w:id="258"/>
    </w:p>
    <w:p w14:paraId="29E0C304">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30.1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成交供应商应当自发出成交通知书之日起</w:t>
      </w:r>
      <w:r>
        <w:rPr>
          <w:rFonts w:hint="eastAsia" w:ascii="仿宋" w:hAnsi="仿宋" w:eastAsia="仿宋" w:cs="仿宋"/>
          <w:bCs/>
          <w:color w:val="auto"/>
          <w:sz w:val="24"/>
          <w:highlight w:val="none"/>
          <w:lang w:val="en-US" w:eastAsia="zh-CN"/>
        </w:rPr>
        <w:t>30</w:t>
      </w:r>
      <w:r>
        <w:rPr>
          <w:rFonts w:hint="eastAsia" w:ascii="仿宋" w:hAnsi="仿宋" w:eastAsia="仿宋" w:cs="仿宋"/>
          <w:bCs/>
          <w:color w:val="auto"/>
          <w:sz w:val="24"/>
          <w:highlight w:val="none"/>
        </w:rPr>
        <w:t>日内，与采购人签订合同。</w:t>
      </w:r>
    </w:p>
    <w:p w14:paraId="671CD0D4">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30.2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谈判文件、成交供应商的响应文件及其澄清文件等，均为签订合同的依据。</w:t>
      </w:r>
    </w:p>
    <w:p w14:paraId="6BF088FA">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30.3   成交供应商拒绝与采购人签订合同的，采购人可以按照评审报告推荐的成交候选人名单排序，确定下一成交候选人为成交供应商，也可以重新开展政府采购活动。</w:t>
      </w:r>
    </w:p>
    <w:p w14:paraId="76673FD2">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30.4   当出现法规规定的成交通知书无效或成交通知书结果无效情形时，采购人可与排名下一位的成交候选人另行签订合同，或依法重新开展采购活动。</w:t>
      </w:r>
    </w:p>
    <w:p w14:paraId="04F57C3F">
      <w:pPr>
        <w:pStyle w:val="6"/>
        <w:spacing w:before="0" w:after="0" w:line="360" w:lineRule="exact"/>
        <w:rPr>
          <w:rFonts w:hint="eastAsia" w:ascii="仿宋" w:hAnsi="仿宋" w:eastAsia="仿宋" w:cs="仿宋"/>
          <w:b w:val="0"/>
          <w:bCs/>
          <w:color w:val="auto"/>
          <w:szCs w:val="24"/>
          <w:highlight w:val="none"/>
          <w:u w:val="none"/>
        </w:rPr>
      </w:pPr>
      <w:bookmarkStart w:id="259" w:name="_Toc31489"/>
      <w:bookmarkStart w:id="260" w:name="_Toc13720"/>
      <w:r>
        <w:rPr>
          <w:rFonts w:hint="eastAsia" w:ascii="仿宋" w:hAnsi="仿宋" w:eastAsia="仿宋" w:cs="仿宋"/>
          <w:b w:val="0"/>
          <w:bCs/>
          <w:color w:val="auto"/>
          <w:szCs w:val="24"/>
          <w:highlight w:val="none"/>
          <w:u w:val="none"/>
        </w:rPr>
        <w:t>31.履约保证金</w:t>
      </w:r>
      <w:bookmarkEnd w:id="259"/>
      <w:bookmarkEnd w:id="260"/>
    </w:p>
    <w:p w14:paraId="5EA54A8F">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31.1</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成交供应商应按照</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规定向采购人缴纳履约保证金（如采用保函形式，格式见本章附件1）。</w:t>
      </w:r>
    </w:p>
    <w:p w14:paraId="4C621078">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31.2</w:t>
      </w: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政府采购利用担保试点范围内的项目，除31.1规定的情形外，成交供应商也可以按照财政部门的规定，向采购人提供合格的履约担保函（格式见本章附件2）。</w:t>
      </w:r>
    </w:p>
    <w:p w14:paraId="336DF00A">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31.3   如果成交供应商没有按照上述履约保证金的规定执行，将视为放弃成交通知书资格，成交供应商的谈判保证金将不予退还。在此情况下，采购人可确定下一候选人为成交供应商，也可以重新开展采购活动。</w:t>
      </w:r>
    </w:p>
    <w:p w14:paraId="33D05AE6">
      <w:pPr>
        <w:pStyle w:val="6"/>
        <w:spacing w:before="0" w:after="0" w:line="360" w:lineRule="exact"/>
        <w:rPr>
          <w:rFonts w:hint="eastAsia" w:ascii="仿宋" w:hAnsi="仿宋" w:eastAsia="仿宋" w:cs="仿宋"/>
          <w:b w:val="0"/>
          <w:bCs/>
          <w:color w:val="auto"/>
          <w:szCs w:val="24"/>
          <w:highlight w:val="none"/>
          <w:u w:val="none"/>
        </w:rPr>
      </w:pPr>
      <w:bookmarkStart w:id="261" w:name="_Toc21356"/>
      <w:bookmarkStart w:id="262" w:name="_Toc16713"/>
      <w:r>
        <w:rPr>
          <w:rFonts w:hint="eastAsia" w:ascii="仿宋" w:hAnsi="仿宋" w:eastAsia="仿宋" w:cs="仿宋"/>
          <w:b w:val="0"/>
          <w:bCs/>
          <w:color w:val="auto"/>
          <w:szCs w:val="24"/>
          <w:highlight w:val="none"/>
          <w:u w:val="none"/>
        </w:rPr>
        <w:t>32.成交通知书服务费</w:t>
      </w:r>
      <w:bookmarkEnd w:id="261"/>
      <w:bookmarkEnd w:id="262"/>
    </w:p>
    <w:p w14:paraId="3F288AAC">
      <w:pPr>
        <w:spacing w:line="360" w:lineRule="exact"/>
        <w:ind w:left="840" w:leftChars="200" w:hanging="420" w:hangingChars="1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成交供应商须按照</w:t>
      </w:r>
      <w:r>
        <w:rPr>
          <w:rFonts w:hint="eastAsia" w:ascii="仿宋" w:hAnsi="仿宋" w:eastAsia="仿宋" w:cs="仿宋"/>
          <w:bCs/>
          <w:color w:val="auto"/>
          <w:sz w:val="24"/>
          <w:highlight w:val="none"/>
          <w:u w:val="single"/>
          <w:lang w:eastAsia="zh-CN"/>
        </w:rPr>
        <w:t>供应商</w:t>
      </w:r>
      <w:r>
        <w:rPr>
          <w:rFonts w:hint="eastAsia" w:ascii="仿宋" w:hAnsi="仿宋" w:eastAsia="仿宋" w:cs="仿宋"/>
          <w:bCs/>
          <w:color w:val="auto"/>
          <w:sz w:val="24"/>
          <w:highlight w:val="none"/>
          <w:u w:val="single"/>
        </w:rPr>
        <w:t>须知资料表</w:t>
      </w:r>
      <w:r>
        <w:rPr>
          <w:rFonts w:hint="eastAsia" w:ascii="仿宋" w:hAnsi="仿宋" w:eastAsia="仿宋" w:cs="仿宋"/>
          <w:bCs/>
          <w:color w:val="auto"/>
          <w:sz w:val="24"/>
          <w:highlight w:val="none"/>
        </w:rPr>
        <w:t>规定，向采购代理机构支付成交通知书服务费。</w:t>
      </w:r>
    </w:p>
    <w:p w14:paraId="3C7DE22A">
      <w:pPr>
        <w:pStyle w:val="6"/>
        <w:spacing w:before="0" w:after="0" w:line="360" w:lineRule="exact"/>
        <w:rPr>
          <w:rFonts w:hint="eastAsia" w:ascii="仿宋" w:hAnsi="仿宋" w:eastAsia="仿宋" w:cs="仿宋"/>
          <w:b w:val="0"/>
          <w:bCs/>
          <w:color w:val="auto"/>
          <w:szCs w:val="24"/>
          <w:highlight w:val="none"/>
          <w:u w:val="none"/>
        </w:rPr>
      </w:pPr>
      <w:bookmarkStart w:id="263" w:name="_Toc21164"/>
      <w:bookmarkStart w:id="264" w:name="_Toc3222"/>
      <w:r>
        <w:rPr>
          <w:rFonts w:hint="eastAsia" w:ascii="仿宋" w:hAnsi="仿宋" w:eastAsia="仿宋" w:cs="仿宋"/>
          <w:b w:val="0"/>
          <w:bCs/>
          <w:color w:val="auto"/>
          <w:szCs w:val="24"/>
          <w:highlight w:val="none"/>
          <w:u w:val="none"/>
        </w:rPr>
        <w:t>33.政府采购信用担保</w:t>
      </w:r>
      <w:bookmarkEnd w:id="263"/>
      <w:bookmarkEnd w:id="264"/>
    </w:p>
    <w:p w14:paraId="1DBA3FBC">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33.1   本项目是否属于信用担保试点范围见</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w:t>
      </w:r>
    </w:p>
    <w:p w14:paraId="425F6966">
      <w:pPr>
        <w:spacing w:line="360" w:lineRule="exact"/>
        <w:ind w:left="850" w:hanging="849" w:hangingChars="354"/>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   如属于政府采购信用担保试点范围内，中小型企业供应商可以自由按照财政部门的规定，采用谈判担保、履约担保和融资担保。</w:t>
      </w:r>
    </w:p>
    <w:p w14:paraId="7EDF23DA">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33.2.1 供应商递交的谈判担保函和履约担保函应符合本谈判文件的规定。</w:t>
      </w:r>
    </w:p>
    <w:p w14:paraId="46596203">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33.2.2 成交供应商可以采取融资担保的形式为政府采购项目履约进行融资。</w:t>
      </w:r>
    </w:p>
    <w:p w14:paraId="7925FAF3">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33.2.3 合格的政府采购专业信用担保机构名单见</w:t>
      </w:r>
      <w:r>
        <w:rPr>
          <w:rFonts w:hint="eastAsia" w:ascii="仿宋" w:hAnsi="仿宋" w:eastAsia="仿宋" w:cs="仿宋"/>
          <w:bCs/>
          <w:color w:val="auto"/>
          <w:sz w:val="24"/>
          <w:highlight w:val="none"/>
          <w:u w:val="single"/>
        </w:rPr>
        <w:t>供应商须知资料表</w:t>
      </w:r>
      <w:r>
        <w:rPr>
          <w:rFonts w:hint="eastAsia" w:ascii="仿宋" w:hAnsi="仿宋" w:eastAsia="仿宋" w:cs="仿宋"/>
          <w:bCs/>
          <w:color w:val="auto"/>
          <w:sz w:val="24"/>
          <w:highlight w:val="none"/>
        </w:rPr>
        <w:t>。</w:t>
      </w:r>
    </w:p>
    <w:p w14:paraId="72E3449C">
      <w:pPr>
        <w:pStyle w:val="6"/>
        <w:spacing w:before="0" w:after="0" w:line="360" w:lineRule="exact"/>
        <w:rPr>
          <w:rFonts w:hint="eastAsia" w:ascii="仿宋" w:hAnsi="仿宋" w:eastAsia="仿宋" w:cs="仿宋"/>
          <w:b w:val="0"/>
          <w:bCs/>
          <w:color w:val="auto"/>
          <w:szCs w:val="24"/>
          <w:highlight w:val="none"/>
          <w:u w:val="none"/>
        </w:rPr>
      </w:pPr>
      <w:bookmarkStart w:id="265" w:name="_Toc12169"/>
      <w:bookmarkStart w:id="266" w:name="_Toc13457"/>
      <w:r>
        <w:rPr>
          <w:rFonts w:hint="eastAsia" w:ascii="仿宋" w:hAnsi="仿宋" w:eastAsia="仿宋" w:cs="仿宋"/>
          <w:b w:val="0"/>
          <w:bCs/>
          <w:color w:val="auto"/>
          <w:szCs w:val="24"/>
          <w:highlight w:val="none"/>
          <w:u w:val="none"/>
        </w:rPr>
        <w:t>34.廉洁自律规定</w:t>
      </w:r>
      <w:bookmarkEnd w:id="265"/>
      <w:bookmarkEnd w:id="266"/>
    </w:p>
    <w:p w14:paraId="292BDD68">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34.1   采购代理机构工作人员不得以不正当手段获取政府采购代理业务，不得与采购人、供应商恶意串通操纵政府采购活动。</w:t>
      </w:r>
    </w:p>
    <w:p w14:paraId="2B0E28A9">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34.2   采购代理机构工作人员不得接受采购人或者供应商组织的宴请、旅游、娱乐，不得收受礼品、现金、有价证券等，不得向采购人或者供应商报销应当由个人承担的费用。</w:t>
      </w:r>
    </w:p>
    <w:p w14:paraId="30E3031B">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34.3   为强化采购代理机构内部监督机制，供应商可按</w:t>
      </w:r>
      <w:r>
        <w:rPr>
          <w:rFonts w:hint="eastAsia" w:ascii="仿宋" w:hAnsi="仿宋" w:eastAsia="仿宋" w:cs="仿宋"/>
          <w:bCs/>
          <w:color w:val="auto"/>
          <w:sz w:val="24"/>
          <w:highlight w:val="none"/>
          <w:u w:val="single"/>
        </w:rPr>
        <w:t>供应商须知资料表中的</w:t>
      </w:r>
      <w:r>
        <w:rPr>
          <w:rFonts w:hint="eastAsia" w:ascii="仿宋" w:hAnsi="仿宋" w:eastAsia="仿宋" w:cs="仿宋"/>
          <w:bCs/>
          <w:color w:val="auto"/>
          <w:sz w:val="24"/>
          <w:highlight w:val="none"/>
        </w:rPr>
        <w:t>监督电话和邮箱，反映采购代理机构的廉洁自律等问题。</w:t>
      </w:r>
    </w:p>
    <w:p w14:paraId="72F0874A">
      <w:pPr>
        <w:pStyle w:val="6"/>
        <w:spacing w:before="0" w:after="0" w:line="360" w:lineRule="exact"/>
        <w:rPr>
          <w:rFonts w:hint="eastAsia" w:ascii="仿宋" w:hAnsi="仿宋" w:eastAsia="仿宋" w:cs="仿宋"/>
          <w:b w:val="0"/>
          <w:bCs/>
          <w:color w:val="auto"/>
          <w:szCs w:val="24"/>
          <w:highlight w:val="none"/>
          <w:u w:val="none"/>
        </w:rPr>
      </w:pPr>
      <w:bookmarkStart w:id="267" w:name="_Toc23111"/>
      <w:bookmarkStart w:id="268" w:name="_Toc29289"/>
      <w:r>
        <w:rPr>
          <w:rFonts w:hint="eastAsia" w:ascii="仿宋" w:hAnsi="仿宋" w:eastAsia="仿宋" w:cs="仿宋"/>
          <w:b w:val="0"/>
          <w:bCs/>
          <w:color w:val="auto"/>
          <w:szCs w:val="24"/>
          <w:highlight w:val="none"/>
          <w:u w:val="none"/>
        </w:rPr>
        <w:t>35.人员回避</w:t>
      </w:r>
      <w:bookmarkEnd w:id="267"/>
      <w:bookmarkEnd w:id="268"/>
    </w:p>
    <w:p w14:paraId="73C92FA0">
      <w:pPr>
        <w:spacing w:line="360" w:lineRule="exact"/>
        <w:ind w:left="900" w:hanging="900" w:hangingChars="37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供应商认为采购人员及其相关人员有法律法规所列与其他供应商有利害关系的，可以向采购人或采购代理机构书面提出回避申请，并说明理由。</w:t>
      </w:r>
    </w:p>
    <w:p w14:paraId="273EB7EB">
      <w:pPr>
        <w:pStyle w:val="6"/>
        <w:spacing w:before="0" w:after="0" w:line="360" w:lineRule="exact"/>
        <w:rPr>
          <w:rFonts w:hint="eastAsia" w:ascii="仿宋" w:hAnsi="仿宋" w:eastAsia="仿宋" w:cs="仿宋"/>
          <w:b w:val="0"/>
          <w:bCs/>
          <w:color w:val="auto"/>
          <w:szCs w:val="24"/>
          <w:highlight w:val="none"/>
          <w:u w:val="none"/>
        </w:rPr>
      </w:pPr>
      <w:bookmarkStart w:id="269" w:name="_Toc25208"/>
      <w:bookmarkStart w:id="270" w:name="_Toc23867"/>
      <w:r>
        <w:rPr>
          <w:rFonts w:hint="eastAsia" w:ascii="仿宋" w:hAnsi="仿宋" w:eastAsia="仿宋" w:cs="仿宋"/>
          <w:b w:val="0"/>
          <w:bCs/>
          <w:color w:val="auto"/>
          <w:szCs w:val="24"/>
          <w:highlight w:val="none"/>
          <w:u w:val="none"/>
        </w:rPr>
        <w:t>36.质疑与接收</w:t>
      </w:r>
      <w:bookmarkEnd w:id="269"/>
      <w:bookmarkEnd w:id="270"/>
    </w:p>
    <w:p w14:paraId="4B13EE52">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36.1  供应商认为谈判文件、谈判过程和成交通知书结果使自己的权益受到损害的，可以根据《中华人民共和国政府采购法》、《中华人民共和国政府采购法实施条例》和《政府采购质疑和投诉办法》的有关规定，依法向采购人或其委托的采购代理机构提出质疑。</w:t>
      </w:r>
    </w:p>
    <w:p w14:paraId="6B1E6B88">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157E516A">
      <w:pPr>
        <w:spacing w:line="360" w:lineRule="exact"/>
        <w:ind w:left="851" w:leftChars="405" w:hanging="1"/>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超出法定质疑期的、重复提出的、分次提出的或内容、形式不符合《政府采购质疑和投诉办法》的，质疑供应商将依法承担不利后果。</w:t>
      </w:r>
    </w:p>
    <w:p w14:paraId="63A1D7E2">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36.3  采购代理机构质疑函接收部门、联系电话和通讯地址, 见</w:t>
      </w:r>
      <w:r>
        <w:rPr>
          <w:rFonts w:hint="eastAsia" w:ascii="仿宋" w:hAnsi="仿宋" w:eastAsia="仿宋" w:cs="仿宋"/>
          <w:bCs/>
          <w:color w:val="auto"/>
          <w:sz w:val="24"/>
          <w:highlight w:val="none"/>
          <w:u w:val="single"/>
        </w:rPr>
        <w:t>供应商须知资料表。</w:t>
      </w:r>
    </w:p>
    <w:p w14:paraId="7CF607FD">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37.质疑的提出</w:t>
      </w:r>
    </w:p>
    <w:p w14:paraId="6EC796A2">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37.1   本采购文件中所称质疑及答复，是指参加本次采购活动的供应商对政府采购活动中的采购文件、采购过程和成交结果向采购方提出质疑，采购方答复质疑的行为。</w:t>
      </w:r>
    </w:p>
    <w:p w14:paraId="66039551">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37.2   供应商认为采购文件、采购过程和成交结果使自己的权益受到损害的，可以在知道或者应知其权益受到损害之日起7个工作日内，以书面形式向采购方提出质疑。供应商应知其权益受到损害之日，是指：</w:t>
      </w:r>
    </w:p>
    <w:p w14:paraId="384DC056">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（一）对可以质疑的采购文件提出质疑的，为收到采购文件之日或者采购文件公告期限届满之日；</w:t>
      </w:r>
    </w:p>
    <w:p w14:paraId="0FF312FB">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（二）对采购过程提出质疑的，为各采购程序环节结束之日；</w:t>
      </w:r>
    </w:p>
    <w:p w14:paraId="25E696A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（三）对成交结果提出质疑的，为成交结果公告期限届满之日。</w:t>
      </w:r>
    </w:p>
    <w:p w14:paraId="0435357C">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37.3   对可以质疑的采购文件提出质疑的，质疑人为参与本项目的报价方或潜在报价方。可质疑的文件为采购公告以及采购文件（包括属于其组成部分的澄清、修改、补充文件和评审标准、合同文本等）。</w:t>
      </w:r>
    </w:p>
    <w:p w14:paraId="4FE5122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37.4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31B6BA3B">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37.5   提出质疑应当符合下列条件：</w:t>
      </w:r>
    </w:p>
    <w:p w14:paraId="66A4DB7C">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（一）质疑主体应当符合有关规定；</w:t>
      </w:r>
    </w:p>
    <w:p w14:paraId="29409FCD">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（二）在质疑法定期限内提出；</w:t>
      </w:r>
    </w:p>
    <w:p w14:paraId="0E0E467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（三）属于可以提出质疑的政府采购事项受理范围和本项目采购人的管辖权范围；</w:t>
      </w:r>
    </w:p>
    <w:p w14:paraId="22687068">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（四）政府采购法律、法规、规章规定的其他条件。</w:t>
      </w:r>
    </w:p>
    <w:p w14:paraId="6FE7AA37">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060CB272">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37.7   质疑人所提供的证明材料应当具有真实性、合法性以及与质疑事项的关联性和证明力，否则不能作为认定该质疑事项成立的依据。</w:t>
      </w:r>
    </w:p>
    <w:p w14:paraId="104E099E">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37.8   质疑人提出质疑时应当提交质疑函。质疑函包括下列内容：</w:t>
      </w:r>
    </w:p>
    <w:p w14:paraId="0DD5344C">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（一）提出质疑的质疑人的名称、地址、邮编、联系人及联系电话等；</w:t>
      </w:r>
    </w:p>
    <w:p w14:paraId="1641EBE7">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（二）质疑项目的名称、编号；</w:t>
      </w:r>
    </w:p>
    <w:p w14:paraId="52747505">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w:t>
      </w:r>
    </w:p>
    <w:p w14:paraId="53938DF2">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（四）事实依据和证明材料；</w:t>
      </w:r>
    </w:p>
    <w:p w14:paraId="3A7A2335">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（五）法律依据；</w:t>
      </w:r>
    </w:p>
    <w:p w14:paraId="38B13A99">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（六）提出质疑的日期。</w:t>
      </w:r>
    </w:p>
    <w:p w14:paraId="0C2D8122">
      <w:pPr>
        <w:spacing w:line="360" w:lineRule="exact"/>
        <w:ind w:left="861" w:leftChars="410" w:firstLine="12" w:firstLineChars="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2B2F69BE">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37.9   质疑人可以委托代理人进行质疑。代理人应当提交授权委托书。授权委托书应当载明委托代理的具体权限、期限和相关事项。</w:t>
      </w:r>
    </w:p>
    <w:p w14:paraId="39CF0B20">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37.10   质疑的审查和受理。采购方在收到质疑函后应当及时审查是否符合质疑受理条件，对符合质疑受理条件的，及时予以受理。</w:t>
      </w:r>
    </w:p>
    <w:p w14:paraId="619CEB6D">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37.11    对不符合质疑受理条件的，分别按照下列不同情形予以处理：</w:t>
      </w:r>
    </w:p>
    <w:p w14:paraId="124FED1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（一）质疑函内容不符合规定的，告知质疑人进行修改并重新提出质疑。修改后质疑事项仍不具体、不明确或者最终递交质疑函的时间超过质疑法定期限的，不予受理；</w:t>
      </w:r>
    </w:p>
    <w:p w14:paraId="24A1EBB1">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（二）质疑主体不符合有关规定的，告知质疑人不予受理；</w:t>
      </w:r>
    </w:p>
    <w:p w14:paraId="79B7661C">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（三）超过质疑法定期限提出质疑的，告知质疑人不予受理；</w:t>
      </w:r>
    </w:p>
    <w:p w14:paraId="64C4CFCB">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（四）对不属于可以提出质疑的政府采购事项提出质疑的，告知质疑人不予受理；</w:t>
      </w:r>
    </w:p>
    <w:p w14:paraId="6EE0068B">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（五）质疑不属于本项目采购方管辖的，告知质疑人向有管辖权的采购人提出质疑；</w:t>
      </w:r>
    </w:p>
    <w:p w14:paraId="56B93716">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（六）质疑不符合其他条件的，告知质疑人不予受理。</w:t>
      </w:r>
    </w:p>
    <w:p w14:paraId="7E70239C">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38.质疑的处理和答复</w:t>
      </w:r>
    </w:p>
    <w:p w14:paraId="4801C048">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采购方受理质疑后，将及时把质疑函发送给被质疑人，并要求其在一定限期内提交书面答复，同时提供有关证据、依据和相关材料。</w:t>
      </w:r>
    </w:p>
    <w:p w14:paraId="28619B3F">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38.1    对于质疑事项中涉及的问题较多、情况比较复杂的，为了全面查清事实、取得充分的证据，采购方认为有必要时，可以进行调查取证或者组织质证。</w:t>
      </w:r>
    </w:p>
    <w:p w14:paraId="1984A8CC">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38.2  对评审过程、成交结果提出质疑的，采购方可以组织原评审委员会协助答复质疑。</w:t>
      </w:r>
    </w:p>
    <w:p w14:paraId="054F3DDE">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38.3  质疑处理过程中，质疑人书面申请撤回质疑的，将终止质疑处理程序。</w:t>
      </w:r>
    </w:p>
    <w:p w14:paraId="59C43E09">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38.4 质疑人拒绝配合采购方依法对质疑进行调查处理的，采购方将按质疑人自动撤回质疑处理；被质疑人拒绝配合采购方依法对质疑进行调查处理的，采购方将视同其认可质疑事项。</w:t>
      </w:r>
    </w:p>
    <w:p w14:paraId="146C1A9E">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38.5   质疑人拒绝配合采购方依法对质疑进行调查处理的，采购方将按质疑人自动撤回质疑处理；被质疑人拒绝配合采购方依法对质疑进行调查处理的，采购方将视同其认可质疑事项。</w:t>
      </w:r>
    </w:p>
    <w:p w14:paraId="4E5FC97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38.6  采购方将在正式受理质疑后7个工作日内作出答复。</w:t>
      </w:r>
    </w:p>
    <w:p w14:paraId="17393222">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38.7  质疑答复应当包括下列内容：</w:t>
      </w:r>
    </w:p>
    <w:p w14:paraId="11228AB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（一）质疑人的姓名或者名称；</w:t>
      </w:r>
    </w:p>
    <w:p w14:paraId="59181F2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（二）收到质疑函的日期、质疑项目名称及编号；</w:t>
      </w:r>
    </w:p>
    <w:p w14:paraId="0D3D3BDE">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（三）质疑事项、质疑答复的具体内容、事实依据和法律依据；</w:t>
      </w:r>
    </w:p>
    <w:p w14:paraId="4D0B0CD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（四）告知质疑供应商依法投诉的权利；</w:t>
      </w:r>
    </w:p>
    <w:p w14:paraId="6AC2F043">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（五）质疑答复人名称；</w:t>
      </w:r>
    </w:p>
    <w:p w14:paraId="21949C2A">
      <w:pPr>
        <w:spacing w:line="360" w:lineRule="exact"/>
        <w:ind w:left="851" w:leftChars="68" w:hanging="708" w:hangingChars="29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（六）答复质疑的日期。</w:t>
      </w:r>
    </w:p>
    <w:p w14:paraId="132AF926">
      <w:pPr>
        <w:jc w:val="center"/>
        <w:outlineLvl w:val="1"/>
        <w:rPr>
          <w:rFonts w:hint="eastAsia" w:ascii="仿宋" w:hAnsi="仿宋" w:eastAsia="仿宋" w:cs="仿宋"/>
          <w:b/>
          <w:bCs/>
          <w:color w:val="auto"/>
          <w:sz w:val="24"/>
          <w:highlight w:val="none"/>
        </w:rPr>
        <w:sectPr>
          <w:pgSz w:w="11906" w:h="16839"/>
          <w:pgMar w:top="1440" w:right="1797" w:bottom="1440" w:left="1797" w:header="0" w:footer="994" w:gutter="0"/>
          <w:pgBorders>
            <w:top w:val="none" w:sz="0" w:space="0"/>
            <w:left w:val="none" w:sz="0" w:space="0"/>
            <w:bottom w:val="none" w:sz="0" w:space="0"/>
            <w:right w:val="none" w:sz="0" w:space="0"/>
          </w:pgBorders>
          <w:pgNumType w:fmt="decimal"/>
          <w:cols w:space="720" w:num="1"/>
        </w:sectPr>
      </w:pPr>
      <w:bookmarkStart w:id="271" w:name="_Toc25761"/>
      <w:bookmarkStart w:id="272" w:name="_Toc7782"/>
      <w:bookmarkStart w:id="273" w:name="_Toc11739"/>
      <w:bookmarkStart w:id="274" w:name="_Toc27626"/>
      <w:bookmarkStart w:id="275" w:name="_Toc4670"/>
      <w:bookmarkStart w:id="276" w:name="_Toc25237"/>
      <w:bookmarkStart w:id="277" w:name="_Toc10131"/>
      <w:bookmarkStart w:id="278" w:name="_Toc12135"/>
      <w:bookmarkStart w:id="279" w:name="_Toc12854"/>
      <w:bookmarkStart w:id="280" w:name="_Toc2335"/>
      <w:bookmarkStart w:id="281" w:name="_Toc3750"/>
    </w:p>
    <w:p w14:paraId="36396A02">
      <w:pPr>
        <w:jc w:val="center"/>
        <w:outlineLvl w:val="1"/>
        <w:rPr>
          <w:rFonts w:hint="eastAsia" w:ascii="仿宋" w:hAnsi="仿宋" w:eastAsia="仿宋" w:cs="仿宋"/>
          <w:b/>
          <w:bCs/>
          <w:color w:val="auto"/>
          <w:sz w:val="24"/>
          <w:highlight w:val="none"/>
        </w:rPr>
      </w:pPr>
      <w:bookmarkStart w:id="282" w:name="_Toc10005"/>
      <w:r>
        <w:rPr>
          <w:rFonts w:hint="eastAsia" w:ascii="仿宋" w:hAnsi="仿宋" w:eastAsia="仿宋" w:cs="仿宋"/>
          <w:b/>
          <w:bCs/>
          <w:color w:val="auto"/>
          <w:sz w:val="24"/>
          <w:highlight w:val="none"/>
        </w:rPr>
        <w:t>质疑函范本</w:t>
      </w:r>
      <w:bookmarkEnd w:id="271"/>
      <w:bookmarkEnd w:id="272"/>
      <w:bookmarkEnd w:id="273"/>
      <w:bookmarkEnd w:id="274"/>
      <w:bookmarkEnd w:id="275"/>
      <w:bookmarkEnd w:id="276"/>
      <w:bookmarkEnd w:id="277"/>
      <w:bookmarkEnd w:id="278"/>
      <w:bookmarkEnd w:id="279"/>
      <w:bookmarkEnd w:id="280"/>
      <w:bookmarkEnd w:id="281"/>
      <w:bookmarkEnd w:id="282"/>
    </w:p>
    <w:p w14:paraId="3B5468AE">
      <w:pPr>
        <w:adjustRightInd w:val="0"/>
        <w:snapToGrid w:val="0"/>
        <w:spacing w:line="360" w:lineRule="exact"/>
        <w:outlineLvl w:val="1"/>
        <w:rPr>
          <w:rFonts w:hint="eastAsia" w:ascii="仿宋" w:hAnsi="仿宋" w:eastAsia="仿宋" w:cs="仿宋"/>
          <w:bCs/>
          <w:color w:val="auto"/>
          <w:sz w:val="24"/>
          <w:highlight w:val="none"/>
        </w:rPr>
      </w:pPr>
      <w:bookmarkStart w:id="283" w:name="_Toc7044"/>
      <w:bookmarkStart w:id="284" w:name="_Toc18345"/>
      <w:bookmarkStart w:id="285" w:name="_Toc13218"/>
      <w:bookmarkStart w:id="286" w:name="_Toc9491"/>
      <w:bookmarkStart w:id="287" w:name="_Toc29534"/>
      <w:bookmarkStart w:id="288" w:name="_Toc31020"/>
      <w:bookmarkStart w:id="289" w:name="_Toc28797"/>
      <w:bookmarkStart w:id="290" w:name="_Toc24926"/>
      <w:bookmarkStart w:id="291" w:name="_Toc7776"/>
      <w:bookmarkStart w:id="292" w:name="_Toc6984"/>
      <w:bookmarkStart w:id="293" w:name="_Toc20504"/>
      <w:bookmarkStart w:id="294" w:name="_Toc7347"/>
      <w:bookmarkStart w:id="295" w:name="_Toc32439"/>
      <w:r>
        <w:rPr>
          <w:rFonts w:hint="eastAsia" w:ascii="仿宋" w:hAnsi="仿宋" w:eastAsia="仿宋" w:cs="仿宋"/>
          <w:bCs/>
          <w:color w:val="auto"/>
          <w:sz w:val="24"/>
          <w:highlight w:val="none"/>
        </w:rPr>
        <w:t>一、质疑供应商基本信息</w:t>
      </w:r>
      <w:bookmarkEnd w:id="283"/>
      <w:bookmarkEnd w:id="284"/>
      <w:bookmarkEnd w:id="285"/>
      <w:bookmarkEnd w:id="286"/>
      <w:bookmarkEnd w:id="287"/>
      <w:bookmarkEnd w:id="288"/>
      <w:bookmarkEnd w:id="289"/>
      <w:bookmarkEnd w:id="290"/>
      <w:bookmarkEnd w:id="291"/>
      <w:bookmarkEnd w:id="292"/>
      <w:bookmarkEnd w:id="293"/>
      <w:bookmarkEnd w:id="294"/>
      <w:bookmarkEnd w:id="295"/>
    </w:p>
    <w:p w14:paraId="1B0CD7DB">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1916D072">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C25A283">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F441FCD">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0FFC0351">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1637A66">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0F6F237">
      <w:pPr>
        <w:adjustRightInd w:val="0"/>
        <w:snapToGrid w:val="0"/>
        <w:spacing w:line="360" w:lineRule="exact"/>
        <w:outlineLvl w:val="1"/>
        <w:rPr>
          <w:rFonts w:hint="eastAsia" w:ascii="仿宋" w:hAnsi="仿宋" w:eastAsia="仿宋" w:cs="仿宋"/>
          <w:bCs/>
          <w:color w:val="auto"/>
          <w:sz w:val="24"/>
          <w:highlight w:val="none"/>
        </w:rPr>
      </w:pPr>
      <w:bookmarkStart w:id="296" w:name="_Toc13889"/>
      <w:bookmarkStart w:id="297" w:name="_Toc4409"/>
      <w:bookmarkStart w:id="298" w:name="_Toc27681"/>
      <w:bookmarkStart w:id="299" w:name="_Toc8526"/>
      <w:bookmarkStart w:id="300" w:name="_Toc9204"/>
      <w:bookmarkStart w:id="301" w:name="_Toc12179"/>
      <w:bookmarkStart w:id="302" w:name="_Toc31363"/>
      <w:bookmarkStart w:id="303" w:name="_Toc30222"/>
      <w:bookmarkStart w:id="304" w:name="_Toc32083"/>
      <w:bookmarkStart w:id="305" w:name="_Toc4875"/>
      <w:bookmarkStart w:id="306" w:name="_Toc3694"/>
      <w:bookmarkStart w:id="307" w:name="_Toc226"/>
      <w:bookmarkStart w:id="308" w:name="_Toc20123"/>
      <w:r>
        <w:rPr>
          <w:rFonts w:hint="eastAsia" w:ascii="仿宋" w:hAnsi="仿宋" w:eastAsia="仿宋" w:cs="仿宋"/>
          <w:bCs/>
          <w:color w:val="auto"/>
          <w:sz w:val="24"/>
          <w:highlight w:val="none"/>
        </w:rPr>
        <w:t>二、质疑项目基本情况</w:t>
      </w:r>
      <w:bookmarkEnd w:id="296"/>
      <w:bookmarkEnd w:id="297"/>
      <w:bookmarkEnd w:id="298"/>
      <w:bookmarkEnd w:id="299"/>
      <w:bookmarkEnd w:id="300"/>
      <w:bookmarkEnd w:id="301"/>
      <w:bookmarkEnd w:id="302"/>
      <w:bookmarkEnd w:id="303"/>
      <w:bookmarkEnd w:id="304"/>
      <w:bookmarkEnd w:id="305"/>
      <w:bookmarkEnd w:id="306"/>
      <w:bookmarkEnd w:id="307"/>
      <w:bookmarkEnd w:id="308"/>
    </w:p>
    <w:p w14:paraId="57E3C541">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5D969544">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DEE4874">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3E3DC163">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234ACD34">
      <w:pPr>
        <w:adjustRightInd w:val="0"/>
        <w:snapToGrid w:val="0"/>
        <w:spacing w:line="360" w:lineRule="exact"/>
        <w:outlineLvl w:val="1"/>
        <w:rPr>
          <w:rFonts w:hint="eastAsia" w:ascii="仿宋" w:hAnsi="仿宋" w:eastAsia="仿宋" w:cs="仿宋"/>
          <w:bCs/>
          <w:color w:val="auto"/>
          <w:sz w:val="24"/>
          <w:highlight w:val="none"/>
        </w:rPr>
      </w:pPr>
      <w:bookmarkStart w:id="309" w:name="_Toc21917"/>
      <w:bookmarkStart w:id="310" w:name="_Toc11645"/>
      <w:bookmarkStart w:id="311" w:name="_Toc21644"/>
      <w:bookmarkStart w:id="312" w:name="_Toc12401"/>
      <w:bookmarkStart w:id="313" w:name="_Toc26522"/>
      <w:bookmarkStart w:id="314" w:name="_Toc17103"/>
      <w:bookmarkStart w:id="315" w:name="_Toc17475"/>
      <w:bookmarkStart w:id="316" w:name="_Toc4900"/>
      <w:bookmarkStart w:id="317" w:name="_Toc4978"/>
      <w:bookmarkStart w:id="318" w:name="_Toc12111"/>
      <w:bookmarkStart w:id="319" w:name="_Toc1349"/>
      <w:bookmarkStart w:id="320" w:name="_Toc13843"/>
      <w:r>
        <w:rPr>
          <w:rFonts w:hint="eastAsia" w:ascii="仿宋" w:hAnsi="仿宋" w:eastAsia="仿宋" w:cs="仿宋"/>
          <w:bCs/>
          <w:color w:val="auto"/>
          <w:sz w:val="24"/>
          <w:highlight w:val="none"/>
        </w:rPr>
        <w:t>三、质疑事项具体内容</w:t>
      </w:r>
      <w:bookmarkEnd w:id="309"/>
      <w:bookmarkEnd w:id="310"/>
      <w:bookmarkEnd w:id="311"/>
      <w:bookmarkEnd w:id="312"/>
      <w:bookmarkEnd w:id="313"/>
      <w:bookmarkEnd w:id="314"/>
      <w:bookmarkEnd w:id="315"/>
      <w:bookmarkEnd w:id="316"/>
      <w:bookmarkEnd w:id="317"/>
      <w:bookmarkEnd w:id="318"/>
      <w:bookmarkEnd w:id="319"/>
      <w:bookmarkEnd w:id="320"/>
    </w:p>
    <w:p w14:paraId="198CAF76">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4CEE57B">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7BBF519">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66779DED">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9306617">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16B2755">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35AC24DA">
      <w:pPr>
        <w:adjustRightInd w:val="0"/>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7309F0BC">
      <w:pPr>
        <w:adjustRightInd w:val="0"/>
        <w:snapToGrid w:val="0"/>
        <w:spacing w:line="360" w:lineRule="exact"/>
        <w:outlineLvl w:val="1"/>
        <w:rPr>
          <w:rFonts w:hint="eastAsia" w:ascii="仿宋" w:hAnsi="仿宋" w:eastAsia="仿宋" w:cs="仿宋"/>
          <w:bCs/>
          <w:color w:val="auto"/>
          <w:sz w:val="24"/>
          <w:highlight w:val="none"/>
        </w:rPr>
      </w:pPr>
      <w:bookmarkStart w:id="321" w:name="_Toc11711"/>
      <w:bookmarkStart w:id="322" w:name="_Toc19138"/>
      <w:bookmarkStart w:id="323" w:name="_Toc31962"/>
      <w:bookmarkStart w:id="324" w:name="_Toc15774"/>
      <w:bookmarkStart w:id="325" w:name="_Toc30785"/>
      <w:bookmarkStart w:id="326" w:name="_Toc12953"/>
      <w:bookmarkStart w:id="327" w:name="_Toc28164"/>
      <w:bookmarkStart w:id="328" w:name="_Toc19373"/>
      <w:bookmarkStart w:id="329" w:name="_Toc10522"/>
      <w:bookmarkStart w:id="330" w:name="_Toc11725"/>
      <w:bookmarkStart w:id="331" w:name="_Toc14716"/>
      <w:bookmarkStart w:id="332" w:name="_Toc19561"/>
      <w:bookmarkStart w:id="333" w:name="_Toc29909"/>
      <w:r>
        <w:rPr>
          <w:rFonts w:hint="eastAsia" w:ascii="仿宋" w:hAnsi="仿宋" w:eastAsia="仿宋" w:cs="仿宋"/>
          <w:bCs/>
          <w:color w:val="auto"/>
          <w:sz w:val="24"/>
          <w:highlight w:val="none"/>
        </w:rPr>
        <w:t>四、与质疑事项相关的质疑请求</w:t>
      </w:r>
      <w:bookmarkEnd w:id="321"/>
      <w:bookmarkEnd w:id="322"/>
      <w:bookmarkEnd w:id="323"/>
      <w:bookmarkEnd w:id="324"/>
      <w:bookmarkEnd w:id="325"/>
      <w:bookmarkEnd w:id="326"/>
      <w:bookmarkEnd w:id="327"/>
      <w:bookmarkEnd w:id="328"/>
      <w:bookmarkEnd w:id="329"/>
      <w:bookmarkEnd w:id="330"/>
      <w:bookmarkEnd w:id="331"/>
      <w:bookmarkEnd w:id="332"/>
      <w:bookmarkEnd w:id="333"/>
    </w:p>
    <w:p w14:paraId="03B75F8E">
      <w:pPr>
        <w:adjustRightInd w:val="0"/>
        <w:snapToGrid w:val="0"/>
        <w:spacing w:line="36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523295A7">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89FD451">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A8D597A">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2F94F45B">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27962E3">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2DF586C9">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D4A22C2">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71D0AAD2">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2CD336DB">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bookmarkEnd w:id="205"/>
    <w:p w14:paraId="79083434">
      <w:pPr>
        <w:pStyle w:val="2"/>
        <w:ind w:left="0" w:leftChars="0" w:firstLine="0" w:firstLineChars="0"/>
        <w:rPr>
          <w:rFonts w:hint="eastAsia" w:ascii="仿宋" w:hAnsi="仿宋" w:eastAsia="仿宋" w:cs="仿宋"/>
          <w:bCs/>
          <w:color w:val="auto"/>
          <w:highlight w:val="none"/>
        </w:rPr>
      </w:pPr>
      <w:bookmarkStart w:id="334" w:name="_Toc21748"/>
      <w:bookmarkStart w:id="335" w:name="_Toc515647799"/>
      <w:bookmarkStart w:id="336" w:name="_Toc16186"/>
      <w:bookmarkStart w:id="337" w:name="_Toc11469"/>
    </w:p>
    <w:p w14:paraId="38F4ED33">
      <w:pPr>
        <w:pStyle w:val="2"/>
        <w:ind w:firstLine="0"/>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8EB6774">
      <w:pPr>
        <w:pStyle w:val="5"/>
        <w:spacing w:before="0" w:line="440" w:lineRule="exact"/>
        <w:ind w:left="1080" w:leftChars="257" w:hanging="540"/>
        <w:rPr>
          <w:rFonts w:hint="eastAsia" w:ascii="仿宋" w:hAnsi="仿宋" w:eastAsia="仿宋" w:cs="仿宋"/>
          <w:b w:val="0"/>
          <w:bCs/>
          <w:color w:val="auto"/>
          <w:szCs w:val="24"/>
          <w:highlight w:val="none"/>
        </w:rPr>
      </w:pPr>
      <w:bookmarkStart w:id="338" w:name="_Toc19936"/>
      <w:bookmarkStart w:id="339" w:name="_Toc740"/>
      <w:bookmarkStart w:id="340" w:name="_Toc9461"/>
      <w:r>
        <w:rPr>
          <w:rFonts w:hint="eastAsia" w:ascii="仿宋" w:hAnsi="仿宋" w:eastAsia="仿宋" w:cs="仿宋"/>
          <w:color w:val="auto"/>
          <w:szCs w:val="24"/>
          <w:highlight w:val="none"/>
        </w:rPr>
        <w:t>附件1：履约保证金保函（格式）</w:t>
      </w:r>
      <w:bookmarkEnd w:id="334"/>
      <w:bookmarkEnd w:id="335"/>
      <w:bookmarkEnd w:id="336"/>
      <w:bookmarkEnd w:id="337"/>
      <w:bookmarkEnd w:id="338"/>
      <w:bookmarkEnd w:id="339"/>
      <w:bookmarkEnd w:id="340"/>
    </w:p>
    <w:p w14:paraId="444E8569">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（成交后开具）</w:t>
      </w:r>
    </w:p>
    <w:p w14:paraId="69DCFB91">
      <w:pPr>
        <w:pStyle w:val="16"/>
        <w:spacing w:line="440" w:lineRule="exact"/>
        <w:ind w:left="1080" w:leftChars="257" w:hanging="540"/>
        <w:rPr>
          <w:rFonts w:hint="eastAsia" w:ascii="仿宋" w:hAnsi="仿宋" w:eastAsia="仿宋" w:cs="仿宋"/>
          <w:bCs/>
          <w:color w:val="auto"/>
          <w:sz w:val="24"/>
          <w:highlight w:val="none"/>
        </w:rPr>
      </w:pPr>
    </w:p>
    <w:p w14:paraId="78069CBD">
      <w:pPr>
        <w:pStyle w:val="16"/>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致: (</w:t>
      </w:r>
      <w:r>
        <w:rPr>
          <w:rFonts w:hint="eastAsia" w:ascii="仿宋" w:hAnsi="仿宋" w:eastAsia="仿宋" w:cs="仿宋"/>
          <w:bCs/>
          <w:i/>
          <w:color w:val="auto"/>
          <w:sz w:val="24"/>
          <w:highlight w:val="none"/>
          <w:u w:val="single"/>
        </w:rPr>
        <w:t>买方名称</w:t>
      </w: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号合同履约保函</w:t>
      </w:r>
    </w:p>
    <w:p w14:paraId="0885383D">
      <w:pPr>
        <w:pStyle w:val="16"/>
        <w:spacing w:line="440" w:lineRule="exact"/>
        <w:ind w:left="1080" w:leftChars="257" w:hanging="540"/>
        <w:jc w:val="center"/>
        <w:rPr>
          <w:rFonts w:hint="eastAsia" w:ascii="仿宋" w:hAnsi="仿宋" w:eastAsia="仿宋" w:cs="仿宋"/>
          <w:bCs/>
          <w:color w:val="auto"/>
          <w:sz w:val="24"/>
          <w:highlight w:val="none"/>
        </w:rPr>
      </w:pPr>
    </w:p>
    <w:p w14:paraId="643DA97C">
      <w:pPr>
        <w:pStyle w:val="16"/>
        <w:spacing w:line="440" w:lineRule="exact"/>
        <w:ind w:firstLine="600" w:firstLineChars="2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本保函作为贵方与(</w:t>
      </w:r>
      <w:r>
        <w:rPr>
          <w:rFonts w:hint="eastAsia" w:ascii="仿宋" w:hAnsi="仿宋" w:eastAsia="仿宋" w:cs="仿宋"/>
          <w:bCs/>
          <w:i/>
          <w:color w:val="auto"/>
          <w:sz w:val="24"/>
          <w:highlight w:val="none"/>
          <w:u w:val="single"/>
        </w:rPr>
        <w:t>卖方名称</w:t>
      </w:r>
      <w:r>
        <w:rPr>
          <w:rFonts w:hint="eastAsia" w:ascii="仿宋" w:hAnsi="仿宋" w:eastAsia="仿宋" w:cs="仿宋"/>
          <w:bCs/>
          <w:color w:val="auto"/>
          <w:sz w:val="24"/>
          <w:highlight w:val="none"/>
        </w:rPr>
        <w:t>)(以下简称卖方)于</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日就</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项目(以下简称项目)项下提供(</w:t>
      </w:r>
      <w:r>
        <w:rPr>
          <w:rFonts w:hint="eastAsia" w:ascii="仿宋" w:hAnsi="仿宋" w:eastAsia="仿宋" w:cs="仿宋"/>
          <w:bCs/>
          <w:i/>
          <w:color w:val="auto"/>
          <w:sz w:val="24"/>
          <w:highlight w:val="none"/>
          <w:u w:val="single"/>
        </w:rPr>
        <w:t>货物名称</w:t>
      </w:r>
      <w:r>
        <w:rPr>
          <w:rFonts w:hint="eastAsia" w:ascii="仿宋" w:hAnsi="仿宋" w:eastAsia="仿宋" w:cs="仿宋"/>
          <w:bCs/>
          <w:color w:val="auto"/>
          <w:sz w:val="24"/>
          <w:highlight w:val="none"/>
        </w:rPr>
        <w:t>)(以下简称货物)签订的(</w:t>
      </w:r>
      <w:r>
        <w:rPr>
          <w:rFonts w:hint="eastAsia" w:ascii="仿宋" w:hAnsi="仿宋" w:eastAsia="仿宋" w:cs="仿宋"/>
          <w:bCs/>
          <w:i/>
          <w:color w:val="auto"/>
          <w:sz w:val="24"/>
          <w:highlight w:val="none"/>
          <w:u w:val="single"/>
        </w:rPr>
        <w:t>合同号</w:t>
      </w:r>
      <w:r>
        <w:rPr>
          <w:rFonts w:hint="eastAsia" w:ascii="仿宋" w:hAnsi="仿宋" w:eastAsia="仿宋" w:cs="仿宋"/>
          <w:bCs/>
          <w:color w:val="auto"/>
          <w:sz w:val="24"/>
          <w:highlight w:val="none"/>
        </w:rPr>
        <w:t>)号合同的履约保函。</w:t>
      </w:r>
    </w:p>
    <w:p w14:paraId="2D3D0B67">
      <w:pPr>
        <w:pStyle w:val="16"/>
        <w:spacing w:line="440" w:lineRule="exact"/>
        <w:ind w:firstLine="540" w:firstLineChars="22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w:t>
      </w:r>
      <w:r>
        <w:rPr>
          <w:rFonts w:hint="eastAsia" w:ascii="仿宋" w:hAnsi="仿宋" w:eastAsia="仿宋" w:cs="仿宋"/>
          <w:bCs/>
          <w:i/>
          <w:color w:val="auto"/>
          <w:sz w:val="24"/>
          <w:highlight w:val="none"/>
          <w:u w:val="single"/>
        </w:rPr>
        <w:t>出具保函的银行名称</w:t>
      </w:r>
      <w:r>
        <w:rPr>
          <w:rFonts w:hint="eastAsia" w:ascii="仿宋" w:hAnsi="仿宋" w:eastAsia="仿宋" w:cs="仿宋"/>
          <w:bCs/>
          <w:color w:val="auto"/>
          <w:sz w:val="24"/>
          <w:highlight w:val="none"/>
        </w:rPr>
        <w:t>)(以下简称银行)无条件地、不可撤销地具结保证本行、其继承人和受让人无追索地向贵方以(</w:t>
      </w:r>
      <w:r>
        <w:rPr>
          <w:rFonts w:hint="eastAsia" w:ascii="仿宋" w:hAnsi="仿宋" w:eastAsia="仿宋" w:cs="仿宋"/>
          <w:bCs/>
          <w:i/>
          <w:color w:val="auto"/>
          <w:sz w:val="24"/>
          <w:highlight w:val="none"/>
          <w:u w:val="single"/>
        </w:rPr>
        <w:t>货币名称</w:t>
      </w:r>
      <w:r>
        <w:rPr>
          <w:rFonts w:hint="eastAsia" w:ascii="仿宋" w:hAnsi="仿宋" w:eastAsia="仿宋" w:cs="仿宋"/>
          <w:bCs/>
          <w:color w:val="auto"/>
          <w:sz w:val="24"/>
          <w:highlight w:val="none"/>
        </w:rPr>
        <w:t>)支付总额不超过(</w:t>
      </w:r>
      <w:r>
        <w:rPr>
          <w:rFonts w:hint="eastAsia" w:ascii="仿宋" w:hAnsi="仿宋" w:eastAsia="仿宋" w:cs="仿宋"/>
          <w:bCs/>
          <w:i/>
          <w:color w:val="auto"/>
          <w:sz w:val="24"/>
          <w:highlight w:val="none"/>
          <w:u w:val="single"/>
        </w:rPr>
        <w:t>货币数量</w:t>
      </w:r>
      <w:r>
        <w:rPr>
          <w:rFonts w:hint="eastAsia" w:ascii="仿宋" w:hAnsi="仿宋" w:eastAsia="仿宋" w:cs="仿宋"/>
          <w:bCs/>
          <w:color w:val="auto"/>
          <w:sz w:val="24"/>
          <w:highlight w:val="none"/>
        </w:rPr>
        <w:t>),即相当于合同价格的</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%,并以此约定如下:</w:t>
      </w:r>
    </w:p>
    <w:p w14:paraId="598A7B2C">
      <w:pPr>
        <w:pStyle w:val="16"/>
        <w:spacing w:line="440" w:lineRule="exact"/>
        <w:ind w:left="540" w:leftChars="257"/>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32D74B76">
      <w:pPr>
        <w:pStyle w:val="16"/>
        <w:spacing w:line="440" w:lineRule="exact"/>
        <w:ind w:left="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4CFD2C40">
      <w:pPr>
        <w:pStyle w:val="16"/>
        <w:spacing w:line="440" w:lineRule="exact"/>
        <w:ind w:left="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05872825">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4.本保函在本合同规定的保证期期满前完全有效。</w:t>
      </w:r>
    </w:p>
    <w:p w14:paraId="29C611C3">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谨启</w:t>
      </w:r>
    </w:p>
    <w:p w14:paraId="281434B6">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出具保函银行名称：</w:t>
      </w:r>
      <w:r>
        <w:rPr>
          <w:rFonts w:hint="eastAsia" w:ascii="仿宋" w:hAnsi="仿宋" w:eastAsia="仿宋" w:cs="仿宋"/>
          <w:bCs/>
          <w:color w:val="auto"/>
          <w:sz w:val="24"/>
          <w:highlight w:val="none"/>
          <w:u w:val="single"/>
        </w:rPr>
        <w:t xml:space="preserve">                             </w:t>
      </w:r>
    </w:p>
    <w:p w14:paraId="5BBA992A">
      <w:pPr>
        <w:pStyle w:val="16"/>
        <w:spacing w:line="440" w:lineRule="exact"/>
        <w:ind w:left="1080" w:leftChars="257" w:hanging="54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签字人姓名和职务：</w:t>
      </w:r>
      <w:r>
        <w:rPr>
          <w:rFonts w:hint="eastAsia" w:ascii="仿宋" w:hAnsi="仿宋" w:eastAsia="仿宋" w:cs="仿宋"/>
          <w:bCs/>
          <w:color w:val="auto"/>
          <w:sz w:val="24"/>
          <w:highlight w:val="none"/>
          <w:u w:val="single"/>
        </w:rPr>
        <w:t xml:space="preserve">                             </w:t>
      </w:r>
    </w:p>
    <w:p w14:paraId="2A74017C">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签字人签名：</w:t>
      </w:r>
      <w:r>
        <w:rPr>
          <w:rFonts w:hint="eastAsia" w:ascii="仿宋" w:hAnsi="仿宋" w:eastAsia="仿宋" w:cs="仿宋"/>
          <w:bCs/>
          <w:color w:val="auto"/>
          <w:sz w:val="24"/>
          <w:highlight w:val="none"/>
          <w:u w:val="single"/>
        </w:rPr>
        <w:t xml:space="preserve">                                   </w:t>
      </w:r>
    </w:p>
    <w:p w14:paraId="325A52D3">
      <w:pPr>
        <w:pStyle w:val="16"/>
        <w:spacing w:line="440" w:lineRule="exact"/>
        <w:ind w:left="1080" w:leftChars="257" w:hanging="54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公章：</w:t>
      </w:r>
      <w:r>
        <w:rPr>
          <w:rFonts w:hint="eastAsia" w:ascii="仿宋" w:hAnsi="仿宋" w:eastAsia="仿宋" w:cs="仿宋"/>
          <w:bCs/>
          <w:color w:val="auto"/>
          <w:sz w:val="24"/>
          <w:highlight w:val="none"/>
          <w:u w:val="single"/>
        </w:rPr>
        <w:t xml:space="preserve">                                         </w:t>
      </w:r>
    </w:p>
    <w:p w14:paraId="6C94CE51">
      <w:pPr>
        <w:pStyle w:val="5"/>
        <w:spacing w:before="0" w:line="440" w:lineRule="exact"/>
        <w:ind w:left="1080" w:leftChars="257" w:hanging="540"/>
        <w:rPr>
          <w:rFonts w:hint="eastAsia" w:ascii="仿宋" w:hAnsi="仿宋" w:eastAsia="仿宋" w:cs="仿宋"/>
          <w:color w:val="auto"/>
          <w:szCs w:val="24"/>
          <w:highlight w:val="none"/>
        </w:rPr>
      </w:pPr>
      <w:r>
        <w:rPr>
          <w:rFonts w:hint="eastAsia" w:ascii="仿宋" w:hAnsi="仿宋" w:eastAsia="仿宋" w:cs="仿宋"/>
          <w:b w:val="0"/>
          <w:bCs/>
          <w:color w:val="auto"/>
          <w:highlight w:val="none"/>
        </w:rPr>
        <w:br w:type="page"/>
      </w:r>
      <w:bookmarkStart w:id="341" w:name="_Toc515647800"/>
      <w:bookmarkStart w:id="342" w:name="_Toc243"/>
      <w:bookmarkStart w:id="343" w:name="_Toc10951"/>
      <w:bookmarkStart w:id="344" w:name="_Toc7612"/>
      <w:bookmarkStart w:id="345" w:name="_Toc6548"/>
      <w:bookmarkStart w:id="346" w:name="_Toc14270"/>
      <w:bookmarkStart w:id="347" w:name="_Toc9724"/>
      <w:r>
        <w:rPr>
          <w:rFonts w:hint="eastAsia" w:ascii="仿宋" w:hAnsi="仿宋" w:eastAsia="仿宋" w:cs="仿宋"/>
          <w:color w:val="auto"/>
          <w:szCs w:val="24"/>
          <w:highlight w:val="none"/>
        </w:rPr>
        <w:t>附件2：履约担保函格式</w:t>
      </w:r>
      <w:bookmarkEnd w:id="341"/>
      <w:bookmarkEnd w:id="342"/>
      <w:bookmarkEnd w:id="343"/>
      <w:bookmarkEnd w:id="344"/>
      <w:bookmarkEnd w:id="345"/>
      <w:r>
        <w:rPr>
          <w:rFonts w:hint="eastAsia" w:ascii="仿宋" w:hAnsi="仿宋" w:eastAsia="仿宋" w:cs="仿宋"/>
          <w:color w:val="auto"/>
          <w:szCs w:val="24"/>
          <w:highlight w:val="none"/>
        </w:rPr>
        <w:t xml:space="preserve"> </w:t>
      </w:r>
      <w:bookmarkEnd w:id="346"/>
      <w:bookmarkEnd w:id="347"/>
    </w:p>
    <w:p w14:paraId="60CF2A92">
      <w:pPr>
        <w:pStyle w:val="5"/>
        <w:spacing w:before="0" w:line="440" w:lineRule="exact"/>
        <w:ind w:left="1080" w:leftChars="257" w:hanging="540"/>
        <w:rPr>
          <w:rFonts w:hint="eastAsia" w:ascii="仿宋" w:hAnsi="仿宋" w:eastAsia="仿宋" w:cs="仿宋"/>
          <w:color w:val="auto"/>
          <w:highlight w:val="none"/>
        </w:rPr>
      </w:pPr>
      <w:bookmarkStart w:id="348" w:name="_Toc30861"/>
      <w:bookmarkStart w:id="349" w:name="_Toc162"/>
      <w:bookmarkStart w:id="350" w:name="_Toc13572"/>
      <w:bookmarkStart w:id="351" w:name="_Toc11242"/>
      <w:bookmarkStart w:id="352" w:name="_Toc6128_WPSOffice_Level1"/>
      <w:bookmarkStart w:id="353" w:name="_Toc515647801"/>
      <w:bookmarkStart w:id="354" w:name="_Toc13962"/>
      <w:bookmarkStart w:id="355" w:name="_Toc27946"/>
      <w:r>
        <w:rPr>
          <w:rFonts w:hint="eastAsia" w:ascii="仿宋" w:hAnsi="仿宋" w:eastAsia="仿宋" w:cs="仿宋"/>
          <w:color w:val="auto"/>
          <w:szCs w:val="24"/>
          <w:highlight w:val="none"/>
        </w:rPr>
        <w:t>（采用政府采购信用担保形式时使用）</w:t>
      </w:r>
      <w:bookmarkEnd w:id="348"/>
      <w:bookmarkEnd w:id="349"/>
      <w:bookmarkEnd w:id="350"/>
      <w:bookmarkEnd w:id="351"/>
      <w:bookmarkEnd w:id="352"/>
      <w:bookmarkEnd w:id="353"/>
      <w:bookmarkEnd w:id="354"/>
      <w:bookmarkEnd w:id="355"/>
    </w:p>
    <w:p w14:paraId="57DA5F3A">
      <w:pPr>
        <w:spacing w:line="440" w:lineRule="exact"/>
        <w:ind w:left="1080" w:leftChars="257" w:hanging="540"/>
        <w:rPr>
          <w:rFonts w:hint="eastAsia" w:ascii="仿宋" w:hAnsi="仿宋" w:eastAsia="仿宋" w:cs="仿宋"/>
          <w:bCs/>
          <w:color w:val="auto"/>
          <w:kern w:val="0"/>
          <w:sz w:val="24"/>
          <w:szCs w:val="20"/>
          <w:highlight w:val="none"/>
        </w:rPr>
      </w:pPr>
    </w:p>
    <w:p w14:paraId="1C260A6B">
      <w:pPr>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政府采购履约担保函（项目用）</w:t>
      </w:r>
    </w:p>
    <w:p w14:paraId="32ECFFC0">
      <w:pPr>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编号：</w:t>
      </w:r>
    </w:p>
    <w:p w14:paraId="6C9D6EB2">
      <w:pPr>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（采购人）：</w:t>
      </w:r>
    </w:p>
    <w:p w14:paraId="75CEDBBC">
      <w:pPr>
        <w:spacing w:line="440" w:lineRule="exact"/>
        <w:ind w:firstLine="720" w:firstLineChars="3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鉴于你方与</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（以下简称供应商）于</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日签定编号为   的《</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政府采购合同》（以下简称主合同），且依据该合同的约定，供应商应在</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日前向你方交纳履约保证金，且可以履约担保函的形式交纳履约保证金。应供应商的申请，我方以保证的方式向你方提供如下履约保证金担保：</w:t>
      </w:r>
    </w:p>
    <w:p w14:paraId="43A7D68E">
      <w:pPr>
        <w:spacing w:line="440" w:lineRule="exact"/>
        <w:ind w:firstLine="480" w:firstLineChars="200"/>
        <w:outlineLvl w:val="0"/>
        <w:rPr>
          <w:rFonts w:hint="eastAsia" w:ascii="仿宋" w:hAnsi="仿宋" w:eastAsia="仿宋" w:cs="仿宋"/>
          <w:bCs/>
          <w:color w:val="auto"/>
          <w:sz w:val="24"/>
          <w:highlight w:val="none"/>
        </w:rPr>
      </w:pPr>
      <w:bookmarkStart w:id="356" w:name="_Toc20950_WPSOffice_Level1"/>
      <w:bookmarkStart w:id="357" w:name="_Toc19172"/>
      <w:bookmarkStart w:id="358" w:name="_Toc46"/>
      <w:bookmarkStart w:id="359" w:name="_Toc577"/>
      <w:r>
        <w:rPr>
          <w:rFonts w:hint="eastAsia" w:ascii="仿宋" w:hAnsi="仿宋" w:eastAsia="仿宋" w:cs="仿宋"/>
          <w:bCs/>
          <w:color w:val="auto"/>
          <w:sz w:val="24"/>
          <w:highlight w:val="none"/>
        </w:rPr>
        <w:t>一、保证责任的情形及保证金额</w:t>
      </w:r>
      <w:bookmarkEnd w:id="356"/>
      <w:bookmarkEnd w:id="357"/>
      <w:bookmarkEnd w:id="358"/>
      <w:bookmarkEnd w:id="359"/>
    </w:p>
    <w:p w14:paraId="4DAC0B1D">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（一）在供应商出现下列情形之一时，我方承担保证责任：</w:t>
      </w:r>
    </w:p>
    <w:p w14:paraId="27DE052D">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1．将成交项目转让给他人，或者在响应文件中未说明，且未经</w:t>
      </w:r>
      <w:r>
        <w:rPr>
          <w:rFonts w:hint="eastAsia" w:ascii="仿宋" w:hAnsi="仿宋" w:eastAsia="仿宋" w:cs="仿宋"/>
          <w:bCs/>
          <w:color w:val="auto"/>
          <w:sz w:val="24"/>
          <w:highlight w:val="none"/>
          <w:lang w:eastAsia="zh-CN"/>
        </w:rPr>
        <w:t>采购单位</w:t>
      </w:r>
      <w:r>
        <w:rPr>
          <w:rFonts w:hint="eastAsia" w:ascii="仿宋" w:hAnsi="仿宋" w:eastAsia="仿宋" w:cs="仿宋"/>
          <w:bCs/>
          <w:color w:val="auto"/>
          <w:sz w:val="24"/>
          <w:highlight w:val="none"/>
        </w:rPr>
        <w:t>机构人同意，将成交项目分包给他人的；</w:t>
      </w:r>
    </w:p>
    <w:p w14:paraId="23D10A48">
      <w:pPr>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2．主合同约定的应当缴纳履约保证金的情形: </w:t>
      </w:r>
    </w:p>
    <w:p w14:paraId="6AEDAE5C">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（1）未按主合同约定的质量、数量和期限供应货物/提供服务/完成工程的；</w:t>
      </w:r>
    </w:p>
    <w:p w14:paraId="13FFC4F6">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w:t>
      </w:r>
    </w:p>
    <w:p w14:paraId="50007156">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（二）我方的保证范围是主合同约定的合同价款总额的</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%数额为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元（大写</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），币种为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。（即主合同履约保证金金额）</w:t>
      </w:r>
    </w:p>
    <w:p w14:paraId="6F053F66">
      <w:pPr>
        <w:spacing w:line="440" w:lineRule="exact"/>
        <w:ind w:firstLine="480" w:firstLineChars="200"/>
        <w:outlineLvl w:val="0"/>
        <w:rPr>
          <w:rFonts w:hint="eastAsia" w:ascii="仿宋" w:hAnsi="仿宋" w:eastAsia="仿宋" w:cs="仿宋"/>
          <w:bCs/>
          <w:color w:val="auto"/>
          <w:sz w:val="24"/>
          <w:highlight w:val="none"/>
        </w:rPr>
      </w:pPr>
      <w:bookmarkStart w:id="360" w:name="_Toc24487"/>
      <w:bookmarkStart w:id="361" w:name="_Toc22927"/>
      <w:bookmarkStart w:id="362" w:name="_Toc2311"/>
      <w:bookmarkStart w:id="363" w:name="_Toc7010_WPSOffice_Level1"/>
      <w:r>
        <w:rPr>
          <w:rFonts w:hint="eastAsia" w:ascii="仿宋" w:hAnsi="仿宋" w:eastAsia="仿宋" w:cs="仿宋"/>
          <w:bCs/>
          <w:color w:val="auto"/>
          <w:sz w:val="24"/>
          <w:highlight w:val="none"/>
        </w:rPr>
        <w:t>二、保证的方式及保证期间</w:t>
      </w:r>
      <w:bookmarkEnd w:id="360"/>
      <w:bookmarkEnd w:id="361"/>
      <w:bookmarkEnd w:id="362"/>
      <w:bookmarkEnd w:id="363"/>
    </w:p>
    <w:p w14:paraId="7F1D04C9">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我方保证的方式为：连带责任保证。</w:t>
      </w:r>
    </w:p>
    <w:p w14:paraId="61034191">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我方保证的期间为：自本合同生效之日起至供应商按照主合同约定的供货/完工期限届满后</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日内。</w:t>
      </w:r>
    </w:p>
    <w:p w14:paraId="603E6724">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如果供应商未按主合同约定向贵方供应货物/提供服务/完成工程的，由我方在保证金额内向你方支付上述款项。</w:t>
      </w:r>
    </w:p>
    <w:p w14:paraId="6AD35294">
      <w:pPr>
        <w:spacing w:line="440" w:lineRule="exact"/>
        <w:ind w:firstLine="480" w:firstLineChars="200"/>
        <w:outlineLvl w:val="0"/>
        <w:rPr>
          <w:rFonts w:hint="eastAsia" w:ascii="仿宋" w:hAnsi="仿宋" w:eastAsia="仿宋" w:cs="仿宋"/>
          <w:bCs/>
          <w:color w:val="auto"/>
          <w:sz w:val="24"/>
          <w:highlight w:val="none"/>
        </w:rPr>
      </w:pPr>
      <w:bookmarkStart w:id="364" w:name="_Toc19797"/>
      <w:bookmarkStart w:id="365" w:name="_Toc11265"/>
      <w:bookmarkStart w:id="366" w:name="_Toc2034_WPSOffice_Level1"/>
      <w:bookmarkStart w:id="367" w:name="_Toc16674"/>
      <w:r>
        <w:rPr>
          <w:rFonts w:hint="eastAsia" w:ascii="仿宋" w:hAnsi="仿宋" w:eastAsia="仿宋" w:cs="仿宋"/>
          <w:bCs/>
          <w:color w:val="auto"/>
          <w:sz w:val="24"/>
          <w:highlight w:val="none"/>
        </w:rPr>
        <w:t>三、承担保证责任的程序</w:t>
      </w:r>
      <w:bookmarkEnd w:id="364"/>
      <w:bookmarkEnd w:id="365"/>
      <w:bookmarkEnd w:id="366"/>
      <w:bookmarkEnd w:id="367"/>
    </w:p>
    <w:p w14:paraId="445003A9">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2E1B938B">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如果你方与供应商因货物质量问题产生争议，你方还需同时提供</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部门出具的质量检测报告，或经诉讼（仲裁）程序裁决后的裁决书、调解书，本保证人即按照检测结果或裁决书、调解书决定是否承担保证责任。</w:t>
      </w:r>
    </w:p>
    <w:p w14:paraId="144CFB89">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 我方收到你方的书面索赔通知及相应证明材料，在</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工作日内进行核定后按照本保函的承诺承担保证责任。</w:t>
      </w:r>
    </w:p>
    <w:p w14:paraId="59CB725E">
      <w:pPr>
        <w:spacing w:line="440" w:lineRule="exact"/>
        <w:ind w:firstLine="480" w:firstLineChars="200"/>
        <w:outlineLvl w:val="0"/>
        <w:rPr>
          <w:rFonts w:hint="eastAsia" w:ascii="仿宋" w:hAnsi="仿宋" w:eastAsia="仿宋" w:cs="仿宋"/>
          <w:bCs/>
          <w:color w:val="auto"/>
          <w:sz w:val="24"/>
          <w:highlight w:val="none"/>
        </w:rPr>
      </w:pPr>
      <w:bookmarkStart w:id="368" w:name="_Toc11080"/>
      <w:bookmarkStart w:id="369" w:name="_Toc176"/>
      <w:bookmarkStart w:id="370" w:name="_Toc6617_WPSOffice_Level1"/>
      <w:bookmarkStart w:id="371" w:name="_Toc21624"/>
      <w:r>
        <w:rPr>
          <w:rFonts w:hint="eastAsia" w:ascii="仿宋" w:hAnsi="仿宋" w:eastAsia="仿宋" w:cs="仿宋"/>
          <w:bCs/>
          <w:color w:val="auto"/>
          <w:sz w:val="24"/>
          <w:highlight w:val="none"/>
        </w:rPr>
        <w:t>四、保证责任的终止</w:t>
      </w:r>
      <w:bookmarkEnd w:id="368"/>
      <w:bookmarkEnd w:id="369"/>
      <w:bookmarkEnd w:id="370"/>
      <w:bookmarkEnd w:id="371"/>
    </w:p>
    <w:p w14:paraId="10C32C7E">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0AA0CFAA">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2．我方按照本保函向你方履行了保证责任后，自我方向你方支付款项（支付款项从我方账户划出）之日起，保证责任即终止。</w:t>
      </w:r>
    </w:p>
    <w:p w14:paraId="13E558FA">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3．按照法律法规的规定或出现应终止我方保证责任的其它情形的，我方在本保函项下的保证责任亦终止。</w:t>
      </w:r>
    </w:p>
    <w:p w14:paraId="29440AF7">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4E9A6DDC">
      <w:pPr>
        <w:spacing w:line="440" w:lineRule="exact"/>
        <w:ind w:firstLine="480" w:firstLineChars="200"/>
        <w:outlineLvl w:val="0"/>
        <w:rPr>
          <w:rFonts w:hint="eastAsia" w:ascii="仿宋" w:hAnsi="仿宋" w:eastAsia="仿宋" w:cs="仿宋"/>
          <w:bCs/>
          <w:color w:val="auto"/>
          <w:sz w:val="24"/>
          <w:highlight w:val="none"/>
        </w:rPr>
      </w:pPr>
      <w:bookmarkStart w:id="372" w:name="_Toc975_WPSOffice_Level1"/>
      <w:bookmarkStart w:id="373" w:name="_Toc10998"/>
      <w:bookmarkStart w:id="374" w:name="_Toc4696"/>
      <w:bookmarkStart w:id="375" w:name="_Toc2705"/>
      <w:r>
        <w:rPr>
          <w:rFonts w:hint="eastAsia" w:ascii="仿宋" w:hAnsi="仿宋" w:eastAsia="仿宋" w:cs="仿宋"/>
          <w:bCs/>
          <w:color w:val="auto"/>
          <w:sz w:val="24"/>
          <w:highlight w:val="none"/>
        </w:rPr>
        <w:t>五、免责条款</w:t>
      </w:r>
      <w:bookmarkEnd w:id="372"/>
      <w:bookmarkEnd w:id="373"/>
      <w:bookmarkEnd w:id="374"/>
      <w:bookmarkEnd w:id="375"/>
    </w:p>
    <w:p w14:paraId="214BCDF9">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1．因你方违反主合同约定致使供应商不能履行义务的，我方不承担保证责任。</w:t>
      </w:r>
    </w:p>
    <w:p w14:paraId="482BA6ED">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2．依照法律法规的规定或你方与供应商的另行约定，全部或者部分免除供应商应缴纳的保证金义务的，我方亦免除相应的保证责任。</w:t>
      </w:r>
    </w:p>
    <w:p w14:paraId="0316C6C9">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3．因不可抗力造成供应商不能履行供货义务的，我方不承担保证责任。</w:t>
      </w:r>
    </w:p>
    <w:p w14:paraId="2CFE90BF">
      <w:pPr>
        <w:spacing w:line="440" w:lineRule="exact"/>
        <w:ind w:firstLine="480" w:firstLineChars="200"/>
        <w:outlineLvl w:val="0"/>
        <w:rPr>
          <w:rFonts w:hint="eastAsia" w:ascii="仿宋" w:hAnsi="仿宋" w:eastAsia="仿宋" w:cs="仿宋"/>
          <w:bCs/>
          <w:color w:val="auto"/>
          <w:sz w:val="24"/>
          <w:highlight w:val="none"/>
        </w:rPr>
      </w:pPr>
      <w:bookmarkStart w:id="376" w:name="_Toc13211_WPSOffice_Level1"/>
      <w:bookmarkStart w:id="377" w:name="_Toc12431"/>
      <w:bookmarkStart w:id="378" w:name="_Toc29320"/>
      <w:bookmarkStart w:id="379" w:name="_Toc21132"/>
      <w:r>
        <w:rPr>
          <w:rFonts w:hint="eastAsia" w:ascii="仿宋" w:hAnsi="仿宋" w:eastAsia="仿宋" w:cs="仿宋"/>
          <w:bCs/>
          <w:color w:val="auto"/>
          <w:sz w:val="24"/>
          <w:highlight w:val="none"/>
        </w:rPr>
        <w:t>六、争议的解决</w:t>
      </w:r>
      <w:bookmarkEnd w:id="376"/>
      <w:bookmarkEnd w:id="377"/>
      <w:bookmarkEnd w:id="378"/>
      <w:bookmarkEnd w:id="379"/>
    </w:p>
    <w:p w14:paraId="16785ACF">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因本保函发生的纠纷，由你我双方协商解决，协商不成的，通过诉讼程序解决，诉讼管辖地法院为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法院。</w:t>
      </w:r>
    </w:p>
    <w:p w14:paraId="69D77458">
      <w:pPr>
        <w:spacing w:line="440" w:lineRule="exact"/>
        <w:ind w:firstLine="480" w:firstLineChars="200"/>
        <w:outlineLvl w:val="0"/>
        <w:rPr>
          <w:rFonts w:hint="eastAsia" w:ascii="仿宋" w:hAnsi="仿宋" w:eastAsia="仿宋" w:cs="仿宋"/>
          <w:bCs/>
          <w:color w:val="auto"/>
          <w:sz w:val="24"/>
          <w:highlight w:val="none"/>
        </w:rPr>
      </w:pPr>
      <w:bookmarkStart w:id="380" w:name="_Toc1301"/>
      <w:bookmarkStart w:id="381" w:name="_Toc6488"/>
      <w:bookmarkStart w:id="382" w:name="_Toc13597_WPSOffice_Level1"/>
      <w:bookmarkStart w:id="383" w:name="_Toc4485"/>
      <w:r>
        <w:rPr>
          <w:rFonts w:hint="eastAsia" w:ascii="仿宋" w:hAnsi="仿宋" w:eastAsia="仿宋" w:cs="仿宋"/>
          <w:bCs/>
          <w:color w:val="auto"/>
          <w:sz w:val="24"/>
          <w:highlight w:val="none"/>
        </w:rPr>
        <w:t>七、保函的生效</w:t>
      </w:r>
      <w:bookmarkEnd w:id="380"/>
      <w:bookmarkEnd w:id="381"/>
      <w:bookmarkEnd w:id="382"/>
      <w:bookmarkEnd w:id="383"/>
    </w:p>
    <w:p w14:paraId="23DC0489">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本保函自我方加盖公章之日起生效。                   保证人：（公章）</w:t>
      </w:r>
    </w:p>
    <w:p w14:paraId="18B36F14">
      <w:pPr>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p>
    <w:p w14:paraId="36489C48">
      <w:pPr>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年     月      日</w:t>
      </w:r>
    </w:p>
    <w:p w14:paraId="0432DC5F">
      <w:pPr>
        <w:spacing w:line="440" w:lineRule="exact"/>
        <w:rPr>
          <w:rFonts w:hint="eastAsia" w:ascii="仿宋" w:hAnsi="仿宋" w:eastAsia="仿宋" w:cs="仿宋"/>
          <w:bCs/>
          <w:color w:val="auto"/>
          <w:highlight w:val="none"/>
        </w:rPr>
      </w:pPr>
      <w:r>
        <w:rPr>
          <w:rFonts w:hint="eastAsia" w:ascii="仿宋" w:hAnsi="仿宋" w:eastAsia="仿宋" w:cs="仿宋"/>
          <w:bCs/>
          <w:color w:val="auto"/>
          <w:sz w:val="24"/>
          <w:highlight w:val="none"/>
        </w:rPr>
        <w:br w:type="page"/>
      </w:r>
    </w:p>
    <w:p w14:paraId="29627AC2">
      <w:pPr>
        <w:pStyle w:val="4"/>
        <w:numPr>
          <w:ilvl w:val="0"/>
          <w:numId w:val="8"/>
        </w:numPr>
        <w:spacing w:before="0" w:after="0" w:line="440" w:lineRule="exact"/>
        <w:ind w:left="3180" w:leftChars="0" w:firstLineChars="0"/>
        <w:jc w:val="left"/>
        <w:rPr>
          <w:rFonts w:hint="eastAsia" w:ascii="仿宋" w:hAnsi="仿宋" w:eastAsia="仿宋" w:cs="仿宋"/>
          <w:color w:val="auto"/>
          <w:sz w:val="24"/>
          <w:highlight w:val="none"/>
        </w:rPr>
      </w:pPr>
      <w:bookmarkStart w:id="384" w:name="_Toc515647802"/>
      <w:bookmarkStart w:id="385" w:name="_Toc728"/>
      <w:bookmarkStart w:id="386" w:name="_Toc216582812"/>
      <w:bookmarkStart w:id="387" w:name="_Toc19692"/>
      <w:bookmarkStart w:id="388" w:name="_Toc702"/>
      <w:r>
        <w:rPr>
          <w:rFonts w:hint="eastAsia" w:ascii="仿宋" w:hAnsi="仿宋" w:eastAsia="仿宋" w:cs="仿宋"/>
          <w:color w:val="auto"/>
          <w:highlight w:val="none"/>
          <w:lang w:val="en-US" w:eastAsia="zh-CN"/>
        </w:rPr>
        <w:t xml:space="preserve">   </w:t>
      </w:r>
      <w:bookmarkStart w:id="389" w:name="_Toc29667"/>
      <w:r>
        <w:rPr>
          <w:rFonts w:hint="eastAsia" w:ascii="仿宋" w:hAnsi="仿宋" w:eastAsia="仿宋" w:cs="仿宋"/>
          <w:color w:val="auto"/>
          <w:highlight w:val="none"/>
        </w:rPr>
        <w:t>响应文件格式</w:t>
      </w:r>
      <w:bookmarkEnd w:id="384"/>
      <w:bookmarkEnd w:id="385"/>
      <w:bookmarkEnd w:id="386"/>
      <w:bookmarkEnd w:id="387"/>
      <w:bookmarkEnd w:id="388"/>
      <w:bookmarkEnd w:id="389"/>
      <w:bookmarkStart w:id="390" w:name="_Toc18694"/>
      <w:bookmarkStart w:id="391" w:name="_Toc18974"/>
      <w:bookmarkStart w:id="392" w:name="_Toc515647803"/>
      <w:bookmarkStart w:id="393" w:name="_Toc6220"/>
    </w:p>
    <w:p w14:paraId="087B4E2D">
      <w:pPr>
        <w:pStyle w:val="5"/>
        <w:spacing w:before="0" w:line="440" w:lineRule="exact"/>
        <w:ind w:left="1080" w:leftChars="257" w:hanging="540"/>
        <w:rPr>
          <w:rFonts w:hint="eastAsia" w:ascii="仿宋" w:hAnsi="仿宋" w:eastAsia="仿宋" w:cs="仿宋"/>
          <w:color w:val="auto"/>
          <w:sz w:val="24"/>
          <w:highlight w:val="none"/>
        </w:rPr>
      </w:pPr>
      <w:bookmarkStart w:id="394" w:name="_Toc18432"/>
      <w:r>
        <w:rPr>
          <w:rFonts w:hint="eastAsia" w:ascii="仿宋" w:hAnsi="仿宋" w:eastAsia="仿宋" w:cs="仿宋"/>
          <w:color w:val="auto"/>
          <w:sz w:val="24"/>
          <w:highlight w:val="none"/>
        </w:rPr>
        <w:t>第一部分 报价一览表及资格证明文件</w:t>
      </w:r>
      <w:bookmarkEnd w:id="390"/>
      <w:bookmarkEnd w:id="391"/>
      <w:bookmarkEnd w:id="392"/>
      <w:bookmarkEnd w:id="393"/>
      <w:bookmarkEnd w:id="394"/>
    </w:p>
    <w:p w14:paraId="06E27D01">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1、开标一览表；</w:t>
      </w:r>
    </w:p>
    <w:p w14:paraId="37DFA8A8">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2、具有独立法人资格（三证合一的营业执照）； </w:t>
      </w:r>
    </w:p>
    <w:p w14:paraId="7AA437D2">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color w:val="auto"/>
          <w:sz w:val="24"/>
          <w:szCs w:val="24"/>
          <w:highlight w:val="none"/>
          <w:lang w:val="en-US" w:eastAsia="zh-CN"/>
        </w:rPr>
        <w:t>法人代表资格证明书及授权书、被授权人身份证(法人投标具备法人身份证及法人代表资格证明书)；</w:t>
      </w:r>
      <w:r>
        <w:rPr>
          <w:rFonts w:hint="eastAsia" w:ascii="仿宋" w:hAnsi="仿宋" w:eastAsia="仿宋" w:cs="仿宋"/>
          <w:bCs/>
          <w:color w:val="auto"/>
          <w:sz w:val="24"/>
          <w:highlight w:val="none"/>
        </w:rPr>
        <w:t xml:space="preserve"> </w:t>
      </w:r>
    </w:p>
    <w:p w14:paraId="50746A92">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w:t>
      </w:r>
      <w:r>
        <w:rPr>
          <w:rFonts w:hint="eastAsia" w:ascii="仿宋" w:hAnsi="仿宋" w:eastAsia="仿宋" w:cs="仿宋"/>
          <w:color w:val="auto"/>
          <w:sz w:val="24"/>
          <w:szCs w:val="24"/>
          <w:highlight w:val="none"/>
          <w:lang w:val="en-US" w:eastAsia="zh-CN"/>
        </w:rPr>
        <w:t>被授权委托人参与投标需提供在本单位缴纳连续近三个月内任意一个月的社保证明（单位社保缴费凭证和个人明细表）；法定代表人参与投标需提供本单位社保缴费凭证；</w:t>
      </w:r>
      <w:r>
        <w:rPr>
          <w:rFonts w:hint="eastAsia" w:ascii="仿宋" w:hAnsi="仿宋" w:eastAsia="仿宋" w:cs="仿宋"/>
          <w:bCs/>
          <w:color w:val="auto"/>
          <w:sz w:val="24"/>
          <w:highlight w:val="none"/>
        </w:rPr>
        <w:t xml:space="preserve"> </w:t>
      </w:r>
    </w:p>
    <w:p w14:paraId="2DA3578C">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w:t>
      </w:r>
      <w:r>
        <w:rPr>
          <w:rFonts w:hint="eastAsia" w:ascii="仿宋" w:hAnsi="仿宋" w:eastAsia="仿宋" w:cs="仿宋"/>
          <w:color w:val="auto"/>
          <w:sz w:val="24"/>
          <w:szCs w:val="24"/>
          <w:highlight w:val="none"/>
          <w:lang w:val="en-US" w:eastAsia="zh-CN"/>
        </w:rPr>
        <w:t>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实施条例》第十九条规定的行政处罚记录的，将被认定为投标无效。（须提供本条款明确的网站查询截屏或导出的证明性材料，并加盖公章，查询时间为公告发布之日起至投标截止时间止）；</w:t>
      </w:r>
    </w:p>
    <w:p w14:paraId="10BB1C46">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6、税务部门出具的连续近三个月内任意一个月的完税证明（零申报需加盖税 务机关章）； </w:t>
      </w:r>
    </w:p>
    <w:p w14:paraId="1CD97693">
      <w:pPr>
        <w:spacing w:line="480" w:lineRule="auto"/>
        <w:ind w:left="479" w:leftChars="228" w:firstLine="0" w:firstLineChars="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w:t>
      </w:r>
      <w:r>
        <w:rPr>
          <w:rFonts w:hint="eastAsia" w:ascii="仿宋" w:hAnsi="仿宋" w:eastAsia="仿宋" w:cs="仿宋"/>
          <w:color w:val="auto"/>
          <w:sz w:val="24"/>
          <w:szCs w:val="24"/>
          <w:highlight w:val="none"/>
          <w:lang w:val="en-US" w:eastAsia="zh-CN"/>
        </w:rPr>
        <w:t>参加政府采购活动前3年内在经营活动中没有重大违法记录的书面声明；</w:t>
      </w:r>
      <w:r>
        <w:rPr>
          <w:rFonts w:hint="eastAsia" w:ascii="仿宋" w:hAnsi="仿宋" w:eastAsia="仿宋" w:cs="仿宋"/>
          <w:bCs/>
          <w:color w:val="auto"/>
          <w:sz w:val="24"/>
          <w:highlight w:val="none"/>
        </w:rPr>
        <w:t xml:space="preserve">8、投标单位（供应商）针对本次项目《反商业贿赂承诺书》； </w:t>
      </w:r>
    </w:p>
    <w:p w14:paraId="6049BD67">
      <w:pPr>
        <w:spacing w:line="480" w:lineRule="auto"/>
        <w:ind w:firstLine="480" w:firstLineChars="20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9、</w:t>
      </w:r>
      <w:r>
        <w:rPr>
          <w:rFonts w:hint="eastAsia" w:ascii="仿宋" w:hAnsi="仿宋" w:eastAsia="仿宋" w:cs="仿宋"/>
          <w:bCs/>
          <w:color w:val="auto"/>
          <w:sz w:val="24"/>
          <w:highlight w:val="none"/>
          <w:lang w:eastAsia="zh-CN"/>
        </w:rPr>
        <w:t>供应商为厂家的需具备食品生产许可证，供应商为经销商的需具备食品经营许可证或仅销售预包装食品备案表。</w:t>
      </w:r>
    </w:p>
    <w:p w14:paraId="0D336ACA">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val="en-US" w:eastAsia="zh-CN"/>
        </w:rPr>
        <w:t>0</w:t>
      </w:r>
      <w:r>
        <w:rPr>
          <w:rFonts w:hint="eastAsia" w:ascii="仿宋" w:hAnsi="仿宋" w:eastAsia="仿宋" w:cs="仿宋"/>
          <w:bCs/>
          <w:color w:val="auto"/>
          <w:sz w:val="24"/>
          <w:highlight w:val="none"/>
        </w:rPr>
        <w:t>、本项目不接受联合体投标。（格式自拟）</w:t>
      </w:r>
    </w:p>
    <w:p w14:paraId="6210EE15">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en-US" w:eastAsia="zh-CN"/>
        </w:rPr>
        <w:t>缴纳投标保证金回执单</w:t>
      </w:r>
      <w:r>
        <w:rPr>
          <w:rFonts w:hint="eastAsia" w:ascii="仿宋" w:hAnsi="仿宋" w:eastAsia="仿宋" w:cs="仿宋"/>
          <w:bCs/>
          <w:color w:val="auto"/>
          <w:sz w:val="24"/>
          <w:highlight w:val="none"/>
        </w:rPr>
        <w:t>或保函。</w:t>
      </w:r>
    </w:p>
    <w:p w14:paraId="52CB1845">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、供应商可提供有利于投标的其他证明材料。</w:t>
      </w:r>
      <w:r>
        <w:rPr>
          <w:rFonts w:hint="eastAsia" w:ascii="仿宋" w:hAnsi="仿宋" w:eastAsia="仿宋" w:cs="仿宋"/>
          <w:bCs/>
          <w:color w:val="auto"/>
          <w:sz w:val="24"/>
          <w:highlight w:val="none"/>
        </w:rPr>
        <w:br w:type="page"/>
      </w:r>
    </w:p>
    <w:p w14:paraId="0560E262">
      <w:pPr>
        <w:pStyle w:val="5"/>
        <w:spacing w:before="0" w:line="440" w:lineRule="exact"/>
        <w:ind w:left="1080" w:leftChars="257" w:hanging="540"/>
        <w:jc w:val="center"/>
        <w:rPr>
          <w:rFonts w:hint="eastAsia" w:ascii="仿宋" w:hAnsi="仿宋" w:eastAsia="仿宋" w:cs="仿宋"/>
          <w:b w:val="0"/>
          <w:bCs/>
          <w:color w:val="auto"/>
          <w:sz w:val="24"/>
          <w:szCs w:val="24"/>
          <w:highlight w:val="none"/>
        </w:rPr>
      </w:pPr>
      <w:bookmarkStart w:id="395" w:name="_Toc515647804"/>
      <w:bookmarkStart w:id="396" w:name="_Toc31006"/>
      <w:bookmarkStart w:id="397" w:name="_Toc14309"/>
      <w:bookmarkStart w:id="398" w:name="_Toc16568"/>
      <w:bookmarkStart w:id="399" w:name="_Toc30524"/>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报价一览表（响应文件格式一）</w:t>
      </w:r>
      <w:bookmarkEnd w:id="395"/>
      <w:bookmarkEnd w:id="396"/>
      <w:bookmarkEnd w:id="397"/>
      <w:bookmarkEnd w:id="398"/>
      <w:bookmarkEnd w:id="399"/>
    </w:p>
    <w:p w14:paraId="28D64290">
      <w:pPr>
        <w:spacing w:line="360" w:lineRule="exact"/>
        <w:jc w:val="center"/>
        <w:rPr>
          <w:rFonts w:hint="eastAsia" w:ascii="仿宋" w:hAnsi="仿宋" w:eastAsia="仿宋" w:cs="仿宋"/>
          <w:color w:val="auto"/>
          <w:sz w:val="24"/>
          <w:highlight w:val="none"/>
        </w:rPr>
      </w:pPr>
      <w:bookmarkStart w:id="400" w:name="_Hlt520356241"/>
      <w:bookmarkEnd w:id="400"/>
      <w:bookmarkStart w:id="401" w:name="_Toc520356217"/>
      <w:bookmarkStart w:id="402" w:name="_Ref467988698"/>
      <w:bookmarkStart w:id="403" w:name="_Toc216582813"/>
      <w:bookmarkStart w:id="404" w:name="_Toc480942349"/>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lang w:eastAsia="zh-CN"/>
        </w:rPr>
        <w:t>标段号：</w:t>
      </w:r>
      <w:r>
        <w:rPr>
          <w:rFonts w:hint="eastAsia" w:ascii="仿宋" w:hAnsi="仿宋" w:eastAsia="仿宋" w:cs="仿宋"/>
          <w:color w:val="auto"/>
          <w:sz w:val="24"/>
          <w:highlight w:val="none"/>
        </w:rPr>
        <w:t xml:space="preserve">                    币种：人民币</w:t>
      </w:r>
    </w:p>
    <w:tbl>
      <w:tblPr>
        <w:tblStyle w:val="39"/>
        <w:tblW w:w="8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2"/>
        <w:gridCol w:w="2735"/>
        <w:gridCol w:w="1163"/>
        <w:gridCol w:w="2159"/>
        <w:gridCol w:w="1633"/>
      </w:tblGrid>
      <w:tr w14:paraId="73BC0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4" w:hRule="atLeast"/>
          <w:jc w:val="center"/>
        </w:trPr>
        <w:tc>
          <w:tcPr>
            <w:tcW w:w="422" w:type="dxa"/>
            <w:tcBorders>
              <w:top w:val="single" w:color="000000" w:sz="2" w:space="0"/>
              <w:left w:val="single" w:color="000000" w:sz="2" w:space="0"/>
              <w:right w:val="single" w:color="000000" w:sz="2" w:space="0"/>
            </w:tcBorders>
            <w:noWrap w:val="0"/>
            <w:vAlign w:val="center"/>
          </w:tcPr>
          <w:p w14:paraId="54CF608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735" w:type="dxa"/>
            <w:tcBorders>
              <w:top w:val="single" w:color="000000" w:sz="2" w:space="0"/>
              <w:left w:val="single" w:color="auto" w:sz="4" w:space="0"/>
              <w:right w:val="single" w:color="auto" w:sz="4" w:space="0"/>
            </w:tcBorders>
            <w:noWrap w:val="0"/>
            <w:vAlign w:val="center"/>
          </w:tcPr>
          <w:p w14:paraId="4758E3BA">
            <w:pPr>
              <w:widowControl/>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项目名称</w:t>
            </w:r>
          </w:p>
        </w:tc>
        <w:tc>
          <w:tcPr>
            <w:tcW w:w="3322" w:type="dxa"/>
            <w:gridSpan w:val="2"/>
            <w:tcBorders>
              <w:top w:val="single" w:color="000000" w:sz="2" w:space="0"/>
              <w:left w:val="single" w:color="auto" w:sz="4" w:space="0"/>
              <w:right w:val="single" w:color="auto" w:sz="4" w:space="0"/>
            </w:tcBorders>
            <w:noWrap w:val="0"/>
            <w:vAlign w:val="center"/>
          </w:tcPr>
          <w:p w14:paraId="4689646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报价（元）</w:t>
            </w:r>
          </w:p>
        </w:tc>
        <w:tc>
          <w:tcPr>
            <w:tcW w:w="1633" w:type="dxa"/>
            <w:tcBorders>
              <w:top w:val="single" w:color="000000" w:sz="2" w:space="0"/>
              <w:left w:val="single" w:color="auto" w:sz="4" w:space="0"/>
              <w:right w:val="single" w:color="000000" w:sz="2" w:space="0"/>
            </w:tcBorders>
            <w:noWrap w:val="0"/>
            <w:vAlign w:val="center"/>
          </w:tcPr>
          <w:p w14:paraId="41E2084C">
            <w:pPr>
              <w:widowControl/>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7074C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7" w:hRule="atLeast"/>
          <w:jc w:val="center"/>
        </w:trPr>
        <w:tc>
          <w:tcPr>
            <w:tcW w:w="422" w:type="dxa"/>
            <w:vMerge w:val="restart"/>
            <w:tcBorders>
              <w:left w:val="single" w:color="000000" w:sz="2" w:space="0"/>
              <w:right w:val="single" w:color="000000" w:sz="2" w:space="0"/>
            </w:tcBorders>
            <w:noWrap w:val="0"/>
            <w:vAlign w:val="center"/>
          </w:tcPr>
          <w:p w14:paraId="6ED952E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735" w:type="dxa"/>
            <w:vMerge w:val="restart"/>
            <w:tcBorders>
              <w:top w:val="single" w:color="auto" w:sz="4" w:space="0"/>
              <w:left w:val="single" w:color="auto" w:sz="4" w:space="0"/>
              <w:right w:val="single" w:color="auto" w:sz="4" w:space="0"/>
            </w:tcBorders>
            <w:noWrap w:val="0"/>
            <w:vAlign w:val="center"/>
          </w:tcPr>
          <w:p w14:paraId="25533BF4">
            <w:pPr>
              <w:widowControl/>
              <w:spacing w:line="360" w:lineRule="auto"/>
              <w:jc w:val="center"/>
              <w:rPr>
                <w:rFonts w:hint="eastAsia" w:ascii="仿宋" w:hAnsi="仿宋" w:eastAsia="仿宋" w:cs="仿宋"/>
                <w:color w:val="auto"/>
                <w:kern w:val="0"/>
                <w:sz w:val="24"/>
                <w:highlight w:val="none"/>
                <w:lang w:eastAsia="zh-CN"/>
              </w:rPr>
            </w:pPr>
          </w:p>
        </w:tc>
        <w:tc>
          <w:tcPr>
            <w:tcW w:w="1163" w:type="dxa"/>
            <w:tcBorders>
              <w:top w:val="single" w:color="auto" w:sz="4" w:space="0"/>
              <w:left w:val="single" w:color="auto" w:sz="4" w:space="0"/>
              <w:right w:val="single" w:color="auto" w:sz="4" w:space="0"/>
            </w:tcBorders>
            <w:noWrap w:val="0"/>
            <w:vAlign w:val="center"/>
          </w:tcPr>
          <w:p w14:paraId="00DE346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小写</w:t>
            </w:r>
          </w:p>
        </w:tc>
        <w:tc>
          <w:tcPr>
            <w:tcW w:w="2159" w:type="dxa"/>
            <w:tcBorders>
              <w:left w:val="single" w:color="auto" w:sz="4" w:space="0"/>
              <w:right w:val="single" w:color="auto" w:sz="4" w:space="0"/>
            </w:tcBorders>
            <w:noWrap w:val="0"/>
            <w:vAlign w:val="center"/>
          </w:tcPr>
          <w:p w14:paraId="5069EA0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633" w:type="dxa"/>
            <w:vMerge w:val="restart"/>
            <w:tcBorders>
              <w:left w:val="single" w:color="auto" w:sz="4" w:space="0"/>
              <w:right w:val="single" w:color="000000" w:sz="2" w:space="0"/>
            </w:tcBorders>
            <w:noWrap w:val="0"/>
            <w:vAlign w:val="center"/>
          </w:tcPr>
          <w:p w14:paraId="026661BD">
            <w:pPr>
              <w:widowControl/>
              <w:spacing w:line="360" w:lineRule="auto"/>
              <w:jc w:val="center"/>
              <w:rPr>
                <w:rFonts w:hint="eastAsia" w:ascii="仿宋" w:hAnsi="仿宋" w:eastAsia="仿宋" w:cs="仿宋"/>
                <w:color w:val="auto"/>
                <w:sz w:val="24"/>
                <w:highlight w:val="none"/>
              </w:rPr>
            </w:pPr>
          </w:p>
        </w:tc>
      </w:tr>
      <w:tr w14:paraId="08513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79" w:hRule="atLeast"/>
          <w:jc w:val="center"/>
        </w:trPr>
        <w:tc>
          <w:tcPr>
            <w:tcW w:w="422" w:type="dxa"/>
            <w:vMerge w:val="continue"/>
            <w:tcBorders>
              <w:left w:val="single" w:color="000000" w:sz="2" w:space="0"/>
              <w:right w:val="single" w:color="000000" w:sz="2" w:space="0"/>
            </w:tcBorders>
            <w:noWrap w:val="0"/>
            <w:vAlign w:val="center"/>
          </w:tcPr>
          <w:p w14:paraId="17957F58">
            <w:pPr>
              <w:spacing w:line="360" w:lineRule="auto"/>
              <w:jc w:val="center"/>
              <w:rPr>
                <w:rFonts w:hint="eastAsia" w:ascii="仿宋" w:hAnsi="仿宋" w:eastAsia="仿宋" w:cs="仿宋"/>
                <w:color w:val="auto"/>
                <w:sz w:val="24"/>
                <w:highlight w:val="none"/>
              </w:rPr>
            </w:pPr>
          </w:p>
        </w:tc>
        <w:tc>
          <w:tcPr>
            <w:tcW w:w="2735" w:type="dxa"/>
            <w:vMerge w:val="continue"/>
            <w:tcBorders>
              <w:left w:val="single" w:color="auto" w:sz="4" w:space="0"/>
              <w:bottom w:val="single" w:color="000000" w:sz="2" w:space="0"/>
              <w:right w:val="single" w:color="auto" w:sz="4" w:space="0"/>
            </w:tcBorders>
            <w:noWrap w:val="0"/>
            <w:vAlign w:val="center"/>
          </w:tcPr>
          <w:p w14:paraId="37359104">
            <w:pPr>
              <w:spacing w:line="360" w:lineRule="auto"/>
              <w:jc w:val="center"/>
              <w:rPr>
                <w:rFonts w:hint="eastAsia" w:ascii="仿宋" w:hAnsi="仿宋" w:eastAsia="仿宋" w:cs="仿宋"/>
                <w:color w:val="auto"/>
                <w:sz w:val="24"/>
                <w:highlight w:val="none"/>
              </w:rPr>
            </w:pPr>
          </w:p>
        </w:tc>
        <w:tc>
          <w:tcPr>
            <w:tcW w:w="1163" w:type="dxa"/>
            <w:tcBorders>
              <w:left w:val="single" w:color="auto" w:sz="4" w:space="0"/>
              <w:bottom w:val="single" w:color="000000" w:sz="2" w:space="0"/>
              <w:right w:val="single" w:color="auto" w:sz="4" w:space="0"/>
            </w:tcBorders>
            <w:noWrap w:val="0"/>
            <w:vAlign w:val="center"/>
          </w:tcPr>
          <w:p w14:paraId="0FA3672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p>
        </w:tc>
        <w:tc>
          <w:tcPr>
            <w:tcW w:w="2159" w:type="dxa"/>
            <w:tcBorders>
              <w:left w:val="single" w:color="auto" w:sz="4" w:space="0"/>
              <w:right w:val="single" w:color="auto" w:sz="4" w:space="0"/>
            </w:tcBorders>
            <w:noWrap w:val="0"/>
            <w:vAlign w:val="center"/>
          </w:tcPr>
          <w:p w14:paraId="332BAA0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人民币</w:t>
            </w:r>
          </w:p>
        </w:tc>
        <w:tc>
          <w:tcPr>
            <w:tcW w:w="1633" w:type="dxa"/>
            <w:vMerge w:val="continue"/>
            <w:tcBorders>
              <w:left w:val="single" w:color="auto" w:sz="4" w:space="0"/>
              <w:right w:val="single" w:color="000000" w:sz="2" w:space="0"/>
            </w:tcBorders>
            <w:noWrap w:val="0"/>
            <w:vAlign w:val="center"/>
          </w:tcPr>
          <w:p w14:paraId="621F514F">
            <w:pPr>
              <w:spacing w:line="360" w:lineRule="auto"/>
              <w:jc w:val="center"/>
              <w:rPr>
                <w:rFonts w:hint="eastAsia" w:ascii="仿宋" w:hAnsi="仿宋" w:eastAsia="仿宋" w:cs="仿宋"/>
                <w:color w:val="auto"/>
                <w:sz w:val="24"/>
                <w:highlight w:val="none"/>
              </w:rPr>
            </w:pPr>
          </w:p>
        </w:tc>
      </w:tr>
      <w:tr w14:paraId="297AE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96" w:hRule="atLeast"/>
          <w:jc w:val="center"/>
        </w:trPr>
        <w:tc>
          <w:tcPr>
            <w:tcW w:w="422" w:type="dxa"/>
            <w:tcBorders>
              <w:top w:val="single" w:color="auto" w:sz="4" w:space="0"/>
              <w:left w:val="single" w:color="000000" w:sz="2" w:space="0"/>
              <w:bottom w:val="single" w:color="000000" w:sz="2" w:space="0"/>
              <w:right w:val="single" w:color="000000" w:sz="2" w:space="0"/>
            </w:tcBorders>
            <w:noWrap w:val="0"/>
            <w:vAlign w:val="center"/>
          </w:tcPr>
          <w:p w14:paraId="1F5CA5A1">
            <w:pPr>
              <w:widowControl/>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w:t>
            </w:r>
          </w:p>
        </w:tc>
        <w:tc>
          <w:tcPr>
            <w:tcW w:w="2735" w:type="dxa"/>
            <w:tcBorders>
              <w:top w:val="single" w:color="auto" w:sz="4" w:space="0"/>
              <w:left w:val="single" w:color="auto" w:sz="4" w:space="0"/>
              <w:bottom w:val="single" w:color="000000" w:sz="2" w:space="0"/>
              <w:right w:val="single" w:color="auto" w:sz="4" w:space="0"/>
            </w:tcBorders>
            <w:noWrap w:val="0"/>
            <w:vAlign w:val="center"/>
          </w:tcPr>
          <w:p w14:paraId="17DB38A5">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供货期限</w:t>
            </w:r>
          </w:p>
        </w:tc>
        <w:tc>
          <w:tcPr>
            <w:tcW w:w="3322" w:type="dxa"/>
            <w:gridSpan w:val="2"/>
            <w:tcBorders>
              <w:top w:val="single" w:color="auto" w:sz="4" w:space="0"/>
              <w:left w:val="single" w:color="auto" w:sz="4" w:space="0"/>
              <w:bottom w:val="single" w:color="000000" w:sz="2" w:space="0"/>
              <w:right w:val="single" w:color="000000" w:sz="2" w:space="0"/>
            </w:tcBorders>
            <w:noWrap w:val="0"/>
            <w:vAlign w:val="center"/>
          </w:tcPr>
          <w:p w14:paraId="7BEE6536">
            <w:pPr>
              <w:widowControl/>
              <w:spacing w:line="360" w:lineRule="auto"/>
              <w:jc w:val="center"/>
              <w:rPr>
                <w:rFonts w:hint="eastAsia" w:ascii="仿宋" w:hAnsi="仿宋" w:eastAsia="仿宋" w:cs="仿宋"/>
                <w:color w:val="auto"/>
                <w:sz w:val="24"/>
                <w:highlight w:val="none"/>
                <w:lang w:eastAsia="zh-CN"/>
              </w:rPr>
            </w:pPr>
          </w:p>
        </w:tc>
        <w:tc>
          <w:tcPr>
            <w:tcW w:w="1633" w:type="dxa"/>
            <w:tcBorders>
              <w:top w:val="single" w:color="auto" w:sz="4" w:space="0"/>
              <w:left w:val="single" w:color="auto" w:sz="4" w:space="0"/>
              <w:bottom w:val="single" w:color="000000" w:sz="2" w:space="0"/>
              <w:right w:val="single" w:color="000000" w:sz="2" w:space="0"/>
            </w:tcBorders>
            <w:noWrap w:val="0"/>
            <w:vAlign w:val="center"/>
          </w:tcPr>
          <w:p w14:paraId="16E46136">
            <w:pPr>
              <w:widowControl/>
              <w:spacing w:line="360" w:lineRule="auto"/>
              <w:jc w:val="center"/>
              <w:rPr>
                <w:rFonts w:hint="eastAsia" w:ascii="仿宋" w:hAnsi="仿宋" w:eastAsia="仿宋" w:cs="仿宋"/>
                <w:color w:val="auto"/>
                <w:sz w:val="24"/>
                <w:highlight w:val="none"/>
                <w:lang w:eastAsia="zh-CN"/>
              </w:rPr>
            </w:pPr>
          </w:p>
        </w:tc>
      </w:tr>
      <w:tr w14:paraId="241BC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61" w:hRule="atLeast"/>
          <w:jc w:val="center"/>
        </w:trPr>
        <w:tc>
          <w:tcPr>
            <w:tcW w:w="422" w:type="dxa"/>
            <w:tcBorders>
              <w:top w:val="single" w:color="auto" w:sz="4" w:space="0"/>
              <w:left w:val="single" w:color="000000" w:sz="2" w:space="0"/>
              <w:bottom w:val="single" w:color="000000" w:sz="2" w:space="0"/>
              <w:right w:val="single" w:color="000000" w:sz="2" w:space="0"/>
            </w:tcBorders>
            <w:noWrap w:val="0"/>
            <w:vAlign w:val="center"/>
          </w:tcPr>
          <w:p w14:paraId="5B3A15FC">
            <w:pPr>
              <w:widowControl/>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3</w:t>
            </w:r>
          </w:p>
        </w:tc>
        <w:tc>
          <w:tcPr>
            <w:tcW w:w="2735" w:type="dxa"/>
            <w:tcBorders>
              <w:top w:val="single" w:color="auto" w:sz="4" w:space="0"/>
              <w:left w:val="single" w:color="auto" w:sz="4" w:space="0"/>
              <w:bottom w:val="single" w:color="000000" w:sz="2" w:space="0"/>
              <w:right w:val="single" w:color="auto" w:sz="4" w:space="0"/>
            </w:tcBorders>
            <w:noWrap w:val="0"/>
            <w:vAlign w:val="center"/>
          </w:tcPr>
          <w:p w14:paraId="4414B0B3">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交货地点</w:t>
            </w:r>
          </w:p>
        </w:tc>
        <w:tc>
          <w:tcPr>
            <w:tcW w:w="3322" w:type="dxa"/>
            <w:gridSpan w:val="2"/>
            <w:tcBorders>
              <w:top w:val="single" w:color="auto" w:sz="4" w:space="0"/>
              <w:left w:val="single" w:color="auto" w:sz="4" w:space="0"/>
              <w:bottom w:val="single" w:color="000000" w:sz="2" w:space="0"/>
              <w:right w:val="single" w:color="000000" w:sz="2" w:space="0"/>
            </w:tcBorders>
            <w:noWrap w:val="0"/>
            <w:vAlign w:val="center"/>
          </w:tcPr>
          <w:p w14:paraId="04097829">
            <w:pPr>
              <w:widowControl/>
              <w:spacing w:line="360" w:lineRule="auto"/>
              <w:jc w:val="center"/>
              <w:rPr>
                <w:rFonts w:hint="eastAsia" w:ascii="仿宋" w:hAnsi="仿宋" w:eastAsia="仿宋" w:cs="仿宋"/>
                <w:color w:val="auto"/>
                <w:sz w:val="24"/>
                <w:highlight w:val="none"/>
                <w:lang w:eastAsia="zh-CN"/>
              </w:rPr>
            </w:pPr>
          </w:p>
        </w:tc>
        <w:tc>
          <w:tcPr>
            <w:tcW w:w="1633" w:type="dxa"/>
            <w:tcBorders>
              <w:top w:val="single" w:color="auto" w:sz="4" w:space="0"/>
              <w:left w:val="single" w:color="auto" w:sz="4" w:space="0"/>
              <w:bottom w:val="single" w:color="000000" w:sz="2" w:space="0"/>
              <w:right w:val="single" w:color="000000" w:sz="2" w:space="0"/>
            </w:tcBorders>
            <w:noWrap w:val="0"/>
            <w:vAlign w:val="center"/>
          </w:tcPr>
          <w:p w14:paraId="26F04ADC">
            <w:pPr>
              <w:widowControl/>
              <w:spacing w:line="360" w:lineRule="auto"/>
              <w:jc w:val="center"/>
              <w:rPr>
                <w:rFonts w:hint="eastAsia" w:ascii="仿宋" w:hAnsi="仿宋" w:eastAsia="仿宋" w:cs="仿宋"/>
                <w:color w:val="auto"/>
                <w:sz w:val="24"/>
                <w:highlight w:val="none"/>
                <w:lang w:eastAsia="zh-CN"/>
              </w:rPr>
            </w:pPr>
          </w:p>
        </w:tc>
      </w:tr>
      <w:tr w14:paraId="324A4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4" w:hRule="atLeast"/>
          <w:jc w:val="center"/>
        </w:trPr>
        <w:tc>
          <w:tcPr>
            <w:tcW w:w="422" w:type="dxa"/>
            <w:tcBorders>
              <w:top w:val="single" w:color="auto" w:sz="4" w:space="0"/>
              <w:left w:val="single" w:color="000000" w:sz="2" w:space="0"/>
              <w:bottom w:val="single" w:color="000000" w:sz="2" w:space="0"/>
              <w:right w:val="single" w:color="000000" w:sz="2" w:space="0"/>
            </w:tcBorders>
            <w:noWrap w:val="0"/>
            <w:vAlign w:val="center"/>
          </w:tcPr>
          <w:p w14:paraId="6F881EA4">
            <w:pPr>
              <w:widowControl/>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2735" w:type="dxa"/>
            <w:tcBorders>
              <w:top w:val="single" w:color="auto" w:sz="4" w:space="0"/>
              <w:left w:val="single" w:color="auto" w:sz="4" w:space="0"/>
              <w:bottom w:val="single" w:color="000000" w:sz="2" w:space="0"/>
              <w:right w:val="single" w:color="auto" w:sz="4" w:space="0"/>
            </w:tcBorders>
            <w:noWrap w:val="0"/>
            <w:vAlign w:val="center"/>
          </w:tcPr>
          <w:p w14:paraId="76EED6E1">
            <w:pPr>
              <w:widowControl/>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供应商其它说明（由各供应商根据本采购项目要求自行列出需说明及承诺内容）</w:t>
            </w:r>
          </w:p>
        </w:tc>
        <w:tc>
          <w:tcPr>
            <w:tcW w:w="3322" w:type="dxa"/>
            <w:gridSpan w:val="2"/>
            <w:tcBorders>
              <w:top w:val="single" w:color="auto" w:sz="4" w:space="0"/>
              <w:left w:val="single" w:color="auto" w:sz="4" w:space="0"/>
              <w:bottom w:val="single" w:color="000000" w:sz="2" w:space="0"/>
              <w:right w:val="single" w:color="000000" w:sz="2" w:space="0"/>
            </w:tcBorders>
            <w:noWrap w:val="0"/>
            <w:vAlign w:val="center"/>
          </w:tcPr>
          <w:p w14:paraId="3196616F">
            <w:pPr>
              <w:widowControl/>
              <w:spacing w:line="360" w:lineRule="auto"/>
              <w:jc w:val="center"/>
              <w:rPr>
                <w:rFonts w:hint="eastAsia" w:ascii="仿宋" w:hAnsi="仿宋" w:eastAsia="仿宋" w:cs="仿宋"/>
                <w:color w:val="auto"/>
                <w:sz w:val="24"/>
                <w:highlight w:val="none"/>
                <w:lang w:eastAsia="zh-CN"/>
              </w:rPr>
            </w:pPr>
          </w:p>
        </w:tc>
        <w:tc>
          <w:tcPr>
            <w:tcW w:w="1633" w:type="dxa"/>
            <w:tcBorders>
              <w:top w:val="single" w:color="auto" w:sz="4" w:space="0"/>
              <w:left w:val="single" w:color="auto" w:sz="4" w:space="0"/>
              <w:bottom w:val="single" w:color="000000" w:sz="2" w:space="0"/>
              <w:right w:val="single" w:color="000000" w:sz="2" w:space="0"/>
            </w:tcBorders>
            <w:noWrap w:val="0"/>
            <w:vAlign w:val="center"/>
          </w:tcPr>
          <w:p w14:paraId="4E59E1A9">
            <w:pPr>
              <w:widowControl/>
              <w:spacing w:line="360" w:lineRule="auto"/>
              <w:jc w:val="center"/>
              <w:rPr>
                <w:rFonts w:hint="eastAsia" w:ascii="仿宋" w:hAnsi="仿宋" w:eastAsia="仿宋" w:cs="仿宋"/>
                <w:color w:val="auto"/>
                <w:sz w:val="24"/>
                <w:highlight w:val="none"/>
                <w:lang w:eastAsia="zh-CN"/>
              </w:rPr>
            </w:pPr>
          </w:p>
        </w:tc>
      </w:tr>
      <w:tr w14:paraId="2E0F4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4" w:hRule="atLeast"/>
          <w:jc w:val="center"/>
        </w:trPr>
        <w:tc>
          <w:tcPr>
            <w:tcW w:w="8112" w:type="dxa"/>
            <w:gridSpan w:val="5"/>
            <w:tcBorders>
              <w:top w:val="single" w:color="auto" w:sz="4" w:space="0"/>
              <w:left w:val="single" w:color="000000" w:sz="2" w:space="0"/>
              <w:bottom w:val="single" w:color="000000" w:sz="2" w:space="0"/>
              <w:right w:val="single" w:color="000000" w:sz="2" w:space="0"/>
            </w:tcBorders>
            <w:noWrap w:val="0"/>
            <w:vAlign w:val="center"/>
          </w:tcPr>
          <w:p w14:paraId="4353EE93">
            <w:pPr>
              <w:widowControl/>
              <w:spacing w:line="360" w:lineRule="auto"/>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注：报价包含的内容：包括货物价格、包装、运输、仓储、保管、装卸（卸货至甲方指定地点）、人工费、搬运费、</w:t>
            </w:r>
            <w:r>
              <w:rPr>
                <w:rFonts w:hint="eastAsia" w:ascii="仿宋" w:hAnsi="仿宋" w:eastAsia="仿宋" w:cs="仿宋"/>
                <w:color w:val="auto"/>
                <w:sz w:val="24"/>
                <w:highlight w:val="none"/>
                <w:lang w:val="en-US" w:eastAsia="zh-CN"/>
              </w:rPr>
              <w:t>广告宣传费、检测费、项目</w:t>
            </w:r>
            <w:r>
              <w:rPr>
                <w:rFonts w:hint="eastAsia" w:ascii="仿宋" w:hAnsi="仿宋" w:eastAsia="仿宋" w:cs="仿宋"/>
                <w:color w:val="auto"/>
                <w:sz w:val="24"/>
                <w:highlight w:val="none"/>
                <w:lang w:eastAsia="zh-CN"/>
              </w:rPr>
              <w:t>利润、相关税费及市场价格风险等在内等</w:t>
            </w:r>
            <w:r>
              <w:rPr>
                <w:rFonts w:hint="eastAsia" w:ascii="仿宋" w:hAnsi="仿宋" w:eastAsia="仿宋" w:cs="仿宋"/>
                <w:color w:val="auto"/>
                <w:sz w:val="24"/>
                <w:highlight w:val="none"/>
                <w:lang w:val="en-US" w:eastAsia="zh-CN"/>
              </w:rPr>
              <w:t>与本项目有关</w:t>
            </w:r>
            <w:r>
              <w:rPr>
                <w:rFonts w:hint="eastAsia" w:ascii="仿宋" w:hAnsi="仿宋" w:eastAsia="仿宋" w:cs="仿宋"/>
                <w:color w:val="auto"/>
                <w:sz w:val="24"/>
                <w:highlight w:val="none"/>
                <w:lang w:eastAsia="zh-CN"/>
              </w:rPr>
              <w:t>全部费用；</w:t>
            </w:r>
            <w:r>
              <w:rPr>
                <w:rFonts w:hint="eastAsia" w:ascii="仿宋" w:hAnsi="仿宋" w:eastAsia="仿宋" w:cs="仿宋"/>
                <w:color w:val="auto"/>
                <w:sz w:val="24"/>
                <w:highlight w:val="none"/>
                <w:lang w:val="en-US" w:eastAsia="zh-CN"/>
              </w:rPr>
              <w:t>不得二次收取任何费用</w:t>
            </w:r>
            <w:r>
              <w:rPr>
                <w:rFonts w:hint="eastAsia" w:ascii="仿宋" w:hAnsi="仿宋" w:eastAsia="仿宋" w:cs="仿宋"/>
                <w:color w:val="auto"/>
                <w:sz w:val="24"/>
                <w:highlight w:val="none"/>
                <w:lang w:eastAsia="zh-CN"/>
              </w:rPr>
              <w:t>。</w:t>
            </w:r>
            <w:r>
              <w:rPr>
                <w:rFonts w:hint="eastAsia" w:ascii="仿宋" w:hAnsi="仿宋" w:eastAsia="仿宋" w:cs="仿宋"/>
                <w:color w:val="FF0000"/>
                <w:sz w:val="24"/>
                <w:highlight w:val="none"/>
                <w:lang w:val="en-US" w:eastAsia="zh-CN"/>
              </w:rPr>
              <w:t>请各投标单位报价时充分考虑项目所产生的一切费用及县各乡镇间的运距，如中标后出现无法履约的将严肃追究责任。</w:t>
            </w:r>
          </w:p>
        </w:tc>
      </w:tr>
    </w:tbl>
    <w:p w14:paraId="724CC601">
      <w:pPr>
        <w:spacing w:line="360" w:lineRule="auto"/>
        <w:ind w:firstLine="240" w:firstLineChars="100"/>
        <w:jc w:val="center"/>
        <w:rPr>
          <w:rFonts w:hint="eastAsia" w:ascii="仿宋" w:hAnsi="仿宋" w:eastAsia="仿宋" w:cs="仿宋"/>
          <w:b/>
          <w:color w:val="auto"/>
          <w:sz w:val="24"/>
          <w:highlight w:val="none"/>
        </w:rPr>
      </w:pPr>
      <w:r>
        <w:rPr>
          <w:rFonts w:hint="eastAsia" w:ascii="仿宋" w:hAnsi="仿宋" w:eastAsia="仿宋" w:cs="仿宋"/>
          <w:color w:val="auto"/>
          <w:sz w:val="24"/>
          <w:highlight w:val="none"/>
        </w:rPr>
        <w:t>供应商(盖章)：</w:t>
      </w:r>
    </w:p>
    <w:p w14:paraId="49F89A70">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法定代表人或委托代理人（签字或盖章）：</w:t>
      </w:r>
    </w:p>
    <w:p w14:paraId="48180013">
      <w:pPr>
        <w:spacing w:line="360" w:lineRule="auto"/>
        <w:jc w:val="left"/>
        <w:rPr>
          <w:rFonts w:hint="eastAsia" w:ascii="仿宋" w:hAnsi="仿宋" w:eastAsia="仿宋" w:cs="仿宋"/>
          <w:color w:val="auto"/>
          <w:sz w:val="24"/>
          <w:highlight w:val="none"/>
        </w:rPr>
      </w:pPr>
    </w:p>
    <w:p w14:paraId="187F14A4">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报价日期：   年  月   日</w:t>
      </w:r>
    </w:p>
    <w:p w14:paraId="2DC9449C">
      <w:pPr>
        <w:spacing w:line="360" w:lineRule="auto"/>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1、此表应按供应商须知的规定装订密封。</w:t>
      </w:r>
    </w:p>
    <w:p w14:paraId="496E539D">
      <w:pPr>
        <w:pStyle w:val="16"/>
        <w:numPr>
          <w:ilvl w:val="0"/>
          <w:numId w:val="9"/>
        </w:numPr>
        <w:tabs>
          <w:tab w:val="left" w:pos="5580"/>
        </w:tabs>
        <w:spacing w:line="440" w:lineRule="exact"/>
        <w:ind w:left="1079" w:leftChars="428" w:hanging="180" w:hangingChars="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此表中，标的总价应和</w:t>
      </w:r>
      <w:r>
        <w:rPr>
          <w:rFonts w:hint="eastAsia" w:ascii="仿宋" w:hAnsi="仿宋" w:eastAsia="仿宋" w:cs="仿宋"/>
          <w:bCs/>
          <w:color w:val="auto"/>
          <w:sz w:val="24"/>
          <w:highlight w:val="none"/>
          <w:lang w:eastAsia="zh-CN"/>
        </w:rPr>
        <w:t>下列</w:t>
      </w:r>
      <w:r>
        <w:rPr>
          <w:rFonts w:hint="eastAsia" w:ascii="仿宋" w:hAnsi="仿宋" w:eastAsia="仿宋" w:cs="仿宋"/>
          <w:bCs/>
          <w:color w:val="auto"/>
          <w:sz w:val="24"/>
          <w:highlight w:val="none"/>
        </w:rPr>
        <w:t>分项报价表的总价相一致。</w:t>
      </w:r>
    </w:p>
    <w:p w14:paraId="321B1E3C">
      <w:pPr>
        <w:pStyle w:val="16"/>
        <w:numPr>
          <w:ilvl w:val="0"/>
          <w:numId w:val="9"/>
        </w:numPr>
        <w:tabs>
          <w:tab w:val="left" w:pos="5580"/>
        </w:tabs>
        <w:spacing w:line="440" w:lineRule="exact"/>
        <w:ind w:left="1079" w:leftChars="428" w:hanging="180" w:hangingChars="75"/>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此报价包含与本项目有关的所有费用。</w:t>
      </w:r>
    </w:p>
    <w:p w14:paraId="0731D0D9">
      <w:pPr>
        <w:rPr>
          <w:rFonts w:hint="eastAsia" w:ascii="仿宋" w:hAnsi="仿宋" w:eastAsia="仿宋" w:cs="仿宋"/>
          <w:b/>
          <w:color w:val="auto"/>
          <w:sz w:val="24"/>
          <w:szCs w:val="24"/>
          <w:highlight w:val="none"/>
        </w:rPr>
      </w:pPr>
      <w:bookmarkStart w:id="405" w:name="_Toc6738"/>
      <w:bookmarkStart w:id="406" w:name="_Toc19819"/>
      <w:bookmarkStart w:id="407" w:name="_Toc14219"/>
      <w:bookmarkStart w:id="408" w:name="_Toc30947"/>
      <w:bookmarkStart w:id="409" w:name="_Toc515647805"/>
      <w:bookmarkStart w:id="410" w:name="_Toc608"/>
      <w:bookmarkStart w:id="411" w:name="_Toc17577"/>
      <w:bookmarkStart w:id="412" w:name="_Toc29899"/>
      <w:r>
        <w:rPr>
          <w:rFonts w:hint="eastAsia" w:ascii="仿宋" w:hAnsi="仿宋" w:eastAsia="仿宋" w:cs="仿宋"/>
          <w:b/>
          <w:color w:val="auto"/>
          <w:sz w:val="24"/>
          <w:szCs w:val="24"/>
          <w:highlight w:val="none"/>
        </w:rPr>
        <w:br w:type="page"/>
      </w:r>
    </w:p>
    <w:bookmarkEnd w:id="405"/>
    <w:bookmarkEnd w:id="406"/>
    <w:bookmarkEnd w:id="407"/>
    <w:bookmarkEnd w:id="408"/>
    <w:p w14:paraId="09F1D1FF">
      <w:pPr>
        <w:rPr>
          <w:rFonts w:hint="eastAsia" w:ascii="仿宋" w:hAnsi="仿宋" w:eastAsia="仿宋" w:cs="仿宋"/>
          <w:bCs/>
          <w:color w:val="auto"/>
          <w:sz w:val="24"/>
          <w:highlight w:val="none"/>
        </w:rPr>
      </w:pPr>
    </w:p>
    <w:p w14:paraId="0F4BC0E1">
      <w:pPr>
        <w:numPr>
          <w:ilvl w:val="0"/>
          <w:numId w:val="0"/>
        </w:numPr>
        <w:ind w:leftChars="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2、具有独立法人资格（三证合一的营业执照）；</w:t>
      </w:r>
    </w:p>
    <w:p w14:paraId="15BB4B93">
      <w:pPr>
        <w:numPr>
          <w:ilvl w:val="0"/>
          <w:numId w:val="0"/>
        </w:numPr>
        <w:ind w:leftChars="0"/>
        <w:rPr>
          <w:rFonts w:hint="eastAsia" w:ascii="仿宋" w:hAnsi="仿宋" w:eastAsia="仿宋" w:cs="仿宋"/>
          <w:b/>
          <w:bCs/>
          <w:color w:val="auto"/>
          <w:sz w:val="24"/>
          <w:highlight w:val="none"/>
          <w:lang w:val="en-US" w:eastAsia="zh-CN"/>
        </w:rPr>
      </w:pPr>
    </w:p>
    <w:p w14:paraId="25CFF39A">
      <w:pPr>
        <w:numPr>
          <w:ilvl w:val="0"/>
          <w:numId w:val="0"/>
        </w:numPr>
        <w:ind w:leftChars="0"/>
        <w:rPr>
          <w:rFonts w:hint="eastAsia" w:ascii="仿宋" w:hAnsi="仿宋" w:eastAsia="仿宋" w:cs="仿宋"/>
          <w:b/>
          <w:bCs/>
          <w:color w:val="auto"/>
          <w:sz w:val="24"/>
          <w:highlight w:val="none"/>
          <w:lang w:val="en-US" w:eastAsia="zh-CN"/>
        </w:rPr>
      </w:pPr>
    </w:p>
    <w:p w14:paraId="1BF7098F">
      <w:pPr>
        <w:numPr>
          <w:ilvl w:val="0"/>
          <w:numId w:val="0"/>
        </w:numP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3、法人代表资格证明书及授权书、被授权人身份证(法人投标具备法人身份证及法人代表资格证明书)；</w:t>
      </w:r>
      <w:bookmarkEnd w:id="409"/>
      <w:bookmarkEnd w:id="410"/>
      <w:bookmarkEnd w:id="411"/>
      <w:bookmarkEnd w:id="412"/>
      <w:bookmarkStart w:id="413" w:name="_Toc22973"/>
      <w:bookmarkStart w:id="414" w:name="_Toc515647809"/>
      <w:bookmarkStart w:id="415" w:name="_Toc28445"/>
      <w:bookmarkStart w:id="416" w:name="_Toc31238"/>
      <w:bookmarkStart w:id="417" w:name="_Toc11047"/>
    </w:p>
    <w:p w14:paraId="45E93037">
      <w:pPr>
        <w:numPr>
          <w:ilvl w:val="0"/>
          <w:numId w:val="0"/>
        </w:numPr>
        <w:spacing w:line="440" w:lineRule="exact"/>
        <w:ind w:leftChars="353"/>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法定代表人身份证明</w:t>
      </w:r>
      <w:bookmarkEnd w:id="413"/>
    </w:p>
    <w:p w14:paraId="75431EDC">
      <w:pPr>
        <w:spacing w:line="360" w:lineRule="auto"/>
        <w:rPr>
          <w:rFonts w:hint="eastAsia" w:ascii="仿宋" w:hAnsi="仿宋" w:eastAsia="仿宋" w:cs="仿宋"/>
          <w:bCs/>
          <w:color w:val="auto"/>
          <w:sz w:val="24"/>
          <w:szCs w:val="20"/>
          <w:highlight w:val="non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szCs w:val="20"/>
          <w:highlight w:val="none"/>
        </w:rPr>
        <w:t xml:space="preserve">              同志，现任我单位          职务，为法定代表人，特此证明。</w:t>
      </w:r>
    </w:p>
    <w:p w14:paraId="0347C453">
      <w:pPr>
        <w:spacing w:line="360" w:lineRule="auto"/>
        <w:ind w:firstLine="240" w:firstLineChars="10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 xml:space="preserve">签发日期：                  单位：     </w:t>
      </w:r>
    </w:p>
    <w:p w14:paraId="36E7E1EE">
      <w:pPr>
        <w:spacing w:line="360" w:lineRule="auto"/>
        <w:ind w:firstLine="240" w:firstLineChars="10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附：代表人性别：            年龄：           身份证号码：</w:t>
      </w:r>
    </w:p>
    <w:p w14:paraId="3D5507B0">
      <w:pPr>
        <w:spacing w:line="360" w:lineRule="auto"/>
        <w:ind w:firstLine="240" w:firstLineChars="10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联系电话：</w:t>
      </w:r>
    </w:p>
    <w:p w14:paraId="12964F14">
      <w:pPr>
        <w:spacing w:line="360" w:lineRule="auto"/>
        <w:ind w:firstLine="240" w:firstLineChars="10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营业执照号码：              经济性质：</w:t>
      </w:r>
    </w:p>
    <w:p w14:paraId="15F5BCD9">
      <w:pPr>
        <w:spacing w:line="360" w:lineRule="auto"/>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说明：</w:t>
      </w:r>
    </w:p>
    <w:p w14:paraId="05C19F2A">
      <w:pPr>
        <w:spacing w:line="360" w:lineRule="exact"/>
        <w:ind w:firstLine="240" w:firstLineChars="10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1、法定代表人为企业事业单位、国家机关、社会团体的主要行政负责人。</w:t>
      </w:r>
    </w:p>
    <w:p w14:paraId="3FED3389">
      <w:pPr>
        <w:spacing w:line="360" w:lineRule="exact"/>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 xml:space="preserve">  2、内容必须填写真实、清楚、涂改无效，不得转让。</w:t>
      </w:r>
    </w:p>
    <w:p w14:paraId="3D629B97">
      <w:pPr>
        <w:spacing w:line="360" w:lineRule="exact"/>
        <w:ind w:firstLine="240" w:firstLineChars="10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3、将此证明书原件提交采购代理机构作为谈判响应文件附件。</w:t>
      </w:r>
    </w:p>
    <w:p w14:paraId="25C942DA">
      <w:pPr>
        <w:spacing w:line="360" w:lineRule="exact"/>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 xml:space="preserve">  (为避免废标，请供应商务必提供本附件)</w:t>
      </w:r>
    </w:p>
    <w:p w14:paraId="5331C9F8">
      <w:pPr>
        <w:spacing w:line="360" w:lineRule="auto"/>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mc:AlternateContent>
          <mc:Choice Requires="wps">
            <w:drawing>
              <wp:anchor distT="0" distB="0" distL="114300" distR="114300" simplePos="0" relativeHeight="251660288" behindDoc="0" locked="0" layoutInCell="1" allowOverlap="1">
                <wp:simplePos x="0" y="0"/>
                <wp:positionH relativeFrom="column">
                  <wp:posOffset>154305</wp:posOffset>
                </wp:positionH>
                <wp:positionV relativeFrom="paragraph">
                  <wp:posOffset>10795</wp:posOffset>
                </wp:positionV>
                <wp:extent cx="1953260" cy="1224280"/>
                <wp:effectExtent l="0" t="0" r="8890" b="0"/>
                <wp:wrapNone/>
                <wp:docPr id="14" name="流程图: 可选过程 14"/>
                <wp:cNvGraphicFramePr/>
                <a:graphic xmlns:a="http://schemas.openxmlformats.org/drawingml/2006/main">
                  <a:graphicData uri="http://schemas.microsoft.com/office/word/2010/wordprocessingShape">
                    <wps:wsp>
                      <wps:cNvSpPr/>
                      <wps:spPr>
                        <a:xfrm>
                          <a:off x="0" y="0"/>
                          <a:ext cx="1953260" cy="122428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887BC40">
                            <w:pPr>
                              <w:jc w:val="center"/>
                              <w:rPr>
                                <w:rFonts w:hAnsi="宋体"/>
                                <w:szCs w:val="21"/>
                              </w:rPr>
                            </w:pPr>
                          </w:p>
                          <w:p w14:paraId="289DA267">
                            <w:pPr>
                              <w:jc w:val="center"/>
                              <w:rPr>
                                <w:rFonts w:hAnsi="宋体"/>
                                <w:szCs w:val="21"/>
                              </w:rPr>
                            </w:pPr>
                          </w:p>
                          <w:p w14:paraId="09F1FC62">
                            <w:pPr>
                              <w:jc w:val="center"/>
                              <w:rPr>
                                <w:rFonts w:hAnsi="宋体"/>
                                <w:szCs w:val="21"/>
                              </w:rPr>
                            </w:pPr>
                          </w:p>
                          <w:p w14:paraId="0A8E80DE">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2.15pt;margin-top:0.85pt;height:96.4pt;width:153.8pt;z-index:251660288;mso-width-relative:page;mso-height-relative:page;" fillcolor="#FFFFFF" filled="t" stroked="t" coordsize="21600,21600" o:gfxdata="UEsDBAoAAAAAAIdO4kAAAAAAAAAAAAAAAAAEAAAAZHJzL1BLAwQUAAAACACHTuJArIf/29cAAAAI&#10;AQAADwAAAGRycy9kb3ducmV2LnhtbE2PQU+DQBCF7yb+h82YeLMLpbaFsjRGoycvYhOvCzsFIjtL&#10;2IWiv97xpMc37+XN9/LjYnsx4+g7RwriVQQCqXamo0bB6f35bg/CB01G945QwRd6OBbXV7nOjLvQ&#10;G85laASXkM+0gjaEIZPS1y1a7VduQGLv7EarA8uxkWbUFy63vVxH0VZa3RF/aPWAjy3Wn+VkFSyv&#10;31U6vcR1Gdr9dveRzE8PJ6nU7U0cHUAEXMJfGH7xGR0KZqrcRMaLXsF6k3CS7zsQbCdJnIKoWKeb&#10;e5BFLv8PKH4AUEsDBBQAAAAIAIdO4kBhJMtDMgIAAGAEAAAOAAAAZHJzL2Uyb0RvYy54bWytVM2O&#10;0zAQviPxDpbvNG3Yrnajpiu0pVwQVFp4ANeZJJb8J9tt0hucEOLAA/AC3DhxhadZft6CsVNKd+Gw&#10;B3xwxvbM5/m+GWd20StJtuC8MLqkk9GYEtDcVEI3JX35YvngjBIfmK6YNBpKugNPL+b37806W0Bu&#10;WiMrcARBtC86W9I2BFtkmectKOZHxoLGw9o4xQIuXZNVjnWIrmSWj8enWWdcZZ3h4D3uLoZDukd0&#10;dwE0dS04LAzfKNBhQHUgWUBKvhXW03nKtq6Bh+d17SEQWVJkGtKMl6C9jnM2n7Giccy2gu9TYHdJ&#10;4RYnxYTGSw9QCxYY2TjxF5QS3Blv6jDiRmUDkaQIspiMb2lz1TILiQtK7e1BdP//YPmz7coRUWEn&#10;nFCimcKKf/v8+vvHd9cfvhTk+v2nn6/e/vj6BjcIeqBcnfUFRl3ZlduvPJqRe187Fb/IivRJ4t1B&#10;YugD4bg5OZ8+zE9RfY5nkzw/yc9SEbI/4db58ASMItEoaS1Nd9kyFx7JAE6zAKuheZLebPvUB8wD&#10;43/HxRS8kaJaCinTwjXrS+nIlmETLNOIRDDkhpvUpCvp+TSfYnYMO7vGjkJTWVTH6ybddyPCHwOP&#10;0/gXcExswXw7JJAQohsrlEBGyWqBVY91RcLOYgE0Pjwak1FQUSIB32m0kmdgQt7FE9lJHS+B9Ar2&#10;KsXiDeWKVujXPYJGc22qHTbCxjrRtKj6JBGJJ9h4Sav9I4mdfbxG+/jHMP8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rIf/29cAAAAIAQAADwAAAAAAAAABACAAAAAiAAAAZHJzL2Rvd25yZXYueG1s&#10;UEsBAhQAFAAAAAgAh07iQGEky0MyAgAAYAQAAA4AAAAAAAAAAQAgAAAAJgEAAGRycy9lMm9Eb2Mu&#10;eG1sUEsFBgAAAAAGAAYAWQEAAMoFAAAAAA==&#10;">
                <v:fill on="t" focussize="0,0"/>
                <v:stroke color="#000000" joinstyle="miter"/>
                <v:imagedata o:title=""/>
                <o:lock v:ext="edit" aspectratio="f"/>
                <v:textbox>
                  <w:txbxContent>
                    <w:p w14:paraId="0887BC40">
                      <w:pPr>
                        <w:jc w:val="center"/>
                        <w:rPr>
                          <w:rFonts w:hAnsi="宋体"/>
                          <w:szCs w:val="21"/>
                        </w:rPr>
                      </w:pPr>
                    </w:p>
                    <w:p w14:paraId="289DA267">
                      <w:pPr>
                        <w:jc w:val="center"/>
                        <w:rPr>
                          <w:rFonts w:hAnsi="宋体"/>
                          <w:szCs w:val="21"/>
                        </w:rPr>
                      </w:pPr>
                    </w:p>
                    <w:p w14:paraId="09F1FC62">
                      <w:pPr>
                        <w:jc w:val="center"/>
                        <w:rPr>
                          <w:rFonts w:hAnsi="宋体"/>
                          <w:szCs w:val="21"/>
                        </w:rPr>
                      </w:pPr>
                    </w:p>
                    <w:p w14:paraId="0A8E80DE">
                      <w:pPr>
                        <w:jc w:val="center"/>
                        <w:rPr>
                          <w:szCs w:val="21"/>
                        </w:rPr>
                      </w:pPr>
                      <w:r>
                        <w:rPr>
                          <w:rFonts w:hint="eastAsia" w:hAnsi="宋体"/>
                          <w:szCs w:val="21"/>
                        </w:rPr>
                        <w:t>法定代表人身份证复印件</w:t>
                      </w:r>
                    </w:p>
                  </w:txbxContent>
                </v:textbox>
              </v:shape>
            </w:pict>
          </mc:Fallback>
        </mc:AlternateContent>
      </w:r>
      <w:r>
        <w:rPr>
          <w:rFonts w:hint="eastAsia" w:ascii="仿宋" w:hAnsi="仿宋" w:eastAsia="仿宋" w:cs="仿宋"/>
          <w:bCs/>
          <w:color w:val="auto"/>
          <w:sz w:val="24"/>
          <w:szCs w:val="20"/>
          <w:highlight w:val="none"/>
        </w:rPr>
        <mc:AlternateContent>
          <mc:Choice Requires="wps">
            <w:drawing>
              <wp:anchor distT="0" distB="0" distL="114300" distR="114300" simplePos="0" relativeHeight="251661312" behindDoc="0" locked="0" layoutInCell="1" allowOverlap="1">
                <wp:simplePos x="0" y="0"/>
                <wp:positionH relativeFrom="column">
                  <wp:posOffset>2918460</wp:posOffset>
                </wp:positionH>
                <wp:positionV relativeFrom="paragraph">
                  <wp:posOffset>28575</wp:posOffset>
                </wp:positionV>
                <wp:extent cx="2007235" cy="1155700"/>
                <wp:effectExtent l="0" t="0" r="0" b="6350"/>
                <wp:wrapNone/>
                <wp:docPr id="15" name="圆角矩形 15"/>
                <wp:cNvGraphicFramePr/>
                <a:graphic xmlns:a="http://schemas.openxmlformats.org/drawingml/2006/main">
                  <a:graphicData uri="http://schemas.microsoft.com/office/word/2010/wordprocessingShape">
                    <wps:wsp>
                      <wps:cNvSpPr/>
                      <wps:spPr>
                        <a:xfrm>
                          <a:off x="0" y="0"/>
                          <a:ext cx="2007235" cy="115570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E68F192">
                            <w:pPr>
                              <w:jc w:val="center"/>
                              <w:rPr>
                                <w:rFonts w:hAnsi="宋体"/>
                                <w:szCs w:val="21"/>
                              </w:rPr>
                            </w:pPr>
                            <w:r>
                              <w:rPr>
                                <w:rFonts w:hint="eastAsia" w:hAnsi="宋体"/>
                                <w:szCs w:val="21"/>
                              </w:rPr>
                              <w:t xml:space="preserve">  </w:t>
                            </w:r>
                          </w:p>
                          <w:p w14:paraId="4A49D951">
                            <w:pPr>
                              <w:jc w:val="center"/>
                              <w:rPr>
                                <w:rFonts w:hAnsi="宋体"/>
                                <w:szCs w:val="21"/>
                              </w:rPr>
                            </w:pPr>
                          </w:p>
                          <w:p w14:paraId="54768037">
                            <w:pPr>
                              <w:jc w:val="center"/>
                              <w:rPr>
                                <w:rFonts w:hAnsi="宋体"/>
                                <w:szCs w:val="21"/>
                              </w:rPr>
                            </w:pPr>
                          </w:p>
                          <w:p w14:paraId="048B809D">
                            <w:pPr>
                              <w:jc w:val="center"/>
                              <w:rPr>
                                <w:rFonts w:hint="eastAsia" w:hAnsi="宋体"/>
                                <w:szCs w:val="21"/>
                              </w:rPr>
                            </w:pPr>
                            <w:r>
                              <w:rPr>
                                <w:rFonts w:hint="eastAsia" w:hAnsi="宋体"/>
                                <w:szCs w:val="21"/>
                              </w:rPr>
                              <w:t>法定代表人身份证复印件</w:t>
                            </w:r>
                          </w:p>
                          <w:p w14:paraId="1CAEFC03"/>
                          <w:p w14:paraId="4A309B01">
                            <w:pPr>
                              <w:pStyle w:val="2"/>
                            </w:pPr>
                          </w:p>
                          <w:p w14:paraId="1E09D759">
                            <w:pPr>
                              <w:pStyle w:val="2"/>
                            </w:pPr>
                          </w:p>
                          <w:p w14:paraId="211AFCA5">
                            <w:pPr>
                              <w:pStyle w:val="2"/>
                            </w:pPr>
                          </w:p>
                          <w:p w14:paraId="1EFDA5CE">
                            <w:pPr>
                              <w:pStyle w:val="2"/>
                            </w:pPr>
                          </w:p>
                        </w:txbxContent>
                      </wps:txbx>
                      <wps:bodyPr upright="1"/>
                    </wps:wsp>
                  </a:graphicData>
                </a:graphic>
              </wp:anchor>
            </w:drawing>
          </mc:Choice>
          <mc:Fallback>
            <w:pict>
              <v:roundrect id="_x0000_s1026" o:spid="_x0000_s1026" o:spt="2" style="position:absolute;left:0pt;margin-left:229.8pt;margin-top:2.25pt;height:91pt;width:158.05pt;z-index:251661312;mso-width-relative:page;mso-height-relative:page;" fillcolor="#FFFFFF" filled="t" stroked="t" coordsize="21600,21600" arcsize="0.166666666666667" o:gfxdata="UEsDBAoAAAAAAIdO4kAAAAAAAAAAAAAAAAAEAAAAZHJzL1BLAwQUAAAACACHTuJAhWNvM9oAAAAJ&#10;AQAADwAAAGRycy9kb3ducmV2LnhtbE2PwU7DMAyG70i8Q2QkbiwZ0GaUphNCAomJw9Zx4ZY1pq3W&#10;OFWTrStPv+wEN1v/p9+f8+XJduyIg28dKZjPBDCkypmWagVf27e7BTAfNBndOUIFE3pYFtdXuc6M&#10;G2mDxzLULJaQz7SCJoQ+49xXDVrtZ65HitmPG6wOcR1qbgY9xnLb8XshUm51S/FCo3t8bbDalwer&#10;YPyd9u+fEh9WYvPxUm7ltP5et0rd3szFM7CAp/AHw0U/qkMRnXbuQMazTsFj8pRG9DIAi7mUiQS2&#10;i+AiTYAXOf//QXEGUEsDBBQAAAAIAIdO4kDeuhZWKwIAAGgEAAAOAAAAZHJzL2Uyb0RvYy54bWyt&#10;VEuO1DAQ3SNxB8t7Okmj/ijq9Cxomg2CEQMHcPuTGPkn291JX4ADsEZCYoM4xBxnBMeg7A49H1jM&#10;gkRyynbV86tX5awuBq3QgfsgrWlwNSkx4oZaJk3b4A/vt8+WGIVIDCPKGt7gIw/4Yv30yap3NZ/a&#10;zirGPQIQE+reNbiL0dVFEWjHNQkT67iBTWG9JhGmvi2YJz2ga1VMy3Je9NYz5y3lIcDq5rSJR0T/&#10;GEArhKR8Y+lecxNPqJ4rEiGl0EkX8DqzFYLT+FaIwCNSDYZMYx7hELB3aSzWK1K3nrhO0pECeQyF&#10;BzlpIg0ceobakEjQ3su/oLSk3gYr4oRaXZwSyYpAFlX5QJurjjiecwGpgzuLHv4fLH1zuPRIMuiE&#10;GUaGaKj4zZdPv75//vn1x831NwTLoFHvQg2uV+7Sj7MAZkp4EF6nL6SChqzr8awrHyKisAhlX0yf&#10;Az6FvaqazRZlVr64DXc+xFfcapSMBnu7N+wdVC+LSg6vQ8zqspEiYR8xElpBrQ5EoWo+ny8ST0Ac&#10;ncH6g5kig1WSbaVSeeLb3QvlEYQ2eJufMfiemzKoT7osF4k6gV4X0GNgagd6BdNmcvdCwl3kZZne&#10;fyEnZhsSuhODjJDcSN1xwl4ahuLRQSEMXECcOGjOMFIc7muysmckUj3GE3RQJkHzfBtAyCRTquep&#10;gsmKw26A1WTuLDtCQ+ydl20Hhagy/bQDDZj1HS9L6vC78wx6+4NY/w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FY28z2gAAAAkBAAAPAAAAAAAAAAEAIAAAACIAAABkcnMvZG93bnJldi54bWxQSwEC&#10;FAAUAAAACACHTuJA3roWVisCAABoBAAADgAAAAAAAAABACAAAAApAQAAZHJzL2Uyb0RvYy54bWxQ&#10;SwUGAAAAAAYABgBZAQAAxgUAAAAA&#10;">
                <v:fill on="t" focussize="0,0"/>
                <v:stroke weight="1.25pt" color="#808080" joinstyle="round"/>
                <v:imagedata o:title=""/>
                <o:lock v:ext="edit" aspectratio="f"/>
                <v:textbox>
                  <w:txbxContent>
                    <w:p w14:paraId="7E68F192">
                      <w:pPr>
                        <w:jc w:val="center"/>
                        <w:rPr>
                          <w:rFonts w:hAnsi="宋体"/>
                          <w:szCs w:val="21"/>
                        </w:rPr>
                      </w:pPr>
                      <w:r>
                        <w:rPr>
                          <w:rFonts w:hint="eastAsia" w:hAnsi="宋体"/>
                          <w:szCs w:val="21"/>
                        </w:rPr>
                        <w:t xml:space="preserve">  </w:t>
                      </w:r>
                    </w:p>
                    <w:p w14:paraId="4A49D951">
                      <w:pPr>
                        <w:jc w:val="center"/>
                        <w:rPr>
                          <w:rFonts w:hAnsi="宋体"/>
                          <w:szCs w:val="21"/>
                        </w:rPr>
                      </w:pPr>
                    </w:p>
                    <w:p w14:paraId="54768037">
                      <w:pPr>
                        <w:jc w:val="center"/>
                        <w:rPr>
                          <w:rFonts w:hAnsi="宋体"/>
                          <w:szCs w:val="21"/>
                        </w:rPr>
                      </w:pPr>
                    </w:p>
                    <w:p w14:paraId="048B809D">
                      <w:pPr>
                        <w:jc w:val="center"/>
                        <w:rPr>
                          <w:rFonts w:hint="eastAsia" w:hAnsi="宋体"/>
                          <w:szCs w:val="21"/>
                        </w:rPr>
                      </w:pPr>
                      <w:r>
                        <w:rPr>
                          <w:rFonts w:hint="eastAsia" w:hAnsi="宋体"/>
                          <w:szCs w:val="21"/>
                        </w:rPr>
                        <w:t>法定代表人身份证复印件</w:t>
                      </w:r>
                    </w:p>
                    <w:p w14:paraId="1CAEFC03"/>
                    <w:p w14:paraId="4A309B01">
                      <w:pPr>
                        <w:pStyle w:val="2"/>
                      </w:pPr>
                    </w:p>
                    <w:p w14:paraId="1E09D759">
                      <w:pPr>
                        <w:pStyle w:val="2"/>
                      </w:pPr>
                    </w:p>
                    <w:p w14:paraId="211AFCA5">
                      <w:pPr>
                        <w:pStyle w:val="2"/>
                      </w:pPr>
                    </w:p>
                    <w:p w14:paraId="1EFDA5CE">
                      <w:pPr>
                        <w:pStyle w:val="2"/>
                      </w:pPr>
                    </w:p>
                  </w:txbxContent>
                </v:textbox>
              </v:roundrect>
            </w:pict>
          </mc:Fallback>
        </mc:AlternateContent>
      </w:r>
    </w:p>
    <w:p w14:paraId="502A8CB1">
      <w:pPr>
        <w:spacing w:line="360" w:lineRule="auto"/>
        <w:rPr>
          <w:rFonts w:hint="eastAsia" w:ascii="仿宋" w:hAnsi="仿宋" w:eastAsia="仿宋" w:cs="仿宋"/>
          <w:bCs/>
          <w:color w:val="auto"/>
          <w:sz w:val="24"/>
          <w:szCs w:val="20"/>
          <w:highlight w:val="none"/>
        </w:rPr>
      </w:pPr>
    </w:p>
    <w:p w14:paraId="00D96F75">
      <w:pPr>
        <w:spacing w:line="360" w:lineRule="auto"/>
        <w:rPr>
          <w:rFonts w:hint="eastAsia" w:ascii="仿宋" w:hAnsi="仿宋" w:eastAsia="仿宋" w:cs="仿宋"/>
          <w:bCs/>
          <w:color w:val="auto"/>
          <w:sz w:val="24"/>
          <w:szCs w:val="20"/>
          <w:highlight w:val="none"/>
        </w:rPr>
      </w:pPr>
    </w:p>
    <w:p w14:paraId="3FD14F4C">
      <w:pPr>
        <w:autoSpaceDE w:val="0"/>
        <w:autoSpaceDN w:val="0"/>
        <w:adjustRightInd w:val="0"/>
        <w:spacing w:line="360" w:lineRule="auto"/>
        <w:ind w:right="246"/>
        <w:rPr>
          <w:rFonts w:hint="eastAsia" w:ascii="仿宋" w:hAnsi="仿宋" w:eastAsia="仿宋" w:cs="仿宋"/>
          <w:bCs/>
          <w:color w:val="auto"/>
          <w:sz w:val="24"/>
          <w:szCs w:val="20"/>
          <w:highlight w:val="none"/>
        </w:rPr>
      </w:pPr>
    </w:p>
    <w:p w14:paraId="5CDF8837">
      <w:pPr>
        <w:autoSpaceDE w:val="0"/>
        <w:autoSpaceDN w:val="0"/>
        <w:adjustRightInd w:val="0"/>
        <w:spacing w:line="360" w:lineRule="auto"/>
        <w:ind w:right="246" w:firstLine="784" w:firstLineChars="327"/>
        <w:rPr>
          <w:rFonts w:hint="eastAsia" w:ascii="仿宋" w:hAnsi="仿宋" w:eastAsia="仿宋" w:cs="仿宋"/>
          <w:bCs/>
          <w:color w:val="auto"/>
          <w:sz w:val="24"/>
          <w:szCs w:val="20"/>
          <w:highlight w:val="none"/>
        </w:rPr>
      </w:pPr>
    </w:p>
    <w:p w14:paraId="067E8DDA">
      <w:pPr>
        <w:autoSpaceDE w:val="0"/>
        <w:autoSpaceDN w:val="0"/>
        <w:adjustRightInd w:val="0"/>
        <w:spacing w:line="360" w:lineRule="auto"/>
        <w:ind w:right="246" w:firstLine="784" w:firstLineChars="327"/>
        <w:rPr>
          <w:rFonts w:hint="eastAsia" w:ascii="仿宋" w:hAnsi="仿宋" w:eastAsia="仿宋" w:cs="仿宋"/>
          <w:bCs/>
          <w:color w:val="auto"/>
          <w:highlight w:val="none"/>
        </w:rPr>
      </w:pPr>
      <w:r>
        <w:rPr>
          <w:rFonts w:hint="eastAsia" w:ascii="仿宋" w:hAnsi="仿宋" w:eastAsia="仿宋" w:cs="仿宋"/>
          <w:bCs/>
          <w:color w:val="auto"/>
          <w:sz w:val="24"/>
          <w:szCs w:val="20"/>
          <w:highlight w:val="none"/>
        </w:rPr>
        <w:t xml:space="preserve">供应商（公章）：                              </w:t>
      </w:r>
    </w:p>
    <w:p w14:paraId="47B772D2">
      <w:pPr>
        <w:adjustRightInd w:val="0"/>
        <w:snapToGrid w:val="0"/>
        <w:spacing w:line="360" w:lineRule="auto"/>
        <w:ind w:firstLine="784" w:firstLineChars="327"/>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 xml:space="preserve">法定代表人（签/章）：                    </w:t>
      </w:r>
    </w:p>
    <w:p w14:paraId="1E40AD3E">
      <w:pPr>
        <w:adjustRightInd w:val="0"/>
        <w:snapToGrid w:val="0"/>
        <w:spacing w:line="360" w:lineRule="auto"/>
        <w:ind w:firstLine="784" w:firstLineChars="327"/>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 xml:space="preserve">日期：                                       </w:t>
      </w:r>
    </w:p>
    <w:p w14:paraId="6F1AC258">
      <w:pPr>
        <w:pStyle w:val="16"/>
        <w:tabs>
          <w:tab w:val="left" w:pos="5580"/>
        </w:tabs>
        <w:spacing w:line="240" w:lineRule="atLeas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说明：1.提供有效的营业执照等证明文件复印件，复印件上应加盖本单位章。</w:t>
      </w:r>
    </w:p>
    <w:p w14:paraId="2E178D57">
      <w:pPr>
        <w:pStyle w:val="16"/>
        <w:tabs>
          <w:tab w:val="left" w:pos="5580"/>
        </w:tabs>
        <w:spacing w:line="240" w:lineRule="atLeast"/>
        <w:ind w:left="1258" w:leftChars="599" w:firstLine="103" w:firstLineChars="43"/>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 供应商为自然人的，应提供身份证明的复印件 3.联合体投标应提供联合体各方满足以上要求的证明文件。</w:t>
      </w:r>
      <w:r>
        <w:rPr>
          <w:rFonts w:hint="eastAsia" w:ascii="仿宋" w:hAnsi="仿宋" w:eastAsia="仿宋" w:cs="仿宋"/>
          <w:bCs/>
          <w:color w:val="auto"/>
          <w:sz w:val="24"/>
          <w:highlight w:val="none"/>
        </w:rPr>
        <w:cr/>
      </w:r>
    </w:p>
    <w:p w14:paraId="52676A74">
      <w:pPr>
        <w:pStyle w:val="16"/>
        <w:tabs>
          <w:tab w:val="left" w:pos="5580"/>
        </w:tabs>
        <w:spacing w:line="240" w:lineRule="atLeast"/>
        <w:jc w:val="both"/>
        <w:rPr>
          <w:rFonts w:hint="eastAsia" w:ascii="仿宋" w:hAnsi="仿宋" w:eastAsia="仿宋" w:cs="仿宋"/>
          <w:b/>
          <w:color w:val="auto"/>
          <w:sz w:val="28"/>
          <w:szCs w:val="28"/>
          <w:highlight w:val="none"/>
        </w:rPr>
      </w:pPr>
    </w:p>
    <w:p w14:paraId="1BA6F6A0">
      <w:pPr>
        <w:pStyle w:val="16"/>
        <w:tabs>
          <w:tab w:val="left" w:pos="5580"/>
        </w:tabs>
        <w:spacing w:line="240" w:lineRule="atLeast"/>
        <w:ind w:left="1080" w:leftChars="257" w:hanging="540"/>
        <w:jc w:val="center"/>
        <w:rPr>
          <w:rFonts w:hint="eastAsia" w:ascii="仿宋" w:hAnsi="仿宋" w:eastAsia="仿宋" w:cs="仿宋"/>
          <w:b/>
          <w:color w:val="auto"/>
          <w:sz w:val="28"/>
          <w:szCs w:val="28"/>
          <w:highlight w:val="none"/>
        </w:rPr>
      </w:pPr>
    </w:p>
    <w:p w14:paraId="4136BB20">
      <w:pPr>
        <w:pStyle w:val="16"/>
        <w:tabs>
          <w:tab w:val="left" w:pos="5580"/>
        </w:tabs>
        <w:spacing w:line="240" w:lineRule="atLeast"/>
        <w:ind w:left="1080" w:leftChars="257" w:hanging="540"/>
        <w:jc w:val="center"/>
        <w:rPr>
          <w:rFonts w:hint="eastAsia" w:ascii="仿宋" w:hAnsi="仿宋" w:eastAsia="仿宋" w:cs="仿宋"/>
          <w:b/>
          <w:color w:val="auto"/>
          <w:sz w:val="28"/>
          <w:szCs w:val="28"/>
          <w:highlight w:val="none"/>
        </w:rPr>
      </w:pPr>
    </w:p>
    <w:p w14:paraId="3B61E584">
      <w:pPr>
        <w:pStyle w:val="16"/>
        <w:tabs>
          <w:tab w:val="left" w:pos="5580"/>
        </w:tabs>
        <w:spacing w:line="240" w:lineRule="atLeast"/>
        <w:ind w:left="1080" w:leftChars="257" w:hanging="540"/>
        <w:jc w:val="center"/>
        <w:rPr>
          <w:rFonts w:hint="eastAsia" w:ascii="仿宋" w:hAnsi="仿宋" w:eastAsia="仿宋" w:cs="仿宋"/>
          <w:b/>
          <w:color w:val="auto"/>
          <w:sz w:val="28"/>
          <w:szCs w:val="28"/>
          <w:highlight w:val="none"/>
        </w:rPr>
      </w:pPr>
    </w:p>
    <w:p w14:paraId="4A6CE18F">
      <w:pPr>
        <w:pStyle w:val="16"/>
        <w:tabs>
          <w:tab w:val="left" w:pos="5580"/>
        </w:tabs>
        <w:spacing w:line="240" w:lineRule="atLeast"/>
        <w:ind w:left="1080" w:leftChars="257" w:hanging="540"/>
        <w:jc w:val="center"/>
        <w:rPr>
          <w:rFonts w:hint="eastAsia" w:ascii="仿宋" w:hAnsi="仿宋" w:eastAsia="仿宋" w:cs="仿宋"/>
          <w:b/>
          <w:color w:val="auto"/>
          <w:sz w:val="28"/>
          <w:szCs w:val="28"/>
          <w:highlight w:val="none"/>
        </w:rPr>
        <w:sectPr>
          <w:headerReference r:id="rId5" w:type="default"/>
          <w:footerReference r:id="rId6" w:type="default"/>
          <w:pgSz w:w="11906" w:h="16838"/>
          <w:pgMar w:top="1440" w:right="1797" w:bottom="1440" w:left="1797" w:header="851" w:footer="992" w:gutter="0"/>
          <w:pgNumType w:fmt="decimal"/>
          <w:cols w:space="720" w:num="1"/>
          <w:docGrid w:linePitch="312" w:charSpace="0"/>
        </w:sectPr>
      </w:pPr>
    </w:p>
    <w:p w14:paraId="5D4B4BDD">
      <w:pPr>
        <w:pStyle w:val="16"/>
        <w:tabs>
          <w:tab w:val="left" w:pos="5580"/>
        </w:tabs>
        <w:spacing w:line="240" w:lineRule="atLeast"/>
        <w:ind w:left="1080" w:leftChars="257" w:hanging="540"/>
        <w:jc w:val="center"/>
        <w:rPr>
          <w:rFonts w:hint="eastAsia" w:ascii="仿宋" w:hAnsi="仿宋" w:eastAsia="仿宋" w:cs="仿宋"/>
          <w:bCs/>
          <w:color w:val="auto"/>
          <w:sz w:val="28"/>
          <w:szCs w:val="28"/>
          <w:highlight w:val="none"/>
        </w:rPr>
      </w:pPr>
      <w:r>
        <w:rPr>
          <w:rFonts w:hint="eastAsia" w:ascii="仿宋" w:hAnsi="仿宋" w:eastAsia="仿宋" w:cs="仿宋"/>
          <w:b/>
          <w:color w:val="auto"/>
          <w:sz w:val="28"/>
          <w:szCs w:val="28"/>
          <w:highlight w:val="none"/>
        </w:rPr>
        <w:t>法定代表人授权委托书</w:t>
      </w:r>
    </w:p>
    <w:p w14:paraId="20836CF4">
      <w:pPr>
        <w:pStyle w:val="16"/>
        <w:tabs>
          <w:tab w:val="left" w:pos="5580"/>
        </w:tabs>
        <w:spacing w:line="240" w:lineRule="atLeas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本授权书声明：注册于</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（国家或地区的名称）的</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（供应商）的在下面签字的</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（法人代表姓名、职务）代表我单位授权</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（单位名称）的在下面签字的</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（被授权人的姓名、职务）为我单位的合法代理人，就</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（项目名称）投标，以我单位名义处理一切与之有关的事务。　　</w:t>
      </w:r>
    </w:p>
    <w:p w14:paraId="609A63CE">
      <w:pPr>
        <w:pStyle w:val="16"/>
        <w:tabs>
          <w:tab w:val="left" w:pos="5580"/>
        </w:tabs>
        <w:spacing w:line="240" w:lineRule="atLeas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本授权书于           年     月     日签字生效,特此声明。</w:t>
      </w:r>
    </w:p>
    <w:p w14:paraId="6EB423B4">
      <w:pPr>
        <w:pStyle w:val="16"/>
        <w:tabs>
          <w:tab w:val="left" w:pos="5580"/>
        </w:tabs>
        <w:spacing w:line="240" w:lineRule="atLeas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mc:AlternateContent>
          <mc:Choice Requires="wps">
            <w:drawing>
              <wp:anchor distT="0" distB="0" distL="114300" distR="114300" simplePos="0" relativeHeight="251663360" behindDoc="0" locked="0" layoutInCell="1" allowOverlap="1">
                <wp:simplePos x="0" y="0"/>
                <wp:positionH relativeFrom="column">
                  <wp:posOffset>3039110</wp:posOffset>
                </wp:positionH>
                <wp:positionV relativeFrom="paragraph">
                  <wp:posOffset>167640</wp:posOffset>
                </wp:positionV>
                <wp:extent cx="2478405" cy="1125220"/>
                <wp:effectExtent l="0" t="0" r="0" b="0"/>
                <wp:wrapNone/>
                <wp:docPr id="5" name="自选图形 5"/>
                <wp:cNvGraphicFramePr/>
                <a:graphic xmlns:a="http://schemas.openxmlformats.org/drawingml/2006/main">
                  <a:graphicData uri="http://schemas.microsoft.com/office/word/2010/wordprocessingShape">
                    <wps:wsp>
                      <wps:cNvSpPr/>
                      <wps:spPr bwMode="auto">
                        <a:xfrm>
                          <a:off x="0" y="0"/>
                          <a:ext cx="2478405" cy="1125220"/>
                        </a:xfrm>
                        <a:prstGeom prst="roundRect">
                          <a:avLst>
                            <a:gd name="adj" fmla="val 16667"/>
                          </a:avLst>
                        </a:prstGeom>
                        <a:solidFill>
                          <a:srgbClr val="FFFFFF"/>
                        </a:solidFill>
                        <a:ln w="15875" cmpd="sng">
                          <a:solidFill>
                            <a:srgbClr val="808080"/>
                          </a:solidFill>
                          <a:round/>
                        </a:ln>
                      </wps:spPr>
                      <wps:txbx>
                        <w:txbxContent>
                          <w:p w14:paraId="66F67B83">
                            <w:pPr>
                              <w:rPr>
                                <w:rFonts w:hint="eastAsia" w:hAnsi="宋体"/>
                              </w:rPr>
                            </w:pPr>
                          </w:p>
                          <w:p w14:paraId="6688E07D">
                            <w:pPr>
                              <w:rPr>
                                <w:rFonts w:hint="eastAsia" w:hAnsi="宋体"/>
                              </w:rPr>
                            </w:pPr>
                          </w:p>
                          <w:p w14:paraId="20555E2C">
                            <w:pPr>
                              <w:rPr>
                                <w:rFonts w:hint="eastAsia" w:hAnsi="宋体"/>
                              </w:rPr>
                            </w:pPr>
                          </w:p>
                          <w:p w14:paraId="5370BB09">
                            <w:pPr>
                              <w:ind w:firstLine="630" w:firstLineChars="300"/>
                            </w:pPr>
                            <w:r>
                              <w:rPr>
                                <w:rFonts w:hint="eastAsia" w:hAnsi="宋体"/>
                              </w:rPr>
                              <w:t>授权委托人身份证复印件</w:t>
                            </w:r>
                          </w:p>
                          <w:p w14:paraId="772F0CB2"/>
                        </w:txbxContent>
                      </wps:txbx>
                      <wps:bodyPr rot="0" vert="horz" wrap="square" lIns="91440" tIns="45720" rIns="91440" bIns="45720" anchor="t" anchorCtr="0" upright="1">
                        <a:noAutofit/>
                      </wps:bodyPr>
                    </wps:wsp>
                  </a:graphicData>
                </a:graphic>
              </wp:anchor>
            </w:drawing>
          </mc:Choice>
          <mc:Fallback>
            <w:pict>
              <v:roundrect id="自选图形 5" o:spid="_x0000_s1026" o:spt="2" style="position:absolute;left:0pt;margin-left:239.3pt;margin-top:13.2pt;height:88.6pt;width:195.15pt;z-index:251663360;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tAakz0YCAACBBAAADgAAAGRycy9lMm9Eb2MueG1s&#10;rVTNjtMwEL4j8Q6W7zRJ1T+qpiu0VRESPysWHsC1ncTIf9huk+XEDfEM3DjyDvA2K8FbMHaypbtw&#10;2AOtFM1kZr755vM4q7NOSXTgzgujS1yMcoy4poYJXZf47ZvtowVGPhDNiDSal/iKe3y2fvhg1dol&#10;H5vGSMYdAhDtl60tcROCXWaZpw1XxI+M5RqClXGKBHBdnTFHWkBXMhvn+SxrjWPWGcq9h7ebPogH&#10;RHcfQFNVgvKNoXvFdehRHZckwEi+EdbjdWJbVZyGV1XleUCyxDBpSE9oAvYuPrP1iixrR2wj6ECB&#10;3IfCnZkUERqaHqE2JBC0d+IvKCWoM95UYUSNyvpBkiIwRZHf0eayIZanWUBqb4+i+/8HS18eLhwS&#10;rMRTjDRRcOA/P3379fHz9Zcf19+/omlUqLV+CYmX9sINngcT7doXhkEB2QeThu8qp6IIMBbqksZX&#10;R415FxCFl+PJfDHJoRmFWFGMp+NxOoWMLG/KrfPhKTcKRaPEzuw1ew0nmXqQw3MfktJs4EvYO4wq&#10;JeHcDkSiYjabzSNrQBySwbrBjJXeSMG2QsrkuHp3Lh2C0hJv028ovpUmNWqB73Qxj9SVBcG8rhOj&#10;W3n+FG6Rx/+/4NJMPUepgWpUOGraax26XTcIvTPsCqR2pt9cuLdgNMZ9wKiFrQUW7/fEcYzkMw1r&#10;8biYTOKaJ2cynYO2yJ1GdqcRoilAlThg1Jvnob8ae+tE3UCnIk2ozRM44kqEyDhS7VkNDmxmEnu4&#10;RXH1T/2U9efLsf4N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5oXJItsAAAAKAQAADwAAAAAAAAAB&#10;ACAAAAAiAAAAZHJzL2Rvd25yZXYueG1sUEsBAhQAFAAAAAgAh07iQLQGpM9GAgAAgQQAAA4AAAAA&#10;AAAAAQAgAAAAKgEAAGRycy9lMm9Eb2MueG1sUEsFBgAAAAAGAAYAWQEAAOIFAAAAAA==&#10;">
                <v:fill on="t" focussize="0,0"/>
                <v:stroke weight="1.25pt" color="#808080" joinstyle="round"/>
                <v:imagedata o:title=""/>
                <o:lock v:ext="edit" aspectratio="f"/>
                <v:textbox>
                  <w:txbxContent>
                    <w:p w14:paraId="66F67B83">
                      <w:pPr>
                        <w:rPr>
                          <w:rFonts w:hint="eastAsia" w:hAnsi="宋体"/>
                        </w:rPr>
                      </w:pPr>
                    </w:p>
                    <w:p w14:paraId="6688E07D">
                      <w:pPr>
                        <w:rPr>
                          <w:rFonts w:hint="eastAsia" w:hAnsi="宋体"/>
                        </w:rPr>
                      </w:pPr>
                    </w:p>
                    <w:p w14:paraId="20555E2C">
                      <w:pPr>
                        <w:rPr>
                          <w:rFonts w:hint="eastAsia" w:hAnsi="宋体"/>
                        </w:rPr>
                      </w:pPr>
                    </w:p>
                    <w:p w14:paraId="5370BB09">
                      <w:pPr>
                        <w:ind w:firstLine="630" w:firstLineChars="300"/>
                      </w:pPr>
                      <w:r>
                        <w:rPr>
                          <w:rFonts w:hint="eastAsia" w:hAnsi="宋体"/>
                        </w:rPr>
                        <w:t>授权委托人身份证复印件</w:t>
                      </w:r>
                    </w:p>
                    <w:p w14:paraId="772F0CB2"/>
                  </w:txbxContent>
                </v:textbox>
              </v:roundrect>
            </w:pict>
          </mc:Fallback>
        </mc:AlternateContent>
      </w:r>
      <w:r>
        <w:rPr>
          <w:rFonts w:hint="eastAsia" w:ascii="仿宋" w:hAnsi="仿宋" w:eastAsia="仿宋" w:cs="仿宋"/>
          <w:bCs/>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135890</wp:posOffset>
                </wp:positionV>
                <wp:extent cx="2507615" cy="1143000"/>
                <wp:effectExtent l="0" t="0" r="6985" b="0"/>
                <wp:wrapNone/>
                <wp:docPr id="4" name="自选图形 6"/>
                <wp:cNvGraphicFramePr/>
                <a:graphic xmlns:a="http://schemas.openxmlformats.org/drawingml/2006/main">
                  <a:graphicData uri="http://schemas.microsoft.com/office/word/2010/wordprocessingShape">
                    <wps:wsp>
                      <wps:cNvSpPr/>
                      <wps:spPr bwMode="auto">
                        <a:xfrm>
                          <a:off x="0" y="0"/>
                          <a:ext cx="2507615" cy="1143000"/>
                        </a:xfrm>
                        <a:prstGeom prst="flowChartAlternateProcess">
                          <a:avLst/>
                        </a:prstGeom>
                        <a:solidFill>
                          <a:srgbClr val="FFFFFF"/>
                        </a:solidFill>
                        <a:ln w="9525" cmpd="sng">
                          <a:solidFill>
                            <a:srgbClr val="000000"/>
                          </a:solidFill>
                          <a:miter lim="800000"/>
                        </a:ln>
                      </wps:spPr>
                      <wps:txbx>
                        <w:txbxContent>
                          <w:p w14:paraId="1BC893C3">
                            <w:pPr>
                              <w:jc w:val="center"/>
                              <w:rPr>
                                <w:rFonts w:hint="eastAsia" w:hAnsi="宋体"/>
                              </w:rPr>
                            </w:pPr>
                          </w:p>
                          <w:p w14:paraId="39EDEB68">
                            <w:pPr>
                              <w:jc w:val="center"/>
                              <w:rPr>
                                <w:rFonts w:hint="eastAsia" w:hAnsi="宋体"/>
                              </w:rPr>
                            </w:pPr>
                          </w:p>
                          <w:p w14:paraId="416CD57F">
                            <w:pPr>
                              <w:jc w:val="center"/>
                              <w:rPr>
                                <w:rFonts w:hint="eastAsia" w:hAnsi="宋体"/>
                              </w:rPr>
                            </w:pPr>
                          </w:p>
                          <w:p w14:paraId="50E6AA16">
                            <w:pPr>
                              <w:jc w:val="center"/>
                            </w:pPr>
                            <w:r>
                              <w:rPr>
                                <w:rFonts w:hint="eastAsia" w:hAnsi="宋体"/>
                              </w:rPr>
                              <w:t>授权委托人身份证复印件</w:t>
                            </w:r>
                          </w:p>
                        </w:txbxContent>
                      </wps:txbx>
                      <wps:bodyPr rot="0" vert="horz" wrap="square" lIns="91440" tIns="45720" rIns="91440" bIns="45720" anchor="t" anchorCtr="0" upright="1">
                        <a:noAutofit/>
                      </wps:bodyPr>
                    </wps:wsp>
                  </a:graphicData>
                </a:graphic>
              </wp:anchor>
            </w:drawing>
          </mc:Choice>
          <mc:Fallback>
            <w:pict>
              <v:shape id="自选图形 6" o:spid="_x0000_s1026" o:spt="176" type="#_x0000_t176" style="position:absolute;left:0pt;margin-left:1.65pt;margin-top:10.7pt;height:90pt;width:197.45pt;z-index:251662336;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FzuiZhAAgAAcQQAAA4AAABkcnMvZTJvRG9jLnhtbK1US47T&#10;QBDdI3GHVu+J7ZDMJ4ozGiUKQuITaeAAnXY7bql/VHdihxU7xBlmx5I7wG1GgltQbnsyybCZBV5Y&#10;Va7fe6+rPb1qtCI7AV5ak9NskFIiDLeFNJucfvywfHFBiQ/MFExZI3K6F55ezZ4/m9ZuIoa2sqoQ&#10;QLCJ8ZPa5bQKwU2SxPNKaOYH1gmDwdKCZgFd2CQFsBq7a5UM0/QsqS0UDiwX3uPXRRekfUd4SkNb&#10;lpKLheVbLUzouoJQLCAlX0nn6SyiLUvBw/uy9CIQlVNkGuIbh6C9bt/JbMomG2CukryHwJ4C4REn&#10;zaTBoYdWCxYY2YL8p5WWHKy3ZRhwq5OOSFQEWWTpI21uKuZE5IJSe3cQ3f+/tvzdbgVEFjkdUWKY&#10;xgP//fXHny/f7m5/3f38Ts5ahWrnJ5h441bQex5Nsq7f2gIL2DbYSL4pQbciIC3SRI33B41FEwjH&#10;j8Nxen6WjSnhGMuy0cs0jaeQsMl9uQMfXgmrSWvktFS2nlcMwrUKAgwLYtVtT5zJdm98QFRYf1/X&#10;QvBWyWIplYoObNZzBWTHcAuW8WlpYclJmjKkzunleNii0w418WYTh5yk+eNuiP6BwEmaloiWKKlz&#10;enGcpAxObhVtNey0Dc266YVd22KP0oLtNhXvKRqVhc+U1LilCOnTloGgRL02uAaX2WjUrnV0RuPz&#10;ITpwHFkfR5jh2CqngZLOnIfuKmwdyE2Fk7JI19hrPNJSRl1bqB2qHjduYtSuvzXtqh/7MevhTzH7&#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JgSMjDWAAAACAEAAA8AAAAAAAAAAQAgAAAAIgAAAGRy&#10;cy9kb3ducmV2LnhtbFBLAQIUABQAAAAIAIdO4kBc7omYQAIAAHEEAAAOAAAAAAAAAAEAIAAAACUB&#10;AABkcnMvZTJvRG9jLnhtbFBLBQYAAAAABgAGAFkBAADXBQAAAAA=&#10;">
                <v:fill on="t" focussize="0,0"/>
                <v:stroke color="#000000" miterlimit="8" joinstyle="miter"/>
                <v:imagedata o:title=""/>
                <o:lock v:ext="edit" aspectratio="f"/>
                <v:textbox>
                  <w:txbxContent>
                    <w:p w14:paraId="1BC893C3">
                      <w:pPr>
                        <w:jc w:val="center"/>
                        <w:rPr>
                          <w:rFonts w:hint="eastAsia" w:hAnsi="宋体"/>
                        </w:rPr>
                      </w:pPr>
                    </w:p>
                    <w:p w14:paraId="39EDEB68">
                      <w:pPr>
                        <w:jc w:val="center"/>
                        <w:rPr>
                          <w:rFonts w:hint="eastAsia" w:hAnsi="宋体"/>
                        </w:rPr>
                      </w:pPr>
                    </w:p>
                    <w:p w14:paraId="416CD57F">
                      <w:pPr>
                        <w:jc w:val="center"/>
                        <w:rPr>
                          <w:rFonts w:hint="eastAsia" w:hAnsi="宋体"/>
                        </w:rPr>
                      </w:pPr>
                    </w:p>
                    <w:p w14:paraId="50E6AA16">
                      <w:pPr>
                        <w:jc w:val="center"/>
                      </w:pPr>
                      <w:r>
                        <w:rPr>
                          <w:rFonts w:hint="eastAsia" w:hAnsi="宋体"/>
                        </w:rPr>
                        <w:t>授权委托人身份证复印件</w:t>
                      </w:r>
                    </w:p>
                  </w:txbxContent>
                </v:textbox>
              </v:shape>
            </w:pict>
          </mc:Fallback>
        </mc:AlternateContent>
      </w:r>
    </w:p>
    <w:p w14:paraId="58EAC119">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6F92C195">
      <w:pPr>
        <w:pStyle w:val="16"/>
        <w:tabs>
          <w:tab w:val="left" w:pos="5580"/>
        </w:tabs>
        <w:spacing w:line="240" w:lineRule="atLeast"/>
        <w:rPr>
          <w:rFonts w:hint="eastAsia" w:ascii="仿宋" w:hAnsi="仿宋" w:eastAsia="仿宋" w:cs="仿宋"/>
          <w:bCs/>
          <w:color w:val="auto"/>
          <w:sz w:val="24"/>
          <w:highlight w:val="none"/>
        </w:rPr>
      </w:pPr>
    </w:p>
    <w:p w14:paraId="44585B3E">
      <w:pPr>
        <w:pStyle w:val="16"/>
        <w:tabs>
          <w:tab w:val="left" w:pos="5580"/>
        </w:tabs>
        <w:spacing w:line="240" w:lineRule="atLeast"/>
        <w:rPr>
          <w:rFonts w:hint="eastAsia" w:ascii="仿宋" w:hAnsi="仿宋" w:eastAsia="仿宋" w:cs="仿宋"/>
          <w:bCs/>
          <w:color w:val="auto"/>
          <w:sz w:val="24"/>
          <w:highlight w:val="none"/>
        </w:rPr>
      </w:pPr>
    </w:p>
    <w:p w14:paraId="2868A25E">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3839E2A4">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14BDF54D">
      <w:pPr>
        <w:pStyle w:val="16"/>
        <w:tabs>
          <w:tab w:val="left" w:pos="5580"/>
        </w:tabs>
        <w:spacing w:line="240" w:lineRule="atLeast"/>
        <w:rPr>
          <w:rFonts w:hint="eastAsia" w:ascii="仿宋" w:hAnsi="仿宋" w:eastAsia="仿宋" w:cs="仿宋"/>
          <w:bCs/>
          <w:color w:val="auto"/>
          <w:sz w:val="24"/>
          <w:highlight w:val="none"/>
        </w:rPr>
      </w:pPr>
    </w:p>
    <w:p w14:paraId="166A28B4">
      <w:pPr>
        <w:pStyle w:val="16"/>
        <w:tabs>
          <w:tab w:val="left" w:pos="5580"/>
        </w:tabs>
        <w:spacing w:line="240" w:lineRule="atLeas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mc:AlternateContent>
          <mc:Choice Requires="wps">
            <w:drawing>
              <wp:anchor distT="0" distB="0" distL="114300" distR="114300" simplePos="0" relativeHeight="251664384" behindDoc="0" locked="0" layoutInCell="1" allowOverlap="1">
                <wp:simplePos x="0" y="0"/>
                <wp:positionH relativeFrom="column">
                  <wp:posOffset>3064510</wp:posOffset>
                </wp:positionH>
                <wp:positionV relativeFrom="paragraph">
                  <wp:posOffset>121285</wp:posOffset>
                </wp:positionV>
                <wp:extent cx="2535555" cy="1029335"/>
                <wp:effectExtent l="0" t="0" r="0" b="0"/>
                <wp:wrapNone/>
                <wp:docPr id="3" name="自选图形 7"/>
                <wp:cNvGraphicFramePr/>
                <a:graphic xmlns:a="http://schemas.openxmlformats.org/drawingml/2006/main">
                  <a:graphicData uri="http://schemas.microsoft.com/office/word/2010/wordprocessingShape">
                    <wps:wsp>
                      <wps:cNvSpPr/>
                      <wps:spPr bwMode="auto">
                        <a:xfrm>
                          <a:off x="0" y="0"/>
                          <a:ext cx="2535555" cy="1029335"/>
                        </a:xfrm>
                        <a:prstGeom prst="roundRect">
                          <a:avLst>
                            <a:gd name="adj" fmla="val 16667"/>
                          </a:avLst>
                        </a:prstGeom>
                        <a:solidFill>
                          <a:srgbClr val="FFFFFF"/>
                        </a:solidFill>
                        <a:ln w="15875" cmpd="sng">
                          <a:solidFill>
                            <a:srgbClr val="808080"/>
                          </a:solidFill>
                          <a:round/>
                        </a:ln>
                      </wps:spPr>
                      <wps:txbx>
                        <w:txbxContent>
                          <w:p w14:paraId="627A5513">
                            <w:pPr>
                              <w:jc w:val="center"/>
                              <w:rPr>
                                <w:rFonts w:hint="eastAsia" w:hAnsi="宋体"/>
                              </w:rPr>
                            </w:pPr>
                            <w:r>
                              <w:rPr>
                                <w:rFonts w:hint="eastAsia" w:hAnsi="宋体"/>
                              </w:rPr>
                              <w:t xml:space="preserve">  </w:t>
                            </w:r>
                          </w:p>
                          <w:p w14:paraId="65039BFE">
                            <w:pPr>
                              <w:jc w:val="center"/>
                              <w:rPr>
                                <w:rFonts w:hint="eastAsia" w:hAnsi="宋体"/>
                              </w:rPr>
                            </w:pPr>
                          </w:p>
                          <w:p w14:paraId="7ACBE2BE">
                            <w:pPr>
                              <w:jc w:val="center"/>
                              <w:rPr>
                                <w:rFonts w:hint="eastAsia" w:hAnsi="宋体"/>
                              </w:rPr>
                            </w:pPr>
                          </w:p>
                          <w:p w14:paraId="59496B42">
                            <w:pPr>
                              <w:jc w:val="center"/>
                              <w:rPr>
                                <w:szCs w:val="21"/>
                              </w:rPr>
                            </w:pPr>
                            <w:r>
                              <w:rPr>
                                <w:rFonts w:hint="eastAsia" w:hAnsi="宋体"/>
                                <w:szCs w:val="21"/>
                              </w:rPr>
                              <w:t>法定代表人身份证复印件</w:t>
                            </w:r>
                          </w:p>
                          <w:p w14:paraId="32A3EBCA"/>
                        </w:txbxContent>
                      </wps:txbx>
                      <wps:bodyPr rot="0" vert="horz" wrap="square" lIns="91440" tIns="45720" rIns="91440" bIns="45720" anchor="t" anchorCtr="0" upright="1">
                        <a:noAutofit/>
                      </wps:bodyPr>
                    </wps:wsp>
                  </a:graphicData>
                </a:graphic>
              </wp:anchor>
            </w:drawing>
          </mc:Choice>
          <mc:Fallback>
            <w:pict>
              <v:roundrect id="自选图形 7" o:spid="_x0000_s1026" o:spt="2" style="position:absolute;left:0pt;margin-left:241.3pt;margin-top:9.55pt;height:81.05pt;width:199.65pt;z-index:251664384;mso-width-relative:page;mso-height-relative:page;" fillcolor="#FFFFFF" filled="t" stroked="t" coordsize="21600,21600" arcsize="0.166666666666667" o:gfxdata="UEsDBAoAAAAAAIdO4kAAAAAAAAAAAAAAAAAEAAAAZHJzL1BLAwQUAAAACACHTuJABM4CctsAAAAK&#10;AQAADwAAAGRycy9kb3ducmV2LnhtbE2PwU7DMAyG70i8Q2QkbixpQVvWNZ0QEkggDlvHhVvWeG21&#10;JqmabF15erwTHO3/0+/P+fpiO3bGIbTeKUhmAhi6ypvW1Qq+dq8PEliI2hndeYcKJgywLm5vcp0Z&#10;P7otnstYMypxIdMKmhj7jPNQNWh1mPkeHWUHP1gdaRxqbgY9UrnteCrEnFvdOrrQ6B5fGqyO5ckq&#10;GH+m49vnAh8/xPb9udwtps33plXq/i4RK2ARL/EPhqs+qUNBTnt/ciawTsGTTOeEUrBMgBEgZbIE&#10;tqeFTFLgRc7/v1D8AlBLAwQUAAAACACHTuJATv/Ga0UCAACBBAAADgAAAGRycy9lMm9Eb2MueG1s&#10;rVRLjhMxEN0jcQfLe9Lp/CdKZ4QmCkLiM2LgAG7bnTbyD9tJJ6zYjTgDO5bcAW4zEtyCsrsnZAYW&#10;s6Ajtaq67Of3XpWzON8riXbceWF0gfNeHyOuqWFCbwr87u36yQwjH4hmRBrNC3zgHp8vHz9aNHbO&#10;B6Y2knGHAET7eWMLXIdg51nmac0V8T1juYZiZZwiAVK3yZgjDaArmQ36/UnWGMesM5R7D19XbRF3&#10;iO4hgKaqBOUrQ7eK69CiOi5JAEm+FtbjZWJbVZyG11XleUCywKA0pDccAnEZ39lyQeYbR2wtaEeB&#10;PITCPU2KCA2HHqFWJBC0deIvKCWoM95UoUeNylohyRFQkffveXNVE8uTFrDa26Pp/v/B0le7S4cE&#10;K/AQI00UNPzn9bdfnz7ffPlx8/0rmkaHGuvnsPDKXrou8xCisnlpGGwg22CS+H3lVDQBZKF98vhw&#10;9JjvA6LwcTAejuHBiEIt7w/OhsNxPCMj89vt1vnwjBuFYlBgZ7aavYFOpjPI7oUPyWnW8SXsPUaV&#10;ktC3HZEon0wmiTUgdoshusWMO72Rgq2FlClxm/JCOgRbC7xOT0fnzjKpUQN8x7NppK4sGOb1JjG6&#10;s86fws368fcvuKSpVS01iI8OR09br8O+3HdGl4YdwGpn2smFewtBbdxHjBqYWmDxYUscx0g+1zAW&#10;Z/loFMc8JaPxdACJO62UpxWiKUAVOGDUhhehvRpb68SmhpPypFCbp9DiSoTIOFJtWXUJTGZqX3eL&#10;4uif5mnVn3+O5W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EzgJy2wAAAAoBAAAPAAAAAAAAAAEA&#10;IAAAACIAAABkcnMvZG93bnJldi54bWxQSwECFAAUAAAACACHTuJATv/Ga0UCAACBBAAADgAAAAAA&#10;AAABACAAAAAqAQAAZHJzL2Uyb0RvYy54bWxQSwUGAAAAAAYABgBZAQAA4QUAAAAA&#10;">
                <v:fill on="t" focussize="0,0"/>
                <v:stroke weight="1.25pt" color="#808080" joinstyle="round"/>
                <v:imagedata o:title=""/>
                <o:lock v:ext="edit" aspectratio="f"/>
                <v:textbox>
                  <w:txbxContent>
                    <w:p w14:paraId="627A5513">
                      <w:pPr>
                        <w:jc w:val="center"/>
                        <w:rPr>
                          <w:rFonts w:hint="eastAsia" w:hAnsi="宋体"/>
                        </w:rPr>
                      </w:pPr>
                      <w:r>
                        <w:rPr>
                          <w:rFonts w:hint="eastAsia" w:hAnsi="宋体"/>
                        </w:rPr>
                        <w:t xml:space="preserve">  </w:t>
                      </w:r>
                    </w:p>
                    <w:p w14:paraId="65039BFE">
                      <w:pPr>
                        <w:jc w:val="center"/>
                        <w:rPr>
                          <w:rFonts w:hint="eastAsia" w:hAnsi="宋体"/>
                        </w:rPr>
                      </w:pPr>
                    </w:p>
                    <w:p w14:paraId="7ACBE2BE">
                      <w:pPr>
                        <w:jc w:val="center"/>
                        <w:rPr>
                          <w:rFonts w:hint="eastAsia" w:hAnsi="宋体"/>
                        </w:rPr>
                      </w:pPr>
                    </w:p>
                    <w:p w14:paraId="59496B42">
                      <w:pPr>
                        <w:jc w:val="center"/>
                        <w:rPr>
                          <w:szCs w:val="21"/>
                        </w:rPr>
                      </w:pPr>
                      <w:r>
                        <w:rPr>
                          <w:rFonts w:hint="eastAsia" w:hAnsi="宋体"/>
                          <w:szCs w:val="21"/>
                        </w:rPr>
                        <w:t>法定代表人身份证复印件</w:t>
                      </w:r>
                    </w:p>
                    <w:p w14:paraId="32A3EBCA"/>
                  </w:txbxContent>
                </v:textbox>
              </v:roundrect>
            </w:pict>
          </mc:Fallback>
        </mc:AlternateContent>
      </w:r>
    </w:p>
    <w:p w14:paraId="7BAB0338">
      <w:pPr>
        <w:pStyle w:val="16"/>
        <w:tabs>
          <w:tab w:val="left" w:pos="5580"/>
        </w:tabs>
        <w:spacing w:line="240" w:lineRule="atLeas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mc:AlternateContent>
          <mc:Choice Requires="wps">
            <w:drawing>
              <wp:anchor distT="0" distB="0" distL="114300" distR="114300" simplePos="0" relativeHeight="251665408" behindDoc="0" locked="0" layoutInCell="1" allowOverlap="1">
                <wp:simplePos x="0" y="0"/>
                <wp:positionH relativeFrom="column">
                  <wp:posOffset>-115570</wp:posOffset>
                </wp:positionH>
                <wp:positionV relativeFrom="paragraph">
                  <wp:posOffset>19050</wp:posOffset>
                </wp:positionV>
                <wp:extent cx="2555240" cy="1024890"/>
                <wp:effectExtent l="0" t="0" r="0" b="3810"/>
                <wp:wrapNone/>
                <wp:docPr id="2" name="自选图形 8"/>
                <wp:cNvGraphicFramePr/>
                <a:graphic xmlns:a="http://schemas.openxmlformats.org/drawingml/2006/main">
                  <a:graphicData uri="http://schemas.microsoft.com/office/word/2010/wordprocessingShape">
                    <wps:wsp>
                      <wps:cNvSpPr/>
                      <wps:spPr bwMode="auto">
                        <a:xfrm>
                          <a:off x="0" y="0"/>
                          <a:ext cx="2555240" cy="1024890"/>
                        </a:xfrm>
                        <a:prstGeom prst="roundRect">
                          <a:avLst>
                            <a:gd name="adj" fmla="val 16667"/>
                          </a:avLst>
                        </a:prstGeom>
                        <a:solidFill>
                          <a:srgbClr val="FFFFFF"/>
                        </a:solidFill>
                        <a:ln w="15875" cmpd="sng">
                          <a:solidFill>
                            <a:srgbClr val="808080"/>
                          </a:solidFill>
                          <a:round/>
                        </a:ln>
                      </wps:spPr>
                      <wps:txbx>
                        <w:txbxContent>
                          <w:p w14:paraId="51DBD099">
                            <w:pPr>
                              <w:jc w:val="center"/>
                              <w:rPr>
                                <w:rFonts w:hint="eastAsia" w:hAnsi="宋体"/>
                              </w:rPr>
                            </w:pPr>
                          </w:p>
                          <w:p w14:paraId="683DCFDD">
                            <w:pPr>
                              <w:jc w:val="center"/>
                              <w:rPr>
                                <w:rFonts w:hint="eastAsia" w:hAnsi="宋体"/>
                              </w:rPr>
                            </w:pPr>
                          </w:p>
                          <w:p w14:paraId="00162E32">
                            <w:pPr>
                              <w:jc w:val="center"/>
                              <w:rPr>
                                <w:rFonts w:hint="eastAsia" w:hAnsi="宋体"/>
                              </w:rPr>
                            </w:pPr>
                          </w:p>
                          <w:p w14:paraId="541FC35B">
                            <w:pPr>
                              <w:jc w:val="center"/>
                              <w:rPr>
                                <w:szCs w:val="21"/>
                              </w:rPr>
                            </w:pPr>
                            <w:r>
                              <w:rPr>
                                <w:rFonts w:hint="eastAsia" w:hAnsi="宋体"/>
                                <w:szCs w:val="21"/>
                              </w:rPr>
                              <w:t>法定代表人身份证复印件</w:t>
                            </w:r>
                          </w:p>
                          <w:p w14:paraId="79631B80"/>
                        </w:txbxContent>
                      </wps:txbx>
                      <wps:bodyPr rot="0" vert="horz" wrap="square" lIns="91440" tIns="45720" rIns="91440" bIns="45720" anchor="t" anchorCtr="0" upright="1">
                        <a:noAutofit/>
                      </wps:bodyPr>
                    </wps:wsp>
                  </a:graphicData>
                </a:graphic>
              </wp:anchor>
            </w:drawing>
          </mc:Choice>
          <mc:Fallback>
            <w:pict>
              <v:roundrect id="自选图形 8" o:spid="_x0000_s1026" o:spt="2" style="position:absolute;left:0pt;margin-left:-9.1pt;margin-top:1.5pt;height:80.7pt;width:201.2pt;z-index:251665408;mso-width-relative:page;mso-height-relative:page;" fillcolor="#FFFFFF" filled="t" stroked="t" coordsize="21600,21600" arcsize="0.166666666666667" o:gfxdata="UEsDBAoAAAAAAIdO4kAAAAAAAAAAAAAAAAAEAAAAZHJzL1BLAwQUAAAACACHTuJATrXOTdkAAAAJ&#10;AQAADwAAAGRycy9kb3ducmV2LnhtbE2PQUvDQBSE74L/YXmCt3aTJrQhZlNEUFA8tKkXb9vsMwnN&#10;vg3ZbdP4632e9DjMMPNNsb3aXlxw9J0jBfEyAoFUO9NRo+Dj8LzIQPigyejeESqY0cO2vL0pdG7c&#10;RHu8VKERXEI+1wraEIZcSl+3aLVfugGJvS83Wh1Yjo00o5643PZyFUVraXVHvNDqAZ9arE/V2SqY&#10;vufTy/sGk7do//pYHTbz7nPXKXV/F0cPIAJew18YfvEZHUpmOrozGS96BYs4W3FUQcKX2E+ylPWR&#10;g+s0BVkW8v+D8gdQSwMEFAAAAAgAh07iQOYKJU1HAgAAgQQAAA4AAABkcnMvZTJvRG9jLnhtbK1U&#10;zY7TMBC+I/EOlu80adS/jZqu0FZFSPysWHgA13ESI/9hO03LiRvaZ+DGkXeAt1kJ3oKxky3dhcMe&#10;aKVoJjPz+Ztvxlme76VAO2Yd16rA41GKEVNUl1zVBX73dvNkgZHzRJVEaMUKfGAOn68eP1p2JmeZ&#10;brQomUUAolzemQI33ps8SRxtmCRupA1TEKy0lcSDa+uktKQDdCmSLE1nSadtaaymzDl4u+6DeEC0&#10;DwHUVcUpW2vaSqZ8j2qZIB5acg03Dq8i26pi1L+uKsc8EgWGTn18wiFgb8MzWS1JXltiGk4HCuQh&#10;FO71JAlXcOgRak08Qa3lf0FJTq12uvIjqmXSNxIVgS7G6T1trhpiWOwFpHbmKLr7f7D01e7SIl4W&#10;OMNIEQkD//n5269P1zdfftx8/4oWQaHOuBwSr8ylHTwHJtp2L3UJBaT1Oja/r6wMIkBbaB81Phw1&#10;ZnuPKLzMptNpNgH5KcTGaTZZnMUpJCS/LTfW+WdMSxSMAlvdqvINTDKeQXYvnI9KlwNfUr7HqJIC&#10;5rYjAo1ns9k8sAbEIRmsW8xQ6bTg5YYLER1bby+ERVBa4E38DcV30oRCHfCdLuZToC4NCOZUHRnd&#10;yXOncIs0/P8FF3vqOQoFVIPCQdNea7/f7geht7o8gNRW95sL9xaMRtuPGHWwtcDiQ0ssw0g8V7AW&#10;Z+NJ0NZHZzKdZ+DY08j2NEIUBagCe4x688L3V6M1ltcNnDSOHSr9FEZccR8YB6o9q8GBzYxiD7co&#10;rP6pH7P+fDlW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Otc5N2QAAAAkBAAAPAAAAAAAAAAEA&#10;IAAAACIAAABkcnMvZG93bnJldi54bWxQSwECFAAUAAAACACHTuJA5golTUcCAACBBAAADgAAAAAA&#10;AAABACAAAAAoAQAAZHJzL2Uyb0RvYy54bWxQSwUGAAAAAAYABgBZAQAA4QUAAAAA&#10;">
                <v:fill on="t" focussize="0,0"/>
                <v:stroke weight="1.25pt" color="#808080" joinstyle="round"/>
                <v:imagedata o:title=""/>
                <o:lock v:ext="edit" aspectratio="f"/>
                <v:textbox>
                  <w:txbxContent>
                    <w:p w14:paraId="51DBD099">
                      <w:pPr>
                        <w:jc w:val="center"/>
                        <w:rPr>
                          <w:rFonts w:hint="eastAsia" w:hAnsi="宋体"/>
                        </w:rPr>
                      </w:pPr>
                    </w:p>
                    <w:p w14:paraId="683DCFDD">
                      <w:pPr>
                        <w:jc w:val="center"/>
                        <w:rPr>
                          <w:rFonts w:hint="eastAsia" w:hAnsi="宋体"/>
                        </w:rPr>
                      </w:pPr>
                    </w:p>
                    <w:p w14:paraId="00162E32">
                      <w:pPr>
                        <w:jc w:val="center"/>
                        <w:rPr>
                          <w:rFonts w:hint="eastAsia" w:hAnsi="宋体"/>
                        </w:rPr>
                      </w:pPr>
                    </w:p>
                    <w:p w14:paraId="541FC35B">
                      <w:pPr>
                        <w:jc w:val="center"/>
                        <w:rPr>
                          <w:szCs w:val="21"/>
                        </w:rPr>
                      </w:pPr>
                      <w:r>
                        <w:rPr>
                          <w:rFonts w:hint="eastAsia" w:hAnsi="宋体"/>
                          <w:szCs w:val="21"/>
                        </w:rPr>
                        <w:t>法定代表人身份证复印件</w:t>
                      </w:r>
                    </w:p>
                    <w:p w14:paraId="79631B80"/>
                  </w:txbxContent>
                </v:textbox>
              </v:roundrect>
            </w:pict>
          </mc:Fallback>
        </mc:AlternateContent>
      </w:r>
    </w:p>
    <w:p w14:paraId="50104119">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15FDBE0C">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4AC49E0B">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452969F9">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7B6B77C7">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3E5851AA">
      <w:pPr>
        <w:pStyle w:val="16"/>
        <w:tabs>
          <w:tab w:val="left" w:pos="5580"/>
        </w:tabs>
        <w:spacing w:line="240" w:lineRule="atLeast"/>
        <w:ind w:left="1080" w:leftChars="257" w:hanging="540"/>
        <w:rPr>
          <w:rFonts w:hint="eastAsia" w:ascii="仿宋" w:hAnsi="仿宋" w:eastAsia="仿宋" w:cs="仿宋"/>
          <w:bCs/>
          <w:color w:val="auto"/>
          <w:sz w:val="24"/>
          <w:highlight w:val="none"/>
        </w:rPr>
      </w:pPr>
    </w:p>
    <w:p w14:paraId="6556157B">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供应商（公章）;                           </w:t>
      </w:r>
    </w:p>
    <w:p w14:paraId="0A959E3A">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法定代表人（签/章）：                     </w:t>
      </w:r>
    </w:p>
    <w:p w14:paraId="52D6588F">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身份证号码： </w:t>
      </w:r>
    </w:p>
    <w:p w14:paraId="18079E59">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委托代理人（签/章）：                                   </w:t>
      </w:r>
    </w:p>
    <w:p w14:paraId="4071C851">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身份证号码：                                   </w:t>
      </w:r>
    </w:p>
    <w:p w14:paraId="6831FEF4">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详细通讯地址：                                 </w:t>
      </w:r>
    </w:p>
    <w:p w14:paraId="7D53AD5F">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邮 政 编 码 ：                                 </w:t>
      </w:r>
    </w:p>
    <w:p w14:paraId="6177F074">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传　　　　真：                                 </w:t>
      </w:r>
    </w:p>
    <w:p w14:paraId="67031FEF">
      <w:pPr>
        <w:pStyle w:val="16"/>
        <w:tabs>
          <w:tab w:val="left" w:pos="5580"/>
        </w:tabs>
        <w:spacing w:line="320" w:lineRule="exact"/>
        <w:ind w:left="1079" w:leftChars="257" w:hanging="53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电　　　　话：   </w:t>
      </w:r>
    </w:p>
    <w:p w14:paraId="5849D8C3">
      <w:pPr>
        <w:pStyle w:val="16"/>
        <w:tabs>
          <w:tab w:val="left" w:pos="5580"/>
        </w:tabs>
        <w:spacing w:line="240" w:lineRule="atLeast"/>
        <w:ind w:left="1080" w:leftChars="257" w:hanging="540"/>
        <w:rPr>
          <w:rFonts w:hint="eastAsia" w:ascii="仿宋" w:hAnsi="仿宋" w:eastAsia="仿宋" w:cs="仿宋"/>
          <w:bCs/>
          <w:color w:val="auto"/>
          <w:highlight w:val="none"/>
        </w:rPr>
      </w:pPr>
      <w:r>
        <w:rPr>
          <w:rFonts w:hint="eastAsia" w:ascii="仿宋" w:hAnsi="仿宋" w:eastAsia="仿宋" w:cs="仿宋"/>
          <w:bCs/>
          <w:color w:val="auto"/>
          <w:sz w:val="24"/>
          <w:highlight w:val="none"/>
        </w:rPr>
        <w:t xml:space="preserve">                        </w:t>
      </w:r>
      <w:bookmarkEnd w:id="414"/>
      <w:bookmarkEnd w:id="415"/>
      <w:bookmarkEnd w:id="416"/>
      <w:bookmarkEnd w:id="417"/>
    </w:p>
    <w:p w14:paraId="02DEA199">
      <w:pPr>
        <w:numPr>
          <w:ilvl w:val="0"/>
          <w:numId w:val="0"/>
        </w:numPr>
        <w:rPr>
          <w:rFonts w:hint="eastAsia" w:ascii="仿宋" w:hAnsi="仿宋" w:eastAsia="仿宋" w:cs="仿宋"/>
          <w:b w:val="0"/>
          <w:bCs/>
          <w:color w:val="auto"/>
          <w:highlight w:val="none"/>
          <w:lang w:eastAsia="zh-CN"/>
        </w:rPr>
      </w:pPr>
      <w:r>
        <w:rPr>
          <w:rFonts w:hint="eastAsia" w:ascii="仿宋" w:hAnsi="仿宋" w:eastAsia="仿宋" w:cs="仿宋"/>
          <w:b/>
          <w:bCs/>
          <w:color w:val="auto"/>
          <w:sz w:val="24"/>
          <w:highlight w:val="none"/>
          <w:lang w:val="en-US" w:eastAsia="zh-CN"/>
        </w:rPr>
        <w:t>4、被授权委托人参与投标需提供在本单位缴纳连续近三个月内任意一个月的社保证明（单位社保缴费凭证和个人明细表）；法定代表人参与投标需提供本单位社保缴费凭证；</w:t>
      </w:r>
    </w:p>
    <w:p w14:paraId="08211188">
      <w:pPr>
        <w:pStyle w:val="6"/>
        <w:numPr>
          <w:ilvl w:val="0"/>
          <w:numId w:val="0"/>
        </w:numPr>
        <w:spacing w:before="0" w:after="0" w:line="240" w:lineRule="atLeast"/>
        <w:jc w:val="left"/>
        <w:rPr>
          <w:rFonts w:hint="eastAsia" w:ascii="仿宋" w:hAnsi="仿宋" w:eastAsia="仿宋" w:cs="仿宋"/>
          <w:b/>
          <w:bCs/>
          <w:color w:val="auto"/>
          <w:kern w:val="2"/>
          <w:sz w:val="24"/>
          <w:szCs w:val="24"/>
          <w:highlight w:val="none"/>
          <w:u w:val="none"/>
          <w:lang w:val="en-US" w:eastAsia="zh-CN" w:bidi="ar-SA"/>
        </w:rPr>
      </w:pPr>
    </w:p>
    <w:p w14:paraId="41F94C3F">
      <w:pPr>
        <w:pStyle w:val="6"/>
        <w:numPr>
          <w:ilvl w:val="0"/>
          <w:numId w:val="0"/>
        </w:numPr>
        <w:spacing w:before="0" w:after="0" w:line="240" w:lineRule="atLeast"/>
        <w:jc w:val="left"/>
        <w:rPr>
          <w:rFonts w:hint="eastAsia" w:ascii="仿宋" w:hAnsi="仿宋" w:eastAsia="仿宋" w:cs="仿宋"/>
          <w:b/>
          <w:bCs/>
          <w:color w:val="auto"/>
          <w:kern w:val="2"/>
          <w:sz w:val="24"/>
          <w:szCs w:val="24"/>
          <w:highlight w:val="none"/>
          <w:u w:val="none"/>
          <w:lang w:val="en-US" w:eastAsia="zh-CN" w:bidi="ar-SA"/>
        </w:rPr>
      </w:pPr>
    </w:p>
    <w:p w14:paraId="4ECD222A">
      <w:pPr>
        <w:outlineLvl w:val="1"/>
        <w:rPr>
          <w:rFonts w:hint="eastAsia" w:ascii="仿宋" w:hAnsi="仿宋" w:eastAsia="仿宋" w:cs="仿宋"/>
          <w:b/>
          <w:bCs/>
          <w:color w:val="auto"/>
          <w:kern w:val="2"/>
          <w:sz w:val="24"/>
          <w:szCs w:val="24"/>
          <w:highlight w:val="none"/>
          <w:u w:val="none"/>
          <w:lang w:val="en-US" w:eastAsia="zh-CN" w:bidi="ar-SA"/>
        </w:rPr>
      </w:pPr>
      <w:r>
        <w:rPr>
          <w:rFonts w:hint="eastAsia" w:ascii="仿宋" w:hAnsi="仿宋" w:eastAsia="仿宋" w:cs="仿宋"/>
          <w:b/>
          <w:bCs/>
          <w:color w:val="auto"/>
          <w:kern w:val="2"/>
          <w:sz w:val="24"/>
          <w:szCs w:val="24"/>
          <w:highlight w:val="none"/>
          <w:u w:val="none"/>
          <w:lang w:val="en-US" w:eastAsia="zh-CN" w:bidi="ar-SA"/>
        </w:rPr>
        <w:t>5、凡拟参加本次招标项目的投标人，如在中国政府采购网（www.ccgp.gov.cn）、国家企业信用信息公示系统平台被列入政府采购严重违法失信行为记录名单、“信用中国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实施条例》第十九条规定的行政处罚记录的，将被认定为投标无效。（须提供本 条款明确的网站查询截屏或导出的证明性材料，并加盖公章，查询时间为公告发 布之日起至投标截止时间止）；</w:t>
      </w:r>
    </w:p>
    <w:p w14:paraId="25D46B9E">
      <w:pPr>
        <w:outlineLvl w:val="1"/>
        <w:rPr>
          <w:rFonts w:hint="eastAsia" w:ascii="仿宋" w:hAnsi="仿宋" w:eastAsia="仿宋" w:cs="仿宋"/>
          <w:b/>
          <w:bCs/>
          <w:color w:val="auto"/>
          <w:kern w:val="2"/>
          <w:sz w:val="24"/>
          <w:szCs w:val="24"/>
          <w:highlight w:val="none"/>
          <w:u w:val="none"/>
          <w:lang w:val="en-US" w:eastAsia="zh-CN" w:bidi="ar-SA"/>
        </w:rPr>
      </w:pPr>
    </w:p>
    <w:p w14:paraId="382E76C4">
      <w:pPr>
        <w:outlineLvl w:val="1"/>
        <w:rPr>
          <w:rFonts w:hint="eastAsia" w:ascii="仿宋" w:hAnsi="仿宋" w:eastAsia="仿宋" w:cs="仿宋"/>
          <w:b/>
          <w:bCs/>
          <w:color w:val="auto"/>
          <w:kern w:val="2"/>
          <w:sz w:val="24"/>
          <w:szCs w:val="24"/>
          <w:highlight w:val="none"/>
          <w:u w:val="none"/>
          <w:lang w:val="en-US" w:eastAsia="zh-CN" w:bidi="ar-SA"/>
        </w:rPr>
      </w:pPr>
      <w:r>
        <w:rPr>
          <w:rFonts w:hint="eastAsia" w:ascii="仿宋" w:hAnsi="仿宋" w:eastAsia="仿宋" w:cs="仿宋"/>
          <w:b/>
          <w:bCs/>
          <w:color w:val="auto"/>
          <w:kern w:val="2"/>
          <w:sz w:val="24"/>
          <w:szCs w:val="24"/>
          <w:highlight w:val="none"/>
          <w:u w:val="none"/>
          <w:lang w:val="en-US" w:eastAsia="zh-CN" w:bidi="ar-SA"/>
        </w:rPr>
        <w:t>6、提供2023年或2024年的财务审计报告与健全的财务会计制度（新成立的公司近三个月内的银行资信证明与健全的财务会计制度）；</w:t>
      </w:r>
    </w:p>
    <w:p w14:paraId="0A9B4C18">
      <w:pPr>
        <w:outlineLvl w:val="1"/>
        <w:rPr>
          <w:rFonts w:hint="eastAsia" w:ascii="仿宋" w:hAnsi="仿宋" w:eastAsia="仿宋" w:cs="仿宋"/>
          <w:b/>
          <w:bCs/>
          <w:color w:val="auto"/>
          <w:kern w:val="2"/>
          <w:sz w:val="24"/>
          <w:szCs w:val="24"/>
          <w:highlight w:val="none"/>
          <w:u w:val="none"/>
          <w:lang w:val="en-US" w:eastAsia="zh-CN" w:bidi="ar-SA"/>
        </w:rPr>
      </w:pPr>
    </w:p>
    <w:p w14:paraId="15C0333D">
      <w:pPr>
        <w:outlineLvl w:val="1"/>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 xml:space="preserve">        </w:t>
      </w:r>
    </w:p>
    <w:p w14:paraId="1BF9BB16">
      <w:pPr>
        <w:pStyle w:val="2"/>
        <w:ind w:left="0" w:leftChars="0" w:firstLine="0" w:firstLineChars="0"/>
        <w:rPr>
          <w:rFonts w:hint="eastAsia" w:ascii="仿宋" w:hAnsi="仿宋" w:eastAsia="仿宋" w:cs="仿宋"/>
          <w:b/>
          <w:bCs/>
          <w:color w:val="auto"/>
          <w:kern w:val="2"/>
          <w:sz w:val="24"/>
          <w:szCs w:val="24"/>
          <w:highlight w:val="none"/>
          <w:u w:val="none"/>
          <w:lang w:val="en-US" w:eastAsia="zh-CN" w:bidi="ar-SA"/>
        </w:rPr>
      </w:pPr>
      <w:r>
        <w:rPr>
          <w:rFonts w:hint="eastAsia" w:ascii="仿宋" w:hAnsi="仿宋" w:eastAsia="仿宋" w:cs="仿宋"/>
          <w:b/>
          <w:bCs/>
          <w:color w:val="auto"/>
          <w:kern w:val="2"/>
          <w:sz w:val="24"/>
          <w:szCs w:val="24"/>
          <w:highlight w:val="none"/>
          <w:u w:val="none"/>
          <w:lang w:val="en-US" w:eastAsia="zh-CN" w:bidi="ar-SA"/>
        </w:rPr>
        <w:t>7、税务部门出具的连续近三个月内任意一个月的完税证明（零申报需加盖税 务机关章）；注：①本项目要求各投标供应商提供“依法缴纳连续近三个月内任意一个月的完税证明”，若供应商某月税收为零申报或免征，须提供加盖税 务 局公章的无欠税证明或申报成功网页截图（供应商可自主登录“国家税务总局电子税务局”12366.chinatax.gov.cn/bsfw/onlinetaxation/main——</w:t>
      </w:r>
    </w:p>
    <w:p w14:paraId="610F832A">
      <w:pPr>
        <w:pStyle w:val="2"/>
        <w:ind w:left="0" w:leftChars="0" w:firstLine="0" w:firstLineChars="0"/>
        <w:rPr>
          <w:rFonts w:hint="eastAsia" w:ascii="仿宋" w:hAnsi="仿宋" w:eastAsia="仿宋" w:cs="仿宋"/>
          <w:b/>
          <w:bCs/>
          <w:color w:val="auto"/>
          <w:highlight w:val="none"/>
          <w:lang w:val="en-US" w:eastAsia="zh-CN"/>
        </w:rPr>
      </w:pPr>
      <w:r>
        <w:rPr>
          <w:rFonts w:hint="eastAsia" w:ascii="仿宋" w:hAnsi="仿宋" w:eastAsia="仿宋" w:cs="仿宋"/>
          <w:b/>
          <w:bCs/>
          <w:color w:val="auto"/>
          <w:kern w:val="2"/>
          <w:sz w:val="24"/>
          <w:szCs w:val="24"/>
          <w:highlight w:val="none"/>
          <w:u w:val="none"/>
          <w:lang w:val="en-US" w:eastAsia="zh-CN" w:bidi="ar-SA"/>
        </w:rPr>
        <w:t>税费申报及缴纳——申报结果查询）。②税务局代收的社保缴费证明不可作为本项目的完税证明（“税种”不可为养老保险、医疗保险、失业保险、工伤保险和生育保险）。</w:t>
      </w:r>
    </w:p>
    <w:p w14:paraId="09A42FE8">
      <w:pPr>
        <w:pStyle w:val="38"/>
        <w:numPr>
          <w:ilvl w:val="0"/>
          <w:numId w:val="0"/>
        </w:numPr>
        <w:ind w:leftChars="0"/>
        <w:rPr>
          <w:rFonts w:hint="eastAsia" w:ascii="仿宋" w:hAnsi="仿宋" w:eastAsia="仿宋" w:cs="仿宋"/>
          <w:b/>
          <w:bCs/>
          <w:color w:val="auto"/>
          <w:highlight w:val="none"/>
          <w:lang w:val="en-US" w:eastAsia="zh-CN"/>
        </w:rPr>
      </w:pPr>
    </w:p>
    <w:p w14:paraId="41F0F8FE">
      <w:pPr>
        <w:pStyle w:val="16"/>
        <w:numPr>
          <w:ilvl w:val="0"/>
          <w:numId w:val="0"/>
        </w:numPr>
        <w:tabs>
          <w:tab w:val="left" w:pos="5580"/>
        </w:tabs>
        <w:spacing w:line="240" w:lineRule="atLeast"/>
        <w:ind w:leftChars="0"/>
        <w:rPr>
          <w:rFonts w:hint="eastAsia" w:ascii="仿宋" w:hAnsi="仿宋" w:eastAsia="仿宋" w:cs="仿宋"/>
          <w:b/>
          <w:bCs/>
          <w:color w:val="auto"/>
          <w:highlight w:val="none"/>
          <w:lang w:val="en-US" w:eastAsia="zh-CN"/>
        </w:rPr>
      </w:pPr>
      <w:r>
        <w:rPr>
          <w:rFonts w:hint="eastAsia" w:ascii="仿宋" w:hAnsi="仿宋" w:eastAsia="仿宋" w:cs="仿宋"/>
          <w:b/>
          <w:bCs/>
          <w:color w:val="auto"/>
          <w:kern w:val="0"/>
          <w:sz w:val="24"/>
          <w:szCs w:val="20"/>
          <w:highlight w:val="none"/>
          <w:lang w:val="en-US" w:eastAsia="zh-CN" w:bidi="ar-SA"/>
        </w:rPr>
        <w:t>8、参加政府采购活动前3年内在经营活动中没有重大违法记录的书面声明；</w:t>
      </w:r>
    </w:p>
    <w:p w14:paraId="76320CDF">
      <w:pPr>
        <w:pStyle w:val="16"/>
        <w:numPr>
          <w:ilvl w:val="0"/>
          <w:numId w:val="0"/>
        </w:numPr>
        <w:tabs>
          <w:tab w:val="left" w:pos="5580"/>
        </w:tabs>
        <w:spacing w:line="240" w:lineRule="atLeast"/>
        <w:ind w:leftChars="0"/>
        <w:rPr>
          <w:rFonts w:hint="eastAsia" w:ascii="仿宋" w:hAnsi="仿宋" w:eastAsia="仿宋" w:cs="仿宋"/>
          <w:b/>
          <w:bCs/>
          <w:color w:val="auto"/>
          <w:highlight w:val="none"/>
          <w:lang w:val="en-US" w:eastAsia="zh-CN"/>
        </w:rPr>
      </w:pPr>
    </w:p>
    <w:p w14:paraId="5D787546">
      <w:pPr>
        <w:pStyle w:val="16"/>
        <w:numPr>
          <w:ilvl w:val="0"/>
          <w:numId w:val="0"/>
        </w:numPr>
        <w:tabs>
          <w:tab w:val="left" w:pos="5580"/>
        </w:tabs>
        <w:spacing w:line="240" w:lineRule="atLeast"/>
        <w:ind w:left="0" w:leftChars="0"/>
        <w:rPr>
          <w:rFonts w:hint="eastAsia" w:ascii="仿宋" w:hAnsi="仿宋" w:eastAsia="仿宋" w:cs="仿宋"/>
          <w:b/>
          <w:bCs/>
          <w:color w:val="auto"/>
          <w:kern w:val="2"/>
          <w:sz w:val="21"/>
          <w:szCs w:val="20"/>
          <w:lang w:val="en-US" w:eastAsia="zh-CN" w:bidi="ar-SA"/>
        </w:rPr>
      </w:pPr>
    </w:p>
    <w:p w14:paraId="226C3209">
      <w:pPr>
        <w:pStyle w:val="16"/>
        <w:numPr>
          <w:ilvl w:val="0"/>
          <w:numId w:val="0"/>
        </w:numPr>
        <w:tabs>
          <w:tab w:val="left" w:pos="5580"/>
        </w:tabs>
        <w:spacing w:line="240" w:lineRule="atLeast"/>
        <w:ind w:leftChars="0"/>
        <w:rPr>
          <w:rFonts w:hint="eastAsia" w:ascii="仿宋" w:hAnsi="仿宋" w:eastAsia="仿宋" w:cs="仿宋"/>
          <w:b/>
          <w:bCs/>
          <w:color w:val="auto"/>
          <w:kern w:val="0"/>
          <w:sz w:val="24"/>
          <w:szCs w:val="20"/>
          <w:highlight w:val="none"/>
          <w:lang w:val="en-US" w:eastAsia="zh-CN" w:bidi="ar-SA"/>
        </w:rPr>
      </w:pPr>
      <w:r>
        <w:rPr>
          <w:rFonts w:hint="eastAsia" w:ascii="仿宋" w:hAnsi="仿宋" w:eastAsia="仿宋" w:cs="仿宋"/>
          <w:b/>
          <w:bCs/>
          <w:color w:val="auto"/>
          <w:kern w:val="0"/>
          <w:sz w:val="24"/>
          <w:szCs w:val="20"/>
          <w:highlight w:val="none"/>
          <w:lang w:val="en-US" w:eastAsia="zh-CN" w:bidi="ar-SA"/>
        </w:rPr>
        <w:t>9、投标单位（供应商）针对本次项目《反商业贿赂承诺书》；</w:t>
      </w:r>
    </w:p>
    <w:p w14:paraId="1A12E3DD">
      <w:pPr>
        <w:pStyle w:val="16"/>
        <w:widowControl w:val="0"/>
        <w:numPr>
          <w:ilvl w:val="0"/>
          <w:numId w:val="0"/>
        </w:numPr>
        <w:tabs>
          <w:tab w:val="left" w:pos="5580"/>
        </w:tabs>
        <w:spacing w:line="240" w:lineRule="atLeast"/>
        <w:jc w:val="both"/>
        <w:rPr>
          <w:rFonts w:hint="eastAsia" w:ascii="仿宋" w:hAnsi="仿宋" w:eastAsia="仿宋" w:cs="仿宋"/>
          <w:b/>
          <w:bCs/>
          <w:color w:val="auto"/>
          <w:highlight w:val="none"/>
          <w:lang w:val="en-US" w:eastAsia="zh-CN"/>
        </w:rPr>
      </w:pPr>
    </w:p>
    <w:p w14:paraId="5E65CF3C">
      <w:pPr>
        <w:pStyle w:val="16"/>
        <w:numPr>
          <w:ilvl w:val="0"/>
          <w:numId w:val="0"/>
        </w:numPr>
        <w:tabs>
          <w:tab w:val="left" w:pos="5580"/>
        </w:tabs>
        <w:spacing w:line="240" w:lineRule="atLeast"/>
        <w:ind w:leftChars="0"/>
        <w:rPr>
          <w:rFonts w:hint="eastAsia" w:ascii="仿宋" w:hAnsi="仿宋" w:eastAsia="仿宋" w:cs="仿宋"/>
          <w:b/>
          <w:bCs/>
          <w:color w:val="auto"/>
          <w:kern w:val="0"/>
          <w:sz w:val="24"/>
          <w:szCs w:val="20"/>
          <w:highlight w:val="none"/>
          <w:lang w:val="en-US" w:eastAsia="zh-CN" w:bidi="ar-SA"/>
        </w:rPr>
      </w:pPr>
    </w:p>
    <w:p w14:paraId="50B2A9E3">
      <w:pPr>
        <w:pStyle w:val="16"/>
        <w:numPr>
          <w:ilvl w:val="0"/>
          <w:numId w:val="0"/>
        </w:numPr>
        <w:tabs>
          <w:tab w:val="left" w:pos="5580"/>
        </w:tabs>
        <w:spacing w:line="240" w:lineRule="atLeast"/>
        <w:ind w:leftChars="0"/>
        <w:rPr>
          <w:rFonts w:hint="default" w:ascii="仿宋" w:hAnsi="仿宋" w:eastAsia="仿宋" w:cs="仿宋"/>
          <w:b/>
          <w:bCs/>
          <w:color w:val="auto"/>
          <w:kern w:val="0"/>
          <w:sz w:val="24"/>
          <w:szCs w:val="20"/>
          <w:highlight w:val="none"/>
          <w:lang w:val="en-US" w:eastAsia="zh-CN" w:bidi="ar-SA"/>
        </w:rPr>
      </w:pPr>
      <w:r>
        <w:rPr>
          <w:rFonts w:hint="eastAsia" w:ascii="仿宋" w:hAnsi="仿宋" w:eastAsia="仿宋" w:cs="仿宋"/>
          <w:b/>
          <w:bCs/>
          <w:color w:val="auto"/>
          <w:kern w:val="0"/>
          <w:sz w:val="24"/>
          <w:szCs w:val="20"/>
          <w:highlight w:val="none"/>
          <w:lang w:val="en-US" w:eastAsia="zh-CN" w:bidi="ar-SA"/>
        </w:rPr>
        <w:t>10、供应商为厂家的需具备食品生产许可证，供应商为经销商的需具备食品经营许可证或仅销售预包装食品备案表。</w:t>
      </w:r>
    </w:p>
    <w:p w14:paraId="5A40F178">
      <w:pPr>
        <w:pStyle w:val="16"/>
        <w:numPr>
          <w:ilvl w:val="0"/>
          <w:numId w:val="0"/>
        </w:numPr>
        <w:tabs>
          <w:tab w:val="left" w:pos="5580"/>
        </w:tabs>
        <w:spacing w:line="240" w:lineRule="atLeast"/>
        <w:ind w:left="0" w:leftChars="0"/>
        <w:rPr>
          <w:rFonts w:hint="eastAsia" w:ascii="仿宋" w:hAnsi="仿宋" w:eastAsia="仿宋" w:cs="仿宋"/>
          <w:b/>
          <w:bCs/>
          <w:color w:val="auto"/>
          <w:kern w:val="0"/>
          <w:sz w:val="24"/>
          <w:szCs w:val="20"/>
          <w:lang w:val="en-US" w:eastAsia="zh-CN" w:bidi="ar-SA"/>
        </w:rPr>
      </w:pPr>
    </w:p>
    <w:p w14:paraId="588136EF">
      <w:pPr>
        <w:pStyle w:val="16"/>
        <w:numPr>
          <w:ilvl w:val="0"/>
          <w:numId w:val="0"/>
        </w:numPr>
        <w:tabs>
          <w:tab w:val="left" w:pos="5580"/>
        </w:tabs>
        <w:spacing w:line="240" w:lineRule="atLeast"/>
        <w:ind w:left="0" w:leftChars="0"/>
        <w:rPr>
          <w:rFonts w:hint="eastAsia" w:ascii="仿宋" w:hAnsi="仿宋" w:eastAsia="仿宋" w:cs="仿宋"/>
          <w:b/>
          <w:bCs/>
          <w:color w:val="auto"/>
          <w:kern w:val="0"/>
          <w:sz w:val="24"/>
          <w:szCs w:val="20"/>
          <w:lang w:val="en-US" w:eastAsia="zh-CN" w:bidi="ar-SA"/>
        </w:rPr>
      </w:pPr>
    </w:p>
    <w:p w14:paraId="18BA3A06">
      <w:pPr>
        <w:pStyle w:val="16"/>
        <w:numPr>
          <w:ilvl w:val="0"/>
          <w:numId w:val="0"/>
        </w:numPr>
        <w:tabs>
          <w:tab w:val="left" w:pos="5580"/>
        </w:tabs>
        <w:spacing w:line="240" w:lineRule="atLeast"/>
        <w:ind w:left="0" w:leftChars="0"/>
        <w:rPr>
          <w:rFonts w:hint="eastAsia" w:ascii="仿宋" w:hAnsi="仿宋" w:eastAsia="仿宋" w:cs="仿宋"/>
          <w:b/>
          <w:bCs/>
          <w:color w:val="auto"/>
          <w:kern w:val="0"/>
          <w:sz w:val="24"/>
          <w:szCs w:val="20"/>
          <w:highlight w:val="none"/>
          <w:lang w:val="en-US" w:eastAsia="zh-CN" w:bidi="ar-SA"/>
        </w:rPr>
      </w:pPr>
      <w:r>
        <w:rPr>
          <w:rFonts w:hint="eastAsia" w:ascii="仿宋" w:hAnsi="仿宋" w:eastAsia="仿宋" w:cs="仿宋"/>
          <w:b/>
          <w:bCs/>
          <w:color w:val="auto"/>
          <w:kern w:val="0"/>
          <w:sz w:val="24"/>
          <w:szCs w:val="20"/>
          <w:lang w:val="en-US" w:eastAsia="zh-CN" w:bidi="ar-SA"/>
        </w:rPr>
        <w:t>11、</w:t>
      </w:r>
      <w:r>
        <w:rPr>
          <w:rFonts w:hint="eastAsia" w:ascii="仿宋" w:hAnsi="仿宋" w:eastAsia="仿宋" w:cs="仿宋"/>
          <w:b/>
          <w:bCs/>
          <w:color w:val="auto"/>
          <w:kern w:val="0"/>
          <w:sz w:val="24"/>
          <w:szCs w:val="20"/>
          <w:highlight w:val="none"/>
          <w:lang w:val="en-US" w:eastAsia="zh-CN" w:bidi="ar-SA"/>
        </w:rPr>
        <w:t>本项目不接受联合体投标。（格式自拟）</w:t>
      </w:r>
    </w:p>
    <w:p w14:paraId="46D3E403">
      <w:pPr>
        <w:pStyle w:val="47"/>
        <w:numPr>
          <w:ilvl w:val="0"/>
          <w:numId w:val="0"/>
        </w:numPr>
        <w:autoSpaceDE w:val="0"/>
        <w:autoSpaceDN w:val="0"/>
        <w:adjustRightInd w:val="0"/>
        <w:spacing w:line="400" w:lineRule="exact"/>
        <w:rPr>
          <w:rFonts w:hint="eastAsia" w:ascii="仿宋" w:hAnsi="仿宋" w:eastAsia="仿宋" w:cs="仿宋"/>
          <w:b/>
          <w:bCs/>
          <w:color w:val="auto"/>
          <w:kern w:val="0"/>
          <w:sz w:val="24"/>
          <w:szCs w:val="20"/>
          <w:highlight w:val="none"/>
          <w:lang w:val="en-US" w:eastAsia="zh-CN" w:bidi="ar-SA"/>
        </w:rPr>
      </w:pPr>
    </w:p>
    <w:bookmarkEnd w:id="401"/>
    <w:bookmarkEnd w:id="402"/>
    <w:bookmarkEnd w:id="403"/>
    <w:bookmarkEnd w:id="404"/>
    <w:p w14:paraId="5205D189">
      <w:pPr>
        <w:pStyle w:val="6"/>
        <w:rPr>
          <w:rFonts w:hint="eastAsia" w:ascii="仿宋" w:hAnsi="仿宋" w:eastAsia="仿宋" w:cs="仿宋"/>
          <w:b/>
          <w:bCs w:val="0"/>
          <w:iCs/>
          <w:color w:val="auto"/>
          <w:kern w:val="2"/>
          <w:sz w:val="24"/>
          <w:szCs w:val="24"/>
          <w:highlight w:val="none"/>
          <w:u w:val="none"/>
          <w:lang w:val="en-US" w:eastAsia="zh-CN" w:bidi="ar-SA"/>
        </w:rPr>
      </w:pPr>
      <w:r>
        <w:rPr>
          <w:rFonts w:hint="eastAsia" w:ascii="仿宋" w:hAnsi="仿宋" w:eastAsia="仿宋" w:cs="仿宋"/>
          <w:b/>
          <w:bCs w:val="0"/>
          <w:iCs/>
          <w:color w:val="auto"/>
          <w:kern w:val="2"/>
          <w:sz w:val="24"/>
          <w:szCs w:val="24"/>
          <w:highlight w:val="none"/>
          <w:u w:val="none"/>
          <w:lang w:val="en-US" w:eastAsia="zh-CN" w:bidi="ar-SA"/>
        </w:rPr>
        <w:t>12、缴纳谈判保证金的有效凭证或保函。</w:t>
      </w:r>
    </w:p>
    <w:p w14:paraId="628C2EE7">
      <w:pPr>
        <w:pStyle w:val="6"/>
        <w:rPr>
          <w:rFonts w:hint="eastAsia" w:ascii="仿宋" w:hAnsi="仿宋" w:eastAsia="仿宋" w:cs="仿宋"/>
          <w:b/>
          <w:bCs w:val="0"/>
          <w:iCs/>
          <w:color w:val="auto"/>
          <w:kern w:val="2"/>
          <w:sz w:val="24"/>
          <w:szCs w:val="24"/>
          <w:highlight w:val="none"/>
          <w:u w:val="none"/>
          <w:lang w:val="en-US" w:eastAsia="zh-CN" w:bidi="ar-SA"/>
        </w:rPr>
      </w:pPr>
    </w:p>
    <w:p w14:paraId="12F7909C">
      <w:pPr>
        <w:pStyle w:val="6"/>
        <w:rPr>
          <w:rFonts w:hint="eastAsia" w:ascii="仿宋" w:hAnsi="仿宋" w:eastAsia="仿宋" w:cs="仿宋"/>
          <w:b/>
          <w:bCs w:val="0"/>
          <w:iCs/>
          <w:color w:val="auto"/>
          <w:kern w:val="2"/>
          <w:sz w:val="24"/>
          <w:szCs w:val="24"/>
          <w:highlight w:val="none"/>
          <w:u w:val="none"/>
          <w:lang w:val="en-US" w:eastAsia="zh-CN" w:bidi="ar-SA"/>
        </w:rPr>
      </w:pPr>
      <w:r>
        <w:rPr>
          <w:rFonts w:hint="eastAsia" w:ascii="仿宋" w:hAnsi="仿宋" w:eastAsia="仿宋" w:cs="仿宋"/>
          <w:b/>
          <w:bCs w:val="0"/>
          <w:iCs/>
          <w:color w:val="auto"/>
          <w:kern w:val="2"/>
          <w:sz w:val="24"/>
          <w:szCs w:val="24"/>
          <w:highlight w:val="none"/>
          <w:u w:val="none"/>
          <w:lang w:val="en-US" w:eastAsia="zh-CN" w:bidi="ar-SA"/>
        </w:rPr>
        <w:t>12、供应商可提供有利于投标的其他证明材料。</w:t>
      </w:r>
    </w:p>
    <w:p w14:paraId="121E2CE7">
      <w:pPr>
        <w:pStyle w:val="5"/>
        <w:spacing w:before="0" w:line="440" w:lineRule="exact"/>
        <w:jc w:val="center"/>
        <w:rPr>
          <w:rFonts w:hint="eastAsia" w:ascii="仿宋" w:hAnsi="仿宋" w:eastAsia="仿宋" w:cs="仿宋"/>
          <w:color w:val="auto"/>
          <w:sz w:val="24"/>
          <w:highlight w:val="none"/>
        </w:rPr>
        <w:sectPr>
          <w:pgSz w:w="11906" w:h="16838"/>
          <w:pgMar w:top="1440" w:right="1797" w:bottom="1440" w:left="1797" w:header="851" w:footer="992" w:gutter="0"/>
          <w:pgBorders>
            <w:top w:val="none" w:sz="0" w:space="0"/>
            <w:left w:val="none" w:sz="0" w:space="0"/>
            <w:bottom w:val="none" w:sz="0" w:space="0"/>
            <w:right w:val="none" w:sz="0" w:space="0"/>
          </w:pgBorders>
          <w:pgNumType w:start="29"/>
          <w:cols w:space="720" w:num="1"/>
          <w:docGrid w:linePitch="312" w:charSpace="0"/>
        </w:sectPr>
      </w:pPr>
    </w:p>
    <w:p w14:paraId="6344A80B">
      <w:pPr>
        <w:pStyle w:val="5"/>
        <w:spacing w:before="0"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第二部分  商务及技术文件</w:t>
      </w:r>
    </w:p>
    <w:p w14:paraId="2689282C">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1、谈判报价书（响应文件格式五）</w:t>
      </w:r>
    </w:p>
    <w:p w14:paraId="5ABA8C35">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、分项报价表（响应文件格式七）</w:t>
      </w:r>
    </w:p>
    <w:p w14:paraId="0595C537">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、货物说明一览表（响应文件格式八）</w:t>
      </w:r>
    </w:p>
    <w:p w14:paraId="0878A400">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、技术规格偏离表（响应文件格式九）</w:t>
      </w:r>
    </w:p>
    <w:p w14:paraId="7A0DC54C">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rPr>
        <w:t>、商务条款偏离表（响应文件格式十）</w:t>
      </w:r>
    </w:p>
    <w:p w14:paraId="5C6FA47C">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6</w:t>
      </w:r>
      <w:r>
        <w:rPr>
          <w:rFonts w:hint="eastAsia" w:ascii="仿宋" w:hAnsi="仿宋" w:eastAsia="仿宋" w:cs="仿宋"/>
          <w:bCs/>
          <w:color w:val="auto"/>
          <w:sz w:val="24"/>
          <w:highlight w:val="none"/>
        </w:rPr>
        <w:t>、符合《政府采购促进中小企业发展</w:t>
      </w:r>
      <w:r>
        <w:rPr>
          <w:rFonts w:hint="eastAsia" w:ascii="仿宋" w:hAnsi="仿宋" w:eastAsia="仿宋" w:cs="仿宋"/>
          <w:bCs/>
          <w:color w:val="auto"/>
          <w:sz w:val="24"/>
          <w:highlight w:val="none"/>
          <w:lang w:eastAsia="zh-CN"/>
        </w:rPr>
        <w:t>管理</w:t>
      </w:r>
      <w:r>
        <w:rPr>
          <w:rFonts w:hint="eastAsia" w:ascii="仿宋" w:hAnsi="仿宋" w:eastAsia="仿宋" w:cs="仿宋"/>
          <w:bCs/>
          <w:color w:val="auto"/>
          <w:sz w:val="24"/>
          <w:highlight w:val="none"/>
        </w:rPr>
        <w:t>办法》、《关于政府采购支持监狱企业发展有关问题的通知》和《三部门联合发布关于促进残疾人就业政府采购政策的通知》价格扣减条件的供应商须提交）</w:t>
      </w:r>
    </w:p>
    <w:p w14:paraId="3EE73FEE">
      <w:pPr>
        <w:pStyle w:val="16"/>
        <w:spacing w:line="440" w:lineRule="exact"/>
        <w:ind w:left="311" w:leftChars="148" w:firstLine="228"/>
        <w:rPr>
          <w:rFonts w:hint="eastAsia" w:ascii="仿宋" w:hAnsi="仿宋" w:eastAsia="仿宋" w:cs="仿宋"/>
          <w:bCs/>
          <w:color w:val="auto"/>
          <w:sz w:val="24"/>
          <w:highlight w:val="none"/>
        </w:rPr>
      </w:pPr>
      <w:bookmarkStart w:id="418" w:name="_Toc28150_WPSOffice_Level2"/>
      <w:r>
        <w:rPr>
          <w:rFonts w:hint="eastAsia" w:ascii="仿宋" w:hAnsi="仿宋" w:eastAsia="仿宋" w:cs="仿宋"/>
          <w:bCs/>
          <w:color w:val="auto"/>
          <w:sz w:val="24"/>
          <w:highlight w:val="none"/>
          <w:lang w:val="en-US" w:eastAsia="zh-CN"/>
        </w:rPr>
        <w:t>6</w:t>
      </w:r>
      <w:r>
        <w:rPr>
          <w:rFonts w:hint="eastAsia" w:ascii="仿宋" w:hAnsi="仿宋" w:eastAsia="仿宋" w:cs="仿宋"/>
          <w:bCs/>
          <w:color w:val="auto"/>
          <w:sz w:val="24"/>
          <w:highlight w:val="none"/>
        </w:rPr>
        <w:t>-1中小企业声明函 (货物)</w:t>
      </w:r>
    </w:p>
    <w:p w14:paraId="47C0CAB7">
      <w:pPr>
        <w:pStyle w:val="16"/>
        <w:spacing w:line="440" w:lineRule="exact"/>
        <w:ind w:left="311" w:leftChars="148" w:firstLine="228"/>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6</w:t>
      </w:r>
      <w:r>
        <w:rPr>
          <w:rFonts w:hint="eastAsia" w:ascii="仿宋" w:hAnsi="仿宋" w:eastAsia="仿宋" w:cs="仿宋"/>
          <w:bCs/>
          <w:color w:val="auto"/>
          <w:sz w:val="24"/>
          <w:highlight w:val="none"/>
        </w:rPr>
        <w:t>-2《供应商企业（单位）类型声明函》（响应文件格式十一）</w:t>
      </w:r>
      <w:bookmarkEnd w:id="418"/>
    </w:p>
    <w:p w14:paraId="0BA27E43">
      <w:pPr>
        <w:pStyle w:val="16"/>
        <w:spacing w:line="440" w:lineRule="exact"/>
        <w:ind w:left="311" w:leftChars="148" w:firstLine="228"/>
        <w:rPr>
          <w:rFonts w:hint="eastAsia" w:ascii="仿宋" w:hAnsi="仿宋" w:eastAsia="仿宋" w:cs="仿宋"/>
          <w:bCs/>
          <w:color w:val="auto"/>
          <w:sz w:val="24"/>
          <w:highlight w:val="none"/>
        </w:rPr>
      </w:pPr>
      <w:bookmarkStart w:id="419" w:name="_Toc24574_WPSOffice_Level2"/>
      <w:r>
        <w:rPr>
          <w:rFonts w:hint="eastAsia" w:ascii="仿宋" w:hAnsi="仿宋" w:eastAsia="仿宋" w:cs="仿宋"/>
          <w:bCs/>
          <w:color w:val="auto"/>
          <w:sz w:val="24"/>
          <w:highlight w:val="none"/>
          <w:lang w:val="en-US" w:eastAsia="zh-CN"/>
        </w:rPr>
        <w:t>6</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《残疾人福利性单位声明函》（响应文件格式十三）</w:t>
      </w:r>
      <w:bookmarkEnd w:id="419"/>
    </w:p>
    <w:p w14:paraId="430D0CB7">
      <w:pPr>
        <w:pStyle w:val="16"/>
        <w:spacing w:line="440" w:lineRule="exact"/>
        <w:ind w:left="311" w:leftChars="148" w:firstLine="228"/>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val="en-US" w:eastAsia="zh-CN"/>
        </w:rPr>
        <w:t>7、</w:t>
      </w:r>
      <w:r>
        <w:rPr>
          <w:rFonts w:hint="eastAsia" w:ascii="仿宋" w:hAnsi="仿宋" w:eastAsia="仿宋" w:cs="仿宋"/>
          <w:bCs/>
          <w:color w:val="auto"/>
          <w:sz w:val="24"/>
          <w:highlight w:val="none"/>
        </w:rPr>
        <w:t>诚信声明</w:t>
      </w:r>
    </w:p>
    <w:p w14:paraId="4A3634A8">
      <w:pPr>
        <w:pStyle w:val="16"/>
        <w:spacing w:line="440" w:lineRule="exact"/>
        <w:ind w:left="311" w:leftChars="148" w:firstLine="228"/>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val="en-US" w:eastAsia="zh-CN"/>
        </w:rPr>
        <w:t>8、</w:t>
      </w:r>
      <w:r>
        <w:rPr>
          <w:rFonts w:hint="eastAsia" w:ascii="仿宋" w:hAnsi="仿宋" w:eastAsia="仿宋" w:cs="仿宋"/>
          <w:bCs/>
          <w:color w:val="auto"/>
          <w:sz w:val="24"/>
          <w:highlight w:val="none"/>
          <w:lang w:eastAsia="zh-CN"/>
        </w:rPr>
        <w:t>售后服务承诺</w:t>
      </w:r>
    </w:p>
    <w:p w14:paraId="36A1A669">
      <w:pPr>
        <w:pStyle w:val="16"/>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9</w:t>
      </w:r>
      <w:r>
        <w:rPr>
          <w:rFonts w:hint="eastAsia" w:ascii="仿宋" w:hAnsi="仿宋" w:eastAsia="仿宋" w:cs="仿宋"/>
          <w:bCs/>
          <w:color w:val="auto"/>
          <w:sz w:val="24"/>
          <w:highlight w:val="none"/>
        </w:rPr>
        <w:t>、供应商关联单位的说明（格式自拟）</w:t>
      </w:r>
    </w:p>
    <w:p w14:paraId="126B3DAD">
      <w:pPr>
        <w:pStyle w:val="16"/>
        <w:spacing w:line="440" w:lineRule="exact"/>
        <w:ind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10、谈判保证金缴纳凭证或保函；</w:t>
      </w:r>
    </w:p>
    <w:p w14:paraId="5C5A895B">
      <w:pPr>
        <w:pStyle w:val="16"/>
        <w:spacing w:line="440" w:lineRule="exact"/>
        <w:ind w:left="311" w:leftChars="148" w:firstLine="228"/>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11</w:t>
      </w:r>
      <w:r>
        <w:rPr>
          <w:rFonts w:hint="eastAsia" w:ascii="仿宋" w:hAnsi="仿宋" w:eastAsia="仿宋" w:cs="仿宋"/>
          <w:bCs/>
          <w:color w:val="auto"/>
          <w:sz w:val="24"/>
          <w:highlight w:val="none"/>
        </w:rPr>
        <w:t>、提供其他有利于谈判的证明材料</w:t>
      </w:r>
    </w:p>
    <w:p w14:paraId="313D21DA">
      <w:pPr>
        <w:pStyle w:val="16"/>
        <w:spacing w:line="440" w:lineRule="exact"/>
        <w:ind w:left="311" w:leftChars="148" w:firstLine="228"/>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12</w:t>
      </w:r>
      <w:r>
        <w:rPr>
          <w:rFonts w:hint="eastAsia" w:ascii="仿宋" w:hAnsi="仿宋" w:eastAsia="仿宋" w:cs="仿宋"/>
          <w:bCs/>
          <w:color w:val="auto"/>
          <w:sz w:val="24"/>
          <w:highlight w:val="none"/>
        </w:rPr>
        <w:t>、响应文件格式范本</w:t>
      </w:r>
    </w:p>
    <w:p w14:paraId="028C509B">
      <w:pPr>
        <w:pStyle w:val="16"/>
        <w:tabs>
          <w:tab w:val="left" w:pos="5580"/>
        </w:tabs>
        <w:spacing w:line="440" w:lineRule="exact"/>
        <w:rPr>
          <w:rFonts w:hint="eastAsia" w:ascii="仿宋" w:hAnsi="仿宋" w:eastAsia="仿宋" w:cs="仿宋"/>
          <w:bCs/>
          <w:color w:val="auto"/>
          <w:sz w:val="24"/>
          <w:highlight w:val="none"/>
        </w:rPr>
      </w:pPr>
    </w:p>
    <w:p w14:paraId="4EBEC17B">
      <w:pPr>
        <w:pStyle w:val="16"/>
        <w:tabs>
          <w:tab w:val="left" w:pos="5580"/>
        </w:tabs>
        <w:spacing w:line="440" w:lineRule="exact"/>
        <w:rPr>
          <w:rFonts w:hint="eastAsia" w:ascii="仿宋" w:hAnsi="仿宋" w:eastAsia="仿宋" w:cs="仿宋"/>
          <w:bCs/>
          <w:color w:val="auto"/>
          <w:sz w:val="24"/>
          <w:highlight w:val="none"/>
        </w:rPr>
      </w:pPr>
    </w:p>
    <w:p w14:paraId="5D331378">
      <w:pPr>
        <w:pStyle w:val="16"/>
        <w:tabs>
          <w:tab w:val="left" w:pos="5580"/>
        </w:tabs>
        <w:spacing w:line="440" w:lineRule="exact"/>
        <w:rPr>
          <w:rFonts w:hint="eastAsia" w:ascii="仿宋" w:hAnsi="仿宋" w:eastAsia="仿宋" w:cs="仿宋"/>
          <w:bCs/>
          <w:color w:val="auto"/>
          <w:sz w:val="24"/>
          <w:highlight w:val="none"/>
        </w:rPr>
      </w:pPr>
    </w:p>
    <w:p w14:paraId="6C07D4BB">
      <w:pPr>
        <w:pStyle w:val="16"/>
        <w:tabs>
          <w:tab w:val="left" w:pos="5580"/>
        </w:tabs>
        <w:spacing w:line="440" w:lineRule="exact"/>
        <w:rPr>
          <w:rFonts w:hint="eastAsia" w:ascii="仿宋" w:hAnsi="仿宋" w:eastAsia="仿宋" w:cs="仿宋"/>
          <w:bCs/>
          <w:color w:val="auto"/>
          <w:sz w:val="24"/>
          <w:highlight w:val="none"/>
        </w:rPr>
      </w:pPr>
    </w:p>
    <w:p w14:paraId="41B98D88">
      <w:pPr>
        <w:pStyle w:val="16"/>
        <w:tabs>
          <w:tab w:val="left" w:pos="5580"/>
        </w:tabs>
        <w:spacing w:line="440" w:lineRule="exact"/>
        <w:rPr>
          <w:rFonts w:hint="eastAsia" w:ascii="仿宋" w:hAnsi="仿宋" w:eastAsia="仿宋" w:cs="仿宋"/>
          <w:bCs/>
          <w:color w:val="auto"/>
          <w:sz w:val="24"/>
          <w:highlight w:val="none"/>
        </w:rPr>
      </w:pPr>
    </w:p>
    <w:p w14:paraId="494F2710">
      <w:pPr>
        <w:pStyle w:val="16"/>
        <w:tabs>
          <w:tab w:val="left" w:pos="5580"/>
        </w:tabs>
        <w:spacing w:line="440" w:lineRule="exact"/>
        <w:rPr>
          <w:rFonts w:hint="eastAsia" w:ascii="仿宋" w:hAnsi="仿宋" w:eastAsia="仿宋" w:cs="仿宋"/>
          <w:bCs/>
          <w:color w:val="auto"/>
          <w:sz w:val="24"/>
          <w:highlight w:val="none"/>
        </w:rPr>
      </w:pPr>
    </w:p>
    <w:p w14:paraId="7DD84027">
      <w:pPr>
        <w:pStyle w:val="16"/>
        <w:tabs>
          <w:tab w:val="left" w:pos="5580"/>
        </w:tabs>
        <w:spacing w:line="440" w:lineRule="exact"/>
        <w:rPr>
          <w:rFonts w:hint="eastAsia" w:ascii="仿宋" w:hAnsi="仿宋" w:eastAsia="仿宋" w:cs="仿宋"/>
          <w:bCs/>
          <w:color w:val="auto"/>
          <w:sz w:val="24"/>
          <w:highlight w:val="none"/>
        </w:rPr>
      </w:pPr>
    </w:p>
    <w:p w14:paraId="64B54B8F">
      <w:pPr>
        <w:pStyle w:val="16"/>
        <w:tabs>
          <w:tab w:val="left" w:pos="5580"/>
        </w:tabs>
        <w:spacing w:line="440" w:lineRule="exact"/>
        <w:rPr>
          <w:rFonts w:hint="eastAsia" w:ascii="仿宋" w:hAnsi="仿宋" w:eastAsia="仿宋" w:cs="仿宋"/>
          <w:bCs/>
          <w:color w:val="auto"/>
          <w:sz w:val="24"/>
          <w:highlight w:val="none"/>
        </w:rPr>
      </w:pPr>
    </w:p>
    <w:p w14:paraId="636BDB06">
      <w:pPr>
        <w:pStyle w:val="16"/>
        <w:tabs>
          <w:tab w:val="left" w:pos="5580"/>
        </w:tabs>
        <w:spacing w:line="440" w:lineRule="exact"/>
        <w:rPr>
          <w:rFonts w:hint="eastAsia" w:ascii="仿宋" w:hAnsi="仿宋" w:eastAsia="仿宋" w:cs="仿宋"/>
          <w:bCs/>
          <w:color w:val="auto"/>
          <w:sz w:val="24"/>
          <w:highlight w:val="none"/>
        </w:rPr>
      </w:pPr>
    </w:p>
    <w:p w14:paraId="0ED94454">
      <w:pPr>
        <w:pStyle w:val="16"/>
        <w:tabs>
          <w:tab w:val="left" w:pos="5580"/>
        </w:tabs>
        <w:spacing w:line="440" w:lineRule="exact"/>
        <w:rPr>
          <w:rFonts w:hint="eastAsia" w:ascii="仿宋" w:hAnsi="仿宋" w:eastAsia="仿宋" w:cs="仿宋"/>
          <w:bCs/>
          <w:color w:val="auto"/>
          <w:sz w:val="24"/>
          <w:highlight w:val="none"/>
        </w:rPr>
      </w:pPr>
    </w:p>
    <w:p w14:paraId="42582F60">
      <w:pPr>
        <w:pStyle w:val="5"/>
        <w:spacing w:before="0" w:line="440" w:lineRule="exact"/>
        <w:ind w:left="1080" w:leftChars="257" w:hanging="540"/>
        <w:rPr>
          <w:rFonts w:hint="eastAsia" w:ascii="仿宋" w:hAnsi="仿宋" w:eastAsia="仿宋" w:cs="仿宋"/>
          <w:color w:val="auto"/>
          <w:sz w:val="24"/>
          <w:highlight w:val="none"/>
        </w:rPr>
      </w:pPr>
      <w:bookmarkStart w:id="420" w:name="_Toc2041"/>
      <w:bookmarkStart w:id="421" w:name="_Toc14915"/>
      <w:bookmarkStart w:id="422" w:name="_Toc8525"/>
      <w:bookmarkStart w:id="423" w:name="_Toc515647817"/>
      <w:bookmarkStart w:id="424" w:name="_Toc30658_WPSOffice_Level2"/>
      <w:r>
        <w:rPr>
          <w:rFonts w:hint="eastAsia" w:ascii="仿宋" w:hAnsi="仿宋" w:eastAsia="仿宋" w:cs="仿宋"/>
          <w:color w:val="auto"/>
          <w:sz w:val="24"/>
          <w:highlight w:val="none"/>
        </w:rPr>
        <w:br w:type="page"/>
      </w:r>
      <w:bookmarkStart w:id="425" w:name="_Toc20681"/>
      <w:r>
        <w:rPr>
          <w:rFonts w:hint="eastAsia" w:ascii="仿宋" w:hAnsi="仿宋" w:eastAsia="仿宋" w:cs="仿宋"/>
          <w:color w:val="auto"/>
          <w:sz w:val="24"/>
          <w:highlight w:val="none"/>
        </w:rPr>
        <w:t xml:space="preserve">1   </w:t>
      </w:r>
      <w:bookmarkStart w:id="426" w:name="_Hlt520355504"/>
      <w:bookmarkEnd w:id="426"/>
      <w:r>
        <w:rPr>
          <w:rFonts w:hint="eastAsia" w:ascii="仿宋" w:hAnsi="仿宋" w:eastAsia="仿宋" w:cs="仿宋"/>
          <w:color w:val="auto"/>
          <w:sz w:val="24"/>
          <w:highlight w:val="none"/>
        </w:rPr>
        <w:t>谈判报价书（响应文件格式五）</w:t>
      </w:r>
      <w:bookmarkEnd w:id="420"/>
      <w:bookmarkEnd w:id="421"/>
      <w:bookmarkEnd w:id="422"/>
      <w:bookmarkEnd w:id="423"/>
      <w:bookmarkEnd w:id="424"/>
      <w:bookmarkEnd w:id="425"/>
    </w:p>
    <w:p w14:paraId="260E8D3B">
      <w:pPr>
        <w:tabs>
          <w:tab w:val="left" w:pos="5580"/>
        </w:tabs>
        <w:spacing w:line="440" w:lineRule="exact"/>
        <w:ind w:left="1080" w:leftChars="257" w:hanging="540"/>
        <w:rPr>
          <w:rFonts w:hint="eastAsia" w:ascii="仿宋" w:hAnsi="仿宋" w:eastAsia="仿宋" w:cs="仿宋"/>
          <w:bCs/>
          <w:color w:val="auto"/>
          <w:sz w:val="24"/>
          <w:highlight w:val="none"/>
        </w:rPr>
      </w:pPr>
    </w:p>
    <w:p w14:paraId="7A977ADF">
      <w:pPr>
        <w:tabs>
          <w:tab w:val="left" w:pos="5580"/>
        </w:tabs>
        <w:spacing w:line="440" w:lineRule="exact"/>
        <w:ind w:left="1080" w:hanging="10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致：</w:t>
      </w:r>
      <w:r>
        <w:rPr>
          <w:rFonts w:hint="eastAsia" w:ascii="仿宋" w:hAnsi="仿宋" w:eastAsia="仿宋" w:cs="仿宋"/>
          <w:bCs/>
          <w:color w:val="auto"/>
          <w:sz w:val="24"/>
          <w:highlight w:val="none"/>
          <w:u w:val="single"/>
        </w:rPr>
        <w:t>采购代理机构</w:t>
      </w:r>
    </w:p>
    <w:p w14:paraId="2636452A">
      <w:pPr>
        <w:pStyle w:val="16"/>
        <w:tabs>
          <w:tab w:val="left" w:pos="5580"/>
        </w:tabs>
        <w:spacing w:line="440" w:lineRule="exact"/>
        <w:ind w:left="1080" w:leftChars="257" w:hanging="540"/>
        <w:rPr>
          <w:rFonts w:hint="eastAsia" w:ascii="仿宋" w:hAnsi="仿宋" w:eastAsia="仿宋" w:cs="仿宋"/>
          <w:bCs/>
          <w:color w:val="auto"/>
          <w:sz w:val="24"/>
          <w:highlight w:val="none"/>
        </w:rPr>
      </w:pPr>
    </w:p>
    <w:p w14:paraId="174C90B1">
      <w:pPr>
        <w:pStyle w:val="16"/>
        <w:tabs>
          <w:tab w:val="left" w:pos="5580"/>
        </w:tabs>
        <w:spacing w:line="440" w:lineRule="exact"/>
        <w:ind w:left="2" w:leftChars="1"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根据贵方(</w:t>
      </w:r>
      <w:r>
        <w:rPr>
          <w:rFonts w:hint="eastAsia" w:ascii="仿宋" w:hAnsi="仿宋" w:eastAsia="仿宋" w:cs="仿宋"/>
          <w:bCs/>
          <w:i/>
          <w:color w:val="auto"/>
          <w:sz w:val="24"/>
          <w:highlight w:val="none"/>
          <w:u w:val="single"/>
        </w:rPr>
        <w:t>项目名称</w:t>
      </w:r>
      <w:r>
        <w:rPr>
          <w:rFonts w:hint="eastAsia" w:ascii="仿宋" w:hAnsi="仿宋" w:eastAsia="仿宋" w:cs="仿宋"/>
          <w:bCs/>
          <w:color w:val="auto"/>
          <w:sz w:val="24"/>
          <w:highlight w:val="none"/>
        </w:rPr>
        <w:t>)项目的谈判邀请(</w:t>
      </w:r>
      <w:r>
        <w:rPr>
          <w:rFonts w:hint="eastAsia" w:ascii="仿宋" w:hAnsi="仿宋" w:eastAsia="仿宋" w:cs="仿宋"/>
          <w:bCs/>
          <w:i/>
          <w:color w:val="auto"/>
          <w:sz w:val="24"/>
          <w:highlight w:val="none"/>
          <w:u w:val="single"/>
        </w:rPr>
        <w:t>项目编号</w:t>
      </w:r>
      <w:r>
        <w:rPr>
          <w:rFonts w:hint="eastAsia" w:ascii="仿宋" w:hAnsi="仿宋" w:eastAsia="仿宋" w:cs="仿宋"/>
          <w:bCs/>
          <w:color w:val="auto"/>
          <w:sz w:val="24"/>
          <w:highlight w:val="none"/>
        </w:rPr>
        <w:t>),签字代表(</w:t>
      </w:r>
      <w:r>
        <w:rPr>
          <w:rFonts w:hint="eastAsia" w:ascii="仿宋" w:hAnsi="仿宋" w:eastAsia="仿宋" w:cs="仿宋"/>
          <w:bCs/>
          <w:i/>
          <w:color w:val="auto"/>
          <w:sz w:val="24"/>
          <w:highlight w:val="none"/>
          <w:u w:val="single"/>
        </w:rPr>
        <w:t>姓名、职务</w:t>
      </w:r>
      <w:r>
        <w:rPr>
          <w:rFonts w:hint="eastAsia" w:ascii="仿宋" w:hAnsi="仿宋" w:eastAsia="仿宋" w:cs="仿宋"/>
          <w:bCs/>
          <w:color w:val="auto"/>
          <w:sz w:val="24"/>
          <w:highlight w:val="none"/>
        </w:rPr>
        <w:t>)经正式授权并代表供应商（</w:t>
      </w:r>
      <w:r>
        <w:rPr>
          <w:rFonts w:hint="eastAsia" w:ascii="仿宋" w:hAnsi="仿宋" w:eastAsia="仿宋" w:cs="仿宋"/>
          <w:bCs/>
          <w:i/>
          <w:color w:val="auto"/>
          <w:sz w:val="24"/>
          <w:highlight w:val="none"/>
          <w:u w:val="single"/>
        </w:rPr>
        <w:t>名称、地址</w:t>
      </w:r>
      <w:r>
        <w:rPr>
          <w:rFonts w:hint="eastAsia" w:ascii="仿宋" w:hAnsi="仿宋" w:eastAsia="仿宋" w:cs="仿宋"/>
          <w:bCs/>
          <w:color w:val="auto"/>
          <w:sz w:val="24"/>
          <w:highlight w:val="none"/>
        </w:rPr>
        <w:t>）提交下述</w:t>
      </w:r>
      <w:r>
        <w:rPr>
          <w:rFonts w:hint="eastAsia" w:ascii="仿宋" w:hAnsi="仿宋" w:eastAsia="仿宋" w:cs="仿宋"/>
          <w:color w:val="auto"/>
          <w:sz w:val="24"/>
          <w:szCs w:val="24"/>
          <w:highlight w:val="none"/>
        </w:rPr>
        <w:t>文件电子文档</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bCs/>
          <w:color w:val="auto"/>
          <w:sz w:val="24"/>
          <w:highlight w:val="none"/>
        </w:rPr>
        <w:t>，并以</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形式出具的金额为人民币</w:t>
      </w:r>
      <w:r>
        <w:rPr>
          <w:rFonts w:hint="eastAsia" w:ascii="仿宋" w:hAnsi="仿宋" w:eastAsia="仿宋" w:cs="仿宋"/>
          <w:bCs/>
          <w:color w:val="auto"/>
          <w:sz w:val="24"/>
          <w:highlight w:val="none"/>
          <w:u w:val="single"/>
        </w:rPr>
        <w:t>　　　　</w:t>
      </w:r>
      <w:r>
        <w:rPr>
          <w:rFonts w:hint="eastAsia" w:ascii="仿宋" w:hAnsi="仿宋" w:eastAsia="仿宋" w:cs="仿宋"/>
          <w:bCs/>
          <w:color w:val="auto"/>
          <w:sz w:val="24"/>
          <w:highlight w:val="none"/>
        </w:rPr>
        <w:t>元的谈判保证金。</w:t>
      </w:r>
    </w:p>
    <w:p w14:paraId="6B221DF7">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据此，签字代表宣布同意如下：</w:t>
      </w:r>
    </w:p>
    <w:p w14:paraId="45A92242">
      <w:pPr>
        <w:pStyle w:val="16"/>
        <w:tabs>
          <w:tab w:val="left" w:pos="720"/>
          <w:tab w:val="left" w:pos="900"/>
        </w:tabs>
        <w:spacing w:line="440" w:lineRule="exact"/>
        <w:ind w:left="769" w:leftChars="257" w:hanging="229"/>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（1）附标的价格表中规定的应提供货物的标的总价详见报价一览表，</w:t>
      </w:r>
      <w:r>
        <w:rPr>
          <w:rFonts w:hint="eastAsia" w:ascii="仿宋" w:hAnsi="仿宋" w:eastAsia="仿宋" w:cs="仿宋"/>
          <w:bCs/>
          <w:color w:val="auto"/>
          <w:sz w:val="24"/>
          <w:highlight w:val="none"/>
          <w:u w:val="single"/>
        </w:rPr>
        <w:t>其中由小型和</w:t>
      </w:r>
      <w:r>
        <w:rPr>
          <w:rFonts w:hint="eastAsia" w:ascii="仿宋" w:hAnsi="仿宋" w:eastAsia="仿宋" w:cs="仿宋"/>
          <w:bCs/>
          <w:color w:val="auto"/>
          <w:sz w:val="24"/>
          <w:highlight w:val="none"/>
        </w:rPr>
        <w:t>微型企业制造产品的价格为</w:t>
      </w:r>
      <w:r>
        <w:rPr>
          <w:rFonts w:hint="eastAsia" w:ascii="仿宋" w:hAnsi="仿宋" w:eastAsia="仿宋" w:cs="仿宋"/>
          <w:bCs/>
          <w:color w:val="auto"/>
          <w:sz w:val="24"/>
          <w:highlight w:val="none"/>
          <w:u w:val="single"/>
        </w:rPr>
        <w:t>　　  （用文字和数字表示），占投标总价   %</w:t>
      </w:r>
      <w:r>
        <w:rPr>
          <w:rFonts w:hint="eastAsia" w:ascii="仿宋" w:hAnsi="仿宋" w:eastAsia="仿宋" w:cs="仿宋"/>
          <w:bCs/>
          <w:color w:val="auto"/>
          <w:sz w:val="24"/>
          <w:highlight w:val="none"/>
        </w:rPr>
        <w:t>。</w:t>
      </w:r>
    </w:p>
    <w:p w14:paraId="748E7B7A">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（2）本谈判有效期为自递交响应文件截止之日起</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个日历日。</w:t>
      </w:r>
    </w:p>
    <w:p w14:paraId="19607149">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（3）联合体中的大中型企业和其他自然人、法人或者非法人组织，与联合体中的小型、微型企业之间</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存在、不存在）投资关系（如果是联合体的话）。</w:t>
      </w:r>
    </w:p>
    <w:p w14:paraId="778F6550">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（4）已详细审查全部谈判文件，包括所有补充通知（如果有的话），完全理解并同意放弃对这方面有不明、误解和质疑的权力。</w:t>
      </w:r>
    </w:p>
    <w:p w14:paraId="71025A2B">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（5）在规定的谈判报价开启时间后，遵守谈判文件中有关保证金的规定。</w:t>
      </w:r>
    </w:p>
    <w:p w14:paraId="5A5636A1">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（6）我方不是为本项目提供整体设计、规范编制或者项目管理、监理、检测等服务的供应商，我方不是采购代理机构的附属机构。</w:t>
      </w:r>
    </w:p>
    <w:p w14:paraId="54C79C50">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（7）在领取成交通知书的同时按谈判文件规定的形式，向贵方一次性支付成交服务费。</w:t>
      </w:r>
    </w:p>
    <w:p w14:paraId="14A35389">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（8）按照贵方可能要求，提供与其投标有关的一切数据或资料，完全理解贵方不一定接受最低价的谈判报价或收到的任何谈判报价。</w:t>
      </w:r>
    </w:p>
    <w:p w14:paraId="1FA74904">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（9）按照谈判文件的规定履行合同责任和义务。</w:t>
      </w:r>
    </w:p>
    <w:p w14:paraId="58081BCA">
      <w:pPr>
        <w:pStyle w:val="16"/>
        <w:tabs>
          <w:tab w:val="left" w:pos="5580"/>
        </w:tabs>
        <w:spacing w:line="440" w:lineRule="exact"/>
        <w:ind w:left="359" w:leftChars="68" w:hanging="216" w:hangingChars="9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与本次谈判有关的一切正式往来信函请寄：</w:t>
      </w:r>
    </w:p>
    <w:p w14:paraId="5B99A07A">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地址</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 xml:space="preserve">     传真</w:t>
      </w:r>
      <w:r>
        <w:rPr>
          <w:rFonts w:hint="eastAsia" w:ascii="仿宋" w:hAnsi="仿宋" w:eastAsia="仿宋" w:cs="仿宋"/>
          <w:bCs/>
          <w:color w:val="auto"/>
          <w:sz w:val="24"/>
          <w:highlight w:val="none"/>
          <w:u w:val="single"/>
        </w:rPr>
        <w:t xml:space="preserve">                             </w:t>
      </w:r>
    </w:p>
    <w:p w14:paraId="190980A5">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电话</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 xml:space="preserve">     电子函件</w:t>
      </w:r>
      <w:r>
        <w:rPr>
          <w:rFonts w:hint="eastAsia" w:ascii="仿宋" w:hAnsi="仿宋" w:eastAsia="仿宋" w:cs="仿宋"/>
          <w:bCs/>
          <w:color w:val="auto"/>
          <w:sz w:val="24"/>
          <w:highlight w:val="none"/>
          <w:u w:val="single"/>
        </w:rPr>
        <w:t xml:space="preserve">                         </w:t>
      </w:r>
    </w:p>
    <w:p w14:paraId="61D3DF54">
      <w:pPr>
        <w:pStyle w:val="16"/>
        <w:tabs>
          <w:tab w:val="left" w:pos="5580"/>
        </w:tabs>
        <w:spacing w:line="440" w:lineRule="exact"/>
        <w:ind w:left="1080" w:leftChars="257" w:hanging="540"/>
        <w:rPr>
          <w:rFonts w:hint="eastAsia" w:ascii="仿宋" w:hAnsi="仿宋" w:eastAsia="仿宋" w:cs="仿宋"/>
          <w:bCs/>
          <w:color w:val="auto"/>
          <w:sz w:val="24"/>
          <w:highlight w:val="none"/>
        </w:rPr>
      </w:pPr>
    </w:p>
    <w:p w14:paraId="4DB1B8B9">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法定代表人或其委托代理人（签/章）-----------------</w:t>
      </w:r>
    </w:p>
    <w:p w14:paraId="19E8C9F9">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供应商名称（全称）-----------------</w:t>
      </w:r>
    </w:p>
    <w:p w14:paraId="79588BA2">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供应商开户银行（全称）</w:t>
      </w:r>
      <w:r>
        <w:rPr>
          <w:rFonts w:hint="eastAsia" w:ascii="仿宋" w:hAnsi="仿宋" w:eastAsia="仿宋" w:cs="仿宋"/>
          <w:bCs/>
          <w:color w:val="auto"/>
          <w:sz w:val="24"/>
          <w:highlight w:val="none"/>
          <w:u w:val="single"/>
        </w:rPr>
        <w:t xml:space="preserve">　　　　　　 </w:t>
      </w:r>
    </w:p>
    <w:p w14:paraId="1A294832">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供应商银行帐号</w:t>
      </w:r>
      <w:r>
        <w:rPr>
          <w:rFonts w:hint="eastAsia" w:ascii="仿宋" w:hAnsi="仿宋" w:eastAsia="仿宋" w:cs="仿宋"/>
          <w:bCs/>
          <w:color w:val="auto"/>
          <w:sz w:val="24"/>
          <w:highlight w:val="none"/>
          <w:u w:val="single"/>
        </w:rPr>
        <w:t>　　　　　　　　 　　</w:t>
      </w:r>
    </w:p>
    <w:p w14:paraId="689F96D4">
      <w:pPr>
        <w:pStyle w:val="16"/>
        <w:tabs>
          <w:tab w:val="left" w:pos="558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供应商（公章）-------------------------</w:t>
      </w:r>
    </w:p>
    <w:p w14:paraId="524CC122">
      <w:pPr>
        <w:pStyle w:val="16"/>
        <w:tabs>
          <w:tab w:val="left" w:pos="5580"/>
        </w:tabs>
        <w:spacing w:line="440" w:lineRule="exact"/>
        <w:ind w:left="1080" w:leftChars="257" w:hanging="54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日期-------------------------------</w:t>
      </w:r>
    </w:p>
    <w:p w14:paraId="09B7EEE9">
      <w:pPr>
        <w:pStyle w:val="5"/>
        <w:spacing w:before="0" w:line="440" w:lineRule="exact"/>
        <w:ind w:left="1080" w:leftChars="257" w:hanging="540"/>
        <w:rPr>
          <w:rFonts w:hint="eastAsia" w:ascii="仿宋" w:hAnsi="仿宋" w:eastAsia="仿宋" w:cs="仿宋"/>
          <w:color w:val="auto"/>
          <w:szCs w:val="24"/>
          <w:highlight w:val="none"/>
        </w:rPr>
      </w:pPr>
    </w:p>
    <w:p w14:paraId="1931A5B9">
      <w:pPr>
        <w:rPr>
          <w:rFonts w:hint="eastAsia" w:ascii="仿宋" w:hAnsi="仿宋" w:eastAsia="仿宋" w:cs="仿宋"/>
          <w:color w:val="auto"/>
          <w:szCs w:val="24"/>
          <w:highlight w:val="none"/>
        </w:rPr>
      </w:pPr>
    </w:p>
    <w:p w14:paraId="1A88CEC8">
      <w:pPr>
        <w:pStyle w:val="2"/>
        <w:rPr>
          <w:rFonts w:hint="eastAsia" w:ascii="仿宋" w:hAnsi="仿宋" w:eastAsia="仿宋" w:cs="仿宋"/>
          <w:color w:val="auto"/>
          <w:szCs w:val="24"/>
          <w:highlight w:val="none"/>
        </w:rPr>
      </w:pPr>
    </w:p>
    <w:p w14:paraId="1644A155">
      <w:pPr>
        <w:rPr>
          <w:rFonts w:hint="eastAsia" w:ascii="仿宋" w:hAnsi="仿宋" w:eastAsia="仿宋" w:cs="仿宋"/>
          <w:color w:val="auto"/>
          <w:szCs w:val="24"/>
          <w:highlight w:val="none"/>
        </w:rPr>
      </w:pPr>
    </w:p>
    <w:p w14:paraId="7F2DC361">
      <w:pPr>
        <w:pStyle w:val="2"/>
        <w:rPr>
          <w:rFonts w:hint="eastAsia" w:ascii="仿宋" w:hAnsi="仿宋" w:eastAsia="仿宋" w:cs="仿宋"/>
          <w:color w:val="auto"/>
          <w:szCs w:val="24"/>
          <w:highlight w:val="none"/>
        </w:rPr>
      </w:pPr>
    </w:p>
    <w:p w14:paraId="66643651">
      <w:pPr>
        <w:rPr>
          <w:rFonts w:hint="eastAsia" w:ascii="仿宋" w:hAnsi="仿宋" w:eastAsia="仿宋" w:cs="仿宋"/>
          <w:color w:val="auto"/>
          <w:szCs w:val="24"/>
          <w:highlight w:val="none"/>
        </w:rPr>
      </w:pPr>
    </w:p>
    <w:p w14:paraId="5C5997CC">
      <w:pPr>
        <w:pStyle w:val="2"/>
        <w:rPr>
          <w:rFonts w:hint="eastAsia" w:ascii="仿宋" w:hAnsi="仿宋" w:eastAsia="仿宋" w:cs="仿宋"/>
          <w:color w:val="auto"/>
          <w:szCs w:val="24"/>
          <w:highlight w:val="none"/>
        </w:rPr>
      </w:pPr>
    </w:p>
    <w:p w14:paraId="2BB4BBB0">
      <w:pPr>
        <w:rPr>
          <w:rFonts w:hint="eastAsia" w:ascii="仿宋" w:hAnsi="仿宋" w:eastAsia="仿宋" w:cs="仿宋"/>
          <w:color w:val="auto"/>
          <w:szCs w:val="24"/>
          <w:highlight w:val="none"/>
        </w:rPr>
      </w:pPr>
    </w:p>
    <w:p w14:paraId="3907FB50">
      <w:pPr>
        <w:pStyle w:val="2"/>
        <w:rPr>
          <w:rFonts w:hint="eastAsia" w:ascii="仿宋" w:hAnsi="仿宋" w:eastAsia="仿宋" w:cs="仿宋"/>
          <w:color w:val="auto"/>
          <w:szCs w:val="24"/>
          <w:highlight w:val="none"/>
        </w:rPr>
      </w:pPr>
    </w:p>
    <w:p w14:paraId="0E90238A">
      <w:pPr>
        <w:rPr>
          <w:rFonts w:hint="eastAsia" w:ascii="仿宋" w:hAnsi="仿宋" w:eastAsia="仿宋" w:cs="仿宋"/>
          <w:color w:val="auto"/>
          <w:szCs w:val="24"/>
          <w:highlight w:val="none"/>
        </w:rPr>
      </w:pPr>
    </w:p>
    <w:p w14:paraId="20238F98">
      <w:pPr>
        <w:pStyle w:val="2"/>
        <w:rPr>
          <w:rFonts w:hint="eastAsia" w:ascii="仿宋" w:hAnsi="仿宋" w:eastAsia="仿宋" w:cs="仿宋"/>
          <w:color w:val="auto"/>
          <w:szCs w:val="24"/>
          <w:highlight w:val="none"/>
        </w:rPr>
      </w:pPr>
    </w:p>
    <w:p w14:paraId="3F53ACF8">
      <w:pPr>
        <w:rPr>
          <w:rFonts w:hint="eastAsia" w:ascii="仿宋" w:hAnsi="仿宋" w:eastAsia="仿宋" w:cs="仿宋"/>
          <w:color w:val="auto"/>
          <w:szCs w:val="24"/>
          <w:highlight w:val="none"/>
        </w:rPr>
      </w:pPr>
    </w:p>
    <w:p w14:paraId="21FA13E5">
      <w:pPr>
        <w:pStyle w:val="2"/>
        <w:rPr>
          <w:rFonts w:hint="eastAsia" w:ascii="仿宋" w:hAnsi="仿宋" w:eastAsia="仿宋" w:cs="仿宋"/>
          <w:color w:val="auto"/>
          <w:szCs w:val="24"/>
          <w:highlight w:val="none"/>
        </w:rPr>
      </w:pPr>
    </w:p>
    <w:p w14:paraId="18DD8BE2">
      <w:pPr>
        <w:rPr>
          <w:rFonts w:hint="eastAsia" w:ascii="仿宋" w:hAnsi="仿宋" w:eastAsia="仿宋" w:cs="仿宋"/>
          <w:color w:val="auto"/>
          <w:szCs w:val="24"/>
          <w:highlight w:val="none"/>
        </w:rPr>
      </w:pPr>
    </w:p>
    <w:p w14:paraId="75D10C09">
      <w:pPr>
        <w:pStyle w:val="2"/>
        <w:rPr>
          <w:rFonts w:hint="eastAsia" w:ascii="仿宋" w:hAnsi="仿宋" w:eastAsia="仿宋" w:cs="仿宋"/>
          <w:color w:val="auto"/>
          <w:szCs w:val="24"/>
          <w:highlight w:val="none"/>
        </w:rPr>
      </w:pPr>
    </w:p>
    <w:p w14:paraId="6CDD2D26">
      <w:pPr>
        <w:rPr>
          <w:rFonts w:hint="eastAsia" w:ascii="仿宋" w:hAnsi="仿宋" w:eastAsia="仿宋" w:cs="仿宋"/>
          <w:color w:val="auto"/>
          <w:szCs w:val="24"/>
          <w:highlight w:val="none"/>
        </w:rPr>
      </w:pPr>
    </w:p>
    <w:p w14:paraId="24B4C146">
      <w:pPr>
        <w:pStyle w:val="2"/>
        <w:rPr>
          <w:rFonts w:hint="eastAsia" w:ascii="仿宋" w:hAnsi="仿宋" w:eastAsia="仿宋" w:cs="仿宋"/>
          <w:color w:val="auto"/>
          <w:szCs w:val="24"/>
          <w:highlight w:val="none"/>
        </w:rPr>
      </w:pPr>
    </w:p>
    <w:p w14:paraId="27E11F51">
      <w:pPr>
        <w:pStyle w:val="3"/>
        <w:rPr>
          <w:rFonts w:hint="eastAsia" w:ascii="仿宋" w:hAnsi="仿宋" w:eastAsia="仿宋" w:cs="仿宋"/>
          <w:color w:val="auto"/>
          <w:szCs w:val="24"/>
          <w:highlight w:val="none"/>
        </w:rPr>
      </w:pPr>
    </w:p>
    <w:p w14:paraId="54CE33CB">
      <w:pPr>
        <w:rPr>
          <w:rFonts w:hint="eastAsia" w:ascii="仿宋" w:hAnsi="仿宋" w:eastAsia="仿宋" w:cs="仿宋"/>
          <w:color w:val="auto"/>
          <w:szCs w:val="24"/>
          <w:highlight w:val="none"/>
        </w:rPr>
      </w:pPr>
    </w:p>
    <w:p w14:paraId="5E34B219">
      <w:pPr>
        <w:pStyle w:val="38"/>
        <w:rPr>
          <w:rFonts w:hint="eastAsia" w:ascii="仿宋" w:hAnsi="仿宋" w:eastAsia="仿宋" w:cs="仿宋"/>
          <w:color w:val="auto"/>
          <w:szCs w:val="24"/>
          <w:highlight w:val="none"/>
        </w:rPr>
      </w:pPr>
    </w:p>
    <w:p w14:paraId="00B14A3B">
      <w:pPr>
        <w:pStyle w:val="48"/>
        <w:numPr>
          <w:ilvl w:val="0"/>
          <w:numId w:val="0"/>
        </w:numPr>
        <w:rPr>
          <w:rFonts w:hint="eastAsia" w:ascii="仿宋" w:hAnsi="仿宋" w:eastAsia="仿宋" w:cs="仿宋"/>
          <w:color w:val="auto"/>
          <w:highlight w:val="none"/>
        </w:rPr>
      </w:pPr>
    </w:p>
    <w:p w14:paraId="4AEBAB32">
      <w:pPr>
        <w:pStyle w:val="5"/>
        <w:spacing w:before="0" w:line="440" w:lineRule="exact"/>
        <w:ind w:left="1080" w:leftChars="257" w:hanging="540"/>
        <w:rPr>
          <w:rFonts w:hint="eastAsia" w:ascii="仿宋" w:hAnsi="仿宋" w:eastAsia="仿宋" w:cs="仿宋"/>
          <w:color w:val="auto"/>
          <w:szCs w:val="24"/>
          <w:highlight w:val="none"/>
        </w:rPr>
      </w:pPr>
    </w:p>
    <w:p w14:paraId="3EF1A800">
      <w:pPr>
        <w:rPr>
          <w:rFonts w:hint="eastAsia" w:ascii="仿宋" w:hAnsi="仿宋" w:eastAsia="仿宋" w:cs="仿宋"/>
          <w:color w:val="auto"/>
          <w:highlight w:val="none"/>
        </w:rPr>
      </w:pPr>
    </w:p>
    <w:p w14:paraId="698A90B6">
      <w:pPr>
        <w:pStyle w:val="16"/>
        <w:spacing w:line="440" w:lineRule="exact"/>
        <w:ind w:left="0" w:leftChars="0" w:firstLine="540" w:firstLineChars="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br w:type="page"/>
      </w:r>
      <w:bookmarkStart w:id="427" w:name="_Toc23473"/>
      <w:bookmarkStart w:id="428" w:name="_Toc19943"/>
      <w:bookmarkStart w:id="429" w:name="_Toc23305_WPSOffice_Level2"/>
      <w:bookmarkStart w:id="430" w:name="_Toc1266"/>
      <w:r>
        <w:rPr>
          <w:rFonts w:hint="eastAsia" w:ascii="仿宋" w:hAnsi="仿宋" w:eastAsia="仿宋" w:cs="仿宋"/>
          <w:bCs/>
          <w:color w:val="auto"/>
          <w:sz w:val="24"/>
          <w:highlight w:val="none"/>
          <w:lang w:val="en-US" w:eastAsia="zh-CN"/>
        </w:rPr>
        <w:t xml:space="preserve">                </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  </w:t>
      </w:r>
      <w:bookmarkEnd w:id="427"/>
      <w:bookmarkEnd w:id="428"/>
      <w:bookmarkEnd w:id="429"/>
      <w:bookmarkEnd w:id="430"/>
      <w:bookmarkStart w:id="431" w:name="_Toc20897"/>
      <w:bookmarkStart w:id="432" w:name="_Toc515647818"/>
      <w:bookmarkStart w:id="433" w:name="_Toc1881"/>
      <w:bookmarkStart w:id="434" w:name="_Toc10388"/>
      <w:r>
        <w:rPr>
          <w:rFonts w:hint="eastAsia" w:ascii="仿宋" w:hAnsi="仿宋" w:eastAsia="仿宋" w:cs="仿宋"/>
          <w:color w:val="auto"/>
          <w:sz w:val="24"/>
          <w:highlight w:val="none"/>
        </w:rPr>
        <w:t>分项报价表（响应文件格式七）</w:t>
      </w:r>
      <w:bookmarkEnd w:id="431"/>
      <w:bookmarkEnd w:id="432"/>
      <w:bookmarkEnd w:id="433"/>
      <w:bookmarkEnd w:id="434"/>
    </w:p>
    <w:p w14:paraId="4EA10F2F">
      <w:pPr>
        <w:pStyle w:val="16"/>
        <w:snapToGrid w:val="0"/>
        <w:spacing w:line="400" w:lineRule="exact"/>
        <w:ind w:left="1080" w:leftChars="257" w:hanging="54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                         包号: 　 　                报价单位：人民币</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元</w:t>
      </w:r>
    </w:p>
    <w:tbl>
      <w:tblPr>
        <w:tblStyle w:val="94"/>
        <w:tblpPr w:leftFromText="180" w:rightFromText="180" w:vertAnchor="text" w:horzAnchor="page" w:tblpX="1104" w:tblpY="794"/>
        <w:tblOverlap w:val="never"/>
        <w:tblW w:w="10145"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86"/>
        <w:gridCol w:w="817"/>
        <w:gridCol w:w="483"/>
        <w:gridCol w:w="466"/>
        <w:gridCol w:w="466"/>
        <w:gridCol w:w="633"/>
        <w:gridCol w:w="860"/>
        <w:gridCol w:w="685"/>
        <w:gridCol w:w="685"/>
        <w:gridCol w:w="635"/>
        <w:gridCol w:w="615"/>
        <w:gridCol w:w="554"/>
        <w:gridCol w:w="493"/>
        <w:gridCol w:w="2267"/>
      </w:tblGrid>
      <w:tr w14:paraId="13616E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54" w:hRule="atLeast"/>
        </w:trPr>
        <w:tc>
          <w:tcPr>
            <w:tcW w:w="486" w:type="dxa"/>
            <w:noWrap w:val="0"/>
            <w:textDirection w:val="tbRlV"/>
            <w:vAlign w:val="center"/>
          </w:tcPr>
          <w:p w14:paraId="45C3C232">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编 号</w:t>
            </w:r>
          </w:p>
        </w:tc>
        <w:tc>
          <w:tcPr>
            <w:tcW w:w="817" w:type="dxa"/>
            <w:noWrap w:val="0"/>
            <w:vAlign w:val="center"/>
          </w:tcPr>
          <w:p w14:paraId="3C09DEFF">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p>
          <w:p w14:paraId="1C3B370B">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lang w:val="en-US" w:eastAsia="zh-CN"/>
              </w:rPr>
              <w:t>标的</w:t>
            </w:r>
            <w:r>
              <w:rPr>
                <w:rFonts w:hint="eastAsia" w:ascii="仿宋" w:hAnsi="仿宋" w:eastAsia="仿宋" w:cs="仿宋"/>
                <w:color w:val="auto"/>
                <w:spacing w:val="-6"/>
                <w:position w:val="17"/>
                <w:sz w:val="24"/>
                <w:szCs w:val="24"/>
                <w:highlight w:val="none"/>
              </w:rPr>
              <w:t>名称</w:t>
            </w:r>
          </w:p>
        </w:tc>
        <w:tc>
          <w:tcPr>
            <w:tcW w:w="483" w:type="dxa"/>
            <w:noWrap w:val="0"/>
            <w:textDirection w:val="tbRlV"/>
            <w:vAlign w:val="center"/>
          </w:tcPr>
          <w:p w14:paraId="064003D7">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品 牌</w:t>
            </w:r>
          </w:p>
        </w:tc>
        <w:tc>
          <w:tcPr>
            <w:tcW w:w="466" w:type="dxa"/>
            <w:noWrap w:val="0"/>
            <w:vAlign w:val="center"/>
          </w:tcPr>
          <w:p w14:paraId="1ACB2CE4">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规格</w:t>
            </w:r>
          </w:p>
        </w:tc>
        <w:tc>
          <w:tcPr>
            <w:tcW w:w="466" w:type="dxa"/>
            <w:noWrap w:val="0"/>
            <w:vAlign w:val="center"/>
          </w:tcPr>
          <w:p w14:paraId="2EF024B7">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型号</w:t>
            </w:r>
          </w:p>
        </w:tc>
        <w:tc>
          <w:tcPr>
            <w:tcW w:w="633" w:type="dxa"/>
            <w:noWrap w:val="0"/>
            <w:vAlign w:val="center"/>
          </w:tcPr>
          <w:p w14:paraId="65998EF9">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lang w:val="en-US" w:eastAsia="zh-CN"/>
              </w:rPr>
            </w:pPr>
            <w:r>
              <w:rPr>
                <w:rFonts w:hint="eastAsia" w:ascii="仿宋" w:hAnsi="仿宋" w:eastAsia="仿宋" w:cs="仿宋"/>
                <w:color w:val="auto"/>
                <w:spacing w:val="-6"/>
                <w:position w:val="17"/>
                <w:sz w:val="24"/>
                <w:szCs w:val="24"/>
                <w:highlight w:val="none"/>
                <w:lang w:val="en-US" w:eastAsia="zh-CN"/>
              </w:rPr>
              <w:t>制造商名称</w:t>
            </w:r>
          </w:p>
        </w:tc>
        <w:tc>
          <w:tcPr>
            <w:tcW w:w="860" w:type="dxa"/>
            <w:noWrap w:val="0"/>
            <w:textDirection w:val="tbRlV"/>
            <w:vAlign w:val="center"/>
          </w:tcPr>
          <w:p w14:paraId="087F9DCF">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lang w:eastAsia="zh-CN"/>
              </w:rPr>
            </w:pPr>
            <w:r>
              <w:rPr>
                <w:rFonts w:hint="eastAsia" w:ascii="仿宋" w:hAnsi="仿宋" w:eastAsia="仿宋" w:cs="仿宋"/>
                <w:color w:val="auto"/>
                <w:spacing w:val="-6"/>
                <w:position w:val="17"/>
                <w:sz w:val="24"/>
                <w:szCs w:val="24"/>
                <w:highlight w:val="none"/>
                <w:lang w:eastAsia="zh-CN"/>
              </w:rPr>
              <w:t>制造商名称及规模</w:t>
            </w:r>
          </w:p>
        </w:tc>
        <w:tc>
          <w:tcPr>
            <w:tcW w:w="685" w:type="dxa"/>
            <w:noWrap w:val="0"/>
            <w:textDirection w:val="tbRlV"/>
            <w:vAlign w:val="center"/>
          </w:tcPr>
          <w:p w14:paraId="1990D6D8">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lang w:eastAsia="zh-CN"/>
              </w:rPr>
            </w:pPr>
            <w:r>
              <w:rPr>
                <w:rFonts w:hint="eastAsia" w:ascii="仿宋" w:hAnsi="仿宋" w:eastAsia="仿宋" w:cs="仿宋"/>
                <w:color w:val="auto"/>
                <w:spacing w:val="-6"/>
                <w:position w:val="17"/>
                <w:sz w:val="24"/>
                <w:szCs w:val="24"/>
                <w:highlight w:val="none"/>
                <w:lang w:eastAsia="zh-CN"/>
              </w:rPr>
              <w:t>供应商规模</w:t>
            </w:r>
          </w:p>
        </w:tc>
        <w:tc>
          <w:tcPr>
            <w:tcW w:w="685" w:type="dxa"/>
            <w:noWrap w:val="0"/>
            <w:textDirection w:val="tbRlV"/>
            <w:vAlign w:val="center"/>
          </w:tcPr>
          <w:p w14:paraId="19875972">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产 地</w:t>
            </w:r>
          </w:p>
        </w:tc>
        <w:tc>
          <w:tcPr>
            <w:tcW w:w="635" w:type="dxa"/>
            <w:noWrap w:val="0"/>
            <w:textDirection w:val="tbRlV"/>
            <w:vAlign w:val="center"/>
          </w:tcPr>
          <w:p w14:paraId="3223B817">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数 量</w:t>
            </w:r>
          </w:p>
        </w:tc>
        <w:tc>
          <w:tcPr>
            <w:tcW w:w="615" w:type="dxa"/>
            <w:noWrap w:val="0"/>
            <w:textDirection w:val="tbRlV"/>
            <w:vAlign w:val="center"/>
          </w:tcPr>
          <w:p w14:paraId="57AA58F5">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单 位</w:t>
            </w:r>
          </w:p>
        </w:tc>
        <w:tc>
          <w:tcPr>
            <w:tcW w:w="554" w:type="dxa"/>
            <w:noWrap w:val="0"/>
            <w:textDirection w:val="tbRlV"/>
            <w:vAlign w:val="center"/>
          </w:tcPr>
          <w:p w14:paraId="7417087B">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单 价</w:t>
            </w:r>
          </w:p>
        </w:tc>
        <w:tc>
          <w:tcPr>
            <w:tcW w:w="493" w:type="dxa"/>
            <w:noWrap w:val="0"/>
            <w:textDirection w:val="tbRlV"/>
            <w:vAlign w:val="center"/>
          </w:tcPr>
          <w:p w14:paraId="7B58DC76">
            <w:pPr>
              <w:pStyle w:val="101"/>
              <w:shd w:val="clear" w:color="auto" w:fill="auto"/>
              <w:spacing w:before="78" w:line="466" w:lineRule="exact"/>
              <w:ind w:left="199"/>
              <w:jc w:val="center"/>
              <w:rPr>
                <w:rFonts w:hint="eastAsia" w:ascii="仿宋" w:hAnsi="仿宋" w:eastAsia="仿宋" w:cs="仿宋"/>
                <w:color w:val="auto"/>
                <w:spacing w:val="-6"/>
                <w:position w:val="17"/>
                <w:sz w:val="24"/>
                <w:szCs w:val="24"/>
                <w:highlight w:val="none"/>
              </w:rPr>
            </w:pPr>
            <w:r>
              <w:rPr>
                <w:rFonts w:hint="eastAsia" w:ascii="仿宋" w:hAnsi="仿宋" w:eastAsia="仿宋" w:cs="仿宋"/>
                <w:color w:val="auto"/>
                <w:spacing w:val="-6"/>
                <w:position w:val="17"/>
                <w:sz w:val="24"/>
                <w:szCs w:val="24"/>
                <w:highlight w:val="none"/>
              </w:rPr>
              <w:t>合 价</w:t>
            </w:r>
          </w:p>
        </w:tc>
        <w:tc>
          <w:tcPr>
            <w:tcW w:w="2267" w:type="dxa"/>
            <w:noWrap w:val="0"/>
            <w:vAlign w:val="center"/>
          </w:tcPr>
          <w:p w14:paraId="41639AE3">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lang w:eastAsia="zh-CN"/>
              </w:rPr>
            </w:pPr>
            <w:r>
              <w:rPr>
                <w:rFonts w:hint="eastAsia" w:ascii="仿宋" w:hAnsi="仿宋" w:eastAsia="仿宋" w:cs="仿宋"/>
                <w:color w:val="auto"/>
                <w:spacing w:val="-6"/>
                <w:position w:val="17"/>
                <w:sz w:val="24"/>
                <w:szCs w:val="24"/>
                <w:highlight w:val="none"/>
                <w:lang w:eastAsia="zh-CN"/>
              </w:rPr>
              <w:t>备注（产品属性：环保；</w:t>
            </w:r>
          </w:p>
          <w:p w14:paraId="46AAC507">
            <w:pPr>
              <w:pStyle w:val="101"/>
              <w:shd w:val="clear" w:color="auto" w:fill="auto"/>
              <w:spacing w:before="78" w:line="466" w:lineRule="exact"/>
              <w:jc w:val="center"/>
              <w:rPr>
                <w:rFonts w:hint="eastAsia" w:ascii="仿宋" w:hAnsi="仿宋" w:eastAsia="仿宋" w:cs="仿宋"/>
                <w:color w:val="auto"/>
                <w:spacing w:val="-6"/>
                <w:position w:val="17"/>
                <w:sz w:val="24"/>
                <w:szCs w:val="24"/>
                <w:highlight w:val="none"/>
                <w:lang w:val="en-US" w:eastAsia="zh-CN"/>
              </w:rPr>
            </w:pPr>
            <w:r>
              <w:rPr>
                <w:rFonts w:hint="eastAsia" w:ascii="仿宋" w:hAnsi="仿宋" w:eastAsia="仿宋" w:cs="仿宋"/>
                <w:color w:val="auto"/>
                <w:spacing w:val="-6"/>
                <w:position w:val="17"/>
                <w:sz w:val="24"/>
                <w:szCs w:val="24"/>
                <w:highlight w:val="none"/>
                <w:lang w:eastAsia="zh-CN"/>
              </w:rPr>
              <w:t>节能，节水；节能，节水，环保；非节能节水环保）</w:t>
            </w:r>
          </w:p>
        </w:tc>
      </w:tr>
      <w:tr w14:paraId="02CF4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486" w:type="dxa"/>
            <w:noWrap w:val="0"/>
            <w:vAlign w:val="top"/>
          </w:tcPr>
          <w:p w14:paraId="3D3B8E3E">
            <w:pPr>
              <w:pStyle w:val="101"/>
              <w:shd w:val="clear" w:color="auto" w:fill="auto"/>
              <w:spacing w:before="74" w:line="184"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17" w:type="dxa"/>
            <w:noWrap w:val="0"/>
            <w:vAlign w:val="top"/>
          </w:tcPr>
          <w:p w14:paraId="3E36CAC8">
            <w:pPr>
              <w:shd w:val="clear" w:color="auto" w:fill="auto"/>
              <w:rPr>
                <w:rFonts w:hint="eastAsia" w:ascii="仿宋" w:hAnsi="仿宋" w:eastAsia="仿宋" w:cs="仿宋"/>
                <w:color w:val="auto"/>
                <w:sz w:val="24"/>
                <w:szCs w:val="24"/>
                <w:highlight w:val="none"/>
              </w:rPr>
            </w:pPr>
          </w:p>
        </w:tc>
        <w:tc>
          <w:tcPr>
            <w:tcW w:w="483" w:type="dxa"/>
            <w:noWrap w:val="0"/>
            <w:vAlign w:val="top"/>
          </w:tcPr>
          <w:p w14:paraId="4CE680BA">
            <w:pPr>
              <w:shd w:val="clear" w:color="auto" w:fill="auto"/>
              <w:rPr>
                <w:rFonts w:hint="eastAsia" w:ascii="仿宋" w:hAnsi="仿宋" w:eastAsia="仿宋" w:cs="仿宋"/>
                <w:color w:val="auto"/>
                <w:sz w:val="24"/>
                <w:szCs w:val="24"/>
                <w:highlight w:val="none"/>
              </w:rPr>
            </w:pPr>
          </w:p>
        </w:tc>
        <w:tc>
          <w:tcPr>
            <w:tcW w:w="466" w:type="dxa"/>
            <w:noWrap w:val="0"/>
            <w:vAlign w:val="top"/>
          </w:tcPr>
          <w:p w14:paraId="709846E3">
            <w:pPr>
              <w:shd w:val="clear" w:color="auto" w:fill="auto"/>
              <w:rPr>
                <w:rFonts w:hint="eastAsia" w:ascii="仿宋" w:hAnsi="仿宋" w:eastAsia="仿宋" w:cs="仿宋"/>
                <w:color w:val="auto"/>
                <w:sz w:val="24"/>
                <w:szCs w:val="24"/>
                <w:highlight w:val="none"/>
              </w:rPr>
            </w:pPr>
          </w:p>
        </w:tc>
        <w:tc>
          <w:tcPr>
            <w:tcW w:w="466" w:type="dxa"/>
            <w:noWrap w:val="0"/>
            <w:vAlign w:val="top"/>
          </w:tcPr>
          <w:p w14:paraId="0B33CCF1">
            <w:pPr>
              <w:shd w:val="clear" w:color="auto" w:fill="auto"/>
              <w:rPr>
                <w:rFonts w:hint="eastAsia" w:ascii="仿宋" w:hAnsi="仿宋" w:eastAsia="仿宋" w:cs="仿宋"/>
                <w:color w:val="auto"/>
                <w:sz w:val="24"/>
                <w:szCs w:val="24"/>
                <w:highlight w:val="none"/>
              </w:rPr>
            </w:pPr>
          </w:p>
        </w:tc>
        <w:tc>
          <w:tcPr>
            <w:tcW w:w="633" w:type="dxa"/>
            <w:noWrap w:val="0"/>
            <w:vAlign w:val="top"/>
          </w:tcPr>
          <w:p w14:paraId="7BF9EBB9">
            <w:pPr>
              <w:shd w:val="clear" w:color="auto" w:fill="auto"/>
              <w:rPr>
                <w:rFonts w:hint="eastAsia" w:ascii="仿宋" w:hAnsi="仿宋" w:eastAsia="仿宋" w:cs="仿宋"/>
                <w:color w:val="auto"/>
                <w:sz w:val="24"/>
                <w:szCs w:val="24"/>
                <w:highlight w:val="none"/>
              </w:rPr>
            </w:pPr>
          </w:p>
        </w:tc>
        <w:tc>
          <w:tcPr>
            <w:tcW w:w="860" w:type="dxa"/>
            <w:noWrap w:val="0"/>
            <w:vAlign w:val="top"/>
          </w:tcPr>
          <w:p w14:paraId="10471280">
            <w:pPr>
              <w:shd w:val="clear" w:color="auto" w:fill="auto"/>
              <w:rPr>
                <w:rFonts w:hint="eastAsia" w:ascii="仿宋" w:hAnsi="仿宋" w:eastAsia="仿宋" w:cs="仿宋"/>
                <w:color w:val="auto"/>
                <w:sz w:val="24"/>
                <w:szCs w:val="24"/>
                <w:highlight w:val="none"/>
              </w:rPr>
            </w:pPr>
          </w:p>
        </w:tc>
        <w:tc>
          <w:tcPr>
            <w:tcW w:w="685" w:type="dxa"/>
            <w:noWrap w:val="0"/>
            <w:vAlign w:val="top"/>
          </w:tcPr>
          <w:p w14:paraId="288572A7">
            <w:pPr>
              <w:shd w:val="clear" w:color="auto" w:fill="auto"/>
              <w:rPr>
                <w:rFonts w:hint="eastAsia" w:ascii="仿宋" w:hAnsi="仿宋" w:eastAsia="仿宋" w:cs="仿宋"/>
                <w:color w:val="auto"/>
                <w:sz w:val="24"/>
                <w:szCs w:val="24"/>
                <w:highlight w:val="none"/>
              </w:rPr>
            </w:pPr>
          </w:p>
        </w:tc>
        <w:tc>
          <w:tcPr>
            <w:tcW w:w="685" w:type="dxa"/>
            <w:noWrap w:val="0"/>
            <w:vAlign w:val="top"/>
          </w:tcPr>
          <w:p w14:paraId="1C4733D8">
            <w:pPr>
              <w:shd w:val="clear" w:color="auto" w:fill="auto"/>
              <w:rPr>
                <w:rFonts w:hint="eastAsia" w:ascii="仿宋" w:hAnsi="仿宋" w:eastAsia="仿宋" w:cs="仿宋"/>
                <w:color w:val="auto"/>
                <w:sz w:val="24"/>
                <w:szCs w:val="24"/>
                <w:highlight w:val="none"/>
              </w:rPr>
            </w:pPr>
          </w:p>
        </w:tc>
        <w:tc>
          <w:tcPr>
            <w:tcW w:w="635" w:type="dxa"/>
            <w:noWrap w:val="0"/>
            <w:vAlign w:val="top"/>
          </w:tcPr>
          <w:p w14:paraId="59CF6148">
            <w:pPr>
              <w:shd w:val="clear" w:color="auto" w:fill="auto"/>
              <w:rPr>
                <w:rFonts w:hint="eastAsia" w:ascii="仿宋" w:hAnsi="仿宋" w:eastAsia="仿宋" w:cs="仿宋"/>
                <w:color w:val="auto"/>
                <w:sz w:val="24"/>
                <w:szCs w:val="24"/>
                <w:highlight w:val="none"/>
              </w:rPr>
            </w:pPr>
          </w:p>
        </w:tc>
        <w:tc>
          <w:tcPr>
            <w:tcW w:w="615" w:type="dxa"/>
            <w:noWrap w:val="0"/>
            <w:vAlign w:val="top"/>
          </w:tcPr>
          <w:p w14:paraId="462FA058">
            <w:pPr>
              <w:shd w:val="clear" w:color="auto" w:fill="auto"/>
              <w:rPr>
                <w:rFonts w:hint="eastAsia" w:ascii="仿宋" w:hAnsi="仿宋" w:eastAsia="仿宋" w:cs="仿宋"/>
                <w:color w:val="auto"/>
                <w:sz w:val="24"/>
                <w:szCs w:val="24"/>
                <w:highlight w:val="none"/>
              </w:rPr>
            </w:pPr>
          </w:p>
        </w:tc>
        <w:tc>
          <w:tcPr>
            <w:tcW w:w="554" w:type="dxa"/>
            <w:noWrap w:val="0"/>
            <w:vAlign w:val="top"/>
          </w:tcPr>
          <w:p w14:paraId="3F3D9A2A">
            <w:pPr>
              <w:shd w:val="clear" w:color="auto" w:fill="auto"/>
              <w:rPr>
                <w:rFonts w:hint="eastAsia" w:ascii="仿宋" w:hAnsi="仿宋" w:eastAsia="仿宋" w:cs="仿宋"/>
                <w:color w:val="auto"/>
                <w:sz w:val="24"/>
                <w:szCs w:val="24"/>
                <w:highlight w:val="none"/>
              </w:rPr>
            </w:pPr>
          </w:p>
        </w:tc>
        <w:tc>
          <w:tcPr>
            <w:tcW w:w="493" w:type="dxa"/>
            <w:noWrap w:val="0"/>
            <w:vAlign w:val="top"/>
          </w:tcPr>
          <w:p w14:paraId="091FA2E3">
            <w:pPr>
              <w:shd w:val="clear" w:color="auto" w:fill="auto"/>
              <w:rPr>
                <w:rFonts w:hint="eastAsia" w:ascii="仿宋" w:hAnsi="仿宋" w:eastAsia="仿宋" w:cs="仿宋"/>
                <w:color w:val="auto"/>
                <w:sz w:val="24"/>
                <w:szCs w:val="24"/>
                <w:highlight w:val="none"/>
              </w:rPr>
            </w:pPr>
          </w:p>
        </w:tc>
        <w:tc>
          <w:tcPr>
            <w:tcW w:w="2267" w:type="dxa"/>
            <w:noWrap w:val="0"/>
            <w:vAlign w:val="top"/>
          </w:tcPr>
          <w:p w14:paraId="46090B3F">
            <w:pPr>
              <w:shd w:val="clear" w:color="auto" w:fill="auto"/>
              <w:rPr>
                <w:rFonts w:hint="eastAsia" w:ascii="仿宋" w:hAnsi="仿宋" w:eastAsia="仿宋" w:cs="仿宋"/>
                <w:color w:val="auto"/>
                <w:spacing w:val="-6"/>
                <w:kern w:val="2"/>
                <w:position w:val="17"/>
                <w:sz w:val="24"/>
                <w:szCs w:val="24"/>
                <w:highlight w:val="none"/>
                <w:lang w:val="en-US" w:eastAsia="zh-CN" w:bidi="ar-SA"/>
              </w:rPr>
            </w:pPr>
          </w:p>
        </w:tc>
      </w:tr>
      <w:tr w14:paraId="6DE56E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486" w:type="dxa"/>
            <w:noWrap w:val="0"/>
            <w:vAlign w:val="top"/>
          </w:tcPr>
          <w:p w14:paraId="35FEB08E">
            <w:pPr>
              <w:pStyle w:val="101"/>
              <w:shd w:val="clear" w:color="auto" w:fill="auto"/>
              <w:spacing w:before="74" w:line="183"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17" w:type="dxa"/>
            <w:noWrap w:val="0"/>
            <w:vAlign w:val="top"/>
          </w:tcPr>
          <w:p w14:paraId="67A05569">
            <w:pPr>
              <w:shd w:val="clear" w:color="auto" w:fill="auto"/>
              <w:rPr>
                <w:rFonts w:hint="eastAsia" w:ascii="仿宋" w:hAnsi="仿宋" w:eastAsia="仿宋" w:cs="仿宋"/>
                <w:color w:val="auto"/>
                <w:sz w:val="24"/>
                <w:szCs w:val="24"/>
                <w:highlight w:val="none"/>
              </w:rPr>
            </w:pPr>
          </w:p>
        </w:tc>
        <w:tc>
          <w:tcPr>
            <w:tcW w:w="483" w:type="dxa"/>
            <w:noWrap w:val="0"/>
            <w:vAlign w:val="top"/>
          </w:tcPr>
          <w:p w14:paraId="19D5DED0">
            <w:pPr>
              <w:shd w:val="clear" w:color="auto" w:fill="auto"/>
              <w:rPr>
                <w:rFonts w:hint="eastAsia" w:ascii="仿宋" w:hAnsi="仿宋" w:eastAsia="仿宋" w:cs="仿宋"/>
                <w:color w:val="auto"/>
                <w:sz w:val="24"/>
                <w:szCs w:val="24"/>
                <w:highlight w:val="none"/>
              </w:rPr>
            </w:pPr>
          </w:p>
        </w:tc>
        <w:tc>
          <w:tcPr>
            <w:tcW w:w="466" w:type="dxa"/>
            <w:noWrap w:val="0"/>
            <w:vAlign w:val="top"/>
          </w:tcPr>
          <w:p w14:paraId="42724851">
            <w:pPr>
              <w:shd w:val="clear" w:color="auto" w:fill="auto"/>
              <w:rPr>
                <w:rFonts w:hint="eastAsia" w:ascii="仿宋" w:hAnsi="仿宋" w:eastAsia="仿宋" w:cs="仿宋"/>
                <w:color w:val="auto"/>
                <w:sz w:val="24"/>
                <w:szCs w:val="24"/>
                <w:highlight w:val="none"/>
              </w:rPr>
            </w:pPr>
          </w:p>
        </w:tc>
        <w:tc>
          <w:tcPr>
            <w:tcW w:w="466" w:type="dxa"/>
            <w:noWrap w:val="0"/>
            <w:vAlign w:val="top"/>
          </w:tcPr>
          <w:p w14:paraId="3F101049">
            <w:pPr>
              <w:shd w:val="clear" w:color="auto" w:fill="auto"/>
              <w:rPr>
                <w:rFonts w:hint="eastAsia" w:ascii="仿宋" w:hAnsi="仿宋" w:eastAsia="仿宋" w:cs="仿宋"/>
                <w:color w:val="auto"/>
                <w:sz w:val="24"/>
                <w:szCs w:val="24"/>
                <w:highlight w:val="none"/>
              </w:rPr>
            </w:pPr>
          </w:p>
        </w:tc>
        <w:tc>
          <w:tcPr>
            <w:tcW w:w="633" w:type="dxa"/>
            <w:noWrap w:val="0"/>
            <w:vAlign w:val="top"/>
          </w:tcPr>
          <w:p w14:paraId="4B66DEF6">
            <w:pPr>
              <w:shd w:val="clear" w:color="auto" w:fill="auto"/>
              <w:rPr>
                <w:rFonts w:hint="eastAsia" w:ascii="仿宋" w:hAnsi="仿宋" w:eastAsia="仿宋" w:cs="仿宋"/>
                <w:color w:val="auto"/>
                <w:sz w:val="24"/>
                <w:szCs w:val="24"/>
                <w:highlight w:val="none"/>
              </w:rPr>
            </w:pPr>
          </w:p>
        </w:tc>
        <w:tc>
          <w:tcPr>
            <w:tcW w:w="860" w:type="dxa"/>
            <w:noWrap w:val="0"/>
            <w:vAlign w:val="top"/>
          </w:tcPr>
          <w:p w14:paraId="62466DB8">
            <w:pPr>
              <w:shd w:val="clear" w:color="auto" w:fill="auto"/>
              <w:rPr>
                <w:rFonts w:hint="eastAsia" w:ascii="仿宋" w:hAnsi="仿宋" w:eastAsia="仿宋" w:cs="仿宋"/>
                <w:color w:val="auto"/>
                <w:sz w:val="24"/>
                <w:szCs w:val="24"/>
                <w:highlight w:val="none"/>
              </w:rPr>
            </w:pPr>
          </w:p>
        </w:tc>
        <w:tc>
          <w:tcPr>
            <w:tcW w:w="685" w:type="dxa"/>
            <w:noWrap w:val="0"/>
            <w:vAlign w:val="top"/>
          </w:tcPr>
          <w:p w14:paraId="46430071">
            <w:pPr>
              <w:shd w:val="clear" w:color="auto" w:fill="auto"/>
              <w:rPr>
                <w:rFonts w:hint="eastAsia" w:ascii="仿宋" w:hAnsi="仿宋" w:eastAsia="仿宋" w:cs="仿宋"/>
                <w:color w:val="auto"/>
                <w:sz w:val="24"/>
                <w:szCs w:val="24"/>
                <w:highlight w:val="none"/>
              </w:rPr>
            </w:pPr>
          </w:p>
        </w:tc>
        <w:tc>
          <w:tcPr>
            <w:tcW w:w="685" w:type="dxa"/>
            <w:noWrap w:val="0"/>
            <w:vAlign w:val="top"/>
          </w:tcPr>
          <w:p w14:paraId="43A584DA">
            <w:pPr>
              <w:shd w:val="clear" w:color="auto" w:fill="auto"/>
              <w:rPr>
                <w:rFonts w:hint="eastAsia" w:ascii="仿宋" w:hAnsi="仿宋" w:eastAsia="仿宋" w:cs="仿宋"/>
                <w:color w:val="auto"/>
                <w:sz w:val="24"/>
                <w:szCs w:val="24"/>
                <w:highlight w:val="none"/>
              </w:rPr>
            </w:pPr>
          </w:p>
        </w:tc>
        <w:tc>
          <w:tcPr>
            <w:tcW w:w="635" w:type="dxa"/>
            <w:noWrap w:val="0"/>
            <w:vAlign w:val="top"/>
          </w:tcPr>
          <w:p w14:paraId="57C51C2C">
            <w:pPr>
              <w:shd w:val="clear" w:color="auto" w:fill="auto"/>
              <w:rPr>
                <w:rFonts w:hint="eastAsia" w:ascii="仿宋" w:hAnsi="仿宋" w:eastAsia="仿宋" w:cs="仿宋"/>
                <w:color w:val="auto"/>
                <w:sz w:val="24"/>
                <w:szCs w:val="24"/>
                <w:highlight w:val="none"/>
              </w:rPr>
            </w:pPr>
          </w:p>
        </w:tc>
        <w:tc>
          <w:tcPr>
            <w:tcW w:w="615" w:type="dxa"/>
            <w:noWrap w:val="0"/>
            <w:vAlign w:val="top"/>
          </w:tcPr>
          <w:p w14:paraId="744B912C">
            <w:pPr>
              <w:shd w:val="clear" w:color="auto" w:fill="auto"/>
              <w:rPr>
                <w:rFonts w:hint="eastAsia" w:ascii="仿宋" w:hAnsi="仿宋" w:eastAsia="仿宋" w:cs="仿宋"/>
                <w:color w:val="auto"/>
                <w:sz w:val="24"/>
                <w:szCs w:val="24"/>
                <w:highlight w:val="none"/>
              </w:rPr>
            </w:pPr>
          </w:p>
        </w:tc>
        <w:tc>
          <w:tcPr>
            <w:tcW w:w="554" w:type="dxa"/>
            <w:noWrap w:val="0"/>
            <w:vAlign w:val="top"/>
          </w:tcPr>
          <w:p w14:paraId="26DAE3E2">
            <w:pPr>
              <w:shd w:val="clear" w:color="auto" w:fill="auto"/>
              <w:rPr>
                <w:rFonts w:hint="eastAsia" w:ascii="仿宋" w:hAnsi="仿宋" w:eastAsia="仿宋" w:cs="仿宋"/>
                <w:color w:val="auto"/>
                <w:sz w:val="24"/>
                <w:szCs w:val="24"/>
                <w:highlight w:val="none"/>
              </w:rPr>
            </w:pPr>
          </w:p>
        </w:tc>
        <w:tc>
          <w:tcPr>
            <w:tcW w:w="493" w:type="dxa"/>
            <w:noWrap w:val="0"/>
            <w:vAlign w:val="top"/>
          </w:tcPr>
          <w:p w14:paraId="39B3A4F9">
            <w:pPr>
              <w:shd w:val="clear" w:color="auto" w:fill="auto"/>
              <w:rPr>
                <w:rFonts w:hint="eastAsia" w:ascii="仿宋" w:hAnsi="仿宋" w:eastAsia="仿宋" w:cs="仿宋"/>
                <w:color w:val="auto"/>
                <w:sz w:val="24"/>
                <w:szCs w:val="24"/>
                <w:highlight w:val="none"/>
              </w:rPr>
            </w:pPr>
          </w:p>
        </w:tc>
        <w:tc>
          <w:tcPr>
            <w:tcW w:w="2267" w:type="dxa"/>
            <w:noWrap w:val="0"/>
            <w:vAlign w:val="top"/>
          </w:tcPr>
          <w:p w14:paraId="08E3AF1A">
            <w:pPr>
              <w:shd w:val="clear" w:color="auto" w:fill="auto"/>
              <w:rPr>
                <w:rFonts w:hint="eastAsia" w:ascii="仿宋" w:hAnsi="仿宋" w:eastAsia="仿宋" w:cs="仿宋"/>
                <w:color w:val="auto"/>
                <w:sz w:val="24"/>
                <w:szCs w:val="24"/>
                <w:highlight w:val="none"/>
              </w:rPr>
            </w:pPr>
          </w:p>
        </w:tc>
      </w:tr>
      <w:tr w14:paraId="60708A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486" w:type="dxa"/>
            <w:noWrap w:val="0"/>
            <w:vAlign w:val="top"/>
          </w:tcPr>
          <w:p w14:paraId="5E06B413">
            <w:pPr>
              <w:pStyle w:val="101"/>
              <w:shd w:val="clear" w:color="auto" w:fill="auto"/>
              <w:spacing w:before="76" w:line="183"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17" w:type="dxa"/>
            <w:noWrap w:val="0"/>
            <w:vAlign w:val="top"/>
          </w:tcPr>
          <w:p w14:paraId="00FCC9F3">
            <w:pPr>
              <w:shd w:val="clear" w:color="auto" w:fill="auto"/>
              <w:rPr>
                <w:rFonts w:hint="eastAsia" w:ascii="仿宋" w:hAnsi="仿宋" w:eastAsia="仿宋" w:cs="仿宋"/>
                <w:color w:val="auto"/>
                <w:sz w:val="24"/>
                <w:szCs w:val="24"/>
                <w:highlight w:val="none"/>
              </w:rPr>
            </w:pPr>
          </w:p>
        </w:tc>
        <w:tc>
          <w:tcPr>
            <w:tcW w:w="483" w:type="dxa"/>
            <w:noWrap w:val="0"/>
            <w:vAlign w:val="top"/>
          </w:tcPr>
          <w:p w14:paraId="0164C2CD">
            <w:pPr>
              <w:shd w:val="clear" w:color="auto" w:fill="auto"/>
              <w:rPr>
                <w:rFonts w:hint="eastAsia" w:ascii="仿宋" w:hAnsi="仿宋" w:eastAsia="仿宋" w:cs="仿宋"/>
                <w:color w:val="auto"/>
                <w:sz w:val="24"/>
                <w:szCs w:val="24"/>
                <w:highlight w:val="none"/>
              </w:rPr>
            </w:pPr>
          </w:p>
        </w:tc>
        <w:tc>
          <w:tcPr>
            <w:tcW w:w="466" w:type="dxa"/>
            <w:noWrap w:val="0"/>
            <w:vAlign w:val="top"/>
          </w:tcPr>
          <w:p w14:paraId="2D40F759">
            <w:pPr>
              <w:shd w:val="clear" w:color="auto" w:fill="auto"/>
              <w:rPr>
                <w:rFonts w:hint="eastAsia" w:ascii="仿宋" w:hAnsi="仿宋" w:eastAsia="仿宋" w:cs="仿宋"/>
                <w:color w:val="auto"/>
                <w:sz w:val="24"/>
                <w:szCs w:val="24"/>
                <w:highlight w:val="none"/>
              </w:rPr>
            </w:pPr>
          </w:p>
        </w:tc>
        <w:tc>
          <w:tcPr>
            <w:tcW w:w="466" w:type="dxa"/>
            <w:noWrap w:val="0"/>
            <w:vAlign w:val="top"/>
          </w:tcPr>
          <w:p w14:paraId="4B022D16">
            <w:pPr>
              <w:shd w:val="clear" w:color="auto" w:fill="auto"/>
              <w:rPr>
                <w:rFonts w:hint="eastAsia" w:ascii="仿宋" w:hAnsi="仿宋" w:eastAsia="仿宋" w:cs="仿宋"/>
                <w:color w:val="auto"/>
                <w:sz w:val="24"/>
                <w:szCs w:val="24"/>
                <w:highlight w:val="none"/>
              </w:rPr>
            </w:pPr>
          </w:p>
        </w:tc>
        <w:tc>
          <w:tcPr>
            <w:tcW w:w="633" w:type="dxa"/>
            <w:noWrap w:val="0"/>
            <w:vAlign w:val="top"/>
          </w:tcPr>
          <w:p w14:paraId="08E4B173">
            <w:pPr>
              <w:shd w:val="clear" w:color="auto" w:fill="auto"/>
              <w:rPr>
                <w:rFonts w:hint="eastAsia" w:ascii="仿宋" w:hAnsi="仿宋" w:eastAsia="仿宋" w:cs="仿宋"/>
                <w:color w:val="auto"/>
                <w:sz w:val="24"/>
                <w:szCs w:val="24"/>
                <w:highlight w:val="none"/>
              </w:rPr>
            </w:pPr>
          </w:p>
        </w:tc>
        <w:tc>
          <w:tcPr>
            <w:tcW w:w="860" w:type="dxa"/>
            <w:noWrap w:val="0"/>
            <w:vAlign w:val="top"/>
          </w:tcPr>
          <w:p w14:paraId="44AAA596">
            <w:pPr>
              <w:shd w:val="clear" w:color="auto" w:fill="auto"/>
              <w:rPr>
                <w:rFonts w:hint="eastAsia" w:ascii="仿宋" w:hAnsi="仿宋" w:eastAsia="仿宋" w:cs="仿宋"/>
                <w:color w:val="auto"/>
                <w:sz w:val="24"/>
                <w:szCs w:val="24"/>
                <w:highlight w:val="none"/>
              </w:rPr>
            </w:pPr>
          </w:p>
        </w:tc>
        <w:tc>
          <w:tcPr>
            <w:tcW w:w="685" w:type="dxa"/>
            <w:noWrap w:val="0"/>
            <w:vAlign w:val="top"/>
          </w:tcPr>
          <w:p w14:paraId="27E5DCFC">
            <w:pPr>
              <w:shd w:val="clear" w:color="auto" w:fill="auto"/>
              <w:rPr>
                <w:rFonts w:hint="eastAsia" w:ascii="仿宋" w:hAnsi="仿宋" w:eastAsia="仿宋" w:cs="仿宋"/>
                <w:color w:val="auto"/>
                <w:sz w:val="24"/>
                <w:szCs w:val="24"/>
                <w:highlight w:val="none"/>
              </w:rPr>
            </w:pPr>
          </w:p>
        </w:tc>
        <w:tc>
          <w:tcPr>
            <w:tcW w:w="685" w:type="dxa"/>
            <w:noWrap w:val="0"/>
            <w:vAlign w:val="top"/>
          </w:tcPr>
          <w:p w14:paraId="6583BA6C">
            <w:pPr>
              <w:shd w:val="clear" w:color="auto" w:fill="auto"/>
              <w:rPr>
                <w:rFonts w:hint="eastAsia" w:ascii="仿宋" w:hAnsi="仿宋" w:eastAsia="仿宋" w:cs="仿宋"/>
                <w:color w:val="auto"/>
                <w:sz w:val="24"/>
                <w:szCs w:val="24"/>
                <w:highlight w:val="none"/>
              </w:rPr>
            </w:pPr>
          </w:p>
        </w:tc>
        <w:tc>
          <w:tcPr>
            <w:tcW w:w="635" w:type="dxa"/>
            <w:noWrap w:val="0"/>
            <w:vAlign w:val="top"/>
          </w:tcPr>
          <w:p w14:paraId="0640FD96">
            <w:pPr>
              <w:shd w:val="clear" w:color="auto" w:fill="auto"/>
              <w:rPr>
                <w:rFonts w:hint="eastAsia" w:ascii="仿宋" w:hAnsi="仿宋" w:eastAsia="仿宋" w:cs="仿宋"/>
                <w:color w:val="auto"/>
                <w:sz w:val="24"/>
                <w:szCs w:val="24"/>
                <w:highlight w:val="none"/>
              </w:rPr>
            </w:pPr>
          </w:p>
        </w:tc>
        <w:tc>
          <w:tcPr>
            <w:tcW w:w="615" w:type="dxa"/>
            <w:noWrap w:val="0"/>
            <w:vAlign w:val="top"/>
          </w:tcPr>
          <w:p w14:paraId="3165D9D9">
            <w:pPr>
              <w:shd w:val="clear" w:color="auto" w:fill="auto"/>
              <w:rPr>
                <w:rFonts w:hint="eastAsia" w:ascii="仿宋" w:hAnsi="仿宋" w:eastAsia="仿宋" w:cs="仿宋"/>
                <w:color w:val="auto"/>
                <w:sz w:val="24"/>
                <w:szCs w:val="24"/>
                <w:highlight w:val="none"/>
              </w:rPr>
            </w:pPr>
          </w:p>
        </w:tc>
        <w:tc>
          <w:tcPr>
            <w:tcW w:w="554" w:type="dxa"/>
            <w:noWrap w:val="0"/>
            <w:vAlign w:val="top"/>
          </w:tcPr>
          <w:p w14:paraId="00A463B6">
            <w:pPr>
              <w:shd w:val="clear" w:color="auto" w:fill="auto"/>
              <w:rPr>
                <w:rFonts w:hint="eastAsia" w:ascii="仿宋" w:hAnsi="仿宋" w:eastAsia="仿宋" w:cs="仿宋"/>
                <w:color w:val="auto"/>
                <w:sz w:val="24"/>
                <w:szCs w:val="24"/>
                <w:highlight w:val="none"/>
              </w:rPr>
            </w:pPr>
          </w:p>
        </w:tc>
        <w:tc>
          <w:tcPr>
            <w:tcW w:w="493" w:type="dxa"/>
            <w:noWrap w:val="0"/>
            <w:vAlign w:val="top"/>
          </w:tcPr>
          <w:p w14:paraId="7D3F06BB">
            <w:pPr>
              <w:shd w:val="clear" w:color="auto" w:fill="auto"/>
              <w:rPr>
                <w:rFonts w:hint="eastAsia" w:ascii="仿宋" w:hAnsi="仿宋" w:eastAsia="仿宋" w:cs="仿宋"/>
                <w:color w:val="auto"/>
                <w:sz w:val="24"/>
                <w:szCs w:val="24"/>
                <w:highlight w:val="none"/>
              </w:rPr>
            </w:pPr>
          </w:p>
        </w:tc>
        <w:tc>
          <w:tcPr>
            <w:tcW w:w="2267" w:type="dxa"/>
            <w:noWrap w:val="0"/>
            <w:vAlign w:val="top"/>
          </w:tcPr>
          <w:p w14:paraId="2401CA59">
            <w:pPr>
              <w:shd w:val="clear" w:color="auto" w:fill="auto"/>
              <w:rPr>
                <w:rFonts w:hint="eastAsia" w:ascii="仿宋" w:hAnsi="仿宋" w:eastAsia="仿宋" w:cs="仿宋"/>
                <w:color w:val="auto"/>
                <w:sz w:val="24"/>
                <w:szCs w:val="24"/>
                <w:highlight w:val="none"/>
              </w:rPr>
            </w:pPr>
          </w:p>
        </w:tc>
      </w:tr>
      <w:tr w14:paraId="44D5D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486" w:type="dxa"/>
            <w:noWrap w:val="0"/>
            <w:vAlign w:val="top"/>
          </w:tcPr>
          <w:p w14:paraId="40CF8034">
            <w:pPr>
              <w:pStyle w:val="101"/>
              <w:shd w:val="clear" w:color="auto" w:fill="auto"/>
              <w:spacing w:before="76" w:line="183"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817" w:type="dxa"/>
            <w:noWrap w:val="0"/>
            <w:vAlign w:val="top"/>
          </w:tcPr>
          <w:p w14:paraId="23DEF23A">
            <w:pPr>
              <w:shd w:val="clear" w:color="auto" w:fill="auto"/>
              <w:rPr>
                <w:rFonts w:hint="eastAsia" w:ascii="仿宋" w:hAnsi="仿宋" w:eastAsia="仿宋" w:cs="仿宋"/>
                <w:color w:val="auto"/>
                <w:sz w:val="24"/>
                <w:szCs w:val="24"/>
                <w:highlight w:val="none"/>
              </w:rPr>
            </w:pPr>
          </w:p>
        </w:tc>
        <w:tc>
          <w:tcPr>
            <w:tcW w:w="483" w:type="dxa"/>
            <w:noWrap w:val="0"/>
            <w:vAlign w:val="top"/>
          </w:tcPr>
          <w:p w14:paraId="4D2466CB">
            <w:pPr>
              <w:shd w:val="clear" w:color="auto" w:fill="auto"/>
              <w:rPr>
                <w:rFonts w:hint="eastAsia" w:ascii="仿宋" w:hAnsi="仿宋" w:eastAsia="仿宋" w:cs="仿宋"/>
                <w:color w:val="auto"/>
                <w:sz w:val="24"/>
                <w:szCs w:val="24"/>
                <w:highlight w:val="none"/>
              </w:rPr>
            </w:pPr>
          </w:p>
        </w:tc>
        <w:tc>
          <w:tcPr>
            <w:tcW w:w="466" w:type="dxa"/>
            <w:noWrap w:val="0"/>
            <w:vAlign w:val="top"/>
          </w:tcPr>
          <w:p w14:paraId="2C290492">
            <w:pPr>
              <w:shd w:val="clear" w:color="auto" w:fill="auto"/>
              <w:rPr>
                <w:rFonts w:hint="eastAsia" w:ascii="仿宋" w:hAnsi="仿宋" w:eastAsia="仿宋" w:cs="仿宋"/>
                <w:color w:val="auto"/>
                <w:sz w:val="24"/>
                <w:szCs w:val="24"/>
                <w:highlight w:val="none"/>
              </w:rPr>
            </w:pPr>
          </w:p>
        </w:tc>
        <w:tc>
          <w:tcPr>
            <w:tcW w:w="466" w:type="dxa"/>
            <w:noWrap w:val="0"/>
            <w:vAlign w:val="top"/>
          </w:tcPr>
          <w:p w14:paraId="02040B20">
            <w:pPr>
              <w:shd w:val="clear" w:color="auto" w:fill="auto"/>
              <w:rPr>
                <w:rFonts w:hint="eastAsia" w:ascii="仿宋" w:hAnsi="仿宋" w:eastAsia="仿宋" w:cs="仿宋"/>
                <w:color w:val="auto"/>
                <w:sz w:val="24"/>
                <w:szCs w:val="24"/>
                <w:highlight w:val="none"/>
              </w:rPr>
            </w:pPr>
          </w:p>
        </w:tc>
        <w:tc>
          <w:tcPr>
            <w:tcW w:w="633" w:type="dxa"/>
            <w:noWrap w:val="0"/>
            <w:vAlign w:val="top"/>
          </w:tcPr>
          <w:p w14:paraId="77C341DF">
            <w:pPr>
              <w:shd w:val="clear" w:color="auto" w:fill="auto"/>
              <w:rPr>
                <w:rFonts w:hint="eastAsia" w:ascii="仿宋" w:hAnsi="仿宋" w:eastAsia="仿宋" w:cs="仿宋"/>
                <w:color w:val="auto"/>
                <w:sz w:val="24"/>
                <w:szCs w:val="24"/>
                <w:highlight w:val="none"/>
              </w:rPr>
            </w:pPr>
          </w:p>
        </w:tc>
        <w:tc>
          <w:tcPr>
            <w:tcW w:w="860" w:type="dxa"/>
            <w:noWrap w:val="0"/>
            <w:vAlign w:val="top"/>
          </w:tcPr>
          <w:p w14:paraId="670779D5">
            <w:pPr>
              <w:shd w:val="clear" w:color="auto" w:fill="auto"/>
              <w:rPr>
                <w:rFonts w:hint="eastAsia" w:ascii="仿宋" w:hAnsi="仿宋" w:eastAsia="仿宋" w:cs="仿宋"/>
                <w:color w:val="auto"/>
                <w:sz w:val="24"/>
                <w:szCs w:val="24"/>
                <w:highlight w:val="none"/>
              </w:rPr>
            </w:pPr>
          </w:p>
        </w:tc>
        <w:tc>
          <w:tcPr>
            <w:tcW w:w="685" w:type="dxa"/>
            <w:noWrap w:val="0"/>
            <w:vAlign w:val="top"/>
          </w:tcPr>
          <w:p w14:paraId="3D2036C6">
            <w:pPr>
              <w:shd w:val="clear" w:color="auto" w:fill="auto"/>
              <w:rPr>
                <w:rFonts w:hint="eastAsia" w:ascii="仿宋" w:hAnsi="仿宋" w:eastAsia="仿宋" w:cs="仿宋"/>
                <w:color w:val="auto"/>
                <w:sz w:val="24"/>
                <w:szCs w:val="24"/>
                <w:highlight w:val="none"/>
              </w:rPr>
            </w:pPr>
          </w:p>
        </w:tc>
        <w:tc>
          <w:tcPr>
            <w:tcW w:w="685" w:type="dxa"/>
            <w:noWrap w:val="0"/>
            <w:vAlign w:val="top"/>
          </w:tcPr>
          <w:p w14:paraId="79FC431D">
            <w:pPr>
              <w:shd w:val="clear" w:color="auto" w:fill="auto"/>
              <w:rPr>
                <w:rFonts w:hint="eastAsia" w:ascii="仿宋" w:hAnsi="仿宋" w:eastAsia="仿宋" w:cs="仿宋"/>
                <w:color w:val="auto"/>
                <w:sz w:val="24"/>
                <w:szCs w:val="24"/>
                <w:highlight w:val="none"/>
              </w:rPr>
            </w:pPr>
          </w:p>
        </w:tc>
        <w:tc>
          <w:tcPr>
            <w:tcW w:w="635" w:type="dxa"/>
            <w:noWrap w:val="0"/>
            <w:vAlign w:val="top"/>
          </w:tcPr>
          <w:p w14:paraId="6BAAE3F0">
            <w:pPr>
              <w:shd w:val="clear" w:color="auto" w:fill="auto"/>
              <w:rPr>
                <w:rFonts w:hint="eastAsia" w:ascii="仿宋" w:hAnsi="仿宋" w:eastAsia="仿宋" w:cs="仿宋"/>
                <w:color w:val="auto"/>
                <w:sz w:val="24"/>
                <w:szCs w:val="24"/>
                <w:highlight w:val="none"/>
              </w:rPr>
            </w:pPr>
          </w:p>
        </w:tc>
        <w:tc>
          <w:tcPr>
            <w:tcW w:w="615" w:type="dxa"/>
            <w:noWrap w:val="0"/>
            <w:vAlign w:val="top"/>
          </w:tcPr>
          <w:p w14:paraId="377998E1">
            <w:pPr>
              <w:shd w:val="clear" w:color="auto" w:fill="auto"/>
              <w:rPr>
                <w:rFonts w:hint="eastAsia" w:ascii="仿宋" w:hAnsi="仿宋" w:eastAsia="仿宋" w:cs="仿宋"/>
                <w:color w:val="auto"/>
                <w:sz w:val="24"/>
                <w:szCs w:val="24"/>
                <w:highlight w:val="none"/>
              </w:rPr>
            </w:pPr>
          </w:p>
        </w:tc>
        <w:tc>
          <w:tcPr>
            <w:tcW w:w="554" w:type="dxa"/>
            <w:noWrap w:val="0"/>
            <w:vAlign w:val="top"/>
          </w:tcPr>
          <w:p w14:paraId="1BA46F38">
            <w:pPr>
              <w:shd w:val="clear" w:color="auto" w:fill="auto"/>
              <w:rPr>
                <w:rFonts w:hint="eastAsia" w:ascii="仿宋" w:hAnsi="仿宋" w:eastAsia="仿宋" w:cs="仿宋"/>
                <w:color w:val="auto"/>
                <w:sz w:val="24"/>
                <w:szCs w:val="24"/>
                <w:highlight w:val="none"/>
              </w:rPr>
            </w:pPr>
          </w:p>
        </w:tc>
        <w:tc>
          <w:tcPr>
            <w:tcW w:w="493" w:type="dxa"/>
            <w:noWrap w:val="0"/>
            <w:vAlign w:val="top"/>
          </w:tcPr>
          <w:p w14:paraId="4400229E">
            <w:pPr>
              <w:shd w:val="clear" w:color="auto" w:fill="auto"/>
              <w:rPr>
                <w:rFonts w:hint="eastAsia" w:ascii="仿宋" w:hAnsi="仿宋" w:eastAsia="仿宋" w:cs="仿宋"/>
                <w:color w:val="auto"/>
                <w:sz w:val="24"/>
                <w:szCs w:val="24"/>
                <w:highlight w:val="none"/>
              </w:rPr>
            </w:pPr>
          </w:p>
        </w:tc>
        <w:tc>
          <w:tcPr>
            <w:tcW w:w="2267" w:type="dxa"/>
            <w:noWrap w:val="0"/>
            <w:vAlign w:val="top"/>
          </w:tcPr>
          <w:p w14:paraId="0036814A">
            <w:pPr>
              <w:shd w:val="clear" w:color="auto" w:fill="auto"/>
              <w:rPr>
                <w:rFonts w:hint="eastAsia" w:ascii="仿宋" w:hAnsi="仿宋" w:eastAsia="仿宋" w:cs="仿宋"/>
                <w:color w:val="auto"/>
                <w:sz w:val="24"/>
                <w:szCs w:val="24"/>
                <w:highlight w:val="none"/>
              </w:rPr>
            </w:pPr>
          </w:p>
        </w:tc>
      </w:tr>
      <w:tr w14:paraId="28058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486" w:type="dxa"/>
            <w:noWrap w:val="0"/>
            <w:vAlign w:val="top"/>
          </w:tcPr>
          <w:p w14:paraId="2B6297C8">
            <w:pPr>
              <w:pStyle w:val="101"/>
              <w:shd w:val="clear" w:color="auto" w:fill="auto"/>
              <w:spacing w:before="78" w:line="18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817" w:type="dxa"/>
            <w:noWrap w:val="0"/>
            <w:vAlign w:val="top"/>
          </w:tcPr>
          <w:p w14:paraId="1EB8D69D">
            <w:pPr>
              <w:shd w:val="clear" w:color="auto" w:fill="auto"/>
              <w:rPr>
                <w:rFonts w:hint="eastAsia" w:ascii="仿宋" w:hAnsi="仿宋" w:eastAsia="仿宋" w:cs="仿宋"/>
                <w:color w:val="auto"/>
                <w:sz w:val="24"/>
                <w:szCs w:val="24"/>
                <w:highlight w:val="none"/>
              </w:rPr>
            </w:pPr>
          </w:p>
        </w:tc>
        <w:tc>
          <w:tcPr>
            <w:tcW w:w="483" w:type="dxa"/>
            <w:noWrap w:val="0"/>
            <w:vAlign w:val="top"/>
          </w:tcPr>
          <w:p w14:paraId="5CBE2D4A">
            <w:pPr>
              <w:shd w:val="clear" w:color="auto" w:fill="auto"/>
              <w:rPr>
                <w:rFonts w:hint="eastAsia" w:ascii="仿宋" w:hAnsi="仿宋" w:eastAsia="仿宋" w:cs="仿宋"/>
                <w:color w:val="auto"/>
                <w:sz w:val="24"/>
                <w:szCs w:val="24"/>
                <w:highlight w:val="none"/>
              </w:rPr>
            </w:pPr>
          </w:p>
        </w:tc>
        <w:tc>
          <w:tcPr>
            <w:tcW w:w="466" w:type="dxa"/>
            <w:noWrap w:val="0"/>
            <w:vAlign w:val="top"/>
          </w:tcPr>
          <w:p w14:paraId="77BBCC1C">
            <w:pPr>
              <w:shd w:val="clear" w:color="auto" w:fill="auto"/>
              <w:rPr>
                <w:rFonts w:hint="eastAsia" w:ascii="仿宋" w:hAnsi="仿宋" w:eastAsia="仿宋" w:cs="仿宋"/>
                <w:color w:val="auto"/>
                <w:sz w:val="24"/>
                <w:szCs w:val="24"/>
                <w:highlight w:val="none"/>
              </w:rPr>
            </w:pPr>
          </w:p>
        </w:tc>
        <w:tc>
          <w:tcPr>
            <w:tcW w:w="466" w:type="dxa"/>
            <w:noWrap w:val="0"/>
            <w:vAlign w:val="top"/>
          </w:tcPr>
          <w:p w14:paraId="1D18C4A2">
            <w:pPr>
              <w:shd w:val="clear" w:color="auto" w:fill="auto"/>
              <w:rPr>
                <w:rFonts w:hint="eastAsia" w:ascii="仿宋" w:hAnsi="仿宋" w:eastAsia="仿宋" w:cs="仿宋"/>
                <w:color w:val="auto"/>
                <w:sz w:val="24"/>
                <w:szCs w:val="24"/>
                <w:highlight w:val="none"/>
              </w:rPr>
            </w:pPr>
          </w:p>
        </w:tc>
        <w:tc>
          <w:tcPr>
            <w:tcW w:w="633" w:type="dxa"/>
            <w:noWrap w:val="0"/>
            <w:vAlign w:val="top"/>
          </w:tcPr>
          <w:p w14:paraId="620AE866">
            <w:pPr>
              <w:shd w:val="clear" w:color="auto" w:fill="auto"/>
              <w:rPr>
                <w:rFonts w:hint="eastAsia" w:ascii="仿宋" w:hAnsi="仿宋" w:eastAsia="仿宋" w:cs="仿宋"/>
                <w:color w:val="auto"/>
                <w:sz w:val="24"/>
                <w:szCs w:val="24"/>
                <w:highlight w:val="none"/>
              </w:rPr>
            </w:pPr>
          </w:p>
        </w:tc>
        <w:tc>
          <w:tcPr>
            <w:tcW w:w="860" w:type="dxa"/>
            <w:noWrap w:val="0"/>
            <w:vAlign w:val="top"/>
          </w:tcPr>
          <w:p w14:paraId="23993D12">
            <w:pPr>
              <w:shd w:val="clear" w:color="auto" w:fill="auto"/>
              <w:rPr>
                <w:rFonts w:hint="eastAsia" w:ascii="仿宋" w:hAnsi="仿宋" w:eastAsia="仿宋" w:cs="仿宋"/>
                <w:color w:val="auto"/>
                <w:sz w:val="24"/>
                <w:szCs w:val="24"/>
                <w:highlight w:val="none"/>
              </w:rPr>
            </w:pPr>
          </w:p>
        </w:tc>
        <w:tc>
          <w:tcPr>
            <w:tcW w:w="685" w:type="dxa"/>
            <w:noWrap w:val="0"/>
            <w:vAlign w:val="top"/>
          </w:tcPr>
          <w:p w14:paraId="5EC57A47">
            <w:pPr>
              <w:shd w:val="clear" w:color="auto" w:fill="auto"/>
              <w:rPr>
                <w:rFonts w:hint="eastAsia" w:ascii="仿宋" w:hAnsi="仿宋" w:eastAsia="仿宋" w:cs="仿宋"/>
                <w:color w:val="auto"/>
                <w:sz w:val="24"/>
                <w:szCs w:val="24"/>
                <w:highlight w:val="none"/>
              </w:rPr>
            </w:pPr>
          </w:p>
        </w:tc>
        <w:tc>
          <w:tcPr>
            <w:tcW w:w="685" w:type="dxa"/>
            <w:noWrap w:val="0"/>
            <w:vAlign w:val="top"/>
          </w:tcPr>
          <w:p w14:paraId="6DB6859B">
            <w:pPr>
              <w:shd w:val="clear" w:color="auto" w:fill="auto"/>
              <w:rPr>
                <w:rFonts w:hint="eastAsia" w:ascii="仿宋" w:hAnsi="仿宋" w:eastAsia="仿宋" w:cs="仿宋"/>
                <w:color w:val="auto"/>
                <w:sz w:val="24"/>
                <w:szCs w:val="24"/>
                <w:highlight w:val="none"/>
              </w:rPr>
            </w:pPr>
          </w:p>
        </w:tc>
        <w:tc>
          <w:tcPr>
            <w:tcW w:w="635" w:type="dxa"/>
            <w:noWrap w:val="0"/>
            <w:vAlign w:val="top"/>
          </w:tcPr>
          <w:p w14:paraId="3FE443BF">
            <w:pPr>
              <w:shd w:val="clear" w:color="auto" w:fill="auto"/>
              <w:rPr>
                <w:rFonts w:hint="eastAsia" w:ascii="仿宋" w:hAnsi="仿宋" w:eastAsia="仿宋" w:cs="仿宋"/>
                <w:color w:val="auto"/>
                <w:sz w:val="24"/>
                <w:szCs w:val="24"/>
                <w:highlight w:val="none"/>
              </w:rPr>
            </w:pPr>
          </w:p>
        </w:tc>
        <w:tc>
          <w:tcPr>
            <w:tcW w:w="615" w:type="dxa"/>
            <w:noWrap w:val="0"/>
            <w:vAlign w:val="top"/>
          </w:tcPr>
          <w:p w14:paraId="31299B44">
            <w:pPr>
              <w:shd w:val="clear" w:color="auto" w:fill="auto"/>
              <w:rPr>
                <w:rFonts w:hint="eastAsia" w:ascii="仿宋" w:hAnsi="仿宋" w:eastAsia="仿宋" w:cs="仿宋"/>
                <w:color w:val="auto"/>
                <w:sz w:val="24"/>
                <w:szCs w:val="24"/>
                <w:highlight w:val="none"/>
              </w:rPr>
            </w:pPr>
          </w:p>
        </w:tc>
        <w:tc>
          <w:tcPr>
            <w:tcW w:w="554" w:type="dxa"/>
            <w:noWrap w:val="0"/>
            <w:vAlign w:val="top"/>
          </w:tcPr>
          <w:p w14:paraId="1272D0FD">
            <w:pPr>
              <w:shd w:val="clear" w:color="auto" w:fill="auto"/>
              <w:rPr>
                <w:rFonts w:hint="eastAsia" w:ascii="仿宋" w:hAnsi="仿宋" w:eastAsia="仿宋" w:cs="仿宋"/>
                <w:color w:val="auto"/>
                <w:sz w:val="24"/>
                <w:szCs w:val="24"/>
                <w:highlight w:val="none"/>
              </w:rPr>
            </w:pPr>
          </w:p>
        </w:tc>
        <w:tc>
          <w:tcPr>
            <w:tcW w:w="493" w:type="dxa"/>
            <w:noWrap w:val="0"/>
            <w:vAlign w:val="top"/>
          </w:tcPr>
          <w:p w14:paraId="7E22B19F">
            <w:pPr>
              <w:shd w:val="clear" w:color="auto" w:fill="auto"/>
              <w:rPr>
                <w:rFonts w:hint="eastAsia" w:ascii="仿宋" w:hAnsi="仿宋" w:eastAsia="仿宋" w:cs="仿宋"/>
                <w:color w:val="auto"/>
                <w:sz w:val="24"/>
                <w:szCs w:val="24"/>
                <w:highlight w:val="none"/>
              </w:rPr>
            </w:pPr>
          </w:p>
        </w:tc>
        <w:tc>
          <w:tcPr>
            <w:tcW w:w="2267" w:type="dxa"/>
            <w:noWrap w:val="0"/>
            <w:vAlign w:val="top"/>
          </w:tcPr>
          <w:p w14:paraId="5F1B3849">
            <w:pPr>
              <w:shd w:val="clear" w:color="auto" w:fill="auto"/>
              <w:rPr>
                <w:rFonts w:hint="eastAsia" w:ascii="仿宋" w:hAnsi="仿宋" w:eastAsia="仿宋" w:cs="仿宋"/>
                <w:color w:val="auto"/>
                <w:sz w:val="24"/>
                <w:szCs w:val="24"/>
                <w:highlight w:val="none"/>
              </w:rPr>
            </w:pPr>
          </w:p>
        </w:tc>
      </w:tr>
      <w:tr w14:paraId="58AD5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486" w:type="dxa"/>
            <w:noWrap w:val="0"/>
            <w:vAlign w:val="top"/>
          </w:tcPr>
          <w:p w14:paraId="14112BDD">
            <w:pPr>
              <w:pStyle w:val="101"/>
              <w:shd w:val="clear" w:color="auto" w:fill="auto"/>
              <w:spacing w:before="157" w:line="183"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817" w:type="dxa"/>
            <w:noWrap w:val="0"/>
            <w:vAlign w:val="top"/>
          </w:tcPr>
          <w:p w14:paraId="52A4F7CD">
            <w:pPr>
              <w:shd w:val="clear" w:color="auto" w:fill="auto"/>
              <w:rPr>
                <w:rFonts w:hint="eastAsia" w:ascii="仿宋" w:hAnsi="仿宋" w:eastAsia="仿宋" w:cs="仿宋"/>
                <w:color w:val="auto"/>
                <w:sz w:val="24"/>
                <w:szCs w:val="24"/>
                <w:highlight w:val="none"/>
              </w:rPr>
            </w:pPr>
          </w:p>
        </w:tc>
        <w:tc>
          <w:tcPr>
            <w:tcW w:w="483" w:type="dxa"/>
            <w:noWrap w:val="0"/>
            <w:vAlign w:val="top"/>
          </w:tcPr>
          <w:p w14:paraId="58C8E583">
            <w:pPr>
              <w:shd w:val="clear" w:color="auto" w:fill="auto"/>
              <w:rPr>
                <w:rFonts w:hint="eastAsia" w:ascii="仿宋" w:hAnsi="仿宋" w:eastAsia="仿宋" w:cs="仿宋"/>
                <w:color w:val="auto"/>
                <w:sz w:val="24"/>
                <w:szCs w:val="24"/>
                <w:highlight w:val="none"/>
              </w:rPr>
            </w:pPr>
          </w:p>
        </w:tc>
        <w:tc>
          <w:tcPr>
            <w:tcW w:w="466" w:type="dxa"/>
            <w:noWrap w:val="0"/>
            <w:vAlign w:val="top"/>
          </w:tcPr>
          <w:p w14:paraId="32A3A6A2">
            <w:pPr>
              <w:shd w:val="clear" w:color="auto" w:fill="auto"/>
              <w:rPr>
                <w:rFonts w:hint="eastAsia" w:ascii="仿宋" w:hAnsi="仿宋" w:eastAsia="仿宋" w:cs="仿宋"/>
                <w:color w:val="auto"/>
                <w:sz w:val="24"/>
                <w:szCs w:val="24"/>
                <w:highlight w:val="none"/>
              </w:rPr>
            </w:pPr>
          </w:p>
        </w:tc>
        <w:tc>
          <w:tcPr>
            <w:tcW w:w="466" w:type="dxa"/>
            <w:noWrap w:val="0"/>
            <w:vAlign w:val="top"/>
          </w:tcPr>
          <w:p w14:paraId="230B6127">
            <w:pPr>
              <w:shd w:val="clear" w:color="auto" w:fill="auto"/>
              <w:rPr>
                <w:rFonts w:hint="eastAsia" w:ascii="仿宋" w:hAnsi="仿宋" w:eastAsia="仿宋" w:cs="仿宋"/>
                <w:color w:val="auto"/>
                <w:sz w:val="24"/>
                <w:szCs w:val="24"/>
                <w:highlight w:val="none"/>
              </w:rPr>
            </w:pPr>
          </w:p>
        </w:tc>
        <w:tc>
          <w:tcPr>
            <w:tcW w:w="633" w:type="dxa"/>
            <w:noWrap w:val="0"/>
            <w:vAlign w:val="top"/>
          </w:tcPr>
          <w:p w14:paraId="214A19FB">
            <w:pPr>
              <w:shd w:val="clear" w:color="auto" w:fill="auto"/>
              <w:rPr>
                <w:rFonts w:hint="eastAsia" w:ascii="仿宋" w:hAnsi="仿宋" w:eastAsia="仿宋" w:cs="仿宋"/>
                <w:color w:val="auto"/>
                <w:sz w:val="24"/>
                <w:szCs w:val="24"/>
                <w:highlight w:val="none"/>
              </w:rPr>
            </w:pPr>
          </w:p>
        </w:tc>
        <w:tc>
          <w:tcPr>
            <w:tcW w:w="860" w:type="dxa"/>
            <w:noWrap w:val="0"/>
            <w:vAlign w:val="top"/>
          </w:tcPr>
          <w:p w14:paraId="155D9562">
            <w:pPr>
              <w:shd w:val="clear" w:color="auto" w:fill="auto"/>
              <w:rPr>
                <w:rFonts w:hint="eastAsia" w:ascii="仿宋" w:hAnsi="仿宋" w:eastAsia="仿宋" w:cs="仿宋"/>
                <w:color w:val="auto"/>
                <w:sz w:val="24"/>
                <w:szCs w:val="24"/>
                <w:highlight w:val="none"/>
              </w:rPr>
            </w:pPr>
          </w:p>
        </w:tc>
        <w:tc>
          <w:tcPr>
            <w:tcW w:w="685" w:type="dxa"/>
            <w:noWrap w:val="0"/>
            <w:vAlign w:val="top"/>
          </w:tcPr>
          <w:p w14:paraId="1BA5D48E">
            <w:pPr>
              <w:shd w:val="clear" w:color="auto" w:fill="auto"/>
              <w:rPr>
                <w:rFonts w:hint="eastAsia" w:ascii="仿宋" w:hAnsi="仿宋" w:eastAsia="仿宋" w:cs="仿宋"/>
                <w:color w:val="auto"/>
                <w:sz w:val="24"/>
                <w:szCs w:val="24"/>
                <w:highlight w:val="none"/>
              </w:rPr>
            </w:pPr>
          </w:p>
        </w:tc>
        <w:tc>
          <w:tcPr>
            <w:tcW w:w="685" w:type="dxa"/>
            <w:noWrap w:val="0"/>
            <w:vAlign w:val="top"/>
          </w:tcPr>
          <w:p w14:paraId="558BB4F8">
            <w:pPr>
              <w:shd w:val="clear" w:color="auto" w:fill="auto"/>
              <w:rPr>
                <w:rFonts w:hint="eastAsia" w:ascii="仿宋" w:hAnsi="仿宋" w:eastAsia="仿宋" w:cs="仿宋"/>
                <w:color w:val="auto"/>
                <w:sz w:val="24"/>
                <w:szCs w:val="24"/>
                <w:highlight w:val="none"/>
              </w:rPr>
            </w:pPr>
          </w:p>
        </w:tc>
        <w:tc>
          <w:tcPr>
            <w:tcW w:w="635" w:type="dxa"/>
            <w:noWrap w:val="0"/>
            <w:vAlign w:val="top"/>
          </w:tcPr>
          <w:p w14:paraId="3A66FBD8">
            <w:pPr>
              <w:shd w:val="clear" w:color="auto" w:fill="auto"/>
              <w:rPr>
                <w:rFonts w:hint="eastAsia" w:ascii="仿宋" w:hAnsi="仿宋" w:eastAsia="仿宋" w:cs="仿宋"/>
                <w:color w:val="auto"/>
                <w:sz w:val="24"/>
                <w:szCs w:val="24"/>
                <w:highlight w:val="none"/>
              </w:rPr>
            </w:pPr>
          </w:p>
        </w:tc>
        <w:tc>
          <w:tcPr>
            <w:tcW w:w="615" w:type="dxa"/>
            <w:noWrap w:val="0"/>
            <w:vAlign w:val="top"/>
          </w:tcPr>
          <w:p w14:paraId="75294A32">
            <w:pPr>
              <w:shd w:val="clear" w:color="auto" w:fill="auto"/>
              <w:rPr>
                <w:rFonts w:hint="eastAsia" w:ascii="仿宋" w:hAnsi="仿宋" w:eastAsia="仿宋" w:cs="仿宋"/>
                <w:color w:val="auto"/>
                <w:sz w:val="24"/>
                <w:szCs w:val="24"/>
                <w:highlight w:val="none"/>
              </w:rPr>
            </w:pPr>
          </w:p>
        </w:tc>
        <w:tc>
          <w:tcPr>
            <w:tcW w:w="554" w:type="dxa"/>
            <w:noWrap w:val="0"/>
            <w:vAlign w:val="top"/>
          </w:tcPr>
          <w:p w14:paraId="6F22880B">
            <w:pPr>
              <w:shd w:val="clear" w:color="auto" w:fill="auto"/>
              <w:rPr>
                <w:rFonts w:hint="eastAsia" w:ascii="仿宋" w:hAnsi="仿宋" w:eastAsia="仿宋" w:cs="仿宋"/>
                <w:color w:val="auto"/>
                <w:sz w:val="24"/>
                <w:szCs w:val="24"/>
                <w:highlight w:val="none"/>
              </w:rPr>
            </w:pPr>
          </w:p>
        </w:tc>
        <w:tc>
          <w:tcPr>
            <w:tcW w:w="493" w:type="dxa"/>
            <w:noWrap w:val="0"/>
            <w:vAlign w:val="top"/>
          </w:tcPr>
          <w:p w14:paraId="0DA9307D">
            <w:pPr>
              <w:shd w:val="clear" w:color="auto" w:fill="auto"/>
              <w:rPr>
                <w:rFonts w:hint="eastAsia" w:ascii="仿宋" w:hAnsi="仿宋" w:eastAsia="仿宋" w:cs="仿宋"/>
                <w:color w:val="auto"/>
                <w:sz w:val="24"/>
                <w:szCs w:val="24"/>
                <w:highlight w:val="none"/>
              </w:rPr>
            </w:pPr>
          </w:p>
        </w:tc>
        <w:tc>
          <w:tcPr>
            <w:tcW w:w="2267" w:type="dxa"/>
            <w:noWrap w:val="0"/>
            <w:vAlign w:val="top"/>
          </w:tcPr>
          <w:p w14:paraId="5650BF5F">
            <w:pPr>
              <w:shd w:val="clear" w:color="auto" w:fill="auto"/>
              <w:rPr>
                <w:rFonts w:hint="eastAsia" w:ascii="仿宋" w:hAnsi="仿宋" w:eastAsia="仿宋" w:cs="仿宋"/>
                <w:color w:val="auto"/>
                <w:sz w:val="24"/>
                <w:szCs w:val="24"/>
                <w:highlight w:val="none"/>
              </w:rPr>
            </w:pPr>
          </w:p>
        </w:tc>
      </w:tr>
      <w:tr w14:paraId="302746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486" w:type="dxa"/>
            <w:noWrap w:val="0"/>
            <w:vAlign w:val="top"/>
          </w:tcPr>
          <w:p w14:paraId="757608B8">
            <w:pPr>
              <w:pStyle w:val="101"/>
              <w:shd w:val="clear" w:color="auto" w:fill="auto"/>
              <w:spacing w:before="77" w:line="18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817" w:type="dxa"/>
            <w:noWrap w:val="0"/>
            <w:vAlign w:val="top"/>
          </w:tcPr>
          <w:p w14:paraId="1901F5CC">
            <w:pPr>
              <w:shd w:val="clear" w:color="auto" w:fill="auto"/>
              <w:rPr>
                <w:rFonts w:hint="eastAsia" w:ascii="仿宋" w:hAnsi="仿宋" w:eastAsia="仿宋" w:cs="仿宋"/>
                <w:color w:val="auto"/>
                <w:sz w:val="24"/>
                <w:szCs w:val="24"/>
                <w:highlight w:val="none"/>
              </w:rPr>
            </w:pPr>
          </w:p>
        </w:tc>
        <w:tc>
          <w:tcPr>
            <w:tcW w:w="483" w:type="dxa"/>
            <w:noWrap w:val="0"/>
            <w:vAlign w:val="top"/>
          </w:tcPr>
          <w:p w14:paraId="14783EE5">
            <w:pPr>
              <w:shd w:val="clear" w:color="auto" w:fill="auto"/>
              <w:rPr>
                <w:rFonts w:hint="eastAsia" w:ascii="仿宋" w:hAnsi="仿宋" w:eastAsia="仿宋" w:cs="仿宋"/>
                <w:color w:val="auto"/>
                <w:sz w:val="24"/>
                <w:szCs w:val="24"/>
                <w:highlight w:val="none"/>
              </w:rPr>
            </w:pPr>
          </w:p>
        </w:tc>
        <w:tc>
          <w:tcPr>
            <w:tcW w:w="466" w:type="dxa"/>
            <w:noWrap w:val="0"/>
            <w:vAlign w:val="top"/>
          </w:tcPr>
          <w:p w14:paraId="23E46804">
            <w:pPr>
              <w:shd w:val="clear" w:color="auto" w:fill="auto"/>
              <w:rPr>
                <w:rFonts w:hint="eastAsia" w:ascii="仿宋" w:hAnsi="仿宋" w:eastAsia="仿宋" w:cs="仿宋"/>
                <w:color w:val="auto"/>
                <w:sz w:val="24"/>
                <w:szCs w:val="24"/>
                <w:highlight w:val="none"/>
              </w:rPr>
            </w:pPr>
          </w:p>
        </w:tc>
        <w:tc>
          <w:tcPr>
            <w:tcW w:w="466" w:type="dxa"/>
            <w:noWrap w:val="0"/>
            <w:vAlign w:val="top"/>
          </w:tcPr>
          <w:p w14:paraId="2B07091D">
            <w:pPr>
              <w:shd w:val="clear" w:color="auto" w:fill="auto"/>
              <w:rPr>
                <w:rFonts w:hint="eastAsia" w:ascii="仿宋" w:hAnsi="仿宋" w:eastAsia="仿宋" w:cs="仿宋"/>
                <w:color w:val="auto"/>
                <w:sz w:val="24"/>
                <w:szCs w:val="24"/>
                <w:highlight w:val="none"/>
              </w:rPr>
            </w:pPr>
          </w:p>
        </w:tc>
        <w:tc>
          <w:tcPr>
            <w:tcW w:w="633" w:type="dxa"/>
            <w:noWrap w:val="0"/>
            <w:vAlign w:val="top"/>
          </w:tcPr>
          <w:p w14:paraId="520ABD54">
            <w:pPr>
              <w:shd w:val="clear" w:color="auto" w:fill="auto"/>
              <w:rPr>
                <w:rFonts w:hint="eastAsia" w:ascii="仿宋" w:hAnsi="仿宋" w:eastAsia="仿宋" w:cs="仿宋"/>
                <w:color w:val="auto"/>
                <w:sz w:val="24"/>
                <w:szCs w:val="24"/>
                <w:highlight w:val="none"/>
              </w:rPr>
            </w:pPr>
          </w:p>
        </w:tc>
        <w:tc>
          <w:tcPr>
            <w:tcW w:w="860" w:type="dxa"/>
            <w:noWrap w:val="0"/>
            <w:vAlign w:val="top"/>
          </w:tcPr>
          <w:p w14:paraId="56F8A288">
            <w:pPr>
              <w:shd w:val="clear" w:color="auto" w:fill="auto"/>
              <w:rPr>
                <w:rFonts w:hint="eastAsia" w:ascii="仿宋" w:hAnsi="仿宋" w:eastAsia="仿宋" w:cs="仿宋"/>
                <w:color w:val="auto"/>
                <w:sz w:val="24"/>
                <w:szCs w:val="24"/>
                <w:highlight w:val="none"/>
              </w:rPr>
            </w:pPr>
          </w:p>
        </w:tc>
        <w:tc>
          <w:tcPr>
            <w:tcW w:w="685" w:type="dxa"/>
            <w:noWrap w:val="0"/>
            <w:vAlign w:val="top"/>
          </w:tcPr>
          <w:p w14:paraId="2E9144BC">
            <w:pPr>
              <w:shd w:val="clear" w:color="auto" w:fill="auto"/>
              <w:rPr>
                <w:rFonts w:hint="eastAsia" w:ascii="仿宋" w:hAnsi="仿宋" w:eastAsia="仿宋" w:cs="仿宋"/>
                <w:color w:val="auto"/>
                <w:sz w:val="24"/>
                <w:szCs w:val="24"/>
                <w:highlight w:val="none"/>
              </w:rPr>
            </w:pPr>
          </w:p>
        </w:tc>
        <w:tc>
          <w:tcPr>
            <w:tcW w:w="685" w:type="dxa"/>
            <w:noWrap w:val="0"/>
            <w:vAlign w:val="top"/>
          </w:tcPr>
          <w:p w14:paraId="6CB32EFB">
            <w:pPr>
              <w:shd w:val="clear" w:color="auto" w:fill="auto"/>
              <w:rPr>
                <w:rFonts w:hint="eastAsia" w:ascii="仿宋" w:hAnsi="仿宋" w:eastAsia="仿宋" w:cs="仿宋"/>
                <w:color w:val="auto"/>
                <w:sz w:val="24"/>
                <w:szCs w:val="24"/>
                <w:highlight w:val="none"/>
              </w:rPr>
            </w:pPr>
          </w:p>
        </w:tc>
        <w:tc>
          <w:tcPr>
            <w:tcW w:w="635" w:type="dxa"/>
            <w:noWrap w:val="0"/>
            <w:vAlign w:val="top"/>
          </w:tcPr>
          <w:p w14:paraId="257A3092">
            <w:pPr>
              <w:shd w:val="clear" w:color="auto" w:fill="auto"/>
              <w:rPr>
                <w:rFonts w:hint="eastAsia" w:ascii="仿宋" w:hAnsi="仿宋" w:eastAsia="仿宋" w:cs="仿宋"/>
                <w:color w:val="auto"/>
                <w:sz w:val="24"/>
                <w:szCs w:val="24"/>
                <w:highlight w:val="none"/>
              </w:rPr>
            </w:pPr>
          </w:p>
        </w:tc>
        <w:tc>
          <w:tcPr>
            <w:tcW w:w="615" w:type="dxa"/>
            <w:noWrap w:val="0"/>
            <w:vAlign w:val="top"/>
          </w:tcPr>
          <w:p w14:paraId="6E6E63D0">
            <w:pPr>
              <w:shd w:val="clear" w:color="auto" w:fill="auto"/>
              <w:rPr>
                <w:rFonts w:hint="eastAsia" w:ascii="仿宋" w:hAnsi="仿宋" w:eastAsia="仿宋" w:cs="仿宋"/>
                <w:color w:val="auto"/>
                <w:sz w:val="24"/>
                <w:szCs w:val="24"/>
                <w:highlight w:val="none"/>
              </w:rPr>
            </w:pPr>
          </w:p>
        </w:tc>
        <w:tc>
          <w:tcPr>
            <w:tcW w:w="554" w:type="dxa"/>
            <w:noWrap w:val="0"/>
            <w:vAlign w:val="top"/>
          </w:tcPr>
          <w:p w14:paraId="497BE8E4">
            <w:pPr>
              <w:shd w:val="clear" w:color="auto" w:fill="auto"/>
              <w:rPr>
                <w:rFonts w:hint="eastAsia" w:ascii="仿宋" w:hAnsi="仿宋" w:eastAsia="仿宋" w:cs="仿宋"/>
                <w:color w:val="auto"/>
                <w:sz w:val="24"/>
                <w:szCs w:val="24"/>
                <w:highlight w:val="none"/>
              </w:rPr>
            </w:pPr>
          </w:p>
        </w:tc>
        <w:tc>
          <w:tcPr>
            <w:tcW w:w="493" w:type="dxa"/>
            <w:noWrap w:val="0"/>
            <w:vAlign w:val="top"/>
          </w:tcPr>
          <w:p w14:paraId="13ED9A5B">
            <w:pPr>
              <w:shd w:val="clear" w:color="auto" w:fill="auto"/>
              <w:rPr>
                <w:rFonts w:hint="eastAsia" w:ascii="仿宋" w:hAnsi="仿宋" w:eastAsia="仿宋" w:cs="仿宋"/>
                <w:color w:val="auto"/>
                <w:sz w:val="24"/>
                <w:szCs w:val="24"/>
                <w:highlight w:val="none"/>
              </w:rPr>
            </w:pPr>
          </w:p>
        </w:tc>
        <w:tc>
          <w:tcPr>
            <w:tcW w:w="2267" w:type="dxa"/>
            <w:noWrap w:val="0"/>
            <w:vAlign w:val="top"/>
          </w:tcPr>
          <w:p w14:paraId="2CC5288E">
            <w:pPr>
              <w:shd w:val="clear" w:color="auto" w:fill="auto"/>
              <w:rPr>
                <w:rFonts w:hint="eastAsia" w:ascii="仿宋" w:hAnsi="仿宋" w:eastAsia="仿宋" w:cs="仿宋"/>
                <w:color w:val="auto"/>
                <w:sz w:val="24"/>
                <w:szCs w:val="24"/>
                <w:highlight w:val="none"/>
              </w:rPr>
            </w:pPr>
          </w:p>
        </w:tc>
      </w:tr>
      <w:tr w14:paraId="7372B5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486" w:type="dxa"/>
            <w:noWrap w:val="0"/>
            <w:vAlign w:val="top"/>
          </w:tcPr>
          <w:p w14:paraId="6FDFBE07">
            <w:pPr>
              <w:pStyle w:val="101"/>
              <w:shd w:val="clear" w:color="auto" w:fill="auto"/>
              <w:spacing w:before="77" w:line="183"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817" w:type="dxa"/>
            <w:noWrap w:val="0"/>
            <w:vAlign w:val="top"/>
          </w:tcPr>
          <w:p w14:paraId="49A2937A">
            <w:pPr>
              <w:shd w:val="clear" w:color="auto" w:fill="auto"/>
              <w:rPr>
                <w:rFonts w:hint="eastAsia" w:ascii="仿宋" w:hAnsi="仿宋" w:eastAsia="仿宋" w:cs="仿宋"/>
                <w:color w:val="auto"/>
                <w:sz w:val="24"/>
                <w:szCs w:val="24"/>
                <w:highlight w:val="none"/>
              </w:rPr>
            </w:pPr>
          </w:p>
        </w:tc>
        <w:tc>
          <w:tcPr>
            <w:tcW w:w="483" w:type="dxa"/>
            <w:noWrap w:val="0"/>
            <w:vAlign w:val="top"/>
          </w:tcPr>
          <w:p w14:paraId="62CB44EA">
            <w:pPr>
              <w:shd w:val="clear" w:color="auto" w:fill="auto"/>
              <w:rPr>
                <w:rFonts w:hint="eastAsia" w:ascii="仿宋" w:hAnsi="仿宋" w:eastAsia="仿宋" w:cs="仿宋"/>
                <w:color w:val="auto"/>
                <w:sz w:val="24"/>
                <w:szCs w:val="24"/>
                <w:highlight w:val="none"/>
              </w:rPr>
            </w:pPr>
          </w:p>
        </w:tc>
        <w:tc>
          <w:tcPr>
            <w:tcW w:w="466" w:type="dxa"/>
            <w:noWrap w:val="0"/>
            <w:vAlign w:val="top"/>
          </w:tcPr>
          <w:p w14:paraId="116153F8">
            <w:pPr>
              <w:shd w:val="clear" w:color="auto" w:fill="auto"/>
              <w:rPr>
                <w:rFonts w:hint="eastAsia" w:ascii="仿宋" w:hAnsi="仿宋" w:eastAsia="仿宋" w:cs="仿宋"/>
                <w:color w:val="auto"/>
                <w:sz w:val="24"/>
                <w:szCs w:val="24"/>
                <w:highlight w:val="none"/>
              </w:rPr>
            </w:pPr>
          </w:p>
        </w:tc>
        <w:tc>
          <w:tcPr>
            <w:tcW w:w="466" w:type="dxa"/>
            <w:noWrap w:val="0"/>
            <w:vAlign w:val="top"/>
          </w:tcPr>
          <w:p w14:paraId="446E8052">
            <w:pPr>
              <w:shd w:val="clear" w:color="auto" w:fill="auto"/>
              <w:rPr>
                <w:rFonts w:hint="eastAsia" w:ascii="仿宋" w:hAnsi="仿宋" w:eastAsia="仿宋" w:cs="仿宋"/>
                <w:color w:val="auto"/>
                <w:sz w:val="24"/>
                <w:szCs w:val="24"/>
                <w:highlight w:val="none"/>
              </w:rPr>
            </w:pPr>
          </w:p>
        </w:tc>
        <w:tc>
          <w:tcPr>
            <w:tcW w:w="633" w:type="dxa"/>
            <w:noWrap w:val="0"/>
            <w:vAlign w:val="top"/>
          </w:tcPr>
          <w:p w14:paraId="43E5CCC8">
            <w:pPr>
              <w:shd w:val="clear" w:color="auto" w:fill="auto"/>
              <w:rPr>
                <w:rFonts w:hint="eastAsia" w:ascii="仿宋" w:hAnsi="仿宋" w:eastAsia="仿宋" w:cs="仿宋"/>
                <w:color w:val="auto"/>
                <w:sz w:val="24"/>
                <w:szCs w:val="24"/>
                <w:highlight w:val="none"/>
              </w:rPr>
            </w:pPr>
          </w:p>
        </w:tc>
        <w:tc>
          <w:tcPr>
            <w:tcW w:w="860" w:type="dxa"/>
            <w:noWrap w:val="0"/>
            <w:vAlign w:val="top"/>
          </w:tcPr>
          <w:p w14:paraId="3BBB4BF4">
            <w:pPr>
              <w:shd w:val="clear" w:color="auto" w:fill="auto"/>
              <w:rPr>
                <w:rFonts w:hint="eastAsia" w:ascii="仿宋" w:hAnsi="仿宋" w:eastAsia="仿宋" w:cs="仿宋"/>
                <w:color w:val="auto"/>
                <w:sz w:val="24"/>
                <w:szCs w:val="24"/>
                <w:highlight w:val="none"/>
              </w:rPr>
            </w:pPr>
          </w:p>
        </w:tc>
        <w:tc>
          <w:tcPr>
            <w:tcW w:w="685" w:type="dxa"/>
            <w:noWrap w:val="0"/>
            <w:vAlign w:val="top"/>
          </w:tcPr>
          <w:p w14:paraId="2E0E4758">
            <w:pPr>
              <w:shd w:val="clear" w:color="auto" w:fill="auto"/>
              <w:rPr>
                <w:rFonts w:hint="eastAsia" w:ascii="仿宋" w:hAnsi="仿宋" w:eastAsia="仿宋" w:cs="仿宋"/>
                <w:color w:val="auto"/>
                <w:sz w:val="24"/>
                <w:szCs w:val="24"/>
                <w:highlight w:val="none"/>
              </w:rPr>
            </w:pPr>
          </w:p>
        </w:tc>
        <w:tc>
          <w:tcPr>
            <w:tcW w:w="685" w:type="dxa"/>
            <w:noWrap w:val="0"/>
            <w:vAlign w:val="top"/>
          </w:tcPr>
          <w:p w14:paraId="2CB3D4B2">
            <w:pPr>
              <w:shd w:val="clear" w:color="auto" w:fill="auto"/>
              <w:rPr>
                <w:rFonts w:hint="eastAsia" w:ascii="仿宋" w:hAnsi="仿宋" w:eastAsia="仿宋" w:cs="仿宋"/>
                <w:color w:val="auto"/>
                <w:sz w:val="24"/>
                <w:szCs w:val="24"/>
                <w:highlight w:val="none"/>
              </w:rPr>
            </w:pPr>
          </w:p>
        </w:tc>
        <w:tc>
          <w:tcPr>
            <w:tcW w:w="635" w:type="dxa"/>
            <w:noWrap w:val="0"/>
            <w:vAlign w:val="top"/>
          </w:tcPr>
          <w:p w14:paraId="00569F25">
            <w:pPr>
              <w:shd w:val="clear" w:color="auto" w:fill="auto"/>
              <w:rPr>
                <w:rFonts w:hint="eastAsia" w:ascii="仿宋" w:hAnsi="仿宋" w:eastAsia="仿宋" w:cs="仿宋"/>
                <w:color w:val="auto"/>
                <w:sz w:val="24"/>
                <w:szCs w:val="24"/>
                <w:highlight w:val="none"/>
              </w:rPr>
            </w:pPr>
          </w:p>
        </w:tc>
        <w:tc>
          <w:tcPr>
            <w:tcW w:w="615" w:type="dxa"/>
            <w:noWrap w:val="0"/>
            <w:vAlign w:val="top"/>
          </w:tcPr>
          <w:p w14:paraId="23C632C6">
            <w:pPr>
              <w:shd w:val="clear" w:color="auto" w:fill="auto"/>
              <w:rPr>
                <w:rFonts w:hint="eastAsia" w:ascii="仿宋" w:hAnsi="仿宋" w:eastAsia="仿宋" w:cs="仿宋"/>
                <w:color w:val="auto"/>
                <w:sz w:val="24"/>
                <w:szCs w:val="24"/>
                <w:highlight w:val="none"/>
              </w:rPr>
            </w:pPr>
          </w:p>
        </w:tc>
        <w:tc>
          <w:tcPr>
            <w:tcW w:w="554" w:type="dxa"/>
            <w:noWrap w:val="0"/>
            <w:vAlign w:val="top"/>
          </w:tcPr>
          <w:p w14:paraId="7820F33D">
            <w:pPr>
              <w:shd w:val="clear" w:color="auto" w:fill="auto"/>
              <w:rPr>
                <w:rFonts w:hint="eastAsia" w:ascii="仿宋" w:hAnsi="仿宋" w:eastAsia="仿宋" w:cs="仿宋"/>
                <w:color w:val="auto"/>
                <w:sz w:val="24"/>
                <w:szCs w:val="24"/>
                <w:highlight w:val="none"/>
              </w:rPr>
            </w:pPr>
          </w:p>
        </w:tc>
        <w:tc>
          <w:tcPr>
            <w:tcW w:w="493" w:type="dxa"/>
            <w:noWrap w:val="0"/>
            <w:vAlign w:val="top"/>
          </w:tcPr>
          <w:p w14:paraId="7C72E2EB">
            <w:pPr>
              <w:shd w:val="clear" w:color="auto" w:fill="auto"/>
              <w:rPr>
                <w:rFonts w:hint="eastAsia" w:ascii="仿宋" w:hAnsi="仿宋" w:eastAsia="仿宋" w:cs="仿宋"/>
                <w:color w:val="auto"/>
                <w:sz w:val="24"/>
                <w:szCs w:val="24"/>
                <w:highlight w:val="none"/>
              </w:rPr>
            </w:pPr>
          </w:p>
        </w:tc>
        <w:tc>
          <w:tcPr>
            <w:tcW w:w="2267" w:type="dxa"/>
            <w:noWrap w:val="0"/>
            <w:vAlign w:val="top"/>
          </w:tcPr>
          <w:p w14:paraId="230565CE">
            <w:pPr>
              <w:shd w:val="clear" w:color="auto" w:fill="auto"/>
              <w:rPr>
                <w:rFonts w:hint="eastAsia" w:ascii="仿宋" w:hAnsi="仿宋" w:eastAsia="仿宋" w:cs="仿宋"/>
                <w:color w:val="auto"/>
                <w:sz w:val="24"/>
                <w:szCs w:val="24"/>
                <w:highlight w:val="none"/>
              </w:rPr>
            </w:pPr>
          </w:p>
        </w:tc>
      </w:tr>
      <w:tr w14:paraId="79D0E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486" w:type="dxa"/>
            <w:noWrap w:val="0"/>
            <w:vAlign w:val="top"/>
          </w:tcPr>
          <w:p w14:paraId="1230BA61">
            <w:pPr>
              <w:pStyle w:val="101"/>
              <w:shd w:val="clear" w:color="auto" w:fill="auto"/>
              <w:spacing w:before="77" w:line="183"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817" w:type="dxa"/>
            <w:noWrap w:val="0"/>
            <w:vAlign w:val="top"/>
          </w:tcPr>
          <w:p w14:paraId="0E29F5F4">
            <w:pPr>
              <w:shd w:val="clear" w:color="auto" w:fill="auto"/>
              <w:rPr>
                <w:rFonts w:hint="eastAsia" w:ascii="仿宋" w:hAnsi="仿宋" w:eastAsia="仿宋" w:cs="仿宋"/>
                <w:color w:val="auto"/>
                <w:sz w:val="24"/>
                <w:szCs w:val="24"/>
                <w:highlight w:val="none"/>
              </w:rPr>
            </w:pPr>
          </w:p>
        </w:tc>
        <w:tc>
          <w:tcPr>
            <w:tcW w:w="483" w:type="dxa"/>
            <w:noWrap w:val="0"/>
            <w:vAlign w:val="top"/>
          </w:tcPr>
          <w:p w14:paraId="2B856320">
            <w:pPr>
              <w:shd w:val="clear" w:color="auto" w:fill="auto"/>
              <w:rPr>
                <w:rFonts w:hint="eastAsia" w:ascii="仿宋" w:hAnsi="仿宋" w:eastAsia="仿宋" w:cs="仿宋"/>
                <w:color w:val="auto"/>
                <w:sz w:val="24"/>
                <w:szCs w:val="24"/>
                <w:highlight w:val="none"/>
              </w:rPr>
            </w:pPr>
          </w:p>
        </w:tc>
        <w:tc>
          <w:tcPr>
            <w:tcW w:w="466" w:type="dxa"/>
            <w:noWrap w:val="0"/>
            <w:vAlign w:val="top"/>
          </w:tcPr>
          <w:p w14:paraId="1B3C8FF4">
            <w:pPr>
              <w:shd w:val="clear" w:color="auto" w:fill="auto"/>
              <w:rPr>
                <w:rFonts w:hint="eastAsia" w:ascii="仿宋" w:hAnsi="仿宋" w:eastAsia="仿宋" w:cs="仿宋"/>
                <w:color w:val="auto"/>
                <w:sz w:val="24"/>
                <w:szCs w:val="24"/>
                <w:highlight w:val="none"/>
              </w:rPr>
            </w:pPr>
          </w:p>
        </w:tc>
        <w:tc>
          <w:tcPr>
            <w:tcW w:w="466" w:type="dxa"/>
            <w:noWrap w:val="0"/>
            <w:vAlign w:val="top"/>
          </w:tcPr>
          <w:p w14:paraId="05B73766">
            <w:pPr>
              <w:shd w:val="clear" w:color="auto" w:fill="auto"/>
              <w:rPr>
                <w:rFonts w:hint="eastAsia" w:ascii="仿宋" w:hAnsi="仿宋" w:eastAsia="仿宋" w:cs="仿宋"/>
                <w:color w:val="auto"/>
                <w:sz w:val="24"/>
                <w:szCs w:val="24"/>
                <w:highlight w:val="none"/>
              </w:rPr>
            </w:pPr>
          </w:p>
        </w:tc>
        <w:tc>
          <w:tcPr>
            <w:tcW w:w="633" w:type="dxa"/>
            <w:noWrap w:val="0"/>
            <w:vAlign w:val="top"/>
          </w:tcPr>
          <w:p w14:paraId="2EB5A018">
            <w:pPr>
              <w:shd w:val="clear" w:color="auto" w:fill="auto"/>
              <w:rPr>
                <w:rFonts w:hint="eastAsia" w:ascii="仿宋" w:hAnsi="仿宋" w:eastAsia="仿宋" w:cs="仿宋"/>
                <w:color w:val="auto"/>
                <w:sz w:val="24"/>
                <w:szCs w:val="24"/>
                <w:highlight w:val="none"/>
              </w:rPr>
            </w:pPr>
          </w:p>
        </w:tc>
        <w:tc>
          <w:tcPr>
            <w:tcW w:w="860" w:type="dxa"/>
            <w:noWrap w:val="0"/>
            <w:vAlign w:val="top"/>
          </w:tcPr>
          <w:p w14:paraId="400B3886">
            <w:pPr>
              <w:shd w:val="clear" w:color="auto" w:fill="auto"/>
              <w:rPr>
                <w:rFonts w:hint="eastAsia" w:ascii="仿宋" w:hAnsi="仿宋" w:eastAsia="仿宋" w:cs="仿宋"/>
                <w:color w:val="auto"/>
                <w:sz w:val="24"/>
                <w:szCs w:val="24"/>
                <w:highlight w:val="none"/>
              </w:rPr>
            </w:pPr>
          </w:p>
        </w:tc>
        <w:tc>
          <w:tcPr>
            <w:tcW w:w="685" w:type="dxa"/>
            <w:noWrap w:val="0"/>
            <w:vAlign w:val="top"/>
          </w:tcPr>
          <w:p w14:paraId="714E098C">
            <w:pPr>
              <w:shd w:val="clear" w:color="auto" w:fill="auto"/>
              <w:rPr>
                <w:rFonts w:hint="eastAsia" w:ascii="仿宋" w:hAnsi="仿宋" w:eastAsia="仿宋" w:cs="仿宋"/>
                <w:color w:val="auto"/>
                <w:sz w:val="24"/>
                <w:szCs w:val="24"/>
                <w:highlight w:val="none"/>
              </w:rPr>
            </w:pPr>
          </w:p>
        </w:tc>
        <w:tc>
          <w:tcPr>
            <w:tcW w:w="685" w:type="dxa"/>
            <w:noWrap w:val="0"/>
            <w:vAlign w:val="top"/>
          </w:tcPr>
          <w:p w14:paraId="10D68EF7">
            <w:pPr>
              <w:shd w:val="clear" w:color="auto" w:fill="auto"/>
              <w:rPr>
                <w:rFonts w:hint="eastAsia" w:ascii="仿宋" w:hAnsi="仿宋" w:eastAsia="仿宋" w:cs="仿宋"/>
                <w:color w:val="auto"/>
                <w:sz w:val="24"/>
                <w:szCs w:val="24"/>
                <w:highlight w:val="none"/>
              </w:rPr>
            </w:pPr>
          </w:p>
        </w:tc>
        <w:tc>
          <w:tcPr>
            <w:tcW w:w="635" w:type="dxa"/>
            <w:noWrap w:val="0"/>
            <w:vAlign w:val="top"/>
          </w:tcPr>
          <w:p w14:paraId="25348781">
            <w:pPr>
              <w:shd w:val="clear" w:color="auto" w:fill="auto"/>
              <w:rPr>
                <w:rFonts w:hint="eastAsia" w:ascii="仿宋" w:hAnsi="仿宋" w:eastAsia="仿宋" w:cs="仿宋"/>
                <w:color w:val="auto"/>
                <w:sz w:val="24"/>
                <w:szCs w:val="24"/>
                <w:highlight w:val="none"/>
              </w:rPr>
            </w:pPr>
          </w:p>
        </w:tc>
        <w:tc>
          <w:tcPr>
            <w:tcW w:w="615" w:type="dxa"/>
            <w:noWrap w:val="0"/>
            <w:vAlign w:val="top"/>
          </w:tcPr>
          <w:p w14:paraId="6282FF46">
            <w:pPr>
              <w:shd w:val="clear" w:color="auto" w:fill="auto"/>
              <w:rPr>
                <w:rFonts w:hint="eastAsia" w:ascii="仿宋" w:hAnsi="仿宋" w:eastAsia="仿宋" w:cs="仿宋"/>
                <w:color w:val="auto"/>
                <w:sz w:val="24"/>
                <w:szCs w:val="24"/>
                <w:highlight w:val="none"/>
              </w:rPr>
            </w:pPr>
          </w:p>
        </w:tc>
        <w:tc>
          <w:tcPr>
            <w:tcW w:w="554" w:type="dxa"/>
            <w:noWrap w:val="0"/>
            <w:vAlign w:val="top"/>
          </w:tcPr>
          <w:p w14:paraId="1796A8C8">
            <w:pPr>
              <w:shd w:val="clear" w:color="auto" w:fill="auto"/>
              <w:rPr>
                <w:rFonts w:hint="eastAsia" w:ascii="仿宋" w:hAnsi="仿宋" w:eastAsia="仿宋" w:cs="仿宋"/>
                <w:color w:val="auto"/>
                <w:sz w:val="24"/>
                <w:szCs w:val="24"/>
                <w:highlight w:val="none"/>
              </w:rPr>
            </w:pPr>
          </w:p>
        </w:tc>
        <w:tc>
          <w:tcPr>
            <w:tcW w:w="493" w:type="dxa"/>
            <w:noWrap w:val="0"/>
            <w:vAlign w:val="top"/>
          </w:tcPr>
          <w:p w14:paraId="230D9D1F">
            <w:pPr>
              <w:shd w:val="clear" w:color="auto" w:fill="auto"/>
              <w:rPr>
                <w:rFonts w:hint="eastAsia" w:ascii="仿宋" w:hAnsi="仿宋" w:eastAsia="仿宋" w:cs="仿宋"/>
                <w:color w:val="auto"/>
                <w:sz w:val="24"/>
                <w:szCs w:val="24"/>
                <w:highlight w:val="none"/>
              </w:rPr>
            </w:pPr>
          </w:p>
        </w:tc>
        <w:tc>
          <w:tcPr>
            <w:tcW w:w="2267" w:type="dxa"/>
            <w:noWrap w:val="0"/>
            <w:vAlign w:val="top"/>
          </w:tcPr>
          <w:p w14:paraId="26E95C3B">
            <w:pPr>
              <w:shd w:val="clear" w:color="auto" w:fill="auto"/>
              <w:rPr>
                <w:rFonts w:hint="eastAsia" w:ascii="仿宋" w:hAnsi="仿宋" w:eastAsia="仿宋" w:cs="仿宋"/>
                <w:color w:val="auto"/>
                <w:sz w:val="24"/>
                <w:szCs w:val="24"/>
                <w:highlight w:val="none"/>
              </w:rPr>
            </w:pPr>
          </w:p>
        </w:tc>
      </w:tr>
      <w:tr w14:paraId="2EFAB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7878" w:type="dxa"/>
            <w:gridSpan w:val="13"/>
            <w:noWrap w:val="0"/>
            <w:vAlign w:val="top"/>
          </w:tcPr>
          <w:p w14:paraId="5787E825">
            <w:pPr>
              <w:pStyle w:val="101"/>
              <w:shd w:val="clear" w:color="auto" w:fill="auto"/>
              <w:spacing w:before="40" w:line="218"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rPr>
              <w:t>总价（元）</w:t>
            </w:r>
            <w:r>
              <w:rPr>
                <w:rFonts w:hint="eastAsia" w:ascii="仿宋" w:hAnsi="仿宋" w:eastAsia="仿宋" w:cs="仿宋"/>
                <w:color w:val="auto"/>
                <w:spacing w:val="-4"/>
                <w:sz w:val="24"/>
                <w:szCs w:val="24"/>
                <w:highlight w:val="none"/>
                <w:lang w:eastAsia="zh-CN"/>
              </w:rPr>
              <w:t>：</w:t>
            </w:r>
          </w:p>
        </w:tc>
        <w:tc>
          <w:tcPr>
            <w:tcW w:w="2267" w:type="dxa"/>
            <w:noWrap w:val="0"/>
            <w:vAlign w:val="top"/>
          </w:tcPr>
          <w:p w14:paraId="7D4155E2">
            <w:pPr>
              <w:shd w:val="clear" w:color="auto" w:fill="auto"/>
              <w:rPr>
                <w:rFonts w:hint="eastAsia" w:ascii="仿宋" w:hAnsi="仿宋" w:eastAsia="仿宋" w:cs="仿宋"/>
                <w:color w:val="auto"/>
                <w:sz w:val="24"/>
                <w:szCs w:val="24"/>
                <w:highlight w:val="none"/>
              </w:rPr>
            </w:pPr>
          </w:p>
        </w:tc>
      </w:tr>
    </w:tbl>
    <w:p w14:paraId="48C001EC">
      <w:pPr>
        <w:pStyle w:val="16"/>
        <w:snapToGrid w:val="0"/>
        <w:spacing w:line="400" w:lineRule="exact"/>
        <w:textAlignment w:val="baseline"/>
        <w:rPr>
          <w:rFonts w:hint="eastAsia" w:ascii="仿宋" w:hAnsi="仿宋" w:eastAsia="仿宋" w:cs="仿宋"/>
          <w:color w:val="auto"/>
          <w:sz w:val="24"/>
          <w:szCs w:val="24"/>
          <w:highlight w:val="none"/>
        </w:rPr>
      </w:pPr>
    </w:p>
    <w:p w14:paraId="501A6F71">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法定代表人或其委托代理人（签/章）: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 xml:space="preserve">                 </w:t>
      </w:r>
    </w:p>
    <w:p w14:paraId="6506694E">
      <w:pPr>
        <w:pStyle w:val="16"/>
        <w:tabs>
          <w:tab w:val="left" w:pos="5370"/>
        </w:tabs>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(公章):</w:t>
      </w:r>
      <w:r>
        <w:rPr>
          <w:rFonts w:hint="eastAsia" w:ascii="仿宋" w:hAnsi="仿宋" w:eastAsia="仿宋" w:cs="仿宋"/>
          <w:color w:val="auto"/>
          <w:sz w:val="24"/>
          <w:szCs w:val="24"/>
          <w:highlight w:val="none"/>
          <w:u w:val="single"/>
        </w:rPr>
        <w:tab/>
      </w:r>
    </w:p>
    <w:p w14:paraId="3051F3E9">
      <w:pPr>
        <w:pStyle w:val="16"/>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注:1.</w:t>
      </w:r>
      <w:r>
        <w:rPr>
          <w:rFonts w:hint="eastAsia" w:ascii="仿宋" w:hAnsi="仿宋" w:eastAsia="仿宋" w:cs="仿宋"/>
          <w:bCs/>
          <w:color w:val="auto"/>
          <w:sz w:val="24"/>
          <w:highlight w:val="none"/>
          <w:lang w:eastAsia="zh-CN"/>
        </w:rPr>
        <w:t>供应商</w:t>
      </w:r>
      <w:r>
        <w:rPr>
          <w:rFonts w:hint="eastAsia" w:ascii="仿宋" w:hAnsi="仿宋" w:eastAsia="仿宋" w:cs="仿宋"/>
          <w:bCs/>
          <w:color w:val="auto"/>
          <w:sz w:val="24"/>
          <w:highlight w:val="none"/>
        </w:rPr>
        <w:t>须提供单价、合价，品牌、型号、规格，根据所投产品如实填写。</w:t>
      </w:r>
    </w:p>
    <w:p w14:paraId="0A01B0BE">
      <w:pPr>
        <w:pStyle w:val="16"/>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2.如果按单价计算的结果与总价不一致,以单价为准修正总价。 </w:t>
      </w:r>
    </w:p>
    <w:p w14:paraId="043495D5">
      <w:pPr>
        <w:pStyle w:val="16"/>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3.如果不提供详细分项报价</w:t>
      </w:r>
      <w:r>
        <w:rPr>
          <w:rFonts w:hint="eastAsia" w:ascii="仿宋" w:hAnsi="仿宋" w:eastAsia="仿宋" w:cs="仿宋"/>
          <w:bCs/>
          <w:color w:val="auto"/>
          <w:sz w:val="24"/>
          <w:highlight w:val="none"/>
          <w:lang w:eastAsia="zh-CN"/>
        </w:rPr>
        <w:t>或分项报价超出采购需求清单所列对应设备最高限制单价</w:t>
      </w:r>
      <w:r>
        <w:rPr>
          <w:rFonts w:hint="eastAsia" w:ascii="仿宋" w:hAnsi="仿宋" w:eastAsia="仿宋" w:cs="仿宋"/>
          <w:bCs/>
          <w:color w:val="auto"/>
          <w:sz w:val="24"/>
          <w:highlight w:val="none"/>
        </w:rPr>
        <w:t>将视为没有实质性响应</w:t>
      </w:r>
      <w:r>
        <w:rPr>
          <w:rFonts w:hint="eastAsia" w:ascii="仿宋" w:hAnsi="仿宋" w:eastAsia="仿宋" w:cs="仿宋"/>
          <w:bCs/>
          <w:color w:val="auto"/>
          <w:sz w:val="24"/>
          <w:highlight w:val="none"/>
          <w:lang w:eastAsia="zh-CN"/>
        </w:rPr>
        <w:t>谈判</w:t>
      </w:r>
      <w:r>
        <w:rPr>
          <w:rFonts w:hint="eastAsia" w:ascii="仿宋" w:hAnsi="仿宋" w:eastAsia="仿宋" w:cs="仿宋"/>
          <w:bCs/>
          <w:color w:val="auto"/>
          <w:sz w:val="24"/>
          <w:highlight w:val="none"/>
        </w:rPr>
        <w:t>文件。</w:t>
      </w:r>
    </w:p>
    <w:p w14:paraId="38FF5423">
      <w:pPr>
        <w:pStyle w:val="16"/>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4.如果开标一览表（报价表）内容与</w:t>
      </w:r>
      <w:r>
        <w:rPr>
          <w:rFonts w:hint="eastAsia" w:ascii="仿宋" w:hAnsi="仿宋" w:eastAsia="仿宋" w:cs="仿宋"/>
          <w:bCs/>
          <w:color w:val="auto"/>
          <w:sz w:val="24"/>
          <w:highlight w:val="none"/>
          <w:lang w:eastAsia="zh-CN"/>
        </w:rPr>
        <w:t>响应</w:t>
      </w:r>
      <w:r>
        <w:rPr>
          <w:rFonts w:hint="eastAsia" w:ascii="仿宋" w:hAnsi="仿宋" w:eastAsia="仿宋" w:cs="仿宋"/>
          <w:bCs/>
          <w:color w:val="auto"/>
          <w:sz w:val="24"/>
          <w:highlight w:val="none"/>
        </w:rPr>
        <w:t>文件中明细表内容不一致的，以开标一览表（报价表）内容为准。</w:t>
      </w:r>
    </w:p>
    <w:p w14:paraId="5E559873">
      <w:pPr>
        <w:pStyle w:val="16"/>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5.各</w:t>
      </w:r>
      <w:r>
        <w:rPr>
          <w:rFonts w:hint="eastAsia" w:ascii="仿宋" w:hAnsi="仿宋" w:eastAsia="仿宋" w:cs="仿宋"/>
          <w:bCs/>
          <w:color w:val="auto"/>
          <w:sz w:val="24"/>
          <w:highlight w:val="none"/>
          <w:lang w:eastAsia="zh-CN"/>
        </w:rPr>
        <w:t>供应商</w:t>
      </w:r>
      <w:r>
        <w:rPr>
          <w:rFonts w:hint="eastAsia" w:ascii="仿宋" w:hAnsi="仿宋" w:eastAsia="仿宋" w:cs="仿宋"/>
          <w:bCs/>
          <w:color w:val="auto"/>
          <w:sz w:val="24"/>
          <w:highlight w:val="none"/>
        </w:rPr>
        <w:t>须如实填写每一个货物制造商规模（小微型企业、中型企业、大型企业）和</w:t>
      </w:r>
      <w:r>
        <w:rPr>
          <w:rFonts w:hint="eastAsia" w:ascii="仿宋" w:hAnsi="仿宋" w:eastAsia="仿宋" w:cs="仿宋"/>
          <w:bCs/>
          <w:color w:val="auto"/>
          <w:sz w:val="24"/>
          <w:highlight w:val="none"/>
          <w:lang w:eastAsia="zh-CN"/>
        </w:rPr>
        <w:t>供应商</w:t>
      </w:r>
      <w:r>
        <w:rPr>
          <w:rFonts w:hint="eastAsia" w:ascii="仿宋" w:hAnsi="仿宋" w:eastAsia="仿宋" w:cs="仿宋"/>
          <w:bCs/>
          <w:color w:val="auto"/>
          <w:sz w:val="24"/>
          <w:highlight w:val="none"/>
        </w:rPr>
        <w:t>规模（小微型企业、中型企业、大型企业）。</w:t>
      </w:r>
    </w:p>
    <w:p w14:paraId="328F6206">
      <w:pPr>
        <w:pStyle w:val="5"/>
        <w:spacing w:before="0" w:line="440" w:lineRule="exact"/>
        <w:ind w:left="1080" w:leftChars="257" w:hanging="540"/>
        <w:rPr>
          <w:rFonts w:hint="eastAsia" w:ascii="仿宋" w:hAnsi="仿宋" w:eastAsia="仿宋" w:cs="仿宋"/>
          <w:color w:val="auto"/>
          <w:sz w:val="24"/>
          <w:highlight w:val="none"/>
        </w:rPr>
      </w:pPr>
      <w:bookmarkStart w:id="435" w:name="_Toc216582816"/>
      <w:bookmarkStart w:id="436" w:name="_Toc18267"/>
      <w:bookmarkStart w:id="437" w:name="_Toc515647819"/>
      <w:bookmarkStart w:id="438" w:name="_Toc14037"/>
      <w:bookmarkStart w:id="439" w:name="_Toc25054"/>
      <w:bookmarkStart w:id="440" w:name="_Toc32398"/>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货物说明一览表</w:t>
      </w:r>
      <w:bookmarkEnd w:id="435"/>
      <w:r>
        <w:rPr>
          <w:rFonts w:hint="eastAsia" w:ascii="仿宋" w:hAnsi="仿宋" w:eastAsia="仿宋" w:cs="仿宋"/>
          <w:color w:val="auto"/>
          <w:sz w:val="24"/>
          <w:highlight w:val="none"/>
        </w:rPr>
        <w:t>（响应文件格式八）</w:t>
      </w:r>
      <w:bookmarkEnd w:id="436"/>
      <w:bookmarkEnd w:id="437"/>
      <w:bookmarkEnd w:id="438"/>
      <w:bookmarkEnd w:id="439"/>
      <w:bookmarkEnd w:id="440"/>
    </w:p>
    <w:p w14:paraId="47844748">
      <w:pPr>
        <w:pStyle w:val="16"/>
        <w:spacing w:line="440" w:lineRule="exact"/>
        <w:ind w:left="1080" w:leftChars="257" w:hanging="540"/>
        <w:rPr>
          <w:rFonts w:hint="eastAsia" w:ascii="仿宋" w:hAnsi="仿宋" w:eastAsia="仿宋" w:cs="仿宋"/>
          <w:bCs/>
          <w:color w:val="auto"/>
          <w:sz w:val="24"/>
          <w:highlight w:val="none"/>
        </w:rPr>
      </w:pPr>
    </w:p>
    <w:p w14:paraId="2E69186C">
      <w:pPr>
        <w:pStyle w:val="16"/>
        <w:snapToGrid w:val="0"/>
        <w:spacing w:line="400" w:lineRule="exact"/>
        <w:ind w:left="1080" w:leftChars="257" w:hanging="54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 xml:space="preserve">编号:                       包号:                      </w:t>
      </w:r>
    </w:p>
    <w:p w14:paraId="27F6D6F0">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bl>
      <w:tblPr>
        <w:tblStyle w:val="39"/>
        <w:tblW w:w="88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284"/>
        <w:gridCol w:w="1289"/>
        <w:gridCol w:w="1159"/>
        <w:gridCol w:w="1417"/>
        <w:gridCol w:w="1544"/>
        <w:gridCol w:w="1417"/>
      </w:tblGrid>
      <w:tr w14:paraId="26EEF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0" w:hRule="atLeast"/>
        </w:trPr>
        <w:tc>
          <w:tcPr>
            <w:tcW w:w="750" w:type="dxa"/>
            <w:noWrap w:val="0"/>
            <w:vAlign w:val="top"/>
          </w:tcPr>
          <w:p w14:paraId="774E4A31">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84" w:type="dxa"/>
            <w:noWrap w:val="0"/>
            <w:vAlign w:val="top"/>
          </w:tcPr>
          <w:p w14:paraId="5FE9D945">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货物名称</w:t>
            </w:r>
          </w:p>
        </w:tc>
        <w:tc>
          <w:tcPr>
            <w:tcW w:w="1289" w:type="dxa"/>
            <w:noWrap w:val="0"/>
            <w:vAlign w:val="top"/>
          </w:tcPr>
          <w:p w14:paraId="763D6F2D">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主要规格</w:t>
            </w:r>
          </w:p>
        </w:tc>
        <w:tc>
          <w:tcPr>
            <w:tcW w:w="1159" w:type="dxa"/>
            <w:noWrap w:val="0"/>
            <w:vAlign w:val="top"/>
          </w:tcPr>
          <w:p w14:paraId="230D2CC9">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417" w:type="dxa"/>
            <w:noWrap w:val="0"/>
            <w:vAlign w:val="top"/>
          </w:tcPr>
          <w:p w14:paraId="6FBBB20B">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交货期</w:t>
            </w:r>
          </w:p>
        </w:tc>
        <w:tc>
          <w:tcPr>
            <w:tcW w:w="1544" w:type="dxa"/>
            <w:noWrap w:val="0"/>
            <w:vAlign w:val="top"/>
          </w:tcPr>
          <w:p w14:paraId="1B622C81">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交货地点</w:t>
            </w:r>
          </w:p>
        </w:tc>
        <w:tc>
          <w:tcPr>
            <w:tcW w:w="1417" w:type="dxa"/>
            <w:noWrap w:val="0"/>
            <w:vAlign w:val="top"/>
          </w:tcPr>
          <w:p w14:paraId="3131847E">
            <w:pPr>
              <w:pStyle w:val="16"/>
              <w:snapToGrid w:val="0"/>
              <w:spacing w:line="40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其它</w:t>
            </w:r>
          </w:p>
        </w:tc>
      </w:tr>
      <w:tr w14:paraId="7E097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50" w:type="dxa"/>
            <w:noWrap w:val="0"/>
            <w:vAlign w:val="top"/>
          </w:tcPr>
          <w:p w14:paraId="5F1ABBE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223E0FCD">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0077C9F3">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781269CA">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05C9B6D2">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12ABBE26">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766B8ABA">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r w14:paraId="3F06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50" w:type="dxa"/>
            <w:noWrap w:val="0"/>
            <w:vAlign w:val="top"/>
          </w:tcPr>
          <w:p w14:paraId="486D143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22BAEDAA">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308FC507">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179D0246">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6725A6CF">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2A341BB8">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16744538">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r w14:paraId="2FE66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50" w:type="dxa"/>
            <w:noWrap w:val="0"/>
            <w:vAlign w:val="top"/>
          </w:tcPr>
          <w:p w14:paraId="686E0B03">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36BDF83C">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577FFE04">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03D0D880">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5BA362A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4372DC78">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455BE2B7">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r w14:paraId="03195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50" w:type="dxa"/>
            <w:noWrap w:val="0"/>
            <w:vAlign w:val="top"/>
          </w:tcPr>
          <w:p w14:paraId="062B484C">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0F640020">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1ED675D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1605A630">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4E0CFB60">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7CCA2E2A">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7A5480BB">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r w14:paraId="3B366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50" w:type="dxa"/>
            <w:noWrap w:val="0"/>
            <w:vAlign w:val="top"/>
          </w:tcPr>
          <w:p w14:paraId="3D3AB78C">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78852AA8">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2312BE53">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7825D99E">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67821C1B">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001BA00A">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4D190236">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r w14:paraId="6D81E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50" w:type="dxa"/>
            <w:noWrap w:val="0"/>
            <w:vAlign w:val="top"/>
          </w:tcPr>
          <w:p w14:paraId="67FBBAD6">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28357E41">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0B35C9C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0F8ECA07">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0AD46C21">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3E993121">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6C4C2DA4">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r w14:paraId="1430C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50" w:type="dxa"/>
            <w:noWrap w:val="0"/>
            <w:vAlign w:val="top"/>
          </w:tcPr>
          <w:p w14:paraId="12615C65">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4" w:type="dxa"/>
            <w:noWrap w:val="0"/>
            <w:vAlign w:val="top"/>
          </w:tcPr>
          <w:p w14:paraId="6F37FA71">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289" w:type="dxa"/>
            <w:noWrap w:val="0"/>
            <w:vAlign w:val="top"/>
          </w:tcPr>
          <w:p w14:paraId="3EC265B4">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159" w:type="dxa"/>
            <w:noWrap w:val="0"/>
            <w:vAlign w:val="top"/>
          </w:tcPr>
          <w:p w14:paraId="505CAB2B">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077644A1">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544" w:type="dxa"/>
            <w:noWrap w:val="0"/>
            <w:vAlign w:val="top"/>
          </w:tcPr>
          <w:p w14:paraId="60A46748">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c>
          <w:tcPr>
            <w:tcW w:w="1417" w:type="dxa"/>
            <w:noWrap w:val="0"/>
            <w:vAlign w:val="top"/>
          </w:tcPr>
          <w:p w14:paraId="7B38C584">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tc>
      </w:tr>
    </w:tbl>
    <w:p w14:paraId="3667EFCA">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p>
    <w:p w14:paraId="2F0D4E30">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法定代表人或其委托代理人（签/章）: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 xml:space="preserve">                 </w:t>
      </w:r>
    </w:p>
    <w:p w14:paraId="16B8FE76">
      <w:pPr>
        <w:pStyle w:val="16"/>
        <w:tabs>
          <w:tab w:val="left" w:pos="5370"/>
        </w:tabs>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(公章):</w:t>
      </w:r>
      <w:r>
        <w:rPr>
          <w:rFonts w:hint="eastAsia" w:ascii="仿宋" w:hAnsi="仿宋" w:eastAsia="仿宋" w:cs="仿宋"/>
          <w:color w:val="auto"/>
          <w:sz w:val="24"/>
          <w:szCs w:val="24"/>
          <w:highlight w:val="none"/>
          <w:u w:val="single"/>
        </w:rPr>
        <w:tab/>
      </w:r>
    </w:p>
    <w:p w14:paraId="4FDA14F6">
      <w:pPr>
        <w:pStyle w:val="16"/>
        <w:snapToGrid w:val="0"/>
        <w:spacing w:line="400" w:lineRule="exact"/>
        <w:ind w:left="1080" w:leftChars="257" w:hanging="540"/>
        <w:textAlignment w:val="baseline"/>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注: 各项货物详细技术性能应</w:t>
      </w:r>
      <w:r>
        <w:rPr>
          <w:rFonts w:hint="eastAsia" w:ascii="仿宋" w:hAnsi="仿宋" w:eastAsia="仿宋" w:cs="仿宋"/>
          <w:color w:val="auto"/>
          <w:sz w:val="24"/>
          <w:szCs w:val="24"/>
          <w:highlight w:val="none"/>
          <w:lang w:val="en-US" w:eastAsia="zh-CN"/>
        </w:rPr>
        <w:t>可</w:t>
      </w:r>
      <w:r>
        <w:rPr>
          <w:rFonts w:hint="eastAsia" w:ascii="仿宋" w:hAnsi="仿宋" w:eastAsia="仿宋" w:cs="仿宋"/>
          <w:color w:val="auto"/>
          <w:sz w:val="24"/>
          <w:szCs w:val="24"/>
          <w:highlight w:val="none"/>
        </w:rPr>
        <w:t>另页描述。</w:t>
      </w:r>
    </w:p>
    <w:p w14:paraId="1A5E3A7E">
      <w:pPr>
        <w:pStyle w:val="16"/>
        <w:spacing w:line="440" w:lineRule="exact"/>
        <w:ind w:left="1080" w:leftChars="257" w:hanging="540"/>
        <w:jc w:val="center"/>
        <w:rPr>
          <w:rFonts w:hint="eastAsia" w:ascii="仿宋" w:hAnsi="仿宋" w:eastAsia="仿宋" w:cs="仿宋"/>
          <w:bCs/>
          <w:color w:val="auto"/>
          <w:sz w:val="24"/>
          <w:highlight w:val="none"/>
        </w:rPr>
        <w:sectPr>
          <w:headerReference r:id="rId7" w:type="default"/>
          <w:footerReference r:id="rId8" w:type="default"/>
          <w:pgSz w:w="11906" w:h="16838"/>
          <w:pgMar w:top="1440" w:right="1797" w:bottom="1440" w:left="1797" w:header="851" w:footer="992" w:gutter="0"/>
          <w:pgBorders>
            <w:top w:val="none" w:sz="0" w:space="0"/>
            <w:left w:val="none" w:sz="0" w:space="0"/>
            <w:bottom w:val="none" w:sz="0" w:space="0"/>
            <w:right w:val="none" w:sz="0" w:space="0"/>
          </w:pgBorders>
          <w:pgNumType w:start="29"/>
          <w:cols w:space="720" w:num="1"/>
          <w:docGrid w:linePitch="312" w:charSpace="0"/>
        </w:sectPr>
      </w:pPr>
    </w:p>
    <w:p w14:paraId="38B51B95">
      <w:pPr>
        <w:pStyle w:val="16"/>
        <w:snapToGrid w:val="0"/>
        <w:spacing w:line="400" w:lineRule="exact"/>
        <w:ind w:firstLine="1928" w:firstLineChars="800"/>
        <w:textAlignment w:val="baseline"/>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备品备件分项报价表</w:t>
      </w:r>
      <w:r>
        <w:rPr>
          <w:rFonts w:hint="eastAsia" w:ascii="仿宋" w:hAnsi="仿宋" w:eastAsia="仿宋" w:cs="仿宋"/>
          <w:b/>
          <w:color w:val="auto"/>
          <w:kern w:val="0"/>
          <w:sz w:val="24"/>
          <w:szCs w:val="24"/>
          <w:highlight w:val="none"/>
          <w:lang w:eastAsia="zh-CN"/>
        </w:rPr>
        <w:t>（</w:t>
      </w:r>
      <w:r>
        <w:rPr>
          <w:rFonts w:hint="eastAsia" w:ascii="仿宋" w:hAnsi="仿宋" w:eastAsia="仿宋" w:cs="仿宋"/>
          <w:b/>
          <w:color w:val="auto"/>
          <w:kern w:val="0"/>
          <w:sz w:val="24"/>
          <w:szCs w:val="24"/>
          <w:highlight w:val="none"/>
          <w:lang w:val="en-US" w:eastAsia="zh-CN"/>
        </w:rPr>
        <w:t>根据项目实际需求填写</w:t>
      </w:r>
      <w:r>
        <w:rPr>
          <w:rFonts w:hint="eastAsia" w:ascii="仿宋" w:hAnsi="仿宋" w:eastAsia="仿宋" w:cs="仿宋"/>
          <w:b/>
          <w:color w:val="auto"/>
          <w:kern w:val="0"/>
          <w:sz w:val="24"/>
          <w:szCs w:val="24"/>
          <w:highlight w:val="none"/>
          <w:lang w:eastAsia="zh-CN"/>
        </w:rPr>
        <w:t>）</w:t>
      </w:r>
    </w:p>
    <w:p w14:paraId="168AF07F">
      <w:pPr>
        <w:pStyle w:val="16"/>
        <w:snapToGrid w:val="0"/>
        <w:spacing w:line="400" w:lineRule="exact"/>
        <w:ind w:left="1258" w:leftChars="599" w:firstLine="1788" w:firstLineChars="742"/>
        <w:textAlignment w:val="baseline"/>
        <w:rPr>
          <w:rFonts w:hint="eastAsia" w:ascii="仿宋" w:hAnsi="仿宋" w:eastAsia="仿宋" w:cs="仿宋"/>
          <w:b/>
          <w:color w:val="auto"/>
          <w:kern w:val="0"/>
          <w:sz w:val="24"/>
          <w:szCs w:val="24"/>
          <w:highlight w:val="none"/>
          <w:lang w:eastAsia="zh-CN"/>
        </w:rPr>
      </w:pPr>
    </w:p>
    <w:p w14:paraId="235A9DAC">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 xml:space="preserve">编号:                       包号:                      </w:t>
      </w:r>
    </w:p>
    <w:tbl>
      <w:tblPr>
        <w:tblStyle w:val="39"/>
        <w:tblW w:w="852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8"/>
        <w:gridCol w:w="741"/>
        <w:gridCol w:w="859"/>
        <w:gridCol w:w="590"/>
        <w:gridCol w:w="860"/>
        <w:gridCol w:w="1129"/>
        <w:gridCol w:w="590"/>
        <w:gridCol w:w="590"/>
        <w:gridCol w:w="590"/>
        <w:gridCol w:w="590"/>
        <w:gridCol w:w="591"/>
      </w:tblGrid>
      <w:tr w14:paraId="21047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1398" w:type="dxa"/>
            <w:noWrap w:val="0"/>
            <w:vAlign w:val="center"/>
          </w:tcPr>
          <w:p w14:paraId="6FF46153">
            <w:pPr>
              <w:snapToGrid w:val="0"/>
              <w:spacing w:line="400" w:lineRule="exact"/>
              <w:jc w:val="center"/>
              <w:textAlignment w:val="baseline"/>
              <w:rPr>
                <w:rFonts w:hint="eastAsia" w:ascii="仿宋" w:hAnsi="仿宋" w:eastAsia="仿宋" w:cs="仿宋"/>
                <w:color w:val="auto"/>
                <w:sz w:val="24"/>
                <w:highlight w:val="none"/>
              </w:rPr>
            </w:pPr>
          </w:p>
        </w:tc>
        <w:tc>
          <w:tcPr>
            <w:tcW w:w="741" w:type="dxa"/>
            <w:noWrap w:val="0"/>
            <w:vAlign w:val="center"/>
          </w:tcPr>
          <w:p w14:paraId="029ED45F">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编号</w:t>
            </w:r>
          </w:p>
        </w:tc>
        <w:tc>
          <w:tcPr>
            <w:tcW w:w="859" w:type="dxa"/>
            <w:noWrap w:val="0"/>
            <w:vAlign w:val="center"/>
          </w:tcPr>
          <w:p w14:paraId="2A094748">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名称</w:t>
            </w:r>
          </w:p>
        </w:tc>
        <w:tc>
          <w:tcPr>
            <w:tcW w:w="590" w:type="dxa"/>
            <w:noWrap w:val="0"/>
            <w:vAlign w:val="center"/>
          </w:tcPr>
          <w:p w14:paraId="502FAA21">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品牌</w:t>
            </w:r>
          </w:p>
        </w:tc>
        <w:tc>
          <w:tcPr>
            <w:tcW w:w="860" w:type="dxa"/>
            <w:noWrap w:val="0"/>
            <w:vAlign w:val="center"/>
          </w:tcPr>
          <w:p w14:paraId="03DF034F">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规格型号</w:t>
            </w:r>
          </w:p>
        </w:tc>
        <w:tc>
          <w:tcPr>
            <w:tcW w:w="1129" w:type="dxa"/>
            <w:noWrap w:val="0"/>
            <w:vAlign w:val="center"/>
          </w:tcPr>
          <w:p w14:paraId="574110B0">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供货厂商名称</w:t>
            </w:r>
          </w:p>
        </w:tc>
        <w:tc>
          <w:tcPr>
            <w:tcW w:w="590" w:type="dxa"/>
            <w:noWrap w:val="0"/>
            <w:vAlign w:val="center"/>
          </w:tcPr>
          <w:p w14:paraId="75EC4F09">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产地</w:t>
            </w:r>
          </w:p>
        </w:tc>
        <w:tc>
          <w:tcPr>
            <w:tcW w:w="590" w:type="dxa"/>
            <w:noWrap w:val="0"/>
            <w:vAlign w:val="center"/>
          </w:tcPr>
          <w:p w14:paraId="3A7832B4">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590" w:type="dxa"/>
            <w:noWrap w:val="0"/>
            <w:vAlign w:val="center"/>
          </w:tcPr>
          <w:p w14:paraId="3D985B3A">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单价</w:t>
            </w:r>
          </w:p>
        </w:tc>
        <w:tc>
          <w:tcPr>
            <w:tcW w:w="590" w:type="dxa"/>
            <w:noWrap w:val="0"/>
            <w:vAlign w:val="center"/>
          </w:tcPr>
          <w:p w14:paraId="2F87A64B">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合价</w:t>
            </w:r>
          </w:p>
        </w:tc>
        <w:tc>
          <w:tcPr>
            <w:tcW w:w="591" w:type="dxa"/>
            <w:noWrap w:val="0"/>
            <w:vAlign w:val="center"/>
          </w:tcPr>
          <w:p w14:paraId="3CC62759">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1EAA5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398" w:type="dxa"/>
            <w:vMerge w:val="restart"/>
            <w:noWrap w:val="0"/>
            <w:vAlign w:val="center"/>
          </w:tcPr>
          <w:p w14:paraId="196DE37C">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质保期内</w:t>
            </w:r>
            <w:r>
              <w:rPr>
                <w:rFonts w:hint="eastAsia" w:ascii="仿宋" w:hAnsi="仿宋" w:eastAsia="仿宋" w:cs="仿宋"/>
                <w:color w:val="auto"/>
                <w:sz w:val="24"/>
                <w:highlight w:val="none"/>
                <w:lang w:eastAsia="zh-CN"/>
              </w:rPr>
              <w:t>包含</w:t>
            </w:r>
            <w:r>
              <w:rPr>
                <w:rFonts w:hint="eastAsia" w:ascii="仿宋" w:hAnsi="仿宋" w:eastAsia="仿宋" w:cs="仿宋"/>
                <w:color w:val="auto"/>
                <w:sz w:val="24"/>
                <w:highlight w:val="none"/>
              </w:rPr>
              <w:t>设备</w:t>
            </w:r>
          </w:p>
        </w:tc>
        <w:tc>
          <w:tcPr>
            <w:tcW w:w="741" w:type="dxa"/>
            <w:noWrap w:val="0"/>
            <w:vAlign w:val="center"/>
          </w:tcPr>
          <w:p w14:paraId="13616346">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59" w:type="dxa"/>
            <w:noWrap w:val="0"/>
            <w:vAlign w:val="center"/>
          </w:tcPr>
          <w:p w14:paraId="55F7B74F">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171679EA">
            <w:pPr>
              <w:snapToGrid w:val="0"/>
              <w:spacing w:line="400" w:lineRule="exact"/>
              <w:jc w:val="center"/>
              <w:textAlignment w:val="baseline"/>
              <w:rPr>
                <w:rFonts w:hint="eastAsia" w:ascii="仿宋" w:hAnsi="仿宋" w:eastAsia="仿宋" w:cs="仿宋"/>
                <w:color w:val="auto"/>
                <w:sz w:val="24"/>
                <w:highlight w:val="none"/>
              </w:rPr>
            </w:pPr>
          </w:p>
        </w:tc>
        <w:tc>
          <w:tcPr>
            <w:tcW w:w="860" w:type="dxa"/>
            <w:noWrap w:val="0"/>
            <w:vAlign w:val="center"/>
          </w:tcPr>
          <w:p w14:paraId="1B962DA5">
            <w:pPr>
              <w:snapToGrid w:val="0"/>
              <w:spacing w:line="400" w:lineRule="exact"/>
              <w:jc w:val="center"/>
              <w:textAlignment w:val="baseline"/>
              <w:rPr>
                <w:rFonts w:hint="eastAsia" w:ascii="仿宋" w:hAnsi="仿宋" w:eastAsia="仿宋" w:cs="仿宋"/>
                <w:color w:val="auto"/>
                <w:sz w:val="24"/>
                <w:highlight w:val="none"/>
              </w:rPr>
            </w:pPr>
          </w:p>
        </w:tc>
        <w:tc>
          <w:tcPr>
            <w:tcW w:w="1129" w:type="dxa"/>
            <w:noWrap w:val="0"/>
            <w:vAlign w:val="center"/>
          </w:tcPr>
          <w:p w14:paraId="6AE5B086">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4200FD62">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171AD317">
            <w:pPr>
              <w:snapToGrid w:val="0"/>
              <w:spacing w:line="400" w:lineRule="exact"/>
              <w:jc w:val="center"/>
              <w:textAlignment w:val="baseline"/>
              <w:rPr>
                <w:rFonts w:hint="eastAsia" w:ascii="仿宋" w:hAnsi="仿宋" w:eastAsia="仿宋" w:cs="仿宋"/>
                <w:color w:val="auto"/>
                <w:sz w:val="24"/>
                <w:highlight w:val="none"/>
              </w:rPr>
            </w:pPr>
          </w:p>
        </w:tc>
        <w:tc>
          <w:tcPr>
            <w:tcW w:w="590" w:type="dxa"/>
            <w:vMerge w:val="restart"/>
            <w:noWrap w:val="0"/>
            <w:vAlign w:val="center"/>
          </w:tcPr>
          <w:p w14:paraId="77C9517B">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3F6DC90A">
            <w:pPr>
              <w:snapToGrid w:val="0"/>
              <w:spacing w:line="400" w:lineRule="exact"/>
              <w:jc w:val="center"/>
              <w:textAlignment w:val="baseline"/>
              <w:rPr>
                <w:rFonts w:hint="eastAsia" w:ascii="仿宋" w:hAnsi="仿宋" w:eastAsia="仿宋" w:cs="仿宋"/>
                <w:color w:val="auto"/>
                <w:sz w:val="24"/>
                <w:highlight w:val="none"/>
              </w:rPr>
            </w:pPr>
          </w:p>
        </w:tc>
        <w:tc>
          <w:tcPr>
            <w:tcW w:w="591" w:type="dxa"/>
            <w:noWrap w:val="0"/>
            <w:vAlign w:val="center"/>
          </w:tcPr>
          <w:p w14:paraId="16196987">
            <w:pPr>
              <w:snapToGrid w:val="0"/>
              <w:spacing w:line="400" w:lineRule="exact"/>
              <w:jc w:val="center"/>
              <w:textAlignment w:val="baseline"/>
              <w:rPr>
                <w:rFonts w:hint="eastAsia" w:ascii="仿宋" w:hAnsi="仿宋" w:eastAsia="仿宋" w:cs="仿宋"/>
                <w:color w:val="auto"/>
                <w:sz w:val="24"/>
                <w:highlight w:val="none"/>
              </w:rPr>
            </w:pPr>
          </w:p>
        </w:tc>
      </w:tr>
      <w:tr w14:paraId="01F79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398" w:type="dxa"/>
            <w:vMerge w:val="continue"/>
            <w:noWrap w:val="0"/>
            <w:vAlign w:val="center"/>
          </w:tcPr>
          <w:p w14:paraId="2EABC89B">
            <w:pPr>
              <w:snapToGrid w:val="0"/>
              <w:spacing w:line="400" w:lineRule="exact"/>
              <w:jc w:val="center"/>
              <w:textAlignment w:val="baseline"/>
              <w:rPr>
                <w:rFonts w:hint="eastAsia" w:ascii="仿宋" w:hAnsi="仿宋" w:eastAsia="仿宋" w:cs="仿宋"/>
                <w:color w:val="auto"/>
                <w:sz w:val="24"/>
                <w:highlight w:val="none"/>
              </w:rPr>
            </w:pPr>
          </w:p>
        </w:tc>
        <w:tc>
          <w:tcPr>
            <w:tcW w:w="741" w:type="dxa"/>
            <w:noWrap w:val="0"/>
            <w:vAlign w:val="center"/>
          </w:tcPr>
          <w:p w14:paraId="22050653">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59" w:type="dxa"/>
            <w:noWrap w:val="0"/>
            <w:vAlign w:val="center"/>
          </w:tcPr>
          <w:p w14:paraId="1322566C">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4C2D5B5E">
            <w:pPr>
              <w:snapToGrid w:val="0"/>
              <w:spacing w:line="400" w:lineRule="exact"/>
              <w:jc w:val="center"/>
              <w:textAlignment w:val="baseline"/>
              <w:rPr>
                <w:rFonts w:hint="eastAsia" w:ascii="仿宋" w:hAnsi="仿宋" w:eastAsia="仿宋" w:cs="仿宋"/>
                <w:color w:val="auto"/>
                <w:sz w:val="24"/>
                <w:highlight w:val="none"/>
              </w:rPr>
            </w:pPr>
          </w:p>
        </w:tc>
        <w:tc>
          <w:tcPr>
            <w:tcW w:w="860" w:type="dxa"/>
            <w:noWrap w:val="0"/>
            <w:vAlign w:val="center"/>
          </w:tcPr>
          <w:p w14:paraId="7701A051">
            <w:pPr>
              <w:snapToGrid w:val="0"/>
              <w:spacing w:line="400" w:lineRule="exact"/>
              <w:jc w:val="center"/>
              <w:textAlignment w:val="baseline"/>
              <w:rPr>
                <w:rFonts w:hint="eastAsia" w:ascii="仿宋" w:hAnsi="仿宋" w:eastAsia="仿宋" w:cs="仿宋"/>
                <w:color w:val="auto"/>
                <w:sz w:val="24"/>
                <w:highlight w:val="none"/>
              </w:rPr>
            </w:pPr>
          </w:p>
        </w:tc>
        <w:tc>
          <w:tcPr>
            <w:tcW w:w="1129" w:type="dxa"/>
            <w:noWrap w:val="0"/>
            <w:vAlign w:val="center"/>
          </w:tcPr>
          <w:p w14:paraId="0B718BC3">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7824D31D">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7FE31AB0">
            <w:pPr>
              <w:snapToGrid w:val="0"/>
              <w:spacing w:line="400" w:lineRule="exact"/>
              <w:jc w:val="center"/>
              <w:textAlignment w:val="baseline"/>
              <w:rPr>
                <w:rFonts w:hint="eastAsia" w:ascii="仿宋" w:hAnsi="仿宋" w:eastAsia="仿宋" w:cs="仿宋"/>
                <w:color w:val="auto"/>
                <w:sz w:val="24"/>
                <w:highlight w:val="none"/>
              </w:rPr>
            </w:pPr>
          </w:p>
        </w:tc>
        <w:tc>
          <w:tcPr>
            <w:tcW w:w="590" w:type="dxa"/>
            <w:vMerge w:val="continue"/>
            <w:noWrap w:val="0"/>
            <w:vAlign w:val="center"/>
          </w:tcPr>
          <w:p w14:paraId="35C75691">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52F9A7C0">
            <w:pPr>
              <w:snapToGrid w:val="0"/>
              <w:spacing w:line="400" w:lineRule="exact"/>
              <w:jc w:val="center"/>
              <w:textAlignment w:val="baseline"/>
              <w:rPr>
                <w:rFonts w:hint="eastAsia" w:ascii="仿宋" w:hAnsi="仿宋" w:eastAsia="仿宋" w:cs="仿宋"/>
                <w:color w:val="auto"/>
                <w:sz w:val="24"/>
                <w:highlight w:val="none"/>
              </w:rPr>
            </w:pPr>
          </w:p>
        </w:tc>
        <w:tc>
          <w:tcPr>
            <w:tcW w:w="591" w:type="dxa"/>
            <w:noWrap w:val="0"/>
            <w:vAlign w:val="center"/>
          </w:tcPr>
          <w:p w14:paraId="3853601E">
            <w:pPr>
              <w:snapToGrid w:val="0"/>
              <w:spacing w:line="400" w:lineRule="exact"/>
              <w:jc w:val="center"/>
              <w:textAlignment w:val="baseline"/>
              <w:rPr>
                <w:rFonts w:hint="eastAsia" w:ascii="仿宋" w:hAnsi="仿宋" w:eastAsia="仿宋" w:cs="仿宋"/>
                <w:color w:val="auto"/>
                <w:sz w:val="24"/>
                <w:highlight w:val="none"/>
              </w:rPr>
            </w:pPr>
          </w:p>
        </w:tc>
      </w:tr>
      <w:tr w14:paraId="6E095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398" w:type="dxa"/>
            <w:vMerge w:val="continue"/>
            <w:noWrap w:val="0"/>
            <w:vAlign w:val="center"/>
          </w:tcPr>
          <w:p w14:paraId="7F01F49B">
            <w:pPr>
              <w:snapToGrid w:val="0"/>
              <w:spacing w:line="400" w:lineRule="exact"/>
              <w:jc w:val="center"/>
              <w:textAlignment w:val="baseline"/>
              <w:rPr>
                <w:rFonts w:hint="eastAsia" w:ascii="仿宋" w:hAnsi="仿宋" w:eastAsia="仿宋" w:cs="仿宋"/>
                <w:color w:val="auto"/>
                <w:sz w:val="24"/>
                <w:highlight w:val="none"/>
              </w:rPr>
            </w:pPr>
          </w:p>
        </w:tc>
        <w:tc>
          <w:tcPr>
            <w:tcW w:w="741" w:type="dxa"/>
            <w:noWrap w:val="0"/>
            <w:vAlign w:val="center"/>
          </w:tcPr>
          <w:p w14:paraId="6A8CD23B">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59" w:type="dxa"/>
            <w:noWrap w:val="0"/>
            <w:vAlign w:val="center"/>
          </w:tcPr>
          <w:p w14:paraId="1D94E553">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08E9FEA9">
            <w:pPr>
              <w:snapToGrid w:val="0"/>
              <w:spacing w:line="400" w:lineRule="exact"/>
              <w:jc w:val="center"/>
              <w:textAlignment w:val="baseline"/>
              <w:rPr>
                <w:rFonts w:hint="eastAsia" w:ascii="仿宋" w:hAnsi="仿宋" w:eastAsia="仿宋" w:cs="仿宋"/>
                <w:color w:val="auto"/>
                <w:sz w:val="24"/>
                <w:highlight w:val="none"/>
              </w:rPr>
            </w:pPr>
          </w:p>
        </w:tc>
        <w:tc>
          <w:tcPr>
            <w:tcW w:w="860" w:type="dxa"/>
            <w:noWrap w:val="0"/>
            <w:vAlign w:val="center"/>
          </w:tcPr>
          <w:p w14:paraId="47CB4930">
            <w:pPr>
              <w:snapToGrid w:val="0"/>
              <w:spacing w:line="400" w:lineRule="exact"/>
              <w:jc w:val="center"/>
              <w:textAlignment w:val="baseline"/>
              <w:rPr>
                <w:rFonts w:hint="eastAsia" w:ascii="仿宋" w:hAnsi="仿宋" w:eastAsia="仿宋" w:cs="仿宋"/>
                <w:color w:val="auto"/>
                <w:sz w:val="24"/>
                <w:highlight w:val="none"/>
              </w:rPr>
            </w:pPr>
          </w:p>
        </w:tc>
        <w:tc>
          <w:tcPr>
            <w:tcW w:w="1129" w:type="dxa"/>
            <w:noWrap w:val="0"/>
            <w:vAlign w:val="center"/>
          </w:tcPr>
          <w:p w14:paraId="20C2ADCF">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4D0B9A07">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7B2065C9">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2E766542">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754B3154">
            <w:pPr>
              <w:snapToGrid w:val="0"/>
              <w:spacing w:line="400" w:lineRule="exact"/>
              <w:jc w:val="center"/>
              <w:textAlignment w:val="baseline"/>
              <w:rPr>
                <w:rFonts w:hint="eastAsia" w:ascii="仿宋" w:hAnsi="仿宋" w:eastAsia="仿宋" w:cs="仿宋"/>
                <w:color w:val="auto"/>
                <w:sz w:val="24"/>
                <w:highlight w:val="none"/>
              </w:rPr>
            </w:pPr>
          </w:p>
        </w:tc>
        <w:tc>
          <w:tcPr>
            <w:tcW w:w="591" w:type="dxa"/>
            <w:noWrap w:val="0"/>
            <w:vAlign w:val="center"/>
          </w:tcPr>
          <w:p w14:paraId="79256D06">
            <w:pPr>
              <w:snapToGrid w:val="0"/>
              <w:spacing w:line="400" w:lineRule="exact"/>
              <w:jc w:val="center"/>
              <w:textAlignment w:val="baseline"/>
              <w:rPr>
                <w:rFonts w:hint="eastAsia" w:ascii="仿宋" w:hAnsi="仿宋" w:eastAsia="仿宋" w:cs="仿宋"/>
                <w:color w:val="auto"/>
                <w:sz w:val="24"/>
                <w:highlight w:val="none"/>
              </w:rPr>
            </w:pPr>
          </w:p>
        </w:tc>
      </w:tr>
      <w:tr w14:paraId="0EF6F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1398" w:type="dxa"/>
            <w:noWrap w:val="0"/>
            <w:vAlign w:val="center"/>
          </w:tcPr>
          <w:p w14:paraId="705D74F9">
            <w:pPr>
              <w:snapToGrid w:val="0"/>
              <w:spacing w:line="400" w:lineRule="exact"/>
              <w:jc w:val="center"/>
              <w:textAlignment w:val="baseline"/>
              <w:rPr>
                <w:rFonts w:hint="eastAsia" w:ascii="仿宋" w:hAnsi="仿宋" w:eastAsia="仿宋" w:cs="仿宋"/>
                <w:color w:val="auto"/>
                <w:sz w:val="24"/>
                <w:highlight w:val="none"/>
              </w:rPr>
            </w:pPr>
          </w:p>
        </w:tc>
        <w:tc>
          <w:tcPr>
            <w:tcW w:w="7130" w:type="dxa"/>
            <w:gridSpan w:val="10"/>
            <w:noWrap w:val="0"/>
            <w:vAlign w:val="center"/>
          </w:tcPr>
          <w:p w14:paraId="529B2C91">
            <w:pPr>
              <w:snapToGrid w:val="0"/>
              <w:spacing w:line="400" w:lineRule="exact"/>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合计总价：               （此价格仅供参考）</w:t>
            </w:r>
          </w:p>
        </w:tc>
      </w:tr>
      <w:tr w14:paraId="60EAC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398" w:type="dxa"/>
            <w:vMerge w:val="restart"/>
            <w:noWrap w:val="0"/>
            <w:vAlign w:val="center"/>
          </w:tcPr>
          <w:p w14:paraId="698C56AC">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质保期外设备报价</w:t>
            </w:r>
          </w:p>
        </w:tc>
        <w:tc>
          <w:tcPr>
            <w:tcW w:w="741" w:type="dxa"/>
            <w:noWrap w:val="0"/>
            <w:vAlign w:val="center"/>
          </w:tcPr>
          <w:p w14:paraId="7EE640EB">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59" w:type="dxa"/>
            <w:noWrap w:val="0"/>
            <w:vAlign w:val="center"/>
          </w:tcPr>
          <w:p w14:paraId="41DA10F0">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1FE2406F">
            <w:pPr>
              <w:snapToGrid w:val="0"/>
              <w:spacing w:line="400" w:lineRule="exact"/>
              <w:jc w:val="center"/>
              <w:textAlignment w:val="baseline"/>
              <w:rPr>
                <w:rFonts w:hint="eastAsia" w:ascii="仿宋" w:hAnsi="仿宋" w:eastAsia="仿宋" w:cs="仿宋"/>
                <w:color w:val="auto"/>
                <w:sz w:val="24"/>
                <w:highlight w:val="none"/>
              </w:rPr>
            </w:pPr>
          </w:p>
        </w:tc>
        <w:tc>
          <w:tcPr>
            <w:tcW w:w="860" w:type="dxa"/>
            <w:noWrap w:val="0"/>
            <w:vAlign w:val="center"/>
          </w:tcPr>
          <w:p w14:paraId="7C1A3EEC">
            <w:pPr>
              <w:snapToGrid w:val="0"/>
              <w:spacing w:line="400" w:lineRule="exact"/>
              <w:jc w:val="center"/>
              <w:textAlignment w:val="baseline"/>
              <w:rPr>
                <w:rFonts w:hint="eastAsia" w:ascii="仿宋" w:hAnsi="仿宋" w:eastAsia="仿宋" w:cs="仿宋"/>
                <w:color w:val="auto"/>
                <w:sz w:val="24"/>
                <w:highlight w:val="none"/>
              </w:rPr>
            </w:pPr>
          </w:p>
        </w:tc>
        <w:tc>
          <w:tcPr>
            <w:tcW w:w="1129" w:type="dxa"/>
            <w:noWrap w:val="0"/>
            <w:vAlign w:val="center"/>
          </w:tcPr>
          <w:p w14:paraId="0166CC9B">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4A5CB7F0">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2B08DA76">
            <w:pPr>
              <w:snapToGrid w:val="0"/>
              <w:spacing w:line="400" w:lineRule="exact"/>
              <w:jc w:val="center"/>
              <w:textAlignment w:val="baseline"/>
              <w:rPr>
                <w:rFonts w:hint="eastAsia" w:ascii="仿宋" w:hAnsi="仿宋" w:eastAsia="仿宋" w:cs="仿宋"/>
                <w:color w:val="auto"/>
                <w:sz w:val="24"/>
                <w:highlight w:val="none"/>
              </w:rPr>
            </w:pPr>
          </w:p>
        </w:tc>
        <w:tc>
          <w:tcPr>
            <w:tcW w:w="590" w:type="dxa"/>
            <w:vMerge w:val="restart"/>
            <w:noWrap w:val="0"/>
            <w:vAlign w:val="center"/>
          </w:tcPr>
          <w:p w14:paraId="778DBDF1">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6A56582C">
            <w:pPr>
              <w:snapToGrid w:val="0"/>
              <w:spacing w:line="400" w:lineRule="exact"/>
              <w:jc w:val="center"/>
              <w:textAlignment w:val="baseline"/>
              <w:rPr>
                <w:rFonts w:hint="eastAsia" w:ascii="仿宋" w:hAnsi="仿宋" w:eastAsia="仿宋" w:cs="仿宋"/>
                <w:color w:val="auto"/>
                <w:sz w:val="24"/>
                <w:highlight w:val="none"/>
              </w:rPr>
            </w:pPr>
          </w:p>
        </w:tc>
        <w:tc>
          <w:tcPr>
            <w:tcW w:w="591" w:type="dxa"/>
            <w:noWrap w:val="0"/>
            <w:vAlign w:val="center"/>
          </w:tcPr>
          <w:p w14:paraId="3124B206">
            <w:pPr>
              <w:snapToGrid w:val="0"/>
              <w:spacing w:line="400" w:lineRule="exact"/>
              <w:jc w:val="center"/>
              <w:textAlignment w:val="baseline"/>
              <w:rPr>
                <w:rFonts w:hint="eastAsia" w:ascii="仿宋" w:hAnsi="仿宋" w:eastAsia="仿宋" w:cs="仿宋"/>
                <w:color w:val="auto"/>
                <w:sz w:val="24"/>
                <w:highlight w:val="none"/>
              </w:rPr>
            </w:pPr>
          </w:p>
        </w:tc>
      </w:tr>
      <w:tr w14:paraId="2813F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398" w:type="dxa"/>
            <w:vMerge w:val="continue"/>
            <w:noWrap w:val="0"/>
            <w:vAlign w:val="center"/>
          </w:tcPr>
          <w:p w14:paraId="0DA83570">
            <w:pPr>
              <w:snapToGrid w:val="0"/>
              <w:spacing w:line="400" w:lineRule="exact"/>
              <w:jc w:val="center"/>
              <w:textAlignment w:val="baseline"/>
              <w:rPr>
                <w:rFonts w:hint="eastAsia" w:ascii="仿宋" w:hAnsi="仿宋" w:eastAsia="仿宋" w:cs="仿宋"/>
                <w:color w:val="auto"/>
                <w:sz w:val="24"/>
                <w:highlight w:val="none"/>
              </w:rPr>
            </w:pPr>
          </w:p>
        </w:tc>
        <w:tc>
          <w:tcPr>
            <w:tcW w:w="741" w:type="dxa"/>
            <w:noWrap w:val="0"/>
            <w:vAlign w:val="center"/>
          </w:tcPr>
          <w:p w14:paraId="008A5C18">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59" w:type="dxa"/>
            <w:noWrap w:val="0"/>
            <w:vAlign w:val="center"/>
          </w:tcPr>
          <w:p w14:paraId="6D1AEE1D">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6F5812AA">
            <w:pPr>
              <w:snapToGrid w:val="0"/>
              <w:spacing w:line="400" w:lineRule="exact"/>
              <w:jc w:val="center"/>
              <w:textAlignment w:val="baseline"/>
              <w:rPr>
                <w:rFonts w:hint="eastAsia" w:ascii="仿宋" w:hAnsi="仿宋" w:eastAsia="仿宋" w:cs="仿宋"/>
                <w:color w:val="auto"/>
                <w:sz w:val="24"/>
                <w:highlight w:val="none"/>
              </w:rPr>
            </w:pPr>
          </w:p>
        </w:tc>
        <w:tc>
          <w:tcPr>
            <w:tcW w:w="860" w:type="dxa"/>
            <w:noWrap w:val="0"/>
            <w:vAlign w:val="center"/>
          </w:tcPr>
          <w:p w14:paraId="48483CE0">
            <w:pPr>
              <w:snapToGrid w:val="0"/>
              <w:spacing w:line="400" w:lineRule="exact"/>
              <w:jc w:val="center"/>
              <w:textAlignment w:val="baseline"/>
              <w:rPr>
                <w:rFonts w:hint="eastAsia" w:ascii="仿宋" w:hAnsi="仿宋" w:eastAsia="仿宋" w:cs="仿宋"/>
                <w:color w:val="auto"/>
                <w:sz w:val="24"/>
                <w:highlight w:val="none"/>
              </w:rPr>
            </w:pPr>
          </w:p>
        </w:tc>
        <w:tc>
          <w:tcPr>
            <w:tcW w:w="1129" w:type="dxa"/>
            <w:noWrap w:val="0"/>
            <w:vAlign w:val="center"/>
          </w:tcPr>
          <w:p w14:paraId="496FC75E">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689AA2F4">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63163BD2">
            <w:pPr>
              <w:snapToGrid w:val="0"/>
              <w:spacing w:line="400" w:lineRule="exact"/>
              <w:jc w:val="center"/>
              <w:textAlignment w:val="baseline"/>
              <w:rPr>
                <w:rFonts w:hint="eastAsia" w:ascii="仿宋" w:hAnsi="仿宋" w:eastAsia="仿宋" w:cs="仿宋"/>
                <w:color w:val="auto"/>
                <w:sz w:val="24"/>
                <w:highlight w:val="none"/>
              </w:rPr>
            </w:pPr>
          </w:p>
        </w:tc>
        <w:tc>
          <w:tcPr>
            <w:tcW w:w="590" w:type="dxa"/>
            <w:vMerge w:val="continue"/>
            <w:noWrap w:val="0"/>
            <w:vAlign w:val="center"/>
          </w:tcPr>
          <w:p w14:paraId="519A693A">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3C534843">
            <w:pPr>
              <w:snapToGrid w:val="0"/>
              <w:spacing w:line="400" w:lineRule="exact"/>
              <w:jc w:val="center"/>
              <w:textAlignment w:val="baseline"/>
              <w:rPr>
                <w:rFonts w:hint="eastAsia" w:ascii="仿宋" w:hAnsi="仿宋" w:eastAsia="仿宋" w:cs="仿宋"/>
                <w:color w:val="auto"/>
                <w:sz w:val="24"/>
                <w:highlight w:val="none"/>
              </w:rPr>
            </w:pPr>
          </w:p>
        </w:tc>
        <w:tc>
          <w:tcPr>
            <w:tcW w:w="591" w:type="dxa"/>
            <w:noWrap w:val="0"/>
            <w:vAlign w:val="center"/>
          </w:tcPr>
          <w:p w14:paraId="0ED68D41">
            <w:pPr>
              <w:snapToGrid w:val="0"/>
              <w:spacing w:line="400" w:lineRule="exact"/>
              <w:jc w:val="center"/>
              <w:textAlignment w:val="baseline"/>
              <w:rPr>
                <w:rFonts w:hint="eastAsia" w:ascii="仿宋" w:hAnsi="仿宋" w:eastAsia="仿宋" w:cs="仿宋"/>
                <w:color w:val="auto"/>
                <w:sz w:val="24"/>
                <w:highlight w:val="none"/>
              </w:rPr>
            </w:pPr>
          </w:p>
        </w:tc>
      </w:tr>
      <w:tr w14:paraId="56AC2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398" w:type="dxa"/>
            <w:vMerge w:val="continue"/>
            <w:noWrap w:val="0"/>
            <w:vAlign w:val="center"/>
          </w:tcPr>
          <w:p w14:paraId="52CCB448">
            <w:pPr>
              <w:snapToGrid w:val="0"/>
              <w:spacing w:line="400" w:lineRule="exact"/>
              <w:jc w:val="center"/>
              <w:textAlignment w:val="baseline"/>
              <w:rPr>
                <w:rFonts w:hint="eastAsia" w:ascii="仿宋" w:hAnsi="仿宋" w:eastAsia="仿宋" w:cs="仿宋"/>
                <w:color w:val="auto"/>
                <w:sz w:val="24"/>
                <w:highlight w:val="none"/>
              </w:rPr>
            </w:pPr>
          </w:p>
        </w:tc>
        <w:tc>
          <w:tcPr>
            <w:tcW w:w="741" w:type="dxa"/>
            <w:noWrap w:val="0"/>
            <w:vAlign w:val="center"/>
          </w:tcPr>
          <w:p w14:paraId="296FD98F">
            <w:pPr>
              <w:snapToGrid w:val="0"/>
              <w:spacing w:line="40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59" w:type="dxa"/>
            <w:noWrap w:val="0"/>
            <w:vAlign w:val="center"/>
          </w:tcPr>
          <w:p w14:paraId="51F5B61A">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4A267DB8">
            <w:pPr>
              <w:snapToGrid w:val="0"/>
              <w:spacing w:line="400" w:lineRule="exact"/>
              <w:jc w:val="center"/>
              <w:textAlignment w:val="baseline"/>
              <w:rPr>
                <w:rFonts w:hint="eastAsia" w:ascii="仿宋" w:hAnsi="仿宋" w:eastAsia="仿宋" w:cs="仿宋"/>
                <w:color w:val="auto"/>
                <w:sz w:val="24"/>
                <w:highlight w:val="none"/>
              </w:rPr>
            </w:pPr>
          </w:p>
        </w:tc>
        <w:tc>
          <w:tcPr>
            <w:tcW w:w="860" w:type="dxa"/>
            <w:noWrap w:val="0"/>
            <w:vAlign w:val="center"/>
          </w:tcPr>
          <w:p w14:paraId="788E7D42">
            <w:pPr>
              <w:snapToGrid w:val="0"/>
              <w:spacing w:line="400" w:lineRule="exact"/>
              <w:jc w:val="center"/>
              <w:textAlignment w:val="baseline"/>
              <w:rPr>
                <w:rFonts w:hint="eastAsia" w:ascii="仿宋" w:hAnsi="仿宋" w:eastAsia="仿宋" w:cs="仿宋"/>
                <w:color w:val="auto"/>
                <w:sz w:val="24"/>
                <w:highlight w:val="none"/>
              </w:rPr>
            </w:pPr>
          </w:p>
        </w:tc>
        <w:tc>
          <w:tcPr>
            <w:tcW w:w="1129" w:type="dxa"/>
            <w:noWrap w:val="0"/>
            <w:vAlign w:val="center"/>
          </w:tcPr>
          <w:p w14:paraId="649BFB5A">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68B0ACC3">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5127CC55">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1D277A13">
            <w:pPr>
              <w:snapToGrid w:val="0"/>
              <w:spacing w:line="400" w:lineRule="exact"/>
              <w:jc w:val="center"/>
              <w:textAlignment w:val="baseline"/>
              <w:rPr>
                <w:rFonts w:hint="eastAsia" w:ascii="仿宋" w:hAnsi="仿宋" w:eastAsia="仿宋" w:cs="仿宋"/>
                <w:color w:val="auto"/>
                <w:sz w:val="24"/>
                <w:highlight w:val="none"/>
              </w:rPr>
            </w:pPr>
          </w:p>
        </w:tc>
        <w:tc>
          <w:tcPr>
            <w:tcW w:w="590" w:type="dxa"/>
            <w:noWrap w:val="0"/>
            <w:vAlign w:val="center"/>
          </w:tcPr>
          <w:p w14:paraId="1DA6364B">
            <w:pPr>
              <w:snapToGrid w:val="0"/>
              <w:spacing w:line="400" w:lineRule="exact"/>
              <w:jc w:val="center"/>
              <w:textAlignment w:val="baseline"/>
              <w:rPr>
                <w:rFonts w:hint="eastAsia" w:ascii="仿宋" w:hAnsi="仿宋" w:eastAsia="仿宋" w:cs="仿宋"/>
                <w:color w:val="auto"/>
                <w:sz w:val="24"/>
                <w:highlight w:val="none"/>
              </w:rPr>
            </w:pPr>
          </w:p>
        </w:tc>
        <w:tc>
          <w:tcPr>
            <w:tcW w:w="591" w:type="dxa"/>
            <w:noWrap w:val="0"/>
            <w:vAlign w:val="center"/>
          </w:tcPr>
          <w:p w14:paraId="5DF1B800">
            <w:pPr>
              <w:snapToGrid w:val="0"/>
              <w:spacing w:line="400" w:lineRule="exact"/>
              <w:jc w:val="center"/>
              <w:textAlignment w:val="baseline"/>
              <w:rPr>
                <w:rFonts w:hint="eastAsia" w:ascii="仿宋" w:hAnsi="仿宋" w:eastAsia="仿宋" w:cs="仿宋"/>
                <w:color w:val="auto"/>
                <w:sz w:val="24"/>
                <w:highlight w:val="none"/>
              </w:rPr>
            </w:pPr>
          </w:p>
        </w:tc>
      </w:tr>
      <w:tr w14:paraId="20883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528" w:type="dxa"/>
            <w:gridSpan w:val="11"/>
            <w:noWrap w:val="0"/>
            <w:vAlign w:val="center"/>
          </w:tcPr>
          <w:p w14:paraId="539C4D8E">
            <w:pPr>
              <w:snapToGrid w:val="0"/>
              <w:spacing w:line="400" w:lineRule="exact"/>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总    价（元）：（</w:t>
            </w:r>
            <w:r>
              <w:rPr>
                <w:rFonts w:hint="eastAsia" w:ascii="仿宋" w:hAnsi="仿宋" w:eastAsia="仿宋" w:cs="仿宋"/>
                <w:b/>
                <w:bCs/>
                <w:color w:val="auto"/>
                <w:sz w:val="24"/>
                <w:highlight w:val="none"/>
              </w:rPr>
              <w:t>质保期外报价）</w:t>
            </w:r>
          </w:p>
        </w:tc>
      </w:tr>
    </w:tbl>
    <w:p w14:paraId="233F66CB">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名称（公章）：</w:t>
      </w:r>
    </w:p>
    <w:p w14:paraId="78F9ADDD">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 xml:space="preserve">法人或授权代表（签/章）：               </w:t>
      </w:r>
    </w:p>
    <w:p w14:paraId="01502348">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497E1CC1">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       期 ：   </w:t>
      </w:r>
    </w:p>
    <w:p w14:paraId="1869476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 表格长度方向可做扩展根据需求可补充相关资料，但不可减少。</w:t>
      </w:r>
    </w:p>
    <w:p w14:paraId="4F388BD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2、备品备件设备分项报价不合计于开标一览表总价，单独名列即可。</w:t>
      </w:r>
    </w:p>
    <w:p w14:paraId="4B6DD4D9">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3、备品备件分为两部分（1、质保期内免费的备品备件、2、质保期外备品备件报价）</w:t>
      </w:r>
    </w:p>
    <w:p w14:paraId="678DF19C">
      <w:pPr>
        <w:pStyle w:val="16"/>
        <w:snapToGrid w:val="0"/>
        <w:spacing w:line="400" w:lineRule="exact"/>
        <w:ind w:left="1080" w:leftChars="257" w:hanging="5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设备维修和维护过程中，用来更换已经磨损，不能继续使用或损坏零件和修复件。而为了缩短设备维修的停机维修时间，减少停机损失，供应质量优良的备件，可以保证修理质量和修理周期，提高设备的可靠性，有效率。备件管理工作的重点首先是满足关键设备对维修备件的需要，保证关键设备的正常运行， 尽量减少停机损失。</w:t>
      </w:r>
    </w:p>
    <w:p w14:paraId="5B8384CB">
      <w:pPr>
        <w:pStyle w:val="16"/>
        <w:spacing w:line="440" w:lineRule="exact"/>
        <w:ind w:left="1080" w:leftChars="257" w:hanging="540"/>
        <w:jc w:val="center"/>
        <w:rPr>
          <w:rFonts w:hint="eastAsia" w:ascii="仿宋" w:hAnsi="仿宋" w:eastAsia="仿宋" w:cs="仿宋"/>
          <w:bCs/>
          <w:color w:val="auto"/>
          <w:sz w:val="24"/>
          <w:highlight w:val="none"/>
        </w:rPr>
      </w:pPr>
    </w:p>
    <w:p w14:paraId="335586FC">
      <w:pPr>
        <w:pStyle w:val="16"/>
        <w:spacing w:line="440" w:lineRule="exact"/>
        <w:ind w:left="1080" w:leftChars="257" w:hanging="540"/>
        <w:jc w:val="center"/>
        <w:rPr>
          <w:rFonts w:hint="eastAsia" w:ascii="仿宋" w:hAnsi="仿宋" w:eastAsia="仿宋" w:cs="仿宋"/>
          <w:bCs/>
          <w:color w:val="auto"/>
          <w:sz w:val="24"/>
          <w:highlight w:val="none"/>
        </w:rPr>
        <w:sectPr>
          <w:pgSz w:w="11906" w:h="16838"/>
          <w:pgMar w:top="1440" w:right="1797" w:bottom="1440" w:left="1797" w:header="851" w:footer="992" w:gutter="0"/>
          <w:pgBorders>
            <w:top w:val="none" w:sz="0" w:space="0"/>
            <w:left w:val="none" w:sz="0" w:space="0"/>
            <w:bottom w:val="none" w:sz="0" w:space="0"/>
            <w:right w:val="none" w:sz="0" w:space="0"/>
          </w:pgBorders>
          <w:pgNumType w:start="29"/>
          <w:cols w:space="720" w:num="1"/>
          <w:docGrid w:linePitch="312" w:charSpace="0"/>
        </w:sectPr>
      </w:pPr>
    </w:p>
    <w:p w14:paraId="7400AD69">
      <w:pPr>
        <w:pStyle w:val="5"/>
        <w:spacing w:before="0" w:line="440" w:lineRule="exact"/>
        <w:ind w:left="1080" w:leftChars="257" w:hanging="540"/>
        <w:rPr>
          <w:rFonts w:hint="eastAsia" w:ascii="仿宋" w:hAnsi="仿宋" w:eastAsia="仿宋" w:cs="仿宋"/>
          <w:color w:val="auto"/>
          <w:sz w:val="24"/>
          <w:highlight w:val="none"/>
        </w:rPr>
      </w:pPr>
      <w:bookmarkStart w:id="441" w:name="_Toc216582817"/>
      <w:bookmarkStart w:id="442" w:name="_Toc13571"/>
      <w:bookmarkStart w:id="443" w:name="_Toc28959"/>
      <w:bookmarkStart w:id="444" w:name="_Toc22563"/>
      <w:bookmarkStart w:id="445" w:name="_Toc515647820"/>
      <w:bookmarkStart w:id="446" w:name="_Toc29780"/>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技术规格偏离表</w:t>
      </w:r>
      <w:bookmarkEnd w:id="441"/>
      <w:r>
        <w:rPr>
          <w:rFonts w:hint="eastAsia" w:ascii="仿宋" w:hAnsi="仿宋" w:eastAsia="仿宋" w:cs="仿宋"/>
          <w:color w:val="auto"/>
          <w:sz w:val="24"/>
          <w:highlight w:val="none"/>
        </w:rPr>
        <w:t>（响应文件格式九）</w:t>
      </w:r>
      <w:bookmarkEnd w:id="442"/>
      <w:bookmarkEnd w:id="443"/>
      <w:bookmarkEnd w:id="444"/>
      <w:bookmarkEnd w:id="445"/>
      <w:bookmarkEnd w:id="446"/>
    </w:p>
    <w:p w14:paraId="77F6DD37">
      <w:pPr>
        <w:pStyle w:val="16"/>
        <w:spacing w:line="440" w:lineRule="exact"/>
        <w:ind w:left="1080" w:leftChars="257" w:hanging="540"/>
        <w:rPr>
          <w:rFonts w:hint="eastAsia" w:ascii="仿宋" w:hAnsi="仿宋" w:eastAsia="仿宋" w:cs="仿宋"/>
          <w:bCs/>
          <w:color w:val="auto"/>
          <w:sz w:val="24"/>
          <w:highlight w:val="none"/>
        </w:rPr>
      </w:pPr>
    </w:p>
    <w:p w14:paraId="61E0CA53">
      <w:pPr>
        <w:pStyle w:val="16"/>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项目名称:                       项目编号:                 </w:t>
      </w:r>
    </w:p>
    <w:p w14:paraId="173B7DFF">
      <w:pPr>
        <w:pStyle w:val="16"/>
        <w:spacing w:line="440" w:lineRule="exact"/>
        <w:ind w:left="1080" w:leftChars="257" w:hanging="540"/>
        <w:rPr>
          <w:rFonts w:hint="eastAsia" w:ascii="仿宋" w:hAnsi="仿宋" w:eastAsia="仿宋" w:cs="仿宋"/>
          <w:bCs/>
          <w:color w:val="auto"/>
          <w:sz w:val="24"/>
          <w:highlight w:val="none"/>
        </w:rPr>
      </w:pPr>
    </w:p>
    <w:tbl>
      <w:tblPr>
        <w:tblStyle w:val="39"/>
        <w:tblW w:w="8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2340"/>
        <w:gridCol w:w="1260"/>
        <w:gridCol w:w="1260"/>
        <w:gridCol w:w="900"/>
        <w:gridCol w:w="900"/>
      </w:tblGrid>
      <w:tr w14:paraId="1B956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14:paraId="74F5B31F">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1260" w:type="dxa"/>
            <w:vAlign w:val="center"/>
          </w:tcPr>
          <w:p w14:paraId="19469E05">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货物名称</w:t>
            </w:r>
          </w:p>
        </w:tc>
        <w:tc>
          <w:tcPr>
            <w:tcW w:w="2340" w:type="dxa"/>
            <w:vAlign w:val="center"/>
          </w:tcPr>
          <w:p w14:paraId="01F7C89F">
            <w:pPr>
              <w:pStyle w:val="16"/>
              <w:spacing w:line="440" w:lineRule="exact"/>
              <w:ind w:left="269" w:leftChars="128"/>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谈判文件条款号</w:t>
            </w:r>
          </w:p>
        </w:tc>
        <w:tc>
          <w:tcPr>
            <w:tcW w:w="1260" w:type="dxa"/>
            <w:vAlign w:val="center"/>
          </w:tcPr>
          <w:p w14:paraId="5AAF5D97">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采购</w:t>
            </w:r>
            <w:r>
              <w:rPr>
                <w:rFonts w:hint="eastAsia" w:ascii="仿宋" w:hAnsi="仿宋" w:eastAsia="仿宋" w:cs="仿宋"/>
                <w:bCs/>
                <w:color w:val="auto"/>
                <w:sz w:val="24"/>
                <w:highlight w:val="none"/>
              </w:rPr>
              <w:t>规格</w:t>
            </w:r>
          </w:p>
        </w:tc>
        <w:tc>
          <w:tcPr>
            <w:tcW w:w="1260" w:type="dxa"/>
            <w:vAlign w:val="center"/>
          </w:tcPr>
          <w:p w14:paraId="6EF4287C">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响应</w:t>
            </w:r>
            <w:r>
              <w:rPr>
                <w:rFonts w:hint="eastAsia" w:ascii="仿宋" w:hAnsi="仿宋" w:eastAsia="仿宋" w:cs="仿宋"/>
                <w:bCs/>
                <w:color w:val="auto"/>
                <w:sz w:val="24"/>
                <w:highlight w:val="none"/>
              </w:rPr>
              <w:t>规格</w:t>
            </w:r>
          </w:p>
        </w:tc>
        <w:tc>
          <w:tcPr>
            <w:tcW w:w="900" w:type="dxa"/>
            <w:vAlign w:val="center"/>
          </w:tcPr>
          <w:p w14:paraId="1F644F89">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偏离</w:t>
            </w:r>
          </w:p>
        </w:tc>
        <w:tc>
          <w:tcPr>
            <w:tcW w:w="900" w:type="dxa"/>
            <w:vAlign w:val="center"/>
          </w:tcPr>
          <w:p w14:paraId="55938909">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w:t>
            </w:r>
          </w:p>
        </w:tc>
      </w:tr>
      <w:tr w14:paraId="1C127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CD4734B">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DFD8439">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0263F08F">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8E54FFE">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08C0F8F4">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12C8530">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2B19A3E0">
            <w:pPr>
              <w:pStyle w:val="16"/>
              <w:spacing w:line="440" w:lineRule="exact"/>
              <w:ind w:left="1080" w:leftChars="257" w:hanging="540"/>
              <w:rPr>
                <w:rFonts w:hint="eastAsia" w:ascii="仿宋" w:hAnsi="仿宋" w:eastAsia="仿宋" w:cs="仿宋"/>
                <w:bCs/>
                <w:color w:val="auto"/>
                <w:sz w:val="24"/>
                <w:highlight w:val="none"/>
              </w:rPr>
            </w:pPr>
          </w:p>
        </w:tc>
      </w:tr>
      <w:tr w14:paraId="6CA3C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322C0A8">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E96DDD7">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26C11045">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1E5E4EDC">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21DE6044">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9370A3C">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31620E4D">
            <w:pPr>
              <w:pStyle w:val="16"/>
              <w:spacing w:line="440" w:lineRule="exact"/>
              <w:ind w:left="1080" w:leftChars="257" w:hanging="540"/>
              <w:rPr>
                <w:rFonts w:hint="eastAsia" w:ascii="仿宋" w:hAnsi="仿宋" w:eastAsia="仿宋" w:cs="仿宋"/>
                <w:bCs/>
                <w:color w:val="auto"/>
                <w:sz w:val="24"/>
                <w:highlight w:val="none"/>
              </w:rPr>
            </w:pPr>
          </w:p>
        </w:tc>
      </w:tr>
      <w:tr w14:paraId="2191C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65E8D77">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7FFA4B8">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46DC8872">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1B623BC">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1EFD62CE">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22A0C587">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A7B4F96">
            <w:pPr>
              <w:pStyle w:val="16"/>
              <w:spacing w:line="440" w:lineRule="exact"/>
              <w:ind w:left="1080" w:leftChars="257" w:hanging="540"/>
              <w:rPr>
                <w:rFonts w:hint="eastAsia" w:ascii="仿宋" w:hAnsi="仿宋" w:eastAsia="仿宋" w:cs="仿宋"/>
                <w:bCs/>
                <w:color w:val="auto"/>
                <w:sz w:val="24"/>
                <w:highlight w:val="none"/>
              </w:rPr>
            </w:pPr>
          </w:p>
        </w:tc>
      </w:tr>
      <w:tr w14:paraId="3D97C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DAF4E27">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E16D005">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69A98E02">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58B39A4">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1603DFBA">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1025758">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00796CBC">
            <w:pPr>
              <w:pStyle w:val="16"/>
              <w:spacing w:line="440" w:lineRule="exact"/>
              <w:ind w:left="1080" w:leftChars="257" w:hanging="540"/>
              <w:rPr>
                <w:rFonts w:hint="eastAsia" w:ascii="仿宋" w:hAnsi="仿宋" w:eastAsia="仿宋" w:cs="仿宋"/>
                <w:bCs/>
                <w:color w:val="auto"/>
                <w:sz w:val="24"/>
                <w:highlight w:val="none"/>
              </w:rPr>
            </w:pPr>
          </w:p>
        </w:tc>
      </w:tr>
      <w:tr w14:paraId="1D843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29D5C68">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4B886FD8">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5EC96D72">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181EF4B">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6DDE83E">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66D91BA8">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401035B6">
            <w:pPr>
              <w:pStyle w:val="16"/>
              <w:spacing w:line="440" w:lineRule="exact"/>
              <w:ind w:left="1080" w:leftChars="257" w:hanging="540"/>
              <w:rPr>
                <w:rFonts w:hint="eastAsia" w:ascii="仿宋" w:hAnsi="仿宋" w:eastAsia="仿宋" w:cs="仿宋"/>
                <w:bCs/>
                <w:color w:val="auto"/>
                <w:sz w:val="24"/>
                <w:highlight w:val="none"/>
              </w:rPr>
            </w:pPr>
          </w:p>
        </w:tc>
      </w:tr>
      <w:tr w14:paraId="65AF3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E1361C4">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902DA92">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66A8EC8B">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2BA9B5F">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1DF93E9F">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328C5811">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4A069595">
            <w:pPr>
              <w:pStyle w:val="16"/>
              <w:spacing w:line="440" w:lineRule="exact"/>
              <w:ind w:left="1080" w:leftChars="257" w:hanging="540"/>
              <w:rPr>
                <w:rFonts w:hint="eastAsia" w:ascii="仿宋" w:hAnsi="仿宋" w:eastAsia="仿宋" w:cs="仿宋"/>
                <w:bCs/>
                <w:color w:val="auto"/>
                <w:sz w:val="24"/>
                <w:highlight w:val="none"/>
              </w:rPr>
            </w:pPr>
          </w:p>
        </w:tc>
      </w:tr>
      <w:tr w14:paraId="773D7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0598571">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2CCF9C6">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0A4E10A4">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A609342">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1490003">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9D1E2DA">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0ACC7096">
            <w:pPr>
              <w:pStyle w:val="16"/>
              <w:spacing w:line="440" w:lineRule="exact"/>
              <w:ind w:left="1080" w:leftChars="257" w:hanging="540"/>
              <w:rPr>
                <w:rFonts w:hint="eastAsia" w:ascii="仿宋" w:hAnsi="仿宋" w:eastAsia="仿宋" w:cs="仿宋"/>
                <w:bCs/>
                <w:color w:val="auto"/>
                <w:sz w:val="24"/>
                <w:highlight w:val="none"/>
              </w:rPr>
            </w:pPr>
          </w:p>
        </w:tc>
      </w:tr>
      <w:tr w14:paraId="44B3C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384371A5">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28DF89FD">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22836E21">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963AEBE">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854C9B9">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22C2988">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A3F72FA">
            <w:pPr>
              <w:pStyle w:val="16"/>
              <w:spacing w:line="440" w:lineRule="exact"/>
              <w:ind w:left="1080" w:leftChars="257" w:hanging="540"/>
              <w:rPr>
                <w:rFonts w:hint="eastAsia" w:ascii="仿宋" w:hAnsi="仿宋" w:eastAsia="仿宋" w:cs="仿宋"/>
                <w:bCs/>
                <w:color w:val="auto"/>
                <w:sz w:val="24"/>
                <w:highlight w:val="none"/>
              </w:rPr>
            </w:pPr>
          </w:p>
        </w:tc>
      </w:tr>
      <w:tr w14:paraId="1CB12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3CB32316">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02F526F0">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37153A47">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18108CD">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E85B2F3">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52A0724">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056932EA">
            <w:pPr>
              <w:pStyle w:val="16"/>
              <w:spacing w:line="440" w:lineRule="exact"/>
              <w:ind w:left="1080" w:leftChars="257" w:hanging="540"/>
              <w:rPr>
                <w:rFonts w:hint="eastAsia" w:ascii="仿宋" w:hAnsi="仿宋" w:eastAsia="仿宋" w:cs="仿宋"/>
                <w:bCs/>
                <w:color w:val="auto"/>
                <w:sz w:val="24"/>
                <w:highlight w:val="none"/>
              </w:rPr>
            </w:pPr>
          </w:p>
        </w:tc>
      </w:tr>
      <w:tr w14:paraId="2C987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5990FB8">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027B9B6D">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7F5746EA">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004CE36">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984402A">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779735D">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4001973B">
            <w:pPr>
              <w:pStyle w:val="16"/>
              <w:spacing w:line="440" w:lineRule="exact"/>
              <w:ind w:left="1080" w:leftChars="257" w:hanging="540"/>
              <w:rPr>
                <w:rFonts w:hint="eastAsia" w:ascii="仿宋" w:hAnsi="仿宋" w:eastAsia="仿宋" w:cs="仿宋"/>
                <w:bCs/>
                <w:color w:val="auto"/>
                <w:sz w:val="24"/>
                <w:highlight w:val="none"/>
              </w:rPr>
            </w:pPr>
          </w:p>
        </w:tc>
      </w:tr>
      <w:tr w14:paraId="24DFB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43907183">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19C0FB57">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04E00122">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0CD58579">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E6F90F9">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2D62EF3E">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4A4BE689">
            <w:pPr>
              <w:pStyle w:val="16"/>
              <w:spacing w:line="440" w:lineRule="exact"/>
              <w:ind w:left="1080" w:leftChars="257" w:hanging="540"/>
              <w:rPr>
                <w:rFonts w:hint="eastAsia" w:ascii="仿宋" w:hAnsi="仿宋" w:eastAsia="仿宋" w:cs="仿宋"/>
                <w:bCs/>
                <w:color w:val="auto"/>
                <w:sz w:val="24"/>
                <w:highlight w:val="none"/>
              </w:rPr>
            </w:pPr>
          </w:p>
        </w:tc>
      </w:tr>
      <w:tr w14:paraId="43A0A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B84BBEC">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40372C84">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2B80050B">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0311C2B">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5528B9D">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003A658">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3C6BAFB1">
            <w:pPr>
              <w:pStyle w:val="16"/>
              <w:spacing w:line="440" w:lineRule="exact"/>
              <w:ind w:left="1080" w:leftChars="257" w:hanging="540"/>
              <w:rPr>
                <w:rFonts w:hint="eastAsia" w:ascii="仿宋" w:hAnsi="仿宋" w:eastAsia="仿宋" w:cs="仿宋"/>
                <w:bCs/>
                <w:color w:val="auto"/>
                <w:sz w:val="24"/>
                <w:highlight w:val="none"/>
              </w:rPr>
            </w:pPr>
          </w:p>
        </w:tc>
      </w:tr>
      <w:tr w14:paraId="58E42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7DFE1D70">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9289B5C">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775BD956">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192BAEC0">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2D86B5C7">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2EB56E50">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14D116AE">
            <w:pPr>
              <w:pStyle w:val="16"/>
              <w:spacing w:line="440" w:lineRule="exact"/>
              <w:ind w:left="1080" w:leftChars="257" w:hanging="540"/>
              <w:rPr>
                <w:rFonts w:hint="eastAsia" w:ascii="仿宋" w:hAnsi="仿宋" w:eastAsia="仿宋" w:cs="仿宋"/>
                <w:bCs/>
                <w:color w:val="auto"/>
                <w:sz w:val="24"/>
                <w:highlight w:val="none"/>
              </w:rPr>
            </w:pPr>
          </w:p>
        </w:tc>
      </w:tr>
      <w:tr w14:paraId="0945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D260D8B">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22F6524">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4E3BFCE6">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E4AB195">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2607EE53">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17D5625D">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25A4EE7B">
            <w:pPr>
              <w:pStyle w:val="16"/>
              <w:spacing w:line="440" w:lineRule="exact"/>
              <w:ind w:left="1080" w:leftChars="257" w:hanging="540"/>
              <w:rPr>
                <w:rFonts w:hint="eastAsia" w:ascii="仿宋" w:hAnsi="仿宋" w:eastAsia="仿宋" w:cs="仿宋"/>
                <w:bCs/>
                <w:color w:val="auto"/>
                <w:sz w:val="24"/>
                <w:highlight w:val="none"/>
              </w:rPr>
            </w:pPr>
          </w:p>
        </w:tc>
      </w:tr>
      <w:tr w14:paraId="0D606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3FDFA59E">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25F8017">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681FF224">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F07503F">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EA56AAF">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E09FD30">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3C7ED49C">
            <w:pPr>
              <w:pStyle w:val="16"/>
              <w:spacing w:line="440" w:lineRule="exact"/>
              <w:ind w:left="1080" w:leftChars="257" w:hanging="540"/>
              <w:rPr>
                <w:rFonts w:hint="eastAsia" w:ascii="仿宋" w:hAnsi="仿宋" w:eastAsia="仿宋" w:cs="仿宋"/>
                <w:bCs/>
                <w:color w:val="auto"/>
                <w:sz w:val="24"/>
                <w:highlight w:val="none"/>
              </w:rPr>
            </w:pPr>
          </w:p>
        </w:tc>
      </w:tr>
      <w:tr w14:paraId="5A062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F34F164">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39E9C888">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71CE7510">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2459798">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2D24DB3D">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FDFAFEB">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FC64270">
            <w:pPr>
              <w:pStyle w:val="16"/>
              <w:spacing w:line="440" w:lineRule="exact"/>
              <w:ind w:left="1080" w:leftChars="257" w:hanging="540"/>
              <w:rPr>
                <w:rFonts w:hint="eastAsia" w:ascii="仿宋" w:hAnsi="仿宋" w:eastAsia="仿宋" w:cs="仿宋"/>
                <w:bCs/>
                <w:color w:val="auto"/>
                <w:sz w:val="24"/>
                <w:highlight w:val="none"/>
              </w:rPr>
            </w:pPr>
          </w:p>
        </w:tc>
      </w:tr>
      <w:tr w14:paraId="72994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4E97BC60">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6527C2A1">
            <w:pPr>
              <w:pStyle w:val="16"/>
              <w:spacing w:line="440" w:lineRule="exact"/>
              <w:ind w:left="1080" w:leftChars="257" w:hanging="540"/>
              <w:rPr>
                <w:rFonts w:hint="eastAsia" w:ascii="仿宋" w:hAnsi="仿宋" w:eastAsia="仿宋" w:cs="仿宋"/>
                <w:bCs/>
                <w:color w:val="auto"/>
                <w:sz w:val="24"/>
                <w:highlight w:val="none"/>
              </w:rPr>
            </w:pPr>
          </w:p>
        </w:tc>
        <w:tc>
          <w:tcPr>
            <w:tcW w:w="2340" w:type="dxa"/>
          </w:tcPr>
          <w:p w14:paraId="0049E28D">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7E304AA8">
            <w:pPr>
              <w:pStyle w:val="16"/>
              <w:spacing w:line="440" w:lineRule="exact"/>
              <w:ind w:left="1080" w:leftChars="257" w:hanging="540"/>
              <w:rPr>
                <w:rFonts w:hint="eastAsia" w:ascii="仿宋" w:hAnsi="仿宋" w:eastAsia="仿宋" w:cs="仿宋"/>
                <w:bCs/>
                <w:color w:val="auto"/>
                <w:sz w:val="24"/>
                <w:highlight w:val="none"/>
              </w:rPr>
            </w:pPr>
          </w:p>
        </w:tc>
        <w:tc>
          <w:tcPr>
            <w:tcW w:w="1260" w:type="dxa"/>
          </w:tcPr>
          <w:p w14:paraId="545D324C">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629A103F">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095F6623">
            <w:pPr>
              <w:pStyle w:val="16"/>
              <w:spacing w:line="440" w:lineRule="exact"/>
              <w:ind w:left="1080" w:leftChars="257" w:hanging="540"/>
              <w:rPr>
                <w:rFonts w:hint="eastAsia" w:ascii="仿宋" w:hAnsi="仿宋" w:eastAsia="仿宋" w:cs="仿宋"/>
                <w:bCs/>
                <w:color w:val="auto"/>
                <w:sz w:val="24"/>
                <w:highlight w:val="none"/>
              </w:rPr>
            </w:pPr>
          </w:p>
        </w:tc>
      </w:tr>
    </w:tbl>
    <w:p w14:paraId="76C9F4B8">
      <w:pPr>
        <w:pStyle w:val="16"/>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注:对谈判文件</w:t>
      </w:r>
      <w:r>
        <w:rPr>
          <w:rFonts w:hint="eastAsia" w:ascii="仿宋" w:hAnsi="仿宋" w:eastAsia="仿宋" w:cs="仿宋"/>
          <w:bCs/>
          <w:color w:val="auto"/>
          <w:sz w:val="24"/>
          <w:highlight w:val="none"/>
          <w:lang w:val="en-US" w:eastAsia="zh-CN"/>
        </w:rPr>
        <w:t>技术</w:t>
      </w:r>
      <w:r>
        <w:rPr>
          <w:rFonts w:hint="eastAsia" w:ascii="仿宋" w:hAnsi="仿宋" w:eastAsia="仿宋" w:cs="仿宋"/>
          <w:bCs/>
          <w:color w:val="auto"/>
          <w:sz w:val="24"/>
          <w:highlight w:val="none"/>
        </w:rPr>
        <w:t>响应有任何偏离应列明，如无请并标明“无偏离”</w:t>
      </w:r>
    </w:p>
    <w:p w14:paraId="3293A97C">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法定代表人或其委托代理人（签/章）:</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rPr>
        <w:tab/>
      </w:r>
      <w:r>
        <w:rPr>
          <w:rFonts w:hint="eastAsia" w:ascii="仿宋" w:hAnsi="仿宋" w:eastAsia="仿宋" w:cs="仿宋"/>
          <w:bCs/>
          <w:color w:val="auto"/>
          <w:sz w:val="24"/>
          <w:highlight w:val="none"/>
          <w:u w:val="single"/>
        </w:rPr>
        <w:t xml:space="preserve">                 </w:t>
      </w:r>
    </w:p>
    <w:p w14:paraId="4E2D7832">
      <w:pPr>
        <w:pStyle w:val="16"/>
        <w:tabs>
          <w:tab w:val="left" w:pos="5370"/>
        </w:tabs>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供应商(公章):</w:t>
      </w:r>
      <w:r>
        <w:rPr>
          <w:rFonts w:hint="eastAsia" w:ascii="仿宋" w:hAnsi="仿宋" w:eastAsia="仿宋" w:cs="仿宋"/>
          <w:bCs/>
          <w:color w:val="auto"/>
          <w:sz w:val="24"/>
          <w:highlight w:val="none"/>
          <w:u w:val="single"/>
        </w:rPr>
        <w:tab/>
      </w:r>
    </w:p>
    <w:p w14:paraId="1CB8729F">
      <w:pPr>
        <w:pStyle w:val="5"/>
        <w:spacing w:before="0" w:line="440" w:lineRule="exact"/>
        <w:ind w:left="1080" w:leftChars="257" w:hanging="540"/>
        <w:rPr>
          <w:rFonts w:hint="eastAsia" w:ascii="仿宋" w:hAnsi="仿宋" w:eastAsia="仿宋" w:cs="仿宋"/>
          <w:color w:val="auto"/>
          <w:sz w:val="24"/>
          <w:highlight w:val="none"/>
        </w:rPr>
      </w:pPr>
      <w:bookmarkStart w:id="447" w:name="_Toc216582818"/>
      <w:bookmarkStart w:id="448" w:name="_Toc23"/>
      <w:bookmarkStart w:id="449" w:name="_Toc1980"/>
      <w:bookmarkStart w:id="450" w:name="_Toc515647821"/>
      <w:bookmarkStart w:id="451" w:name="_Toc28374"/>
      <w:r>
        <w:rPr>
          <w:rFonts w:hint="eastAsia" w:ascii="仿宋" w:hAnsi="仿宋" w:eastAsia="仿宋" w:cs="仿宋"/>
          <w:color w:val="auto"/>
          <w:sz w:val="24"/>
          <w:highlight w:val="none"/>
        </w:rPr>
        <w:br w:type="page"/>
      </w:r>
      <w:bookmarkStart w:id="452" w:name="_Toc22535"/>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商务条款偏离表</w:t>
      </w:r>
      <w:bookmarkEnd w:id="447"/>
      <w:r>
        <w:rPr>
          <w:rFonts w:hint="eastAsia" w:ascii="仿宋" w:hAnsi="仿宋" w:eastAsia="仿宋" w:cs="仿宋"/>
          <w:color w:val="auto"/>
          <w:sz w:val="24"/>
          <w:highlight w:val="none"/>
        </w:rPr>
        <w:t>（响应文件格式十）</w:t>
      </w:r>
      <w:bookmarkEnd w:id="448"/>
      <w:bookmarkEnd w:id="449"/>
      <w:bookmarkEnd w:id="450"/>
      <w:bookmarkEnd w:id="451"/>
      <w:bookmarkEnd w:id="452"/>
    </w:p>
    <w:p w14:paraId="0AD96532">
      <w:pPr>
        <w:pStyle w:val="16"/>
        <w:spacing w:line="440" w:lineRule="exact"/>
        <w:ind w:left="1080" w:leftChars="257" w:hanging="540"/>
        <w:rPr>
          <w:rFonts w:hint="eastAsia" w:ascii="仿宋" w:hAnsi="仿宋" w:eastAsia="仿宋" w:cs="仿宋"/>
          <w:bCs/>
          <w:color w:val="auto"/>
          <w:sz w:val="24"/>
          <w:highlight w:val="none"/>
        </w:rPr>
      </w:pPr>
    </w:p>
    <w:p w14:paraId="63F05FC5">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项目名称:                      项目编号:             </w:t>
      </w:r>
    </w:p>
    <w:p w14:paraId="183D1351">
      <w:pPr>
        <w:pStyle w:val="16"/>
        <w:spacing w:line="440" w:lineRule="exact"/>
        <w:ind w:left="1080" w:leftChars="257" w:hanging="540"/>
        <w:rPr>
          <w:rFonts w:hint="eastAsia" w:ascii="仿宋" w:hAnsi="仿宋" w:eastAsia="仿宋" w:cs="仿宋"/>
          <w:bCs/>
          <w:color w:val="auto"/>
          <w:sz w:val="24"/>
          <w:highlight w:val="none"/>
        </w:rPr>
      </w:pPr>
    </w:p>
    <w:tbl>
      <w:tblPr>
        <w:tblStyle w:val="39"/>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1EC4F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74C62DD">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2040" w:type="dxa"/>
          </w:tcPr>
          <w:p w14:paraId="4470ADE9">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谈判文件条款号</w:t>
            </w:r>
          </w:p>
        </w:tc>
        <w:tc>
          <w:tcPr>
            <w:tcW w:w="2520" w:type="dxa"/>
          </w:tcPr>
          <w:p w14:paraId="77625E15">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谈判文件的商务条款</w:t>
            </w:r>
          </w:p>
        </w:tc>
        <w:tc>
          <w:tcPr>
            <w:tcW w:w="2520" w:type="dxa"/>
          </w:tcPr>
          <w:p w14:paraId="06ADDB69">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响应文件的商务条款</w:t>
            </w:r>
          </w:p>
        </w:tc>
        <w:tc>
          <w:tcPr>
            <w:tcW w:w="900" w:type="dxa"/>
          </w:tcPr>
          <w:p w14:paraId="574ABEE0">
            <w:pPr>
              <w:pStyle w:val="16"/>
              <w:spacing w:line="44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w:t>
            </w:r>
          </w:p>
        </w:tc>
      </w:tr>
      <w:tr w14:paraId="150A4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D51B3AC">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12700BDE">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1953CE6D">
            <w:pPr>
              <w:pStyle w:val="16"/>
              <w:spacing w:line="440" w:lineRule="exact"/>
              <w:ind w:left="1080" w:leftChars="257" w:hanging="540"/>
              <w:jc w:val="center"/>
              <w:rPr>
                <w:rFonts w:hint="eastAsia" w:ascii="仿宋" w:hAnsi="仿宋" w:eastAsia="仿宋" w:cs="仿宋"/>
                <w:bCs/>
                <w:color w:val="auto"/>
                <w:sz w:val="24"/>
                <w:highlight w:val="none"/>
              </w:rPr>
            </w:pPr>
          </w:p>
        </w:tc>
        <w:tc>
          <w:tcPr>
            <w:tcW w:w="2520" w:type="dxa"/>
          </w:tcPr>
          <w:p w14:paraId="4F41C913">
            <w:pPr>
              <w:pStyle w:val="16"/>
              <w:spacing w:line="440" w:lineRule="exact"/>
              <w:ind w:left="1080" w:leftChars="257" w:hanging="540"/>
              <w:jc w:val="center"/>
              <w:rPr>
                <w:rFonts w:hint="eastAsia" w:ascii="仿宋" w:hAnsi="仿宋" w:eastAsia="仿宋" w:cs="仿宋"/>
                <w:bCs/>
                <w:color w:val="auto"/>
                <w:sz w:val="24"/>
                <w:highlight w:val="none"/>
              </w:rPr>
            </w:pPr>
          </w:p>
        </w:tc>
        <w:tc>
          <w:tcPr>
            <w:tcW w:w="900" w:type="dxa"/>
          </w:tcPr>
          <w:p w14:paraId="2577F2AD">
            <w:pPr>
              <w:pStyle w:val="16"/>
              <w:spacing w:line="440" w:lineRule="exact"/>
              <w:ind w:left="1080" w:leftChars="257" w:hanging="540"/>
              <w:rPr>
                <w:rFonts w:hint="eastAsia" w:ascii="仿宋" w:hAnsi="仿宋" w:eastAsia="仿宋" w:cs="仿宋"/>
                <w:bCs/>
                <w:color w:val="auto"/>
                <w:sz w:val="24"/>
                <w:highlight w:val="none"/>
              </w:rPr>
            </w:pPr>
          </w:p>
        </w:tc>
      </w:tr>
      <w:tr w14:paraId="14DC3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66F0313">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434AA5F3">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7F23E9B8">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4B45C9D9">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95D9516">
            <w:pPr>
              <w:pStyle w:val="16"/>
              <w:spacing w:line="440" w:lineRule="exact"/>
              <w:ind w:left="1080" w:leftChars="257" w:hanging="540"/>
              <w:rPr>
                <w:rFonts w:hint="eastAsia" w:ascii="仿宋" w:hAnsi="仿宋" w:eastAsia="仿宋" w:cs="仿宋"/>
                <w:bCs/>
                <w:color w:val="auto"/>
                <w:sz w:val="24"/>
                <w:highlight w:val="none"/>
              </w:rPr>
            </w:pPr>
          </w:p>
        </w:tc>
      </w:tr>
      <w:tr w14:paraId="667A4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D8AB69C">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25EFB0F1">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2A0309D8">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7D47EAF2">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602BEB94">
            <w:pPr>
              <w:pStyle w:val="16"/>
              <w:spacing w:line="440" w:lineRule="exact"/>
              <w:ind w:left="1080" w:leftChars="257" w:hanging="540"/>
              <w:rPr>
                <w:rFonts w:hint="eastAsia" w:ascii="仿宋" w:hAnsi="仿宋" w:eastAsia="仿宋" w:cs="仿宋"/>
                <w:bCs/>
                <w:color w:val="auto"/>
                <w:sz w:val="24"/>
                <w:highlight w:val="none"/>
              </w:rPr>
            </w:pPr>
          </w:p>
        </w:tc>
      </w:tr>
      <w:tr w14:paraId="0C7AB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1A05334">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42992E24">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3ADEBDEF">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1A18EAAB">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6A79115">
            <w:pPr>
              <w:pStyle w:val="16"/>
              <w:spacing w:line="440" w:lineRule="exact"/>
              <w:ind w:left="1080" w:leftChars="257" w:hanging="540"/>
              <w:rPr>
                <w:rFonts w:hint="eastAsia" w:ascii="仿宋" w:hAnsi="仿宋" w:eastAsia="仿宋" w:cs="仿宋"/>
                <w:bCs/>
                <w:color w:val="auto"/>
                <w:sz w:val="24"/>
                <w:highlight w:val="none"/>
              </w:rPr>
            </w:pPr>
          </w:p>
        </w:tc>
      </w:tr>
      <w:tr w14:paraId="1704F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5F6184B">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1039A5B8">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61201260">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49E1F4DB">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13561C7">
            <w:pPr>
              <w:pStyle w:val="16"/>
              <w:spacing w:line="440" w:lineRule="exact"/>
              <w:ind w:left="1080" w:leftChars="257" w:hanging="540"/>
              <w:rPr>
                <w:rFonts w:hint="eastAsia" w:ascii="仿宋" w:hAnsi="仿宋" w:eastAsia="仿宋" w:cs="仿宋"/>
                <w:bCs/>
                <w:color w:val="auto"/>
                <w:sz w:val="24"/>
                <w:highlight w:val="none"/>
              </w:rPr>
            </w:pPr>
          </w:p>
        </w:tc>
      </w:tr>
      <w:tr w14:paraId="0D499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D92375D">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19B033BD">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10EE45D7">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1FD341A0">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2427DC6">
            <w:pPr>
              <w:pStyle w:val="16"/>
              <w:spacing w:line="440" w:lineRule="exact"/>
              <w:ind w:left="1080" w:leftChars="257" w:hanging="540"/>
              <w:rPr>
                <w:rFonts w:hint="eastAsia" w:ascii="仿宋" w:hAnsi="仿宋" w:eastAsia="仿宋" w:cs="仿宋"/>
                <w:bCs/>
                <w:color w:val="auto"/>
                <w:sz w:val="24"/>
                <w:highlight w:val="none"/>
              </w:rPr>
            </w:pPr>
          </w:p>
        </w:tc>
      </w:tr>
      <w:tr w14:paraId="12AA3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034441A">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48712D84">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3471194F">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506401F1">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3CF7F30">
            <w:pPr>
              <w:pStyle w:val="16"/>
              <w:spacing w:line="440" w:lineRule="exact"/>
              <w:ind w:left="1080" w:leftChars="257" w:hanging="540"/>
              <w:rPr>
                <w:rFonts w:hint="eastAsia" w:ascii="仿宋" w:hAnsi="仿宋" w:eastAsia="仿宋" w:cs="仿宋"/>
                <w:bCs/>
                <w:color w:val="auto"/>
                <w:sz w:val="24"/>
                <w:highlight w:val="none"/>
              </w:rPr>
            </w:pPr>
          </w:p>
        </w:tc>
      </w:tr>
      <w:tr w14:paraId="62CC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82236D3">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73DCBA87">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558EB126">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328CD534">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08B85757">
            <w:pPr>
              <w:pStyle w:val="16"/>
              <w:spacing w:line="440" w:lineRule="exact"/>
              <w:ind w:left="1080" w:leftChars="257" w:hanging="540"/>
              <w:rPr>
                <w:rFonts w:hint="eastAsia" w:ascii="仿宋" w:hAnsi="仿宋" w:eastAsia="仿宋" w:cs="仿宋"/>
                <w:bCs/>
                <w:color w:val="auto"/>
                <w:sz w:val="24"/>
                <w:highlight w:val="none"/>
              </w:rPr>
            </w:pPr>
          </w:p>
        </w:tc>
      </w:tr>
      <w:tr w14:paraId="48E11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35B0298">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2B0AC352">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6BFD7013">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67B8E7F4">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D40B32A">
            <w:pPr>
              <w:pStyle w:val="16"/>
              <w:spacing w:line="440" w:lineRule="exact"/>
              <w:ind w:left="1080" w:leftChars="257" w:hanging="540"/>
              <w:rPr>
                <w:rFonts w:hint="eastAsia" w:ascii="仿宋" w:hAnsi="仿宋" w:eastAsia="仿宋" w:cs="仿宋"/>
                <w:bCs/>
                <w:color w:val="auto"/>
                <w:sz w:val="24"/>
                <w:highlight w:val="none"/>
              </w:rPr>
            </w:pPr>
          </w:p>
        </w:tc>
      </w:tr>
      <w:tr w14:paraId="4BC44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1C10B1E">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1D3B039F">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5869E5D8">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66833532">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9F07A2C">
            <w:pPr>
              <w:pStyle w:val="16"/>
              <w:spacing w:line="440" w:lineRule="exact"/>
              <w:ind w:left="1080" w:leftChars="257" w:hanging="540"/>
              <w:rPr>
                <w:rFonts w:hint="eastAsia" w:ascii="仿宋" w:hAnsi="仿宋" w:eastAsia="仿宋" w:cs="仿宋"/>
                <w:bCs/>
                <w:color w:val="auto"/>
                <w:sz w:val="24"/>
                <w:highlight w:val="none"/>
              </w:rPr>
            </w:pPr>
          </w:p>
        </w:tc>
      </w:tr>
      <w:tr w14:paraId="5BC55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2B64D7F">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2DEB7A81">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2F288C09">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012B306A">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696AAE77">
            <w:pPr>
              <w:pStyle w:val="16"/>
              <w:spacing w:line="440" w:lineRule="exact"/>
              <w:ind w:left="1080" w:leftChars="257" w:hanging="540"/>
              <w:rPr>
                <w:rFonts w:hint="eastAsia" w:ascii="仿宋" w:hAnsi="仿宋" w:eastAsia="仿宋" w:cs="仿宋"/>
                <w:bCs/>
                <w:color w:val="auto"/>
                <w:sz w:val="24"/>
                <w:highlight w:val="none"/>
              </w:rPr>
            </w:pPr>
          </w:p>
        </w:tc>
      </w:tr>
      <w:tr w14:paraId="2822C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70199D7">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3A3C01E6">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04AC3EE3">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3E8B1DE3">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39E1F01">
            <w:pPr>
              <w:pStyle w:val="16"/>
              <w:spacing w:line="440" w:lineRule="exact"/>
              <w:ind w:left="1080" w:leftChars="257" w:hanging="540"/>
              <w:rPr>
                <w:rFonts w:hint="eastAsia" w:ascii="仿宋" w:hAnsi="仿宋" w:eastAsia="仿宋" w:cs="仿宋"/>
                <w:bCs/>
                <w:color w:val="auto"/>
                <w:sz w:val="24"/>
                <w:highlight w:val="none"/>
              </w:rPr>
            </w:pPr>
          </w:p>
        </w:tc>
      </w:tr>
      <w:tr w14:paraId="2374A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B1138F0">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19BB56E4">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3F86D5E6">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4FE857F6">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3B280836">
            <w:pPr>
              <w:pStyle w:val="16"/>
              <w:spacing w:line="440" w:lineRule="exact"/>
              <w:ind w:left="1080" w:leftChars="257" w:hanging="540"/>
              <w:rPr>
                <w:rFonts w:hint="eastAsia" w:ascii="仿宋" w:hAnsi="仿宋" w:eastAsia="仿宋" w:cs="仿宋"/>
                <w:bCs/>
                <w:color w:val="auto"/>
                <w:sz w:val="24"/>
                <w:highlight w:val="none"/>
              </w:rPr>
            </w:pPr>
          </w:p>
        </w:tc>
      </w:tr>
      <w:tr w14:paraId="47012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4E03243">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1D161F72">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2D94DB0F">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17C61470">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73A039F0">
            <w:pPr>
              <w:pStyle w:val="16"/>
              <w:spacing w:line="440" w:lineRule="exact"/>
              <w:ind w:left="1080" w:leftChars="257" w:hanging="540"/>
              <w:rPr>
                <w:rFonts w:hint="eastAsia" w:ascii="仿宋" w:hAnsi="仿宋" w:eastAsia="仿宋" w:cs="仿宋"/>
                <w:bCs/>
                <w:color w:val="auto"/>
                <w:sz w:val="24"/>
                <w:highlight w:val="none"/>
              </w:rPr>
            </w:pPr>
          </w:p>
        </w:tc>
      </w:tr>
      <w:tr w14:paraId="21890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548C5E7">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7CF90809">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29D47854">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2B3E55C5">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59BE6BB4">
            <w:pPr>
              <w:pStyle w:val="16"/>
              <w:spacing w:line="440" w:lineRule="exact"/>
              <w:ind w:left="1080" w:leftChars="257" w:hanging="540"/>
              <w:rPr>
                <w:rFonts w:hint="eastAsia" w:ascii="仿宋" w:hAnsi="仿宋" w:eastAsia="仿宋" w:cs="仿宋"/>
                <w:bCs/>
                <w:color w:val="auto"/>
                <w:sz w:val="24"/>
                <w:highlight w:val="none"/>
              </w:rPr>
            </w:pPr>
          </w:p>
        </w:tc>
      </w:tr>
      <w:tr w14:paraId="262A8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47005A0">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410867C5">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61EF1B79">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424C87B6">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11E70A0D">
            <w:pPr>
              <w:pStyle w:val="16"/>
              <w:spacing w:line="440" w:lineRule="exact"/>
              <w:ind w:left="1080" w:leftChars="257" w:hanging="540"/>
              <w:rPr>
                <w:rFonts w:hint="eastAsia" w:ascii="仿宋" w:hAnsi="仿宋" w:eastAsia="仿宋" w:cs="仿宋"/>
                <w:bCs/>
                <w:color w:val="auto"/>
                <w:sz w:val="24"/>
                <w:highlight w:val="none"/>
              </w:rPr>
            </w:pPr>
          </w:p>
        </w:tc>
      </w:tr>
      <w:tr w14:paraId="6154A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334AF6C">
            <w:pPr>
              <w:pStyle w:val="16"/>
              <w:spacing w:line="440" w:lineRule="exact"/>
              <w:ind w:left="1080" w:leftChars="257" w:hanging="540"/>
              <w:rPr>
                <w:rFonts w:hint="eastAsia" w:ascii="仿宋" w:hAnsi="仿宋" w:eastAsia="仿宋" w:cs="仿宋"/>
                <w:bCs/>
                <w:color w:val="auto"/>
                <w:sz w:val="24"/>
                <w:highlight w:val="none"/>
              </w:rPr>
            </w:pPr>
          </w:p>
        </w:tc>
        <w:tc>
          <w:tcPr>
            <w:tcW w:w="2040" w:type="dxa"/>
          </w:tcPr>
          <w:p w14:paraId="7DCE43DD">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0DEB5F45">
            <w:pPr>
              <w:pStyle w:val="16"/>
              <w:spacing w:line="440" w:lineRule="exact"/>
              <w:ind w:left="1080" w:leftChars="257" w:hanging="540"/>
              <w:rPr>
                <w:rFonts w:hint="eastAsia" w:ascii="仿宋" w:hAnsi="仿宋" w:eastAsia="仿宋" w:cs="仿宋"/>
                <w:bCs/>
                <w:color w:val="auto"/>
                <w:sz w:val="24"/>
                <w:highlight w:val="none"/>
              </w:rPr>
            </w:pPr>
          </w:p>
        </w:tc>
        <w:tc>
          <w:tcPr>
            <w:tcW w:w="2520" w:type="dxa"/>
          </w:tcPr>
          <w:p w14:paraId="41FB2CC1">
            <w:pPr>
              <w:pStyle w:val="16"/>
              <w:spacing w:line="440" w:lineRule="exact"/>
              <w:ind w:left="1080" w:leftChars="257" w:hanging="540"/>
              <w:rPr>
                <w:rFonts w:hint="eastAsia" w:ascii="仿宋" w:hAnsi="仿宋" w:eastAsia="仿宋" w:cs="仿宋"/>
                <w:bCs/>
                <w:color w:val="auto"/>
                <w:sz w:val="24"/>
                <w:highlight w:val="none"/>
              </w:rPr>
            </w:pPr>
          </w:p>
        </w:tc>
        <w:tc>
          <w:tcPr>
            <w:tcW w:w="900" w:type="dxa"/>
          </w:tcPr>
          <w:p w14:paraId="096C91DC">
            <w:pPr>
              <w:pStyle w:val="16"/>
              <w:spacing w:line="440" w:lineRule="exact"/>
              <w:ind w:left="1080" w:leftChars="257" w:hanging="540"/>
              <w:rPr>
                <w:rFonts w:hint="eastAsia" w:ascii="仿宋" w:hAnsi="仿宋" w:eastAsia="仿宋" w:cs="仿宋"/>
                <w:bCs/>
                <w:color w:val="auto"/>
                <w:sz w:val="24"/>
                <w:highlight w:val="none"/>
              </w:rPr>
            </w:pPr>
          </w:p>
        </w:tc>
      </w:tr>
    </w:tbl>
    <w:p w14:paraId="79C89F30">
      <w:pPr>
        <w:pStyle w:val="16"/>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注:对谈判文件</w:t>
      </w:r>
      <w:r>
        <w:rPr>
          <w:rFonts w:hint="eastAsia" w:ascii="仿宋" w:hAnsi="仿宋" w:eastAsia="仿宋" w:cs="仿宋"/>
          <w:bCs/>
          <w:color w:val="auto"/>
          <w:sz w:val="24"/>
          <w:highlight w:val="none"/>
          <w:lang w:val="en-US" w:eastAsia="zh-CN"/>
        </w:rPr>
        <w:t>技服务</w:t>
      </w:r>
      <w:r>
        <w:rPr>
          <w:rFonts w:hint="eastAsia" w:ascii="仿宋" w:hAnsi="仿宋" w:eastAsia="仿宋" w:cs="仿宋"/>
          <w:bCs/>
          <w:color w:val="auto"/>
          <w:sz w:val="24"/>
          <w:highlight w:val="none"/>
        </w:rPr>
        <w:t>响应有任何偏离应列明，如无请并标明“无偏离”</w:t>
      </w:r>
    </w:p>
    <w:p w14:paraId="78B8DDAA">
      <w:pPr>
        <w:pStyle w:val="16"/>
        <w:spacing w:line="440" w:lineRule="exact"/>
        <w:ind w:left="1080" w:leftChars="257" w:hanging="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法定代表人或其委托代理人（签/章）:</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rPr>
        <w:tab/>
      </w:r>
      <w:r>
        <w:rPr>
          <w:rFonts w:hint="eastAsia" w:ascii="仿宋" w:hAnsi="仿宋" w:eastAsia="仿宋" w:cs="仿宋"/>
          <w:bCs/>
          <w:color w:val="auto"/>
          <w:sz w:val="24"/>
          <w:highlight w:val="none"/>
          <w:u w:val="single"/>
        </w:rPr>
        <w:t xml:space="preserve">                 </w:t>
      </w:r>
    </w:p>
    <w:p w14:paraId="154BEDEF">
      <w:pPr>
        <w:pStyle w:val="16"/>
        <w:tabs>
          <w:tab w:val="left" w:pos="5370"/>
        </w:tabs>
        <w:spacing w:line="440" w:lineRule="exact"/>
        <w:ind w:left="1080" w:leftChars="257" w:hanging="54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供应商(公章):</w:t>
      </w:r>
      <w:r>
        <w:rPr>
          <w:rFonts w:hint="eastAsia" w:ascii="仿宋" w:hAnsi="仿宋" w:eastAsia="仿宋" w:cs="仿宋"/>
          <w:bCs/>
          <w:color w:val="auto"/>
          <w:sz w:val="24"/>
          <w:highlight w:val="none"/>
          <w:u w:val="single"/>
        </w:rPr>
        <w:tab/>
      </w:r>
    </w:p>
    <w:p w14:paraId="5E538B41">
      <w:pPr>
        <w:pStyle w:val="16"/>
        <w:spacing w:line="440" w:lineRule="exact"/>
        <w:rPr>
          <w:rFonts w:hint="eastAsia" w:ascii="仿宋" w:hAnsi="仿宋" w:eastAsia="仿宋" w:cs="仿宋"/>
          <w:bCs/>
          <w:color w:val="auto"/>
          <w:sz w:val="24"/>
          <w:highlight w:val="none"/>
        </w:rPr>
      </w:pPr>
    </w:p>
    <w:p w14:paraId="65A45328">
      <w:pPr>
        <w:pStyle w:val="16"/>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br w:type="page"/>
      </w:r>
    </w:p>
    <w:p w14:paraId="18C7CF1D">
      <w:pPr>
        <w:pStyle w:val="5"/>
        <w:spacing w:before="0" w:line="440" w:lineRule="exact"/>
        <w:ind w:firstLine="2168" w:firstLineChars="900"/>
        <w:jc w:val="both"/>
        <w:rPr>
          <w:rFonts w:hint="eastAsia" w:ascii="仿宋" w:hAnsi="仿宋" w:eastAsia="仿宋" w:cs="仿宋"/>
          <w:color w:val="auto"/>
          <w:sz w:val="23"/>
          <w:szCs w:val="23"/>
          <w:highlight w:val="none"/>
        </w:rPr>
      </w:pPr>
      <w:bookmarkStart w:id="453" w:name="_Hlt520350957"/>
      <w:bookmarkEnd w:id="453"/>
      <w:bookmarkStart w:id="454" w:name="_Hlt520343392"/>
      <w:bookmarkEnd w:id="454"/>
      <w:bookmarkStart w:id="455" w:name="_Hlt520274407"/>
      <w:bookmarkEnd w:id="455"/>
      <w:bookmarkStart w:id="456" w:name="_Hlt520273711"/>
      <w:bookmarkEnd w:id="456"/>
      <w:bookmarkStart w:id="457" w:name="_Hlt520350918"/>
      <w:bookmarkEnd w:id="457"/>
      <w:bookmarkStart w:id="458" w:name="_Hlt520271212"/>
      <w:bookmarkEnd w:id="458"/>
      <w:bookmarkStart w:id="459" w:name="_Hlt520343000"/>
      <w:bookmarkEnd w:id="459"/>
      <w:bookmarkStart w:id="460" w:name="_Hlt520273973"/>
      <w:bookmarkEnd w:id="460"/>
      <w:bookmarkStart w:id="461" w:name="_Hlt520274911"/>
      <w:bookmarkEnd w:id="461"/>
      <w:bookmarkStart w:id="462" w:name="_Hlt520274393"/>
      <w:bookmarkEnd w:id="462"/>
      <w:bookmarkStart w:id="463" w:name="_Hlt520274065"/>
      <w:bookmarkEnd w:id="463"/>
      <w:bookmarkStart w:id="464" w:name="_Toc25681"/>
      <w:bookmarkStart w:id="465" w:name="_Toc25347"/>
      <w:bookmarkStart w:id="466" w:name="_Toc21312"/>
      <w:bookmarkStart w:id="467" w:name="_Toc515647823"/>
      <w:bookmarkStart w:id="468" w:name="_Toc10725"/>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-1  </w:t>
      </w:r>
      <w:r>
        <w:rPr>
          <w:rFonts w:hint="eastAsia" w:ascii="仿宋" w:hAnsi="仿宋" w:eastAsia="仿宋" w:cs="仿宋"/>
          <w:b/>
          <w:bCs w:val="0"/>
          <w:i w:val="0"/>
          <w:caps w:val="0"/>
          <w:color w:val="auto"/>
          <w:spacing w:val="0"/>
          <w:w w:val="100"/>
          <w:kern w:val="0"/>
          <w:sz w:val="28"/>
          <w:szCs w:val="28"/>
          <w:highlight w:val="none"/>
          <w:lang w:val="en-US" w:eastAsia="zh-CN" w:bidi="ar-SA"/>
        </w:rPr>
        <w:t xml:space="preserve"> </w:t>
      </w:r>
      <w:r>
        <w:rPr>
          <w:rFonts w:hint="eastAsia" w:ascii="仿宋" w:hAnsi="仿宋" w:eastAsia="仿宋" w:cs="仿宋"/>
          <w:color w:val="auto"/>
          <w:spacing w:val="9"/>
          <w:sz w:val="23"/>
          <w:szCs w:val="23"/>
          <w:highlight w:val="none"/>
          <w14:textOutline w14:w="4358" w14:cap="sq" w14:cmpd="sng">
            <w14:solidFill>
              <w14:srgbClr w14:val="000000"/>
            </w14:solidFill>
            <w14:prstDash w14:val="solid"/>
            <w14:bevel/>
          </w14:textOutline>
        </w:rPr>
        <w:t>中小企业声明函</w:t>
      </w:r>
      <w:r>
        <w:rPr>
          <w:rFonts w:hint="eastAsia" w:ascii="仿宋" w:hAnsi="仿宋" w:eastAsia="仿宋" w:cs="仿宋"/>
          <w:color w:val="auto"/>
          <w:spacing w:val="9"/>
          <w:sz w:val="23"/>
          <w:szCs w:val="23"/>
          <w:highlight w:val="none"/>
        </w:rPr>
        <w:t xml:space="preserve"> </w:t>
      </w:r>
      <w:r>
        <w:rPr>
          <w:rFonts w:hint="eastAsia" w:ascii="仿宋" w:hAnsi="仿宋" w:eastAsia="仿宋" w:cs="仿宋"/>
          <w:color w:val="auto"/>
          <w:spacing w:val="9"/>
          <w:sz w:val="23"/>
          <w:szCs w:val="23"/>
          <w:highlight w:val="none"/>
          <w14:textOutline w14:w="4358" w14:cap="sq" w14:cmpd="sng">
            <w14:solidFill>
              <w14:srgbClr w14:val="000000"/>
            </w14:solidFill>
            <w14:prstDash w14:val="solid"/>
            <w14:bevel/>
          </w14:textOutline>
        </w:rPr>
        <w:t>(货物)</w:t>
      </w:r>
      <w:r>
        <w:rPr>
          <w:rFonts w:hint="eastAsia" w:ascii="仿宋" w:hAnsi="仿宋" w:eastAsia="仿宋" w:cs="仿宋"/>
          <w:color w:val="auto"/>
          <w:spacing w:val="9"/>
          <w:sz w:val="23"/>
          <w:szCs w:val="23"/>
          <w:highlight w:val="none"/>
        </w:rPr>
        <w:t xml:space="preserve">  </w:t>
      </w:r>
    </w:p>
    <w:p w14:paraId="30AB98FD">
      <w:pPr>
        <w:shd w:val="clear" w:color="auto" w:fill="auto"/>
        <w:snapToGrid w:val="0"/>
        <w:spacing w:line="240" w:lineRule="auto"/>
        <w:ind w:firstLine="480" w:firstLineChars="20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kern w:val="0"/>
          <w:sz w:val="24"/>
          <w:szCs w:val="24"/>
          <w:highlight w:val="none"/>
          <w:u w:val="single"/>
        </w:rPr>
        <w:t xml:space="preserve">（单位名称） </w:t>
      </w:r>
      <w:r>
        <w:rPr>
          <w:rFonts w:hint="eastAsia" w:ascii="仿宋" w:hAnsi="仿宋" w:eastAsia="仿宋" w:cs="仿宋"/>
          <w:color w:val="auto"/>
          <w:kern w:val="0"/>
          <w:sz w:val="24"/>
          <w:szCs w:val="24"/>
          <w:highlight w:val="none"/>
        </w:rPr>
        <w:t xml:space="preserve">的 </w:t>
      </w:r>
      <w:r>
        <w:rPr>
          <w:rFonts w:hint="eastAsia" w:ascii="仿宋" w:hAnsi="仿宋" w:eastAsia="仿宋" w:cs="仿宋"/>
          <w:color w:val="auto"/>
          <w:kern w:val="0"/>
          <w:sz w:val="24"/>
          <w:szCs w:val="24"/>
          <w:highlight w:val="none"/>
          <w:u w:val="single"/>
        </w:rPr>
        <w:t>（</w:t>
      </w:r>
      <w:r>
        <w:rPr>
          <w:rFonts w:hint="eastAsia" w:ascii="仿宋" w:hAnsi="仿宋" w:eastAsia="仿宋" w:cs="仿宋"/>
          <w:color w:val="auto"/>
          <w:kern w:val="0"/>
          <w:sz w:val="24"/>
          <w:szCs w:val="24"/>
          <w:highlight w:val="none"/>
          <w:u w:val="single"/>
          <w:lang w:eastAsia="zh-CN"/>
        </w:rPr>
        <w:t>项目</w:t>
      </w:r>
      <w:r>
        <w:rPr>
          <w:rFonts w:hint="eastAsia" w:ascii="仿宋" w:hAnsi="仿宋" w:eastAsia="仿宋" w:cs="仿宋"/>
          <w:color w:val="auto"/>
          <w:kern w:val="0"/>
          <w:sz w:val="24"/>
          <w:szCs w:val="24"/>
          <w:highlight w:val="none"/>
          <w:u w:val="single"/>
        </w:rPr>
        <w:t>名称）</w:t>
      </w:r>
      <w:r>
        <w:rPr>
          <w:rFonts w:hint="eastAsia" w:ascii="仿宋" w:hAnsi="仿宋" w:eastAsia="仿宋" w:cs="仿宋"/>
          <w:color w:val="auto"/>
          <w:kern w:val="0"/>
          <w:sz w:val="24"/>
          <w:szCs w:val="24"/>
          <w:highlight w:val="none"/>
        </w:rPr>
        <w:t xml:space="preserve"> 采购活动，提供的货物全部由符合政策要求的中小企业制造。相关企业（含联合体中的中小企业、签订分包意向协议的中小企业）的具体情况如下：</w:t>
      </w:r>
    </w:p>
    <w:p w14:paraId="4436DEAE">
      <w:pPr>
        <w:shd w:val="clear" w:color="auto" w:fill="auto"/>
        <w:snapToGrid w:val="0"/>
        <w:spacing w:line="240" w:lineRule="auto"/>
        <w:ind w:firstLine="480" w:firstLineChars="20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1. </w:t>
      </w:r>
      <w:r>
        <w:rPr>
          <w:rFonts w:hint="eastAsia" w:ascii="仿宋" w:hAnsi="仿宋" w:eastAsia="仿宋" w:cs="仿宋"/>
          <w:color w:val="auto"/>
          <w:kern w:val="0"/>
          <w:sz w:val="24"/>
          <w:szCs w:val="24"/>
          <w:highlight w:val="none"/>
          <w:u w:val="single"/>
        </w:rPr>
        <w:t>（标的名称）</w:t>
      </w:r>
      <w:r>
        <w:rPr>
          <w:rFonts w:hint="eastAsia" w:ascii="仿宋" w:hAnsi="仿宋" w:eastAsia="仿宋" w:cs="仿宋"/>
          <w:color w:val="auto"/>
          <w:kern w:val="0"/>
          <w:sz w:val="24"/>
          <w:szCs w:val="24"/>
          <w:highlight w:val="none"/>
        </w:rPr>
        <w:t xml:space="preserve"> ，属于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谈判文件</w:t>
      </w:r>
      <w:r>
        <w:rPr>
          <w:rFonts w:hint="eastAsia" w:ascii="仿宋" w:hAnsi="仿宋" w:eastAsia="仿宋" w:cs="仿宋"/>
          <w:color w:val="auto"/>
          <w:kern w:val="0"/>
          <w:sz w:val="24"/>
          <w:szCs w:val="24"/>
          <w:highlight w:val="none"/>
        </w:rPr>
        <w:t xml:space="preserve">中明确的所属行业）行业 ；制造商为 </w:t>
      </w:r>
      <w:r>
        <w:rPr>
          <w:rFonts w:hint="eastAsia" w:ascii="仿宋" w:hAnsi="仿宋" w:eastAsia="仿宋" w:cs="仿宋"/>
          <w:color w:val="auto"/>
          <w:kern w:val="0"/>
          <w:sz w:val="24"/>
          <w:szCs w:val="24"/>
          <w:highlight w:val="none"/>
          <w:u w:val="single"/>
        </w:rPr>
        <w:t>（企业名称）</w:t>
      </w:r>
      <w:r>
        <w:rPr>
          <w:rFonts w:hint="eastAsia" w:ascii="仿宋" w:hAnsi="仿宋" w:eastAsia="仿宋" w:cs="仿宋"/>
          <w:color w:val="auto"/>
          <w:kern w:val="0"/>
          <w:sz w:val="24"/>
          <w:szCs w:val="24"/>
          <w:highlight w:val="none"/>
        </w:rPr>
        <w:t xml:space="preserve"> ，从业人员</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人，营业收入为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万元，资产总额为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万元，属于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（中型企业、小型企业、微型企业）；</w:t>
      </w:r>
    </w:p>
    <w:p w14:paraId="61E20A02">
      <w:pPr>
        <w:keepNext w:val="0"/>
        <w:keepLines w:val="0"/>
        <w:pageBreakBefore w:val="0"/>
        <w:shd w:val="clear" w:color="auto" w:fill="auto"/>
        <w:kinsoku/>
        <w:wordWrap/>
        <w:overflowPunct/>
        <w:topLinePunct w:val="0"/>
        <w:autoSpaceDE/>
        <w:autoSpaceDN/>
        <w:bidi w:val="0"/>
        <w:adjustRightInd w:val="0"/>
        <w:snapToGrid w:val="0"/>
        <w:spacing w:beforeAutospacing="0" w:afterAutospacing="0" w:line="240" w:lineRule="auto"/>
        <w:ind w:firstLine="480" w:firstLineChars="20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2. </w:t>
      </w:r>
      <w:r>
        <w:rPr>
          <w:rFonts w:hint="eastAsia" w:ascii="仿宋" w:hAnsi="仿宋" w:eastAsia="仿宋" w:cs="仿宋"/>
          <w:color w:val="auto"/>
          <w:kern w:val="0"/>
          <w:sz w:val="24"/>
          <w:szCs w:val="24"/>
          <w:highlight w:val="none"/>
          <w:u w:val="single"/>
        </w:rPr>
        <w:t>（标的名称）</w:t>
      </w:r>
      <w:r>
        <w:rPr>
          <w:rFonts w:hint="eastAsia" w:ascii="仿宋" w:hAnsi="仿宋" w:eastAsia="仿宋" w:cs="仿宋"/>
          <w:color w:val="auto"/>
          <w:kern w:val="0"/>
          <w:sz w:val="24"/>
          <w:szCs w:val="24"/>
          <w:highlight w:val="none"/>
        </w:rPr>
        <w:t xml:space="preserve"> ，属于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谈判文件</w:t>
      </w:r>
      <w:r>
        <w:rPr>
          <w:rFonts w:hint="eastAsia" w:ascii="仿宋" w:hAnsi="仿宋" w:eastAsia="仿宋" w:cs="仿宋"/>
          <w:color w:val="auto"/>
          <w:kern w:val="0"/>
          <w:sz w:val="24"/>
          <w:szCs w:val="24"/>
          <w:highlight w:val="none"/>
        </w:rPr>
        <w:t>中明确的所属行业）行业 ；制造商为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（企业名称）</w:t>
      </w:r>
      <w:r>
        <w:rPr>
          <w:rFonts w:hint="eastAsia" w:ascii="仿宋" w:hAnsi="仿宋" w:eastAsia="仿宋" w:cs="仿宋"/>
          <w:color w:val="auto"/>
          <w:kern w:val="0"/>
          <w:sz w:val="24"/>
          <w:szCs w:val="24"/>
          <w:highlight w:val="none"/>
        </w:rPr>
        <w:t xml:space="preserve"> ，从业人员</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人，营业收入为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万元，资产总额为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万元，属于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（中型企业、小型企业、微型企业）；</w:t>
      </w:r>
    </w:p>
    <w:p w14:paraId="6D118A44">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80" w:firstLineChars="200"/>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w:t>
      </w:r>
    </w:p>
    <w:p w14:paraId="4FE7375F">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以上企业，不属于大企业的分支机构，不存在控股股东为大企业的情形，也不存在与大企业的负责人为同一人的情形。</w:t>
      </w:r>
    </w:p>
    <w:p w14:paraId="32AEEA3B">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80" w:firstLineChars="200"/>
        <w:jc w:val="left"/>
        <w:textAlignment w:val="auto"/>
        <w:rPr>
          <w:rFonts w:hint="eastAsia" w:ascii="仿宋" w:hAnsi="仿宋" w:eastAsia="仿宋" w:cs="仿宋"/>
          <w:color w:val="auto"/>
          <w:kern w:val="0"/>
          <w:sz w:val="24"/>
          <w:szCs w:val="24"/>
          <w:highlight w:val="none"/>
        </w:rPr>
      </w:pPr>
    </w:p>
    <w:p w14:paraId="6A171256">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本投标人已知悉《政府采购促进中小企业发展管理办法》（财库〔2020〕46 号）、《财政部关于进一步加大政府采购支持中小企业力度的通知》</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《中小企业划型标准规定》（工信部联企〔2011〕 300 号）、《统计上大中小微型企业划分办法（2017）》等规定，承诺提供的声明函内容是真实的，并知悉根据《政府采购促进中小企业发展管理办法》（财库〔2020〕46 号）第二十条规定，投标人按照本办法规定提供声明函内容不实的，属于提供虚假材料谋取中标，依照《政府采购法》等政府采购有关法律法规规定追究相应责任。</w:t>
      </w:r>
    </w:p>
    <w:p w14:paraId="3419D083">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本企业对上述声明内容的真实性负责。如有虚假，将依法承担相应责任。</w:t>
      </w:r>
      <w:r>
        <w:rPr>
          <w:rFonts w:hint="eastAsia" w:ascii="仿宋" w:hAnsi="仿宋" w:eastAsia="仿宋" w:cs="仿宋"/>
          <w:b/>
          <w:color w:val="auto"/>
          <w:kern w:val="0"/>
          <w:sz w:val="24"/>
          <w:szCs w:val="24"/>
          <w:highlight w:val="none"/>
        </w:rPr>
        <w:t>　</w:t>
      </w:r>
    </w:p>
    <w:p w14:paraId="63A98FCD">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3840" w:firstLineChars="1600"/>
        <w:jc w:val="left"/>
        <w:textAlignment w:val="auto"/>
        <w:rPr>
          <w:rFonts w:hint="eastAsia" w:ascii="仿宋" w:hAnsi="仿宋" w:eastAsia="仿宋" w:cs="仿宋"/>
          <w:color w:val="auto"/>
          <w:kern w:val="0"/>
          <w:sz w:val="24"/>
          <w:szCs w:val="24"/>
          <w:highlight w:val="none"/>
          <w:lang w:eastAsia="zh-CN"/>
        </w:rPr>
      </w:pPr>
    </w:p>
    <w:p w14:paraId="0BE0F2C8">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080" w:firstLineChars="17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u w:val="none"/>
        </w:rPr>
        <w:t>企业名称 (盖章)：</w:t>
      </w:r>
      <w:r>
        <w:rPr>
          <w:rFonts w:hint="eastAsia" w:ascii="仿宋" w:hAnsi="仿宋" w:eastAsia="仿宋" w:cs="仿宋"/>
          <w:color w:val="auto"/>
          <w:kern w:val="0"/>
          <w:sz w:val="24"/>
          <w:szCs w:val="24"/>
          <w:highlight w:val="none"/>
          <w:u w:val="single"/>
        </w:rPr>
        <w:t xml:space="preserve">             </w:t>
      </w:r>
    </w:p>
    <w:p w14:paraId="29956AC6">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3840" w:firstLineChars="1600"/>
        <w:jc w:val="left"/>
        <w:textAlignment w:val="auto"/>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　日　期：</w:t>
      </w:r>
      <w:r>
        <w:rPr>
          <w:rFonts w:hint="eastAsia" w:ascii="仿宋" w:hAnsi="仿宋" w:eastAsia="仿宋" w:cs="仿宋"/>
          <w:color w:val="auto"/>
          <w:kern w:val="0"/>
          <w:sz w:val="24"/>
          <w:szCs w:val="24"/>
          <w:highlight w:val="none"/>
          <w:u w:val="single"/>
        </w:rPr>
        <w:t xml:space="preserve">             </w:t>
      </w:r>
    </w:p>
    <w:p w14:paraId="09BA32B7">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240" w:lineRule="auto"/>
        <w:ind w:firstLine="480" w:firstLineChars="200"/>
        <w:jc w:val="left"/>
        <w:textAlignment w:val="auto"/>
        <w:rPr>
          <w:rFonts w:hint="eastAsia" w:ascii="仿宋" w:hAnsi="仿宋" w:eastAsia="仿宋" w:cs="仿宋"/>
          <w:color w:val="auto"/>
          <w:sz w:val="24"/>
          <w:szCs w:val="24"/>
          <w:highlight w:val="none"/>
        </w:rPr>
      </w:pPr>
    </w:p>
    <w:p w14:paraId="230329A2">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360" w:lineRule="auto"/>
        <w:ind w:left="420" w:hanging="482" w:hangingChars="200"/>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说明</w:t>
      </w:r>
      <w:r>
        <w:rPr>
          <w:rFonts w:hint="eastAsia" w:ascii="仿宋" w:hAnsi="仿宋" w:eastAsia="仿宋" w:cs="仿宋"/>
          <w:b/>
          <w:bCs/>
          <w:color w:val="auto"/>
          <w:sz w:val="24"/>
          <w:szCs w:val="24"/>
          <w:highlight w:val="none"/>
          <w:lang w:val="en-US" w:eastAsia="zh-CN"/>
        </w:rPr>
        <w:t>：1、投标人须据实填写本项目主要设备制造商从业人员、营业收入、资产总额、企业类型（参考中小微企业划型标准），由于投标人填写错误可视为声明无效、不享受相关政府采购优惠政策等。</w:t>
      </w:r>
    </w:p>
    <w:p w14:paraId="3C1D1345">
      <w:pPr>
        <w:keepNext w:val="0"/>
        <w:keepLines w:val="0"/>
        <w:pageBreakBefore w:val="0"/>
        <w:widowControl/>
        <w:shd w:val="clear" w:color="auto" w:fill="auto"/>
        <w:kinsoku/>
        <w:wordWrap/>
        <w:overflowPunct/>
        <w:topLinePunct w:val="0"/>
        <w:autoSpaceDE/>
        <w:autoSpaceDN/>
        <w:bidi w:val="0"/>
        <w:adjustRightInd w:val="0"/>
        <w:snapToGrid w:val="0"/>
        <w:spacing w:beforeAutospacing="0" w:afterAutospacing="0" w:line="360" w:lineRule="auto"/>
        <w:ind w:left="420" w:leftChars="200" w:firstLine="241" w:firstLineChars="100"/>
        <w:jc w:val="left"/>
        <w:textAlignment w:val="auto"/>
        <w:rPr>
          <w:rFonts w:hint="eastAsia" w:ascii="仿宋" w:hAnsi="仿宋" w:eastAsia="仿宋" w:cs="仿宋"/>
          <w:b/>
          <w:bCs/>
          <w:color w:val="auto"/>
          <w:sz w:val="24"/>
          <w:szCs w:val="24"/>
          <w:highlight w:val="none"/>
        </w:rPr>
        <w:sectPr>
          <w:pgSz w:w="11907" w:h="16840"/>
          <w:pgMar w:top="1474" w:right="1253" w:bottom="1474" w:left="1194" w:header="851" w:footer="851" w:gutter="0"/>
          <w:pgNumType w:fmt="decimal"/>
          <w:cols w:space="720" w:num="1"/>
          <w:docGrid w:linePitch="462" w:charSpace="0"/>
        </w:sect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对中小企业的认定，由货物制造商或者工程、服务</w:t>
      </w:r>
      <w:r>
        <w:rPr>
          <w:rFonts w:hint="eastAsia" w:ascii="仿宋" w:hAnsi="仿宋" w:eastAsia="仿宋" w:cs="仿宋"/>
          <w:b/>
          <w:bCs/>
          <w:color w:val="auto"/>
          <w:sz w:val="24"/>
          <w:szCs w:val="24"/>
          <w:highlight w:val="none"/>
          <w:lang w:eastAsia="zh-CN"/>
        </w:rPr>
        <w:t>投标人</w:t>
      </w:r>
      <w:r>
        <w:rPr>
          <w:rFonts w:hint="eastAsia" w:ascii="仿宋" w:hAnsi="仿宋" w:eastAsia="仿宋" w:cs="仿宋"/>
          <w:b/>
          <w:bCs/>
          <w:color w:val="auto"/>
          <w:sz w:val="24"/>
          <w:szCs w:val="24"/>
          <w:highlight w:val="none"/>
        </w:rPr>
        <w:t>注册登记所在地的县级以上人民政府中小企业主管部门负责。如因</w:t>
      </w:r>
      <w:r>
        <w:rPr>
          <w:rFonts w:hint="eastAsia" w:ascii="仿宋" w:hAnsi="仿宋" w:eastAsia="仿宋" w:cs="仿宋"/>
          <w:b/>
          <w:bCs/>
          <w:color w:val="auto"/>
          <w:sz w:val="24"/>
          <w:szCs w:val="24"/>
          <w:highlight w:val="none"/>
          <w:lang w:eastAsia="zh-CN"/>
        </w:rPr>
        <w:t>投标人</w:t>
      </w:r>
      <w:r>
        <w:rPr>
          <w:rFonts w:hint="eastAsia" w:ascii="仿宋" w:hAnsi="仿宋" w:eastAsia="仿宋" w:cs="仿宋"/>
          <w:b/>
          <w:bCs/>
          <w:color w:val="auto"/>
          <w:sz w:val="24"/>
          <w:szCs w:val="24"/>
          <w:highlight w:val="none"/>
        </w:rPr>
        <w:t>提供的《中小企业声明函》引起的质疑、投诉、信访或其他方式情况反映等，</w:t>
      </w:r>
      <w:r>
        <w:rPr>
          <w:rFonts w:hint="eastAsia" w:ascii="仿宋" w:hAnsi="仿宋" w:eastAsia="仿宋" w:cs="仿宋"/>
          <w:b/>
          <w:bCs/>
          <w:color w:val="auto"/>
          <w:sz w:val="24"/>
          <w:szCs w:val="24"/>
          <w:highlight w:val="none"/>
          <w:lang w:eastAsia="zh-CN"/>
        </w:rPr>
        <w:t>投标人</w:t>
      </w:r>
      <w:r>
        <w:rPr>
          <w:rFonts w:hint="eastAsia" w:ascii="仿宋" w:hAnsi="仿宋" w:eastAsia="仿宋" w:cs="仿宋"/>
          <w:b/>
          <w:bCs/>
          <w:color w:val="auto"/>
          <w:sz w:val="24"/>
          <w:szCs w:val="24"/>
          <w:highlight w:val="none"/>
        </w:rPr>
        <w:t>须自行澄清，并提供由中小企业主管部门出具的企业划型证明。对于不能出具企业划型证明的</w:t>
      </w:r>
      <w:r>
        <w:rPr>
          <w:rFonts w:hint="eastAsia" w:ascii="仿宋" w:hAnsi="仿宋" w:eastAsia="仿宋" w:cs="仿宋"/>
          <w:b/>
          <w:bCs/>
          <w:color w:val="auto"/>
          <w:sz w:val="24"/>
          <w:szCs w:val="24"/>
          <w:highlight w:val="none"/>
          <w:lang w:eastAsia="zh-CN"/>
        </w:rPr>
        <w:t>投标人</w:t>
      </w:r>
      <w:r>
        <w:rPr>
          <w:rFonts w:hint="eastAsia" w:ascii="仿宋" w:hAnsi="仿宋" w:eastAsia="仿宋" w:cs="仿宋"/>
          <w:b/>
          <w:bCs/>
          <w:color w:val="auto"/>
          <w:sz w:val="24"/>
          <w:szCs w:val="24"/>
          <w:highlight w:val="none"/>
        </w:rPr>
        <w:t>，自行承担由此产生的一切后果，包括声明内容视为无效、不享受相关政府采购优惠政策等。</w:t>
      </w:r>
    </w:p>
    <w:p w14:paraId="6B1C6DCA">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0" w:firstLineChars="0"/>
        <w:jc w:val="center"/>
        <w:textAlignment w:val="auto"/>
        <w:rPr>
          <w:rStyle w:val="42"/>
          <w:rFonts w:hint="eastAsia" w:ascii="仿宋" w:hAnsi="仿宋" w:eastAsia="仿宋" w:cs="仿宋"/>
          <w:color w:val="auto"/>
          <w:sz w:val="24"/>
          <w:szCs w:val="24"/>
          <w:highlight w:val="none"/>
          <w:shd w:val="clear" w:color="auto" w:fill="FFFFFF"/>
        </w:rPr>
      </w:pPr>
    </w:p>
    <w:p w14:paraId="7ED153AC">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0" w:firstLineChars="0"/>
        <w:jc w:val="center"/>
        <w:textAlignment w:val="auto"/>
        <w:rPr>
          <w:rFonts w:hint="eastAsia" w:ascii="仿宋" w:hAnsi="仿宋" w:eastAsia="仿宋" w:cs="仿宋"/>
          <w:color w:val="auto"/>
          <w:sz w:val="24"/>
          <w:szCs w:val="24"/>
          <w:highlight w:val="none"/>
        </w:rPr>
      </w:pPr>
      <w:r>
        <w:rPr>
          <w:rStyle w:val="42"/>
          <w:rFonts w:hint="eastAsia" w:ascii="仿宋" w:hAnsi="仿宋" w:eastAsia="仿宋" w:cs="仿宋"/>
          <w:color w:val="auto"/>
          <w:sz w:val="24"/>
          <w:szCs w:val="24"/>
          <w:highlight w:val="none"/>
          <w:shd w:val="clear" w:color="auto" w:fill="FFFFFF"/>
        </w:rPr>
        <w:t>中小企业划型标准规定</w:t>
      </w:r>
    </w:p>
    <w:p w14:paraId="65C86800">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0" w:firstLineChars="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　　2011年6月18日，工业和信息化部、国家统计局、国家发展和改革委员会、财政部联合印发了《关于印发中小企业划型标准规定的通知》， 规定各行业划型标准为:</w:t>
      </w:r>
    </w:p>
    <w:p w14:paraId="47B13889">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(一)农、林、牧、渔业。营业收入20000万元以下的为中小微型企业。其中，营业收入500万元及以上的为中型企业，营业收入50万元及以上的为小型企业，营业收入50万元以下的为微型企业。</w:t>
      </w:r>
    </w:p>
    <w:p w14:paraId="4E0EE9DD">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421F350">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50C42A0">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A9D7ECC">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五)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DF3674E">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szCs w:val="24"/>
          <w:highlight w:val="none"/>
          <w:shd w:val="clear" w:color="auto" w:fill="FFFFFF"/>
        </w:rPr>
        <w:t>(六)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D85E1D7">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七)住宿业和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8F12C3">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(八)信息传输业。从业人员2000人以下或营业收入10000万元以下的为中小微型企业。</w:t>
      </w:r>
    </w:p>
    <w:p w14:paraId="49D7E94E">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注:(六)、(七)(八)3条，从业人员10人及以上，且营业收入100万元及以上的为小型企业;从业人员10人以下或营业收入100万元以下的为微型企业。</w:t>
      </w:r>
    </w:p>
    <w:p w14:paraId="1BA50FA1">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九)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2F73514">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p>
    <w:p w14:paraId="0E22AD66">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p>
    <w:p w14:paraId="652846E3">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(十)仓储业。从业人员200人以下或营业收入3000万元以下的为中小微型企业。</w:t>
      </w:r>
    </w:p>
    <w:p w14:paraId="5B007BDD">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注:(八)(九)(十)3条，其中，从业人员100人及以上，且营业收入1000万元及以上的为中型企业</w:t>
      </w:r>
    </w:p>
    <w:p w14:paraId="4EA7E3E2">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(十一)邮政业。营业收入2000万元及以上的为中型企业;</w:t>
      </w:r>
    </w:p>
    <w:p w14:paraId="1A55CA58">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注:(十)(十一)2条，从业人员20人及以上，且营业收入100万元及以上的为小型企业;从业人员20人以下或营业收入100万元以下的为微型企业。</w:t>
      </w:r>
    </w:p>
    <w:p w14:paraId="2AADDB4B">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交通运输业和邮政业从业人员1000人以下或营业收入30000万元以下的为中小微型企业。其中，从业人员300人及以上。</w:t>
      </w:r>
    </w:p>
    <w:p w14:paraId="5C39CDB8">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十二)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B19C03F">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十三)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94EC498">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十四)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ACA88D4">
      <w:pPr>
        <w:pStyle w:val="33"/>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sz w:val="24"/>
          <w:szCs w:val="24"/>
          <w:highlight w:val="none"/>
          <w:shd w:val="clear" w:color="auto" w:fill="FFFFFF"/>
        </w:rPr>
        <w:t>(十五)其他未列明行业。从业人员300人以下的为中小微型企业。其中，从业人员100人及以上的为中型企业;从业人员10人及以上的为小型企业;从业人员10人以下的为微型企业。</w:t>
      </w:r>
    </w:p>
    <w:p w14:paraId="2D50A51B">
      <w:pPr>
        <w:shd w:val="clear" w:color="auto" w:fill="auto"/>
        <w:spacing w:line="240" w:lineRule="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说明：本谈判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谈判文件规定的中小企业扶持政策：</w:t>
      </w:r>
    </w:p>
    <w:p w14:paraId="6246DDD0">
      <w:pPr>
        <w:numPr>
          <w:ilvl w:val="0"/>
          <w:numId w:val="0"/>
        </w:numPr>
        <w:shd w:val="clear" w:color="auto" w:fill="auto"/>
        <w:spacing w:line="24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(1)在货物采购项目中，货物由中小企业制造，即货物由中小企业生产且使用该中小企业商号或者注册商标，不对其中涉及的工程承建商和服务的承接商作出要求；</w:t>
      </w:r>
    </w:p>
    <w:p w14:paraId="0FD2E2EB">
      <w:pPr>
        <w:numPr>
          <w:ilvl w:val="0"/>
          <w:numId w:val="0"/>
        </w:numPr>
        <w:shd w:val="clear" w:color="auto" w:fill="auto"/>
        <w:spacing w:line="24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(2)在工程采购项目中，工程由中小企业承建，即工程施工单位为中小企业，不对其中涉及的货物的制造商和服务的承接商作出要求；</w:t>
      </w:r>
    </w:p>
    <w:p w14:paraId="65E35B5A">
      <w:pPr>
        <w:widowControl/>
        <w:snapToGrid w:val="0"/>
        <w:spacing w:before="100" w:beforeAutospacing="1" w:after="100" w:afterAutospacing="1" w:line="400" w:lineRule="exact"/>
        <w:jc w:val="left"/>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在服务采购项目中，服务由中小企业承接，即提供服务的人员为中小企业依照《中华人民共和国劳动合同法》订立劳动合同的从业人员，不对其中涉及的货物的制造商和工程承建商作出要求。在货物采购项目中，供应商提供的货物既有中小企业制造货物，也有大型企业制造货物的，不享受本谈判文件规定的中小企</w:t>
      </w:r>
    </w:p>
    <w:p w14:paraId="65A34218">
      <w:pPr>
        <w:widowControl/>
        <w:snapToGrid w:val="0"/>
        <w:spacing w:before="100" w:beforeAutospacing="1" w:after="100" w:afterAutospacing="1" w:line="400" w:lineRule="exact"/>
        <w:jc w:val="left"/>
        <w:textAlignment w:val="baseline"/>
        <w:rPr>
          <w:rFonts w:hint="eastAsia" w:ascii="仿宋" w:hAnsi="仿宋" w:eastAsia="仿宋" w:cs="仿宋"/>
          <w:color w:val="auto"/>
          <w:kern w:val="0"/>
          <w:sz w:val="24"/>
          <w:szCs w:val="24"/>
          <w:highlight w:val="none"/>
          <w:lang w:val="en-US" w:eastAsia="zh-CN" w:bidi="ar-SA"/>
        </w:rPr>
      </w:pPr>
    </w:p>
    <w:p w14:paraId="5BFF4667">
      <w:pPr>
        <w:widowControl/>
        <w:snapToGrid w:val="0"/>
        <w:spacing w:before="100" w:beforeAutospacing="1" w:after="100" w:afterAutospacing="1"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SA"/>
        </w:rPr>
        <w:t>业扶持政策。以联合体形式参加政府采购活动，联合体各方均为中小企业的，联合体视同中小企业。其中，联合体各方均为小微企业的，联合体视同小微企业。依据本谈判文件规定享受扶持政策获得政府采购合同的，小微企业不得将合同分包给大中型企业，中型企业不得将合同分包给大型企业。</w:t>
      </w:r>
    </w:p>
    <w:p w14:paraId="553BA103">
      <w:pPr>
        <w:rPr>
          <w:rFonts w:hint="eastAsia" w:ascii="仿宋" w:hAnsi="仿宋" w:eastAsia="仿宋" w:cs="仿宋"/>
          <w:color w:val="auto"/>
          <w:highlight w:val="none"/>
        </w:rPr>
        <w:sectPr>
          <w:footerReference r:id="rId9" w:type="default"/>
          <w:pgSz w:w="11906" w:h="16839"/>
          <w:pgMar w:top="400" w:right="1785" w:bottom="1404" w:left="1785" w:header="0" w:footer="1225" w:gutter="0"/>
          <w:pgBorders>
            <w:top w:val="none" w:sz="0" w:space="0"/>
            <w:left w:val="none" w:sz="0" w:space="0"/>
            <w:bottom w:val="none" w:sz="0" w:space="0"/>
            <w:right w:val="none" w:sz="0" w:space="0"/>
          </w:pgBorders>
          <w:pgNumType w:fmt="decimal"/>
          <w:cols w:space="720" w:num="1"/>
        </w:sectPr>
      </w:pPr>
    </w:p>
    <w:p w14:paraId="06DD6CBD">
      <w:pPr>
        <w:pStyle w:val="5"/>
        <w:spacing w:before="0" w:line="440" w:lineRule="exact"/>
        <w:ind w:firstLine="241" w:firstLineChars="1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6-2 </w:t>
      </w:r>
      <w:r>
        <w:rPr>
          <w:rFonts w:hint="eastAsia" w:ascii="仿宋" w:hAnsi="仿宋" w:eastAsia="仿宋" w:cs="仿宋"/>
          <w:color w:val="auto"/>
          <w:sz w:val="24"/>
          <w:highlight w:val="none"/>
        </w:rPr>
        <w:t>供应商企业（单位）类型声明函（响应文件格式十一）</w:t>
      </w:r>
      <w:bookmarkEnd w:id="464"/>
      <w:bookmarkEnd w:id="465"/>
      <w:bookmarkEnd w:id="466"/>
      <w:bookmarkEnd w:id="467"/>
      <w:bookmarkEnd w:id="468"/>
    </w:p>
    <w:p w14:paraId="128091EA">
      <w:pPr>
        <w:spacing w:line="440" w:lineRule="exact"/>
        <w:ind w:left="1080" w:leftChars="257" w:hanging="540"/>
        <w:jc w:val="center"/>
        <w:rPr>
          <w:rFonts w:hint="eastAsia" w:ascii="仿宋" w:hAnsi="仿宋" w:eastAsia="仿宋" w:cs="仿宋"/>
          <w:bCs/>
          <w:color w:val="auto"/>
          <w:kern w:val="0"/>
          <w:sz w:val="24"/>
          <w:szCs w:val="20"/>
          <w:highlight w:val="none"/>
        </w:rPr>
      </w:pPr>
    </w:p>
    <w:p w14:paraId="2DC82B4A">
      <w:pPr>
        <w:widowControl/>
        <w:spacing w:before="100" w:beforeAutospacing="1" w:after="100" w:afterAutospacing="1" w:line="440" w:lineRule="exact"/>
        <w:ind w:firstLine="480" w:firstLineChars="20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本企业（单位）郑重声明下列事项（按照实际情况勾选或填空）：</w:t>
      </w:r>
    </w:p>
    <w:p w14:paraId="6535E759">
      <w:pPr>
        <w:widowControl/>
        <w:spacing w:before="100" w:beforeAutospacing="1" w:after="100" w:afterAutospacing="1" w:line="440" w:lineRule="exact"/>
        <w:ind w:firstLine="42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1、□本企业（单位）为直接供应商提供本企业（单位）制造的货物。</w:t>
      </w:r>
    </w:p>
    <w:p w14:paraId="168F6340">
      <w:pPr>
        <w:widowControl/>
        <w:numPr>
          <w:ilvl w:val="0"/>
          <w:numId w:val="0"/>
        </w:numPr>
        <w:spacing w:before="100" w:beforeAutospacing="1" w:after="100" w:afterAutospacing="1" w:line="440" w:lineRule="exact"/>
        <w:ind w:firstLine="420" w:firstLineChars="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szCs w:val="24"/>
          <w:lang w:val="en-US" w:eastAsia="zh-CN" w:bidi="ar-SA"/>
        </w:rPr>
        <w:t>（1）</w:t>
      </w:r>
      <w:r>
        <w:rPr>
          <w:rFonts w:hint="eastAsia" w:ascii="仿宋" w:hAnsi="仿宋" w:eastAsia="仿宋" w:cs="仿宋"/>
          <w:bCs/>
          <w:color w:val="auto"/>
          <w:kern w:val="0"/>
          <w:sz w:val="24"/>
          <w:highlight w:val="none"/>
        </w:rPr>
        <w:t>根据《工业和信息化部、国家统计局、国家发展和改革委员会、财政部关于印发中小企业划型标准规定的通知》（工信部联企业[2011]300号）规定的划分标准，本企业为______（请填写：中型、小型、微型）企业。</w:t>
      </w:r>
    </w:p>
    <w:p w14:paraId="0A2E3801">
      <w:pPr>
        <w:widowControl/>
        <w:spacing w:before="100" w:beforeAutospacing="1" w:after="100" w:afterAutospacing="1" w:line="440" w:lineRule="exact"/>
        <w:ind w:firstLine="42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 本企业</w:t>
      </w:r>
      <w:r>
        <w:rPr>
          <w:rFonts w:hint="eastAsia" w:ascii="仿宋" w:hAnsi="仿宋" w:eastAsia="仿宋" w:cs="仿宋"/>
          <w:bCs/>
          <w:color w:val="auto"/>
          <w:kern w:val="0"/>
          <w:sz w:val="24"/>
          <w:highlight w:val="none"/>
          <w:u w:val="single"/>
        </w:rPr>
        <w:t xml:space="preserve">        </w:t>
      </w:r>
      <w:r>
        <w:rPr>
          <w:rFonts w:hint="eastAsia" w:ascii="仿宋" w:hAnsi="仿宋" w:eastAsia="仿宋" w:cs="仿宋"/>
          <w:bCs/>
          <w:color w:val="auto"/>
          <w:kern w:val="0"/>
          <w:sz w:val="24"/>
          <w:highlight w:val="none"/>
        </w:rPr>
        <w:t>（请填写：是、不是）监狱企业。后附省级以上监狱管理局、戒毒管理局（含新疆生产建设兵团）出具的属于监狱企业的证明文件。</w:t>
      </w:r>
    </w:p>
    <w:p w14:paraId="537D6568">
      <w:pPr>
        <w:widowControl/>
        <w:spacing w:before="100" w:beforeAutospacing="1" w:after="100" w:afterAutospacing="1" w:line="440" w:lineRule="exact"/>
        <w:ind w:firstLine="42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w:t>
      </w:r>
      <w:r>
        <w:rPr>
          <w:rFonts w:hint="eastAsia" w:ascii="仿宋" w:hAnsi="仿宋" w:eastAsia="仿宋" w:cs="仿宋"/>
          <w:bCs/>
          <w:color w:val="auto"/>
          <w:sz w:val="30"/>
          <w:szCs w:val="30"/>
          <w:highlight w:val="none"/>
        </w:rPr>
        <w:t xml:space="preserve"> </w:t>
      </w:r>
      <w:r>
        <w:rPr>
          <w:rFonts w:hint="eastAsia" w:ascii="仿宋" w:hAnsi="仿宋" w:eastAsia="仿宋" w:cs="仿宋"/>
          <w:bCs/>
          <w:color w:val="auto"/>
          <w:kern w:val="0"/>
          <w:sz w:val="24"/>
          <w:highlight w:val="none"/>
        </w:rPr>
        <w:t>根据《关于促进残疾人就业政府采购政策的通知》（财库〔2017〕141号）。本单位</w:t>
      </w:r>
      <w:r>
        <w:rPr>
          <w:rFonts w:hint="eastAsia" w:ascii="仿宋" w:hAnsi="仿宋" w:eastAsia="仿宋" w:cs="仿宋"/>
          <w:bCs/>
          <w:color w:val="auto"/>
          <w:kern w:val="0"/>
          <w:sz w:val="24"/>
          <w:highlight w:val="none"/>
          <w:u w:val="single"/>
        </w:rPr>
        <w:t xml:space="preserve">        </w:t>
      </w:r>
      <w:r>
        <w:rPr>
          <w:rFonts w:hint="eastAsia" w:ascii="仿宋" w:hAnsi="仿宋" w:eastAsia="仿宋" w:cs="仿宋"/>
          <w:bCs/>
          <w:color w:val="auto"/>
          <w:kern w:val="0"/>
          <w:sz w:val="24"/>
          <w:highlight w:val="none"/>
        </w:rPr>
        <w:t>（请填写：是、不是）残疾人福利性单位。</w:t>
      </w:r>
    </w:p>
    <w:p w14:paraId="4DDDA224">
      <w:pPr>
        <w:widowControl/>
        <w:spacing w:before="100" w:beforeAutospacing="1" w:after="100" w:afterAutospacing="1" w:line="440" w:lineRule="exact"/>
        <w:ind w:firstLine="42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本企业（单位）为代理商，提供其他______（请填写：中型、小型、微型）企业、监狱企业或残疾人福利性单位制造的货物。本条所称货物不包括使用大型企业注册商标的货物。（后附制造商企业（单位）类型声明函）</w:t>
      </w:r>
    </w:p>
    <w:p w14:paraId="7E627438">
      <w:pPr>
        <w:widowControl/>
        <w:spacing w:before="100" w:beforeAutospacing="1" w:after="100" w:afterAutospacing="1" w:line="440" w:lineRule="exact"/>
        <w:ind w:firstLine="42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3、□本企业（单位）为联合体一方，提供本企业（单位）制造的货物，由本企业（单位）承担工程、提供服务。本企业（单位）提供协议合同金额占到共同投标协议合同总金额的比例为</w:t>
      </w:r>
      <w:r>
        <w:rPr>
          <w:rFonts w:hint="eastAsia" w:ascii="仿宋" w:hAnsi="仿宋" w:eastAsia="仿宋" w:cs="仿宋"/>
          <w:bCs/>
          <w:color w:val="auto"/>
          <w:kern w:val="0"/>
          <w:sz w:val="24"/>
          <w:highlight w:val="none"/>
          <w:u w:val="single"/>
        </w:rPr>
        <w:t xml:space="preserve">       </w:t>
      </w:r>
      <w:r>
        <w:rPr>
          <w:rFonts w:hint="eastAsia" w:ascii="仿宋" w:hAnsi="仿宋" w:eastAsia="仿宋" w:cs="仿宋"/>
          <w:bCs/>
          <w:color w:val="auto"/>
          <w:kern w:val="0"/>
          <w:sz w:val="24"/>
          <w:highlight w:val="none"/>
        </w:rPr>
        <w:t>。</w:t>
      </w:r>
    </w:p>
    <w:p w14:paraId="63D0DA01">
      <w:pPr>
        <w:widowControl/>
        <w:spacing w:before="100" w:beforeAutospacing="1" w:after="100" w:afterAutospacing="1" w:line="440" w:lineRule="exact"/>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　　本企业（单位）对上述声明的真实性负责。如有虚假，将依法承担相应责任。</w:t>
      </w:r>
    </w:p>
    <w:p w14:paraId="483D11A3">
      <w:pPr>
        <w:widowControl/>
        <w:spacing w:before="100" w:beforeAutospacing="1" w:after="100" w:afterAutospacing="1" w:line="440" w:lineRule="exact"/>
        <w:ind w:firstLine="3120" w:firstLineChars="130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 xml:space="preserve">供应商名称（公章）：______________ </w:t>
      </w:r>
    </w:p>
    <w:p w14:paraId="005F212A">
      <w:pPr>
        <w:widowControl/>
        <w:spacing w:before="100" w:beforeAutospacing="1" w:after="100" w:afterAutospacing="1" w:line="440" w:lineRule="exact"/>
        <w:ind w:firstLine="3120" w:firstLineChars="1300"/>
        <w:jc w:val="lef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 xml:space="preserve">日　期：____________                     </w:t>
      </w:r>
    </w:p>
    <w:p w14:paraId="76C6FF95">
      <w:pPr>
        <w:spacing w:line="440" w:lineRule="exact"/>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w:t>
      </w:r>
    </w:p>
    <w:p w14:paraId="72EADFD3">
      <w:pPr>
        <w:pStyle w:val="2"/>
        <w:ind w:left="0" w:leftChars="0" w:firstLine="0" w:firstLineChars="0"/>
        <w:rPr>
          <w:rFonts w:hint="eastAsia" w:ascii="仿宋" w:hAnsi="仿宋" w:eastAsia="仿宋" w:cs="仿宋"/>
          <w:color w:val="auto"/>
          <w:sz w:val="24"/>
          <w:highlight w:val="none"/>
          <w:lang w:val="en-US" w:eastAsia="zh-CN"/>
        </w:rPr>
      </w:pPr>
      <w:r>
        <w:rPr>
          <w:rFonts w:hint="eastAsia" w:ascii="仿宋" w:hAnsi="仿宋" w:eastAsia="仿宋" w:cs="仿宋"/>
          <w:bCs/>
          <w:color w:val="auto"/>
          <w:highlight w:val="none"/>
        </w:rPr>
        <w:br w:type="page"/>
      </w:r>
      <w:r>
        <w:rPr>
          <w:rFonts w:hint="eastAsia" w:ascii="仿宋" w:hAnsi="仿宋" w:eastAsia="仿宋" w:cs="仿宋"/>
          <w:bCs/>
          <w:color w:val="auto"/>
          <w:kern w:val="0"/>
          <w:sz w:val="24"/>
          <w:highlight w:val="none"/>
        </w:rPr>
        <w:t xml:space="preserve">    </w:t>
      </w:r>
      <w:bookmarkStart w:id="469" w:name="_Toc515647825"/>
      <w:bookmarkStart w:id="470" w:name="_Toc24603"/>
      <w:bookmarkStart w:id="471" w:name="_Toc23068"/>
      <w:bookmarkStart w:id="472" w:name="_Toc19284"/>
      <w:bookmarkStart w:id="473" w:name="_Toc20134"/>
      <w:bookmarkStart w:id="474" w:name="OLE_LINK13"/>
      <w:bookmarkStart w:id="475" w:name="OLE_LINK14"/>
    </w:p>
    <w:p w14:paraId="2F539490">
      <w:pPr>
        <w:pStyle w:val="5"/>
        <w:spacing w:before="0" w:line="440" w:lineRule="exact"/>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残疾人福利性单位声明函（本项目不适用）（响应文件格式十三）</w:t>
      </w:r>
      <w:bookmarkEnd w:id="469"/>
      <w:bookmarkEnd w:id="470"/>
      <w:bookmarkEnd w:id="471"/>
      <w:bookmarkEnd w:id="472"/>
      <w:bookmarkEnd w:id="473"/>
    </w:p>
    <w:bookmarkEnd w:id="474"/>
    <w:bookmarkEnd w:id="475"/>
    <w:p w14:paraId="1D5A6927">
      <w:pPr>
        <w:spacing w:line="440" w:lineRule="exact"/>
        <w:ind w:left="1080" w:leftChars="257" w:hanging="540"/>
        <w:jc w:val="center"/>
        <w:rPr>
          <w:rFonts w:hint="eastAsia" w:ascii="仿宋" w:hAnsi="仿宋" w:eastAsia="仿宋" w:cs="仿宋"/>
          <w:bCs/>
          <w:color w:val="auto"/>
          <w:kern w:val="0"/>
          <w:sz w:val="24"/>
          <w:szCs w:val="20"/>
          <w:highlight w:val="none"/>
        </w:rPr>
      </w:pPr>
    </w:p>
    <w:p w14:paraId="04052F7D">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77C45F2F">
      <w:pPr>
        <w:spacing w:line="440" w:lineRule="exact"/>
        <w:ind w:left="1080" w:leftChars="257" w:hanging="540"/>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本单位对上述声明的真实性负责。如有虚假，将依法承担相应责任。</w:t>
      </w:r>
    </w:p>
    <w:p w14:paraId="51305755">
      <w:pPr>
        <w:spacing w:line="440" w:lineRule="exact"/>
        <w:ind w:left="1080" w:leftChars="257" w:hanging="540"/>
        <w:jc w:val="center"/>
        <w:rPr>
          <w:rFonts w:hint="eastAsia" w:ascii="仿宋" w:hAnsi="仿宋" w:eastAsia="仿宋" w:cs="仿宋"/>
          <w:bCs/>
          <w:color w:val="auto"/>
          <w:kern w:val="0"/>
          <w:sz w:val="24"/>
          <w:szCs w:val="20"/>
          <w:highlight w:val="none"/>
        </w:rPr>
      </w:pPr>
    </w:p>
    <w:p w14:paraId="3F60BB51">
      <w:pPr>
        <w:spacing w:line="440" w:lineRule="exact"/>
        <w:ind w:left="1080" w:leftChars="257" w:hanging="540"/>
        <w:jc w:val="center"/>
        <w:rPr>
          <w:rFonts w:hint="eastAsia" w:ascii="仿宋" w:hAnsi="仿宋" w:eastAsia="仿宋" w:cs="仿宋"/>
          <w:bCs/>
          <w:color w:val="auto"/>
          <w:kern w:val="0"/>
          <w:sz w:val="24"/>
          <w:szCs w:val="20"/>
          <w:highlight w:val="none"/>
        </w:rPr>
      </w:pPr>
    </w:p>
    <w:p w14:paraId="3346C170">
      <w:pPr>
        <w:spacing w:line="440" w:lineRule="exact"/>
        <w:ind w:left="1080" w:leftChars="257" w:hanging="540"/>
        <w:jc w:val="center"/>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残疾人福利性单位名称（公章）：______________</w:t>
      </w:r>
    </w:p>
    <w:p w14:paraId="44D8DEA7">
      <w:pPr>
        <w:spacing w:line="440" w:lineRule="exact"/>
        <w:ind w:left="1080" w:leftChars="257" w:hanging="540"/>
        <w:jc w:val="center"/>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w:t>
      </w:r>
      <w:r>
        <w:rPr>
          <w:rFonts w:hint="eastAsia" w:ascii="仿宋" w:hAnsi="仿宋" w:eastAsia="仿宋" w:cs="仿宋"/>
          <w:bCs/>
          <w:color w:val="auto"/>
          <w:kern w:val="0"/>
          <w:sz w:val="24"/>
          <w:szCs w:val="20"/>
          <w:highlight w:val="none"/>
          <w:u w:val="single" w:color="FFFFFF"/>
        </w:rPr>
        <w:t xml:space="preserve">       </w:t>
      </w:r>
      <w:r>
        <w:rPr>
          <w:rFonts w:hint="eastAsia" w:ascii="仿宋" w:hAnsi="仿宋" w:eastAsia="仿宋" w:cs="仿宋"/>
          <w:bCs/>
          <w:color w:val="auto"/>
          <w:kern w:val="0"/>
          <w:sz w:val="24"/>
          <w:szCs w:val="20"/>
          <w:highlight w:val="none"/>
        </w:rPr>
        <w:t>日  期：_____________________________________________</w:t>
      </w:r>
    </w:p>
    <w:p w14:paraId="14EF7E97">
      <w:pPr>
        <w:spacing w:line="440" w:lineRule="exact"/>
        <w:ind w:left="1080" w:leftChars="257" w:hanging="540"/>
        <w:jc w:val="center"/>
        <w:rPr>
          <w:rFonts w:hint="eastAsia" w:ascii="仿宋" w:hAnsi="仿宋" w:eastAsia="仿宋" w:cs="仿宋"/>
          <w:bCs/>
          <w:color w:val="auto"/>
          <w:kern w:val="0"/>
          <w:sz w:val="24"/>
          <w:szCs w:val="20"/>
          <w:highlight w:val="none"/>
        </w:rPr>
      </w:pPr>
    </w:p>
    <w:p w14:paraId="23892CAD">
      <w:pPr>
        <w:spacing w:line="440" w:lineRule="exact"/>
        <w:rPr>
          <w:rFonts w:hint="eastAsia" w:ascii="仿宋" w:hAnsi="仿宋" w:eastAsia="仿宋" w:cs="仿宋"/>
          <w:bCs/>
          <w:color w:val="auto"/>
          <w:kern w:val="0"/>
          <w:sz w:val="24"/>
          <w:szCs w:val="20"/>
          <w:highlight w:val="none"/>
        </w:rPr>
      </w:pPr>
    </w:p>
    <w:p w14:paraId="406CB22F">
      <w:pPr>
        <w:pStyle w:val="5"/>
        <w:spacing w:before="0" w:line="440" w:lineRule="exact"/>
        <w:ind w:left="1258" w:leftChars="599" w:firstLine="104" w:firstLineChars="43"/>
        <w:jc w:val="both"/>
        <w:rPr>
          <w:rFonts w:hint="eastAsia" w:ascii="仿宋" w:hAnsi="仿宋" w:eastAsia="仿宋" w:cs="仿宋"/>
          <w:color w:val="auto"/>
          <w:sz w:val="24"/>
          <w:highlight w:val="none"/>
        </w:rPr>
      </w:pPr>
      <w:bookmarkStart w:id="476" w:name="_Toc30795"/>
      <w:bookmarkStart w:id="477" w:name="_Toc28099"/>
      <w:bookmarkStart w:id="478" w:name="_Toc515647827"/>
      <w:bookmarkStart w:id="479" w:name="_Toc10002"/>
    </w:p>
    <w:p w14:paraId="7C07A8A2">
      <w:pPr>
        <w:pStyle w:val="5"/>
        <w:spacing w:before="0" w:line="440" w:lineRule="exact"/>
        <w:ind w:left="1258" w:leftChars="599" w:firstLine="104" w:firstLineChars="43"/>
        <w:jc w:val="both"/>
        <w:rPr>
          <w:rFonts w:hint="eastAsia" w:ascii="仿宋" w:hAnsi="仿宋" w:eastAsia="仿宋" w:cs="仿宋"/>
          <w:color w:val="auto"/>
          <w:sz w:val="24"/>
          <w:highlight w:val="none"/>
        </w:rPr>
      </w:pPr>
    </w:p>
    <w:p w14:paraId="724C5D8C">
      <w:pPr>
        <w:pStyle w:val="5"/>
        <w:spacing w:before="0" w:line="440" w:lineRule="exact"/>
        <w:ind w:left="1258" w:leftChars="599" w:firstLine="104" w:firstLineChars="43"/>
        <w:jc w:val="both"/>
        <w:rPr>
          <w:rFonts w:hint="eastAsia" w:ascii="仿宋" w:hAnsi="仿宋" w:eastAsia="仿宋" w:cs="仿宋"/>
          <w:color w:val="auto"/>
          <w:sz w:val="24"/>
          <w:highlight w:val="none"/>
        </w:rPr>
      </w:pPr>
    </w:p>
    <w:p w14:paraId="09D2FC70">
      <w:pPr>
        <w:tabs>
          <w:tab w:val="left" w:pos="6300"/>
        </w:tabs>
        <w:snapToGrid w:val="0"/>
        <w:spacing w:line="500" w:lineRule="exact"/>
        <w:jc w:val="center"/>
        <w:rPr>
          <w:rFonts w:hint="eastAsia" w:ascii="仿宋" w:hAnsi="仿宋" w:eastAsia="仿宋" w:cs="仿宋"/>
          <w:b/>
          <w:color w:val="auto"/>
          <w:sz w:val="24"/>
          <w:highlight w:val="none"/>
        </w:rPr>
      </w:pPr>
    </w:p>
    <w:p w14:paraId="4D69CEE4">
      <w:pPr>
        <w:tabs>
          <w:tab w:val="left" w:pos="6300"/>
        </w:tabs>
        <w:snapToGrid w:val="0"/>
        <w:spacing w:line="500" w:lineRule="exact"/>
        <w:jc w:val="center"/>
        <w:rPr>
          <w:rFonts w:hint="eastAsia" w:ascii="仿宋" w:hAnsi="仿宋" w:eastAsia="仿宋" w:cs="仿宋"/>
          <w:b/>
          <w:color w:val="auto"/>
          <w:sz w:val="24"/>
          <w:highlight w:val="none"/>
        </w:rPr>
      </w:pPr>
    </w:p>
    <w:p w14:paraId="6A75FCA0">
      <w:pPr>
        <w:tabs>
          <w:tab w:val="left" w:pos="6300"/>
        </w:tabs>
        <w:snapToGrid w:val="0"/>
        <w:spacing w:line="500" w:lineRule="exact"/>
        <w:jc w:val="center"/>
        <w:rPr>
          <w:rFonts w:hint="eastAsia" w:ascii="仿宋" w:hAnsi="仿宋" w:eastAsia="仿宋" w:cs="仿宋"/>
          <w:b/>
          <w:color w:val="auto"/>
          <w:sz w:val="24"/>
          <w:highlight w:val="none"/>
        </w:rPr>
      </w:pPr>
    </w:p>
    <w:p w14:paraId="5534BECF">
      <w:pPr>
        <w:tabs>
          <w:tab w:val="left" w:pos="6300"/>
        </w:tabs>
        <w:snapToGrid w:val="0"/>
        <w:spacing w:line="500" w:lineRule="exact"/>
        <w:jc w:val="center"/>
        <w:rPr>
          <w:rFonts w:hint="eastAsia" w:ascii="仿宋" w:hAnsi="仿宋" w:eastAsia="仿宋" w:cs="仿宋"/>
          <w:b/>
          <w:color w:val="auto"/>
          <w:sz w:val="24"/>
          <w:highlight w:val="none"/>
        </w:rPr>
      </w:pPr>
    </w:p>
    <w:p w14:paraId="36962547">
      <w:pPr>
        <w:tabs>
          <w:tab w:val="left" w:pos="6300"/>
        </w:tabs>
        <w:snapToGrid w:val="0"/>
        <w:spacing w:line="500" w:lineRule="exact"/>
        <w:jc w:val="center"/>
        <w:rPr>
          <w:rFonts w:hint="eastAsia" w:ascii="仿宋" w:hAnsi="仿宋" w:eastAsia="仿宋" w:cs="仿宋"/>
          <w:b/>
          <w:color w:val="auto"/>
          <w:sz w:val="24"/>
          <w:highlight w:val="none"/>
        </w:rPr>
      </w:pPr>
    </w:p>
    <w:p w14:paraId="71AD6058">
      <w:pPr>
        <w:tabs>
          <w:tab w:val="left" w:pos="6300"/>
        </w:tabs>
        <w:snapToGrid w:val="0"/>
        <w:spacing w:line="500" w:lineRule="exact"/>
        <w:jc w:val="center"/>
        <w:rPr>
          <w:rFonts w:hint="eastAsia" w:ascii="仿宋" w:hAnsi="仿宋" w:eastAsia="仿宋" w:cs="仿宋"/>
          <w:b/>
          <w:color w:val="auto"/>
          <w:sz w:val="24"/>
          <w:highlight w:val="none"/>
        </w:rPr>
      </w:pPr>
    </w:p>
    <w:p w14:paraId="022ADF3A">
      <w:pPr>
        <w:tabs>
          <w:tab w:val="left" w:pos="6300"/>
        </w:tabs>
        <w:snapToGrid w:val="0"/>
        <w:spacing w:line="500" w:lineRule="exact"/>
        <w:jc w:val="center"/>
        <w:rPr>
          <w:rFonts w:hint="eastAsia" w:ascii="仿宋" w:hAnsi="仿宋" w:eastAsia="仿宋" w:cs="仿宋"/>
          <w:b/>
          <w:color w:val="auto"/>
          <w:sz w:val="24"/>
          <w:highlight w:val="none"/>
        </w:rPr>
      </w:pPr>
    </w:p>
    <w:p w14:paraId="197B9182">
      <w:pPr>
        <w:tabs>
          <w:tab w:val="left" w:pos="6300"/>
        </w:tabs>
        <w:snapToGrid w:val="0"/>
        <w:spacing w:line="500" w:lineRule="exact"/>
        <w:jc w:val="center"/>
        <w:rPr>
          <w:rFonts w:hint="eastAsia" w:ascii="仿宋" w:hAnsi="仿宋" w:eastAsia="仿宋" w:cs="仿宋"/>
          <w:b/>
          <w:color w:val="auto"/>
          <w:sz w:val="24"/>
          <w:highlight w:val="none"/>
        </w:rPr>
      </w:pPr>
    </w:p>
    <w:p w14:paraId="347B5B0D">
      <w:pPr>
        <w:tabs>
          <w:tab w:val="left" w:pos="6300"/>
        </w:tabs>
        <w:snapToGrid w:val="0"/>
        <w:spacing w:line="500" w:lineRule="exact"/>
        <w:jc w:val="center"/>
        <w:rPr>
          <w:rFonts w:hint="eastAsia" w:ascii="仿宋" w:hAnsi="仿宋" w:eastAsia="仿宋" w:cs="仿宋"/>
          <w:b/>
          <w:color w:val="auto"/>
          <w:sz w:val="24"/>
          <w:highlight w:val="none"/>
        </w:rPr>
      </w:pPr>
    </w:p>
    <w:p w14:paraId="16CA0B54">
      <w:pPr>
        <w:tabs>
          <w:tab w:val="left" w:pos="6300"/>
        </w:tabs>
        <w:snapToGrid w:val="0"/>
        <w:spacing w:line="500" w:lineRule="exact"/>
        <w:jc w:val="center"/>
        <w:rPr>
          <w:rFonts w:hint="eastAsia" w:ascii="仿宋" w:hAnsi="仿宋" w:eastAsia="仿宋" w:cs="仿宋"/>
          <w:b/>
          <w:color w:val="auto"/>
          <w:sz w:val="24"/>
          <w:highlight w:val="none"/>
        </w:rPr>
      </w:pPr>
    </w:p>
    <w:p w14:paraId="7F10BF7B">
      <w:pPr>
        <w:tabs>
          <w:tab w:val="left" w:pos="6300"/>
        </w:tabs>
        <w:snapToGrid w:val="0"/>
        <w:spacing w:line="500" w:lineRule="exact"/>
        <w:jc w:val="both"/>
        <w:rPr>
          <w:rFonts w:hint="eastAsia" w:ascii="仿宋" w:hAnsi="仿宋" w:eastAsia="仿宋" w:cs="仿宋"/>
          <w:b/>
          <w:color w:val="auto"/>
          <w:sz w:val="24"/>
          <w:highlight w:val="none"/>
          <w:lang w:val="en-US" w:eastAsia="zh-CN"/>
        </w:rPr>
      </w:pPr>
    </w:p>
    <w:p w14:paraId="455E40F0">
      <w:pPr>
        <w:tabs>
          <w:tab w:val="left" w:pos="6300"/>
        </w:tabs>
        <w:snapToGrid w:val="0"/>
        <w:spacing w:line="500" w:lineRule="exact"/>
        <w:jc w:val="center"/>
        <w:rPr>
          <w:rFonts w:hint="eastAsia" w:ascii="仿宋" w:hAnsi="仿宋" w:eastAsia="仿宋" w:cs="仿宋"/>
          <w:b/>
          <w:color w:val="auto"/>
          <w:sz w:val="24"/>
          <w:highlight w:val="none"/>
          <w:lang w:val="en-US" w:eastAsia="zh-CN"/>
        </w:rPr>
      </w:pPr>
    </w:p>
    <w:p w14:paraId="3624BE3C">
      <w:pPr>
        <w:tabs>
          <w:tab w:val="left" w:pos="6300"/>
        </w:tabs>
        <w:snapToGrid w:val="0"/>
        <w:spacing w:line="5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 xml:space="preserve"> 诚信声明</w:t>
      </w:r>
    </w:p>
    <w:p w14:paraId="54296FDA">
      <w:pPr>
        <w:spacing w:line="440" w:lineRule="exact"/>
        <w:ind w:firstLine="567"/>
        <w:rPr>
          <w:rFonts w:hint="eastAsia" w:ascii="仿宋" w:hAnsi="仿宋" w:eastAsia="仿宋" w:cs="仿宋"/>
          <w:bCs/>
          <w:color w:val="auto"/>
          <w:kern w:val="0"/>
          <w:sz w:val="24"/>
          <w:szCs w:val="20"/>
          <w:highlight w:val="none"/>
        </w:rPr>
      </w:pPr>
    </w:p>
    <w:p w14:paraId="42FD8E1D">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采购项目名称：                 </w:t>
      </w:r>
    </w:p>
    <w:p w14:paraId="2E9C8CE8">
      <w:pPr>
        <w:spacing w:line="440" w:lineRule="exact"/>
        <w:ind w:firstLine="567"/>
        <w:rPr>
          <w:rFonts w:hint="eastAsia" w:ascii="仿宋" w:hAnsi="仿宋" w:eastAsia="仿宋" w:cs="仿宋"/>
          <w:bCs/>
          <w:color w:val="auto"/>
          <w:kern w:val="0"/>
          <w:sz w:val="24"/>
          <w:szCs w:val="20"/>
          <w:highlight w:val="none"/>
        </w:rPr>
      </w:pPr>
    </w:p>
    <w:p w14:paraId="417BBDFA">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致：（采购</w:t>
      </w:r>
      <w:r>
        <w:rPr>
          <w:rFonts w:hint="eastAsia" w:ascii="仿宋" w:hAnsi="仿宋" w:eastAsia="仿宋" w:cs="仿宋"/>
          <w:bCs/>
          <w:color w:val="auto"/>
          <w:kern w:val="0"/>
          <w:sz w:val="24"/>
          <w:szCs w:val="20"/>
          <w:highlight w:val="none"/>
          <w:lang w:eastAsia="zh-CN"/>
        </w:rPr>
        <w:t>单位</w:t>
      </w:r>
      <w:r>
        <w:rPr>
          <w:rFonts w:hint="eastAsia" w:ascii="仿宋" w:hAnsi="仿宋" w:eastAsia="仿宋" w:cs="仿宋"/>
          <w:bCs/>
          <w:color w:val="auto"/>
          <w:kern w:val="0"/>
          <w:sz w:val="24"/>
          <w:szCs w:val="20"/>
          <w:highlight w:val="none"/>
        </w:rPr>
        <w:t>名称）</w:t>
      </w:r>
    </w:p>
    <w:p w14:paraId="33108FE5">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供应商名称）郑重声明，我公司具有良好的商业信誉和健全的财务会计制度，具有履行合同所必需的设备和专业技术能力，在合同签订前后随时愿意提供相关证明材料；我公司还同时声明参加本项目采购活动前三年内无重大违法活动记录，符合《政府采购法》规定的供应商资格条件。我方对以上声明负全部法律责任。</w:t>
      </w:r>
    </w:p>
    <w:p w14:paraId="125DFEDB">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特此声明。</w:t>
      </w:r>
    </w:p>
    <w:p w14:paraId="5A35DE95">
      <w:pPr>
        <w:spacing w:line="440" w:lineRule="exact"/>
        <w:ind w:firstLine="567"/>
        <w:rPr>
          <w:rFonts w:hint="eastAsia" w:ascii="仿宋" w:hAnsi="仿宋" w:eastAsia="仿宋" w:cs="仿宋"/>
          <w:bCs/>
          <w:color w:val="auto"/>
          <w:kern w:val="0"/>
          <w:sz w:val="24"/>
          <w:szCs w:val="20"/>
          <w:highlight w:val="none"/>
        </w:rPr>
      </w:pPr>
    </w:p>
    <w:p w14:paraId="69991AA7">
      <w:pPr>
        <w:spacing w:line="440" w:lineRule="exact"/>
        <w:ind w:firstLine="567"/>
        <w:rPr>
          <w:rFonts w:hint="eastAsia" w:ascii="仿宋" w:hAnsi="仿宋" w:eastAsia="仿宋" w:cs="仿宋"/>
          <w:bCs/>
          <w:color w:val="auto"/>
          <w:kern w:val="0"/>
          <w:sz w:val="24"/>
          <w:szCs w:val="20"/>
          <w:highlight w:val="none"/>
        </w:rPr>
      </w:pPr>
    </w:p>
    <w:p w14:paraId="779ABBA4">
      <w:pPr>
        <w:spacing w:line="440" w:lineRule="exact"/>
        <w:ind w:firstLine="567"/>
        <w:rPr>
          <w:rFonts w:hint="eastAsia" w:ascii="仿宋" w:hAnsi="仿宋" w:eastAsia="仿宋" w:cs="仿宋"/>
          <w:bCs/>
          <w:color w:val="auto"/>
          <w:kern w:val="0"/>
          <w:sz w:val="24"/>
          <w:szCs w:val="20"/>
          <w:highlight w:val="none"/>
        </w:rPr>
      </w:pPr>
    </w:p>
    <w:p w14:paraId="76A67A56">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w:t>
      </w:r>
      <w:r>
        <w:rPr>
          <w:rFonts w:hint="eastAsia" w:ascii="仿宋" w:hAnsi="仿宋" w:eastAsia="仿宋" w:cs="仿宋"/>
          <w:bCs/>
          <w:color w:val="auto"/>
          <w:kern w:val="0"/>
          <w:sz w:val="24"/>
          <w:szCs w:val="20"/>
          <w:highlight w:val="none"/>
          <w:lang w:val="en-US" w:eastAsia="zh-CN"/>
        </w:rPr>
        <w:t xml:space="preserve">       </w:t>
      </w:r>
      <w:r>
        <w:rPr>
          <w:rFonts w:hint="eastAsia" w:ascii="仿宋" w:hAnsi="仿宋" w:eastAsia="仿宋" w:cs="仿宋"/>
          <w:bCs/>
          <w:color w:val="auto"/>
          <w:kern w:val="0"/>
          <w:sz w:val="24"/>
          <w:szCs w:val="20"/>
          <w:highlight w:val="none"/>
        </w:rPr>
        <w:t xml:space="preserve"> （供应商公章）</w:t>
      </w:r>
    </w:p>
    <w:p w14:paraId="1AA11B8B">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w:t>
      </w:r>
      <w:r>
        <w:rPr>
          <w:rFonts w:hint="eastAsia" w:ascii="仿宋" w:hAnsi="仿宋" w:eastAsia="仿宋" w:cs="仿宋"/>
          <w:bCs/>
          <w:color w:val="auto"/>
          <w:kern w:val="0"/>
          <w:sz w:val="24"/>
          <w:szCs w:val="20"/>
          <w:highlight w:val="none"/>
          <w:lang w:val="en-US" w:eastAsia="zh-CN"/>
        </w:rPr>
        <w:t xml:space="preserve">    </w:t>
      </w:r>
      <w:r>
        <w:rPr>
          <w:rFonts w:hint="eastAsia" w:ascii="仿宋" w:hAnsi="仿宋" w:eastAsia="仿宋" w:cs="仿宋"/>
          <w:bCs/>
          <w:color w:val="auto"/>
          <w:kern w:val="0"/>
          <w:sz w:val="24"/>
          <w:szCs w:val="20"/>
          <w:highlight w:val="none"/>
        </w:rPr>
        <w:t xml:space="preserve">      年   月   日</w:t>
      </w:r>
    </w:p>
    <w:p w14:paraId="721CF093">
      <w:pPr>
        <w:tabs>
          <w:tab w:val="left" w:pos="6300"/>
        </w:tabs>
        <w:snapToGrid w:val="0"/>
        <w:spacing w:line="500" w:lineRule="exact"/>
        <w:jc w:val="center"/>
        <w:rPr>
          <w:rFonts w:hint="eastAsia" w:ascii="仿宋" w:hAnsi="仿宋" w:eastAsia="仿宋" w:cs="仿宋"/>
          <w:b/>
          <w:color w:val="auto"/>
          <w:sz w:val="24"/>
          <w:highlight w:val="none"/>
          <w:lang w:eastAsia="zh-CN"/>
        </w:rPr>
      </w:pPr>
      <w:r>
        <w:rPr>
          <w:rFonts w:hint="eastAsia" w:ascii="仿宋" w:hAnsi="仿宋" w:eastAsia="仿宋" w:cs="仿宋"/>
          <w:color w:val="auto"/>
          <w:sz w:val="24"/>
          <w:highlight w:val="none"/>
        </w:rPr>
        <w:br w:type="page"/>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eastAsia="zh-CN"/>
        </w:rPr>
        <w:t>售后服务承诺</w:t>
      </w:r>
    </w:p>
    <w:p w14:paraId="359A3BDF">
      <w:pPr>
        <w:tabs>
          <w:tab w:val="left" w:pos="6300"/>
        </w:tabs>
        <w:snapToGrid w:val="0"/>
        <w:spacing w:line="500" w:lineRule="exact"/>
        <w:ind w:firstLine="480" w:firstLineChars="200"/>
        <w:rPr>
          <w:rFonts w:hint="eastAsia" w:ascii="仿宋" w:hAnsi="仿宋" w:eastAsia="仿宋" w:cs="仿宋"/>
          <w:color w:val="auto"/>
          <w:sz w:val="24"/>
          <w:highlight w:val="none"/>
          <w:lang w:eastAsia="zh-CN"/>
        </w:rPr>
      </w:pPr>
    </w:p>
    <w:p w14:paraId="3A6F5BCB">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lang w:eastAsia="zh-CN"/>
        </w:rPr>
        <w:t>代理公司</w:t>
      </w:r>
      <w:r>
        <w:rPr>
          <w:rFonts w:hint="eastAsia" w:ascii="仿宋" w:hAnsi="仿宋" w:eastAsia="仿宋" w:cs="仿宋"/>
          <w:bCs/>
          <w:color w:val="auto"/>
          <w:kern w:val="0"/>
          <w:sz w:val="24"/>
          <w:szCs w:val="20"/>
          <w:highlight w:val="none"/>
        </w:rPr>
        <w:t>及需方：</w:t>
      </w:r>
    </w:p>
    <w:p w14:paraId="09A32F84">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我公司自愿</w:t>
      </w:r>
      <w:r>
        <w:rPr>
          <w:rFonts w:hint="eastAsia" w:ascii="仿宋" w:hAnsi="仿宋" w:eastAsia="仿宋" w:cs="仿宋"/>
          <w:bCs/>
          <w:color w:val="auto"/>
          <w:kern w:val="0"/>
          <w:sz w:val="24"/>
          <w:szCs w:val="20"/>
          <w:highlight w:val="none"/>
          <w:lang w:eastAsia="zh-CN"/>
        </w:rPr>
        <w:t>参加</w:t>
      </w:r>
      <w:r>
        <w:rPr>
          <w:rFonts w:hint="eastAsia" w:ascii="仿宋" w:hAnsi="仿宋" w:eastAsia="仿宋" w:cs="仿宋"/>
          <w:bCs/>
          <w:color w:val="auto"/>
          <w:kern w:val="0"/>
          <w:sz w:val="24"/>
          <w:szCs w:val="20"/>
          <w:highlight w:val="none"/>
          <w:lang w:val="en-US" w:eastAsia="zh-CN"/>
        </w:rPr>
        <w:t>_____________项目</w:t>
      </w:r>
      <w:r>
        <w:rPr>
          <w:rFonts w:hint="eastAsia" w:ascii="仿宋" w:hAnsi="仿宋" w:eastAsia="仿宋" w:cs="仿宋"/>
          <w:bCs/>
          <w:color w:val="auto"/>
          <w:kern w:val="0"/>
          <w:sz w:val="24"/>
          <w:szCs w:val="20"/>
          <w:highlight w:val="none"/>
        </w:rPr>
        <w:t>并提交</w:t>
      </w:r>
      <w:r>
        <w:rPr>
          <w:rFonts w:hint="eastAsia" w:ascii="仿宋" w:hAnsi="仿宋" w:eastAsia="仿宋" w:cs="仿宋"/>
          <w:bCs/>
          <w:color w:val="auto"/>
          <w:kern w:val="0"/>
          <w:sz w:val="24"/>
          <w:szCs w:val="20"/>
          <w:highlight w:val="none"/>
          <w:lang w:eastAsia="zh-CN"/>
        </w:rPr>
        <w:t>响应</w:t>
      </w:r>
      <w:r>
        <w:rPr>
          <w:rFonts w:hint="eastAsia" w:ascii="仿宋" w:hAnsi="仿宋" w:eastAsia="仿宋" w:cs="仿宋"/>
          <w:bCs/>
          <w:color w:val="auto"/>
          <w:kern w:val="0"/>
          <w:sz w:val="24"/>
          <w:szCs w:val="20"/>
          <w:highlight w:val="none"/>
        </w:rPr>
        <w:t>文件。我公司郑重承诺，如果我公司的投标被确定为中标，我公司对于成交的货物</w:t>
      </w:r>
      <w:r>
        <w:rPr>
          <w:rFonts w:hint="eastAsia" w:ascii="仿宋" w:hAnsi="仿宋" w:eastAsia="仿宋" w:cs="仿宋"/>
          <w:bCs/>
          <w:color w:val="auto"/>
          <w:kern w:val="0"/>
          <w:sz w:val="24"/>
          <w:szCs w:val="20"/>
          <w:highlight w:val="none"/>
          <w:lang w:eastAsia="zh-CN"/>
        </w:rPr>
        <w:t>（服务）</w:t>
      </w:r>
      <w:r>
        <w:rPr>
          <w:rFonts w:hint="eastAsia" w:ascii="仿宋" w:hAnsi="仿宋" w:eastAsia="仿宋" w:cs="仿宋"/>
          <w:bCs/>
          <w:color w:val="auto"/>
          <w:kern w:val="0"/>
          <w:sz w:val="24"/>
          <w:szCs w:val="20"/>
          <w:highlight w:val="none"/>
        </w:rPr>
        <w:t>，除完全响应</w:t>
      </w:r>
      <w:r>
        <w:rPr>
          <w:rFonts w:hint="eastAsia" w:ascii="仿宋" w:hAnsi="仿宋" w:eastAsia="仿宋" w:cs="仿宋"/>
          <w:bCs/>
          <w:color w:val="auto"/>
          <w:kern w:val="0"/>
          <w:sz w:val="24"/>
          <w:szCs w:val="20"/>
          <w:highlight w:val="none"/>
          <w:lang w:eastAsia="zh-CN"/>
        </w:rPr>
        <w:t>竞争性谈判</w:t>
      </w:r>
      <w:r>
        <w:rPr>
          <w:rFonts w:hint="eastAsia" w:ascii="仿宋" w:hAnsi="仿宋" w:eastAsia="仿宋" w:cs="仿宋"/>
          <w:bCs/>
          <w:color w:val="auto"/>
          <w:kern w:val="0"/>
          <w:sz w:val="24"/>
          <w:szCs w:val="20"/>
          <w:highlight w:val="none"/>
        </w:rPr>
        <w:t>文件对伴随服务和售后服务的要求外，还将按以下条款提供优质和完善的售后服务：</w:t>
      </w:r>
    </w:p>
    <w:p w14:paraId="5F0FBB9F">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一、拟提供售后服务的项目；</w:t>
      </w:r>
    </w:p>
    <w:p w14:paraId="691FB5C2">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二、售后服务响应及到达现场的时间（包括质保期内免费维修和/或更换有缺陷的货物或部件的响应时间）；</w:t>
      </w:r>
    </w:p>
    <w:p w14:paraId="4798FA83">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lang w:eastAsia="zh-CN"/>
        </w:rPr>
        <w:t>三、</w:t>
      </w:r>
      <w:r>
        <w:rPr>
          <w:rFonts w:hint="eastAsia" w:ascii="仿宋" w:hAnsi="仿宋" w:eastAsia="仿宋" w:cs="仿宋"/>
          <w:bCs/>
          <w:color w:val="auto"/>
          <w:kern w:val="0"/>
          <w:sz w:val="24"/>
          <w:szCs w:val="20"/>
          <w:highlight w:val="none"/>
        </w:rPr>
        <w:t>备品备件供应的保证措施及收费标准；</w:t>
      </w:r>
    </w:p>
    <w:p w14:paraId="2753D20C">
      <w:pPr>
        <w:spacing w:line="440" w:lineRule="exact"/>
        <w:ind w:firstLine="567"/>
        <w:rPr>
          <w:rFonts w:hint="eastAsia" w:ascii="仿宋" w:hAnsi="仿宋" w:eastAsia="仿宋" w:cs="仿宋"/>
          <w:bCs/>
          <w:color w:val="auto"/>
          <w:kern w:val="0"/>
          <w:sz w:val="24"/>
          <w:szCs w:val="20"/>
          <w:highlight w:val="none"/>
        </w:rPr>
      </w:pPr>
    </w:p>
    <w:p w14:paraId="03D39F70">
      <w:pPr>
        <w:spacing w:line="440" w:lineRule="exact"/>
        <w:ind w:firstLine="567"/>
        <w:rPr>
          <w:rFonts w:hint="eastAsia" w:ascii="仿宋" w:hAnsi="仿宋" w:eastAsia="仿宋" w:cs="仿宋"/>
          <w:bCs/>
          <w:color w:val="auto"/>
          <w:kern w:val="0"/>
          <w:sz w:val="24"/>
          <w:szCs w:val="20"/>
          <w:highlight w:val="none"/>
        </w:rPr>
      </w:pPr>
    </w:p>
    <w:p w14:paraId="13ABDAC0">
      <w:pPr>
        <w:spacing w:line="440" w:lineRule="exact"/>
        <w:ind w:firstLine="567"/>
        <w:rPr>
          <w:rFonts w:hint="eastAsia" w:ascii="仿宋" w:hAnsi="仿宋" w:eastAsia="仿宋" w:cs="仿宋"/>
          <w:bCs/>
          <w:color w:val="auto"/>
          <w:kern w:val="0"/>
          <w:sz w:val="24"/>
          <w:szCs w:val="20"/>
          <w:highlight w:val="none"/>
        </w:rPr>
      </w:pPr>
    </w:p>
    <w:p w14:paraId="5D1F2467">
      <w:pPr>
        <w:spacing w:line="440" w:lineRule="exact"/>
        <w:ind w:firstLine="567"/>
        <w:rPr>
          <w:rFonts w:hint="eastAsia" w:ascii="仿宋" w:hAnsi="仿宋" w:eastAsia="仿宋" w:cs="仿宋"/>
          <w:bCs/>
          <w:color w:val="auto"/>
          <w:kern w:val="0"/>
          <w:sz w:val="24"/>
          <w:szCs w:val="20"/>
          <w:highlight w:val="none"/>
        </w:rPr>
      </w:pPr>
    </w:p>
    <w:p w14:paraId="5187D815">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法定代表人签字：               </w:t>
      </w:r>
    </w:p>
    <w:p w14:paraId="1111D398">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w:t>
      </w:r>
      <w:r>
        <w:rPr>
          <w:rFonts w:hint="eastAsia" w:ascii="仿宋" w:hAnsi="仿宋" w:eastAsia="仿宋" w:cs="仿宋"/>
          <w:bCs/>
          <w:color w:val="auto"/>
          <w:kern w:val="0"/>
          <w:sz w:val="24"/>
          <w:szCs w:val="20"/>
          <w:highlight w:val="none"/>
          <w:lang w:eastAsia="zh-CN"/>
        </w:rPr>
        <w:t>被授权人</w:t>
      </w:r>
      <w:r>
        <w:rPr>
          <w:rFonts w:hint="eastAsia" w:ascii="仿宋" w:hAnsi="仿宋" w:eastAsia="仿宋" w:cs="仿宋"/>
          <w:bCs/>
          <w:color w:val="auto"/>
          <w:kern w:val="0"/>
          <w:sz w:val="24"/>
          <w:szCs w:val="20"/>
          <w:highlight w:val="none"/>
        </w:rPr>
        <w:t>签字</w:t>
      </w:r>
      <w:r>
        <w:rPr>
          <w:rFonts w:hint="eastAsia" w:ascii="仿宋" w:hAnsi="仿宋" w:eastAsia="仿宋" w:cs="仿宋"/>
          <w:bCs/>
          <w:color w:val="auto"/>
          <w:kern w:val="0"/>
          <w:sz w:val="24"/>
          <w:szCs w:val="20"/>
          <w:highlight w:val="none"/>
          <w:lang w:eastAsia="zh-CN"/>
        </w:rPr>
        <w:t>（若有）</w:t>
      </w:r>
      <w:r>
        <w:rPr>
          <w:rFonts w:hint="eastAsia" w:ascii="仿宋" w:hAnsi="仿宋" w:eastAsia="仿宋" w:cs="仿宋"/>
          <w:bCs/>
          <w:color w:val="auto"/>
          <w:kern w:val="0"/>
          <w:sz w:val="24"/>
          <w:szCs w:val="20"/>
          <w:highlight w:val="none"/>
        </w:rPr>
        <w:t xml:space="preserve">：                       </w:t>
      </w:r>
    </w:p>
    <w:p w14:paraId="385A6F1A">
      <w:pPr>
        <w:spacing w:line="440" w:lineRule="exact"/>
        <w:ind w:firstLine="567"/>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rPr>
        <w:t xml:space="preserve">                                       </w:t>
      </w:r>
    </w:p>
    <w:p w14:paraId="73981471">
      <w:pPr>
        <w:spacing w:line="440" w:lineRule="exact"/>
        <w:ind w:firstLine="567"/>
        <w:rPr>
          <w:rFonts w:hint="eastAsia" w:ascii="仿宋" w:hAnsi="仿宋" w:eastAsia="仿宋" w:cs="仿宋"/>
          <w:bCs/>
          <w:color w:val="auto"/>
          <w:kern w:val="0"/>
          <w:sz w:val="24"/>
          <w:szCs w:val="20"/>
          <w:highlight w:val="none"/>
        </w:rPr>
      </w:pPr>
    </w:p>
    <w:p w14:paraId="6BFE8C73">
      <w:pPr>
        <w:spacing w:line="440" w:lineRule="exact"/>
        <w:ind w:firstLine="567"/>
        <w:jc w:val="center"/>
        <w:rPr>
          <w:rFonts w:hint="eastAsia" w:ascii="仿宋" w:hAnsi="仿宋" w:eastAsia="仿宋" w:cs="仿宋"/>
          <w:bCs/>
          <w:color w:val="auto"/>
          <w:kern w:val="0"/>
          <w:sz w:val="24"/>
          <w:szCs w:val="20"/>
          <w:highlight w:val="none"/>
        </w:rPr>
      </w:pPr>
      <w:r>
        <w:rPr>
          <w:rFonts w:hint="eastAsia" w:ascii="仿宋" w:hAnsi="仿宋" w:eastAsia="仿宋" w:cs="仿宋"/>
          <w:bCs/>
          <w:color w:val="auto"/>
          <w:kern w:val="0"/>
          <w:sz w:val="24"/>
          <w:szCs w:val="20"/>
          <w:highlight w:val="none"/>
          <w:lang w:val="en-US" w:eastAsia="zh-CN"/>
        </w:rPr>
        <w:t xml:space="preserve">                        </w:t>
      </w:r>
      <w:r>
        <w:rPr>
          <w:rFonts w:hint="eastAsia" w:ascii="仿宋" w:hAnsi="仿宋" w:eastAsia="仿宋" w:cs="仿宋"/>
          <w:bCs/>
          <w:color w:val="auto"/>
          <w:kern w:val="0"/>
          <w:sz w:val="24"/>
          <w:szCs w:val="20"/>
          <w:highlight w:val="none"/>
        </w:rPr>
        <w:t>（</w:t>
      </w:r>
      <w:r>
        <w:rPr>
          <w:rFonts w:hint="eastAsia" w:ascii="仿宋" w:hAnsi="仿宋" w:eastAsia="仿宋" w:cs="仿宋"/>
          <w:bCs/>
          <w:color w:val="auto"/>
          <w:kern w:val="0"/>
          <w:sz w:val="24"/>
          <w:szCs w:val="20"/>
          <w:highlight w:val="none"/>
          <w:lang w:eastAsia="zh-CN"/>
        </w:rPr>
        <w:t>供应商</w:t>
      </w:r>
      <w:r>
        <w:rPr>
          <w:rFonts w:hint="eastAsia" w:ascii="仿宋" w:hAnsi="仿宋" w:eastAsia="仿宋" w:cs="仿宋"/>
          <w:bCs/>
          <w:color w:val="auto"/>
          <w:kern w:val="0"/>
          <w:sz w:val="24"/>
          <w:szCs w:val="20"/>
          <w:highlight w:val="none"/>
        </w:rPr>
        <w:t>单位公章）</w:t>
      </w:r>
    </w:p>
    <w:p w14:paraId="01A9492B">
      <w:pPr>
        <w:spacing w:line="440" w:lineRule="exact"/>
        <w:ind w:firstLine="567"/>
        <w:rPr>
          <w:rFonts w:hint="eastAsia" w:ascii="仿宋" w:hAnsi="仿宋" w:eastAsia="仿宋" w:cs="仿宋"/>
          <w:bCs/>
          <w:color w:val="auto"/>
          <w:kern w:val="0"/>
          <w:sz w:val="24"/>
          <w:szCs w:val="20"/>
          <w:highlight w:val="none"/>
          <w:lang w:eastAsia="zh-CN"/>
        </w:rPr>
        <w:sectPr>
          <w:pgSz w:w="11906" w:h="16838"/>
          <w:pgMar w:top="1440" w:right="1440" w:bottom="1440" w:left="1797"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仿宋" w:hAnsi="仿宋" w:eastAsia="仿宋" w:cs="仿宋"/>
          <w:bCs/>
          <w:color w:val="auto"/>
          <w:kern w:val="0"/>
          <w:sz w:val="24"/>
          <w:szCs w:val="20"/>
          <w:highlight w:val="none"/>
        </w:rPr>
        <w:t xml:space="preserve">                                        </w:t>
      </w:r>
      <w:r>
        <w:rPr>
          <w:rFonts w:hint="eastAsia" w:ascii="仿宋" w:hAnsi="仿宋" w:eastAsia="仿宋" w:cs="仿宋"/>
          <w:bCs/>
          <w:color w:val="auto"/>
          <w:kern w:val="0"/>
          <w:sz w:val="24"/>
          <w:szCs w:val="20"/>
          <w:highlight w:val="none"/>
          <w:lang w:val="en-US" w:eastAsia="zh-CN"/>
        </w:rPr>
        <w:t xml:space="preserve">  </w:t>
      </w:r>
      <w:r>
        <w:rPr>
          <w:rFonts w:hint="eastAsia" w:ascii="仿宋" w:hAnsi="仿宋" w:eastAsia="仿宋" w:cs="仿宋"/>
          <w:bCs/>
          <w:color w:val="auto"/>
          <w:kern w:val="0"/>
          <w:sz w:val="24"/>
          <w:szCs w:val="20"/>
          <w:highlight w:val="none"/>
          <w:lang w:eastAsia="zh-CN"/>
        </w:rPr>
        <w:t>年</w:t>
      </w:r>
      <w:r>
        <w:rPr>
          <w:rFonts w:hint="eastAsia" w:ascii="仿宋" w:hAnsi="仿宋" w:eastAsia="仿宋" w:cs="仿宋"/>
          <w:bCs/>
          <w:color w:val="auto"/>
          <w:kern w:val="0"/>
          <w:sz w:val="24"/>
          <w:szCs w:val="20"/>
          <w:highlight w:val="none"/>
          <w:lang w:val="en-US" w:eastAsia="zh-CN"/>
        </w:rPr>
        <w:t xml:space="preserve">  </w:t>
      </w:r>
      <w:r>
        <w:rPr>
          <w:rFonts w:hint="eastAsia" w:ascii="仿宋" w:hAnsi="仿宋" w:eastAsia="仿宋" w:cs="仿宋"/>
          <w:bCs/>
          <w:color w:val="auto"/>
          <w:kern w:val="0"/>
          <w:sz w:val="24"/>
          <w:szCs w:val="20"/>
          <w:highlight w:val="none"/>
          <w:lang w:eastAsia="zh-CN"/>
        </w:rPr>
        <w:t>月</w:t>
      </w:r>
      <w:r>
        <w:rPr>
          <w:rFonts w:hint="eastAsia" w:ascii="仿宋" w:hAnsi="仿宋" w:eastAsia="仿宋" w:cs="仿宋"/>
          <w:bCs/>
          <w:color w:val="auto"/>
          <w:kern w:val="0"/>
          <w:sz w:val="24"/>
          <w:szCs w:val="20"/>
          <w:highlight w:val="none"/>
          <w:lang w:val="en-US" w:eastAsia="zh-CN"/>
        </w:rPr>
        <w:t xml:space="preserve">  </w:t>
      </w:r>
      <w:r>
        <w:rPr>
          <w:rFonts w:hint="eastAsia" w:ascii="仿宋" w:hAnsi="仿宋" w:eastAsia="仿宋" w:cs="仿宋"/>
          <w:bCs/>
          <w:color w:val="auto"/>
          <w:kern w:val="0"/>
          <w:sz w:val="24"/>
          <w:szCs w:val="20"/>
          <w:highlight w:val="none"/>
          <w:lang w:eastAsia="zh-CN"/>
        </w:rPr>
        <w:t>日</w:t>
      </w:r>
    </w:p>
    <w:p w14:paraId="3A8A340C">
      <w:pPr>
        <w:pStyle w:val="5"/>
        <w:spacing w:before="0" w:line="440" w:lineRule="exact"/>
        <w:ind w:left="1258" w:leftChars="599" w:firstLine="104" w:firstLineChars="43"/>
        <w:jc w:val="both"/>
        <w:rPr>
          <w:rFonts w:hint="eastAsia" w:ascii="仿宋" w:hAnsi="仿宋" w:eastAsia="仿宋" w:cs="仿宋"/>
          <w:color w:val="auto"/>
          <w:sz w:val="24"/>
          <w:highlight w:val="none"/>
        </w:rPr>
      </w:pPr>
    </w:p>
    <w:p w14:paraId="49EC9A6B">
      <w:pPr>
        <w:pStyle w:val="5"/>
        <w:spacing w:before="0" w:line="440" w:lineRule="exact"/>
        <w:jc w:val="both"/>
        <w:rPr>
          <w:rFonts w:hint="eastAsia" w:ascii="仿宋" w:hAnsi="仿宋" w:eastAsia="仿宋" w:cs="仿宋"/>
          <w:color w:val="auto"/>
          <w:sz w:val="24"/>
          <w:highlight w:val="none"/>
        </w:rPr>
      </w:pPr>
      <w:bookmarkStart w:id="480" w:name="_Toc7916"/>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 xml:space="preserve"> 供应商关联单位的说明</w:t>
      </w:r>
      <w:bookmarkEnd w:id="476"/>
      <w:bookmarkEnd w:id="477"/>
      <w:bookmarkEnd w:id="478"/>
      <w:bookmarkEnd w:id="479"/>
      <w:bookmarkEnd w:id="480"/>
    </w:p>
    <w:p w14:paraId="1952B4CD">
      <w:pPr>
        <w:pStyle w:val="2"/>
        <w:spacing w:line="440" w:lineRule="exact"/>
        <w:jc w:val="center"/>
        <w:rPr>
          <w:rFonts w:hint="eastAsia" w:ascii="仿宋" w:hAnsi="仿宋" w:eastAsia="仿宋" w:cs="仿宋"/>
          <w:bCs/>
          <w:color w:val="auto"/>
          <w:highlight w:val="none"/>
        </w:rPr>
      </w:pPr>
    </w:p>
    <w:p w14:paraId="7609DC6B">
      <w:pPr>
        <w:pStyle w:val="2"/>
        <w:spacing w:line="440" w:lineRule="exact"/>
        <w:ind w:firstLine="480" w:firstLineChars="200"/>
        <w:rPr>
          <w:rFonts w:hint="eastAsia" w:ascii="仿宋" w:hAnsi="仿宋" w:eastAsia="仿宋" w:cs="仿宋"/>
          <w:bCs/>
          <w:color w:val="auto"/>
          <w:highlight w:val="none"/>
        </w:rPr>
      </w:pPr>
      <w:r>
        <w:rPr>
          <w:rFonts w:hint="eastAsia" w:ascii="仿宋" w:hAnsi="仿宋" w:eastAsia="仿宋" w:cs="仿宋"/>
          <w:bCs/>
          <w:color w:val="auto"/>
          <w:highlight w:val="none"/>
        </w:rPr>
        <w:t>说明：供应商应当如实披露与本单位存在下列关联关系的单位名称：</w:t>
      </w:r>
    </w:p>
    <w:p w14:paraId="07219B32">
      <w:pPr>
        <w:pStyle w:val="2"/>
        <w:spacing w:line="440" w:lineRule="exact"/>
        <w:ind w:firstLine="480" w:firstLineChars="200"/>
        <w:rPr>
          <w:rFonts w:hint="eastAsia" w:ascii="仿宋" w:hAnsi="仿宋" w:eastAsia="仿宋" w:cs="仿宋"/>
          <w:bCs/>
          <w:color w:val="auto"/>
          <w:highlight w:val="none"/>
        </w:rPr>
      </w:pPr>
      <w:r>
        <w:rPr>
          <w:rFonts w:hint="eastAsia" w:ascii="仿宋" w:hAnsi="仿宋" w:eastAsia="仿宋" w:cs="仿宋"/>
          <w:bCs/>
          <w:color w:val="auto"/>
          <w:highlight w:val="none"/>
        </w:rPr>
        <w:t>（1）与供应商单位负责人为同一人的其他单位；</w:t>
      </w:r>
    </w:p>
    <w:p w14:paraId="29B6AC40">
      <w:pPr>
        <w:pStyle w:val="2"/>
        <w:spacing w:line="440" w:lineRule="exact"/>
        <w:ind w:firstLine="480" w:firstLineChars="200"/>
        <w:rPr>
          <w:rFonts w:hint="eastAsia" w:ascii="仿宋" w:hAnsi="仿宋" w:eastAsia="仿宋" w:cs="仿宋"/>
          <w:bCs/>
          <w:color w:val="auto"/>
          <w:highlight w:val="none"/>
        </w:rPr>
      </w:pPr>
      <w:r>
        <w:rPr>
          <w:rFonts w:hint="eastAsia" w:ascii="仿宋" w:hAnsi="仿宋" w:eastAsia="仿宋" w:cs="仿宋"/>
          <w:bCs/>
          <w:color w:val="auto"/>
          <w:highlight w:val="none"/>
        </w:rPr>
        <w:t xml:space="preserve">    （2）与供应商存在直接控股、管理关系的其他单位</w:t>
      </w:r>
      <w:bookmarkStart w:id="481" w:name="_Toc14039"/>
      <w:bookmarkStart w:id="482" w:name="_Toc515647828"/>
      <w:bookmarkStart w:id="483" w:name="_Toc7414"/>
      <w:bookmarkStart w:id="484" w:name="_Toc17333"/>
      <w:bookmarkStart w:id="485" w:name="_Toc21877"/>
    </w:p>
    <w:p w14:paraId="7B32B687">
      <w:pPr>
        <w:pStyle w:val="3"/>
        <w:ind w:left="0" w:leftChars="0" w:firstLine="0" w:firstLineChars="0"/>
        <w:rPr>
          <w:rFonts w:hint="eastAsia" w:ascii="仿宋" w:hAnsi="仿宋" w:eastAsia="仿宋" w:cs="仿宋"/>
          <w:b/>
          <w:color w:val="auto"/>
          <w:kern w:val="0"/>
          <w:sz w:val="24"/>
          <w:szCs w:val="20"/>
          <w:highlight w:val="none"/>
          <w:lang w:val="en-US" w:eastAsia="zh-CN" w:bidi="ar-SA"/>
        </w:rPr>
      </w:pPr>
    </w:p>
    <w:p w14:paraId="73EE4264">
      <w:pPr>
        <w:pStyle w:val="3"/>
        <w:ind w:left="0" w:leftChars="0" w:firstLine="0" w:firstLineChars="0"/>
        <w:rPr>
          <w:rFonts w:hint="eastAsia" w:ascii="仿宋" w:hAnsi="仿宋" w:eastAsia="仿宋" w:cs="仿宋"/>
          <w:b/>
          <w:color w:val="auto"/>
          <w:kern w:val="0"/>
          <w:sz w:val="24"/>
          <w:szCs w:val="20"/>
          <w:highlight w:val="none"/>
          <w:lang w:val="en-US" w:eastAsia="zh-CN" w:bidi="ar-SA"/>
        </w:rPr>
      </w:pPr>
      <w:r>
        <w:rPr>
          <w:rFonts w:hint="eastAsia" w:ascii="仿宋" w:hAnsi="仿宋" w:eastAsia="仿宋" w:cs="仿宋"/>
          <w:b/>
          <w:color w:val="auto"/>
          <w:kern w:val="0"/>
          <w:sz w:val="24"/>
          <w:szCs w:val="20"/>
          <w:highlight w:val="none"/>
          <w:lang w:val="en-US" w:eastAsia="zh-CN" w:bidi="ar-SA"/>
        </w:rPr>
        <w:t>10 谈判保证金缴纳凭证或保函</w:t>
      </w:r>
    </w:p>
    <w:p w14:paraId="2561820B">
      <w:pPr>
        <w:pStyle w:val="2"/>
        <w:spacing w:line="440" w:lineRule="exact"/>
        <w:ind w:left="0" w:leftChars="0" w:firstLine="0" w:firstLineChars="0"/>
        <w:rPr>
          <w:rFonts w:hint="eastAsia" w:ascii="仿宋" w:hAnsi="仿宋" w:eastAsia="仿宋" w:cs="仿宋"/>
          <w:b/>
          <w:bCs/>
          <w:color w:val="auto"/>
          <w:sz w:val="24"/>
          <w:highlight w:val="none"/>
          <w:lang w:val="en-US" w:eastAsia="zh-CN"/>
        </w:rPr>
      </w:pPr>
    </w:p>
    <w:p w14:paraId="572BF3DA">
      <w:pPr>
        <w:pStyle w:val="2"/>
        <w:spacing w:line="440" w:lineRule="exact"/>
        <w:ind w:left="0" w:leftChars="0" w:firstLine="0" w:firstLineChars="0"/>
        <w:rPr>
          <w:rFonts w:hint="eastAsia" w:ascii="仿宋" w:hAnsi="仿宋" w:eastAsia="仿宋" w:cs="仿宋"/>
          <w:b/>
          <w:bCs/>
          <w:color w:val="auto"/>
          <w:sz w:val="24"/>
          <w:highlight w:val="none"/>
          <w:lang w:val="en-US" w:eastAsia="zh-CN"/>
        </w:rPr>
      </w:pPr>
    </w:p>
    <w:p w14:paraId="54B0B355">
      <w:pPr>
        <w:pStyle w:val="2"/>
        <w:spacing w:line="440" w:lineRule="exact"/>
        <w:ind w:left="0" w:leftChars="0" w:firstLine="0" w:firstLineChars="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 xml:space="preserve">11 </w:t>
      </w:r>
      <w:bookmarkEnd w:id="481"/>
      <w:bookmarkEnd w:id="482"/>
      <w:bookmarkEnd w:id="483"/>
      <w:bookmarkEnd w:id="484"/>
      <w:r>
        <w:rPr>
          <w:rFonts w:hint="eastAsia" w:ascii="仿宋" w:hAnsi="仿宋" w:eastAsia="仿宋" w:cs="仿宋"/>
          <w:b/>
          <w:bCs/>
          <w:color w:val="auto"/>
          <w:sz w:val="24"/>
          <w:highlight w:val="none"/>
          <w:lang w:val="en-US" w:eastAsia="zh-CN"/>
        </w:rPr>
        <w:t>提供其他有利于谈判的证明材料</w:t>
      </w:r>
      <w:bookmarkEnd w:id="485"/>
    </w:p>
    <w:tbl>
      <w:tblPr>
        <w:tblStyle w:val="39"/>
        <w:tblpPr w:leftFromText="180" w:rightFromText="180" w:vertAnchor="text" w:horzAnchor="page" w:tblpX="1380" w:tblpY="440"/>
        <w:tblOverlap w:val="never"/>
        <w:tblW w:w="898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8980"/>
      </w:tblGrid>
      <w:tr w14:paraId="4DA40BB0">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878" w:hRule="atLeast"/>
        </w:trPr>
        <w:tc>
          <w:tcPr>
            <w:tcW w:w="8980" w:type="dxa"/>
            <w:shd w:val="clear" w:color="auto" w:fill="FCFEEA"/>
          </w:tcPr>
          <w:p w14:paraId="283C2F3C">
            <w:pPr>
              <w:pStyle w:val="12"/>
              <w:spacing w:line="440" w:lineRule="exact"/>
              <w:jc w:val="cente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 xml:space="preserve">                                                </w:t>
            </w:r>
          </w:p>
          <w:p w14:paraId="611C8828">
            <w:pPr>
              <w:pStyle w:val="12"/>
              <w:spacing w:line="440" w:lineRule="exact"/>
              <w:ind w:firstLine="4200" w:firstLineChars="1500"/>
              <w:rPr>
                <w:rFonts w:hint="eastAsia" w:ascii="仿宋" w:hAnsi="仿宋" w:eastAsia="仿宋" w:cs="仿宋"/>
                <w:bCs/>
                <w:color w:val="auto"/>
                <w:sz w:val="28"/>
                <w:szCs w:val="28"/>
                <w:highlight w:val="none"/>
              </w:rPr>
            </w:pPr>
          </w:p>
          <w:p w14:paraId="60A69FD7">
            <w:pPr>
              <w:pStyle w:val="12"/>
              <w:spacing w:line="440" w:lineRule="exact"/>
              <w:ind w:firstLine="4200" w:firstLineChars="1500"/>
              <w:rPr>
                <w:rFonts w:hint="eastAsia" w:ascii="仿宋" w:hAnsi="仿宋" w:eastAsia="仿宋" w:cs="仿宋"/>
                <w:bCs/>
                <w:color w:val="auto"/>
                <w:sz w:val="28"/>
                <w:szCs w:val="28"/>
                <w:highlight w:val="none"/>
              </w:rPr>
            </w:pPr>
          </w:p>
          <w:p w14:paraId="53BC8FA8">
            <w:pPr>
              <w:pStyle w:val="12"/>
              <w:spacing w:line="440" w:lineRule="exact"/>
              <w:rPr>
                <w:rFonts w:hint="eastAsia" w:ascii="仿宋" w:hAnsi="仿宋" w:eastAsia="仿宋" w:cs="仿宋"/>
                <w:bCs/>
                <w:color w:val="auto"/>
                <w:sz w:val="28"/>
                <w:szCs w:val="28"/>
                <w:highlight w:val="none"/>
              </w:rPr>
            </w:pPr>
          </w:p>
          <w:p w14:paraId="3EF20670">
            <w:pPr>
              <w:pStyle w:val="12"/>
              <w:spacing w:line="440" w:lineRule="exact"/>
              <w:ind w:firstLine="2520" w:firstLineChars="90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 *** *** *** ***   项目</w:t>
            </w:r>
          </w:p>
          <w:p w14:paraId="27A1DC83">
            <w:pPr>
              <w:pStyle w:val="12"/>
              <w:spacing w:line="440" w:lineRule="exact"/>
              <w:jc w:val="center"/>
              <w:rPr>
                <w:rFonts w:hint="eastAsia" w:ascii="仿宋" w:hAnsi="仿宋" w:eastAsia="仿宋" w:cs="仿宋"/>
                <w:bCs/>
                <w:color w:val="auto"/>
                <w:sz w:val="21"/>
                <w:szCs w:val="21"/>
                <w:highlight w:val="none"/>
              </w:rPr>
            </w:pPr>
          </w:p>
          <w:p w14:paraId="5027AC82">
            <w:pPr>
              <w:pStyle w:val="12"/>
              <w:spacing w:line="440" w:lineRule="exact"/>
              <w:ind w:firstLine="3150" w:firstLineChars="15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编号＊＊＊＊＊＊</w:t>
            </w:r>
          </w:p>
          <w:p w14:paraId="5151555E">
            <w:pPr>
              <w:pStyle w:val="12"/>
              <w:spacing w:line="440" w:lineRule="exact"/>
              <w:jc w:val="center"/>
              <w:rPr>
                <w:rFonts w:hint="eastAsia" w:ascii="仿宋" w:hAnsi="仿宋" w:eastAsia="仿宋" w:cs="仿宋"/>
                <w:bCs/>
                <w:color w:val="auto"/>
                <w:sz w:val="48"/>
                <w:highlight w:val="none"/>
              </w:rPr>
            </w:pPr>
          </w:p>
          <w:p w14:paraId="2B31183A">
            <w:pPr>
              <w:pStyle w:val="12"/>
              <w:spacing w:line="440" w:lineRule="exact"/>
              <w:jc w:val="center"/>
              <w:rPr>
                <w:rFonts w:hint="eastAsia" w:ascii="仿宋" w:hAnsi="仿宋" w:eastAsia="仿宋" w:cs="仿宋"/>
                <w:bCs/>
                <w:color w:val="auto"/>
                <w:sz w:val="48"/>
                <w:highlight w:val="none"/>
              </w:rPr>
            </w:pPr>
            <w:r>
              <w:rPr>
                <w:rFonts w:hint="eastAsia" w:ascii="仿宋" w:hAnsi="仿宋" w:eastAsia="仿宋" w:cs="仿宋"/>
                <w:bCs/>
                <w:color w:val="auto"/>
                <w:sz w:val="48"/>
                <w:highlight w:val="none"/>
              </w:rPr>
              <w:t>响 应 文 件</w:t>
            </w:r>
          </w:p>
          <w:p w14:paraId="097A36F5">
            <w:pPr>
              <w:spacing w:line="440" w:lineRule="exact"/>
              <w:jc w:val="center"/>
              <w:rPr>
                <w:rFonts w:hint="eastAsia" w:ascii="仿宋" w:hAnsi="仿宋" w:eastAsia="仿宋" w:cs="仿宋"/>
                <w:bCs/>
                <w:color w:val="auto"/>
                <w:sz w:val="32"/>
                <w:highlight w:val="none"/>
              </w:rPr>
            </w:pPr>
          </w:p>
          <w:p w14:paraId="26E372E4">
            <w:pPr>
              <w:pStyle w:val="2"/>
              <w:spacing w:line="440" w:lineRule="exact"/>
              <w:rPr>
                <w:rFonts w:hint="eastAsia" w:ascii="仿宋" w:hAnsi="仿宋" w:eastAsia="仿宋" w:cs="仿宋"/>
                <w:bCs/>
                <w:color w:val="auto"/>
                <w:sz w:val="32"/>
                <w:highlight w:val="none"/>
              </w:rPr>
            </w:pPr>
          </w:p>
          <w:p w14:paraId="00E70B69">
            <w:pPr>
              <w:pStyle w:val="2"/>
              <w:spacing w:line="440" w:lineRule="exact"/>
              <w:rPr>
                <w:rFonts w:hint="eastAsia" w:ascii="仿宋" w:hAnsi="仿宋" w:eastAsia="仿宋" w:cs="仿宋"/>
                <w:bCs/>
                <w:color w:val="auto"/>
                <w:sz w:val="32"/>
                <w:highlight w:val="none"/>
              </w:rPr>
            </w:pPr>
          </w:p>
          <w:p w14:paraId="2B3A5CAB">
            <w:pPr>
              <w:pStyle w:val="2"/>
              <w:spacing w:line="440" w:lineRule="exact"/>
              <w:rPr>
                <w:rFonts w:hint="eastAsia" w:ascii="仿宋" w:hAnsi="仿宋" w:eastAsia="仿宋" w:cs="仿宋"/>
                <w:bCs/>
                <w:color w:val="auto"/>
                <w:sz w:val="32"/>
                <w:highlight w:val="none"/>
              </w:rPr>
            </w:pPr>
          </w:p>
          <w:p w14:paraId="450BF176">
            <w:pPr>
              <w:pStyle w:val="2"/>
              <w:spacing w:line="440" w:lineRule="exact"/>
              <w:rPr>
                <w:rFonts w:hint="eastAsia" w:ascii="仿宋" w:hAnsi="仿宋" w:eastAsia="仿宋" w:cs="仿宋"/>
                <w:bCs/>
                <w:color w:val="auto"/>
                <w:sz w:val="32"/>
                <w:highlight w:val="none"/>
              </w:rPr>
            </w:pPr>
          </w:p>
          <w:p w14:paraId="7A5B0AA6">
            <w:pPr>
              <w:spacing w:line="440" w:lineRule="exact"/>
              <w:ind w:left="176" w:leftChars="84"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供 应 商：</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（公章）</w:t>
            </w:r>
          </w:p>
          <w:p w14:paraId="06441AAE">
            <w:pPr>
              <w:spacing w:line="440" w:lineRule="exact"/>
              <w:ind w:left="176" w:leftChars="84"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项目名称：</w:t>
            </w:r>
            <w:r>
              <w:rPr>
                <w:rFonts w:hint="eastAsia" w:ascii="仿宋" w:hAnsi="仿宋" w:eastAsia="仿宋" w:cs="仿宋"/>
                <w:bCs/>
                <w:color w:val="auto"/>
                <w:szCs w:val="21"/>
                <w:highlight w:val="none"/>
                <w:u w:val="single"/>
              </w:rPr>
              <w:t xml:space="preserve">                                          </w:t>
            </w:r>
          </w:p>
          <w:p w14:paraId="0B34F03B">
            <w:pPr>
              <w:spacing w:line="440" w:lineRule="exact"/>
              <w:ind w:left="176" w:leftChars="84"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项目编号：</w:t>
            </w:r>
            <w:r>
              <w:rPr>
                <w:rFonts w:hint="eastAsia" w:ascii="仿宋" w:hAnsi="仿宋" w:eastAsia="仿宋" w:cs="仿宋"/>
                <w:bCs/>
                <w:color w:val="auto"/>
                <w:szCs w:val="21"/>
                <w:highlight w:val="none"/>
                <w:u w:val="single"/>
              </w:rPr>
              <w:t xml:space="preserve">                                        </w:t>
            </w:r>
          </w:p>
          <w:p w14:paraId="624957F4">
            <w:pPr>
              <w:spacing w:line="440" w:lineRule="exact"/>
              <w:ind w:left="176" w:leftChars="84"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联 系 人：</w:t>
            </w:r>
            <w:r>
              <w:rPr>
                <w:rFonts w:hint="eastAsia" w:ascii="仿宋" w:hAnsi="仿宋" w:eastAsia="仿宋" w:cs="仿宋"/>
                <w:bCs/>
                <w:color w:val="auto"/>
                <w:szCs w:val="21"/>
                <w:highlight w:val="none"/>
                <w:u w:val="single"/>
              </w:rPr>
              <w:t xml:space="preserve">                                        </w:t>
            </w:r>
          </w:p>
          <w:p w14:paraId="3D8F1B0E">
            <w:pPr>
              <w:spacing w:line="440" w:lineRule="exact"/>
              <w:ind w:left="176" w:leftChars="84"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电    话：</w:t>
            </w:r>
            <w:r>
              <w:rPr>
                <w:rFonts w:hint="eastAsia" w:ascii="仿宋" w:hAnsi="仿宋" w:eastAsia="仿宋" w:cs="仿宋"/>
                <w:bCs/>
                <w:color w:val="auto"/>
                <w:szCs w:val="21"/>
                <w:highlight w:val="none"/>
                <w:u w:val="single"/>
              </w:rPr>
              <w:t xml:space="preserve">                                        </w:t>
            </w:r>
          </w:p>
          <w:p w14:paraId="76514F52">
            <w:pPr>
              <w:spacing w:line="440" w:lineRule="exact"/>
              <w:ind w:left="176" w:leftChars="84"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 xml:space="preserve">地    址  ：  </w:t>
            </w:r>
            <w:r>
              <w:rPr>
                <w:rFonts w:hint="eastAsia" w:ascii="仿宋" w:hAnsi="仿宋" w:eastAsia="仿宋" w:cs="仿宋"/>
                <w:bCs/>
                <w:color w:val="auto"/>
                <w:szCs w:val="21"/>
                <w:highlight w:val="none"/>
                <w:u w:val="single"/>
              </w:rPr>
              <w:t xml:space="preserve">                                    </w:t>
            </w:r>
          </w:p>
          <w:p w14:paraId="672BA88F">
            <w:pPr>
              <w:spacing w:line="440" w:lineRule="exact"/>
              <w:ind w:left="176" w:leftChars="84" w:firstLine="960" w:firstLineChars="400"/>
              <w:rPr>
                <w:rFonts w:hint="eastAsia" w:ascii="仿宋" w:hAnsi="仿宋" w:eastAsia="仿宋" w:cs="仿宋"/>
                <w:bCs/>
                <w:color w:val="auto"/>
                <w:sz w:val="24"/>
                <w:highlight w:val="none"/>
              </w:rPr>
            </w:pPr>
          </w:p>
          <w:p w14:paraId="0098854E">
            <w:pPr>
              <w:spacing w:line="440" w:lineRule="exact"/>
              <w:jc w:val="center"/>
              <w:rPr>
                <w:rFonts w:hint="eastAsia" w:ascii="仿宋" w:hAnsi="仿宋" w:eastAsia="仿宋" w:cs="仿宋"/>
                <w:bCs/>
                <w:color w:val="auto"/>
                <w:highlight w:val="none"/>
              </w:rPr>
            </w:pPr>
          </w:p>
          <w:p w14:paraId="4E2CB79D">
            <w:pPr>
              <w:spacing w:line="440" w:lineRule="exact"/>
              <w:jc w:val="center"/>
              <w:rPr>
                <w:rFonts w:hint="eastAsia" w:ascii="仿宋" w:hAnsi="仿宋" w:eastAsia="仿宋" w:cs="仿宋"/>
                <w:bCs/>
                <w:color w:val="auto"/>
                <w:highlight w:val="none"/>
              </w:rPr>
            </w:pPr>
          </w:p>
          <w:p w14:paraId="712E57C4">
            <w:pPr>
              <w:spacing w:line="440" w:lineRule="exact"/>
              <w:jc w:val="center"/>
              <w:rPr>
                <w:rFonts w:hint="eastAsia" w:ascii="仿宋" w:hAnsi="仿宋" w:eastAsia="仿宋" w:cs="仿宋"/>
                <w:bCs/>
                <w:color w:val="auto"/>
                <w:highlight w:val="none"/>
              </w:rPr>
            </w:pPr>
          </w:p>
          <w:p w14:paraId="4F95646B">
            <w:pPr>
              <w:spacing w:line="440" w:lineRule="exact"/>
              <w:jc w:val="center"/>
              <w:rPr>
                <w:rFonts w:hint="eastAsia" w:ascii="仿宋" w:hAnsi="仿宋" w:eastAsia="仿宋" w:cs="仿宋"/>
                <w:bCs/>
                <w:color w:val="auto"/>
                <w:highlight w:val="none"/>
              </w:rPr>
            </w:pPr>
            <w:r>
              <w:rPr>
                <w:rFonts w:hint="eastAsia" w:ascii="仿宋" w:hAnsi="仿宋" w:eastAsia="仿宋" w:cs="仿宋"/>
                <w:bCs/>
                <w:color w:val="auto"/>
                <w:highlight w:val="none"/>
              </w:rPr>
              <w:t>注：   在</w:t>
            </w:r>
            <w:r>
              <w:rPr>
                <w:rFonts w:hint="eastAsia" w:ascii="仿宋" w:hAnsi="仿宋" w:eastAsia="仿宋" w:cs="仿宋"/>
                <w:bCs/>
                <w:color w:val="auto"/>
                <w:highlight w:val="none"/>
                <w:lang w:val="en-US" w:eastAsia="zh-CN"/>
              </w:rPr>
              <w:t>****</w:t>
            </w:r>
            <w:r>
              <w:rPr>
                <w:rFonts w:hint="eastAsia" w:ascii="仿宋" w:hAnsi="仿宋" w:eastAsia="仿宋" w:cs="仿宋"/>
                <w:bCs/>
                <w:color w:val="auto"/>
                <w:highlight w:val="none"/>
              </w:rPr>
              <w:t>年 *月  * 日 *午  **：**  之前不得启封</w:t>
            </w:r>
          </w:p>
          <w:p w14:paraId="4E7B63B4">
            <w:pPr>
              <w:spacing w:line="440" w:lineRule="exact"/>
              <w:jc w:val="center"/>
              <w:rPr>
                <w:rFonts w:hint="eastAsia" w:ascii="仿宋" w:hAnsi="仿宋" w:eastAsia="仿宋" w:cs="仿宋"/>
                <w:bCs/>
                <w:color w:val="auto"/>
                <w:highlight w:val="none"/>
              </w:rPr>
            </w:pPr>
          </w:p>
        </w:tc>
      </w:tr>
    </w:tbl>
    <w:p w14:paraId="694A3D84">
      <w:pPr>
        <w:spacing w:line="440" w:lineRule="exact"/>
        <w:rPr>
          <w:rFonts w:hint="eastAsia" w:ascii="仿宋" w:hAnsi="仿宋" w:eastAsia="仿宋" w:cs="仿宋"/>
          <w:bCs/>
          <w:color w:val="auto"/>
          <w:sz w:val="30"/>
          <w:szCs w:val="30"/>
          <w:highlight w:val="none"/>
        </w:rPr>
      </w:pPr>
      <w:r>
        <w:rPr>
          <w:rFonts w:hint="eastAsia" w:ascii="仿宋" w:hAnsi="仿宋" w:eastAsia="仿宋" w:cs="仿宋"/>
          <w:b/>
          <w:color w:val="auto"/>
          <w:kern w:val="0"/>
          <w:sz w:val="24"/>
          <w:szCs w:val="20"/>
          <w:highlight w:val="none"/>
          <w:lang w:val="en-US" w:eastAsia="zh-CN"/>
        </w:rPr>
        <w:t>12</w:t>
      </w:r>
      <w:r>
        <w:rPr>
          <w:rFonts w:hint="eastAsia" w:ascii="仿宋" w:hAnsi="仿宋" w:eastAsia="仿宋" w:cs="仿宋"/>
          <w:b/>
          <w:color w:val="auto"/>
          <w:kern w:val="0"/>
          <w:sz w:val="24"/>
          <w:szCs w:val="20"/>
          <w:highlight w:val="none"/>
        </w:rPr>
        <w:t>响应文件格式范本</w:t>
      </w:r>
    </w:p>
    <w:p w14:paraId="762E2E3C">
      <w:pPr>
        <w:pStyle w:val="2"/>
        <w:spacing w:line="440" w:lineRule="exact"/>
        <w:rPr>
          <w:rFonts w:hint="eastAsia" w:ascii="仿宋" w:hAnsi="仿宋" w:eastAsia="仿宋" w:cs="仿宋"/>
          <w:bCs/>
          <w:color w:val="auto"/>
          <w:sz w:val="32"/>
          <w:highlight w:val="none"/>
        </w:rPr>
      </w:pPr>
    </w:p>
    <w:p w14:paraId="667B65F7">
      <w:pPr>
        <w:pStyle w:val="2"/>
        <w:spacing w:line="440" w:lineRule="exact"/>
        <w:rPr>
          <w:rFonts w:hint="eastAsia" w:ascii="仿宋" w:hAnsi="仿宋" w:eastAsia="仿宋" w:cs="仿宋"/>
          <w:bCs/>
          <w:color w:val="auto"/>
          <w:sz w:val="32"/>
          <w:highlight w:val="none"/>
        </w:rPr>
      </w:pPr>
    </w:p>
    <w:p w14:paraId="11CD3A38">
      <w:pPr>
        <w:spacing w:line="440" w:lineRule="exact"/>
        <w:ind w:left="1080" w:leftChars="257" w:hanging="540"/>
        <w:jc w:val="center"/>
        <w:rPr>
          <w:rFonts w:hint="eastAsia" w:ascii="仿宋" w:hAnsi="仿宋" w:eastAsia="仿宋" w:cs="仿宋"/>
          <w:bCs/>
          <w:color w:val="auto"/>
          <w:sz w:val="24"/>
          <w:highlight w:val="none"/>
        </w:rPr>
      </w:pPr>
    </w:p>
    <w:p w14:paraId="24074782">
      <w:pPr>
        <w:pStyle w:val="2"/>
        <w:spacing w:line="440" w:lineRule="exact"/>
        <w:rPr>
          <w:rFonts w:hint="eastAsia" w:ascii="仿宋" w:hAnsi="仿宋" w:eastAsia="仿宋" w:cs="仿宋"/>
          <w:bCs/>
          <w:color w:val="auto"/>
          <w:highlight w:val="none"/>
        </w:rPr>
      </w:pPr>
    </w:p>
    <w:p w14:paraId="21308035">
      <w:pPr>
        <w:pStyle w:val="2"/>
        <w:spacing w:line="440" w:lineRule="exact"/>
        <w:rPr>
          <w:rFonts w:hint="eastAsia" w:ascii="仿宋" w:hAnsi="仿宋" w:eastAsia="仿宋" w:cs="仿宋"/>
          <w:bCs/>
          <w:color w:val="auto"/>
          <w:highlight w:val="none"/>
        </w:rPr>
      </w:pPr>
    </w:p>
    <w:p w14:paraId="457F4D79">
      <w:pPr>
        <w:pStyle w:val="2"/>
        <w:spacing w:line="440" w:lineRule="exact"/>
        <w:rPr>
          <w:rFonts w:hint="eastAsia" w:ascii="仿宋" w:hAnsi="仿宋" w:eastAsia="仿宋" w:cs="仿宋"/>
          <w:bCs/>
          <w:color w:val="auto"/>
          <w:highlight w:val="none"/>
        </w:rPr>
      </w:pPr>
    </w:p>
    <w:p w14:paraId="46156D09">
      <w:pPr>
        <w:pStyle w:val="2"/>
        <w:spacing w:line="440" w:lineRule="exact"/>
        <w:rPr>
          <w:rFonts w:hint="eastAsia" w:ascii="仿宋" w:hAnsi="仿宋" w:eastAsia="仿宋" w:cs="仿宋"/>
          <w:bCs/>
          <w:color w:val="auto"/>
          <w:highlight w:val="none"/>
        </w:rPr>
      </w:pPr>
    </w:p>
    <w:p w14:paraId="4FCFC8A7">
      <w:pPr>
        <w:pStyle w:val="2"/>
        <w:spacing w:line="440" w:lineRule="exact"/>
        <w:rPr>
          <w:rFonts w:hint="eastAsia" w:ascii="仿宋" w:hAnsi="仿宋" w:eastAsia="仿宋" w:cs="仿宋"/>
          <w:bCs/>
          <w:color w:val="auto"/>
          <w:highlight w:val="none"/>
        </w:rPr>
      </w:pPr>
    </w:p>
    <w:p w14:paraId="4E679B49">
      <w:pPr>
        <w:widowControl/>
        <w:spacing w:line="600" w:lineRule="exact"/>
        <w:textAlignment w:val="center"/>
        <w:rPr>
          <w:rFonts w:hint="eastAsia" w:ascii="仿宋" w:hAnsi="仿宋" w:eastAsia="仿宋" w:cs="仿宋"/>
          <w:bCs/>
          <w:color w:val="auto"/>
          <w:sz w:val="44"/>
          <w:szCs w:val="44"/>
          <w:highlight w:val="none"/>
        </w:rPr>
      </w:pPr>
      <w:bookmarkStart w:id="486" w:name="_Toc6234_WPSOffice_Level1"/>
    </w:p>
    <w:p w14:paraId="1B0E1F28">
      <w:pPr>
        <w:widowControl/>
        <w:spacing w:line="600" w:lineRule="exact"/>
        <w:jc w:val="center"/>
        <w:textAlignment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谈判文件</w:t>
      </w:r>
      <w:bookmarkEnd w:id="486"/>
    </w:p>
    <w:p w14:paraId="10B367B7">
      <w:pPr>
        <w:pStyle w:val="2"/>
        <w:spacing w:line="600" w:lineRule="exact"/>
        <w:rPr>
          <w:rFonts w:hint="eastAsia" w:ascii="仿宋" w:hAnsi="仿宋" w:eastAsia="仿宋" w:cs="仿宋"/>
          <w:b/>
          <w:color w:val="auto"/>
          <w:highlight w:val="none"/>
        </w:rPr>
      </w:pPr>
    </w:p>
    <w:p w14:paraId="349553EE">
      <w:pPr>
        <w:spacing w:line="600" w:lineRule="exact"/>
        <w:jc w:val="center"/>
        <w:rPr>
          <w:rFonts w:hint="default" w:ascii="仿宋" w:hAnsi="仿宋" w:eastAsia="仿宋" w:cs="仿宋"/>
          <w:b/>
          <w:color w:val="auto"/>
          <w:sz w:val="40"/>
          <w:szCs w:val="40"/>
          <w:highlight w:val="none"/>
          <w:lang w:val="en-US" w:eastAsia="zh-CN"/>
        </w:rPr>
      </w:pPr>
      <w:bookmarkStart w:id="487" w:name="_Toc19011_WPSOffice_Level2"/>
      <w:r>
        <w:rPr>
          <w:rFonts w:hint="eastAsia" w:ascii="仿宋" w:hAnsi="仿宋" w:eastAsia="仿宋" w:cs="仿宋"/>
          <w:b/>
          <w:color w:val="auto"/>
          <w:sz w:val="40"/>
          <w:szCs w:val="40"/>
          <w:highlight w:val="none"/>
        </w:rPr>
        <w:t>项目编号：</w:t>
      </w:r>
      <w:bookmarkEnd w:id="487"/>
      <w:r>
        <w:rPr>
          <w:rFonts w:hint="eastAsia" w:ascii="仿宋" w:hAnsi="仿宋" w:eastAsia="仿宋" w:cs="仿宋"/>
          <w:b/>
          <w:color w:val="auto"/>
          <w:sz w:val="40"/>
          <w:szCs w:val="40"/>
          <w:highlight w:val="none"/>
        </w:rPr>
        <w:t xml:space="preserve"> </w:t>
      </w:r>
      <w:r>
        <w:rPr>
          <w:rFonts w:hint="eastAsia" w:ascii="仿宋" w:hAnsi="仿宋" w:eastAsia="仿宋" w:cs="仿宋"/>
          <w:b/>
          <w:color w:val="auto"/>
          <w:sz w:val="40"/>
          <w:szCs w:val="40"/>
          <w:highlight w:val="none"/>
          <w:lang w:eastAsia="zh-CN"/>
        </w:rPr>
        <w:t>XJZY（TP）202</w:t>
      </w:r>
      <w:r>
        <w:rPr>
          <w:rFonts w:hint="eastAsia" w:ascii="仿宋" w:hAnsi="仿宋" w:eastAsia="仿宋" w:cs="仿宋"/>
          <w:b/>
          <w:color w:val="auto"/>
          <w:sz w:val="40"/>
          <w:szCs w:val="40"/>
          <w:highlight w:val="none"/>
          <w:lang w:val="en-US" w:eastAsia="zh-CN"/>
        </w:rPr>
        <w:t>5</w:t>
      </w:r>
      <w:r>
        <w:rPr>
          <w:rFonts w:hint="eastAsia" w:ascii="仿宋" w:hAnsi="仿宋" w:eastAsia="仿宋" w:cs="仿宋"/>
          <w:b/>
          <w:color w:val="auto"/>
          <w:sz w:val="40"/>
          <w:szCs w:val="40"/>
          <w:highlight w:val="none"/>
          <w:lang w:eastAsia="zh-CN"/>
        </w:rPr>
        <w:t>-</w:t>
      </w:r>
      <w:r>
        <w:rPr>
          <w:rFonts w:hint="eastAsia" w:ascii="仿宋" w:hAnsi="仿宋" w:eastAsia="仿宋" w:cs="仿宋"/>
          <w:b/>
          <w:color w:val="auto"/>
          <w:sz w:val="40"/>
          <w:szCs w:val="40"/>
          <w:highlight w:val="none"/>
          <w:lang w:val="en-US" w:eastAsia="zh-CN"/>
        </w:rPr>
        <w:t>02</w:t>
      </w:r>
    </w:p>
    <w:p w14:paraId="09F5AF35">
      <w:pPr>
        <w:spacing w:line="600" w:lineRule="exact"/>
        <w:jc w:val="center"/>
        <w:rPr>
          <w:rFonts w:hint="eastAsia" w:ascii="仿宋" w:hAnsi="仿宋" w:eastAsia="仿宋" w:cs="仿宋"/>
          <w:b/>
          <w:color w:val="auto"/>
          <w:sz w:val="32"/>
          <w:highlight w:val="none"/>
        </w:rPr>
      </w:pPr>
      <w:r>
        <w:rPr>
          <w:rFonts w:hint="eastAsia" w:ascii="仿宋" w:hAnsi="仿宋" w:eastAsia="仿宋" w:cs="仿宋"/>
          <w:b/>
          <w:color w:val="auto"/>
          <w:sz w:val="40"/>
          <w:szCs w:val="40"/>
          <w:highlight w:val="none"/>
        </w:rPr>
        <w:t xml:space="preserve">     </w:t>
      </w:r>
    </w:p>
    <w:p w14:paraId="1D12442D">
      <w:pPr>
        <w:spacing w:line="600" w:lineRule="exact"/>
        <w:jc w:val="center"/>
        <w:rPr>
          <w:rFonts w:hint="eastAsia" w:ascii="仿宋" w:hAnsi="仿宋" w:eastAsia="仿宋" w:cs="仿宋"/>
          <w:b/>
          <w:color w:val="auto"/>
          <w:sz w:val="44"/>
          <w:szCs w:val="36"/>
          <w:highlight w:val="none"/>
        </w:rPr>
      </w:pPr>
    </w:p>
    <w:p w14:paraId="43802040">
      <w:pPr>
        <w:spacing w:line="600" w:lineRule="exact"/>
        <w:jc w:val="center"/>
        <w:rPr>
          <w:rFonts w:hint="eastAsia" w:ascii="仿宋" w:hAnsi="仿宋" w:eastAsia="仿宋" w:cs="仿宋"/>
          <w:b/>
          <w:color w:val="auto"/>
          <w:sz w:val="44"/>
          <w:szCs w:val="36"/>
          <w:highlight w:val="none"/>
        </w:rPr>
      </w:pPr>
      <w:bookmarkStart w:id="488" w:name="_Toc8582_WPSOffice_Level1"/>
      <w:r>
        <w:rPr>
          <w:rFonts w:hint="eastAsia" w:ascii="仿宋" w:hAnsi="仿宋" w:eastAsia="仿宋" w:cs="仿宋"/>
          <w:b/>
          <w:color w:val="auto"/>
          <w:sz w:val="44"/>
          <w:szCs w:val="36"/>
          <w:highlight w:val="none"/>
        </w:rPr>
        <w:t>第 二 册</w:t>
      </w:r>
      <w:bookmarkEnd w:id="488"/>
    </w:p>
    <w:p w14:paraId="453EA526">
      <w:pPr>
        <w:spacing w:line="440" w:lineRule="exact"/>
        <w:jc w:val="center"/>
        <w:rPr>
          <w:rFonts w:hint="eastAsia" w:ascii="仿宋" w:hAnsi="仿宋" w:eastAsia="仿宋" w:cs="仿宋"/>
          <w:bCs/>
          <w:color w:val="auto"/>
          <w:sz w:val="32"/>
          <w:highlight w:val="none"/>
        </w:rPr>
      </w:pPr>
    </w:p>
    <w:p w14:paraId="0F4376BA">
      <w:pPr>
        <w:spacing w:line="440" w:lineRule="exact"/>
        <w:jc w:val="center"/>
        <w:rPr>
          <w:rFonts w:hint="eastAsia" w:ascii="仿宋" w:hAnsi="仿宋" w:eastAsia="仿宋" w:cs="仿宋"/>
          <w:bCs/>
          <w:color w:val="auto"/>
          <w:sz w:val="32"/>
          <w:highlight w:val="none"/>
        </w:rPr>
      </w:pPr>
      <w:r>
        <w:rPr>
          <w:rFonts w:hint="eastAsia" w:ascii="仿宋" w:hAnsi="仿宋" w:eastAsia="仿宋" w:cs="仿宋"/>
          <w:bCs/>
          <w:color w:val="auto"/>
          <w:sz w:val="32"/>
          <w:highlight w:val="none"/>
        </w:rPr>
        <w:t xml:space="preserve">  </w:t>
      </w:r>
    </w:p>
    <w:p w14:paraId="1CF462C6">
      <w:pPr>
        <w:spacing w:line="440" w:lineRule="exact"/>
        <w:ind w:left="1080" w:leftChars="257" w:hanging="540"/>
        <w:rPr>
          <w:rFonts w:hint="eastAsia" w:ascii="仿宋" w:hAnsi="仿宋" w:eastAsia="仿宋" w:cs="仿宋"/>
          <w:bCs/>
          <w:color w:val="auto"/>
          <w:sz w:val="28"/>
          <w:highlight w:val="none"/>
        </w:rPr>
      </w:pPr>
    </w:p>
    <w:p w14:paraId="5AE5A8D9">
      <w:pPr>
        <w:spacing w:line="440" w:lineRule="exact"/>
        <w:ind w:left="1080" w:leftChars="257" w:hanging="540"/>
        <w:rPr>
          <w:rFonts w:hint="eastAsia" w:ascii="仿宋" w:hAnsi="仿宋" w:eastAsia="仿宋" w:cs="仿宋"/>
          <w:bCs/>
          <w:color w:val="auto"/>
          <w:sz w:val="28"/>
          <w:highlight w:val="none"/>
        </w:rPr>
      </w:pPr>
    </w:p>
    <w:p w14:paraId="02FAD24D">
      <w:pPr>
        <w:spacing w:line="440" w:lineRule="exact"/>
        <w:ind w:left="1080" w:leftChars="257" w:hanging="540"/>
        <w:rPr>
          <w:rFonts w:hint="eastAsia" w:ascii="仿宋" w:hAnsi="仿宋" w:eastAsia="仿宋" w:cs="仿宋"/>
          <w:bCs/>
          <w:color w:val="auto"/>
          <w:sz w:val="28"/>
          <w:highlight w:val="none"/>
        </w:rPr>
      </w:pPr>
    </w:p>
    <w:p w14:paraId="3407E8C3">
      <w:pPr>
        <w:spacing w:line="440" w:lineRule="exact"/>
        <w:ind w:left="1080" w:leftChars="257" w:hanging="540"/>
        <w:jc w:val="center"/>
        <w:rPr>
          <w:rFonts w:hint="eastAsia" w:ascii="仿宋" w:hAnsi="仿宋" w:eastAsia="仿宋" w:cs="仿宋"/>
          <w:bCs/>
          <w:color w:val="auto"/>
          <w:sz w:val="52"/>
          <w:highlight w:val="none"/>
        </w:rPr>
      </w:pPr>
    </w:p>
    <w:p w14:paraId="3EBB1C97">
      <w:pPr>
        <w:spacing w:line="440" w:lineRule="exact"/>
        <w:rPr>
          <w:rFonts w:hint="eastAsia" w:ascii="仿宋" w:hAnsi="仿宋" w:eastAsia="仿宋" w:cs="仿宋"/>
          <w:bCs/>
          <w:color w:val="auto"/>
          <w:highlight w:val="none"/>
        </w:rPr>
      </w:pPr>
    </w:p>
    <w:p w14:paraId="2363155B">
      <w:pPr>
        <w:pStyle w:val="38"/>
        <w:ind w:firstLine="480"/>
        <w:rPr>
          <w:rFonts w:hint="eastAsia" w:ascii="仿宋" w:hAnsi="仿宋" w:eastAsia="仿宋" w:cs="仿宋"/>
          <w:bCs/>
          <w:color w:val="auto"/>
          <w:highlight w:val="none"/>
        </w:rPr>
      </w:pPr>
    </w:p>
    <w:p w14:paraId="3B7C83E9">
      <w:pPr>
        <w:pStyle w:val="38"/>
        <w:ind w:firstLine="480"/>
        <w:rPr>
          <w:rFonts w:hint="eastAsia" w:ascii="仿宋" w:hAnsi="仿宋" w:eastAsia="仿宋" w:cs="仿宋"/>
          <w:bCs/>
          <w:color w:val="auto"/>
          <w:highlight w:val="none"/>
        </w:rPr>
      </w:pPr>
    </w:p>
    <w:p w14:paraId="1FBA91AD">
      <w:pPr>
        <w:pStyle w:val="2"/>
        <w:rPr>
          <w:rFonts w:hint="eastAsia" w:ascii="仿宋" w:hAnsi="仿宋" w:eastAsia="仿宋" w:cs="仿宋"/>
          <w:color w:val="auto"/>
          <w:highlight w:val="none"/>
        </w:rPr>
      </w:pPr>
    </w:p>
    <w:p w14:paraId="7D58B6F9">
      <w:pPr>
        <w:pStyle w:val="2"/>
        <w:rPr>
          <w:rFonts w:hint="eastAsia" w:ascii="仿宋" w:hAnsi="仿宋" w:eastAsia="仿宋" w:cs="仿宋"/>
          <w:bCs/>
          <w:color w:val="auto"/>
          <w:highlight w:val="none"/>
        </w:rPr>
      </w:pPr>
    </w:p>
    <w:p w14:paraId="5C0A1BAD">
      <w:pPr>
        <w:pStyle w:val="2"/>
        <w:rPr>
          <w:rFonts w:hint="eastAsia" w:ascii="仿宋" w:hAnsi="仿宋" w:eastAsia="仿宋" w:cs="仿宋"/>
          <w:bCs/>
          <w:color w:val="auto"/>
          <w:highlight w:val="none"/>
        </w:rPr>
      </w:pPr>
      <w:r>
        <w:rPr>
          <w:rFonts w:hint="eastAsia" w:ascii="仿宋" w:hAnsi="仿宋" w:eastAsia="仿宋" w:cs="仿宋"/>
          <w:bCs/>
          <w:color w:val="auto"/>
          <w:highlight w:val="none"/>
        </w:rPr>
        <w:br w:type="page"/>
      </w:r>
    </w:p>
    <w:p w14:paraId="3CF646C4">
      <w:pPr>
        <w:pStyle w:val="4"/>
        <w:numPr>
          <w:ilvl w:val="0"/>
          <w:numId w:val="8"/>
        </w:numPr>
        <w:tabs>
          <w:tab w:val="left" w:pos="0"/>
          <w:tab w:val="clear" w:pos="3134"/>
        </w:tabs>
        <w:spacing w:before="0" w:after="0" w:line="440" w:lineRule="exact"/>
        <w:ind w:left="3180" w:leftChars="0" w:hanging="3134" w:firstLineChars="0"/>
        <w:rPr>
          <w:rFonts w:hint="eastAsia" w:ascii="仿宋" w:hAnsi="仿宋" w:eastAsia="仿宋" w:cs="仿宋"/>
          <w:color w:val="auto"/>
          <w:highlight w:val="none"/>
        </w:rPr>
      </w:pPr>
      <w:r>
        <w:rPr>
          <w:rFonts w:hint="eastAsia" w:ascii="仿宋" w:hAnsi="仿宋" w:eastAsia="仿宋" w:cs="仿宋"/>
          <w:color w:val="auto"/>
          <w:szCs w:val="32"/>
          <w:highlight w:val="none"/>
        </w:rPr>
        <w:t xml:space="preserve"> </w:t>
      </w:r>
      <w:bookmarkStart w:id="489" w:name="_Toc31899"/>
      <w:r>
        <w:rPr>
          <w:rFonts w:hint="eastAsia" w:ascii="仿宋" w:hAnsi="仿宋" w:eastAsia="仿宋" w:cs="仿宋"/>
          <w:color w:val="auto"/>
          <w:szCs w:val="32"/>
          <w:highlight w:val="none"/>
        </w:rPr>
        <w:t>谈判邀请</w:t>
      </w:r>
      <w:bookmarkEnd w:id="489"/>
      <w:bookmarkStart w:id="490" w:name="_Toc512937850"/>
      <w:bookmarkStart w:id="491" w:name="_Toc31583"/>
      <w:bookmarkStart w:id="492" w:name="_Toc515647830"/>
      <w:bookmarkStart w:id="493" w:name="_Toc507399903"/>
      <w:bookmarkStart w:id="494" w:name="_Toc10488"/>
      <w:bookmarkStart w:id="495" w:name="_Toc20439"/>
      <w:bookmarkStart w:id="496" w:name="_Toc216582823"/>
    </w:p>
    <w:bookmarkEnd w:id="490"/>
    <w:bookmarkEnd w:id="491"/>
    <w:bookmarkEnd w:id="492"/>
    <w:bookmarkEnd w:id="493"/>
    <w:bookmarkEnd w:id="494"/>
    <w:bookmarkEnd w:id="495"/>
    <w:bookmarkEnd w:id="496"/>
    <w:p w14:paraId="562FBC00">
      <w:pPr>
        <w:spacing w:line="240" w:lineRule="auto"/>
        <w:jc w:val="center"/>
        <w:rPr>
          <w:rFonts w:hint="eastAsia" w:ascii="仿宋" w:hAnsi="仿宋" w:eastAsia="仿宋" w:cs="仿宋"/>
          <w:color w:val="auto"/>
          <w:sz w:val="32"/>
          <w:szCs w:val="32"/>
        </w:rPr>
      </w:pPr>
      <w:bookmarkStart w:id="497" w:name="_Toc32733"/>
      <w:r>
        <w:rPr>
          <w:rFonts w:hint="eastAsia" w:ascii="仿宋" w:hAnsi="仿宋" w:eastAsia="仿宋" w:cs="仿宋"/>
          <w:b/>
          <w:bCs/>
          <w:color w:val="auto"/>
          <w:kern w:val="0"/>
          <w:sz w:val="36"/>
          <w:szCs w:val="36"/>
          <w:lang w:eastAsia="zh-CN" w:bidi="ar"/>
        </w:rPr>
        <w:t>中共莎车县委统战部低氟砖茶采购项目</w:t>
      </w:r>
      <w:r>
        <w:rPr>
          <w:rFonts w:hint="eastAsia" w:ascii="仿宋" w:hAnsi="仿宋" w:eastAsia="仿宋" w:cs="仿宋"/>
          <w:b/>
          <w:bCs/>
          <w:color w:val="auto"/>
          <w:kern w:val="0"/>
          <w:sz w:val="36"/>
          <w:szCs w:val="36"/>
          <w:lang w:eastAsia="zh-CN" w:bidi="ar"/>
        </w:rPr>
        <w:br w:type="textWrapping"/>
      </w:r>
      <w:r>
        <w:rPr>
          <w:rFonts w:hint="eastAsia" w:ascii="仿宋" w:hAnsi="仿宋" w:eastAsia="仿宋" w:cs="仿宋"/>
          <w:b/>
          <w:bCs/>
          <w:color w:val="auto"/>
          <w:kern w:val="0"/>
          <w:sz w:val="36"/>
          <w:szCs w:val="36"/>
          <w:lang w:eastAsia="zh-CN" w:bidi="ar"/>
        </w:rPr>
        <w:t>竞争性谈判</w:t>
      </w:r>
      <w:r>
        <w:rPr>
          <w:rFonts w:hint="eastAsia" w:ascii="仿宋" w:hAnsi="仿宋" w:eastAsia="仿宋" w:cs="仿宋"/>
          <w:b/>
          <w:bCs/>
          <w:color w:val="auto"/>
          <w:kern w:val="0"/>
          <w:sz w:val="36"/>
          <w:szCs w:val="36"/>
          <w:lang w:bidi="ar"/>
        </w:rPr>
        <w:t>公告</w:t>
      </w:r>
    </w:p>
    <w:p w14:paraId="0AD9CD87">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u w:val="single"/>
        </w:rPr>
        <w:t>中共莎车县委统战部低氟砖茶采购项目</w:t>
      </w:r>
      <w:r>
        <w:rPr>
          <w:rFonts w:hint="eastAsia" w:ascii="仿宋" w:hAnsi="仿宋" w:eastAsia="仿宋" w:cs="仿宋"/>
          <w:color w:val="auto"/>
          <w:kern w:val="0"/>
          <w:sz w:val="24"/>
          <w:u w:val="none"/>
        </w:rPr>
        <w:t>的</w:t>
      </w:r>
      <w:r>
        <w:rPr>
          <w:rFonts w:hint="eastAsia" w:ascii="仿宋" w:hAnsi="仿宋" w:eastAsia="仿宋" w:cs="仿宋"/>
          <w:color w:val="auto"/>
          <w:kern w:val="0"/>
          <w:sz w:val="24"/>
        </w:rPr>
        <w:t>潜在供应商应在政采云平台（https://www.zcygov.cn）获取</w:t>
      </w:r>
      <w:r>
        <w:rPr>
          <w:rFonts w:hint="eastAsia" w:ascii="仿宋" w:hAnsi="仿宋" w:eastAsia="仿宋" w:cs="仿宋"/>
          <w:color w:val="auto"/>
          <w:kern w:val="0"/>
          <w:sz w:val="24"/>
          <w:lang w:eastAsia="zh-CN"/>
        </w:rPr>
        <w:t>谈判</w:t>
      </w:r>
      <w:r>
        <w:rPr>
          <w:rFonts w:hint="eastAsia" w:ascii="仿宋" w:hAnsi="仿宋" w:eastAsia="仿宋" w:cs="仿宋"/>
          <w:color w:val="auto"/>
          <w:kern w:val="0"/>
          <w:sz w:val="24"/>
        </w:rPr>
        <w:t>文件并于</w:t>
      </w:r>
      <w:r>
        <w:rPr>
          <w:rFonts w:hint="eastAsia" w:ascii="仿宋" w:hAnsi="仿宋" w:eastAsia="仿宋" w:cs="仿宋"/>
          <w:color w:val="auto"/>
          <w:kern w:val="0"/>
          <w:sz w:val="24"/>
          <w:highlight w:val="none"/>
          <w:lang w:eastAsia="zh-CN"/>
        </w:rPr>
        <w:t>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lang w:eastAsia="zh-CN"/>
        </w:rPr>
        <w:t>年</w:t>
      </w:r>
      <w:r>
        <w:rPr>
          <w:rFonts w:hint="eastAsia" w:ascii="仿宋" w:hAnsi="仿宋" w:eastAsia="仿宋" w:cs="仿宋"/>
          <w:color w:val="auto"/>
          <w:kern w:val="0"/>
          <w:sz w:val="24"/>
          <w:highlight w:val="none"/>
          <w:lang w:val="en-US" w:eastAsia="zh-CN"/>
        </w:rPr>
        <w:t>04</w:t>
      </w:r>
      <w:r>
        <w:rPr>
          <w:rFonts w:hint="eastAsia" w:ascii="仿宋" w:hAnsi="仿宋" w:eastAsia="仿宋" w:cs="仿宋"/>
          <w:color w:val="auto"/>
          <w:kern w:val="0"/>
          <w:sz w:val="24"/>
          <w:highlight w:val="none"/>
          <w:lang w:eastAsia="zh-CN"/>
        </w:rPr>
        <w:t>月</w:t>
      </w:r>
      <w:r>
        <w:rPr>
          <w:rFonts w:hint="eastAsia" w:ascii="仿宋" w:hAnsi="仿宋" w:eastAsia="仿宋" w:cs="仿宋"/>
          <w:color w:val="auto"/>
          <w:kern w:val="0"/>
          <w:sz w:val="24"/>
          <w:highlight w:val="none"/>
          <w:lang w:val="en-US" w:eastAsia="zh-CN"/>
        </w:rPr>
        <w:t>01</w:t>
      </w:r>
      <w:r>
        <w:rPr>
          <w:rFonts w:hint="eastAsia" w:ascii="仿宋" w:hAnsi="仿宋" w:eastAsia="仿宋" w:cs="仿宋"/>
          <w:color w:val="auto"/>
          <w:kern w:val="0"/>
          <w:sz w:val="24"/>
          <w:highlight w:val="none"/>
          <w:lang w:eastAsia="zh-CN"/>
        </w:rPr>
        <w:t>日</w:t>
      </w:r>
      <w:r>
        <w:rPr>
          <w:rFonts w:hint="eastAsia" w:ascii="仿宋" w:hAnsi="仿宋" w:eastAsia="仿宋" w:cs="仿宋"/>
          <w:color w:val="auto"/>
          <w:kern w:val="0"/>
          <w:sz w:val="24"/>
          <w:highlight w:val="none"/>
          <w:lang w:val="en-US" w:eastAsia="zh-CN"/>
        </w:rPr>
        <w:t xml:space="preserve"> 11</w:t>
      </w:r>
      <w:r>
        <w:rPr>
          <w:rFonts w:hint="eastAsia" w:ascii="仿宋" w:hAnsi="仿宋" w:eastAsia="仿宋" w:cs="仿宋"/>
          <w:color w:val="auto"/>
          <w:kern w:val="0"/>
          <w:sz w:val="24"/>
          <w:highlight w:val="none"/>
          <w:lang w:eastAsia="zh-CN"/>
        </w:rPr>
        <w:t>点</w:t>
      </w:r>
      <w:r>
        <w:rPr>
          <w:rFonts w:hint="eastAsia" w:ascii="仿宋" w:hAnsi="仿宋" w:eastAsia="仿宋" w:cs="仿宋"/>
          <w:color w:val="auto"/>
          <w:kern w:val="0"/>
          <w:sz w:val="24"/>
          <w:highlight w:val="none"/>
          <w:lang w:val="en-US" w:eastAsia="zh-CN"/>
        </w:rPr>
        <w:t>00分</w:t>
      </w:r>
      <w:r>
        <w:rPr>
          <w:rFonts w:hint="eastAsia" w:ascii="仿宋" w:hAnsi="仿宋" w:eastAsia="仿宋" w:cs="仿宋"/>
          <w:color w:val="auto"/>
          <w:kern w:val="0"/>
          <w:sz w:val="24"/>
          <w:highlight w:val="none"/>
          <w:lang w:eastAsia="zh-CN"/>
        </w:rPr>
        <w:t>（北京时间）</w:t>
      </w:r>
      <w:r>
        <w:rPr>
          <w:rFonts w:hint="eastAsia" w:ascii="仿宋" w:hAnsi="仿宋" w:eastAsia="仿宋" w:cs="仿宋"/>
          <w:color w:val="auto"/>
          <w:kern w:val="0"/>
          <w:sz w:val="24"/>
          <w:highlight w:val="none"/>
        </w:rPr>
        <w:t>前提交响应文件。</w:t>
      </w:r>
    </w:p>
    <w:p w14:paraId="08CB7372">
      <w:pPr>
        <w:pageBreakBefore w:val="0"/>
        <w:widowControl w:val="0"/>
        <w:numPr>
          <w:ilvl w:val="0"/>
          <w:numId w:val="0"/>
        </w:numPr>
        <w:kinsoku/>
        <w:wordWrap/>
        <w:overflowPunct/>
        <w:topLinePunct w:val="0"/>
        <w:bidi w:val="0"/>
        <w:snapToGrid/>
        <w:spacing w:line="240" w:lineRule="auto"/>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一、</w:t>
      </w:r>
      <w:r>
        <w:rPr>
          <w:rFonts w:hint="eastAsia" w:ascii="仿宋" w:hAnsi="仿宋" w:eastAsia="仿宋" w:cs="仿宋"/>
          <w:b/>
          <w:bCs/>
          <w:color w:val="auto"/>
          <w:sz w:val="24"/>
        </w:rPr>
        <w:t>项目基本情况</w:t>
      </w:r>
    </w:p>
    <w:p w14:paraId="5B5E465F">
      <w:pPr>
        <w:pageBreakBefore w:val="0"/>
        <w:widowControl w:val="0"/>
        <w:kinsoku/>
        <w:wordWrap/>
        <w:overflowPunct/>
        <w:topLinePunct w:val="0"/>
        <w:bidi w:val="0"/>
        <w:snapToGrid/>
        <w:spacing w:line="360" w:lineRule="exact"/>
        <w:textAlignment w:val="auto"/>
        <w:rPr>
          <w:rFonts w:hint="eastAsia" w:ascii="仿宋" w:hAnsi="仿宋" w:eastAsia="仿宋" w:cs="仿宋"/>
          <w:color w:val="auto"/>
          <w:sz w:val="24"/>
          <w:szCs w:val="24"/>
          <w:highlight w:val="none"/>
          <w:lang w:eastAsia="zh-CN"/>
        </w:rPr>
      </w:pPr>
      <w:bookmarkStart w:id="498" w:name="_Toc21463"/>
      <w:bookmarkStart w:id="499" w:name="_Toc28359090"/>
      <w:bookmarkStart w:id="500" w:name="_Toc35393799"/>
      <w:bookmarkStart w:id="501" w:name="_Toc28359013"/>
      <w:bookmarkStart w:id="502" w:name="_Toc35393630"/>
      <w:r>
        <w:rPr>
          <w:rFonts w:hint="eastAsia" w:ascii="仿宋" w:hAnsi="仿宋" w:eastAsia="仿宋" w:cs="仿宋"/>
          <w:color w:val="auto"/>
          <w:sz w:val="24"/>
          <w:szCs w:val="24"/>
          <w:highlight w:val="none"/>
        </w:rPr>
        <w:t>项目编号：XJZY（TP）202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02</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rPr>
        <w:t>项目名称：中共莎车县委统战部低氟砖茶采购项目</w:t>
      </w:r>
    </w:p>
    <w:p w14:paraId="4B21250F">
      <w:pPr>
        <w:pageBreakBefore w:val="0"/>
        <w:widowControl w:val="0"/>
        <w:kinsoku/>
        <w:wordWrap/>
        <w:overflowPunct/>
        <w:topLinePunct w:val="0"/>
        <w:bidi w:val="0"/>
        <w:snapToGrid/>
        <w:spacing w:line="360" w:lineRule="exact"/>
        <w:textAlignment w:val="auto"/>
        <w:rPr>
          <w:rFonts w:hint="eastAsia" w:ascii="仿宋" w:hAnsi="仿宋" w:eastAsia="仿宋" w:cs="仿宋"/>
          <w:color w:val="auto"/>
          <w:sz w:val="24"/>
          <w:szCs w:val="24"/>
          <w:highlight w:val="none"/>
          <w:u w:val="none"/>
          <w:lang w:eastAsia="zh-CN"/>
        </w:rPr>
      </w:pPr>
      <w:r>
        <w:rPr>
          <w:rFonts w:hint="eastAsia" w:ascii="仿宋" w:hAnsi="仿宋" w:eastAsia="仿宋" w:cs="仿宋"/>
          <w:color w:val="auto"/>
          <w:sz w:val="24"/>
          <w:szCs w:val="24"/>
          <w:highlight w:val="none"/>
          <w:u w:val="none"/>
        </w:rPr>
        <w:t>采购方式：竞争性谈判</w:t>
      </w:r>
    </w:p>
    <w:p w14:paraId="1194F857">
      <w:pPr>
        <w:pStyle w:val="2"/>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w:t>
      </w:r>
      <w:r>
        <w:rPr>
          <w:rFonts w:hint="eastAsia" w:ascii="仿宋" w:hAnsi="仿宋" w:eastAsia="仿宋" w:cs="仿宋"/>
          <w:color w:val="auto"/>
          <w:sz w:val="24"/>
          <w:szCs w:val="24"/>
          <w:highlight w:val="none"/>
          <w:lang w:val="en-US" w:eastAsia="zh-CN"/>
        </w:rPr>
        <w:t>总</w:t>
      </w:r>
      <w:r>
        <w:rPr>
          <w:rFonts w:hint="eastAsia" w:ascii="仿宋" w:hAnsi="仿宋" w:eastAsia="仿宋" w:cs="仿宋"/>
          <w:color w:val="auto"/>
          <w:sz w:val="24"/>
          <w:szCs w:val="24"/>
          <w:highlight w:val="none"/>
        </w:rPr>
        <w:t>金额</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万元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67.20万</w:t>
      </w:r>
      <w:r>
        <w:rPr>
          <w:rFonts w:hint="eastAsia" w:ascii="仿宋" w:hAnsi="仿宋" w:eastAsia="仿宋" w:cs="仿宋"/>
          <w:color w:val="auto"/>
          <w:sz w:val="24"/>
          <w:szCs w:val="24"/>
          <w:highlight w:val="none"/>
        </w:rPr>
        <w:t>元</w:t>
      </w:r>
    </w:p>
    <w:p w14:paraId="69915777">
      <w:pPr>
        <w:pageBreakBefore w:val="0"/>
        <w:widowControl w:val="0"/>
        <w:kinsoku/>
        <w:wordWrap/>
        <w:overflowPunct/>
        <w:topLinePunct w:val="0"/>
        <w:bidi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采购内容：采购</w:t>
      </w:r>
      <w:r>
        <w:rPr>
          <w:rFonts w:hint="eastAsia" w:ascii="仿宋" w:hAnsi="仿宋" w:eastAsia="仿宋" w:cs="仿宋"/>
          <w:color w:val="auto"/>
          <w:sz w:val="24"/>
          <w:szCs w:val="24"/>
          <w:highlight w:val="none"/>
        </w:rPr>
        <w:t>低氟砖茶</w:t>
      </w:r>
      <w:r>
        <w:rPr>
          <w:rFonts w:hint="eastAsia" w:ascii="仿宋" w:hAnsi="仿宋" w:eastAsia="仿宋" w:cs="仿宋"/>
          <w:color w:val="auto"/>
          <w:sz w:val="24"/>
          <w:szCs w:val="24"/>
          <w:highlight w:val="none"/>
          <w:lang w:val="en-US" w:eastAsia="zh-CN"/>
        </w:rPr>
        <w:t>一批</w:t>
      </w:r>
    </w:p>
    <w:p w14:paraId="3DCC70F6">
      <w:pPr>
        <w:pageBreakBefore w:val="0"/>
        <w:widowControl w:val="0"/>
        <w:kinsoku/>
        <w:wordWrap/>
        <w:overflowPunct/>
        <w:topLinePunct w:val="0"/>
        <w:bidi w:val="0"/>
        <w:snapToGrid/>
        <w:spacing w:line="360" w:lineRule="exact"/>
        <w:textAlignment w:val="auto"/>
        <w:rPr>
          <w:rFonts w:hint="eastAsia" w:ascii="仿宋" w:hAnsi="仿宋" w:eastAsia="仿宋" w:cs="仿宋"/>
          <w:b/>
          <w:bCs/>
          <w:color w:val="auto"/>
          <w:sz w:val="24"/>
          <w:szCs w:val="24"/>
          <w:highlight w:val="none"/>
          <w:u w:val="none"/>
        </w:rPr>
      </w:pPr>
      <w:r>
        <w:rPr>
          <w:rFonts w:hint="eastAsia" w:ascii="仿宋" w:hAnsi="仿宋" w:eastAsia="仿宋" w:cs="仿宋"/>
          <w:b/>
          <w:bCs/>
          <w:color w:val="auto"/>
          <w:sz w:val="24"/>
          <w:szCs w:val="24"/>
          <w:highlight w:val="none"/>
          <w:u w:val="none"/>
          <w:lang w:val="en-US" w:eastAsia="zh-CN"/>
        </w:rPr>
        <w:t>二、</w:t>
      </w:r>
      <w:r>
        <w:rPr>
          <w:rFonts w:hint="eastAsia" w:ascii="仿宋" w:hAnsi="仿宋" w:eastAsia="仿宋" w:cs="仿宋"/>
          <w:b/>
          <w:bCs/>
          <w:color w:val="auto"/>
          <w:sz w:val="24"/>
          <w:szCs w:val="24"/>
          <w:highlight w:val="none"/>
          <w:u w:val="none"/>
        </w:rPr>
        <w:t>申请人的资格要求：</w:t>
      </w:r>
      <w:bookmarkEnd w:id="498"/>
      <w:bookmarkEnd w:id="499"/>
      <w:bookmarkEnd w:id="500"/>
      <w:bookmarkEnd w:id="501"/>
      <w:bookmarkEnd w:id="502"/>
    </w:p>
    <w:p w14:paraId="7D355D42">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bookmarkStart w:id="503" w:name="_Toc3562"/>
      <w:r>
        <w:rPr>
          <w:rFonts w:hint="eastAsia" w:ascii="仿宋" w:hAnsi="仿宋" w:eastAsia="仿宋" w:cs="仿宋"/>
          <w:color w:val="auto"/>
          <w:sz w:val="24"/>
          <w:szCs w:val="24"/>
          <w:highlight w:val="none"/>
          <w:lang w:val="en-US" w:eastAsia="zh-CN"/>
        </w:rPr>
        <w:t>符合《中华人民共和国采购法》第二十二条的相关规定：</w:t>
      </w:r>
    </w:p>
    <w:p w14:paraId="1A3D1254">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1、具有独立法人资格（三证合一的营业执照）；</w:t>
      </w:r>
    </w:p>
    <w:p w14:paraId="13EF929F">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2、法人代表资格证明书及授权书、被授权人身份证(法人投标具备法人身份证及法人代表资格证明书)；</w:t>
      </w:r>
    </w:p>
    <w:p w14:paraId="4C046770">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3、被授权委托人参与投标需提供在本单位缴纳连续近三个月内任意一个月的社保证明（单位社保缴费凭证和个人明细表）；法定代表人参与投标需提供本单位社保缴费凭证；</w:t>
      </w:r>
    </w:p>
    <w:p w14:paraId="63326581">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实施条例》第十九条规定的行政处罚记录的，将被认定为投标无效。（须提供本 条款明确的网站查询截屏或导出的证明性材料，并加盖公章，查询时间为公告发 布之日起至投标截止时间止）；</w:t>
      </w:r>
    </w:p>
    <w:p w14:paraId="572F8021">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5、提供2023年或2024年的财务审计报告与健全的财务会计制度（新成立的公司近三个月内的银行资信证明与健全的财务会计制度）；</w:t>
      </w:r>
    </w:p>
    <w:p w14:paraId="623AEE37">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6、税务部门出具的连续近三个月内任意一个月的完税证明（零申报需加盖税 务机关章）；</w:t>
      </w:r>
    </w:p>
    <w:p w14:paraId="73371967">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7、参加政府采购活动前3年内在经营活动中没有重大违法记录的书面声明；</w:t>
      </w:r>
    </w:p>
    <w:p w14:paraId="7669C5C5">
      <w:pPr>
        <w:pStyle w:val="47"/>
        <w:ind w:left="239" w:leftChars="114"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8、投标单位（供应商）针对本次项目《反商业贿赂承诺书》；</w:t>
      </w:r>
    </w:p>
    <w:p w14:paraId="316AD443">
      <w:pPr>
        <w:pStyle w:val="47"/>
        <w:ind w:left="239" w:leftChars="114"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9、供应商为厂家的需具备食品生产许可证，供应商为经销商的需具备食品经营许可证或仅销售预包装食品备案表。</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10、本项目不接受联合体投标。（格式自拟）</w:t>
      </w:r>
    </w:p>
    <w:p w14:paraId="60CBFBE7">
      <w:pPr>
        <w:pStyle w:val="47"/>
        <w:ind w:left="239" w:leftChars="114"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三、获取采购文件</w:t>
      </w:r>
      <w:bookmarkEnd w:id="503"/>
    </w:p>
    <w:p w14:paraId="544BB988">
      <w:pPr>
        <w:pageBreakBefore w:val="0"/>
        <w:widowControl w:val="0"/>
        <w:shd w:val="clear" w:color="auto" w:fill="auto"/>
        <w:kinsoku/>
        <w:wordWrap/>
        <w:overflowPunct/>
        <w:topLinePunct w:val="0"/>
        <w:bidi w:val="0"/>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bookmarkStart w:id="504" w:name="_Toc22392"/>
      <w:r>
        <w:rPr>
          <w:rFonts w:hint="eastAsia" w:ascii="仿宋" w:hAnsi="仿宋" w:eastAsia="仿宋" w:cs="仿宋"/>
          <w:color w:val="auto"/>
          <w:sz w:val="24"/>
          <w:szCs w:val="24"/>
          <w:highlight w:val="none"/>
          <w:lang w:val="en-US" w:eastAsia="zh-CN"/>
        </w:rPr>
        <w:t>时间：2025年3月25日至2025年3月27日，每天上午00:00至12:00，下午12:00至23:59（北京时间，法定节假日除外）</w:t>
      </w:r>
    </w:p>
    <w:p w14:paraId="3E2705FF">
      <w:pPr>
        <w:pageBreakBefore w:val="0"/>
        <w:widowControl w:val="0"/>
        <w:shd w:val="clear" w:color="auto" w:fill="auto"/>
        <w:kinsoku/>
        <w:wordWrap/>
        <w:overflowPunct/>
        <w:topLinePunct w:val="0"/>
        <w:bidi w:val="0"/>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方式：供应商登陆政采云平台http://www.zcygov.cn/，在线申请获取采购文件（登录政府采购云平台 → 项目采购 → 获取采购文件 → 申请，审核通过后可下载招标文件，如有操作性问题，可与政采云在线客服进行咨询，咨询电话：95763）</w:t>
      </w:r>
    </w:p>
    <w:p w14:paraId="3A33DF76">
      <w:pPr>
        <w:pStyle w:val="5"/>
        <w:pageBreakBefore w:val="0"/>
        <w:widowControl w:val="0"/>
        <w:kinsoku/>
        <w:wordWrap/>
        <w:overflowPunct/>
        <w:topLinePunct w:val="0"/>
        <w:bidi w:val="0"/>
        <w:snapToGrid/>
        <w:spacing w:line="24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bookmarkEnd w:id="504"/>
      <w:r>
        <w:rPr>
          <w:rFonts w:hint="eastAsia" w:ascii="仿宋" w:hAnsi="仿宋" w:eastAsia="仿宋" w:cs="仿宋"/>
          <w:b/>
          <w:color w:val="auto"/>
          <w:sz w:val="24"/>
          <w:szCs w:val="24"/>
          <w:lang w:val="en-US" w:eastAsia="zh-CN"/>
        </w:rPr>
        <w:t>提交响应文件截止时间、开启时间和地点</w:t>
      </w:r>
    </w:p>
    <w:p w14:paraId="2EAFC90B">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截止时间：</w:t>
      </w:r>
      <w:r>
        <w:rPr>
          <w:rFonts w:hint="eastAsia" w:ascii="仿宋" w:hAnsi="仿宋" w:eastAsia="仿宋" w:cs="仿宋"/>
          <w:color w:val="auto"/>
          <w:kern w:val="0"/>
          <w:sz w:val="24"/>
          <w:highlight w:val="none"/>
          <w:lang w:eastAsia="zh-CN"/>
        </w:rPr>
        <w:t>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lang w:eastAsia="zh-CN"/>
        </w:rPr>
        <w:t>年</w:t>
      </w:r>
      <w:r>
        <w:rPr>
          <w:rFonts w:hint="eastAsia" w:ascii="仿宋" w:hAnsi="仿宋" w:eastAsia="仿宋" w:cs="仿宋"/>
          <w:color w:val="auto"/>
          <w:kern w:val="0"/>
          <w:sz w:val="24"/>
          <w:highlight w:val="none"/>
          <w:lang w:val="en-US" w:eastAsia="zh-CN"/>
        </w:rPr>
        <w:t>04</w:t>
      </w:r>
      <w:r>
        <w:rPr>
          <w:rFonts w:hint="eastAsia" w:ascii="仿宋" w:hAnsi="仿宋" w:eastAsia="仿宋" w:cs="仿宋"/>
          <w:color w:val="auto"/>
          <w:kern w:val="0"/>
          <w:sz w:val="24"/>
          <w:highlight w:val="none"/>
          <w:lang w:eastAsia="zh-CN"/>
        </w:rPr>
        <w:t>月</w:t>
      </w:r>
      <w:r>
        <w:rPr>
          <w:rFonts w:hint="eastAsia" w:ascii="仿宋" w:hAnsi="仿宋" w:eastAsia="仿宋" w:cs="仿宋"/>
          <w:color w:val="auto"/>
          <w:kern w:val="0"/>
          <w:sz w:val="24"/>
          <w:highlight w:val="none"/>
          <w:lang w:val="en-US" w:eastAsia="zh-CN"/>
        </w:rPr>
        <w:t>01日11</w:t>
      </w:r>
      <w:r>
        <w:rPr>
          <w:rFonts w:hint="eastAsia" w:ascii="仿宋" w:hAnsi="仿宋" w:eastAsia="仿宋" w:cs="仿宋"/>
          <w:color w:val="auto"/>
          <w:kern w:val="0"/>
          <w:sz w:val="24"/>
          <w:highlight w:val="none"/>
          <w:lang w:eastAsia="zh-CN"/>
        </w:rPr>
        <w:t>点</w:t>
      </w:r>
      <w:r>
        <w:rPr>
          <w:rFonts w:hint="eastAsia" w:ascii="仿宋" w:hAnsi="仿宋" w:eastAsia="仿宋" w:cs="仿宋"/>
          <w:color w:val="auto"/>
          <w:kern w:val="0"/>
          <w:sz w:val="24"/>
          <w:highlight w:val="none"/>
          <w:lang w:val="en-US" w:eastAsia="zh-CN"/>
        </w:rPr>
        <w:t>00</w:t>
      </w:r>
      <w:r>
        <w:rPr>
          <w:rFonts w:hint="eastAsia" w:ascii="仿宋" w:hAnsi="仿宋" w:eastAsia="仿宋" w:cs="仿宋"/>
          <w:color w:val="auto"/>
          <w:kern w:val="0"/>
          <w:sz w:val="24"/>
          <w:highlight w:val="none"/>
          <w:lang w:eastAsia="zh-CN"/>
        </w:rPr>
        <w:t>分（北京时间）</w:t>
      </w:r>
    </w:p>
    <w:p w14:paraId="7B81E926">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    点：政采云平台</w:t>
      </w:r>
    </w:p>
    <w:p w14:paraId="58E17989">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开启时间：</w:t>
      </w:r>
      <w:r>
        <w:rPr>
          <w:rFonts w:hint="eastAsia" w:ascii="仿宋" w:hAnsi="仿宋" w:eastAsia="仿宋" w:cs="仿宋"/>
          <w:color w:val="auto"/>
          <w:kern w:val="0"/>
          <w:sz w:val="24"/>
          <w:highlight w:val="none"/>
          <w:lang w:eastAsia="zh-CN"/>
        </w:rPr>
        <w:t>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lang w:eastAsia="zh-CN"/>
        </w:rPr>
        <w:t>年</w:t>
      </w:r>
      <w:r>
        <w:rPr>
          <w:rFonts w:hint="eastAsia" w:ascii="仿宋" w:hAnsi="仿宋" w:eastAsia="仿宋" w:cs="仿宋"/>
          <w:color w:val="auto"/>
          <w:kern w:val="0"/>
          <w:sz w:val="24"/>
          <w:highlight w:val="none"/>
          <w:lang w:val="en-US" w:eastAsia="zh-CN"/>
        </w:rPr>
        <w:t>04</w:t>
      </w:r>
      <w:r>
        <w:rPr>
          <w:rFonts w:hint="eastAsia" w:ascii="仿宋" w:hAnsi="仿宋" w:eastAsia="仿宋" w:cs="仿宋"/>
          <w:color w:val="auto"/>
          <w:kern w:val="0"/>
          <w:sz w:val="24"/>
          <w:highlight w:val="none"/>
          <w:lang w:eastAsia="zh-CN"/>
        </w:rPr>
        <w:t>月</w:t>
      </w:r>
      <w:r>
        <w:rPr>
          <w:rFonts w:hint="eastAsia" w:ascii="仿宋" w:hAnsi="仿宋" w:eastAsia="仿宋" w:cs="仿宋"/>
          <w:color w:val="auto"/>
          <w:kern w:val="0"/>
          <w:sz w:val="24"/>
          <w:highlight w:val="none"/>
          <w:lang w:val="en-US" w:eastAsia="zh-CN"/>
        </w:rPr>
        <w:t>01日11</w:t>
      </w:r>
      <w:r>
        <w:rPr>
          <w:rFonts w:hint="eastAsia" w:ascii="仿宋" w:hAnsi="仿宋" w:eastAsia="仿宋" w:cs="仿宋"/>
          <w:color w:val="auto"/>
          <w:kern w:val="0"/>
          <w:sz w:val="24"/>
          <w:highlight w:val="none"/>
          <w:lang w:eastAsia="zh-CN"/>
        </w:rPr>
        <w:t>点</w:t>
      </w:r>
      <w:r>
        <w:rPr>
          <w:rFonts w:hint="eastAsia" w:ascii="仿宋" w:hAnsi="仿宋" w:eastAsia="仿宋" w:cs="仿宋"/>
          <w:color w:val="auto"/>
          <w:kern w:val="0"/>
          <w:sz w:val="24"/>
          <w:highlight w:val="none"/>
          <w:lang w:val="en-US" w:eastAsia="zh-CN"/>
        </w:rPr>
        <w:t>00</w:t>
      </w:r>
      <w:r>
        <w:rPr>
          <w:rFonts w:hint="eastAsia" w:ascii="仿宋" w:hAnsi="仿宋" w:eastAsia="仿宋" w:cs="仿宋"/>
          <w:color w:val="auto"/>
          <w:kern w:val="0"/>
          <w:sz w:val="24"/>
          <w:highlight w:val="none"/>
          <w:lang w:eastAsia="zh-CN"/>
        </w:rPr>
        <w:t>分（北京时间）</w:t>
      </w:r>
    </w:p>
    <w:p w14:paraId="4B41DB01">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地    点：</w:t>
      </w:r>
      <w:r>
        <w:rPr>
          <w:rFonts w:hint="eastAsia" w:ascii="仿宋" w:hAnsi="仿宋" w:eastAsia="仿宋" w:cs="仿宋"/>
          <w:color w:val="auto"/>
          <w:kern w:val="0"/>
          <w:sz w:val="24"/>
          <w:highlight w:val="none"/>
        </w:rPr>
        <w:t>政采云平台</w:t>
      </w:r>
    </w:p>
    <w:p w14:paraId="7F7C6DAE">
      <w:pPr>
        <w:pStyle w:val="5"/>
        <w:pageBreakBefore w:val="0"/>
        <w:widowControl w:val="0"/>
        <w:kinsoku/>
        <w:wordWrap/>
        <w:overflowPunct/>
        <w:topLinePunct w:val="0"/>
        <w:bidi w:val="0"/>
        <w:snapToGrid/>
        <w:spacing w:line="240" w:lineRule="auto"/>
        <w:jc w:val="left"/>
        <w:textAlignment w:val="auto"/>
        <w:rPr>
          <w:rFonts w:hint="eastAsia" w:ascii="仿宋" w:hAnsi="仿宋" w:eastAsia="仿宋" w:cs="仿宋"/>
          <w:color w:val="auto"/>
          <w:sz w:val="24"/>
          <w:szCs w:val="24"/>
        </w:rPr>
      </w:pPr>
      <w:bookmarkStart w:id="505" w:name="_Toc28359094"/>
      <w:bookmarkStart w:id="506" w:name="_Toc35393803"/>
      <w:bookmarkStart w:id="507" w:name="_Toc28359017"/>
      <w:bookmarkStart w:id="508" w:name="_Toc10380"/>
      <w:bookmarkStart w:id="509" w:name="_Toc35393634"/>
      <w:r>
        <w:rPr>
          <w:rFonts w:hint="eastAsia" w:ascii="仿宋" w:hAnsi="仿宋" w:eastAsia="仿宋" w:cs="仿宋"/>
          <w:color w:val="auto"/>
          <w:sz w:val="24"/>
          <w:szCs w:val="24"/>
          <w:lang w:val="en-US" w:eastAsia="zh-CN"/>
        </w:rPr>
        <w:t>五</w:t>
      </w:r>
      <w:r>
        <w:rPr>
          <w:rFonts w:hint="eastAsia" w:ascii="仿宋" w:hAnsi="仿宋" w:eastAsia="仿宋" w:cs="仿宋"/>
          <w:color w:val="auto"/>
          <w:sz w:val="24"/>
          <w:szCs w:val="24"/>
        </w:rPr>
        <w:t>、公告期限</w:t>
      </w:r>
      <w:bookmarkEnd w:id="505"/>
      <w:bookmarkEnd w:id="506"/>
      <w:bookmarkEnd w:id="507"/>
      <w:bookmarkEnd w:id="508"/>
      <w:bookmarkEnd w:id="509"/>
    </w:p>
    <w:p w14:paraId="5D6D660B">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自本公告发布之日起</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个工作日。</w:t>
      </w:r>
      <w:bookmarkStart w:id="510" w:name="_Toc35393635"/>
      <w:bookmarkStart w:id="511" w:name="_Toc35393804"/>
      <w:bookmarkStart w:id="512" w:name="_Toc28270"/>
    </w:p>
    <w:p w14:paraId="2CAD4614">
      <w:pPr>
        <w:pStyle w:val="2"/>
        <w:spacing w:line="240" w:lineRule="auto"/>
        <w:ind w:left="0" w:leftChars="0" w:firstLine="0" w:firstLineChars="0"/>
        <w:outlineLvl w:val="1"/>
        <w:rPr>
          <w:rStyle w:val="42"/>
          <w:rFonts w:hint="eastAsia" w:ascii="仿宋" w:hAnsi="仿宋" w:eastAsia="仿宋" w:cs="仿宋"/>
          <w:i w:val="0"/>
          <w:iCs w:val="0"/>
          <w:caps w:val="0"/>
          <w:color w:val="000000"/>
          <w:spacing w:val="0"/>
          <w:kern w:val="0"/>
          <w:sz w:val="28"/>
          <w:szCs w:val="28"/>
          <w:lang w:val="en-US" w:eastAsia="zh-CN" w:bidi="ar"/>
        </w:rPr>
      </w:pPr>
      <w:bookmarkStart w:id="513" w:name="_Toc20023"/>
      <w:bookmarkStart w:id="514" w:name="_Toc11277"/>
      <w:r>
        <w:rPr>
          <w:rStyle w:val="42"/>
          <w:rFonts w:hint="eastAsia" w:ascii="仿宋" w:hAnsi="仿宋" w:eastAsia="仿宋" w:cs="仿宋"/>
          <w:i w:val="0"/>
          <w:iCs w:val="0"/>
          <w:caps w:val="0"/>
          <w:color w:val="000000"/>
          <w:spacing w:val="0"/>
          <w:kern w:val="0"/>
          <w:sz w:val="28"/>
          <w:szCs w:val="28"/>
          <w:lang w:val="en-US" w:eastAsia="zh-CN" w:bidi="ar"/>
        </w:rPr>
        <w:t>六、其他补充事宜</w:t>
      </w:r>
      <w:bookmarkEnd w:id="513"/>
      <w:bookmarkEnd w:id="514"/>
    </w:p>
    <w:p w14:paraId="399A4E1D">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本项目为电子招投标，供应商需要使用 CA 加密设备，凡参加本项目必须可自主通过新疆 CA 申领渠道“新疆政务通”申请政采云平台可使用的 CA 设备， 如原有兵团或公共资源使用的 CA，可与新疆 CA 联系，申请增加电子证书即可，无需重复申领。</w:t>
      </w:r>
    </w:p>
    <w:p w14:paraId="43A79982">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本项目实行网上投标，采用电子投标文件(供应商须使用 CA 加密设备通过政采云电子投标客户端制作投标文件)。若供应商参与投标，自行承担投标一切费用。</w:t>
      </w:r>
    </w:p>
    <w:p w14:paraId="061CB6E7">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各供应商应在开标前应确保成为新疆政府采购网正式注册入库供应商，并完成 CA 数字证书申领。因未注册入库、未办理 CA 数字证书等原因造成无法投标或投标失败等后果由供应商自行承担。</w:t>
      </w:r>
    </w:p>
    <w:p w14:paraId="2867FAF2">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供应商将政采云电子交易客户端下载、安装完成后，可通过账号密码或CA 登录客户端进行投标文件制作。在使用政采云投标客户端时，建议使用 WIN7 及 以 上 操 作 系 统 。 客 户 端 请 至 新 疆 政 府 采 购 网</w:t>
      </w:r>
    </w:p>
    <w:p w14:paraId="3B2FE6C9">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fldChar w:fldCharType="begin"/>
      </w:r>
      <w:r>
        <w:rPr>
          <w:rFonts w:hint="eastAsia" w:ascii="仿宋" w:hAnsi="仿宋" w:eastAsia="仿宋" w:cs="仿宋"/>
          <w:color w:val="auto"/>
          <w:kern w:val="0"/>
          <w:sz w:val="24"/>
          <w:lang w:val="en-US" w:eastAsia="zh-CN"/>
        </w:rPr>
        <w:instrText xml:space="preserve"> HYPERLINK "http://www.ccgp-xinjiang.gov.cn/" \h </w:instrText>
      </w:r>
      <w:r>
        <w:rPr>
          <w:rFonts w:hint="eastAsia" w:ascii="仿宋" w:hAnsi="仿宋" w:eastAsia="仿宋" w:cs="仿宋"/>
          <w:color w:val="auto"/>
          <w:kern w:val="0"/>
          <w:sz w:val="24"/>
          <w:lang w:val="en-US" w:eastAsia="zh-CN"/>
        </w:rPr>
        <w:fldChar w:fldCharType="separate"/>
      </w:r>
      <w:r>
        <w:rPr>
          <w:rFonts w:hint="eastAsia" w:ascii="仿宋" w:hAnsi="仿宋" w:eastAsia="仿宋" w:cs="仿宋"/>
          <w:color w:val="auto"/>
          <w:kern w:val="0"/>
          <w:sz w:val="24"/>
          <w:lang w:val="en-US" w:eastAsia="zh-CN"/>
        </w:rPr>
        <w:t>（http://www.ccgp-xinjiang.gov.cn/</w:t>
      </w:r>
      <w:r>
        <w:rPr>
          <w:rFonts w:hint="eastAsia" w:ascii="仿宋" w:hAnsi="仿宋" w:eastAsia="仿宋" w:cs="仿宋"/>
          <w:color w:val="auto"/>
          <w:kern w:val="0"/>
          <w:sz w:val="24"/>
          <w:lang w:val="en-US" w:eastAsia="zh-CN"/>
        </w:rPr>
        <w:fldChar w:fldCharType="end"/>
      </w:r>
      <w:r>
        <w:rPr>
          <w:rFonts w:hint="eastAsia" w:ascii="仿宋" w:hAnsi="仿宋" w:eastAsia="仿宋" w:cs="仿宋"/>
          <w:color w:val="auto"/>
          <w:kern w:val="0"/>
          <w:sz w:val="24"/>
          <w:lang w:val="en-US" w:eastAsia="zh-CN"/>
        </w:rPr>
        <w:t>）下载专区查看，如有问题可拨打政采云客户服务热线 400-881-7190 进行咨询。</w:t>
      </w:r>
    </w:p>
    <w:p w14:paraId="413B7E7E">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供应商在开标时须使用制作加密电子投标文件所使用的 CA 锁及电脑，电脑须提前配置好浏览器（建议使用谷歌浏览器），以便开标时解锁。</w:t>
      </w:r>
    </w:p>
    <w:p w14:paraId="5C7C4463">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投标保证金缴纳及确认时间：凡拟参加本次招标项目的供应商，必须在开标前将投标保证金汇入指定账户。投标保证金汇款凭证上用途栏应注明:招标项目名称+标项号+投标保证金。否则，届时其投标将被拒绝。</w:t>
      </w:r>
    </w:p>
    <w:p w14:paraId="03F643F5">
      <w:pPr>
        <w:pageBreakBefore w:val="0"/>
        <w:widowControl w:val="0"/>
        <w:numPr>
          <w:ilvl w:val="0"/>
          <w:numId w:val="10"/>
        </w:numPr>
        <w:kinsoku/>
        <w:wordWrap/>
        <w:overflowPunct/>
        <w:topLinePunct w:val="0"/>
        <w:bidi w:val="0"/>
        <w:snapToGrid/>
        <w:spacing w:line="240" w:lineRule="auto"/>
        <w:ind w:left="0" w:leftChars="0" w:firstLine="400" w:firstLineChars="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供 应 商 对 不 见 面 开 评 标 系 统 的 技 术 操 作 咨 询 ， 可 通 过https://edu.zcygov.cn/luban/xinjiang-e-biding 自助查询，也可在政采云帮助 中心 常见 问题 解 答和 操作 流程 讲 解视 频中 自助 查询 ， 网址 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 12 号群：30349928（如已加入 1-11 群，无需重复加入，十一个群联动直播），钉钉工具软件具有回放功能，直播培训结束后可在钉钉群中回放观看学习。</w:t>
      </w:r>
    </w:p>
    <w:p w14:paraId="0347D500">
      <w:pPr>
        <w:pStyle w:val="102"/>
        <w:numPr>
          <w:ilvl w:val="0"/>
          <w:numId w:val="0"/>
        </w:numPr>
        <w:ind w:right="-349" w:rightChars="-166"/>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特别注意：</w:t>
      </w:r>
    </w:p>
    <w:p w14:paraId="01F74F9D">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6332FD28">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DD6E058">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63E414E">
      <w:pPr>
        <w:pageBreakBefore w:val="0"/>
        <w:widowControl w:val="0"/>
        <w:kinsoku/>
        <w:wordWrap/>
        <w:overflowPunct/>
        <w:topLinePunct w:val="0"/>
        <w:bidi w:val="0"/>
        <w:snapToGrid/>
        <w:spacing w:line="240" w:lineRule="auto"/>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七、</w:t>
      </w:r>
      <w:bookmarkEnd w:id="510"/>
      <w:bookmarkEnd w:id="511"/>
      <w:bookmarkStart w:id="515" w:name="_Toc28359018"/>
      <w:bookmarkStart w:id="516" w:name="_Toc35393805"/>
      <w:bookmarkStart w:id="517" w:name="_Toc35393636"/>
      <w:bookmarkStart w:id="518" w:name="_Toc28359095"/>
      <w:r>
        <w:rPr>
          <w:rFonts w:hint="eastAsia" w:ascii="仿宋" w:hAnsi="仿宋" w:eastAsia="仿宋" w:cs="仿宋"/>
          <w:b/>
          <w:bCs/>
          <w:color w:val="auto"/>
          <w:sz w:val="24"/>
          <w:szCs w:val="24"/>
        </w:rPr>
        <w:t>凡对本次采购提出询问，请按以下方式联系。</w:t>
      </w:r>
      <w:bookmarkEnd w:id="512"/>
      <w:bookmarkEnd w:id="515"/>
      <w:bookmarkEnd w:id="516"/>
      <w:bookmarkEnd w:id="517"/>
      <w:bookmarkEnd w:id="518"/>
    </w:p>
    <w:p w14:paraId="778FE7DD">
      <w:pPr>
        <w:pageBreakBefore w:val="0"/>
        <w:widowControl w:val="0"/>
        <w:kinsoku/>
        <w:wordWrap/>
        <w:overflowPunct/>
        <w:topLinePunct w:val="0"/>
        <w:bidi w:val="0"/>
        <w:snapToGrid/>
        <w:spacing w:line="240" w:lineRule="auto"/>
        <w:ind w:firstLine="240" w:firstLineChars="100"/>
        <w:textAlignment w:val="auto"/>
        <w:rPr>
          <w:rFonts w:hint="eastAsia" w:ascii="仿宋" w:hAnsi="仿宋" w:eastAsia="仿宋" w:cs="仿宋"/>
          <w:color w:val="auto"/>
          <w:kern w:val="0"/>
          <w:sz w:val="24"/>
        </w:rPr>
      </w:pPr>
      <w:bookmarkStart w:id="519" w:name="_Toc35393637"/>
      <w:bookmarkStart w:id="520" w:name="_Toc35393806"/>
      <w:bookmarkStart w:id="521" w:name="_Toc28359019"/>
      <w:bookmarkStart w:id="522" w:name="_Toc28359096"/>
      <w:r>
        <w:rPr>
          <w:rFonts w:hint="eastAsia" w:ascii="仿宋" w:hAnsi="仿宋" w:eastAsia="仿宋" w:cs="仿宋"/>
          <w:color w:val="auto"/>
          <w:kern w:val="0"/>
          <w:sz w:val="24"/>
        </w:rPr>
        <w:t>1.采购人信息</w:t>
      </w:r>
      <w:bookmarkEnd w:id="519"/>
      <w:bookmarkEnd w:id="520"/>
      <w:bookmarkEnd w:id="521"/>
      <w:bookmarkEnd w:id="522"/>
    </w:p>
    <w:p w14:paraId="4F07B036">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名    称：中共莎车县委统战部</w:t>
      </w:r>
    </w:p>
    <w:p w14:paraId="39CB9726">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联 系 人：</w:t>
      </w:r>
      <w:r>
        <w:rPr>
          <w:rFonts w:hint="eastAsia" w:ascii="仿宋" w:hAnsi="仿宋" w:eastAsia="仿宋" w:cs="仿宋"/>
          <w:color w:val="auto"/>
          <w:kern w:val="0"/>
          <w:sz w:val="24"/>
          <w:lang w:val="en-US" w:eastAsia="zh-CN"/>
        </w:rPr>
        <w:t>刘通</w:t>
      </w:r>
      <w:r>
        <w:rPr>
          <w:rFonts w:hint="eastAsia" w:ascii="仿宋" w:hAnsi="仿宋" w:eastAsia="仿宋" w:cs="仿宋"/>
          <w:color w:val="auto"/>
          <w:kern w:val="0"/>
          <w:sz w:val="24"/>
        </w:rPr>
        <w:t xml:space="preserve">      </w:t>
      </w:r>
    </w:p>
    <w:p w14:paraId="60F06C84">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lang w:eastAsia="zh-CN"/>
        </w:rPr>
      </w:pPr>
      <w:r>
        <w:rPr>
          <w:rFonts w:hint="eastAsia" w:ascii="仿宋" w:hAnsi="仿宋" w:eastAsia="仿宋" w:cs="仿宋"/>
          <w:color w:val="auto"/>
          <w:kern w:val="0"/>
          <w:sz w:val="24"/>
        </w:rPr>
        <w:t>联系方式：15569439826</w:t>
      </w:r>
    </w:p>
    <w:p w14:paraId="0D8645CC">
      <w:pPr>
        <w:pageBreakBefore w:val="0"/>
        <w:widowControl w:val="0"/>
        <w:kinsoku/>
        <w:wordWrap/>
        <w:overflowPunct/>
        <w:topLinePunct w:val="0"/>
        <w:bidi w:val="0"/>
        <w:snapToGrid/>
        <w:spacing w:line="240" w:lineRule="auto"/>
        <w:ind w:firstLine="240" w:firstLineChars="100"/>
        <w:textAlignment w:val="auto"/>
        <w:rPr>
          <w:rFonts w:hint="eastAsia" w:ascii="仿宋" w:hAnsi="仿宋" w:eastAsia="仿宋" w:cs="仿宋"/>
          <w:color w:val="auto"/>
          <w:kern w:val="0"/>
          <w:sz w:val="24"/>
        </w:rPr>
      </w:pPr>
      <w:bookmarkStart w:id="523" w:name="_Toc28359097"/>
      <w:bookmarkStart w:id="524" w:name="_Toc35393807"/>
      <w:bookmarkStart w:id="525" w:name="_Toc28359020"/>
      <w:bookmarkStart w:id="526" w:name="_Toc35393638"/>
      <w:r>
        <w:rPr>
          <w:rFonts w:hint="eastAsia" w:ascii="仿宋" w:hAnsi="仿宋" w:eastAsia="仿宋" w:cs="仿宋"/>
          <w:color w:val="auto"/>
          <w:kern w:val="0"/>
          <w:sz w:val="24"/>
        </w:rPr>
        <w:t>2.采购代理机构信息</w:t>
      </w:r>
      <w:bookmarkEnd w:id="523"/>
      <w:bookmarkEnd w:id="524"/>
      <w:bookmarkEnd w:id="525"/>
      <w:bookmarkEnd w:id="526"/>
    </w:p>
    <w:p w14:paraId="73B68FD4">
      <w:pPr>
        <w:pageBreakBefore w:val="0"/>
        <w:widowControl w:val="0"/>
        <w:kinsoku/>
        <w:wordWrap/>
        <w:overflowPunct/>
        <w:topLinePunct w:val="0"/>
        <w:bidi w:val="0"/>
        <w:snapToGrid/>
        <w:spacing w:line="240" w:lineRule="auto"/>
        <w:ind w:firstLine="480" w:firstLineChars="200"/>
        <w:textAlignment w:val="auto"/>
        <w:rPr>
          <w:rFonts w:hint="default" w:ascii="仿宋" w:hAnsi="仿宋" w:eastAsia="仿宋" w:cs="仿宋"/>
          <w:color w:val="auto"/>
          <w:kern w:val="0"/>
          <w:sz w:val="24"/>
          <w:lang w:val="en-US" w:eastAsia="zh-CN"/>
        </w:rPr>
      </w:pPr>
      <w:r>
        <w:rPr>
          <w:rFonts w:hint="eastAsia" w:ascii="仿宋" w:hAnsi="仿宋" w:eastAsia="仿宋" w:cs="仿宋"/>
          <w:color w:val="auto"/>
          <w:kern w:val="0"/>
          <w:sz w:val="24"/>
        </w:rPr>
        <w:t>名    称：</w:t>
      </w:r>
      <w:r>
        <w:rPr>
          <w:rFonts w:hint="eastAsia" w:ascii="仿宋" w:hAnsi="仿宋" w:eastAsia="仿宋" w:cs="仿宋"/>
          <w:color w:val="auto"/>
          <w:kern w:val="0"/>
          <w:sz w:val="24"/>
          <w:lang w:val="en-US" w:eastAsia="zh-CN"/>
        </w:rPr>
        <w:t>新疆众扬工程项目管理有限公司</w:t>
      </w:r>
    </w:p>
    <w:p w14:paraId="77697432">
      <w:pPr>
        <w:spacing w:before="1" w:line="224" w:lineRule="auto"/>
        <w:ind w:firstLine="480" w:firstLineChars="200"/>
        <w:rPr>
          <w:rFonts w:hint="default" w:ascii="仿宋" w:hAnsi="仿宋" w:eastAsia="仿宋" w:cs="仿宋"/>
          <w:color w:val="auto"/>
          <w:kern w:val="0"/>
          <w:sz w:val="24"/>
          <w:lang w:val="en-US" w:eastAsia="zh-CN"/>
        </w:rPr>
      </w:pPr>
      <w:r>
        <w:rPr>
          <w:rFonts w:hint="eastAsia" w:ascii="仿宋" w:hAnsi="仿宋" w:eastAsia="仿宋" w:cs="仿宋"/>
          <w:bCs/>
          <w:color w:val="000000"/>
          <w:kern w:val="2"/>
          <w:sz w:val="24"/>
          <w:szCs w:val="24"/>
          <w:lang w:val="en-US" w:eastAsia="zh-CN" w:bidi="ar-SA"/>
        </w:rPr>
        <w:t>联 系 人：刘益君</w:t>
      </w:r>
    </w:p>
    <w:p w14:paraId="03DAFE13">
      <w:pPr>
        <w:pageBreakBefore w:val="0"/>
        <w:widowControl w:val="0"/>
        <w:kinsoku/>
        <w:wordWrap/>
        <w:overflowPunct/>
        <w:topLinePunct w:val="0"/>
        <w:bidi w:val="0"/>
        <w:snapToGrid/>
        <w:spacing w:line="240" w:lineRule="auto"/>
        <w:ind w:firstLine="480" w:firstLineChars="200"/>
        <w:textAlignment w:val="auto"/>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eastAsia="zh-CN"/>
        </w:rPr>
        <w:t>联系</w:t>
      </w:r>
      <w:r>
        <w:rPr>
          <w:rFonts w:hint="eastAsia" w:ascii="仿宋" w:hAnsi="仿宋" w:eastAsia="仿宋" w:cs="仿宋"/>
          <w:color w:val="auto"/>
          <w:kern w:val="0"/>
          <w:sz w:val="24"/>
          <w:lang w:val="en-US" w:eastAsia="zh-CN"/>
        </w:rPr>
        <w:t>方式：18997858983</w:t>
      </w:r>
    </w:p>
    <w:p w14:paraId="5081DEB6">
      <w:pPr>
        <w:pageBreakBefore w:val="0"/>
        <w:widowControl w:val="0"/>
        <w:kinsoku/>
        <w:wordWrap/>
        <w:overflowPunct/>
        <w:topLinePunct w:val="0"/>
        <w:bidi w:val="0"/>
        <w:snapToGrid/>
        <w:spacing w:line="240" w:lineRule="auto"/>
        <w:ind w:firstLine="240" w:firstLineChars="100"/>
        <w:textAlignment w:val="auto"/>
        <w:rPr>
          <w:rFonts w:hint="eastAsia" w:ascii="仿宋" w:hAnsi="仿宋" w:eastAsia="仿宋" w:cs="仿宋"/>
          <w:bCs/>
          <w:color w:val="000000"/>
          <w:kern w:val="2"/>
          <w:sz w:val="24"/>
          <w:szCs w:val="24"/>
          <w:lang w:val="en-US" w:eastAsia="zh-CN" w:bidi="ar-SA"/>
        </w:rPr>
      </w:pPr>
      <w:r>
        <w:rPr>
          <w:rFonts w:hint="eastAsia" w:ascii="仿宋" w:hAnsi="仿宋" w:eastAsia="仿宋" w:cs="仿宋"/>
          <w:bCs/>
          <w:color w:val="000000"/>
          <w:kern w:val="2"/>
          <w:sz w:val="24"/>
          <w:szCs w:val="24"/>
          <w:lang w:val="en-US" w:eastAsia="zh-CN" w:bidi="ar-SA"/>
        </w:rPr>
        <w:t>3.政府采购监督管理部门</w:t>
      </w:r>
    </w:p>
    <w:p w14:paraId="42444397">
      <w:pPr>
        <w:spacing w:before="24"/>
        <w:ind w:firstLine="480" w:firstLineChars="200"/>
        <w:rPr>
          <w:rFonts w:hint="eastAsia" w:ascii="仿宋" w:hAnsi="仿宋" w:eastAsia="仿宋" w:cs="仿宋"/>
          <w:bCs/>
          <w:color w:val="000000"/>
          <w:kern w:val="2"/>
          <w:sz w:val="24"/>
          <w:szCs w:val="24"/>
          <w:lang w:val="en-US" w:eastAsia="zh-CN" w:bidi="ar-SA"/>
        </w:rPr>
      </w:pPr>
      <w:r>
        <w:rPr>
          <w:rFonts w:hint="eastAsia" w:ascii="仿宋" w:hAnsi="仿宋" w:eastAsia="仿宋" w:cs="仿宋"/>
          <w:bCs/>
          <w:color w:val="000000"/>
          <w:kern w:val="2"/>
          <w:sz w:val="24"/>
          <w:szCs w:val="24"/>
          <w:lang w:val="en-US" w:eastAsia="zh-CN" w:bidi="ar-SA"/>
        </w:rPr>
        <w:t>单位名称：莎车县财政局采购办</w:t>
      </w:r>
    </w:p>
    <w:p w14:paraId="2EFB30E1">
      <w:pPr>
        <w:spacing w:before="1" w:line="224" w:lineRule="auto"/>
        <w:ind w:firstLine="480" w:firstLineChars="200"/>
        <w:rPr>
          <w:rFonts w:hint="eastAsia" w:ascii="仿宋" w:hAnsi="仿宋" w:eastAsia="仿宋" w:cs="仿宋"/>
          <w:bCs/>
          <w:color w:val="000000"/>
          <w:kern w:val="2"/>
          <w:sz w:val="24"/>
          <w:szCs w:val="24"/>
          <w:lang w:val="en-US" w:eastAsia="zh-CN" w:bidi="ar-SA"/>
        </w:rPr>
      </w:pPr>
      <w:r>
        <w:rPr>
          <w:rFonts w:hint="eastAsia" w:ascii="仿宋" w:hAnsi="仿宋" w:eastAsia="仿宋" w:cs="仿宋"/>
          <w:bCs/>
          <w:color w:val="000000"/>
          <w:kern w:val="2"/>
          <w:sz w:val="24"/>
          <w:szCs w:val="24"/>
          <w:lang w:val="en-US" w:eastAsia="zh-CN" w:bidi="ar-SA"/>
        </w:rPr>
        <w:t>联 系 人：丁洪</w:t>
      </w:r>
    </w:p>
    <w:p w14:paraId="68B8EA21">
      <w:pPr>
        <w:spacing w:before="20" w:line="223" w:lineRule="auto"/>
        <w:ind w:firstLine="480" w:firstLineChars="200"/>
        <w:rPr>
          <w:rFonts w:hint="eastAsia" w:ascii="仿宋" w:hAnsi="仿宋" w:eastAsia="仿宋" w:cs="仿宋"/>
          <w:bCs/>
          <w:color w:val="000000"/>
          <w:kern w:val="2"/>
          <w:sz w:val="24"/>
          <w:szCs w:val="24"/>
          <w:lang w:val="en-US" w:eastAsia="zh-CN" w:bidi="ar-SA"/>
        </w:rPr>
      </w:pPr>
      <w:r>
        <w:rPr>
          <w:rFonts w:hint="eastAsia" w:ascii="仿宋" w:hAnsi="仿宋" w:eastAsia="仿宋" w:cs="仿宋"/>
          <w:bCs/>
          <w:color w:val="000000"/>
          <w:kern w:val="2"/>
          <w:sz w:val="24"/>
          <w:szCs w:val="24"/>
          <w:lang w:val="en-US" w:eastAsia="zh-CN" w:bidi="ar-SA"/>
        </w:rPr>
        <w:t>联系方式：0998-8512578</w:t>
      </w:r>
    </w:p>
    <w:p w14:paraId="34C0A2A8">
      <w:pPr>
        <w:pageBreakBefore w:val="0"/>
        <w:widowControl w:val="0"/>
        <w:kinsoku/>
        <w:wordWrap/>
        <w:overflowPunct/>
        <w:topLinePunct w:val="0"/>
        <w:bidi w:val="0"/>
        <w:snapToGrid/>
        <w:spacing w:line="240" w:lineRule="auto"/>
        <w:ind w:firstLine="480" w:firstLineChars="200"/>
        <w:textAlignment w:val="auto"/>
        <w:rPr>
          <w:rFonts w:hint="eastAsia" w:ascii="仿宋" w:hAnsi="仿宋" w:eastAsia="仿宋" w:cs="仿宋"/>
          <w:color w:val="auto"/>
          <w:kern w:val="0"/>
          <w:sz w:val="24"/>
          <w:lang w:val="en-US" w:eastAsia="zh-CN"/>
        </w:rPr>
      </w:pPr>
    </w:p>
    <w:p w14:paraId="17DC16B4">
      <w:pPr>
        <w:ind w:left="5508" w:leftChars="2280" w:hanging="720" w:hangingChars="300"/>
        <w:jc w:val="left"/>
        <w:rPr>
          <w:rFonts w:hint="eastAsia" w:ascii="仿宋" w:hAnsi="仿宋" w:eastAsia="仿宋" w:cs="仿宋"/>
          <w:color w:val="auto"/>
          <w:kern w:val="0"/>
          <w:sz w:val="24"/>
          <w:lang w:val="en-US" w:eastAsia="zh-CN"/>
        </w:rPr>
      </w:pPr>
    </w:p>
    <w:p w14:paraId="258F3BF0">
      <w:pPr>
        <w:ind w:left="5508" w:leftChars="2280" w:hanging="720" w:hangingChars="300"/>
        <w:jc w:val="left"/>
        <w:rPr>
          <w:rFonts w:hint="eastAsia" w:ascii="仿宋" w:hAnsi="仿宋" w:eastAsia="仿宋" w:cs="仿宋"/>
          <w:color w:val="auto"/>
          <w:kern w:val="0"/>
          <w:sz w:val="24"/>
          <w:lang w:val="en-US" w:eastAsia="zh-CN"/>
        </w:rPr>
      </w:pPr>
    </w:p>
    <w:p w14:paraId="4238C3E2">
      <w:pPr>
        <w:ind w:left="5748" w:leftChars="2280" w:hanging="960" w:hangingChars="400"/>
        <w:jc w:val="left"/>
        <w:rPr>
          <w:rFonts w:hint="default"/>
          <w:lang w:val="en-US"/>
        </w:rPr>
      </w:pPr>
      <w:r>
        <w:rPr>
          <w:rFonts w:hint="eastAsia" w:ascii="仿宋" w:hAnsi="仿宋" w:eastAsia="仿宋" w:cs="仿宋"/>
          <w:color w:val="auto"/>
          <w:kern w:val="0"/>
          <w:sz w:val="24"/>
          <w:lang w:val="en-US" w:eastAsia="zh-CN"/>
        </w:rPr>
        <w:t>新疆众扬工程项目管理有限公司</w:t>
      </w:r>
      <w:r>
        <w:rPr>
          <w:rFonts w:hint="eastAsia" w:ascii="仿宋" w:hAnsi="仿宋" w:eastAsia="仿宋" w:cs="仿宋"/>
          <w:color w:val="auto"/>
          <w:kern w:val="0"/>
          <w:sz w:val="24"/>
          <w:lang w:val="en-US" w:eastAsia="zh-CN"/>
        </w:rPr>
        <w:br w:type="textWrapping"/>
      </w:r>
      <w:r>
        <w:rPr>
          <w:rFonts w:hint="eastAsia" w:ascii="仿宋" w:hAnsi="仿宋" w:eastAsia="仿宋" w:cs="仿宋"/>
          <w:color w:val="auto"/>
          <w:kern w:val="0"/>
          <w:sz w:val="24"/>
          <w:lang w:val="en-US" w:eastAsia="zh-CN"/>
        </w:rPr>
        <w:t>2025年3月24日</w:t>
      </w:r>
    </w:p>
    <w:p w14:paraId="1800BD5C">
      <w:pPr>
        <w:rPr>
          <w:rFonts w:hint="eastAsia" w:ascii="仿宋" w:hAnsi="仿宋" w:eastAsia="仿宋" w:cs="仿宋"/>
          <w:color w:val="auto"/>
          <w:highlight w:val="none"/>
        </w:rPr>
      </w:pPr>
    </w:p>
    <w:p w14:paraId="73692D40">
      <w:pPr>
        <w:pStyle w:val="4"/>
        <w:tabs>
          <w:tab w:val="left" w:pos="0"/>
        </w:tabs>
        <w:spacing w:before="0" w:after="0" w:line="240" w:lineRule="atLeast"/>
        <w:jc w:val="center"/>
        <w:rPr>
          <w:rFonts w:hint="eastAsia" w:ascii="仿宋" w:hAnsi="仿宋" w:eastAsia="仿宋" w:cs="仿宋"/>
          <w:b w:val="0"/>
          <w:bCs/>
          <w:color w:val="auto"/>
          <w:highlight w:val="none"/>
        </w:rPr>
      </w:pPr>
    </w:p>
    <w:p w14:paraId="27B2FD7E">
      <w:pPr>
        <w:rPr>
          <w:rFonts w:hint="eastAsia" w:ascii="仿宋" w:hAnsi="仿宋" w:eastAsia="仿宋" w:cs="仿宋"/>
          <w:color w:val="auto"/>
          <w:highlight w:val="none"/>
        </w:rPr>
      </w:pPr>
    </w:p>
    <w:p w14:paraId="7B500DB2">
      <w:pPr>
        <w:rPr>
          <w:rFonts w:hint="eastAsia" w:ascii="仿宋" w:hAnsi="仿宋" w:eastAsia="仿宋" w:cs="仿宋"/>
          <w:color w:val="auto"/>
          <w:highlight w:val="none"/>
        </w:rPr>
      </w:pPr>
    </w:p>
    <w:p w14:paraId="196207B7">
      <w:pPr>
        <w:rPr>
          <w:rFonts w:hint="eastAsia" w:ascii="仿宋" w:hAnsi="仿宋" w:eastAsia="仿宋" w:cs="仿宋"/>
          <w:color w:val="auto"/>
          <w:highlight w:val="none"/>
        </w:rPr>
      </w:pPr>
    </w:p>
    <w:p w14:paraId="3BB13A08">
      <w:pPr>
        <w:pStyle w:val="2"/>
        <w:rPr>
          <w:rFonts w:hint="eastAsia" w:ascii="仿宋" w:hAnsi="仿宋" w:eastAsia="仿宋" w:cs="仿宋"/>
          <w:color w:val="auto"/>
          <w:highlight w:val="none"/>
        </w:rPr>
      </w:pPr>
    </w:p>
    <w:p w14:paraId="575FE890">
      <w:pPr>
        <w:pStyle w:val="3"/>
        <w:rPr>
          <w:rFonts w:hint="eastAsia" w:ascii="仿宋" w:hAnsi="仿宋" w:eastAsia="仿宋" w:cs="仿宋"/>
          <w:color w:val="auto"/>
          <w:highlight w:val="none"/>
        </w:rPr>
      </w:pPr>
    </w:p>
    <w:p w14:paraId="438177BE">
      <w:pPr>
        <w:rPr>
          <w:rFonts w:hint="eastAsia" w:ascii="仿宋" w:hAnsi="仿宋" w:eastAsia="仿宋" w:cs="仿宋"/>
          <w:color w:val="auto"/>
          <w:highlight w:val="none"/>
        </w:rPr>
      </w:pPr>
    </w:p>
    <w:p w14:paraId="7A059817">
      <w:pPr>
        <w:pStyle w:val="2"/>
        <w:rPr>
          <w:rFonts w:hint="eastAsia"/>
        </w:rPr>
      </w:pPr>
    </w:p>
    <w:p w14:paraId="37C9BCE2">
      <w:pPr>
        <w:pStyle w:val="4"/>
        <w:tabs>
          <w:tab w:val="left" w:pos="0"/>
        </w:tabs>
        <w:spacing w:before="0" w:after="0" w:line="240" w:lineRule="atLeast"/>
        <w:jc w:val="center"/>
        <w:rPr>
          <w:rFonts w:hint="eastAsia" w:ascii="仿宋" w:hAnsi="仿宋" w:eastAsia="仿宋" w:cs="仿宋"/>
          <w:color w:val="auto"/>
          <w:highlight w:val="none"/>
        </w:rPr>
      </w:pPr>
      <w:bookmarkStart w:id="527" w:name="_Toc13172"/>
      <w:r>
        <w:rPr>
          <w:rFonts w:hint="eastAsia" w:ascii="仿宋" w:hAnsi="仿宋" w:eastAsia="仿宋" w:cs="仿宋"/>
          <w:color w:val="auto"/>
          <w:highlight w:val="none"/>
        </w:rPr>
        <w:t xml:space="preserve">第四章 </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须知资料表</w:t>
      </w:r>
      <w:bookmarkEnd w:id="497"/>
      <w:bookmarkEnd w:id="527"/>
    </w:p>
    <w:p w14:paraId="112CCAF2">
      <w:pPr>
        <w:spacing w:line="240" w:lineRule="atLeas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本表是本</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项目的具体资料，是对</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须知的具体补充和修改，如有矛盾，应以本资料表为准。</w:t>
      </w:r>
    </w:p>
    <w:tbl>
      <w:tblPr>
        <w:tblStyle w:val="39"/>
        <w:tblW w:w="8308" w:type="dxa"/>
        <w:tblInd w:w="-4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468"/>
        <w:gridCol w:w="6840"/>
      </w:tblGrid>
      <w:tr w14:paraId="55F55C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vAlign w:val="center"/>
          </w:tcPr>
          <w:p w14:paraId="5C8B73A5">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条款号</w:t>
            </w:r>
          </w:p>
        </w:tc>
        <w:tc>
          <w:tcPr>
            <w:tcW w:w="6840" w:type="dxa"/>
            <w:vAlign w:val="center"/>
          </w:tcPr>
          <w:p w14:paraId="196D5AAA">
            <w:pPr>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内      容</w:t>
            </w:r>
          </w:p>
        </w:tc>
      </w:tr>
      <w:tr w14:paraId="3FFFD6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vAlign w:val="center"/>
          </w:tcPr>
          <w:p w14:paraId="35B08889">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6840" w:type="dxa"/>
            <w:vAlign w:val="center"/>
          </w:tcPr>
          <w:p w14:paraId="70041D3E">
            <w:pPr>
              <w:spacing w:line="240" w:lineRule="atLeas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lang w:eastAsia="zh-CN"/>
              </w:rPr>
              <w:t>中共莎车县委统战部</w:t>
            </w:r>
          </w:p>
          <w:p w14:paraId="2CCF39A7">
            <w:pPr>
              <w:spacing w:line="240" w:lineRule="atLeas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 系 人：</w:t>
            </w:r>
            <w:r>
              <w:rPr>
                <w:rFonts w:hint="eastAsia" w:ascii="仿宋" w:hAnsi="仿宋" w:eastAsia="仿宋" w:cs="仿宋"/>
                <w:color w:val="auto"/>
                <w:sz w:val="24"/>
                <w:szCs w:val="24"/>
                <w:highlight w:val="none"/>
                <w:lang w:eastAsia="zh-CN"/>
              </w:rPr>
              <w:t>刘通</w:t>
            </w:r>
            <w:r>
              <w:rPr>
                <w:rFonts w:hint="eastAsia" w:ascii="仿宋" w:hAnsi="仿宋" w:eastAsia="仿宋" w:cs="仿宋"/>
                <w:color w:val="auto"/>
                <w:sz w:val="24"/>
                <w:highlight w:val="none"/>
                <w:lang w:val="en-US" w:eastAsia="zh-CN"/>
              </w:rPr>
              <w:t>　　　　　　　　　　　</w:t>
            </w:r>
          </w:p>
          <w:p w14:paraId="089CC233">
            <w:pPr>
              <w:spacing w:line="240" w:lineRule="atLeas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联系方式：15569439826</w:t>
            </w:r>
          </w:p>
        </w:tc>
      </w:tr>
      <w:tr w14:paraId="6E4970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vAlign w:val="center"/>
          </w:tcPr>
          <w:p w14:paraId="0B84E51B">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6840" w:type="dxa"/>
            <w:vAlign w:val="center"/>
          </w:tcPr>
          <w:p w14:paraId="7D33FD48">
            <w:pPr>
              <w:spacing w:line="240" w:lineRule="atLeast"/>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rPr>
              <w:t>采购代理：新疆众扬工程项目管理有限公司</w:t>
            </w:r>
          </w:p>
          <w:p w14:paraId="5DAA8BC8">
            <w:pPr>
              <w:spacing w:line="240" w:lineRule="atLeas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rPr>
              <w:t>联系人：</w:t>
            </w:r>
            <w:r>
              <w:rPr>
                <w:rFonts w:hint="eastAsia" w:ascii="仿宋" w:hAnsi="仿宋" w:eastAsia="仿宋" w:cs="仿宋"/>
                <w:color w:val="auto"/>
                <w:sz w:val="24"/>
                <w:highlight w:val="none"/>
                <w:lang w:val="en-US" w:eastAsia="zh-CN"/>
              </w:rPr>
              <w:t>刘益君</w:t>
            </w:r>
          </w:p>
          <w:p w14:paraId="737AD999">
            <w:pPr>
              <w:spacing w:line="240" w:lineRule="atLeast"/>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rPr>
              <w:t>联系方式：18997858983</w:t>
            </w:r>
          </w:p>
        </w:tc>
      </w:tr>
      <w:tr w14:paraId="6C7214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31" w:hRule="atLeast"/>
        </w:trPr>
        <w:tc>
          <w:tcPr>
            <w:tcW w:w="1468" w:type="dxa"/>
            <w:vAlign w:val="center"/>
          </w:tcPr>
          <w:p w14:paraId="60C2F2E7">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6840" w:type="dxa"/>
            <w:vAlign w:val="center"/>
          </w:tcPr>
          <w:p w14:paraId="1C49AC6E">
            <w:pPr>
              <w:pStyle w:val="84"/>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合格供应商资格要求：</w:t>
            </w:r>
          </w:p>
          <w:p w14:paraId="233C7F61">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符合《中华人民共和国采购法》第二十二条的相关规定：</w:t>
            </w:r>
          </w:p>
          <w:p w14:paraId="644258E1">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1、具有独立法人资格（三证合一的营业执照）；</w:t>
            </w:r>
          </w:p>
          <w:p w14:paraId="2C079180">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2、法人代表资格证明书及授权书、被授权人身份证(法人投标具备法人身份证及法人代表资格证明书)；</w:t>
            </w:r>
          </w:p>
          <w:p w14:paraId="1E4C618B">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3、被授权委托人参与投标需提供在本单位缴纳连续近三个月内任意一个月的社保证明（单位社保缴费凭证和个人明细表）；法定代表人参与投标需提供本单位社保缴费凭证；</w:t>
            </w:r>
          </w:p>
          <w:p w14:paraId="3F1DD2EA">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实施条例》第十九条规定的行政处罚记录的，将被认定为投标无效。（须提供本 条款明确的网站查询截屏或导出的证明性材料，并加盖公章，查询时间为公告发 布之日起至投标截止时间止）；</w:t>
            </w:r>
          </w:p>
          <w:p w14:paraId="2C11512A">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5、提供2023年或2024年的财务审计报告与健全的财务会计制度（新成立的公司近三个月内的银行资信证明与健全的财务会计制度）；</w:t>
            </w:r>
          </w:p>
          <w:p w14:paraId="69EA5422">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6、税务部门出具的连续近三个月内任意一个月的完税证明（零申报需加盖税务机关章）；</w:t>
            </w:r>
          </w:p>
          <w:p w14:paraId="4F90B610">
            <w:pPr>
              <w:pageBreakBefore w:val="0"/>
              <w:widowControl w:val="0"/>
              <w:shd w:val="clear" w:color="auto" w:fill="auto"/>
              <w:kinsoku/>
              <w:wordWrap/>
              <w:overflowPunct/>
              <w:topLinePunct w:val="0"/>
              <w:bidi w:val="0"/>
              <w:snapToGrid/>
              <w:spacing w:line="360" w:lineRule="exact"/>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7、参加政府采购活动前3年内在经营活动中没有重大违法记录的书面声明；</w:t>
            </w:r>
          </w:p>
          <w:p w14:paraId="63270EF2">
            <w:pPr>
              <w:pStyle w:val="47"/>
              <w:ind w:left="239" w:leftChars="114"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8、投标单位（供应商）针对本次项目《反商业贿赂承诺书》；</w:t>
            </w:r>
          </w:p>
          <w:p w14:paraId="38DA397C">
            <w:pPr>
              <w:pStyle w:val="47"/>
              <w:ind w:left="0" w:leftChars="0" w:firstLine="240" w:firstLineChars="1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9、供应商为厂家的需具备食品生产许可证，供应商为经销商的需具备食品经营许可证或仅销售预包装食品备案表。</w:t>
            </w:r>
          </w:p>
          <w:p w14:paraId="74C8D2C1">
            <w:pPr>
              <w:pStyle w:val="84"/>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szCs w:val="24"/>
                <w:highlight w:val="none"/>
                <w:lang w:val="en-US" w:eastAsia="zh-CN"/>
              </w:rPr>
              <w:t>10、本项目不接受联合体投标。（格式自拟）</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highlight w:val="none"/>
                <w:lang w:eastAsia="zh-CN"/>
              </w:rPr>
              <w:t>注：①本项目要求各供应商提供“连续近三个月内任意一个月的完税证明”，若供应商某月税收为零申报或免征，须提供加盖税务局公章的无欠税证明或申报成功网页截图（供应商可自主登录“国家税务总局电子税务局”12366.chinatax.gov.cn/bsfw/onlinetaxation/main——</w:t>
            </w:r>
          </w:p>
          <w:p w14:paraId="5B277C4E">
            <w:pPr>
              <w:pStyle w:val="84"/>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税费申报及缴纳——申报结果查询）。②税务局代收的社保缴费证明不可作为本项目的完税证明（“税种”不可为养老保险、医疗保险、失业保险、工伤保险和生育保险）。</w:t>
            </w:r>
          </w:p>
        </w:tc>
      </w:tr>
      <w:tr w14:paraId="032539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6" w:hRule="atLeast"/>
        </w:trPr>
        <w:tc>
          <w:tcPr>
            <w:tcW w:w="1468" w:type="dxa"/>
            <w:vAlign w:val="center"/>
          </w:tcPr>
          <w:p w14:paraId="4E8E26A8">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1.4  </w:t>
            </w:r>
          </w:p>
        </w:tc>
        <w:tc>
          <w:tcPr>
            <w:tcW w:w="6840" w:type="dxa"/>
            <w:vAlign w:val="center"/>
          </w:tcPr>
          <w:p w14:paraId="0D9BFA7C">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是否允许采购进口产品：</w:t>
            </w:r>
            <w:r>
              <w:rPr>
                <w:rFonts w:hint="eastAsia" w:ascii="仿宋" w:hAnsi="仿宋" w:eastAsia="仿宋" w:cs="仿宋"/>
                <w:color w:val="auto"/>
                <w:sz w:val="24"/>
                <w:highlight w:val="none"/>
                <w:u w:val="single"/>
              </w:rPr>
              <w:t xml:space="preserve"> 否   </w:t>
            </w:r>
            <w:r>
              <w:rPr>
                <w:rFonts w:hint="eastAsia" w:ascii="仿宋" w:hAnsi="仿宋" w:eastAsia="仿宋" w:cs="仿宋"/>
                <w:i/>
                <w:color w:val="auto"/>
                <w:sz w:val="24"/>
                <w:highlight w:val="none"/>
              </w:rPr>
              <w:t>（是、否）</w:t>
            </w:r>
          </w:p>
        </w:tc>
      </w:tr>
      <w:tr w14:paraId="1C79BB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8" w:hRule="atLeast"/>
        </w:trPr>
        <w:tc>
          <w:tcPr>
            <w:tcW w:w="1468" w:type="dxa"/>
            <w:vAlign w:val="center"/>
          </w:tcPr>
          <w:p w14:paraId="770A206B">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6840" w:type="dxa"/>
            <w:vAlign w:val="center"/>
          </w:tcPr>
          <w:p w14:paraId="0CEEC691">
            <w:pPr>
              <w:spacing w:line="240" w:lineRule="atLeast"/>
              <w:rPr>
                <w:rFonts w:hint="eastAsia" w:ascii="仿宋" w:hAnsi="仿宋" w:eastAsia="仿宋" w:cs="仿宋"/>
                <w:b/>
                <w:bCs/>
                <w:color w:val="FF0000"/>
                <w:sz w:val="24"/>
                <w:highlight w:val="none"/>
              </w:rPr>
            </w:pPr>
            <w:r>
              <w:rPr>
                <w:rFonts w:hint="eastAsia" w:ascii="仿宋" w:hAnsi="仿宋" w:eastAsia="仿宋" w:cs="仿宋"/>
                <w:color w:val="auto"/>
                <w:sz w:val="24"/>
                <w:highlight w:val="none"/>
              </w:rPr>
              <w:t>是否专门面向中小企业采购：</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是</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（是、否）</w:t>
            </w:r>
          </w:p>
        </w:tc>
      </w:tr>
      <w:tr w14:paraId="6CDDC5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vAlign w:val="center"/>
          </w:tcPr>
          <w:p w14:paraId="45153E0B">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p>
        </w:tc>
        <w:tc>
          <w:tcPr>
            <w:tcW w:w="6840" w:type="dxa"/>
            <w:vAlign w:val="center"/>
          </w:tcPr>
          <w:p w14:paraId="7EEDC99A">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是否允许联合体投标：</w:t>
            </w:r>
            <w:r>
              <w:rPr>
                <w:rFonts w:hint="eastAsia" w:ascii="仿宋" w:hAnsi="仿宋" w:eastAsia="仿宋" w:cs="仿宋"/>
                <w:color w:val="auto"/>
                <w:sz w:val="24"/>
                <w:highlight w:val="none"/>
                <w:u w:val="single"/>
              </w:rPr>
              <w:t xml:space="preserve">   否   </w:t>
            </w:r>
            <w:r>
              <w:rPr>
                <w:rFonts w:hint="eastAsia" w:ascii="仿宋" w:hAnsi="仿宋" w:eastAsia="仿宋" w:cs="仿宋"/>
                <w:i/>
                <w:color w:val="auto"/>
                <w:sz w:val="24"/>
                <w:highlight w:val="none"/>
              </w:rPr>
              <w:t>（是、否）</w:t>
            </w:r>
          </w:p>
        </w:tc>
      </w:tr>
      <w:tr w14:paraId="17E0B4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468" w:type="dxa"/>
            <w:vAlign w:val="center"/>
          </w:tcPr>
          <w:p w14:paraId="40CA9396">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6840" w:type="dxa"/>
            <w:vAlign w:val="center"/>
          </w:tcPr>
          <w:p w14:paraId="19BA5D0D">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联合体的其他资格要求：无</w:t>
            </w:r>
          </w:p>
        </w:tc>
      </w:tr>
      <w:tr w14:paraId="3FF100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468" w:type="dxa"/>
            <w:vAlign w:val="center"/>
          </w:tcPr>
          <w:p w14:paraId="528A8ABB">
            <w:pPr>
              <w:spacing w:line="240" w:lineRule="atLeast"/>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6840" w:type="dxa"/>
            <w:vAlign w:val="center"/>
          </w:tcPr>
          <w:p w14:paraId="6F0B3346">
            <w:pPr>
              <w:spacing w:line="240" w:lineRule="atLeast"/>
              <w:rPr>
                <w:rFonts w:hint="eastAsia" w:ascii="仿宋" w:hAnsi="仿宋" w:eastAsia="仿宋" w:cs="仿宋"/>
                <w:color w:val="auto"/>
                <w:highlight w:val="none"/>
                <w:lang w:val="en-US" w:eastAsia="zh-CN"/>
              </w:rPr>
            </w:pPr>
            <w:r>
              <w:rPr>
                <w:rFonts w:hint="eastAsia" w:ascii="仿宋" w:hAnsi="仿宋" w:eastAsia="仿宋" w:cs="仿宋"/>
                <w:color w:val="auto"/>
                <w:sz w:val="24"/>
                <w:highlight w:val="none"/>
              </w:rPr>
              <w:t>预算总金额（万元）：</w:t>
            </w:r>
            <w:r>
              <w:rPr>
                <w:rFonts w:hint="eastAsia" w:ascii="仿宋" w:hAnsi="仿宋" w:eastAsia="仿宋" w:cs="仿宋"/>
                <w:color w:val="auto"/>
                <w:sz w:val="24"/>
                <w:szCs w:val="24"/>
                <w:highlight w:val="none"/>
                <w:lang w:val="en-US" w:eastAsia="zh-CN"/>
              </w:rPr>
              <w:t>67.20</w:t>
            </w:r>
            <w:r>
              <w:rPr>
                <w:rFonts w:hint="eastAsia" w:ascii="仿宋" w:hAnsi="仿宋" w:eastAsia="仿宋" w:cs="仿宋"/>
                <w:color w:val="auto"/>
                <w:sz w:val="24"/>
                <w:highlight w:val="none"/>
              </w:rPr>
              <w:t>万元</w:t>
            </w:r>
          </w:p>
        </w:tc>
      </w:tr>
      <w:tr w14:paraId="46F665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468" w:type="dxa"/>
            <w:tcBorders>
              <w:left w:val="single" w:color="auto" w:sz="6" w:space="0"/>
              <w:bottom w:val="single" w:color="auto" w:sz="6" w:space="0"/>
            </w:tcBorders>
            <w:vAlign w:val="center"/>
          </w:tcPr>
          <w:p w14:paraId="6F2ECFBB">
            <w:pPr>
              <w:spacing w:line="240" w:lineRule="atLeast"/>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1.9</w:t>
            </w:r>
          </w:p>
        </w:tc>
        <w:tc>
          <w:tcPr>
            <w:tcW w:w="6840" w:type="dxa"/>
            <w:tcBorders>
              <w:bottom w:val="single" w:color="auto" w:sz="6" w:space="0"/>
              <w:right w:val="single" w:color="auto" w:sz="6" w:space="0"/>
            </w:tcBorders>
            <w:vAlign w:val="center"/>
          </w:tcPr>
          <w:p w14:paraId="630D2998">
            <w:pPr>
              <w:spacing w:line="240" w:lineRule="atLeas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报价方式：按照开标程序进行。</w:t>
            </w:r>
          </w:p>
        </w:tc>
      </w:tr>
      <w:tr w14:paraId="342B10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tcBorders>
              <w:top w:val="single" w:color="auto" w:sz="6" w:space="0"/>
              <w:left w:val="single" w:color="auto" w:sz="6" w:space="0"/>
              <w:bottom w:val="single" w:color="auto" w:sz="6" w:space="0"/>
            </w:tcBorders>
            <w:vAlign w:val="center"/>
          </w:tcPr>
          <w:p w14:paraId="54A43E60">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p>
        </w:tc>
        <w:tc>
          <w:tcPr>
            <w:tcW w:w="6840" w:type="dxa"/>
            <w:tcBorders>
              <w:top w:val="single" w:color="auto" w:sz="6" w:space="0"/>
              <w:bottom w:val="single" w:color="auto" w:sz="6" w:space="0"/>
              <w:right w:val="single" w:color="auto" w:sz="6" w:space="0"/>
            </w:tcBorders>
            <w:vAlign w:val="center"/>
          </w:tcPr>
          <w:p w14:paraId="09C0040A">
            <w:pPr>
              <w:spacing w:line="400" w:lineRule="exact"/>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金额：1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000.00元（</w:t>
            </w:r>
            <w:r>
              <w:rPr>
                <w:rFonts w:hint="eastAsia" w:ascii="仿宋" w:hAnsi="仿宋" w:eastAsia="仿宋" w:cs="仿宋"/>
                <w:color w:val="auto"/>
                <w:sz w:val="24"/>
                <w:highlight w:val="none"/>
                <w:lang w:val="en-US" w:eastAsia="zh-CN"/>
              </w:rPr>
              <w:t>壹万叁仟元整</w:t>
            </w:r>
            <w:r>
              <w:rPr>
                <w:rFonts w:hint="eastAsia" w:ascii="仿宋" w:hAnsi="仿宋" w:eastAsia="仿宋" w:cs="仿宋"/>
                <w:color w:val="auto"/>
                <w:sz w:val="24"/>
                <w:highlight w:val="none"/>
              </w:rPr>
              <w:t>）</w:t>
            </w:r>
          </w:p>
          <w:p w14:paraId="10A3CE36">
            <w:pPr>
              <w:spacing w:line="40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缴纳方式：电汇、网银</w:t>
            </w:r>
            <w:r>
              <w:rPr>
                <w:rFonts w:hint="eastAsia" w:ascii="仿宋" w:hAnsi="仿宋" w:eastAsia="仿宋" w:cs="仿宋"/>
                <w:color w:val="auto"/>
                <w:sz w:val="24"/>
                <w:highlight w:val="none"/>
                <w:lang w:eastAsia="zh-CN"/>
              </w:rPr>
              <w:t>、保函、对公转账</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政府采购法允许的</w:t>
            </w:r>
            <w:r>
              <w:rPr>
                <w:rFonts w:hint="eastAsia" w:ascii="仿宋" w:hAnsi="仿宋" w:eastAsia="仿宋" w:cs="仿宋"/>
                <w:color w:val="auto"/>
                <w:sz w:val="24"/>
                <w:highlight w:val="none"/>
              </w:rPr>
              <w:t>其他形式）</w:t>
            </w:r>
          </w:p>
          <w:p w14:paraId="65F42C77">
            <w:pPr>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缴纳要求：</w:t>
            </w:r>
          </w:p>
          <w:p w14:paraId="7BA3ED25">
            <w:pPr>
              <w:spacing w:line="400" w:lineRule="exact"/>
              <w:jc w:val="lef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证金收款单位名称：新疆众扬工程项目管理有限公司</w:t>
            </w:r>
          </w:p>
          <w:p w14:paraId="19FBCC0A">
            <w:pPr>
              <w:spacing w:line="400" w:lineRule="exact"/>
              <w:jc w:val="lef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开 户 行：莎车县农村信用合作联社</w:t>
            </w:r>
          </w:p>
          <w:p w14:paraId="4CB05A69">
            <w:pPr>
              <w:spacing w:line="400" w:lineRule="exact"/>
              <w:jc w:val="lef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账   号：867010012010116977638</w:t>
            </w:r>
          </w:p>
          <w:p w14:paraId="27075178">
            <w:pPr>
              <w:spacing w:line="400" w:lineRule="exact"/>
              <w:jc w:val="lef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银行行号：402894600015</w:t>
            </w:r>
          </w:p>
          <w:p w14:paraId="6F05CD56">
            <w:pPr>
              <w:spacing w:line="400" w:lineRule="exact"/>
              <w:jc w:val="lef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eastAsia="zh-CN"/>
              </w:rPr>
              <w:t>联系人：刘益君</w:t>
            </w:r>
            <w:r>
              <w:rPr>
                <w:rFonts w:hint="eastAsia" w:ascii="仿宋" w:hAnsi="仿宋" w:eastAsia="仿宋" w:cs="仿宋"/>
                <w:b/>
                <w:bCs/>
                <w:color w:val="auto"/>
                <w:sz w:val="24"/>
                <w:highlight w:val="none"/>
                <w:lang w:val="en-US" w:eastAsia="zh-CN"/>
              </w:rPr>
              <w:t xml:space="preserve">     </w:t>
            </w:r>
          </w:p>
          <w:p w14:paraId="76D9A18A">
            <w:pPr>
              <w:spacing w:line="400" w:lineRule="exact"/>
              <w:jc w:val="lef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eastAsia="zh-CN"/>
              </w:rPr>
              <w:t>联系方式：</w:t>
            </w:r>
            <w:r>
              <w:rPr>
                <w:rFonts w:hint="eastAsia" w:ascii="仿宋" w:hAnsi="仿宋" w:eastAsia="仿宋" w:cs="仿宋"/>
                <w:b/>
                <w:bCs/>
                <w:color w:val="auto"/>
                <w:sz w:val="24"/>
                <w:highlight w:val="none"/>
                <w:lang w:val="en-US" w:eastAsia="zh-CN"/>
              </w:rPr>
              <w:t>18997858983</w:t>
            </w:r>
          </w:p>
          <w:p w14:paraId="3BC8DADF">
            <w:pPr>
              <w:spacing w:line="40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（备注：必须写清楚</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项目保证金</w:t>
            </w:r>
            <w:r>
              <w:rPr>
                <w:rFonts w:hint="eastAsia" w:ascii="仿宋" w:hAnsi="仿宋" w:eastAsia="仿宋" w:cs="仿宋"/>
                <w:color w:val="auto"/>
                <w:sz w:val="24"/>
                <w:highlight w:val="none"/>
                <w:lang w:eastAsia="zh-CN"/>
              </w:rPr>
              <w:t>并注明第</w:t>
            </w:r>
            <w:r>
              <w:rPr>
                <w:rFonts w:hint="eastAsia" w:ascii="仿宋" w:hAnsi="仿宋" w:eastAsia="仿宋" w:cs="仿宋"/>
                <w:color w:val="auto"/>
                <w:sz w:val="24"/>
                <w:highlight w:val="none"/>
                <w:lang w:val="en-US" w:eastAsia="zh-CN"/>
              </w:rPr>
              <w:t>*包</w:t>
            </w:r>
            <w:r>
              <w:rPr>
                <w:rFonts w:hint="eastAsia" w:ascii="仿宋" w:hAnsi="仿宋" w:eastAsia="仿宋" w:cs="仿宋"/>
                <w:color w:val="auto"/>
                <w:sz w:val="24"/>
                <w:highlight w:val="none"/>
              </w:rPr>
              <w:t>。）</w:t>
            </w:r>
          </w:p>
          <w:p w14:paraId="28607702">
            <w:pPr>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其它信息：打款时务必注明</w:t>
            </w: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并注明第</w:t>
            </w:r>
            <w:r>
              <w:rPr>
                <w:rFonts w:hint="eastAsia" w:ascii="仿宋" w:hAnsi="仿宋" w:eastAsia="仿宋" w:cs="仿宋"/>
                <w:color w:val="auto"/>
                <w:sz w:val="24"/>
                <w:highlight w:val="none"/>
                <w:lang w:val="en-US" w:eastAsia="zh-CN"/>
              </w:rPr>
              <w:t>*包</w:t>
            </w:r>
            <w:r>
              <w:rPr>
                <w:rFonts w:hint="eastAsia" w:ascii="仿宋" w:hAnsi="仿宋" w:eastAsia="仿宋" w:cs="仿宋"/>
                <w:color w:val="auto"/>
                <w:sz w:val="24"/>
                <w:highlight w:val="none"/>
              </w:rPr>
              <w:t>，打款后请联系我方确认是否到账。</w:t>
            </w:r>
          </w:p>
          <w:p w14:paraId="47F9365A">
            <w:pPr>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应投标截止时间前汇至</w:t>
            </w:r>
            <w:r>
              <w:rPr>
                <w:rFonts w:hint="eastAsia" w:ascii="仿宋" w:hAnsi="仿宋" w:eastAsia="仿宋" w:cs="仿宋"/>
                <w:color w:val="auto"/>
                <w:sz w:val="24"/>
                <w:highlight w:val="none"/>
                <w:lang w:eastAsia="zh-CN"/>
              </w:rPr>
              <w:t>代理机构</w:t>
            </w:r>
            <w:r>
              <w:rPr>
                <w:rFonts w:hint="eastAsia" w:ascii="仿宋" w:hAnsi="仿宋" w:eastAsia="仿宋" w:cs="仿宋"/>
                <w:color w:val="auto"/>
                <w:sz w:val="24"/>
                <w:highlight w:val="none"/>
              </w:rPr>
              <w:t>指定账户（以实际到账时间为准），</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须自行评估因异地、跨行、公休日等因素造成的</w:t>
            </w: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到账延迟风险，并承担相应责任。并以交款凭证及单位基本账户开户许可证作为</w:t>
            </w: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交纳证明。未按规定时间交纳</w:t>
            </w: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将视为自动放弃投标。</w:t>
            </w:r>
            <w:r>
              <w:rPr>
                <w:rFonts w:hint="eastAsia" w:ascii="仿宋" w:hAnsi="仿宋" w:eastAsia="仿宋" w:cs="仿宋"/>
                <w:color w:val="auto"/>
                <w:sz w:val="24"/>
                <w:highlight w:val="none"/>
                <w:lang w:eastAsia="zh-CN"/>
              </w:rPr>
              <w:t>谈判保证金</w:t>
            </w:r>
            <w:r>
              <w:rPr>
                <w:rFonts w:hint="eastAsia" w:ascii="仿宋" w:hAnsi="仿宋" w:eastAsia="仿宋" w:cs="仿宋"/>
                <w:color w:val="auto"/>
                <w:sz w:val="24"/>
                <w:highlight w:val="none"/>
              </w:rPr>
              <w:t>交纳时需注明项目名称。不接受现金、分公司及任何个人汇款。</w:t>
            </w:r>
          </w:p>
          <w:p w14:paraId="6A7EB0B6">
            <w:pPr>
              <w:pStyle w:val="5"/>
              <w:jc w:val="left"/>
              <w:rPr>
                <w:rFonts w:hint="eastAsia" w:ascii="仿宋" w:hAnsi="仿宋" w:eastAsia="仿宋" w:cs="仿宋"/>
                <w:color w:val="auto"/>
                <w:highlight w:val="none"/>
              </w:rPr>
            </w:pPr>
            <w:r>
              <w:rPr>
                <w:rFonts w:hint="eastAsia" w:ascii="仿宋" w:hAnsi="仿宋" w:eastAsia="仿宋" w:cs="仿宋"/>
                <w:b w:val="0"/>
                <w:color w:val="auto"/>
                <w:kern w:val="2"/>
                <w:sz w:val="24"/>
                <w:szCs w:val="24"/>
                <w:highlight w:val="none"/>
                <w:lang w:val="en-US" w:eastAsia="zh-CN" w:bidi="ar-SA"/>
              </w:rPr>
              <w:t>供应商应按照规定及要求提交谈判保证金，其作为其投标书的一部分投标单位须在响应文件中完全响应谈判文件要求，投标单位须在响应文件中对:“谈判保证金缴纳要求及违反相关法律规定的被没收谈判保证金的情形”进行响应性承诺，将其作为附件放在响应文件“谈判保证金银行汇款或转账凭证复印件或电子保函”缴纳凭证下一页。</w:t>
            </w:r>
          </w:p>
        </w:tc>
      </w:tr>
      <w:tr w14:paraId="20653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1468" w:type="dxa"/>
            <w:tcBorders>
              <w:top w:val="single" w:color="auto" w:sz="6" w:space="0"/>
            </w:tcBorders>
            <w:vAlign w:val="center"/>
          </w:tcPr>
          <w:p w14:paraId="77313CAB">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6840" w:type="dxa"/>
            <w:tcBorders>
              <w:top w:val="single" w:color="auto" w:sz="6" w:space="0"/>
            </w:tcBorders>
            <w:vAlign w:val="center"/>
          </w:tcPr>
          <w:p w14:paraId="7EFF0524">
            <w:pPr>
              <w:spacing w:line="240" w:lineRule="atLeas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投标有效期：</w:t>
            </w:r>
            <w:r>
              <w:rPr>
                <w:rFonts w:hint="eastAsia" w:ascii="仿宋" w:hAnsi="仿宋" w:eastAsia="仿宋" w:cs="仿宋"/>
                <w:color w:val="auto"/>
                <w:sz w:val="24"/>
                <w:highlight w:val="none"/>
                <w:lang w:val="en-US" w:eastAsia="zh-CN"/>
              </w:rPr>
              <w:t>90</w:t>
            </w:r>
            <w:r>
              <w:rPr>
                <w:rFonts w:hint="eastAsia" w:ascii="仿宋" w:hAnsi="仿宋" w:eastAsia="仿宋" w:cs="仿宋"/>
                <w:color w:val="auto"/>
                <w:sz w:val="24"/>
                <w:highlight w:val="none"/>
              </w:rPr>
              <w:t>日历日</w:t>
            </w:r>
          </w:p>
        </w:tc>
      </w:tr>
      <w:tr w14:paraId="0EF4DB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23" w:hRule="atLeast"/>
        </w:trPr>
        <w:tc>
          <w:tcPr>
            <w:tcW w:w="1468" w:type="dxa"/>
            <w:vAlign w:val="center"/>
          </w:tcPr>
          <w:p w14:paraId="09E98FA6">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6840" w:type="dxa"/>
            <w:vAlign w:val="center"/>
          </w:tcPr>
          <w:p w14:paraId="06A6E6E6">
            <w:pPr>
              <w:spacing w:line="400" w:lineRule="exact"/>
              <w:jc w:val="left"/>
              <w:rPr>
                <w:rFonts w:hint="eastAsia" w:ascii="仿宋" w:hAnsi="仿宋" w:eastAsia="仿宋" w:cs="仿宋"/>
                <w:color w:val="auto"/>
                <w:sz w:val="24"/>
                <w:lang w:val="en-US" w:eastAsia="zh-CN"/>
              </w:rPr>
            </w:pPr>
            <w:r>
              <w:rPr>
                <w:rFonts w:hint="eastAsia" w:ascii="仿宋" w:hAnsi="仿宋" w:eastAsia="仿宋" w:cs="仿宋"/>
              </w:rPr>
              <w:t>1</w:t>
            </w:r>
            <w:r>
              <w:rPr>
                <w:rFonts w:hint="eastAsia" w:ascii="仿宋" w:hAnsi="仿宋" w:eastAsia="仿宋" w:cs="仿宋"/>
                <w:color w:val="auto"/>
                <w:sz w:val="24"/>
              </w:rPr>
              <w:t>.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w:t>
            </w:r>
            <w:r>
              <w:rPr>
                <w:rFonts w:hint="eastAsia" w:ascii="仿宋" w:hAnsi="仿宋" w:eastAsia="仿宋" w:cs="仿宋"/>
                <w:color w:val="auto"/>
                <w:sz w:val="24"/>
                <w:lang w:val="en-US" w:eastAsia="zh-CN"/>
              </w:rPr>
              <w:t>95763</w:t>
            </w:r>
          </w:p>
          <w:p w14:paraId="14506483">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2.本项目实行网上投标，采用电子投标文件(供应商须使用CA加密设备通过政采云电子投标客户端制作投标文件)。若供应商参与投标，自行承担投标一切费用。</w:t>
            </w:r>
          </w:p>
          <w:p w14:paraId="34AD09C4">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3.各供应商应在开标前应确保成为新疆政府采购网正式注册入库供应商，并完成CA数字证书申领。因未注册入库、未办理CA数字证书等原因造成无法投标或投标失败等后果由供应商自行承担。</w:t>
            </w:r>
          </w:p>
          <w:p w14:paraId="65318AC4">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color w:val="auto"/>
                <w:sz w:val="24"/>
                <w:lang w:val="en-US" w:eastAsia="zh-CN"/>
              </w:rPr>
              <w:t>95763</w:t>
            </w:r>
            <w:r>
              <w:rPr>
                <w:rFonts w:hint="eastAsia" w:ascii="仿宋" w:hAnsi="仿宋" w:eastAsia="仿宋" w:cs="仿宋"/>
                <w:color w:val="auto"/>
                <w:sz w:val="24"/>
              </w:rPr>
              <w:t>进行咨询。</w:t>
            </w:r>
          </w:p>
          <w:p w14:paraId="3A861F47">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5.供应商在开标时须使用制作加密电子投标文件所使用的CA锁及电脑，电脑须提前配置好浏览器（建议使用360浏览器或谷歌浏览器），以便开标时解锁。</w:t>
            </w:r>
          </w:p>
          <w:p w14:paraId="7332E9BB">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6.投标保证金缴纳及确认时间：凡拟参加本次招标项目的供应商，必须在开标前将投标保证金汇入指定账户。否则，届时其投标将被拒绝。</w:t>
            </w:r>
          </w:p>
          <w:p w14:paraId="294ED625">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07B0EE5">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42CE2644">
            <w:pPr>
              <w:spacing w:line="400" w:lineRule="exact"/>
              <w:jc w:val="left"/>
              <w:rPr>
                <w:rFonts w:hint="eastAsia" w:ascii="仿宋" w:hAnsi="仿宋" w:eastAsia="仿宋" w:cs="仿宋"/>
                <w:color w:val="auto"/>
                <w:sz w:val="24"/>
              </w:rPr>
            </w:pPr>
            <w:r>
              <w:rPr>
                <w:rFonts w:hint="eastAsia" w:ascii="仿宋" w:hAnsi="仿宋" w:eastAsia="仿宋" w:cs="仿宋"/>
                <w:color w:val="auto"/>
                <w:sz w:val="24"/>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029C5E1A">
            <w:pPr>
              <w:spacing w:line="240" w:lineRule="atLeast"/>
              <w:rPr>
                <w:rFonts w:hint="eastAsia" w:ascii="仿宋" w:hAnsi="仿宋" w:eastAsia="仿宋" w:cs="仿宋"/>
                <w:color w:val="auto"/>
                <w:highlight w:val="none"/>
              </w:rPr>
            </w:pPr>
            <w:r>
              <w:rPr>
                <w:rFonts w:hint="eastAsia" w:ascii="仿宋" w:hAnsi="仿宋" w:eastAsia="仿宋" w:cs="仿宋"/>
                <w:color w:val="auto"/>
                <w:sz w:val="24"/>
              </w:rPr>
              <w:t>10.解密时长为30分钟。</w:t>
            </w:r>
          </w:p>
        </w:tc>
      </w:tr>
      <w:tr w14:paraId="1B582C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1468" w:type="dxa"/>
            <w:vAlign w:val="center"/>
          </w:tcPr>
          <w:p w14:paraId="34A10017">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4.1</w:t>
            </w:r>
          </w:p>
        </w:tc>
        <w:tc>
          <w:tcPr>
            <w:tcW w:w="6840" w:type="dxa"/>
            <w:vAlign w:val="center"/>
          </w:tcPr>
          <w:p w14:paraId="28220242">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投标截止时间：202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01</w:t>
            </w:r>
            <w:r>
              <w:rPr>
                <w:rFonts w:hint="eastAsia" w:ascii="仿宋" w:hAnsi="仿宋" w:eastAsia="仿宋" w:cs="仿宋"/>
                <w:color w:val="auto"/>
                <w:sz w:val="24"/>
                <w:highlight w:val="none"/>
              </w:rPr>
              <w:t>日11点00分（北京时间）</w:t>
            </w:r>
          </w:p>
        </w:tc>
      </w:tr>
      <w:tr w14:paraId="16380F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1468" w:type="dxa"/>
            <w:vAlign w:val="center"/>
          </w:tcPr>
          <w:p w14:paraId="4779F5A1">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4.2</w:t>
            </w:r>
          </w:p>
        </w:tc>
        <w:tc>
          <w:tcPr>
            <w:tcW w:w="6840" w:type="dxa"/>
            <w:vAlign w:val="center"/>
          </w:tcPr>
          <w:p w14:paraId="2A0F62A0">
            <w:pPr>
              <w:spacing w:line="240" w:lineRule="atLeas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开标时间：202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01</w:t>
            </w:r>
            <w:r>
              <w:rPr>
                <w:rFonts w:hint="eastAsia" w:ascii="仿宋" w:hAnsi="仿宋" w:eastAsia="仿宋" w:cs="仿宋"/>
                <w:color w:val="auto"/>
                <w:sz w:val="24"/>
                <w:highlight w:val="none"/>
              </w:rPr>
              <w:t>日11点00分（北京时间）</w:t>
            </w:r>
          </w:p>
          <w:p w14:paraId="352CCC18">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开标地点：政采云平台--不见面开标大厅</w:t>
            </w:r>
          </w:p>
          <w:p w14:paraId="20C84689">
            <w:pPr>
              <w:spacing w:line="240" w:lineRule="atLeas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（https://login.zcygov.cn/user-login/#/login）</w:t>
            </w:r>
          </w:p>
        </w:tc>
      </w:tr>
      <w:tr w14:paraId="32886B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1468" w:type="dxa"/>
            <w:vAlign w:val="center"/>
          </w:tcPr>
          <w:p w14:paraId="173F3CA1">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6840" w:type="dxa"/>
            <w:vAlign w:val="center"/>
          </w:tcPr>
          <w:p w14:paraId="06B65564">
            <w:pPr>
              <w:spacing w:line="240" w:lineRule="atLeast"/>
              <w:rPr>
                <w:rFonts w:hint="eastAsia" w:ascii="仿宋" w:hAnsi="仿宋" w:eastAsia="仿宋" w:cs="仿宋"/>
                <w:color w:val="auto"/>
                <w:highlight w:val="none"/>
              </w:rPr>
            </w:pPr>
            <w:r>
              <w:rPr>
                <w:rFonts w:hint="eastAsia" w:ascii="仿宋" w:hAnsi="仿宋" w:eastAsia="仿宋" w:cs="仿宋"/>
                <w:color w:val="auto"/>
                <w:kern w:val="0"/>
                <w:sz w:val="24"/>
                <w:szCs w:val="20"/>
                <w:highlight w:val="none"/>
              </w:rPr>
              <w:t>评标方法：适用最低评标价法</w:t>
            </w:r>
            <w:r>
              <w:rPr>
                <w:rFonts w:hint="eastAsia" w:ascii="仿宋" w:hAnsi="仿宋" w:eastAsia="仿宋" w:cs="仿宋"/>
                <w:color w:val="auto"/>
                <w:sz w:val="24"/>
                <w:highlight w:val="none"/>
              </w:rPr>
              <w:t>　　　　</w:t>
            </w:r>
          </w:p>
        </w:tc>
      </w:tr>
      <w:tr w14:paraId="364DA0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vAlign w:val="center"/>
          </w:tcPr>
          <w:p w14:paraId="2E868230">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5.1</w:t>
            </w:r>
          </w:p>
        </w:tc>
        <w:tc>
          <w:tcPr>
            <w:tcW w:w="6840" w:type="dxa"/>
            <w:vAlign w:val="center"/>
          </w:tcPr>
          <w:p w14:paraId="5592CDD0">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推荐中标候选供应商的数量：</w:t>
            </w:r>
            <w:r>
              <w:rPr>
                <w:rFonts w:hint="eastAsia" w:ascii="仿宋" w:hAnsi="仿宋" w:eastAsia="仿宋" w:cs="仿宋"/>
                <w:color w:val="auto"/>
                <w:sz w:val="24"/>
                <w:highlight w:val="none"/>
                <w:u w:val="single"/>
              </w:rPr>
              <w:t>　 3  　　</w:t>
            </w:r>
          </w:p>
        </w:tc>
      </w:tr>
      <w:tr w14:paraId="0E8246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1468" w:type="dxa"/>
            <w:vAlign w:val="center"/>
          </w:tcPr>
          <w:p w14:paraId="63ACFF3C">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5.2</w:t>
            </w:r>
          </w:p>
        </w:tc>
        <w:tc>
          <w:tcPr>
            <w:tcW w:w="6840" w:type="dxa"/>
            <w:vAlign w:val="center"/>
          </w:tcPr>
          <w:p w14:paraId="3A5DE9BC">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采购单位</w:t>
            </w:r>
            <w:r>
              <w:rPr>
                <w:rFonts w:hint="eastAsia" w:ascii="仿宋" w:hAnsi="仿宋" w:eastAsia="仿宋" w:cs="仿宋"/>
                <w:color w:val="auto"/>
                <w:sz w:val="24"/>
                <w:highlight w:val="none"/>
              </w:rPr>
              <w:t>是否委托评标委员会直接确定</w:t>
            </w:r>
            <w:r>
              <w:rPr>
                <w:rFonts w:hint="eastAsia" w:ascii="仿宋" w:hAnsi="仿宋" w:eastAsia="仿宋" w:cs="仿宋"/>
                <w:color w:val="auto"/>
                <w:sz w:val="24"/>
                <w:highlight w:val="none"/>
                <w:lang w:eastAsia="zh-CN"/>
              </w:rPr>
              <w:t>成交供应商</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否   </w:t>
            </w:r>
            <w:r>
              <w:rPr>
                <w:rFonts w:hint="eastAsia" w:ascii="仿宋" w:hAnsi="仿宋" w:eastAsia="仿宋" w:cs="仿宋"/>
                <w:color w:val="auto"/>
                <w:sz w:val="24"/>
                <w:highlight w:val="none"/>
              </w:rPr>
              <w:t xml:space="preserve"> </w:t>
            </w:r>
            <w:r>
              <w:rPr>
                <w:rFonts w:hint="eastAsia" w:ascii="仿宋" w:hAnsi="仿宋" w:eastAsia="仿宋" w:cs="仿宋"/>
                <w:i/>
                <w:color w:val="auto"/>
                <w:sz w:val="24"/>
                <w:highlight w:val="none"/>
              </w:rPr>
              <w:t>（是、否）</w:t>
            </w:r>
          </w:p>
        </w:tc>
      </w:tr>
      <w:tr w14:paraId="7C7FC6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vAlign w:val="center"/>
          </w:tcPr>
          <w:p w14:paraId="5006848A">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6840" w:type="dxa"/>
            <w:vAlign w:val="center"/>
          </w:tcPr>
          <w:p w14:paraId="6B352A5A">
            <w:pPr>
              <w:pStyle w:val="2"/>
              <w:ind w:firstLine="0"/>
              <w:rPr>
                <w:rFonts w:hint="eastAsia" w:ascii="仿宋" w:hAnsi="仿宋" w:eastAsia="仿宋" w:cs="仿宋"/>
                <w:color w:val="auto"/>
                <w:highlight w:val="none"/>
              </w:rPr>
            </w:pPr>
            <w:r>
              <w:rPr>
                <w:rFonts w:hint="eastAsia" w:ascii="仿宋" w:hAnsi="仿宋" w:eastAsia="仿宋" w:cs="仿宋"/>
                <w:color w:val="auto"/>
                <w:highlight w:val="none"/>
              </w:rPr>
              <w:t>履约保证金：合同总价的</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具体以签订合同为准</w:t>
            </w:r>
            <w:r>
              <w:rPr>
                <w:rFonts w:hint="eastAsia" w:ascii="仿宋" w:hAnsi="仿宋" w:eastAsia="仿宋" w:cs="仿宋"/>
                <w:color w:val="auto"/>
                <w:highlight w:val="none"/>
              </w:rPr>
              <w:t>）</w:t>
            </w:r>
          </w:p>
          <w:p w14:paraId="7398DEFE">
            <w:pPr>
              <w:pStyle w:val="2"/>
              <w:ind w:firstLine="0"/>
              <w:rPr>
                <w:rFonts w:hint="eastAsia" w:ascii="仿宋" w:hAnsi="仿宋" w:eastAsia="仿宋" w:cs="仿宋"/>
                <w:color w:val="auto"/>
                <w:highlight w:val="none"/>
              </w:rPr>
            </w:pPr>
            <w:r>
              <w:rPr>
                <w:rFonts w:hint="eastAsia" w:ascii="仿宋" w:hAnsi="仿宋" w:eastAsia="仿宋" w:cs="仿宋"/>
                <w:color w:val="auto"/>
                <w:highlight w:val="none"/>
              </w:rPr>
              <w:t>提交履约保证金的时间：签订合同</w:t>
            </w:r>
            <w:r>
              <w:rPr>
                <w:rFonts w:hint="eastAsia" w:ascii="仿宋" w:hAnsi="仿宋" w:eastAsia="仿宋" w:cs="仿宋"/>
                <w:color w:val="auto"/>
                <w:highlight w:val="none"/>
                <w:lang w:eastAsia="zh-CN"/>
              </w:rPr>
              <w:t>后及时</w:t>
            </w:r>
            <w:r>
              <w:rPr>
                <w:rFonts w:hint="eastAsia" w:ascii="仿宋" w:hAnsi="仿宋" w:eastAsia="仿宋" w:cs="仿宋"/>
                <w:color w:val="auto"/>
                <w:highlight w:val="none"/>
              </w:rPr>
              <w:t>打入甲方指定账户（</w:t>
            </w:r>
            <w:r>
              <w:rPr>
                <w:rFonts w:hint="eastAsia" w:ascii="仿宋" w:hAnsi="仿宋" w:eastAsia="仿宋" w:cs="仿宋"/>
                <w:color w:val="auto"/>
                <w:highlight w:val="none"/>
                <w:lang w:val="en-US" w:eastAsia="zh-CN"/>
              </w:rPr>
              <w:t>具体以签订合同为准</w:t>
            </w:r>
            <w:r>
              <w:rPr>
                <w:rFonts w:hint="eastAsia" w:ascii="仿宋" w:hAnsi="仿宋" w:eastAsia="仿宋" w:cs="仿宋"/>
                <w:color w:val="auto"/>
                <w:highlight w:val="none"/>
              </w:rPr>
              <w:t>）</w:t>
            </w:r>
          </w:p>
          <w:p w14:paraId="003F9130">
            <w:pPr>
              <w:spacing w:line="240" w:lineRule="atLeast"/>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履约保证金</w:t>
            </w:r>
            <w:r>
              <w:rPr>
                <w:rFonts w:hint="eastAsia" w:ascii="仿宋" w:hAnsi="仿宋" w:eastAsia="仿宋" w:cs="仿宋"/>
                <w:color w:val="auto"/>
                <w:sz w:val="24"/>
                <w:highlight w:val="none"/>
              </w:rPr>
              <w:t>形式：</w:t>
            </w:r>
            <w:r>
              <w:rPr>
                <w:rFonts w:hint="eastAsia" w:ascii="仿宋" w:hAnsi="仿宋" w:eastAsia="仿宋" w:cs="仿宋"/>
                <w:color w:val="auto"/>
                <w:sz w:val="24"/>
                <w:highlight w:val="none"/>
                <w:u w:val="single"/>
              </w:rPr>
              <w:t xml:space="preserve"> 保函、电汇、支票、对公转账 （政府采购法允许的其他形式）</w:t>
            </w:r>
          </w:p>
        </w:tc>
      </w:tr>
      <w:tr w14:paraId="4B184C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468" w:type="dxa"/>
            <w:vAlign w:val="center"/>
          </w:tcPr>
          <w:p w14:paraId="499AE7A9">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6840" w:type="dxa"/>
            <w:vAlign w:val="center"/>
          </w:tcPr>
          <w:p w14:paraId="4A204B57">
            <w:pPr>
              <w:spacing w:line="240" w:lineRule="atLeast"/>
              <w:rPr>
                <w:rFonts w:hint="eastAsia" w:ascii="仿宋" w:hAnsi="仿宋" w:eastAsia="仿宋" w:cs="仿宋"/>
                <w:color w:val="auto"/>
                <w:sz w:val="24"/>
                <w:lang w:eastAsia="zh-CN"/>
              </w:rPr>
            </w:pPr>
            <w:r>
              <w:rPr>
                <w:rFonts w:hint="eastAsia" w:ascii="仿宋" w:hAnsi="仿宋" w:eastAsia="仿宋" w:cs="仿宋"/>
                <w:sz w:val="24"/>
                <w:lang w:eastAsia="zh-CN"/>
              </w:rPr>
              <w:t>代理服务收费标准：</w:t>
            </w:r>
            <w:r>
              <w:rPr>
                <w:rFonts w:hint="eastAsia" w:ascii="仿宋" w:hAnsi="仿宋" w:eastAsia="仿宋" w:cs="仿宋"/>
                <w:color w:val="auto"/>
                <w:sz w:val="24"/>
                <w:lang w:eastAsia="zh-CN"/>
              </w:rPr>
              <w:t>根据（发改价格[2015]299号文件）采购代理机构依据招标代理协议等相关文件收取，</w:t>
            </w:r>
            <w:r>
              <w:rPr>
                <w:rFonts w:hint="eastAsia" w:ascii="仿宋" w:hAnsi="仿宋" w:eastAsia="仿宋" w:cs="仿宋"/>
                <w:color w:val="auto"/>
                <w:sz w:val="24"/>
                <w:lang w:val="en-US" w:eastAsia="zh-CN"/>
              </w:rPr>
              <w:t>50万元以下按1.5%收取，</w:t>
            </w:r>
            <w:r>
              <w:rPr>
                <w:rFonts w:hint="eastAsia" w:ascii="仿宋" w:hAnsi="仿宋" w:eastAsia="仿宋" w:cs="仿宋"/>
                <w:color w:val="auto"/>
                <w:sz w:val="24"/>
                <w:lang w:eastAsia="zh-CN"/>
              </w:rPr>
              <w:t>50万元-100万按1.</w:t>
            </w:r>
            <w:r>
              <w:rPr>
                <w:rFonts w:hint="eastAsia" w:ascii="仿宋" w:hAnsi="仿宋" w:eastAsia="仿宋" w:cs="仿宋"/>
                <w:color w:val="auto"/>
                <w:sz w:val="24"/>
                <w:lang w:val="en-US" w:eastAsia="zh-CN"/>
              </w:rPr>
              <w:t>3</w:t>
            </w:r>
            <w:r>
              <w:rPr>
                <w:rFonts w:hint="eastAsia" w:ascii="仿宋" w:hAnsi="仿宋" w:eastAsia="仿宋" w:cs="仿宋"/>
                <w:color w:val="auto"/>
                <w:sz w:val="24"/>
                <w:lang w:eastAsia="zh-CN"/>
              </w:rPr>
              <w:t>%收取，100万-300万按</w:t>
            </w:r>
            <w:r>
              <w:rPr>
                <w:rFonts w:hint="eastAsia" w:ascii="仿宋" w:hAnsi="仿宋" w:eastAsia="仿宋" w:cs="仿宋"/>
                <w:color w:val="auto"/>
                <w:sz w:val="24"/>
                <w:lang w:val="en-US" w:eastAsia="zh-CN"/>
              </w:rPr>
              <w:t>1.1</w:t>
            </w:r>
            <w:r>
              <w:rPr>
                <w:rFonts w:hint="eastAsia" w:ascii="仿宋" w:hAnsi="仿宋" w:eastAsia="仿宋" w:cs="仿宋"/>
                <w:color w:val="auto"/>
                <w:sz w:val="24"/>
                <w:lang w:eastAsia="zh-CN"/>
              </w:rPr>
              <w:t>%收取，300万元-500万元按</w:t>
            </w:r>
            <w:r>
              <w:rPr>
                <w:rFonts w:hint="eastAsia" w:ascii="仿宋" w:hAnsi="仿宋" w:eastAsia="仿宋" w:cs="仿宋"/>
                <w:color w:val="auto"/>
                <w:sz w:val="24"/>
                <w:lang w:val="en-US" w:eastAsia="zh-CN"/>
              </w:rPr>
              <w:t>0.9</w:t>
            </w:r>
            <w:r>
              <w:rPr>
                <w:rFonts w:hint="eastAsia" w:ascii="仿宋" w:hAnsi="仿宋" w:eastAsia="仿宋" w:cs="仿宋"/>
                <w:color w:val="auto"/>
                <w:sz w:val="24"/>
                <w:lang w:eastAsia="zh-CN"/>
              </w:rPr>
              <w:t>%收取，500万元-1000万元按0.8%收取。在中标通知书核发的同时，中标供应商应当向采购代理机构一次性付清采购代理服务费。</w:t>
            </w:r>
            <w:bookmarkStart w:id="574" w:name="_GoBack"/>
            <w:bookmarkEnd w:id="574"/>
          </w:p>
          <w:p w14:paraId="07D89226">
            <w:pPr>
              <w:spacing w:line="240" w:lineRule="atLeast"/>
              <w:rPr>
                <w:rFonts w:hint="eastAsia" w:ascii="仿宋" w:hAnsi="仿宋" w:eastAsia="仿宋" w:cs="仿宋"/>
                <w:sz w:val="24"/>
                <w:lang w:eastAsia="zh-CN"/>
              </w:rPr>
            </w:pPr>
            <w:r>
              <w:rPr>
                <w:rFonts w:hint="eastAsia" w:ascii="仿宋" w:hAnsi="仿宋" w:eastAsia="仿宋" w:cs="仿宋"/>
                <w:sz w:val="24"/>
                <w:lang w:eastAsia="zh-CN"/>
              </w:rPr>
              <w:t xml:space="preserve">支付形式： 对公转账  </w:t>
            </w:r>
          </w:p>
          <w:p w14:paraId="532CFFD9">
            <w:pPr>
              <w:pStyle w:val="2"/>
              <w:ind w:firstLine="0"/>
              <w:rPr>
                <w:rFonts w:hint="eastAsia" w:ascii="仿宋" w:hAnsi="仿宋" w:eastAsia="仿宋" w:cs="仿宋"/>
                <w:color w:val="auto"/>
                <w:sz w:val="24"/>
                <w:highlight w:val="none"/>
              </w:rPr>
            </w:pPr>
            <w:r>
              <w:rPr>
                <w:rFonts w:hint="eastAsia" w:ascii="仿宋" w:hAnsi="仿宋" w:eastAsia="仿宋" w:cs="仿宋"/>
                <w:sz w:val="24"/>
                <w:lang w:eastAsia="zh-CN"/>
              </w:rPr>
              <w:t xml:space="preserve">支付时间：领取中标通知书时 </w:t>
            </w:r>
          </w:p>
        </w:tc>
      </w:tr>
      <w:tr w14:paraId="530DA2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1468" w:type="dxa"/>
            <w:vAlign w:val="center"/>
          </w:tcPr>
          <w:p w14:paraId="3DE4783B">
            <w:pPr>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6840" w:type="dxa"/>
            <w:vAlign w:val="center"/>
          </w:tcPr>
          <w:p w14:paraId="3A3E1632">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本项目是否属于信用担保试点范围：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否</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i/>
                <w:color w:val="auto"/>
                <w:sz w:val="24"/>
                <w:highlight w:val="none"/>
              </w:rPr>
              <w:t>（是、否）</w:t>
            </w:r>
          </w:p>
        </w:tc>
      </w:tr>
      <w:tr w14:paraId="3DB4B7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1468" w:type="dxa"/>
            <w:vAlign w:val="center"/>
          </w:tcPr>
          <w:p w14:paraId="47242C3E">
            <w:pPr>
              <w:spacing w:line="240" w:lineRule="atLeast"/>
              <w:ind w:left="1080" w:leftChars="257" w:hanging="54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20.5</w:t>
            </w:r>
          </w:p>
        </w:tc>
        <w:tc>
          <w:tcPr>
            <w:tcW w:w="6840" w:type="dxa"/>
            <w:vAlign w:val="center"/>
          </w:tcPr>
          <w:p w14:paraId="295E775F">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b/>
                <w:bCs/>
                <w:color w:val="auto"/>
                <w:sz w:val="24"/>
                <w:szCs w:val="24"/>
                <w:highlight w:val="none"/>
              </w:rPr>
              <w:t>核心产品：</w:t>
            </w:r>
            <w:r>
              <w:rPr>
                <w:rFonts w:hint="eastAsia" w:ascii="仿宋" w:hAnsi="仿宋" w:eastAsia="仿宋" w:cs="仿宋"/>
                <w:b w:val="0"/>
                <w:bCs w:val="0"/>
                <w:color w:val="auto"/>
                <w:sz w:val="24"/>
                <w:szCs w:val="24"/>
                <w:highlight w:val="none"/>
              </w:rPr>
              <w:t>低氟砖茶</w:t>
            </w:r>
          </w:p>
        </w:tc>
      </w:tr>
      <w:tr w14:paraId="0733C0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8308" w:type="dxa"/>
            <w:gridSpan w:val="2"/>
            <w:vAlign w:val="center"/>
          </w:tcPr>
          <w:p w14:paraId="638DF62A">
            <w:pPr>
              <w:pStyle w:val="2"/>
              <w:rPr>
                <w:rFonts w:hint="eastAsia" w:ascii="仿宋" w:hAnsi="仿宋" w:eastAsia="仿宋" w:cs="仿宋"/>
                <w:color w:val="auto"/>
                <w:highlight w:val="none"/>
                <w:lang w:eastAsia="zh-CN"/>
              </w:rPr>
            </w:pPr>
            <w:r>
              <w:rPr>
                <w:rFonts w:hint="eastAsia" w:ascii="仿宋" w:hAnsi="仿宋" w:eastAsia="仿宋" w:cs="仿宋"/>
                <w:b/>
                <w:bCs/>
                <w:color w:val="auto"/>
                <w:sz w:val="24"/>
                <w:highlight w:val="none"/>
              </w:rPr>
              <w:t>适用于本</w:t>
            </w:r>
            <w:r>
              <w:rPr>
                <w:rFonts w:hint="eastAsia" w:ascii="仿宋" w:hAnsi="仿宋" w:eastAsia="仿宋" w:cs="仿宋"/>
                <w:b/>
                <w:bCs/>
                <w:color w:val="auto"/>
                <w:sz w:val="24"/>
                <w:highlight w:val="none"/>
                <w:lang w:eastAsia="zh-CN"/>
              </w:rPr>
              <w:t>供应商</w:t>
            </w:r>
            <w:r>
              <w:rPr>
                <w:rFonts w:hint="eastAsia" w:ascii="仿宋" w:hAnsi="仿宋" w:eastAsia="仿宋" w:cs="仿宋"/>
                <w:b/>
                <w:bCs/>
                <w:color w:val="auto"/>
                <w:sz w:val="24"/>
                <w:highlight w:val="none"/>
              </w:rPr>
              <w:t>须知的额外增加的变动：</w:t>
            </w:r>
          </w:p>
        </w:tc>
      </w:tr>
      <w:tr w14:paraId="0FBF8D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1468" w:type="dxa"/>
            <w:vAlign w:val="center"/>
          </w:tcPr>
          <w:p w14:paraId="55AC8450">
            <w:pPr>
              <w:spacing w:line="240" w:lineRule="auto"/>
              <w:ind w:left="1080" w:leftChars="257" w:hanging="54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6840" w:type="dxa"/>
            <w:vAlign w:val="center"/>
          </w:tcPr>
          <w:p w14:paraId="3E169D1D">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严禁恶意竞标，必须保证所投产品达到甲方要求</w:t>
            </w:r>
            <w:r>
              <w:rPr>
                <w:rFonts w:hint="eastAsia" w:ascii="仿宋" w:hAnsi="仿宋" w:eastAsia="仿宋" w:cs="仿宋"/>
                <w:color w:val="auto"/>
                <w:sz w:val="24"/>
                <w:highlight w:val="none"/>
                <w:lang w:eastAsia="zh-CN"/>
              </w:rPr>
              <w:t>。</w:t>
            </w:r>
          </w:p>
          <w:p w14:paraId="19131D06">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中标后，中标人向采购人提供的产品与</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文件中技术参数不一致的，采购人有权拒收，期间所产生的任何费用由中标人承担。</w:t>
            </w:r>
          </w:p>
        </w:tc>
      </w:tr>
      <w:tr w14:paraId="39E688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1468" w:type="dxa"/>
            <w:vAlign w:val="center"/>
          </w:tcPr>
          <w:p w14:paraId="0786EC76">
            <w:pPr>
              <w:spacing w:line="240" w:lineRule="auto"/>
              <w:ind w:left="1080" w:leftChars="257" w:hanging="54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6840" w:type="dxa"/>
            <w:vAlign w:val="center"/>
          </w:tcPr>
          <w:p w14:paraId="2142DBA1">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低于成本价不正当竞争预防措施：</w:t>
            </w:r>
          </w:p>
          <w:p w14:paraId="4B05C2F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根据“财政部87号令《政府采购货物服务招标投标管理办法》”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27710774">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763D1AC3">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14:paraId="0AB752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1468" w:type="dxa"/>
            <w:vAlign w:val="center"/>
          </w:tcPr>
          <w:p w14:paraId="3979C442">
            <w:pPr>
              <w:spacing w:line="240" w:lineRule="auto"/>
              <w:ind w:left="1080" w:leftChars="257" w:hanging="54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6840" w:type="dxa"/>
            <w:vAlign w:val="center"/>
          </w:tcPr>
          <w:p w14:paraId="4C703F30">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①促进中小企业发展政策：根据《政府采购促进中小企业发展管理办法》规定，本项目供应商提供的中小企业声明函中制造商或生产企业报价产品为小型或微型企业生产的，将对该报价产品的评审报价给予 10%的扣除。投标人应当出具招标文件中要求的《中小企业声明函》，否则评审时不予认可。投标人应对提交的中小企业声明函的真实性负责，提交的中小企业声明函不真实的，应承担相应的法律责任。</w:t>
            </w:r>
          </w:p>
          <w:p w14:paraId="6F7950D8">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②监狱企业扶持政策：供应商如为监狱企业将视同小型或微型企业，且报价产品为小型或微型企业生产的，将对该产品的评审报价给予10%的扣除。供应商为监狱企业的，应提供由省级以上监狱管理局、戒毒管理局（含新疆生产建设兵团）出具的属于监狱企业的证明文件或声明函。供应商应对提交属于监狱企业的证明文件的真实性负责，提交的监狱企业的证明文件不真实的，应承担相应的法律责任。</w:t>
            </w:r>
          </w:p>
          <w:p w14:paraId="6872419D">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③残疾人福利性单位视同小型、微型企业。不重复享受政策。</w:t>
            </w:r>
          </w:p>
        </w:tc>
      </w:tr>
      <w:tr w14:paraId="043547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91" w:hRule="atLeast"/>
        </w:trPr>
        <w:tc>
          <w:tcPr>
            <w:tcW w:w="8308" w:type="dxa"/>
            <w:gridSpan w:val="2"/>
            <w:vAlign w:val="center"/>
          </w:tcPr>
          <w:p w14:paraId="6DEE753C">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kern w:val="0"/>
                <w:sz w:val="24"/>
                <w:szCs w:val="24"/>
                <w:highlight w:val="none"/>
                <w:lang w:val="en-US" w:eastAsia="zh-CN" w:bidi="ar"/>
              </w:rPr>
              <w:t>注：响应文件中有弄虚作假的内容，供应商需承担不利后果。（如假证书、假业绩、隐瞒不良行为记录、夸大荣誉、使用非本单位在职员工的相关证件及不符合谈判文件规定的条款等）；在签订合同之前，采购单位如发现成交供应商的响应文件有弄虚作假内容，采购单位可能拒绝与其签订合同，谈判保证金不予退还，并将其列入政府采购黑名单库。</w:t>
            </w:r>
          </w:p>
        </w:tc>
      </w:tr>
      <w:tr w14:paraId="4ED398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trPr>
        <w:tc>
          <w:tcPr>
            <w:tcW w:w="1468" w:type="dxa"/>
            <w:vAlign w:val="center"/>
          </w:tcPr>
          <w:p w14:paraId="57965F24">
            <w:pPr>
              <w:keepNext w:val="0"/>
              <w:keepLines w:val="0"/>
              <w:widowControl/>
              <w:suppressLineNumbers w:val="0"/>
              <w:jc w:val="center"/>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中小企业划型标准规定</w:t>
            </w:r>
          </w:p>
          <w:p w14:paraId="5CD7259E">
            <w:pPr>
              <w:spacing w:line="240" w:lineRule="auto"/>
              <w:ind w:left="1080" w:leftChars="257" w:hanging="540" w:firstLineChars="0"/>
              <w:rPr>
                <w:rFonts w:hint="eastAsia" w:ascii="仿宋" w:hAnsi="仿宋" w:eastAsia="仿宋" w:cs="仿宋"/>
                <w:color w:val="auto"/>
                <w:sz w:val="24"/>
                <w:highlight w:val="none"/>
                <w:lang w:val="en-US" w:eastAsia="zh-CN"/>
              </w:rPr>
            </w:pPr>
          </w:p>
        </w:tc>
        <w:tc>
          <w:tcPr>
            <w:tcW w:w="6840" w:type="dxa"/>
            <w:vAlign w:val="center"/>
          </w:tcPr>
          <w:p w14:paraId="40ADD765">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一、根据《中华人民共和国中小企业促进法》和《国务院关于进一步促进中小企业发展的若干意见》(（国发〔2009〕[2009]36 号)，制定本规定。 </w:t>
            </w:r>
          </w:p>
          <w:p w14:paraId="1EA36563">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二、中小企业划分为中型、小型、微型三种类型，具体标准根据企业从业人员、营业收入、资产总额等指标，结合行业特点制定。 </w:t>
            </w:r>
          </w:p>
          <w:p w14:paraId="4241698A">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6601CFA4">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四、各行业划型标准为： </w:t>
            </w:r>
          </w:p>
          <w:p w14:paraId="4D7BACB6">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（一）农、林、牧、渔业。营业收入 20000 万元以下的为中小微型企业。其中，营业收入 500 万元及以上的为中型企业，营业收入 50 万元及以上的为小型企业，营业收入 50 万元以下的为微型企业。 </w:t>
            </w:r>
          </w:p>
          <w:p w14:paraId="5D4AFCBD">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 </w:t>
            </w:r>
          </w:p>
          <w:p w14:paraId="7002EB58">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（三）建筑业。营业收入 80000 万元以下或资产总额 80000 万元以下的为中小微型企业。其中，营业收入 6000 万元及以上，且资产总额 5000万元及以上的为中型企业；营业收入 300 万元及以上，且资产总额 300万元及以上的为小型企业；营业收入 300 万元以下或资产总额 300 万元以下的为微型企业。 </w:t>
            </w:r>
          </w:p>
          <w:p w14:paraId="7A0F3A15">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（四）批发业。从业人员 200 人以下或营业收入 40000 万元以下的为中小微型企业。其中，从业人员 20 人及以上，且营业收入 5000 万元及以上的为中型企业；从业人员 5 人及以上，且营业收入 1000 万元及以上的为小型企业；从业人员 5 人以下或营业收入 1000 万元以下的为微型企业。 </w:t>
            </w:r>
          </w:p>
          <w:p w14:paraId="2C95F7BE">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（五）零售业。从业人员 300 人以下或营业收入 20000 万元以下的为中小微型企业。其中，从业人员 50 人及以上，且营业收入 500 万元及以上的为中型企业；从业人员 10 人及以上，且营业收入 100 万元及以上的为小型企业；从业人员 10 人以下或营业收入 100 万元以下的为微型企业。 </w:t>
            </w:r>
          </w:p>
          <w:p w14:paraId="0DACB32A">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 </w:t>
            </w:r>
          </w:p>
          <w:p w14:paraId="0CFCF86E">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（七）仓储业。从业人员 200 人以下或营业收入 30000 万元以下的为中小微型企业。其中，从业人员 100 人及以上，且营业收入 1000 万元及以上的为中型企业；从业人员 20 人及以上，且营业收入 100 万元及以上的为小型企业；从业人员 20 人以下或营业收入 100 万元以下的为微型企业。 </w:t>
            </w:r>
          </w:p>
          <w:p w14:paraId="45545EFD">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（八）邮政业。从业人员 1000 人以下或营业收入 30000 万元以下的为中小微型企业。其中，从业人员 300 人及以上，且营业收入 2000 万元及以上的为中型企业；从业人员 20 人及以上，且营业收入 100 万元及以上的为小型企业；从业人员 20 人以下或营业收入 100 万元以下的为微型企业。 </w:t>
            </w:r>
          </w:p>
          <w:p w14:paraId="3BCE5650">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（九）住宿业。从业人员 300 人以下或营业收入 10000 万元以下的为中小微型企业。其中，从业人员 100 人及以上，且营业收入 2000 万元及以上的为中型企业；从业人员 10 人及以上，且营业收入 100 万元及以上的为小型企业；从业人员 10 人以下或营业收入 100 万元以下的为微型企业。 </w:t>
            </w:r>
          </w:p>
          <w:p w14:paraId="77D053D1">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（十）餐饮业。从业人员 300 人以下或营业收入 10000 万元以下的为中小微型企业。其中，从业人员 100 人及以上，且营业收入 2000 万元及以上的为中型企业；从业人员 10 人及以上，且营业收入 100 万元及以上的为小型企业；从业人员 10 人以下或营业收入 100 万元以下的为微型企业。 </w:t>
            </w:r>
          </w:p>
          <w:p w14:paraId="0730D4B8">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18"/>
                <w:szCs w:val="18"/>
                <w:highlight w:val="none"/>
                <w:lang w:val="en-US" w:eastAsia="zh-CN" w:bidi="ar"/>
              </w:rPr>
              <w:t>58</w:t>
            </w:r>
            <w:r>
              <w:rPr>
                <w:rFonts w:hint="eastAsia" w:ascii="仿宋" w:hAnsi="仿宋" w:eastAsia="仿宋" w:cs="仿宋"/>
                <w:color w:val="auto"/>
                <w:kern w:val="0"/>
                <w:sz w:val="24"/>
                <w:szCs w:val="24"/>
                <w:highlight w:val="none"/>
                <w:lang w:val="en-US" w:eastAsia="zh-CN" w:bidi="ar"/>
              </w:rPr>
              <w:t xml:space="preserve">（十一）信息传输业。从业人员 2000 人以下或营业收入 100000 万元以下的为中小微型企业。其中，从业人员 100 人及以上，且营业收入 1000万元及以上的为中型企业；从业人员 10 人及以上，且营业收入 100 万元及以上的为小型企业；从业人员 10 人以下或营业收入 100 万元以下的为微型企业。 </w:t>
            </w:r>
          </w:p>
          <w:p w14:paraId="55A6F7A7">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（十二）软件和信息技术服务业。从业人员300人以下或营业收入10000万元以下的为中小微型企业。其中，从业人员 100 人及以上，且营业收入 1000 万元及以上的为中型企业；从业人员 10 人及以上，且营业收入50 万元及以上的为小型企业；从业人员 10 人以下或营业收入 50 万元以下的为微型企业。 </w:t>
            </w:r>
          </w:p>
          <w:p w14:paraId="78A57609">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（十三）房地产开发经营。营业收入 200000 万元以下或资产总额 10000万元以下的为中小微型企业。其中，营业收入 1000 万元及以上，且资产总额 5000 万元及以上的为中型企业；营业收入 100 万元及以上，且资产总额 2000 万元及以上的为小型企业；营业收入 100 万元以下或资产总额2000 万元以下的为微型企业。 </w:t>
            </w:r>
          </w:p>
          <w:p w14:paraId="5BD9B39D">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（十四）物业管理。从业人员 1000 人以下或营业收入 5000 万元以下的为中小微型企业。其中，从业人员 300 人及以上，且营业收入 1000 万元及以上的为中型企业；从业人员 100 人及以上，且营业收入 500 万元及以上的为小型企业；从业人员 100 人以下或营业收入 500 万元以下的为微型企业。 </w:t>
            </w:r>
          </w:p>
          <w:p w14:paraId="0766FB35">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（十五）租赁和商务服务业。从业人员 300 人以下或资产总额 120000万元以下的为中小微型企业。其中，从业人员 100 人及以上，且资产总额 8000 万元及以上的为中型企业；从业人员 10 人及以上，且资产总额100 万元及以上的为小型企业；从业人员 10 人以下或资产总额 100 万元以下的为微型企业。 </w:t>
            </w:r>
          </w:p>
          <w:p w14:paraId="740C5FBC">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（十六）其他未列明行业。从业人员 300 人以下的为中小微型企业。其中，从业人员 100 人及以上的为中型企业；从业人员 10 人及以上的为小型企业；从业人员 10 人以下的为微型企业。 </w:t>
            </w:r>
          </w:p>
          <w:p w14:paraId="4C33E32A">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五、企业类型的划分以统计部门的统计数据为依据。 </w:t>
            </w:r>
          </w:p>
          <w:p w14:paraId="2F4B5364">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六、本规定适用于在中华人民共和国境内依法设立的各类所有制和各种组织形式的企业。个体工商户和本规定以外的行业，参照本规定进行划型。 </w:t>
            </w:r>
          </w:p>
          <w:p w14:paraId="5B58A900">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七、本规定的中型企业标准上限即为大型企业标准的下限，国家统计部门据此制定大中小微型企业的统计分类。国务院有关部门据此进行相关数据分析，不得制定与本规定不一致的企业划型标准。 </w:t>
            </w:r>
          </w:p>
          <w:p w14:paraId="44A164D7">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八、本规定由工业和信息化部、国家统计局会同有关部门根据《国民经济行业分类》修订情况和企业发展变化情况适时修订。 </w:t>
            </w:r>
          </w:p>
          <w:p w14:paraId="3E52D6B5">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九、本规定由工业和信息化部、国家统计局会同有关部门负责解释。 </w:t>
            </w:r>
          </w:p>
          <w:p w14:paraId="08C74B3A">
            <w:pPr>
              <w:spacing w:line="360" w:lineRule="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十、本规定自发布之日起执行，原国家经贸委、原国家计委、财政部和国家统计局 2003 年颁布的《中小企业标准暂行规定》同时废止。</w:t>
            </w:r>
          </w:p>
          <w:p w14:paraId="15403EAB">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本项目采购标的所属行业：工业</w:t>
            </w:r>
          </w:p>
        </w:tc>
      </w:tr>
    </w:tbl>
    <w:p w14:paraId="4C054BDB">
      <w:pPr>
        <w:pStyle w:val="37"/>
        <w:ind w:firstLine="0" w:firstLineChars="0"/>
        <w:jc w:val="center"/>
        <w:rPr>
          <w:rFonts w:hint="eastAsia" w:ascii="仿宋" w:hAnsi="仿宋" w:eastAsia="仿宋" w:cs="仿宋"/>
          <w:b/>
          <w:color w:val="auto"/>
          <w:kern w:val="0"/>
          <w:szCs w:val="24"/>
          <w:highlight w:val="none"/>
        </w:rPr>
        <w:sectPr>
          <w:headerReference r:id="rId10" w:type="default"/>
          <w:footerReference r:id="rId11"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5EA6741B">
      <w:pPr>
        <w:pStyle w:val="37"/>
        <w:ind w:firstLine="0" w:firstLineChars="0"/>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资格审查表</w:t>
      </w:r>
    </w:p>
    <w:tbl>
      <w:tblPr>
        <w:tblStyle w:val="39"/>
        <w:tblpPr w:leftFromText="180" w:rightFromText="180" w:vertAnchor="text" w:horzAnchor="page" w:tblpX="571" w:tblpY="431"/>
        <w:tblOverlap w:val="never"/>
        <w:tblW w:w="15641" w:type="dxa"/>
        <w:tblInd w:w="0" w:type="dxa"/>
        <w:tblLayout w:type="fixed"/>
        <w:tblCellMar>
          <w:top w:w="0" w:type="dxa"/>
          <w:left w:w="108" w:type="dxa"/>
          <w:bottom w:w="0" w:type="dxa"/>
          <w:right w:w="108" w:type="dxa"/>
        </w:tblCellMar>
      </w:tblPr>
      <w:tblGrid>
        <w:gridCol w:w="614"/>
        <w:gridCol w:w="900"/>
        <w:gridCol w:w="1090"/>
        <w:gridCol w:w="1773"/>
        <w:gridCol w:w="4173"/>
        <w:gridCol w:w="1364"/>
        <w:gridCol w:w="1172"/>
        <w:gridCol w:w="1118"/>
        <w:gridCol w:w="1023"/>
        <w:gridCol w:w="1691"/>
        <w:gridCol w:w="723"/>
      </w:tblGrid>
      <w:tr w14:paraId="3BD707CE">
        <w:tblPrEx>
          <w:tblCellMar>
            <w:top w:w="0" w:type="dxa"/>
            <w:left w:w="108" w:type="dxa"/>
            <w:bottom w:w="0" w:type="dxa"/>
            <w:right w:w="108" w:type="dxa"/>
          </w:tblCellMar>
        </w:tblPrEx>
        <w:trPr>
          <w:trHeight w:val="314" w:hRule="atLeast"/>
        </w:trPr>
        <w:tc>
          <w:tcPr>
            <w:tcW w:w="614" w:type="dxa"/>
            <w:vMerge w:val="restart"/>
            <w:tcBorders>
              <w:top w:val="single" w:color="auto" w:sz="4" w:space="0"/>
              <w:left w:val="single" w:color="auto" w:sz="4" w:space="0"/>
              <w:right w:val="single" w:color="auto" w:sz="4" w:space="0"/>
            </w:tcBorders>
            <w:vAlign w:val="center"/>
          </w:tcPr>
          <w:p w14:paraId="705F7FC2">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投标人名称</w:t>
            </w:r>
          </w:p>
        </w:tc>
        <w:tc>
          <w:tcPr>
            <w:tcW w:w="14304" w:type="dxa"/>
            <w:gridSpan w:val="9"/>
            <w:tcBorders>
              <w:top w:val="single" w:color="auto" w:sz="4" w:space="0"/>
              <w:left w:val="nil"/>
              <w:bottom w:val="single" w:color="auto" w:sz="4" w:space="0"/>
              <w:right w:val="single" w:color="auto" w:sz="4" w:space="0"/>
            </w:tcBorders>
            <w:vAlign w:val="center"/>
          </w:tcPr>
          <w:p w14:paraId="15DC06FD">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审查项目</w:t>
            </w:r>
          </w:p>
        </w:tc>
        <w:tc>
          <w:tcPr>
            <w:tcW w:w="723" w:type="dxa"/>
            <w:tcBorders>
              <w:top w:val="single" w:color="auto" w:sz="4" w:space="0"/>
              <w:left w:val="nil"/>
              <w:bottom w:val="single" w:color="auto" w:sz="4" w:space="0"/>
              <w:right w:val="single" w:color="auto" w:sz="4" w:space="0"/>
            </w:tcBorders>
            <w:vAlign w:val="center"/>
          </w:tcPr>
          <w:p w14:paraId="4AAA33EF">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结论</w:t>
            </w:r>
          </w:p>
        </w:tc>
      </w:tr>
      <w:tr w14:paraId="72989604">
        <w:tblPrEx>
          <w:tblCellMar>
            <w:top w:w="0" w:type="dxa"/>
            <w:left w:w="108" w:type="dxa"/>
            <w:bottom w:w="0" w:type="dxa"/>
            <w:right w:w="108" w:type="dxa"/>
          </w:tblCellMar>
        </w:tblPrEx>
        <w:trPr>
          <w:trHeight w:val="3314" w:hRule="atLeast"/>
        </w:trPr>
        <w:tc>
          <w:tcPr>
            <w:tcW w:w="614" w:type="dxa"/>
            <w:vMerge w:val="continue"/>
            <w:tcBorders>
              <w:left w:val="single" w:color="auto" w:sz="4" w:space="0"/>
              <w:right w:val="single" w:color="auto" w:sz="4" w:space="0"/>
            </w:tcBorders>
            <w:vAlign w:val="center"/>
          </w:tcPr>
          <w:p w14:paraId="414D4C61">
            <w:pPr>
              <w:spacing w:line="420" w:lineRule="exact"/>
              <w:jc w:val="left"/>
              <w:rPr>
                <w:rFonts w:hint="eastAsia" w:ascii="仿宋" w:hAnsi="仿宋" w:eastAsia="仿宋" w:cs="仿宋"/>
                <w:color w:val="000000"/>
                <w:kern w:val="0"/>
                <w:szCs w:val="21"/>
                <w:lang w:val="en-US" w:eastAsia="zh-CN"/>
              </w:rPr>
            </w:pPr>
          </w:p>
        </w:tc>
        <w:tc>
          <w:tcPr>
            <w:tcW w:w="900" w:type="dxa"/>
            <w:tcBorders>
              <w:top w:val="single" w:color="auto" w:sz="4" w:space="0"/>
              <w:left w:val="single" w:color="auto" w:sz="4" w:space="0"/>
              <w:bottom w:val="single" w:color="auto" w:sz="4" w:space="0"/>
              <w:right w:val="single" w:color="auto" w:sz="4" w:space="0"/>
            </w:tcBorders>
            <w:vAlign w:val="center"/>
          </w:tcPr>
          <w:p w14:paraId="23050A4A">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具有独立法人资格（三证合一的营业执照）；</w:t>
            </w:r>
          </w:p>
        </w:tc>
        <w:tc>
          <w:tcPr>
            <w:tcW w:w="1090" w:type="dxa"/>
            <w:tcBorders>
              <w:top w:val="single" w:color="auto" w:sz="4" w:space="0"/>
              <w:left w:val="single" w:color="auto" w:sz="4" w:space="0"/>
              <w:bottom w:val="single" w:color="auto" w:sz="4" w:space="0"/>
              <w:right w:val="single" w:color="auto" w:sz="4" w:space="0"/>
            </w:tcBorders>
            <w:vAlign w:val="center"/>
          </w:tcPr>
          <w:p w14:paraId="7191299D">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法人代表资格证明书及授权书、被授权人身份证(法人投标具备法人身份证及法人代表资格证明书)；</w:t>
            </w:r>
          </w:p>
        </w:tc>
        <w:tc>
          <w:tcPr>
            <w:tcW w:w="1773" w:type="dxa"/>
            <w:tcBorders>
              <w:top w:val="single" w:color="auto" w:sz="4" w:space="0"/>
              <w:left w:val="single" w:color="auto" w:sz="4" w:space="0"/>
              <w:bottom w:val="single" w:color="auto" w:sz="4" w:space="0"/>
              <w:right w:val="single" w:color="auto" w:sz="4" w:space="0"/>
            </w:tcBorders>
            <w:vAlign w:val="center"/>
          </w:tcPr>
          <w:p w14:paraId="3D020C39">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被授权委托人参与投标需提供在本单位缴纳连续近三个月内任意一个月的社保证明（单位社保缴费凭证和个人明细表）；法定代表人参与投标需提供本单位社保缴费凭证；</w:t>
            </w:r>
          </w:p>
        </w:tc>
        <w:tc>
          <w:tcPr>
            <w:tcW w:w="4173" w:type="dxa"/>
            <w:tcBorders>
              <w:top w:val="single" w:color="auto" w:sz="4" w:space="0"/>
              <w:left w:val="single" w:color="auto" w:sz="4" w:space="0"/>
              <w:bottom w:val="single" w:color="auto" w:sz="4" w:space="0"/>
              <w:right w:val="single" w:color="auto" w:sz="4" w:space="0"/>
            </w:tcBorders>
            <w:vAlign w:val="center"/>
          </w:tcPr>
          <w:p w14:paraId="69E03A46">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凡拟参加本次招标项目的投标人，如在中国政府采购网（www.ccgp.gov.cn）、国家企业信用信息公示系统平台被列入政府采购严重违法失信行为记录名单、“信用中国 ”网站（www.creditchina.gov.cn）被列入失信被执行人、重大税收违法案件当事人名单、经营异常名录，以及存在《中华人民共和国政府采购法 实施条例》第十九条规定的行政处罚记录的，将被认定为投标无效。（须提供本 条款明确的网站查询截屏或导出的证明性材料，并加盖公章，查询时间为公告发 布之日起至投标截止时间止）；</w:t>
            </w:r>
          </w:p>
        </w:tc>
        <w:tc>
          <w:tcPr>
            <w:tcW w:w="1364" w:type="dxa"/>
            <w:tcBorders>
              <w:top w:val="single" w:color="auto" w:sz="4" w:space="0"/>
              <w:left w:val="single" w:color="auto" w:sz="4" w:space="0"/>
              <w:bottom w:val="single" w:color="auto" w:sz="4" w:space="0"/>
              <w:right w:val="single" w:color="auto" w:sz="4" w:space="0"/>
            </w:tcBorders>
            <w:vAlign w:val="center"/>
          </w:tcPr>
          <w:p w14:paraId="06F24210">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提供2023年或2024年的财务审计报告与健全的财务会计制度（新成立的公司近三个月内的银行资信证明与健全的财务会计制度）；</w:t>
            </w:r>
          </w:p>
        </w:tc>
        <w:tc>
          <w:tcPr>
            <w:tcW w:w="1172" w:type="dxa"/>
            <w:tcBorders>
              <w:top w:val="single" w:color="auto" w:sz="4" w:space="0"/>
              <w:left w:val="single" w:color="auto" w:sz="4" w:space="0"/>
              <w:bottom w:val="single" w:color="auto" w:sz="4" w:space="0"/>
              <w:right w:val="single" w:color="auto" w:sz="4" w:space="0"/>
            </w:tcBorders>
            <w:vAlign w:val="center"/>
          </w:tcPr>
          <w:p w14:paraId="5076B1F0">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税务部门出具的连续近三个月内任意一个月的完税证明（零申报需加盖税 务机关章）；</w:t>
            </w:r>
          </w:p>
        </w:tc>
        <w:tc>
          <w:tcPr>
            <w:tcW w:w="1118" w:type="dxa"/>
            <w:tcBorders>
              <w:top w:val="single" w:color="auto" w:sz="4" w:space="0"/>
              <w:left w:val="single" w:color="auto" w:sz="4" w:space="0"/>
              <w:bottom w:val="single" w:color="auto" w:sz="4" w:space="0"/>
              <w:right w:val="single" w:color="auto" w:sz="4" w:space="0"/>
            </w:tcBorders>
            <w:vAlign w:val="center"/>
          </w:tcPr>
          <w:p w14:paraId="7979AF28">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参加政府采购活动前3年内在经营活动中没有重大违法记录的书面声明；</w:t>
            </w:r>
          </w:p>
        </w:tc>
        <w:tc>
          <w:tcPr>
            <w:tcW w:w="1023" w:type="dxa"/>
            <w:tcBorders>
              <w:top w:val="single" w:color="auto" w:sz="4" w:space="0"/>
              <w:left w:val="single" w:color="auto" w:sz="4" w:space="0"/>
              <w:bottom w:val="single" w:color="auto" w:sz="4" w:space="0"/>
              <w:right w:val="single" w:color="auto" w:sz="4" w:space="0"/>
            </w:tcBorders>
            <w:vAlign w:val="center"/>
          </w:tcPr>
          <w:p w14:paraId="30A4C36B">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投标单位（供应商）针对本次项目《反商业贿赂承诺书》；</w:t>
            </w:r>
          </w:p>
        </w:tc>
        <w:tc>
          <w:tcPr>
            <w:tcW w:w="1691" w:type="dxa"/>
            <w:tcBorders>
              <w:top w:val="single" w:color="auto" w:sz="4" w:space="0"/>
              <w:left w:val="single" w:color="auto" w:sz="4" w:space="0"/>
              <w:bottom w:val="single" w:color="auto" w:sz="4" w:space="0"/>
              <w:right w:val="single" w:color="auto" w:sz="4" w:space="0"/>
            </w:tcBorders>
            <w:vAlign w:val="center"/>
          </w:tcPr>
          <w:p w14:paraId="0979CAEC">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供应商为厂家的需具备食品生产许可证，供应商为经销商的需具备食品经营许可证或仅销售预包装食品备案表。</w:t>
            </w:r>
          </w:p>
        </w:tc>
        <w:tc>
          <w:tcPr>
            <w:tcW w:w="723" w:type="dxa"/>
            <w:tcBorders>
              <w:top w:val="single" w:color="auto" w:sz="4" w:space="0"/>
              <w:left w:val="single" w:color="auto" w:sz="4" w:space="0"/>
              <w:bottom w:val="single" w:color="auto" w:sz="4" w:space="0"/>
              <w:right w:val="single" w:color="auto" w:sz="4" w:space="0"/>
            </w:tcBorders>
            <w:vAlign w:val="center"/>
          </w:tcPr>
          <w:p w14:paraId="06E2D02B">
            <w:pPr>
              <w:spacing w:line="420" w:lineRule="exact"/>
              <w:jc w:val="center"/>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审</w:t>
            </w:r>
          </w:p>
          <w:p w14:paraId="352E441C">
            <w:pPr>
              <w:spacing w:line="420" w:lineRule="exact"/>
              <w:jc w:val="center"/>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核</w:t>
            </w:r>
          </w:p>
          <w:p w14:paraId="0665C23C">
            <w:pPr>
              <w:spacing w:line="420" w:lineRule="exact"/>
              <w:jc w:val="center"/>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结</w:t>
            </w:r>
          </w:p>
          <w:p w14:paraId="418EADFD">
            <w:pPr>
              <w:spacing w:line="4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果</w:t>
            </w:r>
          </w:p>
        </w:tc>
      </w:tr>
      <w:tr w14:paraId="21ACF362">
        <w:tblPrEx>
          <w:tblCellMar>
            <w:top w:w="0" w:type="dxa"/>
            <w:left w:w="108" w:type="dxa"/>
            <w:bottom w:w="0" w:type="dxa"/>
            <w:right w:w="108" w:type="dxa"/>
          </w:tblCellMar>
        </w:tblPrEx>
        <w:trPr>
          <w:trHeight w:val="114" w:hRule="atLeast"/>
        </w:trPr>
        <w:tc>
          <w:tcPr>
            <w:tcW w:w="614" w:type="dxa"/>
            <w:vMerge w:val="continue"/>
            <w:tcBorders>
              <w:left w:val="single" w:color="auto" w:sz="4" w:space="0"/>
              <w:bottom w:val="single" w:color="auto" w:sz="4" w:space="0"/>
              <w:right w:val="single" w:color="auto" w:sz="4" w:space="0"/>
            </w:tcBorders>
            <w:vAlign w:val="center"/>
          </w:tcPr>
          <w:p w14:paraId="06A533F0">
            <w:pPr>
              <w:spacing w:line="420" w:lineRule="exact"/>
              <w:jc w:val="left"/>
              <w:rPr>
                <w:rFonts w:hint="eastAsia" w:ascii="仿宋" w:hAnsi="仿宋" w:eastAsia="仿宋" w:cs="仿宋"/>
                <w:color w:val="000000"/>
                <w:kern w:val="0"/>
                <w:szCs w:val="21"/>
                <w:lang w:val="en-US" w:eastAsia="zh-CN"/>
              </w:rPr>
            </w:pPr>
          </w:p>
        </w:tc>
        <w:tc>
          <w:tcPr>
            <w:tcW w:w="1990" w:type="dxa"/>
            <w:gridSpan w:val="2"/>
            <w:tcBorders>
              <w:top w:val="single" w:color="auto" w:sz="4" w:space="0"/>
              <w:left w:val="nil"/>
              <w:bottom w:val="single" w:color="auto" w:sz="4" w:space="0"/>
              <w:right w:val="single" w:color="auto" w:sz="4" w:space="0"/>
            </w:tcBorders>
            <w:vAlign w:val="center"/>
          </w:tcPr>
          <w:p w14:paraId="1DD02EF8">
            <w:pPr>
              <w:spacing w:line="420" w:lineRule="exact"/>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本项目不接受联合体投标。 （格式自拟）</w:t>
            </w:r>
          </w:p>
        </w:tc>
        <w:tc>
          <w:tcPr>
            <w:tcW w:w="1773" w:type="dxa"/>
            <w:tcBorders>
              <w:top w:val="single" w:color="auto" w:sz="4" w:space="0"/>
              <w:left w:val="nil"/>
              <w:bottom w:val="single" w:color="auto" w:sz="4" w:space="0"/>
              <w:right w:val="single" w:color="auto" w:sz="4" w:space="0"/>
            </w:tcBorders>
            <w:vAlign w:val="center"/>
          </w:tcPr>
          <w:p w14:paraId="7B07620A">
            <w:pPr>
              <w:spacing w:line="420" w:lineRule="exact"/>
              <w:jc w:val="left"/>
              <w:rPr>
                <w:rFonts w:hint="eastAsia" w:ascii="仿宋" w:hAnsi="仿宋" w:eastAsia="仿宋" w:cs="仿宋"/>
                <w:color w:val="000000"/>
                <w:kern w:val="0"/>
                <w:szCs w:val="21"/>
                <w:lang w:val="en-US" w:eastAsia="zh-CN"/>
              </w:rPr>
            </w:pPr>
          </w:p>
        </w:tc>
        <w:tc>
          <w:tcPr>
            <w:tcW w:w="4173" w:type="dxa"/>
            <w:tcBorders>
              <w:top w:val="single" w:color="auto" w:sz="4" w:space="0"/>
              <w:left w:val="nil"/>
              <w:bottom w:val="single" w:color="auto" w:sz="4" w:space="0"/>
              <w:right w:val="single" w:color="auto" w:sz="4" w:space="0"/>
            </w:tcBorders>
            <w:vAlign w:val="center"/>
          </w:tcPr>
          <w:p w14:paraId="769CA9C6">
            <w:pPr>
              <w:spacing w:line="420" w:lineRule="exact"/>
              <w:jc w:val="left"/>
              <w:rPr>
                <w:rFonts w:hint="eastAsia" w:ascii="仿宋" w:hAnsi="仿宋" w:eastAsia="仿宋" w:cs="仿宋"/>
                <w:color w:val="000000"/>
                <w:kern w:val="0"/>
                <w:szCs w:val="21"/>
                <w:lang w:val="en-US" w:eastAsia="zh-CN"/>
              </w:rPr>
            </w:pPr>
          </w:p>
        </w:tc>
        <w:tc>
          <w:tcPr>
            <w:tcW w:w="1364" w:type="dxa"/>
            <w:tcBorders>
              <w:top w:val="single" w:color="auto" w:sz="4" w:space="0"/>
              <w:left w:val="single" w:color="auto" w:sz="4" w:space="0"/>
              <w:bottom w:val="single" w:color="auto" w:sz="4" w:space="0"/>
              <w:right w:val="single" w:color="auto" w:sz="4" w:space="0"/>
            </w:tcBorders>
            <w:vAlign w:val="center"/>
          </w:tcPr>
          <w:p w14:paraId="3DF05C12">
            <w:pPr>
              <w:spacing w:line="420" w:lineRule="exact"/>
              <w:jc w:val="left"/>
              <w:rPr>
                <w:rFonts w:hint="eastAsia" w:ascii="仿宋" w:hAnsi="仿宋" w:eastAsia="仿宋" w:cs="仿宋"/>
                <w:color w:val="000000"/>
                <w:kern w:val="0"/>
                <w:szCs w:val="21"/>
                <w:lang w:val="en-US" w:eastAsia="zh-CN"/>
              </w:rPr>
            </w:pPr>
          </w:p>
        </w:tc>
        <w:tc>
          <w:tcPr>
            <w:tcW w:w="1172" w:type="dxa"/>
            <w:tcBorders>
              <w:top w:val="single" w:color="auto" w:sz="4" w:space="0"/>
              <w:left w:val="nil"/>
              <w:bottom w:val="single" w:color="auto" w:sz="4" w:space="0"/>
              <w:right w:val="single" w:color="auto" w:sz="4" w:space="0"/>
            </w:tcBorders>
            <w:vAlign w:val="center"/>
          </w:tcPr>
          <w:p w14:paraId="564BDA05">
            <w:pPr>
              <w:spacing w:line="420" w:lineRule="exact"/>
              <w:jc w:val="left"/>
              <w:rPr>
                <w:rFonts w:hint="eastAsia" w:ascii="仿宋" w:hAnsi="仿宋" w:eastAsia="仿宋" w:cs="仿宋"/>
                <w:color w:val="000000"/>
                <w:kern w:val="0"/>
                <w:szCs w:val="21"/>
                <w:lang w:val="en-US" w:eastAsia="zh-CN"/>
              </w:rPr>
            </w:pPr>
          </w:p>
        </w:tc>
        <w:tc>
          <w:tcPr>
            <w:tcW w:w="1118" w:type="dxa"/>
            <w:tcBorders>
              <w:top w:val="single" w:color="auto" w:sz="4" w:space="0"/>
              <w:left w:val="nil"/>
              <w:bottom w:val="single" w:color="auto" w:sz="4" w:space="0"/>
              <w:right w:val="single" w:color="auto" w:sz="4" w:space="0"/>
            </w:tcBorders>
            <w:vAlign w:val="center"/>
          </w:tcPr>
          <w:p w14:paraId="17128B25">
            <w:pPr>
              <w:spacing w:line="420" w:lineRule="exact"/>
              <w:jc w:val="left"/>
              <w:rPr>
                <w:rFonts w:hint="eastAsia" w:ascii="仿宋" w:hAnsi="仿宋" w:eastAsia="仿宋" w:cs="仿宋"/>
                <w:color w:val="000000"/>
                <w:kern w:val="0"/>
                <w:szCs w:val="21"/>
                <w:lang w:val="en-US" w:eastAsia="zh-CN"/>
              </w:rPr>
            </w:pPr>
          </w:p>
        </w:tc>
        <w:tc>
          <w:tcPr>
            <w:tcW w:w="1023" w:type="dxa"/>
            <w:tcBorders>
              <w:top w:val="single" w:color="auto" w:sz="4" w:space="0"/>
              <w:left w:val="single" w:color="auto" w:sz="4" w:space="0"/>
              <w:bottom w:val="single" w:color="auto" w:sz="4" w:space="0"/>
              <w:right w:val="single" w:color="auto" w:sz="4" w:space="0"/>
            </w:tcBorders>
            <w:vAlign w:val="center"/>
          </w:tcPr>
          <w:p w14:paraId="08C922A6">
            <w:pPr>
              <w:spacing w:line="420" w:lineRule="exact"/>
              <w:jc w:val="left"/>
              <w:rPr>
                <w:rFonts w:hint="eastAsia" w:ascii="仿宋" w:hAnsi="仿宋" w:eastAsia="仿宋" w:cs="仿宋"/>
                <w:color w:val="000000"/>
                <w:kern w:val="0"/>
                <w:szCs w:val="21"/>
                <w:lang w:val="en-US" w:eastAsia="zh-CN"/>
              </w:rPr>
            </w:pPr>
          </w:p>
        </w:tc>
        <w:tc>
          <w:tcPr>
            <w:tcW w:w="1691" w:type="dxa"/>
            <w:tcBorders>
              <w:top w:val="single" w:color="auto" w:sz="4" w:space="0"/>
              <w:left w:val="nil"/>
              <w:bottom w:val="single" w:color="auto" w:sz="4" w:space="0"/>
              <w:right w:val="single" w:color="auto" w:sz="4" w:space="0"/>
            </w:tcBorders>
            <w:vAlign w:val="center"/>
          </w:tcPr>
          <w:p w14:paraId="775FC473">
            <w:pPr>
              <w:spacing w:line="420" w:lineRule="exact"/>
              <w:jc w:val="left"/>
              <w:rPr>
                <w:rFonts w:hint="eastAsia" w:ascii="仿宋" w:hAnsi="仿宋" w:eastAsia="仿宋" w:cs="仿宋"/>
                <w:color w:val="000000"/>
                <w:kern w:val="0"/>
                <w:szCs w:val="21"/>
                <w:lang w:val="en-US" w:eastAsia="zh-CN"/>
              </w:rPr>
            </w:pPr>
          </w:p>
        </w:tc>
        <w:tc>
          <w:tcPr>
            <w:tcW w:w="723" w:type="dxa"/>
            <w:tcBorders>
              <w:top w:val="single" w:color="auto" w:sz="4" w:space="0"/>
              <w:left w:val="nil"/>
              <w:bottom w:val="single" w:color="auto" w:sz="4" w:space="0"/>
              <w:right w:val="single" w:color="auto" w:sz="4" w:space="0"/>
            </w:tcBorders>
            <w:vAlign w:val="center"/>
          </w:tcPr>
          <w:p w14:paraId="562B849A">
            <w:pPr>
              <w:spacing w:line="420" w:lineRule="exact"/>
              <w:jc w:val="left"/>
              <w:rPr>
                <w:rFonts w:hint="eastAsia" w:ascii="仿宋" w:hAnsi="仿宋" w:eastAsia="仿宋" w:cs="仿宋"/>
                <w:color w:val="000000"/>
                <w:kern w:val="0"/>
                <w:szCs w:val="21"/>
                <w:lang w:val="en-US" w:eastAsia="zh-CN"/>
              </w:rPr>
            </w:pPr>
          </w:p>
        </w:tc>
      </w:tr>
    </w:tbl>
    <w:p w14:paraId="477F32EE">
      <w:pPr>
        <w:rPr>
          <w:rFonts w:hint="eastAsia"/>
          <w:color w:val="auto"/>
          <w:highlight w:val="none"/>
        </w:rPr>
      </w:pPr>
    </w:p>
    <w:p w14:paraId="641E5D75">
      <w:pPr>
        <w:bidi w:val="0"/>
        <w:rPr>
          <w:rFonts w:hint="eastAsia" w:ascii="Times New Roman" w:hAnsi="Times New Roman" w:eastAsia="宋体" w:cs="Times New Roman"/>
          <w:color w:val="auto"/>
          <w:kern w:val="2"/>
          <w:sz w:val="21"/>
          <w:szCs w:val="24"/>
          <w:highlight w:val="none"/>
          <w:lang w:val="en-US" w:eastAsia="zh-CN" w:bidi="ar-SA"/>
        </w:rPr>
      </w:pPr>
    </w:p>
    <w:p w14:paraId="764498A9">
      <w:pPr>
        <w:pStyle w:val="2"/>
        <w:numPr>
          <w:ilvl w:val="0"/>
          <w:numId w:val="0"/>
        </w:numPr>
        <w:spacing w:line="240" w:lineRule="auto"/>
        <w:ind w:firstLine="240" w:firstLineChars="100"/>
        <w:rPr>
          <w:rFonts w:hint="eastAsia" w:ascii="仿宋" w:hAnsi="仿宋" w:eastAsia="仿宋" w:cs="仿宋"/>
          <w:color w:val="auto"/>
          <w:sz w:val="24"/>
          <w:szCs w:val="24"/>
          <w:highlight w:val="none"/>
          <w:lang w:eastAsia="zh-CN"/>
        </w:rPr>
        <w:sectPr>
          <w:pgSz w:w="16838" w:h="11905" w:orient="landscape"/>
          <w:pgMar w:top="1440" w:right="1080" w:bottom="1440" w:left="1080" w:header="851" w:footer="992" w:gutter="0"/>
          <w:pgNumType w:fmt="decimal"/>
          <w:cols w:space="720" w:num="1"/>
          <w:rtlGutter w:val="0"/>
          <w:docGrid w:linePitch="312" w:charSpace="0"/>
        </w:sectPr>
      </w:pPr>
      <w:r>
        <w:rPr>
          <w:rFonts w:hint="eastAsia"/>
          <w:color w:val="auto"/>
          <w:highlight w:val="none"/>
          <w:lang w:val="en-US" w:eastAsia="zh-CN"/>
        </w:rPr>
        <w:tab/>
      </w:r>
      <w:r>
        <w:rPr>
          <w:rFonts w:hint="eastAsia" w:ascii="仿宋" w:hAnsi="仿宋" w:eastAsia="仿宋" w:cs="仿宋"/>
          <w:b/>
          <w:bCs/>
          <w:color w:val="auto"/>
          <w:kern w:val="2"/>
          <w:sz w:val="24"/>
          <w:szCs w:val="24"/>
          <w:highlight w:val="none"/>
          <w:lang w:val="en-US" w:eastAsia="zh-CN" w:bidi="ar-SA"/>
        </w:rPr>
        <w:t>提示：1、“连续近三个月内任意一个月的完税证明”：完税证明中“税种”非养老保险、医疗保险、失业保险、工伤保险和生育保险。请各投标供应商注意！</w:t>
      </w:r>
    </w:p>
    <w:p w14:paraId="0545E11F">
      <w:pPr>
        <w:pStyle w:val="4"/>
        <w:numPr>
          <w:ilvl w:val="0"/>
          <w:numId w:val="11"/>
        </w:numPr>
        <w:spacing w:line="440" w:lineRule="exact"/>
        <w:rPr>
          <w:rFonts w:hint="eastAsia" w:ascii="仿宋" w:hAnsi="仿宋" w:eastAsia="仿宋" w:cs="仿宋"/>
          <w:color w:val="auto"/>
          <w:highlight w:val="none"/>
        </w:rPr>
      </w:pPr>
      <w:bookmarkStart w:id="528" w:name="_Toc218935355"/>
      <w:bookmarkStart w:id="529" w:name="_Toc219175639"/>
      <w:bookmarkStart w:id="530" w:name="_Toc216582826"/>
      <w:r>
        <w:rPr>
          <w:rFonts w:hint="eastAsia" w:ascii="仿宋" w:hAnsi="仿宋" w:eastAsia="仿宋" w:cs="仿宋"/>
          <w:color w:val="auto"/>
          <w:highlight w:val="none"/>
        </w:rPr>
        <w:t xml:space="preserve"> 货物需求及说明</w:t>
      </w:r>
    </w:p>
    <w:p w14:paraId="0939761E">
      <w:pPr>
        <w:spacing w:line="240" w:lineRule="auto"/>
        <w:rPr>
          <w:rFonts w:hint="eastAsia" w:ascii="仿宋" w:hAnsi="仿宋" w:eastAsia="仿宋" w:cs="仿宋"/>
        </w:rPr>
      </w:pPr>
      <w:bookmarkStart w:id="531" w:name="bookmark2"/>
      <w:bookmarkEnd w:id="531"/>
      <w:bookmarkStart w:id="532" w:name="bookmark1"/>
      <w:bookmarkEnd w:id="532"/>
      <w:bookmarkStart w:id="533" w:name="_Toc15679"/>
      <w:r>
        <w:rPr>
          <w:rFonts w:hint="eastAsia" w:ascii="仿宋" w:hAnsi="仿宋" w:eastAsia="仿宋" w:cs="仿宋"/>
          <w:b/>
          <w:bCs/>
          <w:spacing w:val="4"/>
          <w:sz w:val="26"/>
          <w:szCs w:val="26"/>
        </w:rPr>
        <w:t>货物需求</w:t>
      </w:r>
      <w:r>
        <w:rPr>
          <w:rFonts w:hint="eastAsia" w:ascii="仿宋" w:hAnsi="仿宋" w:eastAsia="仿宋" w:cs="仿宋"/>
          <w:b/>
          <w:bCs/>
          <w:spacing w:val="4"/>
          <w:sz w:val="26"/>
          <w:szCs w:val="26"/>
          <w:lang w:eastAsia="zh-CN"/>
        </w:rPr>
        <w:t>：</w:t>
      </w:r>
    </w:p>
    <w:tbl>
      <w:tblPr>
        <w:tblStyle w:val="40"/>
        <w:tblW w:w="8794" w:type="dxa"/>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665"/>
        <w:gridCol w:w="1182"/>
        <w:gridCol w:w="834"/>
        <w:gridCol w:w="1059"/>
        <w:gridCol w:w="1360"/>
        <w:gridCol w:w="2897"/>
      </w:tblGrid>
      <w:tr w14:paraId="0A487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797" w:type="dxa"/>
            <w:vMerge w:val="restart"/>
            <w:vAlign w:val="center"/>
          </w:tcPr>
          <w:p w14:paraId="7E5BF24F">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采购项目</w:t>
            </w:r>
          </w:p>
        </w:tc>
        <w:tc>
          <w:tcPr>
            <w:tcW w:w="665" w:type="dxa"/>
            <w:vAlign w:val="center"/>
          </w:tcPr>
          <w:p w14:paraId="7B9F9CE1">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序号</w:t>
            </w:r>
          </w:p>
        </w:tc>
        <w:tc>
          <w:tcPr>
            <w:tcW w:w="1182" w:type="dxa"/>
            <w:vAlign w:val="center"/>
          </w:tcPr>
          <w:p w14:paraId="4986AC8B">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品名</w:t>
            </w:r>
          </w:p>
        </w:tc>
        <w:tc>
          <w:tcPr>
            <w:tcW w:w="834" w:type="dxa"/>
            <w:vAlign w:val="center"/>
          </w:tcPr>
          <w:p w14:paraId="6192384B">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单位</w:t>
            </w:r>
          </w:p>
        </w:tc>
        <w:tc>
          <w:tcPr>
            <w:tcW w:w="1059" w:type="dxa"/>
            <w:vAlign w:val="center"/>
          </w:tcPr>
          <w:p w14:paraId="6B61A80B">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数量</w:t>
            </w:r>
          </w:p>
        </w:tc>
        <w:tc>
          <w:tcPr>
            <w:tcW w:w="1360" w:type="dxa"/>
            <w:vAlign w:val="center"/>
          </w:tcPr>
          <w:p w14:paraId="3951E5A4">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户数</w:t>
            </w:r>
          </w:p>
        </w:tc>
        <w:tc>
          <w:tcPr>
            <w:tcW w:w="2897" w:type="dxa"/>
            <w:vAlign w:val="center"/>
          </w:tcPr>
          <w:p w14:paraId="1766C542">
            <w:pPr>
              <w:spacing w:line="360" w:lineRule="auto"/>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规格技术参数</w:t>
            </w:r>
          </w:p>
        </w:tc>
      </w:tr>
      <w:tr w14:paraId="169C3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797" w:type="dxa"/>
            <w:vMerge w:val="continue"/>
            <w:vAlign w:val="center"/>
          </w:tcPr>
          <w:p w14:paraId="0FAFC147">
            <w:pPr>
              <w:spacing w:line="360" w:lineRule="auto"/>
              <w:jc w:val="center"/>
              <w:rPr>
                <w:rFonts w:hint="eastAsia" w:ascii="仿宋" w:hAnsi="仿宋" w:eastAsia="仿宋" w:cs="仿宋"/>
                <w:sz w:val="24"/>
                <w:szCs w:val="24"/>
                <w:vertAlign w:val="baseline"/>
                <w:lang w:val="en-US" w:eastAsia="zh-CN"/>
              </w:rPr>
            </w:pPr>
          </w:p>
        </w:tc>
        <w:tc>
          <w:tcPr>
            <w:tcW w:w="665" w:type="dxa"/>
            <w:vAlign w:val="center"/>
          </w:tcPr>
          <w:p w14:paraId="578B6C9B">
            <w:pPr>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182" w:type="dxa"/>
            <w:vAlign w:val="center"/>
          </w:tcPr>
          <w:p w14:paraId="24985DB2">
            <w:pPr>
              <w:pStyle w:val="101"/>
              <w:spacing w:before="59" w:line="220" w:lineRule="auto"/>
              <w:jc w:val="center"/>
              <w:rPr>
                <w:rFonts w:hint="eastAsia" w:ascii="仿宋" w:hAnsi="仿宋" w:eastAsia="仿宋" w:cs="仿宋"/>
                <w:sz w:val="24"/>
                <w:szCs w:val="24"/>
                <w:vertAlign w:val="baseline"/>
              </w:rPr>
            </w:pPr>
            <w:r>
              <w:rPr>
                <w:rFonts w:hint="eastAsia" w:ascii="仿宋" w:hAnsi="仿宋" w:eastAsia="仿宋" w:cs="仿宋"/>
                <w:spacing w:val="-2"/>
                <w:sz w:val="24"/>
                <w:szCs w:val="24"/>
              </w:rPr>
              <w:t>低氟砖茶</w:t>
            </w:r>
          </w:p>
        </w:tc>
        <w:tc>
          <w:tcPr>
            <w:tcW w:w="834" w:type="dxa"/>
            <w:vAlign w:val="center"/>
          </w:tcPr>
          <w:p w14:paraId="247DAE7B">
            <w:pPr>
              <w:pStyle w:val="101"/>
              <w:spacing w:before="59" w:line="220" w:lineRule="auto"/>
              <w:ind w:left="113" w:leftChars="0"/>
              <w:jc w:val="center"/>
              <w:rPr>
                <w:rFonts w:hint="eastAsia" w:ascii="仿宋" w:hAnsi="仿宋" w:eastAsia="仿宋" w:cs="仿宋"/>
                <w:sz w:val="24"/>
                <w:szCs w:val="24"/>
                <w:vertAlign w:val="baseline"/>
              </w:rPr>
            </w:pPr>
            <w:r>
              <w:rPr>
                <w:rFonts w:hint="eastAsia" w:ascii="仿宋" w:hAnsi="仿宋" w:eastAsia="仿宋" w:cs="仿宋"/>
                <w:spacing w:val="-7"/>
                <w:sz w:val="24"/>
                <w:szCs w:val="24"/>
              </w:rPr>
              <w:t>公斤</w:t>
            </w:r>
          </w:p>
        </w:tc>
        <w:tc>
          <w:tcPr>
            <w:tcW w:w="1059" w:type="dxa"/>
            <w:vAlign w:val="center"/>
          </w:tcPr>
          <w:p w14:paraId="41776B72">
            <w:pPr>
              <w:spacing w:before="52" w:line="236" w:lineRule="exact"/>
              <w:ind w:left="105" w:leftChars="0"/>
              <w:jc w:val="center"/>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32950</w:t>
            </w:r>
          </w:p>
        </w:tc>
        <w:tc>
          <w:tcPr>
            <w:tcW w:w="1360" w:type="dxa"/>
            <w:vAlign w:val="center"/>
          </w:tcPr>
          <w:p w14:paraId="0B5298CC">
            <w:pPr>
              <w:pStyle w:val="101"/>
              <w:spacing w:before="62" w:line="261" w:lineRule="exact"/>
              <w:jc w:val="center"/>
              <w:rPr>
                <w:rFonts w:hint="eastAsia" w:ascii="仿宋" w:hAnsi="仿宋" w:eastAsia="仿宋" w:cs="仿宋"/>
                <w:sz w:val="24"/>
                <w:szCs w:val="24"/>
                <w:vertAlign w:val="baseline"/>
              </w:rPr>
            </w:pPr>
            <w:r>
              <w:rPr>
                <w:rFonts w:hint="eastAsia" w:ascii="仿宋" w:hAnsi="仿宋" w:eastAsia="仿宋" w:cs="仿宋"/>
                <w:spacing w:val="-1"/>
                <w:position w:val="1"/>
                <w:sz w:val="24"/>
                <w:szCs w:val="24"/>
                <w:lang w:val="en-US" w:eastAsia="zh-CN"/>
              </w:rPr>
              <w:t>16475</w:t>
            </w:r>
            <w:r>
              <w:rPr>
                <w:rFonts w:hint="eastAsia" w:ascii="仿宋" w:hAnsi="仿宋" w:eastAsia="仿宋" w:cs="仿宋"/>
                <w:position w:val="1"/>
                <w:sz w:val="24"/>
                <w:szCs w:val="24"/>
              </w:rPr>
              <w:t>户</w:t>
            </w:r>
          </w:p>
        </w:tc>
        <w:tc>
          <w:tcPr>
            <w:tcW w:w="2897" w:type="dxa"/>
            <w:vAlign w:val="center"/>
          </w:tcPr>
          <w:p w14:paraId="4FD6A320">
            <w:pPr>
              <w:pStyle w:val="101"/>
              <w:keepNext w:val="0"/>
              <w:keepLines w:val="0"/>
              <w:pageBreakBefore w:val="0"/>
              <w:widowControl w:val="0"/>
              <w:kinsoku/>
              <w:wordWrap w:val="0"/>
              <w:overflowPunct/>
              <w:topLinePunct w:val="0"/>
              <w:autoSpaceDE/>
              <w:autoSpaceDN/>
              <w:bidi w:val="0"/>
              <w:adjustRightInd/>
              <w:snapToGrid/>
              <w:spacing w:before="189" w:line="360" w:lineRule="auto"/>
              <w:ind w:left="113"/>
              <w:jc w:val="center"/>
              <w:textAlignment w:val="auto"/>
              <w:rPr>
                <w:rFonts w:hint="eastAsia" w:ascii="仿宋" w:hAnsi="仿宋" w:eastAsia="仿宋" w:cs="仿宋"/>
                <w:sz w:val="24"/>
                <w:szCs w:val="24"/>
                <w:vertAlign w:val="baseline"/>
              </w:rPr>
            </w:pPr>
            <w:r>
              <w:rPr>
                <w:rFonts w:hint="eastAsia" w:ascii="仿宋" w:hAnsi="仿宋" w:eastAsia="仿宋" w:cs="仿宋"/>
                <w:spacing w:val="5"/>
                <w:position w:val="1"/>
                <w:sz w:val="24"/>
                <w:szCs w:val="24"/>
              </w:rPr>
              <w:t>规格：500克、1000克的包装</w:t>
            </w:r>
            <w:r>
              <w:rPr>
                <w:rFonts w:hint="eastAsia" w:ascii="仿宋" w:hAnsi="仿宋" w:eastAsia="仿宋" w:cs="仿宋"/>
                <w:spacing w:val="5"/>
                <w:position w:val="1"/>
                <w:sz w:val="24"/>
                <w:szCs w:val="24"/>
                <w:lang w:eastAsia="zh-CN"/>
              </w:rPr>
              <w:t>；</w:t>
            </w:r>
            <w:r>
              <w:rPr>
                <w:rFonts w:hint="eastAsia" w:ascii="仿宋" w:hAnsi="仿宋" w:eastAsia="仿宋" w:cs="仿宋"/>
                <w:spacing w:val="5"/>
                <w:position w:val="1"/>
                <w:sz w:val="24"/>
                <w:szCs w:val="24"/>
              </w:rPr>
              <w:t>低氟砖茶每千克含氟量需≤300毫克</w:t>
            </w:r>
          </w:p>
        </w:tc>
      </w:tr>
    </w:tbl>
    <w:p w14:paraId="04521655">
      <w:pPr>
        <w:spacing w:before="91" w:line="360" w:lineRule="auto"/>
        <w:rPr>
          <w:rFonts w:hint="eastAsia" w:ascii="仿宋" w:hAnsi="仿宋" w:eastAsia="仿宋" w:cs="仿宋"/>
          <w:sz w:val="24"/>
          <w:szCs w:val="24"/>
        </w:rPr>
      </w:pPr>
      <w:r>
        <w:rPr>
          <w:rFonts w:hint="eastAsia" w:ascii="仿宋" w:hAnsi="仿宋" w:eastAsia="仿宋" w:cs="仿宋"/>
          <w:spacing w:val="-3"/>
          <w:sz w:val="24"/>
          <w:szCs w:val="24"/>
        </w:rPr>
        <w:t>1、项目要求及说明：</w:t>
      </w:r>
    </w:p>
    <w:p w14:paraId="114A3F6A">
      <w:pPr>
        <w:spacing w:before="24" w:line="360" w:lineRule="auto"/>
        <w:ind w:firstLine="476" w:firstLineChars="200"/>
        <w:rPr>
          <w:rFonts w:hint="eastAsia" w:ascii="仿宋" w:hAnsi="仿宋" w:eastAsia="仿宋" w:cs="仿宋"/>
          <w:sz w:val="24"/>
          <w:szCs w:val="24"/>
        </w:rPr>
      </w:pPr>
      <w:r>
        <w:rPr>
          <w:rFonts w:hint="eastAsia" w:ascii="仿宋" w:hAnsi="仿宋" w:eastAsia="仿宋" w:cs="仿宋"/>
          <w:spacing w:val="-1"/>
          <w:sz w:val="24"/>
          <w:szCs w:val="24"/>
        </w:rPr>
        <w:t>①凡技术参数指标中有指向某品牌的指标描述均为参考指标。</w:t>
      </w:r>
    </w:p>
    <w:p w14:paraId="4BEF1AE2">
      <w:pPr>
        <w:spacing w:before="24" w:line="360" w:lineRule="auto"/>
        <w:ind w:left="437" w:leftChars="208" w:firstLine="0" w:firstLineChars="0"/>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rPr>
        <w:t>②满足技术性能指标的投标单位可根据相应产品选择货物品牌型号。</w:t>
      </w:r>
      <w:r>
        <w:rPr>
          <w:rFonts w:hint="eastAsia" w:ascii="仿宋" w:hAnsi="仿宋" w:eastAsia="仿宋" w:cs="仿宋"/>
          <w:spacing w:val="-1"/>
          <w:sz w:val="24"/>
          <w:szCs w:val="24"/>
        </w:rPr>
        <w:br w:type="textWrapping"/>
      </w:r>
      <w:r>
        <w:rPr>
          <w:rFonts w:hint="eastAsia" w:ascii="仿宋" w:hAnsi="仿宋" w:eastAsia="仿宋" w:cs="仿宋"/>
          <w:spacing w:val="-1"/>
          <w:sz w:val="24"/>
          <w:szCs w:val="24"/>
          <w:lang w:val="en-US" w:eastAsia="zh-CN"/>
        </w:rPr>
        <w:t>③包装要求:需按2千克/袋分装于环保手提袋，并由甲方订制关于铸牢中华民族共同体意识的标语和L0G0。外包装需标注“低砖茶”相关的提示语。</w:t>
      </w:r>
    </w:p>
    <w:p w14:paraId="28043AD4">
      <w:pPr>
        <w:spacing w:before="22" w:line="360" w:lineRule="auto"/>
        <w:rPr>
          <w:rFonts w:hint="eastAsia" w:ascii="仿宋" w:hAnsi="仿宋" w:eastAsia="仿宋" w:cs="仿宋"/>
          <w:sz w:val="24"/>
          <w:szCs w:val="24"/>
        </w:rPr>
      </w:pPr>
      <w:r>
        <w:rPr>
          <w:rFonts w:hint="eastAsia" w:ascii="仿宋" w:hAnsi="仿宋" w:eastAsia="仿宋" w:cs="仿宋"/>
          <w:spacing w:val="-1"/>
          <w:sz w:val="24"/>
          <w:szCs w:val="24"/>
        </w:rPr>
        <w:t>2、项目的交货期和交货地点</w:t>
      </w:r>
    </w:p>
    <w:p w14:paraId="77FB499B">
      <w:pPr>
        <w:spacing w:before="23" w:line="36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rPr>
        <w:t>交货期：供货合同签订后</w:t>
      </w:r>
      <w:r>
        <w:rPr>
          <w:rFonts w:hint="eastAsia" w:ascii="仿宋" w:hAnsi="仿宋" w:eastAsia="仿宋" w:cs="仿宋"/>
          <w:spacing w:val="-2"/>
          <w:sz w:val="24"/>
          <w:szCs w:val="24"/>
          <w:lang w:val="en-US" w:eastAsia="zh-CN"/>
        </w:rPr>
        <w:t>40</w:t>
      </w:r>
      <w:r>
        <w:rPr>
          <w:rFonts w:hint="eastAsia" w:ascii="仿宋" w:hAnsi="仿宋" w:eastAsia="仿宋" w:cs="仿宋"/>
          <w:spacing w:val="-2"/>
          <w:sz w:val="24"/>
          <w:szCs w:val="24"/>
        </w:rPr>
        <w:t>日内完成交付。</w:t>
      </w:r>
      <w:r>
        <w:rPr>
          <w:rFonts w:hint="eastAsia" w:ascii="仿宋" w:hAnsi="仿宋" w:eastAsia="仿宋" w:cs="仿宋"/>
          <w:spacing w:val="-2"/>
          <w:sz w:val="24"/>
          <w:szCs w:val="24"/>
          <w:lang w:eastAsia="zh-CN"/>
        </w:rPr>
        <w:t>（具体以甲乙双方签订合同为准）</w:t>
      </w:r>
    </w:p>
    <w:p w14:paraId="4D2EC3BA">
      <w:pPr>
        <w:spacing w:before="26" w:line="360" w:lineRule="auto"/>
        <w:ind w:firstLine="460" w:firstLineChars="200"/>
        <w:rPr>
          <w:rFonts w:hint="eastAsia" w:ascii="仿宋" w:hAnsi="仿宋" w:eastAsia="仿宋" w:cs="仿宋"/>
          <w:sz w:val="24"/>
          <w:szCs w:val="24"/>
        </w:rPr>
      </w:pPr>
      <w:r>
        <w:rPr>
          <w:rFonts w:hint="eastAsia" w:ascii="仿宋" w:hAnsi="仿宋" w:eastAsia="仿宋" w:cs="仿宋"/>
          <w:spacing w:val="-5"/>
          <w:sz w:val="24"/>
          <w:szCs w:val="24"/>
        </w:rPr>
        <w:t>交货地点：</w:t>
      </w:r>
    </w:p>
    <w:tbl>
      <w:tblPr>
        <w:tblStyle w:val="94"/>
        <w:tblW w:w="8550" w:type="dxa"/>
        <w:tblInd w:w="1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4"/>
        <w:gridCol w:w="2556"/>
        <w:gridCol w:w="2567"/>
        <w:gridCol w:w="2573"/>
      </w:tblGrid>
      <w:tr w14:paraId="7EDE9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54" w:type="dxa"/>
            <w:vAlign w:val="center"/>
          </w:tcPr>
          <w:p w14:paraId="20A414BB">
            <w:pPr>
              <w:spacing w:line="360" w:lineRule="auto"/>
              <w:jc w:val="center"/>
              <w:rPr>
                <w:rFonts w:hint="eastAsia" w:ascii="仿宋" w:hAnsi="仿宋" w:eastAsia="仿宋" w:cs="仿宋"/>
                <w:sz w:val="22"/>
                <w:szCs w:val="22"/>
              </w:rPr>
            </w:pPr>
          </w:p>
        </w:tc>
        <w:tc>
          <w:tcPr>
            <w:tcW w:w="2556" w:type="dxa"/>
            <w:vAlign w:val="center"/>
          </w:tcPr>
          <w:p w14:paraId="326BFD00">
            <w:pPr>
              <w:pStyle w:val="101"/>
              <w:spacing w:before="179"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各乡镇（街道）</w:t>
            </w:r>
          </w:p>
        </w:tc>
        <w:tc>
          <w:tcPr>
            <w:tcW w:w="2567" w:type="dxa"/>
            <w:vAlign w:val="center"/>
          </w:tcPr>
          <w:p w14:paraId="7B5E7D26">
            <w:pPr>
              <w:spacing w:line="240" w:lineRule="auto"/>
              <w:jc w:val="center"/>
              <w:rPr>
                <w:rFonts w:hint="eastAsia" w:ascii="仿宋" w:hAnsi="仿宋" w:eastAsia="仿宋" w:cs="仿宋"/>
                <w:sz w:val="24"/>
                <w:szCs w:val="24"/>
              </w:rPr>
            </w:pPr>
            <w:r>
              <w:rPr>
                <w:rFonts w:hint="eastAsia" w:ascii="仿宋" w:hAnsi="仿宋" w:eastAsia="仿宋" w:cs="仿宋"/>
                <w:sz w:val="24"/>
                <w:szCs w:val="24"/>
              </w:rPr>
              <w:t>乡(计数)户/每户2 公斤</w:t>
            </w:r>
          </w:p>
        </w:tc>
        <w:tc>
          <w:tcPr>
            <w:tcW w:w="2573" w:type="dxa"/>
            <w:vAlign w:val="center"/>
          </w:tcPr>
          <w:p w14:paraId="12CA0084">
            <w:pPr>
              <w:spacing w:line="240" w:lineRule="auto"/>
              <w:jc w:val="center"/>
              <w:rPr>
                <w:rFonts w:hint="eastAsia" w:ascii="仿宋" w:hAnsi="仿宋" w:eastAsia="仿宋" w:cs="仿宋"/>
                <w:sz w:val="24"/>
                <w:szCs w:val="24"/>
              </w:rPr>
            </w:pPr>
            <w:r>
              <w:rPr>
                <w:rFonts w:hint="eastAsia" w:ascii="仿宋" w:hAnsi="仿宋" w:eastAsia="仿宋" w:cs="仿宋"/>
                <w:sz w:val="24"/>
                <w:szCs w:val="24"/>
              </w:rPr>
              <w:t>小计/公斤</w:t>
            </w:r>
          </w:p>
        </w:tc>
      </w:tr>
      <w:tr w14:paraId="3BFC38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6E68301E">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w:t>
            </w:r>
          </w:p>
        </w:tc>
        <w:tc>
          <w:tcPr>
            <w:tcW w:w="2556" w:type="dxa"/>
            <w:vAlign w:val="center"/>
          </w:tcPr>
          <w:p w14:paraId="3A34C38B">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阿尔斯兰巴格乡</w:t>
            </w:r>
          </w:p>
        </w:tc>
        <w:tc>
          <w:tcPr>
            <w:tcW w:w="2567" w:type="dxa"/>
            <w:vAlign w:val="center"/>
          </w:tcPr>
          <w:p w14:paraId="20C4EF31">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424</w:t>
            </w:r>
          </w:p>
        </w:tc>
        <w:tc>
          <w:tcPr>
            <w:tcW w:w="2573" w:type="dxa"/>
            <w:vAlign w:val="center"/>
          </w:tcPr>
          <w:p w14:paraId="5563A68E">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848</w:t>
            </w:r>
          </w:p>
        </w:tc>
      </w:tr>
      <w:tr w14:paraId="328EA7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3718FD0A">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w:t>
            </w:r>
          </w:p>
        </w:tc>
        <w:tc>
          <w:tcPr>
            <w:tcW w:w="2556" w:type="dxa"/>
            <w:vAlign w:val="center"/>
          </w:tcPr>
          <w:p w14:paraId="624F4F7B">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阿拉买提镇</w:t>
            </w:r>
          </w:p>
        </w:tc>
        <w:tc>
          <w:tcPr>
            <w:tcW w:w="2567" w:type="dxa"/>
            <w:vAlign w:val="center"/>
          </w:tcPr>
          <w:p w14:paraId="6C05FAE4">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548</w:t>
            </w:r>
          </w:p>
        </w:tc>
        <w:tc>
          <w:tcPr>
            <w:tcW w:w="2573" w:type="dxa"/>
            <w:vAlign w:val="center"/>
          </w:tcPr>
          <w:p w14:paraId="33738532">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1096</w:t>
            </w:r>
          </w:p>
        </w:tc>
      </w:tr>
      <w:tr w14:paraId="0FFB9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4FF18DC7">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3</w:t>
            </w:r>
          </w:p>
        </w:tc>
        <w:tc>
          <w:tcPr>
            <w:tcW w:w="2556" w:type="dxa"/>
            <w:vAlign w:val="center"/>
          </w:tcPr>
          <w:p w14:paraId="433103BE">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阿热勒乡</w:t>
            </w:r>
          </w:p>
        </w:tc>
        <w:tc>
          <w:tcPr>
            <w:tcW w:w="2567" w:type="dxa"/>
            <w:vAlign w:val="center"/>
          </w:tcPr>
          <w:p w14:paraId="7DD2BBAF">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532</w:t>
            </w:r>
          </w:p>
        </w:tc>
        <w:tc>
          <w:tcPr>
            <w:tcW w:w="2573" w:type="dxa"/>
            <w:vAlign w:val="center"/>
          </w:tcPr>
          <w:p w14:paraId="7C4A0228">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1064</w:t>
            </w:r>
          </w:p>
        </w:tc>
      </w:tr>
      <w:tr w14:paraId="377CA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11D9C38A">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4</w:t>
            </w:r>
          </w:p>
        </w:tc>
        <w:tc>
          <w:tcPr>
            <w:tcW w:w="2556" w:type="dxa"/>
            <w:vAlign w:val="center"/>
          </w:tcPr>
          <w:p w14:paraId="1142202E">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阿瓦提镇</w:t>
            </w:r>
          </w:p>
        </w:tc>
        <w:tc>
          <w:tcPr>
            <w:tcW w:w="2567" w:type="dxa"/>
            <w:vAlign w:val="center"/>
          </w:tcPr>
          <w:p w14:paraId="1077DE6B">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714</w:t>
            </w:r>
          </w:p>
        </w:tc>
        <w:tc>
          <w:tcPr>
            <w:tcW w:w="2573" w:type="dxa"/>
            <w:vAlign w:val="center"/>
          </w:tcPr>
          <w:p w14:paraId="0CE57598">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1428</w:t>
            </w:r>
          </w:p>
        </w:tc>
      </w:tr>
      <w:tr w14:paraId="3185DD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3B06443E">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5</w:t>
            </w:r>
          </w:p>
        </w:tc>
        <w:tc>
          <w:tcPr>
            <w:tcW w:w="2556" w:type="dxa"/>
            <w:vAlign w:val="center"/>
          </w:tcPr>
          <w:p w14:paraId="75B46702">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阿扎特巴格镇</w:t>
            </w:r>
          </w:p>
        </w:tc>
        <w:tc>
          <w:tcPr>
            <w:tcW w:w="2567" w:type="dxa"/>
            <w:vAlign w:val="center"/>
          </w:tcPr>
          <w:p w14:paraId="0CC8C48E">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304</w:t>
            </w:r>
          </w:p>
        </w:tc>
        <w:tc>
          <w:tcPr>
            <w:tcW w:w="2573" w:type="dxa"/>
            <w:vAlign w:val="center"/>
          </w:tcPr>
          <w:p w14:paraId="24EA85AA">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608</w:t>
            </w:r>
          </w:p>
        </w:tc>
      </w:tr>
      <w:tr w14:paraId="3A9635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083DE6E5">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6</w:t>
            </w:r>
          </w:p>
        </w:tc>
        <w:tc>
          <w:tcPr>
            <w:tcW w:w="2556" w:type="dxa"/>
            <w:vAlign w:val="center"/>
          </w:tcPr>
          <w:p w14:paraId="200F1D3A">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艾力西湖镇</w:t>
            </w:r>
          </w:p>
        </w:tc>
        <w:tc>
          <w:tcPr>
            <w:tcW w:w="2567" w:type="dxa"/>
            <w:vAlign w:val="center"/>
          </w:tcPr>
          <w:p w14:paraId="618ADA7D">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1368</w:t>
            </w:r>
          </w:p>
        </w:tc>
        <w:tc>
          <w:tcPr>
            <w:tcW w:w="2573" w:type="dxa"/>
            <w:vAlign w:val="center"/>
          </w:tcPr>
          <w:p w14:paraId="38A97949">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2736</w:t>
            </w:r>
          </w:p>
        </w:tc>
      </w:tr>
      <w:tr w14:paraId="4555C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69989082">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7</w:t>
            </w:r>
          </w:p>
        </w:tc>
        <w:tc>
          <w:tcPr>
            <w:tcW w:w="2556" w:type="dxa"/>
            <w:vAlign w:val="center"/>
          </w:tcPr>
          <w:p w14:paraId="00BFB042">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巴格阿瓦提乡</w:t>
            </w:r>
          </w:p>
        </w:tc>
        <w:tc>
          <w:tcPr>
            <w:tcW w:w="2567" w:type="dxa"/>
            <w:vAlign w:val="center"/>
          </w:tcPr>
          <w:p w14:paraId="6D454E38">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376</w:t>
            </w:r>
          </w:p>
        </w:tc>
        <w:tc>
          <w:tcPr>
            <w:tcW w:w="2573" w:type="dxa"/>
            <w:vAlign w:val="center"/>
          </w:tcPr>
          <w:p w14:paraId="2837652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752</w:t>
            </w:r>
          </w:p>
        </w:tc>
      </w:tr>
      <w:tr w14:paraId="3B263F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3290ACC1">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8</w:t>
            </w:r>
          </w:p>
        </w:tc>
        <w:tc>
          <w:tcPr>
            <w:tcW w:w="2556" w:type="dxa"/>
            <w:vAlign w:val="center"/>
          </w:tcPr>
          <w:p w14:paraId="20BF14E2">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白什坎特镇</w:t>
            </w:r>
          </w:p>
        </w:tc>
        <w:tc>
          <w:tcPr>
            <w:tcW w:w="2567" w:type="dxa"/>
            <w:vAlign w:val="center"/>
          </w:tcPr>
          <w:p w14:paraId="2FFAC621">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807</w:t>
            </w:r>
          </w:p>
        </w:tc>
        <w:tc>
          <w:tcPr>
            <w:tcW w:w="2573" w:type="dxa"/>
            <w:vAlign w:val="center"/>
          </w:tcPr>
          <w:p w14:paraId="33EC9B7F">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1614</w:t>
            </w:r>
          </w:p>
        </w:tc>
      </w:tr>
      <w:tr w14:paraId="199BDD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254204F9">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9</w:t>
            </w:r>
          </w:p>
        </w:tc>
        <w:tc>
          <w:tcPr>
            <w:tcW w:w="2556" w:type="dxa"/>
            <w:vAlign w:val="center"/>
          </w:tcPr>
          <w:p w14:paraId="5AF15219">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城北街道办事处</w:t>
            </w:r>
          </w:p>
        </w:tc>
        <w:tc>
          <w:tcPr>
            <w:tcW w:w="2567" w:type="dxa"/>
            <w:vAlign w:val="center"/>
          </w:tcPr>
          <w:p w14:paraId="3641D59E">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w:t>
            </w:r>
          </w:p>
        </w:tc>
        <w:tc>
          <w:tcPr>
            <w:tcW w:w="2573" w:type="dxa"/>
            <w:vAlign w:val="center"/>
          </w:tcPr>
          <w:p w14:paraId="12DCA167">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10</w:t>
            </w:r>
          </w:p>
        </w:tc>
      </w:tr>
      <w:tr w14:paraId="1E31C5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5E71AB36">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10</w:t>
            </w:r>
          </w:p>
        </w:tc>
        <w:tc>
          <w:tcPr>
            <w:tcW w:w="2556" w:type="dxa"/>
            <w:vAlign w:val="center"/>
          </w:tcPr>
          <w:p w14:paraId="59A78E3C">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城东街道办事处</w:t>
            </w:r>
          </w:p>
        </w:tc>
        <w:tc>
          <w:tcPr>
            <w:tcW w:w="2567" w:type="dxa"/>
            <w:vAlign w:val="center"/>
          </w:tcPr>
          <w:p w14:paraId="3F87758F">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9</w:t>
            </w:r>
          </w:p>
        </w:tc>
        <w:tc>
          <w:tcPr>
            <w:tcW w:w="2573" w:type="dxa"/>
            <w:vAlign w:val="center"/>
          </w:tcPr>
          <w:p w14:paraId="1A219D8E">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18</w:t>
            </w:r>
          </w:p>
        </w:tc>
      </w:tr>
      <w:tr w14:paraId="3B405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68BF0E89">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11</w:t>
            </w:r>
          </w:p>
        </w:tc>
        <w:tc>
          <w:tcPr>
            <w:tcW w:w="2556" w:type="dxa"/>
            <w:vAlign w:val="center"/>
          </w:tcPr>
          <w:p w14:paraId="43CDEFEA">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达木斯乡</w:t>
            </w:r>
          </w:p>
        </w:tc>
        <w:tc>
          <w:tcPr>
            <w:tcW w:w="2567" w:type="dxa"/>
            <w:vAlign w:val="center"/>
          </w:tcPr>
          <w:p w14:paraId="1A8465C1">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258</w:t>
            </w:r>
          </w:p>
        </w:tc>
        <w:tc>
          <w:tcPr>
            <w:tcW w:w="2573" w:type="dxa"/>
            <w:vAlign w:val="center"/>
          </w:tcPr>
          <w:p w14:paraId="57A0A7F7">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516</w:t>
            </w:r>
          </w:p>
        </w:tc>
      </w:tr>
      <w:tr w14:paraId="1766DB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13F5E4DE">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12</w:t>
            </w:r>
          </w:p>
        </w:tc>
        <w:tc>
          <w:tcPr>
            <w:tcW w:w="2556" w:type="dxa"/>
            <w:vAlign w:val="center"/>
          </w:tcPr>
          <w:p w14:paraId="3AB650B6">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墩巴格乡</w:t>
            </w:r>
          </w:p>
        </w:tc>
        <w:tc>
          <w:tcPr>
            <w:tcW w:w="2567" w:type="dxa"/>
            <w:vAlign w:val="center"/>
          </w:tcPr>
          <w:p w14:paraId="3F87E038">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423</w:t>
            </w:r>
          </w:p>
        </w:tc>
        <w:tc>
          <w:tcPr>
            <w:tcW w:w="2573" w:type="dxa"/>
            <w:vAlign w:val="center"/>
          </w:tcPr>
          <w:p w14:paraId="08B86633">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846</w:t>
            </w:r>
          </w:p>
        </w:tc>
      </w:tr>
      <w:tr w14:paraId="47C201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765D2F5A">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13</w:t>
            </w:r>
          </w:p>
        </w:tc>
        <w:tc>
          <w:tcPr>
            <w:tcW w:w="2556" w:type="dxa"/>
            <w:vAlign w:val="center"/>
          </w:tcPr>
          <w:p w14:paraId="4026FE51">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古勒巴格镇</w:t>
            </w:r>
          </w:p>
        </w:tc>
        <w:tc>
          <w:tcPr>
            <w:tcW w:w="2567" w:type="dxa"/>
            <w:vAlign w:val="center"/>
          </w:tcPr>
          <w:p w14:paraId="4B8E3B9E">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189</w:t>
            </w:r>
          </w:p>
        </w:tc>
        <w:tc>
          <w:tcPr>
            <w:tcW w:w="2573" w:type="dxa"/>
            <w:vAlign w:val="center"/>
          </w:tcPr>
          <w:p w14:paraId="223D93CF">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378</w:t>
            </w:r>
          </w:p>
        </w:tc>
      </w:tr>
      <w:tr w14:paraId="359C6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433F7831">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14</w:t>
            </w:r>
          </w:p>
        </w:tc>
        <w:tc>
          <w:tcPr>
            <w:tcW w:w="2556" w:type="dxa"/>
            <w:vAlign w:val="center"/>
          </w:tcPr>
          <w:p w14:paraId="797F1857">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荒地镇</w:t>
            </w:r>
          </w:p>
        </w:tc>
        <w:tc>
          <w:tcPr>
            <w:tcW w:w="2567" w:type="dxa"/>
            <w:vAlign w:val="center"/>
          </w:tcPr>
          <w:p w14:paraId="62CA5903">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1188</w:t>
            </w:r>
          </w:p>
        </w:tc>
        <w:tc>
          <w:tcPr>
            <w:tcW w:w="2573" w:type="dxa"/>
            <w:vAlign w:val="center"/>
          </w:tcPr>
          <w:p w14:paraId="185C697A">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2376</w:t>
            </w:r>
          </w:p>
        </w:tc>
      </w:tr>
      <w:tr w14:paraId="4E1659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4345B564">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15</w:t>
            </w:r>
          </w:p>
        </w:tc>
        <w:tc>
          <w:tcPr>
            <w:tcW w:w="2556" w:type="dxa"/>
            <w:vAlign w:val="center"/>
          </w:tcPr>
          <w:p w14:paraId="2E30084A">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霍什拉甫乡</w:t>
            </w:r>
          </w:p>
        </w:tc>
        <w:tc>
          <w:tcPr>
            <w:tcW w:w="2567" w:type="dxa"/>
            <w:vAlign w:val="center"/>
          </w:tcPr>
          <w:p w14:paraId="6C39FCCA">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454</w:t>
            </w:r>
          </w:p>
        </w:tc>
        <w:tc>
          <w:tcPr>
            <w:tcW w:w="2573" w:type="dxa"/>
            <w:vAlign w:val="center"/>
          </w:tcPr>
          <w:p w14:paraId="49F890D9">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908</w:t>
            </w:r>
          </w:p>
        </w:tc>
      </w:tr>
      <w:tr w14:paraId="4CBB48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2B17CC9E">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16</w:t>
            </w:r>
          </w:p>
        </w:tc>
        <w:tc>
          <w:tcPr>
            <w:tcW w:w="2556" w:type="dxa"/>
            <w:vAlign w:val="center"/>
          </w:tcPr>
          <w:p w14:paraId="600611F6">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喀拉苏乡</w:t>
            </w:r>
          </w:p>
        </w:tc>
        <w:tc>
          <w:tcPr>
            <w:tcW w:w="2567" w:type="dxa"/>
            <w:vAlign w:val="center"/>
          </w:tcPr>
          <w:p w14:paraId="672F085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450</w:t>
            </w:r>
          </w:p>
        </w:tc>
        <w:tc>
          <w:tcPr>
            <w:tcW w:w="2573" w:type="dxa"/>
            <w:vAlign w:val="center"/>
          </w:tcPr>
          <w:p w14:paraId="71668839">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900</w:t>
            </w:r>
          </w:p>
        </w:tc>
      </w:tr>
      <w:tr w14:paraId="14110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 w:hRule="atLeast"/>
        </w:trPr>
        <w:tc>
          <w:tcPr>
            <w:tcW w:w="854" w:type="dxa"/>
            <w:vAlign w:val="top"/>
          </w:tcPr>
          <w:p w14:paraId="2DCF9C4C">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17</w:t>
            </w:r>
          </w:p>
        </w:tc>
        <w:tc>
          <w:tcPr>
            <w:tcW w:w="2556" w:type="dxa"/>
            <w:vAlign w:val="center"/>
          </w:tcPr>
          <w:p w14:paraId="1D7C4664">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喀群乡</w:t>
            </w:r>
          </w:p>
        </w:tc>
        <w:tc>
          <w:tcPr>
            <w:tcW w:w="2567" w:type="dxa"/>
            <w:vAlign w:val="center"/>
          </w:tcPr>
          <w:p w14:paraId="4C1B1728">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666</w:t>
            </w:r>
          </w:p>
        </w:tc>
        <w:tc>
          <w:tcPr>
            <w:tcW w:w="2573" w:type="dxa"/>
            <w:vAlign w:val="center"/>
          </w:tcPr>
          <w:p w14:paraId="5E6F54EB">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1332</w:t>
            </w:r>
          </w:p>
        </w:tc>
      </w:tr>
      <w:tr w14:paraId="486611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854" w:type="dxa"/>
            <w:vAlign w:val="top"/>
          </w:tcPr>
          <w:p w14:paraId="30A09F22">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18</w:t>
            </w:r>
          </w:p>
        </w:tc>
        <w:tc>
          <w:tcPr>
            <w:tcW w:w="2556" w:type="dxa"/>
            <w:vAlign w:val="center"/>
          </w:tcPr>
          <w:p w14:paraId="17BDEFE6">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阔什艾日克乡</w:t>
            </w:r>
          </w:p>
        </w:tc>
        <w:tc>
          <w:tcPr>
            <w:tcW w:w="2567" w:type="dxa"/>
            <w:vAlign w:val="center"/>
          </w:tcPr>
          <w:p w14:paraId="5008DB17">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462</w:t>
            </w:r>
          </w:p>
        </w:tc>
        <w:tc>
          <w:tcPr>
            <w:tcW w:w="2573" w:type="dxa"/>
            <w:vAlign w:val="center"/>
          </w:tcPr>
          <w:p w14:paraId="1FF5FDDB">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924</w:t>
            </w:r>
          </w:p>
        </w:tc>
      </w:tr>
      <w:tr w14:paraId="68F131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597BDDB3">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19</w:t>
            </w:r>
          </w:p>
        </w:tc>
        <w:tc>
          <w:tcPr>
            <w:tcW w:w="2556" w:type="dxa"/>
            <w:vAlign w:val="center"/>
          </w:tcPr>
          <w:p w14:paraId="0F460410">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米夏镇</w:t>
            </w:r>
          </w:p>
        </w:tc>
        <w:tc>
          <w:tcPr>
            <w:tcW w:w="2567" w:type="dxa"/>
            <w:vAlign w:val="center"/>
          </w:tcPr>
          <w:p w14:paraId="3B75C92F">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495</w:t>
            </w:r>
          </w:p>
        </w:tc>
        <w:tc>
          <w:tcPr>
            <w:tcW w:w="2573" w:type="dxa"/>
            <w:vAlign w:val="center"/>
          </w:tcPr>
          <w:p w14:paraId="551AED99">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990</w:t>
            </w:r>
          </w:p>
        </w:tc>
      </w:tr>
      <w:tr w14:paraId="2800C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75DAA7CA">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20</w:t>
            </w:r>
          </w:p>
        </w:tc>
        <w:tc>
          <w:tcPr>
            <w:tcW w:w="2556" w:type="dxa"/>
            <w:vAlign w:val="center"/>
          </w:tcPr>
          <w:p w14:paraId="2C77A63E">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拍克其乡</w:t>
            </w:r>
          </w:p>
        </w:tc>
        <w:tc>
          <w:tcPr>
            <w:tcW w:w="2567" w:type="dxa"/>
            <w:vAlign w:val="center"/>
          </w:tcPr>
          <w:p w14:paraId="2B4B4310">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440</w:t>
            </w:r>
          </w:p>
        </w:tc>
        <w:tc>
          <w:tcPr>
            <w:tcW w:w="2573" w:type="dxa"/>
            <w:vAlign w:val="center"/>
          </w:tcPr>
          <w:p w14:paraId="0209BD5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880</w:t>
            </w:r>
          </w:p>
        </w:tc>
      </w:tr>
      <w:tr w14:paraId="1B5184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286DF760">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21</w:t>
            </w:r>
          </w:p>
        </w:tc>
        <w:tc>
          <w:tcPr>
            <w:tcW w:w="2556" w:type="dxa"/>
            <w:vAlign w:val="center"/>
          </w:tcPr>
          <w:p w14:paraId="24AA6F9F">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恰尔巴格乡</w:t>
            </w:r>
          </w:p>
        </w:tc>
        <w:tc>
          <w:tcPr>
            <w:tcW w:w="2567" w:type="dxa"/>
            <w:vAlign w:val="center"/>
          </w:tcPr>
          <w:p w14:paraId="4667CB3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418</w:t>
            </w:r>
          </w:p>
        </w:tc>
        <w:tc>
          <w:tcPr>
            <w:tcW w:w="2573" w:type="dxa"/>
            <w:vAlign w:val="center"/>
          </w:tcPr>
          <w:p w14:paraId="7F91B9F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836</w:t>
            </w:r>
          </w:p>
        </w:tc>
      </w:tr>
      <w:tr w14:paraId="79A08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6A40474F">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22</w:t>
            </w:r>
          </w:p>
        </w:tc>
        <w:tc>
          <w:tcPr>
            <w:tcW w:w="2556" w:type="dxa"/>
            <w:vAlign w:val="center"/>
          </w:tcPr>
          <w:p w14:paraId="1362D2AE">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恰热克镇</w:t>
            </w:r>
          </w:p>
        </w:tc>
        <w:tc>
          <w:tcPr>
            <w:tcW w:w="2567" w:type="dxa"/>
            <w:vAlign w:val="center"/>
          </w:tcPr>
          <w:p w14:paraId="3C639D42">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696</w:t>
            </w:r>
          </w:p>
        </w:tc>
        <w:tc>
          <w:tcPr>
            <w:tcW w:w="2573" w:type="dxa"/>
            <w:vAlign w:val="center"/>
          </w:tcPr>
          <w:p w14:paraId="2F6A1E0E">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1392</w:t>
            </w:r>
          </w:p>
        </w:tc>
      </w:tr>
      <w:tr w14:paraId="650C34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5DD83F7B">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23</w:t>
            </w:r>
          </w:p>
        </w:tc>
        <w:tc>
          <w:tcPr>
            <w:tcW w:w="2556" w:type="dxa"/>
            <w:vAlign w:val="center"/>
          </w:tcPr>
          <w:p w14:paraId="7D6A0A9D">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莎车镇</w:t>
            </w:r>
          </w:p>
        </w:tc>
        <w:tc>
          <w:tcPr>
            <w:tcW w:w="2567" w:type="dxa"/>
            <w:vAlign w:val="center"/>
          </w:tcPr>
          <w:p w14:paraId="38195A37">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6</w:t>
            </w:r>
          </w:p>
        </w:tc>
        <w:tc>
          <w:tcPr>
            <w:tcW w:w="2573" w:type="dxa"/>
            <w:vAlign w:val="center"/>
          </w:tcPr>
          <w:p w14:paraId="37839A51">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12</w:t>
            </w:r>
          </w:p>
        </w:tc>
      </w:tr>
      <w:tr w14:paraId="494DE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51D6F76E">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24</w:t>
            </w:r>
          </w:p>
        </w:tc>
        <w:tc>
          <w:tcPr>
            <w:tcW w:w="2556" w:type="dxa"/>
            <w:vAlign w:val="center"/>
          </w:tcPr>
          <w:p w14:paraId="7602F138">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塔尕尔其镇</w:t>
            </w:r>
          </w:p>
        </w:tc>
        <w:tc>
          <w:tcPr>
            <w:tcW w:w="2567" w:type="dxa"/>
            <w:vAlign w:val="center"/>
          </w:tcPr>
          <w:p w14:paraId="646199A7">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1028</w:t>
            </w:r>
          </w:p>
        </w:tc>
        <w:tc>
          <w:tcPr>
            <w:tcW w:w="2573" w:type="dxa"/>
            <w:vAlign w:val="center"/>
          </w:tcPr>
          <w:p w14:paraId="30D78058">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2056</w:t>
            </w:r>
          </w:p>
        </w:tc>
      </w:tr>
      <w:tr w14:paraId="473D6E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1A70B815">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25</w:t>
            </w:r>
          </w:p>
        </w:tc>
        <w:tc>
          <w:tcPr>
            <w:tcW w:w="2556" w:type="dxa"/>
            <w:vAlign w:val="center"/>
          </w:tcPr>
          <w:p w14:paraId="274E805C">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托木吾斯塘镇</w:t>
            </w:r>
          </w:p>
        </w:tc>
        <w:tc>
          <w:tcPr>
            <w:tcW w:w="2567" w:type="dxa"/>
            <w:vAlign w:val="center"/>
          </w:tcPr>
          <w:p w14:paraId="7DB20BE6">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252</w:t>
            </w:r>
          </w:p>
        </w:tc>
        <w:tc>
          <w:tcPr>
            <w:tcW w:w="2573" w:type="dxa"/>
            <w:vAlign w:val="center"/>
          </w:tcPr>
          <w:p w14:paraId="1621ECB0">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504</w:t>
            </w:r>
          </w:p>
        </w:tc>
      </w:tr>
      <w:tr w14:paraId="600632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854" w:type="dxa"/>
            <w:vAlign w:val="top"/>
          </w:tcPr>
          <w:p w14:paraId="2BF2FF1D">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26</w:t>
            </w:r>
          </w:p>
        </w:tc>
        <w:tc>
          <w:tcPr>
            <w:tcW w:w="2556" w:type="dxa"/>
            <w:vAlign w:val="center"/>
          </w:tcPr>
          <w:p w14:paraId="35EEF0E6">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乌达力克镇</w:t>
            </w:r>
          </w:p>
        </w:tc>
        <w:tc>
          <w:tcPr>
            <w:tcW w:w="2567" w:type="dxa"/>
            <w:vAlign w:val="center"/>
          </w:tcPr>
          <w:p w14:paraId="08A3DD42">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754</w:t>
            </w:r>
          </w:p>
        </w:tc>
        <w:tc>
          <w:tcPr>
            <w:tcW w:w="2573" w:type="dxa"/>
            <w:vAlign w:val="center"/>
          </w:tcPr>
          <w:p w14:paraId="32D8B942">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1508</w:t>
            </w:r>
          </w:p>
        </w:tc>
      </w:tr>
      <w:tr w14:paraId="6AEC6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0D2AA2A3">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27</w:t>
            </w:r>
          </w:p>
        </w:tc>
        <w:tc>
          <w:tcPr>
            <w:tcW w:w="2556" w:type="dxa"/>
            <w:vAlign w:val="center"/>
          </w:tcPr>
          <w:p w14:paraId="776DAF45">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亚喀艾日克乡</w:t>
            </w:r>
          </w:p>
        </w:tc>
        <w:tc>
          <w:tcPr>
            <w:tcW w:w="2567" w:type="dxa"/>
            <w:vAlign w:val="center"/>
          </w:tcPr>
          <w:p w14:paraId="190F1880">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221</w:t>
            </w:r>
          </w:p>
        </w:tc>
        <w:tc>
          <w:tcPr>
            <w:tcW w:w="2573" w:type="dxa"/>
            <w:vAlign w:val="center"/>
          </w:tcPr>
          <w:p w14:paraId="79B397CA">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442</w:t>
            </w:r>
          </w:p>
        </w:tc>
      </w:tr>
      <w:tr w14:paraId="5A256B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45A95908">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28</w:t>
            </w:r>
          </w:p>
        </w:tc>
        <w:tc>
          <w:tcPr>
            <w:tcW w:w="2556" w:type="dxa"/>
            <w:vAlign w:val="center"/>
          </w:tcPr>
          <w:p w14:paraId="4CAA1023">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叶尔羌街道办事处</w:t>
            </w:r>
          </w:p>
        </w:tc>
        <w:tc>
          <w:tcPr>
            <w:tcW w:w="2567" w:type="dxa"/>
            <w:vAlign w:val="center"/>
          </w:tcPr>
          <w:p w14:paraId="75869440">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auto"/>
                <w:kern w:val="0"/>
                <w:sz w:val="22"/>
                <w:szCs w:val="22"/>
                <w:u w:val="none"/>
                <w:lang w:val="en-US" w:eastAsia="zh-CN" w:bidi="ar"/>
              </w:rPr>
              <w:t>79</w:t>
            </w:r>
          </w:p>
        </w:tc>
        <w:tc>
          <w:tcPr>
            <w:tcW w:w="2573" w:type="dxa"/>
            <w:vAlign w:val="center"/>
          </w:tcPr>
          <w:p w14:paraId="55B21586">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158</w:t>
            </w:r>
          </w:p>
        </w:tc>
      </w:tr>
      <w:tr w14:paraId="5F0401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16CBFCC2">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29</w:t>
            </w:r>
          </w:p>
        </w:tc>
        <w:tc>
          <w:tcPr>
            <w:tcW w:w="2556" w:type="dxa"/>
            <w:vAlign w:val="center"/>
          </w:tcPr>
          <w:p w14:paraId="5D4B1654">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伊什库力乡</w:t>
            </w:r>
          </w:p>
        </w:tc>
        <w:tc>
          <w:tcPr>
            <w:tcW w:w="2567" w:type="dxa"/>
            <w:vAlign w:val="center"/>
          </w:tcPr>
          <w:p w14:paraId="50F2C7A0">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705</w:t>
            </w:r>
          </w:p>
        </w:tc>
        <w:tc>
          <w:tcPr>
            <w:tcW w:w="2573" w:type="dxa"/>
            <w:vAlign w:val="center"/>
          </w:tcPr>
          <w:p w14:paraId="33EC458A">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1410</w:t>
            </w:r>
          </w:p>
        </w:tc>
      </w:tr>
      <w:tr w14:paraId="33F532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2F4884D7">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30</w:t>
            </w:r>
          </w:p>
        </w:tc>
        <w:tc>
          <w:tcPr>
            <w:tcW w:w="2556" w:type="dxa"/>
            <w:vAlign w:val="center"/>
          </w:tcPr>
          <w:p w14:paraId="530CF9C1">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依盖尔其镇</w:t>
            </w:r>
          </w:p>
        </w:tc>
        <w:tc>
          <w:tcPr>
            <w:tcW w:w="2567" w:type="dxa"/>
            <w:vAlign w:val="center"/>
          </w:tcPr>
          <w:p w14:paraId="783FC8F5">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589</w:t>
            </w:r>
          </w:p>
        </w:tc>
        <w:tc>
          <w:tcPr>
            <w:tcW w:w="2573" w:type="dxa"/>
            <w:vAlign w:val="center"/>
          </w:tcPr>
          <w:p w14:paraId="63E37B57">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1178</w:t>
            </w:r>
          </w:p>
        </w:tc>
      </w:tr>
      <w:tr w14:paraId="22B8FF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36879BF8">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31</w:t>
            </w:r>
          </w:p>
        </w:tc>
        <w:tc>
          <w:tcPr>
            <w:tcW w:w="2556" w:type="dxa"/>
            <w:vAlign w:val="center"/>
          </w:tcPr>
          <w:p w14:paraId="16625D04">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英阿瓦提管理委员会</w:t>
            </w:r>
          </w:p>
        </w:tc>
        <w:tc>
          <w:tcPr>
            <w:tcW w:w="2567" w:type="dxa"/>
            <w:vAlign w:val="center"/>
          </w:tcPr>
          <w:p w14:paraId="2E20E19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368</w:t>
            </w:r>
          </w:p>
        </w:tc>
        <w:tc>
          <w:tcPr>
            <w:tcW w:w="2573" w:type="dxa"/>
            <w:vAlign w:val="center"/>
          </w:tcPr>
          <w:p w14:paraId="7B51B956">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736</w:t>
            </w:r>
          </w:p>
        </w:tc>
      </w:tr>
      <w:tr w14:paraId="57FDE5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03804CE4">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32</w:t>
            </w:r>
          </w:p>
        </w:tc>
        <w:tc>
          <w:tcPr>
            <w:tcW w:w="2556" w:type="dxa"/>
            <w:vAlign w:val="center"/>
          </w:tcPr>
          <w:p w14:paraId="66873696">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英吾斯塘乡</w:t>
            </w:r>
          </w:p>
        </w:tc>
        <w:tc>
          <w:tcPr>
            <w:tcW w:w="2567" w:type="dxa"/>
            <w:vAlign w:val="center"/>
          </w:tcPr>
          <w:p w14:paraId="6C5A31E9">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291</w:t>
            </w:r>
          </w:p>
        </w:tc>
        <w:tc>
          <w:tcPr>
            <w:tcW w:w="2573" w:type="dxa"/>
            <w:vAlign w:val="center"/>
          </w:tcPr>
          <w:p w14:paraId="2DB37D33">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582</w:t>
            </w:r>
          </w:p>
        </w:tc>
      </w:tr>
      <w:tr w14:paraId="36A1AC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45131E2F">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33</w:t>
            </w:r>
          </w:p>
        </w:tc>
        <w:tc>
          <w:tcPr>
            <w:tcW w:w="2556" w:type="dxa"/>
            <w:vAlign w:val="center"/>
          </w:tcPr>
          <w:p w14:paraId="081A4E9A">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永安管理委员会</w:t>
            </w:r>
          </w:p>
        </w:tc>
        <w:tc>
          <w:tcPr>
            <w:tcW w:w="2567" w:type="dxa"/>
            <w:vAlign w:val="center"/>
          </w:tcPr>
          <w:p w14:paraId="2F1A529D">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571</w:t>
            </w:r>
          </w:p>
        </w:tc>
        <w:tc>
          <w:tcPr>
            <w:tcW w:w="2573" w:type="dxa"/>
            <w:vAlign w:val="center"/>
          </w:tcPr>
          <w:p w14:paraId="6B7D16BC">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1142</w:t>
            </w:r>
          </w:p>
        </w:tc>
      </w:tr>
      <w:tr w14:paraId="00538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54" w:type="dxa"/>
            <w:vAlign w:val="top"/>
          </w:tcPr>
          <w:p w14:paraId="1461B659">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34</w:t>
            </w:r>
          </w:p>
        </w:tc>
        <w:tc>
          <w:tcPr>
            <w:tcW w:w="2556" w:type="dxa"/>
            <w:vAlign w:val="center"/>
          </w:tcPr>
          <w:p w14:paraId="11DF9611">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孜热甫夏提塔吉克族乡</w:t>
            </w:r>
          </w:p>
        </w:tc>
        <w:tc>
          <w:tcPr>
            <w:tcW w:w="2567" w:type="dxa"/>
            <w:vAlign w:val="center"/>
          </w:tcPr>
          <w:p w14:paraId="20852659">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385</w:t>
            </w:r>
          </w:p>
        </w:tc>
        <w:tc>
          <w:tcPr>
            <w:tcW w:w="2573" w:type="dxa"/>
            <w:vAlign w:val="center"/>
          </w:tcPr>
          <w:p w14:paraId="2DC8B0BB">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770</w:t>
            </w:r>
          </w:p>
        </w:tc>
      </w:tr>
      <w:tr w14:paraId="2EE88E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3410" w:type="dxa"/>
            <w:gridSpan w:val="2"/>
            <w:vAlign w:val="top"/>
          </w:tcPr>
          <w:p w14:paraId="7561B609">
            <w:pPr>
              <w:pStyle w:val="101"/>
              <w:spacing w:before="179" w:line="360"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合计</w:t>
            </w:r>
          </w:p>
        </w:tc>
        <w:tc>
          <w:tcPr>
            <w:tcW w:w="2567" w:type="dxa"/>
            <w:vAlign w:val="center"/>
          </w:tcPr>
          <w:p w14:paraId="63E13E50">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b/>
                <w:bCs/>
                <w:i w:val="0"/>
                <w:iCs w:val="0"/>
                <w:color w:val="000000"/>
                <w:kern w:val="0"/>
                <w:sz w:val="22"/>
                <w:szCs w:val="22"/>
                <w:u w:val="none"/>
                <w:lang w:val="en-US" w:eastAsia="zh-CN" w:bidi="ar"/>
              </w:rPr>
              <w:t>16475</w:t>
            </w:r>
          </w:p>
        </w:tc>
        <w:tc>
          <w:tcPr>
            <w:tcW w:w="2573" w:type="dxa"/>
            <w:vAlign w:val="center"/>
          </w:tcPr>
          <w:p w14:paraId="0178EAA2">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2"/>
                <w:szCs w:val="22"/>
                <w:u w:val="none"/>
                <w:lang w:val="en-US" w:eastAsia="zh-CN" w:bidi="ar"/>
              </w:rPr>
              <w:t>32950</w:t>
            </w:r>
          </w:p>
        </w:tc>
      </w:tr>
    </w:tbl>
    <w:p w14:paraId="7AB37FFB">
      <w:pPr>
        <w:spacing w:line="360" w:lineRule="auto"/>
        <w:rPr>
          <w:rFonts w:hint="eastAsia" w:ascii="仿宋" w:hAnsi="仿宋" w:eastAsia="仿宋" w:cs="仿宋"/>
          <w:spacing w:val="-1"/>
          <w:kern w:val="2"/>
          <w:sz w:val="24"/>
          <w:szCs w:val="24"/>
          <w:lang w:val="en-US" w:eastAsia="zh-CN" w:bidi="ar-SA"/>
        </w:rPr>
      </w:pPr>
      <w:r>
        <w:rPr>
          <w:rFonts w:hint="eastAsia" w:ascii="仿宋" w:hAnsi="仿宋" w:eastAsia="仿宋" w:cs="仿宋"/>
          <w:spacing w:val="-1"/>
          <w:kern w:val="2"/>
          <w:sz w:val="24"/>
          <w:szCs w:val="24"/>
          <w:lang w:val="en-US" w:eastAsia="zh-CN" w:bidi="ar-SA"/>
        </w:rPr>
        <w:t>注：实际交货地点以最终甲乙双方签订合同为准</w:t>
      </w:r>
    </w:p>
    <w:p w14:paraId="35A69745">
      <w:pPr>
        <w:pStyle w:val="12"/>
        <w:keepNext w:val="0"/>
        <w:keepLines w:val="0"/>
        <w:pageBreakBefore w:val="0"/>
        <w:widowControl w:val="0"/>
        <w:kinsoku/>
        <w:wordWrap w:val="0"/>
        <w:overflowPunct/>
        <w:topLinePunct w:val="0"/>
        <w:autoSpaceDE/>
        <w:autoSpaceDN/>
        <w:bidi w:val="0"/>
        <w:adjustRightInd/>
        <w:snapToGrid/>
        <w:spacing w:before="91" w:line="360" w:lineRule="auto"/>
        <w:ind w:left="34" w:firstLine="17"/>
        <w:jc w:val="both"/>
        <w:textAlignment w:val="auto"/>
        <w:rPr>
          <w:rFonts w:hint="eastAsia" w:ascii="仿宋" w:hAnsi="仿宋" w:eastAsia="仿宋" w:cs="仿宋"/>
          <w:spacing w:val="-1"/>
          <w:kern w:val="2"/>
          <w:sz w:val="24"/>
          <w:szCs w:val="24"/>
          <w:highlight w:val="none"/>
          <w:lang w:val="en-US" w:eastAsia="zh-CN" w:bidi="ar-SA"/>
        </w:rPr>
      </w:pPr>
      <w:r>
        <w:rPr>
          <w:rFonts w:hint="eastAsia" w:ascii="仿宋" w:hAnsi="仿宋" w:eastAsia="仿宋" w:cs="仿宋"/>
          <w:spacing w:val="-1"/>
          <w:kern w:val="2"/>
          <w:sz w:val="24"/>
          <w:szCs w:val="24"/>
          <w:lang w:val="en-US" w:eastAsia="zh-CN" w:bidi="ar-SA"/>
        </w:rPr>
        <w:t>交货方式：</w:t>
      </w:r>
      <w:r>
        <w:rPr>
          <w:rFonts w:hint="eastAsia" w:ascii="仿宋" w:hAnsi="仿宋" w:eastAsia="仿宋" w:cs="仿宋"/>
          <w:spacing w:val="-1"/>
          <w:kern w:val="2"/>
          <w:sz w:val="24"/>
          <w:szCs w:val="24"/>
          <w:highlight w:val="none"/>
          <w:lang w:val="en-US" w:eastAsia="zh-CN" w:bidi="ar-SA"/>
        </w:rPr>
        <w:t>（1）供方负责运输到莎车县，货物到位后，甲方随机抽检，乙方（中标单位）负责对抽检样本通过新疆维吾尔自治区产品质量监督检验研究院按照国家标准GB19965-2005标准进行检测，并加盖检测认证章；</w:t>
      </w:r>
      <w:r>
        <w:rPr>
          <w:rFonts w:hint="eastAsia" w:ascii="仿宋" w:hAnsi="仿宋" w:eastAsia="仿宋" w:cs="仿宋"/>
          <w:spacing w:val="-2"/>
          <w:highlight w:val="none"/>
        </w:rPr>
        <w:t>农药残留检测:需符合食品安全国家标准GB2763(符合草甘、乐果、毒死蜱等农药最大残留限量。报告要求:需提供以上两项近半年内</w:t>
      </w:r>
      <w:r>
        <w:rPr>
          <w:rFonts w:hint="eastAsia" w:ascii="仿宋" w:hAnsi="仿宋" w:eastAsia="仿宋" w:cs="仿宋"/>
          <w:spacing w:val="-2"/>
          <w:highlight w:val="none"/>
          <w:lang w:val="en-US" w:eastAsia="zh-CN"/>
        </w:rPr>
        <w:t>官方或官方授权</w:t>
      </w:r>
      <w:r>
        <w:rPr>
          <w:rFonts w:hint="eastAsia" w:ascii="仿宋" w:hAnsi="仿宋" w:eastAsia="仿宋" w:cs="仿宋"/>
          <w:spacing w:val="-2"/>
          <w:highlight w:val="none"/>
        </w:rPr>
        <w:t>第三方检测机构出具的含氟含农药残留检测报告</w:t>
      </w:r>
      <w:r>
        <w:rPr>
          <w:rFonts w:hint="eastAsia" w:ascii="仿宋" w:hAnsi="仿宋" w:eastAsia="仿宋" w:cs="仿宋"/>
          <w:spacing w:val="-2"/>
          <w:highlight w:val="none"/>
          <w:lang w:val="en-US" w:eastAsia="zh-CN"/>
        </w:rPr>
        <w:t>须放入投标文件</w:t>
      </w:r>
      <w:r>
        <w:rPr>
          <w:rFonts w:hint="eastAsia" w:ascii="仿宋" w:hAnsi="仿宋" w:eastAsia="仿宋" w:cs="仿宋"/>
          <w:spacing w:val="-2"/>
          <w:highlight w:val="none"/>
        </w:rPr>
        <w:t>(在国家市场监督管理总局全国认证认可信息公共服务平台中能查到报告编号信息)。</w:t>
      </w:r>
      <w:r>
        <w:rPr>
          <w:rFonts w:hint="eastAsia" w:ascii="仿宋" w:hAnsi="仿宋" w:eastAsia="仿宋" w:cs="仿宋"/>
          <w:spacing w:val="-1"/>
          <w:kern w:val="2"/>
          <w:sz w:val="24"/>
          <w:szCs w:val="24"/>
          <w:highlight w:val="none"/>
          <w:lang w:val="en-US" w:eastAsia="zh-CN" w:bidi="ar-SA"/>
        </w:rPr>
        <w:t>在未获得检测报告之前不得发放。（注：抽检费用及产生的任何费用由中标人承担）；（2）检测合格报告出具后，由供方负责免费运输到采购单位指定乡镇（街道，管委会），由各乡镇（街道，管委会）负责发放。（具体以双方合同约定为准）</w:t>
      </w:r>
    </w:p>
    <w:p w14:paraId="5006B9B5">
      <w:pPr>
        <w:pStyle w:val="12"/>
        <w:spacing w:line="360" w:lineRule="auto"/>
        <w:ind w:left="43"/>
        <w:rPr>
          <w:rFonts w:hint="eastAsia" w:ascii="仿宋" w:hAnsi="仿宋" w:eastAsia="仿宋" w:cs="仿宋"/>
        </w:rPr>
      </w:pPr>
      <w:r>
        <w:rPr>
          <w:rFonts w:hint="eastAsia" w:ascii="仿宋" w:hAnsi="仿宋" w:eastAsia="仿宋" w:cs="仿宋"/>
          <w:spacing w:val="-2"/>
        </w:rPr>
        <w:t>3、项目的质保期和付款方式</w:t>
      </w:r>
    </w:p>
    <w:p w14:paraId="0B027D23">
      <w:pPr>
        <w:pStyle w:val="12"/>
        <w:spacing w:before="28" w:line="360" w:lineRule="auto"/>
        <w:ind w:right="77" w:firstLine="480" w:firstLineChars="200"/>
        <w:jc w:val="both"/>
        <w:rPr>
          <w:rFonts w:hint="eastAsia" w:ascii="仿宋" w:hAnsi="仿宋" w:eastAsia="仿宋" w:cs="仿宋"/>
          <w:highlight w:val="none"/>
        </w:rPr>
      </w:pPr>
      <w:r>
        <w:rPr>
          <w:rFonts w:hint="eastAsia" w:ascii="仿宋" w:hAnsi="仿宋" w:eastAsia="仿宋" w:cs="仿宋"/>
          <w:highlight w:val="none"/>
        </w:rPr>
        <w:t>质保期：产品质保期为</w:t>
      </w:r>
      <w:r>
        <w:rPr>
          <w:rFonts w:hint="eastAsia" w:ascii="仿宋" w:hAnsi="仿宋" w:eastAsia="仿宋" w:cs="仿宋"/>
          <w:spacing w:val="-41"/>
          <w:highlight w:val="none"/>
          <w:lang w:val="en-US" w:eastAsia="zh-CN"/>
        </w:rPr>
        <w:t>12</w:t>
      </w:r>
      <w:r>
        <w:rPr>
          <w:rFonts w:hint="eastAsia" w:ascii="仿宋" w:hAnsi="仿宋" w:eastAsia="仿宋" w:cs="仿宋"/>
          <w:spacing w:val="-47"/>
          <w:highlight w:val="none"/>
        </w:rPr>
        <w:t xml:space="preserve"> </w:t>
      </w:r>
      <w:r>
        <w:rPr>
          <w:rFonts w:hint="eastAsia" w:ascii="仿宋" w:hAnsi="仿宋" w:eastAsia="仿宋" w:cs="仿宋"/>
          <w:highlight w:val="none"/>
        </w:rPr>
        <w:t>个月。</w:t>
      </w:r>
      <w:r>
        <w:rPr>
          <w:rFonts w:hint="eastAsia" w:ascii="仿宋" w:hAnsi="仿宋" w:eastAsia="仿宋" w:cs="仿宋"/>
          <w:highlight w:val="none"/>
          <w:lang w:val="en-US" w:eastAsia="zh-CN"/>
        </w:rPr>
        <w:t>须</w:t>
      </w:r>
      <w:r>
        <w:rPr>
          <w:rFonts w:hint="eastAsia" w:ascii="仿宋" w:hAnsi="仿宋" w:eastAsia="仿宋" w:cs="仿宋"/>
          <w:spacing w:val="-2"/>
          <w:highlight w:val="none"/>
        </w:rPr>
        <w:t>按照国家标准GB19965-2005《砖茶含氟量》，低氟砖茶每千克含氟量需≤300毫克。农药残留检测:需符合食品安全国家标准GB2763(符合草甘、乐果、毒死蜱等农药最大残留限量。报告要求:需提供以上两项近半年内</w:t>
      </w:r>
      <w:r>
        <w:rPr>
          <w:rFonts w:hint="eastAsia" w:ascii="仿宋" w:hAnsi="仿宋" w:eastAsia="仿宋" w:cs="仿宋"/>
          <w:spacing w:val="-2"/>
          <w:highlight w:val="none"/>
          <w:lang w:val="en-US" w:eastAsia="zh-CN"/>
        </w:rPr>
        <w:t>官方或官方授权</w:t>
      </w:r>
      <w:r>
        <w:rPr>
          <w:rFonts w:hint="eastAsia" w:ascii="仿宋" w:hAnsi="仿宋" w:eastAsia="仿宋" w:cs="仿宋"/>
          <w:spacing w:val="-2"/>
          <w:highlight w:val="none"/>
        </w:rPr>
        <w:t>第三方检测机构出具的含氟含农药残留检测报告</w:t>
      </w:r>
      <w:r>
        <w:rPr>
          <w:rFonts w:hint="eastAsia" w:ascii="仿宋" w:hAnsi="仿宋" w:eastAsia="仿宋" w:cs="仿宋"/>
          <w:spacing w:val="-2"/>
          <w:highlight w:val="none"/>
          <w:lang w:val="en-US" w:eastAsia="zh-CN"/>
        </w:rPr>
        <w:t>须放入投标文件</w:t>
      </w:r>
      <w:r>
        <w:rPr>
          <w:rFonts w:hint="eastAsia" w:ascii="仿宋" w:hAnsi="仿宋" w:eastAsia="仿宋" w:cs="仿宋"/>
          <w:spacing w:val="-2"/>
          <w:highlight w:val="none"/>
        </w:rPr>
        <w:t>(在国家市场监督管理总局全国认证认可信息公共服务平台中能查到报告编号信息)。</w:t>
      </w:r>
    </w:p>
    <w:p w14:paraId="4DBAA715">
      <w:pPr>
        <w:pStyle w:val="12"/>
        <w:spacing w:before="2" w:line="360" w:lineRule="auto"/>
        <w:ind w:left="46" w:right="77" w:firstLine="560"/>
        <w:jc w:val="both"/>
        <w:rPr>
          <w:rFonts w:hint="eastAsia" w:ascii="仿宋" w:hAnsi="仿宋" w:eastAsia="仿宋" w:cs="仿宋"/>
        </w:rPr>
      </w:pPr>
      <w:r>
        <w:rPr>
          <w:rFonts w:hint="eastAsia" w:ascii="仿宋" w:hAnsi="仿宋" w:eastAsia="仿宋" w:cs="仿宋"/>
        </w:rPr>
        <w:t>付款方式：签订合同后预付30%，供货完成后，获得抽样检测合</w:t>
      </w:r>
      <w:r>
        <w:rPr>
          <w:rFonts w:hint="eastAsia" w:ascii="仿宋" w:hAnsi="仿宋" w:eastAsia="仿宋" w:cs="仿宋"/>
          <w:spacing w:val="4"/>
        </w:rPr>
        <w:t>格报告后支付合同价</w:t>
      </w:r>
      <w:r>
        <w:rPr>
          <w:rFonts w:hint="eastAsia" w:ascii="仿宋" w:hAnsi="仿宋" w:eastAsia="仿宋" w:cs="仿宋"/>
          <w:spacing w:val="4"/>
          <w:lang w:val="en-US" w:eastAsia="zh-CN"/>
        </w:rPr>
        <w:t>40</w:t>
      </w:r>
      <w:r>
        <w:rPr>
          <w:rFonts w:hint="eastAsia" w:ascii="仿宋" w:hAnsi="仿宋" w:eastAsia="仿宋" w:cs="仿宋"/>
          <w:spacing w:val="4"/>
        </w:rPr>
        <w:t>%，出具验收报告后支付合同价</w:t>
      </w:r>
      <w:r>
        <w:rPr>
          <w:rFonts w:hint="eastAsia" w:ascii="仿宋" w:hAnsi="仿宋" w:eastAsia="仿宋" w:cs="仿宋"/>
          <w:spacing w:val="4"/>
          <w:lang w:val="en-US" w:eastAsia="zh-CN"/>
        </w:rPr>
        <w:t>3</w:t>
      </w:r>
      <w:r>
        <w:rPr>
          <w:rFonts w:hint="eastAsia" w:ascii="仿宋" w:hAnsi="仿宋" w:eastAsia="仿宋" w:cs="仿宋"/>
          <w:spacing w:val="4"/>
        </w:rPr>
        <w:t>0%。具体以</w:t>
      </w:r>
      <w:r>
        <w:rPr>
          <w:rFonts w:hint="eastAsia" w:ascii="仿宋" w:hAnsi="仿宋" w:eastAsia="仿宋" w:cs="仿宋"/>
          <w:spacing w:val="-3"/>
        </w:rPr>
        <w:t>签订合同为主。</w:t>
      </w:r>
    </w:p>
    <w:p w14:paraId="1F585B0E">
      <w:pPr>
        <w:pStyle w:val="12"/>
        <w:spacing w:before="1" w:line="360" w:lineRule="auto"/>
        <w:ind w:left="37"/>
        <w:rPr>
          <w:rFonts w:hint="eastAsia" w:ascii="仿宋" w:hAnsi="仿宋" w:eastAsia="仿宋" w:cs="仿宋"/>
        </w:rPr>
      </w:pPr>
      <w:r>
        <w:rPr>
          <w:rFonts w:hint="eastAsia" w:ascii="仿宋" w:hAnsi="仿宋" w:eastAsia="仿宋" w:cs="仿宋"/>
          <w:spacing w:val="-2"/>
        </w:rPr>
        <w:t>4、售后服务</w:t>
      </w:r>
    </w:p>
    <w:p w14:paraId="48CA9A4E">
      <w:pPr>
        <w:pStyle w:val="12"/>
        <w:spacing w:before="28" w:line="360" w:lineRule="auto"/>
        <w:ind w:left="48" w:right="79" w:firstLine="14"/>
        <w:rPr>
          <w:rFonts w:hint="eastAsia" w:ascii="仿宋" w:hAnsi="仿宋" w:eastAsia="仿宋" w:cs="仿宋"/>
        </w:rPr>
      </w:pPr>
      <w:r>
        <w:rPr>
          <w:rFonts w:hint="eastAsia" w:ascii="仿宋" w:hAnsi="仿宋" w:eastAsia="仿宋" w:cs="仿宋"/>
          <w:spacing w:val="-1"/>
        </w:rPr>
        <w:t>售后服务：①供应商所提供的产品出厂日期必须是近</w:t>
      </w:r>
      <w:r>
        <w:rPr>
          <w:rFonts w:hint="eastAsia" w:ascii="仿宋" w:hAnsi="仿宋" w:eastAsia="仿宋" w:cs="仿宋"/>
          <w:spacing w:val="-2"/>
        </w:rPr>
        <w:t>3个月内的，并</w:t>
      </w:r>
      <w:r>
        <w:rPr>
          <w:rFonts w:hint="eastAsia" w:ascii="仿宋" w:hAnsi="仿宋" w:eastAsia="仿宋" w:cs="仿宋"/>
          <w:spacing w:val="-5"/>
        </w:rPr>
        <w:t>保证货物到达采购方指定地点时完好无损，如有缺漏、损坏，由供应</w:t>
      </w:r>
      <w:r>
        <w:rPr>
          <w:rFonts w:hint="eastAsia" w:ascii="仿宋" w:hAnsi="仿宋" w:eastAsia="仿宋" w:cs="仿宋"/>
          <w:spacing w:val="7"/>
        </w:rPr>
        <w:t xml:space="preserve"> </w:t>
      </w:r>
      <w:r>
        <w:rPr>
          <w:rFonts w:hint="eastAsia" w:ascii="仿宋" w:hAnsi="仿宋" w:eastAsia="仿宋" w:cs="仿宋"/>
          <w:spacing w:val="-2"/>
        </w:rPr>
        <w:t>商负责调换、补齐或赔偿。</w:t>
      </w:r>
    </w:p>
    <w:p w14:paraId="581FC5E7">
      <w:pPr>
        <w:pStyle w:val="12"/>
        <w:spacing w:before="1" w:line="360" w:lineRule="auto"/>
        <w:ind w:left="48" w:right="77" w:firstLine="548"/>
        <w:rPr>
          <w:rFonts w:hint="eastAsia" w:ascii="仿宋" w:hAnsi="仿宋" w:eastAsia="仿宋" w:cs="仿宋"/>
        </w:rPr>
      </w:pPr>
      <w:r>
        <w:rPr>
          <w:rFonts w:hint="eastAsia" w:ascii="仿宋" w:hAnsi="仿宋" w:eastAsia="仿宋" w:cs="仿宋"/>
          <w:spacing w:val="-5"/>
        </w:rPr>
        <w:t>②产品质量：在合同期内，甲方正常使用乙方所供产品而出现质量问题时，乙方负责。产品使用：甲方在使用乙方所供产品中出现问</w:t>
      </w:r>
      <w:r>
        <w:rPr>
          <w:rFonts w:hint="eastAsia" w:ascii="仿宋" w:hAnsi="仿宋" w:eastAsia="仿宋" w:cs="仿宋"/>
          <w:spacing w:val="-1"/>
        </w:rPr>
        <w:t>题需乙方解决时，乙方应无偿解决（退换货）。</w:t>
      </w:r>
    </w:p>
    <w:p w14:paraId="0E4CCEAE">
      <w:pPr>
        <w:pStyle w:val="12"/>
        <w:spacing w:before="43" w:line="360" w:lineRule="auto"/>
        <w:ind w:left="76" w:firstLine="460" w:firstLineChars="200"/>
        <w:rPr>
          <w:rFonts w:hint="eastAsia" w:ascii="仿宋" w:hAnsi="仿宋" w:eastAsia="仿宋" w:cs="仿宋"/>
        </w:rPr>
      </w:pPr>
      <w:r>
        <w:rPr>
          <w:rFonts w:hint="eastAsia" w:ascii="仿宋" w:hAnsi="仿宋" w:eastAsia="仿宋" w:cs="仿宋"/>
          <w:spacing w:val="-5"/>
        </w:rPr>
        <w:t>③货物到达现场后，供应商应在采购方正式工作人员在场情况下</w:t>
      </w:r>
      <w:r>
        <w:rPr>
          <w:rFonts w:hint="eastAsia" w:ascii="仿宋" w:hAnsi="仿宋" w:eastAsia="仿宋" w:cs="仿宋"/>
          <w:spacing w:val="-2"/>
        </w:rPr>
        <w:t>当面共同清点、检查，作出检查记录，双方签字确认。</w:t>
      </w:r>
    </w:p>
    <w:p w14:paraId="14D116C8">
      <w:pPr>
        <w:pStyle w:val="12"/>
        <w:spacing w:before="25" w:line="360" w:lineRule="auto"/>
        <w:ind w:left="52" w:right="93" w:firstLine="543"/>
        <w:rPr>
          <w:rFonts w:hint="eastAsia" w:ascii="仿宋" w:hAnsi="仿宋" w:eastAsia="仿宋" w:cs="仿宋"/>
        </w:rPr>
      </w:pPr>
      <w:r>
        <w:rPr>
          <w:rFonts w:hint="eastAsia" w:ascii="仿宋" w:hAnsi="仿宋" w:eastAsia="仿宋" w:cs="仿宋"/>
          <w:spacing w:val="-5"/>
        </w:rPr>
        <w:t>④采购方将对供应商所供货品进行随机抽样检验；如供货方所供货品氟含量不符合国家标准，采购方有权解除合同，供应方承担相应</w:t>
      </w:r>
      <w:r>
        <w:rPr>
          <w:rFonts w:hint="eastAsia" w:ascii="仿宋" w:hAnsi="仿宋" w:eastAsia="仿宋" w:cs="仿宋"/>
          <w:spacing w:val="-3"/>
        </w:rPr>
        <w:t>的违约及法律责任。</w:t>
      </w:r>
    </w:p>
    <w:p w14:paraId="630FF131">
      <w:pPr>
        <w:pStyle w:val="12"/>
        <w:spacing w:before="26" w:line="360" w:lineRule="auto"/>
        <w:ind w:left="51" w:right="96" w:firstLine="544"/>
        <w:rPr>
          <w:rFonts w:hint="eastAsia" w:ascii="仿宋" w:hAnsi="仿宋" w:eastAsia="仿宋" w:cs="仿宋"/>
          <w:highlight w:val="none"/>
        </w:rPr>
      </w:pPr>
      <w:r>
        <w:rPr>
          <w:rFonts w:hint="eastAsia" w:ascii="仿宋" w:hAnsi="仿宋" w:eastAsia="仿宋" w:cs="仿宋"/>
          <w:spacing w:val="-5"/>
        </w:rPr>
        <w:t>⑤如因供应商未按规定时间响应采购人供货需求，导致采购人造</w:t>
      </w:r>
      <w:r>
        <w:rPr>
          <w:rFonts w:hint="eastAsia" w:ascii="仿宋" w:hAnsi="仿宋" w:eastAsia="仿宋" w:cs="仿宋"/>
          <w:spacing w:val="8"/>
        </w:rPr>
        <w:t xml:space="preserve"> </w:t>
      </w:r>
      <w:r>
        <w:rPr>
          <w:rFonts w:hint="eastAsia" w:ascii="仿宋" w:hAnsi="仿宋" w:eastAsia="仿宋" w:cs="仿宋"/>
          <w:spacing w:val="-2"/>
        </w:rPr>
        <w:t>成损失的，由供应商赔偿采购人所有损失。</w:t>
      </w:r>
      <w:r>
        <w:rPr>
          <w:rFonts w:hint="eastAsia" w:ascii="仿宋" w:hAnsi="仿宋" w:eastAsia="仿宋" w:cs="仿宋"/>
          <w:spacing w:val="-2"/>
        </w:rPr>
        <w:br w:type="textWrapping"/>
      </w:r>
      <w:r>
        <w:rPr>
          <w:rFonts w:hint="eastAsia" w:ascii="仿宋" w:hAnsi="仿宋" w:eastAsia="仿宋" w:cs="仿宋"/>
          <w:spacing w:val="-2"/>
          <w:highlight w:val="none"/>
          <w:lang w:val="en-US" w:eastAsia="zh-CN"/>
        </w:rPr>
        <w:t xml:space="preserve">    ⑥可</w:t>
      </w:r>
      <w:r>
        <w:rPr>
          <w:rFonts w:hint="eastAsia" w:ascii="仿宋" w:hAnsi="仿宋" w:eastAsia="仿宋" w:cs="仿宋"/>
          <w:spacing w:val="-2"/>
          <w:highlight w:val="none"/>
        </w:rPr>
        <w:t>优先选择国家边销茶定点生产企业</w:t>
      </w:r>
      <w:r>
        <w:rPr>
          <w:rFonts w:hint="eastAsia" w:ascii="仿宋" w:hAnsi="仿宋" w:eastAsia="仿宋" w:cs="仿宋"/>
          <w:spacing w:val="-2"/>
          <w:highlight w:val="none"/>
          <w:lang w:val="en-US" w:eastAsia="zh-CN"/>
        </w:rPr>
        <w:t>采购</w:t>
      </w:r>
      <w:r>
        <w:rPr>
          <w:rFonts w:hint="eastAsia" w:ascii="仿宋" w:hAnsi="仿宋" w:eastAsia="仿宋" w:cs="仿宋"/>
          <w:spacing w:val="-2"/>
          <w:highlight w:val="none"/>
        </w:rPr>
        <w:t>。</w:t>
      </w:r>
    </w:p>
    <w:p w14:paraId="17C82A6F">
      <w:pPr>
        <w:pStyle w:val="12"/>
        <w:spacing w:before="23" w:line="360" w:lineRule="auto"/>
        <w:ind w:left="43"/>
        <w:rPr>
          <w:rFonts w:hint="eastAsia" w:ascii="仿宋" w:hAnsi="仿宋" w:eastAsia="仿宋" w:cs="仿宋"/>
        </w:rPr>
      </w:pPr>
      <w:r>
        <w:rPr>
          <w:rFonts w:hint="eastAsia" w:ascii="仿宋" w:hAnsi="仿宋" w:eastAsia="仿宋" w:cs="仿宋"/>
          <w:spacing w:val="-2"/>
        </w:rPr>
        <w:t>5、验收标准和验收单位</w:t>
      </w:r>
    </w:p>
    <w:p w14:paraId="5132A397">
      <w:pPr>
        <w:pStyle w:val="12"/>
        <w:spacing w:before="27" w:line="360" w:lineRule="auto"/>
        <w:ind w:left="605"/>
        <w:rPr>
          <w:rFonts w:hint="eastAsia" w:ascii="仿宋" w:hAnsi="仿宋" w:eastAsia="仿宋" w:cs="仿宋"/>
        </w:rPr>
      </w:pPr>
      <w:r>
        <w:rPr>
          <w:rFonts w:hint="eastAsia" w:ascii="仿宋" w:hAnsi="仿宋" w:eastAsia="仿宋" w:cs="仿宋"/>
          <w:spacing w:val="-1"/>
        </w:rPr>
        <w:t>验收主体：中共莎车县委统战部及相关单位</w:t>
      </w:r>
    </w:p>
    <w:p w14:paraId="1165575B">
      <w:pPr>
        <w:pStyle w:val="12"/>
        <w:spacing w:before="30" w:line="360" w:lineRule="auto"/>
        <w:ind w:left="605"/>
        <w:rPr>
          <w:rFonts w:hint="eastAsia" w:ascii="仿宋" w:hAnsi="仿宋" w:eastAsia="仿宋" w:cs="仿宋"/>
        </w:rPr>
      </w:pPr>
      <w:r>
        <w:rPr>
          <w:rFonts w:hint="eastAsia" w:ascii="仿宋" w:hAnsi="仿宋" w:eastAsia="仿宋" w:cs="仿宋"/>
          <w:spacing w:val="-1"/>
        </w:rPr>
        <w:t>验收时间：供货完毕后（具体以签订合同为主）</w:t>
      </w:r>
    </w:p>
    <w:p w14:paraId="0D404D48">
      <w:pPr>
        <w:pStyle w:val="12"/>
        <w:spacing w:before="29" w:line="360" w:lineRule="auto"/>
        <w:ind w:left="49" w:firstLine="556"/>
        <w:jc w:val="both"/>
        <w:rPr>
          <w:rFonts w:hint="eastAsia" w:ascii="仿宋" w:hAnsi="仿宋" w:eastAsia="仿宋" w:cs="仿宋"/>
        </w:rPr>
      </w:pPr>
      <w:r>
        <w:rPr>
          <w:rFonts w:hint="eastAsia" w:ascii="仿宋" w:hAnsi="仿宋" w:eastAsia="仿宋" w:cs="仿宋"/>
          <w:spacing w:val="-1"/>
        </w:rPr>
        <w:t>验收方式：依据《财库[2016]205号财政部关于进一步加强政府</w:t>
      </w:r>
      <w:r>
        <w:rPr>
          <w:rFonts w:hint="eastAsia" w:ascii="仿宋" w:hAnsi="仿宋" w:eastAsia="仿宋" w:cs="仿宋"/>
          <w:spacing w:val="-11"/>
        </w:rPr>
        <w:t>采购需求和履约验收管理的指导意见》严格按照招标文件、采购合同、</w:t>
      </w:r>
      <w:r>
        <w:rPr>
          <w:rFonts w:hint="eastAsia" w:ascii="仿宋" w:hAnsi="仿宋" w:eastAsia="仿宋" w:cs="仿宋"/>
          <w:spacing w:val="-1"/>
        </w:rPr>
        <w:t>相关国家标准（GB 19965-2005）以及投标文件进行现场验收。</w:t>
      </w:r>
    </w:p>
    <w:p w14:paraId="0AA219DC">
      <w:pPr>
        <w:pStyle w:val="12"/>
        <w:spacing w:before="6" w:line="360" w:lineRule="auto"/>
        <w:ind w:left="46" w:right="11" w:firstLine="559"/>
        <w:jc w:val="both"/>
        <w:rPr>
          <w:rFonts w:hint="eastAsia" w:ascii="仿宋" w:hAnsi="仿宋" w:eastAsia="仿宋" w:cs="仿宋"/>
        </w:rPr>
      </w:pPr>
      <w:r>
        <w:rPr>
          <w:rFonts w:hint="eastAsia" w:ascii="仿宋" w:hAnsi="仿宋" w:eastAsia="仿宋" w:cs="仿宋"/>
          <w:spacing w:val="-5"/>
        </w:rPr>
        <w:t>验收程序：关于进一步加强政府采购需求和履约验收管理的指导意见，严格按照采购合同开展履约验收。采购人或者采购代理机构应</w:t>
      </w:r>
      <w:r>
        <w:rPr>
          <w:rFonts w:hint="eastAsia" w:ascii="仿宋" w:hAnsi="仿宋" w:eastAsia="仿宋" w:cs="仿宋"/>
          <w:spacing w:val="9"/>
        </w:rPr>
        <w:t xml:space="preserve"> </w:t>
      </w:r>
      <w:r>
        <w:rPr>
          <w:rFonts w:hint="eastAsia" w:ascii="仿宋" w:hAnsi="仿宋" w:eastAsia="仿宋" w:cs="仿宋"/>
          <w:spacing w:val="-2"/>
        </w:rPr>
        <w:t>当成立验收小组，按照采购合同的约定对供应商履约情况进行验收。</w:t>
      </w:r>
      <w:r>
        <w:rPr>
          <w:rFonts w:hint="eastAsia" w:ascii="仿宋" w:hAnsi="仿宋" w:eastAsia="仿宋" w:cs="仿宋"/>
          <w:spacing w:val="3"/>
        </w:rPr>
        <w:t xml:space="preserve"> </w:t>
      </w:r>
      <w:r>
        <w:rPr>
          <w:rFonts w:hint="eastAsia" w:ascii="仿宋" w:hAnsi="仿宋" w:eastAsia="仿宋" w:cs="仿宋"/>
          <w:spacing w:val="-5"/>
        </w:rPr>
        <w:t>验收时，应当按照采购合同的约定对每项技术、服务、安全标准的履约情况进行确认。验收结束后，应当出具验收书，列明各项标准的验</w:t>
      </w:r>
      <w:r>
        <w:rPr>
          <w:rFonts w:hint="eastAsia" w:ascii="仿宋" w:hAnsi="仿宋" w:eastAsia="仿宋" w:cs="仿宋"/>
          <w:spacing w:val="11"/>
        </w:rPr>
        <w:t xml:space="preserve"> </w:t>
      </w:r>
      <w:r>
        <w:rPr>
          <w:rFonts w:hint="eastAsia" w:ascii="仿宋" w:hAnsi="仿宋" w:eastAsia="仿宋" w:cs="仿宋"/>
          <w:spacing w:val="-5"/>
        </w:rPr>
        <w:t>收情况及项目总体评价，由验收双方共同签署。验收结果应当与采购</w:t>
      </w:r>
      <w:r>
        <w:rPr>
          <w:rFonts w:hint="eastAsia" w:ascii="仿宋" w:hAnsi="仿宋" w:eastAsia="仿宋" w:cs="仿宋"/>
          <w:spacing w:val="9"/>
        </w:rPr>
        <w:t xml:space="preserve"> </w:t>
      </w:r>
      <w:r>
        <w:rPr>
          <w:rFonts w:hint="eastAsia" w:ascii="仿宋" w:hAnsi="仿宋" w:eastAsia="仿宋" w:cs="仿宋"/>
          <w:spacing w:val="-5"/>
        </w:rPr>
        <w:t>合同约定的资金支付及履约保证金返还条件挂钩。履约验收的各项资料应当存档备查。验收不合格的项目，采购人应当依法及时处理。采</w:t>
      </w:r>
      <w:r>
        <w:rPr>
          <w:rFonts w:hint="eastAsia" w:ascii="仿宋" w:hAnsi="仿宋" w:eastAsia="仿宋" w:cs="仿宋"/>
          <w:spacing w:val="11"/>
        </w:rPr>
        <w:t xml:space="preserve"> </w:t>
      </w:r>
      <w:r>
        <w:rPr>
          <w:rFonts w:hint="eastAsia" w:ascii="仿宋" w:hAnsi="仿宋" w:eastAsia="仿宋" w:cs="仿宋"/>
          <w:spacing w:val="-5"/>
        </w:rPr>
        <w:t>购合同的履行、违约责任和解决争议的方式等适用《中华人民共和国民法典》。供应商在履约过程中有政府采购法律法规规定的违法违规</w:t>
      </w:r>
      <w:r>
        <w:rPr>
          <w:rFonts w:hint="eastAsia" w:ascii="仿宋" w:hAnsi="仿宋" w:eastAsia="仿宋" w:cs="仿宋"/>
          <w:spacing w:val="-1"/>
        </w:rPr>
        <w:t>情形的，采购人应当及时报告本级财政部门。</w:t>
      </w:r>
    </w:p>
    <w:p w14:paraId="0AD62A03">
      <w:pPr>
        <w:pStyle w:val="12"/>
        <w:spacing w:before="1" w:line="360" w:lineRule="auto"/>
        <w:ind w:left="605"/>
        <w:rPr>
          <w:rFonts w:hint="eastAsia" w:ascii="仿宋" w:hAnsi="仿宋" w:eastAsia="仿宋" w:cs="仿宋"/>
        </w:rPr>
      </w:pPr>
      <w:r>
        <w:rPr>
          <w:rFonts w:hint="eastAsia" w:ascii="仿宋" w:hAnsi="仿宋" w:eastAsia="仿宋" w:cs="仿宋"/>
          <w:spacing w:val="-2"/>
        </w:rPr>
        <w:t>验收内容：本次采购的所有货物</w:t>
      </w:r>
    </w:p>
    <w:p w14:paraId="025289F5">
      <w:pPr>
        <w:pStyle w:val="12"/>
        <w:spacing w:before="31" w:line="360" w:lineRule="auto"/>
        <w:ind w:left="46" w:right="96" w:firstLine="558"/>
        <w:jc w:val="both"/>
        <w:rPr>
          <w:rFonts w:hint="eastAsia" w:ascii="仿宋" w:hAnsi="仿宋" w:eastAsia="仿宋" w:cs="仿宋"/>
        </w:rPr>
      </w:pPr>
      <w:r>
        <w:rPr>
          <w:rFonts w:hint="eastAsia" w:ascii="仿宋" w:hAnsi="仿宋" w:eastAsia="仿宋" w:cs="仿宋"/>
          <w:spacing w:val="1"/>
        </w:rPr>
        <w:t>验收标准</w:t>
      </w:r>
      <w:r>
        <w:rPr>
          <w:rFonts w:hint="eastAsia" w:ascii="仿宋" w:hAnsi="仿宋" w:eastAsia="仿宋" w:cs="仿宋"/>
          <w:spacing w:val="-20"/>
        </w:rPr>
        <w:t>：（</w:t>
      </w:r>
      <w:r>
        <w:rPr>
          <w:rFonts w:hint="eastAsia" w:ascii="仿宋" w:hAnsi="仿宋" w:eastAsia="仿宋" w:cs="仿宋"/>
          <w:spacing w:val="1"/>
        </w:rPr>
        <w:t>1）实物验收，严格响应招标文件</w:t>
      </w:r>
      <w:r>
        <w:rPr>
          <w:rFonts w:hint="eastAsia" w:ascii="仿宋" w:hAnsi="仿宋" w:eastAsia="仿宋" w:cs="仿宋"/>
        </w:rPr>
        <w:t>，所有货物按国</w:t>
      </w:r>
      <w:r>
        <w:rPr>
          <w:rFonts w:hint="eastAsia" w:ascii="仿宋" w:hAnsi="仿宋" w:eastAsia="仿宋" w:cs="仿宋"/>
          <w:spacing w:val="-1"/>
        </w:rPr>
        <w:t>家标准（GB 19965-2005）要求</w:t>
      </w:r>
      <w:r>
        <w:rPr>
          <w:rFonts w:hint="eastAsia" w:ascii="仿宋" w:hAnsi="仿宋" w:eastAsia="仿宋" w:cs="仿宋"/>
          <w:spacing w:val="-1"/>
          <w:lang w:eastAsia="zh-CN"/>
        </w:rPr>
        <w:t>，农药残留检测:需符合食品安全国家标准GB2763(符合草甘、乐果、毒死蜱等农药最大残留限量。报告要求:需提供以上两项近半年内官方或官方授权第三方检测机构出具的含氟含农药残留检测报告</w:t>
      </w:r>
      <w:r>
        <w:rPr>
          <w:rFonts w:hint="eastAsia" w:ascii="仿宋" w:hAnsi="仿宋" w:eastAsia="仿宋" w:cs="仿宋"/>
          <w:spacing w:val="-1"/>
        </w:rPr>
        <w:t>，进行数量及质量的验收。如供货达</w:t>
      </w:r>
      <w:r>
        <w:rPr>
          <w:rFonts w:hint="eastAsia" w:ascii="仿宋" w:hAnsi="仿宋" w:eastAsia="仿宋" w:cs="仿宋"/>
          <w:spacing w:val="-5"/>
        </w:rPr>
        <w:t>不到要求采购人将不予验收并由供应商承担一切责任，所造成的一切</w:t>
      </w:r>
      <w:r>
        <w:rPr>
          <w:rFonts w:hint="eastAsia" w:ascii="仿宋" w:hAnsi="仿宋" w:eastAsia="仿宋" w:cs="仿宋"/>
          <w:spacing w:val="8"/>
        </w:rPr>
        <w:t xml:space="preserve"> </w:t>
      </w:r>
      <w:r>
        <w:rPr>
          <w:rFonts w:hint="eastAsia" w:ascii="仿宋" w:hAnsi="仿宋" w:eastAsia="仿宋" w:cs="仿宋"/>
          <w:spacing w:val="-5"/>
        </w:rPr>
        <w:t>损失验收费用由成交供应商承担，抽样检测报告和验收报告作为申请</w:t>
      </w:r>
      <w:r>
        <w:rPr>
          <w:rFonts w:hint="eastAsia" w:ascii="仿宋" w:hAnsi="仿宋" w:eastAsia="仿宋" w:cs="仿宋"/>
          <w:spacing w:val="8"/>
        </w:rPr>
        <w:t xml:space="preserve"> </w:t>
      </w:r>
      <w:r>
        <w:rPr>
          <w:rFonts w:hint="eastAsia" w:ascii="仿宋" w:hAnsi="仿宋" w:eastAsia="仿宋" w:cs="仿宋"/>
          <w:spacing w:val="-3"/>
        </w:rPr>
        <w:t>付款的凭证之一。</w:t>
      </w:r>
    </w:p>
    <w:p w14:paraId="0DC78419">
      <w:pPr>
        <w:pStyle w:val="12"/>
        <w:spacing w:before="2" w:line="360" w:lineRule="auto"/>
        <w:ind w:left="48" w:right="11" w:firstLine="419"/>
        <w:jc w:val="both"/>
        <w:rPr>
          <w:rFonts w:hint="eastAsia" w:ascii="仿宋" w:hAnsi="仿宋" w:eastAsia="仿宋" w:cs="仿宋"/>
        </w:rPr>
      </w:pPr>
      <w:r>
        <w:rPr>
          <w:rFonts w:hint="eastAsia" w:ascii="仿宋" w:hAnsi="仿宋" w:eastAsia="仿宋" w:cs="仿宋"/>
          <w:spacing w:val="-5"/>
        </w:rPr>
        <w:t>（3）项目验收不合格，由成交供应商重新供货直至合格。有关返</w:t>
      </w:r>
      <w:r>
        <w:rPr>
          <w:rFonts w:hint="eastAsia" w:ascii="仿宋" w:hAnsi="仿宋" w:eastAsia="仿宋" w:cs="仿宋"/>
          <w:spacing w:val="2"/>
        </w:rPr>
        <w:t xml:space="preserve"> </w:t>
      </w:r>
      <w:r>
        <w:rPr>
          <w:rFonts w:hint="eastAsia" w:ascii="仿宋" w:hAnsi="仿宋" w:eastAsia="仿宋" w:cs="仿宋"/>
          <w:spacing w:val="-2"/>
        </w:rPr>
        <w:t>工、再行验收，以及给采购人造成的损失等费用由成交供应商承担。</w:t>
      </w:r>
      <w:r>
        <w:rPr>
          <w:rFonts w:hint="eastAsia" w:ascii="仿宋" w:hAnsi="仿宋" w:eastAsia="仿宋" w:cs="仿宋"/>
          <w:spacing w:val="1"/>
        </w:rPr>
        <w:t xml:space="preserve"> </w:t>
      </w:r>
      <w:r>
        <w:rPr>
          <w:rFonts w:hint="eastAsia" w:ascii="仿宋" w:hAnsi="仿宋" w:eastAsia="仿宋" w:cs="仿宋"/>
          <w:spacing w:val="-5"/>
        </w:rPr>
        <w:t>连续两次项目验收不合格的，采购人可终止合同，另行按规定选择其</w:t>
      </w:r>
      <w:r>
        <w:rPr>
          <w:rFonts w:hint="eastAsia" w:ascii="仿宋" w:hAnsi="仿宋" w:eastAsia="仿宋" w:cs="仿宋"/>
          <w:spacing w:val="9"/>
        </w:rPr>
        <w:t xml:space="preserve"> </w:t>
      </w:r>
      <w:r>
        <w:rPr>
          <w:rFonts w:hint="eastAsia" w:ascii="仿宋" w:hAnsi="仿宋" w:eastAsia="仿宋" w:cs="仿宋"/>
          <w:spacing w:val="-1"/>
        </w:rPr>
        <w:t>他供应商采购，由此带来的一切损失由成交供应商承担。</w:t>
      </w:r>
    </w:p>
    <w:p w14:paraId="2D628BEB">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633AE6E5">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690A404C">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1DC73D8E">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6AEFA26F">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6B8FB31D">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3F2D4BDA">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5FB4F5DA">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4391FD0F">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768AE058">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51AFEC04">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64D8A765">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72E85A78">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42E8F111">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76D2F021">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38D97B10">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74658107">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6EDA8793">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52C09160">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52BE996F">
      <w:pPr>
        <w:pStyle w:val="2"/>
        <w:numPr>
          <w:ilvl w:val="0"/>
          <w:numId w:val="0"/>
        </w:numPr>
        <w:spacing w:line="440" w:lineRule="exact"/>
        <w:ind w:left="0" w:leftChars="0" w:firstLine="2891" w:firstLineChars="900"/>
        <w:jc w:val="both"/>
        <w:outlineLvl w:val="0"/>
        <w:rPr>
          <w:rFonts w:hint="eastAsia" w:ascii="仿宋" w:hAnsi="仿宋" w:eastAsia="仿宋" w:cs="仿宋"/>
          <w:b/>
          <w:color w:val="auto"/>
          <w:kern w:val="44"/>
          <w:sz w:val="32"/>
          <w:highlight w:val="none"/>
        </w:rPr>
      </w:pPr>
    </w:p>
    <w:p w14:paraId="5BCE2B49">
      <w:pPr>
        <w:pStyle w:val="2"/>
        <w:numPr>
          <w:ilvl w:val="0"/>
          <w:numId w:val="0"/>
        </w:numPr>
        <w:spacing w:line="440" w:lineRule="exact"/>
        <w:ind w:firstLine="2570" w:firstLineChars="800"/>
        <w:jc w:val="both"/>
        <w:outlineLvl w:val="0"/>
        <w:rPr>
          <w:rFonts w:hint="eastAsia" w:ascii="仿宋" w:hAnsi="仿宋" w:eastAsia="仿宋" w:cs="仿宋"/>
          <w:b/>
          <w:color w:val="auto"/>
          <w:highlight w:val="none"/>
        </w:rPr>
      </w:pPr>
      <w:r>
        <w:rPr>
          <w:rFonts w:hint="eastAsia" w:ascii="仿宋" w:hAnsi="仿宋" w:eastAsia="仿宋" w:cs="仿宋"/>
          <w:b/>
          <w:color w:val="auto"/>
          <w:kern w:val="44"/>
          <w:sz w:val="32"/>
          <w:highlight w:val="none"/>
        </w:rPr>
        <w:t xml:space="preserve">第6章  </w:t>
      </w:r>
      <w:bookmarkStart w:id="534" w:name="_Toc518923127"/>
      <w:bookmarkStart w:id="535" w:name="_Toc507399907"/>
      <w:bookmarkStart w:id="536" w:name="_Toc10220"/>
      <w:r>
        <w:rPr>
          <w:rFonts w:hint="eastAsia" w:ascii="仿宋" w:hAnsi="仿宋" w:eastAsia="仿宋" w:cs="仿宋"/>
          <w:b/>
          <w:color w:val="auto"/>
          <w:kern w:val="44"/>
          <w:sz w:val="32"/>
          <w:highlight w:val="none"/>
        </w:rPr>
        <w:t>评标方法和标准</w:t>
      </w:r>
      <w:bookmarkEnd w:id="528"/>
      <w:bookmarkEnd w:id="529"/>
      <w:bookmarkEnd w:id="530"/>
      <w:bookmarkEnd w:id="533"/>
      <w:bookmarkEnd w:id="534"/>
      <w:bookmarkEnd w:id="535"/>
      <w:bookmarkEnd w:id="536"/>
    </w:p>
    <w:p w14:paraId="400B93AE">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本项目将按照</w:t>
      </w:r>
      <w:r>
        <w:rPr>
          <w:rFonts w:hint="eastAsia" w:ascii="仿宋" w:hAnsi="仿宋" w:eastAsia="仿宋" w:cs="仿宋"/>
          <w:bCs/>
          <w:color w:val="auto"/>
          <w:highlight w:val="none"/>
          <w:lang w:eastAsia="zh-CN"/>
        </w:rPr>
        <w:t>谈判</w:t>
      </w:r>
      <w:r>
        <w:rPr>
          <w:rFonts w:hint="eastAsia" w:ascii="仿宋" w:hAnsi="仿宋" w:eastAsia="仿宋" w:cs="仿宋"/>
          <w:bCs/>
          <w:color w:val="auto"/>
          <w:highlight w:val="none"/>
        </w:rPr>
        <w:t>文件第一章供应商须知中“五 开标及评标”、“六 确定中标”及本章的规定评标。</w:t>
      </w:r>
      <w:bookmarkStart w:id="537" w:name="_Toc4083_WPSOffice_Level2"/>
    </w:p>
    <w:p w14:paraId="2E5A22B7">
      <w:pPr>
        <w:pStyle w:val="12"/>
        <w:tabs>
          <w:tab w:val="clear" w:pos="567"/>
        </w:tabs>
        <w:spacing w:before="0" w:line="440" w:lineRule="exact"/>
        <w:ind w:firstLine="542" w:firstLineChars="225"/>
        <w:rPr>
          <w:rFonts w:hint="eastAsia" w:ascii="仿宋" w:hAnsi="仿宋" w:eastAsia="仿宋" w:cs="仿宋"/>
          <w:b/>
          <w:color w:val="auto"/>
          <w:highlight w:val="none"/>
        </w:rPr>
      </w:pPr>
      <w:r>
        <w:rPr>
          <w:rFonts w:hint="eastAsia" w:ascii="仿宋" w:hAnsi="仿宋" w:eastAsia="仿宋" w:cs="仿宋"/>
          <w:b/>
          <w:color w:val="auto"/>
          <w:highlight w:val="none"/>
        </w:rPr>
        <w:t>1.</w:t>
      </w:r>
      <w:r>
        <w:rPr>
          <w:rFonts w:hint="eastAsia" w:ascii="仿宋" w:hAnsi="仿宋" w:eastAsia="仿宋" w:cs="仿宋"/>
          <w:b/>
          <w:color w:val="auto"/>
          <w:highlight w:val="none"/>
          <w:lang w:eastAsia="zh-CN"/>
        </w:rPr>
        <w:t>响应</w:t>
      </w:r>
      <w:r>
        <w:rPr>
          <w:rFonts w:hint="eastAsia" w:ascii="仿宋" w:hAnsi="仿宋" w:eastAsia="仿宋" w:cs="仿宋"/>
          <w:b/>
          <w:color w:val="auto"/>
          <w:highlight w:val="none"/>
        </w:rPr>
        <w:t>无效的情形：</w:t>
      </w:r>
    </w:p>
    <w:p w14:paraId="03C2D754">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（1）单位负责人为同一人或者存在直接控股、管理关系的不同供应商，其相关投标将被认定为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582ED43B">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（2）若供应商须知资料表中未写明允许采购进口产品，如供应商所投产品为进口产品，将被认定为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2836B2F5">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 xml:space="preserve"> （3）为本项目提供过整体设计、规范编制或者项目管理、监理、检测等货物的供应商，不得再参加本项目上述货物以外的其他采购活动。否则其投标将被认定为投标无效。供应商在投标过程中不得向采购人提供、给予任何有价值的物品，影响其正常决策行为。一经发现，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0DCFC54B">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（4）供应商报价超过谈判文件规定的预算金额或者分项、分包最高限价的，将被认定为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0117D9EF">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（5）供应商应认真阅读谈判文件所有的事项、格式、条款和技术规范等。如供应商没有按照谈判文件要求提交全部资料，或者响应文件没有对响应文件在各方面都做出实质性响应，可能导致其将被认定为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5609362F">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 xml:space="preserve"> （6）供应商应当对所投分包响应文件中“货物需求”所列的所有内容进行投标，如仅响应某一包中的部分内容，将被认定为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0209C70C">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（7）供应商未按本须知第12.1和12.3条规定提交谈判保证金的，其资格将被认定为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0826ABD8">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（8）所有投标均以人民币报价。供应商的投标报价应遵守《中华人民共和国价格法》。同时，根据《中华人民共和国政府采购法》第二条的规定，为保证公平竞争，如有货物主体部分的赠与行为，将被认定为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5CB9E52C">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（9）供应商所报的各分项投标单价在合同履行过程中是固定不变的，不得以任何理由予以变更。任何包含价格调整要求的投标，将被认定为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7D4451DD">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（10）应在供应商须知资料表中规定时间内保持有效。</w:t>
      </w:r>
      <w:r>
        <w:rPr>
          <w:rFonts w:hint="eastAsia" w:ascii="仿宋" w:hAnsi="仿宋" w:eastAsia="仿宋" w:cs="仿宋"/>
          <w:bCs/>
          <w:color w:val="auto"/>
          <w:highlight w:val="none"/>
          <w:lang w:eastAsia="zh-CN"/>
        </w:rPr>
        <w:t>谈判</w:t>
      </w:r>
      <w:r>
        <w:rPr>
          <w:rFonts w:hint="eastAsia" w:ascii="仿宋" w:hAnsi="仿宋" w:eastAsia="仿宋" w:cs="仿宋"/>
          <w:bCs/>
          <w:color w:val="auto"/>
          <w:highlight w:val="none"/>
        </w:rPr>
        <w:t>有效期不满足要求的投标，将被认定为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55FD3BB3">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（11）所有响应文件采用不可拆装的胶订方式装订，否则将被认定为无效。</w:t>
      </w:r>
    </w:p>
    <w:p w14:paraId="06BC7BC1">
      <w:pPr>
        <w:pStyle w:val="12"/>
        <w:tabs>
          <w:tab w:val="clear" w:pos="567"/>
        </w:tabs>
        <w:spacing w:before="0" w:line="440" w:lineRule="exact"/>
        <w:ind w:firstLine="540" w:firstLineChars="225"/>
        <w:rPr>
          <w:rFonts w:hint="eastAsia" w:ascii="仿宋" w:hAnsi="仿宋" w:eastAsia="仿宋" w:cs="仿宋"/>
          <w:bCs/>
          <w:color w:val="auto"/>
          <w:highlight w:val="none"/>
          <w:lang w:eastAsia="zh-CN"/>
        </w:rPr>
      </w:pPr>
      <w:r>
        <w:rPr>
          <w:rFonts w:hint="eastAsia" w:ascii="仿宋" w:hAnsi="仿宋" w:eastAsia="仿宋" w:cs="仿宋"/>
          <w:bCs/>
          <w:color w:val="auto"/>
          <w:highlight w:val="none"/>
        </w:rPr>
        <w:t>（12）采购人或采购代理机构将在开标前1个工作日至投标截止后1小时的期间内查询供应商的信用记录。供应商存在不良信用记录的，将被认定为</w:t>
      </w:r>
      <w:r>
        <w:rPr>
          <w:rFonts w:hint="eastAsia" w:ascii="仿宋" w:hAnsi="仿宋" w:eastAsia="仿宋" w:cs="仿宋"/>
          <w:bCs/>
          <w:color w:val="auto"/>
          <w:highlight w:val="none"/>
          <w:lang w:eastAsia="zh-CN"/>
        </w:rPr>
        <w:t>谈判响应无效</w:t>
      </w:r>
    </w:p>
    <w:p w14:paraId="4832B4E2">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13）总价金额与按单价汇总金额不一致的，以单价金额计算结果为准。同时出现两种以上不一致的，按照前款规定的顺序修正。修正后的报价按照第20.2条的规定经供应商确认后产生约束力，供应商不确认的，被认定为</w:t>
      </w:r>
      <w:r>
        <w:rPr>
          <w:rFonts w:hint="eastAsia" w:ascii="仿宋" w:hAnsi="仿宋" w:eastAsia="仿宋" w:cs="仿宋"/>
          <w:bCs/>
          <w:color w:val="auto"/>
          <w:highlight w:val="none"/>
          <w:lang w:eastAsia="zh-CN"/>
        </w:rPr>
        <w:t>谈判响应</w:t>
      </w:r>
      <w:r>
        <w:rPr>
          <w:rFonts w:hint="eastAsia" w:ascii="仿宋" w:hAnsi="仿宋" w:eastAsia="仿宋" w:cs="仿宋"/>
          <w:bCs/>
          <w:color w:val="auto"/>
          <w:highlight w:val="none"/>
        </w:rPr>
        <w:t>无效。</w:t>
      </w:r>
    </w:p>
    <w:p w14:paraId="0D85DC11">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14）在比较与评价之前，根据本须知的规定，评标委员会要审查每份响应文件是否实质上响应了响应文件的要求。实质上响应的投标应该是与响应文件要求的全部条款、条件和规格相符，没有重大偏离的投标。对关键条款的偏离，将被认定为</w:t>
      </w:r>
      <w:r>
        <w:rPr>
          <w:rFonts w:hint="eastAsia" w:ascii="仿宋" w:hAnsi="仿宋" w:eastAsia="仿宋" w:cs="仿宋"/>
          <w:bCs/>
          <w:color w:val="auto"/>
          <w:highlight w:val="none"/>
          <w:lang w:eastAsia="zh-CN"/>
        </w:rPr>
        <w:t>谈判响应无效</w:t>
      </w:r>
      <w:r>
        <w:rPr>
          <w:rFonts w:hint="eastAsia" w:ascii="仿宋" w:hAnsi="仿宋" w:eastAsia="仿宋" w:cs="仿宋"/>
          <w:bCs/>
          <w:color w:val="auto"/>
          <w:highlight w:val="none"/>
        </w:rPr>
        <w:t>。</w:t>
      </w:r>
    </w:p>
    <w:p w14:paraId="1344BB7D">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2.</w:t>
      </w:r>
      <w:r>
        <w:rPr>
          <w:rFonts w:hint="eastAsia" w:ascii="仿宋" w:hAnsi="仿宋" w:eastAsia="仿宋" w:cs="仿宋"/>
          <w:b/>
          <w:color w:val="auto"/>
          <w:highlight w:val="none"/>
        </w:rPr>
        <w:t>根据《政府采购促进中小企业发展管理办法》（财库[2020]46号）、《财政部司法部关于政府采购支持监狱企业发展有关问题的通知》（财库〔2014〕68号）和《三部门联合发布关于促进残疾人就业政府采购政策的通知》（财库〔2017〕141号）的规定，对满足价格扣除条件且在响应文件中提交了《供应商企业类型声明函》、《残疾人福利性单位声明函》或省级以上监狱管理局、戒毒管理局（含新疆生产建设兵团）出具的属于监狱企业的证明文件的供应商，其报价扣除</w:t>
      </w:r>
      <w:r>
        <w:rPr>
          <w:rFonts w:hint="eastAsia" w:ascii="仿宋" w:hAnsi="仿宋" w:eastAsia="仿宋" w:cs="仿宋"/>
          <w:b/>
          <w:color w:val="auto"/>
          <w:highlight w:val="none"/>
          <w:u w:val="single"/>
        </w:rPr>
        <w:t xml:space="preserve">  </w:t>
      </w:r>
      <w:r>
        <w:rPr>
          <w:rFonts w:hint="eastAsia" w:ascii="仿宋" w:hAnsi="仿宋" w:eastAsia="仿宋" w:cs="仿宋"/>
          <w:b/>
          <w:color w:val="auto"/>
          <w:highlight w:val="none"/>
          <w:u w:val="single"/>
          <w:lang w:val="en-US" w:eastAsia="zh-CN"/>
        </w:rPr>
        <w:t>/</w:t>
      </w:r>
      <w:r>
        <w:rPr>
          <w:rFonts w:hint="eastAsia" w:ascii="仿宋" w:hAnsi="仿宋" w:eastAsia="仿宋" w:cs="仿宋"/>
          <w:b/>
          <w:color w:val="auto"/>
          <w:highlight w:val="none"/>
          <w:u w:val="single"/>
        </w:rPr>
        <w:t xml:space="preserve">  </w:t>
      </w:r>
      <w:r>
        <w:rPr>
          <w:rFonts w:hint="eastAsia" w:ascii="仿宋" w:hAnsi="仿宋" w:eastAsia="仿宋" w:cs="仿宋"/>
          <w:b/>
          <w:color w:val="auto"/>
          <w:highlight w:val="none"/>
        </w:rPr>
        <w:t xml:space="preserve"> %后参与评审。对于同时属于小微企业、监狱企业或残疾人福利性单位的，不重复进行报价扣除。</w:t>
      </w:r>
    </w:p>
    <w:p w14:paraId="56C9CE4E">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3.联合协议中约定，小型、微型企业和监狱企业的协议合同金额占到联合体协议合同总金额30%以上的，可给予联合体 2%-3%的价格扣除。（本项目不适用）</w:t>
      </w:r>
    </w:p>
    <w:p w14:paraId="5A11C075">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联合体各方均为小型、微型企业和监狱企业的，联合体视同为小型、微型企业和监狱企业。</w:t>
      </w:r>
    </w:p>
    <w:p w14:paraId="760C6B8B">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4.供应商为提供货物在投标中伴随投标的产品如被列入财政部与国家主管部门颁发的节能产品目录或环境标志产品目录或无线局域网产品目录，应提供相关证明，在评标时予以优先采购，具体优惠措施为：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p>
    <w:p w14:paraId="2FF48845">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 xml:space="preserve">5.对创新产品或创新性企业的优惠措施为：     /      </w:t>
      </w:r>
    </w:p>
    <w:p w14:paraId="1BD022AD">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6.同品牌处理办法：</w:t>
      </w:r>
    </w:p>
    <w:p w14:paraId="12DB2D73">
      <w:pPr>
        <w:pStyle w:val="12"/>
        <w:tabs>
          <w:tab w:val="clear" w:pos="567"/>
        </w:tabs>
        <w:spacing w:before="0" w:line="440" w:lineRule="exact"/>
        <w:ind w:firstLine="540" w:firstLineChars="225"/>
        <w:rPr>
          <w:rFonts w:hint="eastAsia" w:ascii="仿宋" w:hAnsi="仿宋" w:eastAsia="仿宋" w:cs="仿宋"/>
          <w:bCs/>
          <w:color w:val="auto"/>
          <w:highlight w:val="none"/>
        </w:rPr>
      </w:pPr>
      <w:r>
        <w:rPr>
          <w:rFonts w:hint="eastAsia" w:ascii="仿宋" w:hAnsi="仿宋" w:eastAsia="仿宋" w:cs="仿宋"/>
          <w:bCs/>
          <w:color w:val="auto"/>
          <w:highlight w:val="none"/>
        </w:rPr>
        <w:t>如本项目使用最低评审价法，提供相同品牌产品的不同供应商人以其中通过资格审查、符合性审查且报价最低的参加评审；报价相同的，由采购人或者采购人委托谈判小组按照谈判文件中评审办法规定的方式确定一个参加评审的供应商；未规定的采取随机抽取方式确定，其他谈判资格将被认定为无效。</w:t>
      </w:r>
    </w:p>
    <w:p w14:paraId="1F6BD322">
      <w:pPr>
        <w:pStyle w:val="12"/>
        <w:tabs>
          <w:tab w:val="clear" w:pos="567"/>
        </w:tabs>
        <w:spacing w:before="0" w:line="440" w:lineRule="exact"/>
        <w:ind w:firstLine="540" w:firstLineChars="225"/>
        <w:rPr>
          <w:rFonts w:hint="eastAsia" w:ascii="仿宋" w:hAnsi="仿宋" w:eastAsia="仿宋" w:cs="仿宋"/>
          <w:bCs/>
          <w:color w:val="auto"/>
          <w:highlight w:val="none"/>
          <w:lang w:eastAsia="zh-CN"/>
        </w:rPr>
      </w:pPr>
      <w:r>
        <w:rPr>
          <w:rFonts w:hint="eastAsia" w:ascii="仿宋" w:hAnsi="仿宋" w:eastAsia="仿宋" w:cs="仿宋"/>
          <w:bCs/>
          <w:color w:val="auto"/>
          <w:highlight w:val="none"/>
          <w:lang w:val="en-US" w:eastAsia="zh-CN"/>
        </w:rPr>
        <w:t>7</w:t>
      </w:r>
      <w:r>
        <w:rPr>
          <w:rFonts w:hint="eastAsia" w:ascii="仿宋" w:hAnsi="仿宋" w:eastAsia="仿宋" w:cs="仿宋"/>
          <w:bCs/>
          <w:color w:val="auto"/>
          <w:highlight w:val="none"/>
        </w:rPr>
        <w:t>.</w:t>
      </w:r>
      <w:r>
        <w:rPr>
          <w:rFonts w:hint="eastAsia" w:ascii="仿宋" w:hAnsi="仿宋" w:eastAsia="仿宋" w:cs="仿宋"/>
          <w:bCs/>
          <w:color w:val="auto"/>
          <w:highlight w:val="none"/>
          <w:lang w:eastAsia="zh-CN"/>
        </w:rPr>
        <w:t>评审</w:t>
      </w:r>
      <w:r>
        <w:rPr>
          <w:rFonts w:hint="eastAsia" w:ascii="仿宋" w:hAnsi="仿宋" w:eastAsia="仿宋" w:cs="仿宋"/>
          <w:bCs/>
          <w:color w:val="auto"/>
          <w:highlight w:val="none"/>
        </w:rPr>
        <w:t>标准：</w:t>
      </w:r>
    </w:p>
    <w:p w14:paraId="59B7D09A">
      <w:pPr>
        <w:pStyle w:val="2"/>
        <w:spacing w:line="440" w:lineRule="exact"/>
        <w:ind w:firstLine="480" w:firstLineChars="200"/>
        <w:rPr>
          <w:rFonts w:hint="eastAsia" w:ascii="仿宋" w:hAnsi="仿宋" w:eastAsia="仿宋" w:cs="仿宋"/>
          <w:bCs/>
          <w:color w:val="FF0000"/>
          <w:highlight w:val="none"/>
        </w:rPr>
      </w:pPr>
      <w:r>
        <w:rPr>
          <w:rFonts w:hint="eastAsia" w:ascii="仿宋" w:hAnsi="仿宋" w:eastAsia="仿宋" w:cs="仿宋"/>
          <w:bCs/>
          <w:color w:val="auto"/>
          <w:szCs w:val="24"/>
          <w:highlight w:val="none"/>
          <w:shd w:val="clear" w:color="auto" w:fill="FFFFFF"/>
        </w:rPr>
        <w:t>（1）本项目采用竞争性谈判方式采购，</w:t>
      </w:r>
      <w:r>
        <w:rPr>
          <w:rFonts w:hint="eastAsia" w:ascii="仿宋" w:hAnsi="仿宋" w:eastAsia="仿宋" w:cs="仿宋"/>
          <w:bCs/>
          <w:color w:val="auto"/>
          <w:highlight w:val="none"/>
        </w:rPr>
        <w:t>二次报价两轮谈判</w:t>
      </w:r>
    </w:p>
    <w:p w14:paraId="3A74B1AE">
      <w:pPr>
        <w:pStyle w:val="2"/>
        <w:spacing w:line="440" w:lineRule="exact"/>
        <w:ind w:firstLine="480" w:firstLineChars="200"/>
        <w:rPr>
          <w:rFonts w:hint="eastAsia" w:ascii="仿宋" w:hAnsi="仿宋" w:eastAsia="仿宋" w:cs="仿宋"/>
          <w:bCs/>
          <w:color w:val="auto"/>
          <w:highlight w:val="none"/>
        </w:rPr>
      </w:pPr>
      <w:r>
        <w:rPr>
          <w:rFonts w:hint="eastAsia" w:ascii="仿宋" w:hAnsi="仿宋" w:eastAsia="仿宋" w:cs="仿宋"/>
          <w:bCs/>
          <w:color w:val="auto"/>
          <w:szCs w:val="24"/>
          <w:highlight w:val="none"/>
          <w:shd w:val="clear" w:color="auto" w:fill="FFFFFF"/>
        </w:rPr>
        <w:t>谈判小组所有成员集中与单一供应商分别进行谈判。在谈判中，谈判的任何一方不得透露与谈判有关的其他供应商的技术资料、价格和其他信息。谈判文件有实质性变动的，谈判小组应当以书面形式通知所有参加谈判的供应商；确定成交供应商。谈判结束后，谈判小组应当要求所有参加谈判的供应商在规定时间内进行最后报价，采购人从谈判小组提出的成交候选人中根据符合采购需求、质量和服务相等且报价最低的原则确定成交供应商，并将结果通知所有参加谈判的未成交的供应商。</w:t>
      </w:r>
    </w:p>
    <w:p w14:paraId="49601235">
      <w:pPr>
        <w:pStyle w:val="12"/>
        <w:tabs>
          <w:tab w:val="clear" w:pos="567"/>
        </w:tabs>
        <w:spacing w:before="0" w:line="500" w:lineRule="exact"/>
        <w:rPr>
          <w:rFonts w:hint="eastAsia" w:ascii="仿宋" w:hAnsi="仿宋" w:eastAsia="仿宋" w:cs="仿宋"/>
          <w:bCs/>
          <w:color w:val="auto"/>
          <w:kern w:val="0"/>
          <w:highlight w:val="none"/>
          <w:shd w:val="clear" w:color="auto" w:fill="FFFFFF"/>
        </w:rPr>
      </w:pPr>
      <w:r>
        <w:rPr>
          <w:rFonts w:hint="eastAsia" w:ascii="仿宋" w:hAnsi="仿宋" w:eastAsia="仿宋" w:cs="仿宋"/>
          <w:bCs/>
          <w:color w:val="auto"/>
          <w:kern w:val="0"/>
          <w:highlight w:val="none"/>
          <w:shd w:val="clear" w:color="auto" w:fill="FFFFFF"/>
        </w:rPr>
        <w:t>（2）谈判小组推荐成交候选供应商的数量：3家。</w:t>
      </w:r>
    </w:p>
    <w:p w14:paraId="20FB84F9">
      <w:pPr>
        <w:pStyle w:val="12"/>
        <w:tabs>
          <w:tab w:val="clear" w:pos="567"/>
        </w:tabs>
        <w:spacing w:before="0" w:line="500" w:lineRule="exact"/>
        <w:rPr>
          <w:rFonts w:hint="eastAsia" w:ascii="仿宋" w:hAnsi="仿宋" w:eastAsia="仿宋" w:cs="仿宋"/>
          <w:bCs/>
          <w:color w:val="auto"/>
          <w:kern w:val="0"/>
          <w:highlight w:val="none"/>
          <w:shd w:val="clear" w:color="auto" w:fill="FFFFFF"/>
        </w:rPr>
      </w:pPr>
      <w:r>
        <w:rPr>
          <w:rFonts w:hint="eastAsia" w:ascii="仿宋" w:hAnsi="仿宋" w:eastAsia="仿宋" w:cs="仿宋"/>
          <w:bCs/>
          <w:color w:val="auto"/>
          <w:kern w:val="0"/>
          <w:highlight w:val="none"/>
          <w:shd w:val="clear" w:color="auto" w:fill="FFFFFF"/>
        </w:rPr>
        <w:t xml:space="preserve">（3）采购人委托谈判小组直接确定成交供应商。  </w:t>
      </w:r>
    </w:p>
    <w:p w14:paraId="21A44201">
      <w:pPr>
        <w:pStyle w:val="12"/>
        <w:tabs>
          <w:tab w:val="clear" w:pos="567"/>
        </w:tabs>
        <w:spacing w:before="0" w:line="500" w:lineRule="exact"/>
        <w:rPr>
          <w:rFonts w:hint="eastAsia" w:ascii="仿宋" w:hAnsi="仿宋" w:eastAsia="仿宋" w:cs="仿宋"/>
          <w:bCs/>
          <w:color w:val="auto"/>
          <w:kern w:val="0"/>
          <w:highlight w:val="none"/>
          <w:shd w:val="clear" w:color="auto" w:fill="FFFFFF"/>
        </w:rPr>
      </w:pPr>
      <w:r>
        <w:rPr>
          <w:rFonts w:hint="eastAsia" w:ascii="仿宋" w:hAnsi="仿宋" w:eastAsia="仿宋" w:cs="仿宋"/>
          <w:bCs/>
          <w:color w:val="auto"/>
          <w:kern w:val="0"/>
          <w:highlight w:val="none"/>
          <w:shd w:val="clear" w:color="auto" w:fill="FFFFFF"/>
        </w:rPr>
        <w:t>（4）成交供应商拒绝与采购人签订合同的，采购人可以按照评审报告推荐的成交候选人名单排序，确定下一成交候选人为成交供应商，也可以重新开展政府采购活动。</w:t>
      </w:r>
    </w:p>
    <w:p w14:paraId="5250A291">
      <w:pPr>
        <w:spacing w:line="440" w:lineRule="exact"/>
        <w:jc w:val="center"/>
        <w:outlineLvl w:val="1"/>
        <w:rPr>
          <w:rFonts w:hint="eastAsia" w:ascii="仿宋" w:hAnsi="仿宋" w:eastAsia="仿宋" w:cs="仿宋"/>
          <w:b/>
          <w:color w:val="auto"/>
          <w:sz w:val="28"/>
          <w:szCs w:val="32"/>
          <w:highlight w:val="none"/>
        </w:rPr>
      </w:pPr>
      <w:bookmarkStart w:id="538" w:name="_Toc29833"/>
      <w:bookmarkStart w:id="539" w:name="_Toc25528"/>
    </w:p>
    <w:p w14:paraId="59B4F3AA">
      <w:pPr>
        <w:spacing w:line="440" w:lineRule="exact"/>
        <w:jc w:val="center"/>
        <w:outlineLvl w:val="1"/>
        <w:rPr>
          <w:rFonts w:hint="eastAsia" w:ascii="仿宋" w:hAnsi="仿宋" w:eastAsia="仿宋" w:cs="仿宋"/>
          <w:b/>
          <w:color w:val="auto"/>
          <w:sz w:val="28"/>
          <w:szCs w:val="32"/>
          <w:highlight w:val="none"/>
        </w:rPr>
      </w:pPr>
    </w:p>
    <w:p w14:paraId="4BEBA4BF">
      <w:pPr>
        <w:spacing w:line="440" w:lineRule="exact"/>
        <w:jc w:val="center"/>
        <w:outlineLvl w:val="1"/>
        <w:rPr>
          <w:rFonts w:hint="eastAsia" w:ascii="仿宋" w:hAnsi="仿宋" w:eastAsia="仿宋" w:cs="仿宋"/>
          <w:b/>
          <w:color w:val="auto"/>
          <w:sz w:val="28"/>
          <w:szCs w:val="32"/>
          <w:highlight w:val="none"/>
        </w:rPr>
      </w:pPr>
    </w:p>
    <w:p w14:paraId="2FD3FAE2">
      <w:pPr>
        <w:spacing w:line="440" w:lineRule="exact"/>
        <w:jc w:val="center"/>
        <w:outlineLvl w:val="1"/>
        <w:rPr>
          <w:rFonts w:hint="eastAsia" w:ascii="仿宋" w:hAnsi="仿宋" w:eastAsia="仿宋" w:cs="仿宋"/>
          <w:b/>
          <w:color w:val="auto"/>
          <w:sz w:val="28"/>
          <w:szCs w:val="32"/>
          <w:highlight w:val="none"/>
        </w:rPr>
      </w:pPr>
    </w:p>
    <w:p w14:paraId="27E03DB1">
      <w:pPr>
        <w:spacing w:line="440" w:lineRule="exact"/>
        <w:jc w:val="center"/>
        <w:outlineLvl w:val="1"/>
        <w:rPr>
          <w:rFonts w:hint="eastAsia" w:ascii="仿宋" w:hAnsi="仿宋" w:eastAsia="仿宋" w:cs="仿宋"/>
          <w:b/>
          <w:color w:val="auto"/>
          <w:sz w:val="28"/>
          <w:szCs w:val="32"/>
          <w:highlight w:val="none"/>
        </w:rPr>
      </w:pPr>
    </w:p>
    <w:bookmarkEnd w:id="537"/>
    <w:bookmarkEnd w:id="538"/>
    <w:bookmarkEnd w:id="539"/>
    <w:p w14:paraId="722E63FF">
      <w:pPr>
        <w:rPr>
          <w:rFonts w:hint="eastAsia" w:ascii="仿宋" w:hAnsi="仿宋" w:eastAsia="仿宋" w:cs="仿宋"/>
          <w:b/>
          <w:color w:val="auto"/>
          <w:sz w:val="28"/>
          <w:szCs w:val="32"/>
          <w:highlight w:val="none"/>
        </w:rPr>
      </w:pPr>
      <w:bookmarkStart w:id="540" w:name="_Toc13979_WPSOffice_Level2"/>
      <w:bookmarkStart w:id="541" w:name="_Toc986"/>
      <w:bookmarkStart w:id="542" w:name="_Toc84"/>
      <w:bookmarkStart w:id="543" w:name="_Toc28085"/>
      <w:r>
        <w:rPr>
          <w:rFonts w:hint="eastAsia" w:ascii="仿宋" w:hAnsi="仿宋" w:eastAsia="仿宋" w:cs="仿宋"/>
          <w:b/>
          <w:color w:val="auto"/>
          <w:sz w:val="28"/>
          <w:szCs w:val="32"/>
          <w:highlight w:val="none"/>
        </w:rPr>
        <w:br w:type="page"/>
      </w:r>
    </w:p>
    <w:p w14:paraId="2C8FA50F">
      <w:pPr>
        <w:pStyle w:val="2"/>
        <w:spacing w:line="440" w:lineRule="exact"/>
        <w:ind w:firstLine="0"/>
        <w:jc w:val="center"/>
        <w:outlineLvl w:val="1"/>
        <w:rPr>
          <w:rFonts w:hint="eastAsia" w:ascii="仿宋" w:hAnsi="仿宋" w:eastAsia="仿宋" w:cs="仿宋"/>
          <w:b/>
          <w:color w:val="auto"/>
          <w:kern w:val="2"/>
          <w:sz w:val="28"/>
          <w:szCs w:val="32"/>
          <w:highlight w:val="none"/>
        </w:rPr>
      </w:pPr>
      <w:r>
        <w:rPr>
          <w:rFonts w:hint="eastAsia" w:ascii="仿宋" w:hAnsi="仿宋" w:eastAsia="仿宋" w:cs="仿宋"/>
          <w:b/>
          <w:color w:val="auto"/>
          <w:sz w:val="28"/>
          <w:szCs w:val="32"/>
          <w:highlight w:val="none"/>
        </w:rPr>
        <w:t>响应文件</w:t>
      </w:r>
      <w:r>
        <w:rPr>
          <w:rFonts w:hint="eastAsia" w:ascii="仿宋" w:hAnsi="仿宋" w:eastAsia="仿宋" w:cs="仿宋"/>
          <w:b/>
          <w:color w:val="auto"/>
          <w:szCs w:val="24"/>
          <w:highlight w:val="none"/>
        </w:rPr>
        <w:t>—</w:t>
      </w:r>
      <w:r>
        <w:rPr>
          <w:rFonts w:hint="eastAsia" w:ascii="仿宋" w:hAnsi="仿宋" w:eastAsia="仿宋" w:cs="仿宋"/>
          <w:b/>
          <w:color w:val="auto"/>
          <w:kern w:val="2"/>
          <w:sz w:val="28"/>
          <w:szCs w:val="32"/>
          <w:highlight w:val="none"/>
        </w:rPr>
        <w:t>符合性审查表</w:t>
      </w:r>
      <w:bookmarkEnd w:id="540"/>
      <w:bookmarkEnd w:id="541"/>
      <w:bookmarkEnd w:id="542"/>
      <w:bookmarkEnd w:id="543"/>
    </w:p>
    <w:tbl>
      <w:tblPr>
        <w:tblStyle w:val="39"/>
        <w:tblpPr w:leftFromText="180" w:rightFromText="180" w:vertAnchor="text" w:horzAnchor="page" w:tblpXSpec="center" w:tblpY="262"/>
        <w:tblOverlap w:val="never"/>
        <w:tblW w:w="8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6244"/>
        <w:gridCol w:w="1256"/>
      </w:tblGrid>
      <w:tr w14:paraId="69844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092" w:type="dxa"/>
            <w:gridSpan w:val="2"/>
            <w:noWrap w:val="0"/>
            <w:vAlign w:val="center"/>
          </w:tcPr>
          <w:p w14:paraId="221667C8">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评审内容</w:t>
            </w:r>
          </w:p>
        </w:tc>
        <w:tc>
          <w:tcPr>
            <w:tcW w:w="1256" w:type="dxa"/>
            <w:noWrap w:val="0"/>
            <w:vAlign w:val="center"/>
          </w:tcPr>
          <w:p w14:paraId="04F14F3F">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i w:val="0"/>
                <w:caps w:val="0"/>
                <w:color w:val="auto"/>
                <w:spacing w:val="0"/>
                <w:w w:val="100"/>
                <w:sz w:val="24"/>
                <w:szCs w:val="24"/>
                <w:highlight w:val="none"/>
              </w:rPr>
              <w:t>评审意见</w:t>
            </w:r>
          </w:p>
        </w:tc>
      </w:tr>
      <w:tr w14:paraId="0FDF3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848" w:type="dxa"/>
            <w:noWrap w:val="0"/>
            <w:vAlign w:val="center"/>
          </w:tcPr>
          <w:p w14:paraId="6E686397">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0"/>
                <w:w w:val="100"/>
                <w:sz w:val="24"/>
                <w:szCs w:val="24"/>
                <w:highlight w:val="none"/>
              </w:rPr>
            </w:pPr>
            <w:r>
              <w:rPr>
                <w:rFonts w:hint="eastAsia" w:ascii="仿宋" w:hAnsi="仿宋" w:eastAsia="仿宋" w:cs="仿宋"/>
                <w:b w:val="0"/>
                <w:i w:val="0"/>
                <w:caps w:val="0"/>
                <w:color w:val="auto"/>
                <w:spacing w:val="0"/>
                <w:w w:val="100"/>
                <w:sz w:val="24"/>
                <w:szCs w:val="24"/>
                <w:highlight w:val="none"/>
              </w:rPr>
              <w:t>序号</w:t>
            </w:r>
          </w:p>
        </w:tc>
        <w:tc>
          <w:tcPr>
            <w:tcW w:w="6244" w:type="dxa"/>
            <w:noWrap w:val="0"/>
            <w:vAlign w:val="center"/>
          </w:tcPr>
          <w:p w14:paraId="64D8C0ED">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c>
          <w:tcPr>
            <w:tcW w:w="1256" w:type="dxa"/>
            <w:noWrap w:val="0"/>
            <w:vAlign w:val="center"/>
          </w:tcPr>
          <w:p w14:paraId="4EA8C19D">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是否合格</w:t>
            </w:r>
          </w:p>
        </w:tc>
      </w:tr>
      <w:tr w14:paraId="4F2AE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848" w:type="dxa"/>
            <w:noWrap w:val="0"/>
            <w:vAlign w:val="center"/>
          </w:tcPr>
          <w:p w14:paraId="23B84A8A">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1</w:t>
            </w:r>
          </w:p>
        </w:tc>
        <w:tc>
          <w:tcPr>
            <w:tcW w:w="6244" w:type="dxa"/>
            <w:noWrap w:val="0"/>
            <w:vAlign w:val="bottom"/>
          </w:tcPr>
          <w:p w14:paraId="11F63F8E">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各</w:t>
            </w:r>
            <w:r>
              <w:rPr>
                <w:rFonts w:hint="eastAsia" w:ascii="仿宋" w:hAnsi="仿宋" w:eastAsia="仿宋" w:cs="仿宋"/>
                <w:b w:val="0"/>
                <w:i w:val="0"/>
                <w:caps w:val="0"/>
                <w:color w:val="auto"/>
                <w:spacing w:val="-2"/>
                <w:w w:val="100"/>
                <w:sz w:val="24"/>
                <w:szCs w:val="24"/>
                <w:highlight w:val="none"/>
                <w:lang w:eastAsia="zh-CN"/>
              </w:rPr>
              <w:t>供应商</w:t>
            </w:r>
            <w:r>
              <w:rPr>
                <w:rFonts w:hint="eastAsia" w:ascii="仿宋" w:hAnsi="仿宋" w:eastAsia="仿宋" w:cs="仿宋"/>
                <w:b w:val="0"/>
                <w:i w:val="0"/>
                <w:caps w:val="0"/>
                <w:color w:val="auto"/>
                <w:spacing w:val="-2"/>
                <w:w w:val="100"/>
                <w:sz w:val="24"/>
                <w:szCs w:val="24"/>
                <w:highlight w:val="none"/>
              </w:rPr>
              <w:t>投标报价未高于预算金额；</w:t>
            </w:r>
          </w:p>
        </w:tc>
        <w:tc>
          <w:tcPr>
            <w:tcW w:w="1256" w:type="dxa"/>
            <w:noWrap w:val="0"/>
            <w:vAlign w:val="center"/>
          </w:tcPr>
          <w:p w14:paraId="0E5EFC06">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3DB7B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848" w:type="dxa"/>
            <w:noWrap w:val="0"/>
            <w:vAlign w:val="center"/>
          </w:tcPr>
          <w:p w14:paraId="64865416">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2</w:t>
            </w:r>
          </w:p>
        </w:tc>
        <w:tc>
          <w:tcPr>
            <w:tcW w:w="6244" w:type="dxa"/>
            <w:noWrap w:val="0"/>
            <w:vAlign w:val="bottom"/>
          </w:tcPr>
          <w:p w14:paraId="3EE6408E">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评标委员会认为</w:t>
            </w:r>
            <w:r>
              <w:rPr>
                <w:rFonts w:hint="eastAsia" w:ascii="仿宋" w:hAnsi="仿宋" w:eastAsia="仿宋" w:cs="仿宋"/>
                <w:b w:val="0"/>
                <w:i w:val="0"/>
                <w:caps w:val="0"/>
                <w:color w:val="auto"/>
                <w:spacing w:val="-2"/>
                <w:w w:val="100"/>
                <w:sz w:val="24"/>
                <w:szCs w:val="24"/>
                <w:highlight w:val="none"/>
                <w:lang w:eastAsia="zh-CN"/>
              </w:rPr>
              <w:t>供应商</w:t>
            </w:r>
            <w:r>
              <w:rPr>
                <w:rFonts w:hint="eastAsia" w:ascii="仿宋" w:hAnsi="仿宋" w:eastAsia="仿宋" w:cs="仿宋"/>
                <w:b w:val="0"/>
                <w:i w:val="0"/>
                <w:caps w:val="0"/>
                <w:color w:val="auto"/>
                <w:spacing w:val="-2"/>
                <w:w w:val="100"/>
                <w:sz w:val="24"/>
                <w:szCs w:val="24"/>
                <w:highlight w:val="none"/>
              </w:rPr>
              <w:t>的报价无明显低于其他通过符合性审查</w:t>
            </w:r>
            <w:r>
              <w:rPr>
                <w:rFonts w:hint="eastAsia" w:ascii="仿宋" w:hAnsi="仿宋" w:eastAsia="仿宋" w:cs="仿宋"/>
                <w:b w:val="0"/>
                <w:i w:val="0"/>
                <w:caps w:val="0"/>
                <w:color w:val="auto"/>
                <w:spacing w:val="-2"/>
                <w:w w:val="100"/>
                <w:sz w:val="24"/>
                <w:szCs w:val="24"/>
                <w:highlight w:val="none"/>
                <w:lang w:eastAsia="zh-CN"/>
              </w:rPr>
              <w:t>供应商</w:t>
            </w:r>
            <w:r>
              <w:rPr>
                <w:rFonts w:hint="eastAsia" w:ascii="仿宋" w:hAnsi="仿宋" w:eastAsia="仿宋" w:cs="仿宋"/>
                <w:b w:val="0"/>
                <w:i w:val="0"/>
                <w:caps w:val="0"/>
                <w:color w:val="auto"/>
                <w:spacing w:val="-2"/>
                <w:w w:val="100"/>
                <w:sz w:val="24"/>
                <w:szCs w:val="24"/>
                <w:highlight w:val="none"/>
              </w:rPr>
              <w:t>的报价的，</w:t>
            </w:r>
            <w:r>
              <w:rPr>
                <w:rFonts w:hint="eastAsia" w:ascii="仿宋" w:hAnsi="仿宋" w:eastAsia="仿宋" w:cs="仿宋"/>
                <w:b w:val="0"/>
                <w:i w:val="0"/>
                <w:caps w:val="0"/>
                <w:color w:val="auto"/>
                <w:spacing w:val="-2"/>
                <w:w w:val="100"/>
                <w:sz w:val="24"/>
                <w:szCs w:val="24"/>
                <w:highlight w:val="none"/>
                <w:lang w:eastAsia="zh-CN"/>
              </w:rPr>
              <w:t>供应商</w:t>
            </w:r>
            <w:r>
              <w:rPr>
                <w:rFonts w:hint="eastAsia" w:ascii="仿宋" w:hAnsi="仿宋" w:eastAsia="仿宋" w:cs="仿宋"/>
                <w:b w:val="0"/>
                <w:i w:val="0"/>
                <w:caps w:val="0"/>
                <w:color w:val="auto"/>
                <w:spacing w:val="-2"/>
                <w:w w:val="100"/>
                <w:sz w:val="24"/>
                <w:szCs w:val="24"/>
                <w:highlight w:val="none"/>
              </w:rPr>
              <w:t>的报价不存在异常一致并成规律性的，其报价合理；</w:t>
            </w:r>
          </w:p>
        </w:tc>
        <w:tc>
          <w:tcPr>
            <w:tcW w:w="1256" w:type="dxa"/>
            <w:noWrap w:val="0"/>
            <w:vAlign w:val="center"/>
          </w:tcPr>
          <w:p w14:paraId="7BFB7522">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200FD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48" w:type="dxa"/>
            <w:noWrap w:val="0"/>
            <w:vAlign w:val="center"/>
          </w:tcPr>
          <w:p w14:paraId="4CD3A9A3">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3</w:t>
            </w:r>
          </w:p>
        </w:tc>
        <w:tc>
          <w:tcPr>
            <w:tcW w:w="6244" w:type="dxa"/>
            <w:noWrap w:val="0"/>
            <w:vAlign w:val="bottom"/>
          </w:tcPr>
          <w:p w14:paraId="3BD20B15">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lang w:eastAsia="zh-CN"/>
              </w:rPr>
              <w:t>响应</w:t>
            </w:r>
            <w:r>
              <w:rPr>
                <w:rFonts w:hint="eastAsia" w:ascii="仿宋" w:hAnsi="仿宋" w:eastAsia="仿宋" w:cs="仿宋"/>
                <w:b w:val="0"/>
                <w:i w:val="0"/>
                <w:caps w:val="0"/>
                <w:color w:val="auto"/>
                <w:spacing w:val="-2"/>
                <w:w w:val="100"/>
                <w:sz w:val="24"/>
                <w:szCs w:val="24"/>
                <w:highlight w:val="none"/>
              </w:rPr>
              <w:t>文件按照</w:t>
            </w:r>
            <w:r>
              <w:rPr>
                <w:rFonts w:hint="eastAsia" w:ascii="仿宋" w:hAnsi="仿宋" w:eastAsia="仿宋" w:cs="仿宋"/>
                <w:b w:val="0"/>
                <w:i w:val="0"/>
                <w:caps w:val="0"/>
                <w:color w:val="auto"/>
                <w:spacing w:val="-2"/>
                <w:w w:val="100"/>
                <w:sz w:val="24"/>
                <w:szCs w:val="24"/>
                <w:highlight w:val="none"/>
                <w:lang w:eastAsia="zh-CN"/>
              </w:rPr>
              <w:t>谈判</w:t>
            </w:r>
            <w:r>
              <w:rPr>
                <w:rFonts w:hint="eastAsia" w:ascii="仿宋" w:hAnsi="仿宋" w:eastAsia="仿宋" w:cs="仿宋"/>
                <w:b w:val="0"/>
                <w:i w:val="0"/>
                <w:caps w:val="0"/>
                <w:color w:val="auto"/>
                <w:spacing w:val="-2"/>
                <w:w w:val="100"/>
                <w:sz w:val="24"/>
                <w:szCs w:val="24"/>
                <w:highlight w:val="none"/>
              </w:rPr>
              <w:t>文件的</w:t>
            </w:r>
            <w:r>
              <w:rPr>
                <w:rFonts w:hint="eastAsia" w:ascii="仿宋" w:hAnsi="仿宋" w:eastAsia="仿宋" w:cs="仿宋"/>
                <w:b w:val="0"/>
                <w:i w:val="0"/>
                <w:caps w:val="0"/>
                <w:color w:val="auto"/>
                <w:spacing w:val="-2"/>
                <w:w w:val="100"/>
                <w:sz w:val="24"/>
                <w:szCs w:val="24"/>
                <w:highlight w:val="none"/>
                <w:lang w:eastAsia="zh-CN"/>
              </w:rPr>
              <w:t>规定</w:t>
            </w:r>
            <w:r>
              <w:rPr>
                <w:rFonts w:hint="eastAsia" w:ascii="仿宋" w:hAnsi="仿宋" w:eastAsia="仿宋" w:cs="仿宋"/>
                <w:b w:val="0"/>
                <w:i w:val="0"/>
                <w:caps w:val="0"/>
                <w:color w:val="auto"/>
                <w:spacing w:val="-2"/>
                <w:w w:val="100"/>
                <w:sz w:val="24"/>
                <w:szCs w:val="24"/>
                <w:highlight w:val="none"/>
              </w:rPr>
              <w:t>编制、标记及签署盖章的，法定代表人或其授权代表签字（章）和加盖投标单位公章的</w:t>
            </w:r>
          </w:p>
        </w:tc>
        <w:tc>
          <w:tcPr>
            <w:tcW w:w="1256" w:type="dxa"/>
            <w:noWrap w:val="0"/>
            <w:vAlign w:val="center"/>
          </w:tcPr>
          <w:p w14:paraId="1E3E43B9">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08D29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jc w:val="center"/>
        </w:trPr>
        <w:tc>
          <w:tcPr>
            <w:tcW w:w="848" w:type="dxa"/>
            <w:noWrap w:val="0"/>
            <w:vAlign w:val="center"/>
          </w:tcPr>
          <w:p w14:paraId="4202F76B">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4</w:t>
            </w:r>
          </w:p>
        </w:tc>
        <w:tc>
          <w:tcPr>
            <w:tcW w:w="6244" w:type="dxa"/>
            <w:noWrap w:val="0"/>
            <w:vAlign w:val="bottom"/>
          </w:tcPr>
          <w:p w14:paraId="51B66C90">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所投产品的</w:t>
            </w:r>
            <w:r>
              <w:rPr>
                <w:rFonts w:hint="eastAsia" w:ascii="仿宋" w:hAnsi="仿宋" w:eastAsia="仿宋" w:cs="仿宋"/>
                <w:b w:val="0"/>
                <w:i w:val="0"/>
                <w:caps w:val="0"/>
                <w:color w:val="auto"/>
                <w:spacing w:val="-2"/>
                <w:w w:val="100"/>
                <w:sz w:val="24"/>
                <w:szCs w:val="24"/>
                <w:highlight w:val="none"/>
                <w:lang w:eastAsia="zh-CN"/>
              </w:rPr>
              <w:t>货物</w:t>
            </w:r>
            <w:r>
              <w:rPr>
                <w:rFonts w:hint="eastAsia" w:ascii="仿宋" w:hAnsi="仿宋" w:eastAsia="仿宋" w:cs="仿宋"/>
                <w:b w:val="0"/>
                <w:i w:val="0"/>
                <w:caps w:val="0"/>
                <w:color w:val="auto"/>
                <w:spacing w:val="-2"/>
                <w:w w:val="100"/>
                <w:sz w:val="24"/>
                <w:szCs w:val="24"/>
                <w:highlight w:val="none"/>
                <w:lang w:val="en-US" w:eastAsia="zh-CN"/>
              </w:rPr>
              <w:t>/服务</w:t>
            </w:r>
            <w:r>
              <w:rPr>
                <w:rFonts w:hint="eastAsia" w:ascii="仿宋" w:hAnsi="仿宋" w:eastAsia="仿宋" w:cs="仿宋"/>
                <w:b w:val="0"/>
                <w:i w:val="0"/>
                <w:caps w:val="0"/>
                <w:color w:val="auto"/>
                <w:spacing w:val="-2"/>
                <w:w w:val="100"/>
                <w:sz w:val="24"/>
                <w:szCs w:val="24"/>
                <w:highlight w:val="none"/>
              </w:rPr>
              <w:t>及数量满足</w:t>
            </w:r>
            <w:r>
              <w:rPr>
                <w:rFonts w:hint="eastAsia" w:ascii="仿宋" w:hAnsi="仿宋" w:eastAsia="仿宋" w:cs="仿宋"/>
                <w:b w:val="0"/>
                <w:i w:val="0"/>
                <w:caps w:val="0"/>
                <w:color w:val="auto"/>
                <w:spacing w:val="-2"/>
                <w:w w:val="100"/>
                <w:sz w:val="24"/>
                <w:szCs w:val="24"/>
                <w:highlight w:val="none"/>
                <w:lang w:eastAsia="zh-CN"/>
              </w:rPr>
              <w:t>谈判</w:t>
            </w:r>
            <w:r>
              <w:rPr>
                <w:rFonts w:hint="eastAsia" w:ascii="仿宋" w:hAnsi="仿宋" w:eastAsia="仿宋" w:cs="仿宋"/>
                <w:b w:val="0"/>
                <w:i w:val="0"/>
                <w:caps w:val="0"/>
                <w:color w:val="auto"/>
                <w:spacing w:val="-2"/>
                <w:w w:val="100"/>
                <w:sz w:val="24"/>
                <w:szCs w:val="24"/>
                <w:highlight w:val="none"/>
              </w:rPr>
              <w:t>文件要求的（可参考分项报价表）；</w:t>
            </w:r>
          </w:p>
        </w:tc>
        <w:tc>
          <w:tcPr>
            <w:tcW w:w="1256" w:type="dxa"/>
            <w:noWrap w:val="0"/>
            <w:vAlign w:val="center"/>
          </w:tcPr>
          <w:p w14:paraId="08CF7B33">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21245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48" w:type="dxa"/>
            <w:noWrap w:val="0"/>
            <w:vAlign w:val="center"/>
          </w:tcPr>
          <w:p w14:paraId="76140AB6">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5</w:t>
            </w:r>
          </w:p>
        </w:tc>
        <w:tc>
          <w:tcPr>
            <w:tcW w:w="6244" w:type="dxa"/>
            <w:noWrap w:val="0"/>
            <w:vAlign w:val="bottom"/>
          </w:tcPr>
          <w:p w14:paraId="5AEC7464">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lang w:eastAsia="zh-CN"/>
              </w:rPr>
              <w:t>供货期</w:t>
            </w:r>
            <w:r>
              <w:rPr>
                <w:rFonts w:hint="eastAsia" w:ascii="仿宋" w:hAnsi="仿宋" w:eastAsia="仿宋" w:cs="仿宋"/>
                <w:b w:val="0"/>
                <w:i w:val="0"/>
                <w:caps w:val="0"/>
                <w:color w:val="auto"/>
                <w:spacing w:val="-2"/>
                <w:w w:val="100"/>
                <w:sz w:val="24"/>
                <w:szCs w:val="24"/>
                <w:highlight w:val="none"/>
              </w:rPr>
              <w:t>满足</w:t>
            </w:r>
            <w:r>
              <w:rPr>
                <w:rFonts w:hint="eastAsia" w:ascii="仿宋" w:hAnsi="仿宋" w:eastAsia="仿宋" w:cs="仿宋"/>
                <w:b w:val="0"/>
                <w:i w:val="0"/>
                <w:caps w:val="0"/>
                <w:color w:val="auto"/>
                <w:spacing w:val="-2"/>
                <w:w w:val="100"/>
                <w:sz w:val="24"/>
                <w:szCs w:val="24"/>
                <w:highlight w:val="none"/>
                <w:lang w:eastAsia="zh-CN"/>
              </w:rPr>
              <w:t>谈判</w:t>
            </w:r>
            <w:r>
              <w:rPr>
                <w:rFonts w:hint="eastAsia" w:ascii="仿宋" w:hAnsi="仿宋" w:eastAsia="仿宋" w:cs="仿宋"/>
                <w:b w:val="0"/>
                <w:i w:val="0"/>
                <w:caps w:val="0"/>
                <w:color w:val="auto"/>
                <w:spacing w:val="-2"/>
                <w:w w:val="100"/>
                <w:sz w:val="24"/>
                <w:szCs w:val="24"/>
                <w:highlight w:val="none"/>
              </w:rPr>
              <w:t>文件规定的；</w:t>
            </w:r>
          </w:p>
        </w:tc>
        <w:tc>
          <w:tcPr>
            <w:tcW w:w="1256" w:type="dxa"/>
            <w:noWrap w:val="0"/>
            <w:vAlign w:val="center"/>
          </w:tcPr>
          <w:p w14:paraId="30A98B41">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67F90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848" w:type="dxa"/>
            <w:noWrap w:val="0"/>
            <w:vAlign w:val="center"/>
          </w:tcPr>
          <w:p w14:paraId="19EBD558">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6</w:t>
            </w:r>
          </w:p>
        </w:tc>
        <w:tc>
          <w:tcPr>
            <w:tcW w:w="6244" w:type="dxa"/>
            <w:noWrap w:val="0"/>
            <w:vAlign w:val="bottom"/>
          </w:tcPr>
          <w:p w14:paraId="6F2081D2">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按</w:t>
            </w:r>
            <w:r>
              <w:rPr>
                <w:rFonts w:hint="eastAsia" w:ascii="仿宋" w:hAnsi="仿宋" w:eastAsia="仿宋" w:cs="仿宋"/>
                <w:b w:val="0"/>
                <w:i w:val="0"/>
                <w:caps w:val="0"/>
                <w:color w:val="auto"/>
                <w:spacing w:val="-2"/>
                <w:w w:val="100"/>
                <w:sz w:val="24"/>
                <w:szCs w:val="24"/>
                <w:highlight w:val="none"/>
                <w:lang w:eastAsia="zh-CN"/>
              </w:rPr>
              <w:t>谈判</w:t>
            </w:r>
            <w:r>
              <w:rPr>
                <w:rFonts w:hint="eastAsia" w:ascii="仿宋" w:hAnsi="仿宋" w:eastAsia="仿宋" w:cs="仿宋"/>
                <w:b w:val="0"/>
                <w:i w:val="0"/>
                <w:caps w:val="0"/>
                <w:color w:val="auto"/>
                <w:spacing w:val="-2"/>
                <w:w w:val="100"/>
                <w:sz w:val="24"/>
                <w:szCs w:val="24"/>
                <w:highlight w:val="none"/>
              </w:rPr>
              <w:t>文件规定的格式填写，内容全或关键字迹清晰、数量等齐全的；</w:t>
            </w:r>
          </w:p>
        </w:tc>
        <w:tc>
          <w:tcPr>
            <w:tcW w:w="1256" w:type="dxa"/>
            <w:noWrap w:val="0"/>
            <w:vAlign w:val="center"/>
          </w:tcPr>
          <w:p w14:paraId="4FD58F42">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0995F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848" w:type="dxa"/>
            <w:noWrap w:val="0"/>
            <w:vAlign w:val="center"/>
          </w:tcPr>
          <w:p w14:paraId="4AF4B948">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7</w:t>
            </w:r>
          </w:p>
        </w:tc>
        <w:tc>
          <w:tcPr>
            <w:tcW w:w="6244" w:type="dxa"/>
            <w:noWrap w:val="0"/>
            <w:vAlign w:val="bottom"/>
          </w:tcPr>
          <w:p w14:paraId="6430A3DD">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没有采购人不能接受的附加条件的；</w:t>
            </w:r>
          </w:p>
        </w:tc>
        <w:tc>
          <w:tcPr>
            <w:tcW w:w="1256" w:type="dxa"/>
            <w:noWrap w:val="0"/>
            <w:vAlign w:val="center"/>
          </w:tcPr>
          <w:p w14:paraId="1B5B24FA">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27CDD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48" w:type="dxa"/>
            <w:noWrap w:val="0"/>
            <w:vAlign w:val="center"/>
          </w:tcPr>
          <w:p w14:paraId="6AB6C153">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8</w:t>
            </w:r>
          </w:p>
        </w:tc>
        <w:tc>
          <w:tcPr>
            <w:tcW w:w="6244" w:type="dxa"/>
            <w:noWrap w:val="0"/>
            <w:vAlign w:val="bottom"/>
          </w:tcPr>
          <w:p w14:paraId="3F05C9FF">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符合</w:t>
            </w:r>
            <w:r>
              <w:rPr>
                <w:rFonts w:hint="eastAsia" w:ascii="仿宋" w:hAnsi="仿宋" w:eastAsia="仿宋" w:cs="仿宋"/>
                <w:b w:val="0"/>
                <w:i w:val="0"/>
                <w:caps w:val="0"/>
                <w:color w:val="auto"/>
                <w:spacing w:val="-2"/>
                <w:w w:val="100"/>
                <w:sz w:val="24"/>
                <w:szCs w:val="24"/>
                <w:highlight w:val="none"/>
                <w:lang w:eastAsia="zh-CN"/>
              </w:rPr>
              <w:t>谈判</w:t>
            </w:r>
            <w:r>
              <w:rPr>
                <w:rFonts w:hint="eastAsia" w:ascii="仿宋" w:hAnsi="仿宋" w:eastAsia="仿宋" w:cs="仿宋"/>
                <w:b w:val="0"/>
                <w:i w:val="0"/>
                <w:caps w:val="0"/>
                <w:color w:val="auto"/>
                <w:spacing w:val="-2"/>
                <w:w w:val="100"/>
                <w:sz w:val="24"/>
                <w:szCs w:val="24"/>
                <w:highlight w:val="none"/>
              </w:rPr>
              <w:t>文件中规定的其他实质性要求；</w:t>
            </w:r>
          </w:p>
        </w:tc>
        <w:tc>
          <w:tcPr>
            <w:tcW w:w="1256" w:type="dxa"/>
            <w:noWrap w:val="0"/>
            <w:vAlign w:val="center"/>
          </w:tcPr>
          <w:p w14:paraId="1408FF86">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1E1B5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848" w:type="dxa"/>
            <w:noWrap w:val="0"/>
            <w:vAlign w:val="center"/>
          </w:tcPr>
          <w:p w14:paraId="7B745931">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lang w:val="en-US" w:eastAsia="zh-CN"/>
              </w:rPr>
              <w:t>9</w:t>
            </w:r>
          </w:p>
        </w:tc>
        <w:tc>
          <w:tcPr>
            <w:tcW w:w="6244" w:type="dxa"/>
            <w:noWrap w:val="0"/>
            <w:vAlign w:val="bottom"/>
          </w:tcPr>
          <w:p w14:paraId="1FBC8689">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不同</w:t>
            </w:r>
            <w:r>
              <w:rPr>
                <w:rFonts w:hint="eastAsia" w:ascii="仿宋" w:hAnsi="仿宋" w:eastAsia="仿宋" w:cs="仿宋"/>
                <w:b w:val="0"/>
                <w:i w:val="0"/>
                <w:caps w:val="0"/>
                <w:color w:val="auto"/>
                <w:spacing w:val="-2"/>
                <w:w w:val="100"/>
                <w:sz w:val="24"/>
                <w:szCs w:val="24"/>
                <w:highlight w:val="none"/>
                <w:lang w:eastAsia="zh-CN"/>
              </w:rPr>
              <w:t>供应商</w:t>
            </w:r>
            <w:r>
              <w:rPr>
                <w:rFonts w:hint="eastAsia" w:ascii="仿宋" w:hAnsi="仿宋" w:eastAsia="仿宋" w:cs="仿宋"/>
                <w:b w:val="0"/>
                <w:i w:val="0"/>
                <w:caps w:val="0"/>
                <w:color w:val="auto"/>
                <w:spacing w:val="-2"/>
                <w:w w:val="100"/>
                <w:sz w:val="24"/>
                <w:szCs w:val="24"/>
                <w:highlight w:val="none"/>
              </w:rPr>
              <w:t>的</w:t>
            </w:r>
            <w:r>
              <w:rPr>
                <w:rFonts w:hint="eastAsia" w:ascii="仿宋" w:hAnsi="仿宋" w:eastAsia="仿宋" w:cs="仿宋"/>
                <w:b w:val="0"/>
                <w:i w:val="0"/>
                <w:caps w:val="0"/>
                <w:color w:val="auto"/>
                <w:spacing w:val="-2"/>
                <w:w w:val="100"/>
                <w:sz w:val="24"/>
                <w:szCs w:val="24"/>
                <w:highlight w:val="none"/>
                <w:lang w:eastAsia="zh-CN"/>
              </w:rPr>
              <w:t>响应</w:t>
            </w:r>
            <w:r>
              <w:rPr>
                <w:rFonts w:hint="eastAsia" w:ascii="仿宋" w:hAnsi="仿宋" w:eastAsia="仿宋" w:cs="仿宋"/>
                <w:b w:val="0"/>
                <w:i w:val="0"/>
                <w:caps w:val="0"/>
                <w:color w:val="auto"/>
                <w:spacing w:val="-2"/>
                <w:w w:val="100"/>
                <w:sz w:val="24"/>
                <w:szCs w:val="24"/>
                <w:highlight w:val="none"/>
              </w:rPr>
              <w:t>文件没有错漏一致的情况；</w:t>
            </w:r>
          </w:p>
        </w:tc>
        <w:tc>
          <w:tcPr>
            <w:tcW w:w="1256" w:type="dxa"/>
            <w:noWrap w:val="0"/>
            <w:vAlign w:val="center"/>
          </w:tcPr>
          <w:p w14:paraId="0DF01048">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1F971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48" w:type="dxa"/>
            <w:noWrap w:val="0"/>
            <w:vAlign w:val="center"/>
          </w:tcPr>
          <w:p w14:paraId="5F23C410">
            <w:pPr>
              <w:keepNext w:val="0"/>
              <w:keepLines w:val="0"/>
              <w:suppressLineNumbers w:val="0"/>
              <w:snapToGrid w:val="0"/>
              <w:spacing w:before="0" w:beforeAutospacing="0" w:after="0" w:afterAutospacing="0" w:line="300" w:lineRule="auto"/>
              <w:ind w:left="0" w:right="0"/>
              <w:jc w:val="center"/>
              <w:textAlignment w:val="baseline"/>
              <w:rPr>
                <w:rFonts w:hint="eastAsia" w:ascii="仿宋" w:hAnsi="仿宋" w:eastAsia="仿宋" w:cs="仿宋"/>
                <w:b w:val="0"/>
                <w:i w:val="0"/>
                <w:caps w:val="0"/>
                <w:color w:val="auto"/>
                <w:spacing w:val="-2"/>
                <w:w w:val="100"/>
                <w:sz w:val="24"/>
                <w:szCs w:val="24"/>
                <w:highlight w:val="none"/>
                <w:lang w:val="en-US" w:eastAsia="zh-CN"/>
              </w:rPr>
            </w:pPr>
            <w:r>
              <w:rPr>
                <w:rFonts w:hint="eastAsia" w:ascii="仿宋" w:hAnsi="仿宋" w:eastAsia="仿宋" w:cs="仿宋"/>
                <w:b w:val="0"/>
                <w:i w:val="0"/>
                <w:caps w:val="0"/>
                <w:color w:val="auto"/>
                <w:spacing w:val="-2"/>
                <w:w w:val="100"/>
                <w:sz w:val="24"/>
                <w:szCs w:val="24"/>
                <w:highlight w:val="none"/>
                <w:lang w:val="en-US" w:eastAsia="zh-CN"/>
              </w:rPr>
              <w:t>10</w:t>
            </w:r>
          </w:p>
        </w:tc>
        <w:tc>
          <w:tcPr>
            <w:tcW w:w="6244" w:type="dxa"/>
            <w:noWrap w:val="0"/>
            <w:vAlign w:val="bottom"/>
          </w:tcPr>
          <w:p w14:paraId="46C446A3">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供应商附有详细地址、联系人、电话标明的；</w:t>
            </w:r>
          </w:p>
        </w:tc>
        <w:tc>
          <w:tcPr>
            <w:tcW w:w="1256" w:type="dxa"/>
            <w:noWrap w:val="0"/>
            <w:vAlign w:val="center"/>
          </w:tcPr>
          <w:p w14:paraId="7499D485">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0629C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48" w:type="dxa"/>
            <w:noWrap w:val="0"/>
            <w:vAlign w:val="center"/>
          </w:tcPr>
          <w:p w14:paraId="679737F8">
            <w:pPr>
              <w:keepNext w:val="0"/>
              <w:keepLines w:val="0"/>
              <w:suppressLineNumbers w:val="0"/>
              <w:snapToGrid w:val="0"/>
              <w:spacing w:before="0" w:beforeAutospacing="0" w:after="0" w:afterAutospacing="0" w:line="300" w:lineRule="auto"/>
              <w:ind w:left="0" w:right="0"/>
              <w:jc w:val="center"/>
              <w:textAlignment w:val="baseline"/>
              <w:rPr>
                <w:rFonts w:hint="default" w:ascii="仿宋" w:hAnsi="仿宋" w:eastAsia="仿宋" w:cs="仿宋"/>
                <w:b w:val="0"/>
                <w:i w:val="0"/>
                <w:caps w:val="0"/>
                <w:color w:val="auto"/>
                <w:spacing w:val="-2"/>
                <w:w w:val="100"/>
                <w:sz w:val="24"/>
                <w:szCs w:val="24"/>
                <w:highlight w:val="none"/>
                <w:lang w:val="en-US" w:eastAsia="zh-CN"/>
              </w:rPr>
            </w:pPr>
            <w:r>
              <w:rPr>
                <w:rFonts w:hint="eastAsia" w:ascii="仿宋" w:hAnsi="仿宋" w:eastAsia="仿宋" w:cs="仿宋"/>
                <w:b w:val="0"/>
                <w:i w:val="0"/>
                <w:caps w:val="0"/>
                <w:color w:val="auto"/>
                <w:spacing w:val="-2"/>
                <w:w w:val="100"/>
                <w:sz w:val="24"/>
                <w:szCs w:val="24"/>
                <w:highlight w:val="none"/>
                <w:lang w:val="en-US" w:eastAsia="zh-CN"/>
              </w:rPr>
              <w:t>11</w:t>
            </w:r>
          </w:p>
        </w:tc>
        <w:tc>
          <w:tcPr>
            <w:tcW w:w="6244" w:type="dxa"/>
            <w:noWrap w:val="0"/>
            <w:vAlign w:val="bottom"/>
          </w:tcPr>
          <w:p w14:paraId="26D868D9">
            <w:pPr>
              <w:keepNext w:val="0"/>
              <w:keepLines w:val="0"/>
              <w:suppressLineNumbers w:val="0"/>
              <w:snapToGrid w:val="0"/>
              <w:spacing w:before="0" w:beforeAutospacing="0" w:after="0" w:afterAutospacing="0" w:line="300" w:lineRule="auto"/>
              <w:ind w:left="0" w:right="0"/>
              <w:jc w:val="left"/>
              <w:textAlignment w:val="baseline"/>
              <w:rPr>
                <w:rFonts w:hint="eastAsia" w:ascii="仿宋" w:hAnsi="仿宋" w:eastAsia="仿宋" w:cs="仿宋"/>
                <w:b w:val="0"/>
                <w:i w:val="0"/>
                <w:caps w:val="0"/>
                <w:color w:val="auto"/>
                <w:spacing w:val="-2"/>
                <w:w w:val="100"/>
                <w:sz w:val="24"/>
                <w:szCs w:val="24"/>
                <w:highlight w:val="none"/>
                <w:lang w:eastAsia="zh-CN"/>
              </w:rPr>
            </w:pPr>
            <w:r>
              <w:rPr>
                <w:rFonts w:hint="eastAsia" w:ascii="仿宋" w:hAnsi="仿宋" w:eastAsia="仿宋" w:cs="仿宋"/>
                <w:b w:val="0"/>
                <w:i w:val="0"/>
                <w:caps w:val="0"/>
                <w:color w:val="auto"/>
                <w:spacing w:val="-2"/>
                <w:w w:val="100"/>
                <w:sz w:val="24"/>
                <w:szCs w:val="24"/>
                <w:highlight w:val="none"/>
              </w:rPr>
              <w:t>供应商</w:t>
            </w:r>
            <w:r>
              <w:rPr>
                <w:rFonts w:hint="eastAsia" w:ascii="仿宋" w:hAnsi="仿宋" w:eastAsia="仿宋" w:cs="仿宋"/>
                <w:b w:val="0"/>
                <w:i w:val="0"/>
                <w:caps w:val="0"/>
                <w:color w:val="auto"/>
                <w:spacing w:val="-2"/>
                <w:w w:val="100"/>
                <w:sz w:val="24"/>
                <w:szCs w:val="24"/>
                <w:highlight w:val="none"/>
                <w:lang w:eastAsia="zh-CN"/>
              </w:rPr>
              <w:t>缴纳投标保证金凭证或保函。</w:t>
            </w:r>
          </w:p>
        </w:tc>
        <w:tc>
          <w:tcPr>
            <w:tcW w:w="1256" w:type="dxa"/>
            <w:noWrap w:val="0"/>
            <w:vAlign w:val="center"/>
          </w:tcPr>
          <w:p w14:paraId="0552EBCA">
            <w:pPr>
              <w:keepNext w:val="0"/>
              <w:keepLines w:val="0"/>
              <w:suppressLineNumbers w:val="0"/>
              <w:snapToGrid w:val="0"/>
              <w:spacing w:before="0" w:beforeAutospacing="0" w:after="0" w:afterAutospacing="0" w:line="300" w:lineRule="auto"/>
              <w:ind w:left="0" w:right="0"/>
              <w:jc w:val="both"/>
              <w:textAlignment w:val="baseline"/>
              <w:rPr>
                <w:rFonts w:hint="eastAsia" w:ascii="仿宋" w:hAnsi="仿宋" w:eastAsia="仿宋" w:cs="仿宋"/>
                <w:b w:val="0"/>
                <w:i w:val="0"/>
                <w:caps w:val="0"/>
                <w:color w:val="auto"/>
                <w:spacing w:val="-2"/>
                <w:w w:val="100"/>
                <w:sz w:val="24"/>
                <w:szCs w:val="24"/>
                <w:highlight w:val="none"/>
              </w:rPr>
            </w:pPr>
          </w:p>
        </w:tc>
      </w:tr>
      <w:tr w14:paraId="5A358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092" w:type="dxa"/>
            <w:gridSpan w:val="2"/>
            <w:noWrap w:val="0"/>
            <w:vAlign w:val="center"/>
          </w:tcPr>
          <w:p w14:paraId="0616F0AB">
            <w:pPr>
              <w:keepNext w:val="0"/>
              <w:keepLines w:val="0"/>
              <w:suppressLineNumbers w:val="0"/>
              <w:snapToGrid w:val="0"/>
              <w:spacing w:before="0" w:beforeAutospacing="0" w:after="0" w:afterAutospacing="0" w:line="400" w:lineRule="exact"/>
              <w:ind w:left="0" w:right="0" w:firstLine="424" w:firstLineChars="180"/>
              <w:jc w:val="both"/>
              <w:textAlignment w:val="baseline"/>
              <w:rPr>
                <w:rFonts w:hint="eastAsia" w:ascii="仿宋" w:hAnsi="仿宋" w:eastAsia="仿宋" w:cs="仿宋"/>
                <w:b w:val="0"/>
                <w:i w:val="0"/>
                <w:caps w:val="0"/>
                <w:color w:val="auto"/>
                <w:spacing w:val="-2"/>
                <w:w w:val="100"/>
                <w:sz w:val="24"/>
                <w:szCs w:val="24"/>
                <w:highlight w:val="none"/>
              </w:rPr>
            </w:pPr>
            <w:r>
              <w:rPr>
                <w:rFonts w:hint="eastAsia" w:ascii="仿宋" w:hAnsi="仿宋" w:eastAsia="仿宋" w:cs="仿宋"/>
                <w:b w:val="0"/>
                <w:i w:val="0"/>
                <w:caps w:val="0"/>
                <w:color w:val="auto"/>
                <w:spacing w:val="-2"/>
                <w:w w:val="100"/>
                <w:sz w:val="24"/>
                <w:szCs w:val="24"/>
                <w:highlight w:val="none"/>
              </w:rPr>
              <w:t>结论：通过评审打“√”，未通过评审打“×”</w:t>
            </w:r>
          </w:p>
        </w:tc>
        <w:tc>
          <w:tcPr>
            <w:tcW w:w="1256" w:type="dxa"/>
            <w:noWrap w:val="0"/>
            <w:vAlign w:val="center"/>
          </w:tcPr>
          <w:p w14:paraId="4C1CDFBA">
            <w:pPr>
              <w:keepNext w:val="0"/>
              <w:keepLines w:val="0"/>
              <w:suppressLineNumbers w:val="0"/>
              <w:snapToGrid w:val="0"/>
              <w:spacing w:before="0" w:beforeAutospacing="0" w:after="0" w:afterAutospacing="0" w:line="300" w:lineRule="auto"/>
              <w:ind w:left="0" w:right="0" w:firstLine="424" w:firstLineChars="180"/>
              <w:jc w:val="both"/>
              <w:textAlignment w:val="baseline"/>
              <w:rPr>
                <w:rFonts w:hint="eastAsia" w:ascii="仿宋" w:hAnsi="仿宋" w:eastAsia="仿宋" w:cs="仿宋"/>
                <w:b w:val="0"/>
                <w:i w:val="0"/>
                <w:caps w:val="0"/>
                <w:color w:val="auto"/>
                <w:spacing w:val="-2"/>
                <w:w w:val="100"/>
                <w:sz w:val="24"/>
                <w:szCs w:val="24"/>
                <w:highlight w:val="none"/>
              </w:rPr>
            </w:pPr>
          </w:p>
        </w:tc>
      </w:tr>
    </w:tbl>
    <w:p w14:paraId="6DFC400E">
      <w:pPr>
        <w:spacing w:line="440" w:lineRule="exact"/>
        <w:ind w:left="60"/>
        <w:rPr>
          <w:rFonts w:hint="eastAsia" w:ascii="仿宋" w:hAnsi="仿宋" w:eastAsia="仿宋" w:cs="仿宋"/>
          <w:bCs/>
          <w:color w:val="auto"/>
          <w:sz w:val="24"/>
          <w:highlight w:val="none"/>
        </w:rPr>
      </w:pPr>
    </w:p>
    <w:p w14:paraId="77FA1E41">
      <w:pPr>
        <w:spacing w:line="440" w:lineRule="exact"/>
        <w:ind w:left="6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w:t>
      </w:r>
    </w:p>
    <w:p w14:paraId="665EA99F">
      <w:pPr>
        <w:spacing w:line="440" w:lineRule="exact"/>
        <w:ind w:left="6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（1）上述各项中用“√”表示通过，“×”表示不通过；</w:t>
      </w:r>
    </w:p>
    <w:p w14:paraId="173251F2">
      <w:pPr>
        <w:spacing w:line="440" w:lineRule="exact"/>
        <w:ind w:left="779" w:leftChars="28" w:hanging="720" w:hangingChars="3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（2）上述各项中如有一项为“×”，则结论为“×”，表示该响应文件中存在重大偏差，不能通过初步评审；评委对某一分项评审认为不合格时，必须要写明原因。</w:t>
      </w:r>
    </w:p>
    <w:p w14:paraId="2F5EDD71">
      <w:pPr>
        <w:spacing w:line="44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（3）响应文件最终合格与否，以所有评委的评审意见中少数服从多数为原则。</w:t>
      </w:r>
    </w:p>
    <w:p w14:paraId="1C973595">
      <w:pPr>
        <w:pStyle w:val="2"/>
        <w:spacing w:line="360" w:lineRule="exact"/>
        <w:ind w:firstLine="0"/>
        <w:jc w:val="center"/>
        <w:outlineLvl w:val="1"/>
        <w:rPr>
          <w:rFonts w:hint="eastAsia" w:ascii="仿宋" w:hAnsi="仿宋" w:eastAsia="仿宋" w:cs="仿宋"/>
          <w:color w:val="auto"/>
          <w:highlight w:val="none"/>
        </w:rPr>
      </w:pPr>
      <w:bookmarkStart w:id="544" w:name="_Toc30772"/>
      <w:bookmarkStart w:id="545" w:name="_Toc4735_WPSOffice_Level1"/>
      <w:bookmarkStart w:id="546" w:name="_Toc3741"/>
      <w:bookmarkStart w:id="547" w:name="_Toc10715393"/>
      <w:bookmarkStart w:id="548" w:name="_Toc28589"/>
      <w:bookmarkStart w:id="549" w:name="_Toc24204"/>
      <w:bookmarkStart w:id="550" w:name="_Toc28489"/>
      <w:bookmarkStart w:id="551" w:name="_Toc17572"/>
      <w:bookmarkStart w:id="552" w:name="_Toc11427"/>
      <w:bookmarkStart w:id="553" w:name="_Toc8960"/>
      <w:bookmarkStart w:id="554" w:name="_Toc27485"/>
      <w:bookmarkStart w:id="555" w:name="_Toc28601"/>
      <w:r>
        <w:rPr>
          <w:rFonts w:hint="eastAsia" w:ascii="仿宋" w:hAnsi="仿宋" w:eastAsia="仿宋" w:cs="仿宋"/>
          <w:b/>
          <w:bCs/>
          <w:color w:val="auto"/>
          <w:szCs w:val="24"/>
          <w:highlight w:val="none"/>
        </w:rPr>
        <w:br w:type="page"/>
      </w:r>
      <w:bookmarkEnd w:id="544"/>
      <w:bookmarkEnd w:id="545"/>
      <w:bookmarkEnd w:id="546"/>
      <w:bookmarkEnd w:id="547"/>
      <w:bookmarkEnd w:id="548"/>
      <w:bookmarkEnd w:id="549"/>
      <w:bookmarkEnd w:id="550"/>
      <w:bookmarkEnd w:id="551"/>
      <w:bookmarkEnd w:id="552"/>
      <w:bookmarkEnd w:id="553"/>
      <w:bookmarkEnd w:id="554"/>
      <w:bookmarkEnd w:id="555"/>
    </w:p>
    <w:p w14:paraId="2B7C3346">
      <w:pPr>
        <w:pStyle w:val="2"/>
        <w:ind w:left="0" w:leftChars="0" w:firstLine="0" w:firstLineChars="0"/>
        <w:rPr>
          <w:rFonts w:hint="eastAsia" w:ascii="仿宋" w:hAnsi="仿宋" w:eastAsia="仿宋" w:cs="仿宋"/>
          <w:bCs/>
          <w:color w:val="auto"/>
          <w:highlight w:val="none"/>
        </w:rPr>
      </w:pPr>
    </w:p>
    <w:p w14:paraId="47083E77">
      <w:pPr>
        <w:rPr>
          <w:rFonts w:hint="eastAsia" w:ascii="仿宋" w:hAnsi="仿宋" w:eastAsia="仿宋" w:cs="仿宋"/>
          <w:bCs/>
          <w:color w:val="auto"/>
          <w:highlight w:val="none"/>
        </w:rPr>
      </w:pPr>
    </w:p>
    <w:p w14:paraId="4A634EAE">
      <w:pPr>
        <w:pStyle w:val="38"/>
        <w:ind w:firstLine="480"/>
        <w:rPr>
          <w:rFonts w:hint="eastAsia" w:ascii="仿宋" w:hAnsi="仿宋" w:eastAsia="仿宋" w:cs="仿宋"/>
          <w:bCs/>
          <w:color w:val="auto"/>
          <w:highlight w:val="none"/>
        </w:rPr>
      </w:pPr>
    </w:p>
    <w:p w14:paraId="4169B949">
      <w:pPr>
        <w:pStyle w:val="38"/>
        <w:rPr>
          <w:rFonts w:hint="eastAsia" w:ascii="仿宋" w:hAnsi="仿宋" w:eastAsia="仿宋" w:cs="仿宋"/>
          <w:bCs/>
          <w:color w:val="auto"/>
          <w:highlight w:val="none"/>
        </w:rPr>
      </w:pPr>
    </w:p>
    <w:p w14:paraId="58CCE21F">
      <w:pPr>
        <w:pStyle w:val="2"/>
        <w:rPr>
          <w:rFonts w:hint="eastAsia" w:ascii="仿宋" w:hAnsi="仿宋" w:eastAsia="仿宋" w:cs="仿宋"/>
          <w:bCs/>
          <w:color w:val="auto"/>
          <w:highlight w:val="none"/>
        </w:rPr>
      </w:pPr>
    </w:p>
    <w:p w14:paraId="54F495F5">
      <w:pPr>
        <w:spacing w:line="360" w:lineRule="auto"/>
        <w:jc w:val="center"/>
        <w:rPr>
          <w:rFonts w:hint="eastAsia" w:ascii="仿宋" w:hAnsi="仿宋" w:eastAsia="仿宋" w:cs="仿宋"/>
          <w:b/>
          <w:color w:val="auto"/>
          <w:sz w:val="44"/>
          <w:szCs w:val="44"/>
          <w:highlight w:val="none"/>
        </w:rPr>
      </w:pPr>
      <w:bookmarkStart w:id="556" w:name="_Toc30745_WPSOffice_Level2"/>
      <w:bookmarkStart w:id="557" w:name="_Toc9377_WPSOffice_Level1"/>
      <w:bookmarkStart w:id="558" w:name="_Toc507399904"/>
      <w:r>
        <w:rPr>
          <w:rFonts w:hint="eastAsia" w:ascii="仿宋" w:hAnsi="仿宋" w:eastAsia="仿宋" w:cs="仿宋"/>
          <w:b/>
          <w:color w:val="auto"/>
          <w:sz w:val="44"/>
          <w:szCs w:val="44"/>
          <w:highlight w:val="none"/>
        </w:rPr>
        <w:t xml:space="preserve">  </w:t>
      </w:r>
    </w:p>
    <w:p w14:paraId="5F123922">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竞争性谈判文件</w:t>
      </w:r>
      <w:bookmarkEnd w:id="556"/>
      <w:bookmarkEnd w:id="557"/>
    </w:p>
    <w:p w14:paraId="09215216">
      <w:pPr>
        <w:pStyle w:val="2"/>
        <w:rPr>
          <w:rFonts w:hint="eastAsia" w:ascii="仿宋" w:hAnsi="仿宋" w:eastAsia="仿宋" w:cs="仿宋"/>
          <w:color w:val="auto"/>
          <w:sz w:val="28"/>
          <w:szCs w:val="21"/>
          <w:highlight w:val="none"/>
        </w:rPr>
      </w:pPr>
    </w:p>
    <w:p w14:paraId="2501B481">
      <w:pPr>
        <w:pStyle w:val="2"/>
        <w:rPr>
          <w:rFonts w:hint="eastAsia" w:ascii="仿宋" w:hAnsi="仿宋" w:eastAsia="仿宋" w:cs="仿宋"/>
          <w:color w:val="auto"/>
          <w:sz w:val="28"/>
          <w:szCs w:val="21"/>
          <w:highlight w:val="none"/>
        </w:rPr>
      </w:pPr>
    </w:p>
    <w:p w14:paraId="3AE3BB8A">
      <w:pPr>
        <w:spacing w:line="440" w:lineRule="exact"/>
        <w:jc w:val="center"/>
        <w:rPr>
          <w:rFonts w:hint="default" w:ascii="仿宋" w:hAnsi="仿宋" w:eastAsia="仿宋" w:cs="仿宋"/>
          <w:b/>
          <w:color w:val="auto"/>
          <w:sz w:val="44"/>
          <w:szCs w:val="44"/>
          <w:highlight w:val="none"/>
          <w:lang w:val="en-US" w:eastAsia="zh-CN"/>
        </w:rPr>
      </w:pPr>
      <w:bookmarkStart w:id="559" w:name="_Toc16208_WPSOffice_Level1"/>
      <w:bookmarkStart w:id="560" w:name="_Toc17413_WPSOffice_Level3"/>
      <w:r>
        <w:rPr>
          <w:rFonts w:hint="eastAsia" w:ascii="仿宋" w:hAnsi="仿宋" w:eastAsia="仿宋" w:cs="仿宋"/>
          <w:b/>
          <w:color w:val="auto"/>
          <w:sz w:val="36"/>
          <w:szCs w:val="36"/>
          <w:highlight w:val="none"/>
        </w:rPr>
        <w:t>编号：</w:t>
      </w:r>
      <w:bookmarkEnd w:id="559"/>
      <w:bookmarkEnd w:id="560"/>
      <w:r>
        <w:rPr>
          <w:rFonts w:hint="eastAsia" w:ascii="仿宋" w:hAnsi="仿宋" w:eastAsia="仿宋" w:cs="仿宋"/>
          <w:b/>
          <w:color w:val="auto"/>
          <w:sz w:val="36"/>
          <w:szCs w:val="36"/>
          <w:highlight w:val="none"/>
        </w:rPr>
        <w:t xml:space="preserve"> </w:t>
      </w:r>
      <w:bookmarkStart w:id="561" w:name="_Toc25214_WPSOffice_Level1"/>
      <w:r>
        <w:rPr>
          <w:rFonts w:hint="eastAsia" w:ascii="仿宋" w:hAnsi="仿宋" w:eastAsia="仿宋" w:cs="仿宋"/>
          <w:b/>
          <w:color w:val="auto"/>
          <w:sz w:val="36"/>
          <w:szCs w:val="36"/>
          <w:highlight w:val="none"/>
          <w:lang w:eastAsia="zh-CN"/>
        </w:rPr>
        <w:t>XJZY（TP）202</w:t>
      </w:r>
      <w:r>
        <w:rPr>
          <w:rFonts w:hint="eastAsia" w:ascii="仿宋" w:hAnsi="仿宋" w:eastAsia="仿宋" w:cs="仿宋"/>
          <w:b/>
          <w:color w:val="auto"/>
          <w:sz w:val="36"/>
          <w:szCs w:val="36"/>
          <w:highlight w:val="none"/>
          <w:lang w:val="en-US" w:eastAsia="zh-CN"/>
        </w:rPr>
        <w:t>5</w:t>
      </w:r>
      <w:r>
        <w:rPr>
          <w:rFonts w:hint="eastAsia" w:ascii="仿宋" w:hAnsi="仿宋" w:eastAsia="仿宋" w:cs="仿宋"/>
          <w:b/>
          <w:color w:val="auto"/>
          <w:sz w:val="36"/>
          <w:szCs w:val="36"/>
          <w:highlight w:val="none"/>
          <w:lang w:eastAsia="zh-CN"/>
        </w:rPr>
        <w:t>-</w:t>
      </w:r>
      <w:r>
        <w:rPr>
          <w:rFonts w:hint="eastAsia" w:ascii="仿宋" w:hAnsi="仿宋" w:eastAsia="仿宋" w:cs="仿宋"/>
          <w:b/>
          <w:color w:val="auto"/>
          <w:sz w:val="36"/>
          <w:szCs w:val="36"/>
          <w:highlight w:val="none"/>
          <w:lang w:val="en-US" w:eastAsia="zh-CN"/>
        </w:rPr>
        <w:t>02</w:t>
      </w:r>
    </w:p>
    <w:p w14:paraId="2CC83DF1">
      <w:pPr>
        <w:spacing w:line="440" w:lineRule="exact"/>
        <w:jc w:val="center"/>
        <w:rPr>
          <w:rFonts w:hint="eastAsia" w:ascii="仿宋" w:hAnsi="仿宋" w:eastAsia="仿宋" w:cs="仿宋"/>
          <w:b/>
          <w:color w:val="auto"/>
          <w:sz w:val="44"/>
          <w:szCs w:val="44"/>
          <w:highlight w:val="none"/>
        </w:rPr>
      </w:pPr>
    </w:p>
    <w:p w14:paraId="4EB681F6">
      <w:pPr>
        <w:spacing w:line="440" w:lineRule="exact"/>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第 三 册</w:t>
      </w:r>
      <w:bookmarkEnd w:id="561"/>
    </w:p>
    <w:p w14:paraId="78F2B26F">
      <w:pPr>
        <w:pStyle w:val="2"/>
        <w:rPr>
          <w:rFonts w:hint="eastAsia" w:ascii="仿宋" w:hAnsi="仿宋" w:eastAsia="仿宋" w:cs="仿宋"/>
          <w:bCs/>
          <w:color w:val="auto"/>
          <w:sz w:val="40"/>
          <w:szCs w:val="40"/>
          <w:highlight w:val="none"/>
        </w:rPr>
      </w:pPr>
    </w:p>
    <w:p w14:paraId="079CC70C">
      <w:pPr>
        <w:pStyle w:val="2"/>
        <w:rPr>
          <w:rFonts w:hint="eastAsia" w:ascii="仿宋" w:hAnsi="仿宋" w:eastAsia="仿宋" w:cs="仿宋"/>
          <w:bCs/>
          <w:color w:val="auto"/>
          <w:sz w:val="40"/>
          <w:szCs w:val="40"/>
          <w:highlight w:val="none"/>
        </w:rPr>
      </w:pPr>
    </w:p>
    <w:p w14:paraId="0096D69F">
      <w:pPr>
        <w:pStyle w:val="2"/>
        <w:rPr>
          <w:rFonts w:hint="eastAsia" w:ascii="仿宋" w:hAnsi="仿宋" w:eastAsia="仿宋" w:cs="仿宋"/>
          <w:bCs/>
          <w:color w:val="auto"/>
          <w:sz w:val="40"/>
          <w:szCs w:val="40"/>
          <w:highlight w:val="none"/>
        </w:rPr>
      </w:pPr>
    </w:p>
    <w:p w14:paraId="3AA2D389">
      <w:pPr>
        <w:pStyle w:val="2"/>
        <w:rPr>
          <w:rFonts w:hint="eastAsia" w:ascii="仿宋" w:hAnsi="仿宋" w:eastAsia="仿宋" w:cs="仿宋"/>
          <w:bCs/>
          <w:color w:val="auto"/>
          <w:sz w:val="40"/>
          <w:szCs w:val="40"/>
          <w:highlight w:val="none"/>
        </w:rPr>
      </w:pPr>
    </w:p>
    <w:p w14:paraId="063B69EF">
      <w:pPr>
        <w:pStyle w:val="2"/>
        <w:rPr>
          <w:rFonts w:hint="eastAsia" w:ascii="仿宋" w:hAnsi="仿宋" w:eastAsia="仿宋" w:cs="仿宋"/>
          <w:bCs/>
          <w:color w:val="auto"/>
          <w:sz w:val="40"/>
          <w:szCs w:val="40"/>
          <w:highlight w:val="none"/>
        </w:rPr>
      </w:pPr>
    </w:p>
    <w:p w14:paraId="4A618C35">
      <w:pPr>
        <w:rPr>
          <w:rFonts w:hint="eastAsia" w:ascii="仿宋" w:hAnsi="仿宋" w:eastAsia="仿宋" w:cs="仿宋"/>
          <w:bCs/>
          <w:color w:val="auto"/>
          <w:sz w:val="40"/>
          <w:szCs w:val="40"/>
          <w:highlight w:val="none"/>
        </w:rPr>
      </w:pPr>
    </w:p>
    <w:p w14:paraId="117683E7">
      <w:pPr>
        <w:pStyle w:val="2"/>
        <w:rPr>
          <w:rFonts w:hint="eastAsia" w:ascii="仿宋" w:hAnsi="仿宋" w:eastAsia="仿宋" w:cs="仿宋"/>
          <w:bCs/>
          <w:color w:val="auto"/>
          <w:sz w:val="40"/>
          <w:szCs w:val="40"/>
          <w:highlight w:val="none"/>
        </w:rPr>
      </w:pPr>
    </w:p>
    <w:p w14:paraId="2A31F7D7">
      <w:pPr>
        <w:rPr>
          <w:rFonts w:hint="eastAsia" w:ascii="仿宋" w:hAnsi="仿宋" w:eastAsia="仿宋" w:cs="仿宋"/>
          <w:color w:val="auto"/>
          <w:highlight w:val="none"/>
        </w:rPr>
      </w:pPr>
    </w:p>
    <w:p w14:paraId="4DCFD836">
      <w:pPr>
        <w:pStyle w:val="2"/>
        <w:rPr>
          <w:rFonts w:hint="eastAsia" w:ascii="仿宋" w:hAnsi="仿宋" w:eastAsia="仿宋" w:cs="仿宋"/>
          <w:bCs/>
          <w:color w:val="auto"/>
          <w:sz w:val="40"/>
          <w:szCs w:val="40"/>
          <w:highlight w:val="none"/>
        </w:rPr>
      </w:pPr>
    </w:p>
    <w:p w14:paraId="51582626">
      <w:pPr>
        <w:pStyle w:val="38"/>
        <w:ind w:firstLine="0" w:firstLineChars="0"/>
        <w:rPr>
          <w:rFonts w:hint="eastAsia" w:ascii="仿宋" w:hAnsi="仿宋" w:eastAsia="仿宋" w:cs="仿宋"/>
          <w:bCs/>
          <w:color w:val="auto"/>
          <w:sz w:val="40"/>
          <w:szCs w:val="40"/>
          <w:highlight w:val="none"/>
        </w:rPr>
      </w:pPr>
    </w:p>
    <w:p w14:paraId="48161AA6">
      <w:pPr>
        <w:pStyle w:val="2"/>
        <w:ind w:firstLine="0"/>
        <w:rPr>
          <w:rFonts w:hint="eastAsia" w:ascii="仿宋" w:hAnsi="仿宋" w:eastAsia="仿宋" w:cs="仿宋"/>
          <w:bCs/>
          <w:color w:val="auto"/>
          <w:sz w:val="40"/>
          <w:szCs w:val="40"/>
          <w:highlight w:val="none"/>
        </w:rPr>
      </w:pPr>
      <w:r>
        <w:rPr>
          <w:rFonts w:hint="eastAsia" w:ascii="仿宋" w:hAnsi="仿宋" w:eastAsia="仿宋" w:cs="仿宋"/>
          <w:bCs/>
          <w:color w:val="auto"/>
          <w:sz w:val="40"/>
          <w:szCs w:val="40"/>
          <w:highlight w:val="none"/>
        </w:rPr>
        <w:br w:type="page"/>
      </w:r>
    </w:p>
    <w:bookmarkEnd w:id="558"/>
    <w:p w14:paraId="792F4377">
      <w:pPr>
        <w:pStyle w:val="4"/>
        <w:tabs>
          <w:tab w:val="left" w:pos="0"/>
        </w:tabs>
        <w:spacing w:before="0" w:after="0" w:line="440" w:lineRule="exact"/>
        <w:ind w:left="-15"/>
        <w:rPr>
          <w:rFonts w:hint="eastAsia" w:ascii="仿宋" w:hAnsi="仿宋" w:eastAsia="仿宋" w:cs="仿宋"/>
          <w:color w:val="auto"/>
          <w:highlight w:val="none"/>
        </w:rPr>
      </w:pPr>
      <w:bookmarkStart w:id="562" w:name="_Toc6865"/>
      <w:bookmarkStart w:id="563" w:name="_Toc4337"/>
      <w:bookmarkStart w:id="564" w:name="_Toc4796"/>
      <w:bookmarkStart w:id="565" w:name="_Toc24014"/>
      <w:bookmarkStart w:id="566" w:name="_Toc515647833"/>
      <w:r>
        <w:rPr>
          <w:rFonts w:hint="eastAsia" w:ascii="仿宋" w:hAnsi="仿宋" w:eastAsia="仿宋" w:cs="仿宋"/>
          <w:color w:val="auto"/>
          <w:highlight w:val="none"/>
        </w:rPr>
        <w:t>第7章 政府采购合同</w:t>
      </w:r>
      <w:bookmarkEnd w:id="562"/>
      <w:bookmarkEnd w:id="563"/>
      <w:bookmarkEnd w:id="564"/>
      <w:bookmarkEnd w:id="565"/>
      <w:bookmarkEnd w:id="566"/>
      <w:bookmarkStart w:id="567" w:name="_Hlt487972895"/>
      <w:bookmarkEnd w:id="567"/>
      <w:bookmarkStart w:id="568" w:name="_Toc487900382"/>
      <w:bookmarkStart w:id="569" w:name="_Toc216513788"/>
    </w:p>
    <w:bookmarkEnd w:id="568"/>
    <w:bookmarkEnd w:id="569"/>
    <w:p w14:paraId="4E28CEED">
      <w:pPr>
        <w:spacing w:line="440" w:lineRule="exact"/>
        <w:rPr>
          <w:rFonts w:hint="eastAsia" w:ascii="仿宋" w:hAnsi="仿宋" w:eastAsia="仿宋" w:cs="仿宋"/>
          <w:bCs/>
          <w:color w:val="auto"/>
          <w:kern w:val="44"/>
          <w:sz w:val="32"/>
          <w:szCs w:val="20"/>
          <w:highlight w:val="none"/>
        </w:rPr>
      </w:pPr>
    </w:p>
    <w:p w14:paraId="57FBE44C">
      <w:pPr>
        <w:pStyle w:val="12"/>
        <w:spacing w:after="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0C48E2AD">
      <w:pPr>
        <w:pStyle w:val="12"/>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755A4114">
      <w:pPr>
        <w:rPr>
          <w:rFonts w:hint="eastAsia" w:ascii="仿宋" w:hAnsi="仿宋" w:eastAsia="仿宋" w:cs="仿宋"/>
          <w:b/>
          <w:bCs/>
          <w:color w:val="auto"/>
          <w:spacing w:val="-20"/>
          <w:kern w:val="44"/>
          <w:sz w:val="40"/>
          <w:szCs w:val="40"/>
          <w:highlight w:val="none"/>
        </w:rPr>
      </w:pPr>
    </w:p>
    <w:p w14:paraId="2098CB08">
      <w:pPr>
        <w:rPr>
          <w:rFonts w:hint="eastAsia" w:ascii="仿宋" w:hAnsi="仿宋" w:eastAsia="仿宋" w:cs="仿宋"/>
          <w:b/>
          <w:bCs/>
          <w:color w:val="auto"/>
          <w:spacing w:val="-20"/>
          <w:kern w:val="44"/>
          <w:sz w:val="40"/>
          <w:szCs w:val="40"/>
          <w:highlight w:val="none"/>
        </w:rPr>
      </w:pPr>
    </w:p>
    <w:p w14:paraId="5A727E1B">
      <w:pPr>
        <w:rPr>
          <w:rFonts w:hint="eastAsia" w:ascii="仿宋" w:hAnsi="仿宋" w:eastAsia="仿宋" w:cs="仿宋"/>
          <w:b/>
          <w:bCs/>
          <w:color w:val="auto"/>
          <w:spacing w:val="-20"/>
          <w:kern w:val="44"/>
          <w:sz w:val="40"/>
          <w:szCs w:val="40"/>
          <w:highlight w:val="none"/>
        </w:rPr>
      </w:pPr>
    </w:p>
    <w:p w14:paraId="7B262862">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p>
    <w:p w14:paraId="55EC9EC1">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43EAD22C">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p>
    <w:p w14:paraId="5E3EB499">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3111450C">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236060F9">
      <w:pPr>
        <w:rPr>
          <w:rFonts w:hint="eastAsia" w:ascii="仿宋" w:hAnsi="仿宋" w:eastAsia="仿宋" w:cs="仿宋"/>
          <w:color w:val="auto"/>
          <w:highlight w:val="none"/>
        </w:rPr>
      </w:pPr>
    </w:p>
    <w:p w14:paraId="26C569B8">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5E08D22D">
      <w:pPr>
        <w:rPr>
          <w:rFonts w:hint="eastAsia" w:ascii="仿宋" w:hAnsi="仿宋" w:eastAsia="仿宋" w:cs="仿宋"/>
          <w:color w:val="auto"/>
          <w:sz w:val="44"/>
          <w:szCs w:val="44"/>
          <w:highlight w:val="none"/>
        </w:rPr>
      </w:pPr>
    </w:p>
    <w:p w14:paraId="49647C4F">
      <w:pPr>
        <w:rPr>
          <w:rFonts w:hint="eastAsia" w:ascii="仿宋" w:hAnsi="仿宋" w:eastAsia="仿宋" w:cs="仿宋"/>
          <w:color w:val="auto"/>
          <w:sz w:val="44"/>
          <w:szCs w:val="44"/>
          <w:highlight w:val="none"/>
        </w:rPr>
      </w:pPr>
    </w:p>
    <w:p w14:paraId="2F28FB7F">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00B1592B">
      <w:pPr>
        <w:ind w:firstLine="640" w:firstLineChars="200"/>
        <w:rPr>
          <w:rFonts w:hint="eastAsia" w:ascii="仿宋" w:hAnsi="仿宋" w:eastAsia="仿宋" w:cs="仿宋"/>
          <w:color w:val="auto"/>
          <w:sz w:val="32"/>
          <w:szCs w:val="32"/>
          <w:highlight w:val="none"/>
          <w:lang w:val="en-US" w:eastAsia="zh-CN"/>
        </w:rPr>
      </w:pPr>
    </w:p>
    <w:p w14:paraId="4F874005">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7DF551A2">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76F06EAA">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AE58A26">
      <w:pPr>
        <w:ind w:firstLine="880" w:firstLineChars="200"/>
        <w:jc w:val="both"/>
        <w:rPr>
          <w:rFonts w:hint="eastAsia" w:ascii="仿宋" w:hAnsi="仿宋" w:eastAsia="仿宋" w:cs="仿宋"/>
          <w:color w:val="auto"/>
          <w:sz w:val="44"/>
          <w:szCs w:val="44"/>
          <w:highlight w:val="none"/>
        </w:rPr>
        <w:sectPr>
          <w:headerReference r:id="rId12" w:type="default"/>
          <w:footerReference r:id="rId1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1965629C">
      <w:pPr>
        <w:pStyle w:val="5"/>
        <w:adjustRightInd w:val="0"/>
        <w:snapToGrid w:val="0"/>
        <w:spacing w:beforeLines="0" w:line="400" w:lineRule="exact"/>
        <w:jc w:val="center"/>
        <w:rPr>
          <w:rFonts w:hint="eastAsia" w:ascii="仿宋" w:hAnsi="仿宋" w:eastAsia="仿宋" w:cs="仿宋"/>
          <w:color w:val="auto"/>
          <w:sz w:val="28"/>
          <w:szCs w:val="28"/>
          <w:highlight w:val="none"/>
        </w:rPr>
      </w:pPr>
      <w:bookmarkStart w:id="570" w:name="_Toc22209"/>
    </w:p>
    <w:p w14:paraId="37A92355">
      <w:pPr>
        <w:pStyle w:val="5"/>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570"/>
    </w:p>
    <w:p w14:paraId="3BA12BBF">
      <w:pPr>
        <w:pStyle w:val="5"/>
        <w:adjustRightInd w:val="0"/>
        <w:snapToGrid w:val="0"/>
        <w:spacing w:beforeLines="0" w:line="400" w:lineRule="exact"/>
        <w:jc w:val="center"/>
        <w:rPr>
          <w:rFonts w:hint="eastAsia" w:ascii="仿宋" w:hAnsi="仿宋" w:eastAsia="仿宋" w:cs="仿宋"/>
          <w:b w:val="0"/>
          <w:bCs w:val="0"/>
          <w:color w:val="auto"/>
          <w:sz w:val="28"/>
          <w:szCs w:val="28"/>
          <w:highlight w:val="none"/>
        </w:rPr>
      </w:pPr>
    </w:p>
    <w:p w14:paraId="71844C65">
      <w:pPr>
        <w:adjustRightInd w:val="0"/>
        <w:snapToGrid w:val="0"/>
        <w:spacing w:before="0" w:beforeLines="0"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甲方（全称）：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（采购人</w:t>
      </w:r>
      <w:r>
        <w:rPr>
          <w:rFonts w:hint="eastAsia" w:ascii="仿宋" w:hAnsi="仿宋" w:eastAsia="仿宋" w:cs="仿宋"/>
          <w:color w:val="auto"/>
          <w:szCs w:val="21"/>
          <w:highlight w:val="none"/>
          <w:lang w:eastAsia="zh-CN"/>
        </w:rPr>
        <w:t>、受采购人委托签订合同的单位</w:t>
      </w:r>
      <w:r>
        <w:rPr>
          <w:rFonts w:hint="eastAsia" w:ascii="仿宋" w:hAnsi="仿宋" w:eastAsia="仿宋" w:cs="仿宋"/>
          <w:color w:val="auto"/>
          <w:szCs w:val="21"/>
          <w:highlight w:val="none"/>
        </w:rPr>
        <w:t>或采购</w:t>
      </w:r>
      <w:r>
        <w:rPr>
          <w:rFonts w:hint="eastAsia" w:ascii="仿宋" w:hAnsi="仿宋" w:eastAsia="仿宋" w:cs="仿宋"/>
          <w:color w:val="auto"/>
          <w:szCs w:val="21"/>
          <w:highlight w:val="none"/>
          <w:lang w:val="en-US" w:eastAsia="zh-CN"/>
        </w:rPr>
        <w:tab/>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文件约定的合同甲方）</w:t>
      </w:r>
    </w:p>
    <w:p w14:paraId="5B44D05F">
      <w:pPr>
        <w:adjustRightInd w:val="0"/>
        <w:snapToGrid w:val="0"/>
        <w:spacing w:before="0" w:beforeLines="0"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（全称）：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（供应商）</w:t>
      </w:r>
    </w:p>
    <w:p w14:paraId="42212D0D">
      <w:pPr>
        <w:adjustRightInd w:val="0"/>
        <w:snapToGrid w:val="0"/>
        <w:spacing w:before="0" w:beforeLines="0"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乙方2（全称）：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（联合体成员供应商或其他合同主体）（如有）</w:t>
      </w:r>
    </w:p>
    <w:p w14:paraId="414AB96D">
      <w:pPr>
        <w:adjustRightInd w:val="0"/>
        <w:snapToGrid w:val="0"/>
        <w:spacing w:before="0" w:beforeLines="0" w:line="400" w:lineRule="exact"/>
        <w:rPr>
          <w:rFonts w:hint="eastAsia" w:ascii="仿宋" w:hAnsi="仿宋" w:eastAsia="仿宋" w:cs="仿宋"/>
          <w:color w:val="auto"/>
          <w:szCs w:val="21"/>
          <w:highlight w:val="none"/>
        </w:rPr>
      </w:pPr>
      <w:r>
        <w:rPr>
          <w:rFonts w:hint="eastAsia" w:ascii="仿宋" w:hAnsi="仿宋" w:eastAsia="仿宋" w:cs="仿宋"/>
          <w:color w:val="auto"/>
          <w:highlight w:val="none"/>
          <w:lang w:eastAsia="zh-CN"/>
        </w:rPr>
        <w:t>乙方</w:t>
      </w:r>
      <w:r>
        <w:rPr>
          <w:rFonts w:hint="eastAsia" w:ascii="仿宋" w:hAnsi="仿宋" w:eastAsia="仿宋" w:cs="仿宋"/>
          <w:color w:val="auto"/>
          <w:szCs w:val="21"/>
          <w:highlight w:val="none"/>
          <w:lang w:val="en-US" w:eastAsia="zh-CN"/>
        </w:rPr>
        <w:t>3</w:t>
      </w:r>
      <w:r>
        <w:rPr>
          <w:rFonts w:hint="eastAsia" w:ascii="仿宋" w:hAnsi="仿宋" w:eastAsia="仿宋" w:cs="仿宋"/>
          <w:color w:val="auto"/>
          <w:highlight w:val="none"/>
          <w:lang w:val="en-US" w:eastAsia="zh-CN"/>
        </w:rPr>
        <w:t>（全称）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（联合体成员供应商或其他合同主体）（如有）</w:t>
      </w:r>
    </w:p>
    <w:p w14:paraId="5CBF73D1">
      <w:pPr>
        <w:spacing w:beforeLines="0" w:line="400" w:lineRule="exact"/>
        <w:rPr>
          <w:rFonts w:hint="eastAsia" w:ascii="仿宋" w:hAnsi="仿宋" w:eastAsia="仿宋" w:cs="仿宋"/>
          <w:color w:val="auto"/>
          <w:highlight w:val="none"/>
          <w:lang w:val="en-US" w:eastAsia="zh-CN"/>
        </w:rPr>
      </w:pPr>
    </w:p>
    <w:p w14:paraId="2F916FC9">
      <w:pPr>
        <w:pStyle w:val="13"/>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依据《中华人民共和国民法典》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《中华人民共和国政府采购法》等有关的法律法规，以及</w:t>
      </w:r>
      <w:r>
        <w:rPr>
          <w:rFonts w:hint="eastAsia" w:ascii="仿宋" w:hAnsi="仿宋" w:eastAsia="仿宋" w:cs="仿宋"/>
          <w:i w:val="0"/>
          <w:iCs w:val="0"/>
          <w:color w:val="auto"/>
          <w:szCs w:val="21"/>
          <w:highlight w:val="none"/>
          <w:u w:val="none"/>
          <w:lang w:eastAsia="zh-CN"/>
        </w:rPr>
        <w:t>本采购项目</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lang w:eastAsia="zh-CN"/>
        </w:rPr>
        <w:t>招标</w:t>
      </w:r>
      <w:r>
        <w:rPr>
          <w:rFonts w:hint="eastAsia" w:ascii="仿宋" w:hAnsi="仿宋" w:eastAsia="仿宋" w:cs="仿宋"/>
          <w:color w:val="auto"/>
          <w:szCs w:val="21"/>
          <w:highlight w:val="none"/>
          <w:lang w:val="en-US" w:eastAsia="zh-CN"/>
        </w:rPr>
        <w:t>/谈判</w:t>
      </w:r>
      <w:r>
        <w:rPr>
          <w:rFonts w:hint="eastAsia" w:ascii="仿宋" w:hAnsi="仿宋" w:eastAsia="仿宋" w:cs="仿宋"/>
          <w:color w:val="auto"/>
          <w:szCs w:val="21"/>
          <w:highlight w:val="none"/>
          <w:lang w:eastAsia="zh-CN"/>
        </w:rPr>
        <w:t>文件等</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 xml:space="preserve">乙方的《投标（响应）文件》及《中标（成交）通知书》，甲乙双方同意签订本合同。具体情况及要求如下：     </w:t>
      </w:r>
    </w:p>
    <w:p w14:paraId="1C62880C">
      <w:pPr>
        <w:numPr>
          <w:ilvl w:val="0"/>
          <w:numId w:val="12"/>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项目信息</w:t>
      </w:r>
    </w:p>
    <w:p w14:paraId="0172BFC8">
      <w:pPr>
        <w:pStyle w:val="13"/>
        <w:numPr>
          <w:ilvl w:val="0"/>
          <w:numId w:val="13"/>
        </w:numPr>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采购项目名称：</w:t>
      </w:r>
      <w:r>
        <w:rPr>
          <w:rFonts w:hint="eastAsia" w:ascii="仿宋" w:hAnsi="仿宋" w:eastAsia="仿宋" w:cs="仿宋"/>
          <w:color w:val="auto"/>
          <w:szCs w:val="21"/>
          <w:highlight w:val="none"/>
          <w:u w:val="single"/>
        </w:rPr>
        <w:t xml:space="preserve">                                          </w:t>
      </w:r>
    </w:p>
    <w:p w14:paraId="6E1F29AE">
      <w:pPr>
        <w:pStyle w:val="13"/>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Cs w:val="21"/>
          <w:highlight w:val="none"/>
          <w:u w:val="none"/>
          <w:lang w:val="en-US" w:eastAsia="zh-CN"/>
        </w:rPr>
      </w:pPr>
      <w:r>
        <w:rPr>
          <w:rFonts w:hint="eastAsia" w:ascii="仿宋" w:hAnsi="仿宋" w:eastAsia="仿宋" w:cs="仿宋"/>
          <w:color w:val="auto"/>
          <w:szCs w:val="21"/>
          <w:highlight w:val="none"/>
          <w:u w:val="none"/>
          <w:lang w:val="en-US" w:eastAsia="zh-CN"/>
        </w:rPr>
        <w:t xml:space="preserve">         采购项目编号：</w:t>
      </w:r>
      <w:r>
        <w:rPr>
          <w:rFonts w:hint="eastAsia" w:ascii="仿宋" w:hAnsi="仿宋" w:eastAsia="仿宋" w:cs="仿宋"/>
          <w:color w:val="auto"/>
          <w:szCs w:val="21"/>
          <w:highlight w:val="none"/>
          <w:u w:val="single"/>
        </w:rPr>
        <w:t xml:space="preserve">                                          </w:t>
      </w:r>
    </w:p>
    <w:p w14:paraId="6B019C50">
      <w:pPr>
        <w:pStyle w:val="13"/>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（2）采购计划编号：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1B96524F">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（3）项目内容：</w:t>
      </w:r>
    </w:p>
    <w:p w14:paraId="11FA5F75">
      <w:p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采购标的及数量</w:t>
      </w:r>
      <w:r>
        <w:rPr>
          <w:rFonts w:hint="eastAsia" w:ascii="仿宋" w:hAnsi="仿宋" w:eastAsia="仿宋" w:cs="仿宋"/>
          <w:color w:val="auto"/>
          <w:szCs w:val="21"/>
          <w:highlight w:val="none"/>
          <w:lang w:val="en-US" w:eastAsia="zh-CN"/>
        </w:rPr>
        <w:t>（台/套</w:t>
      </w:r>
      <w:r>
        <w:rPr>
          <w:rFonts w:hint="eastAsia" w:ascii="仿宋" w:hAnsi="仿宋" w:eastAsia="仿宋" w:cs="仿宋"/>
          <w:color w:val="auto"/>
          <w:szCs w:val="21"/>
          <w:highlight w:val="none"/>
          <w:lang w:val="en" w:eastAsia="zh-CN"/>
        </w:rPr>
        <w:t>/个/架/组等</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w:t>
      </w:r>
    </w:p>
    <w:p w14:paraId="13C686C4">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 w:eastAsia="zh-CN"/>
        </w:rPr>
        <w:t xml:space="preserve">     </w:t>
      </w:r>
      <w:r>
        <w:rPr>
          <w:rFonts w:hint="eastAsia" w:ascii="仿宋" w:hAnsi="仿宋" w:eastAsia="仿宋" w:cs="仿宋"/>
          <w:color w:val="auto"/>
          <w:szCs w:val="21"/>
          <w:highlight w:val="none"/>
          <w:lang w:val="en-US" w:eastAsia="zh-CN"/>
        </w:rPr>
        <w:t>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p>
    <w:p w14:paraId="3B2765DA">
      <w:pPr>
        <w:adjustRightInd w:val="0"/>
        <w:snapToGrid w:val="0"/>
        <w:spacing w:before="0" w:beforeLines="0" w:line="400" w:lineRule="exact"/>
        <w:ind w:firstLine="945" w:firstLineChars="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lang w:val="en-US" w:eastAsia="zh-CN"/>
        </w:rPr>
        <w:t>采购标的的技术要求、商务要求具体见附件。</w:t>
      </w:r>
    </w:p>
    <w:p w14:paraId="7A574063">
      <w:pPr>
        <w:numPr>
          <w:ilvl w:val="-1"/>
          <w:numId w:val="0"/>
        </w:numPr>
        <w:adjustRightInd w:val="0"/>
        <w:snapToGrid w:val="0"/>
        <w:spacing w:before="0" w:beforeLines="0" w:line="400" w:lineRule="exact"/>
        <w:ind w:firstLine="945" w:firstLineChars="45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①涉及信息类产品，请填写该产品关键部件的品牌、型号：</w:t>
      </w:r>
    </w:p>
    <w:p w14:paraId="15585541">
      <w:pPr>
        <w:numPr>
          <w:ilvl w:val="-1"/>
          <w:numId w:val="0"/>
        </w:numPr>
        <w:adjustRightInd w:val="0"/>
        <w:snapToGrid w:val="0"/>
        <w:spacing w:before="0" w:beforeLines="0" w:line="400" w:lineRule="exact"/>
        <w:ind w:firstLine="420" w:firstLineChars="200"/>
        <w:rPr>
          <w:rFonts w:hint="eastAsia" w:ascii="仿宋" w:hAnsi="仿宋" w:eastAsia="仿宋" w:cs="仿宋"/>
          <w:color w:val="auto"/>
          <w:kern w:val="0"/>
          <w:szCs w:val="21"/>
          <w:highlight w:val="none"/>
          <w:u w:val="single"/>
          <w:lang w:val="en-US" w:eastAsia="zh-CN"/>
        </w:rPr>
      </w:pPr>
      <w:r>
        <w:rPr>
          <w:rFonts w:hint="eastAsia" w:ascii="仿宋" w:hAnsi="仿宋" w:eastAsia="仿宋" w:cs="仿宋"/>
          <w:color w:val="auto"/>
          <w:szCs w:val="21"/>
          <w:highlight w:val="none"/>
          <w:lang w:val="en-US" w:eastAsia="zh-CN"/>
        </w:rPr>
        <w:t xml:space="preserve">     标的名称：</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single"/>
          <w:lang w:val="en" w:eastAsia="zh-CN"/>
        </w:rPr>
        <w:t xml:space="preserve">               </w:t>
      </w:r>
      <w:r>
        <w:rPr>
          <w:rFonts w:hint="eastAsia" w:ascii="仿宋" w:hAnsi="仿宋" w:eastAsia="仿宋" w:cs="仿宋"/>
          <w:color w:val="auto"/>
          <w:kern w:val="0"/>
          <w:szCs w:val="21"/>
          <w:highlight w:val="none"/>
          <w:u w:val="single"/>
          <w:lang w:val="en-US" w:eastAsia="zh-CN"/>
        </w:rPr>
        <w:t xml:space="preserve">    </w:t>
      </w:r>
    </w:p>
    <w:p w14:paraId="38526D4B">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关键部件：</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w:t>
      </w:r>
    </w:p>
    <w:p w14:paraId="3245E9A0">
      <w:pPr>
        <w:pStyle w:val="47"/>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2"/>
          <w:sz w:val="21"/>
          <w:szCs w:val="21"/>
          <w:highlight w:val="none"/>
          <w:lang w:val="en-US" w:eastAsia="zh-CN"/>
        </w:rPr>
        <w:t>关键部件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14:paraId="56049D91">
      <w:pPr>
        <w:pStyle w:val="47"/>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关键部件：</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p>
    <w:p w14:paraId="2B9722FE">
      <w:pPr>
        <w:pStyle w:val="47"/>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5FFA5C5">
      <w:pPr>
        <w:pStyle w:val="47"/>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②涉及车辆采购，请填写是否属于新能源汽车：</w:t>
      </w:r>
    </w:p>
    <w:p w14:paraId="4CB14270">
      <w:pPr>
        <w:pStyle w:val="47"/>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rPr>
        <w:t>是</w:t>
      </w:r>
      <w:r>
        <w:rPr>
          <w:rFonts w:hint="eastAsia" w:ascii="仿宋" w:hAnsi="仿宋" w:eastAsia="仿宋" w:cs="仿宋"/>
          <w:iCs w:val="0"/>
          <w:color w:val="auto"/>
          <w:sz w:val="21"/>
          <w:szCs w:val="21"/>
          <w:highlight w:val="none"/>
          <w:lang w:eastAsia="zh-CN"/>
        </w:rPr>
        <w:t>，《政府采购品目分类目录》底级品目名称</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数量：</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金额：</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iCs w:val="0"/>
          <w:color w:val="auto"/>
          <w:sz w:val="21"/>
          <w:szCs w:val="21"/>
          <w:highlight w:val="none"/>
          <w:lang w:val="en-US" w:eastAsia="zh-CN"/>
        </w:rPr>
        <w:t xml:space="preserve"> </w:t>
      </w:r>
    </w:p>
    <w:p w14:paraId="33C34829">
      <w:pPr>
        <w:pStyle w:val="47"/>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否</w:t>
      </w:r>
    </w:p>
    <w:p w14:paraId="57BDA551">
      <w:pPr>
        <w:pStyle w:val="47"/>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lang w:val="en" w:eastAsia="zh-CN"/>
        </w:rPr>
        <w:t>4</w:t>
      </w:r>
      <w:r>
        <w:rPr>
          <w:rFonts w:hint="eastAsia" w:ascii="仿宋" w:hAnsi="仿宋" w:eastAsia="仿宋" w:cs="仿宋"/>
          <w:iCs w:val="0"/>
          <w:color w:val="auto"/>
          <w:sz w:val="21"/>
          <w:szCs w:val="21"/>
          <w:highlight w:val="none"/>
          <w:lang w:val="en-US" w:eastAsia="zh-CN"/>
        </w:rPr>
        <w:t>）政府采购组织形式：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政府集中采购</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 xml:space="preserve">部门集中采购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分散采购</w:t>
      </w:r>
    </w:p>
    <w:p w14:paraId="4661FFD5">
      <w:pPr>
        <w:pStyle w:val="47"/>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w:t>
      </w:r>
      <w:r>
        <w:rPr>
          <w:rFonts w:hint="eastAsia" w:ascii="仿宋" w:hAnsi="仿宋" w:eastAsia="仿宋" w:cs="仿宋"/>
          <w:iCs w:val="0"/>
          <w:color w:val="auto"/>
          <w:sz w:val="21"/>
          <w:szCs w:val="21"/>
          <w:highlight w:val="none"/>
          <w:lang w:val="en" w:eastAsia="zh-CN"/>
        </w:rPr>
        <w:t>5</w:t>
      </w:r>
      <w:r>
        <w:rPr>
          <w:rFonts w:hint="eastAsia" w:ascii="仿宋" w:hAnsi="仿宋" w:eastAsia="仿宋" w:cs="仿宋"/>
          <w:iCs w:val="0"/>
          <w:color w:val="auto"/>
          <w:sz w:val="21"/>
          <w:szCs w:val="21"/>
          <w:highlight w:val="none"/>
          <w:lang w:val="en-US" w:eastAsia="zh-CN"/>
        </w:rPr>
        <w:t>）政府采购方式：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公开招标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邀请招标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竞争性谈判</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竞争性磋商</w:t>
      </w:r>
    </w:p>
    <w:p w14:paraId="28CED31A">
      <w:pPr>
        <w:pStyle w:val="47"/>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single"/>
          <w:lang w:val="en-US"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询价</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单一来源</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框架协议</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其他：</w:t>
      </w:r>
      <w:r>
        <w:rPr>
          <w:rFonts w:hint="eastAsia" w:ascii="仿宋" w:hAnsi="仿宋" w:eastAsia="仿宋" w:cs="仿宋"/>
          <w:iCs w:val="0"/>
          <w:color w:val="auto"/>
          <w:sz w:val="21"/>
          <w:szCs w:val="21"/>
          <w:highlight w:val="none"/>
          <w:u w:val="single"/>
          <w:lang w:val="en-US" w:eastAsia="zh-CN"/>
        </w:rPr>
        <w:t xml:space="preserve">          </w:t>
      </w:r>
    </w:p>
    <w:p w14:paraId="474A7DE8">
      <w:pPr>
        <w:pStyle w:val="47"/>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none"/>
          <w:lang w:val="en-US" w:eastAsia="zh-CN"/>
        </w:rPr>
      </w:pPr>
      <w:r>
        <w:rPr>
          <w:rFonts w:hint="eastAsia" w:ascii="仿宋" w:hAnsi="仿宋" w:eastAsia="仿宋" w:cs="仿宋"/>
          <w:iCs w:val="0"/>
          <w:color w:val="auto"/>
          <w:sz w:val="21"/>
          <w:szCs w:val="21"/>
          <w:highlight w:val="none"/>
          <w:u w:val="none"/>
          <w:lang w:val="en-US" w:eastAsia="zh-CN"/>
        </w:rPr>
        <w:t>（注：在框架协议采购的第二阶段，可选择使用该合同文本）</w:t>
      </w:r>
    </w:p>
    <w:p w14:paraId="6DF2DED1">
      <w:pPr>
        <w:pStyle w:val="47"/>
        <w:numPr>
          <w:ilvl w:val="-1"/>
          <w:numId w:val="0"/>
        </w:numPr>
        <w:adjustRightInd w:val="0"/>
        <w:snapToGrid w:val="0"/>
        <w:spacing w:before="0" w:beforeLines="0" w:line="400" w:lineRule="exact"/>
        <w:ind w:firstLine="220" w:firstLineChars="100"/>
        <w:rPr>
          <w:rFonts w:hint="eastAsia" w:ascii="仿宋" w:hAnsi="仿宋" w:eastAsia="仿宋" w:cs="仿宋"/>
          <w:color w:val="auto"/>
          <w:w w:val="100"/>
          <w:kern w:val="2"/>
          <w:sz w:val="21"/>
          <w:szCs w:val="21"/>
          <w:highlight w:val="none"/>
          <w:lang w:val="en-US" w:eastAsia="zh-CN" w:bidi="ar-SA"/>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val="en" w:eastAsia="zh-CN"/>
        </w:rPr>
        <w:t>6</w:t>
      </w:r>
      <w:r>
        <w:rPr>
          <w:rFonts w:hint="eastAsia" w:ascii="仿宋" w:hAnsi="仿宋" w:eastAsia="仿宋" w:cs="仿宋"/>
          <w:color w:val="auto"/>
          <w:szCs w:val="21"/>
          <w:highlight w:val="none"/>
          <w:lang w:val="en-US" w:eastAsia="zh-CN"/>
        </w:rPr>
        <w:t>）</w:t>
      </w:r>
      <w:r>
        <w:rPr>
          <w:rFonts w:hint="eastAsia" w:ascii="仿宋" w:hAnsi="仿宋" w:eastAsia="仿宋" w:cs="仿宋"/>
          <w:color w:val="auto"/>
          <w:w w:val="100"/>
          <w:kern w:val="2"/>
          <w:sz w:val="21"/>
          <w:szCs w:val="21"/>
          <w:highlight w:val="none"/>
          <w:lang w:val="en-US" w:eastAsia="zh-CN" w:bidi="ar-SA"/>
        </w:rPr>
        <w:t>中标（成交）采购标的制造商是否为中小企业：</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 xml:space="preserve">是      </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否</w:t>
      </w:r>
    </w:p>
    <w:p w14:paraId="258532E9">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w w:val="100"/>
          <w:szCs w:val="21"/>
          <w:highlight w:val="none"/>
          <w:lang w:val="en-US" w:eastAsia="zh-CN"/>
        </w:rPr>
        <w:t xml:space="preserve">         本合同</w:t>
      </w:r>
      <w:r>
        <w:rPr>
          <w:rFonts w:hint="eastAsia" w:ascii="仿宋" w:hAnsi="仿宋" w:eastAsia="仿宋" w:cs="仿宋"/>
          <w:color w:val="auto"/>
          <w:w w:val="100"/>
          <w:szCs w:val="21"/>
          <w:highlight w:val="none"/>
        </w:rPr>
        <w:t>是否</w:t>
      </w:r>
      <w:r>
        <w:rPr>
          <w:rFonts w:hint="eastAsia" w:ascii="仿宋" w:hAnsi="仿宋" w:eastAsia="仿宋" w:cs="仿宋"/>
          <w:color w:val="auto"/>
          <w:w w:val="100"/>
          <w:szCs w:val="21"/>
          <w:highlight w:val="none"/>
          <w:lang w:eastAsia="zh-CN"/>
        </w:rPr>
        <w:t>为专门面向</w:t>
      </w:r>
      <w:r>
        <w:rPr>
          <w:rFonts w:hint="eastAsia" w:ascii="仿宋" w:hAnsi="仿宋" w:eastAsia="仿宋" w:cs="仿宋"/>
          <w:color w:val="auto"/>
          <w:w w:val="100"/>
          <w:szCs w:val="21"/>
          <w:highlight w:val="none"/>
        </w:rPr>
        <w:t>中小企业</w:t>
      </w:r>
      <w:r>
        <w:rPr>
          <w:rFonts w:hint="eastAsia" w:ascii="仿宋" w:hAnsi="仿宋" w:eastAsia="仿宋" w:cs="仿宋"/>
          <w:color w:val="auto"/>
          <w:w w:val="100"/>
          <w:szCs w:val="21"/>
          <w:highlight w:val="none"/>
          <w:lang w:eastAsia="zh-CN"/>
        </w:rPr>
        <w:t>的采</w:t>
      </w:r>
      <w:r>
        <w:rPr>
          <w:rFonts w:hint="eastAsia" w:ascii="仿宋" w:hAnsi="仿宋" w:eastAsia="仿宋" w:cs="仿宋"/>
          <w:color w:val="auto"/>
          <w:w w:val="100"/>
          <w:szCs w:val="21"/>
          <w:highlight w:val="none"/>
          <w:shd w:val="clear"/>
          <w:lang w:eastAsia="zh-CN"/>
        </w:rPr>
        <w:t>购</w:t>
      </w:r>
      <w:r>
        <w:rPr>
          <w:rFonts w:hint="eastAsia" w:ascii="仿宋" w:hAnsi="仿宋" w:eastAsia="仿宋" w:cs="仿宋"/>
          <w:color w:val="auto"/>
          <w:w w:val="100"/>
          <w:szCs w:val="21"/>
          <w:highlight w:val="none"/>
          <w:shd w:val="clear"/>
        </w:rPr>
        <w:t>合同</w:t>
      </w:r>
      <w:r>
        <w:rPr>
          <w:rFonts w:hint="eastAsia" w:ascii="仿宋" w:hAnsi="仿宋" w:eastAsia="仿宋" w:cs="仿宋"/>
          <w:color w:val="auto"/>
          <w:w w:val="100"/>
          <w:szCs w:val="21"/>
          <w:highlight w:val="none"/>
          <w:shd w:val="clear"/>
          <w:lang w:eastAsia="zh-CN"/>
        </w:rPr>
        <w:t>（中小企业预留合同）</w:t>
      </w:r>
      <w:r>
        <w:rPr>
          <w:rFonts w:hint="eastAsia" w:ascii="仿宋" w:hAnsi="仿宋" w:eastAsia="仿宋" w:cs="仿宋"/>
          <w:color w:val="auto"/>
          <w:szCs w:val="21"/>
          <w:highlight w:val="none"/>
          <w:shd w:val="clear"/>
        </w:rPr>
        <w:t>：</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7EE54AD1">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若本项目不专门面向中小企业采购，是否给予小微企业评审优惠：</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17DD9D76">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中标（成交）采购标的制造商是否为残疾人福利性单位：</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160F9F75">
      <w:pPr>
        <w:numPr>
          <w:ilvl w:val="0"/>
          <w:numId w:val="0"/>
        </w:numPr>
        <w:snapToGrid w:val="0"/>
        <w:spacing w:beforeLines="0" w:line="400" w:lineRule="exact"/>
        <w:ind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中标（成交）采购标的制造商是否为监狱企业：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1DE6FC74">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 w:eastAsia="zh-CN"/>
        </w:rPr>
        <w:t>7</w:t>
      </w:r>
      <w:r>
        <w:rPr>
          <w:rFonts w:hint="eastAsia" w:ascii="仿宋" w:hAnsi="仿宋" w:eastAsia="仿宋" w:cs="仿宋"/>
          <w:color w:val="auto"/>
          <w:szCs w:val="21"/>
          <w:highlight w:val="none"/>
        </w:rPr>
        <w:t>）合同是否分包：</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24C00A71">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分包主要内容：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75A5974E">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（如供应商和制造商不同，请分别填写）</w:t>
      </w:r>
      <w:r>
        <w:rPr>
          <w:rFonts w:hint="eastAsia" w:ascii="仿宋" w:hAnsi="仿宋" w:eastAsia="仿宋" w:cs="仿宋"/>
          <w:color w:val="auto"/>
          <w:szCs w:val="21"/>
          <w:highlight w:val="none"/>
        </w:rPr>
        <w:t>：</w:t>
      </w:r>
    </w:p>
    <w:p w14:paraId="2632CFBC">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p>
    <w:p w14:paraId="33AA5257">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类型</w:t>
      </w:r>
      <w:r>
        <w:rPr>
          <w:rFonts w:hint="eastAsia" w:ascii="仿宋" w:hAnsi="仿宋" w:eastAsia="仿宋" w:cs="仿宋"/>
          <w:color w:val="auto"/>
          <w:szCs w:val="21"/>
          <w:highlight w:val="none"/>
          <w:lang w:eastAsia="zh-CN"/>
        </w:rPr>
        <w:t>（如果供应商和制造商不同，只填写制造商类型）</w:t>
      </w:r>
      <w:r>
        <w:rPr>
          <w:rFonts w:hint="eastAsia" w:ascii="仿宋" w:hAnsi="仿宋" w:eastAsia="仿宋" w:cs="仿宋"/>
          <w:color w:val="auto"/>
          <w:szCs w:val="21"/>
          <w:highlight w:val="none"/>
        </w:rPr>
        <w:t>：</w:t>
      </w:r>
    </w:p>
    <w:p w14:paraId="4C7263FA">
      <w:pPr>
        <w:adjustRightInd w:val="0"/>
        <w:snapToGrid w:val="0"/>
        <w:spacing w:beforeLines="0" w:line="400" w:lineRule="exact"/>
        <w:ind w:firstLine="840" w:firstLineChars="40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大型企业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中型企业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小微型企业</w:t>
      </w:r>
      <w:r>
        <w:rPr>
          <w:rFonts w:hint="eastAsia" w:ascii="仿宋" w:hAnsi="仿宋" w:eastAsia="仿宋" w:cs="仿宋"/>
          <w:iCs/>
          <w:color w:val="auto"/>
          <w:szCs w:val="21"/>
          <w:highlight w:val="none"/>
          <w:lang w:val="en-US" w:eastAsia="zh-CN"/>
        </w:rPr>
        <w:t xml:space="preserve">  </w:t>
      </w:r>
    </w:p>
    <w:p w14:paraId="5DB59229">
      <w:pPr>
        <w:adjustRightInd w:val="0"/>
        <w:snapToGrid w:val="0"/>
        <w:spacing w:beforeLines="0" w:line="400" w:lineRule="exact"/>
        <w:ind w:firstLine="840" w:firstLineChars="400"/>
        <w:rPr>
          <w:rFonts w:hint="eastAsia" w:ascii="仿宋" w:hAnsi="仿宋" w:eastAsia="仿宋" w:cs="仿宋"/>
          <w:color w:val="auto"/>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残疾人福利性单位</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监狱</w:t>
      </w:r>
      <w:r>
        <w:rPr>
          <w:rFonts w:hint="eastAsia" w:ascii="仿宋" w:hAnsi="仿宋" w:eastAsia="仿宋" w:cs="仿宋"/>
          <w:iCs/>
          <w:color w:val="auto"/>
          <w:szCs w:val="21"/>
          <w:highlight w:val="none"/>
        </w:rPr>
        <w:t>企业</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p>
    <w:p w14:paraId="6280FE0E">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u w:val="none"/>
          <w:lang w:val="en" w:eastAsia="zh-CN"/>
        </w:rPr>
        <w:t>8</w:t>
      </w:r>
      <w:r>
        <w:rPr>
          <w:rFonts w:hint="eastAsia" w:ascii="仿宋" w:hAnsi="仿宋" w:eastAsia="仿宋" w:cs="仿宋"/>
          <w:color w:val="auto"/>
          <w:szCs w:val="21"/>
          <w:highlight w:val="none"/>
          <w:u w:val="none"/>
          <w:lang w:val="en-US" w:eastAsia="zh-CN"/>
        </w:rPr>
        <w:t>）中标（成交）供应商是否为外商投资企业：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3B97EB74">
      <w:pPr>
        <w:pStyle w:val="47"/>
        <w:tabs>
          <w:tab w:val="left" w:pos="1340"/>
        </w:tabs>
        <w:spacing w:beforeLines="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none"/>
          <w:lang w:val="en-US" w:eastAsia="zh-CN"/>
        </w:rPr>
        <w:t xml:space="preserve">     外商投资企业类型：</w:t>
      </w:r>
      <w:r>
        <w:rPr>
          <w:rFonts w:hint="eastAsia" w:ascii="仿宋" w:hAnsi="仿宋" w:eastAsia="仿宋" w:cs="仿宋"/>
          <w:iCs/>
          <w:color w:val="auto"/>
          <w:sz w:val="21"/>
          <w:szCs w:val="21"/>
          <w:highlight w:val="none"/>
        </w:rPr>
        <w:sym w:font="Wingdings" w:char="00A8"/>
      </w:r>
      <w:r>
        <w:rPr>
          <w:rFonts w:hint="eastAsia" w:ascii="仿宋" w:hAnsi="仿宋" w:eastAsia="仿宋" w:cs="仿宋"/>
          <w:color w:val="auto"/>
          <w:sz w:val="21"/>
          <w:szCs w:val="21"/>
          <w:highlight w:val="none"/>
          <w:u w:val="none"/>
          <w:lang w:val="en-US" w:eastAsia="zh-CN"/>
        </w:rPr>
        <w:t xml:space="preserve">全部由外国投资者投资  </w:t>
      </w:r>
      <w:r>
        <w:rPr>
          <w:rFonts w:hint="eastAsia" w:ascii="仿宋" w:hAnsi="仿宋" w:eastAsia="仿宋" w:cs="仿宋"/>
          <w:iCs/>
          <w:color w:val="auto"/>
          <w:sz w:val="21"/>
          <w:szCs w:val="21"/>
          <w:highlight w:val="none"/>
        </w:rPr>
        <w:sym w:font="Wingdings" w:char="00A8"/>
      </w:r>
      <w:r>
        <w:rPr>
          <w:rFonts w:hint="eastAsia" w:ascii="仿宋" w:hAnsi="仿宋" w:eastAsia="仿宋" w:cs="仿宋"/>
          <w:iCs/>
          <w:color w:val="auto"/>
          <w:sz w:val="21"/>
          <w:szCs w:val="21"/>
          <w:highlight w:val="none"/>
          <w:lang w:val="en-US" w:eastAsia="zh-CN"/>
        </w:rPr>
        <w:t>部分由外国投资者投资</w:t>
      </w:r>
    </w:p>
    <w:p w14:paraId="3CA6CDEA">
      <w:pPr>
        <w:numPr>
          <w:ilvl w:val="-1"/>
          <w:numId w:val="0"/>
        </w:numPr>
        <w:adjustRightInd w:val="0"/>
        <w:snapToGrid w:val="0"/>
        <w:spacing w:before="0" w:beforeLines="0" w:line="400" w:lineRule="exact"/>
        <w:ind w:firstLine="420" w:firstLineChars="20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w:t>
      </w:r>
      <w:r>
        <w:rPr>
          <w:rFonts w:hint="eastAsia" w:ascii="仿宋" w:hAnsi="仿宋" w:eastAsia="仿宋" w:cs="仿宋"/>
          <w:b w:val="0"/>
          <w:bCs w:val="0"/>
          <w:color w:val="auto"/>
          <w:sz w:val="21"/>
          <w:szCs w:val="21"/>
          <w:highlight w:val="none"/>
          <w:u w:val="none"/>
          <w:lang w:val="en" w:eastAsia="zh-CN"/>
        </w:rPr>
        <w:t>9</w:t>
      </w:r>
      <w:r>
        <w:rPr>
          <w:rFonts w:hint="eastAsia" w:ascii="仿宋" w:hAnsi="仿宋" w:eastAsia="仿宋" w:cs="仿宋"/>
          <w:b w:val="0"/>
          <w:bCs w:val="0"/>
          <w:color w:val="auto"/>
          <w:sz w:val="21"/>
          <w:szCs w:val="21"/>
          <w:highlight w:val="none"/>
          <w:u w:val="none"/>
          <w:lang w:val="en-US" w:eastAsia="zh-CN"/>
        </w:rPr>
        <w:t>）是否涉及进口产品：</w:t>
      </w:r>
    </w:p>
    <w:p w14:paraId="0B89CB8C">
      <w:pPr>
        <w:numPr>
          <w:ilvl w:val="-1"/>
          <w:numId w:val="0"/>
        </w:num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，《政府采购品目分类目录》底级品目名称</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金额：</w:t>
      </w:r>
      <w:r>
        <w:rPr>
          <w:rFonts w:hint="eastAsia" w:ascii="仿宋" w:hAnsi="仿宋" w:eastAsia="仿宋" w:cs="仿宋"/>
          <w:color w:val="auto"/>
          <w:szCs w:val="21"/>
          <w:highlight w:val="none"/>
          <w:u w:val="single"/>
          <w:lang w:val="en-US" w:eastAsia="zh-CN"/>
        </w:rPr>
        <w:t xml:space="preserve">        </w:t>
      </w:r>
    </w:p>
    <w:p w14:paraId="5D5900F3">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rPr>
      </w:pPr>
      <w:r>
        <w:rPr>
          <w:rFonts w:hint="eastAsia" w:ascii="仿宋" w:hAnsi="仿宋" w:eastAsia="仿宋" w:cs="仿宋"/>
          <w:color w:val="auto"/>
          <w:szCs w:val="21"/>
          <w:highlight w:val="none"/>
          <w:lang w:val="en-US" w:eastAsia="zh-CN"/>
        </w:rPr>
        <w:t xml:space="preserve">        国别：</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val="0"/>
          <w:color w:val="auto"/>
          <w:szCs w:val="21"/>
          <w:highlight w:val="none"/>
        </w:rPr>
        <w:t xml:space="preserve">      </w:t>
      </w:r>
    </w:p>
    <w:p w14:paraId="60A0B0E7">
      <w:pPr>
        <w:adjustRightInd w:val="0"/>
        <w:snapToGrid w:val="0"/>
        <w:spacing w:before="0" w:beforeLines="0" w:line="400" w:lineRule="exact"/>
        <w:ind w:firstLine="840" w:firstLineChars="400"/>
        <w:rPr>
          <w:rFonts w:hint="eastAsia" w:ascii="仿宋" w:hAnsi="仿宋" w:eastAsia="仿宋" w:cs="仿宋"/>
          <w:color w:val="auto"/>
          <w:szCs w:val="21"/>
          <w:highlight w:val="none"/>
          <w:u w:val="non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否</w:t>
      </w:r>
    </w:p>
    <w:p w14:paraId="7DDE5A67">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（1</w:t>
      </w:r>
      <w:r>
        <w:rPr>
          <w:rFonts w:hint="eastAsia" w:ascii="仿宋" w:hAnsi="仿宋" w:eastAsia="仿宋" w:cs="仿宋"/>
          <w:b w:val="0"/>
          <w:bCs w:val="0"/>
          <w:color w:val="auto"/>
          <w:sz w:val="21"/>
          <w:szCs w:val="21"/>
          <w:highlight w:val="none"/>
          <w:u w:val="none"/>
          <w:lang w:val="en" w:eastAsia="zh-CN"/>
        </w:rPr>
        <w:t>0</w:t>
      </w:r>
      <w:r>
        <w:rPr>
          <w:rFonts w:hint="eastAsia" w:ascii="仿宋" w:hAnsi="仿宋" w:eastAsia="仿宋" w:cs="仿宋"/>
          <w:b w:val="0"/>
          <w:bCs w:val="0"/>
          <w:color w:val="auto"/>
          <w:sz w:val="21"/>
          <w:szCs w:val="21"/>
          <w:highlight w:val="none"/>
          <w:u w:val="none"/>
          <w:lang w:val="en-US" w:eastAsia="zh-CN"/>
        </w:rPr>
        <w:t>）是否涉及节能产品：</w:t>
      </w:r>
    </w:p>
    <w:p w14:paraId="65861B8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，《节能产品政府采购品目清单》的底级品目名称：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5A967A7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39CE9098">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p>
    <w:p w14:paraId="72B02BB6">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是否涉及环境标志产品：</w:t>
      </w:r>
    </w:p>
    <w:p w14:paraId="4EBC723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lang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，《环境标志产品政府采购品目清单》的底级品目名称：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4C4F4F3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5479130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p>
    <w:p w14:paraId="0D5248E4">
      <w:pPr>
        <w:pStyle w:val="47"/>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b w:val="0"/>
          <w:bCs w:val="0"/>
          <w:color w:val="auto"/>
          <w:kern w:val="2"/>
          <w:sz w:val="21"/>
          <w:szCs w:val="21"/>
          <w:highlight w:val="none"/>
          <w:u w:val="none"/>
          <w:lang w:val="en-US" w:eastAsia="zh-CN"/>
        </w:rPr>
        <w:t>是否涉及绿色产品：</w:t>
      </w:r>
      <w:r>
        <w:rPr>
          <w:rFonts w:hint="eastAsia" w:ascii="仿宋" w:hAnsi="仿宋" w:eastAsia="仿宋" w:cs="仿宋"/>
          <w:iCs w:val="0"/>
          <w:color w:val="auto"/>
          <w:kern w:val="2"/>
          <w:sz w:val="21"/>
          <w:szCs w:val="21"/>
          <w:highlight w:val="none"/>
          <w:u w:val="none"/>
          <w:lang w:val="en-US" w:eastAsia="zh-CN"/>
        </w:rPr>
        <w:t xml:space="preserve"> </w:t>
      </w:r>
    </w:p>
    <w:p w14:paraId="1C6CE244">
      <w:pPr>
        <w:pStyle w:val="47"/>
        <w:spacing w:beforeLines="0"/>
        <w:ind w:firstLine="420" w:firstLineChars="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是</w:t>
      </w:r>
      <w:r>
        <w:rPr>
          <w:rFonts w:hint="eastAsia" w:ascii="仿宋" w:hAnsi="仿宋" w:eastAsia="仿宋" w:cs="仿宋"/>
          <w:iCs w:val="0"/>
          <w:color w:val="auto"/>
          <w:kern w:val="2"/>
          <w:sz w:val="21"/>
          <w:szCs w:val="21"/>
          <w:highlight w:val="none"/>
          <w:u w:val="none"/>
          <w:lang w:eastAsia="zh-CN"/>
        </w:rPr>
        <w:t>，绿色产品政府采购相关政策确定的底级品目名称：</w:t>
      </w:r>
      <w:r>
        <w:rPr>
          <w:rFonts w:hint="eastAsia" w:ascii="仿宋" w:hAnsi="仿宋" w:eastAsia="仿宋" w:cs="仿宋"/>
          <w:color w:val="auto"/>
          <w:szCs w:val="21"/>
          <w:highlight w:val="none"/>
          <w:u w:val="single"/>
          <w:lang w:val="en-US" w:eastAsia="zh-CN"/>
        </w:rPr>
        <w:t xml:space="preserve">         </w:t>
      </w:r>
    </w:p>
    <w:p w14:paraId="35E83445">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75819870">
      <w:pPr>
        <w:pStyle w:val="47"/>
        <w:spacing w:beforeLines="0"/>
        <w:ind w:firstLine="42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否</w:t>
      </w:r>
    </w:p>
    <w:p w14:paraId="4FB2C0F5">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（1</w:t>
      </w:r>
      <w:r>
        <w:rPr>
          <w:rFonts w:hint="eastAsia" w:ascii="仿宋" w:hAnsi="仿宋" w:eastAsia="仿宋" w:cs="仿宋"/>
          <w:color w:val="auto"/>
          <w:szCs w:val="21"/>
          <w:highlight w:val="none"/>
          <w:lang w:val="en" w:eastAsia="zh-CN"/>
        </w:rPr>
        <w:t>1</w:t>
      </w:r>
      <w:r>
        <w:rPr>
          <w:rFonts w:hint="eastAsia" w:ascii="仿宋" w:hAnsi="仿宋" w:eastAsia="仿宋" w:cs="仿宋"/>
          <w:color w:val="auto"/>
          <w:szCs w:val="21"/>
          <w:highlight w:val="none"/>
          <w:lang w:val="en-US" w:eastAsia="zh-CN"/>
        </w:rPr>
        <w:t>）涉及商品包装和快递包装的，是否参考</w:t>
      </w:r>
      <w:r>
        <w:rPr>
          <w:rFonts w:hint="eastAsia" w:ascii="仿宋" w:hAnsi="仿宋" w:eastAsia="仿宋" w:cs="仿宋"/>
          <w:color w:val="auto"/>
          <w:szCs w:val="21"/>
          <w:highlight w:val="none"/>
        </w:rPr>
        <w:t>《商品包装政府采购需求标准（试行）》、《快递包装政府采购需求标准（试行）》</w:t>
      </w:r>
      <w:r>
        <w:rPr>
          <w:rFonts w:hint="eastAsia" w:ascii="仿宋" w:hAnsi="仿宋" w:eastAsia="仿宋" w:cs="仿宋"/>
          <w:color w:val="auto"/>
          <w:szCs w:val="21"/>
          <w:highlight w:val="none"/>
          <w:lang w:eastAsia="zh-CN"/>
        </w:rPr>
        <w:t>明确产品及相关快递服务的具体包装要求：</w:t>
      </w:r>
    </w:p>
    <w:p w14:paraId="6C0590BC">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lang w:val="en-US" w:eastAsia="zh-CN"/>
        </w:rPr>
      </w:pP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 xml:space="preserve">是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不涉及</w:t>
      </w:r>
    </w:p>
    <w:p w14:paraId="576EF13C">
      <w:pPr>
        <w:numPr>
          <w:ilvl w:val="0"/>
          <w:numId w:val="12"/>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合同金额</w:t>
      </w:r>
    </w:p>
    <w:p w14:paraId="4289BEFA">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（1）合同金额小写：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234A5FA1">
      <w:pPr>
        <w:adjustRightInd w:val="0"/>
        <w:snapToGrid w:val="0"/>
        <w:spacing w:before="0" w:beforeLines="0" w:line="400" w:lineRule="exact"/>
        <w:ind w:left="0"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499C2E73">
      <w:p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分包金额</w:t>
      </w:r>
      <w:r>
        <w:rPr>
          <w:rFonts w:hint="eastAsia" w:ascii="仿宋" w:hAnsi="仿宋" w:eastAsia="仿宋" w:cs="仿宋"/>
          <w:color w:val="auto"/>
          <w:szCs w:val="21"/>
          <w:highlight w:val="none"/>
          <w:lang w:eastAsia="zh-CN"/>
        </w:rPr>
        <w:t>（如有）</w:t>
      </w:r>
      <w:r>
        <w:rPr>
          <w:rFonts w:hint="eastAsia" w:ascii="仿宋" w:hAnsi="仿宋" w:eastAsia="仿宋" w:cs="仿宋"/>
          <w:color w:val="auto"/>
          <w:szCs w:val="21"/>
          <w:highlight w:val="none"/>
        </w:rPr>
        <w:t>小写：</w:t>
      </w:r>
      <w:r>
        <w:rPr>
          <w:rFonts w:hint="eastAsia" w:ascii="仿宋" w:hAnsi="仿宋" w:eastAsia="仿宋" w:cs="仿宋"/>
          <w:color w:val="auto"/>
          <w:szCs w:val="21"/>
          <w:highlight w:val="none"/>
          <w:u w:val="single"/>
        </w:rPr>
        <w:t xml:space="preserve">                   </w:t>
      </w:r>
    </w:p>
    <w:p w14:paraId="36C64632">
      <w:pPr>
        <w:adjustRightInd w:val="0"/>
        <w:snapToGrid w:val="0"/>
        <w:spacing w:before="0" w:beforeLines="0" w:line="400" w:lineRule="exact"/>
        <w:ind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12016B7D">
      <w:p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（注：固定单价合同应填写单价和最高限价）</w:t>
      </w:r>
    </w:p>
    <w:p w14:paraId="53504B33">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合同定价方式</w:t>
      </w:r>
      <w:r>
        <w:rPr>
          <w:rFonts w:hint="eastAsia" w:ascii="仿宋" w:hAnsi="仿宋" w:eastAsia="仿宋" w:cs="仿宋"/>
          <w:color w:val="auto"/>
          <w:szCs w:val="21"/>
          <w:highlight w:val="none"/>
          <w:lang w:eastAsia="zh-CN"/>
        </w:rPr>
        <w:t>（采用组合定价方式的，可以勾选多项）</w:t>
      </w:r>
      <w:r>
        <w:rPr>
          <w:rFonts w:hint="eastAsia" w:ascii="仿宋" w:hAnsi="仿宋" w:eastAsia="仿宋" w:cs="仿宋"/>
          <w:color w:val="auto"/>
          <w:szCs w:val="21"/>
          <w:highlight w:val="none"/>
        </w:rPr>
        <w:t>：</w:t>
      </w:r>
    </w:p>
    <w:p w14:paraId="26D55F18">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固定总价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固定单价</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固定费率</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成本补偿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绩效激励</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r>
        <w:rPr>
          <w:rFonts w:hint="eastAsia" w:ascii="仿宋" w:hAnsi="仿宋" w:eastAsia="仿宋" w:cs="仿宋"/>
          <w:color w:val="auto"/>
          <w:szCs w:val="21"/>
          <w:highlight w:val="none"/>
          <w:u w:val="single"/>
        </w:rPr>
        <w:t xml:space="preserve">       </w:t>
      </w:r>
    </w:p>
    <w:p w14:paraId="410C943C">
      <w:pPr>
        <w:pStyle w:val="84"/>
        <w:spacing w:beforeLines="0" w:line="400" w:lineRule="exact"/>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）付款方式（按项目实际勾选填写）：</w:t>
      </w:r>
    </w:p>
    <w:p w14:paraId="4E19E625">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全额付款：</w:t>
      </w:r>
      <w:r>
        <w:rPr>
          <w:rFonts w:hint="eastAsia" w:ascii="仿宋" w:hAnsi="仿宋" w:eastAsia="仿宋" w:cs="仿宋"/>
          <w:color w:val="auto"/>
          <w:szCs w:val="21"/>
          <w:highlight w:val="none"/>
          <w:u w:val="single"/>
        </w:rPr>
        <w:t xml:space="preserve">     （应</w:t>
      </w:r>
      <w:r>
        <w:rPr>
          <w:rFonts w:hint="eastAsia" w:ascii="仿宋" w:hAnsi="仿宋" w:eastAsia="仿宋" w:cs="仿宋"/>
          <w:color w:val="auto"/>
          <w:szCs w:val="21"/>
          <w:highlight w:val="none"/>
          <w:u w:val="single"/>
          <w:lang w:eastAsia="zh-CN"/>
        </w:rPr>
        <w:t>明确</w:t>
      </w:r>
      <w:r>
        <w:rPr>
          <w:rFonts w:hint="eastAsia" w:ascii="仿宋" w:hAnsi="仿宋" w:eastAsia="仿宋" w:cs="仿宋"/>
          <w:color w:val="auto"/>
          <w:szCs w:val="21"/>
          <w:highlight w:val="none"/>
          <w:u w:val="single"/>
        </w:rPr>
        <w:t>一次性支付合同款项</w:t>
      </w:r>
      <w:r>
        <w:rPr>
          <w:rFonts w:hint="eastAsia" w:ascii="仿宋" w:hAnsi="仿宋" w:eastAsia="仿宋" w:cs="仿宋"/>
          <w:color w:val="auto"/>
          <w:szCs w:val="21"/>
          <w:highlight w:val="none"/>
          <w:u w:val="single"/>
          <w:lang w:eastAsia="zh-CN"/>
        </w:rPr>
        <w:t>的条件</w:t>
      </w:r>
      <w:r>
        <w:rPr>
          <w:rFonts w:hint="eastAsia" w:ascii="仿宋" w:hAnsi="仿宋" w:eastAsia="仿宋" w:cs="仿宋"/>
          <w:color w:val="auto"/>
          <w:szCs w:val="21"/>
          <w:highlight w:val="none"/>
          <w:u w:val="single"/>
        </w:rPr>
        <w:t xml:space="preserve">）                    </w:t>
      </w:r>
    </w:p>
    <w:p w14:paraId="1957FDFD">
      <w:pPr>
        <w:snapToGrid w:val="0"/>
        <w:spacing w:beforeLines="0" w:line="400" w:lineRule="exact"/>
        <w:ind w:firstLine="630" w:firstLineChars="300"/>
        <w:rPr>
          <w:rFonts w:hint="eastAsia" w:ascii="仿宋" w:hAnsi="仿宋" w:eastAsia="仿宋" w:cs="仿宋"/>
          <w:color w:val="auto"/>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分期付款：</w:t>
      </w:r>
      <w:r>
        <w:rPr>
          <w:rFonts w:hint="eastAsia" w:ascii="仿宋" w:hAnsi="仿宋" w:eastAsia="仿宋" w:cs="仿宋"/>
          <w:color w:val="auto"/>
          <w:szCs w:val="21"/>
          <w:highlight w:val="none"/>
          <w:u w:val="single"/>
        </w:rPr>
        <w:t xml:space="preserve">  （应明确分期支付合同款项的各期比例和支付条件</w:t>
      </w:r>
      <w:r>
        <w:rPr>
          <w:rFonts w:hint="eastAsia" w:ascii="仿宋" w:hAnsi="仿宋" w:eastAsia="仿宋" w:cs="仿宋"/>
          <w:color w:val="auto"/>
          <w:szCs w:val="21"/>
          <w:highlight w:val="none"/>
          <w:u w:val="single"/>
          <w:lang w:eastAsia="zh-CN"/>
        </w:rPr>
        <w:t>，各期支付条件应与分期履约验收情况挂钩</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none"/>
          <w:lang w:eastAsia="zh-CN"/>
        </w:rPr>
        <w:t>，</w:t>
      </w:r>
      <w:r>
        <w:rPr>
          <w:rFonts w:hint="eastAsia" w:ascii="仿宋" w:hAnsi="仿宋" w:eastAsia="仿宋" w:cs="仿宋"/>
          <w:color w:val="auto"/>
          <w:szCs w:val="21"/>
          <w:highlight w:val="none"/>
          <w:lang w:eastAsia="zh-CN"/>
        </w:rPr>
        <w:t>其中涉及预付款的</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 xml:space="preserve"> （应明确预付款的支付比例和支付条件） </w:t>
      </w:r>
    </w:p>
    <w:p w14:paraId="2DBA5716">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成本补偿：</w:t>
      </w:r>
      <w:r>
        <w:rPr>
          <w:rFonts w:hint="eastAsia" w:ascii="仿宋" w:hAnsi="仿宋" w:eastAsia="仿宋" w:cs="仿宋"/>
          <w:color w:val="auto"/>
          <w:szCs w:val="21"/>
          <w:highlight w:val="none"/>
          <w:u w:val="single"/>
        </w:rPr>
        <w:t xml:space="preserve">      （应明确按照成本补偿方式的支付方式和支付条件）   </w:t>
      </w:r>
    </w:p>
    <w:p w14:paraId="4E25F106">
      <w:pPr>
        <w:adjustRightInd w:val="0"/>
        <w:snapToGrid w:val="0"/>
        <w:spacing w:before="0" w:beforeLines="0" w:line="400" w:lineRule="exact"/>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绩效激励：</w:t>
      </w:r>
      <w:r>
        <w:rPr>
          <w:rFonts w:hint="eastAsia" w:ascii="仿宋" w:hAnsi="仿宋" w:eastAsia="仿宋" w:cs="仿宋"/>
          <w:color w:val="auto"/>
          <w:szCs w:val="21"/>
          <w:highlight w:val="none"/>
          <w:u w:val="single"/>
        </w:rPr>
        <w:t xml:space="preserve">      （应明确按照绩效激励方式的支付方式和支付条件）   </w:t>
      </w:r>
    </w:p>
    <w:p w14:paraId="3CF042A4">
      <w:pPr>
        <w:numPr>
          <w:ilvl w:val="0"/>
          <w:numId w:val="12"/>
        </w:numPr>
        <w:adjustRightInd w:val="0"/>
        <w:snapToGrid w:val="0"/>
        <w:spacing w:before="0" w:beforeLines="0" w:line="400" w:lineRule="exact"/>
        <w:ind w:firstLine="422" w:firstLineChars="200"/>
        <w:rPr>
          <w:rFonts w:hint="eastAsia" w:ascii="仿宋" w:hAnsi="仿宋" w:eastAsia="仿宋" w:cs="仿宋"/>
          <w:b/>
          <w:bCs w:val="0"/>
          <w:color w:val="auto"/>
          <w:szCs w:val="21"/>
          <w:highlight w:val="none"/>
          <w:u w:val="single"/>
        </w:rPr>
      </w:pPr>
      <w:r>
        <w:rPr>
          <w:rFonts w:hint="eastAsia" w:ascii="仿宋" w:hAnsi="仿宋" w:eastAsia="仿宋" w:cs="仿宋"/>
          <w:b/>
          <w:bCs w:val="0"/>
          <w:color w:val="auto"/>
          <w:szCs w:val="21"/>
          <w:highlight w:val="none"/>
        </w:rPr>
        <w:t>合同履行</w:t>
      </w:r>
    </w:p>
    <w:p w14:paraId="1007A2AA">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（1）起始日期：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日，完成日期：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02DDD22B">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eastAsia="zh-CN"/>
        </w:rPr>
        <w:t>履约</w:t>
      </w:r>
      <w:r>
        <w:rPr>
          <w:rFonts w:hint="eastAsia" w:ascii="仿宋" w:hAnsi="仿宋" w:eastAsia="仿宋" w:cs="仿宋"/>
          <w:color w:val="auto"/>
          <w:szCs w:val="21"/>
          <w:highlight w:val="none"/>
        </w:rPr>
        <w:t>地点</w:t>
      </w:r>
      <w:r>
        <w:rPr>
          <w:rFonts w:hint="eastAsia" w:ascii="仿宋" w:hAnsi="仿宋" w:eastAsia="仿宋" w:cs="仿宋"/>
          <w:b w:val="0"/>
          <w:bCs/>
          <w:color w:val="auto"/>
          <w:szCs w:val="21"/>
          <w:highlight w:val="none"/>
        </w:rPr>
        <w:t>：</w:t>
      </w:r>
      <w:r>
        <w:rPr>
          <w:rFonts w:hint="eastAsia" w:ascii="仿宋" w:hAnsi="仿宋" w:eastAsia="仿宋" w:cs="仿宋"/>
          <w:color w:val="auto"/>
          <w:szCs w:val="21"/>
          <w:highlight w:val="none"/>
          <w:u w:val="single"/>
        </w:rPr>
        <w:t xml:space="preserve">                             </w:t>
      </w:r>
    </w:p>
    <w:p w14:paraId="119D30F8">
      <w:pPr>
        <w:adjustRightInd w:val="0"/>
        <w:snapToGrid w:val="0"/>
        <w:spacing w:before="0" w:beforeLines="0" w:line="400" w:lineRule="exact"/>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bCs/>
          <w:color w:val="auto"/>
          <w:szCs w:val="21"/>
          <w:highlight w:val="none"/>
        </w:rPr>
        <w:t>（3）履约担保：</w:t>
      </w:r>
      <w:r>
        <w:rPr>
          <w:rFonts w:hint="eastAsia" w:ascii="仿宋" w:hAnsi="仿宋" w:eastAsia="仿宋" w:cs="仿宋"/>
          <w:color w:val="auto"/>
          <w:sz w:val="21"/>
          <w:highlight w:val="none"/>
          <w:lang w:val="en-US" w:eastAsia="zh-CN"/>
        </w:rPr>
        <w:t>是否收取履约保证金：</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是</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否</w:t>
      </w:r>
    </w:p>
    <w:p w14:paraId="0268CFCD">
      <w:pPr>
        <w:pStyle w:val="47"/>
        <w:spacing w:beforeLines="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w:t>
      </w:r>
      <w:r>
        <w:rPr>
          <w:rFonts w:hint="eastAsia" w:ascii="仿宋" w:hAnsi="仿宋" w:eastAsia="仿宋" w:cs="仿宋"/>
          <w:color w:val="auto"/>
          <w:sz w:val="21"/>
          <w:highlight w:val="none"/>
          <w:lang w:val="en-US" w:eastAsia="zh-CN"/>
        </w:rPr>
        <w:t xml:space="preserve">  收取履约保证金形式：</w:t>
      </w:r>
      <w:r>
        <w:rPr>
          <w:rFonts w:hint="eastAsia" w:ascii="仿宋" w:hAnsi="仿宋" w:eastAsia="仿宋" w:cs="仿宋"/>
          <w:bCs/>
          <w:color w:val="auto"/>
          <w:sz w:val="21"/>
          <w:szCs w:val="21"/>
          <w:highlight w:val="none"/>
          <w:u w:val="single"/>
        </w:rPr>
        <w:t xml:space="preserve">                            </w:t>
      </w:r>
    </w:p>
    <w:p w14:paraId="75CA4AED">
      <w:pPr>
        <w:pStyle w:val="47"/>
        <w:spacing w:beforeLines="0"/>
        <w:rPr>
          <w:rFonts w:hint="eastAsia" w:ascii="仿宋" w:hAnsi="仿宋" w:eastAsia="仿宋" w:cs="仿宋"/>
          <w:color w:val="auto"/>
          <w:sz w:val="21"/>
          <w:highlight w:val="none"/>
          <w:lang w:val="en-US" w:eastAsia="zh-CN"/>
        </w:rPr>
      </w:pPr>
      <w:r>
        <w:rPr>
          <w:rFonts w:hint="eastAsia" w:ascii="仿宋" w:hAnsi="仿宋" w:eastAsia="仿宋" w:cs="仿宋"/>
          <w:color w:val="auto"/>
          <w:sz w:val="21"/>
          <w:highlight w:val="none"/>
          <w:lang w:val="en-US" w:eastAsia="zh-CN"/>
        </w:rPr>
        <w:t xml:space="preserve">    收取履约保证金金额：</w:t>
      </w:r>
      <w:r>
        <w:rPr>
          <w:rFonts w:hint="eastAsia" w:ascii="仿宋" w:hAnsi="仿宋" w:eastAsia="仿宋" w:cs="仿宋"/>
          <w:bCs/>
          <w:color w:val="auto"/>
          <w:sz w:val="21"/>
          <w:szCs w:val="21"/>
          <w:highlight w:val="none"/>
          <w:u w:val="single"/>
        </w:rPr>
        <w:t xml:space="preserve">                            </w:t>
      </w:r>
    </w:p>
    <w:p w14:paraId="351829A4">
      <w:pPr>
        <w:snapToGrid w:val="0"/>
        <w:spacing w:beforeLines="0" w:line="400" w:lineRule="exact"/>
        <w:ind w:firstLine="420" w:firstLineChars="20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履约担保期限</w:t>
      </w:r>
      <w:r>
        <w:rPr>
          <w:rFonts w:hint="eastAsia" w:ascii="仿宋" w:hAnsi="仿宋" w:eastAsia="仿宋" w:cs="仿宋"/>
          <w:bCs/>
          <w:color w:val="auto"/>
          <w:szCs w:val="21"/>
          <w:highlight w:val="none"/>
          <w:u w:val="none"/>
          <w:lang w:eastAsia="zh-CN"/>
        </w:rPr>
        <w:t>：</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 xml:space="preserve">                     </w:t>
      </w:r>
      <w:r>
        <w:rPr>
          <w:rFonts w:hint="eastAsia" w:ascii="仿宋" w:hAnsi="仿宋" w:eastAsia="仿宋" w:cs="仿宋"/>
          <w:bCs/>
          <w:color w:val="auto"/>
          <w:sz w:val="21"/>
          <w:szCs w:val="21"/>
          <w:highlight w:val="none"/>
          <w:u w:val="single"/>
        </w:rPr>
        <w:t xml:space="preserve">       </w:t>
      </w:r>
    </w:p>
    <w:p w14:paraId="0C024358">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（4）分期履行要求：</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 xml:space="preserve"> </w:t>
      </w:r>
    </w:p>
    <w:p w14:paraId="1C59B057">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bCs/>
          <w:color w:val="auto"/>
          <w:szCs w:val="21"/>
          <w:highlight w:val="none"/>
        </w:rPr>
        <w:t>（5）</w:t>
      </w:r>
      <w:r>
        <w:rPr>
          <w:rFonts w:hint="eastAsia" w:ascii="仿宋" w:hAnsi="仿宋" w:eastAsia="仿宋" w:cs="仿宋"/>
          <w:bCs/>
          <w:color w:val="auto"/>
          <w:szCs w:val="21"/>
          <w:highlight w:val="none"/>
          <w:lang w:eastAsia="zh-CN"/>
        </w:rPr>
        <w:t>风险处置措施和替代方案</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u w:val="single"/>
        </w:rPr>
        <w:t xml:space="preserve">                                                               </w:t>
      </w:r>
    </w:p>
    <w:p w14:paraId="5ABDAB02">
      <w:pPr>
        <w:numPr>
          <w:ilvl w:val="0"/>
          <w:numId w:val="12"/>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合同验收</w:t>
      </w:r>
    </w:p>
    <w:p w14:paraId="1438B1CC">
      <w:pPr>
        <w:numPr>
          <w:ilvl w:val="0"/>
          <w:numId w:val="14"/>
        </w:num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验收组织方式：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自行组织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委托第三方组织</w:t>
      </w:r>
    </w:p>
    <w:p w14:paraId="4B123AA0">
      <w:pPr>
        <w:numPr>
          <w:ilvl w:val="0"/>
          <w:numId w:val="0"/>
        </w:numPr>
        <w:adjustRightInd w:val="0"/>
        <w:snapToGrid w:val="0"/>
        <w:spacing w:before="0" w:beforeLines="0" w:line="400" w:lineRule="exac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验收主体：</w:t>
      </w:r>
      <w:r>
        <w:rPr>
          <w:rFonts w:hint="eastAsia" w:ascii="仿宋" w:hAnsi="仿宋" w:eastAsia="仿宋" w:cs="仿宋"/>
          <w:bCs/>
          <w:color w:val="auto"/>
          <w:szCs w:val="21"/>
          <w:highlight w:val="none"/>
          <w:u w:val="single"/>
        </w:rPr>
        <w:t xml:space="preserve">                  </w:t>
      </w:r>
    </w:p>
    <w:p w14:paraId="1BC7B5ED">
      <w:pPr>
        <w:adjustRightInd w:val="0"/>
        <w:snapToGrid w:val="0"/>
        <w:spacing w:before="0" w:beforeLines="0" w:line="400" w:lineRule="exact"/>
        <w:ind w:firstLine="0" w:firstLineChars="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是否邀请本项目的其他供应商</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0E759135">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是否邀请专家</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1050CD93">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是否邀请服务对象</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11A30AF4">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是否邀请第三方检测机构</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29492754">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eastAsia="zh-CN"/>
        </w:rPr>
        <w:t>是否进行抽查检测：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，抽查比例：</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29CCE6E1">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lang w:eastAsia="zh-CN"/>
        </w:rPr>
      </w:pPr>
      <w:r>
        <w:rPr>
          <w:rFonts w:hint="eastAsia" w:ascii="仿宋" w:hAnsi="仿宋" w:eastAsia="仿宋" w:cs="仿宋"/>
          <w:bCs/>
          <w:color w:val="auto"/>
          <w:szCs w:val="21"/>
          <w:highlight w:val="none"/>
          <w:lang w:val="en-US" w:eastAsia="zh-CN"/>
        </w:rPr>
        <w:t>是否存在破坏性检测：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lang w:eastAsia="zh-CN"/>
        </w:rPr>
        <w:t>（应明确对被破坏的检测产品的处理方式）</w:t>
      </w:r>
    </w:p>
    <w:p w14:paraId="67414408">
      <w:pPr>
        <w:adjustRightInd w:val="0"/>
        <w:snapToGrid w:val="0"/>
        <w:spacing w:before="0" w:beforeLines="0" w:line="400" w:lineRule="exact"/>
        <w:ind w:firstLine="840" w:firstLineChars="400"/>
        <w:rPr>
          <w:rFonts w:hint="eastAsia"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77E09349">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验收组织的其他事项：</w:t>
      </w:r>
      <w:r>
        <w:rPr>
          <w:rFonts w:hint="eastAsia" w:ascii="仿宋" w:hAnsi="仿宋" w:eastAsia="仿宋" w:cs="仿宋"/>
          <w:bCs/>
          <w:color w:val="auto"/>
          <w:szCs w:val="21"/>
          <w:highlight w:val="none"/>
          <w:u w:val="single"/>
        </w:rPr>
        <w:t xml:space="preserve">                </w:t>
      </w:r>
    </w:p>
    <w:p w14:paraId="4213D10D">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（2）履约验收时间：</w:t>
      </w:r>
      <w:r>
        <w:rPr>
          <w:rFonts w:hint="eastAsia" w:ascii="仿宋" w:hAnsi="仿宋" w:eastAsia="仿宋" w:cs="仿宋"/>
          <w:bCs/>
          <w:color w:val="auto"/>
          <w:szCs w:val="21"/>
          <w:highlight w:val="none"/>
          <w:u w:val="single"/>
        </w:rPr>
        <w:t>（计划于何时验收/供应商提出验收申请之日起   日内组织验收）</w:t>
      </w:r>
      <w:r>
        <w:rPr>
          <w:rFonts w:hint="eastAsia" w:ascii="仿宋" w:hAnsi="仿宋" w:eastAsia="仿宋" w:cs="仿宋"/>
          <w:bCs/>
          <w:color w:val="auto"/>
          <w:szCs w:val="21"/>
          <w:highlight w:val="none"/>
          <w:u w:val="single"/>
          <w:lang w:val="en-US" w:eastAsia="zh-CN"/>
        </w:rPr>
        <w:t xml:space="preserve"> </w:t>
      </w:r>
    </w:p>
    <w:p w14:paraId="64DEED84">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（3）履约验收方式：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一次性验收         </w:t>
      </w:r>
    </w:p>
    <w:p w14:paraId="76D3F71A">
      <w:pPr>
        <w:adjustRightInd w:val="0"/>
        <w:snapToGrid w:val="0"/>
        <w:spacing w:before="0" w:beforeLines="0" w:line="400" w:lineRule="exact"/>
        <w:ind w:firstLine="0" w:firstLineChars="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分期/分项验收</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（应明确分期</w:t>
      </w:r>
      <w:r>
        <w:rPr>
          <w:rFonts w:hint="eastAsia" w:ascii="仿宋" w:hAnsi="仿宋" w:eastAsia="仿宋" w:cs="仿宋"/>
          <w:bCs/>
          <w:color w:val="auto"/>
          <w:szCs w:val="21"/>
          <w:highlight w:val="none"/>
          <w:u w:val="single"/>
          <w:lang w:val="en" w:eastAsia="zh-CN"/>
        </w:rPr>
        <w:t>/分项验收的工作安排</w:t>
      </w:r>
      <w:r>
        <w:rPr>
          <w:rFonts w:hint="eastAsia" w:ascii="仿宋" w:hAnsi="仿宋" w:eastAsia="仿宋" w:cs="仿宋"/>
          <w:bCs/>
          <w:color w:val="auto"/>
          <w:szCs w:val="21"/>
          <w:highlight w:val="none"/>
          <w:u w:val="singl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p>
    <w:p w14:paraId="365B07D5">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（4）履约验收程序：</w:t>
      </w:r>
      <w:r>
        <w:rPr>
          <w:rFonts w:hint="eastAsia" w:ascii="仿宋" w:hAnsi="仿宋" w:eastAsia="仿宋" w:cs="仿宋"/>
          <w:bCs/>
          <w:color w:val="auto"/>
          <w:szCs w:val="21"/>
          <w:highlight w:val="none"/>
          <w:u w:val="single"/>
        </w:rPr>
        <w:t xml:space="preserve">                                         </w:t>
      </w:r>
    </w:p>
    <w:p w14:paraId="302E23E8">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（5）履约验收的内容：</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Cs w:val="21"/>
          <w:highlight w:val="none"/>
          <w:u w:val="single"/>
        </w:rPr>
        <w:t xml:space="preserve">                                      </w:t>
      </w:r>
    </w:p>
    <w:p w14:paraId="578FB51F">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（6）履约验收标准：</w:t>
      </w:r>
      <w:r>
        <w:rPr>
          <w:rFonts w:hint="eastAsia" w:ascii="仿宋" w:hAnsi="仿宋" w:eastAsia="仿宋" w:cs="仿宋"/>
          <w:bCs/>
          <w:color w:val="auto"/>
          <w:szCs w:val="21"/>
          <w:highlight w:val="none"/>
          <w:u w:val="single"/>
        </w:rPr>
        <w:t xml:space="preserve">                                         </w:t>
      </w:r>
    </w:p>
    <w:p w14:paraId="4452B358">
      <w:pPr>
        <w:pStyle w:val="47"/>
        <w:spacing w:beforeLines="0"/>
        <w:rPr>
          <w:rFonts w:hint="eastAsia" w:ascii="仿宋" w:hAnsi="仿宋" w:eastAsia="仿宋" w:cs="仿宋"/>
          <w:color w:val="auto"/>
          <w:sz w:val="21"/>
          <w:highlight w:val="none"/>
          <w:lang w:eastAsia="zh-CN"/>
        </w:rPr>
      </w:pPr>
      <w:r>
        <w:rPr>
          <w:rFonts w:hint="eastAsia" w:ascii="仿宋" w:hAnsi="仿宋" w:eastAsia="仿宋" w:cs="仿宋"/>
          <w:bCs/>
          <w:color w:val="auto"/>
          <w:sz w:val="21"/>
          <w:szCs w:val="21"/>
          <w:highlight w:val="none"/>
          <w:u w:val="none"/>
          <w:lang w:eastAsia="zh-CN"/>
        </w:rPr>
        <w:t>（</w:t>
      </w:r>
      <w:r>
        <w:rPr>
          <w:rFonts w:hint="eastAsia" w:ascii="仿宋" w:hAnsi="仿宋" w:eastAsia="仿宋" w:cs="仿宋"/>
          <w:bCs/>
          <w:color w:val="auto"/>
          <w:sz w:val="21"/>
          <w:szCs w:val="21"/>
          <w:highlight w:val="none"/>
          <w:u w:val="none"/>
          <w:lang w:val="en-US" w:eastAsia="zh-CN"/>
        </w:rPr>
        <w:t>7</w:t>
      </w:r>
      <w:r>
        <w:rPr>
          <w:rFonts w:hint="eastAsia" w:ascii="仿宋" w:hAnsi="仿宋" w:eastAsia="仿宋" w:cs="仿宋"/>
          <w:bCs/>
          <w:color w:val="auto"/>
          <w:sz w:val="21"/>
          <w:szCs w:val="21"/>
          <w:highlight w:val="none"/>
          <w:u w:val="none"/>
          <w:lang w:eastAsia="zh-CN"/>
        </w:rPr>
        <w:t>）是否以采购活动中供应商提供的样品作为参考：</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否</w:t>
      </w:r>
    </w:p>
    <w:p w14:paraId="1073537A">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（8）履约验收其他事项：</w:t>
      </w:r>
      <w:r>
        <w:rPr>
          <w:rFonts w:hint="eastAsia" w:ascii="仿宋" w:hAnsi="仿宋" w:eastAsia="仿宋" w:cs="仿宋"/>
          <w:bCs/>
          <w:color w:val="auto"/>
          <w:szCs w:val="21"/>
          <w:highlight w:val="none"/>
          <w:u w:val="single"/>
        </w:rPr>
        <w:t xml:space="preserve">      </w:t>
      </w:r>
      <w:r>
        <w:rPr>
          <w:rFonts w:hint="eastAsia" w:ascii="仿宋" w:hAnsi="仿宋" w:eastAsia="仿宋" w:cs="仿宋"/>
          <w:bCs/>
          <w:i w:val="0"/>
          <w:iCs w:val="0"/>
          <w:color w:val="auto"/>
          <w:szCs w:val="21"/>
          <w:highlight w:val="none"/>
          <w:u w:val="single"/>
        </w:rPr>
        <w:t>（产权过户登记等）</w:t>
      </w:r>
      <w:r>
        <w:rPr>
          <w:rFonts w:hint="eastAsia" w:ascii="仿宋" w:hAnsi="仿宋" w:eastAsia="仿宋" w:cs="仿宋"/>
          <w:bCs/>
          <w:color w:val="auto"/>
          <w:szCs w:val="21"/>
          <w:highlight w:val="none"/>
          <w:u w:val="single"/>
        </w:rPr>
        <w:t xml:space="preserve">          </w:t>
      </w:r>
    </w:p>
    <w:p w14:paraId="2635B805">
      <w:pPr>
        <w:numPr>
          <w:ilvl w:val="0"/>
          <w:numId w:val="12"/>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组成合同的文件</w:t>
      </w:r>
    </w:p>
    <w:p w14:paraId="2B4C59F6">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本协议书与下列文件一起构成合同文件，如下述文件之间有任何抵触、矛盾或歧义，应按以下顺序解释：</w:t>
      </w:r>
    </w:p>
    <w:p w14:paraId="7CC1A05F">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p>
    <w:p w14:paraId="363FE922">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）政府采购合同专用条款</w:t>
      </w:r>
    </w:p>
    <w:p w14:paraId="51F04AE3">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）政府采购合同通用条款</w:t>
      </w:r>
    </w:p>
    <w:p w14:paraId="632931B4">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p>
    <w:p w14:paraId="1562744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）投标（响应）文件</w:t>
      </w:r>
    </w:p>
    <w:p w14:paraId="6F563833">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（6）采购文件</w:t>
      </w:r>
    </w:p>
    <w:p w14:paraId="60781278">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（7）有关技术文件，图纸</w:t>
      </w:r>
    </w:p>
    <w:p w14:paraId="7AF331F9">
      <w:pPr>
        <w:pStyle w:val="47"/>
        <w:spacing w:beforeLines="0"/>
        <w:rPr>
          <w:rFonts w:hint="eastAsia" w:ascii="仿宋" w:hAnsi="仿宋" w:eastAsia="仿宋" w:cs="仿宋"/>
          <w:color w:val="auto"/>
          <w:kern w:val="2"/>
          <w:sz w:val="21"/>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p>
    <w:p w14:paraId="513EAA6C">
      <w:pPr>
        <w:numPr>
          <w:ilvl w:val="0"/>
          <w:numId w:val="12"/>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合同生效</w:t>
      </w:r>
    </w:p>
    <w:p w14:paraId="3E176C12">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本合同自</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生效。</w:t>
      </w:r>
    </w:p>
    <w:p w14:paraId="322C04D1">
      <w:pPr>
        <w:numPr>
          <w:ilvl w:val="0"/>
          <w:numId w:val="12"/>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合同份数</w:t>
      </w:r>
    </w:p>
    <w:p w14:paraId="57F4F000">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本合同一式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乙方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份，均具有同等法律效力。</w:t>
      </w:r>
    </w:p>
    <w:p w14:paraId="2FB2FA58">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合同订立时间：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3500A36F">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合同订立地点：</w:t>
      </w:r>
      <w:r>
        <w:rPr>
          <w:rFonts w:hint="eastAsia" w:ascii="仿宋" w:hAnsi="仿宋" w:eastAsia="仿宋" w:cs="仿宋"/>
          <w:color w:val="auto"/>
          <w:szCs w:val="21"/>
          <w:highlight w:val="none"/>
          <w:u w:val="single"/>
        </w:rPr>
        <w:t xml:space="preserve">                           </w:t>
      </w:r>
    </w:p>
    <w:p w14:paraId="2027DFA9">
      <w:pPr>
        <w:adjustRightInd w:val="0"/>
        <w:snapToGrid w:val="0"/>
        <w:spacing w:before="0" w:beforeLines="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附件：具体标</w:t>
      </w:r>
      <w:r>
        <w:rPr>
          <w:rFonts w:hint="eastAsia" w:ascii="仿宋" w:hAnsi="仿宋" w:eastAsia="仿宋" w:cs="仿宋"/>
          <w:color w:val="auto"/>
          <w:szCs w:val="21"/>
          <w:highlight w:val="none"/>
          <w:lang w:eastAsia="zh-CN"/>
        </w:rPr>
        <w:t>的及其</w:t>
      </w:r>
      <w:r>
        <w:rPr>
          <w:rFonts w:hint="eastAsia" w:ascii="仿宋" w:hAnsi="仿宋" w:eastAsia="仿宋" w:cs="仿宋"/>
          <w:color w:val="auto"/>
          <w:szCs w:val="21"/>
          <w:highlight w:val="none"/>
          <w:u w:val="none"/>
          <w:lang w:val="en-US" w:eastAsia="zh-CN"/>
        </w:rPr>
        <w:t>技术要求和商务要求</w:t>
      </w:r>
      <w:r>
        <w:rPr>
          <w:rFonts w:hint="eastAsia" w:ascii="仿宋" w:hAnsi="仿宋" w:eastAsia="仿宋" w:cs="仿宋"/>
          <w:color w:val="auto"/>
          <w:szCs w:val="21"/>
          <w:highlight w:val="none"/>
        </w:rPr>
        <w:t>、联合协议、分包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协议等。</w:t>
      </w:r>
    </w:p>
    <w:p w14:paraId="4F27C5C1">
      <w:pPr>
        <w:pStyle w:val="84"/>
        <w:spacing w:beforeLines="0" w:line="400" w:lineRule="exact"/>
        <w:rPr>
          <w:rFonts w:hint="eastAsia" w:ascii="仿宋" w:hAnsi="仿宋" w:eastAsia="仿宋" w:cs="仿宋"/>
          <w:color w:val="auto"/>
          <w:highlight w:val="none"/>
        </w:rPr>
      </w:pPr>
    </w:p>
    <w:p w14:paraId="54FDA55F">
      <w:pPr>
        <w:pStyle w:val="5"/>
        <w:spacing w:beforeLines="0" w:line="400" w:lineRule="exac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highlight w:val="none"/>
          <w:lang w:val="en"/>
        </w:rPr>
        <w:t xml:space="preserve">   </w:t>
      </w:r>
    </w:p>
    <w:p w14:paraId="07DEBF8A">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4AD826FF">
      <w:pPr>
        <w:pStyle w:val="84"/>
        <w:rPr>
          <w:rFonts w:hint="eastAsia" w:ascii="仿宋" w:hAnsi="仿宋" w:eastAsia="仿宋" w:cs="仿宋"/>
          <w:color w:val="auto"/>
          <w:highlight w:val="none"/>
        </w:rPr>
      </w:pPr>
    </w:p>
    <w:tbl>
      <w:tblPr>
        <w:tblStyle w:val="39"/>
        <w:tblW w:w="8371"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85"/>
        <w:gridCol w:w="2404"/>
        <w:gridCol w:w="1972"/>
        <w:gridCol w:w="2110"/>
      </w:tblGrid>
      <w:tr w14:paraId="1999A81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289" w:type="dxa"/>
            <w:gridSpan w:val="2"/>
            <w:tcBorders>
              <w:bottom w:val="single" w:color="auto" w:sz="2" w:space="0"/>
              <w:right w:val="single" w:color="auto" w:sz="2" w:space="0"/>
            </w:tcBorders>
            <w:vAlign w:val="center"/>
          </w:tcPr>
          <w:p w14:paraId="17460916">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甲方（采购人</w:t>
            </w:r>
            <w:r>
              <w:rPr>
                <w:rFonts w:hint="eastAsia" w:ascii="仿宋" w:hAnsi="仿宋" w:eastAsia="仿宋" w:cs="仿宋"/>
                <w:color w:val="auto"/>
                <w:szCs w:val="21"/>
                <w:highlight w:val="none"/>
                <w:lang w:eastAsia="zh-CN"/>
              </w:rPr>
              <w:t>、受采购人委托签订合同的单位</w:t>
            </w:r>
            <w:r>
              <w:rPr>
                <w:rFonts w:hint="eastAsia" w:ascii="仿宋" w:hAnsi="仿宋" w:eastAsia="仿宋" w:cs="仿宋"/>
                <w:color w:val="auto"/>
                <w:szCs w:val="21"/>
                <w:highlight w:val="none"/>
              </w:rPr>
              <w:t>或采购文件约定的合同甲方）</w:t>
            </w:r>
          </w:p>
        </w:tc>
        <w:tc>
          <w:tcPr>
            <w:tcW w:w="4082" w:type="dxa"/>
            <w:gridSpan w:val="2"/>
            <w:tcBorders>
              <w:left w:val="single" w:color="auto" w:sz="2" w:space="0"/>
              <w:bottom w:val="single" w:color="auto" w:sz="2" w:space="0"/>
            </w:tcBorders>
            <w:vAlign w:val="center"/>
          </w:tcPr>
          <w:p w14:paraId="37EE9D97">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乙方（供应商）</w:t>
            </w:r>
          </w:p>
        </w:tc>
      </w:tr>
      <w:tr w14:paraId="034599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85" w:type="dxa"/>
            <w:tcBorders>
              <w:top w:val="single" w:color="auto" w:sz="2" w:space="0"/>
              <w:bottom w:val="single" w:color="auto" w:sz="2" w:space="0"/>
              <w:right w:val="single" w:color="auto" w:sz="2" w:space="0"/>
            </w:tcBorders>
            <w:vAlign w:val="center"/>
          </w:tcPr>
          <w:p w14:paraId="7F48F587">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404" w:type="dxa"/>
            <w:tcBorders>
              <w:top w:val="single" w:color="auto" w:sz="2" w:space="0"/>
              <w:left w:val="single" w:color="auto" w:sz="2" w:space="0"/>
              <w:bottom w:val="single" w:color="auto" w:sz="2" w:space="0"/>
              <w:right w:val="single" w:color="auto" w:sz="2" w:space="0"/>
            </w:tcBorders>
            <w:vAlign w:val="center"/>
          </w:tcPr>
          <w:p w14:paraId="01D30A0C">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6BD24234">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110" w:type="dxa"/>
            <w:tcBorders>
              <w:top w:val="single" w:color="auto" w:sz="2" w:space="0"/>
              <w:left w:val="single" w:color="auto" w:sz="2" w:space="0"/>
              <w:bottom w:val="single" w:color="auto" w:sz="2" w:space="0"/>
            </w:tcBorders>
            <w:vAlign w:val="center"/>
          </w:tcPr>
          <w:p w14:paraId="2E1C7D23">
            <w:pPr>
              <w:adjustRightInd w:val="0"/>
              <w:snapToGrid w:val="0"/>
              <w:spacing w:line="300" w:lineRule="exact"/>
              <w:jc w:val="center"/>
              <w:rPr>
                <w:rFonts w:hint="eastAsia" w:ascii="仿宋" w:hAnsi="仿宋" w:eastAsia="仿宋" w:cs="仿宋"/>
                <w:color w:val="auto"/>
                <w:spacing w:val="20"/>
                <w:szCs w:val="21"/>
                <w:highlight w:val="none"/>
              </w:rPr>
            </w:pPr>
          </w:p>
        </w:tc>
      </w:tr>
      <w:tr w14:paraId="2CAC94F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85" w:type="dxa"/>
            <w:vMerge w:val="restart"/>
            <w:tcBorders>
              <w:top w:val="single" w:color="auto" w:sz="2" w:space="0"/>
              <w:right w:val="single" w:color="auto" w:sz="2" w:space="0"/>
            </w:tcBorders>
            <w:vAlign w:val="center"/>
          </w:tcPr>
          <w:p w14:paraId="6E7A958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3259BB80">
            <w:pPr>
              <w:adjustRightInd w:val="0"/>
              <w:snapToGrid w:val="0"/>
              <w:spacing w:line="300" w:lineRule="exact"/>
              <w:ind w:firstLine="100" w:firstLineChars="48"/>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404" w:type="dxa"/>
            <w:vMerge w:val="restart"/>
            <w:tcBorders>
              <w:top w:val="single" w:color="auto" w:sz="2" w:space="0"/>
              <w:left w:val="single" w:color="auto" w:sz="2" w:space="0"/>
              <w:right w:val="single" w:color="auto" w:sz="2" w:space="0"/>
            </w:tcBorders>
            <w:vAlign w:val="center"/>
          </w:tcPr>
          <w:p w14:paraId="3E5A3424">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right w:val="single" w:color="auto" w:sz="2" w:space="0"/>
            </w:tcBorders>
            <w:vAlign w:val="center"/>
          </w:tcPr>
          <w:p w14:paraId="600BFE7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7B4CB317">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110" w:type="dxa"/>
            <w:tcBorders>
              <w:top w:val="single" w:color="auto" w:sz="2" w:space="0"/>
              <w:left w:val="single" w:color="auto" w:sz="2" w:space="0"/>
              <w:bottom w:val="single" w:color="auto" w:sz="2" w:space="0"/>
            </w:tcBorders>
            <w:vAlign w:val="center"/>
          </w:tcPr>
          <w:p w14:paraId="00DEEE5E">
            <w:pPr>
              <w:adjustRightInd w:val="0"/>
              <w:snapToGrid w:val="0"/>
              <w:spacing w:line="300" w:lineRule="exact"/>
              <w:jc w:val="center"/>
              <w:rPr>
                <w:rFonts w:hint="eastAsia" w:ascii="仿宋" w:hAnsi="仿宋" w:eastAsia="仿宋" w:cs="仿宋"/>
                <w:color w:val="auto"/>
                <w:szCs w:val="21"/>
                <w:highlight w:val="none"/>
              </w:rPr>
            </w:pPr>
          </w:p>
        </w:tc>
      </w:tr>
      <w:tr w14:paraId="22D7650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vMerge w:val="continue"/>
            <w:tcBorders>
              <w:bottom w:val="single" w:color="auto" w:sz="2" w:space="0"/>
              <w:right w:val="single" w:color="auto" w:sz="2" w:space="0"/>
            </w:tcBorders>
            <w:vAlign w:val="center"/>
          </w:tcPr>
          <w:p w14:paraId="7F5C74FE">
            <w:pPr>
              <w:adjustRightInd w:val="0"/>
              <w:snapToGrid w:val="0"/>
              <w:spacing w:line="300" w:lineRule="exact"/>
              <w:jc w:val="center"/>
              <w:rPr>
                <w:rFonts w:hint="eastAsia" w:ascii="仿宋" w:hAnsi="仿宋" w:eastAsia="仿宋" w:cs="仿宋"/>
                <w:color w:val="auto"/>
                <w:szCs w:val="21"/>
                <w:highlight w:val="none"/>
              </w:rPr>
            </w:pPr>
          </w:p>
        </w:tc>
        <w:tc>
          <w:tcPr>
            <w:tcW w:w="2404" w:type="dxa"/>
            <w:vMerge w:val="continue"/>
            <w:tcBorders>
              <w:left w:val="single" w:color="auto" w:sz="2" w:space="0"/>
              <w:bottom w:val="single" w:color="auto" w:sz="2" w:space="0"/>
              <w:right w:val="single" w:color="auto" w:sz="2" w:space="0"/>
            </w:tcBorders>
            <w:vAlign w:val="center"/>
          </w:tcPr>
          <w:p w14:paraId="6A04E93C">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5092AD1E">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拥有者性别</w:t>
            </w:r>
          </w:p>
        </w:tc>
        <w:tc>
          <w:tcPr>
            <w:tcW w:w="2110" w:type="dxa"/>
            <w:tcBorders>
              <w:top w:val="single" w:color="auto" w:sz="2" w:space="0"/>
              <w:left w:val="single" w:color="auto" w:sz="2" w:space="0"/>
              <w:bottom w:val="single" w:color="auto" w:sz="2" w:space="0"/>
            </w:tcBorders>
            <w:vAlign w:val="center"/>
          </w:tcPr>
          <w:p w14:paraId="4EC59214">
            <w:pPr>
              <w:adjustRightInd w:val="0"/>
              <w:snapToGrid w:val="0"/>
              <w:spacing w:line="300" w:lineRule="exact"/>
              <w:jc w:val="center"/>
              <w:rPr>
                <w:rFonts w:hint="eastAsia" w:ascii="仿宋" w:hAnsi="仿宋" w:eastAsia="仿宋" w:cs="仿宋"/>
                <w:color w:val="auto"/>
                <w:spacing w:val="20"/>
                <w:szCs w:val="21"/>
                <w:highlight w:val="none"/>
              </w:rPr>
            </w:pPr>
          </w:p>
        </w:tc>
      </w:tr>
      <w:tr w14:paraId="64977E7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6E701B6D">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404" w:type="dxa"/>
            <w:tcBorders>
              <w:top w:val="single" w:color="auto" w:sz="2" w:space="0"/>
              <w:left w:val="single" w:color="auto" w:sz="2" w:space="0"/>
              <w:bottom w:val="single" w:color="auto" w:sz="2" w:space="0"/>
              <w:right w:val="single" w:color="auto" w:sz="2" w:space="0"/>
            </w:tcBorders>
            <w:vAlign w:val="center"/>
          </w:tcPr>
          <w:p w14:paraId="3A073BA3">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617E628C">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110" w:type="dxa"/>
            <w:tcBorders>
              <w:top w:val="single" w:color="auto" w:sz="2" w:space="0"/>
              <w:left w:val="single" w:color="auto" w:sz="2" w:space="0"/>
              <w:bottom w:val="single" w:color="auto" w:sz="2" w:space="0"/>
            </w:tcBorders>
            <w:vAlign w:val="center"/>
          </w:tcPr>
          <w:p w14:paraId="1DCE8025">
            <w:pPr>
              <w:adjustRightInd w:val="0"/>
              <w:snapToGrid w:val="0"/>
              <w:spacing w:line="300" w:lineRule="exact"/>
              <w:jc w:val="center"/>
              <w:rPr>
                <w:rFonts w:hint="eastAsia" w:ascii="仿宋" w:hAnsi="仿宋" w:eastAsia="仿宋" w:cs="仿宋"/>
                <w:color w:val="auto"/>
                <w:spacing w:val="20"/>
                <w:szCs w:val="21"/>
                <w:highlight w:val="none"/>
              </w:rPr>
            </w:pPr>
          </w:p>
        </w:tc>
      </w:tr>
      <w:tr w14:paraId="10DDC0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3B0469D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404" w:type="dxa"/>
            <w:tcBorders>
              <w:top w:val="single" w:color="auto" w:sz="2" w:space="0"/>
              <w:left w:val="single" w:color="auto" w:sz="2" w:space="0"/>
              <w:bottom w:val="single" w:color="auto" w:sz="2" w:space="0"/>
              <w:right w:val="single" w:color="auto" w:sz="2" w:space="0"/>
            </w:tcBorders>
            <w:vAlign w:val="center"/>
          </w:tcPr>
          <w:p w14:paraId="2C6E639E">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770C97E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110" w:type="dxa"/>
            <w:tcBorders>
              <w:top w:val="single" w:color="auto" w:sz="2" w:space="0"/>
              <w:left w:val="single" w:color="auto" w:sz="2" w:space="0"/>
              <w:bottom w:val="single" w:color="auto" w:sz="2" w:space="0"/>
            </w:tcBorders>
            <w:vAlign w:val="center"/>
          </w:tcPr>
          <w:p w14:paraId="0E760319">
            <w:pPr>
              <w:adjustRightInd w:val="0"/>
              <w:snapToGrid w:val="0"/>
              <w:spacing w:line="300" w:lineRule="exact"/>
              <w:jc w:val="center"/>
              <w:rPr>
                <w:rFonts w:hint="eastAsia" w:ascii="仿宋" w:hAnsi="仿宋" w:eastAsia="仿宋" w:cs="仿宋"/>
                <w:color w:val="auto"/>
                <w:spacing w:val="20"/>
                <w:szCs w:val="21"/>
                <w:highlight w:val="none"/>
              </w:rPr>
            </w:pPr>
          </w:p>
        </w:tc>
      </w:tr>
      <w:tr w14:paraId="58151A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71D40CC1">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404" w:type="dxa"/>
            <w:tcBorders>
              <w:top w:val="single" w:color="auto" w:sz="2" w:space="0"/>
              <w:left w:val="single" w:color="auto" w:sz="2" w:space="0"/>
              <w:bottom w:val="single" w:color="auto" w:sz="2" w:space="0"/>
              <w:right w:val="single" w:color="auto" w:sz="2" w:space="0"/>
            </w:tcBorders>
            <w:vAlign w:val="center"/>
          </w:tcPr>
          <w:p w14:paraId="28DB443A">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497977A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110" w:type="dxa"/>
            <w:tcBorders>
              <w:top w:val="single" w:color="auto" w:sz="2" w:space="0"/>
              <w:left w:val="single" w:color="auto" w:sz="2" w:space="0"/>
              <w:bottom w:val="single" w:color="auto" w:sz="2" w:space="0"/>
            </w:tcBorders>
            <w:vAlign w:val="center"/>
          </w:tcPr>
          <w:p w14:paraId="34E215F1">
            <w:pPr>
              <w:adjustRightInd w:val="0"/>
              <w:snapToGrid w:val="0"/>
              <w:spacing w:line="300" w:lineRule="exact"/>
              <w:jc w:val="center"/>
              <w:rPr>
                <w:rFonts w:hint="eastAsia" w:ascii="仿宋" w:hAnsi="仿宋" w:eastAsia="仿宋" w:cs="仿宋"/>
                <w:color w:val="auto"/>
                <w:spacing w:val="20"/>
                <w:szCs w:val="21"/>
                <w:highlight w:val="none"/>
              </w:rPr>
            </w:pPr>
          </w:p>
        </w:tc>
      </w:tr>
      <w:tr w14:paraId="10B26E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1114D555">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通信地址</w:t>
            </w:r>
          </w:p>
        </w:tc>
        <w:tc>
          <w:tcPr>
            <w:tcW w:w="2404" w:type="dxa"/>
            <w:tcBorders>
              <w:top w:val="single" w:color="auto" w:sz="2" w:space="0"/>
              <w:left w:val="single" w:color="auto" w:sz="2" w:space="0"/>
              <w:bottom w:val="single" w:color="auto" w:sz="2" w:space="0"/>
              <w:right w:val="single" w:color="auto" w:sz="2" w:space="0"/>
            </w:tcBorders>
            <w:vAlign w:val="center"/>
          </w:tcPr>
          <w:p w14:paraId="1836F9D0">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4C430251">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通信地址</w:t>
            </w:r>
          </w:p>
        </w:tc>
        <w:tc>
          <w:tcPr>
            <w:tcW w:w="2110" w:type="dxa"/>
            <w:tcBorders>
              <w:top w:val="single" w:color="auto" w:sz="2" w:space="0"/>
              <w:left w:val="single" w:color="auto" w:sz="2" w:space="0"/>
              <w:bottom w:val="single" w:color="auto" w:sz="2" w:space="0"/>
            </w:tcBorders>
            <w:vAlign w:val="center"/>
          </w:tcPr>
          <w:p w14:paraId="05E36F7F">
            <w:pPr>
              <w:adjustRightInd w:val="0"/>
              <w:snapToGrid w:val="0"/>
              <w:spacing w:line="300" w:lineRule="exact"/>
              <w:jc w:val="center"/>
              <w:rPr>
                <w:rFonts w:hint="eastAsia" w:ascii="仿宋" w:hAnsi="仿宋" w:eastAsia="仿宋" w:cs="仿宋"/>
                <w:color w:val="auto"/>
                <w:spacing w:val="20"/>
                <w:szCs w:val="21"/>
                <w:highlight w:val="none"/>
              </w:rPr>
            </w:pPr>
          </w:p>
        </w:tc>
      </w:tr>
      <w:tr w14:paraId="6A28C3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75FBC96D">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404" w:type="dxa"/>
            <w:tcBorders>
              <w:top w:val="single" w:color="auto" w:sz="2" w:space="0"/>
              <w:left w:val="single" w:color="auto" w:sz="2" w:space="0"/>
              <w:bottom w:val="single" w:color="auto" w:sz="2" w:space="0"/>
              <w:right w:val="single" w:color="auto" w:sz="2" w:space="0"/>
            </w:tcBorders>
            <w:vAlign w:val="center"/>
          </w:tcPr>
          <w:p w14:paraId="2915DADC">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219232F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110" w:type="dxa"/>
            <w:tcBorders>
              <w:top w:val="single" w:color="auto" w:sz="2" w:space="0"/>
              <w:left w:val="single" w:color="auto" w:sz="2" w:space="0"/>
              <w:bottom w:val="single" w:color="auto" w:sz="2" w:space="0"/>
            </w:tcBorders>
            <w:vAlign w:val="center"/>
          </w:tcPr>
          <w:p w14:paraId="500AF422">
            <w:pPr>
              <w:adjustRightInd w:val="0"/>
              <w:snapToGrid w:val="0"/>
              <w:spacing w:line="300" w:lineRule="exact"/>
              <w:jc w:val="center"/>
              <w:rPr>
                <w:rFonts w:hint="eastAsia" w:ascii="仿宋" w:hAnsi="仿宋" w:eastAsia="仿宋" w:cs="仿宋"/>
                <w:color w:val="auto"/>
                <w:spacing w:val="20"/>
                <w:szCs w:val="21"/>
                <w:highlight w:val="none"/>
              </w:rPr>
            </w:pPr>
          </w:p>
        </w:tc>
      </w:tr>
      <w:tr w14:paraId="568711D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5CD52D8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404" w:type="dxa"/>
            <w:tcBorders>
              <w:top w:val="single" w:color="auto" w:sz="2" w:space="0"/>
              <w:left w:val="single" w:color="auto" w:sz="2" w:space="0"/>
              <w:bottom w:val="single" w:color="auto" w:sz="2" w:space="0"/>
              <w:right w:val="single" w:color="auto" w:sz="2" w:space="0"/>
            </w:tcBorders>
            <w:vAlign w:val="center"/>
          </w:tcPr>
          <w:p w14:paraId="7D697D3A">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63910D9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110" w:type="dxa"/>
            <w:tcBorders>
              <w:top w:val="single" w:color="auto" w:sz="2" w:space="0"/>
              <w:left w:val="single" w:color="auto" w:sz="2" w:space="0"/>
              <w:bottom w:val="single" w:color="auto" w:sz="2" w:space="0"/>
            </w:tcBorders>
            <w:vAlign w:val="center"/>
          </w:tcPr>
          <w:p w14:paraId="78312A4E">
            <w:pPr>
              <w:adjustRightInd w:val="0"/>
              <w:snapToGrid w:val="0"/>
              <w:spacing w:line="300" w:lineRule="exact"/>
              <w:jc w:val="center"/>
              <w:rPr>
                <w:rFonts w:hint="eastAsia" w:ascii="仿宋" w:hAnsi="仿宋" w:eastAsia="仿宋" w:cs="仿宋"/>
                <w:color w:val="auto"/>
                <w:spacing w:val="20"/>
                <w:szCs w:val="21"/>
                <w:highlight w:val="none"/>
              </w:rPr>
            </w:pPr>
          </w:p>
        </w:tc>
      </w:tr>
      <w:tr w14:paraId="1D267E9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217D3BE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404" w:type="dxa"/>
            <w:tcBorders>
              <w:top w:val="single" w:color="auto" w:sz="2" w:space="0"/>
              <w:left w:val="single" w:color="auto" w:sz="2" w:space="0"/>
              <w:bottom w:val="single" w:color="auto" w:sz="2" w:space="0"/>
              <w:right w:val="single" w:color="auto" w:sz="2" w:space="0"/>
            </w:tcBorders>
            <w:vAlign w:val="center"/>
          </w:tcPr>
          <w:p w14:paraId="607CD27D">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3C63975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110" w:type="dxa"/>
            <w:tcBorders>
              <w:top w:val="single" w:color="auto" w:sz="2" w:space="0"/>
              <w:left w:val="single" w:color="auto" w:sz="2" w:space="0"/>
              <w:bottom w:val="single" w:color="auto" w:sz="2" w:space="0"/>
            </w:tcBorders>
            <w:vAlign w:val="center"/>
          </w:tcPr>
          <w:p w14:paraId="692928CA">
            <w:pPr>
              <w:adjustRightInd w:val="0"/>
              <w:snapToGrid w:val="0"/>
              <w:spacing w:line="300" w:lineRule="exact"/>
              <w:jc w:val="center"/>
              <w:rPr>
                <w:rFonts w:hint="eastAsia" w:ascii="仿宋" w:hAnsi="仿宋" w:eastAsia="仿宋" w:cs="仿宋"/>
                <w:color w:val="auto"/>
                <w:spacing w:val="20"/>
                <w:szCs w:val="21"/>
                <w:highlight w:val="none"/>
              </w:rPr>
            </w:pPr>
          </w:p>
        </w:tc>
      </w:tr>
      <w:tr w14:paraId="369DB15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5E0FCA4E">
            <w:pPr>
              <w:adjustRightInd w:val="0"/>
              <w:snapToGrid w:val="0"/>
              <w:spacing w:line="300" w:lineRule="exact"/>
              <w:jc w:val="center"/>
              <w:rPr>
                <w:rFonts w:hint="eastAsia" w:ascii="仿宋" w:hAnsi="仿宋" w:eastAsia="仿宋" w:cs="仿宋"/>
                <w:color w:val="auto"/>
                <w:szCs w:val="21"/>
                <w:highlight w:val="none"/>
              </w:rPr>
            </w:pPr>
          </w:p>
        </w:tc>
        <w:tc>
          <w:tcPr>
            <w:tcW w:w="2404" w:type="dxa"/>
            <w:tcBorders>
              <w:top w:val="single" w:color="auto" w:sz="2" w:space="0"/>
              <w:left w:val="single" w:color="auto" w:sz="2" w:space="0"/>
              <w:bottom w:val="single" w:color="auto" w:sz="2" w:space="0"/>
              <w:right w:val="single" w:color="auto" w:sz="2" w:space="0"/>
            </w:tcBorders>
            <w:vAlign w:val="center"/>
          </w:tcPr>
          <w:p w14:paraId="7A6E1685">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65B7FD7F">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开户名称</w:t>
            </w:r>
          </w:p>
        </w:tc>
        <w:tc>
          <w:tcPr>
            <w:tcW w:w="2110" w:type="dxa"/>
            <w:tcBorders>
              <w:top w:val="single" w:color="auto" w:sz="2" w:space="0"/>
              <w:left w:val="single" w:color="auto" w:sz="2" w:space="0"/>
              <w:bottom w:val="single" w:color="auto" w:sz="2" w:space="0"/>
            </w:tcBorders>
            <w:vAlign w:val="center"/>
          </w:tcPr>
          <w:p w14:paraId="2BE63EAF">
            <w:pPr>
              <w:adjustRightInd w:val="0"/>
              <w:snapToGrid w:val="0"/>
              <w:spacing w:line="300" w:lineRule="exact"/>
              <w:jc w:val="center"/>
              <w:rPr>
                <w:rFonts w:hint="eastAsia" w:ascii="仿宋" w:hAnsi="仿宋" w:eastAsia="仿宋" w:cs="仿宋"/>
                <w:color w:val="auto"/>
                <w:spacing w:val="20"/>
                <w:szCs w:val="21"/>
                <w:highlight w:val="none"/>
              </w:rPr>
            </w:pPr>
          </w:p>
        </w:tc>
      </w:tr>
      <w:tr w14:paraId="4AE4F6B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637743E4">
            <w:pPr>
              <w:adjustRightInd w:val="0"/>
              <w:snapToGrid w:val="0"/>
              <w:spacing w:line="300" w:lineRule="exact"/>
              <w:jc w:val="center"/>
              <w:rPr>
                <w:rFonts w:hint="eastAsia" w:ascii="仿宋" w:hAnsi="仿宋" w:eastAsia="仿宋" w:cs="仿宋"/>
                <w:color w:val="auto"/>
                <w:szCs w:val="21"/>
                <w:highlight w:val="none"/>
              </w:rPr>
            </w:pPr>
          </w:p>
        </w:tc>
        <w:tc>
          <w:tcPr>
            <w:tcW w:w="2404" w:type="dxa"/>
            <w:tcBorders>
              <w:top w:val="single" w:color="auto" w:sz="2" w:space="0"/>
              <w:left w:val="single" w:color="auto" w:sz="2" w:space="0"/>
              <w:bottom w:val="single" w:color="auto" w:sz="2" w:space="0"/>
              <w:right w:val="single" w:color="auto" w:sz="2" w:space="0"/>
            </w:tcBorders>
            <w:vAlign w:val="center"/>
          </w:tcPr>
          <w:p w14:paraId="62D102F4">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0AFE3AE4">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2110" w:type="dxa"/>
            <w:tcBorders>
              <w:top w:val="single" w:color="auto" w:sz="2" w:space="0"/>
              <w:left w:val="single" w:color="auto" w:sz="2" w:space="0"/>
              <w:bottom w:val="single" w:color="auto" w:sz="2" w:space="0"/>
            </w:tcBorders>
            <w:vAlign w:val="center"/>
          </w:tcPr>
          <w:p w14:paraId="311C87D0">
            <w:pPr>
              <w:adjustRightInd w:val="0"/>
              <w:snapToGrid w:val="0"/>
              <w:spacing w:line="300" w:lineRule="exact"/>
              <w:jc w:val="center"/>
              <w:rPr>
                <w:rFonts w:hint="eastAsia" w:ascii="仿宋" w:hAnsi="仿宋" w:eastAsia="仿宋" w:cs="仿宋"/>
                <w:color w:val="auto"/>
                <w:spacing w:val="20"/>
                <w:szCs w:val="21"/>
                <w:highlight w:val="none"/>
              </w:rPr>
            </w:pPr>
          </w:p>
        </w:tc>
      </w:tr>
      <w:tr w14:paraId="3540A81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85" w:type="dxa"/>
            <w:tcBorders>
              <w:top w:val="single" w:color="auto" w:sz="2" w:space="0"/>
              <w:bottom w:val="single" w:color="auto" w:sz="2" w:space="0"/>
              <w:right w:val="single" w:color="auto" w:sz="2" w:space="0"/>
            </w:tcBorders>
            <w:vAlign w:val="center"/>
          </w:tcPr>
          <w:p w14:paraId="2549FEE6">
            <w:pPr>
              <w:adjustRightInd w:val="0"/>
              <w:snapToGrid w:val="0"/>
              <w:spacing w:line="300" w:lineRule="exact"/>
              <w:jc w:val="center"/>
              <w:rPr>
                <w:rFonts w:hint="eastAsia" w:ascii="仿宋" w:hAnsi="仿宋" w:eastAsia="仿宋" w:cs="仿宋"/>
                <w:color w:val="auto"/>
                <w:szCs w:val="21"/>
                <w:highlight w:val="none"/>
              </w:rPr>
            </w:pPr>
          </w:p>
        </w:tc>
        <w:tc>
          <w:tcPr>
            <w:tcW w:w="2404" w:type="dxa"/>
            <w:tcBorders>
              <w:top w:val="single" w:color="auto" w:sz="2" w:space="0"/>
              <w:left w:val="single" w:color="auto" w:sz="2" w:space="0"/>
              <w:bottom w:val="single" w:color="auto" w:sz="2" w:space="0"/>
              <w:right w:val="single" w:color="auto" w:sz="2" w:space="0"/>
            </w:tcBorders>
            <w:vAlign w:val="center"/>
          </w:tcPr>
          <w:p w14:paraId="6B26068D">
            <w:pPr>
              <w:adjustRightInd w:val="0"/>
              <w:snapToGrid w:val="0"/>
              <w:spacing w:line="300" w:lineRule="exact"/>
              <w:jc w:val="center"/>
              <w:rPr>
                <w:rFonts w:hint="eastAsia" w:ascii="仿宋" w:hAnsi="仿宋" w:eastAsia="仿宋" w:cs="仿宋"/>
                <w:color w:val="auto"/>
                <w:szCs w:val="21"/>
                <w:highlight w:val="none"/>
              </w:rPr>
            </w:pPr>
          </w:p>
        </w:tc>
        <w:tc>
          <w:tcPr>
            <w:tcW w:w="1972" w:type="dxa"/>
            <w:tcBorders>
              <w:top w:val="single" w:color="auto" w:sz="2" w:space="0"/>
              <w:left w:val="single" w:color="auto" w:sz="2" w:space="0"/>
              <w:bottom w:val="single" w:color="auto" w:sz="2" w:space="0"/>
              <w:right w:val="single" w:color="auto" w:sz="2" w:space="0"/>
            </w:tcBorders>
            <w:vAlign w:val="center"/>
          </w:tcPr>
          <w:p w14:paraId="3953EFD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2110" w:type="dxa"/>
            <w:tcBorders>
              <w:top w:val="single" w:color="auto" w:sz="2" w:space="0"/>
              <w:left w:val="single" w:color="auto" w:sz="2" w:space="0"/>
              <w:bottom w:val="single" w:color="auto" w:sz="2" w:space="0"/>
            </w:tcBorders>
            <w:vAlign w:val="center"/>
          </w:tcPr>
          <w:p w14:paraId="519D2225">
            <w:pPr>
              <w:adjustRightInd w:val="0"/>
              <w:snapToGrid w:val="0"/>
              <w:spacing w:line="300" w:lineRule="exact"/>
              <w:jc w:val="center"/>
              <w:rPr>
                <w:rFonts w:hint="eastAsia" w:ascii="仿宋" w:hAnsi="仿宋" w:eastAsia="仿宋" w:cs="仿宋"/>
                <w:color w:val="auto"/>
                <w:spacing w:val="20"/>
                <w:szCs w:val="21"/>
                <w:highlight w:val="none"/>
              </w:rPr>
            </w:pPr>
          </w:p>
        </w:tc>
      </w:tr>
      <w:tr w14:paraId="48EB77B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71" w:type="dxa"/>
            <w:gridSpan w:val="4"/>
            <w:tcBorders>
              <w:top w:val="single" w:color="auto" w:sz="2" w:space="0"/>
            </w:tcBorders>
            <w:vAlign w:val="center"/>
          </w:tcPr>
          <w:p w14:paraId="1D9B1C0A">
            <w:pPr>
              <w:pStyle w:val="13"/>
              <w:adjustRightInd w:val="0"/>
              <w:snapToGrid w:val="0"/>
              <w:spacing w:before="156" w:beforeLines="50" w:after="0" w:line="360" w:lineRule="auto"/>
              <w:ind w:left="0" w:leftChars="0"/>
              <w:jc w:val="left"/>
              <w:rPr>
                <w:rFonts w:hint="eastAsia" w:ascii="仿宋" w:hAnsi="仿宋" w:eastAsia="仿宋" w:cs="仿宋"/>
                <w:color w:val="auto"/>
                <w:spacing w:val="20"/>
                <w:szCs w:val="21"/>
                <w:highlight w:val="none"/>
              </w:rPr>
            </w:pPr>
            <w:r>
              <w:rPr>
                <w:rFonts w:hint="eastAsia" w:ascii="仿宋" w:hAnsi="仿宋" w:eastAsia="仿宋" w:cs="仿宋"/>
                <w:color w:val="auto"/>
                <w:szCs w:val="21"/>
                <w:highlight w:val="none"/>
              </w:rPr>
              <w:t>注：涉及联合体或其他合同主体的信息应按上表格式加列。</w:t>
            </w:r>
          </w:p>
        </w:tc>
      </w:tr>
    </w:tbl>
    <w:p w14:paraId="4097A793">
      <w:pPr>
        <w:pStyle w:val="5"/>
        <w:adjustRightInd w:val="0"/>
        <w:snapToGrid w:val="0"/>
        <w:spacing w:before="156" w:beforeLines="50"/>
        <w:jc w:val="center"/>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u w:val="single"/>
        </w:rPr>
        <w:br w:type="page"/>
      </w:r>
      <w:bookmarkStart w:id="571" w:name="_Toc27624"/>
      <w:r>
        <w:rPr>
          <w:rFonts w:hint="eastAsia" w:ascii="仿宋" w:hAnsi="仿宋" w:eastAsia="仿宋" w:cs="仿宋"/>
          <w:b w:val="0"/>
          <w:bCs w:val="0"/>
          <w:color w:val="auto"/>
          <w:sz w:val="28"/>
          <w:szCs w:val="28"/>
          <w:highlight w:val="none"/>
        </w:rPr>
        <w:t>第二节 政府采购合同通用条款</w:t>
      </w:r>
      <w:bookmarkEnd w:id="571"/>
    </w:p>
    <w:p w14:paraId="4546FBF1">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bCs/>
          <w:color w:val="auto"/>
          <w:sz w:val="24"/>
          <w:highlight w:val="none"/>
        </w:rPr>
        <w:t>定义</w:t>
      </w:r>
    </w:p>
    <w:p w14:paraId="357C678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1.1合同当事人</w:t>
      </w:r>
    </w:p>
    <w:p w14:paraId="519B5F4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4B37EF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0356A54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auto"/>
          <w:szCs w:val="21"/>
          <w:highlight w:val="none"/>
        </w:rPr>
        <w:t>依法参与合同缔结或履行，享有权利、承担义务的合同当事人</w:t>
      </w:r>
      <w:r>
        <w:rPr>
          <w:rFonts w:hint="eastAsia" w:ascii="仿宋" w:hAnsi="仿宋" w:eastAsia="仿宋" w:cs="仿宋"/>
          <w:color w:val="auto"/>
          <w:szCs w:val="21"/>
          <w:highlight w:val="none"/>
        </w:rPr>
        <w:t>。</w:t>
      </w:r>
    </w:p>
    <w:p w14:paraId="1E1E00A8">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0898F478">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auto"/>
          <w:szCs w:val="21"/>
          <w:highlight w:val="none"/>
        </w:rPr>
        <w:t>合同当事人意思表示达成一致的任何协议，包括签署的</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r>
        <w:rPr>
          <w:rFonts w:hint="eastAsia" w:ascii="仿宋" w:hAnsi="仿宋" w:eastAsia="仿宋" w:cs="仿宋"/>
          <w:color w:val="auto"/>
          <w:szCs w:val="21"/>
          <w:highlight w:val="none"/>
        </w:rPr>
        <w:t>政府采购合同专用条款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政府采购合同通用条款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投标（响应）文件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有关技术文件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图纸</w:t>
      </w:r>
      <w:r>
        <w:rPr>
          <w:rFonts w:hint="eastAsia" w:ascii="仿宋" w:hAnsi="仿宋" w:eastAsia="仿宋" w:cs="仿宋"/>
          <w:color w:val="auto"/>
          <w:szCs w:val="21"/>
          <w:highlight w:val="none"/>
          <w:lang w:eastAsia="zh-CN"/>
        </w:rPr>
        <w:t>，以及</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r>
        <w:rPr>
          <w:rFonts w:hint="eastAsia" w:ascii="仿宋" w:hAnsi="仿宋" w:eastAsia="仿宋" w:cs="仿宋"/>
          <w:color w:val="auto"/>
          <w:szCs w:val="21"/>
          <w:highlight w:val="none"/>
        </w:rPr>
        <w:t>。</w:t>
      </w:r>
    </w:p>
    <w:p w14:paraId="247CD241">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46869B9A">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技术资料和材料</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p>
    <w:p w14:paraId="771F4CDC">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auto"/>
          <w:szCs w:val="21"/>
          <w:highlight w:val="none"/>
        </w:rPr>
        <w:t>服务”系指根据合同规定，乙方应提供的</w:t>
      </w:r>
      <w:r>
        <w:rPr>
          <w:rFonts w:hint="eastAsia" w:ascii="仿宋" w:hAnsi="仿宋" w:eastAsia="仿宋" w:cs="仿宋"/>
          <w:color w:val="auto"/>
          <w:szCs w:val="21"/>
          <w:highlight w:val="none"/>
          <w:lang w:val="en-US" w:eastAsia="zh-CN"/>
        </w:rPr>
        <w:t>与货物有关的</w:t>
      </w:r>
      <w:r>
        <w:rPr>
          <w:rFonts w:hint="eastAsia" w:ascii="仿宋" w:hAnsi="仿宋" w:eastAsia="仿宋" w:cs="仿宋"/>
          <w:color w:val="auto"/>
          <w:szCs w:val="21"/>
          <w:highlight w:val="none"/>
        </w:rPr>
        <w:t>技术、管理和</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服务，包括但不限于：管理和质量保证、运输、保险、检验、现场准备、安装、集成、调试、培训、维修、</w:t>
      </w:r>
      <w:r>
        <w:rPr>
          <w:rFonts w:hint="eastAsia" w:ascii="仿宋" w:hAnsi="仿宋" w:eastAsia="仿宋" w:cs="仿宋"/>
          <w:color w:val="auto"/>
          <w:szCs w:val="21"/>
          <w:highlight w:val="none"/>
          <w:lang w:eastAsia="zh-CN"/>
        </w:rPr>
        <w:t>废弃处置、</w:t>
      </w:r>
      <w:r>
        <w:rPr>
          <w:rFonts w:hint="eastAsia" w:ascii="仿宋" w:hAnsi="仿宋" w:eastAsia="仿宋" w:cs="仿宋"/>
          <w:color w:val="auto"/>
          <w:szCs w:val="21"/>
          <w:highlight w:val="none"/>
        </w:rPr>
        <w:t>技术支持等以及合同中规定乙方应承担的</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义务。</w:t>
      </w:r>
    </w:p>
    <w:p w14:paraId="264F69C8">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）“分包”系指中标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供应商按采购文件、投标（响应）文件的规定，根据分包意向协议，将中标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项目中的部分履约内容，分给具有相应资质条件的供应商履行合同的行为。</w:t>
      </w:r>
    </w:p>
    <w:p w14:paraId="1C9BA29F">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）“联合体”系指</w:t>
      </w:r>
      <w:r>
        <w:rPr>
          <w:rFonts w:hint="eastAsia" w:ascii="仿宋" w:hAnsi="仿宋" w:eastAsia="仿宋" w:cs="仿宋"/>
          <w:color w:val="auto"/>
          <w:szCs w:val="21"/>
          <w:highlight w:val="none"/>
          <w:lang w:eastAsia="zh-CN"/>
        </w:rPr>
        <w:t>由</w:t>
      </w:r>
      <w:r>
        <w:rPr>
          <w:rFonts w:hint="eastAsia" w:ascii="仿宋" w:hAnsi="仿宋" w:eastAsia="仿宋" w:cs="仿宋"/>
          <w:color w:val="auto"/>
          <w:szCs w:val="21"/>
          <w:highlight w:val="none"/>
        </w:rPr>
        <w:t>两个以上的自然人、法人或者</w:t>
      </w:r>
      <w:r>
        <w:rPr>
          <w:rFonts w:hint="eastAsia" w:ascii="仿宋" w:hAnsi="仿宋" w:eastAsia="仿宋" w:cs="仿宋"/>
          <w:color w:val="auto"/>
          <w:szCs w:val="21"/>
          <w:highlight w:val="none"/>
          <w:lang w:val="en-US" w:eastAsia="zh-CN"/>
        </w:rPr>
        <w:t>非法人</w:t>
      </w:r>
      <w:r>
        <w:rPr>
          <w:rFonts w:hint="eastAsia" w:ascii="仿宋" w:hAnsi="仿宋" w:eastAsia="仿宋" w:cs="仿宋"/>
          <w:color w:val="auto"/>
          <w:szCs w:val="21"/>
          <w:highlight w:val="none"/>
        </w:rPr>
        <w:t>组织组成，</w:t>
      </w:r>
      <w:r>
        <w:rPr>
          <w:rFonts w:hint="eastAsia" w:ascii="仿宋" w:hAnsi="仿宋" w:eastAsia="仿宋" w:cs="仿宋"/>
          <w:color w:val="auto"/>
          <w:szCs w:val="21"/>
          <w:highlight w:val="none"/>
          <w:lang w:eastAsia="zh-CN"/>
        </w:rPr>
        <w:t>以一个供应商的身份共同参加政府采购的主体。</w:t>
      </w:r>
      <w:r>
        <w:rPr>
          <w:rFonts w:hint="eastAsia" w:ascii="仿宋" w:hAnsi="仿宋" w:eastAsia="仿宋" w:cs="仿宋"/>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承担连带责任。联合体具体要求见【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0BA2778D">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）其他术语解释，见【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20347856">
      <w:pPr>
        <w:numPr>
          <w:ilvl w:val="0"/>
          <w:numId w:val="15"/>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合同标的及金额</w:t>
      </w:r>
    </w:p>
    <w:p w14:paraId="44D5D42B">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auto"/>
          <w:szCs w:val="21"/>
          <w:highlight w:val="none"/>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.1 合同标的及金额应与中标（成交）结果一致。乙方为履行本合同而发生的所有费用均应包含在合同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中，甲方不再另行支付</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任何费用。</w:t>
      </w:r>
    </w:p>
    <w:p w14:paraId="3F083A90">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3</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履行合同的时间、地点和方式</w:t>
      </w:r>
    </w:p>
    <w:p w14:paraId="5C2B725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.1 乙方应当在约定的时间、地点</w:t>
      </w:r>
      <w:r>
        <w:rPr>
          <w:rFonts w:hint="eastAsia" w:ascii="仿宋" w:hAnsi="仿宋" w:eastAsia="仿宋" w:cs="仿宋"/>
          <w:color w:val="auto"/>
          <w:szCs w:val="21"/>
          <w:highlight w:val="none"/>
          <w:lang w:eastAsia="zh-CN"/>
        </w:rPr>
        <w:t>，按照约定</w:t>
      </w:r>
      <w:r>
        <w:rPr>
          <w:rFonts w:hint="eastAsia" w:ascii="仿宋" w:hAnsi="仿宋" w:eastAsia="仿宋" w:cs="仿宋"/>
          <w:color w:val="auto"/>
          <w:szCs w:val="21"/>
          <w:highlight w:val="none"/>
        </w:rPr>
        <w:t>方式履行合同。</w:t>
      </w:r>
    </w:p>
    <w:p w14:paraId="63DA1C06">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甲方的权利和义务</w:t>
      </w:r>
    </w:p>
    <w:p w14:paraId="65A639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签署合同后，甲方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，负责与本合同有关的事务。甲方有权对乙方的履约行为进行检查，并及时确认乙方提交的事项。甲方应当配合乙方完成相关项目实施工作。</w:t>
      </w:r>
    </w:p>
    <w:p w14:paraId="025C1D1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0EE31E3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.3 甲方有权要求乙方对缺陷部分予以修复，并按合同约定享有货物保修及其他合同约定的权利。</w:t>
      </w:r>
    </w:p>
    <w:p w14:paraId="74E0CD33">
      <w:pPr>
        <w:snapToGrid w:val="0"/>
        <w:spacing w:line="400" w:lineRule="exact"/>
        <w:ind w:firstLine="420" w:firstLineChars="20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4.4 甲方应当按照合同约定及时对交付的货物进行验收，</w:t>
      </w:r>
      <w:r>
        <w:rPr>
          <w:rFonts w:hint="eastAsia" w:ascii="仿宋" w:hAnsi="仿宋" w:eastAsia="仿宋" w:cs="仿宋"/>
          <w:b w:val="0"/>
          <w:bCs w:val="0"/>
          <w:color w:val="auto"/>
          <w:szCs w:val="21"/>
          <w:highlight w:val="none"/>
          <w:lang w:eastAsia="zh-CN"/>
        </w:rPr>
        <w:t>未</w:t>
      </w:r>
      <w:r>
        <w:rPr>
          <w:rFonts w:hint="eastAsia" w:ascii="仿宋" w:hAnsi="仿宋" w:eastAsia="仿宋" w:cs="仿宋"/>
          <w:color w:val="auto"/>
          <w:szCs w:val="21"/>
          <w:highlight w:val="none"/>
          <w:lang w:val="en-US" w:eastAsia="zh-CN"/>
        </w:rPr>
        <w:t>在</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约定的期限内对乙方履约提出任何异议或者向乙方作出任何说明的，</w:t>
      </w:r>
      <w:r>
        <w:rPr>
          <w:rFonts w:hint="eastAsia" w:ascii="仿宋" w:hAnsi="仿宋" w:eastAsia="仿宋" w:cs="仿宋"/>
          <w:color w:val="auto"/>
          <w:szCs w:val="21"/>
          <w:highlight w:val="none"/>
          <w:lang w:val="en-US" w:eastAsia="zh-CN"/>
        </w:rPr>
        <w:t>视为验收通过。</w:t>
      </w:r>
    </w:p>
    <w:p w14:paraId="4C169409">
      <w:pPr>
        <w:autoSpaceDE w:val="0"/>
        <w:autoSpaceDN w:val="0"/>
        <w:adjustRightInd w:val="0"/>
        <w:snapToGrid w:val="0"/>
        <w:spacing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 甲方应当根据合同约定</w:t>
      </w:r>
      <w:r>
        <w:rPr>
          <w:rFonts w:hint="eastAsia" w:ascii="仿宋" w:hAnsi="仿宋" w:eastAsia="仿宋" w:cs="仿宋"/>
          <w:color w:val="auto"/>
          <w:szCs w:val="21"/>
          <w:highlight w:val="none"/>
          <w:lang w:eastAsia="zh-CN"/>
        </w:rPr>
        <w:t>及</w:t>
      </w:r>
      <w:r>
        <w:rPr>
          <w:rFonts w:hint="eastAsia" w:ascii="仿宋" w:hAnsi="仿宋" w:eastAsia="仿宋" w:cs="仿宋"/>
          <w:color w:val="auto"/>
          <w:szCs w:val="21"/>
          <w:highlight w:val="none"/>
        </w:rPr>
        <w:t>时向乙方支付</w:t>
      </w:r>
      <w:r>
        <w:rPr>
          <w:rFonts w:hint="eastAsia" w:ascii="仿宋" w:hAnsi="仿宋" w:eastAsia="仿宋" w:cs="仿宋"/>
          <w:color w:val="auto"/>
          <w:szCs w:val="21"/>
          <w:highlight w:val="none"/>
          <w:lang w:eastAsia="zh-CN"/>
        </w:rPr>
        <w:t>合同价款，不得以内部人员变更、履行内部付款流程等为由，拒绝或迟延支付。</w:t>
      </w:r>
    </w:p>
    <w:p w14:paraId="33B7978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 xml:space="preserve"> 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lang w:eastAsia="zh-CN"/>
        </w:rPr>
        <w:t>约定应</w:t>
      </w:r>
      <w:r>
        <w:rPr>
          <w:rFonts w:hint="eastAsia" w:ascii="仿宋" w:hAnsi="仿宋" w:eastAsia="仿宋" w:cs="仿宋"/>
          <w:color w:val="auto"/>
          <w:szCs w:val="21"/>
          <w:highlight w:val="none"/>
        </w:rPr>
        <w:t>由甲方承担的其他义务和责任。</w:t>
      </w:r>
    </w:p>
    <w:p w14:paraId="6DA6D2D9">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乙方的权利和义务</w:t>
      </w:r>
    </w:p>
    <w:p w14:paraId="219C0A2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.1 签署合同后，乙方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w:t>
      </w:r>
    </w:p>
    <w:p w14:paraId="5A05C1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.2 乙方应按照合同要求履约，充分合理安排，确保提供的货物</w:t>
      </w:r>
      <w:r>
        <w:rPr>
          <w:rFonts w:hint="eastAsia" w:ascii="仿宋" w:hAnsi="仿宋" w:eastAsia="仿宋" w:cs="仿宋"/>
          <w:color w:val="auto"/>
          <w:szCs w:val="21"/>
          <w:highlight w:val="none"/>
          <w:lang w:eastAsia="zh-CN"/>
        </w:rPr>
        <w:t>及相关</w:t>
      </w:r>
      <w:r>
        <w:rPr>
          <w:rFonts w:hint="eastAsia" w:ascii="仿宋" w:hAnsi="仿宋" w:eastAsia="仿宋" w:cs="仿宋"/>
          <w:color w:val="auto"/>
          <w:szCs w:val="21"/>
          <w:highlight w:val="none"/>
        </w:rPr>
        <w:t>服务符合合同</w:t>
      </w:r>
      <w:r>
        <w:rPr>
          <w:rFonts w:hint="eastAsia" w:ascii="仿宋" w:hAnsi="仿宋" w:eastAsia="仿宋" w:cs="仿宋"/>
          <w:color w:val="auto"/>
          <w:szCs w:val="21"/>
          <w:highlight w:val="none"/>
          <w:lang w:eastAsia="zh-CN"/>
        </w:rPr>
        <w:t>有关</w:t>
      </w:r>
      <w:r>
        <w:rPr>
          <w:rFonts w:hint="eastAsia" w:ascii="仿宋" w:hAnsi="仿宋" w:eastAsia="仿宋" w:cs="仿宋"/>
          <w:color w:val="auto"/>
          <w:szCs w:val="21"/>
          <w:highlight w:val="none"/>
        </w:rPr>
        <w:t>要求。接受项目行业管理部门及政府有关部门的指导，配合甲方的履约检查</w:t>
      </w:r>
      <w:r>
        <w:rPr>
          <w:rFonts w:hint="eastAsia" w:ascii="仿宋" w:hAnsi="仿宋" w:eastAsia="仿宋" w:cs="仿宋"/>
          <w:color w:val="auto"/>
          <w:szCs w:val="21"/>
          <w:highlight w:val="none"/>
          <w:lang w:eastAsia="zh-CN"/>
        </w:rPr>
        <w:t>及验收</w:t>
      </w:r>
      <w:r>
        <w:rPr>
          <w:rFonts w:hint="eastAsia" w:ascii="仿宋" w:hAnsi="仿宋" w:eastAsia="仿宋" w:cs="仿宋"/>
          <w:color w:val="auto"/>
          <w:szCs w:val="21"/>
          <w:highlight w:val="none"/>
        </w:rPr>
        <w:t>，并负责项目实施过程中的所有协调工作。</w:t>
      </w:r>
    </w:p>
    <w:p w14:paraId="547557C7">
      <w:pPr>
        <w:pStyle w:val="12"/>
        <w:spacing w:after="0" w:line="400" w:lineRule="exact"/>
        <w:ind w:firstLine="422" w:firstLineChars="176"/>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.3乙方有权根据合同约定向甲方收取</w:t>
      </w:r>
      <w:r>
        <w:rPr>
          <w:rFonts w:hint="eastAsia" w:ascii="仿宋" w:hAnsi="仿宋" w:eastAsia="仿宋" w:cs="仿宋"/>
          <w:color w:val="auto"/>
          <w:szCs w:val="21"/>
          <w:highlight w:val="none"/>
          <w:lang w:eastAsia="zh-CN"/>
        </w:rPr>
        <w:t>合同价款</w:t>
      </w:r>
      <w:r>
        <w:rPr>
          <w:rFonts w:hint="eastAsia" w:ascii="仿宋" w:hAnsi="仿宋" w:eastAsia="仿宋" w:cs="仿宋"/>
          <w:color w:val="auto"/>
          <w:szCs w:val="21"/>
          <w:highlight w:val="none"/>
        </w:rPr>
        <w:t>。</w:t>
      </w:r>
    </w:p>
    <w:p w14:paraId="696AF577">
      <w:pPr>
        <w:pStyle w:val="12"/>
        <w:spacing w:after="0" w:line="400" w:lineRule="exact"/>
        <w:ind w:firstLine="422" w:firstLineChars="176"/>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.4国家法律法规规定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约定应</w:t>
      </w:r>
      <w:r>
        <w:rPr>
          <w:rFonts w:hint="eastAsia" w:ascii="仿宋" w:hAnsi="仿宋" w:eastAsia="仿宋" w:cs="仿宋"/>
          <w:color w:val="auto"/>
          <w:szCs w:val="21"/>
          <w:highlight w:val="none"/>
        </w:rPr>
        <w:t>由乙方承担的其他义务和责任。</w:t>
      </w:r>
    </w:p>
    <w:p w14:paraId="4FD1F769">
      <w:pPr>
        <w:numPr>
          <w:ilvl w:val="0"/>
          <w:numId w:val="16"/>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合同履</w:t>
      </w:r>
      <w:r>
        <w:rPr>
          <w:rFonts w:hint="eastAsia" w:ascii="仿宋" w:hAnsi="仿宋" w:eastAsia="仿宋" w:cs="仿宋"/>
          <w:b/>
          <w:bCs/>
          <w:color w:val="auto"/>
          <w:sz w:val="24"/>
          <w:highlight w:val="none"/>
          <w:lang w:val="en-US" w:eastAsia="zh-CN"/>
        </w:rPr>
        <w:t>行</w:t>
      </w:r>
    </w:p>
    <w:p w14:paraId="066EC2A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 甲乙双方应当按照</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约定顺序履行合同义务；如果没有先后顺序的，应当同时履行。</w:t>
      </w:r>
    </w:p>
    <w:p w14:paraId="5E1AF2BE">
      <w:pPr>
        <w:autoSpaceDE w:val="0"/>
        <w:autoSpaceDN w:val="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3C42AFCC">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7</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货物包装、运输</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保险</w:t>
      </w:r>
      <w:r>
        <w:rPr>
          <w:rFonts w:hint="eastAsia" w:ascii="仿宋" w:hAnsi="仿宋" w:eastAsia="仿宋" w:cs="仿宋"/>
          <w:b/>
          <w:bCs/>
          <w:color w:val="auto"/>
          <w:sz w:val="24"/>
          <w:highlight w:val="none"/>
          <w:lang w:eastAsia="zh-CN"/>
        </w:rPr>
        <w:t>和交付</w:t>
      </w:r>
      <w:r>
        <w:rPr>
          <w:rFonts w:hint="eastAsia" w:ascii="仿宋" w:hAnsi="仿宋" w:eastAsia="仿宋" w:cs="仿宋"/>
          <w:b/>
          <w:bCs/>
          <w:color w:val="auto"/>
          <w:sz w:val="24"/>
          <w:highlight w:val="none"/>
        </w:rPr>
        <w:t>要求</w:t>
      </w:r>
    </w:p>
    <w:p w14:paraId="4D69FE3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 本合同</w:t>
      </w:r>
      <w:r>
        <w:rPr>
          <w:rFonts w:hint="eastAsia" w:ascii="仿宋" w:hAnsi="仿宋" w:eastAsia="仿宋" w:cs="仿宋"/>
          <w:bCs/>
          <w:color w:val="auto"/>
          <w:szCs w:val="21"/>
          <w:highlight w:val="none"/>
        </w:rPr>
        <w:t>涉及商品包装</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快递包装的，</w:t>
      </w:r>
      <w:r>
        <w:rPr>
          <w:rFonts w:hint="eastAsia" w:ascii="仿宋" w:hAnsi="仿宋" w:eastAsia="仿宋" w:cs="仿宋"/>
          <w:color w:val="auto"/>
          <w:szCs w:val="21"/>
          <w:highlight w:val="none"/>
        </w:rPr>
        <w:t>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包装应适应远距离运输、防潮、防震、防锈和防野蛮装卸等要求，确保货物安全无损地运抵</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约定的</w:t>
      </w:r>
      <w:r>
        <w:rPr>
          <w:rFonts w:hint="eastAsia" w:ascii="仿宋" w:hAnsi="仿宋" w:eastAsia="仿宋" w:cs="仿宋"/>
          <w:color w:val="auto"/>
          <w:szCs w:val="21"/>
          <w:highlight w:val="none"/>
        </w:rPr>
        <w:t>指定现场。</w:t>
      </w:r>
    </w:p>
    <w:p w14:paraId="5D4AB32D">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.2 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乙方负责办理将货物运抵本合同规定的交货地点</w:t>
      </w:r>
      <w:r>
        <w:rPr>
          <w:rFonts w:hint="eastAsia" w:ascii="仿宋" w:hAnsi="仿宋" w:eastAsia="仿宋" w:cs="仿宋"/>
          <w:color w:val="auto"/>
          <w:szCs w:val="21"/>
          <w:highlight w:val="none"/>
          <w:lang w:eastAsia="zh-CN"/>
        </w:rPr>
        <w:t>，并装卸、交付至甲方</w:t>
      </w:r>
      <w:r>
        <w:rPr>
          <w:rFonts w:hint="eastAsia" w:ascii="仿宋" w:hAnsi="仿宋" w:eastAsia="仿宋" w:cs="仿宋"/>
          <w:color w:val="auto"/>
          <w:szCs w:val="21"/>
          <w:highlight w:val="none"/>
        </w:rPr>
        <w:t>的一切运输事项，相关费用应</w:t>
      </w:r>
      <w:r>
        <w:rPr>
          <w:rFonts w:hint="eastAsia" w:ascii="仿宋" w:hAnsi="仿宋" w:eastAsia="仿宋" w:cs="仿宋"/>
          <w:color w:val="auto"/>
          <w:szCs w:val="21"/>
          <w:highlight w:val="none"/>
          <w:lang w:eastAsia="zh-CN"/>
        </w:rPr>
        <w:t>包含</w:t>
      </w:r>
      <w:r>
        <w:rPr>
          <w:rFonts w:hint="eastAsia" w:ascii="仿宋" w:hAnsi="仿宋" w:eastAsia="仿宋" w:cs="仿宋"/>
          <w:color w:val="auto"/>
          <w:szCs w:val="21"/>
          <w:highlight w:val="none"/>
        </w:rPr>
        <w:t>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w:t>
      </w:r>
    </w:p>
    <w:p w14:paraId="4628B79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.3 货物保险要求按</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规定执行</w:t>
      </w:r>
      <w:r>
        <w:rPr>
          <w:rFonts w:hint="eastAsia" w:ascii="仿宋" w:hAnsi="仿宋" w:eastAsia="仿宋" w:cs="仿宋"/>
          <w:color w:val="auto"/>
          <w:szCs w:val="21"/>
          <w:highlight w:val="none"/>
        </w:rPr>
        <w:t>。</w:t>
      </w:r>
    </w:p>
    <w:p w14:paraId="092D67F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 xml:space="preserve">.4 </w:t>
      </w:r>
      <w:r>
        <w:rPr>
          <w:rFonts w:hint="eastAsia" w:ascii="仿宋" w:hAnsi="仿宋" w:eastAsia="仿宋" w:cs="仿宋"/>
          <w:color w:val="auto"/>
          <w:szCs w:val="21"/>
          <w:highlight w:val="none"/>
          <w:lang w:val="en-US" w:eastAsia="zh-CN"/>
        </w:rPr>
        <w:t>除采购活动</w:t>
      </w:r>
      <w:r>
        <w:rPr>
          <w:rFonts w:hint="eastAsia" w:ascii="仿宋" w:hAnsi="仿宋" w:eastAsia="仿宋" w:cs="仿宋"/>
          <w:color w:val="auto"/>
          <w:szCs w:val="21"/>
          <w:highlight w:val="none"/>
        </w:rPr>
        <w:t>对商品包装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w:t>
      </w:r>
      <w:r>
        <w:rPr>
          <w:rFonts w:hint="eastAsia" w:ascii="仿宋" w:hAnsi="仿宋" w:eastAsia="仿宋" w:cs="仿宋"/>
          <w:color w:val="auto"/>
          <w:szCs w:val="21"/>
          <w:highlight w:val="none"/>
          <w:lang w:val="en-US" w:eastAsia="zh-CN"/>
        </w:rPr>
        <w:t>达成具体约定外</w:t>
      </w:r>
      <w:r>
        <w:rPr>
          <w:rFonts w:hint="eastAsia" w:ascii="仿宋" w:hAnsi="仿宋" w:eastAsia="仿宋" w:cs="仿宋"/>
          <w:color w:val="auto"/>
          <w:szCs w:val="21"/>
          <w:highlight w:val="none"/>
        </w:rPr>
        <w:t>，乙方提供产品及相关快递服务</w:t>
      </w:r>
      <w:r>
        <w:rPr>
          <w:rFonts w:hint="eastAsia" w:ascii="仿宋" w:hAnsi="仿宋" w:eastAsia="仿宋" w:cs="仿宋"/>
          <w:color w:val="auto"/>
          <w:szCs w:val="21"/>
          <w:highlight w:val="none"/>
          <w:lang w:val="en-US" w:eastAsia="zh-CN"/>
        </w:rPr>
        <w:t>涉及到</w:t>
      </w:r>
      <w:r>
        <w:rPr>
          <w:rFonts w:hint="eastAsia" w:ascii="仿宋" w:hAnsi="仿宋" w:eastAsia="仿宋" w:cs="仿宋"/>
          <w:color w:val="auto"/>
          <w:szCs w:val="21"/>
          <w:highlight w:val="none"/>
        </w:rPr>
        <w:t>具体包装要求</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应</w:t>
      </w:r>
      <w:r>
        <w:rPr>
          <w:rFonts w:hint="eastAsia" w:ascii="仿宋" w:hAnsi="仿宋" w:eastAsia="仿宋" w:cs="仿宋"/>
          <w:color w:val="auto"/>
          <w:szCs w:val="21"/>
          <w:highlight w:val="none"/>
          <w:lang w:val="en-US" w:eastAsia="zh-CN"/>
        </w:rPr>
        <w:t>不低于</w:t>
      </w:r>
      <w:r>
        <w:rPr>
          <w:rFonts w:hint="eastAsia" w:ascii="仿宋" w:hAnsi="仿宋" w:eastAsia="仿宋" w:cs="仿宋"/>
          <w:color w:val="auto"/>
          <w:szCs w:val="21"/>
          <w:highlight w:val="none"/>
        </w:rPr>
        <w:t>《商品包装政府采购需求标准（试行）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快递包装政府采购需求标准（试行）》</w:t>
      </w:r>
      <w:r>
        <w:rPr>
          <w:rFonts w:hint="eastAsia" w:ascii="仿宋" w:hAnsi="仿宋" w:eastAsia="仿宋" w:cs="仿宋"/>
          <w:color w:val="auto"/>
          <w:szCs w:val="21"/>
          <w:highlight w:val="none"/>
          <w:lang w:val="en-US" w:eastAsia="zh-CN"/>
        </w:rPr>
        <w:t>标准</w:t>
      </w:r>
      <w:r>
        <w:rPr>
          <w:rFonts w:hint="eastAsia" w:ascii="仿宋" w:hAnsi="仿宋" w:eastAsia="仿宋" w:cs="仿宋"/>
          <w:color w:val="auto"/>
          <w:szCs w:val="21"/>
          <w:highlight w:val="none"/>
        </w:rPr>
        <w:t>，并作为履约验收的内容，必要时甲方可以要求乙方在履约验收环节出具检测报告。</w:t>
      </w:r>
    </w:p>
    <w:p w14:paraId="65DF5C8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7.5 </w:t>
      </w:r>
      <w:r>
        <w:rPr>
          <w:rFonts w:hint="eastAsia" w:ascii="仿宋" w:hAnsi="仿宋" w:eastAsia="仿宋" w:cs="仿宋"/>
          <w:color w:val="auto"/>
          <w:szCs w:val="21"/>
          <w:highlight w:val="none"/>
        </w:rPr>
        <w:t>乙方在运输到达之前</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提前通知</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，并提示货物运输装卸的注意事项</w:t>
      </w:r>
      <w:r>
        <w:rPr>
          <w:rFonts w:hint="eastAsia" w:ascii="仿宋" w:hAnsi="仿宋" w:eastAsia="仿宋" w:cs="仿宋"/>
          <w:color w:val="auto"/>
          <w:szCs w:val="21"/>
          <w:highlight w:val="none"/>
          <w:lang w:eastAsia="zh-CN"/>
        </w:rPr>
        <w:t>，甲方配合乙方做好货物的接收工作。</w:t>
      </w:r>
    </w:p>
    <w:p w14:paraId="5AD5DEFF">
      <w:pPr>
        <w:pStyle w:val="47"/>
        <w:rPr>
          <w:rFonts w:hint="eastAsia" w:ascii="仿宋" w:hAnsi="仿宋" w:eastAsia="仿宋" w:cs="仿宋"/>
          <w:color w:val="auto"/>
          <w:sz w:val="21"/>
          <w:highlight w:val="none"/>
          <w:lang w:val="en-US" w:eastAsia="zh-CN"/>
        </w:rPr>
      </w:pPr>
      <w:r>
        <w:rPr>
          <w:rFonts w:hint="eastAsia" w:ascii="仿宋" w:hAnsi="仿宋" w:eastAsia="仿宋" w:cs="仿宋"/>
          <w:color w:val="auto"/>
          <w:kern w:val="2"/>
          <w:sz w:val="21"/>
          <w:szCs w:val="21"/>
          <w:highlight w:val="none"/>
          <w:lang w:val="en-US" w:eastAsia="zh-CN"/>
        </w:rPr>
        <w:t xml:space="preserve">7.6 </w:t>
      </w:r>
      <w:r>
        <w:rPr>
          <w:rFonts w:hint="eastAsia" w:ascii="仿宋" w:hAnsi="仿宋" w:eastAsia="仿宋" w:cs="仿宋"/>
          <w:color w:val="auto"/>
          <w:kern w:val="2"/>
          <w:sz w:val="21"/>
          <w:szCs w:val="21"/>
          <w:highlight w:val="none"/>
        </w:rPr>
        <w:t>如因包装</w:t>
      </w:r>
      <w:r>
        <w:rPr>
          <w:rFonts w:hint="eastAsia" w:ascii="仿宋" w:hAnsi="仿宋" w:eastAsia="仿宋" w:cs="仿宋"/>
          <w:color w:val="auto"/>
          <w:kern w:val="2"/>
          <w:sz w:val="21"/>
          <w:szCs w:val="21"/>
          <w:highlight w:val="none"/>
          <w:lang w:eastAsia="zh-CN"/>
        </w:rPr>
        <w:t>、运输</w:t>
      </w:r>
      <w:r>
        <w:rPr>
          <w:rFonts w:hint="eastAsia" w:ascii="仿宋" w:hAnsi="仿宋" w:eastAsia="仿宋" w:cs="仿宋"/>
          <w:color w:val="auto"/>
          <w:kern w:val="2"/>
          <w:sz w:val="21"/>
          <w:szCs w:val="21"/>
          <w:highlight w:val="none"/>
        </w:rPr>
        <w:t>问题导致货物</w:t>
      </w:r>
      <w:r>
        <w:rPr>
          <w:rFonts w:hint="eastAsia" w:ascii="仿宋" w:hAnsi="仿宋" w:eastAsia="仿宋" w:cs="仿宋"/>
          <w:color w:val="auto"/>
          <w:kern w:val="2"/>
          <w:sz w:val="21"/>
          <w:szCs w:val="21"/>
          <w:highlight w:val="none"/>
          <w:lang w:eastAsia="zh-CN"/>
        </w:rPr>
        <w:t>损毁、丢失</w:t>
      </w:r>
      <w:r>
        <w:rPr>
          <w:rFonts w:hint="eastAsia" w:ascii="仿宋" w:hAnsi="仿宋" w:eastAsia="仿宋" w:cs="仿宋"/>
          <w:color w:val="auto"/>
          <w:kern w:val="2"/>
          <w:sz w:val="21"/>
          <w:szCs w:val="21"/>
          <w:highlight w:val="none"/>
        </w:rPr>
        <w:t>或者品质下降，</w:t>
      </w:r>
      <w:r>
        <w:rPr>
          <w:rFonts w:hint="eastAsia" w:ascii="仿宋" w:hAnsi="仿宋" w:eastAsia="仿宋" w:cs="仿宋"/>
          <w:color w:val="auto"/>
          <w:kern w:val="2"/>
          <w:sz w:val="21"/>
          <w:szCs w:val="21"/>
          <w:highlight w:val="none"/>
          <w:lang w:eastAsia="zh-CN"/>
        </w:rPr>
        <w:t>甲方</w:t>
      </w:r>
      <w:r>
        <w:rPr>
          <w:rFonts w:hint="eastAsia" w:ascii="仿宋" w:hAnsi="仿宋" w:eastAsia="仿宋" w:cs="仿宋"/>
          <w:color w:val="auto"/>
          <w:kern w:val="2"/>
          <w:sz w:val="21"/>
          <w:szCs w:val="21"/>
          <w:highlight w:val="none"/>
        </w:rPr>
        <w:t>有权要求降价、换货、拒收部分或整批货物，由此</w:t>
      </w:r>
      <w:r>
        <w:rPr>
          <w:rFonts w:hint="eastAsia" w:ascii="仿宋" w:hAnsi="仿宋" w:eastAsia="仿宋" w:cs="仿宋"/>
          <w:color w:val="auto"/>
          <w:kern w:val="2"/>
          <w:sz w:val="21"/>
          <w:szCs w:val="21"/>
          <w:highlight w:val="none"/>
          <w:lang w:eastAsia="zh-CN"/>
        </w:rPr>
        <w:t>产生</w:t>
      </w:r>
      <w:r>
        <w:rPr>
          <w:rFonts w:hint="eastAsia" w:ascii="仿宋" w:hAnsi="仿宋" w:eastAsia="仿宋" w:cs="仿宋"/>
          <w:color w:val="auto"/>
          <w:kern w:val="2"/>
          <w:sz w:val="21"/>
          <w:szCs w:val="21"/>
          <w:highlight w:val="none"/>
        </w:rPr>
        <w:t>的费用和损失，均由</w:t>
      </w:r>
      <w:r>
        <w:rPr>
          <w:rFonts w:hint="eastAsia" w:ascii="仿宋" w:hAnsi="仿宋" w:eastAsia="仿宋" w:cs="仿宋"/>
          <w:color w:val="auto"/>
          <w:kern w:val="2"/>
          <w:sz w:val="21"/>
          <w:szCs w:val="21"/>
          <w:highlight w:val="none"/>
          <w:lang w:eastAsia="zh-CN"/>
        </w:rPr>
        <w:t>乙方</w:t>
      </w:r>
      <w:r>
        <w:rPr>
          <w:rFonts w:hint="eastAsia" w:ascii="仿宋" w:hAnsi="仿宋" w:eastAsia="仿宋" w:cs="仿宋"/>
          <w:color w:val="auto"/>
          <w:kern w:val="2"/>
          <w:sz w:val="21"/>
          <w:szCs w:val="21"/>
          <w:highlight w:val="none"/>
        </w:rPr>
        <w:t>承担。</w:t>
      </w:r>
    </w:p>
    <w:p w14:paraId="108CB838">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8</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质量标准和保证</w:t>
      </w:r>
    </w:p>
    <w:p w14:paraId="34CB113A">
      <w:pPr>
        <w:pStyle w:val="16"/>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510DCBD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合同约</w:t>
      </w:r>
      <w:r>
        <w:rPr>
          <w:rFonts w:hint="eastAsia" w:ascii="仿宋" w:hAnsi="仿宋" w:eastAsia="仿宋" w:cs="仿宋"/>
          <w:color w:val="auto"/>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275BA02E">
      <w:pPr>
        <w:pStyle w:val="16"/>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390C0EA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4AC2D22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697F383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4A9A9F9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Cs w:val="21"/>
          <w:highlight w:val="none"/>
          <w:lang w:eastAsia="zh-CN"/>
        </w:rPr>
        <w:t>备合同约定</w:t>
      </w:r>
      <w:r>
        <w:rPr>
          <w:rFonts w:hint="eastAsia" w:ascii="仿宋" w:hAnsi="仿宋" w:eastAsia="仿宋" w:cs="仿宋"/>
          <w:color w:val="auto"/>
          <w:szCs w:val="21"/>
          <w:highlight w:val="none"/>
        </w:rPr>
        <w:t>的性能。</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599DED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566A0C0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61532AF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.1条规定以书面形式</w:t>
      </w:r>
      <w:r>
        <w:rPr>
          <w:rFonts w:hint="eastAsia" w:ascii="仿宋" w:hAnsi="仿宋" w:eastAsia="仿宋" w:cs="仿宋"/>
          <w:color w:val="auto"/>
          <w:szCs w:val="21"/>
          <w:highlight w:val="none"/>
          <w:lang w:eastAsia="zh-CN"/>
        </w:rPr>
        <w:t>追究</w:t>
      </w: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的违约责任</w:t>
      </w:r>
      <w:r>
        <w:rPr>
          <w:rFonts w:hint="eastAsia" w:ascii="仿宋" w:hAnsi="仿宋" w:eastAsia="仿宋" w:cs="仿宋"/>
          <w:color w:val="auto"/>
          <w:szCs w:val="21"/>
          <w:highlight w:val="none"/>
        </w:rPr>
        <w:t>。</w:t>
      </w:r>
    </w:p>
    <w:p w14:paraId="3BB561CB">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2DFA51C4">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权利瑕疵担保</w:t>
      </w:r>
    </w:p>
    <w:p w14:paraId="68D0D62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.1 乙方保证对其出售的货物享有合法的权利。</w:t>
      </w:r>
    </w:p>
    <w:p w14:paraId="3B1F867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 xml:space="preserve">.2 </w:t>
      </w:r>
      <w:r>
        <w:rPr>
          <w:rFonts w:hint="eastAsia" w:ascii="仿宋" w:hAnsi="仿宋" w:eastAsia="仿宋" w:cs="仿宋"/>
          <w:color w:val="auto"/>
          <w:szCs w:val="15"/>
          <w:highlight w:val="none"/>
        </w:rPr>
        <w:t>乙方保证在交付的货物上不存在抵押权等担保物权。</w:t>
      </w:r>
    </w:p>
    <w:p w14:paraId="2757A4E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.3 如甲方使用</w:t>
      </w:r>
      <w:r>
        <w:rPr>
          <w:rFonts w:hint="eastAsia" w:ascii="仿宋" w:hAnsi="仿宋" w:eastAsia="仿宋" w:cs="仿宋"/>
          <w:color w:val="auto"/>
          <w:szCs w:val="21"/>
          <w:highlight w:val="none"/>
          <w:lang w:val="en-US" w:eastAsia="zh-CN"/>
        </w:rPr>
        <w:t>上述</w:t>
      </w:r>
      <w:r>
        <w:rPr>
          <w:rFonts w:hint="eastAsia" w:ascii="仿宋" w:hAnsi="仿宋" w:eastAsia="仿宋" w:cs="仿宋"/>
          <w:color w:val="auto"/>
          <w:szCs w:val="21"/>
          <w:highlight w:val="none"/>
        </w:rPr>
        <w:t>货物构成</w:t>
      </w:r>
      <w:r>
        <w:rPr>
          <w:rFonts w:hint="eastAsia" w:ascii="仿宋" w:hAnsi="仿宋" w:eastAsia="仿宋" w:cs="仿宋"/>
          <w:color w:val="auto"/>
          <w:szCs w:val="21"/>
          <w:highlight w:val="none"/>
          <w:lang w:val="en-US" w:eastAsia="zh-CN"/>
        </w:rPr>
        <w:t>对第三人</w:t>
      </w:r>
      <w:r>
        <w:rPr>
          <w:rFonts w:hint="eastAsia" w:ascii="仿宋" w:hAnsi="仿宋" w:eastAsia="仿宋" w:cs="仿宋"/>
          <w:color w:val="auto"/>
          <w:szCs w:val="21"/>
          <w:highlight w:val="none"/>
        </w:rPr>
        <w:t>侵权的，则由乙方承担全部责任。</w:t>
      </w:r>
    </w:p>
    <w:p w14:paraId="56F3AA52">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0</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知识产权保护</w:t>
      </w:r>
    </w:p>
    <w:p w14:paraId="79E4B6C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0</w:t>
      </w:r>
      <w:r>
        <w:rPr>
          <w:rFonts w:hint="eastAsia" w:ascii="仿宋" w:hAnsi="仿宋" w:eastAsia="仿宋" w:cs="仿宋"/>
          <w:color w:val="auto"/>
          <w:szCs w:val="21"/>
          <w:highlight w:val="none"/>
        </w:rPr>
        <w:t>.1 乙方对其所销售的货物应当享有知识产权或经权利人合法授权，保证没有侵犯任何第三人的知识产权等权利。</w:t>
      </w:r>
      <w:bookmarkStart w:id="572" w:name="_Hlk163047038"/>
      <w:r>
        <w:rPr>
          <w:rFonts w:hint="eastAsia" w:ascii="仿宋" w:hAnsi="仿宋" w:eastAsia="仿宋" w:cs="仿宋"/>
          <w:color w:val="auto"/>
          <w:szCs w:val="15"/>
          <w:highlight w:val="none"/>
        </w:rPr>
        <w:t>因违反前述约定对第三人构成侵权的，应当由乙方向第三人承担法律责任；甲方依法向第三人赔偿后，有权向乙方追偿。甲方有其他损失的，乙方应当赔偿</w:t>
      </w:r>
      <w:bookmarkEnd w:id="572"/>
      <w:r>
        <w:rPr>
          <w:rFonts w:hint="eastAsia" w:ascii="仿宋" w:hAnsi="仿宋" w:eastAsia="仿宋" w:cs="仿宋"/>
          <w:color w:val="auto"/>
          <w:szCs w:val="21"/>
          <w:highlight w:val="none"/>
        </w:rPr>
        <w:t>。</w:t>
      </w:r>
    </w:p>
    <w:p w14:paraId="21A683C5">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6F54355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15"/>
          <w:highlight w:val="none"/>
        </w:rPr>
      </w:pPr>
      <w:r>
        <w:rPr>
          <w:rFonts w:hint="eastAsia" w:ascii="仿宋" w:hAnsi="仿宋" w:eastAsia="仿宋" w:cs="仿宋"/>
          <w:color w:val="auto"/>
          <w:szCs w:val="15"/>
          <w:highlight w:val="none"/>
          <w:lang w:val="en-US" w:eastAsia="zh-CN"/>
        </w:rPr>
        <w:t xml:space="preserve">11.1 </w:t>
      </w:r>
      <w:r>
        <w:rPr>
          <w:rFonts w:hint="eastAsia" w:ascii="仿宋" w:hAnsi="仿宋" w:eastAsia="仿宋" w:cs="仿宋"/>
          <w:color w:val="auto"/>
          <w:szCs w:val="15"/>
          <w:highlight w:val="none"/>
        </w:rPr>
        <w:t>甲、乙双方</w:t>
      </w:r>
      <w:r>
        <w:rPr>
          <w:rFonts w:hint="eastAsia" w:ascii="仿宋" w:hAnsi="仿宋" w:eastAsia="仿宋" w:cs="仿宋"/>
          <w:color w:val="auto"/>
          <w:szCs w:val="15"/>
          <w:highlight w:val="none"/>
          <w:lang w:eastAsia="zh-CN"/>
        </w:rPr>
        <w:t>对</w:t>
      </w:r>
      <w:r>
        <w:rPr>
          <w:rFonts w:hint="eastAsia" w:ascii="仿宋" w:hAnsi="仿宋" w:eastAsia="仿宋" w:cs="仿宋"/>
          <w:color w:val="auto"/>
          <w:szCs w:val="15"/>
          <w:highlight w:val="none"/>
        </w:rPr>
        <w:t>采购和合同履行过程中所获悉的</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商业秘密或者其他应当保密的信息，均有保密义务</w:t>
      </w:r>
      <w:r>
        <w:rPr>
          <w:rFonts w:hint="eastAsia" w:ascii="仿宋" w:hAnsi="仿宋" w:eastAsia="仿宋" w:cs="仿宋"/>
          <w:color w:val="auto"/>
          <w:szCs w:val="15"/>
          <w:highlight w:val="none"/>
          <w:lang w:eastAsia="zh-CN"/>
        </w:rPr>
        <w:t>且不受合同有效期所限，直至该信息成为公开信息</w:t>
      </w:r>
      <w:r>
        <w:rPr>
          <w:rFonts w:hint="eastAsia" w:ascii="仿宋" w:hAnsi="仿宋" w:eastAsia="仿宋" w:cs="仿宋"/>
          <w:color w:val="auto"/>
          <w:szCs w:val="15"/>
          <w:highlight w:val="none"/>
        </w:rPr>
        <w:t>。泄露、不正当地使用</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w:t>
      </w:r>
      <w:r>
        <w:rPr>
          <w:rFonts w:hint="eastAsia" w:ascii="仿宋" w:hAnsi="仿宋" w:eastAsia="仿宋" w:cs="仿宋"/>
          <w:color w:val="auto"/>
          <w:szCs w:val="15"/>
          <w:highlight w:val="none"/>
          <w:lang w:eastAsia="zh-CN"/>
        </w:rPr>
        <w:t>其他应当保密的</w:t>
      </w:r>
      <w:r>
        <w:rPr>
          <w:rFonts w:hint="eastAsia" w:ascii="仿宋" w:hAnsi="仿宋" w:eastAsia="仿宋" w:cs="仿宋"/>
          <w:color w:val="auto"/>
          <w:szCs w:val="15"/>
          <w:highlight w:val="none"/>
        </w:rPr>
        <w:t>信息，应当承担</w:t>
      </w:r>
      <w:r>
        <w:rPr>
          <w:rFonts w:hint="eastAsia" w:ascii="仿宋" w:hAnsi="仿宋" w:eastAsia="仿宋" w:cs="仿宋"/>
          <w:color w:val="auto"/>
          <w:szCs w:val="15"/>
          <w:highlight w:val="none"/>
          <w:lang w:eastAsia="zh-CN"/>
        </w:rPr>
        <w:t>相应</w:t>
      </w:r>
      <w:r>
        <w:rPr>
          <w:rFonts w:hint="eastAsia" w:ascii="仿宋" w:hAnsi="仿宋" w:eastAsia="仿宋" w:cs="仿宋"/>
          <w:color w:val="auto"/>
          <w:szCs w:val="15"/>
          <w:highlight w:val="none"/>
        </w:rPr>
        <w:t>责任。其他应当保密的信息由双方在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15"/>
          <w:highlight w:val="none"/>
        </w:rPr>
        <w:t>中约定。</w:t>
      </w:r>
    </w:p>
    <w:p w14:paraId="55C45AC4">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5186066F">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4590E0E9">
      <w:pPr>
        <w:pStyle w:val="5"/>
        <w:spacing w:line="400" w:lineRule="exact"/>
        <w:ind w:firstLine="420" w:firstLineChars="200"/>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01C8BE17">
      <w:pPr>
        <w:pStyle w:val="12"/>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0392116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color w:val="auto"/>
          <w:szCs w:val="15"/>
          <w:highlight w:val="none"/>
        </w:rPr>
        <w:t>乙方应当以支票、汇票、本票或者金融机构、担保机构出具的保函等非现金形式提交。</w:t>
      </w:r>
    </w:p>
    <w:p w14:paraId="622746D2">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color w:val="auto"/>
          <w:szCs w:val="15"/>
          <w:highlight w:val="none"/>
        </w:rPr>
        <w:t>【政府采购合同专用条款】</w:t>
      </w:r>
      <w:r>
        <w:rPr>
          <w:rFonts w:hint="eastAsia" w:ascii="仿宋" w:hAnsi="仿宋" w:eastAsia="仿宋" w:cs="仿宋"/>
          <w:b w:val="0"/>
          <w:bCs w:val="0"/>
          <w:color w:val="auto"/>
          <w:szCs w:val="15"/>
          <w:highlight w:val="none"/>
          <w:lang w:eastAsia="zh-CN"/>
        </w:rPr>
        <w:t>约定情形的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18983D80">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01990281">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52A1581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615CBE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5C8818C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6EF4679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49F73FE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color w:val="auto"/>
          <w:szCs w:val="15"/>
          <w:highlight w:val="none"/>
          <w:lang w:eastAsia="zh-CN"/>
        </w:rPr>
        <w:t>；</w:t>
      </w:r>
    </w:p>
    <w:p w14:paraId="20277DB5">
      <w:pPr>
        <w:pStyle w:val="47"/>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（5）依照法律、行政法规的规定或者按照</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szCs w:val="21"/>
          <w:highlight w:val="none"/>
        </w:rPr>
        <w:t>约定，货物在有效使用年限届满后应予回收的，乙方负有自行或者委托第三人对货物予以回收的义务；</w:t>
      </w:r>
    </w:p>
    <w:p w14:paraId="067812B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3AE1DD6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0E69432E">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7F06E150">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72052620">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7ED2B541">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1FF966F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509C73D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2DD40BB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2A0DE78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2C6CB4E1">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38EF8D91">
      <w:pPr>
        <w:numPr>
          <w:ilvl w:val="0"/>
          <w:numId w:val="17"/>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0E2A58A7">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36C0DDE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60797867">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73F7B81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37477F80">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69F1CD60">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（3）乙方分立、合并或者变更住所的，应当及时以书面形式告知甲方。乙方没有</w:t>
      </w:r>
      <w:r>
        <w:rPr>
          <w:rFonts w:hint="eastAsia" w:ascii="仿宋" w:hAnsi="仿宋" w:eastAsia="仿宋" w:cs="仿宋"/>
          <w:color w:val="auto"/>
          <w:sz w:val="21"/>
          <w:highlight w:val="none"/>
          <w:lang w:eastAsia="zh-CN"/>
        </w:rPr>
        <w:t>及时告知</w:t>
      </w:r>
      <w:r>
        <w:rPr>
          <w:rFonts w:hint="eastAsia" w:ascii="仿宋" w:hAnsi="仿宋" w:eastAsia="仿宋" w:cs="仿宋"/>
          <w:color w:val="auto"/>
          <w:sz w:val="21"/>
          <w:highlight w:val="none"/>
        </w:rPr>
        <w:t>甲方，致使</w:t>
      </w:r>
      <w:r>
        <w:rPr>
          <w:rFonts w:hint="eastAsia" w:ascii="仿宋" w:hAnsi="仿宋" w:eastAsia="仿宋" w:cs="仿宋"/>
          <w:color w:val="auto"/>
          <w:sz w:val="21"/>
          <w:highlight w:val="none"/>
          <w:lang w:eastAsia="zh-CN"/>
        </w:rPr>
        <w:t>合同</w:t>
      </w:r>
      <w:r>
        <w:rPr>
          <w:rFonts w:hint="eastAsia" w:ascii="仿宋" w:hAnsi="仿宋" w:eastAsia="仿宋" w:cs="仿宋"/>
          <w:color w:val="auto"/>
          <w:sz w:val="21"/>
          <w:highlight w:val="none"/>
        </w:rPr>
        <w:t>履行发生困难的，甲方可以中止合同履行并要求乙方承担由此给甲方造成的损失。</w:t>
      </w:r>
    </w:p>
    <w:p w14:paraId="3F2B15F6">
      <w:pPr>
        <w:snapToGrid w:val="0"/>
        <w:spacing w:line="400" w:lineRule="exact"/>
        <w:ind w:firstLine="420" w:firstLineChars="200"/>
        <w:jc w:val="left"/>
        <w:rPr>
          <w:rFonts w:hint="eastAsia" w:ascii="仿宋" w:hAnsi="仿宋" w:eastAsia="仿宋" w:cs="仿宋"/>
          <w:color w:val="auto"/>
          <w:sz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320FAC6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3EA5A8D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339C170F">
      <w:pPr>
        <w:snapToGrid w:val="0"/>
        <w:spacing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并追究乙方的违约责</w:t>
      </w:r>
      <w:r>
        <w:rPr>
          <w:rFonts w:hint="eastAsia" w:ascii="仿宋" w:hAnsi="仿宋" w:eastAsia="仿宋" w:cs="仿宋"/>
          <w:color w:val="auto"/>
          <w:szCs w:val="21"/>
          <w:highlight w:val="none"/>
          <w:lang w:val="en-US" w:eastAsia="zh-CN"/>
        </w:rPr>
        <w:t>任</w:t>
      </w:r>
      <w:r>
        <w:rPr>
          <w:rFonts w:hint="eastAsia" w:ascii="仿宋" w:hAnsi="仿宋" w:eastAsia="仿宋" w:cs="仿宋"/>
          <w:color w:val="auto"/>
          <w:szCs w:val="21"/>
          <w:highlight w:val="none"/>
        </w:rPr>
        <w:t>。</w:t>
      </w:r>
    </w:p>
    <w:p w14:paraId="277EE528">
      <w:pPr>
        <w:pStyle w:val="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19617327">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政府采购合同继续履行将损害国家利益和社会公共利益的，双方当事人</w:t>
      </w:r>
      <w:r>
        <w:rPr>
          <w:rFonts w:hint="eastAsia" w:ascii="仿宋" w:hAnsi="仿宋" w:eastAsia="仿宋" w:cs="仿宋"/>
          <w:color w:val="auto"/>
          <w:sz w:val="21"/>
          <w:highlight w:val="none"/>
          <w:lang w:val="en-US" w:eastAsia="zh-CN"/>
        </w:rPr>
        <w:t>应当变更、</w:t>
      </w:r>
      <w:r>
        <w:rPr>
          <w:rFonts w:hint="eastAsia" w:ascii="仿宋" w:hAnsi="仿宋" w:eastAsia="仿宋" w:cs="仿宋"/>
          <w:color w:val="auto"/>
          <w:sz w:val="21"/>
          <w:highlight w:val="none"/>
        </w:rPr>
        <w:t>中止</w:t>
      </w:r>
      <w:r>
        <w:rPr>
          <w:rFonts w:hint="eastAsia" w:ascii="仿宋" w:hAnsi="仿宋" w:eastAsia="仿宋" w:cs="仿宋"/>
          <w:color w:val="auto"/>
          <w:sz w:val="21"/>
          <w:highlight w:val="none"/>
          <w:lang w:eastAsia="zh-CN"/>
        </w:rPr>
        <w:t>或者终止</w:t>
      </w:r>
      <w:r>
        <w:rPr>
          <w:rFonts w:hint="eastAsia" w:ascii="仿宋" w:hAnsi="仿宋" w:eastAsia="仿宋" w:cs="仿宋"/>
          <w:color w:val="auto"/>
          <w:sz w:val="21"/>
          <w:highlight w:val="none"/>
        </w:rPr>
        <w:t>合同。有过错的一方应当承担赔偿责任，双方都有过错的，各自承担相应的责任。</w:t>
      </w:r>
    </w:p>
    <w:p w14:paraId="23BF6E14">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0B354E5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160159C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0AA67978">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13F5E39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1740369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461A5C0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246B7B82">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235044BA">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.1 因本合同及合同有关事项发生的争议，由</w:t>
      </w:r>
      <w:r>
        <w:rPr>
          <w:rFonts w:hint="eastAsia" w:ascii="仿宋" w:hAnsi="仿宋" w:eastAsia="仿宋" w:cs="仿宋"/>
          <w:color w:val="auto"/>
          <w:sz w:val="21"/>
          <w:highlight w:val="none"/>
          <w:lang w:eastAsia="zh-CN"/>
        </w:rPr>
        <w:t>甲乙双</w:t>
      </w:r>
      <w:r>
        <w:rPr>
          <w:rFonts w:hint="eastAsia" w:ascii="仿宋" w:hAnsi="仿宋" w:eastAsia="仿宋" w:cs="仿宋"/>
          <w:color w:val="auto"/>
          <w:sz w:val="21"/>
          <w:highlight w:val="none"/>
        </w:rPr>
        <w:t>方友好协商解决。协商不成时，可以</w:t>
      </w:r>
      <w:r>
        <w:rPr>
          <w:rFonts w:hint="eastAsia" w:ascii="仿宋" w:hAnsi="仿宋" w:eastAsia="仿宋" w:cs="仿宋"/>
          <w:color w:val="auto"/>
          <w:sz w:val="21"/>
          <w:highlight w:val="none"/>
          <w:lang w:eastAsia="zh-CN"/>
        </w:rPr>
        <w:t>向有关组织申请</w:t>
      </w:r>
      <w:r>
        <w:rPr>
          <w:rFonts w:hint="eastAsia" w:ascii="仿宋" w:hAnsi="仿宋" w:eastAsia="仿宋" w:cs="仿宋"/>
          <w:color w:val="auto"/>
          <w:sz w:val="21"/>
          <w:highlight w:val="none"/>
        </w:rPr>
        <w:t>调解。合同一方或</w:t>
      </w:r>
      <w:r>
        <w:rPr>
          <w:rFonts w:hint="eastAsia" w:ascii="仿宋" w:hAnsi="仿宋" w:eastAsia="仿宋" w:cs="仿宋"/>
          <w:color w:val="auto"/>
          <w:sz w:val="21"/>
          <w:highlight w:val="none"/>
          <w:lang w:eastAsia="zh-CN"/>
        </w:rPr>
        <w:t>双</w:t>
      </w:r>
      <w:r>
        <w:rPr>
          <w:rFonts w:hint="eastAsia" w:ascii="仿宋" w:hAnsi="仿宋" w:eastAsia="仿宋" w:cs="仿宋"/>
          <w:color w:val="auto"/>
          <w:sz w:val="21"/>
          <w:highlight w:val="none"/>
        </w:rPr>
        <w:t>方不愿调解或调解不成的，可以通过仲裁或诉讼的方式解决争议。</w:t>
      </w:r>
    </w:p>
    <w:p w14:paraId="5C8867E6">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中进一步约定选择与争议有实际联系的地点的人民法院管辖，但管辖法院的约定不得违反级别管辖和专属管辖的规定。</w:t>
      </w:r>
    </w:p>
    <w:p w14:paraId="1386FDF3">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.3 如</w:t>
      </w:r>
      <w:r>
        <w:rPr>
          <w:rFonts w:hint="eastAsia" w:ascii="仿宋" w:hAnsi="仿宋" w:eastAsia="仿宋" w:cs="仿宋"/>
          <w:color w:val="auto"/>
          <w:sz w:val="21"/>
          <w:highlight w:val="none"/>
          <w:lang w:eastAsia="zh-CN"/>
        </w:rPr>
        <w:t>甲乙双方</w:t>
      </w:r>
      <w:r>
        <w:rPr>
          <w:rFonts w:hint="eastAsia" w:ascii="仿宋" w:hAnsi="仿宋" w:eastAsia="仿宋" w:cs="仿宋"/>
          <w:color w:val="auto"/>
          <w:sz w:val="21"/>
          <w:highlight w:val="none"/>
        </w:rPr>
        <w:t>有争议的事项不影响合同其他部分的履行，在争议解决期间，合同其他部分应</w:t>
      </w:r>
      <w:r>
        <w:rPr>
          <w:rFonts w:hint="eastAsia" w:ascii="仿宋" w:hAnsi="仿宋" w:eastAsia="仿宋" w:cs="仿宋"/>
          <w:color w:val="auto"/>
          <w:sz w:val="21"/>
          <w:highlight w:val="none"/>
          <w:lang w:eastAsia="zh-CN"/>
        </w:rPr>
        <w:t>当</w:t>
      </w:r>
      <w:r>
        <w:rPr>
          <w:rFonts w:hint="eastAsia" w:ascii="仿宋" w:hAnsi="仿宋" w:eastAsia="仿宋" w:cs="仿宋"/>
          <w:color w:val="auto"/>
          <w:sz w:val="21"/>
          <w:highlight w:val="none"/>
        </w:rPr>
        <w:t>继续履行。</w:t>
      </w:r>
    </w:p>
    <w:p w14:paraId="5F65440D">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457DA9D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color w:val="auto"/>
          <w:highlight w:val="none"/>
          <w:lang w:val="en-GB"/>
        </w:rPr>
        <w:t>本合同应当按照规定执行政府采购政策。</w:t>
      </w:r>
    </w:p>
    <w:p w14:paraId="2FEDED3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color w:val="auto"/>
          <w:sz w:val="21"/>
          <w:highlight w:val="none"/>
          <w:lang w:eastAsia="zh-CN"/>
        </w:rPr>
        <w:t>甲乙双方</w:t>
      </w:r>
      <w:r>
        <w:rPr>
          <w:rFonts w:hint="eastAsia" w:ascii="仿宋" w:hAnsi="仿宋" w:eastAsia="仿宋" w:cs="仿宋"/>
          <w:color w:val="auto"/>
          <w:highlight w:val="none"/>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3FD97173">
      <w:pPr>
        <w:pStyle w:val="12"/>
        <w:spacing w:after="0" w:line="40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对于</w:t>
      </w:r>
      <w:r>
        <w:rPr>
          <w:rFonts w:hint="eastAsia" w:ascii="仿宋" w:hAnsi="仿宋" w:eastAsia="仿宋" w:cs="仿宋"/>
          <w:color w:val="auto"/>
          <w:szCs w:val="21"/>
          <w:highlight w:val="none"/>
          <w:lang w:eastAsia="zh-CN"/>
        </w:rPr>
        <w:t>为落实中小企业支持政策，</w:t>
      </w:r>
      <w:r>
        <w:rPr>
          <w:rFonts w:hint="eastAsia" w:ascii="仿宋" w:hAnsi="仿宋" w:eastAsia="仿宋" w:cs="仿宋"/>
          <w:color w:val="auto"/>
          <w:szCs w:val="21"/>
          <w:highlight w:val="none"/>
        </w:rPr>
        <w:t>通过采购项目</w:t>
      </w:r>
      <w:r>
        <w:rPr>
          <w:rFonts w:hint="eastAsia" w:ascii="仿宋" w:hAnsi="仿宋" w:eastAsia="仿宋" w:cs="仿宋"/>
          <w:color w:val="auto"/>
          <w:szCs w:val="21"/>
          <w:highlight w:val="none"/>
          <w:lang w:eastAsia="zh-CN"/>
        </w:rPr>
        <w:t>整体</w:t>
      </w:r>
      <w:r>
        <w:rPr>
          <w:rFonts w:hint="eastAsia" w:ascii="仿宋" w:hAnsi="仿宋" w:eastAsia="仿宋" w:cs="仿宋"/>
          <w:color w:val="auto"/>
          <w:szCs w:val="21"/>
          <w:highlight w:val="none"/>
        </w:rPr>
        <w:t>预留、</w:t>
      </w:r>
      <w:r>
        <w:rPr>
          <w:rFonts w:hint="eastAsia" w:ascii="仿宋" w:hAnsi="仿宋" w:eastAsia="仿宋" w:cs="仿宋"/>
          <w:color w:val="auto"/>
          <w:szCs w:val="21"/>
          <w:highlight w:val="none"/>
          <w:lang w:eastAsia="zh-CN"/>
        </w:rPr>
        <w:t>设置</w:t>
      </w:r>
      <w:r>
        <w:rPr>
          <w:rFonts w:hint="eastAsia" w:ascii="仿宋" w:hAnsi="仿宋" w:eastAsia="仿宋" w:cs="仿宋"/>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5CCF3F4">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26802BAF">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.1 本合同的订立、生效、解释、履行及与本合同有关的争议解决，均适用法律、行政法规。</w:t>
      </w:r>
    </w:p>
    <w:p w14:paraId="7F14A8E9">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.2 本合同条款与法律、行政法规的强制性规定不一致的，双方当事人应按照法律、行政法规的强制性规定修改本合同的相关条款。</w:t>
      </w:r>
    </w:p>
    <w:p w14:paraId="2F36F34C">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07365388">
      <w:pPr>
        <w:pStyle w:val="47"/>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.1</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本合同任何一方向对方发出的通知、信件、数据电文等，应当发送至本合同第一部分《政府采购合同协议书》所约定的通讯地址、联系人、联系电话或电子邮箱。</w:t>
      </w:r>
    </w:p>
    <w:p w14:paraId="26E80E43">
      <w:pPr>
        <w:pStyle w:val="47"/>
        <w:ind w:firstLine="0" w:firstLineChars="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一方当事人变更名称、</w:t>
      </w:r>
      <w:r>
        <w:rPr>
          <w:rFonts w:hint="eastAsia" w:ascii="仿宋" w:hAnsi="仿宋" w:eastAsia="仿宋" w:cs="仿宋"/>
          <w:color w:val="auto"/>
          <w:sz w:val="21"/>
          <w:highlight w:val="none"/>
          <w:lang w:eastAsia="zh-CN"/>
        </w:rPr>
        <w:t>住所</w:t>
      </w:r>
      <w:r>
        <w:rPr>
          <w:rFonts w:hint="eastAsia" w:ascii="仿宋" w:hAnsi="仿宋" w:eastAsia="仿宋" w:cs="仿宋"/>
          <w:color w:val="auto"/>
          <w:sz w:val="21"/>
          <w:highlight w:val="none"/>
        </w:rPr>
        <w:t>、联系人、联系电话或电子邮箱</w:t>
      </w:r>
      <w:r>
        <w:rPr>
          <w:rFonts w:hint="eastAsia" w:ascii="仿宋" w:hAnsi="仿宋" w:eastAsia="仿宋" w:cs="仿宋"/>
          <w:color w:val="auto"/>
          <w:sz w:val="21"/>
          <w:highlight w:val="none"/>
          <w:lang w:eastAsia="zh-CN"/>
        </w:rPr>
        <w:t>等信息</w:t>
      </w:r>
      <w:r>
        <w:rPr>
          <w:rFonts w:hint="eastAsia" w:ascii="仿宋" w:hAnsi="仿宋" w:eastAsia="仿宋" w:cs="仿宋"/>
          <w:color w:val="auto"/>
          <w:sz w:val="21"/>
          <w:highlight w:val="none"/>
        </w:rPr>
        <w:t>的，应当在变更后3日内及时书面通知对方，对方实际收到变更通知前的送达仍为有效送达。</w:t>
      </w:r>
    </w:p>
    <w:p w14:paraId="06DE399D">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556200C2">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78D4B94B">
      <w:pPr>
        <w:numPr>
          <w:ilvl w:val="0"/>
          <w:numId w:val="18"/>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28F24E57">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00EFE79B">
      <w:pPr>
        <w:adjustRightInd w:val="0"/>
        <w:snapToGrid w:val="0"/>
        <w:spacing w:line="40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573" w:name="_Toc20313"/>
    </w:p>
    <w:p w14:paraId="688777B0">
      <w:pPr>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br w:type="page"/>
      </w:r>
    </w:p>
    <w:p w14:paraId="69A721CC">
      <w:pPr>
        <w:pStyle w:val="5"/>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第三节 政府采购合同专用条款</w:t>
      </w:r>
      <w:bookmarkEnd w:id="573"/>
    </w:p>
    <w:tbl>
      <w:tblPr>
        <w:tblStyle w:val="3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29C417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070708F">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FE89EC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第1.2（</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）项</w:t>
            </w:r>
          </w:p>
        </w:tc>
        <w:tc>
          <w:tcPr>
            <w:tcW w:w="1742" w:type="dxa"/>
            <w:vAlign w:val="center"/>
          </w:tcPr>
          <w:p w14:paraId="2F08BE31">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联合体具体要求</w:t>
            </w:r>
          </w:p>
        </w:tc>
        <w:tc>
          <w:tcPr>
            <w:tcW w:w="5170" w:type="dxa"/>
            <w:vAlign w:val="center"/>
          </w:tcPr>
          <w:p w14:paraId="4A3F6FC3">
            <w:pPr>
              <w:adjustRightInd w:val="0"/>
              <w:snapToGrid w:val="0"/>
              <w:jc w:val="left"/>
              <w:rPr>
                <w:rFonts w:hint="eastAsia" w:ascii="仿宋" w:hAnsi="仿宋" w:eastAsia="仿宋" w:cs="仿宋"/>
                <w:color w:val="auto"/>
                <w:szCs w:val="21"/>
                <w:highlight w:val="none"/>
              </w:rPr>
            </w:pPr>
          </w:p>
        </w:tc>
      </w:tr>
      <w:tr w14:paraId="7B3E9B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533A07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BE60F1F">
            <w:pPr>
              <w:adjustRightInd w:val="0"/>
              <w:snapToGrid w:val="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第1.2（</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）项</w:t>
            </w:r>
          </w:p>
        </w:tc>
        <w:tc>
          <w:tcPr>
            <w:tcW w:w="1742" w:type="dxa"/>
            <w:vAlign w:val="center"/>
          </w:tcPr>
          <w:p w14:paraId="303C76F8">
            <w:pPr>
              <w:adjustRightInd w:val="0"/>
              <w:snapToGrid w:val="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其他术语解释</w:t>
            </w:r>
          </w:p>
        </w:tc>
        <w:tc>
          <w:tcPr>
            <w:tcW w:w="5170" w:type="dxa"/>
            <w:vAlign w:val="center"/>
          </w:tcPr>
          <w:p w14:paraId="51B6F2F3">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513220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A1AA27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922FC79">
            <w:pPr>
              <w:adjustRightInd w:val="0"/>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4.4款</w:t>
            </w:r>
          </w:p>
        </w:tc>
        <w:tc>
          <w:tcPr>
            <w:tcW w:w="1742" w:type="dxa"/>
            <w:vAlign w:val="center"/>
          </w:tcPr>
          <w:p w14:paraId="444B0056">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履约验收中甲方提出异议或作出说明的期限</w:t>
            </w:r>
          </w:p>
        </w:tc>
        <w:tc>
          <w:tcPr>
            <w:tcW w:w="5170" w:type="dxa"/>
            <w:vAlign w:val="center"/>
          </w:tcPr>
          <w:p w14:paraId="7A1D36F5">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7AA26D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507EFD">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B28DD3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4.6款</w:t>
            </w:r>
          </w:p>
        </w:tc>
        <w:tc>
          <w:tcPr>
            <w:tcW w:w="1742" w:type="dxa"/>
            <w:vAlign w:val="center"/>
          </w:tcPr>
          <w:p w14:paraId="4176782C">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约定甲方承担的其他义务和责任</w:t>
            </w:r>
          </w:p>
        </w:tc>
        <w:tc>
          <w:tcPr>
            <w:tcW w:w="5170" w:type="dxa"/>
            <w:vAlign w:val="center"/>
          </w:tcPr>
          <w:p w14:paraId="0B93CBB0">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570399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6946ABB">
            <w:pPr>
              <w:adjustRightInd w:val="0"/>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第二节</w:t>
            </w:r>
          </w:p>
          <w:p w14:paraId="3D5FE427">
            <w:pPr>
              <w:snapToGrid w:val="0"/>
              <w:jc w:val="center"/>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5.4款</w:t>
            </w:r>
          </w:p>
        </w:tc>
        <w:tc>
          <w:tcPr>
            <w:tcW w:w="1742" w:type="dxa"/>
            <w:vAlign w:val="center"/>
          </w:tcPr>
          <w:p w14:paraId="3FB101EF">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约定乙方承担的其他义务和责任</w:t>
            </w:r>
          </w:p>
        </w:tc>
        <w:tc>
          <w:tcPr>
            <w:tcW w:w="5170" w:type="dxa"/>
            <w:vAlign w:val="center"/>
          </w:tcPr>
          <w:p w14:paraId="0CBE9631">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3A2612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3F843E">
            <w:pPr>
              <w:adjustRightInd w:val="0"/>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第二节</w:t>
            </w:r>
          </w:p>
          <w:p w14:paraId="67248E20">
            <w:pPr>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6.1款</w:t>
            </w:r>
          </w:p>
        </w:tc>
        <w:tc>
          <w:tcPr>
            <w:tcW w:w="1742" w:type="dxa"/>
            <w:vAlign w:val="center"/>
          </w:tcPr>
          <w:p w14:paraId="7F005FE0">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履行合同义务的顺序</w:t>
            </w:r>
          </w:p>
        </w:tc>
        <w:tc>
          <w:tcPr>
            <w:tcW w:w="5170" w:type="dxa"/>
            <w:vAlign w:val="center"/>
          </w:tcPr>
          <w:p w14:paraId="10C7BE2E">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441D74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2099B6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6774AF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款</w:t>
            </w:r>
          </w:p>
        </w:tc>
        <w:tc>
          <w:tcPr>
            <w:tcW w:w="1742" w:type="dxa"/>
            <w:vAlign w:val="center"/>
          </w:tcPr>
          <w:p w14:paraId="6BA0650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包装</w:t>
            </w:r>
            <w:r>
              <w:rPr>
                <w:rFonts w:hint="eastAsia" w:ascii="仿宋" w:hAnsi="仿宋" w:eastAsia="仿宋" w:cs="仿宋"/>
                <w:color w:val="auto"/>
                <w:szCs w:val="21"/>
                <w:highlight w:val="none"/>
                <w:lang w:eastAsia="zh-CN"/>
              </w:rPr>
              <w:t>特殊要求</w:t>
            </w:r>
          </w:p>
        </w:tc>
        <w:tc>
          <w:tcPr>
            <w:tcW w:w="5170" w:type="dxa"/>
            <w:vAlign w:val="center"/>
          </w:tcPr>
          <w:p w14:paraId="2E5FA011">
            <w:pPr>
              <w:rPr>
                <w:rFonts w:hint="eastAsia" w:ascii="仿宋" w:hAnsi="仿宋" w:eastAsia="仿宋" w:cs="仿宋"/>
                <w:color w:val="auto"/>
                <w:highlight w:val="none"/>
              </w:rPr>
            </w:pPr>
          </w:p>
        </w:tc>
      </w:tr>
      <w:tr w14:paraId="22818C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415792F4">
            <w:pPr>
              <w:adjustRightInd w:val="0"/>
              <w:snapToGrid w:val="0"/>
              <w:jc w:val="center"/>
              <w:rPr>
                <w:rFonts w:hint="eastAsia" w:ascii="仿宋" w:hAnsi="仿宋" w:eastAsia="仿宋" w:cs="仿宋"/>
                <w:color w:val="auto"/>
                <w:szCs w:val="21"/>
                <w:highlight w:val="none"/>
              </w:rPr>
            </w:pPr>
          </w:p>
        </w:tc>
        <w:tc>
          <w:tcPr>
            <w:tcW w:w="1742" w:type="dxa"/>
            <w:vAlign w:val="center"/>
          </w:tcPr>
          <w:p w14:paraId="217463C3">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指定现场</w:t>
            </w:r>
          </w:p>
        </w:tc>
        <w:tc>
          <w:tcPr>
            <w:tcW w:w="5170" w:type="dxa"/>
            <w:vAlign w:val="center"/>
          </w:tcPr>
          <w:p w14:paraId="73457945">
            <w:pPr>
              <w:rPr>
                <w:rFonts w:hint="eastAsia" w:ascii="仿宋" w:hAnsi="仿宋" w:eastAsia="仿宋" w:cs="仿宋"/>
                <w:color w:val="auto"/>
                <w:highlight w:val="none"/>
              </w:rPr>
            </w:pPr>
          </w:p>
        </w:tc>
      </w:tr>
      <w:tr w14:paraId="347FAE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053BCC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1F7E46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款</w:t>
            </w:r>
          </w:p>
        </w:tc>
        <w:tc>
          <w:tcPr>
            <w:tcW w:w="1742" w:type="dxa"/>
            <w:vAlign w:val="center"/>
          </w:tcPr>
          <w:p w14:paraId="42AB6E2A">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运输特殊要求</w:t>
            </w:r>
          </w:p>
        </w:tc>
        <w:tc>
          <w:tcPr>
            <w:tcW w:w="5170" w:type="dxa"/>
            <w:vAlign w:val="center"/>
          </w:tcPr>
          <w:p w14:paraId="5CB3BECF">
            <w:pPr>
              <w:rPr>
                <w:rFonts w:hint="eastAsia" w:ascii="仿宋" w:hAnsi="仿宋" w:eastAsia="仿宋" w:cs="仿宋"/>
                <w:color w:val="auto"/>
                <w:highlight w:val="none"/>
              </w:rPr>
            </w:pPr>
          </w:p>
        </w:tc>
      </w:tr>
      <w:tr w14:paraId="1F05E8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67A96D84">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2100AC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val="en-US" w:eastAsia="zh-CN"/>
              </w:rPr>
              <w:t>款</w:t>
            </w:r>
          </w:p>
        </w:tc>
        <w:tc>
          <w:tcPr>
            <w:tcW w:w="1742" w:type="dxa"/>
            <w:vAlign w:val="center"/>
          </w:tcPr>
          <w:p w14:paraId="7E4488EE">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保险要求</w:t>
            </w:r>
          </w:p>
        </w:tc>
        <w:tc>
          <w:tcPr>
            <w:tcW w:w="5170" w:type="dxa"/>
            <w:vAlign w:val="center"/>
          </w:tcPr>
          <w:p w14:paraId="36C93CC5">
            <w:pPr>
              <w:rPr>
                <w:rFonts w:hint="eastAsia" w:ascii="仿宋" w:hAnsi="仿宋" w:eastAsia="仿宋" w:cs="仿宋"/>
                <w:color w:val="auto"/>
                <w:highlight w:val="none"/>
              </w:rPr>
            </w:pPr>
          </w:p>
        </w:tc>
      </w:tr>
      <w:tr w14:paraId="4EF4FD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A1003A">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9FAC66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.2（1）项</w:t>
            </w:r>
          </w:p>
        </w:tc>
        <w:tc>
          <w:tcPr>
            <w:tcW w:w="1742" w:type="dxa"/>
            <w:vAlign w:val="center"/>
          </w:tcPr>
          <w:p w14:paraId="2DAA203F">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质量保证期</w:t>
            </w:r>
          </w:p>
        </w:tc>
        <w:tc>
          <w:tcPr>
            <w:tcW w:w="5170" w:type="dxa"/>
            <w:vAlign w:val="center"/>
          </w:tcPr>
          <w:p w14:paraId="0EFC0C44">
            <w:pPr>
              <w:autoSpaceDE w:val="0"/>
              <w:autoSpaceDN w:val="0"/>
              <w:adjustRightInd w:val="0"/>
              <w:snapToGrid w:val="0"/>
              <w:ind w:firstLine="420" w:firstLineChars="200"/>
              <w:jc w:val="left"/>
              <w:rPr>
                <w:rFonts w:hint="eastAsia" w:ascii="仿宋" w:hAnsi="仿宋" w:eastAsia="仿宋" w:cs="仿宋"/>
                <w:color w:val="auto"/>
                <w:szCs w:val="21"/>
                <w:highlight w:val="none"/>
              </w:rPr>
            </w:pPr>
          </w:p>
        </w:tc>
      </w:tr>
      <w:tr w14:paraId="06C7C0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4B04EA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FF94929">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.2（3）项</w:t>
            </w:r>
          </w:p>
        </w:tc>
        <w:tc>
          <w:tcPr>
            <w:tcW w:w="1742" w:type="dxa"/>
            <w:vAlign w:val="center"/>
          </w:tcPr>
          <w:p w14:paraId="472DD888">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货物质量缺陷</w:t>
            </w:r>
          </w:p>
          <w:p w14:paraId="31E15151">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响应时间</w:t>
            </w:r>
          </w:p>
        </w:tc>
        <w:tc>
          <w:tcPr>
            <w:tcW w:w="5170" w:type="dxa"/>
            <w:vAlign w:val="center"/>
          </w:tcPr>
          <w:p w14:paraId="3A2EBE1E">
            <w:pPr>
              <w:adjustRightInd w:val="0"/>
              <w:snapToGrid w:val="0"/>
              <w:jc w:val="left"/>
              <w:rPr>
                <w:rFonts w:hint="eastAsia" w:ascii="仿宋" w:hAnsi="仿宋" w:eastAsia="仿宋" w:cs="仿宋"/>
                <w:color w:val="auto"/>
                <w:szCs w:val="21"/>
                <w:highlight w:val="none"/>
              </w:rPr>
            </w:pPr>
          </w:p>
        </w:tc>
      </w:tr>
      <w:tr w14:paraId="2466E4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84CF2C8">
            <w:pPr>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第二节</w:t>
            </w:r>
          </w:p>
          <w:p w14:paraId="2EEA9204">
            <w:pPr>
              <w:pStyle w:val="47"/>
              <w:ind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第11.1款</w:t>
            </w:r>
          </w:p>
        </w:tc>
        <w:tc>
          <w:tcPr>
            <w:tcW w:w="1742" w:type="dxa"/>
            <w:vAlign w:val="center"/>
          </w:tcPr>
          <w:p w14:paraId="18358836">
            <w:pPr>
              <w:adjustRightInd w:val="0"/>
              <w:snapToGrid w:val="0"/>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其他应当保密的信息</w:t>
            </w:r>
          </w:p>
        </w:tc>
        <w:tc>
          <w:tcPr>
            <w:tcW w:w="5170" w:type="dxa"/>
            <w:vAlign w:val="center"/>
          </w:tcPr>
          <w:p w14:paraId="2A06E002">
            <w:pPr>
              <w:adjustRightInd w:val="0"/>
              <w:snapToGrid w:val="0"/>
              <w:jc w:val="left"/>
              <w:rPr>
                <w:rFonts w:hint="eastAsia" w:ascii="仿宋" w:hAnsi="仿宋" w:eastAsia="仿宋" w:cs="仿宋"/>
                <w:color w:val="auto"/>
                <w:szCs w:val="21"/>
                <w:highlight w:val="none"/>
              </w:rPr>
            </w:pPr>
          </w:p>
        </w:tc>
      </w:tr>
      <w:tr w14:paraId="06BA7C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115AB9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63294CC">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.2款</w:t>
            </w:r>
          </w:p>
        </w:tc>
        <w:tc>
          <w:tcPr>
            <w:tcW w:w="1742" w:type="dxa"/>
            <w:vAlign w:val="center"/>
          </w:tcPr>
          <w:p w14:paraId="5DD637C1">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合同价款支付</w:t>
            </w:r>
            <w:r>
              <w:rPr>
                <w:rFonts w:hint="eastAsia" w:ascii="仿宋" w:hAnsi="仿宋" w:eastAsia="仿宋" w:cs="仿宋"/>
                <w:color w:val="auto"/>
                <w:szCs w:val="21"/>
                <w:highlight w:val="none"/>
                <w:lang w:eastAsia="zh-CN"/>
              </w:rPr>
              <w:t>时间</w:t>
            </w:r>
          </w:p>
        </w:tc>
        <w:tc>
          <w:tcPr>
            <w:tcW w:w="5170" w:type="dxa"/>
            <w:vAlign w:val="center"/>
          </w:tcPr>
          <w:p w14:paraId="43CBCD9C">
            <w:pPr>
              <w:adjustRightInd w:val="0"/>
              <w:snapToGrid w:val="0"/>
              <w:jc w:val="left"/>
              <w:rPr>
                <w:rFonts w:hint="eastAsia" w:ascii="仿宋" w:hAnsi="仿宋" w:eastAsia="仿宋" w:cs="仿宋"/>
                <w:color w:val="auto"/>
                <w:szCs w:val="21"/>
                <w:highlight w:val="none"/>
              </w:rPr>
            </w:pPr>
          </w:p>
        </w:tc>
      </w:tr>
      <w:tr w14:paraId="470612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EF9B13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4F0D04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13.2</w:t>
            </w:r>
            <w:r>
              <w:rPr>
                <w:rFonts w:hint="eastAsia" w:ascii="仿宋" w:hAnsi="仿宋" w:eastAsia="仿宋" w:cs="仿宋"/>
                <w:color w:val="auto"/>
                <w:szCs w:val="21"/>
                <w:highlight w:val="none"/>
              </w:rPr>
              <w:t>款</w:t>
            </w:r>
          </w:p>
        </w:tc>
        <w:tc>
          <w:tcPr>
            <w:tcW w:w="1742" w:type="dxa"/>
            <w:vAlign w:val="center"/>
          </w:tcPr>
          <w:p w14:paraId="4FD64AD5">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履约保证金不予退还的情形</w:t>
            </w:r>
          </w:p>
        </w:tc>
        <w:tc>
          <w:tcPr>
            <w:tcW w:w="5170" w:type="dxa"/>
            <w:vAlign w:val="center"/>
          </w:tcPr>
          <w:p w14:paraId="61AD057C">
            <w:pPr>
              <w:adjustRightInd w:val="0"/>
              <w:snapToGrid w:val="0"/>
              <w:jc w:val="left"/>
              <w:rPr>
                <w:rFonts w:hint="eastAsia" w:ascii="仿宋" w:hAnsi="仿宋" w:eastAsia="仿宋" w:cs="仿宋"/>
                <w:color w:val="auto"/>
                <w:szCs w:val="21"/>
                <w:highlight w:val="none"/>
              </w:rPr>
            </w:pPr>
          </w:p>
        </w:tc>
      </w:tr>
      <w:tr w14:paraId="067486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255C9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2EF6DC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13.3</w:t>
            </w:r>
            <w:r>
              <w:rPr>
                <w:rFonts w:hint="eastAsia" w:ascii="仿宋" w:hAnsi="仿宋" w:eastAsia="仿宋" w:cs="仿宋"/>
                <w:color w:val="auto"/>
                <w:szCs w:val="21"/>
                <w:highlight w:val="none"/>
              </w:rPr>
              <w:t>款</w:t>
            </w:r>
          </w:p>
        </w:tc>
        <w:tc>
          <w:tcPr>
            <w:tcW w:w="1742" w:type="dxa"/>
            <w:vAlign w:val="center"/>
          </w:tcPr>
          <w:p w14:paraId="6EBAA75E">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履约保证金退还时间及</w:t>
            </w:r>
            <w:r>
              <w:rPr>
                <w:rFonts w:hint="eastAsia" w:ascii="仿宋" w:hAnsi="仿宋" w:eastAsia="仿宋" w:cs="仿宋"/>
                <w:color w:val="auto"/>
                <w:szCs w:val="21"/>
                <w:highlight w:val="none"/>
                <w:lang w:eastAsia="zh-CN"/>
              </w:rPr>
              <w:t>逾期退还的</w:t>
            </w:r>
            <w:r>
              <w:rPr>
                <w:rFonts w:hint="eastAsia" w:ascii="仿宋" w:hAnsi="仿宋" w:eastAsia="仿宋" w:cs="仿宋"/>
                <w:color w:val="auto"/>
                <w:szCs w:val="21"/>
                <w:highlight w:val="none"/>
              </w:rPr>
              <w:t>违约金</w:t>
            </w:r>
          </w:p>
        </w:tc>
        <w:tc>
          <w:tcPr>
            <w:tcW w:w="5170" w:type="dxa"/>
            <w:vAlign w:val="center"/>
          </w:tcPr>
          <w:p w14:paraId="79E38C3D">
            <w:pPr>
              <w:adjustRightInd w:val="0"/>
              <w:snapToGrid w:val="0"/>
              <w:jc w:val="left"/>
              <w:rPr>
                <w:rFonts w:hint="eastAsia" w:ascii="仿宋" w:hAnsi="仿宋" w:eastAsia="仿宋" w:cs="仿宋"/>
                <w:color w:val="auto"/>
                <w:szCs w:val="21"/>
                <w:highlight w:val="none"/>
              </w:rPr>
            </w:pPr>
          </w:p>
        </w:tc>
      </w:tr>
      <w:tr w14:paraId="00B1A8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453139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FE6C11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）项</w:t>
            </w:r>
          </w:p>
        </w:tc>
        <w:tc>
          <w:tcPr>
            <w:tcW w:w="1742" w:type="dxa"/>
            <w:vAlign w:val="center"/>
          </w:tcPr>
          <w:p w14:paraId="70AB90C8">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运行监督、维修期限</w:t>
            </w:r>
          </w:p>
        </w:tc>
        <w:tc>
          <w:tcPr>
            <w:tcW w:w="5170" w:type="dxa"/>
            <w:vAlign w:val="center"/>
          </w:tcPr>
          <w:p w14:paraId="23D515C6">
            <w:pPr>
              <w:adjustRightInd w:val="0"/>
              <w:snapToGrid w:val="0"/>
              <w:jc w:val="left"/>
              <w:rPr>
                <w:rFonts w:hint="eastAsia" w:ascii="仿宋" w:hAnsi="仿宋" w:eastAsia="仿宋" w:cs="仿宋"/>
                <w:color w:val="auto"/>
                <w:szCs w:val="21"/>
                <w:highlight w:val="none"/>
              </w:rPr>
            </w:pPr>
          </w:p>
        </w:tc>
      </w:tr>
      <w:tr w14:paraId="720BB1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E8175BC">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6D246BA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）项</w:t>
            </w:r>
          </w:p>
        </w:tc>
        <w:tc>
          <w:tcPr>
            <w:tcW w:w="1742" w:type="dxa"/>
            <w:vAlign w:val="center"/>
          </w:tcPr>
          <w:p w14:paraId="783E532F">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货物回收的约定</w:t>
            </w:r>
          </w:p>
        </w:tc>
        <w:tc>
          <w:tcPr>
            <w:tcW w:w="5170" w:type="dxa"/>
            <w:vAlign w:val="center"/>
          </w:tcPr>
          <w:p w14:paraId="0BD7CF21">
            <w:pPr>
              <w:adjustRightInd w:val="0"/>
              <w:snapToGrid w:val="0"/>
              <w:jc w:val="left"/>
              <w:rPr>
                <w:rFonts w:hint="eastAsia" w:ascii="仿宋" w:hAnsi="仿宋" w:eastAsia="仿宋" w:cs="仿宋"/>
                <w:color w:val="auto"/>
                <w:szCs w:val="21"/>
                <w:highlight w:val="none"/>
              </w:rPr>
            </w:pPr>
          </w:p>
        </w:tc>
      </w:tr>
      <w:tr w14:paraId="49E6D6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D5C11D3">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22815C4">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）项</w:t>
            </w:r>
          </w:p>
        </w:tc>
        <w:tc>
          <w:tcPr>
            <w:tcW w:w="1742" w:type="dxa"/>
            <w:vAlign w:val="center"/>
          </w:tcPr>
          <w:p w14:paraId="64F14D16">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乙方提供的其他服务</w:t>
            </w:r>
          </w:p>
        </w:tc>
        <w:tc>
          <w:tcPr>
            <w:tcW w:w="5170" w:type="dxa"/>
            <w:vAlign w:val="center"/>
          </w:tcPr>
          <w:p w14:paraId="6DA409BF">
            <w:pPr>
              <w:adjustRightInd w:val="0"/>
              <w:snapToGrid w:val="0"/>
              <w:jc w:val="left"/>
              <w:rPr>
                <w:rFonts w:hint="eastAsia" w:ascii="仿宋" w:hAnsi="仿宋" w:eastAsia="仿宋" w:cs="仿宋"/>
                <w:color w:val="auto"/>
                <w:szCs w:val="21"/>
                <w:highlight w:val="none"/>
              </w:rPr>
            </w:pPr>
          </w:p>
        </w:tc>
      </w:tr>
      <w:tr w14:paraId="02F122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6E261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59656864">
            <w:pPr>
              <w:adjustRightInd w:val="0"/>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1款</w:t>
            </w:r>
          </w:p>
        </w:tc>
        <w:tc>
          <w:tcPr>
            <w:tcW w:w="1742" w:type="dxa"/>
            <w:vAlign w:val="center"/>
          </w:tcPr>
          <w:p w14:paraId="6BA13945">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修理、重作、更换相关具体规定</w:t>
            </w:r>
          </w:p>
        </w:tc>
        <w:tc>
          <w:tcPr>
            <w:tcW w:w="5170" w:type="dxa"/>
            <w:vAlign w:val="center"/>
          </w:tcPr>
          <w:p w14:paraId="74A38A86">
            <w:pPr>
              <w:adjustRightInd w:val="0"/>
              <w:snapToGrid w:val="0"/>
              <w:jc w:val="left"/>
              <w:rPr>
                <w:rFonts w:hint="eastAsia" w:ascii="仿宋" w:hAnsi="仿宋" w:eastAsia="仿宋" w:cs="仿宋"/>
                <w:color w:val="auto"/>
                <w:szCs w:val="21"/>
                <w:highlight w:val="none"/>
              </w:rPr>
            </w:pPr>
          </w:p>
        </w:tc>
      </w:tr>
      <w:tr w14:paraId="4BB9CB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FC7C994">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F58A97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.2（2）项</w:t>
            </w:r>
          </w:p>
        </w:tc>
        <w:tc>
          <w:tcPr>
            <w:tcW w:w="1742" w:type="dxa"/>
            <w:vAlign w:val="center"/>
          </w:tcPr>
          <w:p w14:paraId="41DE0CAB">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迟延交货赔偿费</w:t>
            </w:r>
          </w:p>
        </w:tc>
        <w:tc>
          <w:tcPr>
            <w:tcW w:w="5170" w:type="dxa"/>
            <w:vAlign w:val="center"/>
          </w:tcPr>
          <w:p w14:paraId="6ACFB4DF">
            <w:pPr>
              <w:adjustRightInd w:val="0"/>
              <w:snapToGrid w:val="0"/>
              <w:jc w:val="left"/>
              <w:rPr>
                <w:rFonts w:hint="eastAsia" w:ascii="仿宋" w:hAnsi="仿宋" w:eastAsia="仿宋" w:cs="仿宋"/>
                <w:color w:val="auto"/>
                <w:szCs w:val="21"/>
                <w:highlight w:val="none"/>
                <w:u w:val="single"/>
              </w:rPr>
            </w:pPr>
          </w:p>
        </w:tc>
      </w:tr>
      <w:tr w14:paraId="6A3C00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ED4620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BCD78D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3款</w:t>
            </w:r>
          </w:p>
        </w:tc>
        <w:tc>
          <w:tcPr>
            <w:tcW w:w="1742" w:type="dxa"/>
            <w:vAlign w:val="center"/>
          </w:tcPr>
          <w:p w14:paraId="3806D8B1">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逾期付款利息</w:t>
            </w:r>
          </w:p>
        </w:tc>
        <w:tc>
          <w:tcPr>
            <w:tcW w:w="5170" w:type="dxa"/>
            <w:vAlign w:val="center"/>
          </w:tcPr>
          <w:p w14:paraId="4E04C22B">
            <w:pPr>
              <w:adjustRightInd w:val="0"/>
              <w:snapToGrid w:val="0"/>
              <w:jc w:val="left"/>
              <w:rPr>
                <w:rFonts w:hint="eastAsia" w:ascii="仿宋" w:hAnsi="仿宋" w:eastAsia="仿宋" w:cs="仿宋"/>
                <w:color w:val="auto"/>
                <w:szCs w:val="21"/>
                <w:highlight w:val="none"/>
                <w:u w:val="single"/>
              </w:rPr>
            </w:pPr>
          </w:p>
        </w:tc>
      </w:tr>
      <w:tr w14:paraId="5C7190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FFC7D3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B823AF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.4</w:t>
            </w:r>
            <w:r>
              <w:rPr>
                <w:rFonts w:hint="eastAsia" w:ascii="仿宋" w:hAnsi="仿宋" w:eastAsia="仿宋" w:cs="仿宋"/>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5285CDF3">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其他违约责任</w:t>
            </w:r>
          </w:p>
        </w:tc>
        <w:tc>
          <w:tcPr>
            <w:tcW w:w="5170" w:type="dxa"/>
            <w:tcBorders>
              <w:left w:val="single" w:color="auto" w:sz="2" w:space="0"/>
              <w:bottom w:val="single" w:color="auto" w:sz="2" w:space="0"/>
            </w:tcBorders>
            <w:vAlign w:val="center"/>
          </w:tcPr>
          <w:p w14:paraId="3A3012DE">
            <w:pPr>
              <w:adjustRightInd w:val="0"/>
              <w:snapToGrid w:val="0"/>
              <w:jc w:val="left"/>
              <w:rPr>
                <w:rFonts w:hint="eastAsia" w:ascii="仿宋" w:hAnsi="仿宋" w:eastAsia="仿宋" w:cs="仿宋"/>
                <w:color w:val="auto"/>
                <w:szCs w:val="21"/>
                <w:highlight w:val="none"/>
                <w:u w:val="single"/>
              </w:rPr>
            </w:pPr>
          </w:p>
        </w:tc>
      </w:tr>
      <w:tr w14:paraId="611B7E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5A08A0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A3DDB7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75E9EBE4">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24F99EBB">
            <w:pPr>
              <w:autoSpaceDE w:val="0"/>
              <w:autoSpaceDN w:val="0"/>
              <w:adjustRightInd w:val="0"/>
              <w:snapToGrid w:val="0"/>
              <w:spacing w:line="400" w:lineRule="exact"/>
              <w:jc w:val="left"/>
              <w:rPr>
                <w:rFonts w:hint="eastAsia" w:ascii="仿宋" w:hAnsi="仿宋" w:eastAsia="仿宋" w:cs="仿宋"/>
                <w:b w:val="0"/>
                <w:bCs w:val="0"/>
                <w:iCs/>
                <w:color w:val="auto"/>
                <w:szCs w:val="21"/>
                <w:highlight w:val="none"/>
              </w:rPr>
            </w:pPr>
            <w:r>
              <w:rPr>
                <w:rFonts w:hint="eastAsia" w:ascii="仿宋" w:hAnsi="仿宋" w:eastAsia="仿宋" w:cs="仿宋"/>
                <w:b w:val="0"/>
                <w:bCs w:val="0"/>
                <w:iCs/>
                <w:color w:val="auto"/>
                <w:szCs w:val="21"/>
                <w:highlight w:val="none"/>
              </w:rPr>
              <w:t>因本合同及合同有关事项发生的争议，按下列第</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种方式解决：</w:t>
            </w:r>
          </w:p>
          <w:p w14:paraId="2F67F415">
            <w:pPr>
              <w:autoSpaceDE w:val="0"/>
              <w:autoSpaceDN w:val="0"/>
              <w:adjustRightInd w:val="0"/>
              <w:snapToGrid w:val="0"/>
              <w:spacing w:line="400" w:lineRule="exact"/>
              <w:jc w:val="left"/>
              <w:rPr>
                <w:rFonts w:hint="eastAsia" w:ascii="仿宋" w:hAnsi="仿宋" w:eastAsia="仿宋" w:cs="仿宋"/>
                <w:b w:val="0"/>
                <w:bCs w:val="0"/>
                <w:iCs/>
                <w:color w:val="auto"/>
                <w:szCs w:val="21"/>
                <w:highlight w:val="none"/>
              </w:rPr>
            </w:pPr>
            <w:r>
              <w:rPr>
                <w:rFonts w:hint="eastAsia" w:ascii="仿宋" w:hAnsi="仿宋" w:eastAsia="仿宋" w:cs="仿宋"/>
                <w:b w:val="0"/>
                <w:bCs w:val="0"/>
                <w:iCs/>
                <w:color w:val="auto"/>
                <w:szCs w:val="21"/>
                <w:highlight w:val="none"/>
              </w:rPr>
              <w:t>（1）向</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仲裁委员会申请仲裁，仲裁地点为</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w:t>
            </w:r>
          </w:p>
          <w:p w14:paraId="2C8D6F40">
            <w:pPr>
              <w:adjustRightInd w:val="0"/>
              <w:snapToGrid w:val="0"/>
              <w:ind w:firstLine="0" w:firstLineChars="0"/>
              <w:jc w:val="left"/>
              <w:rPr>
                <w:rFonts w:hint="eastAsia" w:ascii="仿宋" w:hAnsi="仿宋" w:eastAsia="仿宋" w:cs="仿宋"/>
                <w:color w:val="auto"/>
                <w:szCs w:val="21"/>
                <w:highlight w:val="none"/>
                <w:u w:val="single"/>
              </w:rPr>
            </w:pPr>
            <w:r>
              <w:rPr>
                <w:rFonts w:hint="eastAsia" w:ascii="仿宋" w:hAnsi="仿宋" w:eastAsia="仿宋" w:cs="仿宋"/>
                <w:b w:val="0"/>
                <w:bCs w:val="0"/>
                <w:iCs/>
                <w:color w:val="auto"/>
                <w:szCs w:val="21"/>
                <w:highlight w:val="none"/>
              </w:rPr>
              <w:t>（2）向</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人民法院起诉。</w:t>
            </w:r>
          </w:p>
        </w:tc>
      </w:tr>
      <w:tr w14:paraId="0D4D29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503644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013685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第2</w:t>
            </w: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lang w:eastAsia="zh-CN"/>
              </w:rPr>
              <w:t>款</w:t>
            </w:r>
          </w:p>
        </w:tc>
        <w:tc>
          <w:tcPr>
            <w:tcW w:w="1742" w:type="dxa"/>
            <w:vAlign w:val="center"/>
          </w:tcPr>
          <w:p w14:paraId="1F1A9461">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lang w:eastAsia="zh-CN"/>
              </w:rPr>
              <w:t>其他专用条款</w:t>
            </w:r>
          </w:p>
        </w:tc>
        <w:tc>
          <w:tcPr>
            <w:tcW w:w="5170" w:type="dxa"/>
            <w:vAlign w:val="center"/>
          </w:tcPr>
          <w:p w14:paraId="76FB3B97">
            <w:pPr>
              <w:adjustRightInd w:val="0"/>
              <w:snapToGrid w:val="0"/>
              <w:jc w:val="left"/>
              <w:rPr>
                <w:rFonts w:hint="eastAsia" w:ascii="仿宋" w:hAnsi="仿宋" w:eastAsia="仿宋" w:cs="仿宋"/>
                <w:color w:val="auto"/>
                <w:szCs w:val="21"/>
                <w:highlight w:val="none"/>
                <w:lang w:val="en-US" w:eastAsia="zh-CN"/>
              </w:rPr>
            </w:pPr>
          </w:p>
        </w:tc>
      </w:tr>
    </w:tbl>
    <w:p w14:paraId="2261C7C9">
      <w:pPr>
        <w:rPr>
          <w:rFonts w:hint="eastAsia" w:ascii="仿宋" w:hAnsi="仿宋" w:eastAsia="仿宋" w:cs="仿宋"/>
          <w:color w:val="auto"/>
          <w:highlight w:val="none"/>
        </w:rPr>
      </w:pPr>
    </w:p>
    <w:p w14:paraId="59F9B3EC">
      <w:pPr>
        <w:rPr>
          <w:rFonts w:hint="eastAsia" w:ascii="仿宋" w:hAnsi="仿宋" w:eastAsia="仿宋" w:cs="仿宋"/>
          <w:color w:val="auto"/>
          <w:highlight w:val="none"/>
        </w:rPr>
      </w:pPr>
    </w:p>
    <w:p w14:paraId="6839095D">
      <w:pPr>
        <w:pStyle w:val="2"/>
        <w:ind w:firstLine="0"/>
        <w:rPr>
          <w:rFonts w:hint="eastAsia" w:ascii="仿宋" w:hAnsi="仿宋" w:eastAsia="仿宋" w:cs="仿宋"/>
          <w:bCs/>
          <w:color w:val="auto"/>
          <w:szCs w:val="24"/>
          <w:highlight w:val="none"/>
        </w:rPr>
      </w:pPr>
    </w:p>
    <w:sectPr>
      <w:footerReference r:id="rId14"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幼圆">
    <w:panose1 w:val="0201050906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AD4DE">
    <w:pPr>
      <w:pStyle w:val="21"/>
      <w:ind w:right="360" w:firstLine="360"/>
      <w:jc w:val="right"/>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C08E2D">
                          <w:pPr>
                            <w:pStyle w:val="2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CC08E2D">
                    <w:pPr>
                      <w:pStyle w:val="21"/>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BF13D9">
    <w:pPr>
      <w:spacing w:line="192" w:lineRule="auto"/>
      <w:ind w:left="4086"/>
      <w:rPr>
        <w:rFonts w:ascii="宋体" w:hAnsi="宋体" w:eastAsia="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E2DD89">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50E2DD89">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2BD79">
    <w:pPr>
      <w:pStyle w:val="21"/>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3E922B">
                          <w:pPr>
                            <w:pStyle w:val="21"/>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63E922B">
                    <w:pPr>
                      <w:pStyle w:val="21"/>
                    </w:pPr>
                    <w:r>
                      <w:fldChar w:fldCharType="begin"/>
                    </w:r>
                    <w:r>
                      <w:instrText xml:space="preserve"> PAGE  \* MERGEFORMAT </w:instrText>
                    </w:r>
                    <w:r>
                      <w:fldChar w:fldCharType="separate"/>
                    </w:r>
                    <w:r>
                      <w:t>31</w:t>
                    </w:r>
                    <w:r>
                      <w:fldChar w:fldCharType="end"/>
                    </w:r>
                  </w:p>
                </w:txbxContent>
              </v:textbox>
            </v:shape>
          </w:pict>
        </mc:Fallback>
      </mc:AlternateContent>
    </w:r>
  </w:p>
  <w:p w14:paraId="3D0F7D14">
    <w:pPr>
      <w:pStyle w:val="21"/>
      <w:ind w:right="360"/>
      <w:jc w:val="center"/>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39231">
    <w:pPr>
      <w:pStyle w:val="21"/>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25BCAE">
                          <w:pPr>
                            <w:pStyle w:val="21"/>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F25BCAE">
                    <w:pPr>
                      <w:pStyle w:val="21"/>
                    </w:pPr>
                    <w:r>
                      <w:fldChar w:fldCharType="begin"/>
                    </w:r>
                    <w:r>
                      <w:instrText xml:space="preserve"> PAGE  \* MERGEFORMAT </w:instrText>
                    </w:r>
                    <w:r>
                      <w:fldChar w:fldCharType="separate"/>
                    </w:r>
                    <w:r>
                      <w:t>31</w:t>
                    </w:r>
                    <w:r>
                      <w:fldChar w:fldCharType="end"/>
                    </w:r>
                  </w:p>
                </w:txbxContent>
              </v:textbox>
            </v:shape>
          </w:pict>
        </mc:Fallback>
      </mc:AlternateContent>
    </w:r>
  </w:p>
  <w:p w14:paraId="6817DB83">
    <w:pPr>
      <w:pStyle w:val="21"/>
      <w:ind w:right="360"/>
      <w:jc w:val="center"/>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4B0D9">
    <w:pPr>
      <w:spacing w:line="194" w:lineRule="auto"/>
      <w:ind w:left="4083"/>
      <w:rPr>
        <w:rFonts w:ascii="宋体" w:hAnsi="宋体" w:eastAsia="宋体" w:cs="宋体"/>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25B74">
                          <w:pPr>
                            <w:pStyle w:val="21"/>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22925B74">
                    <w:pPr>
                      <w:pStyle w:val="21"/>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45971">
    <w:pPr>
      <w:spacing w:line="194" w:lineRule="auto"/>
      <w:ind w:left="4083"/>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154E7C">
                          <w:pPr>
                            <w:pStyle w:val="2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27154E7C">
                    <w:pPr>
                      <w:pStyle w:val="21"/>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7A677">
    <w:pPr>
      <w:pStyle w:val="2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340EC">
    <w:pPr>
      <w:pStyle w:val="21"/>
      <w:ind w:right="360"/>
      <w:jc w:val="right"/>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15CFDB">
                          <w:pPr>
                            <w:pStyle w:val="21"/>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2F15CFDB">
                    <w:pPr>
                      <w:pStyle w:val="21"/>
                    </w:pPr>
                    <w:r>
                      <w:fldChar w:fldCharType="begin"/>
                    </w:r>
                    <w:r>
                      <w:instrText xml:space="preserve"> PAGE  \* MERGEFORMAT </w:instrText>
                    </w:r>
                    <w:r>
                      <w:fldChar w:fldCharType="separate"/>
                    </w:r>
                    <w:r>
                      <w:t>69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D6867">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216B8">
    <w:pPr>
      <w:pStyle w:val="2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D6FFA">
    <w:pPr>
      <w:pStyle w:val="22"/>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95F7F">
    <w:pPr>
      <w:pStyle w:val="2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00000002"/>
    <w:multiLevelType w:val="singleLevel"/>
    <w:tmpl w:val="00000002"/>
    <w:lvl w:ilvl="0" w:tentative="0">
      <w:start w:val="15"/>
      <w:numFmt w:val="decimal"/>
      <w:suff w:val="space"/>
      <w:lvlText w:val="%1."/>
      <w:lvlJc w:val="left"/>
    </w:lvl>
  </w:abstractNum>
  <w:abstractNum w:abstractNumId="7">
    <w:nsid w:val="00000005"/>
    <w:multiLevelType w:val="singleLevel"/>
    <w:tmpl w:val="00000005"/>
    <w:lvl w:ilvl="0" w:tentative="0">
      <w:start w:val="11"/>
      <w:numFmt w:val="decimal"/>
      <w:suff w:val="space"/>
      <w:lvlText w:val="%1."/>
      <w:lvlJc w:val="left"/>
    </w:lvl>
  </w:abstractNum>
  <w:abstractNum w:abstractNumId="8">
    <w:nsid w:val="00000008"/>
    <w:multiLevelType w:val="multilevel"/>
    <w:tmpl w:val="0000000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9">
    <w:nsid w:val="0000000A"/>
    <w:multiLevelType w:val="multilevel"/>
    <w:tmpl w:val="0000000A"/>
    <w:lvl w:ilvl="0" w:tentative="0">
      <w:start w:val="1"/>
      <w:numFmt w:val="decimal"/>
      <w:lvlText w:val="第%1章"/>
      <w:lvlJc w:val="left"/>
      <w:pPr>
        <w:tabs>
          <w:tab w:val="left" w:pos="3134"/>
        </w:tabs>
        <w:ind w:left="3180" w:hanging="1290"/>
      </w:pPr>
      <w:rPr>
        <w:rFonts w:hint="default"/>
        <w:b/>
        <w:sz w:val="32"/>
        <w:szCs w:val="32"/>
        <w:lang w:val="en-US"/>
      </w:rPr>
    </w:lvl>
    <w:lvl w:ilvl="1" w:tentative="0">
      <w:start w:val="1"/>
      <w:numFmt w:val="lowerLetter"/>
      <w:lvlText w:val="%2)"/>
      <w:lvlJc w:val="left"/>
      <w:pPr>
        <w:tabs>
          <w:tab w:val="left" w:pos="1380"/>
        </w:tabs>
        <w:ind w:left="1426" w:hanging="420"/>
      </w:pPr>
      <w:rPr>
        <w:rFonts w:hint="eastAsia"/>
      </w:rPr>
    </w:lvl>
    <w:lvl w:ilvl="2" w:tentative="0">
      <w:start w:val="1"/>
      <w:numFmt w:val="lowerRoman"/>
      <w:lvlText w:val="%3."/>
      <w:lvlJc w:val="right"/>
      <w:pPr>
        <w:tabs>
          <w:tab w:val="left" w:pos="1800"/>
        </w:tabs>
        <w:ind w:left="1846" w:hanging="420"/>
      </w:pPr>
      <w:rPr>
        <w:rFonts w:hint="eastAsia"/>
      </w:rPr>
    </w:lvl>
    <w:lvl w:ilvl="3" w:tentative="0">
      <w:start w:val="1"/>
      <w:numFmt w:val="decimal"/>
      <w:lvlText w:val="%4."/>
      <w:lvlJc w:val="left"/>
      <w:pPr>
        <w:tabs>
          <w:tab w:val="left" w:pos="2220"/>
        </w:tabs>
        <w:ind w:left="2266" w:hanging="420"/>
      </w:pPr>
      <w:rPr>
        <w:rFonts w:hint="eastAsia"/>
      </w:rPr>
    </w:lvl>
    <w:lvl w:ilvl="4" w:tentative="0">
      <w:start w:val="1"/>
      <w:numFmt w:val="lowerLetter"/>
      <w:lvlText w:val="%5)"/>
      <w:lvlJc w:val="left"/>
      <w:pPr>
        <w:tabs>
          <w:tab w:val="left" w:pos="2640"/>
        </w:tabs>
        <w:ind w:left="2686" w:hanging="420"/>
      </w:pPr>
      <w:rPr>
        <w:rFonts w:hint="eastAsia"/>
      </w:rPr>
    </w:lvl>
    <w:lvl w:ilvl="5" w:tentative="0">
      <w:start w:val="1"/>
      <w:numFmt w:val="lowerRoman"/>
      <w:lvlText w:val="%6."/>
      <w:lvlJc w:val="right"/>
      <w:pPr>
        <w:tabs>
          <w:tab w:val="left" w:pos="3060"/>
        </w:tabs>
        <w:ind w:left="3106" w:hanging="420"/>
      </w:pPr>
      <w:rPr>
        <w:rFonts w:hint="eastAsia"/>
      </w:rPr>
    </w:lvl>
    <w:lvl w:ilvl="6" w:tentative="0">
      <w:start w:val="1"/>
      <w:numFmt w:val="decimal"/>
      <w:lvlText w:val="%7."/>
      <w:lvlJc w:val="left"/>
      <w:pPr>
        <w:tabs>
          <w:tab w:val="left" w:pos="3480"/>
        </w:tabs>
        <w:ind w:left="3526" w:hanging="420"/>
      </w:pPr>
      <w:rPr>
        <w:rFonts w:hint="eastAsia"/>
      </w:rPr>
    </w:lvl>
    <w:lvl w:ilvl="7" w:tentative="0">
      <w:start w:val="1"/>
      <w:numFmt w:val="lowerLetter"/>
      <w:lvlText w:val="%8)"/>
      <w:lvlJc w:val="left"/>
      <w:pPr>
        <w:tabs>
          <w:tab w:val="left" w:pos="3900"/>
        </w:tabs>
        <w:ind w:left="3946" w:hanging="420"/>
      </w:pPr>
      <w:rPr>
        <w:rFonts w:hint="eastAsia"/>
      </w:rPr>
    </w:lvl>
    <w:lvl w:ilvl="8" w:tentative="0">
      <w:start w:val="1"/>
      <w:numFmt w:val="lowerRoman"/>
      <w:lvlText w:val="%9."/>
      <w:lvlJc w:val="right"/>
      <w:pPr>
        <w:tabs>
          <w:tab w:val="left" w:pos="4320"/>
        </w:tabs>
        <w:ind w:left="4366" w:hanging="420"/>
      </w:pPr>
      <w:rPr>
        <w:rFonts w:hint="eastAsia"/>
      </w:rPr>
    </w:lvl>
  </w:abstractNum>
  <w:abstractNum w:abstractNumId="10">
    <w:nsid w:val="0000000D"/>
    <w:multiLevelType w:val="multilevel"/>
    <w:tmpl w:val="0000000D"/>
    <w:lvl w:ilvl="0" w:tentative="0">
      <w:start w:val="1"/>
      <w:numFmt w:val="decimal"/>
      <w:pStyle w:val="48"/>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0000000F"/>
    <w:multiLevelType w:val="singleLevel"/>
    <w:tmpl w:val="0000000F"/>
    <w:lvl w:ilvl="0" w:tentative="0">
      <w:start w:val="2"/>
      <w:numFmt w:val="decimal"/>
      <w:suff w:val="nothing"/>
      <w:lvlText w:val="%1、"/>
      <w:lvlJc w:val="left"/>
    </w:lvl>
  </w:abstractNum>
  <w:abstractNum w:abstractNumId="12">
    <w:nsid w:val="00000012"/>
    <w:multiLevelType w:val="multilevel"/>
    <w:tmpl w:val="00000012"/>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13">
    <w:nsid w:val="27076AAD"/>
    <w:multiLevelType w:val="multilevel"/>
    <w:tmpl w:val="27076AAD"/>
    <w:lvl w:ilvl="0" w:tentative="0">
      <w:start w:val="1"/>
      <w:numFmt w:val="decimal"/>
      <w:lvlText w:val="%1"/>
      <w:lvlJc w:val="left"/>
      <w:pPr>
        <w:tabs>
          <w:tab w:val="left" w:pos="425"/>
        </w:tabs>
        <w:ind w:left="425" w:hanging="425"/>
      </w:pPr>
    </w:lvl>
    <w:lvl w:ilvl="1" w:tentative="0">
      <w:start w:val="1"/>
      <w:numFmt w:val="decimal"/>
      <w:pStyle w:val="32"/>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4">
    <w:nsid w:val="6BC03A0C"/>
    <w:multiLevelType w:val="singleLevel"/>
    <w:tmpl w:val="6BC03A0C"/>
    <w:lvl w:ilvl="0" w:tentative="0">
      <w:start w:val="5"/>
      <w:numFmt w:val="chineseCounting"/>
      <w:suff w:val="space"/>
      <w:lvlText w:val="第%1章"/>
      <w:lvlJc w:val="left"/>
      <w:rPr>
        <w:rFonts w:hint="eastAsia"/>
      </w:rPr>
    </w:lvl>
  </w:abstractNum>
  <w:abstractNum w:abstractNumId="15">
    <w:nsid w:val="74C8B01A"/>
    <w:multiLevelType w:val="singleLevel"/>
    <w:tmpl w:val="74C8B01A"/>
    <w:lvl w:ilvl="0" w:tentative="0">
      <w:start w:val="1"/>
      <w:numFmt w:val="decimal"/>
      <w:suff w:val="nothing"/>
      <w:lvlText w:val="%1．"/>
      <w:lvlJc w:val="left"/>
      <w:pPr>
        <w:ind w:left="0" w:firstLine="400"/>
      </w:pPr>
      <w:rPr>
        <w:rFonts w:hint="default"/>
      </w:rPr>
    </w:lvl>
  </w:abstractNum>
  <w:abstractNum w:abstractNumId="16">
    <w:nsid w:val="76817CDA"/>
    <w:multiLevelType w:val="singleLevel"/>
    <w:tmpl w:val="76817CDA"/>
    <w:lvl w:ilvl="0" w:tentative="0">
      <w:start w:val="2"/>
      <w:numFmt w:val="chineseCounting"/>
      <w:suff w:val="nothing"/>
      <w:lvlText w:val="%1、"/>
      <w:lvlJc w:val="left"/>
      <w:rPr>
        <w:rFonts w:hint="eastAsia"/>
      </w:rPr>
    </w:lvl>
  </w:abstractNum>
  <w:abstractNum w:abstractNumId="17">
    <w:nsid w:val="7A0F6431"/>
    <w:multiLevelType w:val="singleLevel"/>
    <w:tmpl w:val="7A0F6431"/>
    <w:lvl w:ilvl="0" w:tentative="0">
      <w:start w:val="1"/>
      <w:numFmt w:val="decimal"/>
      <w:suff w:val="space"/>
      <w:lvlText w:val="%1."/>
      <w:lvlJc w:val="left"/>
    </w:lvl>
  </w:abstractNum>
  <w:num w:numId="1">
    <w:abstractNumId w:val="13"/>
  </w:num>
  <w:num w:numId="2">
    <w:abstractNumId w:val="10"/>
  </w:num>
  <w:num w:numId="3">
    <w:abstractNumId w:val="12"/>
  </w:num>
  <w:num w:numId="4">
    <w:abstractNumId w:val="7"/>
  </w:num>
  <w:num w:numId="5">
    <w:abstractNumId w:val="6"/>
  </w:num>
  <w:num w:numId="6">
    <w:abstractNumId w:val="8"/>
  </w:num>
  <w:num w:numId="7">
    <w:abstractNumId w:val="16"/>
  </w:num>
  <w:num w:numId="8">
    <w:abstractNumId w:val="9"/>
  </w:num>
  <w:num w:numId="9">
    <w:abstractNumId w:val="11"/>
  </w:num>
  <w:num w:numId="10">
    <w:abstractNumId w:val="15"/>
  </w:num>
  <w:num w:numId="11">
    <w:abstractNumId w:val="14"/>
  </w:num>
  <w:num w:numId="12">
    <w:abstractNumId w:val="17"/>
  </w:num>
  <w:num w:numId="13">
    <w:abstractNumId w:val="1"/>
  </w:num>
  <w:num w:numId="14">
    <w:abstractNumId w:val="5"/>
  </w:num>
  <w:num w:numId="15">
    <w:abstractNumId w:val="3"/>
  </w:num>
  <w:num w:numId="16">
    <w:abstractNumId w:val="2"/>
  </w:num>
  <w:num w:numId="17">
    <w:abstractNumId w:val="0"/>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Y1Yzc3MDY0NzJjMTAwYTViNDdmYTkyZTU4ZWE4YjUifQ=="/>
  </w:docVars>
  <w:rsids>
    <w:rsidRoot w:val="00172A27"/>
    <w:rsid w:val="000004CD"/>
    <w:rsid w:val="00001783"/>
    <w:rsid w:val="00001797"/>
    <w:rsid w:val="0000273B"/>
    <w:rsid w:val="000041A8"/>
    <w:rsid w:val="000055D7"/>
    <w:rsid w:val="0001343F"/>
    <w:rsid w:val="0001529F"/>
    <w:rsid w:val="000157E2"/>
    <w:rsid w:val="0001697A"/>
    <w:rsid w:val="000169E1"/>
    <w:rsid w:val="00020D78"/>
    <w:rsid w:val="00021486"/>
    <w:rsid w:val="00021AE8"/>
    <w:rsid w:val="00022E94"/>
    <w:rsid w:val="000313B5"/>
    <w:rsid w:val="00032B95"/>
    <w:rsid w:val="000333A8"/>
    <w:rsid w:val="000434F9"/>
    <w:rsid w:val="00043533"/>
    <w:rsid w:val="00045D67"/>
    <w:rsid w:val="0004677C"/>
    <w:rsid w:val="000538CC"/>
    <w:rsid w:val="000541C7"/>
    <w:rsid w:val="00054A8E"/>
    <w:rsid w:val="00055A71"/>
    <w:rsid w:val="00056583"/>
    <w:rsid w:val="00056932"/>
    <w:rsid w:val="00057BB2"/>
    <w:rsid w:val="0006019D"/>
    <w:rsid w:val="000612B3"/>
    <w:rsid w:val="00061B68"/>
    <w:rsid w:val="00063750"/>
    <w:rsid w:val="00065379"/>
    <w:rsid w:val="000673C5"/>
    <w:rsid w:val="00070907"/>
    <w:rsid w:val="000719AB"/>
    <w:rsid w:val="00073852"/>
    <w:rsid w:val="00076670"/>
    <w:rsid w:val="00080B56"/>
    <w:rsid w:val="00080FC7"/>
    <w:rsid w:val="00081D11"/>
    <w:rsid w:val="00083115"/>
    <w:rsid w:val="00093645"/>
    <w:rsid w:val="00096150"/>
    <w:rsid w:val="00096F54"/>
    <w:rsid w:val="000A31C4"/>
    <w:rsid w:val="000A3727"/>
    <w:rsid w:val="000A49C1"/>
    <w:rsid w:val="000A799B"/>
    <w:rsid w:val="000B3242"/>
    <w:rsid w:val="000B3392"/>
    <w:rsid w:val="000B362F"/>
    <w:rsid w:val="000B366A"/>
    <w:rsid w:val="000B6C50"/>
    <w:rsid w:val="000C0FDF"/>
    <w:rsid w:val="000C15AF"/>
    <w:rsid w:val="000C3524"/>
    <w:rsid w:val="000C3FA9"/>
    <w:rsid w:val="000C5071"/>
    <w:rsid w:val="000C55ED"/>
    <w:rsid w:val="000C6F86"/>
    <w:rsid w:val="000D10E4"/>
    <w:rsid w:val="000D1613"/>
    <w:rsid w:val="000D19C1"/>
    <w:rsid w:val="000D4E69"/>
    <w:rsid w:val="000D5125"/>
    <w:rsid w:val="000D70EF"/>
    <w:rsid w:val="000D75FC"/>
    <w:rsid w:val="000D7812"/>
    <w:rsid w:val="000E1288"/>
    <w:rsid w:val="000E1E88"/>
    <w:rsid w:val="000E3784"/>
    <w:rsid w:val="000E37E0"/>
    <w:rsid w:val="000E47A0"/>
    <w:rsid w:val="000E597F"/>
    <w:rsid w:val="000E5BFC"/>
    <w:rsid w:val="000E694F"/>
    <w:rsid w:val="000E6F85"/>
    <w:rsid w:val="000E7158"/>
    <w:rsid w:val="000E74D4"/>
    <w:rsid w:val="000F2D05"/>
    <w:rsid w:val="000F2EEE"/>
    <w:rsid w:val="000F4234"/>
    <w:rsid w:val="000F6215"/>
    <w:rsid w:val="000F63C8"/>
    <w:rsid w:val="000F6581"/>
    <w:rsid w:val="00102417"/>
    <w:rsid w:val="001032CC"/>
    <w:rsid w:val="00105B0B"/>
    <w:rsid w:val="0011024E"/>
    <w:rsid w:val="00110943"/>
    <w:rsid w:val="00112163"/>
    <w:rsid w:val="00114579"/>
    <w:rsid w:val="00115BF1"/>
    <w:rsid w:val="001179A1"/>
    <w:rsid w:val="00117B1B"/>
    <w:rsid w:val="0012032C"/>
    <w:rsid w:val="0012244B"/>
    <w:rsid w:val="001224B5"/>
    <w:rsid w:val="00122643"/>
    <w:rsid w:val="0012425B"/>
    <w:rsid w:val="001244F8"/>
    <w:rsid w:val="001247F0"/>
    <w:rsid w:val="001252D8"/>
    <w:rsid w:val="001257D4"/>
    <w:rsid w:val="00126024"/>
    <w:rsid w:val="00131E0D"/>
    <w:rsid w:val="0013359E"/>
    <w:rsid w:val="00137694"/>
    <w:rsid w:val="00141EAC"/>
    <w:rsid w:val="00143652"/>
    <w:rsid w:val="0014627C"/>
    <w:rsid w:val="0015142E"/>
    <w:rsid w:val="00154A67"/>
    <w:rsid w:val="00155351"/>
    <w:rsid w:val="00157C74"/>
    <w:rsid w:val="00157D8E"/>
    <w:rsid w:val="00161678"/>
    <w:rsid w:val="00161D71"/>
    <w:rsid w:val="00162805"/>
    <w:rsid w:val="00165014"/>
    <w:rsid w:val="0017180F"/>
    <w:rsid w:val="00173364"/>
    <w:rsid w:val="001733C3"/>
    <w:rsid w:val="00173BFF"/>
    <w:rsid w:val="00174749"/>
    <w:rsid w:val="00174FCA"/>
    <w:rsid w:val="00175AFB"/>
    <w:rsid w:val="00176F12"/>
    <w:rsid w:val="001770BE"/>
    <w:rsid w:val="00177A3E"/>
    <w:rsid w:val="00183E4B"/>
    <w:rsid w:val="00187B13"/>
    <w:rsid w:val="00187EB4"/>
    <w:rsid w:val="0019218A"/>
    <w:rsid w:val="0019618B"/>
    <w:rsid w:val="00196FA0"/>
    <w:rsid w:val="001A3B44"/>
    <w:rsid w:val="001A4571"/>
    <w:rsid w:val="001A4716"/>
    <w:rsid w:val="001A5EEB"/>
    <w:rsid w:val="001A62A5"/>
    <w:rsid w:val="001B4216"/>
    <w:rsid w:val="001B49A4"/>
    <w:rsid w:val="001B521B"/>
    <w:rsid w:val="001B5CC8"/>
    <w:rsid w:val="001B6587"/>
    <w:rsid w:val="001C0582"/>
    <w:rsid w:val="001C058D"/>
    <w:rsid w:val="001C24DD"/>
    <w:rsid w:val="001C54C3"/>
    <w:rsid w:val="001C577E"/>
    <w:rsid w:val="001D027D"/>
    <w:rsid w:val="001D4A1E"/>
    <w:rsid w:val="001D70E9"/>
    <w:rsid w:val="001E181E"/>
    <w:rsid w:val="001E1DCD"/>
    <w:rsid w:val="001E4481"/>
    <w:rsid w:val="001E44EF"/>
    <w:rsid w:val="001E6C1A"/>
    <w:rsid w:val="001E7629"/>
    <w:rsid w:val="001E7846"/>
    <w:rsid w:val="001E7E8B"/>
    <w:rsid w:val="001F2F0B"/>
    <w:rsid w:val="001F3130"/>
    <w:rsid w:val="001F5903"/>
    <w:rsid w:val="001F70FA"/>
    <w:rsid w:val="001F7292"/>
    <w:rsid w:val="002001DC"/>
    <w:rsid w:val="002032B0"/>
    <w:rsid w:val="00203778"/>
    <w:rsid w:val="0020407A"/>
    <w:rsid w:val="00210AE7"/>
    <w:rsid w:val="002123C7"/>
    <w:rsid w:val="002124BD"/>
    <w:rsid w:val="00213411"/>
    <w:rsid w:val="00216D4F"/>
    <w:rsid w:val="00216E43"/>
    <w:rsid w:val="00220866"/>
    <w:rsid w:val="002231A4"/>
    <w:rsid w:val="00223245"/>
    <w:rsid w:val="00224447"/>
    <w:rsid w:val="00224A77"/>
    <w:rsid w:val="0022671D"/>
    <w:rsid w:val="0023090E"/>
    <w:rsid w:val="00231C64"/>
    <w:rsid w:val="00232C22"/>
    <w:rsid w:val="0023318A"/>
    <w:rsid w:val="00234EA0"/>
    <w:rsid w:val="00236A9B"/>
    <w:rsid w:val="0023715B"/>
    <w:rsid w:val="00237592"/>
    <w:rsid w:val="00244A0E"/>
    <w:rsid w:val="00244F73"/>
    <w:rsid w:val="002501BB"/>
    <w:rsid w:val="002509CA"/>
    <w:rsid w:val="00250C1D"/>
    <w:rsid w:val="00251A29"/>
    <w:rsid w:val="00251B89"/>
    <w:rsid w:val="00253615"/>
    <w:rsid w:val="00253950"/>
    <w:rsid w:val="00254F7E"/>
    <w:rsid w:val="0025569E"/>
    <w:rsid w:val="002564FE"/>
    <w:rsid w:val="002603EB"/>
    <w:rsid w:val="00261299"/>
    <w:rsid w:val="00261FEB"/>
    <w:rsid w:val="00264327"/>
    <w:rsid w:val="002650F1"/>
    <w:rsid w:val="00266403"/>
    <w:rsid w:val="00266406"/>
    <w:rsid w:val="002679CA"/>
    <w:rsid w:val="00271682"/>
    <w:rsid w:val="00272722"/>
    <w:rsid w:val="002745E7"/>
    <w:rsid w:val="002760AC"/>
    <w:rsid w:val="00277935"/>
    <w:rsid w:val="00277E8E"/>
    <w:rsid w:val="00280DD6"/>
    <w:rsid w:val="0028121D"/>
    <w:rsid w:val="00282496"/>
    <w:rsid w:val="00283033"/>
    <w:rsid w:val="002854DC"/>
    <w:rsid w:val="0028616B"/>
    <w:rsid w:val="00290CDE"/>
    <w:rsid w:val="00290DE2"/>
    <w:rsid w:val="002959CC"/>
    <w:rsid w:val="002A0C27"/>
    <w:rsid w:val="002A2315"/>
    <w:rsid w:val="002A2732"/>
    <w:rsid w:val="002A3153"/>
    <w:rsid w:val="002A6C9C"/>
    <w:rsid w:val="002C10AC"/>
    <w:rsid w:val="002C2AE8"/>
    <w:rsid w:val="002C2FF3"/>
    <w:rsid w:val="002C3A5A"/>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A07"/>
    <w:rsid w:val="002F2D5F"/>
    <w:rsid w:val="002F46DC"/>
    <w:rsid w:val="002F5145"/>
    <w:rsid w:val="002F5CB9"/>
    <w:rsid w:val="002F5E9B"/>
    <w:rsid w:val="002F683C"/>
    <w:rsid w:val="00300028"/>
    <w:rsid w:val="00310C52"/>
    <w:rsid w:val="0031140B"/>
    <w:rsid w:val="00314E3D"/>
    <w:rsid w:val="00317120"/>
    <w:rsid w:val="003171BB"/>
    <w:rsid w:val="0032100C"/>
    <w:rsid w:val="003212C2"/>
    <w:rsid w:val="00321921"/>
    <w:rsid w:val="00321926"/>
    <w:rsid w:val="00324608"/>
    <w:rsid w:val="00327707"/>
    <w:rsid w:val="0033060D"/>
    <w:rsid w:val="003318F3"/>
    <w:rsid w:val="00331ECA"/>
    <w:rsid w:val="00333919"/>
    <w:rsid w:val="00334F3E"/>
    <w:rsid w:val="003352E8"/>
    <w:rsid w:val="003379AF"/>
    <w:rsid w:val="00337C5C"/>
    <w:rsid w:val="00340C75"/>
    <w:rsid w:val="00343E4C"/>
    <w:rsid w:val="003528B8"/>
    <w:rsid w:val="00352BC8"/>
    <w:rsid w:val="00355D82"/>
    <w:rsid w:val="00356CAF"/>
    <w:rsid w:val="003612A6"/>
    <w:rsid w:val="003671F3"/>
    <w:rsid w:val="00367712"/>
    <w:rsid w:val="00367C88"/>
    <w:rsid w:val="00367DB2"/>
    <w:rsid w:val="00370B19"/>
    <w:rsid w:val="00371C8C"/>
    <w:rsid w:val="00373408"/>
    <w:rsid w:val="003748EB"/>
    <w:rsid w:val="00375DCD"/>
    <w:rsid w:val="00376F36"/>
    <w:rsid w:val="003800A6"/>
    <w:rsid w:val="0038151E"/>
    <w:rsid w:val="00382FFA"/>
    <w:rsid w:val="00383B0A"/>
    <w:rsid w:val="0038491D"/>
    <w:rsid w:val="00387606"/>
    <w:rsid w:val="00391DD2"/>
    <w:rsid w:val="003925E1"/>
    <w:rsid w:val="00393D74"/>
    <w:rsid w:val="003943A7"/>
    <w:rsid w:val="0039599A"/>
    <w:rsid w:val="00396A66"/>
    <w:rsid w:val="003A0E06"/>
    <w:rsid w:val="003A1A69"/>
    <w:rsid w:val="003A37B8"/>
    <w:rsid w:val="003A582F"/>
    <w:rsid w:val="003A6B72"/>
    <w:rsid w:val="003B020F"/>
    <w:rsid w:val="003B3917"/>
    <w:rsid w:val="003B41D9"/>
    <w:rsid w:val="003B4356"/>
    <w:rsid w:val="003B5422"/>
    <w:rsid w:val="003B7293"/>
    <w:rsid w:val="003B7D7E"/>
    <w:rsid w:val="003C0EF3"/>
    <w:rsid w:val="003C53B2"/>
    <w:rsid w:val="003C6422"/>
    <w:rsid w:val="003C6C9A"/>
    <w:rsid w:val="003D6961"/>
    <w:rsid w:val="003E01CA"/>
    <w:rsid w:val="003E2C77"/>
    <w:rsid w:val="003E2C89"/>
    <w:rsid w:val="003E3C14"/>
    <w:rsid w:val="003E6516"/>
    <w:rsid w:val="003E747A"/>
    <w:rsid w:val="003F0149"/>
    <w:rsid w:val="003F11BD"/>
    <w:rsid w:val="003F4748"/>
    <w:rsid w:val="003F61AC"/>
    <w:rsid w:val="00401267"/>
    <w:rsid w:val="00401B70"/>
    <w:rsid w:val="00402836"/>
    <w:rsid w:val="0040298F"/>
    <w:rsid w:val="0040367C"/>
    <w:rsid w:val="00404B23"/>
    <w:rsid w:val="00405154"/>
    <w:rsid w:val="004109B8"/>
    <w:rsid w:val="0041238C"/>
    <w:rsid w:val="00412829"/>
    <w:rsid w:val="0041314E"/>
    <w:rsid w:val="00414EDB"/>
    <w:rsid w:val="004164DF"/>
    <w:rsid w:val="0042141B"/>
    <w:rsid w:val="00425FB2"/>
    <w:rsid w:val="004261AF"/>
    <w:rsid w:val="00426BB0"/>
    <w:rsid w:val="00427182"/>
    <w:rsid w:val="00433EEA"/>
    <w:rsid w:val="004408B0"/>
    <w:rsid w:val="004408EE"/>
    <w:rsid w:val="00441C7F"/>
    <w:rsid w:val="00441E5E"/>
    <w:rsid w:val="0044524F"/>
    <w:rsid w:val="0044654E"/>
    <w:rsid w:val="004504F2"/>
    <w:rsid w:val="00450C1F"/>
    <w:rsid w:val="00455240"/>
    <w:rsid w:val="0045705D"/>
    <w:rsid w:val="00457AEF"/>
    <w:rsid w:val="0046046C"/>
    <w:rsid w:val="00461405"/>
    <w:rsid w:val="004663F3"/>
    <w:rsid w:val="00467553"/>
    <w:rsid w:val="00471F78"/>
    <w:rsid w:val="00473B94"/>
    <w:rsid w:val="00473DC2"/>
    <w:rsid w:val="0047556E"/>
    <w:rsid w:val="00475991"/>
    <w:rsid w:val="00475B13"/>
    <w:rsid w:val="00480D8D"/>
    <w:rsid w:val="004814E5"/>
    <w:rsid w:val="004827CD"/>
    <w:rsid w:val="00484641"/>
    <w:rsid w:val="004846F8"/>
    <w:rsid w:val="00485EFC"/>
    <w:rsid w:val="00490A94"/>
    <w:rsid w:val="004911E4"/>
    <w:rsid w:val="004912F4"/>
    <w:rsid w:val="004922BC"/>
    <w:rsid w:val="00492CE8"/>
    <w:rsid w:val="00493558"/>
    <w:rsid w:val="004936D2"/>
    <w:rsid w:val="00493EC9"/>
    <w:rsid w:val="00494ECE"/>
    <w:rsid w:val="00495251"/>
    <w:rsid w:val="00495B0C"/>
    <w:rsid w:val="004963A5"/>
    <w:rsid w:val="004A1759"/>
    <w:rsid w:val="004A2275"/>
    <w:rsid w:val="004A2A68"/>
    <w:rsid w:val="004A3872"/>
    <w:rsid w:val="004A3AC0"/>
    <w:rsid w:val="004A42CE"/>
    <w:rsid w:val="004A42D0"/>
    <w:rsid w:val="004A4ED0"/>
    <w:rsid w:val="004A6F61"/>
    <w:rsid w:val="004B0706"/>
    <w:rsid w:val="004B22B1"/>
    <w:rsid w:val="004B3489"/>
    <w:rsid w:val="004B46E5"/>
    <w:rsid w:val="004B6542"/>
    <w:rsid w:val="004B72A3"/>
    <w:rsid w:val="004C1E33"/>
    <w:rsid w:val="004C6870"/>
    <w:rsid w:val="004D29A3"/>
    <w:rsid w:val="004D4D48"/>
    <w:rsid w:val="004D5250"/>
    <w:rsid w:val="004D6AD9"/>
    <w:rsid w:val="004E0517"/>
    <w:rsid w:val="004E0C12"/>
    <w:rsid w:val="004E13F0"/>
    <w:rsid w:val="004E4854"/>
    <w:rsid w:val="004E5FCE"/>
    <w:rsid w:val="004F036B"/>
    <w:rsid w:val="004F052D"/>
    <w:rsid w:val="004F0E54"/>
    <w:rsid w:val="004F7B7E"/>
    <w:rsid w:val="00501785"/>
    <w:rsid w:val="00503724"/>
    <w:rsid w:val="00504E3C"/>
    <w:rsid w:val="00507AD5"/>
    <w:rsid w:val="00513F7C"/>
    <w:rsid w:val="005149B8"/>
    <w:rsid w:val="005168FA"/>
    <w:rsid w:val="005175C0"/>
    <w:rsid w:val="00517C1F"/>
    <w:rsid w:val="00520001"/>
    <w:rsid w:val="00521717"/>
    <w:rsid w:val="005227D6"/>
    <w:rsid w:val="00522EA1"/>
    <w:rsid w:val="0052391C"/>
    <w:rsid w:val="0052393A"/>
    <w:rsid w:val="00530C3F"/>
    <w:rsid w:val="00532B1D"/>
    <w:rsid w:val="00533524"/>
    <w:rsid w:val="00534347"/>
    <w:rsid w:val="00540C55"/>
    <w:rsid w:val="00542227"/>
    <w:rsid w:val="005422EB"/>
    <w:rsid w:val="0054426F"/>
    <w:rsid w:val="0054508F"/>
    <w:rsid w:val="00546F3A"/>
    <w:rsid w:val="005475C6"/>
    <w:rsid w:val="00550C61"/>
    <w:rsid w:val="005528E4"/>
    <w:rsid w:val="00552FBA"/>
    <w:rsid w:val="00554D9D"/>
    <w:rsid w:val="00555A82"/>
    <w:rsid w:val="00556C52"/>
    <w:rsid w:val="005574FC"/>
    <w:rsid w:val="0056008C"/>
    <w:rsid w:val="005620BF"/>
    <w:rsid w:val="00570A8A"/>
    <w:rsid w:val="00571BE1"/>
    <w:rsid w:val="0057268E"/>
    <w:rsid w:val="00573C95"/>
    <w:rsid w:val="005750B7"/>
    <w:rsid w:val="005806C7"/>
    <w:rsid w:val="00582CA5"/>
    <w:rsid w:val="00582FE9"/>
    <w:rsid w:val="0058511B"/>
    <w:rsid w:val="005852AF"/>
    <w:rsid w:val="00586FF5"/>
    <w:rsid w:val="005A0332"/>
    <w:rsid w:val="005A1737"/>
    <w:rsid w:val="005A1914"/>
    <w:rsid w:val="005A1D6F"/>
    <w:rsid w:val="005A378B"/>
    <w:rsid w:val="005A3804"/>
    <w:rsid w:val="005A40B3"/>
    <w:rsid w:val="005B1361"/>
    <w:rsid w:val="005B177D"/>
    <w:rsid w:val="005B3B4A"/>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F1F63"/>
    <w:rsid w:val="005F324D"/>
    <w:rsid w:val="005F4C0F"/>
    <w:rsid w:val="006011F9"/>
    <w:rsid w:val="006016B0"/>
    <w:rsid w:val="00602247"/>
    <w:rsid w:val="006031BC"/>
    <w:rsid w:val="006054AE"/>
    <w:rsid w:val="00606661"/>
    <w:rsid w:val="00612A91"/>
    <w:rsid w:val="00613020"/>
    <w:rsid w:val="00615BD4"/>
    <w:rsid w:val="006176D9"/>
    <w:rsid w:val="0062063C"/>
    <w:rsid w:val="00621EEA"/>
    <w:rsid w:val="00622049"/>
    <w:rsid w:val="006267AC"/>
    <w:rsid w:val="00626800"/>
    <w:rsid w:val="006275F8"/>
    <w:rsid w:val="00630C8F"/>
    <w:rsid w:val="0063126C"/>
    <w:rsid w:val="006321D9"/>
    <w:rsid w:val="00633671"/>
    <w:rsid w:val="00635ACD"/>
    <w:rsid w:val="00645F9B"/>
    <w:rsid w:val="006462F4"/>
    <w:rsid w:val="00646C7B"/>
    <w:rsid w:val="00653EEF"/>
    <w:rsid w:val="006545B6"/>
    <w:rsid w:val="00656DB1"/>
    <w:rsid w:val="0065706C"/>
    <w:rsid w:val="006570F3"/>
    <w:rsid w:val="006574CA"/>
    <w:rsid w:val="0066028F"/>
    <w:rsid w:val="00663087"/>
    <w:rsid w:val="00666E6E"/>
    <w:rsid w:val="00667926"/>
    <w:rsid w:val="00672A07"/>
    <w:rsid w:val="00672A3D"/>
    <w:rsid w:val="00673284"/>
    <w:rsid w:val="00673C56"/>
    <w:rsid w:val="00674E3C"/>
    <w:rsid w:val="00684218"/>
    <w:rsid w:val="00684A17"/>
    <w:rsid w:val="0068548A"/>
    <w:rsid w:val="00686ACA"/>
    <w:rsid w:val="006904AF"/>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C0F43"/>
    <w:rsid w:val="006C2D51"/>
    <w:rsid w:val="006C4083"/>
    <w:rsid w:val="006C43D6"/>
    <w:rsid w:val="006C4B81"/>
    <w:rsid w:val="006C517C"/>
    <w:rsid w:val="006C5CAA"/>
    <w:rsid w:val="006C6855"/>
    <w:rsid w:val="006C7F43"/>
    <w:rsid w:val="006D16F3"/>
    <w:rsid w:val="006D49E3"/>
    <w:rsid w:val="006D4C2C"/>
    <w:rsid w:val="006D62FF"/>
    <w:rsid w:val="006E019F"/>
    <w:rsid w:val="006E18C4"/>
    <w:rsid w:val="006E18CB"/>
    <w:rsid w:val="006E3E50"/>
    <w:rsid w:val="006E402A"/>
    <w:rsid w:val="006E525F"/>
    <w:rsid w:val="006E74F5"/>
    <w:rsid w:val="006E7DCA"/>
    <w:rsid w:val="006F03B7"/>
    <w:rsid w:val="006F2035"/>
    <w:rsid w:val="006F28EE"/>
    <w:rsid w:val="006F42C2"/>
    <w:rsid w:val="006F602A"/>
    <w:rsid w:val="006F7412"/>
    <w:rsid w:val="00704E65"/>
    <w:rsid w:val="0071025E"/>
    <w:rsid w:val="007105A5"/>
    <w:rsid w:val="00710B8D"/>
    <w:rsid w:val="007112D3"/>
    <w:rsid w:val="00712CF9"/>
    <w:rsid w:val="00713024"/>
    <w:rsid w:val="00713EA1"/>
    <w:rsid w:val="00715D6B"/>
    <w:rsid w:val="00717F6B"/>
    <w:rsid w:val="007212F0"/>
    <w:rsid w:val="00722EC6"/>
    <w:rsid w:val="00723FF6"/>
    <w:rsid w:val="0072460B"/>
    <w:rsid w:val="00726876"/>
    <w:rsid w:val="007269B1"/>
    <w:rsid w:val="00730DF7"/>
    <w:rsid w:val="0073123A"/>
    <w:rsid w:val="007331F6"/>
    <w:rsid w:val="0073362F"/>
    <w:rsid w:val="00733A3E"/>
    <w:rsid w:val="00736B54"/>
    <w:rsid w:val="00740605"/>
    <w:rsid w:val="00740FA5"/>
    <w:rsid w:val="007440A8"/>
    <w:rsid w:val="00747B97"/>
    <w:rsid w:val="00747DD4"/>
    <w:rsid w:val="00751820"/>
    <w:rsid w:val="00751B7E"/>
    <w:rsid w:val="00752AB2"/>
    <w:rsid w:val="00752C75"/>
    <w:rsid w:val="00754193"/>
    <w:rsid w:val="007556C8"/>
    <w:rsid w:val="00756FA1"/>
    <w:rsid w:val="007605DF"/>
    <w:rsid w:val="0076244A"/>
    <w:rsid w:val="00762D9D"/>
    <w:rsid w:val="00763FD6"/>
    <w:rsid w:val="0076431D"/>
    <w:rsid w:val="00766DE9"/>
    <w:rsid w:val="007678A5"/>
    <w:rsid w:val="00770841"/>
    <w:rsid w:val="00771F67"/>
    <w:rsid w:val="00772012"/>
    <w:rsid w:val="0077418F"/>
    <w:rsid w:val="00774C01"/>
    <w:rsid w:val="007823C9"/>
    <w:rsid w:val="007835B7"/>
    <w:rsid w:val="007841F7"/>
    <w:rsid w:val="007863E1"/>
    <w:rsid w:val="007910D3"/>
    <w:rsid w:val="0079336E"/>
    <w:rsid w:val="007A3A1F"/>
    <w:rsid w:val="007A5BD0"/>
    <w:rsid w:val="007B4B46"/>
    <w:rsid w:val="007B5E5F"/>
    <w:rsid w:val="007B6CA0"/>
    <w:rsid w:val="007B6F71"/>
    <w:rsid w:val="007C06F8"/>
    <w:rsid w:val="007C27E5"/>
    <w:rsid w:val="007C2E24"/>
    <w:rsid w:val="007C3F78"/>
    <w:rsid w:val="007C4B09"/>
    <w:rsid w:val="007C6167"/>
    <w:rsid w:val="007C6EB8"/>
    <w:rsid w:val="007C7809"/>
    <w:rsid w:val="007D13B9"/>
    <w:rsid w:val="007D2774"/>
    <w:rsid w:val="007D71F7"/>
    <w:rsid w:val="007E024C"/>
    <w:rsid w:val="007E160E"/>
    <w:rsid w:val="007E1BDD"/>
    <w:rsid w:val="007E700C"/>
    <w:rsid w:val="007E7388"/>
    <w:rsid w:val="007F1BAF"/>
    <w:rsid w:val="007F1F1C"/>
    <w:rsid w:val="007F2277"/>
    <w:rsid w:val="007F433C"/>
    <w:rsid w:val="007F4428"/>
    <w:rsid w:val="008004B0"/>
    <w:rsid w:val="008045D9"/>
    <w:rsid w:val="00806C8A"/>
    <w:rsid w:val="0080702C"/>
    <w:rsid w:val="00807165"/>
    <w:rsid w:val="00812094"/>
    <w:rsid w:val="0081333B"/>
    <w:rsid w:val="008140D7"/>
    <w:rsid w:val="0081653B"/>
    <w:rsid w:val="00821DF6"/>
    <w:rsid w:val="00823CCC"/>
    <w:rsid w:val="00827179"/>
    <w:rsid w:val="00827F6E"/>
    <w:rsid w:val="0083029A"/>
    <w:rsid w:val="00830426"/>
    <w:rsid w:val="00830E02"/>
    <w:rsid w:val="00831C83"/>
    <w:rsid w:val="00831E0A"/>
    <w:rsid w:val="008343C4"/>
    <w:rsid w:val="00835847"/>
    <w:rsid w:val="00835C6F"/>
    <w:rsid w:val="00837429"/>
    <w:rsid w:val="0083745B"/>
    <w:rsid w:val="00840252"/>
    <w:rsid w:val="00840420"/>
    <w:rsid w:val="00842DE3"/>
    <w:rsid w:val="00844F5E"/>
    <w:rsid w:val="008466F8"/>
    <w:rsid w:val="00846701"/>
    <w:rsid w:val="0085232F"/>
    <w:rsid w:val="00854E2A"/>
    <w:rsid w:val="008550CD"/>
    <w:rsid w:val="00857E3A"/>
    <w:rsid w:val="00861135"/>
    <w:rsid w:val="00864495"/>
    <w:rsid w:val="0086449D"/>
    <w:rsid w:val="008651BC"/>
    <w:rsid w:val="00867059"/>
    <w:rsid w:val="00867A5A"/>
    <w:rsid w:val="008711B1"/>
    <w:rsid w:val="00871FBA"/>
    <w:rsid w:val="00872119"/>
    <w:rsid w:val="008722FB"/>
    <w:rsid w:val="00877EA2"/>
    <w:rsid w:val="008808CA"/>
    <w:rsid w:val="00887D93"/>
    <w:rsid w:val="00890912"/>
    <w:rsid w:val="00890D7D"/>
    <w:rsid w:val="008917B4"/>
    <w:rsid w:val="008933C7"/>
    <w:rsid w:val="008941B9"/>
    <w:rsid w:val="00894216"/>
    <w:rsid w:val="008959F9"/>
    <w:rsid w:val="00896786"/>
    <w:rsid w:val="00897413"/>
    <w:rsid w:val="008A118C"/>
    <w:rsid w:val="008A46DC"/>
    <w:rsid w:val="008A4806"/>
    <w:rsid w:val="008A4AF3"/>
    <w:rsid w:val="008A4BF4"/>
    <w:rsid w:val="008A510D"/>
    <w:rsid w:val="008A5EDE"/>
    <w:rsid w:val="008A7A4E"/>
    <w:rsid w:val="008A7C4F"/>
    <w:rsid w:val="008B2FA8"/>
    <w:rsid w:val="008B3253"/>
    <w:rsid w:val="008B3F5C"/>
    <w:rsid w:val="008C020E"/>
    <w:rsid w:val="008C2F9E"/>
    <w:rsid w:val="008D03EA"/>
    <w:rsid w:val="008D16BD"/>
    <w:rsid w:val="008D17A7"/>
    <w:rsid w:val="008D2871"/>
    <w:rsid w:val="008D2E91"/>
    <w:rsid w:val="008D58E2"/>
    <w:rsid w:val="008D6283"/>
    <w:rsid w:val="008D7FB0"/>
    <w:rsid w:val="008E00C6"/>
    <w:rsid w:val="008E050B"/>
    <w:rsid w:val="008E1010"/>
    <w:rsid w:val="008E2C2E"/>
    <w:rsid w:val="008E5C25"/>
    <w:rsid w:val="008E72A8"/>
    <w:rsid w:val="008F0627"/>
    <w:rsid w:val="008F1FF1"/>
    <w:rsid w:val="008F2498"/>
    <w:rsid w:val="008F41FB"/>
    <w:rsid w:val="008F4736"/>
    <w:rsid w:val="008F4B49"/>
    <w:rsid w:val="008F5977"/>
    <w:rsid w:val="008F5C9B"/>
    <w:rsid w:val="009039C8"/>
    <w:rsid w:val="00904BCF"/>
    <w:rsid w:val="00905B77"/>
    <w:rsid w:val="00905D14"/>
    <w:rsid w:val="00906FD6"/>
    <w:rsid w:val="009079D0"/>
    <w:rsid w:val="00907DCD"/>
    <w:rsid w:val="009104AA"/>
    <w:rsid w:val="0091295B"/>
    <w:rsid w:val="00914466"/>
    <w:rsid w:val="00915D8A"/>
    <w:rsid w:val="00917746"/>
    <w:rsid w:val="009209A5"/>
    <w:rsid w:val="00920F98"/>
    <w:rsid w:val="00922448"/>
    <w:rsid w:val="009228BB"/>
    <w:rsid w:val="00922FDA"/>
    <w:rsid w:val="009244DF"/>
    <w:rsid w:val="00927B04"/>
    <w:rsid w:val="00927EF6"/>
    <w:rsid w:val="00930D45"/>
    <w:rsid w:val="00930E14"/>
    <w:rsid w:val="00933885"/>
    <w:rsid w:val="009338DA"/>
    <w:rsid w:val="00936E93"/>
    <w:rsid w:val="00937FDA"/>
    <w:rsid w:val="00947632"/>
    <w:rsid w:val="0094786C"/>
    <w:rsid w:val="00947B9F"/>
    <w:rsid w:val="00947FB4"/>
    <w:rsid w:val="00952D2F"/>
    <w:rsid w:val="00952D60"/>
    <w:rsid w:val="00952E44"/>
    <w:rsid w:val="00955447"/>
    <w:rsid w:val="00955A17"/>
    <w:rsid w:val="00957C50"/>
    <w:rsid w:val="00960E12"/>
    <w:rsid w:val="0096331F"/>
    <w:rsid w:val="00963914"/>
    <w:rsid w:val="00963A90"/>
    <w:rsid w:val="009729D8"/>
    <w:rsid w:val="0097453F"/>
    <w:rsid w:val="00974577"/>
    <w:rsid w:val="00975045"/>
    <w:rsid w:val="00976670"/>
    <w:rsid w:val="00976BC3"/>
    <w:rsid w:val="00976E64"/>
    <w:rsid w:val="00977929"/>
    <w:rsid w:val="0098426D"/>
    <w:rsid w:val="00993B1F"/>
    <w:rsid w:val="00993E41"/>
    <w:rsid w:val="00993F70"/>
    <w:rsid w:val="0099428D"/>
    <w:rsid w:val="00995932"/>
    <w:rsid w:val="00996D49"/>
    <w:rsid w:val="009A0FFE"/>
    <w:rsid w:val="009A1C77"/>
    <w:rsid w:val="009A51E6"/>
    <w:rsid w:val="009A5BC5"/>
    <w:rsid w:val="009A61AA"/>
    <w:rsid w:val="009A747C"/>
    <w:rsid w:val="009A7DAC"/>
    <w:rsid w:val="009B2B6E"/>
    <w:rsid w:val="009B3C1F"/>
    <w:rsid w:val="009B651B"/>
    <w:rsid w:val="009B7D7E"/>
    <w:rsid w:val="009C10F7"/>
    <w:rsid w:val="009C11B1"/>
    <w:rsid w:val="009C1722"/>
    <w:rsid w:val="009C6235"/>
    <w:rsid w:val="009C6E76"/>
    <w:rsid w:val="009C7B02"/>
    <w:rsid w:val="009D00B8"/>
    <w:rsid w:val="009D3E42"/>
    <w:rsid w:val="009D682E"/>
    <w:rsid w:val="009E40F9"/>
    <w:rsid w:val="009E5844"/>
    <w:rsid w:val="009E653F"/>
    <w:rsid w:val="009E7C9A"/>
    <w:rsid w:val="009F4C6D"/>
    <w:rsid w:val="009F5062"/>
    <w:rsid w:val="00A01D25"/>
    <w:rsid w:val="00A0624A"/>
    <w:rsid w:val="00A06830"/>
    <w:rsid w:val="00A12892"/>
    <w:rsid w:val="00A149DF"/>
    <w:rsid w:val="00A1634D"/>
    <w:rsid w:val="00A1707B"/>
    <w:rsid w:val="00A32694"/>
    <w:rsid w:val="00A33A18"/>
    <w:rsid w:val="00A350BE"/>
    <w:rsid w:val="00A35C8A"/>
    <w:rsid w:val="00A36343"/>
    <w:rsid w:val="00A36638"/>
    <w:rsid w:val="00A36B9A"/>
    <w:rsid w:val="00A4149B"/>
    <w:rsid w:val="00A51ECF"/>
    <w:rsid w:val="00A5335D"/>
    <w:rsid w:val="00A53EBD"/>
    <w:rsid w:val="00A5469F"/>
    <w:rsid w:val="00A56524"/>
    <w:rsid w:val="00A610B8"/>
    <w:rsid w:val="00A61208"/>
    <w:rsid w:val="00A62660"/>
    <w:rsid w:val="00A62D2C"/>
    <w:rsid w:val="00A64D6A"/>
    <w:rsid w:val="00A66A0F"/>
    <w:rsid w:val="00A67FB0"/>
    <w:rsid w:val="00A700BE"/>
    <w:rsid w:val="00A7038D"/>
    <w:rsid w:val="00A73440"/>
    <w:rsid w:val="00A75908"/>
    <w:rsid w:val="00A75D01"/>
    <w:rsid w:val="00A76B01"/>
    <w:rsid w:val="00A813D7"/>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66D2"/>
    <w:rsid w:val="00AB7D6A"/>
    <w:rsid w:val="00AC0A22"/>
    <w:rsid w:val="00AC3A3F"/>
    <w:rsid w:val="00AD190D"/>
    <w:rsid w:val="00AD2DAB"/>
    <w:rsid w:val="00AE1BBB"/>
    <w:rsid w:val="00AE1FEF"/>
    <w:rsid w:val="00AE2F4C"/>
    <w:rsid w:val="00AE3B4A"/>
    <w:rsid w:val="00AE4A87"/>
    <w:rsid w:val="00AE4D56"/>
    <w:rsid w:val="00AE673D"/>
    <w:rsid w:val="00AE749B"/>
    <w:rsid w:val="00AF0629"/>
    <w:rsid w:val="00AF1BF1"/>
    <w:rsid w:val="00AF32B8"/>
    <w:rsid w:val="00AF3CB3"/>
    <w:rsid w:val="00AF531B"/>
    <w:rsid w:val="00AF5337"/>
    <w:rsid w:val="00AF53C2"/>
    <w:rsid w:val="00AF71F6"/>
    <w:rsid w:val="00AF7C60"/>
    <w:rsid w:val="00B005C5"/>
    <w:rsid w:val="00B02305"/>
    <w:rsid w:val="00B02E23"/>
    <w:rsid w:val="00B060D5"/>
    <w:rsid w:val="00B1175D"/>
    <w:rsid w:val="00B12731"/>
    <w:rsid w:val="00B12AA5"/>
    <w:rsid w:val="00B146BC"/>
    <w:rsid w:val="00B14DF1"/>
    <w:rsid w:val="00B153B3"/>
    <w:rsid w:val="00B17CBB"/>
    <w:rsid w:val="00B20BBF"/>
    <w:rsid w:val="00B217CC"/>
    <w:rsid w:val="00B25447"/>
    <w:rsid w:val="00B271C9"/>
    <w:rsid w:val="00B31C57"/>
    <w:rsid w:val="00B32F09"/>
    <w:rsid w:val="00B33D96"/>
    <w:rsid w:val="00B33E36"/>
    <w:rsid w:val="00B34F0E"/>
    <w:rsid w:val="00B35F5F"/>
    <w:rsid w:val="00B36F78"/>
    <w:rsid w:val="00B3755E"/>
    <w:rsid w:val="00B404A6"/>
    <w:rsid w:val="00B40A63"/>
    <w:rsid w:val="00B41213"/>
    <w:rsid w:val="00B45C45"/>
    <w:rsid w:val="00B47277"/>
    <w:rsid w:val="00B56FB7"/>
    <w:rsid w:val="00B577A6"/>
    <w:rsid w:val="00B607BE"/>
    <w:rsid w:val="00B61E09"/>
    <w:rsid w:val="00B6274D"/>
    <w:rsid w:val="00B62B63"/>
    <w:rsid w:val="00B64D41"/>
    <w:rsid w:val="00B66654"/>
    <w:rsid w:val="00B66CB3"/>
    <w:rsid w:val="00B66D6E"/>
    <w:rsid w:val="00B67351"/>
    <w:rsid w:val="00B706C6"/>
    <w:rsid w:val="00B739CF"/>
    <w:rsid w:val="00B7475F"/>
    <w:rsid w:val="00B80B07"/>
    <w:rsid w:val="00B8178C"/>
    <w:rsid w:val="00B81BF0"/>
    <w:rsid w:val="00B82E33"/>
    <w:rsid w:val="00B82ECB"/>
    <w:rsid w:val="00B8310B"/>
    <w:rsid w:val="00B83C8B"/>
    <w:rsid w:val="00B85BAF"/>
    <w:rsid w:val="00B90874"/>
    <w:rsid w:val="00B90BFA"/>
    <w:rsid w:val="00B93044"/>
    <w:rsid w:val="00B931B0"/>
    <w:rsid w:val="00B93ED9"/>
    <w:rsid w:val="00B95E2C"/>
    <w:rsid w:val="00BA2C17"/>
    <w:rsid w:val="00BA40F3"/>
    <w:rsid w:val="00BA5F6B"/>
    <w:rsid w:val="00BA6BD0"/>
    <w:rsid w:val="00BB0589"/>
    <w:rsid w:val="00BB1AF8"/>
    <w:rsid w:val="00BB2E2A"/>
    <w:rsid w:val="00BB4B39"/>
    <w:rsid w:val="00BC3515"/>
    <w:rsid w:val="00BC59C2"/>
    <w:rsid w:val="00BD02CC"/>
    <w:rsid w:val="00BD22C7"/>
    <w:rsid w:val="00BD277B"/>
    <w:rsid w:val="00BD530D"/>
    <w:rsid w:val="00BE205B"/>
    <w:rsid w:val="00BE264E"/>
    <w:rsid w:val="00BE4E80"/>
    <w:rsid w:val="00BE68B4"/>
    <w:rsid w:val="00BF5E73"/>
    <w:rsid w:val="00C029B6"/>
    <w:rsid w:val="00C03B0F"/>
    <w:rsid w:val="00C03E68"/>
    <w:rsid w:val="00C04DED"/>
    <w:rsid w:val="00C05139"/>
    <w:rsid w:val="00C124B7"/>
    <w:rsid w:val="00C16AB3"/>
    <w:rsid w:val="00C17224"/>
    <w:rsid w:val="00C17685"/>
    <w:rsid w:val="00C20CBD"/>
    <w:rsid w:val="00C223A5"/>
    <w:rsid w:val="00C23A93"/>
    <w:rsid w:val="00C23BCF"/>
    <w:rsid w:val="00C2546E"/>
    <w:rsid w:val="00C2648A"/>
    <w:rsid w:val="00C265A3"/>
    <w:rsid w:val="00C2711D"/>
    <w:rsid w:val="00C275B4"/>
    <w:rsid w:val="00C310A0"/>
    <w:rsid w:val="00C351DB"/>
    <w:rsid w:val="00C36A88"/>
    <w:rsid w:val="00C4049B"/>
    <w:rsid w:val="00C44141"/>
    <w:rsid w:val="00C53EEF"/>
    <w:rsid w:val="00C55A01"/>
    <w:rsid w:val="00C56A39"/>
    <w:rsid w:val="00C57DD6"/>
    <w:rsid w:val="00C607D5"/>
    <w:rsid w:val="00C62A8F"/>
    <w:rsid w:val="00C634E0"/>
    <w:rsid w:val="00C6503D"/>
    <w:rsid w:val="00C671BC"/>
    <w:rsid w:val="00C70919"/>
    <w:rsid w:val="00C759E4"/>
    <w:rsid w:val="00C75BEC"/>
    <w:rsid w:val="00C80D96"/>
    <w:rsid w:val="00C83560"/>
    <w:rsid w:val="00C836E3"/>
    <w:rsid w:val="00C83A19"/>
    <w:rsid w:val="00C8527E"/>
    <w:rsid w:val="00C855D2"/>
    <w:rsid w:val="00C85E96"/>
    <w:rsid w:val="00C86FBD"/>
    <w:rsid w:val="00C9128F"/>
    <w:rsid w:val="00C91666"/>
    <w:rsid w:val="00C9219D"/>
    <w:rsid w:val="00C923D5"/>
    <w:rsid w:val="00C94E84"/>
    <w:rsid w:val="00CA0D9F"/>
    <w:rsid w:val="00CA14BB"/>
    <w:rsid w:val="00CA18FB"/>
    <w:rsid w:val="00CA1BD1"/>
    <w:rsid w:val="00CA1CEF"/>
    <w:rsid w:val="00CB030A"/>
    <w:rsid w:val="00CB125C"/>
    <w:rsid w:val="00CB455B"/>
    <w:rsid w:val="00CB4D87"/>
    <w:rsid w:val="00CC4E6E"/>
    <w:rsid w:val="00CC6E0A"/>
    <w:rsid w:val="00CC7617"/>
    <w:rsid w:val="00CC7935"/>
    <w:rsid w:val="00CD17D1"/>
    <w:rsid w:val="00CD20F9"/>
    <w:rsid w:val="00CD66FB"/>
    <w:rsid w:val="00CD67D5"/>
    <w:rsid w:val="00CE6D2A"/>
    <w:rsid w:val="00CE70E4"/>
    <w:rsid w:val="00CF0889"/>
    <w:rsid w:val="00CF2156"/>
    <w:rsid w:val="00CF41C5"/>
    <w:rsid w:val="00CF4D7B"/>
    <w:rsid w:val="00CF6914"/>
    <w:rsid w:val="00CF7F30"/>
    <w:rsid w:val="00D003AF"/>
    <w:rsid w:val="00D049C3"/>
    <w:rsid w:val="00D062A5"/>
    <w:rsid w:val="00D07715"/>
    <w:rsid w:val="00D106FE"/>
    <w:rsid w:val="00D10ED3"/>
    <w:rsid w:val="00D125E8"/>
    <w:rsid w:val="00D12D3B"/>
    <w:rsid w:val="00D13D7B"/>
    <w:rsid w:val="00D14535"/>
    <w:rsid w:val="00D15FDA"/>
    <w:rsid w:val="00D161B7"/>
    <w:rsid w:val="00D21A22"/>
    <w:rsid w:val="00D21ED8"/>
    <w:rsid w:val="00D22A32"/>
    <w:rsid w:val="00D23012"/>
    <w:rsid w:val="00D26EC1"/>
    <w:rsid w:val="00D2709A"/>
    <w:rsid w:val="00D30569"/>
    <w:rsid w:val="00D31F30"/>
    <w:rsid w:val="00D31F45"/>
    <w:rsid w:val="00D335BB"/>
    <w:rsid w:val="00D34B05"/>
    <w:rsid w:val="00D37504"/>
    <w:rsid w:val="00D37996"/>
    <w:rsid w:val="00D4725F"/>
    <w:rsid w:val="00D47EAE"/>
    <w:rsid w:val="00D54091"/>
    <w:rsid w:val="00D54B9A"/>
    <w:rsid w:val="00D54F2F"/>
    <w:rsid w:val="00D557F5"/>
    <w:rsid w:val="00D61100"/>
    <w:rsid w:val="00D61C45"/>
    <w:rsid w:val="00D62AEF"/>
    <w:rsid w:val="00D62CE1"/>
    <w:rsid w:val="00D64DD6"/>
    <w:rsid w:val="00D6587C"/>
    <w:rsid w:val="00D703E1"/>
    <w:rsid w:val="00D72C4E"/>
    <w:rsid w:val="00D756CA"/>
    <w:rsid w:val="00D77713"/>
    <w:rsid w:val="00D7798A"/>
    <w:rsid w:val="00D8307B"/>
    <w:rsid w:val="00D8327C"/>
    <w:rsid w:val="00D836F7"/>
    <w:rsid w:val="00D84645"/>
    <w:rsid w:val="00D864F8"/>
    <w:rsid w:val="00D879A3"/>
    <w:rsid w:val="00D93123"/>
    <w:rsid w:val="00DA527C"/>
    <w:rsid w:val="00DA5B6B"/>
    <w:rsid w:val="00DA700C"/>
    <w:rsid w:val="00DB2EF0"/>
    <w:rsid w:val="00DB4640"/>
    <w:rsid w:val="00DB5DF5"/>
    <w:rsid w:val="00DB72D0"/>
    <w:rsid w:val="00DC312F"/>
    <w:rsid w:val="00DC44F4"/>
    <w:rsid w:val="00DD027E"/>
    <w:rsid w:val="00DD0447"/>
    <w:rsid w:val="00DD05BB"/>
    <w:rsid w:val="00DD688C"/>
    <w:rsid w:val="00DE2783"/>
    <w:rsid w:val="00DE27B8"/>
    <w:rsid w:val="00DE3D55"/>
    <w:rsid w:val="00DE5707"/>
    <w:rsid w:val="00DE70C6"/>
    <w:rsid w:val="00DF0DB1"/>
    <w:rsid w:val="00DF21A8"/>
    <w:rsid w:val="00DF3A84"/>
    <w:rsid w:val="00DF7C6E"/>
    <w:rsid w:val="00E01663"/>
    <w:rsid w:val="00E01A46"/>
    <w:rsid w:val="00E04FDE"/>
    <w:rsid w:val="00E07A39"/>
    <w:rsid w:val="00E104EF"/>
    <w:rsid w:val="00E1241A"/>
    <w:rsid w:val="00E125CB"/>
    <w:rsid w:val="00E13C7D"/>
    <w:rsid w:val="00E13EDF"/>
    <w:rsid w:val="00E146EE"/>
    <w:rsid w:val="00E165C9"/>
    <w:rsid w:val="00E17165"/>
    <w:rsid w:val="00E202E6"/>
    <w:rsid w:val="00E21B3E"/>
    <w:rsid w:val="00E21F7E"/>
    <w:rsid w:val="00E224C3"/>
    <w:rsid w:val="00E22986"/>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50F94"/>
    <w:rsid w:val="00E528C9"/>
    <w:rsid w:val="00E5462E"/>
    <w:rsid w:val="00E62AD0"/>
    <w:rsid w:val="00E65605"/>
    <w:rsid w:val="00E65AFF"/>
    <w:rsid w:val="00E6767D"/>
    <w:rsid w:val="00E67803"/>
    <w:rsid w:val="00E7411A"/>
    <w:rsid w:val="00E77A83"/>
    <w:rsid w:val="00E85972"/>
    <w:rsid w:val="00E90E9C"/>
    <w:rsid w:val="00E9512C"/>
    <w:rsid w:val="00EA0077"/>
    <w:rsid w:val="00EA0E38"/>
    <w:rsid w:val="00EA1872"/>
    <w:rsid w:val="00EA604E"/>
    <w:rsid w:val="00EA6536"/>
    <w:rsid w:val="00EA7167"/>
    <w:rsid w:val="00EB0026"/>
    <w:rsid w:val="00EB0384"/>
    <w:rsid w:val="00EB39F8"/>
    <w:rsid w:val="00EB3AE8"/>
    <w:rsid w:val="00EB6196"/>
    <w:rsid w:val="00EB67F0"/>
    <w:rsid w:val="00EB6B0C"/>
    <w:rsid w:val="00EB6F46"/>
    <w:rsid w:val="00EC058C"/>
    <w:rsid w:val="00EC1BDE"/>
    <w:rsid w:val="00EC1F4B"/>
    <w:rsid w:val="00ED1413"/>
    <w:rsid w:val="00ED1663"/>
    <w:rsid w:val="00ED50F5"/>
    <w:rsid w:val="00ED6BE1"/>
    <w:rsid w:val="00ED7099"/>
    <w:rsid w:val="00ED7757"/>
    <w:rsid w:val="00EE027B"/>
    <w:rsid w:val="00EE31DF"/>
    <w:rsid w:val="00EE7916"/>
    <w:rsid w:val="00EF1C6E"/>
    <w:rsid w:val="00EF2C80"/>
    <w:rsid w:val="00EF4D3B"/>
    <w:rsid w:val="00EF6A34"/>
    <w:rsid w:val="00EF7579"/>
    <w:rsid w:val="00F00BE0"/>
    <w:rsid w:val="00F016BD"/>
    <w:rsid w:val="00F026F0"/>
    <w:rsid w:val="00F0680A"/>
    <w:rsid w:val="00F06ED0"/>
    <w:rsid w:val="00F12013"/>
    <w:rsid w:val="00F12999"/>
    <w:rsid w:val="00F13822"/>
    <w:rsid w:val="00F14565"/>
    <w:rsid w:val="00F14873"/>
    <w:rsid w:val="00F14A70"/>
    <w:rsid w:val="00F175A5"/>
    <w:rsid w:val="00F230F1"/>
    <w:rsid w:val="00F24366"/>
    <w:rsid w:val="00F268A5"/>
    <w:rsid w:val="00F27B8D"/>
    <w:rsid w:val="00F304FB"/>
    <w:rsid w:val="00F313F8"/>
    <w:rsid w:val="00F315AB"/>
    <w:rsid w:val="00F33F07"/>
    <w:rsid w:val="00F35871"/>
    <w:rsid w:val="00F35D52"/>
    <w:rsid w:val="00F35F8C"/>
    <w:rsid w:val="00F36C93"/>
    <w:rsid w:val="00F373E1"/>
    <w:rsid w:val="00F42574"/>
    <w:rsid w:val="00F45257"/>
    <w:rsid w:val="00F45CA2"/>
    <w:rsid w:val="00F45D78"/>
    <w:rsid w:val="00F46154"/>
    <w:rsid w:val="00F46AD5"/>
    <w:rsid w:val="00F47DCD"/>
    <w:rsid w:val="00F50CA4"/>
    <w:rsid w:val="00F50CE7"/>
    <w:rsid w:val="00F51438"/>
    <w:rsid w:val="00F5301A"/>
    <w:rsid w:val="00F549E7"/>
    <w:rsid w:val="00F5550D"/>
    <w:rsid w:val="00F618BB"/>
    <w:rsid w:val="00F6302F"/>
    <w:rsid w:val="00F67625"/>
    <w:rsid w:val="00F76B14"/>
    <w:rsid w:val="00F81487"/>
    <w:rsid w:val="00F85F21"/>
    <w:rsid w:val="00F90574"/>
    <w:rsid w:val="00F90CF5"/>
    <w:rsid w:val="00F91AD8"/>
    <w:rsid w:val="00F922B1"/>
    <w:rsid w:val="00FA1CBD"/>
    <w:rsid w:val="00FA56EF"/>
    <w:rsid w:val="00FA5D99"/>
    <w:rsid w:val="00FA6505"/>
    <w:rsid w:val="00FA72F6"/>
    <w:rsid w:val="00FB0AAA"/>
    <w:rsid w:val="00FB10A3"/>
    <w:rsid w:val="00FB36D4"/>
    <w:rsid w:val="00FB3B0F"/>
    <w:rsid w:val="00FB510B"/>
    <w:rsid w:val="00FB5D1B"/>
    <w:rsid w:val="00FB75F9"/>
    <w:rsid w:val="00FB7C5A"/>
    <w:rsid w:val="00FC1C97"/>
    <w:rsid w:val="00FC26BF"/>
    <w:rsid w:val="00FC423E"/>
    <w:rsid w:val="00FC523E"/>
    <w:rsid w:val="00FC6CE0"/>
    <w:rsid w:val="00FC721B"/>
    <w:rsid w:val="00FC7232"/>
    <w:rsid w:val="00FC7525"/>
    <w:rsid w:val="00FD1A30"/>
    <w:rsid w:val="00FD418F"/>
    <w:rsid w:val="00FD4365"/>
    <w:rsid w:val="00FD4D39"/>
    <w:rsid w:val="00FD4F52"/>
    <w:rsid w:val="00FD532F"/>
    <w:rsid w:val="00FE1EF3"/>
    <w:rsid w:val="00FE315D"/>
    <w:rsid w:val="00FE3182"/>
    <w:rsid w:val="00FE4037"/>
    <w:rsid w:val="00FE41E1"/>
    <w:rsid w:val="00FE55F1"/>
    <w:rsid w:val="00FF213C"/>
    <w:rsid w:val="00FF4D81"/>
    <w:rsid w:val="00FF75F5"/>
    <w:rsid w:val="011957F7"/>
    <w:rsid w:val="0119677B"/>
    <w:rsid w:val="013A0E77"/>
    <w:rsid w:val="01422176"/>
    <w:rsid w:val="01592D24"/>
    <w:rsid w:val="016604DF"/>
    <w:rsid w:val="01671BDD"/>
    <w:rsid w:val="01734866"/>
    <w:rsid w:val="01764F1A"/>
    <w:rsid w:val="01775986"/>
    <w:rsid w:val="018148E7"/>
    <w:rsid w:val="01875DDB"/>
    <w:rsid w:val="018E7ABF"/>
    <w:rsid w:val="0198796C"/>
    <w:rsid w:val="019E0070"/>
    <w:rsid w:val="019F325F"/>
    <w:rsid w:val="01AA3877"/>
    <w:rsid w:val="01B34E22"/>
    <w:rsid w:val="01C133B8"/>
    <w:rsid w:val="01C40D31"/>
    <w:rsid w:val="01CC3831"/>
    <w:rsid w:val="01F176D1"/>
    <w:rsid w:val="020245E4"/>
    <w:rsid w:val="020A48DB"/>
    <w:rsid w:val="020F2171"/>
    <w:rsid w:val="020F41C2"/>
    <w:rsid w:val="021B6BBF"/>
    <w:rsid w:val="022A111B"/>
    <w:rsid w:val="022D788A"/>
    <w:rsid w:val="024B505A"/>
    <w:rsid w:val="024E71FD"/>
    <w:rsid w:val="025727E8"/>
    <w:rsid w:val="02632B1A"/>
    <w:rsid w:val="027978A2"/>
    <w:rsid w:val="028E3A4C"/>
    <w:rsid w:val="028E6C0D"/>
    <w:rsid w:val="02900890"/>
    <w:rsid w:val="02974438"/>
    <w:rsid w:val="029B5707"/>
    <w:rsid w:val="02A227A1"/>
    <w:rsid w:val="02A3645B"/>
    <w:rsid w:val="02B77030"/>
    <w:rsid w:val="02BA16E0"/>
    <w:rsid w:val="02C10F36"/>
    <w:rsid w:val="02D7489B"/>
    <w:rsid w:val="02E5725D"/>
    <w:rsid w:val="02EB05EB"/>
    <w:rsid w:val="02EF1E8A"/>
    <w:rsid w:val="02F44C4D"/>
    <w:rsid w:val="02F778BD"/>
    <w:rsid w:val="02FC0103"/>
    <w:rsid w:val="03067FB5"/>
    <w:rsid w:val="03086AA8"/>
    <w:rsid w:val="031211BD"/>
    <w:rsid w:val="03121468"/>
    <w:rsid w:val="03265180"/>
    <w:rsid w:val="03415DEE"/>
    <w:rsid w:val="034D6BB0"/>
    <w:rsid w:val="036528F8"/>
    <w:rsid w:val="03822C68"/>
    <w:rsid w:val="03834AD7"/>
    <w:rsid w:val="03950730"/>
    <w:rsid w:val="039702FA"/>
    <w:rsid w:val="03991DF6"/>
    <w:rsid w:val="039F2BBC"/>
    <w:rsid w:val="03AD044B"/>
    <w:rsid w:val="03B17E2B"/>
    <w:rsid w:val="03B54E32"/>
    <w:rsid w:val="03C23EBB"/>
    <w:rsid w:val="03C30C20"/>
    <w:rsid w:val="03D33559"/>
    <w:rsid w:val="03D96AC5"/>
    <w:rsid w:val="03E06E8C"/>
    <w:rsid w:val="03E10240"/>
    <w:rsid w:val="03E33646"/>
    <w:rsid w:val="0410290D"/>
    <w:rsid w:val="04106F71"/>
    <w:rsid w:val="0413301D"/>
    <w:rsid w:val="042339DB"/>
    <w:rsid w:val="042D1905"/>
    <w:rsid w:val="04371381"/>
    <w:rsid w:val="043A7E52"/>
    <w:rsid w:val="044B1EF9"/>
    <w:rsid w:val="044F0F9D"/>
    <w:rsid w:val="04561A95"/>
    <w:rsid w:val="045F79C7"/>
    <w:rsid w:val="04605697"/>
    <w:rsid w:val="046E793F"/>
    <w:rsid w:val="047C599F"/>
    <w:rsid w:val="04826D2E"/>
    <w:rsid w:val="04843E6E"/>
    <w:rsid w:val="04884474"/>
    <w:rsid w:val="04884986"/>
    <w:rsid w:val="048F148B"/>
    <w:rsid w:val="04C3017D"/>
    <w:rsid w:val="04C67AA9"/>
    <w:rsid w:val="04DA3BAD"/>
    <w:rsid w:val="04E61B5C"/>
    <w:rsid w:val="04FC31DF"/>
    <w:rsid w:val="05071955"/>
    <w:rsid w:val="050B36B6"/>
    <w:rsid w:val="05151950"/>
    <w:rsid w:val="05182336"/>
    <w:rsid w:val="051C55E6"/>
    <w:rsid w:val="051E3875"/>
    <w:rsid w:val="05224326"/>
    <w:rsid w:val="05263B5D"/>
    <w:rsid w:val="0533125B"/>
    <w:rsid w:val="05342C73"/>
    <w:rsid w:val="053F78FC"/>
    <w:rsid w:val="054F4EE9"/>
    <w:rsid w:val="055A16CF"/>
    <w:rsid w:val="055F6573"/>
    <w:rsid w:val="05772FB3"/>
    <w:rsid w:val="0579392C"/>
    <w:rsid w:val="05812B41"/>
    <w:rsid w:val="05816FE5"/>
    <w:rsid w:val="058264A5"/>
    <w:rsid w:val="05856AD5"/>
    <w:rsid w:val="059960DD"/>
    <w:rsid w:val="05A86320"/>
    <w:rsid w:val="05CC77E8"/>
    <w:rsid w:val="05CF1AFF"/>
    <w:rsid w:val="05D21A85"/>
    <w:rsid w:val="05DE1D42"/>
    <w:rsid w:val="05E242B0"/>
    <w:rsid w:val="05EB1AB8"/>
    <w:rsid w:val="05EC6139"/>
    <w:rsid w:val="05FF013E"/>
    <w:rsid w:val="060F639F"/>
    <w:rsid w:val="060F6D24"/>
    <w:rsid w:val="062077BC"/>
    <w:rsid w:val="0631328E"/>
    <w:rsid w:val="06473D8B"/>
    <w:rsid w:val="0649687A"/>
    <w:rsid w:val="06612A6B"/>
    <w:rsid w:val="06652463"/>
    <w:rsid w:val="0667442D"/>
    <w:rsid w:val="066B708D"/>
    <w:rsid w:val="067803E8"/>
    <w:rsid w:val="06811595"/>
    <w:rsid w:val="06941929"/>
    <w:rsid w:val="06A938AC"/>
    <w:rsid w:val="06AB5586"/>
    <w:rsid w:val="06AC6595"/>
    <w:rsid w:val="06B00C6A"/>
    <w:rsid w:val="06B04A76"/>
    <w:rsid w:val="06B47D2E"/>
    <w:rsid w:val="06B84C89"/>
    <w:rsid w:val="06C146C0"/>
    <w:rsid w:val="06CB44B7"/>
    <w:rsid w:val="06D27D35"/>
    <w:rsid w:val="06E420E1"/>
    <w:rsid w:val="06E71804"/>
    <w:rsid w:val="06EE20B1"/>
    <w:rsid w:val="06F73CE4"/>
    <w:rsid w:val="07092F0E"/>
    <w:rsid w:val="070D64A5"/>
    <w:rsid w:val="070E32F3"/>
    <w:rsid w:val="07131EBF"/>
    <w:rsid w:val="072C03D9"/>
    <w:rsid w:val="07386306"/>
    <w:rsid w:val="074B3B46"/>
    <w:rsid w:val="075B63E2"/>
    <w:rsid w:val="075E313A"/>
    <w:rsid w:val="077A4DF6"/>
    <w:rsid w:val="078608E3"/>
    <w:rsid w:val="078903A8"/>
    <w:rsid w:val="07AA637F"/>
    <w:rsid w:val="07AF1BE8"/>
    <w:rsid w:val="07B1625B"/>
    <w:rsid w:val="07B35A1A"/>
    <w:rsid w:val="07CA5154"/>
    <w:rsid w:val="07D96E9C"/>
    <w:rsid w:val="07E00B37"/>
    <w:rsid w:val="07E15B19"/>
    <w:rsid w:val="07ED7239"/>
    <w:rsid w:val="07EE196C"/>
    <w:rsid w:val="07F7533D"/>
    <w:rsid w:val="08000695"/>
    <w:rsid w:val="08017F69"/>
    <w:rsid w:val="08035B97"/>
    <w:rsid w:val="08057A5A"/>
    <w:rsid w:val="08206641"/>
    <w:rsid w:val="083B4979"/>
    <w:rsid w:val="08424883"/>
    <w:rsid w:val="08534B88"/>
    <w:rsid w:val="088E7A4F"/>
    <w:rsid w:val="088F22D0"/>
    <w:rsid w:val="08913149"/>
    <w:rsid w:val="089F05DC"/>
    <w:rsid w:val="08B60D54"/>
    <w:rsid w:val="08BA0844"/>
    <w:rsid w:val="08C23B9D"/>
    <w:rsid w:val="08EE3A39"/>
    <w:rsid w:val="08EE4992"/>
    <w:rsid w:val="08F04D06"/>
    <w:rsid w:val="08F062C2"/>
    <w:rsid w:val="090B19E1"/>
    <w:rsid w:val="090B4153"/>
    <w:rsid w:val="0910646C"/>
    <w:rsid w:val="0911242E"/>
    <w:rsid w:val="0923106C"/>
    <w:rsid w:val="09236CB1"/>
    <w:rsid w:val="092C7268"/>
    <w:rsid w:val="092E1232"/>
    <w:rsid w:val="09475E50"/>
    <w:rsid w:val="095F1771"/>
    <w:rsid w:val="09666630"/>
    <w:rsid w:val="09783992"/>
    <w:rsid w:val="097D1E0E"/>
    <w:rsid w:val="09883708"/>
    <w:rsid w:val="098E0E75"/>
    <w:rsid w:val="09AC6517"/>
    <w:rsid w:val="09BA37ED"/>
    <w:rsid w:val="09BB2956"/>
    <w:rsid w:val="09C5316B"/>
    <w:rsid w:val="09CB0438"/>
    <w:rsid w:val="09CB338D"/>
    <w:rsid w:val="09D45935"/>
    <w:rsid w:val="09E15530"/>
    <w:rsid w:val="09E47B84"/>
    <w:rsid w:val="09F47679"/>
    <w:rsid w:val="0A073F5D"/>
    <w:rsid w:val="0A09484A"/>
    <w:rsid w:val="0A1B58FF"/>
    <w:rsid w:val="0A27166F"/>
    <w:rsid w:val="0A3665F0"/>
    <w:rsid w:val="0A3E3D91"/>
    <w:rsid w:val="0A547AA9"/>
    <w:rsid w:val="0A59724A"/>
    <w:rsid w:val="0A5C592B"/>
    <w:rsid w:val="0A5F5B47"/>
    <w:rsid w:val="0A6654CA"/>
    <w:rsid w:val="0A6D7B49"/>
    <w:rsid w:val="0A7000FD"/>
    <w:rsid w:val="0A914E87"/>
    <w:rsid w:val="0A9D041D"/>
    <w:rsid w:val="0AA23AE4"/>
    <w:rsid w:val="0AAA2221"/>
    <w:rsid w:val="0ABA7CC7"/>
    <w:rsid w:val="0AC819FE"/>
    <w:rsid w:val="0ACC26F6"/>
    <w:rsid w:val="0AD11D45"/>
    <w:rsid w:val="0ADE54B0"/>
    <w:rsid w:val="0AE332A0"/>
    <w:rsid w:val="0AE903B8"/>
    <w:rsid w:val="0AE95411"/>
    <w:rsid w:val="0AF049F1"/>
    <w:rsid w:val="0AF91674"/>
    <w:rsid w:val="0B020ACF"/>
    <w:rsid w:val="0B054631"/>
    <w:rsid w:val="0B091D7C"/>
    <w:rsid w:val="0B1873A5"/>
    <w:rsid w:val="0B1A7CC0"/>
    <w:rsid w:val="0B352404"/>
    <w:rsid w:val="0B4E5BBB"/>
    <w:rsid w:val="0B4E67B7"/>
    <w:rsid w:val="0B554FDA"/>
    <w:rsid w:val="0B57681E"/>
    <w:rsid w:val="0B7462A1"/>
    <w:rsid w:val="0B7D3DAB"/>
    <w:rsid w:val="0B7E59DC"/>
    <w:rsid w:val="0B860EE1"/>
    <w:rsid w:val="0B9F6417"/>
    <w:rsid w:val="0BA16641"/>
    <w:rsid w:val="0BAE6904"/>
    <w:rsid w:val="0BDA0CB7"/>
    <w:rsid w:val="0C0719F1"/>
    <w:rsid w:val="0C1666D9"/>
    <w:rsid w:val="0C1A784C"/>
    <w:rsid w:val="0C3703FE"/>
    <w:rsid w:val="0C5114BF"/>
    <w:rsid w:val="0C5B233E"/>
    <w:rsid w:val="0C62487F"/>
    <w:rsid w:val="0C6F6E83"/>
    <w:rsid w:val="0C932600"/>
    <w:rsid w:val="0C9B6BDE"/>
    <w:rsid w:val="0CA43CE5"/>
    <w:rsid w:val="0CAC6BB6"/>
    <w:rsid w:val="0CB91973"/>
    <w:rsid w:val="0CC34F37"/>
    <w:rsid w:val="0CC872A8"/>
    <w:rsid w:val="0CD14ED7"/>
    <w:rsid w:val="0CE916F8"/>
    <w:rsid w:val="0CEA1C84"/>
    <w:rsid w:val="0CF34325"/>
    <w:rsid w:val="0D0B1141"/>
    <w:rsid w:val="0D0C53E6"/>
    <w:rsid w:val="0D3010B5"/>
    <w:rsid w:val="0D662D48"/>
    <w:rsid w:val="0D780CCE"/>
    <w:rsid w:val="0D864353"/>
    <w:rsid w:val="0D991370"/>
    <w:rsid w:val="0DA94832"/>
    <w:rsid w:val="0DAE2941"/>
    <w:rsid w:val="0DD505F0"/>
    <w:rsid w:val="0DDB5FB6"/>
    <w:rsid w:val="0DDC6EDE"/>
    <w:rsid w:val="0DEA5E6A"/>
    <w:rsid w:val="0DF04204"/>
    <w:rsid w:val="0DF447F8"/>
    <w:rsid w:val="0DF540CC"/>
    <w:rsid w:val="0DFC36FB"/>
    <w:rsid w:val="0DFC545B"/>
    <w:rsid w:val="0DFE49A3"/>
    <w:rsid w:val="0E1F0BBB"/>
    <w:rsid w:val="0E2324F5"/>
    <w:rsid w:val="0E2449B2"/>
    <w:rsid w:val="0E6024C2"/>
    <w:rsid w:val="0E7666F5"/>
    <w:rsid w:val="0E935CB4"/>
    <w:rsid w:val="0E9D280A"/>
    <w:rsid w:val="0EB37705"/>
    <w:rsid w:val="0EC341CA"/>
    <w:rsid w:val="0EC91ED6"/>
    <w:rsid w:val="0ECA62CF"/>
    <w:rsid w:val="0EFB5D7C"/>
    <w:rsid w:val="0F0D1E03"/>
    <w:rsid w:val="0F0D26CC"/>
    <w:rsid w:val="0F107F05"/>
    <w:rsid w:val="0F152C78"/>
    <w:rsid w:val="0F16079E"/>
    <w:rsid w:val="0F184ADA"/>
    <w:rsid w:val="0F45621F"/>
    <w:rsid w:val="0F490B74"/>
    <w:rsid w:val="0F672DA8"/>
    <w:rsid w:val="0F7A0D2D"/>
    <w:rsid w:val="0F7B556E"/>
    <w:rsid w:val="0F8057E5"/>
    <w:rsid w:val="0F876EB2"/>
    <w:rsid w:val="0F935A2E"/>
    <w:rsid w:val="0F9E1D55"/>
    <w:rsid w:val="0FA1669B"/>
    <w:rsid w:val="0FA20284"/>
    <w:rsid w:val="0FC17728"/>
    <w:rsid w:val="0FE06ED2"/>
    <w:rsid w:val="0FF83417"/>
    <w:rsid w:val="1015251A"/>
    <w:rsid w:val="102C4ADA"/>
    <w:rsid w:val="10333DF2"/>
    <w:rsid w:val="103532AC"/>
    <w:rsid w:val="103D0A77"/>
    <w:rsid w:val="103D5BD2"/>
    <w:rsid w:val="10545AEF"/>
    <w:rsid w:val="10556A26"/>
    <w:rsid w:val="105B707F"/>
    <w:rsid w:val="106127F1"/>
    <w:rsid w:val="1074577C"/>
    <w:rsid w:val="107F704E"/>
    <w:rsid w:val="10943C53"/>
    <w:rsid w:val="109C7328"/>
    <w:rsid w:val="109D0129"/>
    <w:rsid w:val="109D3ED0"/>
    <w:rsid w:val="109E251C"/>
    <w:rsid w:val="10BD35C7"/>
    <w:rsid w:val="10EA5A3E"/>
    <w:rsid w:val="10EF538B"/>
    <w:rsid w:val="10FE521A"/>
    <w:rsid w:val="11173FEC"/>
    <w:rsid w:val="11186A50"/>
    <w:rsid w:val="112B40FD"/>
    <w:rsid w:val="113062AD"/>
    <w:rsid w:val="11312DC0"/>
    <w:rsid w:val="11457F4B"/>
    <w:rsid w:val="11467ECD"/>
    <w:rsid w:val="114701EB"/>
    <w:rsid w:val="11661572"/>
    <w:rsid w:val="118848CF"/>
    <w:rsid w:val="118911E6"/>
    <w:rsid w:val="11AC0F46"/>
    <w:rsid w:val="11C11380"/>
    <w:rsid w:val="11D4629F"/>
    <w:rsid w:val="11D56860"/>
    <w:rsid w:val="11DC7388"/>
    <w:rsid w:val="11EC57E6"/>
    <w:rsid w:val="11F55D6E"/>
    <w:rsid w:val="11F95EB5"/>
    <w:rsid w:val="11FF612D"/>
    <w:rsid w:val="12092462"/>
    <w:rsid w:val="120F2891"/>
    <w:rsid w:val="120F4DC7"/>
    <w:rsid w:val="121D403F"/>
    <w:rsid w:val="12237B08"/>
    <w:rsid w:val="12386C7D"/>
    <w:rsid w:val="1240265B"/>
    <w:rsid w:val="12727AD0"/>
    <w:rsid w:val="127D1BE6"/>
    <w:rsid w:val="12817FED"/>
    <w:rsid w:val="129F7C67"/>
    <w:rsid w:val="12A35A7C"/>
    <w:rsid w:val="12B83BBB"/>
    <w:rsid w:val="12C013F0"/>
    <w:rsid w:val="12D544CC"/>
    <w:rsid w:val="12E230F7"/>
    <w:rsid w:val="12F72695"/>
    <w:rsid w:val="12FE22B0"/>
    <w:rsid w:val="1303728B"/>
    <w:rsid w:val="130F4D74"/>
    <w:rsid w:val="131D6351"/>
    <w:rsid w:val="13380DD8"/>
    <w:rsid w:val="1344521A"/>
    <w:rsid w:val="13542549"/>
    <w:rsid w:val="135B0E75"/>
    <w:rsid w:val="13645ACB"/>
    <w:rsid w:val="136A3685"/>
    <w:rsid w:val="13746B23"/>
    <w:rsid w:val="13775F92"/>
    <w:rsid w:val="137F2DB6"/>
    <w:rsid w:val="13824654"/>
    <w:rsid w:val="13833F28"/>
    <w:rsid w:val="138D2DE8"/>
    <w:rsid w:val="139F7961"/>
    <w:rsid w:val="13A81537"/>
    <w:rsid w:val="13E957B5"/>
    <w:rsid w:val="13EC7D20"/>
    <w:rsid w:val="13EE3853"/>
    <w:rsid w:val="13F54664"/>
    <w:rsid w:val="13F54E26"/>
    <w:rsid w:val="13F62679"/>
    <w:rsid w:val="13F97987"/>
    <w:rsid w:val="14117786"/>
    <w:rsid w:val="141557E1"/>
    <w:rsid w:val="14155990"/>
    <w:rsid w:val="14170604"/>
    <w:rsid w:val="14292D22"/>
    <w:rsid w:val="142F3CA2"/>
    <w:rsid w:val="143771ED"/>
    <w:rsid w:val="14412BB2"/>
    <w:rsid w:val="144813FA"/>
    <w:rsid w:val="145D3FA3"/>
    <w:rsid w:val="146464BB"/>
    <w:rsid w:val="146F2D0E"/>
    <w:rsid w:val="1472193D"/>
    <w:rsid w:val="147D6BCA"/>
    <w:rsid w:val="14BC1DE8"/>
    <w:rsid w:val="14C03686"/>
    <w:rsid w:val="14E31122"/>
    <w:rsid w:val="15041F3C"/>
    <w:rsid w:val="15045A97"/>
    <w:rsid w:val="150D43F1"/>
    <w:rsid w:val="151C7660"/>
    <w:rsid w:val="152D72DB"/>
    <w:rsid w:val="154020D1"/>
    <w:rsid w:val="154F67B8"/>
    <w:rsid w:val="1554390E"/>
    <w:rsid w:val="156B35A8"/>
    <w:rsid w:val="156E1ACB"/>
    <w:rsid w:val="157B75AD"/>
    <w:rsid w:val="15806971"/>
    <w:rsid w:val="158C1D3F"/>
    <w:rsid w:val="15916DD0"/>
    <w:rsid w:val="159D1D4B"/>
    <w:rsid w:val="15A0375A"/>
    <w:rsid w:val="15A078BC"/>
    <w:rsid w:val="15AE733A"/>
    <w:rsid w:val="15CF781E"/>
    <w:rsid w:val="15D168FF"/>
    <w:rsid w:val="15D5522C"/>
    <w:rsid w:val="15DA3D9A"/>
    <w:rsid w:val="15DD3DC4"/>
    <w:rsid w:val="15FB249C"/>
    <w:rsid w:val="160A5F47"/>
    <w:rsid w:val="160B6B83"/>
    <w:rsid w:val="161672D6"/>
    <w:rsid w:val="16273400"/>
    <w:rsid w:val="162D5764"/>
    <w:rsid w:val="16614263"/>
    <w:rsid w:val="167947C9"/>
    <w:rsid w:val="16873381"/>
    <w:rsid w:val="168E3310"/>
    <w:rsid w:val="169052DA"/>
    <w:rsid w:val="169A1AB3"/>
    <w:rsid w:val="16AD5B4F"/>
    <w:rsid w:val="16B74615"/>
    <w:rsid w:val="16BE76F7"/>
    <w:rsid w:val="16C27FBB"/>
    <w:rsid w:val="16DF591A"/>
    <w:rsid w:val="16E6314C"/>
    <w:rsid w:val="16EE0D13"/>
    <w:rsid w:val="16EF3DAF"/>
    <w:rsid w:val="16F615E1"/>
    <w:rsid w:val="16F93153"/>
    <w:rsid w:val="16FB677D"/>
    <w:rsid w:val="172A1253"/>
    <w:rsid w:val="17321EED"/>
    <w:rsid w:val="173D795A"/>
    <w:rsid w:val="174C5238"/>
    <w:rsid w:val="1765194C"/>
    <w:rsid w:val="17AF353E"/>
    <w:rsid w:val="17B664A2"/>
    <w:rsid w:val="17CE2B12"/>
    <w:rsid w:val="17ED0D0C"/>
    <w:rsid w:val="17FD6E5C"/>
    <w:rsid w:val="18075128"/>
    <w:rsid w:val="1812030B"/>
    <w:rsid w:val="181879E7"/>
    <w:rsid w:val="181F58B7"/>
    <w:rsid w:val="182255BD"/>
    <w:rsid w:val="1822771A"/>
    <w:rsid w:val="18267CA4"/>
    <w:rsid w:val="182932F0"/>
    <w:rsid w:val="18447EFE"/>
    <w:rsid w:val="184E0F67"/>
    <w:rsid w:val="185D2F9A"/>
    <w:rsid w:val="18622F00"/>
    <w:rsid w:val="1875139A"/>
    <w:rsid w:val="18786807"/>
    <w:rsid w:val="187E39BC"/>
    <w:rsid w:val="18904498"/>
    <w:rsid w:val="1899398E"/>
    <w:rsid w:val="18A3471E"/>
    <w:rsid w:val="18B03A11"/>
    <w:rsid w:val="18B634CC"/>
    <w:rsid w:val="18B941D3"/>
    <w:rsid w:val="18E3738E"/>
    <w:rsid w:val="18F63050"/>
    <w:rsid w:val="190C2B91"/>
    <w:rsid w:val="1913123F"/>
    <w:rsid w:val="192B4DF7"/>
    <w:rsid w:val="193463F1"/>
    <w:rsid w:val="193C31BC"/>
    <w:rsid w:val="193C7478"/>
    <w:rsid w:val="19562665"/>
    <w:rsid w:val="19571192"/>
    <w:rsid w:val="195E1EBD"/>
    <w:rsid w:val="196626CD"/>
    <w:rsid w:val="19731396"/>
    <w:rsid w:val="197B3E0C"/>
    <w:rsid w:val="19980AD2"/>
    <w:rsid w:val="199A57F7"/>
    <w:rsid w:val="19A64A85"/>
    <w:rsid w:val="19A66F03"/>
    <w:rsid w:val="19AB6724"/>
    <w:rsid w:val="19B06358"/>
    <w:rsid w:val="19BA6371"/>
    <w:rsid w:val="19C309CE"/>
    <w:rsid w:val="19F90D7B"/>
    <w:rsid w:val="1A0538E9"/>
    <w:rsid w:val="1A2E1092"/>
    <w:rsid w:val="1A332204"/>
    <w:rsid w:val="1A4964D8"/>
    <w:rsid w:val="1A620D3B"/>
    <w:rsid w:val="1A6B5A70"/>
    <w:rsid w:val="1A75281D"/>
    <w:rsid w:val="1A8469D4"/>
    <w:rsid w:val="1A9C51E8"/>
    <w:rsid w:val="1AEF6FE8"/>
    <w:rsid w:val="1AF37BE5"/>
    <w:rsid w:val="1AF6583C"/>
    <w:rsid w:val="1B006C87"/>
    <w:rsid w:val="1B082A0F"/>
    <w:rsid w:val="1B0B5F3A"/>
    <w:rsid w:val="1B15678A"/>
    <w:rsid w:val="1B161B83"/>
    <w:rsid w:val="1B181419"/>
    <w:rsid w:val="1B193AF0"/>
    <w:rsid w:val="1B1A160C"/>
    <w:rsid w:val="1B3A2DE8"/>
    <w:rsid w:val="1B415D06"/>
    <w:rsid w:val="1B423DEB"/>
    <w:rsid w:val="1B443D5F"/>
    <w:rsid w:val="1B4A46F6"/>
    <w:rsid w:val="1B60096C"/>
    <w:rsid w:val="1B6653C8"/>
    <w:rsid w:val="1B6A0FF7"/>
    <w:rsid w:val="1B6E7498"/>
    <w:rsid w:val="1B760323"/>
    <w:rsid w:val="1B7A3E63"/>
    <w:rsid w:val="1B7B66B5"/>
    <w:rsid w:val="1BA666A2"/>
    <w:rsid w:val="1BD71A93"/>
    <w:rsid w:val="1BDA1D9C"/>
    <w:rsid w:val="1BF603FD"/>
    <w:rsid w:val="1BF925E9"/>
    <w:rsid w:val="1BFA090C"/>
    <w:rsid w:val="1C1C6B42"/>
    <w:rsid w:val="1C1E6EE4"/>
    <w:rsid w:val="1C225F98"/>
    <w:rsid w:val="1C272EF4"/>
    <w:rsid w:val="1C2F10F1"/>
    <w:rsid w:val="1C347FAF"/>
    <w:rsid w:val="1C533032"/>
    <w:rsid w:val="1C553E73"/>
    <w:rsid w:val="1C6C0E44"/>
    <w:rsid w:val="1C6C5EA1"/>
    <w:rsid w:val="1C901B90"/>
    <w:rsid w:val="1CBD343B"/>
    <w:rsid w:val="1CDD0B4D"/>
    <w:rsid w:val="1CF651A4"/>
    <w:rsid w:val="1D065563"/>
    <w:rsid w:val="1D320A97"/>
    <w:rsid w:val="1D350879"/>
    <w:rsid w:val="1D3541D9"/>
    <w:rsid w:val="1D354DD1"/>
    <w:rsid w:val="1D3E6FE0"/>
    <w:rsid w:val="1D412D21"/>
    <w:rsid w:val="1D4F2685"/>
    <w:rsid w:val="1D862F93"/>
    <w:rsid w:val="1D877C2D"/>
    <w:rsid w:val="1D8F6815"/>
    <w:rsid w:val="1D910295"/>
    <w:rsid w:val="1D9531D6"/>
    <w:rsid w:val="1DB517D6"/>
    <w:rsid w:val="1DE008F5"/>
    <w:rsid w:val="1DE06B47"/>
    <w:rsid w:val="1E3E2D25"/>
    <w:rsid w:val="1E4507E4"/>
    <w:rsid w:val="1E5B0E96"/>
    <w:rsid w:val="1E6210B8"/>
    <w:rsid w:val="1E803E86"/>
    <w:rsid w:val="1E854FF8"/>
    <w:rsid w:val="1E876FC3"/>
    <w:rsid w:val="1E8C45D9"/>
    <w:rsid w:val="1EB4302F"/>
    <w:rsid w:val="1EC014EF"/>
    <w:rsid w:val="1EC157F5"/>
    <w:rsid w:val="1EC2624D"/>
    <w:rsid w:val="1EC664F8"/>
    <w:rsid w:val="1ED02718"/>
    <w:rsid w:val="1ED76F10"/>
    <w:rsid w:val="1EDA6951"/>
    <w:rsid w:val="1F0A6898"/>
    <w:rsid w:val="1F157FFF"/>
    <w:rsid w:val="1F1840BF"/>
    <w:rsid w:val="1F1A0AE6"/>
    <w:rsid w:val="1F30765A"/>
    <w:rsid w:val="1F381AEE"/>
    <w:rsid w:val="1F5B3C3A"/>
    <w:rsid w:val="1F5E30FD"/>
    <w:rsid w:val="1F724CEB"/>
    <w:rsid w:val="1F813A12"/>
    <w:rsid w:val="1F8A31D7"/>
    <w:rsid w:val="1F903C55"/>
    <w:rsid w:val="1F941997"/>
    <w:rsid w:val="1FA0658E"/>
    <w:rsid w:val="1FBA44C1"/>
    <w:rsid w:val="1FCD6C57"/>
    <w:rsid w:val="1FCF7B92"/>
    <w:rsid w:val="1FD71884"/>
    <w:rsid w:val="1FF73CD4"/>
    <w:rsid w:val="1FF91559"/>
    <w:rsid w:val="2001275C"/>
    <w:rsid w:val="200A1C59"/>
    <w:rsid w:val="200C1B9C"/>
    <w:rsid w:val="20171D13"/>
    <w:rsid w:val="20174376"/>
    <w:rsid w:val="202B1BD0"/>
    <w:rsid w:val="202E3BBB"/>
    <w:rsid w:val="203D1017"/>
    <w:rsid w:val="204038CD"/>
    <w:rsid w:val="207C7170"/>
    <w:rsid w:val="20924822"/>
    <w:rsid w:val="209A3254"/>
    <w:rsid w:val="209A3E93"/>
    <w:rsid w:val="209C7490"/>
    <w:rsid w:val="20B16579"/>
    <w:rsid w:val="20C462AC"/>
    <w:rsid w:val="20CB4898"/>
    <w:rsid w:val="20CB6718"/>
    <w:rsid w:val="20DF5F93"/>
    <w:rsid w:val="20E15027"/>
    <w:rsid w:val="20FD17BE"/>
    <w:rsid w:val="2100305C"/>
    <w:rsid w:val="212B66CA"/>
    <w:rsid w:val="21324CF7"/>
    <w:rsid w:val="213417CA"/>
    <w:rsid w:val="213C22E6"/>
    <w:rsid w:val="213C7056"/>
    <w:rsid w:val="214840AD"/>
    <w:rsid w:val="21556F04"/>
    <w:rsid w:val="218C2503"/>
    <w:rsid w:val="21A03E6A"/>
    <w:rsid w:val="21A3266E"/>
    <w:rsid w:val="21B72813"/>
    <w:rsid w:val="21BC6F83"/>
    <w:rsid w:val="21CF6866"/>
    <w:rsid w:val="21E05ADF"/>
    <w:rsid w:val="21E678F0"/>
    <w:rsid w:val="21E87AF3"/>
    <w:rsid w:val="21EB5ABA"/>
    <w:rsid w:val="220A203C"/>
    <w:rsid w:val="220A5C55"/>
    <w:rsid w:val="220C1558"/>
    <w:rsid w:val="22155EFF"/>
    <w:rsid w:val="22270C74"/>
    <w:rsid w:val="22303362"/>
    <w:rsid w:val="22314782"/>
    <w:rsid w:val="226006F6"/>
    <w:rsid w:val="22666758"/>
    <w:rsid w:val="22765384"/>
    <w:rsid w:val="227E6175"/>
    <w:rsid w:val="22813D29"/>
    <w:rsid w:val="22973D42"/>
    <w:rsid w:val="229879F0"/>
    <w:rsid w:val="22B002C2"/>
    <w:rsid w:val="22C7147D"/>
    <w:rsid w:val="22C95DFC"/>
    <w:rsid w:val="22CF05CD"/>
    <w:rsid w:val="22D35427"/>
    <w:rsid w:val="22D622C7"/>
    <w:rsid w:val="22DE1C31"/>
    <w:rsid w:val="22E744D4"/>
    <w:rsid w:val="22E9024C"/>
    <w:rsid w:val="22ED76B3"/>
    <w:rsid w:val="2301763C"/>
    <w:rsid w:val="230B1A4E"/>
    <w:rsid w:val="23143199"/>
    <w:rsid w:val="231F3C6E"/>
    <w:rsid w:val="23207452"/>
    <w:rsid w:val="23250B58"/>
    <w:rsid w:val="232A616E"/>
    <w:rsid w:val="234C2589"/>
    <w:rsid w:val="235C146C"/>
    <w:rsid w:val="235E191F"/>
    <w:rsid w:val="2364528E"/>
    <w:rsid w:val="236B51E7"/>
    <w:rsid w:val="238041A2"/>
    <w:rsid w:val="23831BB7"/>
    <w:rsid w:val="2395665B"/>
    <w:rsid w:val="239F5661"/>
    <w:rsid w:val="23A20DDF"/>
    <w:rsid w:val="23BD6FE3"/>
    <w:rsid w:val="23BE45EE"/>
    <w:rsid w:val="23C771F8"/>
    <w:rsid w:val="23EA54E0"/>
    <w:rsid w:val="24004E40"/>
    <w:rsid w:val="24176C4D"/>
    <w:rsid w:val="241E5CD3"/>
    <w:rsid w:val="243454F7"/>
    <w:rsid w:val="24374FE7"/>
    <w:rsid w:val="2446648F"/>
    <w:rsid w:val="24654F33"/>
    <w:rsid w:val="24681644"/>
    <w:rsid w:val="247F392A"/>
    <w:rsid w:val="2480698E"/>
    <w:rsid w:val="248B3CD9"/>
    <w:rsid w:val="24944BF8"/>
    <w:rsid w:val="2495668C"/>
    <w:rsid w:val="24C065EB"/>
    <w:rsid w:val="24C8729E"/>
    <w:rsid w:val="24CD14A7"/>
    <w:rsid w:val="24F32189"/>
    <w:rsid w:val="24F36825"/>
    <w:rsid w:val="24F74EED"/>
    <w:rsid w:val="25007ACF"/>
    <w:rsid w:val="250A44A9"/>
    <w:rsid w:val="25157CCF"/>
    <w:rsid w:val="25177C3F"/>
    <w:rsid w:val="25181EB1"/>
    <w:rsid w:val="25445D9E"/>
    <w:rsid w:val="254A2AF8"/>
    <w:rsid w:val="254F63F2"/>
    <w:rsid w:val="2566123A"/>
    <w:rsid w:val="256F255E"/>
    <w:rsid w:val="25706FB6"/>
    <w:rsid w:val="258A2455"/>
    <w:rsid w:val="258B1B3B"/>
    <w:rsid w:val="258C1362"/>
    <w:rsid w:val="25B14D16"/>
    <w:rsid w:val="25BA7ED1"/>
    <w:rsid w:val="25C26499"/>
    <w:rsid w:val="25F652D5"/>
    <w:rsid w:val="25F767DC"/>
    <w:rsid w:val="260333D3"/>
    <w:rsid w:val="26045F91"/>
    <w:rsid w:val="26070C9A"/>
    <w:rsid w:val="26072CF6"/>
    <w:rsid w:val="260860A7"/>
    <w:rsid w:val="263C0693"/>
    <w:rsid w:val="263D4A6F"/>
    <w:rsid w:val="265E638C"/>
    <w:rsid w:val="26754340"/>
    <w:rsid w:val="26777094"/>
    <w:rsid w:val="26873C2B"/>
    <w:rsid w:val="26C02488"/>
    <w:rsid w:val="26C22739"/>
    <w:rsid w:val="26CF57CC"/>
    <w:rsid w:val="26F64CE5"/>
    <w:rsid w:val="27022042"/>
    <w:rsid w:val="27067BFB"/>
    <w:rsid w:val="27090EBD"/>
    <w:rsid w:val="272A2BE1"/>
    <w:rsid w:val="27545EB0"/>
    <w:rsid w:val="275C3636"/>
    <w:rsid w:val="276879F9"/>
    <w:rsid w:val="276C29FF"/>
    <w:rsid w:val="276E51C4"/>
    <w:rsid w:val="277976C4"/>
    <w:rsid w:val="277F4CDB"/>
    <w:rsid w:val="278E34D5"/>
    <w:rsid w:val="279360CF"/>
    <w:rsid w:val="27B13177"/>
    <w:rsid w:val="27B34984"/>
    <w:rsid w:val="27B755B5"/>
    <w:rsid w:val="27BE0886"/>
    <w:rsid w:val="27BF3E32"/>
    <w:rsid w:val="27D42FAA"/>
    <w:rsid w:val="27D55F04"/>
    <w:rsid w:val="27DA63B5"/>
    <w:rsid w:val="27DE5025"/>
    <w:rsid w:val="27E744E3"/>
    <w:rsid w:val="27E80E23"/>
    <w:rsid w:val="27F811CC"/>
    <w:rsid w:val="28037FA1"/>
    <w:rsid w:val="280D4EE4"/>
    <w:rsid w:val="280E2E4E"/>
    <w:rsid w:val="282F6F65"/>
    <w:rsid w:val="283A1500"/>
    <w:rsid w:val="283D5FEB"/>
    <w:rsid w:val="28490A33"/>
    <w:rsid w:val="28662BD9"/>
    <w:rsid w:val="28697639"/>
    <w:rsid w:val="28792601"/>
    <w:rsid w:val="287B177E"/>
    <w:rsid w:val="2881331F"/>
    <w:rsid w:val="28855A7D"/>
    <w:rsid w:val="28B9421C"/>
    <w:rsid w:val="28C9135D"/>
    <w:rsid w:val="28E129FB"/>
    <w:rsid w:val="28EC7D38"/>
    <w:rsid w:val="29003F99"/>
    <w:rsid w:val="2907142C"/>
    <w:rsid w:val="292A6C56"/>
    <w:rsid w:val="292D79C6"/>
    <w:rsid w:val="294A7D93"/>
    <w:rsid w:val="294D2BB7"/>
    <w:rsid w:val="296D23D0"/>
    <w:rsid w:val="297B5976"/>
    <w:rsid w:val="29860884"/>
    <w:rsid w:val="29977D32"/>
    <w:rsid w:val="29B82726"/>
    <w:rsid w:val="29D3130E"/>
    <w:rsid w:val="29E96D83"/>
    <w:rsid w:val="29EB624B"/>
    <w:rsid w:val="2A03099A"/>
    <w:rsid w:val="2A0C4820"/>
    <w:rsid w:val="2A2B4C3B"/>
    <w:rsid w:val="2A36097D"/>
    <w:rsid w:val="2A3C4787"/>
    <w:rsid w:val="2A3F4BF5"/>
    <w:rsid w:val="2A472991"/>
    <w:rsid w:val="2A4A1403"/>
    <w:rsid w:val="2A4E6BE6"/>
    <w:rsid w:val="2A512F72"/>
    <w:rsid w:val="2A5C2D60"/>
    <w:rsid w:val="2A5F2497"/>
    <w:rsid w:val="2A697EC4"/>
    <w:rsid w:val="2A731ED7"/>
    <w:rsid w:val="2A830F86"/>
    <w:rsid w:val="2A9F5694"/>
    <w:rsid w:val="2A9F6AE3"/>
    <w:rsid w:val="2AAA7634"/>
    <w:rsid w:val="2AAD6F1A"/>
    <w:rsid w:val="2ABF25ED"/>
    <w:rsid w:val="2AC91867"/>
    <w:rsid w:val="2AE63521"/>
    <w:rsid w:val="2B0B5339"/>
    <w:rsid w:val="2B0F1F83"/>
    <w:rsid w:val="2B14562C"/>
    <w:rsid w:val="2B1C0CE8"/>
    <w:rsid w:val="2B237433"/>
    <w:rsid w:val="2B2A3917"/>
    <w:rsid w:val="2B5E10AB"/>
    <w:rsid w:val="2B6C7C6C"/>
    <w:rsid w:val="2B8B0961"/>
    <w:rsid w:val="2B8C19B3"/>
    <w:rsid w:val="2B8C79C6"/>
    <w:rsid w:val="2B8E1990"/>
    <w:rsid w:val="2B9C3A86"/>
    <w:rsid w:val="2BB03BD6"/>
    <w:rsid w:val="2BCD159B"/>
    <w:rsid w:val="2BD66F2D"/>
    <w:rsid w:val="2BE45A54"/>
    <w:rsid w:val="2BE95450"/>
    <w:rsid w:val="2BF8505C"/>
    <w:rsid w:val="2C0440A1"/>
    <w:rsid w:val="2C1103D7"/>
    <w:rsid w:val="2C154F49"/>
    <w:rsid w:val="2C2643AF"/>
    <w:rsid w:val="2C2E4F21"/>
    <w:rsid w:val="2C320E50"/>
    <w:rsid w:val="2C35092F"/>
    <w:rsid w:val="2C3A2459"/>
    <w:rsid w:val="2C444745"/>
    <w:rsid w:val="2C46226B"/>
    <w:rsid w:val="2C495476"/>
    <w:rsid w:val="2C4B162F"/>
    <w:rsid w:val="2C5311DB"/>
    <w:rsid w:val="2C536173"/>
    <w:rsid w:val="2C646BB3"/>
    <w:rsid w:val="2C6F0133"/>
    <w:rsid w:val="2C700151"/>
    <w:rsid w:val="2C73217E"/>
    <w:rsid w:val="2C8113C9"/>
    <w:rsid w:val="2C8A42B0"/>
    <w:rsid w:val="2C8B41B2"/>
    <w:rsid w:val="2C90798A"/>
    <w:rsid w:val="2C977532"/>
    <w:rsid w:val="2CBA6023"/>
    <w:rsid w:val="2CC518C7"/>
    <w:rsid w:val="2CC76232"/>
    <w:rsid w:val="2CDC672B"/>
    <w:rsid w:val="2CE35D0C"/>
    <w:rsid w:val="2CED2AA7"/>
    <w:rsid w:val="2CF271A5"/>
    <w:rsid w:val="2D102669"/>
    <w:rsid w:val="2D297497"/>
    <w:rsid w:val="2D370B72"/>
    <w:rsid w:val="2D395076"/>
    <w:rsid w:val="2D426A09"/>
    <w:rsid w:val="2D460049"/>
    <w:rsid w:val="2D46584D"/>
    <w:rsid w:val="2D4B2C0B"/>
    <w:rsid w:val="2D69305E"/>
    <w:rsid w:val="2D6B3E89"/>
    <w:rsid w:val="2D782F8C"/>
    <w:rsid w:val="2D817E99"/>
    <w:rsid w:val="2D8400D7"/>
    <w:rsid w:val="2D851D9A"/>
    <w:rsid w:val="2D856881"/>
    <w:rsid w:val="2DA134D1"/>
    <w:rsid w:val="2DC23E73"/>
    <w:rsid w:val="2DCE469B"/>
    <w:rsid w:val="2DD1025A"/>
    <w:rsid w:val="2DDB4C35"/>
    <w:rsid w:val="2DF070CB"/>
    <w:rsid w:val="2DF2421D"/>
    <w:rsid w:val="2DF83A39"/>
    <w:rsid w:val="2E187C37"/>
    <w:rsid w:val="2E1E46C0"/>
    <w:rsid w:val="2E3A7CB5"/>
    <w:rsid w:val="2E3F19F1"/>
    <w:rsid w:val="2E5C1C86"/>
    <w:rsid w:val="2E605E05"/>
    <w:rsid w:val="2E6764C9"/>
    <w:rsid w:val="2E761D60"/>
    <w:rsid w:val="2E76495E"/>
    <w:rsid w:val="2E894691"/>
    <w:rsid w:val="2EA218EE"/>
    <w:rsid w:val="2EB37960"/>
    <w:rsid w:val="2EBE03AB"/>
    <w:rsid w:val="2EC947E6"/>
    <w:rsid w:val="2EDA4411"/>
    <w:rsid w:val="2EDE0726"/>
    <w:rsid w:val="2EE23AD9"/>
    <w:rsid w:val="2EEA070E"/>
    <w:rsid w:val="2EED4682"/>
    <w:rsid w:val="2EF37AF2"/>
    <w:rsid w:val="2F082B63"/>
    <w:rsid w:val="2F1E302B"/>
    <w:rsid w:val="2F2443BA"/>
    <w:rsid w:val="2F316B62"/>
    <w:rsid w:val="2F387EAC"/>
    <w:rsid w:val="2F5C7FF7"/>
    <w:rsid w:val="2F7506E7"/>
    <w:rsid w:val="2F7A5FA5"/>
    <w:rsid w:val="2F7B10A8"/>
    <w:rsid w:val="2FA0417A"/>
    <w:rsid w:val="2FA62C69"/>
    <w:rsid w:val="2FD41AF9"/>
    <w:rsid w:val="2FE7396B"/>
    <w:rsid w:val="2FF13677"/>
    <w:rsid w:val="2FF66226"/>
    <w:rsid w:val="300D7D4A"/>
    <w:rsid w:val="3012582C"/>
    <w:rsid w:val="30143D01"/>
    <w:rsid w:val="30191A45"/>
    <w:rsid w:val="301B5F21"/>
    <w:rsid w:val="30237ABB"/>
    <w:rsid w:val="303A20E7"/>
    <w:rsid w:val="305F38FB"/>
    <w:rsid w:val="3066541E"/>
    <w:rsid w:val="308601DF"/>
    <w:rsid w:val="308C66BA"/>
    <w:rsid w:val="309A6ACC"/>
    <w:rsid w:val="30B6776F"/>
    <w:rsid w:val="30B71989"/>
    <w:rsid w:val="30C97913"/>
    <w:rsid w:val="30E42053"/>
    <w:rsid w:val="30ED6B97"/>
    <w:rsid w:val="3103599E"/>
    <w:rsid w:val="31172AC6"/>
    <w:rsid w:val="311B5C10"/>
    <w:rsid w:val="31230DCD"/>
    <w:rsid w:val="31375FCB"/>
    <w:rsid w:val="31501098"/>
    <w:rsid w:val="31610369"/>
    <w:rsid w:val="318D3041"/>
    <w:rsid w:val="319C5FD5"/>
    <w:rsid w:val="31A27C39"/>
    <w:rsid w:val="31A60AF1"/>
    <w:rsid w:val="31AC0DC2"/>
    <w:rsid w:val="31B52D03"/>
    <w:rsid w:val="31CC4EB8"/>
    <w:rsid w:val="31CE576C"/>
    <w:rsid w:val="31F44517"/>
    <w:rsid w:val="31FE7C49"/>
    <w:rsid w:val="3213664F"/>
    <w:rsid w:val="321F3964"/>
    <w:rsid w:val="322840AD"/>
    <w:rsid w:val="32313FA5"/>
    <w:rsid w:val="32416ED0"/>
    <w:rsid w:val="324463DD"/>
    <w:rsid w:val="324A4137"/>
    <w:rsid w:val="324A5069"/>
    <w:rsid w:val="324C189B"/>
    <w:rsid w:val="32511990"/>
    <w:rsid w:val="3269113C"/>
    <w:rsid w:val="328A6C2A"/>
    <w:rsid w:val="329C29DB"/>
    <w:rsid w:val="329E58DF"/>
    <w:rsid w:val="32B26CBD"/>
    <w:rsid w:val="32D14858"/>
    <w:rsid w:val="32FD11AA"/>
    <w:rsid w:val="32FF58CF"/>
    <w:rsid w:val="331F55C4"/>
    <w:rsid w:val="33220A74"/>
    <w:rsid w:val="332350B4"/>
    <w:rsid w:val="33260700"/>
    <w:rsid w:val="332D5F33"/>
    <w:rsid w:val="333554DB"/>
    <w:rsid w:val="335C6818"/>
    <w:rsid w:val="33684231"/>
    <w:rsid w:val="336F4C9B"/>
    <w:rsid w:val="338A29AE"/>
    <w:rsid w:val="33BE4DDD"/>
    <w:rsid w:val="33C72397"/>
    <w:rsid w:val="33C92492"/>
    <w:rsid w:val="33E546A0"/>
    <w:rsid w:val="34014CC9"/>
    <w:rsid w:val="340F2250"/>
    <w:rsid w:val="34140810"/>
    <w:rsid w:val="3417273F"/>
    <w:rsid w:val="341C1B03"/>
    <w:rsid w:val="3424001A"/>
    <w:rsid w:val="342E6182"/>
    <w:rsid w:val="342F07FD"/>
    <w:rsid w:val="34571F2B"/>
    <w:rsid w:val="346644D8"/>
    <w:rsid w:val="34711390"/>
    <w:rsid w:val="34713BFD"/>
    <w:rsid w:val="34A66F1C"/>
    <w:rsid w:val="34A9783B"/>
    <w:rsid w:val="34AE3CB6"/>
    <w:rsid w:val="34BB66FC"/>
    <w:rsid w:val="34BE31ED"/>
    <w:rsid w:val="34D84DA0"/>
    <w:rsid w:val="34E316B2"/>
    <w:rsid w:val="34E42621"/>
    <w:rsid w:val="34E57718"/>
    <w:rsid w:val="34FE4C5B"/>
    <w:rsid w:val="35052609"/>
    <w:rsid w:val="350E5A13"/>
    <w:rsid w:val="35215623"/>
    <w:rsid w:val="35222B26"/>
    <w:rsid w:val="35266E42"/>
    <w:rsid w:val="35357318"/>
    <w:rsid w:val="354830D1"/>
    <w:rsid w:val="35990933"/>
    <w:rsid w:val="35A818A1"/>
    <w:rsid w:val="35B6520A"/>
    <w:rsid w:val="35C0308E"/>
    <w:rsid w:val="35C57D83"/>
    <w:rsid w:val="35C8425E"/>
    <w:rsid w:val="35CD0758"/>
    <w:rsid w:val="35E46651"/>
    <w:rsid w:val="35F37B6B"/>
    <w:rsid w:val="35F42D6C"/>
    <w:rsid w:val="360607D9"/>
    <w:rsid w:val="36190C5C"/>
    <w:rsid w:val="361C5FF4"/>
    <w:rsid w:val="361D5854"/>
    <w:rsid w:val="363D616D"/>
    <w:rsid w:val="364307A9"/>
    <w:rsid w:val="36484E32"/>
    <w:rsid w:val="36486BE0"/>
    <w:rsid w:val="36536868"/>
    <w:rsid w:val="36545584"/>
    <w:rsid w:val="365D2974"/>
    <w:rsid w:val="36696099"/>
    <w:rsid w:val="366F3BEF"/>
    <w:rsid w:val="36734C91"/>
    <w:rsid w:val="36745B8E"/>
    <w:rsid w:val="3680580C"/>
    <w:rsid w:val="36885171"/>
    <w:rsid w:val="368F480F"/>
    <w:rsid w:val="36947283"/>
    <w:rsid w:val="369553E2"/>
    <w:rsid w:val="36B33A53"/>
    <w:rsid w:val="36C26992"/>
    <w:rsid w:val="36CC78F5"/>
    <w:rsid w:val="371A7F71"/>
    <w:rsid w:val="37205599"/>
    <w:rsid w:val="37294B19"/>
    <w:rsid w:val="372E5053"/>
    <w:rsid w:val="37405933"/>
    <w:rsid w:val="37411994"/>
    <w:rsid w:val="374A06A6"/>
    <w:rsid w:val="37606CCB"/>
    <w:rsid w:val="376A6BC4"/>
    <w:rsid w:val="377A101B"/>
    <w:rsid w:val="37816A8C"/>
    <w:rsid w:val="37977513"/>
    <w:rsid w:val="37B23EA2"/>
    <w:rsid w:val="37BD2DF2"/>
    <w:rsid w:val="37BE184F"/>
    <w:rsid w:val="37C7120A"/>
    <w:rsid w:val="37ED133C"/>
    <w:rsid w:val="37ED3EE3"/>
    <w:rsid w:val="37F30DCD"/>
    <w:rsid w:val="381274A5"/>
    <w:rsid w:val="38127B44"/>
    <w:rsid w:val="381E409C"/>
    <w:rsid w:val="382E573D"/>
    <w:rsid w:val="38305B7D"/>
    <w:rsid w:val="383438BF"/>
    <w:rsid w:val="383C739A"/>
    <w:rsid w:val="38517209"/>
    <w:rsid w:val="38524D58"/>
    <w:rsid w:val="385A07E5"/>
    <w:rsid w:val="38635A90"/>
    <w:rsid w:val="386D5023"/>
    <w:rsid w:val="38736F13"/>
    <w:rsid w:val="389E008F"/>
    <w:rsid w:val="38A94C99"/>
    <w:rsid w:val="38C316CD"/>
    <w:rsid w:val="38CA6E75"/>
    <w:rsid w:val="38D6246F"/>
    <w:rsid w:val="38DE55D9"/>
    <w:rsid w:val="38DF1EBC"/>
    <w:rsid w:val="38F00189"/>
    <w:rsid w:val="39044BA7"/>
    <w:rsid w:val="3910263A"/>
    <w:rsid w:val="391D4354"/>
    <w:rsid w:val="39212EA6"/>
    <w:rsid w:val="39321E6B"/>
    <w:rsid w:val="39321F75"/>
    <w:rsid w:val="39375FE8"/>
    <w:rsid w:val="393A716A"/>
    <w:rsid w:val="395F2BBE"/>
    <w:rsid w:val="396D2FDD"/>
    <w:rsid w:val="39897C3B"/>
    <w:rsid w:val="398E0DAD"/>
    <w:rsid w:val="39965EB4"/>
    <w:rsid w:val="399B6E40"/>
    <w:rsid w:val="399F745E"/>
    <w:rsid w:val="39B0507A"/>
    <w:rsid w:val="39B65872"/>
    <w:rsid w:val="39D54C2E"/>
    <w:rsid w:val="39D61695"/>
    <w:rsid w:val="39F562C6"/>
    <w:rsid w:val="39FD4EC3"/>
    <w:rsid w:val="3A0F6CCE"/>
    <w:rsid w:val="3A104AA6"/>
    <w:rsid w:val="3A111BD1"/>
    <w:rsid w:val="3A127391"/>
    <w:rsid w:val="3A1F5EA9"/>
    <w:rsid w:val="3A255BB6"/>
    <w:rsid w:val="3A3C70DA"/>
    <w:rsid w:val="3A3F3C71"/>
    <w:rsid w:val="3A4F678F"/>
    <w:rsid w:val="3A500759"/>
    <w:rsid w:val="3A577BC8"/>
    <w:rsid w:val="3A5B78CA"/>
    <w:rsid w:val="3A744447"/>
    <w:rsid w:val="3A8169A7"/>
    <w:rsid w:val="3A84433E"/>
    <w:rsid w:val="3A8E5D10"/>
    <w:rsid w:val="3A900B55"/>
    <w:rsid w:val="3ABE17AB"/>
    <w:rsid w:val="3AD26B0E"/>
    <w:rsid w:val="3AD70432"/>
    <w:rsid w:val="3AE11A4E"/>
    <w:rsid w:val="3AEB3DC1"/>
    <w:rsid w:val="3AF978A0"/>
    <w:rsid w:val="3B10495E"/>
    <w:rsid w:val="3B1A6FF8"/>
    <w:rsid w:val="3B1F0857"/>
    <w:rsid w:val="3B2A4FB6"/>
    <w:rsid w:val="3B460080"/>
    <w:rsid w:val="3B660234"/>
    <w:rsid w:val="3B742410"/>
    <w:rsid w:val="3B8025CE"/>
    <w:rsid w:val="3B932D9C"/>
    <w:rsid w:val="3BA13ACA"/>
    <w:rsid w:val="3BA7084C"/>
    <w:rsid w:val="3BB261DC"/>
    <w:rsid w:val="3BB422D1"/>
    <w:rsid w:val="3BC4364C"/>
    <w:rsid w:val="3BD26834"/>
    <w:rsid w:val="3BE30CC3"/>
    <w:rsid w:val="3BE94B51"/>
    <w:rsid w:val="3BEA727C"/>
    <w:rsid w:val="3C1001A0"/>
    <w:rsid w:val="3C19288C"/>
    <w:rsid w:val="3C2E263B"/>
    <w:rsid w:val="3C3F097B"/>
    <w:rsid w:val="3C5B6995"/>
    <w:rsid w:val="3C6154D5"/>
    <w:rsid w:val="3C65673D"/>
    <w:rsid w:val="3C8A1D00"/>
    <w:rsid w:val="3C97266F"/>
    <w:rsid w:val="3C9D5708"/>
    <w:rsid w:val="3CAE0C64"/>
    <w:rsid w:val="3CB80A4B"/>
    <w:rsid w:val="3CB970CA"/>
    <w:rsid w:val="3CBA43FC"/>
    <w:rsid w:val="3CBD0327"/>
    <w:rsid w:val="3CC017E2"/>
    <w:rsid w:val="3CCE5FE8"/>
    <w:rsid w:val="3CD37937"/>
    <w:rsid w:val="3CD600D4"/>
    <w:rsid w:val="3CDB16A9"/>
    <w:rsid w:val="3CE72519"/>
    <w:rsid w:val="3CEA4A31"/>
    <w:rsid w:val="3CEE3FA5"/>
    <w:rsid w:val="3CFF0FF5"/>
    <w:rsid w:val="3D006466"/>
    <w:rsid w:val="3D204412"/>
    <w:rsid w:val="3D2C2516"/>
    <w:rsid w:val="3D34414A"/>
    <w:rsid w:val="3D573AAE"/>
    <w:rsid w:val="3D6E0E78"/>
    <w:rsid w:val="3D7F06B6"/>
    <w:rsid w:val="3D837E4A"/>
    <w:rsid w:val="3DA212CB"/>
    <w:rsid w:val="3DA662ED"/>
    <w:rsid w:val="3DB04758"/>
    <w:rsid w:val="3DBC42D1"/>
    <w:rsid w:val="3DC56607"/>
    <w:rsid w:val="3DDC6AF7"/>
    <w:rsid w:val="3DEA313A"/>
    <w:rsid w:val="3DEB6D2F"/>
    <w:rsid w:val="3DEC0798"/>
    <w:rsid w:val="3E2061C5"/>
    <w:rsid w:val="3E353EED"/>
    <w:rsid w:val="3E377C66"/>
    <w:rsid w:val="3E3A3A22"/>
    <w:rsid w:val="3E5C591E"/>
    <w:rsid w:val="3E5F1E94"/>
    <w:rsid w:val="3E78202C"/>
    <w:rsid w:val="3E834C59"/>
    <w:rsid w:val="3E8E5AC6"/>
    <w:rsid w:val="3E9A6446"/>
    <w:rsid w:val="3E9B70A5"/>
    <w:rsid w:val="3EAE5A4E"/>
    <w:rsid w:val="3EB46960"/>
    <w:rsid w:val="3EBC016B"/>
    <w:rsid w:val="3ED25BE0"/>
    <w:rsid w:val="3EDE27D7"/>
    <w:rsid w:val="3EEF576A"/>
    <w:rsid w:val="3EFE0737"/>
    <w:rsid w:val="3EFF06DF"/>
    <w:rsid w:val="3F022944"/>
    <w:rsid w:val="3F0F1B8C"/>
    <w:rsid w:val="3F125943"/>
    <w:rsid w:val="3F610CA2"/>
    <w:rsid w:val="3F697E60"/>
    <w:rsid w:val="3F6F03BB"/>
    <w:rsid w:val="3F727B39"/>
    <w:rsid w:val="3F733A40"/>
    <w:rsid w:val="3F7C101A"/>
    <w:rsid w:val="3F8127C5"/>
    <w:rsid w:val="3F817D6A"/>
    <w:rsid w:val="3F817FF8"/>
    <w:rsid w:val="3F8F027A"/>
    <w:rsid w:val="3F9675A3"/>
    <w:rsid w:val="3FA23805"/>
    <w:rsid w:val="3FAB6A81"/>
    <w:rsid w:val="3FAF4912"/>
    <w:rsid w:val="3FCB2D86"/>
    <w:rsid w:val="3FDB6351"/>
    <w:rsid w:val="3FDC1CB4"/>
    <w:rsid w:val="3FDF05B5"/>
    <w:rsid w:val="3FF45064"/>
    <w:rsid w:val="3FF74965"/>
    <w:rsid w:val="400B13AA"/>
    <w:rsid w:val="400F51CA"/>
    <w:rsid w:val="4030141F"/>
    <w:rsid w:val="40622D83"/>
    <w:rsid w:val="40692865"/>
    <w:rsid w:val="406A72FF"/>
    <w:rsid w:val="40896772"/>
    <w:rsid w:val="408B24EB"/>
    <w:rsid w:val="408B6047"/>
    <w:rsid w:val="408E454F"/>
    <w:rsid w:val="40996605"/>
    <w:rsid w:val="40A21B0F"/>
    <w:rsid w:val="40A37834"/>
    <w:rsid w:val="40A97E53"/>
    <w:rsid w:val="40C01E9C"/>
    <w:rsid w:val="40C0232B"/>
    <w:rsid w:val="40C778F0"/>
    <w:rsid w:val="40CD787E"/>
    <w:rsid w:val="40E77640"/>
    <w:rsid w:val="411502A2"/>
    <w:rsid w:val="411734DA"/>
    <w:rsid w:val="41184E34"/>
    <w:rsid w:val="413466DE"/>
    <w:rsid w:val="413D1D6A"/>
    <w:rsid w:val="414032D5"/>
    <w:rsid w:val="41404B15"/>
    <w:rsid w:val="415A55FF"/>
    <w:rsid w:val="417B26BE"/>
    <w:rsid w:val="41AC44C7"/>
    <w:rsid w:val="41B60825"/>
    <w:rsid w:val="41BB0BAE"/>
    <w:rsid w:val="41BF6C8C"/>
    <w:rsid w:val="41ED0891"/>
    <w:rsid w:val="41FA16D6"/>
    <w:rsid w:val="41FC6522"/>
    <w:rsid w:val="4214206C"/>
    <w:rsid w:val="421A4464"/>
    <w:rsid w:val="421B7832"/>
    <w:rsid w:val="42254A34"/>
    <w:rsid w:val="422624CB"/>
    <w:rsid w:val="42324A15"/>
    <w:rsid w:val="42377617"/>
    <w:rsid w:val="424004A9"/>
    <w:rsid w:val="424F0273"/>
    <w:rsid w:val="42616642"/>
    <w:rsid w:val="42645CB4"/>
    <w:rsid w:val="426B4382"/>
    <w:rsid w:val="428D56EF"/>
    <w:rsid w:val="428D793F"/>
    <w:rsid w:val="42920467"/>
    <w:rsid w:val="429462ED"/>
    <w:rsid w:val="42A96C58"/>
    <w:rsid w:val="42AE3B07"/>
    <w:rsid w:val="42B06238"/>
    <w:rsid w:val="42B155EE"/>
    <w:rsid w:val="42B6462D"/>
    <w:rsid w:val="42B775C7"/>
    <w:rsid w:val="42BC7DDF"/>
    <w:rsid w:val="42D62407"/>
    <w:rsid w:val="42FF7DE1"/>
    <w:rsid w:val="43004B7A"/>
    <w:rsid w:val="43010842"/>
    <w:rsid w:val="43076C51"/>
    <w:rsid w:val="43122A4F"/>
    <w:rsid w:val="434926DB"/>
    <w:rsid w:val="434B0A13"/>
    <w:rsid w:val="43544F2A"/>
    <w:rsid w:val="43554744"/>
    <w:rsid w:val="43586DEC"/>
    <w:rsid w:val="435B43F6"/>
    <w:rsid w:val="435C32CD"/>
    <w:rsid w:val="436766A8"/>
    <w:rsid w:val="437E2698"/>
    <w:rsid w:val="437F659C"/>
    <w:rsid w:val="438020AF"/>
    <w:rsid w:val="43820DCC"/>
    <w:rsid w:val="43A966D6"/>
    <w:rsid w:val="43AB72B4"/>
    <w:rsid w:val="43AD43B9"/>
    <w:rsid w:val="43AE66F3"/>
    <w:rsid w:val="43B30AFE"/>
    <w:rsid w:val="43C006FD"/>
    <w:rsid w:val="43C26223"/>
    <w:rsid w:val="43C53F65"/>
    <w:rsid w:val="43D443CB"/>
    <w:rsid w:val="43DE2931"/>
    <w:rsid w:val="43DE6DD5"/>
    <w:rsid w:val="43EC32A0"/>
    <w:rsid w:val="43F679B9"/>
    <w:rsid w:val="44201AAB"/>
    <w:rsid w:val="44316F05"/>
    <w:rsid w:val="44376959"/>
    <w:rsid w:val="443C0B94"/>
    <w:rsid w:val="444430DC"/>
    <w:rsid w:val="44496B2A"/>
    <w:rsid w:val="44512DD0"/>
    <w:rsid w:val="44580936"/>
    <w:rsid w:val="44670B79"/>
    <w:rsid w:val="447111BA"/>
    <w:rsid w:val="44852990"/>
    <w:rsid w:val="448A46AD"/>
    <w:rsid w:val="448A72D9"/>
    <w:rsid w:val="449776B0"/>
    <w:rsid w:val="44A36211"/>
    <w:rsid w:val="44B57B36"/>
    <w:rsid w:val="44C3123A"/>
    <w:rsid w:val="44D325A1"/>
    <w:rsid w:val="44E77DF9"/>
    <w:rsid w:val="44EF1B82"/>
    <w:rsid w:val="44FF7003"/>
    <w:rsid w:val="45175EE2"/>
    <w:rsid w:val="453436E3"/>
    <w:rsid w:val="45397E15"/>
    <w:rsid w:val="45516BB2"/>
    <w:rsid w:val="45561F04"/>
    <w:rsid w:val="455E29CE"/>
    <w:rsid w:val="455F7AA2"/>
    <w:rsid w:val="456068B7"/>
    <w:rsid w:val="45717F01"/>
    <w:rsid w:val="45797C51"/>
    <w:rsid w:val="458F46CB"/>
    <w:rsid w:val="458F6799"/>
    <w:rsid w:val="459C6612"/>
    <w:rsid w:val="45A168B6"/>
    <w:rsid w:val="45A61816"/>
    <w:rsid w:val="45AB2D6F"/>
    <w:rsid w:val="45B62C76"/>
    <w:rsid w:val="45B970FA"/>
    <w:rsid w:val="45EB4E11"/>
    <w:rsid w:val="45EE4E64"/>
    <w:rsid w:val="45F77C2C"/>
    <w:rsid w:val="45F91CA4"/>
    <w:rsid w:val="46072613"/>
    <w:rsid w:val="46103DCE"/>
    <w:rsid w:val="461B2714"/>
    <w:rsid w:val="46366A55"/>
    <w:rsid w:val="46407175"/>
    <w:rsid w:val="46413A52"/>
    <w:rsid w:val="466A3245"/>
    <w:rsid w:val="466F1F67"/>
    <w:rsid w:val="46997EC0"/>
    <w:rsid w:val="469E1575"/>
    <w:rsid w:val="469E6950"/>
    <w:rsid w:val="46AC19F2"/>
    <w:rsid w:val="46B34549"/>
    <w:rsid w:val="46C73B51"/>
    <w:rsid w:val="46DD4D63"/>
    <w:rsid w:val="46E53DBA"/>
    <w:rsid w:val="46F41301"/>
    <w:rsid w:val="46F7188E"/>
    <w:rsid w:val="46F74436"/>
    <w:rsid w:val="46F74912"/>
    <w:rsid w:val="46FB6556"/>
    <w:rsid w:val="46FC6C97"/>
    <w:rsid w:val="470129A4"/>
    <w:rsid w:val="470A638E"/>
    <w:rsid w:val="471054F8"/>
    <w:rsid w:val="471C3495"/>
    <w:rsid w:val="473D2DF8"/>
    <w:rsid w:val="473D654E"/>
    <w:rsid w:val="473E1636"/>
    <w:rsid w:val="4748411F"/>
    <w:rsid w:val="474F5AFF"/>
    <w:rsid w:val="47501D98"/>
    <w:rsid w:val="4753521B"/>
    <w:rsid w:val="475953F1"/>
    <w:rsid w:val="47737835"/>
    <w:rsid w:val="47756718"/>
    <w:rsid w:val="477F2691"/>
    <w:rsid w:val="4795557D"/>
    <w:rsid w:val="479A4856"/>
    <w:rsid w:val="47CC58C3"/>
    <w:rsid w:val="47E11F67"/>
    <w:rsid w:val="47EC1AC1"/>
    <w:rsid w:val="47F66832"/>
    <w:rsid w:val="47FA4459"/>
    <w:rsid w:val="480C0E60"/>
    <w:rsid w:val="48117779"/>
    <w:rsid w:val="481A17D1"/>
    <w:rsid w:val="482374AD"/>
    <w:rsid w:val="483B2A48"/>
    <w:rsid w:val="483D2C46"/>
    <w:rsid w:val="485D41B8"/>
    <w:rsid w:val="486024AF"/>
    <w:rsid w:val="486755EB"/>
    <w:rsid w:val="48741AB6"/>
    <w:rsid w:val="487B29C9"/>
    <w:rsid w:val="48802209"/>
    <w:rsid w:val="48825005"/>
    <w:rsid w:val="488B1D2E"/>
    <w:rsid w:val="488B2E3A"/>
    <w:rsid w:val="48AD3322"/>
    <w:rsid w:val="48AF7330"/>
    <w:rsid w:val="48BB00B2"/>
    <w:rsid w:val="48CC544E"/>
    <w:rsid w:val="48CE11C6"/>
    <w:rsid w:val="48E42798"/>
    <w:rsid w:val="48E44E8E"/>
    <w:rsid w:val="48F63EE4"/>
    <w:rsid w:val="49056BAF"/>
    <w:rsid w:val="49073558"/>
    <w:rsid w:val="493C57BA"/>
    <w:rsid w:val="49496A9F"/>
    <w:rsid w:val="49751763"/>
    <w:rsid w:val="497A75A0"/>
    <w:rsid w:val="498B79F7"/>
    <w:rsid w:val="499F734D"/>
    <w:rsid w:val="49AA1653"/>
    <w:rsid w:val="49AA3104"/>
    <w:rsid w:val="49AB59AC"/>
    <w:rsid w:val="49C76223"/>
    <w:rsid w:val="49CD76D0"/>
    <w:rsid w:val="49D92DD0"/>
    <w:rsid w:val="49D97E23"/>
    <w:rsid w:val="49E113CD"/>
    <w:rsid w:val="49ED7D72"/>
    <w:rsid w:val="49FD6207"/>
    <w:rsid w:val="4A0D6A19"/>
    <w:rsid w:val="4A0E54B5"/>
    <w:rsid w:val="4A243541"/>
    <w:rsid w:val="4A282B58"/>
    <w:rsid w:val="4A337425"/>
    <w:rsid w:val="4A41567B"/>
    <w:rsid w:val="4A4554B8"/>
    <w:rsid w:val="4A4E13D3"/>
    <w:rsid w:val="4A63530B"/>
    <w:rsid w:val="4A687A8A"/>
    <w:rsid w:val="4A7D10F6"/>
    <w:rsid w:val="4A91694F"/>
    <w:rsid w:val="4AAB5112"/>
    <w:rsid w:val="4AC00AA3"/>
    <w:rsid w:val="4AC50AF6"/>
    <w:rsid w:val="4AC7620F"/>
    <w:rsid w:val="4AE64EED"/>
    <w:rsid w:val="4AE80986"/>
    <w:rsid w:val="4AEE1127"/>
    <w:rsid w:val="4AF8077D"/>
    <w:rsid w:val="4B073AB3"/>
    <w:rsid w:val="4B0D06CC"/>
    <w:rsid w:val="4B194920"/>
    <w:rsid w:val="4B315A3D"/>
    <w:rsid w:val="4B3A6545"/>
    <w:rsid w:val="4B3B6134"/>
    <w:rsid w:val="4B477572"/>
    <w:rsid w:val="4B6148D3"/>
    <w:rsid w:val="4B714728"/>
    <w:rsid w:val="4B75001F"/>
    <w:rsid w:val="4B807D59"/>
    <w:rsid w:val="4B917A1C"/>
    <w:rsid w:val="4BA118F5"/>
    <w:rsid w:val="4BA72EF2"/>
    <w:rsid w:val="4BAA6F97"/>
    <w:rsid w:val="4BAF6B3D"/>
    <w:rsid w:val="4BCB40E3"/>
    <w:rsid w:val="4BCD7E5B"/>
    <w:rsid w:val="4BD16ECB"/>
    <w:rsid w:val="4BEC6847"/>
    <w:rsid w:val="4BED171A"/>
    <w:rsid w:val="4BFA74CA"/>
    <w:rsid w:val="4C11065B"/>
    <w:rsid w:val="4C14788F"/>
    <w:rsid w:val="4C165A3D"/>
    <w:rsid w:val="4C2F442D"/>
    <w:rsid w:val="4C37194B"/>
    <w:rsid w:val="4C3E203F"/>
    <w:rsid w:val="4C4A2448"/>
    <w:rsid w:val="4C545E87"/>
    <w:rsid w:val="4C6904EB"/>
    <w:rsid w:val="4C7675E4"/>
    <w:rsid w:val="4C802BBF"/>
    <w:rsid w:val="4C830CD4"/>
    <w:rsid w:val="4CAC6BE0"/>
    <w:rsid w:val="4CB30DFF"/>
    <w:rsid w:val="4CB70563"/>
    <w:rsid w:val="4CD54770"/>
    <w:rsid w:val="4CF6285E"/>
    <w:rsid w:val="4CFB13C3"/>
    <w:rsid w:val="4D0F7FFF"/>
    <w:rsid w:val="4D133550"/>
    <w:rsid w:val="4D31650C"/>
    <w:rsid w:val="4D4052E5"/>
    <w:rsid w:val="4D4E1A63"/>
    <w:rsid w:val="4D587BF8"/>
    <w:rsid w:val="4D744B65"/>
    <w:rsid w:val="4D86660F"/>
    <w:rsid w:val="4D9C1224"/>
    <w:rsid w:val="4D9C62CC"/>
    <w:rsid w:val="4DAA04F4"/>
    <w:rsid w:val="4DB841F3"/>
    <w:rsid w:val="4DB85FA2"/>
    <w:rsid w:val="4DD52FF7"/>
    <w:rsid w:val="4DD62D09"/>
    <w:rsid w:val="4DD94895"/>
    <w:rsid w:val="4DED52D5"/>
    <w:rsid w:val="4DF07E31"/>
    <w:rsid w:val="4DFA2A5E"/>
    <w:rsid w:val="4DFC5726"/>
    <w:rsid w:val="4E1320C7"/>
    <w:rsid w:val="4E217FEA"/>
    <w:rsid w:val="4E226D28"/>
    <w:rsid w:val="4E2F6BAB"/>
    <w:rsid w:val="4E3B2540"/>
    <w:rsid w:val="4E415FF0"/>
    <w:rsid w:val="4E4211B2"/>
    <w:rsid w:val="4E4D7031"/>
    <w:rsid w:val="4E693207"/>
    <w:rsid w:val="4E7267C4"/>
    <w:rsid w:val="4E742810"/>
    <w:rsid w:val="4E810A89"/>
    <w:rsid w:val="4E8438CD"/>
    <w:rsid w:val="4E881E17"/>
    <w:rsid w:val="4E902D1C"/>
    <w:rsid w:val="4E917088"/>
    <w:rsid w:val="4E984750"/>
    <w:rsid w:val="4EB24174"/>
    <w:rsid w:val="4ECF17A1"/>
    <w:rsid w:val="4ED07AB5"/>
    <w:rsid w:val="4F095275"/>
    <w:rsid w:val="4F165675"/>
    <w:rsid w:val="4F50502B"/>
    <w:rsid w:val="4F562DD9"/>
    <w:rsid w:val="4F646911"/>
    <w:rsid w:val="4F73779A"/>
    <w:rsid w:val="4F93316A"/>
    <w:rsid w:val="4FA17635"/>
    <w:rsid w:val="4FAF72F0"/>
    <w:rsid w:val="4FB46BA3"/>
    <w:rsid w:val="4FB97DFA"/>
    <w:rsid w:val="4FBA06F6"/>
    <w:rsid w:val="4FBA28F8"/>
    <w:rsid w:val="4FC450D1"/>
    <w:rsid w:val="4FC55521"/>
    <w:rsid w:val="4FC61495"/>
    <w:rsid w:val="4FC652ED"/>
    <w:rsid w:val="4FC82E13"/>
    <w:rsid w:val="4FC866FB"/>
    <w:rsid w:val="4FC93443"/>
    <w:rsid w:val="4FCE4FDC"/>
    <w:rsid w:val="4FD25A40"/>
    <w:rsid w:val="4FE04819"/>
    <w:rsid w:val="4FEA149C"/>
    <w:rsid w:val="4FEB6B02"/>
    <w:rsid w:val="4FED4228"/>
    <w:rsid w:val="4FF359B6"/>
    <w:rsid w:val="501119C9"/>
    <w:rsid w:val="501222E0"/>
    <w:rsid w:val="50196EC9"/>
    <w:rsid w:val="505F6A5F"/>
    <w:rsid w:val="50902684"/>
    <w:rsid w:val="50BD4AFE"/>
    <w:rsid w:val="50D50081"/>
    <w:rsid w:val="50DF56DA"/>
    <w:rsid w:val="50F360CF"/>
    <w:rsid w:val="50F43794"/>
    <w:rsid w:val="50F72C2B"/>
    <w:rsid w:val="50FF5F43"/>
    <w:rsid w:val="510936E3"/>
    <w:rsid w:val="510A745C"/>
    <w:rsid w:val="51183927"/>
    <w:rsid w:val="511B51C5"/>
    <w:rsid w:val="51311065"/>
    <w:rsid w:val="51385165"/>
    <w:rsid w:val="51387B25"/>
    <w:rsid w:val="513D1E32"/>
    <w:rsid w:val="5145251D"/>
    <w:rsid w:val="5153040B"/>
    <w:rsid w:val="51566BAA"/>
    <w:rsid w:val="515D57DD"/>
    <w:rsid w:val="516A1F01"/>
    <w:rsid w:val="516C5A20"/>
    <w:rsid w:val="517D16C1"/>
    <w:rsid w:val="51845232"/>
    <w:rsid w:val="5190495A"/>
    <w:rsid w:val="519C0E7C"/>
    <w:rsid w:val="519C4558"/>
    <w:rsid w:val="51A233AB"/>
    <w:rsid w:val="51AE7DE7"/>
    <w:rsid w:val="51F83758"/>
    <w:rsid w:val="521F2A93"/>
    <w:rsid w:val="52310016"/>
    <w:rsid w:val="523373DF"/>
    <w:rsid w:val="523922CC"/>
    <w:rsid w:val="523A167B"/>
    <w:rsid w:val="523B0C2D"/>
    <w:rsid w:val="523D5F26"/>
    <w:rsid w:val="52426781"/>
    <w:rsid w:val="524452BC"/>
    <w:rsid w:val="52693681"/>
    <w:rsid w:val="52707385"/>
    <w:rsid w:val="527103FC"/>
    <w:rsid w:val="52750905"/>
    <w:rsid w:val="52764642"/>
    <w:rsid w:val="528D20F2"/>
    <w:rsid w:val="529A65BD"/>
    <w:rsid w:val="529A792F"/>
    <w:rsid w:val="52A4759B"/>
    <w:rsid w:val="52A5743C"/>
    <w:rsid w:val="52AB2578"/>
    <w:rsid w:val="52B35629"/>
    <w:rsid w:val="52B8094F"/>
    <w:rsid w:val="52CA50F1"/>
    <w:rsid w:val="52CB512E"/>
    <w:rsid w:val="52D11624"/>
    <w:rsid w:val="52D32AFD"/>
    <w:rsid w:val="52D91829"/>
    <w:rsid w:val="52DA0FA3"/>
    <w:rsid w:val="52E177B3"/>
    <w:rsid w:val="52E72A9C"/>
    <w:rsid w:val="53131E78"/>
    <w:rsid w:val="531C097D"/>
    <w:rsid w:val="5321402D"/>
    <w:rsid w:val="53394028"/>
    <w:rsid w:val="53442347"/>
    <w:rsid w:val="53481136"/>
    <w:rsid w:val="53563CBE"/>
    <w:rsid w:val="53573245"/>
    <w:rsid w:val="535923A3"/>
    <w:rsid w:val="535B4CF7"/>
    <w:rsid w:val="53620E89"/>
    <w:rsid w:val="53636032"/>
    <w:rsid w:val="536803EC"/>
    <w:rsid w:val="536F10C0"/>
    <w:rsid w:val="53745CF5"/>
    <w:rsid w:val="53767FEB"/>
    <w:rsid w:val="537806AC"/>
    <w:rsid w:val="537F5EDF"/>
    <w:rsid w:val="539F3171"/>
    <w:rsid w:val="53B47B37"/>
    <w:rsid w:val="53C67686"/>
    <w:rsid w:val="53C8356D"/>
    <w:rsid w:val="540463E4"/>
    <w:rsid w:val="540627F7"/>
    <w:rsid w:val="54443505"/>
    <w:rsid w:val="544E765F"/>
    <w:rsid w:val="545D1115"/>
    <w:rsid w:val="54724261"/>
    <w:rsid w:val="548771D7"/>
    <w:rsid w:val="54AD6A7C"/>
    <w:rsid w:val="54C17E31"/>
    <w:rsid w:val="54D23AF9"/>
    <w:rsid w:val="54DD067A"/>
    <w:rsid w:val="54EA5A15"/>
    <w:rsid w:val="54F41531"/>
    <w:rsid w:val="5508094B"/>
    <w:rsid w:val="5512068D"/>
    <w:rsid w:val="55287EB0"/>
    <w:rsid w:val="552D3719"/>
    <w:rsid w:val="55395BE4"/>
    <w:rsid w:val="553A1B2B"/>
    <w:rsid w:val="55456CB4"/>
    <w:rsid w:val="55467D9B"/>
    <w:rsid w:val="555D1237"/>
    <w:rsid w:val="556C5FEF"/>
    <w:rsid w:val="55780E38"/>
    <w:rsid w:val="558477DD"/>
    <w:rsid w:val="55992337"/>
    <w:rsid w:val="55A734CB"/>
    <w:rsid w:val="55BD684B"/>
    <w:rsid w:val="55D6283F"/>
    <w:rsid w:val="55E77D6B"/>
    <w:rsid w:val="55F45FE4"/>
    <w:rsid w:val="55F46529"/>
    <w:rsid w:val="55F61D5C"/>
    <w:rsid w:val="55FF779E"/>
    <w:rsid w:val="56001767"/>
    <w:rsid w:val="56094B30"/>
    <w:rsid w:val="560F068E"/>
    <w:rsid w:val="561F1F50"/>
    <w:rsid w:val="56262AA1"/>
    <w:rsid w:val="562E2336"/>
    <w:rsid w:val="56342E39"/>
    <w:rsid w:val="5637264E"/>
    <w:rsid w:val="5637484F"/>
    <w:rsid w:val="56424FA2"/>
    <w:rsid w:val="564604AE"/>
    <w:rsid w:val="565F1615"/>
    <w:rsid w:val="567809C3"/>
    <w:rsid w:val="567D7CFB"/>
    <w:rsid w:val="5690506E"/>
    <w:rsid w:val="56B37C4E"/>
    <w:rsid w:val="56B64CA9"/>
    <w:rsid w:val="56BC7955"/>
    <w:rsid w:val="56BF6036"/>
    <w:rsid w:val="56CB02B4"/>
    <w:rsid w:val="56CF04FF"/>
    <w:rsid w:val="56D6783D"/>
    <w:rsid w:val="56DC53F6"/>
    <w:rsid w:val="56F64763"/>
    <w:rsid w:val="56F75D8C"/>
    <w:rsid w:val="570419EF"/>
    <w:rsid w:val="570875DD"/>
    <w:rsid w:val="570C2EEC"/>
    <w:rsid w:val="57135F3E"/>
    <w:rsid w:val="572253C2"/>
    <w:rsid w:val="57284198"/>
    <w:rsid w:val="57584ADD"/>
    <w:rsid w:val="577000AC"/>
    <w:rsid w:val="57925AB5"/>
    <w:rsid w:val="57A56C58"/>
    <w:rsid w:val="57D86CB1"/>
    <w:rsid w:val="58232D44"/>
    <w:rsid w:val="583351C9"/>
    <w:rsid w:val="5857664C"/>
    <w:rsid w:val="58586CFE"/>
    <w:rsid w:val="586D09FC"/>
    <w:rsid w:val="58725E66"/>
    <w:rsid w:val="588E76C8"/>
    <w:rsid w:val="589F0489"/>
    <w:rsid w:val="58A82689"/>
    <w:rsid w:val="58AD163F"/>
    <w:rsid w:val="58B76156"/>
    <w:rsid w:val="58BA60C4"/>
    <w:rsid w:val="58C93758"/>
    <w:rsid w:val="58CB127E"/>
    <w:rsid w:val="58D65FE6"/>
    <w:rsid w:val="58DF6CF4"/>
    <w:rsid w:val="58E77F37"/>
    <w:rsid w:val="5904132B"/>
    <w:rsid w:val="59103050"/>
    <w:rsid w:val="5911673E"/>
    <w:rsid w:val="59157827"/>
    <w:rsid w:val="59301A29"/>
    <w:rsid w:val="5939268C"/>
    <w:rsid w:val="594400A5"/>
    <w:rsid w:val="59460EC7"/>
    <w:rsid w:val="59493A22"/>
    <w:rsid w:val="594A5A09"/>
    <w:rsid w:val="59633577"/>
    <w:rsid w:val="597C6A1D"/>
    <w:rsid w:val="597C6AAB"/>
    <w:rsid w:val="598F309F"/>
    <w:rsid w:val="59A152BB"/>
    <w:rsid w:val="59A3289D"/>
    <w:rsid w:val="59AE0D89"/>
    <w:rsid w:val="59C20FCE"/>
    <w:rsid w:val="59C27BC9"/>
    <w:rsid w:val="59C53F20"/>
    <w:rsid w:val="59C90F05"/>
    <w:rsid w:val="59EA36FF"/>
    <w:rsid w:val="59F20A8D"/>
    <w:rsid w:val="59F64A21"/>
    <w:rsid w:val="5A0110B2"/>
    <w:rsid w:val="5A0802B0"/>
    <w:rsid w:val="5A132B4F"/>
    <w:rsid w:val="5A162751"/>
    <w:rsid w:val="5A1804F3"/>
    <w:rsid w:val="5A2C21F1"/>
    <w:rsid w:val="5A476005"/>
    <w:rsid w:val="5A6868CA"/>
    <w:rsid w:val="5A767910"/>
    <w:rsid w:val="5A8236D9"/>
    <w:rsid w:val="5A9410D3"/>
    <w:rsid w:val="5AA62C44"/>
    <w:rsid w:val="5AAA42D2"/>
    <w:rsid w:val="5AB126F6"/>
    <w:rsid w:val="5AB23A35"/>
    <w:rsid w:val="5ABA15AB"/>
    <w:rsid w:val="5ABA3CA0"/>
    <w:rsid w:val="5AC60EDF"/>
    <w:rsid w:val="5AD75A39"/>
    <w:rsid w:val="5ADB48B4"/>
    <w:rsid w:val="5ADF1011"/>
    <w:rsid w:val="5AF413B3"/>
    <w:rsid w:val="5B1038C0"/>
    <w:rsid w:val="5B19185A"/>
    <w:rsid w:val="5B215ACE"/>
    <w:rsid w:val="5B2500C7"/>
    <w:rsid w:val="5B2E3568"/>
    <w:rsid w:val="5B310AD6"/>
    <w:rsid w:val="5B3540FF"/>
    <w:rsid w:val="5B362DF8"/>
    <w:rsid w:val="5B3D3F8A"/>
    <w:rsid w:val="5B3F7D02"/>
    <w:rsid w:val="5B4F7AA0"/>
    <w:rsid w:val="5B5B7CB0"/>
    <w:rsid w:val="5B5F0309"/>
    <w:rsid w:val="5B70435F"/>
    <w:rsid w:val="5B857E0A"/>
    <w:rsid w:val="5B86602F"/>
    <w:rsid w:val="5B8A6175"/>
    <w:rsid w:val="5BB90036"/>
    <w:rsid w:val="5BD7725D"/>
    <w:rsid w:val="5BEB663D"/>
    <w:rsid w:val="5BFC2E75"/>
    <w:rsid w:val="5C061F9A"/>
    <w:rsid w:val="5C1D0043"/>
    <w:rsid w:val="5C245875"/>
    <w:rsid w:val="5C3914B8"/>
    <w:rsid w:val="5C57684C"/>
    <w:rsid w:val="5C5D48C1"/>
    <w:rsid w:val="5C6D68F5"/>
    <w:rsid w:val="5C755488"/>
    <w:rsid w:val="5C7A43E9"/>
    <w:rsid w:val="5C814AC5"/>
    <w:rsid w:val="5C85755D"/>
    <w:rsid w:val="5C903712"/>
    <w:rsid w:val="5CB14BA2"/>
    <w:rsid w:val="5CBD5382"/>
    <w:rsid w:val="5CC44962"/>
    <w:rsid w:val="5CC71DD7"/>
    <w:rsid w:val="5CCB6E93"/>
    <w:rsid w:val="5D011713"/>
    <w:rsid w:val="5D170190"/>
    <w:rsid w:val="5D1C02FB"/>
    <w:rsid w:val="5D1F603D"/>
    <w:rsid w:val="5D224A2A"/>
    <w:rsid w:val="5D3176C6"/>
    <w:rsid w:val="5D337CCE"/>
    <w:rsid w:val="5D445AA3"/>
    <w:rsid w:val="5D4930BA"/>
    <w:rsid w:val="5D68544F"/>
    <w:rsid w:val="5D6B3030"/>
    <w:rsid w:val="5D7322D0"/>
    <w:rsid w:val="5D7647EC"/>
    <w:rsid w:val="5D894758"/>
    <w:rsid w:val="5D9B30A0"/>
    <w:rsid w:val="5DAA1084"/>
    <w:rsid w:val="5DB06C95"/>
    <w:rsid w:val="5DBA1FF8"/>
    <w:rsid w:val="5DE60909"/>
    <w:rsid w:val="5DF721EF"/>
    <w:rsid w:val="5E0E0311"/>
    <w:rsid w:val="5E1D3725"/>
    <w:rsid w:val="5E28378F"/>
    <w:rsid w:val="5E364898"/>
    <w:rsid w:val="5E37668B"/>
    <w:rsid w:val="5E51291A"/>
    <w:rsid w:val="5E557A8C"/>
    <w:rsid w:val="5E5935C2"/>
    <w:rsid w:val="5E655CD1"/>
    <w:rsid w:val="5E805680"/>
    <w:rsid w:val="5E8E6FD6"/>
    <w:rsid w:val="5E915339"/>
    <w:rsid w:val="5E987E55"/>
    <w:rsid w:val="5E9B1551"/>
    <w:rsid w:val="5E9C51FA"/>
    <w:rsid w:val="5EB24F70"/>
    <w:rsid w:val="5EBB2220"/>
    <w:rsid w:val="5EC04A7C"/>
    <w:rsid w:val="5EC21376"/>
    <w:rsid w:val="5EC42D73"/>
    <w:rsid w:val="5ED2224E"/>
    <w:rsid w:val="5ED54C52"/>
    <w:rsid w:val="5EED6987"/>
    <w:rsid w:val="5EEF2AC7"/>
    <w:rsid w:val="5EF12FA5"/>
    <w:rsid w:val="5EF42B55"/>
    <w:rsid w:val="5EFC5B91"/>
    <w:rsid w:val="5F1F5F0F"/>
    <w:rsid w:val="5F24150D"/>
    <w:rsid w:val="5F2D04F1"/>
    <w:rsid w:val="5F2D401F"/>
    <w:rsid w:val="5F2E3428"/>
    <w:rsid w:val="5F357D99"/>
    <w:rsid w:val="5F400FB5"/>
    <w:rsid w:val="5F4B3119"/>
    <w:rsid w:val="5F70492E"/>
    <w:rsid w:val="5F750C91"/>
    <w:rsid w:val="5F7C32D2"/>
    <w:rsid w:val="5F867DB9"/>
    <w:rsid w:val="5F88611B"/>
    <w:rsid w:val="5F92436A"/>
    <w:rsid w:val="5F9A5E4E"/>
    <w:rsid w:val="5FAB019C"/>
    <w:rsid w:val="5FB16DD1"/>
    <w:rsid w:val="5FD71110"/>
    <w:rsid w:val="5FE44F8E"/>
    <w:rsid w:val="5FF20723"/>
    <w:rsid w:val="5FF4654B"/>
    <w:rsid w:val="5FF76DFD"/>
    <w:rsid w:val="600A3F4F"/>
    <w:rsid w:val="60231873"/>
    <w:rsid w:val="602329F5"/>
    <w:rsid w:val="603B1A46"/>
    <w:rsid w:val="60455E05"/>
    <w:rsid w:val="605B6B30"/>
    <w:rsid w:val="606326E4"/>
    <w:rsid w:val="6074044E"/>
    <w:rsid w:val="6085125A"/>
    <w:rsid w:val="60B00B2D"/>
    <w:rsid w:val="60BD45BD"/>
    <w:rsid w:val="60C346C6"/>
    <w:rsid w:val="60C73328"/>
    <w:rsid w:val="60E41BB2"/>
    <w:rsid w:val="60EE59F8"/>
    <w:rsid w:val="60F32039"/>
    <w:rsid w:val="60F500D8"/>
    <w:rsid w:val="60FC7D55"/>
    <w:rsid w:val="61113EEE"/>
    <w:rsid w:val="61141727"/>
    <w:rsid w:val="611469BD"/>
    <w:rsid w:val="61150B8D"/>
    <w:rsid w:val="6122664B"/>
    <w:rsid w:val="61254485"/>
    <w:rsid w:val="61266007"/>
    <w:rsid w:val="6134138B"/>
    <w:rsid w:val="615E1FB9"/>
    <w:rsid w:val="61702784"/>
    <w:rsid w:val="61841B87"/>
    <w:rsid w:val="618741B1"/>
    <w:rsid w:val="61967EFA"/>
    <w:rsid w:val="61981C81"/>
    <w:rsid w:val="619D39D4"/>
    <w:rsid w:val="61A3723C"/>
    <w:rsid w:val="61B21605"/>
    <w:rsid w:val="61BF7DEE"/>
    <w:rsid w:val="61D2367E"/>
    <w:rsid w:val="61D41829"/>
    <w:rsid w:val="61DC6C34"/>
    <w:rsid w:val="61DF5D9B"/>
    <w:rsid w:val="61E3588B"/>
    <w:rsid w:val="61F061BF"/>
    <w:rsid w:val="62031A89"/>
    <w:rsid w:val="62092E18"/>
    <w:rsid w:val="622D2FAA"/>
    <w:rsid w:val="622F0AD0"/>
    <w:rsid w:val="6247406C"/>
    <w:rsid w:val="625E1FC6"/>
    <w:rsid w:val="6270580F"/>
    <w:rsid w:val="627B419E"/>
    <w:rsid w:val="62884123"/>
    <w:rsid w:val="629C77EE"/>
    <w:rsid w:val="62AA2955"/>
    <w:rsid w:val="62AC31F3"/>
    <w:rsid w:val="62B2507E"/>
    <w:rsid w:val="62BB651F"/>
    <w:rsid w:val="62D04FDC"/>
    <w:rsid w:val="62E93375"/>
    <w:rsid w:val="62F13FD7"/>
    <w:rsid w:val="62F24A68"/>
    <w:rsid w:val="6300421A"/>
    <w:rsid w:val="630048F7"/>
    <w:rsid w:val="630D0BEA"/>
    <w:rsid w:val="631E5B99"/>
    <w:rsid w:val="631E6690"/>
    <w:rsid w:val="63202A83"/>
    <w:rsid w:val="63215DB8"/>
    <w:rsid w:val="632757F0"/>
    <w:rsid w:val="634273F6"/>
    <w:rsid w:val="63443BFB"/>
    <w:rsid w:val="63530905"/>
    <w:rsid w:val="635E7A41"/>
    <w:rsid w:val="63696022"/>
    <w:rsid w:val="636A2C66"/>
    <w:rsid w:val="637B34B7"/>
    <w:rsid w:val="637F7835"/>
    <w:rsid w:val="63B549CF"/>
    <w:rsid w:val="63B77B8E"/>
    <w:rsid w:val="63D53465"/>
    <w:rsid w:val="63E23F8F"/>
    <w:rsid w:val="63F4583A"/>
    <w:rsid w:val="640921F5"/>
    <w:rsid w:val="642F52A1"/>
    <w:rsid w:val="644B139F"/>
    <w:rsid w:val="645079A9"/>
    <w:rsid w:val="64610655"/>
    <w:rsid w:val="646371A6"/>
    <w:rsid w:val="647B624F"/>
    <w:rsid w:val="64A2285E"/>
    <w:rsid w:val="64A35649"/>
    <w:rsid w:val="64AC7200"/>
    <w:rsid w:val="64BE130D"/>
    <w:rsid w:val="64D0008B"/>
    <w:rsid w:val="64F32289"/>
    <w:rsid w:val="650417B4"/>
    <w:rsid w:val="65073A49"/>
    <w:rsid w:val="650A399C"/>
    <w:rsid w:val="650A4AEB"/>
    <w:rsid w:val="651600CA"/>
    <w:rsid w:val="651A5A67"/>
    <w:rsid w:val="652032A6"/>
    <w:rsid w:val="652C12F7"/>
    <w:rsid w:val="65322954"/>
    <w:rsid w:val="65555B4D"/>
    <w:rsid w:val="655A348D"/>
    <w:rsid w:val="655B2F67"/>
    <w:rsid w:val="655F75E1"/>
    <w:rsid w:val="657967AD"/>
    <w:rsid w:val="65860408"/>
    <w:rsid w:val="659550EE"/>
    <w:rsid w:val="65AE7F5E"/>
    <w:rsid w:val="65B56958"/>
    <w:rsid w:val="65E610DE"/>
    <w:rsid w:val="65EB11B2"/>
    <w:rsid w:val="66003776"/>
    <w:rsid w:val="660F30F2"/>
    <w:rsid w:val="66177C90"/>
    <w:rsid w:val="661E275F"/>
    <w:rsid w:val="66401C89"/>
    <w:rsid w:val="664D3CAD"/>
    <w:rsid w:val="665015D2"/>
    <w:rsid w:val="665515B5"/>
    <w:rsid w:val="665728A8"/>
    <w:rsid w:val="666E595E"/>
    <w:rsid w:val="667111AF"/>
    <w:rsid w:val="6682310C"/>
    <w:rsid w:val="668C6082"/>
    <w:rsid w:val="668F7750"/>
    <w:rsid w:val="66AA3DDF"/>
    <w:rsid w:val="66AC6B93"/>
    <w:rsid w:val="66CB10D6"/>
    <w:rsid w:val="66D932E1"/>
    <w:rsid w:val="66E56F57"/>
    <w:rsid w:val="66E826A8"/>
    <w:rsid w:val="66F67E0E"/>
    <w:rsid w:val="670E33AA"/>
    <w:rsid w:val="670F6CF5"/>
    <w:rsid w:val="671B7875"/>
    <w:rsid w:val="672F031D"/>
    <w:rsid w:val="674A6C34"/>
    <w:rsid w:val="674C3ED2"/>
    <w:rsid w:val="67595743"/>
    <w:rsid w:val="677A788C"/>
    <w:rsid w:val="678F337E"/>
    <w:rsid w:val="67900263"/>
    <w:rsid w:val="679715F1"/>
    <w:rsid w:val="679A1526"/>
    <w:rsid w:val="679E4E6C"/>
    <w:rsid w:val="67B357B9"/>
    <w:rsid w:val="67BA708E"/>
    <w:rsid w:val="67D96088"/>
    <w:rsid w:val="67DB2F9C"/>
    <w:rsid w:val="67DD0FCE"/>
    <w:rsid w:val="67F87BB6"/>
    <w:rsid w:val="67FA2386"/>
    <w:rsid w:val="68014CBD"/>
    <w:rsid w:val="68343081"/>
    <w:rsid w:val="683E2967"/>
    <w:rsid w:val="6843788D"/>
    <w:rsid w:val="685C780E"/>
    <w:rsid w:val="685F3791"/>
    <w:rsid w:val="68703BF0"/>
    <w:rsid w:val="68727968"/>
    <w:rsid w:val="687731D1"/>
    <w:rsid w:val="6878082B"/>
    <w:rsid w:val="687C4745"/>
    <w:rsid w:val="68814B59"/>
    <w:rsid w:val="68815DFE"/>
    <w:rsid w:val="68880F3A"/>
    <w:rsid w:val="68896A60"/>
    <w:rsid w:val="688C7016"/>
    <w:rsid w:val="68955405"/>
    <w:rsid w:val="68A25F12"/>
    <w:rsid w:val="68B565C7"/>
    <w:rsid w:val="68CD25CE"/>
    <w:rsid w:val="68ED5241"/>
    <w:rsid w:val="68F10571"/>
    <w:rsid w:val="690105C9"/>
    <w:rsid w:val="6910009B"/>
    <w:rsid w:val="692B0CE1"/>
    <w:rsid w:val="693371CF"/>
    <w:rsid w:val="6940133B"/>
    <w:rsid w:val="69456E2B"/>
    <w:rsid w:val="69555646"/>
    <w:rsid w:val="69655D7C"/>
    <w:rsid w:val="696A6E60"/>
    <w:rsid w:val="696F7E47"/>
    <w:rsid w:val="69780FAF"/>
    <w:rsid w:val="69815C65"/>
    <w:rsid w:val="699B1C00"/>
    <w:rsid w:val="699C1C6C"/>
    <w:rsid w:val="69B10DB4"/>
    <w:rsid w:val="69B11812"/>
    <w:rsid w:val="69BB2759"/>
    <w:rsid w:val="69EC374B"/>
    <w:rsid w:val="6A0C3CEB"/>
    <w:rsid w:val="6A160FCF"/>
    <w:rsid w:val="6A2114E1"/>
    <w:rsid w:val="6A226039"/>
    <w:rsid w:val="6A22764B"/>
    <w:rsid w:val="6A296146"/>
    <w:rsid w:val="6A3A2708"/>
    <w:rsid w:val="6A3C6480"/>
    <w:rsid w:val="6A43771D"/>
    <w:rsid w:val="6A4E73D3"/>
    <w:rsid w:val="6A6908F7"/>
    <w:rsid w:val="6A7B6D69"/>
    <w:rsid w:val="6A8219B9"/>
    <w:rsid w:val="6A88096B"/>
    <w:rsid w:val="6A892D47"/>
    <w:rsid w:val="6A8B4D12"/>
    <w:rsid w:val="6A8F72B9"/>
    <w:rsid w:val="6A9228B0"/>
    <w:rsid w:val="6A944A30"/>
    <w:rsid w:val="6AAB7F50"/>
    <w:rsid w:val="6ABB5CB4"/>
    <w:rsid w:val="6AC120BA"/>
    <w:rsid w:val="6AC124E1"/>
    <w:rsid w:val="6ACA583A"/>
    <w:rsid w:val="6ACD6E25"/>
    <w:rsid w:val="6ACD70D8"/>
    <w:rsid w:val="6AD761A9"/>
    <w:rsid w:val="6AE76A24"/>
    <w:rsid w:val="6AF20FCD"/>
    <w:rsid w:val="6B0A20DA"/>
    <w:rsid w:val="6B1C0AB8"/>
    <w:rsid w:val="6B317D3A"/>
    <w:rsid w:val="6B3D1D45"/>
    <w:rsid w:val="6B4078AA"/>
    <w:rsid w:val="6B413558"/>
    <w:rsid w:val="6B6C069F"/>
    <w:rsid w:val="6B7915CA"/>
    <w:rsid w:val="6BAA7117"/>
    <w:rsid w:val="6BB46349"/>
    <w:rsid w:val="6BBF5E5E"/>
    <w:rsid w:val="6BC148C3"/>
    <w:rsid w:val="6BCE6F29"/>
    <w:rsid w:val="6BDE1A9A"/>
    <w:rsid w:val="6C0E13B6"/>
    <w:rsid w:val="6C310293"/>
    <w:rsid w:val="6C313697"/>
    <w:rsid w:val="6C335661"/>
    <w:rsid w:val="6C342893"/>
    <w:rsid w:val="6C357DFB"/>
    <w:rsid w:val="6C3E2441"/>
    <w:rsid w:val="6C3F7B62"/>
    <w:rsid w:val="6C413078"/>
    <w:rsid w:val="6C5961A6"/>
    <w:rsid w:val="6C5D7FE5"/>
    <w:rsid w:val="6C5F6456"/>
    <w:rsid w:val="6C62117D"/>
    <w:rsid w:val="6C6B668E"/>
    <w:rsid w:val="6C8859AD"/>
    <w:rsid w:val="6C9B14F3"/>
    <w:rsid w:val="6C9C440C"/>
    <w:rsid w:val="6CA33997"/>
    <w:rsid w:val="6CB06395"/>
    <w:rsid w:val="6CC059A0"/>
    <w:rsid w:val="6CC21555"/>
    <w:rsid w:val="6CC657AA"/>
    <w:rsid w:val="6CC75E9B"/>
    <w:rsid w:val="6CC90D79"/>
    <w:rsid w:val="6CDB6430"/>
    <w:rsid w:val="6CF03552"/>
    <w:rsid w:val="6D30394E"/>
    <w:rsid w:val="6D415B5B"/>
    <w:rsid w:val="6D4F7019"/>
    <w:rsid w:val="6D5E2269"/>
    <w:rsid w:val="6D6379E9"/>
    <w:rsid w:val="6D6C0E2A"/>
    <w:rsid w:val="6D7373A3"/>
    <w:rsid w:val="6D7F16E1"/>
    <w:rsid w:val="6D8F68C7"/>
    <w:rsid w:val="6D9367EA"/>
    <w:rsid w:val="6D9956BA"/>
    <w:rsid w:val="6D9D06E2"/>
    <w:rsid w:val="6DAB6738"/>
    <w:rsid w:val="6DB82926"/>
    <w:rsid w:val="6DBE4C59"/>
    <w:rsid w:val="6DCD73EF"/>
    <w:rsid w:val="6DF01CBE"/>
    <w:rsid w:val="6DF242FF"/>
    <w:rsid w:val="6DF56EFF"/>
    <w:rsid w:val="6DFC351E"/>
    <w:rsid w:val="6E2B2A93"/>
    <w:rsid w:val="6E382049"/>
    <w:rsid w:val="6E3A2CD6"/>
    <w:rsid w:val="6E3F209B"/>
    <w:rsid w:val="6E43061B"/>
    <w:rsid w:val="6E4F6E4F"/>
    <w:rsid w:val="6E625129"/>
    <w:rsid w:val="6E663ACB"/>
    <w:rsid w:val="6E8932A2"/>
    <w:rsid w:val="6E903FDD"/>
    <w:rsid w:val="6EA16987"/>
    <w:rsid w:val="6EA5525C"/>
    <w:rsid w:val="6EA95648"/>
    <w:rsid w:val="6EBF79FB"/>
    <w:rsid w:val="6EC1169E"/>
    <w:rsid w:val="6EC86534"/>
    <w:rsid w:val="6ECB7D31"/>
    <w:rsid w:val="6ED8604B"/>
    <w:rsid w:val="6EE760FA"/>
    <w:rsid w:val="6F0155A2"/>
    <w:rsid w:val="6F0542E9"/>
    <w:rsid w:val="6F0B4673"/>
    <w:rsid w:val="6F1A1012"/>
    <w:rsid w:val="6F1E7F02"/>
    <w:rsid w:val="6F23376B"/>
    <w:rsid w:val="6F2F4117"/>
    <w:rsid w:val="6F355C40"/>
    <w:rsid w:val="6F415331"/>
    <w:rsid w:val="6F484143"/>
    <w:rsid w:val="6F540B15"/>
    <w:rsid w:val="6F5437C1"/>
    <w:rsid w:val="6F574271"/>
    <w:rsid w:val="6F5E2C2E"/>
    <w:rsid w:val="6F750F26"/>
    <w:rsid w:val="6F7511A5"/>
    <w:rsid w:val="6F7B72E9"/>
    <w:rsid w:val="6F8445D4"/>
    <w:rsid w:val="6F8B6EB9"/>
    <w:rsid w:val="6F8D5C1A"/>
    <w:rsid w:val="6F8E342E"/>
    <w:rsid w:val="6F8F28C7"/>
    <w:rsid w:val="6FA8133A"/>
    <w:rsid w:val="6FB40B3D"/>
    <w:rsid w:val="6FC27E43"/>
    <w:rsid w:val="6FCD1928"/>
    <w:rsid w:val="6FD111A8"/>
    <w:rsid w:val="6FD27139"/>
    <w:rsid w:val="6FFA3B05"/>
    <w:rsid w:val="701E5AE6"/>
    <w:rsid w:val="702C69F7"/>
    <w:rsid w:val="70306F6F"/>
    <w:rsid w:val="70674DD5"/>
    <w:rsid w:val="707A560C"/>
    <w:rsid w:val="70A44269"/>
    <w:rsid w:val="70C1148D"/>
    <w:rsid w:val="70CD2B48"/>
    <w:rsid w:val="70D94A29"/>
    <w:rsid w:val="70DC62C7"/>
    <w:rsid w:val="70E22905"/>
    <w:rsid w:val="71126EE7"/>
    <w:rsid w:val="713E1557"/>
    <w:rsid w:val="71494FDF"/>
    <w:rsid w:val="71500A63"/>
    <w:rsid w:val="71545A17"/>
    <w:rsid w:val="715F149C"/>
    <w:rsid w:val="71600CA6"/>
    <w:rsid w:val="716205E9"/>
    <w:rsid w:val="71654E27"/>
    <w:rsid w:val="716C3BAF"/>
    <w:rsid w:val="717422A8"/>
    <w:rsid w:val="71762CD7"/>
    <w:rsid w:val="717812F3"/>
    <w:rsid w:val="717D621C"/>
    <w:rsid w:val="71832D23"/>
    <w:rsid w:val="71885125"/>
    <w:rsid w:val="71973F9C"/>
    <w:rsid w:val="71983729"/>
    <w:rsid w:val="719E73CE"/>
    <w:rsid w:val="71AA1F21"/>
    <w:rsid w:val="71E31B5D"/>
    <w:rsid w:val="71F15DA2"/>
    <w:rsid w:val="71F6500C"/>
    <w:rsid w:val="72026E0F"/>
    <w:rsid w:val="72133F6A"/>
    <w:rsid w:val="722872EA"/>
    <w:rsid w:val="722A387C"/>
    <w:rsid w:val="722F68CA"/>
    <w:rsid w:val="723473C5"/>
    <w:rsid w:val="723F1898"/>
    <w:rsid w:val="72435ED2"/>
    <w:rsid w:val="72442376"/>
    <w:rsid w:val="72477710"/>
    <w:rsid w:val="724C2552"/>
    <w:rsid w:val="725B321B"/>
    <w:rsid w:val="725C32AC"/>
    <w:rsid w:val="7267159D"/>
    <w:rsid w:val="72A46970"/>
    <w:rsid w:val="72AB1549"/>
    <w:rsid w:val="72AD4703"/>
    <w:rsid w:val="72BD2E4A"/>
    <w:rsid w:val="72C54B39"/>
    <w:rsid w:val="72D046B5"/>
    <w:rsid w:val="72EB1FAC"/>
    <w:rsid w:val="72EE5F6D"/>
    <w:rsid w:val="72F76922"/>
    <w:rsid w:val="73025471"/>
    <w:rsid w:val="730E6621"/>
    <w:rsid w:val="731A6F75"/>
    <w:rsid w:val="731C694B"/>
    <w:rsid w:val="731E387B"/>
    <w:rsid w:val="731F693F"/>
    <w:rsid w:val="73302851"/>
    <w:rsid w:val="733F2B3D"/>
    <w:rsid w:val="733F6699"/>
    <w:rsid w:val="735008A6"/>
    <w:rsid w:val="73634D69"/>
    <w:rsid w:val="73741E59"/>
    <w:rsid w:val="737E24ED"/>
    <w:rsid w:val="739369E5"/>
    <w:rsid w:val="73972490"/>
    <w:rsid w:val="73C26AF0"/>
    <w:rsid w:val="73C735B4"/>
    <w:rsid w:val="73C77E52"/>
    <w:rsid w:val="73CF3A91"/>
    <w:rsid w:val="73D13110"/>
    <w:rsid w:val="73D87468"/>
    <w:rsid w:val="73DB4525"/>
    <w:rsid w:val="73DD68D6"/>
    <w:rsid w:val="73E84D22"/>
    <w:rsid w:val="73F531FC"/>
    <w:rsid w:val="73F55FED"/>
    <w:rsid w:val="74027DFF"/>
    <w:rsid w:val="74194580"/>
    <w:rsid w:val="741B239F"/>
    <w:rsid w:val="74203020"/>
    <w:rsid w:val="742E5F05"/>
    <w:rsid w:val="7431442E"/>
    <w:rsid w:val="74365CEE"/>
    <w:rsid w:val="74381A66"/>
    <w:rsid w:val="74493C73"/>
    <w:rsid w:val="745463B4"/>
    <w:rsid w:val="745E28DF"/>
    <w:rsid w:val="746A5E4C"/>
    <w:rsid w:val="746B063D"/>
    <w:rsid w:val="747D1B6F"/>
    <w:rsid w:val="749C2C5D"/>
    <w:rsid w:val="74A215D5"/>
    <w:rsid w:val="74AC5FB0"/>
    <w:rsid w:val="74B15BEE"/>
    <w:rsid w:val="74B35591"/>
    <w:rsid w:val="74B804AB"/>
    <w:rsid w:val="74D77CB0"/>
    <w:rsid w:val="74DE3BE4"/>
    <w:rsid w:val="74E1485F"/>
    <w:rsid w:val="74E67714"/>
    <w:rsid w:val="74EA6E67"/>
    <w:rsid w:val="74F31E31"/>
    <w:rsid w:val="750118E3"/>
    <w:rsid w:val="750473C7"/>
    <w:rsid w:val="750F3C7B"/>
    <w:rsid w:val="751204F7"/>
    <w:rsid w:val="75142FD5"/>
    <w:rsid w:val="751E5A03"/>
    <w:rsid w:val="752509E3"/>
    <w:rsid w:val="753024CA"/>
    <w:rsid w:val="753A26E2"/>
    <w:rsid w:val="753D30AC"/>
    <w:rsid w:val="754114BA"/>
    <w:rsid w:val="7541494A"/>
    <w:rsid w:val="754D2617"/>
    <w:rsid w:val="75563DE9"/>
    <w:rsid w:val="7560289B"/>
    <w:rsid w:val="756324F0"/>
    <w:rsid w:val="756A5C79"/>
    <w:rsid w:val="75774679"/>
    <w:rsid w:val="757A4300"/>
    <w:rsid w:val="757C043C"/>
    <w:rsid w:val="75897582"/>
    <w:rsid w:val="758F74DF"/>
    <w:rsid w:val="759929D8"/>
    <w:rsid w:val="75BA64AB"/>
    <w:rsid w:val="75BB2FF4"/>
    <w:rsid w:val="75C7199D"/>
    <w:rsid w:val="75CE1F56"/>
    <w:rsid w:val="75E505D0"/>
    <w:rsid w:val="75E660CC"/>
    <w:rsid w:val="75E9038F"/>
    <w:rsid w:val="75EF084A"/>
    <w:rsid w:val="75F149EB"/>
    <w:rsid w:val="75FC4D15"/>
    <w:rsid w:val="760338C7"/>
    <w:rsid w:val="7603392E"/>
    <w:rsid w:val="76083EEA"/>
    <w:rsid w:val="760F6C9D"/>
    <w:rsid w:val="76134845"/>
    <w:rsid w:val="76157B85"/>
    <w:rsid w:val="763922F4"/>
    <w:rsid w:val="763E70DC"/>
    <w:rsid w:val="76422A70"/>
    <w:rsid w:val="76432944"/>
    <w:rsid w:val="764F12E9"/>
    <w:rsid w:val="764F3C94"/>
    <w:rsid w:val="765952D6"/>
    <w:rsid w:val="765E777E"/>
    <w:rsid w:val="76607ECF"/>
    <w:rsid w:val="76654669"/>
    <w:rsid w:val="767C66EB"/>
    <w:rsid w:val="768A63A5"/>
    <w:rsid w:val="76A60C4F"/>
    <w:rsid w:val="76C540FD"/>
    <w:rsid w:val="76DA5057"/>
    <w:rsid w:val="76E04DA7"/>
    <w:rsid w:val="76E61FA9"/>
    <w:rsid w:val="76EA1012"/>
    <w:rsid w:val="76F2768F"/>
    <w:rsid w:val="76F3761E"/>
    <w:rsid w:val="77126348"/>
    <w:rsid w:val="7727026C"/>
    <w:rsid w:val="7730257F"/>
    <w:rsid w:val="77304C77"/>
    <w:rsid w:val="773D55E5"/>
    <w:rsid w:val="77420B10"/>
    <w:rsid w:val="774B075C"/>
    <w:rsid w:val="775E5C88"/>
    <w:rsid w:val="775F7ACB"/>
    <w:rsid w:val="776519B4"/>
    <w:rsid w:val="77896DD2"/>
    <w:rsid w:val="779E3656"/>
    <w:rsid w:val="77A94A29"/>
    <w:rsid w:val="77BF0C2B"/>
    <w:rsid w:val="77CD3022"/>
    <w:rsid w:val="77F51A1C"/>
    <w:rsid w:val="77FD2ACD"/>
    <w:rsid w:val="780E3A28"/>
    <w:rsid w:val="7826619A"/>
    <w:rsid w:val="782A7F03"/>
    <w:rsid w:val="78342545"/>
    <w:rsid w:val="78532D97"/>
    <w:rsid w:val="785C7CED"/>
    <w:rsid w:val="786500EF"/>
    <w:rsid w:val="786D16C3"/>
    <w:rsid w:val="786D1EFA"/>
    <w:rsid w:val="78857244"/>
    <w:rsid w:val="788F3C1F"/>
    <w:rsid w:val="789B0816"/>
    <w:rsid w:val="78A06277"/>
    <w:rsid w:val="78A811EC"/>
    <w:rsid w:val="78AD22F7"/>
    <w:rsid w:val="78B35161"/>
    <w:rsid w:val="78C14555"/>
    <w:rsid w:val="78C31B1A"/>
    <w:rsid w:val="78C82659"/>
    <w:rsid w:val="78E0531C"/>
    <w:rsid w:val="78EA0F28"/>
    <w:rsid w:val="78EF0B61"/>
    <w:rsid w:val="78EF4D1B"/>
    <w:rsid w:val="791C31CA"/>
    <w:rsid w:val="791C3FEF"/>
    <w:rsid w:val="79315495"/>
    <w:rsid w:val="79541EBA"/>
    <w:rsid w:val="79616DC4"/>
    <w:rsid w:val="796967D5"/>
    <w:rsid w:val="796B01E8"/>
    <w:rsid w:val="797A48CF"/>
    <w:rsid w:val="79895D12"/>
    <w:rsid w:val="79982FA7"/>
    <w:rsid w:val="79A33E26"/>
    <w:rsid w:val="79C23198"/>
    <w:rsid w:val="79C33633"/>
    <w:rsid w:val="79CB6ED9"/>
    <w:rsid w:val="79DE4E5E"/>
    <w:rsid w:val="79DF6CB9"/>
    <w:rsid w:val="79E820BE"/>
    <w:rsid w:val="79F00F06"/>
    <w:rsid w:val="79F46E59"/>
    <w:rsid w:val="79F503F9"/>
    <w:rsid w:val="7A0A2990"/>
    <w:rsid w:val="7A1408BE"/>
    <w:rsid w:val="7A3F4AFC"/>
    <w:rsid w:val="7A401675"/>
    <w:rsid w:val="7A4647B1"/>
    <w:rsid w:val="7A5550D7"/>
    <w:rsid w:val="7A5E4AF4"/>
    <w:rsid w:val="7A7437EA"/>
    <w:rsid w:val="7A7F4468"/>
    <w:rsid w:val="7A862644"/>
    <w:rsid w:val="7AA5597C"/>
    <w:rsid w:val="7AC33779"/>
    <w:rsid w:val="7ACA2F88"/>
    <w:rsid w:val="7AD63D87"/>
    <w:rsid w:val="7AD97F9D"/>
    <w:rsid w:val="7ADE5A1E"/>
    <w:rsid w:val="7AF33058"/>
    <w:rsid w:val="7AF67F85"/>
    <w:rsid w:val="7AF706EA"/>
    <w:rsid w:val="7B070316"/>
    <w:rsid w:val="7B0A1C83"/>
    <w:rsid w:val="7B0A57DF"/>
    <w:rsid w:val="7B29240E"/>
    <w:rsid w:val="7B405C62"/>
    <w:rsid w:val="7B4128F5"/>
    <w:rsid w:val="7B502A78"/>
    <w:rsid w:val="7B564454"/>
    <w:rsid w:val="7B566C76"/>
    <w:rsid w:val="7B681A01"/>
    <w:rsid w:val="7B6E643B"/>
    <w:rsid w:val="7B7535A0"/>
    <w:rsid w:val="7B7642FE"/>
    <w:rsid w:val="7B793588"/>
    <w:rsid w:val="7B86410F"/>
    <w:rsid w:val="7B9F061D"/>
    <w:rsid w:val="7BA029B6"/>
    <w:rsid w:val="7BB8348D"/>
    <w:rsid w:val="7BC26B0A"/>
    <w:rsid w:val="7BCB4768"/>
    <w:rsid w:val="7BD3202E"/>
    <w:rsid w:val="7BD3539E"/>
    <w:rsid w:val="7BDC1277"/>
    <w:rsid w:val="7BE97AEA"/>
    <w:rsid w:val="7BF671AD"/>
    <w:rsid w:val="7BFF1564"/>
    <w:rsid w:val="7C030BAC"/>
    <w:rsid w:val="7C131B27"/>
    <w:rsid w:val="7C174657"/>
    <w:rsid w:val="7C1E3BDC"/>
    <w:rsid w:val="7C212FF6"/>
    <w:rsid w:val="7C2E0D6E"/>
    <w:rsid w:val="7C3462F4"/>
    <w:rsid w:val="7C43544C"/>
    <w:rsid w:val="7C47478B"/>
    <w:rsid w:val="7C7F73AC"/>
    <w:rsid w:val="7C831CEC"/>
    <w:rsid w:val="7CB42860"/>
    <w:rsid w:val="7CCA0082"/>
    <w:rsid w:val="7CDA4F4A"/>
    <w:rsid w:val="7CDB7433"/>
    <w:rsid w:val="7CE107C1"/>
    <w:rsid w:val="7CE34539"/>
    <w:rsid w:val="7CEF7443"/>
    <w:rsid w:val="7CFB7AD5"/>
    <w:rsid w:val="7D017B82"/>
    <w:rsid w:val="7D021F92"/>
    <w:rsid w:val="7D083F6F"/>
    <w:rsid w:val="7D0879F6"/>
    <w:rsid w:val="7D0C1CE2"/>
    <w:rsid w:val="7D1A46EE"/>
    <w:rsid w:val="7D1B6DF1"/>
    <w:rsid w:val="7D3C7304"/>
    <w:rsid w:val="7D4776B6"/>
    <w:rsid w:val="7D513B99"/>
    <w:rsid w:val="7D553689"/>
    <w:rsid w:val="7D56457C"/>
    <w:rsid w:val="7D58143A"/>
    <w:rsid w:val="7D7B29C4"/>
    <w:rsid w:val="7D853842"/>
    <w:rsid w:val="7D8B70AB"/>
    <w:rsid w:val="7D8E133B"/>
    <w:rsid w:val="7D9B62B3"/>
    <w:rsid w:val="7D9F4904"/>
    <w:rsid w:val="7DB87774"/>
    <w:rsid w:val="7DF326EE"/>
    <w:rsid w:val="7DFA7D8C"/>
    <w:rsid w:val="7E1626EC"/>
    <w:rsid w:val="7E18651E"/>
    <w:rsid w:val="7E2272E3"/>
    <w:rsid w:val="7E3F39F1"/>
    <w:rsid w:val="7E47173D"/>
    <w:rsid w:val="7E482929"/>
    <w:rsid w:val="7E6E2E4D"/>
    <w:rsid w:val="7E857F9E"/>
    <w:rsid w:val="7E987E2B"/>
    <w:rsid w:val="7EBE6F11"/>
    <w:rsid w:val="7EC40A46"/>
    <w:rsid w:val="7EE30DF1"/>
    <w:rsid w:val="7EE74A83"/>
    <w:rsid w:val="7EF17EF0"/>
    <w:rsid w:val="7F032C71"/>
    <w:rsid w:val="7F0703A8"/>
    <w:rsid w:val="7F0A04A3"/>
    <w:rsid w:val="7F1E4525"/>
    <w:rsid w:val="7F211349"/>
    <w:rsid w:val="7F246EBD"/>
    <w:rsid w:val="7F397D3D"/>
    <w:rsid w:val="7F405E1C"/>
    <w:rsid w:val="7F4D0390"/>
    <w:rsid w:val="7F530067"/>
    <w:rsid w:val="7F6851CA"/>
    <w:rsid w:val="7F6C45FD"/>
    <w:rsid w:val="7F7F5C7C"/>
    <w:rsid w:val="7F833D8D"/>
    <w:rsid w:val="7F871AF4"/>
    <w:rsid w:val="7F8A1AF5"/>
    <w:rsid w:val="7F9930FD"/>
    <w:rsid w:val="7FAF2DF8"/>
    <w:rsid w:val="7FBD72C3"/>
    <w:rsid w:val="7FC40652"/>
    <w:rsid w:val="7FCB23C9"/>
    <w:rsid w:val="7FDF685C"/>
    <w:rsid w:val="7FEA3E31"/>
    <w:rsid w:val="7FF60A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5">
    <w:name w:val="heading 2"/>
    <w:basedOn w:val="1"/>
    <w:link w:val="52"/>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6">
    <w:name w:val="heading 3"/>
    <w:basedOn w:val="1"/>
    <w:next w:val="2"/>
    <w:link w:val="53"/>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7">
    <w:name w:val="heading 4"/>
    <w:basedOn w:val="1"/>
    <w:next w:val="1"/>
    <w:qFormat/>
    <w:uiPriority w:val="0"/>
    <w:pPr>
      <w:keepNext/>
      <w:keepLines/>
      <w:spacing w:before="280" w:after="290" w:line="374" w:lineRule="auto"/>
      <w:ind w:left="1296" w:hanging="1296"/>
      <w:jc w:val="left"/>
      <w:outlineLvl w:val="3"/>
    </w:pPr>
    <w:rPr>
      <w:rFonts w:ascii="Cambria" w:hAnsi="Cambria" w:eastAsia="黑体"/>
      <w:bCs/>
      <w:kern w:val="0"/>
      <w:sz w:val="28"/>
      <w:szCs w:val="28"/>
    </w:rPr>
  </w:style>
  <w:style w:type="paragraph" w:styleId="8">
    <w:name w:val="heading 5"/>
    <w:basedOn w:val="1"/>
    <w:next w:val="1"/>
    <w:qFormat/>
    <w:uiPriority w:val="0"/>
    <w:pPr>
      <w:keepNext/>
      <w:keepLines/>
      <w:adjustRightInd w:val="0"/>
      <w:spacing w:before="280" w:beforeLines="0" w:after="290" w:afterLines="0" w:line="376" w:lineRule="atLeast"/>
      <w:textAlignment w:val="baseline"/>
      <w:outlineLvl w:val="4"/>
    </w:pPr>
    <w:rPr>
      <w:b/>
      <w:kern w:val="0"/>
      <w:sz w:val="28"/>
      <w:szCs w:val="20"/>
    </w:rPr>
  </w:style>
  <w:style w:type="paragraph" w:styleId="9">
    <w:name w:val="heading 9"/>
    <w:basedOn w:val="1"/>
    <w:next w:val="1"/>
    <w:qFormat/>
    <w:uiPriority w:val="0"/>
    <w:pPr>
      <w:keepNext/>
      <w:keepLines/>
      <w:spacing w:before="240" w:after="64" w:line="317" w:lineRule="auto"/>
      <w:outlineLvl w:val="8"/>
    </w:pPr>
    <w:rPr>
      <w:rFonts w:ascii="Arial" w:hAnsi="Arial" w:eastAsia="黑体"/>
    </w:rPr>
  </w:style>
  <w:style w:type="character" w:default="1" w:styleId="41">
    <w:name w:val="Default Paragraph Font"/>
    <w:qFormat/>
    <w:uiPriority w:val="0"/>
    <w:rPr>
      <w:rFonts w:ascii="Times New Roman" w:hAnsi="Times New Roman" w:eastAsia="宋体" w:cs="Times New Roman"/>
    </w:rPr>
  </w:style>
  <w:style w:type="table" w:default="1" w:styleId="39">
    <w:name w:val="Normal Table"/>
    <w:qFormat/>
    <w:uiPriority w:val="0"/>
    <w:tblPr>
      <w:tblCellMar>
        <w:top w:w="0" w:type="dxa"/>
        <w:left w:w="108" w:type="dxa"/>
        <w:bottom w:w="0" w:type="dxa"/>
        <w:right w:w="108" w:type="dxa"/>
      </w:tblCellMar>
    </w:tblPr>
  </w:style>
  <w:style w:type="paragraph" w:styleId="2">
    <w:name w:val="Normal Indent"/>
    <w:basedOn w:val="1"/>
    <w:next w:val="3"/>
    <w:qFormat/>
    <w:uiPriority w:val="0"/>
    <w:pPr>
      <w:autoSpaceDE w:val="0"/>
      <w:autoSpaceDN w:val="0"/>
      <w:adjustRightInd w:val="0"/>
      <w:ind w:firstLine="420"/>
      <w:jc w:val="left"/>
    </w:pPr>
    <w:rPr>
      <w:rFonts w:ascii="宋体"/>
      <w:kern w:val="0"/>
      <w:sz w:val="24"/>
      <w:szCs w:val="20"/>
    </w:rPr>
  </w:style>
  <w:style w:type="paragraph" w:styleId="3">
    <w:name w:val="toa heading"/>
    <w:basedOn w:val="1"/>
    <w:next w:val="1"/>
    <w:qFormat/>
    <w:uiPriority w:val="0"/>
    <w:pPr>
      <w:widowControl/>
      <w:spacing w:before="120"/>
      <w:ind w:firstLine="3584"/>
    </w:pPr>
  </w:style>
  <w:style w:type="paragraph" w:styleId="10">
    <w:name w:val="toc 7"/>
    <w:basedOn w:val="1"/>
    <w:next w:val="1"/>
    <w:qFormat/>
    <w:uiPriority w:val="0"/>
    <w:pPr>
      <w:ind w:left="2520" w:leftChars="1200"/>
    </w:pPr>
  </w:style>
  <w:style w:type="paragraph" w:styleId="11">
    <w:name w:val="annotation text"/>
    <w:basedOn w:val="1"/>
    <w:link w:val="54"/>
    <w:qFormat/>
    <w:uiPriority w:val="0"/>
    <w:pPr>
      <w:jc w:val="left"/>
    </w:pPr>
  </w:style>
  <w:style w:type="paragraph" w:styleId="12">
    <w:name w:val="Body Text"/>
    <w:basedOn w:val="1"/>
    <w:next w:val="1"/>
    <w:link w:val="55"/>
    <w:qFormat/>
    <w:uiPriority w:val="0"/>
    <w:pPr>
      <w:tabs>
        <w:tab w:val="left" w:pos="567"/>
      </w:tabs>
      <w:spacing w:before="120" w:line="22" w:lineRule="atLeast"/>
    </w:pPr>
    <w:rPr>
      <w:rFonts w:ascii="宋体" w:hAnsi="宋体"/>
      <w:sz w:val="24"/>
    </w:rPr>
  </w:style>
  <w:style w:type="paragraph" w:styleId="13">
    <w:name w:val="Body Text Indent"/>
    <w:basedOn w:val="1"/>
    <w:qFormat/>
    <w:uiPriority w:val="0"/>
    <w:pPr>
      <w:spacing w:line="360" w:lineRule="auto"/>
      <w:ind w:firstLine="570"/>
    </w:pPr>
    <w:rPr>
      <w:sz w:val="24"/>
    </w:rPr>
  </w:style>
  <w:style w:type="paragraph" w:styleId="14">
    <w:name w:val="toc 5"/>
    <w:basedOn w:val="1"/>
    <w:next w:val="1"/>
    <w:qFormat/>
    <w:uiPriority w:val="0"/>
    <w:pPr>
      <w:ind w:left="1680" w:leftChars="800"/>
    </w:pPr>
  </w:style>
  <w:style w:type="paragraph" w:styleId="15">
    <w:name w:val="toc 3"/>
    <w:basedOn w:val="1"/>
    <w:next w:val="1"/>
    <w:qFormat/>
    <w:uiPriority w:val="0"/>
    <w:pPr>
      <w:tabs>
        <w:tab w:val="left" w:pos="1260"/>
        <w:tab w:val="right" w:leader="dot" w:pos="8630"/>
      </w:tabs>
      <w:ind w:left="840" w:leftChars="400"/>
    </w:pPr>
  </w:style>
  <w:style w:type="paragraph" w:styleId="16">
    <w:name w:val="Plain Text"/>
    <w:basedOn w:val="1"/>
    <w:link w:val="56"/>
    <w:qFormat/>
    <w:uiPriority w:val="0"/>
    <w:rPr>
      <w:rFonts w:ascii="宋体" w:hAnsi="Courier New"/>
      <w:szCs w:val="20"/>
    </w:rPr>
  </w:style>
  <w:style w:type="paragraph" w:styleId="17">
    <w:name w:val="toc 8"/>
    <w:basedOn w:val="1"/>
    <w:next w:val="1"/>
    <w:qFormat/>
    <w:uiPriority w:val="0"/>
    <w:pPr>
      <w:ind w:left="2940" w:leftChars="1400"/>
    </w:pPr>
  </w:style>
  <w:style w:type="paragraph" w:styleId="18">
    <w:name w:val="Date"/>
    <w:basedOn w:val="1"/>
    <w:next w:val="1"/>
    <w:link w:val="57"/>
    <w:qFormat/>
    <w:uiPriority w:val="0"/>
    <w:pPr>
      <w:ind w:left="100" w:leftChars="2500"/>
    </w:pPr>
    <w:rPr>
      <w:rFonts w:ascii="仿宋_GB2312" w:hAnsi="宋体" w:eastAsia="仿宋_GB2312"/>
      <w:color w:val="000000"/>
      <w:sz w:val="24"/>
    </w:rPr>
  </w:style>
  <w:style w:type="paragraph" w:styleId="19">
    <w:name w:val="Body Text Indent 2"/>
    <w:basedOn w:val="1"/>
    <w:qFormat/>
    <w:uiPriority w:val="0"/>
    <w:pPr>
      <w:ind w:firstLine="480" w:firstLineChars="200"/>
    </w:pPr>
    <w:rPr>
      <w:rFonts w:ascii="仿宋_GB2312" w:eastAsia="仿宋_GB2312"/>
      <w:sz w:val="24"/>
    </w:rPr>
  </w:style>
  <w:style w:type="paragraph" w:styleId="20">
    <w:name w:val="Balloon Text"/>
    <w:basedOn w:val="1"/>
    <w:link w:val="58"/>
    <w:qFormat/>
    <w:uiPriority w:val="0"/>
    <w:rPr>
      <w:sz w:val="18"/>
      <w:szCs w:val="18"/>
    </w:rPr>
  </w:style>
  <w:style w:type="paragraph" w:styleId="21">
    <w:name w:val="footer"/>
    <w:basedOn w:val="1"/>
    <w:link w:val="59"/>
    <w:qFormat/>
    <w:uiPriority w:val="0"/>
    <w:pPr>
      <w:tabs>
        <w:tab w:val="center" w:pos="4153"/>
        <w:tab w:val="right" w:pos="8306"/>
      </w:tabs>
      <w:autoSpaceDE w:val="0"/>
      <w:autoSpaceDN w:val="0"/>
      <w:adjustRightInd w:val="0"/>
      <w:snapToGrid w:val="0"/>
      <w:jc w:val="left"/>
    </w:pPr>
    <w:rPr>
      <w:rFonts w:ascii="宋体"/>
      <w:kern w:val="0"/>
      <w:sz w:val="18"/>
      <w:szCs w:val="20"/>
    </w:rPr>
  </w:style>
  <w:style w:type="paragraph" w:styleId="22">
    <w:name w:val="header"/>
    <w:basedOn w:val="1"/>
    <w:link w:val="60"/>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0"/>
  </w:style>
  <w:style w:type="paragraph" w:styleId="24">
    <w:name w:val="toc 4"/>
    <w:basedOn w:val="1"/>
    <w:next w:val="1"/>
    <w:qFormat/>
    <w:uiPriority w:val="0"/>
    <w:pPr>
      <w:ind w:left="1260" w:leftChars="600"/>
    </w:pPr>
  </w:style>
  <w:style w:type="paragraph" w:styleId="25">
    <w:name w:val="List"/>
    <w:basedOn w:val="1"/>
    <w:qFormat/>
    <w:uiPriority w:val="99"/>
    <w:pPr>
      <w:spacing w:beforeLines="100" w:line="360" w:lineRule="auto"/>
      <w:jc w:val="center"/>
    </w:pPr>
    <w:rPr>
      <w:rFonts w:ascii="宋体" w:hAnsi="宋体"/>
      <w:b/>
      <w:sz w:val="28"/>
    </w:rPr>
  </w:style>
  <w:style w:type="paragraph" w:styleId="26">
    <w:name w:val="footnote text"/>
    <w:basedOn w:val="1"/>
    <w:next w:val="12"/>
    <w:qFormat/>
    <w:uiPriority w:val="0"/>
    <w:pPr>
      <w:snapToGrid w:val="0"/>
      <w:jc w:val="left"/>
    </w:pPr>
    <w:rPr>
      <w:sz w:val="18"/>
    </w:rPr>
  </w:style>
  <w:style w:type="paragraph" w:styleId="27">
    <w:name w:val="toc 6"/>
    <w:basedOn w:val="1"/>
    <w:next w:val="1"/>
    <w:qFormat/>
    <w:uiPriority w:val="0"/>
    <w:pPr>
      <w:ind w:left="2100" w:leftChars="1000"/>
    </w:pPr>
  </w:style>
  <w:style w:type="paragraph" w:styleId="28">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9">
    <w:name w:val="index 7"/>
    <w:basedOn w:val="1"/>
    <w:next w:val="1"/>
    <w:qFormat/>
    <w:uiPriority w:val="0"/>
    <w:pPr>
      <w:autoSpaceDE/>
      <w:autoSpaceDN/>
      <w:adjustRightInd/>
      <w:ind w:left="1200" w:leftChars="1200"/>
    </w:pPr>
    <w:rPr>
      <w:color w:val="auto"/>
      <w:kern w:val="2"/>
      <w:szCs w:val="24"/>
    </w:rPr>
  </w:style>
  <w:style w:type="paragraph" w:styleId="30">
    <w:name w:val="toc 2"/>
    <w:basedOn w:val="1"/>
    <w:next w:val="1"/>
    <w:qFormat/>
    <w:uiPriority w:val="0"/>
    <w:pPr>
      <w:ind w:left="420" w:leftChars="200"/>
    </w:pPr>
  </w:style>
  <w:style w:type="paragraph" w:styleId="31">
    <w:name w:val="toc 9"/>
    <w:basedOn w:val="1"/>
    <w:next w:val="1"/>
    <w:qFormat/>
    <w:uiPriority w:val="0"/>
    <w:pPr>
      <w:ind w:left="3360" w:leftChars="1600"/>
    </w:pPr>
  </w:style>
  <w:style w:type="paragraph" w:styleId="32">
    <w:name w:val="Body Text 2"/>
    <w:basedOn w:val="1"/>
    <w:qFormat/>
    <w:uiPriority w:val="0"/>
    <w:pPr>
      <w:numPr>
        <w:ilvl w:val="1"/>
        <w:numId w:val="1"/>
      </w:numPr>
      <w:spacing w:after="120" w:line="480" w:lineRule="auto"/>
      <w:ind w:left="0" w:firstLine="0"/>
    </w:pPr>
  </w:style>
  <w:style w:type="paragraph" w:styleId="3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34">
    <w:name w:val="index 1"/>
    <w:basedOn w:val="1"/>
    <w:next w:val="1"/>
    <w:qFormat/>
    <w:uiPriority w:val="0"/>
    <w:rPr>
      <w:szCs w:val="20"/>
    </w:rPr>
  </w:style>
  <w:style w:type="paragraph" w:styleId="35">
    <w:name w:val="Title"/>
    <w:basedOn w:val="1"/>
    <w:qFormat/>
    <w:uiPriority w:val="0"/>
    <w:pPr>
      <w:spacing w:before="240" w:after="60"/>
      <w:jc w:val="center"/>
      <w:outlineLvl w:val="0"/>
    </w:pPr>
    <w:rPr>
      <w:rFonts w:ascii="Arial" w:hAnsi="Arial" w:cs="Arial"/>
      <w:b/>
      <w:bCs/>
      <w:sz w:val="32"/>
      <w:szCs w:val="32"/>
    </w:rPr>
  </w:style>
  <w:style w:type="paragraph" w:styleId="36">
    <w:name w:val="annotation subject"/>
    <w:basedOn w:val="11"/>
    <w:next w:val="11"/>
    <w:link w:val="61"/>
    <w:qFormat/>
    <w:uiPriority w:val="0"/>
    <w:rPr>
      <w:b/>
      <w:bCs/>
    </w:rPr>
  </w:style>
  <w:style w:type="paragraph" w:styleId="37">
    <w:name w:val="Body Text First Indent"/>
    <w:basedOn w:val="12"/>
    <w:next w:val="1"/>
    <w:qFormat/>
    <w:uiPriority w:val="0"/>
    <w:pPr>
      <w:ind w:firstLine="420" w:firstLineChars="100"/>
    </w:pPr>
    <w:rPr>
      <w:rFonts w:hAnsi="Times New Roman"/>
      <w:szCs w:val="20"/>
    </w:rPr>
  </w:style>
  <w:style w:type="paragraph" w:styleId="38">
    <w:name w:val="Body Text First Indent 2"/>
    <w:basedOn w:val="13"/>
    <w:qFormat/>
    <w:uiPriority w:val="0"/>
    <w:pPr>
      <w:ind w:firstLine="420" w:firstLineChars="200"/>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basedOn w:val="41"/>
    <w:qFormat/>
    <w:uiPriority w:val="0"/>
    <w:rPr>
      <w:rFonts w:ascii="Times New Roman" w:hAnsi="Times New Roman" w:eastAsia="宋体" w:cs="Times New Roman"/>
      <w:b/>
      <w:bCs/>
    </w:rPr>
  </w:style>
  <w:style w:type="character" w:styleId="43">
    <w:name w:val="page number"/>
    <w:qFormat/>
    <w:uiPriority w:val="0"/>
    <w:rPr>
      <w:rFonts w:ascii="Times New Roman" w:hAnsi="Times New Roman" w:eastAsia="宋体" w:cs="Times New Roman"/>
    </w:rPr>
  </w:style>
  <w:style w:type="character" w:styleId="44">
    <w:name w:val="Hyperlink"/>
    <w:qFormat/>
    <w:uiPriority w:val="0"/>
    <w:rPr>
      <w:rFonts w:ascii="Times New Roman" w:hAnsi="Times New Roman" w:eastAsia="宋体" w:cs="Times New Roman"/>
      <w:color w:val="0000FF"/>
      <w:u w:val="single"/>
    </w:rPr>
  </w:style>
  <w:style w:type="character" w:styleId="45">
    <w:name w:val="annotation reference"/>
    <w:qFormat/>
    <w:uiPriority w:val="0"/>
    <w:rPr>
      <w:rFonts w:ascii="Times New Roman" w:hAnsi="Times New Roman" w:eastAsia="宋体" w:cs="Times New Roman"/>
      <w:sz w:val="21"/>
      <w:szCs w:val="21"/>
    </w:rPr>
  </w:style>
  <w:style w:type="character" w:styleId="46">
    <w:name w:val="HTML Sample"/>
    <w:qFormat/>
    <w:uiPriority w:val="0"/>
    <w:rPr>
      <w:rFonts w:ascii="Courier New" w:hAnsi="Courier New"/>
    </w:rPr>
  </w:style>
  <w:style w:type="paragraph" w:customStyle="1" w:styleId="4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8">
    <w:name w:val="Level 3 Body Text"/>
    <w:basedOn w:val="1"/>
    <w:next w:val="49"/>
    <w:qFormat/>
    <w:uiPriority w:val="0"/>
    <w:pPr>
      <w:widowControl/>
      <w:numPr>
        <w:ilvl w:val="0"/>
        <w:numId w:val="2"/>
      </w:numPr>
      <w:spacing w:after="240"/>
      <w:ind w:left="1620" w:firstLine="0"/>
      <w:jc w:val="left"/>
    </w:pPr>
    <w:rPr>
      <w:kern w:val="0"/>
      <w:sz w:val="20"/>
      <w:lang w:eastAsia="en-US"/>
    </w:rPr>
  </w:style>
  <w:style w:type="paragraph" w:customStyle="1" w:styleId="49">
    <w:name w:val="xl71"/>
    <w:basedOn w:val="1"/>
    <w:next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hint="eastAsia" w:ascii="幼圆" w:hAnsi="宋体" w:eastAsia="幼圆"/>
      <w:kern w:val="0"/>
      <w:sz w:val="32"/>
      <w:szCs w:val="32"/>
    </w:rPr>
  </w:style>
  <w:style w:type="paragraph" w:customStyle="1" w:styleId="50">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character" w:customStyle="1" w:styleId="51">
    <w:name w:val="标题 1 字符"/>
    <w:link w:val="4"/>
    <w:qFormat/>
    <w:uiPriority w:val="0"/>
    <w:rPr>
      <w:rFonts w:ascii="宋体" w:hAnsi="Times New Roman" w:eastAsia="宋体" w:cs="Times New Roman"/>
      <w:b/>
      <w:kern w:val="44"/>
      <w:sz w:val="32"/>
    </w:rPr>
  </w:style>
  <w:style w:type="character" w:customStyle="1" w:styleId="52">
    <w:name w:val="标题 2 字符"/>
    <w:link w:val="5"/>
    <w:qFormat/>
    <w:uiPriority w:val="0"/>
    <w:rPr>
      <w:rFonts w:ascii="Arial" w:hAnsi="Arial" w:eastAsia="黑体" w:cs="Times New Roman"/>
      <w:b/>
      <w:sz w:val="30"/>
    </w:rPr>
  </w:style>
  <w:style w:type="character" w:customStyle="1" w:styleId="53">
    <w:name w:val="标题 3 字符"/>
    <w:link w:val="6"/>
    <w:qFormat/>
    <w:uiPriority w:val="0"/>
    <w:rPr>
      <w:rFonts w:ascii="宋体" w:hAnsi="Times New Roman" w:eastAsia="宋体" w:cs="Times New Roman"/>
      <w:b/>
      <w:sz w:val="24"/>
      <w:u w:val="single"/>
    </w:rPr>
  </w:style>
  <w:style w:type="character" w:customStyle="1" w:styleId="54">
    <w:name w:val="批注文字 字符"/>
    <w:link w:val="11"/>
    <w:qFormat/>
    <w:uiPriority w:val="0"/>
    <w:rPr>
      <w:rFonts w:ascii="Times New Roman" w:hAnsi="Times New Roman" w:eastAsia="宋体" w:cs="Times New Roman"/>
      <w:kern w:val="2"/>
      <w:sz w:val="21"/>
      <w:szCs w:val="24"/>
    </w:rPr>
  </w:style>
  <w:style w:type="character" w:customStyle="1" w:styleId="55">
    <w:name w:val="正文文本 字符"/>
    <w:link w:val="12"/>
    <w:qFormat/>
    <w:uiPriority w:val="0"/>
    <w:rPr>
      <w:rFonts w:ascii="宋体" w:hAnsi="宋体" w:eastAsia="宋体" w:cs="Times New Roman"/>
      <w:kern w:val="2"/>
      <w:sz w:val="24"/>
      <w:szCs w:val="24"/>
    </w:rPr>
  </w:style>
  <w:style w:type="character" w:customStyle="1" w:styleId="56">
    <w:name w:val="纯文本 字符"/>
    <w:link w:val="16"/>
    <w:qFormat/>
    <w:uiPriority w:val="0"/>
    <w:rPr>
      <w:rFonts w:ascii="宋体" w:hAnsi="Courier New" w:eastAsia="宋体" w:cs="Times New Roman"/>
      <w:kern w:val="2"/>
      <w:sz w:val="21"/>
    </w:rPr>
  </w:style>
  <w:style w:type="character" w:customStyle="1" w:styleId="57">
    <w:name w:val="日期 字符"/>
    <w:link w:val="18"/>
    <w:qFormat/>
    <w:uiPriority w:val="0"/>
    <w:rPr>
      <w:rFonts w:ascii="仿宋_GB2312" w:hAnsi="宋体" w:eastAsia="仿宋_GB2312" w:cs="Times New Roman"/>
      <w:color w:val="000000"/>
      <w:kern w:val="2"/>
      <w:sz w:val="24"/>
      <w:szCs w:val="24"/>
    </w:rPr>
  </w:style>
  <w:style w:type="character" w:customStyle="1" w:styleId="58">
    <w:name w:val="批注框文本 字符"/>
    <w:link w:val="20"/>
    <w:qFormat/>
    <w:uiPriority w:val="0"/>
    <w:rPr>
      <w:rFonts w:ascii="Times New Roman" w:hAnsi="Times New Roman" w:eastAsia="宋体" w:cs="Times New Roman"/>
      <w:kern w:val="2"/>
      <w:sz w:val="18"/>
      <w:szCs w:val="18"/>
    </w:rPr>
  </w:style>
  <w:style w:type="character" w:customStyle="1" w:styleId="59">
    <w:name w:val="页脚 字符"/>
    <w:link w:val="21"/>
    <w:qFormat/>
    <w:uiPriority w:val="0"/>
    <w:rPr>
      <w:rFonts w:ascii="宋体" w:hAnsi="Times New Roman" w:eastAsia="宋体" w:cs="Times New Roman"/>
      <w:sz w:val="18"/>
    </w:rPr>
  </w:style>
  <w:style w:type="character" w:customStyle="1" w:styleId="60">
    <w:name w:val="页眉 字符"/>
    <w:link w:val="22"/>
    <w:qFormat/>
    <w:uiPriority w:val="0"/>
    <w:rPr>
      <w:rFonts w:ascii="Times New Roman" w:hAnsi="Times New Roman" w:eastAsia="宋体" w:cs="Times New Roman"/>
      <w:kern w:val="2"/>
      <w:sz w:val="18"/>
      <w:szCs w:val="18"/>
    </w:rPr>
  </w:style>
  <w:style w:type="character" w:customStyle="1" w:styleId="61">
    <w:name w:val="批注主题 字符"/>
    <w:link w:val="36"/>
    <w:qFormat/>
    <w:uiPriority w:val="0"/>
    <w:rPr>
      <w:rFonts w:ascii="Times New Roman" w:hAnsi="Times New Roman" w:eastAsia="宋体" w:cs="Times New Roman"/>
      <w:b/>
      <w:bCs/>
      <w:kern w:val="2"/>
      <w:sz w:val="21"/>
      <w:szCs w:val="24"/>
    </w:rPr>
  </w:style>
  <w:style w:type="paragraph" w:customStyle="1" w:styleId="62">
    <w:name w:val="Table Paragraph"/>
    <w:basedOn w:val="1"/>
    <w:qFormat/>
    <w:uiPriority w:val="0"/>
    <w:rPr>
      <w:rFonts w:ascii="宋体" w:hAnsi="宋体" w:cs="宋体"/>
      <w:lang w:val="zh-CN" w:bidi="zh-CN"/>
    </w:rPr>
  </w:style>
  <w:style w:type="paragraph" w:styleId="63">
    <w:name w:val="List Paragraph"/>
    <w:basedOn w:val="1"/>
    <w:qFormat/>
    <w:uiPriority w:val="0"/>
    <w:pPr>
      <w:widowControl/>
      <w:ind w:firstLine="420" w:firstLineChars="200"/>
      <w:jc w:val="left"/>
    </w:pPr>
    <w:rPr>
      <w:kern w:val="0"/>
      <w:sz w:val="24"/>
    </w:rPr>
  </w:style>
  <w:style w:type="character" w:customStyle="1" w:styleId="64">
    <w:name w:val="正文缩进 Char1"/>
    <w:link w:val="65"/>
    <w:qFormat/>
    <w:uiPriority w:val="0"/>
    <w:rPr>
      <w:rFonts w:ascii="宋体" w:hAnsi="Times New Roman" w:eastAsia="宋体" w:cs="Times New Roman"/>
      <w:sz w:val="24"/>
    </w:rPr>
  </w:style>
  <w:style w:type="paragraph" w:customStyle="1" w:styleId="65">
    <w:name w:val="正文缩进1"/>
    <w:basedOn w:val="1"/>
    <w:link w:val="64"/>
    <w:qFormat/>
    <w:uiPriority w:val="0"/>
    <w:pPr>
      <w:autoSpaceDE w:val="0"/>
      <w:autoSpaceDN w:val="0"/>
      <w:adjustRightInd w:val="0"/>
      <w:ind w:firstLine="420"/>
      <w:jc w:val="left"/>
    </w:pPr>
    <w:rPr>
      <w:rFonts w:ascii="宋体"/>
      <w:kern w:val="0"/>
      <w:sz w:val="24"/>
      <w:szCs w:val="20"/>
    </w:rPr>
  </w:style>
  <w:style w:type="paragraph" w:customStyle="1" w:styleId="66">
    <w:name w:val="索引 11"/>
    <w:basedOn w:val="1"/>
    <w:next w:val="1"/>
    <w:qFormat/>
    <w:uiPriority w:val="0"/>
    <w:pPr>
      <w:spacing w:line="360" w:lineRule="auto"/>
    </w:pPr>
    <w:rPr>
      <w:rFonts w:ascii="仿宋_GB2312" w:eastAsia="仿宋_GB2312"/>
      <w:sz w:val="24"/>
      <w:szCs w:val="20"/>
    </w:rPr>
  </w:style>
  <w:style w:type="character" w:customStyle="1" w:styleId="67">
    <w:name w:val="纯文本 Char1"/>
    <w:link w:val="68"/>
    <w:qFormat/>
    <w:uiPriority w:val="0"/>
    <w:rPr>
      <w:rFonts w:ascii="宋体" w:hAnsi="Courier New" w:eastAsia="宋体" w:cs="Times New Roman"/>
    </w:rPr>
  </w:style>
  <w:style w:type="paragraph" w:customStyle="1" w:styleId="68">
    <w:name w:val="纯文本1"/>
    <w:basedOn w:val="1"/>
    <w:link w:val="67"/>
    <w:qFormat/>
    <w:uiPriority w:val="0"/>
    <w:rPr>
      <w:rFonts w:ascii="宋体" w:hAnsi="Courier New"/>
      <w:kern w:val="0"/>
      <w:sz w:val="20"/>
      <w:szCs w:val="20"/>
    </w:rPr>
  </w:style>
  <w:style w:type="character" w:customStyle="1" w:styleId="69">
    <w:name w:val="font61"/>
    <w:basedOn w:val="41"/>
    <w:qFormat/>
    <w:uiPriority w:val="0"/>
    <w:rPr>
      <w:rFonts w:hint="eastAsia" w:ascii="宋体" w:hAnsi="宋体" w:eastAsia="宋体" w:cs="宋体"/>
      <w:b/>
      <w:color w:val="000000"/>
      <w:sz w:val="18"/>
      <w:szCs w:val="18"/>
      <w:u w:val="none"/>
    </w:rPr>
  </w:style>
  <w:style w:type="character" w:customStyle="1" w:styleId="70">
    <w:name w:val="font41"/>
    <w:basedOn w:val="41"/>
    <w:qFormat/>
    <w:uiPriority w:val="0"/>
    <w:rPr>
      <w:rFonts w:hint="eastAsia" w:ascii="宋体" w:hAnsi="宋体" w:eastAsia="宋体" w:cs="宋体"/>
      <w:b/>
      <w:color w:val="000000"/>
      <w:sz w:val="18"/>
      <w:szCs w:val="18"/>
      <w:u w:val="none"/>
    </w:rPr>
  </w:style>
  <w:style w:type="character" w:customStyle="1" w:styleId="71">
    <w:name w:val="font51"/>
    <w:basedOn w:val="41"/>
    <w:qFormat/>
    <w:uiPriority w:val="0"/>
    <w:rPr>
      <w:rFonts w:hint="eastAsia" w:ascii="宋体" w:hAnsi="宋体" w:eastAsia="宋体" w:cs="宋体"/>
      <w:color w:val="000000"/>
      <w:sz w:val="18"/>
      <w:szCs w:val="18"/>
      <w:u w:val="none"/>
    </w:rPr>
  </w:style>
  <w:style w:type="character" w:customStyle="1" w:styleId="72">
    <w:name w:val="font31"/>
    <w:basedOn w:val="41"/>
    <w:qFormat/>
    <w:uiPriority w:val="0"/>
    <w:rPr>
      <w:rFonts w:hint="eastAsia" w:ascii="宋体" w:hAnsi="宋体" w:eastAsia="宋体" w:cs="宋体"/>
      <w:b/>
      <w:color w:val="000000"/>
      <w:sz w:val="18"/>
      <w:szCs w:val="18"/>
      <w:u w:val="none"/>
    </w:rPr>
  </w:style>
  <w:style w:type="character" w:customStyle="1" w:styleId="73">
    <w:name w:val="批注文字 Char1"/>
    <w:qFormat/>
    <w:uiPriority w:val="0"/>
    <w:rPr>
      <w:rFonts w:ascii="Times New Roman" w:hAnsi="Times New Roman" w:eastAsia="宋体" w:cs="Times New Roman"/>
      <w:kern w:val="2"/>
      <w:sz w:val="21"/>
      <w:szCs w:val="24"/>
    </w:rPr>
  </w:style>
  <w:style w:type="character" w:customStyle="1" w:styleId="74">
    <w:name w:val="font21"/>
    <w:basedOn w:val="41"/>
    <w:qFormat/>
    <w:uiPriority w:val="0"/>
    <w:rPr>
      <w:rFonts w:hint="eastAsia" w:ascii="宋体" w:hAnsi="宋体" w:eastAsia="宋体" w:cs="宋体"/>
      <w:b/>
      <w:color w:val="000000"/>
      <w:sz w:val="24"/>
      <w:szCs w:val="24"/>
      <w:u w:val="none"/>
    </w:rPr>
  </w:style>
  <w:style w:type="character" w:customStyle="1" w:styleId="75">
    <w:name w:val="批注主题 Char1"/>
    <w:qFormat/>
    <w:uiPriority w:val="0"/>
    <w:rPr>
      <w:rFonts w:ascii="Times New Roman" w:hAnsi="Times New Roman" w:eastAsia="宋体" w:cs="Times New Roman"/>
      <w:b/>
      <w:bCs/>
      <w:kern w:val="2"/>
      <w:sz w:val="21"/>
      <w:szCs w:val="24"/>
    </w:rPr>
  </w:style>
  <w:style w:type="character" w:customStyle="1" w:styleId="76">
    <w:name w:val="font71"/>
    <w:basedOn w:val="41"/>
    <w:qFormat/>
    <w:uiPriority w:val="0"/>
    <w:rPr>
      <w:rFonts w:ascii="Arial" w:hAnsi="Arial" w:eastAsia="宋体" w:cs="Arial"/>
      <w:color w:val="000000"/>
      <w:sz w:val="20"/>
      <w:szCs w:val="20"/>
      <w:u w:val="none"/>
    </w:rPr>
  </w:style>
  <w:style w:type="character" w:customStyle="1" w:styleId="77">
    <w:name w:val="页眉 Char1"/>
    <w:qFormat/>
    <w:uiPriority w:val="0"/>
    <w:rPr>
      <w:rFonts w:ascii="Times New Roman" w:hAnsi="Times New Roman" w:eastAsia="宋体" w:cs="Times New Roman"/>
      <w:kern w:val="2"/>
      <w:sz w:val="18"/>
      <w:szCs w:val="18"/>
    </w:rPr>
  </w:style>
  <w:style w:type="character" w:customStyle="1" w:styleId="78">
    <w:name w:val="font11"/>
    <w:basedOn w:val="41"/>
    <w:qFormat/>
    <w:uiPriority w:val="0"/>
    <w:rPr>
      <w:rFonts w:hint="eastAsia" w:ascii="宋体" w:hAnsi="宋体" w:eastAsia="宋体" w:cs="宋体"/>
      <w:color w:val="000000"/>
      <w:sz w:val="24"/>
      <w:szCs w:val="24"/>
      <w:u w:val="none"/>
    </w:rPr>
  </w:style>
  <w:style w:type="character" w:customStyle="1" w:styleId="79">
    <w:name w:val="apple-converted-space"/>
    <w:qFormat/>
    <w:uiPriority w:val="0"/>
    <w:rPr>
      <w:rFonts w:ascii="Times New Roman" w:hAnsi="Times New Roman" w:eastAsia="宋体" w:cs="Times New Roman"/>
    </w:rPr>
  </w:style>
  <w:style w:type="character" w:customStyle="1" w:styleId="80">
    <w:name w:val="font01"/>
    <w:qFormat/>
    <w:uiPriority w:val="0"/>
    <w:rPr>
      <w:rFonts w:hint="eastAsia" w:ascii="宋体" w:hAnsi="宋体" w:eastAsia="宋体" w:cs="宋体"/>
      <w:color w:val="000000"/>
      <w:sz w:val="20"/>
      <w:szCs w:val="20"/>
      <w:u w:val="none"/>
    </w:rPr>
  </w:style>
  <w:style w:type="character" w:customStyle="1" w:styleId="81">
    <w:name w:val="批注框文本 Char1"/>
    <w:qFormat/>
    <w:uiPriority w:val="0"/>
    <w:rPr>
      <w:rFonts w:ascii="Times New Roman" w:hAnsi="Times New Roman" w:eastAsia="宋体" w:cs="Times New Roman"/>
      <w:kern w:val="2"/>
      <w:sz w:val="18"/>
      <w:szCs w:val="18"/>
    </w:rPr>
  </w:style>
  <w:style w:type="paragraph" w:customStyle="1" w:styleId="82">
    <w:name w:val="List Paragraph_950ef204-ccf4-4d36-8da3-09d279cbb147"/>
    <w:basedOn w:val="1"/>
    <w:qFormat/>
    <w:uiPriority w:val="0"/>
    <w:pPr>
      <w:ind w:firstLine="420" w:firstLineChars="200"/>
    </w:pPr>
  </w:style>
  <w:style w:type="paragraph" w:customStyle="1" w:styleId="83">
    <w:name w:val="WPSOffice手动目录 3"/>
    <w:qFormat/>
    <w:uiPriority w:val="0"/>
    <w:pPr>
      <w:ind w:leftChars="400"/>
    </w:pPr>
    <w:rPr>
      <w:rFonts w:ascii="Times New Roman" w:hAnsi="Times New Roman" w:eastAsia="宋体" w:cs="Times New Roman"/>
      <w:lang w:val="en-US" w:eastAsia="zh-CN" w:bidi="ar-SA"/>
    </w:rPr>
  </w:style>
  <w:style w:type="paragraph" w:customStyle="1" w:styleId="84">
    <w:name w:val="列出段落1"/>
    <w:basedOn w:val="1"/>
    <w:qFormat/>
    <w:uiPriority w:val="0"/>
    <w:pPr>
      <w:ind w:firstLine="420" w:firstLineChars="200"/>
    </w:pPr>
  </w:style>
  <w:style w:type="paragraph" w:customStyle="1" w:styleId="85">
    <w:name w:val="Char"/>
    <w:basedOn w:val="1"/>
    <w:qFormat/>
    <w:uiPriority w:val="0"/>
    <w:pPr>
      <w:tabs>
        <w:tab w:val="left" w:pos="360"/>
      </w:tabs>
    </w:pPr>
    <w:rPr>
      <w:sz w:val="24"/>
    </w:rPr>
  </w:style>
  <w:style w:type="paragraph" w:customStyle="1" w:styleId="86">
    <w:name w:val="WPSOffice手动目录 1"/>
    <w:qFormat/>
    <w:uiPriority w:val="0"/>
    <w:rPr>
      <w:rFonts w:ascii="Times New Roman" w:hAnsi="Times New Roman" w:eastAsia="宋体" w:cs="Times New Roman"/>
      <w:lang w:val="en-US" w:eastAsia="zh-CN" w:bidi="ar-SA"/>
    </w:rPr>
  </w:style>
  <w:style w:type="paragraph" w:customStyle="1" w:styleId="87">
    <w:name w:val="p0"/>
    <w:basedOn w:val="1"/>
    <w:qFormat/>
    <w:uiPriority w:val="0"/>
    <w:pPr>
      <w:widowControl/>
    </w:pPr>
    <w:rPr>
      <w:kern w:val="0"/>
      <w:szCs w:val="21"/>
    </w:rPr>
  </w:style>
  <w:style w:type="paragraph" w:customStyle="1" w:styleId="88">
    <w:name w:val="WPSOffice手动目录 2"/>
    <w:qFormat/>
    <w:uiPriority w:val="0"/>
    <w:pPr>
      <w:ind w:leftChars="200"/>
    </w:pPr>
    <w:rPr>
      <w:rFonts w:ascii="Times New Roman" w:hAnsi="Times New Roman" w:eastAsia="宋体" w:cs="Times New Roman"/>
      <w:lang w:val="en-US" w:eastAsia="zh-CN" w:bidi="ar-SA"/>
    </w:rPr>
  </w:style>
  <w:style w:type="paragraph" w:customStyle="1" w:styleId="89">
    <w:name w:val="5）标书正文 首行缩进2字符"/>
    <w:basedOn w:val="1"/>
    <w:qFormat/>
    <w:uiPriority w:val="0"/>
    <w:pPr>
      <w:spacing w:line="480" w:lineRule="exact"/>
      <w:ind w:firstLine="200" w:firstLineChars="200"/>
    </w:pPr>
    <w:rPr>
      <w:rFonts w:ascii="仿宋_GB2312" w:eastAsia="仿宋_GB2312"/>
      <w:sz w:val="28"/>
    </w:rPr>
  </w:style>
  <w:style w:type="character" w:customStyle="1" w:styleId="90">
    <w:name w:val="NormalCharacter"/>
    <w:qFormat/>
    <w:uiPriority w:val="0"/>
  </w:style>
  <w:style w:type="paragraph" w:customStyle="1" w:styleId="91">
    <w:name w:val="xl31"/>
    <w:basedOn w:val="1"/>
    <w:qFormat/>
    <w:uiPriority w:val="0"/>
    <w:pPr>
      <w:widowControl/>
      <w:spacing w:before="100" w:beforeAutospacing="1" w:after="100" w:afterAutospacing="1"/>
      <w:jc w:val="center"/>
    </w:pPr>
    <w:rPr>
      <w:rFonts w:ascii="宋体" w:hAnsi="宋体"/>
      <w:b/>
      <w:bCs/>
      <w:kern w:val="0"/>
      <w:sz w:val="28"/>
      <w:szCs w:val="28"/>
    </w:rPr>
  </w:style>
  <w:style w:type="paragraph" w:customStyle="1" w:styleId="92">
    <w:name w:val="HtmlNormal"/>
    <w:basedOn w:val="1"/>
    <w:qFormat/>
    <w:uiPriority w:val="0"/>
    <w:pPr>
      <w:widowControl/>
      <w:jc w:val="left"/>
      <w:textAlignment w:val="baseline"/>
    </w:pPr>
    <w:rPr>
      <w:rFonts w:ascii="宋体" w:hAnsi="宋体"/>
      <w:kern w:val="0"/>
      <w:sz w:val="24"/>
    </w:rPr>
  </w:style>
  <w:style w:type="paragraph" w:customStyle="1" w:styleId="93">
    <w:name w:val="Heading3"/>
    <w:basedOn w:val="1"/>
    <w:next w:val="1"/>
    <w:qFormat/>
    <w:uiPriority w:val="0"/>
    <w:pPr>
      <w:keepNext/>
      <w:keepLines/>
      <w:spacing w:before="360" w:after="120"/>
      <w:jc w:val="left"/>
      <w:textAlignment w:val="baseline"/>
    </w:pPr>
    <w:rPr>
      <w:rFonts w:ascii="宋体"/>
      <w:b/>
      <w:kern w:val="0"/>
      <w:sz w:val="24"/>
      <w:szCs w:val="20"/>
      <w:u w:val="single"/>
      <w:lang w:val="en-US" w:eastAsia="zh-CN" w:bidi="ar-SA"/>
    </w:rPr>
  </w:style>
  <w:style w:type="table" w:customStyle="1" w:styleId="94">
    <w:name w:val="Table Normal"/>
    <w:semiHidden/>
    <w:unhideWhenUsed/>
    <w:qFormat/>
    <w:uiPriority w:val="0"/>
    <w:tblPr>
      <w:tblCellMar>
        <w:top w:w="0" w:type="dxa"/>
        <w:left w:w="0" w:type="dxa"/>
        <w:bottom w:w="0" w:type="dxa"/>
        <w:right w:w="0" w:type="dxa"/>
      </w:tblCellMar>
    </w:tblPr>
  </w:style>
  <w:style w:type="character" w:customStyle="1" w:styleId="95">
    <w:name w:val="font81"/>
    <w:basedOn w:val="41"/>
    <w:qFormat/>
    <w:uiPriority w:val="0"/>
    <w:rPr>
      <w:rFonts w:ascii="等线" w:hAnsi="等线" w:eastAsia="等线" w:cs="等线"/>
      <w:color w:val="000000"/>
      <w:sz w:val="20"/>
      <w:szCs w:val="20"/>
      <w:u w:val="none"/>
    </w:rPr>
  </w:style>
  <w:style w:type="character" w:customStyle="1" w:styleId="96">
    <w:name w:val="font91"/>
    <w:basedOn w:val="41"/>
    <w:qFormat/>
    <w:uiPriority w:val="0"/>
    <w:rPr>
      <w:rFonts w:ascii="仿宋" w:hAnsi="仿宋" w:eastAsia="仿宋" w:cs="仿宋"/>
      <w:color w:val="000000"/>
      <w:sz w:val="20"/>
      <w:szCs w:val="20"/>
      <w:u w:val="none"/>
    </w:rPr>
  </w:style>
  <w:style w:type="paragraph" w:customStyle="1" w:styleId="97">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8">
    <w:name w:val="UserStyle_113"/>
    <w:qFormat/>
    <w:uiPriority w:val="0"/>
    <w:pPr>
      <w:textAlignment w:val="baseline"/>
    </w:pPr>
    <w:rPr>
      <w:rFonts w:ascii="Times New Roman" w:hAnsi="Times New Roman" w:eastAsia="宋体" w:cstheme="minorBidi"/>
      <w:color w:val="000000"/>
      <w:sz w:val="24"/>
      <w:lang w:val="en-US" w:eastAsia="zh-CN" w:bidi="ar-SA"/>
    </w:rPr>
  </w:style>
  <w:style w:type="paragraph" w:customStyle="1" w:styleId="99">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character" w:customStyle="1" w:styleId="100">
    <w:name w:val="hps"/>
    <w:basedOn w:val="41"/>
    <w:qFormat/>
    <w:uiPriority w:val="0"/>
  </w:style>
  <w:style w:type="paragraph" w:customStyle="1" w:styleId="101">
    <w:name w:val="Table Text"/>
    <w:basedOn w:val="1"/>
    <w:semiHidden/>
    <w:qFormat/>
    <w:uiPriority w:val="0"/>
    <w:rPr>
      <w:rFonts w:ascii="宋体" w:hAnsi="宋体" w:eastAsia="宋体" w:cs="宋体"/>
      <w:sz w:val="24"/>
      <w:szCs w:val="24"/>
      <w:lang w:val="en-US" w:eastAsia="en-US" w:bidi="ar-SA"/>
    </w:rPr>
  </w:style>
  <w:style w:type="paragraph" w:customStyle="1" w:styleId="102">
    <w:name w:val="正文首行缩进1"/>
    <w:basedOn w:val="12"/>
    <w:qFormat/>
    <w:uiPriority w:val="0"/>
    <w:pPr>
      <w:spacing w:after="0"/>
      <w:ind w:right="-349" w:rightChars="-166" w:firstLine="420" w:firstLineChars="100"/>
    </w:pPr>
    <w:rPr>
      <w:rFonts w:eastAsia="仿宋_GB2312"/>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84</Pages>
  <Words>48625</Words>
  <Characters>51914</Characters>
  <Lines>389</Lines>
  <Paragraphs>109</Paragraphs>
  <TotalTime>17</TotalTime>
  <ScaleCrop>false</ScaleCrop>
  <LinksUpToDate>false</LinksUpToDate>
  <CharactersWithSpaces>59049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2022-03-13T12:32:00Z</dcterms:created>
  <dc:creator>USER-</dc:creator>
  <cp:lastModifiedBy>fhbdn</cp:lastModifiedBy>
  <cp:lastPrinted>2024-07-01T08:49:00Z</cp:lastPrinted>
  <dcterms:modified xsi:type="dcterms:W3CDTF">2025-03-24T09:09:28Z</dcterms:modified>
  <dc:title>02年杜范本稿</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C12DF4F6E8D5406B9F583C29807E579F_13</vt:lpwstr>
  </property>
  <property fmtid="{D5CDD505-2E9C-101B-9397-08002B2CF9AE}" pid="4" name="KSOTemplateDocerSaveRecord">
    <vt:lpwstr>eyJoZGlkIjoiNGY2ZTBmYzkyMzgzODE2MTY2ZWJkZGY5NTY3YzQ4YmUiLCJ1c2VySWQiOiIzNzQwNzkzMjkifQ==</vt:lpwstr>
  </property>
</Properties>
</file>