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C86B945">
      <w:pPr>
        <w:spacing w:line="240" w:lineRule="atLeast"/>
        <w:rPr>
          <w:rFonts w:hint="eastAsia" w:ascii="仿宋_GB2312" w:hAnsi="仿宋_GB2312" w:eastAsia="仿宋_GB2312" w:cs="仿宋_GB2312"/>
          <w:bCs/>
          <w:sz w:val="52"/>
          <w:szCs w:val="52"/>
        </w:rPr>
      </w:pPr>
      <w:r>
        <w:rPr>
          <w:rFonts w:hint="eastAsia" w:ascii="仿宋_GB2312" w:hAnsi="仿宋_GB2312" w:eastAsia="仿宋_GB2312" w:cs="仿宋_GB2312"/>
          <w:bCs/>
          <w:sz w:val="52"/>
          <w:szCs w:val="52"/>
        </w:rPr>
        <w:t xml:space="preserve"> </w:t>
      </w:r>
    </w:p>
    <w:p w14:paraId="4111D7C6">
      <w:pPr>
        <w:pStyle w:val="14"/>
        <w:rPr>
          <w:rFonts w:hint="eastAsia"/>
        </w:rPr>
      </w:pPr>
    </w:p>
    <w:p w14:paraId="3A3E930B">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仿宋_GB2312" w:hAnsi="仿宋_GB2312" w:eastAsia="仿宋_GB2312" w:cs="仿宋_GB2312"/>
          <w:b/>
          <w:sz w:val="52"/>
          <w:szCs w:val="52"/>
          <w:lang w:eastAsia="zh-CN"/>
        </w:rPr>
      </w:pPr>
      <w:r>
        <w:rPr>
          <w:rFonts w:hint="eastAsia" w:ascii="仿宋_GB2312" w:hAnsi="仿宋_GB2312" w:eastAsia="仿宋_GB2312" w:cs="仿宋_GB2312"/>
          <w:b/>
          <w:sz w:val="52"/>
          <w:szCs w:val="52"/>
          <w:lang w:val="en-US" w:eastAsia="zh-CN"/>
        </w:rPr>
        <w:t>疏附县2025年精准补齐教育信息化设备项目</w:t>
      </w:r>
      <w:r>
        <w:rPr>
          <w:rFonts w:hint="eastAsia" w:ascii="仿宋_GB2312" w:hAnsi="仿宋_GB2312" w:eastAsia="仿宋_GB2312" w:cs="仿宋_GB2312"/>
          <w:b/>
          <w:sz w:val="52"/>
          <w:szCs w:val="52"/>
          <w:lang w:eastAsia="zh-CN"/>
        </w:rPr>
        <w:t>公开招标文件</w:t>
      </w:r>
    </w:p>
    <w:p w14:paraId="44D30BAD">
      <w:pPr>
        <w:pStyle w:val="27"/>
        <w:rPr>
          <w:rFonts w:hint="eastAsia" w:ascii="仿宋_GB2312" w:hAnsi="仿宋_GB2312" w:eastAsia="仿宋_GB2312" w:cs="仿宋_GB2312"/>
          <w:bCs/>
          <w:sz w:val="52"/>
          <w:szCs w:val="52"/>
        </w:rPr>
      </w:pPr>
      <w:r>
        <w:rPr>
          <w:rFonts w:hint="eastAsia" w:ascii="仿宋_GB2312" w:hAnsi="仿宋_GB2312" w:eastAsia="仿宋_GB2312" w:cs="仿宋_GB2312"/>
          <w:bCs/>
          <w:sz w:val="52"/>
          <w:szCs w:val="52"/>
        </w:rPr>
        <w:t xml:space="preserve">  </w:t>
      </w:r>
    </w:p>
    <w:p w14:paraId="25AB9EB5">
      <w:pPr>
        <w:pStyle w:val="27"/>
        <w:rPr>
          <w:rFonts w:hint="eastAsia" w:eastAsia="仿宋_GB2312"/>
        </w:rPr>
      </w:pPr>
      <w:r>
        <w:rPr>
          <w:rFonts w:hint="eastAsia" w:ascii="仿宋_GB2312" w:hAnsi="仿宋_GB2312" w:eastAsia="仿宋_GB2312" w:cs="仿宋_GB2312"/>
          <w:bCs/>
          <w:sz w:val="52"/>
          <w:szCs w:val="52"/>
        </w:rPr>
        <w:t xml:space="preserve">        </w:t>
      </w:r>
    </w:p>
    <w:p w14:paraId="2B8A672A">
      <w:pPr>
        <w:spacing w:line="360" w:lineRule="auto"/>
        <w:jc w:val="center"/>
        <w:rPr>
          <w:rFonts w:hint="default" w:ascii="仿宋_GB2312" w:hAnsi="仿宋_GB2312" w:eastAsia="仿宋_GB2312" w:cs="仿宋_GB2312"/>
          <w:b/>
          <w:bCs/>
          <w:sz w:val="36"/>
          <w:szCs w:val="36"/>
          <w:lang w:val="en-US" w:eastAsia="zh-CN"/>
        </w:rPr>
      </w:pPr>
      <w:r>
        <w:rPr>
          <w:rFonts w:hint="eastAsia" w:ascii="仿宋_GB2312" w:hAnsi="仿宋_GB2312" w:eastAsia="仿宋_GB2312" w:cs="仿宋_GB2312"/>
          <w:b/>
          <w:bCs/>
          <w:sz w:val="36"/>
          <w:szCs w:val="36"/>
          <w:lang w:eastAsia="zh-CN"/>
        </w:rPr>
        <w:t>（</w:t>
      </w:r>
      <w:r>
        <w:rPr>
          <w:rFonts w:hint="eastAsia" w:ascii="仿宋_GB2312" w:hAnsi="仿宋_GB2312" w:eastAsia="仿宋_GB2312" w:cs="仿宋_GB2312"/>
          <w:b/>
          <w:bCs/>
          <w:sz w:val="36"/>
          <w:szCs w:val="36"/>
        </w:rPr>
        <w:t>项 目 编 号：</w:t>
      </w:r>
      <w:r>
        <w:rPr>
          <w:rFonts w:hint="eastAsia" w:ascii="仿宋_GB2312" w:hAnsi="仿宋_GB2312" w:eastAsia="仿宋_GB2312" w:cs="仿宋_GB2312"/>
          <w:b/>
          <w:bCs/>
          <w:sz w:val="36"/>
          <w:szCs w:val="36"/>
          <w:lang w:eastAsia="zh-CN"/>
        </w:rPr>
        <w:t>KSSFX(GK)2025-</w:t>
      </w:r>
      <w:r>
        <w:rPr>
          <w:rFonts w:hint="eastAsia" w:ascii="仿宋_GB2312" w:hAnsi="仿宋_GB2312" w:eastAsia="仿宋_GB2312" w:cs="仿宋_GB2312"/>
          <w:b/>
          <w:bCs/>
          <w:sz w:val="36"/>
          <w:szCs w:val="36"/>
          <w:lang w:val="en-US" w:eastAsia="zh-CN"/>
        </w:rPr>
        <w:t>15</w:t>
      </w:r>
      <w:r>
        <w:rPr>
          <w:rFonts w:hint="eastAsia" w:ascii="仿宋_GB2312" w:hAnsi="仿宋_GB2312" w:eastAsia="仿宋_GB2312" w:cs="仿宋_GB2312"/>
          <w:b/>
          <w:bCs/>
          <w:sz w:val="36"/>
          <w:szCs w:val="36"/>
          <w:lang w:eastAsia="zh-CN"/>
        </w:rPr>
        <w:t>号 ）</w:t>
      </w:r>
    </w:p>
    <w:p w14:paraId="14C1A9E5">
      <w:pPr>
        <w:spacing w:line="240" w:lineRule="atLeast"/>
        <w:rPr>
          <w:rFonts w:hint="eastAsia" w:ascii="仿宋_GB2312" w:hAnsi="仿宋_GB2312" w:eastAsia="仿宋_GB2312" w:cs="仿宋_GB2312"/>
          <w:b/>
          <w:sz w:val="28"/>
        </w:rPr>
      </w:pPr>
    </w:p>
    <w:p w14:paraId="066EF024">
      <w:pPr>
        <w:spacing w:line="240" w:lineRule="atLeast"/>
        <w:ind w:left="2095" w:leftChars="998" w:firstLine="1778" w:firstLineChars="342"/>
        <w:rPr>
          <w:rFonts w:hint="eastAsia" w:ascii="仿宋_GB2312" w:hAnsi="仿宋_GB2312" w:eastAsia="仿宋_GB2312" w:cs="仿宋_GB2312"/>
          <w:b/>
          <w:sz w:val="52"/>
        </w:rPr>
      </w:pPr>
      <w:r>
        <w:rPr>
          <w:rFonts w:hint="eastAsia" w:ascii="仿宋_GB2312" w:hAnsi="仿宋_GB2312" w:eastAsia="仿宋_GB2312" w:cs="仿宋_GB2312"/>
          <w:b/>
          <w:sz w:val="52"/>
        </w:rPr>
        <w:t>(第一册)</w:t>
      </w:r>
    </w:p>
    <w:p w14:paraId="6D9B22B2">
      <w:pPr>
        <w:pStyle w:val="14"/>
        <w:rPr>
          <w:rFonts w:hint="eastAsia"/>
        </w:rPr>
      </w:pPr>
    </w:p>
    <w:p w14:paraId="583CCCD1">
      <w:pPr>
        <w:rPr>
          <w:rFonts w:hint="eastAsia"/>
        </w:rPr>
      </w:pPr>
    </w:p>
    <w:p w14:paraId="752BCA2A">
      <w:pPr>
        <w:rPr>
          <w:rFonts w:hint="eastAsia"/>
        </w:rPr>
      </w:pPr>
    </w:p>
    <w:p w14:paraId="647443DC">
      <w:pPr>
        <w:keepNext w:val="0"/>
        <w:keepLines w:val="0"/>
        <w:pageBreakBefore w:val="0"/>
        <w:kinsoku/>
        <w:wordWrap/>
        <w:overflowPunct/>
        <w:topLinePunct w:val="0"/>
        <w:bidi w:val="0"/>
        <w:snapToGrid/>
        <w:spacing w:line="430" w:lineRule="exact"/>
        <w:ind w:firstLine="1800" w:firstLineChars="600"/>
        <w:jc w:val="both"/>
        <w:textAlignment w:val="auto"/>
        <w:rPr>
          <w:rFonts w:hint="eastAsia" w:ascii="仿宋_GB2312" w:hAnsi="仿宋_GB2312" w:eastAsia="仿宋_GB2312" w:cs="仿宋_GB2312"/>
          <w:b w:val="0"/>
          <w:bCs w:val="0"/>
          <w:kern w:val="2"/>
          <w:sz w:val="30"/>
          <w:szCs w:val="30"/>
          <w:highlight w:val="yellow"/>
          <w:lang w:val="en-US" w:eastAsia="zh-CN" w:bidi="ar-SA"/>
        </w:rPr>
      </w:pPr>
    </w:p>
    <w:p w14:paraId="0309AD86">
      <w:pPr>
        <w:pStyle w:val="32"/>
        <w:pageBreakBefore w:val="0"/>
        <w:kinsoku/>
        <w:wordWrap/>
        <w:overflowPunct/>
        <w:topLinePunct w:val="0"/>
        <w:autoSpaceDE/>
        <w:autoSpaceDN/>
        <w:bidi w:val="0"/>
        <w:adjustRightInd/>
        <w:snapToGrid/>
        <w:spacing w:beforeAutospacing="0" w:afterAutospacing="0" w:line="360" w:lineRule="exact"/>
        <w:ind w:firstLine="1800" w:firstLineChars="600"/>
        <w:textAlignment w:val="auto"/>
        <w:rPr>
          <w:rFonts w:hint="eastAsia" w:ascii="仿宋_GB2312" w:hAnsi="仿宋_GB2312" w:eastAsia="仿宋_GB2312" w:cs="仿宋_GB2312"/>
          <w:b/>
          <w:bCs/>
          <w:sz w:val="30"/>
          <w:szCs w:val="30"/>
          <w:highlight w:val="none"/>
          <w:lang w:val="en-US" w:eastAsia="zh-CN"/>
        </w:rPr>
      </w:pPr>
      <w:r>
        <w:rPr>
          <w:rFonts w:hint="eastAsia" w:ascii="仿宋_GB2312" w:hAnsi="仿宋_GB2312" w:eastAsia="仿宋_GB2312" w:cs="仿宋_GB2312"/>
          <w:b/>
          <w:bCs/>
          <w:sz w:val="30"/>
          <w:szCs w:val="30"/>
          <w:highlight w:val="none"/>
          <w:lang w:val="en-US" w:eastAsia="zh-CN"/>
        </w:rPr>
        <w:t>采购单位：疏附县教育局</w:t>
      </w:r>
    </w:p>
    <w:p w14:paraId="3AD6B9D2">
      <w:pPr>
        <w:keepNext w:val="0"/>
        <w:keepLines w:val="0"/>
        <w:pageBreakBefore w:val="0"/>
        <w:kinsoku/>
        <w:wordWrap/>
        <w:overflowPunct/>
        <w:topLinePunct w:val="0"/>
        <w:bidi w:val="0"/>
        <w:snapToGrid/>
        <w:spacing w:line="420" w:lineRule="exact"/>
        <w:ind w:firstLine="1800" w:firstLineChars="600"/>
        <w:jc w:val="both"/>
        <w:textAlignment w:val="auto"/>
        <w:rPr>
          <w:rFonts w:hint="default" w:ascii="仿宋_GB2312" w:hAnsi="仿宋_GB2312" w:eastAsia="仿宋_GB2312" w:cs="仿宋_GB2312"/>
          <w:b/>
          <w:bCs/>
          <w:kern w:val="0"/>
          <w:sz w:val="30"/>
          <w:szCs w:val="30"/>
          <w:highlight w:val="none"/>
          <w:lang w:val="en-US" w:eastAsia="zh-CN" w:bidi="ar"/>
        </w:rPr>
      </w:pPr>
      <w:r>
        <w:rPr>
          <w:rFonts w:hint="eastAsia" w:ascii="仿宋_GB2312" w:hAnsi="仿宋_GB2312" w:eastAsia="仿宋_GB2312" w:cs="仿宋_GB2312"/>
          <w:b/>
          <w:bCs/>
          <w:kern w:val="2"/>
          <w:sz w:val="30"/>
          <w:szCs w:val="30"/>
          <w:highlight w:val="none"/>
          <w:lang w:val="en-US" w:eastAsia="zh-CN" w:bidi="ar-SA"/>
        </w:rPr>
        <w:t>联 系 人：</w:t>
      </w:r>
      <w:r>
        <w:rPr>
          <w:rFonts w:hint="eastAsia" w:ascii="仿宋_GB2312" w:hAnsi="仿宋_GB2312" w:eastAsia="仿宋_GB2312" w:cs="仿宋_GB2312"/>
          <w:b/>
          <w:bCs/>
          <w:kern w:val="0"/>
          <w:sz w:val="30"/>
          <w:szCs w:val="30"/>
          <w:highlight w:val="none"/>
          <w:lang w:val="en-US" w:eastAsia="zh-CN" w:bidi="ar"/>
        </w:rPr>
        <w:t xml:space="preserve">范宏令  </w:t>
      </w:r>
      <w:r>
        <w:rPr>
          <w:rFonts w:hint="eastAsia" w:ascii="宋体" w:hAnsi="宋体" w:cs="宋体"/>
          <w:b w:val="0"/>
          <w:bCs w:val="0"/>
          <w:kern w:val="2"/>
          <w:sz w:val="24"/>
          <w:szCs w:val="22"/>
          <w:highlight w:val="none"/>
          <w:lang w:val="en-US" w:eastAsia="zh-CN" w:bidi="ar-SA"/>
        </w:rPr>
        <w:t xml:space="preserve"> </w:t>
      </w:r>
      <w:r>
        <w:rPr>
          <w:rFonts w:hint="eastAsia" w:ascii="仿宋_GB2312" w:hAnsi="仿宋_GB2312" w:eastAsia="仿宋_GB2312" w:cs="仿宋_GB2312"/>
          <w:b/>
          <w:bCs/>
          <w:kern w:val="0"/>
          <w:sz w:val="30"/>
          <w:szCs w:val="30"/>
          <w:highlight w:val="none"/>
          <w:lang w:val="en-US" w:eastAsia="zh-CN" w:bidi="ar"/>
        </w:rPr>
        <w:t xml:space="preserve"> </w:t>
      </w:r>
    </w:p>
    <w:p w14:paraId="367BAB01">
      <w:pPr>
        <w:keepNext w:val="0"/>
        <w:keepLines w:val="0"/>
        <w:pageBreakBefore w:val="0"/>
        <w:kinsoku/>
        <w:wordWrap/>
        <w:overflowPunct/>
        <w:topLinePunct w:val="0"/>
        <w:bidi w:val="0"/>
        <w:snapToGrid/>
        <w:spacing w:line="420" w:lineRule="exact"/>
        <w:ind w:firstLine="1800" w:firstLineChars="600"/>
        <w:jc w:val="both"/>
        <w:textAlignment w:val="auto"/>
        <w:rPr>
          <w:rFonts w:hint="default" w:ascii="仿宋_GB2312" w:hAnsi="仿宋_GB2312" w:eastAsia="仿宋_GB2312" w:cs="仿宋_GB2312"/>
          <w:b/>
          <w:bCs/>
          <w:kern w:val="0"/>
          <w:sz w:val="30"/>
          <w:szCs w:val="30"/>
          <w:highlight w:val="none"/>
          <w:lang w:val="en-US" w:eastAsia="zh-CN" w:bidi="ar"/>
        </w:rPr>
      </w:pPr>
      <w:r>
        <w:rPr>
          <w:rFonts w:hint="default" w:ascii="仿宋_GB2312" w:hAnsi="仿宋_GB2312" w:eastAsia="仿宋_GB2312" w:cs="仿宋_GB2312"/>
          <w:b/>
          <w:bCs/>
          <w:kern w:val="0"/>
          <w:sz w:val="30"/>
          <w:szCs w:val="30"/>
          <w:highlight w:val="none"/>
          <w:lang w:val="en-US" w:eastAsia="zh-CN" w:bidi="ar"/>
        </w:rPr>
        <w:t>联系电话：</w:t>
      </w:r>
      <w:r>
        <w:rPr>
          <w:rFonts w:hint="eastAsia" w:ascii="仿宋_GB2312" w:hAnsi="仿宋_GB2312" w:eastAsia="仿宋_GB2312" w:cs="仿宋_GB2312"/>
          <w:b/>
          <w:bCs/>
          <w:kern w:val="0"/>
          <w:sz w:val="30"/>
          <w:szCs w:val="30"/>
          <w:highlight w:val="none"/>
          <w:lang w:val="en-US" w:eastAsia="zh-CN" w:bidi="ar"/>
        </w:rPr>
        <w:t>15199845618</w:t>
      </w:r>
    </w:p>
    <w:p w14:paraId="66291BDE">
      <w:pPr>
        <w:pStyle w:val="32"/>
        <w:pageBreakBefore w:val="0"/>
        <w:kinsoku/>
        <w:wordWrap/>
        <w:overflowPunct/>
        <w:topLinePunct w:val="0"/>
        <w:autoSpaceDE/>
        <w:autoSpaceDN/>
        <w:bidi w:val="0"/>
        <w:adjustRightInd/>
        <w:snapToGrid/>
        <w:spacing w:beforeAutospacing="0" w:afterAutospacing="0" w:line="360" w:lineRule="exact"/>
        <w:ind w:firstLine="1800" w:firstLineChars="600"/>
        <w:textAlignment w:val="auto"/>
        <w:rPr>
          <w:rFonts w:hint="default" w:ascii="仿宋_GB2312" w:hAnsi="仿宋_GB2312" w:eastAsia="仿宋_GB2312" w:cs="仿宋_GB2312"/>
          <w:b/>
          <w:bCs/>
          <w:sz w:val="30"/>
          <w:szCs w:val="30"/>
          <w:highlight w:val="none"/>
          <w:lang w:val="en-US" w:eastAsia="zh-CN"/>
        </w:rPr>
      </w:pPr>
      <w:bookmarkStart w:id="0" w:name="_Toc13334"/>
      <w:bookmarkStart w:id="1" w:name="_Toc5471"/>
      <w:bookmarkStart w:id="2" w:name="_Toc1687"/>
      <w:bookmarkStart w:id="3" w:name="_Toc26793"/>
      <w:bookmarkStart w:id="4" w:name="_Toc31178"/>
      <w:bookmarkStart w:id="5" w:name="_Toc2510"/>
      <w:bookmarkStart w:id="6" w:name="_Toc8272"/>
      <w:bookmarkStart w:id="7" w:name="_Toc18867"/>
      <w:bookmarkStart w:id="8" w:name="_Toc15055"/>
    </w:p>
    <w:p w14:paraId="50C0D0E3">
      <w:pPr>
        <w:pStyle w:val="32"/>
        <w:pageBreakBefore w:val="0"/>
        <w:kinsoku/>
        <w:wordWrap/>
        <w:overflowPunct/>
        <w:topLinePunct w:val="0"/>
        <w:autoSpaceDE/>
        <w:autoSpaceDN/>
        <w:bidi w:val="0"/>
        <w:adjustRightInd/>
        <w:snapToGrid/>
        <w:spacing w:beforeAutospacing="0" w:afterAutospacing="0" w:line="360" w:lineRule="exact"/>
        <w:ind w:firstLine="1800" w:firstLineChars="600"/>
        <w:textAlignment w:val="auto"/>
        <w:rPr>
          <w:rFonts w:hint="default" w:ascii="仿宋_GB2312" w:hAnsi="仿宋_GB2312" w:eastAsia="仿宋_GB2312" w:cs="仿宋_GB2312"/>
          <w:b/>
          <w:bCs/>
          <w:sz w:val="30"/>
          <w:szCs w:val="30"/>
          <w:highlight w:val="none"/>
          <w:lang w:val="en-US" w:eastAsia="zh-CN"/>
        </w:rPr>
      </w:pPr>
      <w:r>
        <w:rPr>
          <w:rFonts w:hint="default" w:ascii="仿宋_GB2312" w:hAnsi="仿宋_GB2312" w:eastAsia="仿宋_GB2312" w:cs="仿宋_GB2312"/>
          <w:b/>
          <w:bCs/>
          <w:sz w:val="30"/>
          <w:szCs w:val="30"/>
          <w:highlight w:val="none"/>
          <w:lang w:val="en-US" w:eastAsia="zh-CN"/>
        </w:rPr>
        <w:t>采购机构：</w:t>
      </w:r>
      <w:r>
        <w:rPr>
          <w:rFonts w:hint="eastAsia" w:ascii="仿宋_GB2312" w:hAnsi="仿宋_GB2312" w:eastAsia="仿宋_GB2312" w:cs="仿宋_GB2312"/>
          <w:b/>
          <w:bCs/>
          <w:sz w:val="30"/>
          <w:szCs w:val="30"/>
          <w:highlight w:val="none"/>
          <w:lang w:val="en-US" w:eastAsia="zh-CN"/>
        </w:rPr>
        <w:t xml:space="preserve">疏附县政府采购中心 </w:t>
      </w:r>
      <w:r>
        <w:rPr>
          <w:rFonts w:hint="default" w:ascii="仿宋_GB2312" w:hAnsi="仿宋_GB2312" w:eastAsia="仿宋_GB2312" w:cs="仿宋_GB2312"/>
          <w:b/>
          <w:bCs/>
          <w:sz w:val="30"/>
          <w:szCs w:val="30"/>
          <w:highlight w:val="none"/>
          <w:lang w:val="en-US" w:eastAsia="zh-CN"/>
        </w:rPr>
        <w:t xml:space="preserve"> </w:t>
      </w:r>
    </w:p>
    <w:p w14:paraId="593B6B03">
      <w:pPr>
        <w:pStyle w:val="32"/>
        <w:pageBreakBefore w:val="0"/>
        <w:kinsoku/>
        <w:wordWrap/>
        <w:overflowPunct/>
        <w:topLinePunct w:val="0"/>
        <w:autoSpaceDE/>
        <w:autoSpaceDN/>
        <w:bidi w:val="0"/>
        <w:adjustRightInd/>
        <w:snapToGrid/>
        <w:spacing w:beforeAutospacing="0" w:afterAutospacing="0" w:line="360" w:lineRule="exact"/>
        <w:ind w:firstLine="1800" w:firstLineChars="600"/>
        <w:textAlignment w:val="auto"/>
        <w:rPr>
          <w:rFonts w:hint="default" w:ascii="仿宋_GB2312" w:hAnsi="仿宋_GB2312" w:eastAsia="仿宋_GB2312" w:cs="仿宋_GB2312"/>
          <w:b/>
          <w:bCs/>
          <w:sz w:val="30"/>
          <w:szCs w:val="30"/>
          <w:highlight w:val="none"/>
          <w:lang w:val="en-US" w:eastAsia="zh-CN"/>
        </w:rPr>
      </w:pPr>
      <w:r>
        <w:rPr>
          <w:rFonts w:hint="eastAsia" w:ascii="仿宋_GB2312" w:hAnsi="仿宋_GB2312" w:eastAsia="仿宋_GB2312" w:cs="仿宋_GB2312"/>
          <w:b/>
          <w:bCs/>
          <w:sz w:val="30"/>
          <w:szCs w:val="30"/>
          <w:highlight w:val="none"/>
          <w:lang w:val="en-US" w:eastAsia="zh-CN"/>
        </w:rPr>
        <w:t>联 系 人：黄 妍</w:t>
      </w:r>
    </w:p>
    <w:p w14:paraId="61236C5E">
      <w:pPr>
        <w:pStyle w:val="32"/>
        <w:pageBreakBefore w:val="0"/>
        <w:kinsoku/>
        <w:wordWrap/>
        <w:overflowPunct/>
        <w:topLinePunct w:val="0"/>
        <w:autoSpaceDE/>
        <w:autoSpaceDN/>
        <w:bidi w:val="0"/>
        <w:adjustRightInd/>
        <w:snapToGrid/>
        <w:spacing w:beforeAutospacing="0" w:afterAutospacing="0" w:line="360" w:lineRule="exact"/>
        <w:ind w:firstLine="1800" w:firstLineChars="600"/>
        <w:textAlignment w:val="auto"/>
        <w:rPr>
          <w:rFonts w:hint="eastAsia" w:ascii="仿宋_GB2312" w:hAnsi="仿宋_GB2312" w:eastAsia="仿宋_GB2312" w:cs="仿宋_GB2312"/>
          <w:b/>
          <w:bCs/>
          <w:sz w:val="30"/>
          <w:szCs w:val="30"/>
          <w:highlight w:val="none"/>
          <w:lang w:val="en-US" w:eastAsia="zh-CN"/>
        </w:rPr>
      </w:pPr>
      <w:r>
        <w:rPr>
          <w:rFonts w:hint="default" w:ascii="仿宋_GB2312" w:hAnsi="仿宋_GB2312" w:eastAsia="仿宋_GB2312" w:cs="仿宋_GB2312"/>
          <w:b/>
          <w:bCs/>
          <w:sz w:val="30"/>
          <w:szCs w:val="30"/>
          <w:highlight w:val="none"/>
          <w:lang w:val="en-US" w:eastAsia="zh-CN"/>
        </w:rPr>
        <w:t>联系电话：</w:t>
      </w:r>
      <w:r>
        <w:rPr>
          <w:rFonts w:hint="eastAsia" w:ascii="仿宋_GB2312" w:hAnsi="仿宋_GB2312" w:eastAsia="仿宋_GB2312" w:cs="仿宋_GB2312"/>
          <w:b/>
          <w:bCs/>
          <w:sz w:val="30"/>
          <w:szCs w:val="30"/>
          <w:highlight w:val="none"/>
          <w:lang w:val="en-US" w:eastAsia="zh-CN"/>
        </w:rPr>
        <w:t>0998-3256769</w:t>
      </w:r>
    </w:p>
    <w:p w14:paraId="3D7DA873">
      <w:pPr>
        <w:spacing w:line="360" w:lineRule="auto"/>
        <w:ind w:firstLine="1800" w:firstLineChars="600"/>
        <w:rPr>
          <w:rFonts w:hint="eastAsia" w:ascii="仿宋_GB2312" w:hAnsi="仿宋_GB2312" w:eastAsia="仿宋_GB2312" w:cs="仿宋_GB2312"/>
          <w:b w:val="0"/>
          <w:bCs w:val="0"/>
          <w:kern w:val="2"/>
          <w:sz w:val="30"/>
          <w:szCs w:val="30"/>
          <w:lang w:val="en-US" w:eastAsia="zh-CN" w:bidi="ar-SA"/>
        </w:rPr>
      </w:pPr>
    </w:p>
    <w:p w14:paraId="037E2E8B">
      <w:pPr>
        <w:spacing w:line="360" w:lineRule="auto"/>
        <w:ind w:firstLine="5400" w:firstLineChars="1800"/>
        <w:rPr>
          <w:rFonts w:hint="eastAsia" w:ascii="仿宋_GB2312" w:hAnsi="仿宋_GB2312" w:eastAsia="仿宋_GB2312" w:cs="仿宋_GB2312"/>
          <w:b/>
          <w:bCs/>
          <w:kern w:val="2"/>
          <w:sz w:val="30"/>
          <w:szCs w:val="30"/>
          <w:lang w:val="en-US" w:eastAsia="zh-CN" w:bidi="ar-SA"/>
        </w:rPr>
      </w:pPr>
    </w:p>
    <w:p w14:paraId="6FBBC2CA">
      <w:pPr>
        <w:spacing w:line="360" w:lineRule="auto"/>
        <w:ind w:firstLine="5400" w:firstLineChars="1800"/>
        <w:rPr>
          <w:rFonts w:hint="eastAsia" w:ascii="仿宋_GB2312" w:hAnsi="仿宋_GB2312" w:eastAsia="仿宋_GB2312" w:cs="仿宋_GB2312"/>
          <w:b/>
          <w:bCs/>
          <w:kern w:val="2"/>
          <w:sz w:val="30"/>
          <w:szCs w:val="30"/>
          <w:lang w:val="en-US" w:eastAsia="zh-CN" w:bidi="ar-SA"/>
        </w:rPr>
      </w:pPr>
      <w:r>
        <w:rPr>
          <w:rFonts w:hint="eastAsia" w:ascii="仿宋_GB2312" w:hAnsi="仿宋_GB2312" w:eastAsia="仿宋_GB2312" w:cs="仿宋_GB2312"/>
          <w:b/>
          <w:bCs/>
          <w:kern w:val="2"/>
          <w:sz w:val="30"/>
          <w:szCs w:val="30"/>
          <w:lang w:val="en-US" w:eastAsia="zh-CN" w:bidi="ar-SA"/>
        </w:rPr>
        <w:t>发出日期：2025年4月</w:t>
      </w:r>
    </w:p>
    <w:p w14:paraId="460DA978">
      <w:pPr>
        <w:spacing w:line="240" w:lineRule="atLeast"/>
        <w:ind w:left="1079" w:leftChars="257" w:hanging="540"/>
        <w:jc w:val="center"/>
        <w:rPr>
          <w:rFonts w:hint="eastAsia" w:ascii="仿宋_GB2312" w:hAnsi="仿宋_GB2312" w:eastAsia="仿宋_GB2312" w:cs="仿宋_GB2312"/>
          <w:b/>
          <w:sz w:val="32"/>
        </w:rPr>
      </w:pPr>
    </w:p>
    <w:p w14:paraId="79BD5810">
      <w:pPr>
        <w:spacing w:line="240" w:lineRule="atLeast"/>
        <w:ind w:left="1079" w:leftChars="257" w:hanging="540"/>
        <w:jc w:val="center"/>
        <w:rPr>
          <w:rFonts w:hint="eastAsia" w:ascii="仿宋_GB2312" w:hAnsi="仿宋_GB2312" w:eastAsia="仿宋_GB2312" w:cs="仿宋_GB2312"/>
          <w:b/>
          <w:sz w:val="32"/>
        </w:rPr>
      </w:pPr>
    </w:p>
    <w:p w14:paraId="6AEFC6AF">
      <w:pPr>
        <w:spacing w:line="240" w:lineRule="atLeast"/>
        <w:ind w:left="1079" w:leftChars="257" w:hanging="540"/>
        <w:jc w:val="center"/>
        <w:rPr>
          <w:rFonts w:hint="eastAsia" w:ascii="仿宋_GB2312" w:hAnsi="仿宋_GB2312" w:eastAsia="仿宋_GB2312" w:cs="仿宋_GB2312"/>
          <w:b/>
          <w:sz w:val="32"/>
        </w:rPr>
      </w:pPr>
    </w:p>
    <w:p w14:paraId="55F85ED5">
      <w:pPr>
        <w:spacing w:line="240" w:lineRule="atLeast"/>
        <w:jc w:val="both"/>
        <w:rPr>
          <w:rFonts w:hint="eastAsia" w:ascii="仿宋_GB2312" w:hAnsi="仿宋_GB2312" w:eastAsia="仿宋_GB2312" w:cs="仿宋_GB2312"/>
          <w:b/>
          <w:sz w:val="32"/>
        </w:rPr>
      </w:pPr>
    </w:p>
    <w:p w14:paraId="729243A3">
      <w:pPr>
        <w:spacing w:line="240" w:lineRule="atLeast"/>
        <w:ind w:left="1079" w:leftChars="257" w:hanging="540"/>
        <w:jc w:val="center"/>
        <w:rPr>
          <w:rFonts w:hint="eastAsia" w:ascii="仿宋_GB2312" w:hAnsi="仿宋_GB2312" w:eastAsia="仿宋_GB2312" w:cs="仿宋_GB2312"/>
          <w:b/>
          <w:sz w:val="32"/>
        </w:rPr>
      </w:pPr>
      <w:r>
        <w:rPr>
          <w:rFonts w:hint="eastAsia" w:ascii="仿宋_GB2312" w:hAnsi="仿宋_GB2312" w:eastAsia="仿宋_GB2312" w:cs="仿宋_GB2312"/>
          <w:b/>
          <w:sz w:val="32"/>
        </w:rPr>
        <w:t>目  录</w:t>
      </w:r>
    </w:p>
    <w:p w14:paraId="5C8B67D9">
      <w:pPr>
        <w:pStyle w:val="26"/>
        <w:tabs>
          <w:tab w:val="right" w:leader="dot" w:pos="9786"/>
        </w:tabs>
      </w:pPr>
      <w:r>
        <w:fldChar w:fldCharType="begin"/>
      </w:r>
      <w:r>
        <w:instrText xml:space="preserve">TOC \o "1-3" \h \u </w:instrText>
      </w:r>
      <w:r>
        <w:fldChar w:fldCharType="separate"/>
      </w:r>
      <w:r>
        <w:fldChar w:fldCharType="begin"/>
      </w:r>
      <w:r>
        <w:instrText xml:space="preserve"> HYPERLINK \l _Toc22869 </w:instrText>
      </w:r>
      <w:r>
        <w:fldChar w:fldCharType="separate"/>
      </w:r>
      <w:r>
        <w:rPr>
          <w:rFonts w:hint="eastAsia" w:ascii="仿宋_GB2312" w:hAnsi="仿宋_GB2312" w:eastAsia="仿宋_GB2312" w:cs="仿宋_GB2312"/>
          <w:i w:val="0"/>
          <w:caps w:val="0"/>
          <w:spacing w:val="0"/>
          <w:w w:val="100"/>
          <w:kern w:val="0"/>
          <w:szCs w:val="44"/>
        </w:rPr>
        <w:t>第一章</w:t>
      </w:r>
      <w:r>
        <w:rPr>
          <w:rFonts w:hint="eastAsia" w:ascii="仿宋_GB2312" w:hAnsi="仿宋_GB2312" w:eastAsia="仿宋_GB2312" w:cs="仿宋_GB2312"/>
          <w:i w:val="0"/>
          <w:caps w:val="0"/>
          <w:spacing w:val="0"/>
          <w:w w:val="100"/>
          <w:szCs w:val="44"/>
        </w:rPr>
        <w:t xml:space="preserve">  投标人须知</w:t>
      </w:r>
      <w:r>
        <w:tab/>
      </w:r>
      <w:r>
        <w:fldChar w:fldCharType="begin"/>
      </w:r>
      <w:r>
        <w:instrText xml:space="preserve"> PAGEREF _Toc22869 \h </w:instrText>
      </w:r>
      <w:r>
        <w:fldChar w:fldCharType="separate"/>
      </w:r>
      <w:r>
        <w:t>1</w:t>
      </w:r>
      <w:r>
        <w:fldChar w:fldCharType="end"/>
      </w:r>
      <w:r>
        <w:fldChar w:fldCharType="end"/>
      </w:r>
    </w:p>
    <w:p w14:paraId="2EED0029">
      <w:pPr>
        <w:pStyle w:val="30"/>
        <w:tabs>
          <w:tab w:val="right" w:leader="dot" w:pos="9786"/>
        </w:tabs>
      </w:pPr>
      <w:r>
        <w:fldChar w:fldCharType="begin"/>
      </w:r>
      <w:r>
        <w:instrText xml:space="preserve"> HYPERLINK \l _Toc4207 </w:instrText>
      </w:r>
      <w:r>
        <w:fldChar w:fldCharType="separate"/>
      </w:r>
      <w:r>
        <w:rPr>
          <w:rFonts w:hint="eastAsia" w:ascii="仿宋_GB2312" w:hAnsi="仿宋_GB2312" w:eastAsia="仿宋_GB2312" w:cs="仿宋_GB2312"/>
          <w:i w:val="0"/>
          <w:caps w:val="0"/>
          <w:spacing w:val="0"/>
          <w:w w:val="100"/>
        </w:rPr>
        <w:t>一   总 则</w:t>
      </w:r>
      <w:r>
        <w:tab/>
      </w:r>
      <w:r>
        <w:fldChar w:fldCharType="begin"/>
      </w:r>
      <w:r>
        <w:instrText xml:space="preserve"> PAGEREF _Toc4207 \h </w:instrText>
      </w:r>
      <w:r>
        <w:fldChar w:fldCharType="separate"/>
      </w:r>
      <w:r>
        <w:t>1</w:t>
      </w:r>
      <w:r>
        <w:fldChar w:fldCharType="end"/>
      </w:r>
      <w:r>
        <w:fldChar w:fldCharType="end"/>
      </w:r>
    </w:p>
    <w:p w14:paraId="2AF2EF8A">
      <w:pPr>
        <w:pStyle w:val="19"/>
        <w:tabs>
          <w:tab w:val="right" w:leader="dot" w:pos="9786"/>
          <w:tab w:val="clear" w:pos="1260"/>
          <w:tab w:val="clear" w:pos="8630"/>
        </w:tabs>
      </w:pPr>
      <w:r>
        <w:fldChar w:fldCharType="begin"/>
      </w:r>
      <w:r>
        <w:instrText xml:space="preserve"> HYPERLINK \l _Toc499 </w:instrText>
      </w:r>
      <w:r>
        <w:fldChar w:fldCharType="separate"/>
      </w:r>
      <w:r>
        <w:rPr>
          <w:rFonts w:hint="eastAsia" w:ascii="仿宋_GB2312" w:hAnsi="仿宋_GB2312" w:eastAsia="仿宋_GB2312" w:cs="仿宋_GB2312"/>
          <w:i w:val="0"/>
          <w:caps w:val="0"/>
          <w:spacing w:val="0"/>
          <w:w w:val="100"/>
        </w:rPr>
        <w:t>1.采购人、采购代理机构及投标人</w:t>
      </w:r>
      <w:r>
        <w:tab/>
      </w:r>
      <w:r>
        <w:fldChar w:fldCharType="begin"/>
      </w:r>
      <w:r>
        <w:instrText xml:space="preserve"> PAGEREF _Toc499 \h </w:instrText>
      </w:r>
      <w:r>
        <w:fldChar w:fldCharType="separate"/>
      </w:r>
      <w:r>
        <w:t>1</w:t>
      </w:r>
      <w:r>
        <w:fldChar w:fldCharType="end"/>
      </w:r>
      <w:r>
        <w:fldChar w:fldCharType="end"/>
      </w:r>
    </w:p>
    <w:p w14:paraId="0216CA40">
      <w:pPr>
        <w:pStyle w:val="19"/>
        <w:tabs>
          <w:tab w:val="right" w:leader="dot" w:pos="9786"/>
          <w:tab w:val="clear" w:pos="1260"/>
          <w:tab w:val="clear" w:pos="8630"/>
        </w:tabs>
      </w:pPr>
      <w:r>
        <w:fldChar w:fldCharType="begin"/>
      </w:r>
      <w:r>
        <w:instrText xml:space="preserve"> HYPERLINK \l _Toc29839 </w:instrText>
      </w:r>
      <w:r>
        <w:fldChar w:fldCharType="separate"/>
      </w:r>
      <w:r>
        <w:rPr>
          <w:rFonts w:hint="eastAsia" w:ascii="仿宋_GB2312" w:hAnsi="仿宋_GB2312" w:eastAsia="仿宋_GB2312" w:cs="仿宋_GB2312"/>
          <w:i w:val="0"/>
          <w:caps w:val="0"/>
          <w:spacing w:val="0"/>
          <w:w w:val="100"/>
        </w:rPr>
        <w:t>2.资金来源</w:t>
      </w:r>
      <w:r>
        <w:tab/>
      </w:r>
      <w:r>
        <w:fldChar w:fldCharType="begin"/>
      </w:r>
      <w:r>
        <w:instrText xml:space="preserve"> PAGEREF _Toc29839 \h </w:instrText>
      </w:r>
      <w:r>
        <w:fldChar w:fldCharType="separate"/>
      </w:r>
      <w:r>
        <w:t>2</w:t>
      </w:r>
      <w:r>
        <w:fldChar w:fldCharType="end"/>
      </w:r>
      <w:r>
        <w:fldChar w:fldCharType="end"/>
      </w:r>
    </w:p>
    <w:p w14:paraId="12DB82EB">
      <w:pPr>
        <w:pStyle w:val="19"/>
        <w:tabs>
          <w:tab w:val="right" w:leader="dot" w:pos="9786"/>
          <w:tab w:val="clear" w:pos="1260"/>
          <w:tab w:val="clear" w:pos="8630"/>
        </w:tabs>
      </w:pPr>
      <w:r>
        <w:fldChar w:fldCharType="begin"/>
      </w:r>
      <w:r>
        <w:instrText xml:space="preserve"> HYPERLINK \l _Toc23790 </w:instrText>
      </w:r>
      <w:r>
        <w:fldChar w:fldCharType="separate"/>
      </w:r>
      <w:r>
        <w:rPr>
          <w:rFonts w:hint="eastAsia" w:ascii="仿宋_GB2312" w:hAnsi="仿宋_GB2312" w:eastAsia="仿宋_GB2312" w:cs="仿宋_GB2312"/>
          <w:i w:val="0"/>
          <w:caps w:val="0"/>
          <w:spacing w:val="0"/>
          <w:w w:val="100"/>
        </w:rPr>
        <w:t>3.投标费用</w:t>
      </w:r>
      <w:r>
        <w:tab/>
      </w:r>
      <w:r>
        <w:fldChar w:fldCharType="begin"/>
      </w:r>
      <w:r>
        <w:instrText xml:space="preserve"> PAGEREF _Toc23790 \h </w:instrText>
      </w:r>
      <w:r>
        <w:fldChar w:fldCharType="separate"/>
      </w:r>
      <w:r>
        <w:t>2</w:t>
      </w:r>
      <w:r>
        <w:fldChar w:fldCharType="end"/>
      </w:r>
      <w:r>
        <w:fldChar w:fldCharType="end"/>
      </w:r>
    </w:p>
    <w:p w14:paraId="15D12B57">
      <w:pPr>
        <w:pStyle w:val="19"/>
        <w:tabs>
          <w:tab w:val="right" w:leader="dot" w:pos="9786"/>
          <w:tab w:val="clear" w:pos="1260"/>
          <w:tab w:val="clear" w:pos="8630"/>
        </w:tabs>
      </w:pPr>
      <w:r>
        <w:fldChar w:fldCharType="begin"/>
      </w:r>
      <w:r>
        <w:instrText xml:space="preserve"> HYPERLINK \l _Toc25129 </w:instrText>
      </w:r>
      <w:r>
        <w:fldChar w:fldCharType="separate"/>
      </w:r>
      <w:r>
        <w:rPr>
          <w:rFonts w:hint="eastAsia" w:ascii="仿宋_GB2312" w:hAnsi="仿宋_GB2312" w:eastAsia="仿宋_GB2312" w:cs="仿宋_GB2312"/>
          <w:i w:val="0"/>
          <w:caps w:val="0"/>
          <w:spacing w:val="0"/>
          <w:w w:val="100"/>
        </w:rPr>
        <w:t>4.适用法律</w:t>
      </w:r>
      <w:r>
        <w:tab/>
      </w:r>
      <w:r>
        <w:fldChar w:fldCharType="begin"/>
      </w:r>
      <w:r>
        <w:instrText xml:space="preserve"> PAGEREF _Toc25129 \h </w:instrText>
      </w:r>
      <w:r>
        <w:fldChar w:fldCharType="separate"/>
      </w:r>
      <w:r>
        <w:t>2</w:t>
      </w:r>
      <w:r>
        <w:fldChar w:fldCharType="end"/>
      </w:r>
      <w:r>
        <w:fldChar w:fldCharType="end"/>
      </w:r>
    </w:p>
    <w:p w14:paraId="522C7D44">
      <w:pPr>
        <w:pStyle w:val="30"/>
        <w:tabs>
          <w:tab w:val="right" w:leader="dot" w:pos="9786"/>
        </w:tabs>
      </w:pPr>
      <w:r>
        <w:fldChar w:fldCharType="begin"/>
      </w:r>
      <w:r>
        <w:instrText xml:space="preserve"> HYPERLINK \l _Toc23203 </w:instrText>
      </w:r>
      <w:r>
        <w:fldChar w:fldCharType="separate"/>
      </w:r>
      <w:r>
        <w:rPr>
          <w:rFonts w:hint="eastAsia" w:ascii="仿宋_GB2312" w:hAnsi="仿宋_GB2312" w:eastAsia="仿宋_GB2312" w:cs="仿宋_GB2312"/>
          <w:i w:val="0"/>
          <w:caps w:val="0"/>
          <w:spacing w:val="0"/>
          <w:w w:val="100"/>
        </w:rPr>
        <w:t>二   招标文件</w:t>
      </w:r>
      <w:r>
        <w:tab/>
      </w:r>
      <w:r>
        <w:fldChar w:fldCharType="begin"/>
      </w:r>
      <w:r>
        <w:instrText xml:space="preserve"> PAGEREF _Toc23203 \h </w:instrText>
      </w:r>
      <w:r>
        <w:fldChar w:fldCharType="separate"/>
      </w:r>
      <w:r>
        <w:t>2</w:t>
      </w:r>
      <w:r>
        <w:fldChar w:fldCharType="end"/>
      </w:r>
      <w:r>
        <w:fldChar w:fldCharType="end"/>
      </w:r>
    </w:p>
    <w:p w14:paraId="41EF92F8">
      <w:pPr>
        <w:pStyle w:val="19"/>
        <w:tabs>
          <w:tab w:val="right" w:leader="dot" w:pos="9786"/>
          <w:tab w:val="clear" w:pos="1260"/>
          <w:tab w:val="clear" w:pos="8630"/>
        </w:tabs>
      </w:pPr>
      <w:r>
        <w:fldChar w:fldCharType="begin"/>
      </w:r>
      <w:r>
        <w:instrText xml:space="preserve"> HYPERLINK \l _Toc20260 </w:instrText>
      </w:r>
      <w:r>
        <w:fldChar w:fldCharType="separate"/>
      </w:r>
      <w:r>
        <w:rPr>
          <w:rFonts w:hint="eastAsia" w:ascii="仿宋_GB2312" w:hAnsi="仿宋_GB2312" w:eastAsia="仿宋_GB2312" w:cs="仿宋_GB2312"/>
          <w:i w:val="0"/>
          <w:caps w:val="0"/>
          <w:spacing w:val="0"/>
          <w:w w:val="100"/>
        </w:rPr>
        <w:t>5.招标文件构成</w:t>
      </w:r>
      <w:r>
        <w:tab/>
      </w:r>
      <w:r>
        <w:fldChar w:fldCharType="begin"/>
      </w:r>
      <w:r>
        <w:instrText xml:space="preserve"> PAGEREF _Toc20260 \h </w:instrText>
      </w:r>
      <w:r>
        <w:fldChar w:fldCharType="separate"/>
      </w:r>
      <w:r>
        <w:t>2</w:t>
      </w:r>
      <w:r>
        <w:fldChar w:fldCharType="end"/>
      </w:r>
      <w:r>
        <w:fldChar w:fldCharType="end"/>
      </w:r>
    </w:p>
    <w:p w14:paraId="4F8C2ABF">
      <w:pPr>
        <w:pStyle w:val="19"/>
        <w:tabs>
          <w:tab w:val="right" w:leader="dot" w:pos="9786"/>
          <w:tab w:val="clear" w:pos="1260"/>
          <w:tab w:val="clear" w:pos="8630"/>
        </w:tabs>
      </w:pPr>
      <w:r>
        <w:fldChar w:fldCharType="begin"/>
      </w:r>
      <w:r>
        <w:instrText xml:space="preserve"> HYPERLINK \l _Toc13442 </w:instrText>
      </w:r>
      <w:r>
        <w:fldChar w:fldCharType="separate"/>
      </w:r>
      <w:r>
        <w:rPr>
          <w:rFonts w:hint="eastAsia" w:ascii="仿宋_GB2312" w:hAnsi="仿宋_GB2312" w:eastAsia="仿宋_GB2312" w:cs="仿宋_GB2312"/>
          <w:i w:val="0"/>
          <w:caps w:val="0"/>
          <w:spacing w:val="0"/>
          <w:w w:val="100"/>
        </w:rPr>
        <w:t>6.招标文件的澄清与修改</w:t>
      </w:r>
      <w:r>
        <w:tab/>
      </w:r>
      <w:r>
        <w:fldChar w:fldCharType="begin"/>
      </w:r>
      <w:r>
        <w:instrText xml:space="preserve"> PAGEREF _Toc13442 \h </w:instrText>
      </w:r>
      <w:r>
        <w:fldChar w:fldCharType="separate"/>
      </w:r>
      <w:r>
        <w:t>2</w:t>
      </w:r>
      <w:r>
        <w:fldChar w:fldCharType="end"/>
      </w:r>
      <w:r>
        <w:fldChar w:fldCharType="end"/>
      </w:r>
    </w:p>
    <w:p w14:paraId="5035171E">
      <w:pPr>
        <w:pStyle w:val="19"/>
        <w:tabs>
          <w:tab w:val="right" w:leader="dot" w:pos="9786"/>
          <w:tab w:val="clear" w:pos="1260"/>
          <w:tab w:val="clear" w:pos="8630"/>
        </w:tabs>
      </w:pPr>
      <w:r>
        <w:fldChar w:fldCharType="begin"/>
      </w:r>
      <w:r>
        <w:instrText xml:space="preserve"> HYPERLINK \l _Toc26037 </w:instrText>
      </w:r>
      <w:r>
        <w:fldChar w:fldCharType="separate"/>
      </w:r>
      <w:r>
        <w:rPr>
          <w:rFonts w:hint="eastAsia" w:ascii="仿宋_GB2312" w:hAnsi="仿宋_GB2312" w:eastAsia="仿宋_GB2312" w:cs="仿宋_GB2312"/>
          <w:i w:val="0"/>
          <w:caps w:val="0"/>
          <w:spacing w:val="0"/>
          <w:w w:val="100"/>
        </w:rPr>
        <w:t>7.</w:t>
      </w:r>
      <w:r>
        <w:rPr>
          <w:rFonts w:hint="eastAsia" w:ascii="仿宋_GB2312" w:hAnsi="仿宋_GB2312" w:eastAsia="仿宋_GB2312" w:cs="仿宋_GB2312"/>
          <w:i w:val="0"/>
          <w:caps w:val="0"/>
          <w:spacing w:val="0"/>
          <w:w w:val="100"/>
          <w:lang w:val="en-US" w:eastAsia="zh-CN"/>
        </w:rPr>
        <w:t xml:space="preserve"> </w:t>
      </w:r>
      <w:r>
        <w:rPr>
          <w:rFonts w:hint="eastAsia" w:ascii="仿宋_GB2312" w:hAnsi="仿宋_GB2312" w:eastAsia="仿宋_GB2312" w:cs="仿宋_GB2312"/>
          <w:i w:val="0"/>
          <w:caps w:val="0"/>
          <w:spacing w:val="0"/>
          <w:w w:val="100"/>
        </w:rPr>
        <w:t>投标截止时间的顺延</w:t>
      </w:r>
      <w:r>
        <w:tab/>
      </w:r>
      <w:r>
        <w:fldChar w:fldCharType="begin"/>
      </w:r>
      <w:r>
        <w:instrText xml:space="preserve"> PAGEREF _Toc26037 \h </w:instrText>
      </w:r>
      <w:r>
        <w:fldChar w:fldCharType="separate"/>
      </w:r>
      <w:r>
        <w:t>3</w:t>
      </w:r>
      <w:r>
        <w:fldChar w:fldCharType="end"/>
      </w:r>
      <w:r>
        <w:fldChar w:fldCharType="end"/>
      </w:r>
    </w:p>
    <w:p w14:paraId="124FD657">
      <w:pPr>
        <w:pStyle w:val="30"/>
        <w:tabs>
          <w:tab w:val="right" w:leader="dot" w:pos="9786"/>
        </w:tabs>
      </w:pPr>
      <w:r>
        <w:fldChar w:fldCharType="begin"/>
      </w:r>
      <w:r>
        <w:instrText xml:space="preserve"> HYPERLINK \l _Toc28780 </w:instrText>
      </w:r>
      <w:r>
        <w:fldChar w:fldCharType="separate"/>
      </w:r>
      <w:r>
        <w:rPr>
          <w:rFonts w:hint="eastAsia" w:ascii="仿宋_GB2312" w:hAnsi="仿宋_GB2312" w:eastAsia="仿宋_GB2312" w:cs="仿宋_GB2312"/>
          <w:i w:val="0"/>
          <w:caps w:val="0"/>
          <w:spacing w:val="0"/>
          <w:w w:val="100"/>
        </w:rPr>
        <w:t>三   投标文件的编制</w:t>
      </w:r>
      <w:r>
        <w:tab/>
      </w:r>
      <w:r>
        <w:fldChar w:fldCharType="begin"/>
      </w:r>
      <w:r>
        <w:instrText xml:space="preserve"> PAGEREF _Toc28780 \h </w:instrText>
      </w:r>
      <w:r>
        <w:fldChar w:fldCharType="separate"/>
      </w:r>
      <w:r>
        <w:t>3</w:t>
      </w:r>
      <w:r>
        <w:fldChar w:fldCharType="end"/>
      </w:r>
      <w:r>
        <w:fldChar w:fldCharType="end"/>
      </w:r>
    </w:p>
    <w:p w14:paraId="3373B560">
      <w:pPr>
        <w:pStyle w:val="19"/>
        <w:tabs>
          <w:tab w:val="right" w:leader="dot" w:pos="9786"/>
          <w:tab w:val="clear" w:pos="1260"/>
          <w:tab w:val="clear" w:pos="8630"/>
        </w:tabs>
      </w:pPr>
      <w:r>
        <w:fldChar w:fldCharType="begin"/>
      </w:r>
      <w:r>
        <w:instrText xml:space="preserve"> HYPERLINK \l _Toc28359 </w:instrText>
      </w:r>
      <w:r>
        <w:fldChar w:fldCharType="separate"/>
      </w:r>
      <w:r>
        <w:rPr>
          <w:rFonts w:hint="eastAsia" w:ascii="仿宋_GB2312" w:hAnsi="仿宋_GB2312" w:eastAsia="仿宋_GB2312" w:cs="仿宋_GB2312"/>
          <w:i w:val="0"/>
          <w:caps w:val="0"/>
          <w:spacing w:val="0"/>
          <w:w w:val="100"/>
        </w:rPr>
        <w:t>8.投标范围及投标文件中标准和计量单位的使用</w:t>
      </w:r>
      <w:r>
        <w:tab/>
      </w:r>
      <w:r>
        <w:fldChar w:fldCharType="begin"/>
      </w:r>
      <w:r>
        <w:instrText xml:space="preserve"> PAGEREF _Toc28359 \h </w:instrText>
      </w:r>
      <w:r>
        <w:fldChar w:fldCharType="separate"/>
      </w:r>
      <w:r>
        <w:t>3</w:t>
      </w:r>
      <w:r>
        <w:fldChar w:fldCharType="end"/>
      </w:r>
      <w:r>
        <w:fldChar w:fldCharType="end"/>
      </w:r>
    </w:p>
    <w:p w14:paraId="57076CAA">
      <w:pPr>
        <w:pStyle w:val="19"/>
        <w:tabs>
          <w:tab w:val="right" w:leader="dot" w:pos="9786"/>
          <w:tab w:val="clear" w:pos="1260"/>
          <w:tab w:val="clear" w:pos="8630"/>
        </w:tabs>
      </w:pPr>
      <w:r>
        <w:fldChar w:fldCharType="begin"/>
      </w:r>
      <w:r>
        <w:instrText xml:space="preserve"> HYPERLINK \l _Toc27619 </w:instrText>
      </w:r>
      <w:r>
        <w:fldChar w:fldCharType="separate"/>
      </w:r>
      <w:r>
        <w:rPr>
          <w:rFonts w:hint="eastAsia" w:ascii="仿宋_GB2312" w:hAnsi="仿宋_GB2312" w:eastAsia="仿宋_GB2312" w:cs="仿宋_GB2312"/>
          <w:i w:val="0"/>
          <w:caps w:val="0"/>
          <w:spacing w:val="0"/>
          <w:w w:val="100"/>
        </w:rPr>
        <w:t>9.投标文件构成</w:t>
      </w:r>
      <w:r>
        <w:tab/>
      </w:r>
      <w:r>
        <w:fldChar w:fldCharType="begin"/>
      </w:r>
      <w:r>
        <w:instrText xml:space="preserve"> PAGEREF _Toc27619 \h </w:instrText>
      </w:r>
      <w:r>
        <w:fldChar w:fldCharType="separate"/>
      </w:r>
      <w:r>
        <w:t>3</w:t>
      </w:r>
      <w:r>
        <w:fldChar w:fldCharType="end"/>
      </w:r>
      <w:r>
        <w:fldChar w:fldCharType="end"/>
      </w:r>
    </w:p>
    <w:p w14:paraId="43A9F4D1">
      <w:pPr>
        <w:pStyle w:val="19"/>
        <w:tabs>
          <w:tab w:val="right" w:leader="dot" w:pos="9786"/>
          <w:tab w:val="clear" w:pos="1260"/>
          <w:tab w:val="clear" w:pos="8630"/>
        </w:tabs>
      </w:pPr>
      <w:r>
        <w:fldChar w:fldCharType="begin"/>
      </w:r>
      <w:r>
        <w:instrText xml:space="preserve"> HYPERLINK \l _Toc20729 </w:instrText>
      </w:r>
      <w:r>
        <w:fldChar w:fldCharType="separate"/>
      </w:r>
      <w:r>
        <w:rPr>
          <w:rFonts w:hint="eastAsia" w:ascii="仿宋_GB2312" w:hAnsi="仿宋_GB2312" w:eastAsia="仿宋_GB2312" w:cs="仿宋_GB2312"/>
          <w:i w:val="0"/>
          <w:caps w:val="0"/>
          <w:spacing w:val="0"/>
          <w:w w:val="100"/>
        </w:rPr>
        <w:t>10.证明投标标的的合格性和符合招标文件规定的技术文件</w:t>
      </w:r>
      <w:r>
        <w:tab/>
      </w:r>
      <w:r>
        <w:fldChar w:fldCharType="begin"/>
      </w:r>
      <w:r>
        <w:instrText xml:space="preserve"> PAGEREF _Toc20729 \h </w:instrText>
      </w:r>
      <w:r>
        <w:fldChar w:fldCharType="separate"/>
      </w:r>
      <w:r>
        <w:t>3</w:t>
      </w:r>
      <w:r>
        <w:fldChar w:fldCharType="end"/>
      </w:r>
      <w:r>
        <w:fldChar w:fldCharType="end"/>
      </w:r>
    </w:p>
    <w:p w14:paraId="49C4DE41">
      <w:pPr>
        <w:pStyle w:val="19"/>
        <w:tabs>
          <w:tab w:val="right" w:leader="dot" w:pos="9786"/>
          <w:tab w:val="clear" w:pos="1260"/>
          <w:tab w:val="clear" w:pos="8630"/>
        </w:tabs>
      </w:pPr>
      <w:r>
        <w:fldChar w:fldCharType="begin"/>
      </w:r>
      <w:r>
        <w:instrText xml:space="preserve"> HYPERLINK \l _Toc32167 </w:instrText>
      </w:r>
      <w:r>
        <w:fldChar w:fldCharType="separate"/>
      </w:r>
      <w:r>
        <w:rPr>
          <w:rFonts w:hint="eastAsia" w:ascii="仿宋_GB2312" w:hAnsi="仿宋_GB2312" w:eastAsia="仿宋_GB2312" w:cs="仿宋_GB2312"/>
          <w:i w:val="0"/>
          <w:caps w:val="0"/>
          <w:spacing w:val="0"/>
          <w:w w:val="100"/>
        </w:rPr>
        <w:t>11.投标报价</w:t>
      </w:r>
      <w:r>
        <w:tab/>
      </w:r>
      <w:r>
        <w:fldChar w:fldCharType="begin"/>
      </w:r>
      <w:r>
        <w:instrText xml:space="preserve"> PAGEREF _Toc32167 \h </w:instrText>
      </w:r>
      <w:r>
        <w:fldChar w:fldCharType="separate"/>
      </w:r>
      <w:r>
        <w:t>4</w:t>
      </w:r>
      <w:r>
        <w:fldChar w:fldCharType="end"/>
      </w:r>
      <w:r>
        <w:fldChar w:fldCharType="end"/>
      </w:r>
    </w:p>
    <w:p w14:paraId="7CA89C2B">
      <w:pPr>
        <w:pStyle w:val="19"/>
        <w:tabs>
          <w:tab w:val="right" w:leader="dot" w:pos="9786"/>
          <w:tab w:val="clear" w:pos="1260"/>
          <w:tab w:val="clear" w:pos="8630"/>
        </w:tabs>
      </w:pPr>
      <w:r>
        <w:fldChar w:fldCharType="begin"/>
      </w:r>
      <w:r>
        <w:instrText xml:space="preserve"> HYPERLINK \l _Toc20540 </w:instrText>
      </w:r>
      <w:r>
        <w:fldChar w:fldCharType="separate"/>
      </w:r>
      <w:r>
        <w:rPr>
          <w:rFonts w:hint="eastAsia" w:ascii="仿宋_GB2312" w:hAnsi="仿宋_GB2312" w:eastAsia="仿宋_GB2312" w:cs="仿宋_GB2312"/>
          <w:i w:val="0"/>
          <w:caps w:val="0"/>
          <w:spacing w:val="0"/>
          <w:w w:val="100"/>
        </w:rPr>
        <w:t>12.投标保证金</w:t>
      </w:r>
      <w:r>
        <w:tab/>
      </w:r>
      <w:r>
        <w:fldChar w:fldCharType="begin"/>
      </w:r>
      <w:r>
        <w:instrText xml:space="preserve"> PAGEREF _Toc20540 \h </w:instrText>
      </w:r>
      <w:r>
        <w:fldChar w:fldCharType="separate"/>
      </w:r>
      <w:r>
        <w:t>4</w:t>
      </w:r>
      <w:r>
        <w:fldChar w:fldCharType="end"/>
      </w:r>
      <w:r>
        <w:fldChar w:fldCharType="end"/>
      </w:r>
    </w:p>
    <w:p w14:paraId="0257F507">
      <w:pPr>
        <w:pStyle w:val="19"/>
        <w:tabs>
          <w:tab w:val="right" w:leader="dot" w:pos="9786"/>
          <w:tab w:val="clear" w:pos="1260"/>
          <w:tab w:val="clear" w:pos="8630"/>
        </w:tabs>
      </w:pPr>
      <w:r>
        <w:fldChar w:fldCharType="begin"/>
      </w:r>
      <w:r>
        <w:instrText xml:space="preserve"> HYPERLINK \l _Toc18768 </w:instrText>
      </w:r>
      <w:r>
        <w:fldChar w:fldCharType="separate"/>
      </w:r>
      <w:r>
        <w:rPr>
          <w:rFonts w:hint="eastAsia" w:ascii="仿宋_GB2312" w:hAnsi="仿宋_GB2312" w:eastAsia="仿宋_GB2312" w:cs="仿宋_GB2312"/>
          <w:i w:val="0"/>
          <w:caps w:val="0"/>
          <w:spacing w:val="0"/>
          <w:w w:val="100"/>
        </w:rPr>
        <w:t>13.投标有效期</w:t>
      </w:r>
      <w:r>
        <w:tab/>
      </w:r>
      <w:r>
        <w:fldChar w:fldCharType="begin"/>
      </w:r>
      <w:r>
        <w:instrText xml:space="preserve"> PAGEREF _Toc18768 \h </w:instrText>
      </w:r>
      <w:r>
        <w:fldChar w:fldCharType="separate"/>
      </w:r>
      <w:r>
        <w:t>5</w:t>
      </w:r>
      <w:r>
        <w:fldChar w:fldCharType="end"/>
      </w:r>
      <w:r>
        <w:fldChar w:fldCharType="end"/>
      </w:r>
    </w:p>
    <w:p w14:paraId="33F0A214">
      <w:pPr>
        <w:pStyle w:val="19"/>
        <w:tabs>
          <w:tab w:val="right" w:leader="dot" w:pos="9786"/>
          <w:tab w:val="clear" w:pos="1260"/>
          <w:tab w:val="clear" w:pos="8630"/>
        </w:tabs>
      </w:pPr>
      <w:r>
        <w:fldChar w:fldCharType="begin"/>
      </w:r>
      <w:r>
        <w:instrText xml:space="preserve"> HYPERLINK \l _Toc23436 </w:instrText>
      </w:r>
      <w:r>
        <w:fldChar w:fldCharType="separate"/>
      </w:r>
      <w:r>
        <w:rPr>
          <w:rFonts w:hint="eastAsia" w:ascii="仿宋_GB2312" w:hAnsi="仿宋_GB2312" w:eastAsia="仿宋_GB2312" w:cs="仿宋_GB2312"/>
          <w:i w:val="0"/>
          <w:caps w:val="0"/>
          <w:spacing w:val="0"/>
          <w:w w:val="100"/>
        </w:rPr>
        <w:t>14.响应文件的签署及规定</w:t>
      </w:r>
      <w:r>
        <w:tab/>
      </w:r>
      <w:r>
        <w:fldChar w:fldCharType="begin"/>
      </w:r>
      <w:r>
        <w:instrText xml:space="preserve"> PAGEREF _Toc23436 \h </w:instrText>
      </w:r>
      <w:r>
        <w:fldChar w:fldCharType="separate"/>
      </w:r>
      <w:r>
        <w:t>5</w:t>
      </w:r>
      <w:r>
        <w:fldChar w:fldCharType="end"/>
      </w:r>
      <w:r>
        <w:fldChar w:fldCharType="end"/>
      </w:r>
    </w:p>
    <w:p w14:paraId="7F23953A">
      <w:pPr>
        <w:pStyle w:val="30"/>
        <w:tabs>
          <w:tab w:val="right" w:leader="dot" w:pos="9786"/>
        </w:tabs>
      </w:pPr>
      <w:r>
        <w:fldChar w:fldCharType="begin"/>
      </w:r>
      <w:r>
        <w:instrText xml:space="preserve"> HYPERLINK \l _Toc31909 </w:instrText>
      </w:r>
      <w:r>
        <w:fldChar w:fldCharType="separate"/>
      </w:r>
      <w:r>
        <w:rPr>
          <w:rFonts w:hint="eastAsia" w:ascii="仿宋_GB2312" w:hAnsi="仿宋_GB2312" w:eastAsia="仿宋_GB2312" w:cs="仿宋_GB2312"/>
          <w:i w:val="0"/>
          <w:caps w:val="0"/>
          <w:spacing w:val="0"/>
          <w:w w:val="100"/>
        </w:rPr>
        <w:t>四   投标文件的递交</w:t>
      </w:r>
      <w:r>
        <w:tab/>
      </w:r>
      <w:r>
        <w:fldChar w:fldCharType="begin"/>
      </w:r>
      <w:r>
        <w:instrText xml:space="preserve"> PAGEREF _Toc31909 \h </w:instrText>
      </w:r>
      <w:r>
        <w:fldChar w:fldCharType="separate"/>
      </w:r>
      <w:r>
        <w:t>5</w:t>
      </w:r>
      <w:r>
        <w:fldChar w:fldCharType="end"/>
      </w:r>
      <w:r>
        <w:fldChar w:fldCharType="end"/>
      </w:r>
    </w:p>
    <w:p w14:paraId="3C2670C8">
      <w:pPr>
        <w:pStyle w:val="19"/>
        <w:tabs>
          <w:tab w:val="right" w:leader="dot" w:pos="9786"/>
          <w:tab w:val="clear" w:pos="1260"/>
          <w:tab w:val="clear" w:pos="8630"/>
        </w:tabs>
      </w:pPr>
      <w:r>
        <w:fldChar w:fldCharType="begin"/>
      </w:r>
      <w:r>
        <w:instrText xml:space="preserve"> HYPERLINK \l _Toc24930 </w:instrText>
      </w:r>
      <w:r>
        <w:fldChar w:fldCharType="separate"/>
      </w:r>
      <w:r>
        <w:rPr>
          <w:rFonts w:hint="eastAsia" w:ascii="仿宋_GB2312" w:hAnsi="仿宋_GB2312" w:eastAsia="仿宋_GB2312" w:cs="仿宋_GB2312"/>
          <w:i w:val="0"/>
          <w:caps w:val="0"/>
          <w:spacing w:val="0"/>
          <w:w w:val="100"/>
        </w:rPr>
        <w:t>15.投标文件的密封和标记</w:t>
      </w:r>
      <w:r>
        <w:tab/>
      </w:r>
      <w:r>
        <w:fldChar w:fldCharType="begin"/>
      </w:r>
      <w:r>
        <w:instrText xml:space="preserve"> PAGEREF _Toc24930 \h </w:instrText>
      </w:r>
      <w:r>
        <w:fldChar w:fldCharType="separate"/>
      </w:r>
      <w:r>
        <w:t>5</w:t>
      </w:r>
      <w:r>
        <w:fldChar w:fldCharType="end"/>
      </w:r>
      <w:r>
        <w:fldChar w:fldCharType="end"/>
      </w:r>
    </w:p>
    <w:p w14:paraId="03E5D3DA">
      <w:pPr>
        <w:pStyle w:val="19"/>
        <w:tabs>
          <w:tab w:val="right" w:leader="dot" w:pos="9786"/>
          <w:tab w:val="clear" w:pos="1260"/>
          <w:tab w:val="clear" w:pos="8630"/>
        </w:tabs>
      </w:pPr>
      <w:r>
        <w:fldChar w:fldCharType="begin"/>
      </w:r>
      <w:r>
        <w:instrText xml:space="preserve"> HYPERLINK \l _Toc11457 </w:instrText>
      </w:r>
      <w:r>
        <w:fldChar w:fldCharType="separate"/>
      </w:r>
      <w:r>
        <w:rPr>
          <w:rFonts w:hint="eastAsia" w:ascii="仿宋_GB2312" w:hAnsi="仿宋_GB2312" w:eastAsia="仿宋_GB2312" w:cs="仿宋_GB2312"/>
          <w:i w:val="0"/>
          <w:caps w:val="0"/>
          <w:spacing w:val="0"/>
          <w:w w:val="100"/>
        </w:rPr>
        <w:t>16.投标截止</w:t>
      </w:r>
      <w:r>
        <w:tab/>
      </w:r>
      <w:r>
        <w:fldChar w:fldCharType="begin"/>
      </w:r>
      <w:r>
        <w:instrText xml:space="preserve"> PAGEREF _Toc11457 \h </w:instrText>
      </w:r>
      <w:r>
        <w:fldChar w:fldCharType="separate"/>
      </w:r>
      <w:r>
        <w:t>5</w:t>
      </w:r>
      <w:r>
        <w:fldChar w:fldCharType="end"/>
      </w:r>
      <w:r>
        <w:fldChar w:fldCharType="end"/>
      </w:r>
    </w:p>
    <w:p w14:paraId="6EE15F70">
      <w:pPr>
        <w:pStyle w:val="19"/>
        <w:tabs>
          <w:tab w:val="right" w:leader="dot" w:pos="9786"/>
          <w:tab w:val="clear" w:pos="1260"/>
          <w:tab w:val="clear" w:pos="8630"/>
        </w:tabs>
      </w:pPr>
      <w:r>
        <w:fldChar w:fldCharType="begin"/>
      </w:r>
      <w:r>
        <w:instrText xml:space="preserve"> HYPERLINK \l _Toc10450 </w:instrText>
      </w:r>
      <w:r>
        <w:fldChar w:fldCharType="separate"/>
      </w:r>
      <w:r>
        <w:rPr>
          <w:rFonts w:hint="eastAsia" w:ascii="仿宋_GB2312" w:hAnsi="仿宋_GB2312" w:eastAsia="仿宋_GB2312" w:cs="仿宋_GB2312"/>
          <w:i w:val="0"/>
          <w:caps w:val="0"/>
          <w:spacing w:val="0"/>
          <w:w w:val="100"/>
        </w:rPr>
        <w:t>17.投标文件的接收、修改与撤回</w:t>
      </w:r>
      <w:r>
        <w:tab/>
      </w:r>
      <w:r>
        <w:fldChar w:fldCharType="begin"/>
      </w:r>
      <w:r>
        <w:instrText xml:space="preserve"> PAGEREF _Toc10450 \h </w:instrText>
      </w:r>
      <w:r>
        <w:fldChar w:fldCharType="separate"/>
      </w:r>
      <w:r>
        <w:t>5</w:t>
      </w:r>
      <w:r>
        <w:fldChar w:fldCharType="end"/>
      </w:r>
      <w:r>
        <w:fldChar w:fldCharType="end"/>
      </w:r>
    </w:p>
    <w:p w14:paraId="545F7A90">
      <w:pPr>
        <w:pStyle w:val="30"/>
        <w:tabs>
          <w:tab w:val="right" w:leader="dot" w:pos="9786"/>
        </w:tabs>
      </w:pPr>
      <w:r>
        <w:fldChar w:fldCharType="begin"/>
      </w:r>
      <w:r>
        <w:instrText xml:space="preserve"> HYPERLINK \l _Toc31043 </w:instrText>
      </w:r>
      <w:r>
        <w:fldChar w:fldCharType="separate"/>
      </w:r>
      <w:r>
        <w:rPr>
          <w:rFonts w:hint="eastAsia" w:ascii="仿宋_GB2312" w:hAnsi="仿宋_GB2312" w:eastAsia="仿宋_GB2312" w:cs="仿宋_GB2312"/>
          <w:i w:val="0"/>
          <w:caps w:val="0"/>
          <w:spacing w:val="0"/>
          <w:w w:val="100"/>
        </w:rPr>
        <w:t>五   开标及评标</w:t>
      </w:r>
      <w:r>
        <w:tab/>
      </w:r>
      <w:r>
        <w:fldChar w:fldCharType="begin"/>
      </w:r>
      <w:r>
        <w:instrText xml:space="preserve"> PAGEREF _Toc31043 \h </w:instrText>
      </w:r>
      <w:r>
        <w:fldChar w:fldCharType="separate"/>
      </w:r>
      <w:r>
        <w:t>6</w:t>
      </w:r>
      <w:r>
        <w:fldChar w:fldCharType="end"/>
      </w:r>
      <w:r>
        <w:fldChar w:fldCharType="end"/>
      </w:r>
    </w:p>
    <w:p w14:paraId="7A7044D1">
      <w:pPr>
        <w:pStyle w:val="19"/>
        <w:tabs>
          <w:tab w:val="right" w:leader="dot" w:pos="9786"/>
          <w:tab w:val="clear" w:pos="1260"/>
          <w:tab w:val="clear" w:pos="8630"/>
        </w:tabs>
      </w:pPr>
      <w:r>
        <w:fldChar w:fldCharType="begin"/>
      </w:r>
      <w:r>
        <w:instrText xml:space="preserve"> HYPERLINK \l _Toc23664 </w:instrText>
      </w:r>
      <w:r>
        <w:fldChar w:fldCharType="separate"/>
      </w:r>
      <w:r>
        <w:rPr>
          <w:rFonts w:ascii="仿宋_GB2312" w:hAnsi="仿宋_GB2312" w:eastAsia="仿宋_GB2312" w:cs="仿宋_GB2312"/>
          <w:i w:val="0"/>
          <w:caps w:val="0"/>
          <w:spacing w:val="0"/>
          <w:w w:val="100"/>
        </w:rPr>
        <w:t xml:space="preserve">18. </w:t>
      </w:r>
      <w:r>
        <w:rPr>
          <w:rFonts w:hint="eastAsia" w:ascii="仿宋_GB2312" w:hAnsi="仿宋_GB2312" w:eastAsia="仿宋_GB2312" w:cs="仿宋_GB2312"/>
          <w:i w:val="0"/>
          <w:caps w:val="0"/>
          <w:spacing w:val="0"/>
          <w:w w:val="100"/>
        </w:rPr>
        <w:t>开标</w:t>
      </w:r>
      <w:r>
        <w:tab/>
      </w:r>
      <w:r>
        <w:fldChar w:fldCharType="begin"/>
      </w:r>
      <w:r>
        <w:instrText xml:space="preserve"> PAGEREF _Toc23664 \h </w:instrText>
      </w:r>
      <w:r>
        <w:fldChar w:fldCharType="separate"/>
      </w:r>
      <w:r>
        <w:t>6</w:t>
      </w:r>
      <w:r>
        <w:fldChar w:fldCharType="end"/>
      </w:r>
      <w:r>
        <w:fldChar w:fldCharType="end"/>
      </w:r>
    </w:p>
    <w:p w14:paraId="2DF9E33B">
      <w:pPr>
        <w:pStyle w:val="19"/>
        <w:tabs>
          <w:tab w:val="right" w:leader="dot" w:pos="9786"/>
          <w:tab w:val="clear" w:pos="1260"/>
          <w:tab w:val="clear" w:pos="8630"/>
        </w:tabs>
      </w:pPr>
      <w:r>
        <w:fldChar w:fldCharType="begin"/>
      </w:r>
      <w:r>
        <w:instrText xml:space="preserve"> HYPERLINK \l _Toc3613 </w:instrText>
      </w:r>
      <w:r>
        <w:fldChar w:fldCharType="separate"/>
      </w:r>
      <w:r>
        <w:rPr>
          <w:rFonts w:hint="eastAsia" w:ascii="仿宋_GB2312" w:hAnsi="仿宋_GB2312" w:eastAsia="仿宋_GB2312" w:cs="仿宋_GB2312"/>
          <w:i w:val="0"/>
          <w:caps w:val="0"/>
          <w:spacing w:val="0"/>
          <w:w w:val="100"/>
        </w:rPr>
        <w:t>19.资格审查及组建评标委员会</w:t>
      </w:r>
      <w:r>
        <w:tab/>
      </w:r>
      <w:r>
        <w:fldChar w:fldCharType="begin"/>
      </w:r>
      <w:r>
        <w:instrText xml:space="preserve"> PAGEREF _Toc3613 \h </w:instrText>
      </w:r>
      <w:r>
        <w:fldChar w:fldCharType="separate"/>
      </w:r>
      <w:r>
        <w:t>6</w:t>
      </w:r>
      <w:r>
        <w:fldChar w:fldCharType="end"/>
      </w:r>
      <w:r>
        <w:fldChar w:fldCharType="end"/>
      </w:r>
    </w:p>
    <w:p w14:paraId="25A7CD62">
      <w:pPr>
        <w:pStyle w:val="19"/>
        <w:tabs>
          <w:tab w:val="right" w:leader="dot" w:pos="9786"/>
          <w:tab w:val="clear" w:pos="1260"/>
          <w:tab w:val="clear" w:pos="8630"/>
        </w:tabs>
      </w:pPr>
      <w:r>
        <w:fldChar w:fldCharType="begin"/>
      </w:r>
      <w:r>
        <w:instrText xml:space="preserve"> HYPERLINK \l _Toc7529 </w:instrText>
      </w:r>
      <w:r>
        <w:fldChar w:fldCharType="separate"/>
      </w:r>
      <w:r>
        <w:rPr>
          <w:rFonts w:hint="eastAsia" w:ascii="仿宋_GB2312" w:hAnsi="仿宋_GB2312" w:eastAsia="仿宋_GB2312" w:cs="仿宋_GB2312"/>
          <w:i w:val="0"/>
          <w:caps w:val="0"/>
          <w:spacing w:val="0"/>
          <w:w w:val="100"/>
        </w:rPr>
        <w:t>20.投标文件符合性审查与澄清</w:t>
      </w:r>
      <w:r>
        <w:tab/>
      </w:r>
      <w:r>
        <w:fldChar w:fldCharType="begin"/>
      </w:r>
      <w:r>
        <w:instrText xml:space="preserve"> PAGEREF _Toc7529 \h </w:instrText>
      </w:r>
      <w:r>
        <w:fldChar w:fldCharType="separate"/>
      </w:r>
      <w:r>
        <w:t>7</w:t>
      </w:r>
      <w:r>
        <w:fldChar w:fldCharType="end"/>
      </w:r>
      <w:r>
        <w:fldChar w:fldCharType="end"/>
      </w:r>
    </w:p>
    <w:p w14:paraId="5508145F">
      <w:pPr>
        <w:pStyle w:val="19"/>
        <w:tabs>
          <w:tab w:val="right" w:leader="dot" w:pos="9786"/>
          <w:tab w:val="clear" w:pos="1260"/>
          <w:tab w:val="clear" w:pos="8630"/>
        </w:tabs>
      </w:pPr>
      <w:r>
        <w:fldChar w:fldCharType="begin"/>
      </w:r>
      <w:r>
        <w:instrText xml:space="preserve"> HYPERLINK \l _Toc8382 </w:instrText>
      </w:r>
      <w:r>
        <w:fldChar w:fldCharType="separate"/>
      </w:r>
      <w:r>
        <w:rPr>
          <w:rFonts w:hint="eastAsia" w:ascii="仿宋_GB2312" w:hAnsi="仿宋_GB2312" w:eastAsia="仿宋_GB2312" w:cs="仿宋_GB2312"/>
          <w:i w:val="0"/>
          <w:caps w:val="0"/>
          <w:spacing w:val="0"/>
          <w:w w:val="100"/>
        </w:rPr>
        <w:t>21.投标偏离</w:t>
      </w:r>
      <w:r>
        <w:tab/>
      </w:r>
      <w:r>
        <w:fldChar w:fldCharType="begin"/>
      </w:r>
      <w:r>
        <w:instrText xml:space="preserve"> PAGEREF _Toc8382 \h </w:instrText>
      </w:r>
      <w:r>
        <w:fldChar w:fldCharType="separate"/>
      </w:r>
      <w:r>
        <w:t>8</w:t>
      </w:r>
      <w:r>
        <w:fldChar w:fldCharType="end"/>
      </w:r>
      <w:r>
        <w:fldChar w:fldCharType="end"/>
      </w:r>
    </w:p>
    <w:p w14:paraId="43B6172B">
      <w:pPr>
        <w:pStyle w:val="19"/>
        <w:tabs>
          <w:tab w:val="right" w:leader="dot" w:pos="9786"/>
          <w:tab w:val="clear" w:pos="1260"/>
          <w:tab w:val="clear" w:pos="8630"/>
        </w:tabs>
      </w:pPr>
      <w:r>
        <w:fldChar w:fldCharType="begin"/>
      </w:r>
      <w:r>
        <w:instrText xml:space="preserve"> HYPERLINK \l _Toc26751 </w:instrText>
      </w:r>
      <w:r>
        <w:fldChar w:fldCharType="separate"/>
      </w:r>
      <w:r>
        <w:rPr>
          <w:rFonts w:hint="eastAsia" w:ascii="仿宋_GB2312" w:hAnsi="仿宋_GB2312" w:eastAsia="仿宋_GB2312" w:cs="仿宋_GB2312"/>
          <w:i w:val="0"/>
          <w:caps w:val="0"/>
          <w:spacing w:val="0"/>
          <w:w w:val="100"/>
        </w:rPr>
        <w:t>22.投标无效</w:t>
      </w:r>
      <w:r>
        <w:tab/>
      </w:r>
      <w:r>
        <w:fldChar w:fldCharType="begin"/>
      </w:r>
      <w:r>
        <w:instrText xml:space="preserve"> PAGEREF _Toc26751 \h </w:instrText>
      </w:r>
      <w:r>
        <w:fldChar w:fldCharType="separate"/>
      </w:r>
      <w:r>
        <w:t>8</w:t>
      </w:r>
      <w:r>
        <w:fldChar w:fldCharType="end"/>
      </w:r>
      <w:r>
        <w:fldChar w:fldCharType="end"/>
      </w:r>
    </w:p>
    <w:p w14:paraId="49CCB606">
      <w:pPr>
        <w:pStyle w:val="19"/>
        <w:tabs>
          <w:tab w:val="right" w:leader="dot" w:pos="9786"/>
          <w:tab w:val="clear" w:pos="1260"/>
          <w:tab w:val="clear" w:pos="8630"/>
        </w:tabs>
      </w:pPr>
      <w:r>
        <w:fldChar w:fldCharType="begin"/>
      </w:r>
      <w:r>
        <w:instrText xml:space="preserve"> HYPERLINK \l _Toc11181 </w:instrText>
      </w:r>
      <w:r>
        <w:fldChar w:fldCharType="separate"/>
      </w:r>
      <w:r>
        <w:rPr>
          <w:rFonts w:hint="eastAsia" w:ascii="仿宋_GB2312" w:hAnsi="仿宋_GB2312" w:eastAsia="仿宋_GB2312" w:cs="仿宋_GB2312"/>
          <w:i w:val="0"/>
          <w:caps w:val="0"/>
          <w:spacing w:val="0"/>
          <w:w w:val="100"/>
        </w:rPr>
        <w:t>2</w:t>
      </w:r>
      <w:r>
        <w:rPr>
          <w:rFonts w:hint="eastAsia" w:ascii="仿宋_GB2312" w:hAnsi="仿宋_GB2312" w:eastAsia="仿宋_GB2312" w:cs="仿宋_GB2312"/>
          <w:i w:val="0"/>
          <w:caps w:val="0"/>
          <w:spacing w:val="0"/>
          <w:w w:val="100"/>
          <w:lang w:val="en-US" w:eastAsia="zh-CN"/>
        </w:rPr>
        <w:t>3</w:t>
      </w:r>
      <w:r>
        <w:rPr>
          <w:rFonts w:hint="eastAsia" w:ascii="仿宋_GB2312" w:hAnsi="仿宋_GB2312" w:eastAsia="仿宋_GB2312" w:cs="仿宋_GB2312"/>
          <w:i w:val="0"/>
          <w:caps w:val="0"/>
          <w:spacing w:val="0"/>
          <w:w w:val="100"/>
        </w:rPr>
        <w:t>.废标</w:t>
      </w:r>
      <w:r>
        <w:tab/>
      </w:r>
      <w:r>
        <w:fldChar w:fldCharType="begin"/>
      </w:r>
      <w:r>
        <w:instrText xml:space="preserve"> PAGEREF _Toc11181 \h </w:instrText>
      </w:r>
      <w:r>
        <w:fldChar w:fldCharType="separate"/>
      </w:r>
      <w:r>
        <w:t>8</w:t>
      </w:r>
      <w:r>
        <w:fldChar w:fldCharType="end"/>
      </w:r>
      <w:r>
        <w:fldChar w:fldCharType="end"/>
      </w:r>
    </w:p>
    <w:p w14:paraId="44099277">
      <w:pPr>
        <w:pStyle w:val="19"/>
        <w:tabs>
          <w:tab w:val="right" w:leader="dot" w:pos="9786"/>
          <w:tab w:val="clear" w:pos="1260"/>
          <w:tab w:val="clear" w:pos="8630"/>
        </w:tabs>
      </w:pPr>
      <w:r>
        <w:fldChar w:fldCharType="begin"/>
      </w:r>
      <w:r>
        <w:instrText xml:space="preserve"> HYPERLINK \l _Toc9156 </w:instrText>
      </w:r>
      <w:r>
        <w:fldChar w:fldCharType="separate"/>
      </w:r>
      <w:r>
        <w:rPr>
          <w:rFonts w:hint="eastAsia" w:ascii="仿宋_GB2312" w:hAnsi="仿宋_GB2312" w:eastAsia="仿宋_GB2312" w:cs="仿宋_GB2312"/>
          <w:i w:val="0"/>
          <w:caps w:val="0"/>
          <w:spacing w:val="0"/>
          <w:w w:val="100"/>
        </w:rPr>
        <w:t>2</w:t>
      </w:r>
      <w:r>
        <w:rPr>
          <w:rFonts w:hint="eastAsia" w:ascii="仿宋_GB2312" w:hAnsi="仿宋_GB2312" w:eastAsia="仿宋_GB2312" w:cs="仿宋_GB2312"/>
          <w:i w:val="0"/>
          <w:caps w:val="0"/>
          <w:spacing w:val="0"/>
          <w:w w:val="100"/>
          <w:lang w:val="en-US" w:eastAsia="zh-CN"/>
        </w:rPr>
        <w:t>4</w:t>
      </w:r>
      <w:r>
        <w:rPr>
          <w:rFonts w:hint="eastAsia" w:ascii="仿宋_GB2312" w:hAnsi="仿宋_GB2312" w:eastAsia="仿宋_GB2312" w:cs="仿宋_GB2312"/>
          <w:i w:val="0"/>
          <w:caps w:val="0"/>
          <w:spacing w:val="0"/>
          <w:w w:val="100"/>
        </w:rPr>
        <w:t>.比较与评价</w:t>
      </w:r>
      <w:r>
        <w:tab/>
      </w:r>
      <w:r>
        <w:fldChar w:fldCharType="begin"/>
      </w:r>
      <w:r>
        <w:instrText xml:space="preserve"> PAGEREF _Toc9156 \h </w:instrText>
      </w:r>
      <w:r>
        <w:fldChar w:fldCharType="separate"/>
      </w:r>
      <w:r>
        <w:t>8</w:t>
      </w:r>
      <w:r>
        <w:fldChar w:fldCharType="end"/>
      </w:r>
      <w:r>
        <w:fldChar w:fldCharType="end"/>
      </w:r>
    </w:p>
    <w:p w14:paraId="13615716">
      <w:pPr>
        <w:pStyle w:val="19"/>
        <w:tabs>
          <w:tab w:val="right" w:leader="dot" w:pos="9786"/>
          <w:tab w:val="clear" w:pos="1260"/>
          <w:tab w:val="clear" w:pos="8630"/>
        </w:tabs>
      </w:pPr>
      <w:r>
        <w:fldChar w:fldCharType="begin"/>
      </w:r>
      <w:r>
        <w:instrText xml:space="preserve"> HYPERLINK \l _Toc969 </w:instrText>
      </w:r>
      <w:r>
        <w:fldChar w:fldCharType="separate"/>
      </w:r>
      <w:r>
        <w:rPr>
          <w:rFonts w:hint="eastAsia" w:ascii="仿宋_GB2312" w:hAnsi="仿宋_GB2312" w:eastAsia="仿宋_GB2312" w:cs="仿宋_GB2312"/>
          <w:i w:val="0"/>
          <w:caps w:val="0"/>
          <w:spacing w:val="0"/>
          <w:w w:val="100"/>
        </w:rPr>
        <w:t>25.保密原则</w:t>
      </w:r>
      <w:r>
        <w:tab/>
      </w:r>
      <w:r>
        <w:fldChar w:fldCharType="begin"/>
      </w:r>
      <w:r>
        <w:instrText xml:space="preserve"> PAGEREF _Toc969 \h </w:instrText>
      </w:r>
      <w:r>
        <w:fldChar w:fldCharType="separate"/>
      </w:r>
      <w:r>
        <w:t>9</w:t>
      </w:r>
      <w:r>
        <w:fldChar w:fldCharType="end"/>
      </w:r>
      <w:r>
        <w:fldChar w:fldCharType="end"/>
      </w:r>
    </w:p>
    <w:p w14:paraId="5670A73C">
      <w:pPr>
        <w:pStyle w:val="30"/>
        <w:tabs>
          <w:tab w:val="right" w:leader="dot" w:pos="9786"/>
        </w:tabs>
      </w:pPr>
      <w:r>
        <w:fldChar w:fldCharType="begin"/>
      </w:r>
      <w:r>
        <w:instrText xml:space="preserve"> HYPERLINK \l _Toc9033 </w:instrText>
      </w:r>
      <w:r>
        <w:fldChar w:fldCharType="separate"/>
      </w:r>
      <w:r>
        <w:rPr>
          <w:rFonts w:hint="eastAsia" w:ascii="仿宋_GB2312" w:hAnsi="仿宋_GB2312" w:eastAsia="仿宋_GB2312" w:cs="仿宋_GB2312"/>
          <w:i w:val="0"/>
          <w:caps w:val="0"/>
          <w:spacing w:val="0"/>
          <w:w w:val="100"/>
        </w:rPr>
        <w:t>六   确定中标</w:t>
      </w:r>
      <w:r>
        <w:tab/>
      </w:r>
      <w:r>
        <w:fldChar w:fldCharType="begin"/>
      </w:r>
      <w:r>
        <w:instrText xml:space="preserve"> PAGEREF _Toc9033 \h </w:instrText>
      </w:r>
      <w:r>
        <w:fldChar w:fldCharType="separate"/>
      </w:r>
      <w:r>
        <w:t>9</w:t>
      </w:r>
      <w:r>
        <w:fldChar w:fldCharType="end"/>
      </w:r>
      <w:r>
        <w:fldChar w:fldCharType="end"/>
      </w:r>
    </w:p>
    <w:p w14:paraId="4560CCE9">
      <w:pPr>
        <w:pStyle w:val="19"/>
        <w:tabs>
          <w:tab w:val="right" w:leader="dot" w:pos="9786"/>
          <w:tab w:val="clear" w:pos="1260"/>
          <w:tab w:val="clear" w:pos="8630"/>
        </w:tabs>
      </w:pPr>
      <w:r>
        <w:fldChar w:fldCharType="begin"/>
      </w:r>
      <w:r>
        <w:instrText xml:space="preserve"> HYPERLINK \l _Toc31953 </w:instrText>
      </w:r>
      <w:r>
        <w:fldChar w:fldCharType="separate"/>
      </w:r>
      <w:r>
        <w:rPr>
          <w:rFonts w:hint="eastAsia" w:ascii="仿宋_GB2312" w:hAnsi="仿宋_GB2312" w:eastAsia="仿宋_GB2312" w:cs="仿宋_GB2312"/>
          <w:i w:val="0"/>
          <w:caps w:val="0"/>
          <w:spacing w:val="0"/>
          <w:w w:val="100"/>
        </w:rPr>
        <w:t>26.中标候选人的确定原则及标准</w:t>
      </w:r>
      <w:r>
        <w:tab/>
      </w:r>
      <w:r>
        <w:fldChar w:fldCharType="begin"/>
      </w:r>
      <w:r>
        <w:instrText xml:space="preserve"> PAGEREF _Toc31953 \h </w:instrText>
      </w:r>
      <w:r>
        <w:fldChar w:fldCharType="separate"/>
      </w:r>
      <w:r>
        <w:t>9</w:t>
      </w:r>
      <w:r>
        <w:fldChar w:fldCharType="end"/>
      </w:r>
      <w:r>
        <w:fldChar w:fldCharType="end"/>
      </w:r>
    </w:p>
    <w:p w14:paraId="5A5CCF6E">
      <w:pPr>
        <w:pStyle w:val="19"/>
        <w:tabs>
          <w:tab w:val="right" w:leader="dot" w:pos="9786"/>
          <w:tab w:val="clear" w:pos="1260"/>
          <w:tab w:val="clear" w:pos="8630"/>
        </w:tabs>
      </w:pPr>
      <w:r>
        <w:fldChar w:fldCharType="begin"/>
      </w:r>
      <w:r>
        <w:instrText xml:space="preserve"> HYPERLINK \l _Toc9238 </w:instrText>
      </w:r>
      <w:r>
        <w:fldChar w:fldCharType="separate"/>
      </w:r>
      <w:r>
        <w:rPr>
          <w:rFonts w:hint="eastAsia" w:ascii="仿宋_GB2312" w:hAnsi="仿宋_GB2312" w:eastAsia="仿宋_GB2312" w:cs="仿宋_GB2312"/>
          <w:i w:val="0"/>
          <w:caps w:val="0"/>
          <w:spacing w:val="0"/>
          <w:w w:val="100"/>
        </w:rPr>
        <w:t>27.确定中标候选人和中标人</w:t>
      </w:r>
      <w:r>
        <w:tab/>
      </w:r>
      <w:r>
        <w:fldChar w:fldCharType="begin"/>
      </w:r>
      <w:r>
        <w:instrText xml:space="preserve"> PAGEREF _Toc9238 \h </w:instrText>
      </w:r>
      <w:r>
        <w:fldChar w:fldCharType="separate"/>
      </w:r>
      <w:r>
        <w:t>9</w:t>
      </w:r>
      <w:r>
        <w:fldChar w:fldCharType="end"/>
      </w:r>
      <w:r>
        <w:fldChar w:fldCharType="end"/>
      </w:r>
    </w:p>
    <w:p w14:paraId="5F5E54F3">
      <w:pPr>
        <w:pStyle w:val="19"/>
        <w:tabs>
          <w:tab w:val="right" w:leader="dot" w:pos="9786"/>
          <w:tab w:val="clear" w:pos="1260"/>
          <w:tab w:val="clear" w:pos="8630"/>
        </w:tabs>
      </w:pPr>
      <w:r>
        <w:fldChar w:fldCharType="begin"/>
      </w:r>
      <w:r>
        <w:instrText xml:space="preserve"> HYPERLINK \l _Toc16093 </w:instrText>
      </w:r>
      <w:r>
        <w:fldChar w:fldCharType="separate"/>
      </w:r>
      <w:r>
        <w:rPr>
          <w:rFonts w:hint="eastAsia" w:ascii="仿宋_GB2312" w:hAnsi="仿宋_GB2312" w:eastAsia="仿宋_GB2312" w:cs="仿宋_GB2312"/>
          <w:i w:val="0"/>
          <w:caps w:val="0"/>
          <w:spacing w:val="0"/>
          <w:w w:val="100"/>
        </w:rPr>
        <w:t>28.采购任务取消</w:t>
      </w:r>
      <w:r>
        <w:tab/>
      </w:r>
      <w:r>
        <w:fldChar w:fldCharType="begin"/>
      </w:r>
      <w:r>
        <w:instrText xml:space="preserve"> PAGEREF _Toc16093 \h </w:instrText>
      </w:r>
      <w:r>
        <w:fldChar w:fldCharType="separate"/>
      </w:r>
      <w:r>
        <w:t>9</w:t>
      </w:r>
      <w:r>
        <w:fldChar w:fldCharType="end"/>
      </w:r>
      <w:r>
        <w:fldChar w:fldCharType="end"/>
      </w:r>
    </w:p>
    <w:p w14:paraId="5A484CDE">
      <w:pPr>
        <w:pStyle w:val="19"/>
        <w:tabs>
          <w:tab w:val="right" w:leader="dot" w:pos="9786"/>
          <w:tab w:val="clear" w:pos="1260"/>
          <w:tab w:val="clear" w:pos="8630"/>
        </w:tabs>
      </w:pPr>
      <w:r>
        <w:fldChar w:fldCharType="begin"/>
      </w:r>
      <w:r>
        <w:instrText xml:space="preserve"> HYPERLINK \l _Toc30768 </w:instrText>
      </w:r>
      <w:r>
        <w:fldChar w:fldCharType="separate"/>
      </w:r>
      <w:r>
        <w:rPr>
          <w:rFonts w:hint="eastAsia" w:ascii="仿宋_GB2312" w:hAnsi="仿宋_GB2312" w:eastAsia="仿宋_GB2312" w:cs="仿宋_GB2312"/>
          <w:i w:val="0"/>
          <w:caps w:val="0"/>
          <w:spacing w:val="0"/>
          <w:w w:val="100"/>
        </w:rPr>
        <w:t>29.中标通知书</w:t>
      </w:r>
      <w:r>
        <w:tab/>
      </w:r>
      <w:r>
        <w:fldChar w:fldCharType="begin"/>
      </w:r>
      <w:r>
        <w:instrText xml:space="preserve"> PAGEREF _Toc30768 \h </w:instrText>
      </w:r>
      <w:r>
        <w:fldChar w:fldCharType="separate"/>
      </w:r>
      <w:r>
        <w:t>9</w:t>
      </w:r>
      <w:r>
        <w:fldChar w:fldCharType="end"/>
      </w:r>
      <w:r>
        <w:fldChar w:fldCharType="end"/>
      </w:r>
    </w:p>
    <w:p w14:paraId="30D75D66">
      <w:pPr>
        <w:pStyle w:val="19"/>
        <w:tabs>
          <w:tab w:val="right" w:leader="dot" w:pos="9786"/>
          <w:tab w:val="clear" w:pos="1260"/>
          <w:tab w:val="clear" w:pos="8630"/>
        </w:tabs>
      </w:pPr>
      <w:r>
        <w:fldChar w:fldCharType="begin"/>
      </w:r>
      <w:r>
        <w:instrText xml:space="preserve"> HYPERLINK \l _Toc15601 </w:instrText>
      </w:r>
      <w:r>
        <w:fldChar w:fldCharType="separate"/>
      </w:r>
      <w:r>
        <w:rPr>
          <w:rFonts w:hint="eastAsia" w:ascii="仿宋_GB2312" w:hAnsi="仿宋_GB2312" w:eastAsia="仿宋_GB2312" w:cs="仿宋_GB2312"/>
          <w:i w:val="0"/>
          <w:caps w:val="0"/>
          <w:spacing w:val="0"/>
          <w:w w:val="100"/>
        </w:rPr>
        <w:t>30.签订合同</w:t>
      </w:r>
      <w:r>
        <w:tab/>
      </w:r>
      <w:r>
        <w:fldChar w:fldCharType="begin"/>
      </w:r>
      <w:r>
        <w:instrText xml:space="preserve"> PAGEREF _Toc15601 \h </w:instrText>
      </w:r>
      <w:r>
        <w:fldChar w:fldCharType="separate"/>
      </w:r>
      <w:r>
        <w:t>10</w:t>
      </w:r>
      <w:r>
        <w:fldChar w:fldCharType="end"/>
      </w:r>
      <w:r>
        <w:fldChar w:fldCharType="end"/>
      </w:r>
    </w:p>
    <w:p w14:paraId="0A78DD32">
      <w:pPr>
        <w:pStyle w:val="19"/>
        <w:tabs>
          <w:tab w:val="right" w:leader="dot" w:pos="9786"/>
          <w:tab w:val="clear" w:pos="1260"/>
          <w:tab w:val="clear" w:pos="8630"/>
        </w:tabs>
      </w:pPr>
      <w:r>
        <w:fldChar w:fldCharType="begin"/>
      </w:r>
      <w:r>
        <w:instrText xml:space="preserve"> HYPERLINK \l _Toc13170 </w:instrText>
      </w:r>
      <w:r>
        <w:fldChar w:fldCharType="separate"/>
      </w:r>
      <w:r>
        <w:rPr>
          <w:rFonts w:hint="eastAsia" w:ascii="仿宋_GB2312" w:hAnsi="仿宋_GB2312" w:eastAsia="仿宋_GB2312" w:cs="仿宋_GB2312"/>
          <w:i w:val="0"/>
          <w:caps w:val="0"/>
          <w:spacing w:val="0"/>
          <w:w w:val="100"/>
        </w:rPr>
        <w:t>31.履约保证金</w:t>
      </w:r>
      <w:r>
        <w:tab/>
      </w:r>
      <w:r>
        <w:fldChar w:fldCharType="begin"/>
      </w:r>
      <w:r>
        <w:instrText xml:space="preserve"> PAGEREF _Toc13170 \h </w:instrText>
      </w:r>
      <w:r>
        <w:fldChar w:fldCharType="separate"/>
      </w:r>
      <w:r>
        <w:t>10</w:t>
      </w:r>
      <w:r>
        <w:fldChar w:fldCharType="end"/>
      </w:r>
      <w:r>
        <w:fldChar w:fldCharType="end"/>
      </w:r>
    </w:p>
    <w:p w14:paraId="4204E222">
      <w:pPr>
        <w:pStyle w:val="19"/>
        <w:tabs>
          <w:tab w:val="right" w:leader="dot" w:pos="9786"/>
          <w:tab w:val="clear" w:pos="1260"/>
          <w:tab w:val="clear" w:pos="8630"/>
        </w:tabs>
      </w:pPr>
      <w:r>
        <w:fldChar w:fldCharType="begin"/>
      </w:r>
      <w:r>
        <w:instrText xml:space="preserve"> HYPERLINK \l _Toc26754 </w:instrText>
      </w:r>
      <w:r>
        <w:fldChar w:fldCharType="separate"/>
      </w:r>
      <w:r>
        <w:rPr>
          <w:rFonts w:hint="eastAsia" w:ascii="仿宋_GB2312" w:hAnsi="仿宋_GB2312" w:eastAsia="仿宋_GB2312" w:cs="仿宋_GB2312"/>
          <w:i w:val="0"/>
          <w:caps w:val="0"/>
          <w:spacing w:val="0"/>
          <w:w w:val="100"/>
        </w:rPr>
        <w:t>32.中标服务费</w:t>
      </w:r>
      <w:r>
        <w:tab/>
      </w:r>
      <w:r>
        <w:fldChar w:fldCharType="begin"/>
      </w:r>
      <w:r>
        <w:instrText xml:space="preserve"> PAGEREF _Toc26754 \h </w:instrText>
      </w:r>
      <w:r>
        <w:fldChar w:fldCharType="separate"/>
      </w:r>
      <w:r>
        <w:t>10</w:t>
      </w:r>
      <w:r>
        <w:fldChar w:fldCharType="end"/>
      </w:r>
      <w:r>
        <w:fldChar w:fldCharType="end"/>
      </w:r>
    </w:p>
    <w:p w14:paraId="5B9046CB">
      <w:pPr>
        <w:pStyle w:val="19"/>
        <w:tabs>
          <w:tab w:val="right" w:leader="dot" w:pos="9786"/>
          <w:tab w:val="clear" w:pos="1260"/>
          <w:tab w:val="clear" w:pos="8630"/>
        </w:tabs>
      </w:pPr>
      <w:r>
        <w:fldChar w:fldCharType="begin"/>
      </w:r>
      <w:r>
        <w:instrText xml:space="preserve"> HYPERLINK \l _Toc8887 </w:instrText>
      </w:r>
      <w:r>
        <w:fldChar w:fldCharType="separate"/>
      </w:r>
      <w:r>
        <w:rPr>
          <w:rFonts w:hint="eastAsia" w:ascii="仿宋_GB2312" w:hAnsi="仿宋_GB2312" w:eastAsia="仿宋_GB2312" w:cs="仿宋_GB2312"/>
          <w:i w:val="0"/>
          <w:caps w:val="0"/>
          <w:spacing w:val="0"/>
          <w:w w:val="100"/>
        </w:rPr>
        <w:t>33.政府采购信用担保</w:t>
      </w:r>
      <w:r>
        <w:tab/>
      </w:r>
      <w:r>
        <w:fldChar w:fldCharType="begin"/>
      </w:r>
      <w:r>
        <w:instrText xml:space="preserve"> PAGEREF _Toc8887 \h </w:instrText>
      </w:r>
      <w:r>
        <w:fldChar w:fldCharType="separate"/>
      </w:r>
      <w:r>
        <w:t>10</w:t>
      </w:r>
      <w:r>
        <w:fldChar w:fldCharType="end"/>
      </w:r>
      <w:r>
        <w:fldChar w:fldCharType="end"/>
      </w:r>
    </w:p>
    <w:p w14:paraId="72C67DEB">
      <w:pPr>
        <w:pStyle w:val="19"/>
        <w:tabs>
          <w:tab w:val="right" w:leader="dot" w:pos="9786"/>
          <w:tab w:val="clear" w:pos="1260"/>
          <w:tab w:val="clear" w:pos="8630"/>
        </w:tabs>
      </w:pPr>
      <w:r>
        <w:fldChar w:fldCharType="begin"/>
      </w:r>
      <w:r>
        <w:instrText xml:space="preserve"> HYPERLINK \l _Toc15920 </w:instrText>
      </w:r>
      <w:r>
        <w:fldChar w:fldCharType="separate"/>
      </w:r>
      <w:r>
        <w:rPr>
          <w:rFonts w:hint="eastAsia" w:ascii="仿宋_GB2312" w:hAnsi="仿宋_GB2312" w:eastAsia="仿宋_GB2312" w:cs="仿宋_GB2312"/>
          <w:i w:val="0"/>
          <w:caps w:val="0"/>
          <w:spacing w:val="0"/>
          <w:w w:val="100"/>
        </w:rPr>
        <w:t>34.廉洁自律规定</w:t>
      </w:r>
      <w:r>
        <w:tab/>
      </w:r>
      <w:r>
        <w:fldChar w:fldCharType="begin"/>
      </w:r>
      <w:r>
        <w:instrText xml:space="preserve"> PAGEREF _Toc15920 \h </w:instrText>
      </w:r>
      <w:r>
        <w:fldChar w:fldCharType="separate"/>
      </w:r>
      <w:r>
        <w:t>10</w:t>
      </w:r>
      <w:r>
        <w:fldChar w:fldCharType="end"/>
      </w:r>
      <w:r>
        <w:fldChar w:fldCharType="end"/>
      </w:r>
    </w:p>
    <w:p w14:paraId="58EAF9BD">
      <w:pPr>
        <w:pStyle w:val="19"/>
        <w:tabs>
          <w:tab w:val="right" w:leader="dot" w:pos="9786"/>
          <w:tab w:val="clear" w:pos="1260"/>
          <w:tab w:val="clear" w:pos="8630"/>
        </w:tabs>
      </w:pPr>
      <w:r>
        <w:fldChar w:fldCharType="begin"/>
      </w:r>
      <w:r>
        <w:instrText xml:space="preserve"> HYPERLINK \l _Toc1962 </w:instrText>
      </w:r>
      <w:r>
        <w:fldChar w:fldCharType="separate"/>
      </w:r>
      <w:r>
        <w:rPr>
          <w:rFonts w:hint="eastAsia" w:ascii="仿宋_GB2312" w:hAnsi="仿宋_GB2312" w:eastAsia="仿宋_GB2312" w:cs="仿宋_GB2312"/>
          <w:i w:val="0"/>
          <w:caps w:val="0"/>
          <w:spacing w:val="0"/>
          <w:w w:val="100"/>
        </w:rPr>
        <w:t>35.人员回避</w:t>
      </w:r>
      <w:r>
        <w:tab/>
      </w:r>
      <w:r>
        <w:fldChar w:fldCharType="begin"/>
      </w:r>
      <w:r>
        <w:instrText xml:space="preserve"> PAGEREF _Toc1962 \h </w:instrText>
      </w:r>
      <w:r>
        <w:fldChar w:fldCharType="separate"/>
      </w:r>
      <w:r>
        <w:t>10</w:t>
      </w:r>
      <w:r>
        <w:fldChar w:fldCharType="end"/>
      </w:r>
      <w:r>
        <w:fldChar w:fldCharType="end"/>
      </w:r>
    </w:p>
    <w:p w14:paraId="0E8CA89A">
      <w:pPr>
        <w:pStyle w:val="19"/>
        <w:tabs>
          <w:tab w:val="right" w:leader="dot" w:pos="9786"/>
          <w:tab w:val="clear" w:pos="1260"/>
          <w:tab w:val="clear" w:pos="8630"/>
        </w:tabs>
      </w:pPr>
      <w:r>
        <w:fldChar w:fldCharType="begin"/>
      </w:r>
      <w:r>
        <w:instrText xml:space="preserve"> HYPERLINK \l _Toc10491 </w:instrText>
      </w:r>
      <w:r>
        <w:fldChar w:fldCharType="separate"/>
      </w:r>
      <w:r>
        <w:rPr>
          <w:rFonts w:hint="eastAsia" w:ascii="仿宋_GB2312" w:hAnsi="仿宋_GB2312" w:eastAsia="仿宋_GB2312" w:cs="仿宋_GB2312"/>
          <w:kern w:val="0"/>
          <w:szCs w:val="24"/>
          <w:lang w:val="en-US" w:eastAsia="zh-CN" w:bidi="ar-SA"/>
        </w:rPr>
        <w:t>36.质疑与接收</w:t>
      </w:r>
      <w:r>
        <w:tab/>
      </w:r>
      <w:r>
        <w:fldChar w:fldCharType="begin"/>
      </w:r>
      <w:r>
        <w:instrText xml:space="preserve"> PAGEREF _Toc10491 \h </w:instrText>
      </w:r>
      <w:r>
        <w:fldChar w:fldCharType="separate"/>
      </w:r>
      <w:r>
        <w:t>10</w:t>
      </w:r>
      <w:r>
        <w:fldChar w:fldCharType="end"/>
      </w:r>
      <w:r>
        <w:fldChar w:fldCharType="end"/>
      </w:r>
    </w:p>
    <w:p w14:paraId="3DCFAEA5">
      <w:pPr>
        <w:pStyle w:val="26"/>
        <w:tabs>
          <w:tab w:val="right" w:leader="dot" w:pos="9786"/>
        </w:tabs>
      </w:pPr>
      <w:r>
        <w:fldChar w:fldCharType="begin"/>
      </w:r>
      <w:r>
        <w:instrText xml:space="preserve"> HYPERLINK \l _Toc6011 </w:instrText>
      </w:r>
      <w:r>
        <w:fldChar w:fldCharType="separate"/>
      </w:r>
      <w:r>
        <w:rPr>
          <w:rFonts w:hint="eastAsia" w:ascii="仿宋_GB2312" w:hAnsi="仿宋_GB2312" w:eastAsia="仿宋_GB2312" w:cs="仿宋_GB2312"/>
          <w:i w:val="0"/>
          <w:caps w:val="0"/>
          <w:spacing w:val="0"/>
          <w:w w:val="100"/>
          <w:kern w:val="0"/>
          <w:szCs w:val="44"/>
        </w:rPr>
        <w:t>第二章</w:t>
      </w:r>
      <w:r>
        <w:rPr>
          <w:rFonts w:hint="eastAsia" w:ascii="仿宋_GB2312" w:hAnsi="仿宋_GB2312" w:eastAsia="仿宋_GB2312" w:cs="仿宋_GB2312"/>
          <w:i w:val="0"/>
          <w:caps w:val="0"/>
          <w:spacing w:val="0"/>
          <w:w w:val="100"/>
          <w:szCs w:val="44"/>
        </w:rPr>
        <w:t xml:space="preserve">  投标文件格式</w:t>
      </w:r>
      <w:r>
        <w:tab/>
      </w:r>
      <w:r>
        <w:fldChar w:fldCharType="begin"/>
      </w:r>
      <w:r>
        <w:instrText xml:space="preserve"> PAGEREF _Toc6011 \h </w:instrText>
      </w:r>
      <w:r>
        <w:fldChar w:fldCharType="separate"/>
      </w:r>
      <w:r>
        <w:t>17</w:t>
      </w:r>
      <w:r>
        <w:fldChar w:fldCharType="end"/>
      </w:r>
      <w:r>
        <w:fldChar w:fldCharType="end"/>
      </w:r>
    </w:p>
    <w:p w14:paraId="7FBB6F8D">
      <w:pPr>
        <w:pStyle w:val="30"/>
        <w:tabs>
          <w:tab w:val="right" w:leader="dot" w:pos="9786"/>
        </w:tabs>
      </w:pPr>
      <w:r>
        <w:fldChar w:fldCharType="begin"/>
      </w:r>
      <w:r>
        <w:instrText xml:space="preserve"> HYPERLINK \l _Toc12690 </w:instrText>
      </w:r>
      <w:r>
        <w:fldChar w:fldCharType="separate"/>
      </w:r>
      <w:r>
        <w:rPr>
          <w:rFonts w:ascii="仿宋_GB2312" w:hAnsi="宋体" w:eastAsia="仿宋_GB2312"/>
          <w:i w:val="0"/>
          <w:caps w:val="0"/>
          <w:spacing w:val="0"/>
          <w:w w:val="100"/>
        </w:rPr>
        <w:t>第一部分</w:t>
      </w:r>
      <w:r>
        <w:rPr>
          <w:rFonts w:hint="eastAsia" w:ascii="仿宋_GB2312" w:hAnsi="宋体" w:eastAsia="仿宋_GB2312"/>
          <w:i w:val="0"/>
          <w:caps w:val="0"/>
          <w:spacing w:val="0"/>
          <w:w w:val="100"/>
        </w:rPr>
        <w:t xml:space="preserve"> 开标一览表及资格证明文件</w:t>
      </w:r>
      <w:r>
        <w:tab/>
      </w:r>
      <w:r>
        <w:fldChar w:fldCharType="begin"/>
      </w:r>
      <w:r>
        <w:instrText xml:space="preserve"> PAGEREF _Toc12690 \h </w:instrText>
      </w:r>
      <w:r>
        <w:fldChar w:fldCharType="separate"/>
      </w:r>
      <w:r>
        <w:t>17</w:t>
      </w:r>
      <w:r>
        <w:fldChar w:fldCharType="end"/>
      </w:r>
      <w:r>
        <w:fldChar w:fldCharType="end"/>
      </w:r>
    </w:p>
    <w:p w14:paraId="223AE7FB">
      <w:pPr>
        <w:pStyle w:val="19"/>
        <w:tabs>
          <w:tab w:val="right" w:leader="dot" w:pos="9786"/>
          <w:tab w:val="clear" w:pos="1260"/>
          <w:tab w:val="clear" w:pos="8630"/>
        </w:tabs>
      </w:pPr>
      <w:r>
        <w:fldChar w:fldCharType="begin"/>
      </w:r>
      <w:r>
        <w:instrText xml:space="preserve"> HYPERLINK \l _Toc23476 </w:instrText>
      </w:r>
      <w:r>
        <w:fldChar w:fldCharType="separate"/>
      </w:r>
      <w:r>
        <w:rPr>
          <w:rFonts w:hint="eastAsia" w:ascii="仿宋_GB2312" w:hAnsi="仿宋_GB2312" w:eastAsia="仿宋_GB2312" w:cs="仿宋_GB2312"/>
          <w:i w:val="0"/>
          <w:caps w:val="0"/>
          <w:spacing w:val="0"/>
          <w:w w:val="100"/>
        </w:rPr>
        <w:t>1  开标一览表</w:t>
      </w:r>
      <w:r>
        <w:tab/>
      </w:r>
      <w:r>
        <w:fldChar w:fldCharType="begin"/>
      </w:r>
      <w:r>
        <w:instrText xml:space="preserve"> PAGEREF _Toc23476 \h </w:instrText>
      </w:r>
      <w:r>
        <w:fldChar w:fldCharType="separate"/>
      </w:r>
      <w:r>
        <w:t>18</w:t>
      </w:r>
      <w:r>
        <w:fldChar w:fldCharType="end"/>
      </w:r>
      <w:r>
        <w:fldChar w:fldCharType="end"/>
      </w:r>
    </w:p>
    <w:p w14:paraId="3E0ECBB0">
      <w:pPr>
        <w:pStyle w:val="19"/>
        <w:tabs>
          <w:tab w:val="right" w:leader="dot" w:pos="9786"/>
          <w:tab w:val="clear" w:pos="1260"/>
          <w:tab w:val="clear" w:pos="8630"/>
        </w:tabs>
      </w:pPr>
      <w:r>
        <w:fldChar w:fldCharType="begin"/>
      </w:r>
      <w:r>
        <w:instrText xml:space="preserve"> HYPERLINK \l _Toc14475 </w:instrText>
      </w:r>
      <w:r>
        <w:fldChar w:fldCharType="separate"/>
      </w:r>
      <w:r>
        <w:rPr>
          <w:rFonts w:hint="eastAsia" w:ascii="仿宋_GB2312" w:hAnsi="仿宋_GB2312" w:eastAsia="仿宋_GB2312" w:cs="仿宋_GB2312"/>
          <w:i w:val="0"/>
          <w:caps w:val="0"/>
          <w:spacing w:val="0"/>
          <w:w w:val="100"/>
          <w:kern w:val="0"/>
          <w:szCs w:val="20"/>
          <w:lang w:val="en-US" w:eastAsia="zh-CN" w:bidi="ar-SA"/>
        </w:rPr>
        <w:t>2  法人或者非法人组织的营业执照等证明文件</w:t>
      </w:r>
      <w:r>
        <w:tab/>
      </w:r>
      <w:r>
        <w:fldChar w:fldCharType="begin"/>
      </w:r>
      <w:r>
        <w:instrText xml:space="preserve"> PAGEREF _Toc14475 \h </w:instrText>
      </w:r>
      <w:r>
        <w:fldChar w:fldCharType="separate"/>
      </w:r>
      <w:r>
        <w:t>19</w:t>
      </w:r>
      <w:r>
        <w:fldChar w:fldCharType="end"/>
      </w:r>
      <w:r>
        <w:fldChar w:fldCharType="end"/>
      </w:r>
    </w:p>
    <w:p w14:paraId="56E0AC11">
      <w:pPr>
        <w:pStyle w:val="19"/>
        <w:tabs>
          <w:tab w:val="right" w:leader="dot" w:pos="9786"/>
          <w:tab w:val="clear" w:pos="1260"/>
          <w:tab w:val="clear" w:pos="8630"/>
        </w:tabs>
      </w:pPr>
      <w:r>
        <w:fldChar w:fldCharType="begin"/>
      </w:r>
      <w:r>
        <w:instrText xml:space="preserve"> HYPERLINK \l _Toc767 </w:instrText>
      </w:r>
      <w:r>
        <w:fldChar w:fldCharType="separate"/>
      </w:r>
      <w:r>
        <w:rPr>
          <w:rFonts w:hint="eastAsia" w:ascii="仿宋_GB2312" w:hAnsi="仿宋_GB2312" w:eastAsia="仿宋_GB2312" w:cs="仿宋_GB2312"/>
          <w:i w:val="0"/>
          <w:caps w:val="0"/>
          <w:spacing w:val="0"/>
          <w:w w:val="100"/>
        </w:rPr>
        <w:t>3  法定代表人身份证明</w:t>
      </w:r>
      <w:r>
        <w:tab/>
      </w:r>
      <w:r>
        <w:fldChar w:fldCharType="begin"/>
      </w:r>
      <w:r>
        <w:instrText xml:space="preserve"> PAGEREF _Toc767 \h </w:instrText>
      </w:r>
      <w:r>
        <w:fldChar w:fldCharType="separate"/>
      </w:r>
      <w:r>
        <w:t>19</w:t>
      </w:r>
      <w:r>
        <w:fldChar w:fldCharType="end"/>
      </w:r>
      <w:r>
        <w:fldChar w:fldCharType="end"/>
      </w:r>
    </w:p>
    <w:p w14:paraId="5F96E92F">
      <w:pPr>
        <w:pStyle w:val="19"/>
        <w:tabs>
          <w:tab w:val="right" w:leader="dot" w:pos="9786"/>
          <w:tab w:val="clear" w:pos="1260"/>
          <w:tab w:val="clear" w:pos="8630"/>
        </w:tabs>
      </w:pPr>
      <w:r>
        <w:fldChar w:fldCharType="begin"/>
      </w:r>
      <w:r>
        <w:instrText xml:space="preserve"> HYPERLINK \l _Toc26792 </w:instrText>
      </w:r>
      <w:r>
        <w:fldChar w:fldCharType="separate"/>
      </w:r>
      <w:r>
        <w:rPr>
          <w:rFonts w:hint="eastAsia" w:ascii="仿宋_GB2312" w:hAnsi="仿宋_GB2312" w:eastAsia="仿宋_GB2312" w:cs="仿宋_GB2312"/>
          <w:i w:val="0"/>
          <w:caps w:val="0"/>
          <w:spacing w:val="0"/>
          <w:w w:val="100"/>
        </w:rPr>
        <w:t>4  法定代表人授权委托书</w:t>
      </w:r>
      <w:r>
        <w:tab/>
      </w:r>
      <w:r>
        <w:fldChar w:fldCharType="begin"/>
      </w:r>
      <w:r>
        <w:instrText xml:space="preserve"> PAGEREF _Toc26792 \h </w:instrText>
      </w:r>
      <w:r>
        <w:fldChar w:fldCharType="separate"/>
      </w:r>
      <w:r>
        <w:t>20</w:t>
      </w:r>
      <w:r>
        <w:fldChar w:fldCharType="end"/>
      </w:r>
      <w:r>
        <w:fldChar w:fldCharType="end"/>
      </w:r>
    </w:p>
    <w:p w14:paraId="3995D2C0">
      <w:pPr>
        <w:pStyle w:val="19"/>
        <w:tabs>
          <w:tab w:val="right" w:leader="dot" w:pos="9786"/>
          <w:tab w:val="clear" w:pos="1260"/>
          <w:tab w:val="clear" w:pos="8630"/>
        </w:tabs>
      </w:pPr>
      <w:r>
        <w:fldChar w:fldCharType="begin"/>
      </w:r>
      <w:r>
        <w:instrText xml:space="preserve"> HYPERLINK \l _Toc28882 </w:instrText>
      </w:r>
      <w:r>
        <w:fldChar w:fldCharType="separate"/>
      </w:r>
      <w:r>
        <w:rPr>
          <w:rFonts w:hint="eastAsia" w:ascii="仿宋_GB2312" w:hAnsi="仿宋_GB2312" w:eastAsia="仿宋_GB2312" w:cs="仿宋_GB2312"/>
          <w:i w:val="0"/>
          <w:caps w:val="0"/>
          <w:spacing w:val="0"/>
          <w:w w:val="100"/>
          <w:kern w:val="0"/>
          <w:szCs w:val="20"/>
          <w:lang w:val="en-US" w:eastAsia="zh-CN" w:bidi="ar-SA"/>
        </w:rPr>
        <w:t>5  投标保证金缴纳凭证</w:t>
      </w:r>
      <w:r>
        <w:tab/>
      </w:r>
      <w:r>
        <w:fldChar w:fldCharType="begin"/>
      </w:r>
      <w:r>
        <w:instrText xml:space="preserve"> PAGEREF _Toc28882 \h </w:instrText>
      </w:r>
      <w:r>
        <w:fldChar w:fldCharType="separate"/>
      </w:r>
      <w:r>
        <w:t>21</w:t>
      </w:r>
      <w:r>
        <w:fldChar w:fldCharType="end"/>
      </w:r>
      <w:r>
        <w:fldChar w:fldCharType="end"/>
      </w:r>
    </w:p>
    <w:p w14:paraId="35E4C9E1">
      <w:pPr>
        <w:pStyle w:val="19"/>
        <w:tabs>
          <w:tab w:val="right" w:leader="dot" w:pos="9786"/>
          <w:tab w:val="clear" w:pos="1260"/>
          <w:tab w:val="clear" w:pos="8630"/>
        </w:tabs>
      </w:pPr>
      <w:r>
        <w:fldChar w:fldCharType="begin"/>
      </w:r>
      <w:r>
        <w:instrText xml:space="preserve"> HYPERLINK \l _Toc21594 </w:instrText>
      </w:r>
      <w:r>
        <w:fldChar w:fldCharType="separate"/>
      </w:r>
      <w:r>
        <w:rPr>
          <w:rFonts w:hint="eastAsia" w:ascii="仿宋_GB2312" w:hAnsi="仿宋_GB2312" w:eastAsia="仿宋_GB2312" w:cs="仿宋_GB2312"/>
          <w:i w:val="0"/>
          <w:caps w:val="0"/>
          <w:spacing w:val="0"/>
          <w:w w:val="100"/>
          <w:kern w:val="0"/>
          <w:szCs w:val="20"/>
          <w:lang w:val="en-US" w:eastAsia="zh-CN" w:bidi="ar-SA"/>
        </w:rPr>
        <w:t>6  社会保障资金的缴纳记录</w:t>
      </w:r>
      <w:r>
        <w:tab/>
      </w:r>
      <w:r>
        <w:fldChar w:fldCharType="begin"/>
      </w:r>
      <w:r>
        <w:instrText xml:space="preserve"> PAGEREF _Toc21594 \h </w:instrText>
      </w:r>
      <w:r>
        <w:fldChar w:fldCharType="separate"/>
      </w:r>
      <w:r>
        <w:t>24</w:t>
      </w:r>
      <w:r>
        <w:fldChar w:fldCharType="end"/>
      </w:r>
      <w:r>
        <w:fldChar w:fldCharType="end"/>
      </w:r>
    </w:p>
    <w:p w14:paraId="39432EA0">
      <w:pPr>
        <w:pStyle w:val="30"/>
        <w:tabs>
          <w:tab w:val="right" w:leader="dot" w:pos="9786"/>
        </w:tabs>
        <w:ind w:firstLine="420" w:firstLineChars="200"/>
      </w:pPr>
      <w:r>
        <w:fldChar w:fldCharType="begin"/>
      </w:r>
      <w:r>
        <w:instrText xml:space="preserve"> HYPERLINK \l _Toc32605 </w:instrText>
      </w:r>
      <w:r>
        <w:fldChar w:fldCharType="separate"/>
      </w:r>
      <w:r>
        <w:rPr>
          <w:rFonts w:hint="eastAsia" w:ascii="仿宋_GB2312" w:hAnsi="仿宋_GB2312" w:eastAsia="仿宋_GB2312" w:cs="仿宋_GB2312"/>
          <w:lang w:val="en-US" w:eastAsia="zh-CN"/>
        </w:rPr>
        <w:t>7 良好的商业信誉和健全的财务会计制度证明材料</w:t>
      </w:r>
      <w:r>
        <w:tab/>
      </w:r>
      <w:r>
        <w:fldChar w:fldCharType="begin"/>
      </w:r>
      <w:r>
        <w:instrText xml:space="preserve"> PAGEREF _Toc32605 \h </w:instrText>
      </w:r>
      <w:r>
        <w:fldChar w:fldCharType="separate"/>
      </w:r>
      <w:r>
        <w:t>24</w:t>
      </w:r>
      <w:r>
        <w:fldChar w:fldCharType="end"/>
      </w:r>
      <w:r>
        <w:fldChar w:fldCharType="end"/>
      </w:r>
    </w:p>
    <w:p w14:paraId="07F46627">
      <w:pPr>
        <w:pStyle w:val="30"/>
        <w:tabs>
          <w:tab w:val="right" w:leader="dot" w:pos="9786"/>
        </w:tabs>
        <w:ind w:firstLine="420" w:firstLineChars="200"/>
      </w:pPr>
      <w:r>
        <w:fldChar w:fldCharType="begin"/>
      </w:r>
      <w:r>
        <w:instrText xml:space="preserve"> HYPERLINK \l _Toc24688 </w:instrText>
      </w:r>
      <w:r>
        <w:fldChar w:fldCharType="separate"/>
      </w:r>
      <w:r>
        <w:rPr>
          <w:rFonts w:hint="eastAsia" w:ascii="仿宋_GB2312" w:hAnsi="仿宋_GB2312" w:eastAsia="仿宋_GB2312" w:cs="仿宋_GB2312"/>
          <w:lang w:val="en-US" w:eastAsia="zh-CN"/>
        </w:rPr>
        <w:t>8 依法缴纳税收的证明</w:t>
      </w:r>
      <w:r>
        <w:tab/>
      </w:r>
      <w:r>
        <w:fldChar w:fldCharType="begin"/>
      </w:r>
      <w:r>
        <w:instrText xml:space="preserve"> PAGEREF _Toc24688 \h </w:instrText>
      </w:r>
      <w:r>
        <w:fldChar w:fldCharType="separate"/>
      </w:r>
      <w:r>
        <w:t>24</w:t>
      </w:r>
      <w:r>
        <w:fldChar w:fldCharType="end"/>
      </w:r>
      <w:r>
        <w:fldChar w:fldCharType="end"/>
      </w:r>
    </w:p>
    <w:p w14:paraId="2F9D948E">
      <w:pPr>
        <w:pStyle w:val="30"/>
        <w:tabs>
          <w:tab w:val="right" w:leader="dot" w:pos="9786"/>
        </w:tabs>
        <w:ind w:firstLine="420" w:firstLineChars="200"/>
      </w:pPr>
      <w:r>
        <w:fldChar w:fldCharType="begin"/>
      </w:r>
      <w:r>
        <w:instrText xml:space="preserve"> HYPERLINK \l _Toc11794 </w:instrText>
      </w:r>
      <w:r>
        <w:fldChar w:fldCharType="separate"/>
      </w:r>
      <w:r>
        <w:rPr>
          <w:rFonts w:hint="eastAsia" w:ascii="仿宋_GB2312" w:hAnsi="仿宋_GB2312" w:eastAsia="仿宋_GB2312" w:cs="仿宋_GB2312"/>
          <w:lang w:val="en-US" w:eastAsia="zh-CN"/>
        </w:rPr>
        <w:t>9  参加政府采购活动前3年内在经营活动中没有重大违法记录的承诺书及反商业受贿承诺书</w:t>
      </w:r>
      <w:r>
        <w:tab/>
      </w:r>
      <w:r>
        <w:fldChar w:fldCharType="begin"/>
      </w:r>
      <w:r>
        <w:instrText xml:space="preserve"> PAGEREF _Toc11794 \h </w:instrText>
      </w:r>
      <w:r>
        <w:fldChar w:fldCharType="separate"/>
      </w:r>
      <w:r>
        <w:t>25</w:t>
      </w:r>
      <w:r>
        <w:fldChar w:fldCharType="end"/>
      </w:r>
      <w:r>
        <w:fldChar w:fldCharType="end"/>
      </w:r>
    </w:p>
    <w:p w14:paraId="67F09941">
      <w:pPr>
        <w:pStyle w:val="30"/>
        <w:tabs>
          <w:tab w:val="right" w:leader="dot" w:pos="9786"/>
        </w:tabs>
        <w:ind w:firstLine="420" w:firstLineChars="200"/>
      </w:pPr>
      <w:r>
        <w:fldChar w:fldCharType="begin"/>
      </w:r>
      <w:r>
        <w:instrText xml:space="preserve"> HYPERLINK \l _Toc27914 </w:instrText>
      </w:r>
      <w:r>
        <w:fldChar w:fldCharType="separate"/>
      </w:r>
      <w:r>
        <w:rPr>
          <w:rFonts w:hint="eastAsia" w:ascii="方正仿宋_GBK" w:hAnsi="方正仿宋_GBK" w:eastAsia="方正仿宋_GBK" w:cs="方正仿宋_GBK"/>
          <w:bCs w:val="0"/>
          <w:szCs w:val="24"/>
          <w:lang w:val="en-US" w:eastAsia="zh-CN"/>
        </w:rPr>
        <w:t>10  履行合同所必需的设备和专业技术能力的证明材料（提供承诺函）</w:t>
      </w:r>
      <w:r>
        <w:tab/>
      </w:r>
      <w:r>
        <w:fldChar w:fldCharType="begin"/>
      </w:r>
      <w:r>
        <w:instrText xml:space="preserve"> PAGEREF _Toc27914 \h </w:instrText>
      </w:r>
      <w:r>
        <w:fldChar w:fldCharType="separate"/>
      </w:r>
      <w:r>
        <w:t>25</w:t>
      </w:r>
      <w:r>
        <w:fldChar w:fldCharType="end"/>
      </w:r>
      <w:r>
        <w:fldChar w:fldCharType="end"/>
      </w:r>
    </w:p>
    <w:p w14:paraId="26C53395">
      <w:pPr>
        <w:pStyle w:val="30"/>
        <w:tabs>
          <w:tab w:val="right" w:leader="dot" w:pos="9786"/>
        </w:tabs>
        <w:ind w:firstLine="420" w:firstLineChars="200"/>
      </w:pPr>
      <w:r>
        <w:fldChar w:fldCharType="begin"/>
      </w:r>
      <w:r>
        <w:instrText xml:space="preserve"> HYPERLINK \l _Toc2365 </w:instrText>
      </w:r>
      <w:r>
        <w:fldChar w:fldCharType="separate"/>
      </w:r>
      <w:r>
        <w:rPr>
          <w:rFonts w:hint="eastAsia" w:ascii="仿宋_GB2312" w:hAnsi="仿宋_GB2312" w:eastAsia="仿宋_GB2312" w:cs="仿宋_GB2312"/>
          <w:lang w:val="en-US" w:eastAsia="zh-CN"/>
        </w:rPr>
        <w:t>11  投标人须知资料表要求的其他资格证明文件</w:t>
      </w:r>
      <w:r>
        <w:tab/>
      </w:r>
      <w:r>
        <w:fldChar w:fldCharType="begin"/>
      </w:r>
      <w:r>
        <w:instrText xml:space="preserve"> PAGEREF _Toc2365 \h </w:instrText>
      </w:r>
      <w:r>
        <w:fldChar w:fldCharType="separate"/>
      </w:r>
      <w:r>
        <w:t>25</w:t>
      </w:r>
      <w:r>
        <w:fldChar w:fldCharType="end"/>
      </w:r>
      <w:r>
        <w:fldChar w:fldCharType="end"/>
      </w:r>
    </w:p>
    <w:p w14:paraId="1B08D149">
      <w:pPr>
        <w:pStyle w:val="30"/>
        <w:tabs>
          <w:tab w:val="right" w:leader="dot" w:pos="9786"/>
        </w:tabs>
      </w:pPr>
      <w:r>
        <w:fldChar w:fldCharType="begin"/>
      </w:r>
      <w:r>
        <w:instrText xml:space="preserve"> HYPERLINK \l _Toc30530 </w:instrText>
      </w:r>
      <w:r>
        <w:fldChar w:fldCharType="separate"/>
      </w:r>
      <w:r>
        <w:rPr>
          <w:rFonts w:ascii="仿宋_GB2312" w:hAnsi="宋体" w:eastAsia="仿宋_GB2312" w:cs="Times New Roman"/>
          <w:i w:val="0"/>
          <w:caps w:val="0"/>
          <w:spacing w:val="0"/>
          <w:w w:val="100"/>
          <w:kern w:val="0"/>
          <w:szCs w:val="20"/>
          <w:lang w:val="en-US" w:eastAsia="zh-CN" w:bidi="ar-SA"/>
        </w:rPr>
        <w:t>第</w:t>
      </w:r>
      <w:r>
        <w:rPr>
          <w:rFonts w:hint="eastAsia" w:ascii="仿宋_GB2312" w:hAnsi="宋体" w:eastAsia="仿宋_GB2312" w:cs="Times New Roman"/>
          <w:i w:val="0"/>
          <w:caps w:val="0"/>
          <w:spacing w:val="0"/>
          <w:w w:val="100"/>
          <w:kern w:val="0"/>
          <w:szCs w:val="20"/>
          <w:lang w:val="en-US" w:eastAsia="zh-CN" w:bidi="ar-SA"/>
        </w:rPr>
        <w:t>二</w:t>
      </w:r>
      <w:r>
        <w:rPr>
          <w:rFonts w:ascii="仿宋_GB2312" w:hAnsi="宋体" w:eastAsia="仿宋_GB2312" w:cs="Times New Roman"/>
          <w:i w:val="0"/>
          <w:caps w:val="0"/>
          <w:spacing w:val="0"/>
          <w:w w:val="100"/>
          <w:kern w:val="0"/>
          <w:szCs w:val="20"/>
          <w:lang w:val="en-US" w:eastAsia="zh-CN" w:bidi="ar-SA"/>
        </w:rPr>
        <w:t>部分</w:t>
      </w:r>
      <w:r>
        <w:rPr>
          <w:rFonts w:hint="eastAsia" w:ascii="仿宋_GB2312" w:hAnsi="宋体" w:eastAsia="仿宋_GB2312" w:cs="Times New Roman"/>
          <w:i w:val="0"/>
          <w:caps w:val="0"/>
          <w:spacing w:val="0"/>
          <w:w w:val="100"/>
          <w:kern w:val="0"/>
          <w:szCs w:val="20"/>
          <w:lang w:val="en-US" w:eastAsia="zh-CN" w:bidi="ar-SA"/>
        </w:rPr>
        <w:t xml:space="preserve"> 商务及技术文件</w:t>
      </w:r>
      <w:r>
        <w:tab/>
      </w:r>
      <w:r>
        <w:fldChar w:fldCharType="begin"/>
      </w:r>
      <w:r>
        <w:instrText xml:space="preserve"> PAGEREF _Toc30530 \h </w:instrText>
      </w:r>
      <w:r>
        <w:fldChar w:fldCharType="separate"/>
      </w:r>
      <w:r>
        <w:t>26</w:t>
      </w:r>
      <w:r>
        <w:fldChar w:fldCharType="end"/>
      </w:r>
      <w:r>
        <w:fldChar w:fldCharType="end"/>
      </w:r>
    </w:p>
    <w:p w14:paraId="2814B3C5">
      <w:pPr>
        <w:pStyle w:val="30"/>
        <w:tabs>
          <w:tab w:val="right" w:leader="dot" w:pos="9786"/>
        </w:tabs>
        <w:ind w:firstLine="420" w:firstLineChars="200"/>
      </w:pPr>
      <w:r>
        <w:fldChar w:fldCharType="begin"/>
      </w:r>
      <w:r>
        <w:instrText xml:space="preserve"> HYPERLINK \l _Toc15236 </w:instrText>
      </w:r>
      <w:r>
        <w:fldChar w:fldCharType="separate"/>
      </w:r>
      <w:r>
        <w:rPr>
          <w:rFonts w:hint="eastAsia" w:ascii="仿宋_GB2312" w:hAnsi="仿宋_GB2312" w:eastAsia="仿宋_GB2312" w:cs="仿宋_GB2312"/>
          <w:lang w:val="en-US" w:eastAsia="zh-CN"/>
        </w:rPr>
        <w:t>1  投标书</w:t>
      </w:r>
      <w:r>
        <w:tab/>
      </w:r>
      <w:r>
        <w:fldChar w:fldCharType="begin"/>
      </w:r>
      <w:r>
        <w:instrText xml:space="preserve"> PAGEREF _Toc15236 \h </w:instrText>
      </w:r>
      <w:r>
        <w:fldChar w:fldCharType="separate"/>
      </w:r>
      <w:r>
        <w:t>27</w:t>
      </w:r>
      <w:r>
        <w:fldChar w:fldCharType="end"/>
      </w:r>
      <w:r>
        <w:fldChar w:fldCharType="end"/>
      </w:r>
    </w:p>
    <w:p w14:paraId="192C3066">
      <w:pPr>
        <w:pStyle w:val="30"/>
        <w:tabs>
          <w:tab w:val="right" w:leader="dot" w:pos="9786"/>
        </w:tabs>
        <w:ind w:firstLine="420" w:firstLineChars="200"/>
      </w:pPr>
      <w:r>
        <w:fldChar w:fldCharType="begin"/>
      </w:r>
      <w:r>
        <w:instrText xml:space="preserve"> HYPERLINK \l _Toc316 </w:instrText>
      </w:r>
      <w:r>
        <w:fldChar w:fldCharType="separate"/>
      </w:r>
      <w:r>
        <w:rPr>
          <w:rFonts w:hint="eastAsia" w:ascii="仿宋_GB2312" w:hAnsi="仿宋_GB2312" w:eastAsia="仿宋_GB2312" w:cs="仿宋_GB2312"/>
          <w:lang w:val="en-US" w:eastAsia="zh-CN"/>
        </w:rPr>
        <w:t>2  投标分项报价表</w:t>
      </w:r>
      <w:r>
        <w:tab/>
      </w:r>
      <w:r>
        <w:fldChar w:fldCharType="begin"/>
      </w:r>
      <w:r>
        <w:instrText xml:space="preserve"> PAGEREF _Toc316 \h </w:instrText>
      </w:r>
      <w:r>
        <w:fldChar w:fldCharType="separate"/>
      </w:r>
      <w:r>
        <w:t>28</w:t>
      </w:r>
      <w:r>
        <w:fldChar w:fldCharType="end"/>
      </w:r>
      <w:r>
        <w:fldChar w:fldCharType="end"/>
      </w:r>
    </w:p>
    <w:p w14:paraId="6A502861">
      <w:pPr>
        <w:pStyle w:val="30"/>
        <w:tabs>
          <w:tab w:val="right" w:leader="dot" w:pos="9786"/>
        </w:tabs>
        <w:ind w:firstLine="420" w:firstLineChars="200"/>
      </w:pPr>
      <w:r>
        <w:fldChar w:fldCharType="begin"/>
      </w:r>
      <w:r>
        <w:instrText xml:space="preserve"> HYPERLINK \l _Toc75 </w:instrText>
      </w:r>
      <w:r>
        <w:fldChar w:fldCharType="separate"/>
      </w:r>
      <w:r>
        <w:rPr>
          <w:rFonts w:hint="eastAsia" w:ascii="仿宋_GB2312" w:hAnsi="仿宋_GB2312" w:eastAsia="仿宋_GB2312" w:cs="仿宋_GB2312"/>
          <w:lang w:val="en-US" w:eastAsia="zh-CN"/>
        </w:rPr>
        <w:t>3 货物说明一览表</w:t>
      </w:r>
      <w:r>
        <w:tab/>
      </w:r>
      <w:r>
        <w:fldChar w:fldCharType="begin"/>
      </w:r>
      <w:r>
        <w:instrText xml:space="preserve"> PAGEREF _Toc75 \h </w:instrText>
      </w:r>
      <w:r>
        <w:fldChar w:fldCharType="separate"/>
      </w:r>
      <w:r>
        <w:t>29</w:t>
      </w:r>
      <w:r>
        <w:fldChar w:fldCharType="end"/>
      </w:r>
      <w:r>
        <w:fldChar w:fldCharType="end"/>
      </w:r>
    </w:p>
    <w:p w14:paraId="00D55A7C">
      <w:pPr>
        <w:pStyle w:val="30"/>
        <w:tabs>
          <w:tab w:val="right" w:leader="dot" w:pos="9786"/>
        </w:tabs>
        <w:ind w:firstLine="420" w:firstLineChars="200"/>
      </w:pPr>
      <w:r>
        <w:fldChar w:fldCharType="begin"/>
      </w:r>
      <w:r>
        <w:instrText xml:space="preserve"> HYPERLINK \l _Toc15211 </w:instrText>
      </w:r>
      <w:r>
        <w:fldChar w:fldCharType="separate"/>
      </w:r>
      <w:r>
        <w:rPr>
          <w:rFonts w:hint="eastAsia" w:ascii="仿宋_GB2312" w:hAnsi="仿宋_GB2312" w:eastAsia="仿宋_GB2312" w:cs="仿宋_GB2312"/>
          <w:lang w:val="en-US" w:eastAsia="zh-CN"/>
        </w:rPr>
        <w:t>4 技术规格偏离表</w:t>
      </w:r>
      <w:r>
        <w:tab/>
      </w:r>
      <w:r>
        <w:fldChar w:fldCharType="begin"/>
      </w:r>
      <w:r>
        <w:instrText xml:space="preserve"> PAGEREF _Toc15211 \h </w:instrText>
      </w:r>
      <w:r>
        <w:fldChar w:fldCharType="separate"/>
      </w:r>
      <w:r>
        <w:t>30</w:t>
      </w:r>
      <w:r>
        <w:fldChar w:fldCharType="end"/>
      </w:r>
      <w:r>
        <w:fldChar w:fldCharType="end"/>
      </w:r>
    </w:p>
    <w:p w14:paraId="6EEF5385">
      <w:pPr>
        <w:pStyle w:val="19"/>
        <w:tabs>
          <w:tab w:val="right" w:leader="dot" w:pos="9786"/>
          <w:tab w:val="clear" w:pos="1260"/>
          <w:tab w:val="clear" w:pos="8630"/>
        </w:tabs>
      </w:pPr>
      <w:r>
        <w:fldChar w:fldCharType="begin"/>
      </w:r>
      <w:r>
        <w:instrText xml:space="preserve"> HYPERLINK \l _Toc9805 </w:instrText>
      </w:r>
      <w:r>
        <w:fldChar w:fldCharType="separate"/>
      </w:r>
      <w:r>
        <w:rPr>
          <w:rFonts w:hint="eastAsia" w:ascii="仿宋_GB2312" w:hAnsi="仿宋_GB2312" w:eastAsia="仿宋_GB2312" w:cs="仿宋_GB2312"/>
          <w:kern w:val="0"/>
          <w:szCs w:val="20"/>
          <w:lang w:val="en-US" w:eastAsia="zh-CN" w:bidi="ar-SA"/>
        </w:rPr>
        <w:t>5  商务条款偏离表</w:t>
      </w:r>
      <w:r>
        <w:tab/>
      </w:r>
      <w:r>
        <w:fldChar w:fldCharType="begin"/>
      </w:r>
      <w:r>
        <w:instrText xml:space="preserve"> PAGEREF _Toc9805 \h </w:instrText>
      </w:r>
      <w:r>
        <w:fldChar w:fldCharType="separate"/>
      </w:r>
      <w:r>
        <w:t>31</w:t>
      </w:r>
      <w:r>
        <w:fldChar w:fldCharType="end"/>
      </w:r>
      <w:r>
        <w:fldChar w:fldCharType="end"/>
      </w:r>
    </w:p>
    <w:p w14:paraId="252463FD">
      <w:pPr>
        <w:pStyle w:val="30"/>
        <w:tabs>
          <w:tab w:val="right" w:leader="dot" w:pos="9786"/>
        </w:tabs>
        <w:ind w:firstLine="420" w:firstLineChars="200"/>
      </w:pPr>
      <w:r>
        <w:fldChar w:fldCharType="begin"/>
      </w:r>
      <w:r>
        <w:instrText xml:space="preserve"> HYPERLINK \l _Toc341 </w:instrText>
      </w:r>
      <w:r>
        <w:fldChar w:fldCharType="separate"/>
      </w:r>
      <w:r>
        <w:rPr>
          <w:rFonts w:hint="eastAsia" w:ascii="仿宋_GB2312" w:hAnsi="仿宋_GB2312" w:eastAsia="仿宋_GB2312" w:cs="仿宋_GB2312"/>
          <w:i w:val="0"/>
          <w:caps w:val="0"/>
          <w:spacing w:val="0"/>
          <w:w w:val="100"/>
          <w:lang w:val="en-US" w:eastAsia="zh-CN"/>
        </w:rPr>
        <w:t>6   中小企业声明函</w:t>
      </w:r>
      <w:r>
        <w:tab/>
      </w:r>
      <w:r>
        <w:fldChar w:fldCharType="begin"/>
      </w:r>
      <w:r>
        <w:instrText xml:space="preserve"> PAGEREF _Toc341 \h </w:instrText>
      </w:r>
      <w:r>
        <w:fldChar w:fldCharType="separate"/>
      </w:r>
      <w:r>
        <w:t>32</w:t>
      </w:r>
      <w:r>
        <w:fldChar w:fldCharType="end"/>
      </w:r>
      <w:r>
        <w:fldChar w:fldCharType="end"/>
      </w:r>
    </w:p>
    <w:p w14:paraId="61595E46">
      <w:pPr>
        <w:pStyle w:val="30"/>
        <w:tabs>
          <w:tab w:val="right" w:leader="dot" w:pos="9786"/>
        </w:tabs>
        <w:ind w:firstLine="420" w:firstLineChars="200"/>
      </w:pPr>
      <w:r>
        <w:fldChar w:fldCharType="begin"/>
      </w:r>
      <w:r>
        <w:instrText xml:space="preserve"> HYPERLINK \l _Toc3049 </w:instrText>
      </w:r>
      <w:r>
        <w:fldChar w:fldCharType="separate"/>
      </w:r>
      <w:r>
        <w:rPr>
          <w:rFonts w:hint="eastAsia" w:ascii="仿宋_GB2312" w:hAnsi="仿宋_GB2312" w:eastAsia="仿宋_GB2312" w:cs="仿宋_GB2312"/>
          <w:i w:val="0"/>
          <w:caps w:val="0"/>
          <w:spacing w:val="0"/>
          <w:w w:val="100"/>
          <w:lang w:val="en-US" w:eastAsia="zh-CN"/>
        </w:rPr>
        <w:t>6-1   中小企业声明函（货物）</w:t>
      </w:r>
      <w:r>
        <w:tab/>
      </w:r>
      <w:r>
        <w:fldChar w:fldCharType="begin"/>
      </w:r>
      <w:r>
        <w:instrText xml:space="preserve"> PAGEREF _Toc3049 \h </w:instrText>
      </w:r>
      <w:r>
        <w:fldChar w:fldCharType="separate"/>
      </w:r>
      <w:r>
        <w:t>32</w:t>
      </w:r>
      <w:r>
        <w:fldChar w:fldCharType="end"/>
      </w:r>
      <w:r>
        <w:fldChar w:fldCharType="end"/>
      </w:r>
    </w:p>
    <w:p w14:paraId="0F5B5B3D">
      <w:pPr>
        <w:pStyle w:val="30"/>
        <w:tabs>
          <w:tab w:val="right" w:leader="dot" w:pos="9786"/>
        </w:tabs>
        <w:ind w:firstLine="420" w:firstLineChars="200"/>
      </w:pPr>
      <w:r>
        <w:fldChar w:fldCharType="begin"/>
      </w:r>
      <w:r>
        <w:instrText xml:space="preserve"> HYPERLINK \l _Toc3353 </w:instrText>
      </w:r>
      <w:r>
        <w:fldChar w:fldCharType="separate"/>
      </w:r>
      <w:r>
        <w:rPr>
          <w:rFonts w:hint="eastAsia" w:ascii="仿宋_GB2312" w:hAnsi="仿宋_GB2312" w:eastAsia="仿宋_GB2312" w:cs="仿宋_GB2312"/>
          <w:i w:val="0"/>
          <w:caps w:val="0"/>
          <w:spacing w:val="0"/>
          <w:w w:val="100"/>
          <w:lang w:val="en-US" w:eastAsia="zh-CN"/>
        </w:rPr>
        <w:t>6-2   残疾人福利性单位声明函</w:t>
      </w:r>
      <w:r>
        <w:tab/>
      </w:r>
      <w:r>
        <w:fldChar w:fldCharType="begin"/>
      </w:r>
      <w:r>
        <w:instrText xml:space="preserve"> PAGEREF _Toc3353 \h </w:instrText>
      </w:r>
      <w:r>
        <w:fldChar w:fldCharType="separate"/>
      </w:r>
      <w:r>
        <w:t>35</w:t>
      </w:r>
      <w:r>
        <w:fldChar w:fldCharType="end"/>
      </w:r>
      <w:r>
        <w:fldChar w:fldCharType="end"/>
      </w:r>
    </w:p>
    <w:p w14:paraId="14AAC62C">
      <w:pPr>
        <w:pStyle w:val="30"/>
        <w:tabs>
          <w:tab w:val="right" w:leader="dot" w:pos="9786"/>
        </w:tabs>
        <w:ind w:firstLine="420" w:firstLineChars="200"/>
      </w:pPr>
      <w:r>
        <w:fldChar w:fldCharType="begin"/>
      </w:r>
      <w:r>
        <w:instrText xml:space="preserve"> HYPERLINK \l _Toc2807 </w:instrText>
      </w:r>
      <w:r>
        <w:fldChar w:fldCharType="separate"/>
      </w:r>
      <w:r>
        <w:rPr>
          <w:rFonts w:hint="eastAsia" w:ascii="仿宋_GB2312" w:hAnsi="仿宋_GB2312" w:eastAsia="仿宋_GB2312" w:cs="仿宋_GB2312"/>
          <w:i w:val="0"/>
          <w:caps w:val="0"/>
          <w:spacing w:val="0"/>
          <w:w w:val="100"/>
          <w:lang w:val="en-US" w:eastAsia="zh-CN"/>
        </w:rPr>
        <w:t>6-3 监狱企业声明函</w:t>
      </w:r>
      <w:r>
        <w:tab/>
      </w:r>
      <w:r>
        <w:fldChar w:fldCharType="begin"/>
      </w:r>
      <w:r>
        <w:instrText xml:space="preserve"> PAGEREF _Toc2807 \h </w:instrText>
      </w:r>
      <w:r>
        <w:fldChar w:fldCharType="separate"/>
      </w:r>
      <w:r>
        <w:t>36</w:t>
      </w:r>
      <w:r>
        <w:fldChar w:fldCharType="end"/>
      </w:r>
      <w:r>
        <w:fldChar w:fldCharType="end"/>
      </w:r>
    </w:p>
    <w:p w14:paraId="14981DF3">
      <w:pPr>
        <w:pStyle w:val="19"/>
        <w:tabs>
          <w:tab w:val="right" w:leader="dot" w:pos="9786"/>
          <w:tab w:val="clear" w:pos="1260"/>
          <w:tab w:val="clear" w:pos="8630"/>
        </w:tabs>
      </w:pPr>
      <w:r>
        <w:fldChar w:fldCharType="begin"/>
      </w:r>
      <w:r>
        <w:instrText xml:space="preserve"> HYPERLINK \l _Toc14368 </w:instrText>
      </w:r>
      <w:r>
        <w:fldChar w:fldCharType="separate"/>
      </w:r>
      <w:r>
        <w:rPr>
          <w:rFonts w:hint="eastAsia" w:ascii="仿宋_GB2312" w:hAnsi="仿宋_GB2312" w:eastAsia="仿宋_GB2312" w:cs="仿宋_GB2312"/>
          <w:i w:val="0"/>
          <w:caps w:val="0"/>
          <w:spacing w:val="0"/>
          <w:w w:val="100"/>
        </w:rPr>
        <w:t>7  投标文件还应包括第五章、综合评分表的所有技术文件</w:t>
      </w:r>
      <w:r>
        <w:tab/>
      </w:r>
      <w:r>
        <w:fldChar w:fldCharType="begin"/>
      </w:r>
      <w:r>
        <w:instrText xml:space="preserve"> PAGEREF _Toc14368 \h </w:instrText>
      </w:r>
      <w:r>
        <w:fldChar w:fldCharType="separate"/>
      </w:r>
      <w:r>
        <w:t>36</w:t>
      </w:r>
      <w:r>
        <w:fldChar w:fldCharType="end"/>
      </w:r>
      <w:r>
        <w:fldChar w:fldCharType="end"/>
      </w:r>
    </w:p>
    <w:p w14:paraId="51FCE4E7">
      <w:pPr>
        <w:pStyle w:val="19"/>
        <w:tabs>
          <w:tab w:val="right" w:leader="dot" w:pos="9786"/>
          <w:tab w:val="clear" w:pos="1260"/>
          <w:tab w:val="clear" w:pos="8630"/>
        </w:tabs>
      </w:pPr>
      <w:r>
        <w:fldChar w:fldCharType="begin"/>
      </w:r>
      <w:r>
        <w:instrText xml:space="preserve"> HYPERLINK \l _Toc6007 </w:instrText>
      </w:r>
      <w:r>
        <w:fldChar w:fldCharType="separate"/>
      </w:r>
      <w:r>
        <w:rPr>
          <w:rFonts w:hint="eastAsia" w:ascii="仿宋_GB2312" w:hAnsi="仿宋_GB2312" w:eastAsia="仿宋_GB2312" w:cs="仿宋_GB2312"/>
          <w:i w:val="0"/>
          <w:caps w:val="0"/>
          <w:spacing w:val="0"/>
          <w:w w:val="100"/>
        </w:rPr>
        <w:t>8   投标人关联单位的说明</w:t>
      </w:r>
      <w:r>
        <w:tab/>
      </w:r>
      <w:r>
        <w:fldChar w:fldCharType="begin"/>
      </w:r>
      <w:r>
        <w:instrText xml:space="preserve"> PAGEREF _Toc6007 \h </w:instrText>
      </w:r>
      <w:r>
        <w:fldChar w:fldCharType="separate"/>
      </w:r>
      <w:r>
        <w:t>36</w:t>
      </w:r>
      <w:r>
        <w:fldChar w:fldCharType="end"/>
      </w:r>
      <w:r>
        <w:fldChar w:fldCharType="end"/>
      </w:r>
    </w:p>
    <w:p w14:paraId="2D5831C9">
      <w:pPr>
        <w:pStyle w:val="19"/>
        <w:tabs>
          <w:tab w:val="right" w:leader="dot" w:pos="9786"/>
          <w:tab w:val="clear" w:pos="1260"/>
          <w:tab w:val="clear" w:pos="8630"/>
        </w:tabs>
      </w:pPr>
      <w:r>
        <w:fldChar w:fldCharType="begin"/>
      </w:r>
      <w:r>
        <w:instrText xml:space="preserve"> HYPERLINK \l _Toc14859 </w:instrText>
      </w:r>
      <w:r>
        <w:fldChar w:fldCharType="separate"/>
      </w:r>
      <w:r>
        <w:rPr>
          <w:rFonts w:hint="eastAsia" w:ascii="仿宋_GB2312" w:hAnsi="仿宋_GB2312" w:eastAsia="仿宋_GB2312" w:cs="仿宋_GB2312"/>
          <w:i w:val="0"/>
          <w:caps w:val="0"/>
          <w:spacing w:val="0"/>
          <w:w w:val="100"/>
        </w:rPr>
        <w:t>9 其他有利于投标人的文件或证明材料</w:t>
      </w:r>
      <w:r>
        <w:tab/>
      </w:r>
      <w:r>
        <w:fldChar w:fldCharType="begin"/>
      </w:r>
      <w:r>
        <w:instrText xml:space="preserve"> PAGEREF _Toc14859 \h </w:instrText>
      </w:r>
      <w:r>
        <w:fldChar w:fldCharType="separate"/>
      </w:r>
      <w:r>
        <w:t>36</w:t>
      </w:r>
      <w:r>
        <w:fldChar w:fldCharType="end"/>
      </w:r>
      <w:r>
        <w:fldChar w:fldCharType="end"/>
      </w:r>
    </w:p>
    <w:p w14:paraId="52E70904">
      <w:pPr>
        <w:pStyle w:val="19"/>
        <w:tabs>
          <w:tab w:val="right" w:leader="dot" w:pos="9786"/>
          <w:tab w:val="clear" w:pos="1260"/>
          <w:tab w:val="clear" w:pos="8630"/>
        </w:tabs>
      </w:pPr>
      <w:r>
        <w:fldChar w:fldCharType="begin"/>
      </w:r>
      <w:r>
        <w:instrText xml:space="preserve"> HYPERLINK \l _Toc14073 </w:instrText>
      </w:r>
      <w:r>
        <w:fldChar w:fldCharType="separate"/>
      </w:r>
      <w:r>
        <w:rPr>
          <w:rFonts w:hint="eastAsia" w:ascii="仿宋_GB2312" w:hAnsi="仿宋_GB2312" w:eastAsia="仿宋_GB2312" w:cs="仿宋_GB2312"/>
          <w:i w:val="0"/>
          <w:caps w:val="0"/>
          <w:spacing w:val="0"/>
          <w:w w:val="100"/>
        </w:rPr>
        <w:t>10 对本项目投标文件（响应文件）中资料真实性的承诺</w:t>
      </w:r>
      <w:r>
        <w:tab/>
      </w:r>
      <w:r>
        <w:fldChar w:fldCharType="begin"/>
      </w:r>
      <w:r>
        <w:instrText xml:space="preserve"> PAGEREF _Toc14073 \h </w:instrText>
      </w:r>
      <w:r>
        <w:fldChar w:fldCharType="separate"/>
      </w:r>
      <w:r>
        <w:t>37</w:t>
      </w:r>
      <w:r>
        <w:fldChar w:fldCharType="end"/>
      </w:r>
      <w:r>
        <w:fldChar w:fldCharType="end"/>
      </w:r>
    </w:p>
    <w:p w14:paraId="2F355C95">
      <w:pPr>
        <w:pStyle w:val="26"/>
        <w:tabs>
          <w:tab w:val="right" w:leader="dot" w:pos="9786"/>
        </w:tabs>
      </w:pPr>
      <w:r>
        <w:fldChar w:fldCharType="begin"/>
      </w:r>
      <w:r>
        <w:instrText xml:space="preserve"> HYPERLINK \l _Toc24285 </w:instrText>
      </w:r>
      <w:r>
        <w:fldChar w:fldCharType="separate"/>
      </w:r>
      <w:r>
        <w:rPr>
          <w:rFonts w:hint="eastAsia" w:ascii="仿宋_GB2312" w:hAnsi="仿宋_GB2312" w:eastAsia="仿宋_GB2312" w:cs="仿宋_GB2312"/>
          <w:szCs w:val="44"/>
        </w:rPr>
        <w:t>第三章 投标邀请</w:t>
      </w:r>
      <w:r>
        <w:tab/>
      </w:r>
      <w:r>
        <w:fldChar w:fldCharType="begin"/>
      </w:r>
      <w:r>
        <w:instrText xml:space="preserve"> PAGEREF _Toc24285 \h </w:instrText>
      </w:r>
      <w:r>
        <w:fldChar w:fldCharType="separate"/>
      </w:r>
      <w:r>
        <w:t>39</w:t>
      </w:r>
      <w:r>
        <w:fldChar w:fldCharType="end"/>
      </w:r>
      <w:r>
        <w:fldChar w:fldCharType="end"/>
      </w:r>
    </w:p>
    <w:p w14:paraId="4610CB9B">
      <w:pPr>
        <w:pStyle w:val="26"/>
        <w:tabs>
          <w:tab w:val="right" w:leader="dot" w:pos="9786"/>
        </w:tabs>
      </w:pPr>
      <w:r>
        <w:fldChar w:fldCharType="begin"/>
      </w:r>
      <w:r>
        <w:instrText xml:space="preserve"> HYPERLINK \l _Toc25880 </w:instrText>
      </w:r>
      <w:r>
        <w:fldChar w:fldCharType="separate"/>
      </w:r>
      <w:r>
        <w:rPr>
          <w:rFonts w:hint="eastAsia" w:ascii="仿宋_GB2312" w:hAnsi="仿宋_GB2312" w:eastAsia="仿宋_GB2312" w:cs="仿宋_GB2312"/>
          <w:szCs w:val="36"/>
        </w:rPr>
        <w:t>第四章  投标人须知资料表</w:t>
      </w:r>
      <w:r>
        <w:tab/>
      </w:r>
      <w:r>
        <w:fldChar w:fldCharType="begin"/>
      </w:r>
      <w:r>
        <w:instrText xml:space="preserve"> PAGEREF _Toc25880 \h </w:instrText>
      </w:r>
      <w:r>
        <w:fldChar w:fldCharType="separate"/>
      </w:r>
      <w:r>
        <w:t>42</w:t>
      </w:r>
      <w:r>
        <w:fldChar w:fldCharType="end"/>
      </w:r>
      <w:r>
        <w:fldChar w:fldCharType="end"/>
      </w:r>
    </w:p>
    <w:p w14:paraId="02DA657C">
      <w:pPr>
        <w:pStyle w:val="26"/>
        <w:tabs>
          <w:tab w:val="right" w:leader="dot" w:pos="9786"/>
        </w:tabs>
      </w:pPr>
      <w:r>
        <w:fldChar w:fldCharType="begin"/>
      </w:r>
      <w:r>
        <w:instrText xml:space="preserve"> HYPERLINK \l _Toc2786 </w:instrText>
      </w:r>
      <w:r>
        <w:fldChar w:fldCharType="separate"/>
      </w:r>
      <w:r>
        <w:rPr>
          <w:rFonts w:hint="eastAsia" w:ascii="仿宋_GB2312" w:hAnsi="仿宋_GB2312" w:eastAsia="仿宋_GB2312" w:cs="仿宋_GB2312"/>
          <w:szCs w:val="32"/>
          <w:highlight w:val="none"/>
          <w:lang w:val="en-US" w:eastAsia="zh-CN"/>
        </w:rPr>
        <w:t xml:space="preserve">第五章  </w:t>
      </w:r>
      <w:r>
        <w:rPr>
          <w:rFonts w:hint="eastAsia" w:ascii="仿宋_GB2312" w:hAnsi="仿宋_GB2312" w:eastAsia="仿宋_GB2312" w:cs="仿宋_GB2312"/>
          <w:szCs w:val="32"/>
          <w:highlight w:val="none"/>
        </w:rPr>
        <w:t>货物需求一览表及技术规格</w:t>
      </w:r>
      <w:r>
        <w:tab/>
      </w:r>
      <w:r>
        <w:fldChar w:fldCharType="begin"/>
      </w:r>
      <w:r>
        <w:instrText xml:space="preserve"> PAGEREF _Toc2786 \h </w:instrText>
      </w:r>
      <w:r>
        <w:fldChar w:fldCharType="separate"/>
      </w:r>
      <w:r>
        <w:t>45</w:t>
      </w:r>
      <w:r>
        <w:fldChar w:fldCharType="end"/>
      </w:r>
      <w:r>
        <w:fldChar w:fldCharType="end"/>
      </w:r>
    </w:p>
    <w:p w14:paraId="64B2AE96">
      <w:pPr>
        <w:pStyle w:val="26"/>
        <w:tabs>
          <w:tab w:val="right" w:leader="dot" w:pos="9786"/>
        </w:tabs>
      </w:pPr>
      <w:r>
        <w:fldChar w:fldCharType="begin"/>
      </w:r>
      <w:r>
        <w:instrText xml:space="preserve"> HYPERLINK \l _Toc5017 </w:instrText>
      </w:r>
      <w:r>
        <w:fldChar w:fldCharType="separate"/>
      </w:r>
      <w:r>
        <w:rPr>
          <w:rFonts w:hint="eastAsia" w:ascii="仿宋_GB2312" w:hAnsi="仿宋_GB2312" w:eastAsia="仿宋_GB2312" w:cs="仿宋_GB2312"/>
          <w:i w:val="0"/>
          <w:caps w:val="0"/>
          <w:spacing w:val="0"/>
          <w:w w:val="100"/>
          <w:szCs w:val="32"/>
        </w:rPr>
        <w:t>第六章  评标方法和标准</w:t>
      </w:r>
      <w:r>
        <w:tab/>
      </w:r>
      <w:r>
        <w:fldChar w:fldCharType="begin"/>
      </w:r>
      <w:r>
        <w:instrText xml:space="preserve"> PAGEREF _Toc5017 \h </w:instrText>
      </w:r>
      <w:r>
        <w:fldChar w:fldCharType="separate"/>
      </w:r>
      <w:r>
        <w:t>55</w:t>
      </w:r>
      <w:r>
        <w:fldChar w:fldCharType="end"/>
      </w:r>
      <w:r>
        <w:fldChar w:fldCharType="end"/>
      </w:r>
    </w:p>
    <w:p w14:paraId="53BB9CDC">
      <w:pPr>
        <w:pStyle w:val="26"/>
        <w:tabs>
          <w:tab w:val="right" w:leader="dot" w:pos="9786"/>
        </w:tabs>
      </w:pPr>
      <w:r>
        <w:fldChar w:fldCharType="begin"/>
      </w:r>
      <w:r>
        <w:instrText xml:space="preserve"> HYPERLINK \l _Toc20664 </w:instrText>
      </w:r>
      <w:r>
        <w:fldChar w:fldCharType="separate"/>
      </w:r>
      <w:r>
        <w:rPr>
          <w:rFonts w:hint="eastAsia" w:ascii="仿宋_GB2312" w:hAnsi="仿宋_GB2312" w:eastAsia="仿宋_GB2312" w:cs="仿宋_GB2312"/>
          <w:szCs w:val="44"/>
        </w:rPr>
        <w:t>第七章  政府采购合同</w:t>
      </w:r>
      <w:r>
        <w:tab/>
      </w:r>
      <w:r>
        <w:fldChar w:fldCharType="begin"/>
      </w:r>
      <w:r>
        <w:instrText xml:space="preserve"> PAGEREF _Toc20664 \h </w:instrText>
      </w:r>
      <w:r>
        <w:fldChar w:fldCharType="separate"/>
      </w:r>
      <w:r>
        <w:t>68</w:t>
      </w:r>
      <w:r>
        <w:fldChar w:fldCharType="end"/>
      </w:r>
      <w:r>
        <w:fldChar w:fldCharType="end"/>
      </w:r>
    </w:p>
    <w:p w14:paraId="5B1D9124">
      <w:pPr>
        <w:pStyle w:val="27"/>
      </w:pPr>
      <w:r>
        <w:fldChar w:fldCharType="end"/>
      </w:r>
    </w:p>
    <w:p w14:paraId="42F90D13"/>
    <w:p w14:paraId="222013D5">
      <w:pPr>
        <w:pStyle w:val="3"/>
        <w:tabs>
          <w:tab w:val="left" w:pos="0"/>
        </w:tabs>
        <w:spacing w:before="0" w:after="0" w:line="240" w:lineRule="atLeast"/>
        <w:rPr>
          <w:rFonts w:hint="eastAsia" w:ascii="仿宋_GB2312" w:hAnsi="仿宋_GB2312" w:eastAsia="仿宋_GB2312" w:cs="仿宋_GB2312"/>
          <w:kern w:val="0"/>
          <w:sz w:val="44"/>
          <w:szCs w:val="44"/>
        </w:rPr>
      </w:pPr>
      <w:bookmarkStart w:id="9" w:name="_Toc13803"/>
    </w:p>
    <w:p w14:paraId="4E697BEE">
      <w:pPr>
        <w:pStyle w:val="3"/>
        <w:tabs>
          <w:tab w:val="left" w:pos="0"/>
        </w:tabs>
        <w:spacing w:before="0" w:after="0" w:line="240" w:lineRule="atLeast"/>
        <w:jc w:val="both"/>
        <w:rPr>
          <w:rFonts w:hint="eastAsia" w:ascii="仿宋_GB2312" w:hAnsi="仿宋_GB2312" w:eastAsia="仿宋_GB2312" w:cs="仿宋_GB2312"/>
          <w:kern w:val="0"/>
          <w:sz w:val="44"/>
          <w:szCs w:val="44"/>
        </w:rPr>
      </w:pPr>
      <w:bookmarkStart w:id="10" w:name="_Toc11726"/>
    </w:p>
    <w:p w14:paraId="6E283A58">
      <w:pPr>
        <w:bidi w:val="0"/>
        <w:rPr>
          <w:rFonts w:hint="eastAsia"/>
        </w:rPr>
      </w:pPr>
    </w:p>
    <w:p w14:paraId="55E3C9B4">
      <w:pPr>
        <w:bidi w:val="0"/>
        <w:rPr>
          <w:rFonts w:hint="eastAsia"/>
        </w:rPr>
      </w:pPr>
    </w:p>
    <w:p w14:paraId="3EF3CD73">
      <w:pPr>
        <w:bidi w:val="0"/>
        <w:rPr>
          <w:rFonts w:hint="eastAsia"/>
        </w:rPr>
      </w:pPr>
    </w:p>
    <w:p w14:paraId="4E4842CF">
      <w:pPr>
        <w:bidi w:val="0"/>
        <w:rPr>
          <w:rFonts w:hint="eastAsia"/>
        </w:rPr>
      </w:pPr>
    </w:p>
    <w:p w14:paraId="3C743A5B">
      <w:pPr>
        <w:bidi w:val="0"/>
        <w:rPr>
          <w:rFonts w:hint="eastAsia"/>
        </w:rPr>
      </w:pPr>
    </w:p>
    <w:p w14:paraId="242F1496">
      <w:pPr>
        <w:tabs>
          <w:tab w:val="left" w:pos="6730"/>
        </w:tabs>
        <w:bidi w:val="0"/>
        <w:jc w:val="left"/>
        <w:rPr>
          <w:rFonts w:hint="eastAsia" w:eastAsia="宋体"/>
          <w:lang w:eastAsia="zh-CN"/>
        </w:rPr>
        <w:sectPr>
          <w:headerReference r:id="rId3" w:type="default"/>
          <w:footerReference r:id="rId4" w:type="default"/>
          <w:pgSz w:w="11906" w:h="16838"/>
          <w:pgMar w:top="1043" w:right="1060" w:bottom="1043" w:left="1060" w:header="851" w:footer="992" w:gutter="0"/>
          <w:pgBorders>
            <w:top w:val="none" w:sz="0" w:space="0"/>
            <w:left w:val="none" w:sz="0" w:space="0"/>
            <w:bottom w:val="none" w:sz="0" w:space="0"/>
            <w:right w:val="none" w:sz="0" w:space="0"/>
          </w:pgBorders>
          <w:pgNumType w:fmt="decimal" w:start="1"/>
          <w:cols w:space="720" w:num="1"/>
          <w:docGrid w:type="linesAndChars" w:linePitch="312" w:charSpace="0"/>
        </w:sectPr>
      </w:pPr>
      <w:r>
        <w:rPr>
          <w:rFonts w:hint="eastAsia"/>
          <w:lang w:eastAsia="zh-CN"/>
        </w:rPr>
        <w:tab/>
      </w:r>
    </w:p>
    <w:bookmarkEnd w:id="9"/>
    <w:bookmarkEnd w:id="10"/>
    <w:p w14:paraId="0A40F5DD">
      <w:pPr>
        <w:pStyle w:val="3"/>
        <w:tabs>
          <w:tab w:val="left" w:pos="0"/>
        </w:tabs>
        <w:snapToGrid/>
        <w:spacing w:before="0" w:beforeAutospacing="0" w:after="0" w:afterAutospacing="0" w:line="240" w:lineRule="atLeast"/>
        <w:jc w:val="center"/>
        <w:textAlignment w:val="baseline"/>
        <w:rPr>
          <w:rFonts w:ascii="仿宋_GB2312" w:hAnsi="仿宋_GB2312" w:eastAsia="仿宋_GB2312" w:cs="仿宋_GB2312"/>
          <w:b w:val="0"/>
          <w:i w:val="0"/>
          <w:caps w:val="0"/>
          <w:spacing w:val="0"/>
          <w:w w:val="100"/>
          <w:sz w:val="20"/>
        </w:rPr>
      </w:pPr>
      <w:bookmarkStart w:id="11" w:name="_Toc32568"/>
      <w:bookmarkStart w:id="12" w:name="_Toc7794"/>
      <w:bookmarkStart w:id="13" w:name="_Toc17317"/>
      <w:bookmarkStart w:id="14" w:name="_Toc22683"/>
      <w:bookmarkStart w:id="15" w:name="_Toc32351"/>
      <w:bookmarkStart w:id="16" w:name="_Toc23583"/>
      <w:bookmarkStart w:id="17" w:name="_Toc5380"/>
      <w:bookmarkStart w:id="18" w:name="_Toc4823"/>
      <w:bookmarkStart w:id="19" w:name="_Toc32739"/>
      <w:bookmarkStart w:id="20" w:name="_Toc29113"/>
      <w:bookmarkStart w:id="21" w:name="_Toc25393"/>
      <w:bookmarkStart w:id="22" w:name="_Toc8923"/>
      <w:bookmarkStart w:id="23" w:name="_Toc749"/>
      <w:bookmarkStart w:id="24" w:name="_Toc27266"/>
      <w:bookmarkStart w:id="25" w:name="_Toc5160"/>
      <w:bookmarkStart w:id="26" w:name="_Toc22869"/>
      <w:r>
        <w:rPr>
          <w:rFonts w:hint="eastAsia" w:ascii="仿宋_GB2312" w:hAnsi="仿宋_GB2312" w:eastAsia="仿宋_GB2312" w:cs="仿宋_GB2312"/>
          <w:b/>
          <w:i w:val="0"/>
          <w:caps w:val="0"/>
          <w:spacing w:val="0"/>
          <w:w w:val="100"/>
          <w:kern w:val="0"/>
          <w:sz w:val="44"/>
          <w:szCs w:val="44"/>
        </w:rPr>
        <w:t>第一章</w:t>
      </w:r>
      <w:r>
        <w:rPr>
          <w:rFonts w:hint="eastAsia" w:ascii="仿宋_GB2312" w:hAnsi="仿宋_GB2312" w:eastAsia="仿宋_GB2312" w:cs="仿宋_GB2312"/>
          <w:b/>
          <w:i w:val="0"/>
          <w:caps w:val="0"/>
          <w:spacing w:val="0"/>
          <w:w w:val="100"/>
          <w:sz w:val="44"/>
          <w:szCs w:val="44"/>
        </w:rPr>
        <w:t xml:space="preserve">  </w:t>
      </w:r>
      <w:bookmarkStart w:id="27" w:name="_Toc515647756"/>
      <w:r>
        <w:rPr>
          <w:rFonts w:hint="eastAsia" w:ascii="仿宋_GB2312" w:hAnsi="仿宋_GB2312" w:eastAsia="仿宋_GB2312" w:cs="仿宋_GB2312"/>
          <w:b/>
          <w:i w:val="0"/>
          <w:caps w:val="0"/>
          <w:spacing w:val="0"/>
          <w:w w:val="100"/>
          <w:sz w:val="44"/>
          <w:szCs w:val="44"/>
        </w:rPr>
        <w:t>投标人须知</w:t>
      </w:r>
      <w:bookmarkEnd w:id="11"/>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p>
    <w:p w14:paraId="1B4BAD9F">
      <w:pPr>
        <w:pStyle w:val="2"/>
        <w:snapToGrid/>
        <w:spacing w:before="0" w:beforeAutospacing="0" w:after="0" w:afterAutospacing="0" w:line="240" w:lineRule="atLeast"/>
        <w:ind w:left="1078" w:leftChars="257" w:hanging="539"/>
        <w:jc w:val="center"/>
        <w:textAlignment w:val="baseline"/>
        <w:rPr>
          <w:rFonts w:ascii="仿宋_GB2312" w:hAnsi="仿宋_GB2312" w:eastAsia="仿宋_GB2312" w:cs="仿宋_GB2312"/>
          <w:b w:val="0"/>
          <w:i w:val="0"/>
          <w:caps w:val="0"/>
          <w:spacing w:val="0"/>
          <w:w w:val="100"/>
          <w:sz w:val="24"/>
        </w:rPr>
      </w:pPr>
      <w:bookmarkStart w:id="28" w:name="_Toc520356143"/>
      <w:bookmarkStart w:id="29" w:name="_Toc515647757"/>
      <w:bookmarkStart w:id="30" w:name="_Toc216582805"/>
      <w:bookmarkStart w:id="31" w:name="_Toc6942"/>
      <w:bookmarkStart w:id="32" w:name="_Toc3977"/>
      <w:bookmarkStart w:id="33" w:name="_Toc24426"/>
      <w:bookmarkStart w:id="34" w:name="_Toc4207"/>
      <w:bookmarkStart w:id="35" w:name="_Toc28131"/>
      <w:bookmarkStart w:id="36" w:name="_Toc28760"/>
      <w:bookmarkStart w:id="37" w:name="_Toc28649"/>
      <w:bookmarkStart w:id="38" w:name="_Toc4895"/>
      <w:bookmarkStart w:id="39" w:name="_Toc27848"/>
      <w:bookmarkStart w:id="40" w:name="_Toc21015"/>
      <w:bookmarkStart w:id="41" w:name="_Toc22145"/>
      <w:bookmarkStart w:id="42" w:name="_Toc1988"/>
      <w:bookmarkStart w:id="43" w:name="_Toc9161"/>
      <w:bookmarkStart w:id="44" w:name="_Toc30401"/>
      <w:bookmarkStart w:id="45" w:name="_Toc9514"/>
      <w:bookmarkStart w:id="46" w:name="_Toc18007"/>
      <w:bookmarkStart w:id="47" w:name="_Toc21215"/>
      <w:bookmarkStart w:id="48" w:name="_Toc13870"/>
      <w:bookmarkStart w:id="49" w:name="_Toc17202"/>
      <w:bookmarkStart w:id="50" w:name="_Toc28279"/>
      <w:bookmarkStart w:id="51" w:name="_Toc7364"/>
      <w:r>
        <w:rPr>
          <w:rFonts w:hint="eastAsia" w:ascii="仿宋_GB2312" w:hAnsi="仿宋_GB2312" w:eastAsia="仿宋_GB2312" w:cs="仿宋_GB2312"/>
          <w:b/>
          <w:i w:val="0"/>
          <w:caps w:val="0"/>
          <w:spacing w:val="0"/>
          <w:w w:val="100"/>
          <w:sz w:val="28"/>
        </w:rPr>
        <w:t xml:space="preserve">一   </w:t>
      </w:r>
      <w:bookmarkEnd w:id="28"/>
      <w:bookmarkEnd w:id="29"/>
      <w:bookmarkEnd w:id="30"/>
      <w:r>
        <w:rPr>
          <w:rFonts w:hint="eastAsia" w:ascii="仿宋_GB2312" w:hAnsi="仿宋_GB2312" w:eastAsia="仿宋_GB2312" w:cs="仿宋_GB2312"/>
          <w:b/>
          <w:i w:val="0"/>
          <w:caps w:val="0"/>
          <w:spacing w:val="0"/>
          <w:w w:val="100"/>
          <w:sz w:val="28"/>
        </w:rPr>
        <w:t>总 则</w:t>
      </w:r>
      <w:bookmarkEnd w:id="31"/>
      <w:bookmarkEnd w:id="32"/>
      <w:bookmarkEnd w:id="33"/>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p>
    <w:p w14:paraId="74BA84A2">
      <w:pPr>
        <w:pStyle w:val="4"/>
        <w:snapToGrid/>
        <w:spacing w:before="0" w:beforeAutospacing="0" w:after="0" w:afterAutospacing="0" w:line="288" w:lineRule="auto"/>
        <w:jc w:val="left"/>
        <w:textAlignment w:val="baseline"/>
        <w:rPr>
          <w:rFonts w:ascii="仿宋_GB2312" w:hAnsi="仿宋_GB2312" w:eastAsia="仿宋_GB2312" w:cs="仿宋_GB2312"/>
          <w:b/>
          <w:i w:val="0"/>
          <w:caps w:val="0"/>
          <w:spacing w:val="0"/>
          <w:w w:val="100"/>
          <w:sz w:val="24"/>
        </w:rPr>
      </w:pPr>
      <w:bookmarkStart w:id="52" w:name="_Toc520356144"/>
      <w:bookmarkStart w:id="53" w:name="_Toc6990"/>
      <w:bookmarkStart w:id="54" w:name="_Toc515647758"/>
      <w:bookmarkStart w:id="55" w:name="_Toc16352"/>
      <w:bookmarkStart w:id="56" w:name="_Toc17376"/>
      <w:bookmarkStart w:id="57" w:name="_Toc30658"/>
      <w:bookmarkStart w:id="58" w:name="_Toc24114"/>
      <w:bookmarkStart w:id="59" w:name="_Toc3155"/>
      <w:bookmarkStart w:id="60" w:name="_Toc18518"/>
      <w:bookmarkStart w:id="61" w:name="_Toc568"/>
      <w:bookmarkStart w:id="62" w:name="_Toc5999"/>
      <w:bookmarkStart w:id="63" w:name="_Toc32189"/>
      <w:bookmarkStart w:id="64" w:name="_Toc11245"/>
      <w:bookmarkStart w:id="65" w:name="_Toc32713"/>
      <w:bookmarkStart w:id="66" w:name="_Toc19622"/>
      <w:bookmarkStart w:id="67" w:name="_Toc13243"/>
      <w:bookmarkStart w:id="68" w:name="_Toc702"/>
      <w:bookmarkStart w:id="69" w:name="_Toc9357"/>
      <w:bookmarkStart w:id="70" w:name="_Toc14500"/>
      <w:bookmarkStart w:id="71" w:name="_Toc32623"/>
      <w:bookmarkStart w:id="72" w:name="_Toc484"/>
      <w:bookmarkStart w:id="73" w:name="_Toc20172"/>
      <w:bookmarkStart w:id="74" w:name="_Toc499"/>
      <w:r>
        <w:rPr>
          <w:rFonts w:hint="eastAsia" w:ascii="仿宋_GB2312" w:hAnsi="仿宋_GB2312" w:eastAsia="仿宋_GB2312" w:cs="仿宋_GB2312"/>
          <w:b/>
          <w:i w:val="0"/>
          <w:caps w:val="0"/>
          <w:spacing w:val="0"/>
          <w:w w:val="100"/>
          <w:sz w:val="24"/>
        </w:rPr>
        <w:t>1.采购人、采购代理机构及</w:t>
      </w:r>
      <w:bookmarkEnd w:id="52"/>
      <w:r>
        <w:rPr>
          <w:rFonts w:hint="eastAsia" w:ascii="仿宋_GB2312" w:hAnsi="仿宋_GB2312" w:eastAsia="仿宋_GB2312" w:cs="仿宋_GB2312"/>
          <w:b/>
          <w:i w:val="0"/>
          <w:caps w:val="0"/>
          <w:spacing w:val="0"/>
          <w:w w:val="100"/>
          <w:sz w:val="24"/>
        </w:rPr>
        <w:t>投标人</w:t>
      </w:r>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bookmarkEnd w:id="70"/>
      <w:bookmarkEnd w:id="71"/>
      <w:bookmarkEnd w:id="72"/>
      <w:bookmarkEnd w:id="73"/>
      <w:bookmarkEnd w:id="74"/>
    </w:p>
    <w:p w14:paraId="53BC91F8">
      <w:pPr>
        <w:numPr>
          <w:ilvl w:val="1"/>
          <w:numId w:val="5"/>
        </w:numPr>
        <w:tabs>
          <w:tab w:val="left" w:pos="0"/>
        </w:tabs>
        <w:snapToGrid/>
        <w:spacing w:before="0" w:beforeAutospacing="0" w:after="0" w:afterAutospacing="0" w:line="288" w:lineRule="auto"/>
        <w:ind w:hanging="898"/>
        <w:jc w:val="both"/>
        <w:textAlignment w:val="baseline"/>
        <w:rPr>
          <w:rFonts w:ascii="仿宋_GB2312" w:hAnsi="仿宋_GB2312" w:eastAsia="仿宋_GB2312" w:cs="仿宋_GB2312"/>
          <w:b w:val="0"/>
          <w:i w:val="0"/>
          <w:caps w:val="0"/>
          <w:spacing w:val="0"/>
          <w:w w:val="100"/>
          <w:sz w:val="24"/>
        </w:rPr>
      </w:pPr>
      <w:r>
        <w:rPr>
          <w:rFonts w:hint="eastAsia" w:ascii="仿宋_GB2312" w:hAnsi="仿宋_GB2312" w:eastAsia="仿宋_GB2312" w:cs="仿宋_GB2312"/>
          <w:b w:val="0"/>
          <w:i w:val="0"/>
          <w:caps w:val="0"/>
          <w:spacing w:val="0"/>
          <w:w w:val="100"/>
          <w:sz w:val="24"/>
        </w:rPr>
        <w:t>采购人：是指依法开展政府采购活动的国家机关、事业单位、团体组织。</w:t>
      </w:r>
    </w:p>
    <w:p w14:paraId="4FE0547C">
      <w:pPr>
        <w:tabs>
          <w:tab w:val="left" w:pos="0"/>
        </w:tabs>
        <w:snapToGrid/>
        <w:spacing w:before="0" w:beforeAutospacing="0" w:after="0" w:afterAutospacing="0" w:line="288" w:lineRule="auto"/>
        <w:ind w:left="900"/>
        <w:jc w:val="both"/>
        <w:textAlignment w:val="baseline"/>
        <w:rPr>
          <w:rFonts w:ascii="仿宋_GB2312" w:hAnsi="仿宋_GB2312" w:eastAsia="仿宋_GB2312" w:cs="仿宋_GB2312"/>
          <w:b w:val="0"/>
          <w:i w:val="0"/>
          <w:caps w:val="0"/>
          <w:spacing w:val="0"/>
          <w:w w:val="100"/>
          <w:sz w:val="24"/>
        </w:rPr>
      </w:pPr>
      <w:r>
        <w:rPr>
          <w:rFonts w:hint="eastAsia" w:ascii="仿宋_GB2312" w:hAnsi="仿宋_GB2312" w:eastAsia="仿宋_GB2312" w:cs="仿宋_GB2312"/>
          <w:b w:val="0"/>
          <w:i w:val="0"/>
          <w:caps w:val="0"/>
          <w:spacing w:val="0"/>
          <w:w w:val="100"/>
          <w:sz w:val="24"/>
        </w:rPr>
        <w:t>本项目的采购人见</w:t>
      </w:r>
      <w:r>
        <w:rPr>
          <w:rFonts w:hint="eastAsia" w:ascii="仿宋_GB2312" w:hAnsi="仿宋_GB2312" w:eastAsia="仿宋_GB2312" w:cs="仿宋_GB2312"/>
          <w:b w:val="0"/>
          <w:i w:val="0"/>
          <w:caps w:val="0"/>
          <w:spacing w:val="0"/>
          <w:w w:val="100"/>
          <w:sz w:val="24"/>
          <w:u w:val="single" w:color="000000"/>
        </w:rPr>
        <w:t>投标人须知资料表</w:t>
      </w:r>
      <w:r>
        <w:rPr>
          <w:rFonts w:hint="eastAsia" w:ascii="仿宋_GB2312" w:hAnsi="仿宋_GB2312" w:eastAsia="仿宋_GB2312" w:cs="仿宋_GB2312"/>
          <w:b w:val="0"/>
          <w:i w:val="0"/>
          <w:caps w:val="0"/>
          <w:spacing w:val="0"/>
          <w:w w:val="100"/>
          <w:sz w:val="24"/>
        </w:rPr>
        <w:t>。</w:t>
      </w:r>
    </w:p>
    <w:p w14:paraId="10EC49FC">
      <w:pPr>
        <w:numPr>
          <w:ilvl w:val="1"/>
          <w:numId w:val="5"/>
        </w:numPr>
        <w:tabs>
          <w:tab w:val="left" w:pos="0"/>
        </w:tabs>
        <w:snapToGrid/>
        <w:spacing w:before="0" w:beforeAutospacing="0" w:after="0" w:afterAutospacing="0" w:line="288" w:lineRule="auto"/>
        <w:ind w:hanging="898"/>
        <w:jc w:val="both"/>
        <w:textAlignment w:val="baseline"/>
        <w:rPr>
          <w:rFonts w:ascii="仿宋_GB2312" w:hAnsi="仿宋_GB2312" w:eastAsia="仿宋_GB2312" w:cs="仿宋_GB2312"/>
          <w:b w:val="0"/>
          <w:i w:val="0"/>
          <w:caps w:val="0"/>
          <w:spacing w:val="0"/>
          <w:w w:val="100"/>
          <w:sz w:val="24"/>
        </w:rPr>
      </w:pPr>
      <w:r>
        <w:rPr>
          <w:rFonts w:hint="eastAsia" w:ascii="仿宋_GB2312" w:hAnsi="仿宋_GB2312" w:eastAsia="仿宋_GB2312" w:cs="仿宋_GB2312"/>
          <w:b w:val="0"/>
          <w:i w:val="0"/>
          <w:caps w:val="0"/>
          <w:spacing w:val="0"/>
          <w:w w:val="100"/>
          <w:sz w:val="24"/>
        </w:rPr>
        <w:t>采购代理机构：是指在集中采购机构或从事采购代理业务的社会中介机构。本项目的采购代理机构见</w:t>
      </w:r>
      <w:r>
        <w:rPr>
          <w:rFonts w:hint="eastAsia" w:ascii="仿宋_GB2312" w:hAnsi="仿宋_GB2312" w:eastAsia="仿宋_GB2312" w:cs="仿宋_GB2312"/>
          <w:b w:val="0"/>
          <w:i w:val="0"/>
          <w:caps w:val="0"/>
          <w:spacing w:val="0"/>
          <w:w w:val="100"/>
          <w:sz w:val="24"/>
          <w:u w:val="single" w:color="000000"/>
        </w:rPr>
        <w:t>投标人须知资料表</w:t>
      </w:r>
      <w:r>
        <w:rPr>
          <w:rFonts w:hint="eastAsia" w:ascii="仿宋_GB2312" w:hAnsi="仿宋_GB2312" w:eastAsia="仿宋_GB2312" w:cs="仿宋_GB2312"/>
          <w:b w:val="0"/>
          <w:i w:val="0"/>
          <w:caps w:val="0"/>
          <w:spacing w:val="0"/>
          <w:w w:val="100"/>
          <w:sz w:val="24"/>
        </w:rPr>
        <w:t>。</w:t>
      </w:r>
    </w:p>
    <w:p w14:paraId="598851D3">
      <w:pPr>
        <w:numPr>
          <w:ilvl w:val="1"/>
          <w:numId w:val="5"/>
        </w:numPr>
        <w:snapToGrid/>
        <w:spacing w:before="0" w:beforeAutospacing="0" w:after="0" w:afterAutospacing="0" w:line="288" w:lineRule="auto"/>
        <w:ind w:hangingChars="375"/>
        <w:jc w:val="both"/>
        <w:textAlignment w:val="baseline"/>
        <w:rPr>
          <w:rFonts w:ascii="仿宋_GB2312" w:hAnsi="仿宋_GB2312" w:eastAsia="仿宋_GB2312" w:cs="仿宋_GB2312"/>
          <w:b w:val="0"/>
          <w:i w:val="0"/>
          <w:caps w:val="0"/>
          <w:spacing w:val="0"/>
          <w:w w:val="100"/>
          <w:sz w:val="24"/>
        </w:rPr>
      </w:pPr>
      <w:r>
        <w:rPr>
          <w:rFonts w:hint="eastAsia" w:ascii="仿宋_GB2312" w:hAnsi="仿宋_GB2312" w:eastAsia="仿宋_GB2312" w:cs="仿宋_GB2312"/>
          <w:b w:val="0"/>
          <w:i w:val="0"/>
          <w:caps w:val="0"/>
          <w:spacing w:val="0"/>
          <w:w w:val="100"/>
          <w:sz w:val="24"/>
        </w:rPr>
        <w:t>投标人：是指向采购人提供货物、工程或者服务的法人、非法人组织或者自然人。本项目的投标人及其投标货物须满足以下条件：</w:t>
      </w:r>
    </w:p>
    <w:p w14:paraId="5847CBA0">
      <w:pPr>
        <w:snapToGrid/>
        <w:spacing w:before="0" w:beforeAutospacing="0" w:after="0" w:afterAutospacing="0" w:line="288" w:lineRule="auto"/>
        <w:ind w:hangingChars="354"/>
        <w:jc w:val="both"/>
        <w:textAlignment w:val="baseline"/>
        <w:rPr>
          <w:rFonts w:ascii="仿宋_GB2312" w:hAnsi="仿宋_GB2312" w:eastAsia="仿宋_GB2312" w:cs="仿宋_GB2312"/>
          <w:b w:val="0"/>
          <w:i w:val="0"/>
          <w:caps w:val="0"/>
          <w:spacing w:val="0"/>
          <w:w w:val="100"/>
          <w:sz w:val="24"/>
        </w:rPr>
      </w:pPr>
      <w:r>
        <w:rPr>
          <w:rFonts w:hint="eastAsia" w:ascii="仿宋_GB2312" w:hAnsi="仿宋_GB2312" w:eastAsia="仿宋_GB2312" w:cs="仿宋_GB2312"/>
          <w:b w:val="0"/>
          <w:i w:val="0"/>
          <w:caps w:val="0"/>
          <w:spacing w:val="0"/>
          <w:w w:val="100"/>
          <w:sz w:val="24"/>
        </w:rPr>
        <w:t>1.3.1</w:t>
      </w:r>
      <w:r>
        <w:rPr>
          <w:rFonts w:hint="eastAsia" w:ascii="仿宋_GB2312" w:hAnsi="仿宋_GB2312" w:eastAsia="仿宋_GB2312" w:cs="仿宋_GB2312"/>
          <w:b w:val="0"/>
          <w:i w:val="0"/>
          <w:caps w:val="0"/>
          <w:spacing w:val="0"/>
          <w:w w:val="100"/>
          <w:sz w:val="24"/>
        </w:rPr>
        <w:tab/>
      </w:r>
      <w:r>
        <w:rPr>
          <w:rFonts w:hint="eastAsia" w:ascii="仿宋_GB2312" w:hAnsi="仿宋_GB2312" w:eastAsia="仿宋_GB2312" w:cs="仿宋_GB2312"/>
          <w:b w:val="0"/>
          <w:i w:val="0"/>
          <w:caps w:val="0"/>
          <w:spacing w:val="0"/>
          <w:w w:val="100"/>
          <w:sz w:val="24"/>
        </w:rPr>
        <w:t>在中华人民共和国境内注册，能够独立承担民事责任，有生产或供应能力的本国供应商。</w:t>
      </w:r>
    </w:p>
    <w:p w14:paraId="5DB45DDF">
      <w:pPr>
        <w:snapToGrid/>
        <w:spacing w:before="0" w:beforeAutospacing="0" w:after="0" w:afterAutospacing="0" w:line="288" w:lineRule="auto"/>
        <w:ind w:hangingChars="375"/>
        <w:jc w:val="both"/>
        <w:textAlignment w:val="baseline"/>
        <w:rPr>
          <w:rFonts w:ascii="仿宋_GB2312" w:hAnsi="仿宋_GB2312" w:eastAsia="仿宋_GB2312" w:cs="仿宋_GB2312"/>
          <w:b w:val="0"/>
          <w:i w:val="0"/>
          <w:caps w:val="0"/>
          <w:spacing w:val="0"/>
          <w:w w:val="100"/>
          <w:sz w:val="24"/>
        </w:rPr>
      </w:pPr>
      <w:r>
        <w:rPr>
          <w:rFonts w:hint="eastAsia" w:ascii="仿宋_GB2312" w:hAnsi="仿宋_GB2312" w:eastAsia="仿宋_GB2312" w:cs="仿宋_GB2312"/>
          <w:b w:val="0"/>
          <w:i w:val="0"/>
          <w:caps w:val="0"/>
          <w:spacing w:val="0"/>
          <w:w w:val="100"/>
          <w:sz w:val="24"/>
        </w:rPr>
        <w:t>1.3.2  具备《中华人民共和国政府采购法》第二十二条关于供应商条件的规定，遵守本项目采购人本级和上级财政部门政府采购的有关规定。</w:t>
      </w:r>
    </w:p>
    <w:p w14:paraId="3721887F">
      <w:pPr>
        <w:snapToGrid/>
        <w:spacing w:before="0" w:beforeAutospacing="0" w:after="0" w:afterAutospacing="0" w:line="288" w:lineRule="auto"/>
        <w:ind w:hangingChars="375"/>
        <w:jc w:val="both"/>
        <w:textAlignment w:val="baseline"/>
        <w:rPr>
          <w:rFonts w:ascii="仿宋_GB2312" w:hAnsi="仿宋_GB2312" w:eastAsia="仿宋_GB2312" w:cs="仿宋_GB2312"/>
          <w:b w:val="0"/>
          <w:i w:val="0"/>
          <w:caps w:val="0"/>
          <w:spacing w:val="0"/>
          <w:w w:val="100"/>
          <w:sz w:val="24"/>
        </w:rPr>
      </w:pPr>
      <w:r>
        <w:rPr>
          <w:rFonts w:hint="eastAsia" w:ascii="仿宋_GB2312" w:hAnsi="仿宋_GB2312" w:eastAsia="仿宋_GB2312" w:cs="仿宋_GB2312"/>
          <w:b w:val="0"/>
          <w:i w:val="0"/>
          <w:caps w:val="0"/>
          <w:spacing w:val="0"/>
          <w:w w:val="100"/>
          <w:sz w:val="24"/>
        </w:rPr>
        <w:t>1.3.3   以采购代理机构认可的方式获得了本项目的招标文件。</w:t>
      </w:r>
    </w:p>
    <w:p w14:paraId="2C57DCBC">
      <w:pPr>
        <w:snapToGrid/>
        <w:spacing w:before="0" w:beforeAutospacing="0" w:after="0" w:afterAutospacing="0" w:line="288" w:lineRule="auto"/>
        <w:ind w:hangingChars="375"/>
        <w:jc w:val="both"/>
        <w:textAlignment w:val="baseline"/>
        <w:rPr>
          <w:rFonts w:ascii="仿宋_GB2312" w:hAnsi="仿宋_GB2312" w:eastAsia="仿宋_GB2312" w:cs="仿宋_GB2312"/>
          <w:b w:val="0"/>
          <w:i w:val="0"/>
          <w:caps w:val="0"/>
          <w:spacing w:val="0"/>
          <w:w w:val="100"/>
          <w:sz w:val="24"/>
        </w:rPr>
      </w:pPr>
      <w:r>
        <w:rPr>
          <w:rFonts w:hint="eastAsia" w:ascii="仿宋_GB2312" w:hAnsi="仿宋_GB2312" w:eastAsia="仿宋_GB2312" w:cs="仿宋_GB2312"/>
          <w:b w:val="0"/>
          <w:i w:val="0"/>
          <w:caps w:val="0"/>
          <w:spacing w:val="0"/>
          <w:w w:val="100"/>
          <w:sz w:val="24"/>
        </w:rPr>
        <w:t>1.3.4   提供符合</w:t>
      </w:r>
      <w:r>
        <w:rPr>
          <w:rFonts w:hint="eastAsia" w:ascii="仿宋_GB2312" w:hAnsi="仿宋_GB2312" w:eastAsia="仿宋_GB2312" w:cs="仿宋_GB2312"/>
          <w:b w:val="0"/>
          <w:i w:val="0"/>
          <w:caps w:val="0"/>
          <w:spacing w:val="0"/>
          <w:w w:val="100"/>
          <w:sz w:val="24"/>
          <w:u w:val="single" w:color="000000"/>
        </w:rPr>
        <w:t>投标人须知资料表</w:t>
      </w:r>
      <w:r>
        <w:rPr>
          <w:rFonts w:hint="eastAsia" w:ascii="仿宋_GB2312" w:hAnsi="仿宋_GB2312" w:eastAsia="仿宋_GB2312" w:cs="仿宋_GB2312"/>
          <w:b w:val="0"/>
          <w:i w:val="0"/>
          <w:caps w:val="0"/>
          <w:spacing w:val="0"/>
          <w:w w:val="100"/>
          <w:sz w:val="24"/>
        </w:rPr>
        <w:t>中规定的资格证明文件。</w:t>
      </w:r>
    </w:p>
    <w:p w14:paraId="32F0A46D">
      <w:pPr>
        <w:snapToGrid/>
        <w:spacing w:before="0" w:beforeAutospacing="0" w:after="0" w:afterAutospacing="0" w:line="288" w:lineRule="auto"/>
        <w:ind w:hangingChars="375"/>
        <w:jc w:val="both"/>
        <w:textAlignment w:val="baseline"/>
        <w:rPr>
          <w:rFonts w:ascii="仿宋_GB2312" w:hAnsi="仿宋_GB2312" w:eastAsia="仿宋_GB2312" w:cs="仿宋_GB2312"/>
          <w:b w:val="0"/>
          <w:i w:val="0"/>
          <w:caps w:val="0"/>
          <w:spacing w:val="0"/>
          <w:w w:val="100"/>
          <w:sz w:val="24"/>
        </w:rPr>
      </w:pPr>
      <w:r>
        <w:rPr>
          <w:rFonts w:hint="eastAsia" w:ascii="仿宋_GB2312" w:hAnsi="仿宋_GB2312" w:eastAsia="仿宋_GB2312" w:cs="仿宋_GB2312"/>
          <w:b w:val="0"/>
          <w:i w:val="0"/>
          <w:caps w:val="0"/>
          <w:spacing w:val="0"/>
          <w:w w:val="100"/>
          <w:sz w:val="24"/>
        </w:rPr>
        <w:t>1.3.5   若</w:t>
      </w:r>
      <w:r>
        <w:rPr>
          <w:rFonts w:hint="eastAsia" w:ascii="仿宋_GB2312" w:hAnsi="仿宋_GB2312" w:eastAsia="仿宋_GB2312" w:cs="仿宋_GB2312"/>
          <w:b w:val="0"/>
          <w:i w:val="0"/>
          <w:caps w:val="0"/>
          <w:spacing w:val="0"/>
          <w:w w:val="100"/>
          <w:sz w:val="24"/>
          <w:u w:val="single" w:color="000000"/>
        </w:rPr>
        <w:t>投标人须知资料表</w:t>
      </w:r>
      <w:r>
        <w:rPr>
          <w:rFonts w:hint="eastAsia" w:ascii="仿宋_GB2312" w:hAnsi="仿宋_GB2312" w:eastAsia="仿宋_GB2312" w:cs="仿宋_GB2312"/>
          <w:b w:val="0"/>
          <w:i w:val="0"/>
          <w:caps w:val="0"/>
          <w:spacing w:val="0"/>
          <w:w w:val="100"/>
          <w:sz w:val="24"/>
        </w:rPr>
        <w:t>中写明允许采购进口产品，投标人应保证所投产品可履行合法报通关手续进入中国关境内。</w:t>
      </w:r>
    </w:p>
    <w:p w14:paraId="7EC15513">
      <w:pPr>
        <w:snapToGrid/>
        <w:spacing w:before="0" w:beforeAutospacing="0" w:after="0" w:afterAutospacing="0" w:line="288" w:lineRule="auto"/>
        <w:ind w:left="898" w:leftChars="428"/>
        <w:jc w:val="both"/>
        <w:textAlignment w:val="baseline"/>
        <w:rPr>
          <w:rFonts w:ascii="仿宋_GB2312" w:hAnsi="仿宋_GB2312" w:eastAsia="仿宋_GB2312" w:cs="仿宋_GB2312"/>
          <w:b w:val="0"/>
          <w:i w:val="0"/>
          <w:caps w:val="0"/>
          <w:spacing w:val="0"/>
          <w:w w:val="100"/>
          <w:sz w:val="24"/>
        </w:rPr>
      </w:pPr>
      <w:r>
        <w:rPr>
          <w:rFonts w:hint="eastAsia" w:ascii="仿宋_GB2312" w:hAnsi="仿宋_GB2312" w:eastAsia="仿宋_GB2312" w:cs="仿宋_GB2312"/>
          <w:b w:val="0"/>
          <w:i w:val="0"/>
          <w:caps w:val="0"/>
          <w:spacing w:val="0"/>
          <w:w w:val="100"/>
          <w:sz w:val="24"/>
        </w:rPr>
        <w:t>若</w:t>
      </w:r>
      <w:r>
        <w:rPr>
          <w:rFonts w:hint="eastAsia" w:ascii="仿宋_GB2312" w:hAnsi="仿宋_GB2312" w:eastAsia="仿宋_GB2312" w:cs="仿宋_GB2312"/>
          <w:b w:val="0"/>
          <w:i w:val="0"/>
          <w:caps w:val="0"/>
          <w:spacing w:val="0"/>
          <w:w w:val="100"/>
          <w:sz w:val="24"/>
          <w:u w:val="single" w:color="000000"/>
        </w:rPr>
        <w:t>投标人须知资料表</w:t>
      </w:r>
      <w:r>
        <w:rPr>
          <w:rFonts w:hint="eastAsia" w:ascii="仿宋_GB2312" w:hAnsi="仿宋_GB2312" w:eastAsia="仿宋_GB2312" w:cs="仿宋_GB2312"/>
          <w:b w:val="0"/>
          <w:i w:val="0"/>
          <w:caps w:val="0"/>
          <w:spacing w:val="0"/>
          <w:w w:val="100"/>
          <w:sz w:val="24"/>
        </w:rPr>
        <w:t>中未写明允许采购进口产品，如投标人所投产品为进口产品，其投标将被认定为</w:t>
      </w:r>
      <w:r>
        <w:rPr>
          <w:rFonts w:hint="eastAsia" w:ascii="仿宋_GB2312" w:hAnsi="仿宋_GB2312" w:eastAsia="仿宋_GB2312" w:cs="仿宋_GB2312"/>
          <w:b/>
          <w:bCs/>
          <w:i w:val="0"/>
          <w:caps w:val="0"/>
          <w:spacing w:val="0"/>
          <w:w w:val="100"/>
          <w:sz w:val="24"/>
        </w:rPr>
        <w:t>投标无效</w:t>
      </w:r>
      <w:r>
        <w:rPr>
          <w:rFonts w:hint="eastAsia" w:ascii="仿宋_GB2312" w:hAnsi="仿宋_GB2312" w:eastAsia="仿宋_GB2312" w:cs="仿宋_GB2312"/>
          <w:b w:val="0"/>
          <w:i w:val="0"/>
          <w:caps w:val="0"/>
          <w:spacing w:val="0"/>
          <w:w w:val="100"/>
          <w:sz w:val="24"/>
        </w:rPr>
        <w:t>。</w:t>
      </w:r>
    </w:p>
    <w:p w14:paraId="09AAFAFF">
      <w:pPr>
        <w:snapToGrid/>
        <w:spacing w:before="0" w:beforeAutospacing="0" w:after="0" w:afterAutospacing="0" w:line="288" w:lineRule="auto"/>
        <w:ind w:hangingChars="350"/>
        <w:jc w:val="both"/>
        <w:textAlignment w:val="baseline"/>
        <w:rPr>
          <w:rFonts w:ascii="仿宋_GB2312" w:hAnsi="仿宋_GB2312" w:eastAsia="仿宋_GB2312" w:cs="仿宋_GB2312"/>
          <w:b w:val="0"/>
          <w:i w:val="0"/>
          <w:caps w:val="0"/>
          <w:spacing w:val="0"/>
          <w:w w:val="100"/>
          <w:sz w:val="24"/>
        </w:rPr>
      </w:pPr>
      <w:r>
        <w:rPr>
          <w:rFonts w:hint="eastAsia" w:ascii="仿宋_GB2312" w:hAnsi="仿宋_GB2312" w:eastAsia="仿宋_GB2312" w:cs="仿宋_GB2312"/>
          <w:b w:val="0"/>
          <w:i w:val="0"/>
          <w:caps w:val="0"/>
          <w:spacing w:val="0"/>
          <w:w w:val="100"/>
          <w:sz w:val="24"/>
        </w:rPr>
        <w:t>1.3.6  若</w:t>
      </w:r>
      <w:r>
        <w:rPr>
          <w:rFonts w:hint="eastAsia" w:ascii="仿宋_GB2312" w:hAnsi="仿宋_GB2312" w:eastAsia="仿宋_GB2312" w:cs="仿宋_GB2312"/>
          <w:b w:val="0"/>
          <w:i w:val="0"/>
          <w:caps w:val="0"/>
          <w:spacing w:val="0"/>
          <w:w w:val="100"/>
          <w:sz w:val="24"/>
          <w:u w:val="single" w:color="000000"/>
        </w:rPr>
        <w:t>投标人须知资料表</w:t>
      </w:r>
      <w:r>
        <w:rPr>
          <w:rFonts w:hint="eastAsia" w:ascii="仿宋_GB2312" w:hAnsi="仿宋_GB2312" w:eastAsia="仿宋_GB2312" w:cs="仿宋_GB2312"/>
          <w:b w:val="0"/>
          <w:i w:val="0"/>
          <w:caps w:val="0"/>
          <w:spacing w:val="0"/>
          <w:w w:val="100"/>
          <w:sz w:val="24"/>
        </w:rPr>
        <w:t>中写明专门面向中小企业采购的，如投标人为非中小企业且所投产品为非中小企业产品，其投标将被认定为</w:t>
      </w:r>
      <w:r>
        <w:rPr>
          <w:rFonts w:hint="eastAsia" w:ascii="仿宋_GB2312" w:hAnsi="仿宋_GB2312" w:eastAsia="仿宋_GB2312" w:cs="仿宋_GB2312"/>
          <w:b/>
          <w:bCs/>
          <w:i w:val="0"/>
          <w:caps w:val="0"/>
          <w:spacing w:val="0"/>
          <w:w w:val="100"/>
          <w:sz w:val="24"/>
        </w:rPr>
        <w:t>投标无效</w:t>
      </w:r>
      <w:r>
        <w:rPr>
          <w:rFonts w:hint="eastAsia" w:ascii="仿宋_GB2312" w:hAnsi="仿宋_GB2312" w:eastAsia="仿宋_GB2312" w:cs="仿宋_GB2312"/>
          <w:b w:val="0"/>
          <w:i w:val="0"/>
          <w:caps w:val="0"/>
          <w:spacing w:val="0"/>
          <w:w w:val="100"/>
          <w:sz w:val="24"/>
        </w:rPr>
        <w:t>。</w:t>
      </w:r>
    </w:p>
    <w:p w14:paraId="4FD02A27">
      <w:pPr>
        <w:snapToGrid/>
        <w:spacing w:before="0" w:beforeAutospacing="0" w:after="0" w:afterAutospacing="0" w:line="288" w:lineRule="auto"/>
        <w:ind w:hangingChars="375"/>
        <w:jc w:val="both"/>
        <w:textAlignment w:val="baseline"/>
        <w:rPr>
          <w:rFonts w:ascii="仿宋_GB2312" w:hAnsi="仿宋_GB2312" w:eastAsia="仿宋_GB2312" w:cs="仿宋_GB2312"/>
          <w:b w:val="0"/>
          <w:i w:val="0"/>
          <w:caps w:val="0"/>
          <w:spacing w:val="0"/>
          <w:w w:val="100"/>
          <w:sz w:val="24"/>
        </w:rPr>
      </w:pPr>
      <w:r>
        <w:rPr>
          <w:rFonts w:hint="eastAsia" w:ascii="仿宋_GB2312" w:hAnsi="仿宋_GB2312" w:eastAsia="仿宋_GB2312" w:cs="仿宋_GB2312"/>
          <w:b w:val="0"/>
          <w:i w:val="0"/>
          <w:caps w:val="0"/>
          <w:spacing w:val="0"/>
          <w:w w:val="100"/>
          <w:sz w:val="24"/>
        </w:rPr>
        <w:t>1.4     如</w:t>
      </w:r>
      <w:r>
        <w:rPr>
          <w:rFonts w:hint="eastAsia" w:ascii="仿宋_GB2312" w:hAnsi="仿宋_GB2312" w:eastAsia="仿宋_GB2312" w:cs="仿宋_GB2312"/>
          <w:b w:val="0"/>
          <w:i w:val="0"/>
          <w:caps w:val="0"/>
          <w:spacing w:val="0"/>
          <w:w w:val="100"/>
          <w:sz w:val="24"/>
          <w:u w:val="single" w:color="000000"/>
        </w:rPr>
        <w:t>投标人须知资料表</w:t>
      </w:r>
      <w:r>
        <w:rPr>
          <w:rFonts w:hint="eastAsia" w:ascii="仿宋_GB2312" w:hAnsi="仿宋_GB2312" w:eastAsia="仿宋_GB2312" w:cs="仿宋_GB2312"/>
          <w:b w:val="0"/>
          <w:i w:val="0"/>
          <w:caps w:val="0"/>
          <w:spacing w:val="0"/>
          <w:w w:val="100"/>
          <w:sz w:val="24"/>
        </w:rPr>
        <w:t>中允许联合体投标，对联合体规定如下：</w:t>
      </w:r>
    </w:p>
    <w:p w14:paraId="36486150">
      <w:pPr>
        <w:snapToGrid/>
        <w:spacing w:before="0" w:beforeAutospacing="0" w:after="0" w:afterAutospacing="0" w:line="288" w:lineRule="auto"/>
        <w:ind w:hangingChars="375"/>
        <w:jc w:val="both"/>
        <w:textAlignment w:val="baseline"/>
        <w:rPr>
          <w:rFonts w:ascii="仿宋_GB2312" w:hAnsi="仿宋_GB2312" w:eastAsia="仿宋_GB2312" w:cs="仿宋_GB2312"/>
          <w:b w:val="0"/>
          <w:i w:val="0"/>
          <w:caps w:val="0"/>
          <w:spacing w:val="0"/>
          <w:w w:val="100"/>
          <w:sz w:val="24"/>
        </w:rPr>
      </w:pPr>
      <w:r>
        <w:rPr>
          <w:rFonts w:hint="eastAsia" w:ascii="仿宋_GB2312" w:hAnsi="仿宋_GB2312" w:eastAsia="仿宋_GB2312" w:cs="仿宋_GB2312"/>
          <w:b w:val="0"/>
          <w:i w:val="0"/>
          <w:caps w:val="0"/>
          <w:spacing w:val="0"/>
          <w:w w:val="100"/>
          <w:sz w:val="24"/>
        </w:rPr>
        <w:t>1.4.1   两个以上供应商可以组成一个投标联合体，以一个投标人的身份投标。</w:t>
      </w:r>
    </w:p>
    <w:p w14:paraId="22AF3710">
      <w:pPr>
        <w:snapToGrid/>
        <w:spacing w:before="0" w:beforeAutospacing="0" w:after="0" w:afterAutospacing="0" w:line="288" w:lineRule="auto"/>
        <w:ind w:hangingChars="375"/>
        <w:jc w:val="both"/>
        <w:textAlignment w:val="baseline"/>
        <w:rPr>
          <w:rFonts w:ascii="仿宋_GB2312" w:hAnsi="仿宋_GB2312" w:eastAsia="仿宋_GB2312" w:cs="仿宋_GB2312"/>
          <w:b w:val="0"/>
          <w:i w:val="0"/>
          <w:caps w:val="0"/>
          <w:spacing w:val="0"/>
          <w:w w:val="100"/>
          <w:sz w:val="24"/>
        </w:rPr>
      </w:pPr>
      <w:r>
        <w:rPr>
          <w:rFonts w:hint="eastAsia" w:ascii="仿宋_GB2312" w:hAnsi="仿宋_GB2312" w:eastAsia="仿宋_GB2312" w:cs="仿宋_GB2312"/>
          <w:b w:val="0"/>
          <w:i w:val="0"/>
          <w:caps w:val="0"/>
          <w:spacing w:val="0"/>
          <w:w w:val="100"/>
          <w:sz w:val="24"/>
        </w:rPr>
        <w:t>1.4.2   联合体各方均应符合《中华人民共和国政府采购法》第二十二条规定的条件。</w:t>
      </w:r>
    </w:p>
    <w:p w14:paraId="227BE309">
      <w:pPr>
        <w:snapToGrid/>
        <w:spacing w:before="0" w:beforeAutospacing="0" w:after="0" w:afterAutospacing="0" w:line="288" w:lineRule="auto"/>
        <w:ind w:hangingChars="375"/>
        <w:jc w:val="both"/>
        <w:textAlignment w:val="baseline"/>
        <w:rPr>
          <w:rFonts w:ascii="仿宋_GB2312" w:hAnsi="仿宋_GB2312" w:eastAsia="仿宋_GB2312" w:cs="仿宋_GB2312"/>
          <w:b w:val="0"/>
          <w:i w:val="0"/>
          <w:caps w:val="0"/>
          <w:spacing w:val="0"/>
          <w:w w:val="100"/>
          <w:sz w:val="24"/>
        </w:rPr>
      </w:pPr>
      <w:r>
        <w:rPr>
          <w:rFonts w:hint="eastAsia" w:ascii="仿宋_GB2312" w:hAnsi="仿宋_GB2312" w:eastAsia="仿宋_GB2312" w:cs="仿宋_GB2312"/>
          <w:b w:val="0"/>
          <w:i w:val="0"/>
          <w:caps w:val="0"/>
          <w:spacing w:val="0"/>
          <w:w w:val="100"/>
          <w:sz w:val="24"/>
        </w:rPr>
        <w:t>1.4.3   采购人根据采购项目对投标人的特殊要求，联合体中至少应当有一方符合相关规定。</w:t>
      </w:r>
    </w:p>
    <w:p w14:paraId="45FF7459">
      <w:pPr>
        <w:snapToGrid/>
        <w:spacing w:before="0" w:beforeAutospacing="0" w:after="0" w:afterAutospacing="0" w:line="288" w:lineRule="auto"/>
        <w:ind w:hangingChars="375"/>
        <w:jc w:val="both"/>
        <w:textAlignment w:val="baseline"/>
        <w:rPr>
          <w:rFonts w:ascii="仿宋_GB2312" w:hAnsi="仿宋_GB2312" w:eastAsia="仿宋_GB2312" w:cs="仿宋_GB2312"/>
          <w:b w:val="0"/>
          <w:i w:val="0"/>
          <w:caps w:val="0"/>
          <w:spacing w:val="0"/>
          <w:w w:val="100"/>
          <w:sz w:val="24"/>
        </w:rPr>
      </w:pPr>
      <w:r>
        <w:rPr>
          <w:rFonts w:hint="eastAsia" w:ascii="仿宋_GB2312" w:hAnsi="仿宋_GB2312" w:eastAsia="仿宋_GB2312" w:cs="仿宋_GB2312"/>
          <w:b w:val="0"/>
          <w:i w:val="0"/>
          <w:caps w:val="0"/>
          <w:spacing w:val="0"/>
          <w:w w:val="100"/>
          <w:sz w:val="24"/>
        </w:rPr>
        <w:t>1.4.4   联合体各方应签订共同投标协议，明确约定联合体各方承担的工作和相应的责任，并将共同投标协议连同作为投标文件第一部分的内容提交。</w:t>
      </w:r>
    </w:p>
    <w:p w14:paraId="216BFA08">
      <w:pPr>
        <w:snapToGrid/>
        <w:spacing w:before="0" w:beforeAutospacing="0" w:after="0" w:afterAutospacing="0" w:line="288" w:lineRule="auto"/>
        <w:ind w:hangingChars="375"/>
        <w:jc w:val="both"/>
        <w:textAlignment w:val="baseline"/>
        <w:rPr>
          <w:rFonts w:ascii="仿宋_GB2312" w:hAnsi="仿宋_GB2312" w:eastAsia="仿宋_GB2312" w:cs="仿宋_GB2312"/>
          <w:b w:val="0"/>
          <w:i w:val="0"/>
          <w:caps w:val="0"/>
          <w:spacing w:val="0"/>
          <w:w w:val="100"/>
          <w:sz w:val="24"/>
        </w:rPr>
      </w:pPr>
      <w:r>
        <w:rPr>
          <w:rFonts w:hint="eastAsia" w:ascii="仿宋_GB2312" w:hAnsi="仿宋_GB2312" w:eastAsia="仿宋_GB2312" w:cs="仿宋_GB2312"/>
          <w:b w:val="0"/>
          <w:i w:val="0"/>
          <w:caps w:val="0"/>
          <w:spacing w:val="0"/>
          <w:w w:val="100"/>
          <w:sz w:val="24"/>
        </w:rPr>
        <w:t>1.4.5   大中型企业、其他自然人、法人或者非法人组织与小型、微型企业组成联合体共同参加投标，共同投标协议中应写明小型、微型企业的协议合同金额占到共同投标协议投标总金额的比例。</w:t>
      </w:r>
    </w:p>
    <w:p w14:paraId="24D4D629">
      <w:pPr>
        <w:snapToGrid/>
        <w:spacing w:before="0" w:beforeAutospacing="0" w:after="0" w:afterAutospacing="0" w:line="288" w:lineRule="auto"/>
        <w:ind w:hangingChars="375"/>
        <w:jc w:val="both"/>
        <w:textAlignment w:val="baseline"/>
        <w:rPr>
          <w:rFonts w:ascii="仿宋_GB2312" w:hAnsi="仿宋_GB2312" w:eastAsia="仿宋_GB2312" w:cs="仿宋_GB2312"/>
          <w:b w:val="0"/>
          <w:i w:val="0"/>
          <w:caps w:val="0"/>
          <w:spacing w:val="0"/>
          <w:w w:val="100"/>
          <w:sz w:val="24"/>
        </w:rPr>
      </w:pPr>
      <w:r>
        <w:rPr>
          <w:rFonts w:hint="eastAsia" w:ascii="仿宋_GB2312" w:hAnsi="仿宋_GB2312" w:eastAsia="仿宋_GB2312" w:cs="仿宋_GB2312"/>
          <w:b w:val="0"/>
          <w:i w:val="0"/>
          <w:caps w:val="0"/>
          <w:spacing w:val="0"/>
          <w:w w:val="100"/>
          <w:sz w:val="24"/>
        </w:rPr>
        <w:t>1.4.6  联合体中有同类资质的供应商按照联合体分工承担相同工作的，按照较低的资质等级确定联合体的资质等级。</w:t>
      </w:r>
    </w:p>
    <w:p w14:paraId="01D73D19">
      <w:pPr>
        <w:snapToGrid/>
        <w:spacing w:before="0" w:beforeAutospacing="0" w:after="0" w:afterAutospacing="0" w:line="288" w:lineRule="auto"/>
        <w:ind w:hangingChars="375"/>
        <w:jc w:val="both"/>
        <w:textAlignment w:val="baseline"/>
        <w:rPr>
          <w:rFonts w:ascii="仿宋_GB2312" w:hAnsi="仿宋_GB2312" w:eastAsia="仿宋_GB2312" w:cs="仿宋_GB2312"/>
          <w:b w:val="0"/>
          <w:i w:val="0"/>
          <w:caps w:val="0"/>
          <w:spacing w:val="0"/>
          <w:w w:val="100"/>
          <w:sz w:val="24"/>
        </w:rPr>
      </w:pPr>
      <w:r>
        <w:rPr>
          <w:rFonts w:hint="eastAsia" w:ascii="仿宋_GB2312" w:hAnsi="仿宋_GB2312" w:eastAsia="仿宋_GB2312" w:cs="仿宋_GB2312"/>
          <w:b w:val="0"/>
          <w:i w:val="0"/>
          <w:caps w:val="0"/>
          <w:spacing w:val="0"/>
          <w:w w:val="100"/>
          <w:sz w:val="24"/>
        </w:rPr>
        <w:t>1.4.7  以联合体形式参加政府采购活动的，联合体各方不得再单独参加或者与其他供应商另外组成联合体参加本项目投标，否则相关投标将被认定为</w:t>
      </w:r>
      <w:r>
        <w:rPr>
          <w:rFonts w:hint="eastAsia" w:ascii="仿宋_GB2312" w:hAnsi="仿宋_GB2312" w:eastAsia="仿宋_GB2312" w:cs="仿宋_GB2312"/>
          <w:b/>
          <w:bCs/>
          <w:i w:val="0"/>
          <w:caps w:val="0"/>
          <w:spacing w:val="0"/>
          <w:w w:val="100"/>
          <w:sz w:val="24"/>
        </w:rPr>
        <w:t>投标无效</w:t>
      </w:r>
      <w:r>
        <w:rPr>
          <w:rFonts w:hint="eastAsia" w:ascii="仿宋_GB2312" w:hAnsi="仿宋_GB2312" w:eastAsia="仿宋_GB2312" w:cs="仿宋_GB2312"/>
          <w:b w:val="0"/>
          <w:i w:val="0"/>
          <w:caps w:val="0"/>
          <w:spacing w:val="0"/>
          <w:w w:val="100"/>
          <w:sz w:val="24"/>
        </w:rPr>
        <w:t>。</w:t>
      </w:r>
    </w:p>
    <w:p w14:paraId="14A50896">
      <w:pPr>
        <w:snapToGrid/>
        <w:spacing w:before="0" w:beforeAutospacing="0" w:after="0" w:afterAutospacing="0" w:line="288" w:lineRule="auto"/>
        <w:ind w:hangingChars="375"/>
        <w:jc w:val="both"/>
        <w:textAlignment w:val="baseline"/>
        <w:rPr>
          <w:rFonts w:ascii="仿宋_GB2312" w:hAnsi="仿宋_GB2312" w:eastAsia="仿宋_GB2312" w:cs="仿宋_GB2312"/>
          <w:b w:val="0"/>
          <w:i w:val="0"/>
          <w:caps w:val="0"/>
          <w:spacing w:val="0"/>
          <w:w w:val="100"/>
          <w:sz w:val="24"/>
        </w:rPr>
      </w:pPr>
      <w:r>
        <w:rPr>
          <w:rFonts w:hint="eastAsia" w:ascii="仿宋_GB2312" w:hAnsi="仿宋_GB2312" w:eastAsia="仿宋_GB2312" w:cs="仿宋_GB2312"/>
          <w:b w:val="0"/>
          <w:i w:val="0"/>
          <w:caps w:val="0"/>
          <w:spacing w:val="0"/>
          <w:w w:val="100"/>
          <w:sz w:val="24"/>
        </w:rPr>
        <w:t>1.4.8   对联合体投标的其他资格要求见</w:t>
      </w:r>
      <w:r>
        <w:rPr>
          <w:rFonts w:hint="eastAsia" w:ascii="仿宋_GB2312" w:hAnsi="仿宋_GB2312" w:eastAsia="仿宋_GB2312" w:cs="仿宋_GB2312"/>
          <w:b w:val="0"/>
          <w:i w:val="0"/>
          <w:caps w:val="0"/>
          <w:spacing w:val="0"/>
          <w:w w:val="100"/>
          <w:sz w:val="24"/>
          <w:u w:val="single" w:color="000000"/>
        </w:rPr>
        <w:t>投标人须知资料表</w:t>
      </w:r>
      <w:r>
        <w:rPr>
          <w:rFonts w:hint="eastAsia" w:ascii="仿宋_GB2312" w:hAnsi="仿宋_GB2312" w:eastAsia="仿宋_GB2312" w:cs="仿宋_GB2312"/>
          <w:b w:val="0"/>
          <w:i w:val="0"/>
          <w:caps w:val="0"/>
          <w:spacing w:val="0"/>
          <w:w w:val="100"/>
          <w:sz w:val="24"/>
        </w:rPr>
        <w:t>。</w:t>
      </w:r>
    </w:p>
    <w:p w14:paraId="63D812DE">
      <w:pPr>
        <w:snapToGrid/>
        <w:spacing w:before="0" w:beforeAutospacing="0" w:after="0" w:afterAutospacing="0" w:line="288" w:lineRule="auto"/>
        <w:ind w:hangingChars="375"/>
        <w:jc w:val="both"/>
        <w:textAlignment w:val="baseline"/>
        <w:rPr>
          <w:rFonts w:ascii="仿宋_GB2312" w:hAnsi="仿宋_GB2312" w:eastAsia="仿宋_GB2312" w:cs="仿宋_GB2312"/>
          <w:b w:val="0"/>
          <w:i w:val="0"/>
          <w:caps w:val="0"/>
          <w:spacing w:val="0"/>
          <w:w w:val="100"/>
          <w:sz w:val="24"/>
        </w:rPr>
      </w:pPr>
      <w:r>
        <w:rPr>
          <w:rFonts w:hint="eastAsia" w:ascii="仿宋_GB2312" w:hAnsi="仿宋_GB2312" w:eastAsia="仿宋_GB2312" w:cs="仿宋_GB2312"/>
          <w:b w:val="0"/>
          <w:i w:val="0"/>
          <w:caps w:val="0"/>
          <w:spacing w:val="0"/>
          <w:w w:val="100"/>
          <w:sz w:val="24"/>
        </w:rPr>
        <w:t>1.5    单位负责人为同一人或者存在直接控股、管理关系的不同供应商，其相关投标将被认定为</w:t>
      </w:r>
      <w:r>
        <w:rPr>
          <w:rFonts w:hint="eastAsia" w:ascii="仿宋_GB2312" w:hAnsi="仿宋_GB2312" w:eastAsia="仿宋_GB2312" w:cs="仿宋_GB2312"/>
          <w:b/>
          <w:bCs/>
          <w:i w:val="0"/>
          <w:caps w:val="0"/>
          <w:spacing w:val="0"/>
          <w:w w:val="100"/>
          <w:sz w:val="24"/>
        </w:rPr>
        <w:t>投标无效</w:t>
      </w:r>
      <w:r>
        <w:rPr>
          <w:rFonts w:hint="eastAsia" w:ascii="仿宋_GB2312" w:hAnsi="仿宋_GB2312" w:eastAsia="仿宋_GB2312" w:cs="仿宋_GB2312"/>
          <w:b w:val="0"/>
          <w:i w:val="0"/>
          <w:caps w:val="0"/>
          <w:spacing w:val="0"/>
          <w:w w:val="100"/>
          <w:sz w:val="24"/>
        </w:rPr>
        <w:t>。</w:t>
      </w:r>
    </w:p>
    <w:p w14:paraId="0474B903">
      <w:pPr>
        <w:snapToGrid/>
        <w:spacing w:before="0" w:beforeAutospacing="0" w:after="0" w:afterAutospacing="0" w:line="288" w:lineRule="auto"/>
        <w:ind w:hangingChars="375"/>
        <w:jc w:val="both"/>
        <w:textAlignment w:val="baseline"/>
        <w:rPr>
          <w:rFonts w:ascii="仿宋_GB2312" w:hAnsi="仿宋_GB2312" w:eastAsia="仿宋_GB2312" w:cs="仿宋_GB2312"/>
          <w:b w:val="0"/>
          <w:i w:val="0"/>
          <w:caps w:val="0"/>
          <w:spacing w:val="0"/>
          <w:w w:val="100"/>
          <w:sz w:val="24"/>
        </w:rPr>
      </w:pPr>
      <w:r>
        <w:rPr>
          <w:rFonts w:hint="eastAsia" w:ascii="仿宋_GB2312" w:hAnsi="仿宋_GB2312" w:eastAsia="仿宋_GB2312" w:cs="仿宋_GB2312"/>
          <w:b w:val="0"/>
          <w:i w:val="0"/>
          <w:caps w:val="0"/>
          <w:spacing w:val="0"/>
          <w:w w:val="100"/>
          <w:sz w:val="24"/>
        </w:rPr>
        <w:t>1.6    为本项目提供过整体设计、规范编制或者项目管理、监理、检测等服务的供应商，不得再参加本项目上述服务以外的其他采购活动。否则其投标将被认定为</w:t>
      </w:r>
      <w:r>
        <w:rPr>
          <w:rFonts w:hint="eastAsia" w:ascii="仿宋_GB2312" w:hAnsi="仿宋_GB2312" w:eastAsia="仿宋_GB2312" w:cs="仿宋_GB2312"/>
          <w:b/>
          <w:bCs/>
          <w:i w:val="0"/>
          <w:caps w:val="0"/>
          <w:spacing w:val="0"/>
          <w:w w:val="100"/>
          <w:sz w:val="24"/>
        </w:rPr>
        <w:t>投标无效</w:t>
      </w:r>
      <w:r>
        <w:rPr>
          <w:rFonts w:hint="eastAsia" w:ascii="仿宋_GB2312" w:hAnsi="仿宋_GB2312" w:eastAsia="仿宋_GB2312" w:cs="仿宋_GB2312"/>
          <w:b w:val="0"/>
          <w:i w:val="0"/>
          <w:caps w:val="0"/>
          <w:spacing w:val="0"/>
          <w:w w:val="100"/>
          <w:sz w:val="24"/>
        </w:rPr>
        <w:t>。</w:t>
      </w:r>
    </w:p>
    <w:p w14:paraId="7E364628">
      <w:pPr>
        <w:snapToGrid/>
        <w:spacing w:before="0" w:beforeAutospacing="0" w:after="0" w:afterAutospacing="0" w:line="288" w:lineRule="auto"/>
        <w:ind w:hangingChars="375"/>
        <w:jc w:val="both"/>
        <w:textAlignment w:val="baseline"/>
        <w:rPr>
          <w:rFonts w:ascii="仿宋_GB2312" w:hAnsi="仿宋_GB2312" w:eastAsia="仿宋_GB2312" w:cs="仿宋_GB2312"/>
          <w:b w:val="0"/>
          <w:i w:val="0"/>
          <w:caps w:val="0"/>
          <w:spacing w:val="0"/>
          <w:w w:val="100"/>
          <w:sz w:val="24"/>
        </w:rPr>
      </w:pPr>
      <w:r>
        <w:rPr>
          <w:rFonts w:hint="eastAsia" w:ascii="仿宋_GB2312" w:hAnsi="仿宋_GB2312" w:eastAsia="仿宋_GB2312" w:cs="仿宋_GB2312"/>
          <w:b w:val="0"/>
          <w:i w:val="0"/>
          <w:caps w:val="0"/>
          <w:spacing w:val="0"/>
          <w:w w:val="100"/>
          <w:sz w:val="24"/>
        </w:rPr>
        <w:t>1.7</w:t>
      </w:r>
      <w:r>
        <w:rPr>
          <w:rFonts w:hint="eastAsia" w:ascii="仿宋_GB2312" w:hAnsi="仿宋_GB2312" w:eastAsia="仿宋_GB2312" w:cs="仿宋_GB2312"/>
          <w:b w:val="0"/>
          <w:i w:val="0"/>
          <w:caps w:val="0"/>
          <w:spacing w:val="0"/>
          <w:w w:val="100"/>
          <w:sz w:val="24"/>
        </w:rPr>
        <w:tab/>
      </w:r>
      <w:r>
        <w:rPr>
          <w:rFonts w:hint="eastAsia" w:ascii="仿宋_GB2312" w:hAnsi="仿宋_GB2312" w:eastAsia="仿宋_GB2312" w:cs="仿宋_GB2312"/>
          <w:b w:val="0"/>
          <w:i w:val="0"/>
          <w:caps w:val="0"/>
          <w:spacing w:val="0"/>
          <w:w w:val="100"/>
          <w:sz w:val="24"/>
        </w:rPr>
        <w:t>投标人在投标过程中不得向采购人提供、给予任何有价值的物品，影响其正常决策行为。一经发现，其将被认定为</w:t>
      </w:r>
      <w:r>
        <w:rPr>
          <w:rFonts w:hint="eastAsia" w:ascii="仿宋_GB2312" w:hAnsi="仿宋_GB2312" w:eastAsia="仿宋_GB2312" w:cs="仿宋_GB2312"/>
          <w:b/>
          <w:bCs/>
          <w:i w:val="0"/>
          <w:caps w:val="0"/>
          <w:spacing w:val="0"/>
          <w:w w:val="100"/>
          <w:sz w:val="24"/>
        </w:rPr>
        <w:t>投标无效</w:t>
      </w:r>
      <w:r>
        <w:rPr>
          <w:rFonts w:hint="eastAsia" w:ascii="仿宋_GB2312" w:hAnsi="仿宋_GB2312" w:eastAsia="仿宋_GB2312" w:cs="仿宋_GB2312"/>
          <w:b w:val="0"/>
          <w:i w:val="0"/>
          <w:caps w:val="0"/>
          <w:spacing w:val="0"/>
          <w:w w:val="100"/>
          <w:sz w:val="24"/>
        </w:rPr>
        <w:t>。</w:t>
      </w:r>
    </w:p>
    <w:p w14:paraId="678FE54F">
      <w:pPr>
        <w:pStyle w:val="4"/>
        <w:snapToGrid/>
        <w:spacing w:before="0" w:beforeAutospacing="0" w:after="0" w:afterAutospacing="0" w:line="288" w:lineRule="auto"/>
        <w:jc w:val="left"/>
        <w:textAlignment w:val="baseline"/>
        <w:rPr>
          <w:rFonts w:ascii="仿宋_GB2312" w:hAnsi="仿宋_GB2312" w:eastAsia="仿宋_GB2312" w:cs="仿宋_GB2312"/>
          <w:b/>
          <w:i w:val="0"/>
          <w:caps w:val="0"/>
          <w:spacing w:val="0"/>
          <w:w w:val="100"/>
          <w:sz w:val="24"/>
        </w:rPr>
      </w:pPr>
      <w:bookmarkStart w:id="75" w:name="_Toc29839"/>
      <w:bookmarkStart w:id="76" w:name="_Toc7361"/>
      <w:bookmarkStart w:id="77" w:name="_Toc14658"/>
      <w:bookmarkStart w:id="78" w:name="_Toc17808"/>
      <w:bookmarkStart w:id="79" w:name="_Toc14117"/>
      <w:bookmarkStart w:id="80" w:name="_Toc515647759"/>
      <w:bookmarkStart w:id="81" w:name="_Toc4315"/>
      <w:bookmarkStart w:id="82" w:name="_Toc25813"/>
      <w:bookmarkStart w:id="83" w:name="_Toc22291"/>
      <w:bookmarkStart w:id="84" w:name="_Toc5286"/>
      <w:bookmarkStart w:id="85" w:name="_Toc21316"/>
      <w:bookmarkStart w:id="86" w:name="_Toc30717"/>
      <w:bookmarkStart w:id="87" w:name="_Toc1472"/>
      <w:bookmarkStart w:id="88" w:name="_Toc8874"/>
      <w:bookmarkStart w:id="89" w:name="_Toc4322"/>
      <w:bookmarkStart w:id="90" w:name="_Toc20103"/>
      <w:bookmarkStart w:id="91" w:name="_Toc18623"/>
      <w:bookmarkStart w:id="92" w:name="_Toc12139"/>
      <w:bookmarkStart w:id="93" w:name="_Toc25043"/>
      <w:bookmarkStart w:id="94" w:name="_Toc9749"/>
      <w:bookmarkStart w:id="95" w:name="_Toc28178"/>
      <w:bookmarkStart w:id="96" w:name="_Toc6144"/>
      <w:r>
        <w:rPr>
          <w:rFonts w:hint="eastAsia" w:ascii="仿宋_GB2312" w:hAnsi="仿宋_GB2312" w:eastAsia="仿宋_GB2312" w:cs="仿宋_GB2312"/>
          <w:b/>
          <w:i w:val="0"/>
          <w:caps w:val="0"/>
          <w:spacing w:val="0"/>
          <w:w w:val="100"/>
          <w:sz w:val="24"/>
        </w:rPr>
        <w:t>2.资金来源</w:t>
      </w:r>
      <w:bookmarkEnd w:id="75"/>
      <w:bookmarkEnd w:id="76"/>
      <w:bookmarkEnd w:id="77"/>
      <w:bookmarkEnd w:id="78"/>
      <w:bookmarkEnd w:id="79"/>
      <w:bookmarkEnd w:id="80"/>
      <w:bookmarkEnd w:id="81"/>
      <w:bookmarkEnd w:id="82"/>
      <w:bookmarkEnd w:id="83"/>
      <w:bookmarkEnd w:id="84"/>
      <w:bookmarkEnd w:id="85"/>
      <w:bookmarkEnd w:id="86"/>
      <w:bookmarkEnd w:id="87"/>
      <w:bookmarkEnd w:id="88"/>
      <w:bookmarkEnd w:id="89"/>
      <w:bookmarkEnd w:id="90"/>
      <w:bookmarkEnd w:id="91"/>
      <w:bookmarkEnd w:id="92"/>
      <w:bookmarkEnd w:id="93"/>
      <w:bookmarkEnd w:id="94"/>
      <w:bookmarkEnd w:id="95"/>
      <w:bookmarkEnd w:id="96"/>
    </w:p>
    <w:p w14:paraId="46DA3633">
      <w:pPr>
        <w:snapToGrid/>
        <w:spacing w:before="0" w:beforeAutospacing="0" w:after="0" w:afterAutospacing="0" w:line="288" w:lineRule="auto"/>
        <w:ind w:hangingChars="375"/>
        <w:jc w:val="both"/>
        <w:textAlignment w:val="baseline"/>
        <w:rPr>
          <w:rFonts w:ascii="仿宋_GB2312" w:hAnsi="仿宋_GB2312" w:eastAsia="仿宋_GB2312" w:cs="仿宋_GB2312"/>
          <w:b w:val="0"/>
          <w:i w:val="0"/>
          <w:caps w:val="0"/>
          <w:spacing w:val="0"/>
          <w:w w:val="100"/>
          <w:sz w:val="24"/>
        </w:rPr>
      </w:pPr>
      <w:r>
        <w:rPr>
          <w:rFonts w:hint="eastAsia" w:ascii="仿宋_GB2312" w:hAnsi="仿宋_GB2312" w:eastAsia="仿宋_GB2312" w:cs="仿宋_GB2312"/>
          <w:b w:val="0"/>
          <w:i w:val="0"/>
          <w:caps w:val="0"/>
          <w:spacing w:val="0"/>
          <w:w w:val="100"/>
          <w:sz w:val="24"/>
        </w:rPr>
        <w:t>2.1</w:t>
      </w:r>
      <w:r>
        <w:rPr>
          <w:rFonts w:hint="eastAsia" w:ascii="仿宋_GB2312" w:hAnsi="仿宋_GB2312" w:eastAsia="仿宋_GB2312" w:cs="仿宋_GB2312"/>
          <w:b w:val="0"/>
          <w:i w:val="0"/>
          <w:caps w:val="0"/>
          <w:spacing w:val="0"/>
          <w:w w:val="100"/>
          <w:sz w:val="24"/>
          <w:lang w:val="en-US" w:eastAsia="zh-CN"/>
        </w:rPr>
        <w:t xml:space="preserve">    </w:t>
      </w:r>
      <w:r>
        <w:rPr>
          <w:rFonts w:hint="eastAsia" w:ascii="仿宋_GB2312" w:hAnsi="仿宋_GB2312" w:eastAsia="仿宋_GB2312" w:cs="仿宋_GB2312"/>
          <w:b w:val="0"/>
          <w:i w:val="0"/>
          <w:caps w:val="0"/>
          <w:spacing w:val="0"/>
          <w:w w:val="100"/>
          <w:sz w:val="24"/>
        </w:rPr>
        <w:t>本项目的采购人已获得足以支付本次招标后所签订的合同项下的资金（包括财政性资金和本项目采购中无法与财政性资金分割的非财政性资金）。</w:t>
      </w:r>
    </w:p>
    <w:p w14:paraId="7791948D">
      <w:pPr>
        <w:snapToGrid/>
        <w:spacing w:before="0" w:beforeAutospacing="0" w:after="0" w:afterAutospacing="0" w:line="288" w:lineRule="auto"/>
        <w:ind w:hangingChars="375"/>
        <w:jc w:val="both"/>
        <w:textAlignment w:val="baseline"/>
        <w:rPr>
          <w:rFonts w:ascii="仿宋_GB2312" w:hAnsi="仿宋_GB2312" w:eastAsia="仿宋_GB2312" w:cs="仿宋_GB2312"/>
          <w:b w:val="0"/>
          <w:i w:val="0"/>
          <w:caps w:val="0"/>
          <w:spacing w:val="0"/>
          <w:w w:val="100"/>
          <w:sz w:val="24"/>
        </w:rPr>
      </w:pPr>
      <w:r>
        <w:rPr>
          <w:rFonts w:hint="eastAsia" w:ascii="仿宋_GB2312" w:hAnsi="仿宋_GB2312" w:eastAsia="仿宋_GB2312" w:cs="仿宋_GB2312"/>
          <w:b w:val="0"/>
          <w:i w:val="0"/>
          <w:caps w:val="0"/>
          <w:spacing w:val="0"/>
          <w:w w:val="100"/>
          <w:sz w:val="24"/>
        </w:rPr>
        <w:t>2.2    项目预算金额和分项或分包最高限价</w:t>
      </w:r>
      <w:r>
        <w:rPr>
          <w:rFonts w:hint="eastAsia" w:ascii="仿宋_GB2312" w:hAnsi="仿宋_GB2312" w:eastAsia="仿宋_GB2312" w:cs="仿宋_GB2312"/>
          <w:b w:val="0"/>
          <w:i w:val="0"/>
          <w:caps w:val="0"/>
          <w:spacing w:val="0"/>
          <w:w w:val="100"/>
          <w:sz w:val="24"/>
          <w:u w:val="single" w:color="000000"/>
        </w:rPr>
        <w:t>见投标人须知资料表</w:t>
      </w:r>
      <w:r>
        <w:rPr>
          <w:rFonts w:hint="eastAsia" w:ascii="仿宋_GB2312" w:hAnsi="仿宋_GB2312" w:eastAsia="仿宋_GB2312" w:cs="仿宋_GB2312"/>
          <w:b w:val="0"/>
          <w:i w:val="0"/>
          <w:caps w:val="0"/>
          <w:spacing w:val="0"/>
          <w:w w:val="100"/>
          <w:sz w:val="24"/>
        </w:rPr>
        <w:t>。</w:t>
      </w:r>
    </w:p>
    <w:p w14:paraId="0D7E4714">
      <w:pPr>
        <w:snapToGrid/>
        <w:spacing w:before="0" w:beforeAutospacing="0" w:after="0" w:afterAutospacing="0" w:line="288" w:lineRule="auto"/>
        <w:ind w:hangingChars="375"/>
        <w:jc w:val="both"/>
        <w:textAlignment w:val="baseline"/>
        <w:rPr>
          <w:rFonts w:ascii="仿宋_GB2312" w:hAnsi="仿宋_GB2312" w:eastAsia="仿宋_GB2312" w:cs="仿宋_GB2312"/>
          <w:b w:val="0"/>
          <w:i w:val="0"/>
          <w:caps w:val="0"/>
          <w:spacing w:val="0"/>
          <w:w w:val="100"/>
          <w:sz w:val="24"/>
        </w:rPr>
      </w:pPr>
      <w:r>
        <w:rPr>
          <w:rFonts w:hint="eastAsia" w:ascii="仿宋_GB2312" w:hAnsi="仿宋_GB2312" w:eastAsia="仿宋_GB2312" w:cs="仿宋_GB2312"/>
          <w:b w:val="0"/>
          <w:i w:val="0"/>
          <w:caps w:val="0"/>
          <w:spacing w:val="0"/>
          <w:w w:val="100"/>
          <w:sz w:val="24"/>
        </w:rPr>
        <w:t>2.3    投标人报价超过招标文件规定的预算金额或者分项、分包最高限价的，其投标将被认定为</w:t>
      </w:r>
      <w:r>
        <w:rPr>
          <w:rFonts w:hint="eastAsia" w:ascii="仿宋_GB2312" w:hAnsi="仿宋_GB2312" w:eastAsia="仿宋_GB2312" w:cs="仿宋_GB2312"/>
          <w:b/>
          <w:bCs/>
          <w:i w:val="0"/>
          <w:caps w:val="0"/>
          <w:spacing w:val="0"/>
          <w:w w:val="100"/>
          <w:sz w:val="24"/>
        </w:rPr>
        <w:t>投标无效</w:t>
      </w:r>
      <w:r>
        <w:rPr>
          <w:rFonts w:hint="eastAsia" w:ascii="仿宋_GB2312" w:hAnsi="仿宋_GB2312" w:eastAsia="仿宋_GB2312" w:cs="仿宋_GB2312"/>
          <w:b w:val="0"/>
          <w:i w:val="0"/>
          <w:caps w:val="0"/>
          <w:spacing w:val="0"/>
          <w:w w:val="100"/>
          <w:sz w:val="24"/>
        </w:rPr>
        <w:t>。</w:t>
      </w:r>
    </w:p>
    <w:p w14:paraId="1C24D814">
      <w:pPr>
        <w:pStyle w:val="4"/>
        <w:snapToGrid/>
        <w:spacing w:before="0" w:beforeAutospacing="0" w:after="0" w:afterAutospacing="0" w:line="288" w:lineRule="auto"/>
        <w:jc w:val="left"/>
        <w:textAlignment w:val="baseline"/>
        <w:rPr>
          <w:rFonts w:ascii="仿宋_GB2312" w:hAnsi="仿宋_GB2312" w:eastAsia="仿宋_GB2312" w:cs="仿宋_GB2312"/>
          <w:b/>
          <w:i w:val="0"/>
          <w:caps w:val="0"/>
          <w:spacing w:val="0"/>
          <w:w w:val="100"/>
          <w:sz w:val="24"/>
        </w:rPr>
      </w:pPr>
      <w:bookmarkStart w:id="97" w:name="_Toc31923"/>
      <w:bookmarkStart w:id="98" w:name="_Toc26014"/>
      <w:bookmarkStart w:id="99" w:name="_Toc24214"/>
      <w:bookmarkStart w:id="100" w:name="_Toc12066"/>
      <w:bookmarkStart w:id="101" w:name="_Toc2094"/>
      <w:bookmarkStart w:id="102" w:name="_Toc26702"/>
      <w:bookmarkStart w:id="103" w:name="_Toc245"/>
      <w:bookmarkStart w:id="104" w:name="_Toc13235"/>
      <w:bookmarkStart w:id="105" w:name="_Toc25643"/>
      <w:bookmarkStart w:id="106" w:name="_Toc26359"/>
      <w:bookmarkStart w:id="107" w:name="_Toc13828"/>
      <w:bookmarkStart w:id="108" w:name="_Toc20526"/>
      <w:bookmarkStart w:id="109" w:name="_Toc22584"/>
      <w:bookmarkStart w:id="110" w:name="_Toc7094"/>
      <w:bookmarkStart w:id="111" w:name="_Toc17722"/>
      <w:bookmarkStart w:id="112" w:name="_Toc23790"/>
      <w:bookmarkStart w:id="113" w:name="_Toc31962"/>
      <w:bookmarkStart w:id="114" w:name="_Toc22515"/>
      <w:bookmarkStart w:id="115" w:name="_Toc20548"/>
      <w:bookmarkStart w:id="116" w:name="_Toc3218"/>
      <w:bookmarkStart w:id="117" w:name="_Toc515647760"/>
      <w:bookmarkStart w:id="118" w:name="_Toc15936"/>
      <w:bookmarkStart w:id="119" w:name="_Toc520356145"/>
      <w:r>
        <w:rPr>
          <w:rFonts w:hint="eastAsia" w:ascii="仿宋_GB2312" w:hAnsi="仿宋_GB2312" w:eastAsia="仿宋_GB2312" w:cs="仿宋_GB2312"/>
          <w:b/>
          <w:i w:val="0"/>
          <w:caps w:val="0"/>
          <w:spacing w:val="0"/>
          <w:w w:val="100"/>
          <w:sz w:val="24"/>
        </w:rPr>
        <w:t>3.投标费用</w:t>
      </w:r>
      <w:bookmarkEnd w:id="97"/>
      <w:bookmarkEnd w:id="98"/>
      <w:bookmarkEnd w:id="99"/>
      <w:bookmarkEnd w:id="100"/>
      <w:bookmarkEnd w:id="101"/>
      <w:bookmarkEnd w:id="102"/>
      <w:bookmarkEnd w:id="103"/>
      <w:bookmarkEnd w:id="104"/>
      <w:bookmarkEnd w:id="105"/>
      <w:bookmarkEnd w:id="106"/>
      <w:bookmarkEnd w:id="107"/>
      <w:bookmarkEnd w:id="108"/>
      <w:bookmarkEnd w:id="109"/>
      <w:bookmarkEnd w:id="110"/>
      <w:bookmarkEnd w:id="111"/>
      <w:bookmarkEnd w:id="112"/>
      <w:bookmarkEnd w:id="113"/>
      <w:bookmarkEnd w:id="114"/>
      <w:bookmarkEnd w:id="115"/>
      <w:bookmarkEnd w:id="116"/>
      <w:bookmarkEnd w:id="117"/>
      <w:bookmarkEnd w:id="118"/>
      <w:bookmarkEnd w:id="119"/>
    </w:p>
    <w:p w14:paraId="24DCF397">
      <w:pPr>
        <w:snapToGrid/>
        <w:spacing w:before="0" w:beforeAutospacing="0" w:after="0" w:afterAutospacing="0" w:line="288" w:lineRule="auto"/>
        <w:ind w:hangingChars="375"/>
        <w:jc w:val="both"/>
        <w:textAlignment w:val="baseline"/>
        <w:rPr>
          <w:rFonts w:ascii="仿宋_GB2312" w:hAnsi="仿宋_GB2312" w:eastAsia="仿宋_GB2312" w:cs="仿宋_GB2312"/>
          <w:b w:val="0"/>
          <w:i w:val="0"/>
          <w:caps w:val="0"/>
          <w:spacing w:val="0"/>
          <w:w w:val="100"/>
          <w:sz w:val="24"/>
        </w:rPr>
      </w:pPr>
      <w:r>
        <w:rPr>
          <w:rFonts w:hint="eastAsia" w:ascii="仿宋_GB2312" w:hAnsi="仿宋_GB2312" w:eastAsia="仿宋_GB2312" w:cs="仿宋_GB2312"/>
          <w:b w:val="0"/>
          <w:i w:val="0"/>
          <w:caps w:val="0"/>
          <w:spacing w:val="0"/>
          <w:w w:val="100"/>
          <w:sz w:val="24"/>
        </w:rPr>
        <w:tab/>
      </w:r>
      <w:r>
        <w:rPr>
          <w:rFonts w:hint="eastAsia" w:ascii="仿宋_GB2312" w:hAnsi="仿宋_GB2312" w:eastAsia="仿宋_GB2312" w:cs="仿宋_GB2312"/>
          <w:b w:val="0"/>
          <w:i w:val="0"/>
          <w:caps w:val="0"/>
          <w:spacing w:val="0"/>
          <w:w w:val="100"/>
          <w:sz w:val="24"/>
        </w:rPr>
        <w:t>不论投标的结果如何，投标人应承担所有与准备和参加投标有关的费用。</w:t>
      </w:r>
    </w:p>
    <w:p w14:paraId="240283A4">
      <w:pPr>
        <w:pStyle w:val="4"/>
        <w:snapToGrid/>
        <w:spacing w:before="0" w:beforeAutospacing="0" w:after="0" w:afterAutospacing="0" w:line="288" w:lineRule="auto"/>
        <w:jc w:val="left"/>
        <w:textAlignment w:val="baseline"/>
        <w:rPr>
          <w:rFonts w:ascii="仿宋_GB2312" w:hAnsi="仿宋_GB2312" w:eastAsia="仿宋_GB2312" w:cs="仿宋_GB2312"/>
          <w:b/>
          <w:i w:val="0"/>
          <w:caps w:val="0"/>
          <w:spacing w:val="0"/>
          <w:w w:val="100"/>
          <w:sz w:val="24"/>
        </w:rPr>
      </w:pPr>
      <w:bookmarkStart w:id="120" w:name="_Toc10040"/>
      <w:bookmarkStart w:id="121" w:name="_Toc32665"/>
      <w:bookmarkStart w:id="122" w:name="_Toc24113"/>
      <w:bookmarkStart w:id="123" w:name="_Toc3354"/>
      <w:bookmarkStart w:id="124" w:name="_Toc22881"/>
      <w:bookmarkStart w:id="125" w:name="_Toc25102"/>
      <w:bookmarkStart w:id="126" w:name="_Toc26945"/>
      <w:bookmarkStart w:id="127" w:name="_Toc515647761"/>
      <w:bookmarkStart w:id="128" w:name="_Toc24226"/>
      <w:bookmarkStart w:id="129" w:name="_Toc4463"/>
      <w:bookmarkStart w:id="130" w:name="_Toc28041"/>
      <w:bookmarkStart w:id="131" w:name="_Toc25129"/>
      <w:bookmarkStart w:id="132" w:name="_Toc20058"/>
      <w:bookmarkStart w:id="133" w:name="_Toc19776"/>
      <w:bookmarkStart w:id="134" w:name="_Toc18730"/>
      <w:bookmarkStart w:id="135" w:name="_Toc27856"/>
      <w:bookmarkStart w:id="136" w:name="_Toc6116"/>
      <w:bookmarkStart w:id="137" w:name="_Toc3200"/>
      <w:bookmarkStart w:id="138" w:name="_Toc30733"/>
      <w:bookmarkStart w:id="139" w:name="_Toc28727"/>
      <w:bookmarkStart w:id="140" w:name="_Toc21790"/>
      <w:bookmarkStart w:id="141" w:name="_Toc31798"/>
      <w:r>
        <w:rPr>
          <w:rFonts w:hint="eastAsia" w:ascii="仿宋_GB2312" w:hAnsi="仿宋_GB2312" w:eastAsia="仿宋_GB2312" w:cs="仿宋_GB2312"/>
          <w:b/>
          <w:i w:val="0"/>
          <w:caps w:val="0"/>
          <w:spacing w:val="0"/>
          <w:w w:val="100"/>
          <w:sz w:val="24"/>
        </w:rPr>
        <w:t>4.适用法律</w:t>
      </w:r>
      <w:bookmarkEnd w:id="120"/>
      <w:bookmarkEnd w:id="121"/>
      <w:bookmarkEnd w:id="122"/>
      <w:bookmarkEnd w:id="123"/>
      <w:bookmarkEnd w:id="124"/>
      <w:bookmarkEnd w:id="125"/>
      <w:bookmarkEnd w:id="126"/>
      <w:bookmarkEnd w:id="127"/>
      <w:bookmarkEnd w:id="128"/>
      <w:bookmarkEnd w:id="129"/>
      <w:bookmarkEnd w:id="130"/>
      <w:bookmarkEnd w:id="131"/>
      <w:bookmarkEnd w:id="132"/>
      <w:bookmarkEnd w:id="133"/>
      <w:bookmarkEnd w:id="134"/>
      <w:bookmarkEnd w:id="135"/>
      <w:bookmarkEnd w:id="136"/>
      <w:bookmarkEnd w:id="137"/>
      <w:bookmarkEnd w:id="138"/>
      <w:bookmarkEnd w:id="139"/>
      <w:bookmarkEnd w:id="140"/>
      <w:bookmarkEnd w:id="141"/>
    </w:p>
    <w:p w14:paraId="4A8DF17A">
      <w:pPr>
        <w:snapToGrid/>
        <w:spacing w:before="0" w:beforeAutospacing="0" w:after="0" w:afterAutospacing="0" w:line="288" w:lineRule="auto"/>
        <w:ind w:hangingChars="375"/>
        <w:jc w:val="both"/>
        <w:textAlignment w:val="baseline"/>
        <w:rPr>
          <w:rFonts w:ascii="仿宋_GB2312" w:hAnsi="仿宋_GB2312" w:eastAsia="仿宋_GB2312" w:cs="仿宋_GB2312"/>
          <w:b w:val="0"/>
          <w:i w:val="0"/>
          <w:caps w:val="0"/>
          <w:spacing w:val="0"/>
          <w:w w:val="100"/>
          <w:sz w:val="24"/>
        </w:rPr>
      </w:pPr>
      <w:r>
        <w:rPr>
          <w:rFonts w:hint="eastAsia" w:ascii="仿宋_GB2312" w:hAnsi="仿宋_GB2312" w:eastAsia="仿宋_GB2312" w:cs="仿宋_GB2312"/>
          <w:b w:val="0"/>
          <w:i w:val="0"/>
          <w:caps w:val="0"/>
          <w:spacing w:val="0"/>
          <w:w w:val="100"/>
          <w:sz w:val="24"/>
        </w:rPr>
        <w:t xml:space="preserve">       本项目采购人、采购代理机构、投标人、评标委员会的相关行为均受《中华人民共和国政府采购法》、《中华人民共和国政府采购法实施条例》及本项目本级和上级财政部门政府采购有关规定的约束，其权利受到上述法律法规的保护。</w:t>
      </w:r>
    </w:p>
    <w:p w14:paraId="5D5F97D8">
      <w:pPr>
        <w:pStyle w:val="2"/>
        <w:snapToGrid/>
        <w:spacing w:before="0" w:beforeAutospacing="0" w:after="0" w:afterAutospacing="0" w:line="288" w:lineRule="auto"/>
        <w:ind w:left="1079" w:leftChars="257" w:hanging="540"/>
        <w:jc w:val="center"/>
        <w:textAlignment w:val="baseline"/>
        <w:rPr>
          <w:rFonts w:ascii="仿宋_GB2312" w:hAnsi="仿宋_GB2312" w:eastAsia="仿宋_GB2312" w:cs="仿宋_GB2312"/>
          <w:b/>
          <w:i w:val="0"/>
          <w:caps w:val="0"/>
          <w:spacing w:val="0"/>
          <w:w w:val="100"/>
          <w:sz w:val="28"/>
        </w:rPr>
      </w:pPr>
      <w:bookmarkStart w:id="142" w:name="_Toc28905"/>
      <w:bookmarkStart w:id="143" w:name="_Toc4063"/>
      <w:bookmarkStart w:id="144" w:name="_Toc6944"/>
      <w:bookmarkStart w:id="145" w:name="_Toc2141"/>
      <w:bookmarkStart w:id="146" w:name="_Toc29969"/>
      <w:bookmarkStart w:id="147" w:name="_Toc4365"/>
      <w:bookmarkStart w:id="148" w:name="_Toc11931"/>
      <w:bookmarkStart w:id="149" w:name="_Toc1733"/>
      <w:bookmarkStart w:id="150" w:name="_Toc19184"/>
      <w:bookmarkStart w:id="151" w:name="_Toc9392"/>
      <w:bookmarkStart w:id="152" w:name="_Toc8117"/>
      <w:bookmarkStart w:id="153" w:name="_Toc28572"/>
      <w:bookmarkStart w:id="154" w:name="_Toc520356146"/>
      <w:bookmarkStart w:id="155" w:name="_Toc30891"/>
      <w:bookmarkStart w:id="156" w:name="_Toc10643"/>
      <w:bookmarkStart w:id="157" w:name="_Toc21566"/>
      <w:bookmarkStart w:id="158" w:name="_Toc16501"/>
      <w:bookmarkStart w:id="159" w:name="_Toc14410"/>
      <w:bookmarkStart w:id="160" w:name="_Toc216582806"/>
      <w:bookmarkStart w:id="161" w:name="_Toc17538"/>
      <w:bookmarkStart w:id="162" w:name="_Toc23203"/>
      <w:bookmarkStart w:id="163" w:name="_Toc5673"/>
      <w:bookmarkStart w:id="164" w:name="_Toc515647762"/>
      <w:r>
        <w:rPr>
          <w:rFonts w:hint="eastAsia" w:ascii="仿宋_GB2312" w:hAnsi="仿宋_GB2312" w:eastAsia="仿宋_GB2312" w:cs="仿宋_GB2312"/>
          <w:b/>
          <w:i w:val="0"/>
          <w:caps w:val="0"/>
          <w:spacing w:val="0"/>
          <w:w w:val="100"/>
          <w:sz w:val="28"/>
        </w:rPr>
        <w:t>二   招标文件</w:t>
      </w:r>
      <w:bookmarkEnd w:id="142"/>
      <w:bookmarkEnd w:id="143"/>
      <w:bookmarkEnd w:id="144"/>
      <w:bookmarkEnd w:id="145"/>
      <w:bookmarkEnd w:id="146"/>
      <w:bookmarkEnd w:id="147"/>
      <w:bookmarkEnd w:id="148"/>
      <w:bookmarkEnd w:id="149"/>
      <w:bookmarkEnd w:id="150"/>
      <w:bookmarkEnd w:id="151"/>
      <w:bookmarkEnd w:id="152"/>
      <w:bookmarkEnd w:id="153"/>
      <w:bookmarkEnd w:id="154"/>
      <w:bookmarkEnd w:id="155"/>
      <w:bookmarkEnd w:id="156"/>
      <w:bookmarkEnd w:id="157"/>
      <w:bookmarkEnd w:id="158"/>
      <w:bookmarkEnd w:id="159"/>
      <w:bookmarkEnd w:id="160"/>
      <w:bookmarkEnd w:id="161"/>
      <w:bookmarkEnd w:id="162"/>
      <w:bookmarkEnd w:id="163"/>
      <w:bookmarkEnd w:id="164"/>
    </w:p>
    <w:p w14:paraId="358E734D">
      <w:pPr>
        <w:pStyle w:val="9"/>
        <w:snapToGrid/>
        <w:spacing w:before="0" w:beforeAutospacing="0" w:after="0" w:afterAutospacing="0" w:line="288" w:lineRule="auto"/>
        <w:ind w:firstLine="420"/>
        <w:jc w:val="left"/>
        <w:textAlignment w:val="baseline"/>
        <w:rPr>
          <w:rFonts w:ascii="仿宋_GB2312" w:hAnsi="仿宋_GB2312" w:eastAsia="仿宋_GB2312" w:cs="仿宋_GB2312"/>
          <w:b w:val="0"/>
          <w:i w:val="0"/>
          <w:caps w:val="0"/>
          <w:spacing w:val="0"/>
          <w:w w:val="100"/>
          <w:sz w:val="24"/>
        </w:rPr>
      </w:pPr>
    </w:p>
    <w:p w14:paraId="5C6A0DFF">
      <w:pPr>
        <w:pStyle w:val="4"/>
        <w:snapToGrid/>
        <w:spacing w:before="0" w:beforeAutospacing="0" w:after="0" w:afterAutospacing="0" w:line="288" w:lineRule="auto"/>
        <w:jc w:val="left"/>
        <w:textAlignment w:val="baseline"/>
        <w:rPr>
          <w:rFonts w:ascii="仿宋_GB2312" w:hAnsi="仿宋_GB2312" w:eastAsia="仿宋_GB2312" w:cs="仿宋_GB2312"/>
          <w:b/>
          <w:i w:val="0"/>
          <w:caps w:val="0"/>
          <w:spacing w:val="0"/>
          <w:w w:val="100"/>
          <w:sz w:val="24"/>
        </w:rPr>
      </w:pPr>
      <w:bookmarkStart w:id="165" w:name="_Toc28647"/>
      <w:bookmarkStart w:id="166" w:name="_Toc26888"/>
      <w:bookmarkStart w:id="167" w:name="_Toc481"/>
      <w:bookmarkStart w:id="168" w:name="_Toc20260"/>
      <w:bookmarkStart w:id="169" w:name="_Toc14637"/>
      <w:bookmarkStart w:id="170" w:name="_Toc17225"/>
      <w:bookmarkStart w:id="171" w:name="_Toc22031"/>
      <w:bookmarkStart w:id="172" w:name="_Toc5824"/>
      <w:bookmarkStart w:id="173" w:name="_Toc515647763"/>
      <w:bookmarkStart w:id="174" w:name="_Toc1617"/>
      <w:bookmarkStart w:id="175" w:name="_Toc22748"/>
      <w:bookmarkStart w:id="176" w:name="_Toc5326"/>
      <w:bookmarkStart w:id="177" w:name="_Toc6762"/>
      <w:bookmarkStart w:id="178" w:name="_Toc14084"/>
      <w:bookmarkStart w:id="179" w:name="_Toc30802"/>
      <w:bookmarkStart w:id="180" w:name="_Toc6246"/>
      <w:bookmarkStart w:id="181" w:name="_Toc25743"/>
      <w:bookmarkStart w:id="182" w:name="_Toc11582"/>
      <w:bookmarkStart w:id="183" w:name="_Toc4671"/>
      <w:bookmarkStart w:id="184" w:name="_Toc11182"/>
      <w:bookmarkStart w:id="185" w:name="_Toc520356147"/>
      <w:bookmarkStart w:id="186" w:name="_Toc26759"/>
      <w:bookmarkStart w:id="187" w:name="_Toc7066"/>
      <w:r>
        <w:rPr>
          <w:rFonts w:hint="eastAsia" w:ascii="仿宋_GB2312" w:hAnsi="仿宋_GB2312" w:eastAsia="仿宋_GB2312" w:cs="仿宋_GB2312"/>
          <w:b/>
          <w:i w:val="0"/>
          <w:caps w:val="0"/>
          <w:spacing w:val="0"/>
          <w:w w:val="100"/>
          <w:sz w:val="24"/>
        </w:rPr>
        <w:t>5.招标文件构成</w:t>
      </w:r>
      <w:bookmarkEnd w:id="165"/>
      <w:bookmarkEnd w:id="166"/>
      <w:bookmarkEnd w:id="167"/>
      <w:bookmarkEnd w:id="168"/>
      <w:bookmarkEnd w:id="169"/>
      <w:bookmarkEnd w:id="170"/>
      <w:bookmarkEnd w:id="171"/>
      <w:bookmarkEnd w:id="172"/>
      <w:bookmarkEnd w:id="173"/>
      <w:bookmarkEnd w:id="174"/>
      <w:bookmarkEnd w:id="175"/>
      <w:bookmarkEnd w:id="176"/>
      <w:bookmarkEnd w:id="177"/>
      <w:bookmarkEnd w:id="178"/>
      <w:bookmarkEnd w:id="179"/>
      <w:bookmarkEnd w:id="180"/>
      <w:bookmarkEnd w:id="181"/>
      <w:bookmarkEnd w:id="182"/>
      <w:bookmarkEnd w:id="183"/>
      <w:bookmarkEnd w:id="184"/>
      <w:bookmarkEnd w:id="185"/>
      <w:bookmarkEnd w:id="186"/>
      <w:bookmarkEnd w:id="187"/>
    </w:p>
    <w:p w14:paraId="7B4A260F">
      <w:pPr>
        <w:snapToGrid/>
        <w:spacing w:before="0" w:beforeAutospacing="0" w:after="0" w:afterAutospacing="0" w:line="288" w:lineRule="auto"/>
        <w:ind w:hangingChars="375"/>
        <w:jc w:val="both"/>
        <w:textAlignment w:val="baseline"/>
        <w:rPr>
          <w:rFonts w:ascii="仿宋_GB2312" w:hAnsi="仿宋_GB2312" w:eastAsia="仿宋_GB2312" w:cs="仿宋_GB2312"/>
          <w:b w:val="0"/>
          <w:i w:val="0"/>
          <w:caps w:val="0"/>
          <w:spacing w:val="0"/>
          <w:w w:val="100"/>
          <w:sz w:val="24"/>
        </w:rPr>
      </w:pPr>
      <w:r>
        <w:rPr>
          <w:rFonts w:hint="eastAsia" w:ascii="仿宋_GB2312" w:hAnsi="仿宋_GB2312" w:eastAsia="仿宋_GB2312" w:cs="仿宋_GB2312"/>
          <w:b w:val="0"/>
          <w:i w:val="0"/>
          <w:caps w:val="0"/>
          <w:spacing w:val="0"/>
          <w:w w:val="100"/>
          <w:sz w:val="24"/>
        </w:rPr>
        <w:t>5.1</w:t>
      </w:r>
      <w:r>
        <w:rPr>
          <w:rFonts w:hint="eastAsia" w:ascii="仿宋_GB2312" w:hAnsi="仿宋_GB2312" w:eastAsia="仿宋_GB2312" w:cs="仿宋_GB2312"/>
          <w:b w:val="0"/>
          <w:i w:val="0"/>
          <w:caps w:val="0"/>
          <w:spacing w:val="0"/>
          <w:w w:val="100"/>
          <w:sz w:val="24"/>
        </w:rPr>
        <w:tab/>
      </w:r>
      <w:r>
        <w:rPr>
          <w:rFonts w:hint="eastAsia" w:ascii="仿宋_GB2312" w:hAnsi="仿宋_GB2312" w:eastAsia="仿宋_GB2312" w:cs="仿宋_GB2312"/>
          <w:b w:val="0"/>
          <w:i w:val="0"/>
          <w:caps w:val="0"/>
          <w:spacing w:val="0"/>
          <w:w w:val="100"/>
          <w:sz w:val="24"/>
        </w:rPr>
        <w:t>招标文件分为三册共7章，内容如下：</w:t>
      </w:r>
    </w:p>
    <w:p w14:paraId="1BDC0504">
      <w:pPr>
        <w:snapToGrid/>
        <w:spacing w:before="0" w:beforeAutospacing="0" w:after="0" w:afterAutospacing="0" w:line="288" w:lineRule="auto"/>
        <w:ind w:left="1078" w:leftChars="428" w:hangingChars="75"/>
        <w:jc w:val="both"/>
        <w:textAlignment w:val="baseline"/>
        <w:rPr>
          <w:rFonts w:ascii="仿宋_GB2312" w:hAnsi="仿宋_GB2312" w:eastAsia="仿宋_GB2312" w:cs="仿宋_GB2312"/>
          <w:b w:val="0"/>
          <w:i w:val="0"/>
          <w:caps w:val="0"/>
          <w:spacing w:val="0"/>
          <w:w w:val="100"/>
          <w:sz w:val="24"/>
        </w:rPr>
      </w:pPr>
      <w:r>
        <w:rPr>
          <w:rFonts w:hint="eastAsia" w:ascii="仿宋_GB2312" w:hAnsi="仿宋_GB2312" w:eastAsia="仿宋_GB2312" w:cs="仿宋_GB2312"/>
          <w:b w:val="0"/>
          <w:i w:val="0"/>
          <w:caps w:val="0"/>
          <w:spacing w:val="0"/>
          <w:w w:val="100"/>
          <w:sz w:val="24"/>
        </w:rPr>
        <w:t>第一册</w:t>
      </w:r>
    </w:p>
    <w:p w14:paraId="2C43523D">
      <w:pPr>
        <w:numPr>
          <w:ilvl w:val="0"/>
          <w:numId w:val="6"/>
        </w:numPr>
        <w:tabs>
          <w:tab w:val="left" w:pos="0"/>
        </w:tabs>
        <w:snapToGrid/>
        <w:spacing w:before="0" w:beforeAutospacing="0" w:after="0" w:afterAutospacing="0" w:line="288" w:lineRule="auto"/>
        <w:ind w:hanging="829"/>
        <w:jc w:val="both"/>
        <w:textAlignment w:val="baseline"/>
        <w:rPr>
          <w:rFonts w:ascii="仿宋_GB2312" w:hAnsi="仿宋_GB2312" w:eastAsia="仿宋_GB2312" w:cs="仿宋_GB2312"/>
          <w:b w:val="0"/>
          <w:i w:val="0"/>
          <w:caps w:val="0"/>
          <w:spacing w:val="0"/>
          <w:w w:val="100"/>
          <w:sz w:val="24"/>
        </w:rPr>
      </w:pPr>
      <w:r>
        <w:rPr>
          <w:rFonts w:hint="eastAsia" w:ascii="仿宋_GB2312" w:hAnsi="仿宋_GB2312" w:eastAsia="仿宋_GB2312" w:cs="仿宋_GB2312"/>
          <w:b w:val="0"/>
          <w:i w:val="0"/>
          <w:caps w:val="0"/>
          <w:spacing w:val="0"/>
          <w:w w:val="100"/>
          <w:sz w:val="24"/>
        </w:rPr>
        <w:t xml:space="preserve"> 投标人须知</w:t>
      </w:r>
    </w:p>
    <w:p w14:paraId="4CAACCC7">
      <w:pPr>
        <w:numPr>
          <w:ilvl w:val="0"/>
          <w:numId w:val="6"/>
        </w:numPr>
        <w:snapToGrid/>
        <w:spacing w:before="0" w:beforeAutospacing="0" w:after="0" w:afterAutospacing="0" w:line="288" w:lineRule="auto"/>
        <w:ind w:left="1080" w:leftChars="429" w:hanging="180"/>
        <w:jc w:val="both"/>
        <w:textAlignment w:val="baseline"/>
        <w:rPr>
          <w:rFonts w:ascii="仿宋_GB2312" w:hAnsi="仿宋_GB2312" w:eastAsia="仿宋_GB2312" w:cs="仿宋_GB2312"/>
          <w:b w:val="0"/>
          <w:i w:val="0"/>
          <w:caps w:val="0"/>
          <w:spacing w:val="0"/>
          <w:w w:val="100"/>
          <w:sz w:val="24"/>
        </w:rPr>
      </w:pPr>
      <w:r>
        <w:rPr>
          <w:rFonts w:hint="eastAsia" w:ascii="仿宋_GB2312" w:hAnsi="仿宋_GB2312" w:eastAsia="仿宋_GB2312" w:cs="仿宋_GB2312"/>
          <w:b w:val="0"/>
          <w:i w:val="0"/>
          <w:caps w:val="0"/>
          <w:spacing w:val="0"/>
          <w:w w:val="100"/>
          <w:sz w:val="24"/>
        </w:rPr>
        <w:t xml:space="preserve"> 投标文件格式</w:t>
      </w:r>
    </w:p>
    <w:p w14:paraId="4A3BF3D3">
      <w:pPr>
        <w:snapToGrid/>
        <w:spacing w:before="0" w:beforeAutospacing="0" w:after="0" w:afterAutospacing="0" w:line="288" w:lineRule="auto"/>
        <w:ind w:left="1080" w:leftChars="429" w:hanging="180"/>
        <w:jc w:val="both"/>
        <w:textAlignment w:val="baseline"/>
        <w:rPr>
          <w:rFonts w:ascii="仿宋_GB2312" w:hAnsi="仿宋_GB2312" w:eastAsia="仿宋_GB2312" w:cs="仿宋_GB2312"/>
          <w:b w:val="0"/>
          <w:i w:val="0"/>
          <w:caps w:val="0"/>
          <w:spacing w:val="0"/>
          <w:w w:val="100"/>
          <w:sz w:val="24"/>
        </w:rPr>
      </w:pPr>
      <w:r>
        <w:rPr>
          <w:rFonts w:hint="eastAsia" w:ascii="仿宋_GB2312" w:hAnsi="仿宋_GB2312" w:eastAsia="仿宋_GB2312" w:cs="仿宋_GB2312"/>
          <w:b w:val="0"/>
          <w:i w:val="0"/>
          <w:caps w:val="0"/>
          <w:spacing w:val="0"/>
          <w:w w:val="100"/>
          <w:sz w:val="24"/>
        </w:rPr>
        <w:t>第二册</w:t>
      </w:r>
    </w:p>
    <w:p w14:paraId="63E38FF6">
      <w:pPr>
        <w:numPr>
          <w:ilvl w:val="0"/>
          <w:numId w:val="6"/>
        </w:numPr>
        <w:snapToGrid/>
        <w:spacing w:before="0" w:beforeAutospacing="0" w:after="0" w:afterAutospacing="0" w:line="288" w:lineRule="auto"/>
        <w:ind w:left="1080" w:leftChars="429" w:hanging="180"/>
        <w:jc w:val="both"/>
        <w:textAlignment w:val="baseline"/>
        <w:rPr>
          <w:rFonts w:ascii="仿宋_GB2312" w:hAnsi="仿宋_GB2312" w:eastAsia="仿宋_GB2312" w:cs="仿宋_GB2312"/>
          <w:b w:val="0"/>
          <w:i w:val="0"/>
          <w:caps w:val="0"/>
          <w:spacing w:val="0"/>
          <w:w w:val="100"/>
          <w:sz w:val="24"/>
        </w:rPr>
      </w:pPr>
      <w:r>
        <w:rPr>
          <w:rFonts w:hint="eastAsia" w:ascii="仿宋_GB2312" w:hAnsi="仿宋_GB2312" w:eastAsia="仿宋_GB2312" w:cs="仿宋_GB2312"/>
          <w:b w:val="0"/>
          <w:i w:val="0"/>
          <w:caps w:val="0"/>
          <w:spacing w:val="0"/>
          <w:w w:val="100"/>
          <w:sz w:val="24"/>
        </w:rPr>
        <w:t xml:space="preserve"> 投标邀请</w:t>
      </w:r>
    </w:p>
    <w:p w14:paraId="3169DD12">
      <w:pPr>
        <w:numPr>
          <w:ilvl w:val="0"/>
          <w:numId w:val="6"/>
        </w:numPr>
        <w:snapToGrid/>
        <w:spacing w:before="0" w:beforeAutospacing="0" w:after="0" w:afterAutospacing="0" w:line="288" w:lineRule="auto"/>
        <w:ind w:left="1080" w:leftChars="429" w:hanging="180"/>
        <w:jc w:val="both"/>
        <w:textAlignment w:val="baseline"/>
        <w:rPr>
          <w:rFonts w:ascii="仿宋_GB2312" w:hAnsi="仿宋_GB2312" w:eastAsia="仿宋_GB2312" w:cs="仿宋_GB2312"/>
          <w:b w:val="0"/>
          <w:i w:val="0"/>
          <w:caps w:val="0"/>
          <w:spacing w:val="0"/>
          <w:w w:val="100"/>
          <w:sz w:val="24"/>
        </w:rPr>
      </w:pPr>
      <w:r>
        <w:rPr>
          <w:rFonts w:hint="eastAsia" w:ascii="仿宋_GB2312" w:hAnsi="仿宋_GB2312" w:eastAsia="仿宋_GB2312" w:cs="仿宋_GB2312"/>
          <w:b w:val="0"/>
          <w:i w:val="0"/>
          <w:caps w:val="0"/>
          <w:spacing w:val="0"/>
          <w:w w:val="100"/>
          <w:sz w:val="24"/>
        </w:rPr>
        <w:t xml:space="preserve"> 投标人须知资料表</w:t>
      </w:r>
    </w:p>
    <w:p w14:paraId="75CA1BFA">
      <w:pPr>
        <w:numPr>
          <w:ilvl w:val="0"/>
          <w:numId w:val="6"/>
        </w:numPr>
        <w:snapToGrid/>
        <w:spacing w:before="0" w:beforeAutospacing="0" w:after="0" w:afterAutospacing="0" w:line="288" w:lineRule="auto"/>
        <w:ind w:left="1080" w:leftChars="429" w:hanging="180"/>
        <w:jc w:val="both"/>
        <w:textAlignment w:val="baseline"/>
        <w:rPr>
          <w:rFonts w:ascii="仿宋_GB2312" w:hAnsi="仿宋_GB2312" w:eastAsia="仿宋_GB2312" w:cs="仿宋_GB2312"/>
          <w:b w:val="0"/>
          <w:i w:val="0"/>
          <w:caps w:val="0"/>
          <w:spacing w:val="0"/>
          <w:w w:val="100"/>
          <w:sz w:val="24"/>
        </w:rPr>
      </w:pPr>
      <w:r>
        <w:rPr>
          <w:rFonts w:hint="eastAsia" w:ascii="仿宋_GB2312" w:hAnsi="仿宋_GB2312" w:eastAsia="仿宋_GB2312" w:cs="仿宋_GB2312"/>
          <w:b w:val="0"/>
          <w:i w:val="0"/>
          <w:caps w:val="0"/>
          <w:spacing w:val="0"/>
          <w:w w:val="100"/>
          <w:sz w:val="24"/>
        </w:rPr>
        <w:t xml:space="preserve"> 货物需求一览表及技术规格</w:t>
      </w:r>
    </w:p>
    <w:p w14:paraId="789EC563">
      <w:pPr>
        <w:numPr>
          <w:ilvl w:val="0"/>
          <w:numId w:val="6"/>
        </w:numPr>
        <w:snapToGrid/>
        <w:spacing w:before="0" w:beforeAutospacing="0" w:after="0" w:afterAutospacing="0" w:line="288" w:lineRule="auto"/>
        <w:ind w:left="1080" w:leftChars="429" w:hanging="180"/>
        <w:jc w:val="both"/>
        <w:textAlignment w:val="baseline"/>
        <w:rPr>
          <w:rFonts w:ascii="仿宋_GB2312" w:hAnsi="仿宋_GB2312" w:eastAsia="仿宋_GB2312" w:cs="仿宋_GB2312"/>
          <w:b w:val="0"/>
          <w:i w:val="0"/>
          <w:caps w:val="0"/>
          <w:spacing w:val="0"/>
          <w:w w:val="100"/>
          <w:sz w:val="24"/>
        </w:rPr>
      </w:pPr>
      <w:r>
        <w:rPr>
          <w:rFonts w:hint="eastAsia" w:ascii="仿宋_GB2312" w:hAnsi="仿宋_GB2312" w:eastAsia="仿宋_GB2312" w:cs="仿宋_GB2312"/>
          <w:b w:val="0"/>
          <w:i w:val="0"/>
          <w:caps w:val="0"/>
          <w:spacing w:val="0"/>
          <w:w w:val="100"/>
          <w:sz w:val="24"/>
        </w:rPr>
        <w:t xml:space="preserve"> 评标方法和标准</w:t>
      </w:r>
    </w:p>
    <w:p w14:paraId="1409896D">
      <w:pPr>
        <w:snapToGrid/>
        <w:spacing w:before="0" w:beforeAutospacing="0" w:after="0" w:afterAutospacing="0" w:line="288" w:lineRule="auto"/>
        <w:ind w:left="901"/>
        <w:jc w:val="both"/>
        <w:textAlignment w:val="baseline"/>
        <w:rPr>
          <w:rFonts w:ascii="仿宋_GB2312" w:hAnsi="仿宋_GB2312" w:eastAsia="仿宋_GB2312" w:cs="仿宋_GB2312"/>
          <w:b w:val="0"/>
          <w:i w:val="0"/>
          <w:caps w:val="0"/>
          <w:spacing w:val="0"/>
          <w:w w:val="100"/>
          <w:sz w:val="24"/>
        </w:rPr>
      </w:pPr>
      <w:r>
        <w:rPr>
          <w:rFonts w:hint="eastAsia" w:ascii="仿宋_GB2312" w:hAnsi="仿宋_GB2312" w:eastAsia="仿宋_GB2312" w:cs="仿宋_GB2312"/>
          <w:b w:val="0"/>
          <w:i w:val="0"/>
          <w:caps w:val="0"/>
          <w:spacing w:val="0"/>
          <w:w w:val="100"/>
          <w:sz w:val="24"/>
        </w:rPr>
        <w:t>第三册</w:t>
      </w:r>
    </w:p>
    <w:p w14:paraId="16A124C2">
      <w:pPr>
        <w:numPr>
          <w:ilvl w:val="0"/>
          <w:numId w:val="6"/>
        </w:numPr>
        <w:snapToGrid/>
        <w:spacing w:before="0" w:beforeAutospacing="0" w:after="0" w:afterAutospacing="0" w:line="288" w:lineRule="auto"/>
        <w:ind w:left="718" w:leftChars="342" w:firstLine="240" w:firstLineChars="100"/>
        <w:jc w:val="both"/>
        <w:textAlignment w:val="baseline"/>
        <w:rPr>
          <w:rFonts w:ascii="仿宋_GB2312" w:hAnsi="仿宋_GB2312" w:eastAsia="仿宋_GB2312" w:cs="仿宋_GB2312"/>
          <w:b w:val="0"/>
          <w:i w:val="0"/>
          <w:caps w:val="0"/>
          <w:spacing w:val="0"/>
          <w:w w:val="100"/>
          <w:sz w:val="24"/>
        </w:rPr>
      </w:pPr>
      <w:r>
        <w:rPr>
          <w:rFonts w:hint="eastAsia" w:ascii="仿宋_GB2312" w:hAnsi="仿宋_GB2312" w:eastAsia="仿宋_GB2312" w:cs="仿宋_GB2312"/>
          <w:b w:val="0"/>
          <w:i w:val="0"/>
          <w:caps w:val="0"/>
          <w:spacing w:val="0"/>
          <w:w w:val="100"/>
          <w:sz w:val="24"/>
        </w:rPr>
        <w:t>政府采购合同格式</w:t>
      </w:r>
    </w:p>
    <w:p w14:paraId="24ACE995">
      <w:pPr>
        <w:snapToGrid/>
        <w:spacing w:before="0" w:beforeAutospacing="0" w:after="0" w:afterAutospacing="0" w:line="288" w:lineRule="auto"/>
        <w:ind w:hangingChars="375"/>
        <w:jc w:val="both"/>
        <w:textAlignment w:val="baseline"/>
        <w:rPr>
          <w:rFonts w:ascii="仿宋_GB2312" w:hAnsi="仿宋_GB2312" w:eastAsia="仿宋_GB2312" w:cs="仿宋_GB2312"/>
          <w:b w:val="0"/>
          <w:i w:val="0"/>
          <w:caps w:val="0"/>
          <w:spacing w:val="0"/>
          <w:w w:val="100"/>
          <w:sz w:val="24"/>
        </w:rPr>
      </w:pPr>
      <w:r>
        <w:rPr>
          <w:rFonts w:hint="eastAsia" w:ascii="仿宋_GB2312" w:hAnsi="仿宋_GB2312" w:eastAsia="仿宋_GB2312" w:cs="仿宋_GB2312"/>
          <w:b w:val="0"/>
          <w:i w:val="0"/>
          <w:caps w:val="0"/>
          <w:spacing w:val="0"/>
          <w:w w:val="100"/>
          <w:sz w:val="24"/>
        </w:rPr>
        <w:t>5.2</w:t>
      </w:r>
      <w:r>
        <w:rPr>
          <w:rFonts w:hint="eastAsia" w:ascii="仿宋_GB2312" w:hAnsi="仿宋_GB2312" w:eastAsia="仿宋_GB2312" w:cs="仿宋_GB2312"/>
          <w:b w:val="0"/>
          <w:i w:val="0"/>
          <w:caps w:val="0"/>
          <w:spacing w:val="0"/>
          <w:w w:val="100"/>
          <w:sz w:val="24"/>
        </w:rPr>
        <w:tab/>
      </w:r>
      <w:r>
        <w:rPr>
          <w:rFonts w:hint="eastAsia" w:ascii="仿宋_GB2312" w:hAnsi="仿宋_GB2312" w:eastAsia="仿宋_GB2312" w:cs="仿宋_GB2312"/>
          <w:b w:val="0"/>
          <w:i w:val="0"/>
          <w:caps w:val="0"/>
          <w:spacing w:val="0"/>
          <w:w w:val="100"/>
          <w:sz w:val="24"/>
        </w:rPr>
        <w:t>如本文件的前后内容不一致，以最后描述为准。</w:t>
      </w:r>
    </w:p>
    <w:p w14:paraId="4EBD7E48">
      <w:pPr>
        <w:snapToGrid/>
        <w:spacing w:before="0" w:beforeAutospacing="0" w:after="0" w:afterAutospacing="0" w:line="288" w:lineRule="auto"/>
        <w:ind w:hangingChars="375"/>
        <w:jc w:val="both"/>
        <w:textAlignment w:val="baseline"/>
        <w:rPr>
          <w:rFonts w:ascii="仿宋_GB2312" w:hAnsi="仿宋_GB2312" w:eastAsia="仿宋_GB2312" w:cs="仿宋_GB2312"/>
          <w:b w:val="0"/>
          <w:i w:val="0"/>
          <w:caps w:val="0"/>
          <w:spacing w:val="0"/>
          <w:w w:val="100"/>
          <w:sz w:val="24"/>
        </w:rPr>
      </w:pPr>
      <w:r>
        <w:rPr>
          <w:rFonts w:hint="eastAsia" w:ascii="仿宋_GB2312" w:hAnsi="仿宋_GB2312" w:eastAsia="仿宋_GB2312" w:cs="仿宋_GB2312"/>
          <w:b w:val="0"/>
          <w:i w:val="0"/>
          <w:caps w:val="0"/>
          <w:spacing w:val="0"/>
          <w:w w:val="100"/>
          <w:sz w:val="24"/>
        </w:rPr>
        <w:t>5.3    投标人应认真阅读招标文件所有的事项、格式、条款和技术规范等。如投标人没有按照招标文件要求提交全部资料，或者投标文件没有对招标文件在各方面都做出实质性响应，可能导致其投标将被认定为</w:t>
      </w:r>
      <w:r>
        <w:rPr>
          <w:rFonts w:hint="eastAsia" w:ascii="仿宋_GB2312" w:hAnsi="仿宋_GB2312" w:eastAsia="仿宋_GB2312" w:cs="仿宋_GB2312"/>
          <w:b/>
          <w:bCs/>
          <w:i w:val="0"/>
          <w:caps w:val="0"/>
          <w:spacing w:val="0"/>
          <w:w w:val="100"/>
          <w:sz w:val="24"/>
        </w:rPr>
        <w:t>投标无效</w:t>
      </w:r>
      <w:r>
        <w:rPr>
          <w:rFonts w:hint="eastAsia" w:ascii="仿宋_GB2312" w:hAnsi="仿宋_GB2312" w:eastAsia="仿宋_GB2312" w:cs="仿宋_GB2312"/>
          <w:b w:val="0"/>
          <w:i w:val="0"/>
          <w:caps w:val="0"/>
          <w:spacing w:val="0"/>
          <w:w w:val="100"/>
          <w:sz w:val="24"/>
        </w:rPr>
        <w:t>。</w:t>
      </w:r>
    </w:p>
    <w:p w14:paraId="4F6634D0">
      <w:pPr>
        <w:pStyle w:val="4"/>
        <w:snapToGrid/>
        <w:spacing w:before="0" w:beforeAutospacing="0" w:after="0" w:afterAutospacing="0" w:line="288" w:lineRule="auto"/>
        <w:jc w:val="left"/>
        <w:textAlignment w:val="baseline"/>
        <w:rPr>
          <w:rFonts w:ascii="仿宋_GB2312" w:hAnsi="仿宋_GB2312" w:eastAsia="仿宋_GB2312" w:cs="仿宋_GB2312"/>
          <w:b/>
          <w:i w:val="0"/>
          <w:caps w:val="0"/>
          <w:spacing w:val="0"/>
          <w:w w:val="100"/>
          <w:sz w:val="24"/>
        </w:rPr>
      </w:pPr>
      <w:bookmarkStart w:id="188" w:name="_Toc515904805"/>
      <w:bookmarkStart w:id="189" w:name="_Toc520356148"/>
      <w:bookmarkStart w:id="190" w:name="_Toc12578"/>
      <w:bookmarkStart w:id="191" w:name="_Toc18698"/>
      <w:bookmarkStart w:id="192" w:name="_Toc5489"/>
      <w:bookmarkStart w:id="193" w:name="_Toc30639"/>
      <w:bookmarkStart w:id="194" w:name="_Toc4284"/>
      <w:bookmarkStart w:id="195" w:name="_Toc27562"/>
      <w:bookmarkStart w:id="196" w:name="_Toc17131"/>
      <w:bookmarkStart w:id="197" w:name="_Toc2703"/>
      <w:bookmarkStart w:id="198" w:name="_Toc1922"/>
      <w:bookmarkStart w:id="199" w:name="_Toc13442"/>
      <w:bookmarkStart w:id="200" w:name="_Toc24633"/>
      <w:bookmarkStart w:id="201" w:name="_Toc18688"/>
      <w:bookmarkStart w:id="202" w:name="_Toc1925"/>
      <w:bookmarkStart w:id="203" w:name="_Toc9232"/>
      <w:bookmarkStart w:id="204" w:name="_Toc20175"/>
      <w:bookmarkStart w:id="205" w:name="_Toc26044"/>
      <w:bookmarkStart w:id="206" w:name="_Toc30248"/>
      <w:bookmarkStart w:id="207" w:name="_Toc7323"/>
      <w:bookmarkStart w:id="208" w:name="_Toc10625"/>
      <w:bookmarkStart w:id="209" w:name="_Toc3154"/>
      <w:bookmarkStart w:id="210" w:name="_Toc4118"/>
      <w:r>
        <w:rPr>
          <w:rFonts w:hint="eastAsia" w:ascii="仿宋_GB2312" w:hAnsi="仿宋_GB2312" w:eastAsia="仿宋_GB2312" w:cs="仿宋_GB2312"/>
          <w:b/>
          <w:i w:val="0"/>
          <w:caps w:val="0"/>
          <w:spacing w:val="0"/>
          <w:w w:val="100"/>
          <w:sz w:val="24"/>
        </w:rPr>
        <w:t>6.招标文件的澄清</w:t>
      </w:r>
      <w:bookmarkEnd w:id="188"/>
      <w:bookmarkEnd w:id="189"/>
      <w:r>
        <w:rPr>
          <w:rFonts w:hint="eastAsia" w:ascii="仿宋_GB2312" w:hAnsi="仿宋_GB2312" w:eastAsia="仿宋_GB2312" w:cs="仿宋_GB2312"/>
          <w:b/>
          <w:i w:val="0"/>
          <w:caps w:val="0"/>
          <w:spacing w:val="0"/>
          <w:w w:val="100"/>
          <w:sz w:val="24"/>
        </w:rPr>
        <w:t>与修改</w:t>
      </w:r>
      <w:bookmarkEnd w:id="190"/>
      <w:bookmarkEnd w:id="191"/>
      <w:bookmarkEnd w:id="192"/>
      <w:bookmarkEnd w:id="193"/>
      <w:bookmarkEnd w:id="194"/>
      <w:bookmarkEnd w:id="195"/>
      <w:bookmarkEnd w:id="196"/>
      <w:bookmarkEnd w:id="197"/>
      <w:bookmarkEnd w:id="198"/>
      <w:bookmarkEnd w:id="199"/>
      <w:bookmarkEnd w:id="200"/>
      <w:bookmarkEnd w:id="201"/>
      <w:bookmarkEnd w:id="202"/>
      <w:bookmarkEnd w:id="203"/>
      <w:bookmarkEnd w:id="204"/>
      <w:bookmarkEnd w:id="205"/>
      <w:bookmarkEnd w:id="206"/>
      <w:bookmarkEnd w:id="207"/>
      <w:bookmarkEnd w:id="208"/>
      <w:bookmarkEnd w:id="209"/>
      <w:bookmarkEnd w:id="210"/>
    </w:p>
    <w:p w14:paraId="235883F4">
      <w:pPr>
        <w:pStyle w:val="9"/>
        <w:snapToGrid/>
        <w:spacing w:before="0" w:beforeAutospacing="0" w:after="0" w:afterAutospacing="0" w:line="288" w:lineRule="auto"/>
        <w:ind w:hangingChars="350"/>
        <w:jc w:val="left"/>
        <w:textAlignment w:val="baseline"/>
        <w:rPr>
          <w:rFonts w:ascii="仿宋_GB2312" w:hAnsi="仿宋_GB2312" w:eastAsia="仿宋_GB2312" w:cs="仿宋_GB2312"/>
          <w:b w:val="0"/>
          <w:i w:val="0"/>
          <w:caps w:val="0"/>
          <w:spacing w:val="0"/>
          <w:w w:val="100"/>
          <w:sz w:val="24"/>
          <w:szCs w:val="24"/>
        </w:rPr>
      </w:pPr>
      <w:r>
        <w:rPr>
          <w:rFonts w:hint="eastAsia" w:ascii="仿宋_GB2312" w:hAnsi="仿宋_GB2312" w:eastAsia="仿宋_GB2312" w:cs="仿宋_GB2312"/>
          <w:b w:val="0"/>
          <w:i w:val="0"/>
          <w:caps w:val="0"/>
          <w:spacing w:val="0"/>
          <w:w w:val="100"/>
          <w:sz w:val="24"/>
          <w:szCs w:val="24"/>
        </w:rPr>
        <w:t>6.1    为了保证对招标文件的澄清和修改满足法律的时限要求，任何要求对招标文件进行澄清的投标人，均应在投标截止期十五日前，以书面形式将澄清要求通知采购人或采购代理机构。</w:t>
      </w:r>
    </w:p>
    <w:p w14:paraId="0FF56789">
      <w:pPr>
        <w:pStyle w:val="9"/>
        <w:snapToGrid/>
        <w:spacing w:before="0" w:beforeAutospacing="0" w:after="0" w:afterAutospacing="0" w:line="288" w:lineRule="auto"/>
        <w:ind w:hangingChars="350"/>
        <w:jc w:val="left"/>
        <w:textAlignment w:val="baseline"/>
        <w:rPr>
          <w:rFonts w:ascii="仿宋_GB2312" w:hAnsi="仿宋_GB2312" w:eastAsia="仿宋_GB2312" w:cs="仿宋_GB2312"/>
          <w:b w:val="0"/>
          <w:i w:val="0"/>
          <w:caps w:val="0"/>
          <w:spacing w:val="0"/>
          <w:w w:val="100"/>
          <w:sz w:val="24"/>
          <w:szCs w:val="24"/>
        </w:rPr>
      </w:pPr>
      <w:bookmarkStart w:id="211" w:name="_Toc520356149"/>
      <w:bookmarkStart w:id="212" w:name="_Toc515904806"/>
      <w:bookmarkStart w:id="213" w:name="_Ref467378678"/>
      <w:r>
        <w:rPr>
          <w:rFonts w:hint="eastAsia" w:ascii="仿宋_GB2312" w:hAnsi="仿宋_GB2312" w:eastAsia="仿宋_GB2312" w:cs="仿宋_GB2312"/>
          <w:b w:val="0"/>
          <w:i w:val="0"/>
          <w:caps w:val="0"/>
          <w:spacing w:val="0"/>
          <w:w w:val="100"/>
          <w:sz w:val="24"/>
          <w:szCs w:val="24"/>
        </w:rPr>
        <w:t>6.2</w:t>
      </w:r>
      <w:r>
        <w:rPr>
          <w:rFonts w:hint="eastAsia" w:ascii="仿宋_GB2312" w:hAnsi="仿宋_GB2312" w:eastAsia="仿宋_GB2312" w:cs="仿宋_GB2312"/>
          <w:b w:val="0"/>
          <w:i w:val="0"/>
          <w:caps w:val="0"/>
          <w:spacing w:val="0"/>
          <w:w w:val="100"/>
          <w:sz w:val="24"/>
          <w:szCs w:val="24"/>
        </w:rPr>
        <w:tab/>
      </w:r>
      <w:r>
        <w:rPr>
          <w:rFonts w:hint="eastAsia" w:ascii="仿宋_GB2312" w:hAnsi="仿宋_GB2312" w:eastAsia="仿宋_GB2312" w:cs="仿宋_GB2312"/>
          <w:b w:val="0"/>
          <w:i w:val="0"/>
          <w:caps w:val="0"/>
          <w:spacing w:val="0"/>
          <w:w w:val="100"/>
          <w:sz w:val="24"/>
          <w:szCs w:val="24"/>
        </w:rPr>
        <w:t>采购人可主动地或在解答投标人提出的澄清问题时对招标文件进行澄清或修改。采购代理机构将以发布澄清（更正）公告的方式，澄清或修改招标文件，澄清或修改内容作为招标文件的组成部分。</w:t>
      </w:r>
    </w:p>
    <w:p w14:paraId="6B59A535">
      <w:pPr>
        <w:pStyle w:val="9"/>
        <w:snapToGrid/>
        <w:spacing w:before="0" w:beforeAutospacing="0" w:after="0" w:afterAutospacing="0" w:line="288" w:lineRule="auto"/>
        <w:ind w:hangingChars="350"/>
        <w:jc w:val="left"/>
        <w:textAlignment w:val="baseline"/>
        <w:rPr>
          <w:rFonts w:ascii="仿宋_GB2312" w:hAnsi="仿宋_GB2312" w:eastAsia="仿宋_GB2312" w:cs="仿宋_GB2312"/>
          <w:b w:val="0"/>
          <w:i w:val="0"/>
          <w:caps w:val="0"/>
          <w:spacing w:val="0"/>
          <w:w w:val="100"/>
          <w:sz w:val="24"/>
          <w:szCs w:val="24"/>
        </w:rPr>
      </w:pPr>
      <w:r>
        <w:rPr>
          <w:rFonts w:hint="eastAsia" w:ascii="仿宋_GB2312" w:hAnsi="仿宋_GB2312" w:eastAsia="仿宋_GB2312" w:cs="仿宋_GB2312"/>
          <w:b w:val="0"/>
          <w:i w:val="0"/>
          <w:caps w:val="0"/>
          <w:spacing w:val="0"/>
          <w:w w:val="100"/>
          <w:sz w:val="24"/>
          <w:szCs w:val="24"/>
        </w:rPr>
        <w:t>6.3</w:t>
      </w:r>
      <w:r>
        <w:rPr>
          <w:rFonts w:hint="eastAsia" w:ascii="仿宋_GB2312" w:hAnsi="仿宋_GB2312" w:eastAsia="仿宋_GB2312" w:cs="仿宋_GB2312"/>
          <w:b w:val="0"/>
          <w:i w:val="0"/>
          <w:caps w:val="0"/>
          <w:spacing w:val="0"/>
          <w:w w:val="100"/>
          <w:sz w:val="24"/>
          <w:szCs w:val="24"/>
        </w:rPr>
        <w:tab/>
      </w:r>
      <w:r>
        <w:rPr>
          <w:rFonts w:hint="eastAsia" w:ascii="仿宋_GB2312" w:hAnsi="仿宋_GB2312" w:eastAsia="仿宋_GB2312" w:cs="仿宋_GB2312"/>
          <w:b w:val="0"/>
          <w:i w:val="0"/>
          <w:caps w:val="0"/>
          <w:spacing w:val="0"/>
          <w:w w:val="100"/>
          <w:sz w:val="24"/>
          <w:szCs w:val="24"/>
        </w:rPr>
        <w:t>澄清或者修改的内容可能影响投标文件编制的，采购代理机构将以书面形式通知所有购买招标文件的潜在投标人，并对其具有约束力。投标人在收到上述通知后，应及时向采购代理机构回函确认。</w:t>
      </w:r>
    </w:p>
    <w:p w14:paraId="50CEE658">
      <w:pPr>
        <w:pStyle w:val="4"/>
        <w:tabs>
          <w:tab w:val="left" w:pos="900"/>
        </w:tabs>
        <w:snapToGrid/>
        <w:spacing w:before="0" w:beforeAutospacing="0" w:after="0" w:afterAutospacing="0" w:line="288" w:lineRule="auto"/>
        <w:jc w:val="left"/>
        <w:textAlignment w:val="baseline"/>
        <w:rPr>
          <w:rFonts w:ascii="仿宋_GB2312" w:hAnsi="仿宋_GB2312" w:eastAsia="仿宋_GB2312" w:cs="仿宋_GB2312"/>
          <w:b/>
          <w:i w:val="0"/>
          <w:caps w:val="0"/>
          <w:spacing w:val="0"/>
          <w:w w:val="100"/>
          <w:sz w:val="24"/>
        </w:rPr>
      </w:pPr>
      <w:bookmarkStart w:id="214" w:name="_Toc7775"/>
      <w:bookmarkStart w:id="215" w:name="_Toc19841"/>
      <w:bookmarkStart w:id="216" w:name="_Toc4653"/>
      <w:bookmarkStart w:id="217" w:name="_Toc2744"/>
      <w:bookmarkStart w:id="218" w:name="_Toc21993"/>
      <w:bookmarkStart w:id="219" w:name="_Toc31409"/>
      <w:bookmarkStart w:id="220" w:name="_Toc27503"/>
      <w:bookmarkStart w:id="221" w:name="_Toc32689"/>
      <w:bookmarkStart w:id="222" w:name="_Toc25416"/>
      <w:bookmarkStart w:id="223" w:name="_Toc14569"/>
      <w:bookmarkStart w:id="224" w:name="_Toc26037"/>
      <w:bookmarkStart w:id="225" w:name="_Toc27611"/>
      <w:bookmarkStart w:id="226" w:name="_Toc12448"/>
      <w:bookmarkStart w:id="227" w:name="_Toc19742"/>
      <w:bookmarkStart w:id="228" w:name="_Toc22642"/>
      <w:bookmarkStart w:id="229" w:name="_Toc25461"/>
      <w:bookmarkStart w:id="230" w:name="_Toc25635"/>
      <w:bookmarkStart w:id="231" w:name="_Toc330"/>
      <w:bookmarkStart w:id="232" w:name="_Toc7578"/>
      <w:bookmarkStart w:id="233" w:name="_Toc20134"/>
      <w:bookmarkStart w:id="234" w:name="_Toc23166"/>
      <w:r>
        <w:rPr>
          <w:rFonts w:hint="eastAsia" w:ascii="仿宋_GB2312" w:hAnsi="仿宋_GB2312" w:eastAsia="仿宋_GB2312" w:cs="仿宋_GB2312"/>
          <w:b/>
          <w:i w:val="0"/>
          <w:caps w:val="0"/>
          <w:spacing w:val="0"/>
          <w:w w:val="100"/>
          <w:sz w:val="24"/>
        </w:rPr>
        <w:t>7</w:t>
      </w:r>
      <w:bookmarkEnd w:id="211"/>
      <w:bookmarkEnd w:id="212"/>
      <w:bookmarkEnd w:id="213"/>
      <w:r>
        <w:rPr>
          <w:rFonts w:hint="eastAsia" w:ascii="仿宋_GB2312" w:hAnsi="仿宋_GB2312" w:eastAsia="仿宋_GB2312" w:cs="仿宋_GB2312"/>
          <w:b/>
          <w:i w:val="0"/>
          <w:caps w:val="0"/>
          <w:spacing w:val="0"/>
          <w:w w:val="100"/>
          <w:sz w:val="24"/>
        </w:rPr>
        <w:t>.</w:t>
      </w:r>
      <w:r>
        <w:rPr>
          <w:rFonts w:hint="eastAsia" w:ascii="仿宋_GB2312" w:hAnsi="仿宋_GB2312" w:eastAsia="仿宋_GB2312" w:cs="仿宋_GB2312"/>
          <w:b/>
          <w:i w:val="0"/>
          <w:caps w:val="0"/>
          <w:spacing w:val="0"/>
          <w:w w:val="100"/>
          <w:sz w:val="24"/>
          <w:lang w:val="en-US" w:eastAsia="zh-CN"/>
        </w:rPr>
        <w:t xml:space="preserve"> </w:t>
      </w:r>
      <w:r>
        <w:rPr>
          <w:rFonts w:hint="eastAsia" w:ascii="仿宋_GB2312" w:hAnsi="仿宋_GB2312" w:eastAsia="仿宋_GB2312" w:cs="仿宋_GB2312"/>
          <w:b/>
          <w:i w:val="0"/>
          <w:caps w:val="0"/>
          <w:spacing w:val="0"/>
          <w:w w:val="100"/>
          <w:sz w:val="24"/>
        </w:rPr>
        <w:t>投标截止时间的顺延</w:t>
      </w:r>
      <w:bookmarkEnd w:id="214"/>
      <w:bookmarkEnd w:id="215"/>
      <w:bookmarkEnd w:id="216"/>
      <w:bookmarkEnd w:id="217"/>
      <w:bookmarkEnd w:id="218"/>
      <w:bookmarkEnd w:id="219"/>
      <w:bookmarkEnd w:id="220"/>
      <w:bookmarkEnd w:id="221"/>
      <w:bookmarkEnd w:id="222"/>
      <w:bookmarkEnd w:id="223"/>
      <w:bookmarkEnd w:id="224"/>
      <w:bookmarkEnd w:id="225"/>
      <w:bookmarkEnd w:id="226"/>
      <w:bookmarkEnd w:id="227"/>
      <w:bookmarkEnd w:id="228"/>
      <w:bookmarkEnd w:id="229"/>
      <w:bookmarkEnd w:id="230"/>
      <w:bookmarkEnd w:id="231"/>
      <w:bookmarkEnd w:id="232"/>
      <w:bookmarkEnd w:id="233"/>
      <w:bookmarkEnd w:id="234"/>
    </w:p>
    <w:p w14:paraId="48208D9B">
      <w:pPr>
        <w:snapToGrid/>
        <w:spacing w:before="0" w:beforeAutospacing="0" w:after="0" w:afterAutospacing="0" w:line="288" w:lineRule="auto"/>
        <w:ind w:hangingChars="375"/>
        <w:jc w:val="both"/>
        <w:textAlignment w:val="baseline"/>
        <w:rPr>
          <w:rFonts w:ascii="仿宋_GB2312" w:hAnsi="仿宋_GB2312" w:eastAsia="仿宋_GB2312" w:cs="仿宋_GB2312"/>
          <w:b w:val="0"/>
          <w:i w:val="0"/>
          <w:caps w:val="0"/>
          <w:spacing w:val="0"/>
          <w:w w:val="100"/>
          <w:sz w:val="24"/>
        </w:rPr>
      </w:pPr>
      <w:r>
        <w:rPr>
          <w:rFonts w:hint="eastAsia" w:ascii="仿宋_GB2312" w:hAnsi="仿宋_GB2312" w:eastAsia="仿宋_GB2312" w:cs="仿宋_GB2312"/>
          <w:b w:val="0"/>
          <w:i w:val="0"/>
          <w:caps w:val="0"/>
          <w:spacing w:val="0"/>
          <w:w w:val="100"/>
          <w:sz w:val="24"/>
        </w:rPr>
        <w:tab/>
      </w:r>
      <w:r>
        <w:rPr>
          <w:rFonts w:hint="eastAsia" w:ascii="仿宋_GB2312" w:hAnsi="仿宋_GB2312" w:eastAsia="仿宋_GB2312" w:cs="仿宋_GB2312"/>
          <w:b w:val="0"/>
          <w:i w:val="0"/>
          <w:caps w:val="0"/>
          <w:spacing w:val="0"/>
          <w:w w:val="100"/>
          <w:sz w:val="24"/>
        </w:rPr>
        <w:t>为使投标人准备投标时有足够的时间对招标文件的澄清或者修改部分进行研究，采购人将依法决定是否顺延投标截止时间。</w:t>
      </w:r>
    </w:p>
    <w:p w14:paraId="666972A6">
      <w:pPr>
        <w:pStyle w:val="2"/>
        <w:tabs>
          <w:tab w:val="left" w:pos="900"/>
        </w:tabs>
        <w:snapToGrid/>
        <w:spacing w:before="0" w:beforeAutospacing="0" w:after="0" w:afterAutospacing="0" w:line="288" w:lineRule="auto"/>
        <w:ind w:left="1079" w:leftChars="257" w:hanging="540"/>
        <w:jc w:val="center"/>
        <w:textAlignment w:val="baseline"/>
        <w:rPr>
          <w:rFonts w:ascii="仿宋_GB2312" w:hAnsi="仿宋_GB2312" w:eastAsia="仿宋_GB2312" w:cs="仿宋_GB2312"/>
          <w:b w:val="0"/>
          <w:i w:val="0"/>
          <w:caps w:val="0"/>
          <w:spacing w:val="0"/>
          <w:w w:val="100"/>
          <w:sz w:val="24"/>
        </w:rPr>
      </w:pPr>
      <w:bookmarkStart w:id="235" w:name="_Toc516367020"/>
      <w:bookmarkStart w:id="236" w:name="_Toc12340"/>
      <w:bookmarkStart w:id="237" w:name="_Toc15802"/>
      <w:bookmarkStart w:id="238" w:name="_Toc216582807"/>
      <w:bookmarkStart w:id="239" w:name="_Toc12226"/>
      <w:bookmarkStart w:id="240" w:name="_Toc515647766"/>
      <w:bookmarkStart w:id="241" w:name="_Toc14530"/>
      <w:bookmarkStart w:id="242" w:name="_Toc31039"/>
      <w:bookmarkStart w:id="243" w:name="_Toc19696"/>
      <w:bookmarkStart w:id="244" w:name="_Toc8381"/>
      <w:bookmarkStart w:id="245" w:name="_Toc22175"/>
      <w:bookmarkStart w:id="246" w:name="_Toc5209"/>
      <w:bookmarkStart w:id="247" w:name="_Toc12310"/>
      <w:bookmarkStart w:id="248" w:name="_Toc9953"/>
      <w:bookmarkStart w:id="249" w:name="_Toc25866"/>
      <w:bookmarkStart w:id="250" w:name="_Toc28780"/>
      <w:bookmarkStart w:id="251" w:name="_Toc520356150"/>
      <w:bookmarkStart w:id="252" w:name="_Toc30966"/>
      <w:bookmarkStart w:id="253" w:name="_Toc8537"/>
      <w:bookmarkStart w:id="254" w:name="_Toc23336"/>
      <w:bookmarkStart w:id="255" w:name="_Toc28891"/>
      <w:bookmarkStart w:id="256" w:name="_Toc7636"/>
      <w:bookmarkStart w:id="257" w:name="_Toc28472"/>
      <w:bookmarkStart w:id="258" w:name="_Toc25748"/>
      <w:bookmarkStart w:id="259" w:name="_Toc30808"/>
      <w:r>
        <w:rPr>
          <w:rFonts w:hint="eastAsia" w:ascii="仿宋_GB2312" w:hAnsi="仿宋_GB2312" w:eastAsia="仿宋_GB2312" w:cs="仿宋_GB2312"/>
          <w:b/>
          <w:i w:val="0"/>
          <w:caps w:val="0"/>
          <w:spacing w:val="0"/>
          <w:w w:val="100"/>
          <w:sz w:val="28"/>
        </w:rPr>
        <w:t>三   投标文件</w:t>
      </w:r>
      <w:bookmarkEnd w:id="235"/>
      <w:r>
        <w:rPr>
          <w:rFonts w:hint="eastAsia" w:ascii="仿宋_GB2312" w:hAnsi="仿宋_GB2312" w:eastAsia="仿宋_GB2312" w:cs="仿宋_GB2312"/>
          <w:b/>
          <w:i w:val="0"/>
          <w:caps w:val="0"/>
          <w:spacing w:val="0"/>
          <w:w w:val="100"/>
          <w:sz w:val="28"/>
        </w:rPr>
        <w:t>的编制</w:t>
      </w:r>
      <w:bookmarkEnd w:id="236"/>
      <w:bookmarkEnd w:id="237"/>
      <w:bookmarkEnd w:id="238"/>
      <w:bookmarkEnd w:id="239"/>
      <w:bookmarkEnd w:id="240"/>
      <w:bookmarkEnd w:id="241"/>
      <w:bookmarkEnd w:id="242"/>
      <w:bookmarkEnd w:id="243"/>
      <w:bookmarkEnd w:id="244"/>
      <w:bookmarkEnd w:id="245"/>
      <w:bookmarkEnd w:id="246"/>
      <w:bookmarkEnd w:id="247"/>
      <w:bookmarkEnd w:id="248"/>
      <w:bookmarkEnd w:id="249"/>
      <w:bookmarkEnd w:id="250"/>
      <w:bookmarkEnd w:id="251"/>
      <w:bookmarkEnd w:id="252"/>
      <w:bookmarkEnd w:id="253"/>
      <w:bookmarkEnd w:id="254"/>
      <w:bookmarkEnd w:id="255"/>
      <w:bookmarkEnd w:id="256"/>
      <w:bookmarkEnd w:id="257"/>
      <w:bookmarkEnd w:id="258"/>
      <w:bookmarkEnd w:id="259"/>
    </w:p>
    <w:p w14:paraId="5FB4472A">
      <w:pPr>
        <w:pStyle w:val="4"/>
        <w:tabs>
          <w:tab w:val="left" w:pos="900"/>
        </w:tabs>
        <w:snapToGrid/>
        <w:spacing w:before="0" w:beforeAutospacing="0" w:after="0" w:afterAutospacing="0" w:line="288" w:lineRule="auto"/>
        <w:jc w:val="left"/>
        <w:textAlignment w:val="baseline"/>
        <w:rPr>
          <w:rFonts w:ascii="仿宋_GB2312" w:hAnsi="仿宋_GB2312" w:eastAsia="仿宋_GB2312" w:cs="仿宋_GB2312"/>
          <w:b/>
          <w:i w:val="0"/>
          <w:caps w:val="0"/>
          <w:spacing w:val="0"/>
          <w:w w:val="100"/>
          <w:sz w:val="24"/>
        </w:rPr>
      </w:pPr>
      <w:bookmarkStart w:id="260" w:name="_Toc28725"/>
      <w:bookmarkStart w:id="261" w:name="_Toc10466"/>
      <w:bookmarkStart w:id="262" w:name="_Toc6664"/>
      <w:bookmarkStart w:id="263" w:name="_Toc11023"/>
      <w:bookmarkStart w:id="264" w:name="_Toc10758"/>
      <w:bookmarkStart w:id="265" w:name="_Toc28359"/>
      <w:bookmarkStart w:id="266" w:name="_Toc8749"/>
      <w:bookmarkStart w:id="267" w:name="_Toc5686"/>
      <w:bookmarkStart w:id="268" w:name="_Toc6680"/>
      <w:bookmarkStart w:id="269" w:name="_Toc7786"/>
      <w:bookmarkStart w:id="270" w:name="_Toc15590"/>
      <w:bookmarkStart w:id="271" w:name="_Toc5715"/>
      <w:bookmarkStart w:id="272" w:name="_Toc3553"/>
      <w:bookmarkStart w:id="273" w:name="_Toc2259"/>
      <w:bookmarkStart w:id="274" w:name="_Toc11230"/>
      <w:bookmarkStart w:id="275" w:name="_Toc27410"/>
      <w:bookmarkStart w:id="276" w:name="_Toc30420"/>
      <w:bookmarkStart w:id="277" w:name="_Toc28034"/>
      <w:bookmarkStart w:id="278" w:name="_Toc520356151"/>
      <w:bookmarkStart w:id="279" w:name="_Toc515647767"/>
      <w:bookmarkStart w:id="280" w:name="_Toc30570"/>
      <w:bookmarkStart w:id="281" w:name="_Toc28188"/>
      <w:bookmarkStart w:id="282" w:name="_Toc516367021"/>
      <w:bookmarkStart w:id="283" w:name="_Toc15952"/>
      <w:r>
        <w:rPr>
          <w:rFonts w:hint="eastAsia" w:ascii="仿宋_GB2312" w:hAnsi="仿宋_GB2312" w:eastAsia="仿宋_GB2312" w:cs="仿宋_GB2312"/>
          <w:b/>
          <w:i w:val="0"/>
          <w:caps w:val="0"/>
          <w:spacing w:val="0"/>
          <w:w w:val="100"/>
          <w:sz w:val="24"/>
        </w:rPr>
        <w:t>8.投标范围及投标文件中标准和计量单位的使用</w:t>
      </w:r>
      <w:bookmarkEnd w:id="260"/>
      <w:bookmarkEnd w:id="261"/>
      <w:bookmarkEnd w:id="262"/>
      <w:bookmarkEnd w:id="263"/>
      <w:bookmarkEnd w:id="264"/>
      <w:bookmarkEnd w:id="265"/>
      <w:bookmarkEnd w:id="266"/>
      <w:bookmarkEnd w:id="267"/>
      <w:bookmarkEnd w:id="268"/>
      <w:bookmarkEnd w:id="269"/>
      <w:bookmarkEnd w:id="270"/>
      <w:bookmarkEnd w:id="271"/>
      <w:bookmarkEnd w:id="272"/>
      <w:bookmarkEnd w:id="273"/>
      <w:bookmarkEnd w:id="274"/>
      <w:bookmarkEnd w:id="275"/>
      <w:bookmarkEnd w:id="276"/>
      <w:bookmarkEnd w:id="277"/>
      <w:bookmarkEnd w:id="278"/>
      <w:bookmarkEnd w:id="279"/>
      <w:bookmarkEnd w:id="280"/>
      <w:bookmarkEnd w:id="281"/>
      <w:bookmarkEnd w:id="282"/>
      <w:bookmarkEnd w:id="283"/>
    </w:p>
    <w:p w14:paraId="549A8604">
      <w:pPr>
        <w:snapToGrid/>
        <w:spacing w:before="0" w:beforeAutospacing="0" w:after="0" w:afterAutospacing="0" w:line="288" w:lineRule="auto"/>
        <w:ind w:hangingChars="375"/>
        <w:jc w:val="both"/>
        <w:textAlignment w:val="baseline"/>
        <w:rPr>
          <w:rFonts w:ascii="仿宋_GB2312" w:hAnsi="仿宋_GB2312" w:eastAsia="仿宋_GB2312" w:cs="仿宋_GB2312"/>
          <w:b w:val="0"/>
          <w:i w:val="0"/>
          <w:caps w:val="0"/>
          <w:spacing w:val="0"/>
          <w:w w:val="100"/>
          <w:sz w:val="24"/>
        </w:rPr>
      </w:pPr>
      <w:r>
        <w:rPr>
          <w:rFonts w:hint="eastAsia" w:ascii="仿宋_GB2312" w:hAnsi="仿宋_GB2312" w:eastAsia="仿宋_GB2312" w:cs="仿宋_GB2312"/>
          <w:b w:val="0"/>
          <w:i w:val="0"/>
          <w:caps w:val="0"/>
          <w:spacing w:val="0"/>
          <w:w w:val="100"/>
          <w:sz w:val="24"/>
        </w:rPr>
        <w:t>8.1</w:t>
      </w:r>
      <w:r>
        <w:rPr>
          <w:rFonts w:hint="eastAsia" w:ascii="仿宋_GB2312" w:hAnsi="仿宋_GB2312" w:eastAsia="仿宋_GB2312" w:cs="仿宋_GB2312"/>
          <w:b w:val="0"/>
          <w:i w:val="0"/>
          <w:caps w:val="0"/>
          <w:spacing w:val="0"/>
          <w:w w:val="100"/>
          <w:sz w:val="24"/>
        </w:rPr>
        <w:tab/>
      </w:r>
      <w:r>
        <w:rPr>
          <w:rFonts w:hint="eastAsia" w:ascii="仿宋_GB2312" w:hAnsi="仿宋_GB2312" w:eastAsia="仿宋_GB2312" w:cs="仿宋_GB2312"/>
          <w:b w:val="0"/>
          <w:i w:val="0"/>
          <w:caps w:val="0"/>
          <w:spacing w:val="0"/>
          <w:w w:val="100"/>
          <w:sz w:val="24"/>
        </w:rPr>
        <w:t>项目有分包的，投标人可对招标文件其中某一个或几个分包货物进行投标，除非在</w:t>
      </w:r>
      <w:r>
        <w:rPr>
          <w:rFonts w:hint="eastAsia" w:ascii="仿宋_GB2312" w:hAnsi="仿宋_GB2312" w:eastAsia="仿宋_GB2312" w:cs="仿宋_GB2312"/>
          <w:b w:val="0"/>
          <w:i w:val="0"/>
          <w:caps w:val="0"/>
          <w:spacing w:val="0"/>
          <w:w w:val="100"/>
          <w:sz w:val="24"/>
          <w:u w:val="single" w:color="000000"/>
        </w:rPr>
        <w:t>投标人须知资料表</w:t>
      </w:r>
      <w:r>
        <w:rPr>
          <w:rFonts w:hint="eastAsia" w:ascii="仿宋_GB2312" w:hAnsi="仿宋_GB2312" w:eastAsia="仿宋_GB2312" w:cs="仿宋_GB2312"/>
          <w:b w:val="0"/>
          <w:i w:val="0"/>
          <w:caps w:val="0"/>
          <w:spacing w:val="0"/>
          <w:w w:val="100"/>
          <w:sz w:val="24"/>
        </w:rPr>
        <w:t>中另有规定。</w:t>
      </w:r>
    </w:p>
    <w:p w14:paraId="169CD57B">
      <w:pPr>
        <w:snapToGrid/>
        <w:spacing w:before="0" w:beforeAutospacing="0" w:after="0" w:afterAutospacing="0" w:line="288" w:lineRule="auto"/>
        <w:ind w:hangingChars="375"/>
        <w:jc w:val="both"/>
        <w:textAlignment w:val="baseline"/>
        <w:rPr>
          <w:rFonts w:ascii="仿宋_GB2312" w:hAnsi="仿宋_GB2312" w:eastAsia="仿宋_GB2312" w:cs="仿宋_GB2312"/>
          <w:b w:val="0"/>
          <w:i w:val="0"/>
          <w:caps w:val="0"/>
          <w:spacing w:val="0"/>
          <w:w w:val="100"/>
          <w:sz w:val="24"/>
        </w:rPr>
      </w:pPr>
      <w:r>
        <w:rPr>
          <w:rFonts w:hint="eastAsia" w:ascii="仿宋_GB2312" w:hAnsi="仿宋_GB2312" w:eastAsia="仿宋_GB2312" w:cs="仿宋_GB2312"/>
          <w:b w:val="0"/>
          <w:i w:val="0"/>
          <w:caps w:val="0"/>
          <w:spacing w:val="0"/>
          <w:w w:val="100"/>
          <w:sz w:val="24"/>
        </w:rPr>
        <w:t>8.2     投标人应当对所投分包招标文件中“服务需求”所列的所有内容进行投标，如仅响应某一包中的部分内容，其该包投标将被认定为</w:t>
      </w:r>
      <w:r>
        <w:rPr>
          <w:rFonts w:hint="eastAsia" w:ascii="仿宋_GB2312" w:hAnsi="仿宋_GB2312" w:eastAsia="仿宋_GB2312" w:cs="仿宋_GB2312"/>
          <w:b/>
          <w:bCs/>
          <w:i w:val="0"/>
          <w:caps w:val="0"/>
          <w:spacing w:val="0"/>
          <w:w w:val="100"/>
          <w:sz w:val="24"/>
        </w:rPr>
        <w:t>投标无效</w:t>
      </w:r>
      <w:r>
        <w:rPr>
          <w:rFonts w:hint="eastAsia" w:ascii="仿宋_GB2312" w:hAnsi="仿宋_GB2312" w:eastAsia="仿宋_GB2312" w:cs="仿宋_GB2312"/>
          <w:b w:val="0"/>
          <w:i w:val="0"/>
          <w:caps w:val="0"/>
          <w:spacing w:val="0"/>
          <w:w w:val="100"/>
          <w:sz w:val="24"/>
        </w:rPr>
        <w:t>。</w:t>
      </w:r>
    </w:p>
    <w:p w14:paraId="03CE05F4">
      <w:pPr>
        <w:snapToGrid/>
        <w:spacing w:before="0" w:beforeAutospacing="0" w:after="0" w:afterAutospacing="0" w:line="288" w:lineRule="auto"/>
        <w:ind w:hangingChars="375"/>
        <w:jc w:val="both"/>
        <w:textAlignment w:val="baseline"/>
        <w:rPr>
          <w:rFonts w:ascii="仿宋_GB2312" w:hAnsi="仿宋_GB2312" w:eastAsia="仿宋_GB2312" w:cs="仿宋_GB2312"/>
          <w:b w:val="0"/>
          <w:i w:val="0"/>
          <w:caps w:val="0"/>
          <w:spacing w:val="0"/>
          <w:w w:val="100"/>
          <w:sz w:val="24"/>
        </w:rPr>
      </w:pPr>
      <w:r>
        <w:rPr>
          <w:rFonts w:hint="eastAsia" w:ascii="仿宋_GB2312" w:hAnsi="仿宋_GB2312" w:eastAsia="仿宋_GB2312" w:cs="仿宋_GB2312"/>
          <w:b w:val="0"/>
          <w:i w:val="0"/>
          <w:caps w:val="0"/>
          <w:spacing w:val="0"/>
          <w:w w:val="100"/>
          <w:sz w:val="24"/>
        </w:rPr>
        <w:t>8.3     无论招标文件第5章货物需求一览表及技术规格中是否要求，投标人所投货物均应符合国家强制性标准。</w:t>
      </w:r>
    </w:p>
    <w:p w14:paraId="3C6C7D33">
      <w:pPr>
        <w:snapToGrid/>
        <w:spacing w:before="0" w:beforeAutospacing="0" w:after="0" w:afterAutospacing="0" w:line="288" w:lineRule="auto"/>
        <w:ind w:hangingChars="375"/>
        <w:jc w:val="both"/>
        <w:textAlignment w:val="baseline"/>
        <w:rPr>
          <w:rFonts w:ascii="仿宋_GB2312" w:hAnsi="仿宋_GB2312" w:eastAsia="仿宋_GB2312" w:cs="仿宋_GB2312"/>
          <w:b w:val="0"/>
          <w:i w:val="0"/>
          <w:caps w:val="0"/>
          <w:spacing w:val="0"/>
          <w:w w:val="100"/>
          <w:sz w:val="24"/>
        </w:rPr>
      </w:pPr>
      <w:r>
        <w:rPr>
          <w:rFonts w:hint="eastAsia" w:ascii="仿宋_GB2312" w:hAnsi="仿宋_GB2312" w:eastAsia="仿宋_GB2312" w:cs="仿宋_GB2312"/>
          <w:b w:val="0"/>
          <w:i w:val="0"/>
          <w:caps w:val="0"/>
          <w:spacing w:val="0"/>
          <w:w w:val="100"/>
          <w:sz w:val="24"/>
        </w:rPr>
        <w:t>8.4     除招标文件中有特殊要求外，投标文件中所使用的计量单位，应采用中华人民共和国法定计量单位。</w:t>
      </w:r>
    </w:p>
    <w:p w14:paraId="6226ED5D">
      <w:pPr>
        <w:pStyle w:val="4"/>
        <w:tabs>
          <w:tab w:val="left" w:pos="900"/>
        </w:tabs>
        <w:snapToGrid/>
        <w:spacing w:before="0" w:beforeAutospacing="0" w:after="0" w:afterAutospacing="0" w:line="288" w:lineRule="auto"/>
        <w:jc w:val="left"/>
        <w:textAlignment w:val="baseline"/>
        <w:rPr>
          <w:rFonts w:ascii="仿宋_GB2312" w:hAnsi="仿宋_GB2312" w:eastAsia="仿宋_GB2312" w:cs="仿宋_GB2312"/>
          <w:b/>
          <w:i w:val="0"/>
          <w:caps w:val="0"/>
          <w:spacing w:val="0"/>
          <w:w w:val="100"/>
          <w:sz w:val="24"/>
        </w:rPr>
      </w:pPr>
      <w:bookmarkStart w:id="284" w:name="_Ref467306195"/>
      <w:bookmarkStart w:id="285" w:name="_Ref467306676"/>
      <w:bookmarkStart w:id="286" w:name="_Toc516367022"/>
      <w:bookmarkStart w:id="287" w:name="_Toc9822"/>
      <w:bookmarkStart w:id="288" w:name="_Toc8545"/>
      <w:bookmarkStart w:id="289" w:name="_Toc22989"/>
      <w:bookmarkStart w:id="290" w:name="_Toc10364"/>
      <w:bookmarkStart w:id="291" w:name="_Toc6112"/>
      <w:bookmarkStart w:id="292" w:name="_Toc5849"/>
      <w:bookmarkStart w:id="293" w:name="_Toc21249"/>
      <w:bookmarkStart w:id="294" w:name="_Toc1522"/>
      <w:bookmarkStart w:id="295" w:name="_Toc19700"/>
      <w:bookmarkStart w:id="296" w:name="_Toc27619"/>
      <w:bookmarkStart w:id="297" w:name="_Toc17949"/>
      <w:bookmarkStart w:id="298" w:name="_Toc515647768"/>
      <w:bookmarkStart w:id="299" w:name="_Toc9237"/>
      <w:bookmarkStart w:id="300" w:name="_Toc18692"/>
      <w:bookmarkStart w:id="301" w:name="_Toc13854"/>
      <w:bookmarkStart w:id="302" w:name="_Toc520356152"/>
      <w:bookmarkStart w:id="303" w:name="_Toc9389"/>
      <w:bookmarkStart w:id="304" w:name="_Toc18627"/>
      <w:bookmarkStart w:id="305" w:name="_Toc17979"/>
      <w:bookmarkStart w:id="306" w:name="_Toc9826"/>
      <w:bookmarkStart w:id="307" w:name="_Toc29877"/>
      <w:bookmarkStart w:id="308" w:name="_Toc5410"/>
      <w:bookmarkStart w:id="309" w:name="_Toc28307"/>
      <w:r>
        <w:rPr>
          <w:rFonts w:hint="eastAsia" w:ascii="仿宋_GB2312" w:hAnsi="仿宋_GB2312" w:eastAsia="仿宋_GB2312" w:cs="仿宋_GB2312"/>
          <w:b/>
          <w:i w:val="0"/>
          <w:caps w:val="0"/>
          <w:spacing w:val="0"/>
          <w:w w:val="100"/>
          <w:sz w:val="24"/>
        </w:rPr>
        <w:t>9.投标文件</w:t>
      </w:r>
      <w:bookmarkEnd w:id="284"/>
      <w:bookmarkEnd w:id="285"/>
      <w:bookmarkEnd w:id="286"/>
      <w:r>
        <w:rPr>
          <w:rFonts w:hint="eastAsia" w:ascii="仿宋_GB2312" w:hAnsi="仿宋_GB2312" w:eastAsia="仿宋_GB2312" w:cs="仿宋_GB2312"/>
          <w:b/>
          <w:i w:val="0"/>
          <w:caps w:val="0"/>
          <w:spacing w:val="0"/>
          <w:w w:val="100"/>
          <w:sz w:val="24"/>
        </w:rPr>
        <w:t>构成</w:t>
      </w:r>
      <w:bookmarkEnd w:id="287"/>
      <w:bookmarkEnd w:id="288"/>
      <w:bookmarkEnd w:id="289"/>
      <w:bookmarkEnd w:id="290"/>
      <w:bookmarkEnd w:id="291"/>
      <w:bookmarkEnd w:id="292"/>
      <w:bookmarkEnd w:id="293"/>
      <w:bookmarkEnd w:id="294"/>
      <w:bookmarkEnd w:id="295"/>
      <w:bookmarkEnd w:id="296"/>
      <w:bookmarkEnd w:id="297"/>
      <w:bookmarkEnd w:id="298"/>
      <w:bookmarkEnd w:id="299"/>
      <w:bookmarkEnd w:id="300"/>
      <w:bookmarkEnd w:id="301"/>
      <w:bookmarkEnd w:id="302"/>
      <w:bookmarkEnd w:id="303"/>
      <w:bookmarkEnd w:id="304"/>
      <w:bookmarkEnd w:id="305"/>
      <w:bookmarkEnd w:id="306"/>
      <w:bookmarkEnd w:id="307"/>
      <w:bookmarkEnd w:id="308"/>
      <w:bookmarkEnd w:id="309"/>
    </w:p>
    <w:p w14:paraId="1964BEDD">
      <w:pPr>
        <w:snapToGrid/>
        <w:spacing w:before="0" w:beforeAutospacing="0" w:after="0" w:afterAutospacing="0" w:line="288" w:lineRule="auto"/>
        <w:ind w:hangingChars="375"/>
        <w:jc w:val="both"/>
        <w:textAlignment w:val="baseline"/>
        <w:rPr>
          <w:rFonts w:hint="eastAsia" w:ascii="仿宋_GB2312" w:hAnsi="仿宋_GB2312" w:eastAsia="仿宋_GB2312" w:cs="仿宋_GB2312"/>
          <w:b w:val="0"/>
          <w:i w:val="0"/>
          <w:caps w:val="0"/>
          <w:spacing w:val="0"/>
          <w:w w:val="100"/>
          <w:sz w:val="24"/>
        </w:rPr>
      </w:pPr>
      <w:r>
        <w:rPr>
          <w:rFonts w:hint="eastAsia" w:ascii="仿宋_GB2312" w:hAnsi="仿宋_GB2312" w:eastAsia="仿宋_GB2312" w:cs="仿宋_GB2312"/>
          <w:b w:val="0"/>
          <w:i w:val="0"/>
          <w:caps w:val="0"/>
          <w:spacing w:val="0"/>
          <w:w w:val="100"/>
          <w:sz w:val="24"/>
        </w:rPr>
        <w:t>9.1    投标单位应完整地按招标文件提供的响应文件格式及要求编写响应文件，投标单位须</w:t>
      </w:r>
    </w:p>
    <w:p w14:paraId="481D3C24">
      <w:pPr>
        <w:snapToGrid/>
        <w:spacing w:before="0" w:beforeAutospacing="0" w:after="0" w:afterAutospacing="0" w:line="288" w:lineRule="auto"/>
        <w:ind w:left="898" w:leftChars="342" w:hanging="180" w:hangingChars="75"/>
        <w:jc w:val="both"/>
        <w:textAlignment w:val="baseline"/>
        <w:rPr>
          <w:rFonts w:hint="eastAsia" w:ascii="仿宋_GB2312" w:hAnsi="仿宋_GB2312" w:eastAsia="仿宋_GB2312" w:cs="仿宋_GB2312"/>
          <w:b w:val="0"/>
          <w:i w:val="0"/>
          <w:caps w:val="0"/>
          <w:spacing w:val="0"/>
          <w:w w:val="100"/>
          <w:sz w:val="24"/>
        </w:rPr>
      </w:pPr>
      <w:r>
        <w:rPr>
          <w:rFonts w:hint="eastAsia" w:ascii="仿宋_GB2312" w:hAnsi="仿宋_GB2312" w:eastAsia="仿宋_GB2312" w:cs="仿宋_GB2312"/>
          <w:b w:val="0"/>
          <w:i w:val="0"/>
          <w:caps w:val="0"/>
          <w:spacing w:val="0"/>
          <w:w w:val="100"/>
          <w:sz w:val="24"/>
        </w:rPr>
        <w:t>在投标截止时间前完成在系统上递交电子响应文件。投标单位的电子响应文件是经</w:t>
      </w:r>
    </w:p>
    <w:p w14:paraId="75DC64A9">
      <w:pPr>
        <w:snapToGrid/>
        <w:spacing w:before="0" w:beforeAutospacing="0" w:after="0" w:afterAutospacing="0" w:line="288" w:lineRule="auto"/>
        <w:ind w:left="898" w:leftChars="342" w:hanging="180" w:hangingChars="75"/>
        <w:jc w:val="both"/>
        <w:textAlignment w:val="baseline"/>
        <w:rPr>
          <w:rFonts w:hint="eastAsia" w:ascii="仿宋_GB2312" w:hAnsi="仿宋_GB2312" w:eastAsia="仿宋_GB2312" w:cs="仿宋_GB2312"/>
          <w:b w:val="0"/>
          <w:i w:val="0"/>
          <w:caps w:val="0"/>
          <w:spacing w:val="0"/>
          <w:w w:val="100"/>
          <w:sz w:val="24"/>
        </w:rPr>
      </w:pPr>
      <w:r>
        <w:rPr>
          <w:rFonts w:hint="eastAsia" w:ascii="仿宋_GB2312" w:hAnsi="仿宋_GB2312" w:eastAsia="仿宋_GB2312" w:cs="仿宋_GB2312"/>
          <w:b w:val="0"/>
          <w:i w:val="0"/>
          <w:caps w:val="0"/>
          <w:spacing w:val="0"/>
          <w:w w:val="100"/>
          <w:sz w:val="24"/>
        </w:rPr>
        <w:t>过 CA 证书加密后上传提交的，任何单位或个人均无法在投标截止时间(即投标时间)</w:t>
      </w:r>
    </w:p>
    <w:p w14:paraId="7D31F9B0">
      <w:pPr>
        <w:snapToGrid/>
        <w:spacing w:before="0" w:beforeAutospacing="0" w:after="0" w:afterAutospacing="0" w:line="288" w:lineRule="auto"/>
        <w:ind w:left="898" w:leftChars="342" w:hanging="180" w:hangingChars="75"/>
        <w:jc w:val="both"/>
        <w:textAlignment w:val="baseline"/>
        <w:rPr>
          <w:rFonts w:hint="eastAsia" w:ascii="仿宋_GB2312" w:hAnsi="仿宋_GB2312" w:eastAsia="仿宋_GB2312" w:cs="仿宋_GB2312"/>
          <w:b w:val="0"/>
          <w:i w:val="0"/>
          <w:caps w:val="0"/>
          <w:spacing w:val="0"/>
          <w:w w:val="100"/>
          <w:sz w:val="24"/>
        </w:rPr>
      </w:pPr>
      <w:r>
        <w:rPr>
          <w:rFonts w:hint="eastAsia" w:ascii="仿宋_GB2312" w:hAnsi="仿宋_GB2312" w:eastAsia="仿宋_GB2312" w:cs="仿宋_GB2312"/>
          <w:b w:val="0"/>
          <w:i w:val="0"/>
          <w:caps w:val="0"/>
          <w:spacing w:val="0"/>
          <w:w w:val="100"/>
          <w:sz w:val="24"/>
        </w:rPr>
        <w:t>之前查看或篡改，不存在泄密风险。（严格按照政采云电子投标流程制作并上传电</w:t>
      </w:r>
    </w:p>
    <w:p w14:paraId="7E36BECC">
      <w:pPr>
        <w:snapToGrid/>
        <w:spacing w:before="0" w:beforeAutospacing="0" w:after="0" w:afterAutospacing="0" w:line="288" w:lineRule="auto"/>
        <w:ind w:left="898" w:leftChars="342" w:hanging="180" w:hangingChars="75"/>
        <w:jc w:val="both"/>
        <w:textAlignment w:val="baseline"/>
        <w:rPr>
          <w:rFonts w:hint="eastAsia" w:ascii="仿宋_GB2312" w:hAnsi="仿宋_GB2312" w:eastAsia="仿宋_GB2312" w:cs="仿宋_GB2312"/>
          <w:b w:val="0"/>
          <w:i w:val="0"/>
          <w:caps w:val="0"/>
          <w:spacing w:val="0"/>
          <w:w w:val="100"/>
          <w:sz w:val="24"/>
        </w:rPr>
      </w:pPr>
      <w:r>
        <w:rPr>
          <w:rFonts w:hint="eastAsia" w:ascii="仿宋_GB2312" w:hAnsi="仿宋_GB2312" w:eastAsia="仿宋_GB2312" w:cs="仿宋_GB2312"/>
          <w:b w:val="0"/>
          <w:i w:val="0"/>
          <w:caps w:val="0"/>
          <w:spacing w:val="0"/>
          <w:w w:val="100"/>
          <w:sz w:val="24"/>
        </w:rPr>
        <w:t>子响应文件）</w:t>
      </w:r>
    </w:p>
    <w:p w14:paraId="153F72B6">
      <w:pPr>
        <w:snapToGrid/>
        <w:spacing w:before="0" w:beforeAutospacing="0" w:after="0" w:afterAutospacing="0" w:line="288" w:lineRule="auto"/>
        <w:ind w:hangingChars="375"/>
        <w:jc w:val="both"/>
        <w:textAlignment w:val="baseline"/>
        <w:rPr>
          <w:rFonts w:hint="eastAsia" w:ascii="仿宋_GB2312" w:hAnsi="仿宋_GB2312" w:eastAsia="仿宋_GB2312" w:cs="仿宋_GB2312"/>
          <w:b w:val="0"/>
          <w:i w:val="0"/>
          <w:caps w:val="0"/>
          <w:spacing w:val="0"/>
          <w:w w:val="100"/>
          <w:sz w:val="24"/>
        </w:rPr>
      </w:pPr>
      <w:r>
        <w:rPr>
          <w:rFonts w:hint="eastAsia" w:ascii="仿宋_GB2312" w:hAnsi="仿宋_GB2312" w:eastAsia="仿宋_GB2312" w:cs="仿宋_GB2312"/>
          <w:b w:val="0"/>
          <w:i w:val="0"/>
          <w:caps w:val="0"/>
          <w:spacing w:val="0"/>
          <w:w w:val="100"/>
          <w:sz w:val="24"/>
        </w:rPr>
        <w:t>9.2 上述文件应按照</w:t>
      </w:r>
      <w:r>
        <w:rPr>
          <w:rFonts w:hint="eastAsia" w:ascii="仿宋_GB2312" w:hAnsi="仿宋_GB2312" w:eastAsia="仿宋_GB2312" w:cs="仿宋_GB2312"/>
          <w:b w:val="0"/>
          <w:i w:val="0"/>
          <w:caps w:val="0"/>
          <w:spacing w:val="0"/>
          <w:w w:val="100"/>
          <w:sz w:val="24"/>
          <w:lang w:eastAsia="zh-CN"/>
        </w:rPr>
        <w:t>招标</w:t>
      </w:r>
      <w:r>
        <w:rPr>
          <w:rFonts w:hint="eastAsia" w:ascii="仿宋_GB2312" w:hAnsi="仿宋_GB2312" w:eastAsia="仿宋_GB2312" w:cs="仿宋_GB2312"/>
          <w:b w:val="0"/>
          <w:i w:val="0"/>
          <w:caps w:val="0"/>
          <w:spacing w:val="0"/>
          <w:w w:val="100"/>
          <w:sz w:val="24"/>
        </w:rPr>
        <w:t>文件规定的格式填写、签署和盖章招标文件中的格式供参考，投标文件中的内容可自行调整但应包括格式内的所有内容。</w:t>
      </w:r>
    </w:p>
    <w:p w14:paraId="21A9B3A6">
      <w:pPr>
        <w:pStyle w:val="4"/>
        <w:tabs>
          <w:tab w:val="left" w:pos="900"/>
        </w:tabs>
        <w:snapToGrid/>
        <w:spacing w:before="0" w:beforeAutospacing="0" w:after="0" w:afterAutospacing="0" w:line="288" w:lineRule="auto"/>
        <w:jc w:val="left"/>
        <w:textAlignment w:val="baseline"/>
        <w:rPr>
          <w:rFonts w:ascii="仿宋_GB2312" w:hAnsi="仿宋_GB2312" w:eastAsia="仿宋_GB2312" w:cs="仿宋_GB2312"/>
          <w:b/>
          <w:i w:val="0"/>
          <w:caps w:val="0"/>
          <w:spacing w:val="0"/>
          <w:w w:val="100"/>
          <w:sz w:val="24"/>
        </w:rPr>
      </w:pPr>
      <w:bookmarkStart w:id="310" w:name="_Toc3678"/>
      <w:bookmarkStart w:id="311" w:name="_Toc6889"/>
      <w:bookmarkStart w:id="312" w:name="_Toc520356153"/>
      <w:bookmarkStart w:id="313" w:name="_Toc10172"/>
      <w:bookmarkStart w:id="314" w:name="_Toc5539"/>
      <w:bookmarkStart w:id="315" w:name="_Toc7354"/>
      <w:bookmarkStart w:id="316" w:name="_Toc10580"/>
      <w:bookmarkStart w:id="317" w:name="_Toc516367023"/>
      <w:bookmarkStart w:id="318" w:name="_Toc17771"/>
      <w:bookmarkStart w:id="319" w:name="_Toc2550"/>
      <w:bookmarkStart w:id="320" w:name="_Toc19834"/>
      <w:bookmarkStart w:id="321" w:name="_Toc13143"/>
      <w:bookmarkStart w:id="322" w:name="_Toc20729"/>
      <w:bookmarkStart w:id="323" w:name="_Toc4601"/>
      <w:bookmarkStart w:id="324" w:name="_Toc10379"/>
      <w:bookmarkStart w:id="325" w:name="_Toc2871"/>
      <w:bookmarkStart w:id="326" w:name="_Toc22816"/>
      <w:bookmarkStart w:id="327" w:name="_Toc11721"/>
      <w:bookmarkStart w:id="328" w:name="_Toc515647769"/>
      <w:bookmarkStart w:id="329" w:name="_Toc1347"/>
      <w:bookmarkStart w:id="330" w:name="_Toc22144"/>
      <w:bookmarkStart w:id="331" w:name="_Toc21436"/>
      <w:bookmarkStart w:id="332" w:name="_Toc3494"/>
      <w:bookmarkStart w:id="333" w:name="_Toc30942"/>
      <w:r>
        <w:rPr>
          <w:rFonts w:hint="eastAsia" w:ascii="仿宋_GB2312" w:hAnsi="仿宋_GB2312" w:eastAsia="仿宋_GB2312" w:cs="仿宋_GB2312"/>
          <w:b/>
          <w:i w:val="0"/>
          <w:caps w:val="0"/>
          <w:spacing w:val="0"/>
          <w:w w:val="100"/>
          <w:sz w:val="24"/>
        </w:rPr>
        <w:t>10.证明投标标的的合格性和符合招标文件规定的技术文件</w:t>
      </w:r>
      <w:bookmarkEnd w:id="310"/>
      <w:bookmarkEnd w:id="311"/>
      <w:bookmarkEnd w:id="312"/>
      <w:bookmarkEnd w:id="313"/>
      <w:bookmarkEnd w:id="314"/>
      <w:bookmarkEnd w:id="315"/>
      <w:bookmarkEnd w:id="316"/>
      <w:bookmarkEnd w:id="317"/>
      <w:bookmarkEnd w:id="318"/>
      <w:bookmarkEnd w:id="319"/>
      <w:bookmarkEnd w:id="320"/>
      <w:bookmarkEnd w:id="321"/>
      <w:bookmarkEnd w:id="322"/>
      <w:bookmarkEnd w:id="323"/>
      <w:bookmarkEnd w:id="324"/>
      <w:bookmarkEnd w:id="325"/>
      <w:bookmarkEnd w:id="326"/>
      <w:bookmarkEnd w:id="327"/>
      <w:bookmarkEnd w:id="328"/>
      <w:bookmarkEnd w:id="329"/>
      <w:bookmarkEnd w:id="330"/>
      <w:bookmarkEnd w:id="331"/>
      <w:bookmarkEnd w:id="332"/>
      <w:bookmarkEnd w:id="333"/>
    </w:p>
    <w:p w14:paraId="1E5FA1AB">
      <w:pPr>
        <w:snapToGrid/>
        <w:spacing w:before="0" w:beforeAutospacing="0" w:after="0" w:afterAutospacing="0" w:line="288" w:lineRule="auto"/>
        <w:ind w:hangingChars="375"/>
        <w:jc w:val="both"/>
        <w:textAlignment w:val="baseline"/>
        <w:rPr>
          <w:rFonts w:ascii="仿宋_GB2312" w:hAnsi="仿宋_GB2312" w:eastAsia="仿宋_GB2312" w:cs="仿宋_GB2312"/>
          <w:b w:val="0"/>
          <w:i w:val="0"/>
          <w:caps w:val="0"/>
          <w:spacing w:val="0"/>
          <w:w w:val="100"/>
          <w:sz w:val="24"/>
        </w:rPr>
      </w:pPr>
      <w:r>
        <w:rPr>
          <w:rFonts w:hint="eastAsia" w:ascii="仿宋_GB2312" w:hAnsi="仿宋_GB2312" w:eastAsia="仿宋_GB2312" w:cs="仿宋_GB2312"/>
          <w:b w:val="0"/>
          <w:i w:val="0"/>
          <w:caps w:val="0"/>
          <w:spacing w:val="0"/>
          <w:w w:val="100"/>
          <w:sz w:val="24"/>
        </w:rPr>
        <w:t>10.1</w:t>
      </w:r>
      <w:r>
        <w:rPr>
          <w:rFonts w:hint="eastAsia" w:ascii="仿宋_GB2312" w:hAnsi="仿宋_GB2312" w:eastAsia="仿宋_GB2312" w:cs="仿宋_GB2312"/>
          <w:b w:val="0"/>
          <w:i w:val="0"/>
          <w:caps w:val="0"/>
          <w:spacing w:val="0"/>
          <w:w w:val="100"/>
          <w:sz w:val="24"/>
        </w:rPr>
        <w:tab/>
      </w:r>
      <w:r>
        <w:rPr>
          <w:rFonts w:hint="eastAsia" w:ascii="仿宋_GB2312" w:hAnsi="仿宋_GB2312" w:eastAsia="仿宋_GB2312" w:cs="仿宋_GB2312"/>
          <w:b w:val="0"/>
          <w:i w:val="0"/>
          <w:caps w:val="0"/>
          <w:spacing w:val="0"/>
          <w:w w:val="100"/>
          <w:sz w:val="24"/>
        </w:rPr>
        <w:t>投标人应提交证明文件，证明其投标内容符合招标文件规定。该证明文件是投标文件的一部分。</w:t>
      </w:r>
    </w:p>
    <w:p w14:paraId="6102517F">
      <w:pPr>
        <w:snapToGrid/>
        <w:spacing w:before="0" w:beforeAutospacing="0" w:after="0" w:afterAutospacing="0" w:line="288" w:lineRule="auto"/>
        <w:ind w:hangingChars="375"/>
        <w:jc w:val="both"/>
        <w:textAlignment w:val="baseline"/>
        <w:rPr>
          <w:rFonts w:ascii="仿宋_GB2312" w:hAnsi="仿宋_GB2312" w:eastAsia="仿宋_GB2312" w:cs="仿宋_GB2312"/>
          <w:b w:val="0"/>
          <w:i w:val="0"/>
          <w:caps w:val="0"/>
          <w:spacing w:val="0"/>
          <w:w w:val="100"/>
          <w:sz w:val="24"/>
        </w:rPr>
      </w:pPr>
      <w:bookmarkStart w:id="334" w:name="_Ref467306244"/>
      <w:r>
        <w:rPr>
          <w:rFonts w:hint="eastAsia" w:ascii="仿宋_GB2312" w:hAnsi="仿宋_GB2312" w:eastAsia="仿宋_GB2312" w:cs="仿宋_GB2312"/>
          <w:b w:val="0"/>
          <w:i w:val="0"/>
          <w:caps w:val="0"/>
          <w:spacing w:val="0"/>
          <w:w w:val="100"/>
          <w:sz w:val="24"/>
        </w:rPr>
        <w:t>10.2</w:t>
      </w:r>
      <w:r>
        <w:rPr>
          <w:rFonts w:hint="eastAsia" w:ascii="仿宋_GB2312" w:hAnsi="仿宋_GB2312" w:eastAsia="仿宋_GB2312" w:cs="仿宋_GB2312"/>
          <w:b w:val="0"/>
          <w:i w:val="0"/>
          <w:caps w:val="0"/>
          <w:spacing w:val="0"/>
          <w:w w:val="100"/>
          <w:sz w:val="24"/>
        </w:rPr>
        <w:tab/>
      </w:r>
      <w:r>
        <w:rPr>
          <w:rFonts w:hint="eastAsia" w:ascii="仿宋_GB2312" w:hAnsi="仿宋_GB2312" w:eastAsia="仿宋_GB2312" w:cs="仿宋_GB2312"/>
          <w:b w:val="0"/>
          <w:i w:val="0"/>
          <w:caps w:val="0"/>
          <w:spacing w:val="0"/>
          <w:w w:val="100"/>
          <w:sz w:val="24"/>
        </w:rPr>
        <w:t>上款所述的证明文件，可以是文字资料、图纸和数据，</w:t>
      </w:r>
      <w:bookmarkEnd w:id="334"/>
      <w:r>
        <w:rPr>
          <w:rFonts w:hint="eastAsia" w:ascii="仿宋_GB2312" w:hAnsi="仿宋_GB2312" w:eastAsia="仿宋_GB2312" w:cs="仿宋_GB2312"/>
          <w:b w:val="0"/>
          <w:i w:val="0"/>
          <w:caps w:val="0"/>
          <w:spacing w:val="0"/>
          <w:w w:val="100"/>
          <w:sz w:val="24"/>
        </w:rPr>
        <w:t>它包括：</w:t>
      </w:r>
    </w:p>
    <w:p w14:paraId="3FC4EEBB">
      <w:pPr>
        <w:snapToGrid/>
        <w:spacing w:before="0" w:beforeAutospacing="0" w:after="0" w:afterAutospacing="0" w:line="288" w:lineRule="auto"/>
        <w:ind w:hangingChars="375"/>
        <w:jc w:val="both"/>
        <w:textAlignment w:val="baseline"/>
        <w:rPr>
          <w:rFonts w:ascii="仿宋_GB2312" w:hAnsi="仿宋_GB2312" w:eastAsia="仿宋_GB2312" w:cs="仿宋_GB2312"/>
          <w:b w:val="0"/>
          <w:i w:val="0"/>
          <w:caps w:val="0"/>
          <w:spacing w:val="0"/>
          <w:w w:val="100"/>
          <w:sz w:val="24"/>
        </w:rPr>
      </w:pPr>
      <w:r>
        <w:rPr>
          <w:rFonts w:hint="eastAsia" w:ascii="仿宋_GB2312" w:hAnsi="仿宋_GB2312" w:eastAsia="仿宋_GB2312" w:cs="仿宋_GB2312"/>
          <w:b w:val="0"/>
          <w:i w:val="0"/>
          <w:caps w:val="0"/>
          <w:spacing w:val="0"/>
          <w:w w:val="100"/>
          <w:sz w:val="24"/>
        </w:rPr>
        <w:t>10.2.1</w:t>
      </w:r>
      <w:r>
        <w:rPr>
          <w:rFonts w:hint="eastAsia" w:ascii="仿宋_GB2312" w:hAnsi="仿宋_GB2312" w:eastAsia="仿宋_GB2312" w:cs="仿宋_GB2312"/>
          <w:b w:val="0"/>
          <w:i w:val="0"/>
          <w:caps w:val="0"/>
          <w:spacing w:val="0"/>
          <w:w w:val="100"/>
          <w:sz w:val="24"/>
        </w:rPr>
        <w:tab/>
      </w:r>
      <w:r>
        <w:rPr>
          <w:rFonts w:hint="eastAsia" w:ascii="仿宋_GB2312" w:hAnsi="仿宋_GB2312" w:eastAsia="仿宋_GB2312" w:cs="仿宋_GB2312"/>
          <w:b w:val="0"/>
          <w:i w:val="0"/>
          <w:caps w:val="0"/>
          <w:spacing w:val="0"/>
          <w:w w:val="100"/>
          <w:sz w:val="24"/>
        </w:rPr>
        <w:t>货物主要技术指标和性能的详细说明；</w:t>
      </w:r>
    </w:p>
    <w:p w14:paraId="28B2C4CB">
      <w:pPr>
        <w:snapToGrid/>
        <w:spacing w:before="0" w:beforeAutospacing="0" w:after="0" w:afterAutospacing="0" w:line="288" w:lineRule="auto"/>
        <w:ind w:hangingChars="375"/>
        <w:jc w:val="both"/>
        <w:textAlignment w:val="baseline"/>
        <w:rPr>
          <w:rFonts w:ascii="仿宋_GB2312" w:hAnsi="仿宋_GB2312" w:eastAsia="仿宋_GB2312" w:cs="仿宋_GB2312"/>
          <w:b w:val="0"/>
          <w:i w:val="0"/>
          <w:caps w:val="0"/>
          <w:spacing w:val="0"/>
          <w:w w:val="100"/>
          <w:sz w:val="24"/>
        </w:rPr>
      </w:pPr>
      <w:r>
        <w:rPr>
          <w:rFonts w:hint="eastAsia" w:ascii="仿宋_GB2312" w:hAnsi="仿宋_GB2312" w:eastAsia="仿宋_GB2312" w:cs="仿宋_GB2312"/>
          <w:b w:val="0"/>
          <w:i w:val="0"/>
          <w:caps w:val="0"/>
          <w:spacing w:val="0"/>
          <w:w w:val="100"/>
          <w:sz w:val="24"/>
        </w:rPr>
        <w:t>10.2.2</w:t>
      </w:r>
      <w:r>
        <w:rPr>
          <w:rFonts w:hint="eastAsia" w:ascii="仿宋_GB2312" w:hAnsi="仿宋_GB2312" w:eastAsia="仿宋_GB2312" w:cs="仿宋_GB2312"/>
          <w:b w:val="0"/>
          <w:i w:val="0"/>
          <w:caps w:val="0"/>
          <w:spacing w:val="0"/>
          <w:w w:val="100"/>
          <w:sz w:val="24"/>
        </w:rPr>
        <w:tab/>
      </w:r>
      <w:r>
        <w:rPr>
          <w:rFonts w:hint="eastAsia" w:ascii="仿宋_GB2312" w:hAnsi="仿宋_GB2312" w:eastAsia="仿宋_GB2312" w:cs="仿宋_GB2312"/>
          <w:b w:val="0"/>
          <w:i w:val="0"/>
          <w:caps w:val="0"/>
          <w:spacing w:val="0"/>
          <w:w w:val="100"/>
          <w:sz w:val="24"/>
        </w:rPr>
        <w:t>货物从买方开始使用至招标文件规定的保质期内正常、连续地使用所必须的备件和专用工具清单，包括备件和专用工具的货源及现行价格；</w:t>
      </w:r>
    </w:p>
    <w:p w14:paraId="78EBD331">
      <w:pPr>
        <w:snapToGrid/>
        <w:spacing w:before="0" w:beforeAutospacing="0" w:after="0" w:afterAutospacing="0" w:line="288" w:lineRule="auto"/>
        <w:ind w:hangingChars="375"/>
        <w:jc w:val="both"/>
        <w:textAlignment w:val="baseline"/>
        <w:rPr>
          <w:rFonts w:ascii="仿宋_GB2312" w:hAnsi="仿宋_GB2312" w:eastAsia="仿宋_GB2312" w:cs="仿宋_GB2312"/>
          <w:b w:val="0"/>
          <w:i w:val="0"/>
          <w:caps w:val="0"/>
          <w:spacing w:val="0"/>
          <w:w w:val="100"/>
          <w:sz w:val="24"/>
        </w:rPr>
      </w:pPr>
      <w:r>
        <w:rPr>
          <w:rFonts w:hint="eastAsia" w:ascii="仿宋_GB2312" w:hAnsi="仿宋_GB2312" w:eastAsia="仿宋_GB2312" w:cs="仿宋_GB2312"/>
          <w:b w:val="0"/>
          <w:i w:val="0"/>
          <w:caps w:val="0"/>
          <w:spacing w:val="0"/>
          <w:w w:val="100"/>
          <w:sz w:val="24"/>
        </w:rPr>
        <w:t>10.2.3</w:t>
      </w:r>
      <w:r>
        <w:rPr>
          <w:rFonts w:hint="eastAsia" w:ascii="仿宋_GB2312" w:hAnsi="仿宋_GB2312" w:eastAsia="仿宋_GB2312" w:cs="仿宋_GB2312"/>
          <w:b w:val="0"/>
          <w:i w:val="0"/>
          <w:caps w:val="0"/>
          <w:spacing w:val="0"/>
          <w:w w:val="100"/>
          <w:sz w:val="24"/>
        </w:rPr>
        <w:tab/>
      </w:r>
      <w:r>
        <w:rPr>
          <w:rFonts w:hint="eastAsia" w:ascii="仿宋_GB2312" w:hAnsi="仿宋_GB2312" w:eastAsia="仿宋_GB2312" w:cs="仿宋_GB2312"/>
          <w:b w:val="0"/>
          <w:i w:val="0"/>
          <w:caps w:val="0"/>
          <w:spacing w:val="0"/>
          <w:w w:val="100"/>
          <w:sz w:val="24"/>
        </w:rPr>
        <w:t>对照招标文件技术规格，逐条说明所提供货物及伴随的工程和服务已对招标文件的技术规格做出了实质性的响应，或申明与技术规格条文的偏差和例外。</w:t>
      </w:r>
    </w:p>
    <w:p w14:paraId="6F727C8D">
      <w:pPr>
        <w:snapToGrid/>
        <w:spacing w:before="0" w:beforeAutospacing="0" w:after="0" w:afterAutospacing="0" w:line="288" w:lineRule="auto"/>
        <w:ind w:hangingChars="375"/>
        <w:jc w:val="both"/>
        <w:textAlignment w:val="baseline"/>
        <w:rPr>
          <w:rFonts w:ascii="仿宋_GB2312" w:hAnsi="仿宋_GB2312" w:eastAsia="仿宋_GB2312" w:cs="仿宋_GB2312"/>
          <w:b w:val="0"/>
          <w:i w:val="0"/>
          <w:caps w:val="0"/>
          <w:spacing w:val="0"/>
          <w:w w:val="100"/>
          <w:sz w:val="24"/>
        </w:rPr>
      </w:pPr>
      <w:r>
        <w:rPr>
          <w:rFonts w:hint="eastAsia" w:ascii="仿宋_GB2312" w:hAnsi="仿宋_GB2312" w:eastAsia="仿宋_GB2312" w:cs="仿宋_GB2312"/>
          <w:b w:val="0"/>
          <w:i w:val="0"/>
          <w:caps w:val="0"/>
          <w:spacing w:val="0"/>
          <w:w w:val="100"/>
          <w:sz w:val="24"/>
        </w:rPr>
        <w:t>10.3</w:t>
      </w:r>
      <w:r>
        <w:rPr>
          <w:rFonts w:hint="eastAsia" w:ascii="仿宋_GB2312" w:hAnsi="仿宋_GB2312" w:eastAsia="仿宋_GB2312" w:cs="仿宋_GB2312"/>
          <w:b w:val="0"/>
          <w:i w:val="0"/>
          <w:caps w:val="0"/>
          <w:spacing w:val="0"/>
          <w:w w:val="100"/>
          <w:sz w:val="24"/>
        </w:rPr>
        <w:tab/>
      </w:r>
      <w:r>
        <w:rPr>
          <w:rFonts w:hint="eastAsia" w:ascii="仿宋_GB2312" w:hAnsi="仿宋_GB2312" w:eastAsia="仿宋_GB2312" w:cs="仿宋_GB2312"/>
          <w:b w:val="0"/>
          <w:i w:val="0"/>
          <w:caps w:val="0"/>
          <w:spacing w:val="0"/>
          <w:w w:val="100"/>
          <w:sz w:val="24"/>
        </w:rPr>
        <w:t>投标人应注意采购人在技术规格中指出的工艺、材料和设备的参照品牌型号或分类号仅起说明作用，并没有任何限制性。投标人在投标中可以选用替代牌号或分类号，但这些替代要实质上相当于技术规格的要求。采购人、采购代理机构承诺不以上述参照品牌型号或分类号作为评标时判定其投标是否有效的标准。</w:t>
      </w:r>
    </w:p>
    <w:p w14:paraId="773964ED">
      <w:pPr>
        <w:pStyle w:val="4"/>
        <w:snapToGrid/>
        <w:spacing w:before="0" w:beforeAutospacing="0" w:after="0" w:afterAutospacing="0" w:line="288" w:lineRule="auto"/>
        <w:jc w:val="left"/>
        <w:textAlignment w:val="baseline"/>
        <w:rPr>
          <w:rFonts w:ascii="仿宋_GB2312" w:hAnsi="仿宋_GB2312" w:eastAsia="仿宋_GB2312" w:cs="仿宋_GB2312"/>
          <w:b/>
          <w:i w:val="0"/>
          <w:caps w:val="0"/>
          <w:spacing w:val="0"/>
          <w:w w:val="100"/>
          <w:sz w:val="24"/>
        </w:rPr>
      </w:pPr>
      <w:bookmarkStart w:id="335" w:name="_Toc1965"/>
      <w:bookmarkStart w:id="336" w:name="_Toc28319"/>
      <w:bookmarkStart w:id="337" w:name="_Toc18045"/>
      <w:bookmarkStart w:id="338" w:name="_Toc4219"/>
      <w:bookmarkStart w:id="339" w:name="_Toc32167"/>
      <w:bookmarkStart w:id="340" w:name="_Toc23231"/>
      <w:bookmarkStart w:id="341" w:name="_Toc21624"/>
      <w:bookmarkStart w:id="342" w:name="_Toc12590"/>
      <w:bookmarkStart w:id="343" w:name="_Toc24594"/>
      <w:bookmarkStart w:id="344" w:name="_Toc520356155"/>
      <w:bookmarkStart w:id="345" w:name="_Toc19624"/>
      <w:bookmarkStart w:id="346" w:name="_Toc21898"/>
      <w:bookmarkStart w:id="347" w:name="_Toc29631"/>
      <w:bookmarkStart w:id="348" w:name="_Toc1082"/>
      <w:bookmarkStart w:id="349" w:name="_Toc515647770"/>
      <w:bookmarkStart w:id="350" w:name="_Toc13077"/>
      <w:bookmarkStart w:id="351" w:name="_Toc14959"/>
      <w:bookmarkStart w:id="352" w:name="_Toc22224"/>
      <w:bookmarkStart w:id="353" w:name="_Toc25539"/>
      <w:bookmarkStart w:id="354" w:name="_Toc2418"/>
      <w:bookmarkStart w:id="355" w:name="_Toc2248"/>
      <w:bookmarkStart w:id="356" w:name="_Toc9907"/>
      <w:bookmarkStart w:id="357" w:name="_Toc6623"/>
      <w:r>
        <w:rPr>
          <w:rFonts w:hint="eastAsia" w:ascii="仿宋_GB2312" w:hAnsi="仿宋_GB2312" w:eastAsia="仿宋_GB2312" w:cs="仿宋_GB2312"/>
          <w:b/>
          <w:i w:val="0"/>
          <w:caps w:val="0"/>
          <w:spacing w:val="0"/>
          <w:w w:val="100"/>
          <w:sz w:val="24"/>
        </w:rPr>
        <w:t>11.投标报价</w:t>
      </w:r>
      <w:bookmarkEnd w:id="335"/>
      <w:bookmarkEnd w:id="336"/>
      <w:bookmarkEnd w:id="337"/>
      <w:bookmarkEnd w:id="338"/>
      <w:bookmarkEnd w:id="339"/>
      <w:bookmarkEnd w:id="340"/>
      <w:bookmarkEnd w:id="341"/>
      <w:bookmarkEnd w:id="342"/>
      <w:bookmarkEnd w:id="343"/>
      <w:bookmarkEnd w:id="344"/>
      <w:bookmarkEnd w:id="345"/>
      <w:bookmarkEnd w:id="346"/>
      <w:bookmarkEnd w:id="347"/>
      <w:bookmarkEnd w:id="348"/>
      <w:bookmarkEnd w:id="349"/>
      <w:bookmarkEnd w:id="350"/>
      <w:bookmarkEnd w:id="351"/>
      <w:bookmarkEnd w:id="352"/>
      <w:bookmarkEnd w:id="353"/>
      <w:bookmarkEnd w:id="354"/>
      <w:bookmarkEnd w:id="355"/>
      <w:bookmarkEnd w:id="356"/>
      <w:bookmarkEnd w:id="357"/>
    </w:p>
    <w:p w14:paraId="368F8B8C">
      <w:pPr>
        <w:snapToGrid/>
        <w:spacing w:before="0" w:beforeAutospacing="0" w:after="0" w:afterAutospacing="0" w:line="288" w:lineRule="auto"/>
        <w:ind w:hangingChars="375"/>
        <w:jc w:val="both"/>
        <w:textAlignment w:val="baseline"/>
        <w:rPr>
          <w:rFonts w:ascii="仿宋_GB2312" w:hAnsi="仿宋_GB2312" w:eastAsia="仿宋_GB2312" w:cs="仿宋_GB2312"/>
          <w:b w:val="0"/>
          <w:i w:val="0"/>
          <w:caps w:val="0"/>
          <w:spacing w:val="0"/>
          <w:w w:val="100"/>
          <w:sz w:val="24"/>
        </w:rPr>
      </w:pPr>
      <w:r>
        <w:rPr>
          <w:rFonts w:hint="eastAsia" w:ascii="仿宋_GB2312" w:hAnsi="仿宋_GB2312" w:eastAsia="仿宋_GB2312" w:cs="仿宋_GB2312"/>
          <w:b w:val="0"/>
          <w:i w:val="0"/>
          <w:caps w:val="0"/>
          <w:spacing w:val="0"/>
          <w:w w:val="100"/>
          <w:sz w:val="24"/>
        </w:rPr>
        <w:t>11.1</w:t>
      </w:r>
      <w:r>
        <w:rPr>
          <w:rFonts w:hint="eastAsia" w:ascii="仿宋_GB2312" w:hAnsi="仿宋_GB2312" w:eastAsia="仿宋_GB2312" w:cs="仿宋_GB2312"/>
          <w:b w:val="0"/>
          <w:i w:val="0"/>
          <w:caps w:val="0"/>
          <w:spacing w:val="0"/>
          <w:w w:val="100"/>
          <w:sz w:val="24"/>
        </w:rPr>
        <w:tab/>
      </w:r>
      <w:r>
        <w:rPr>
          <w:rFonts w:hint="eastAsia" w:ascii="仿宋_GB2312" w:hAnsi="仿宋_GB2312" w:eastAsia="仿宋_GB2312" w:cs="仿宋_GB2312"/>
          <w:b w:val="0"/>
          <w:i w:val="0"/>
          <w:caps w:val="0"/>
          <w:spacing w:val="0"/>
          <w:w w:val="100"/>
          <w:sz w:val="24"/>
        </w:rPr>
        <w:t>所有投标均以人民币报价。投标人的投标报价应遵守《中华人民共和国价格法》。同时，根据《中华人民共和国政府采购法》第二条的规定，为保证公平竞争，如有货物主体部分的赠与行为，其投标将被认定为</w:t>
      </w:r>
      <w:r>
        <w:rPr>
          <w:rFonts w:hint="eastAsia" w:ascii="仿宋_GB2312" w:hAnsi="仿宋_GB2312" w:eastAsia="仿宋_GB2312" w:cs="仿宋_GB2312"/>
          <w:b/>
          <w:bCs/>
          <w:i w:val="0"/>
          <w:caps w:val="0"/>
          <w:spacing w:val="0"/>
          <w:w w:val="100"/>
          <w:sz w:val="24"/>
        </w:rPr>
        <w:t>投标无效</w:t>
      </w:r>
      <w:r>
        <w:rPr>
          <w:rFonts w:hint="eastAsia" w:ascii="仿宋_GB2312" w:hAnsi="仿宋_GB2312" w:eastAsia="仿宋_GB2312" w:cs="仿宋_GB2312"/>
          <w:b w:val="0"/>
          <w:i w:val="0"/>
          <w:caps w:val="0"/>
          <w:spacing w:val="0"/>
          <w:w w:val="100"/>
          <w:sz w:val="24"/>
        </w:rPr>
        <w:t>。</w:t>
      </w:r>
    </w:p>
    <w:p w14:paraId="795DF5D2">
      <w:pPr>
        <w:snapToGrid/>
        <w:spacing w:before="0" w:beforeAutospacing="0" w:after="0" w:afterAutospacing="0" w:line="288" w:lineRule="auto"/>
        <w:ind w:hangingChars="375"/>
        <w:jc w:val="both"/>
        <w:textAlignment w:val="baseline"/>
        <w:rPr>
          <w:rFonts w:ascii="仿宋_GB2312" w:hAnsi="仿宋_GB2312" w:eastAsia="仿宋_GB2312" w:cs="仿宋_GB2312"/>
          <w:b w:val="0"/>
          <w:i w:val="0"/>
          <w:caps w:val="0"/>
          <w:spacing w:val="0"/>
          <w:w w:val="100"/>
          <w:sz w:val="24"/>
        </w:rPr>
      </w:pPr>
      <w:r>
        <w:rPr>
          <w:rFonts w:hint="eastAsia" w:ascii="仿宋_GB2312" w:hAnsi="仿宋_GB2312" w:eastAsia="仿宋_GB2312" w:cs="仿宋_GB2312"/>
          <w:b w:val="0"/>
          <w:i w:val="0"/>
          <w:caps w:val="0"/>
          <w:spacing w:val="0"/>
          <w:w w:val="100"/>
          <w:sz w:val="24"/>
        </w:rPr>
        <w:t>11.2</w:t>
      </w:r>
      <w:r>
        <w:rPr>
          <w:rFonts w:hint="eastAsia" w:ascii="仿宋_GB2312" w:hAnsi="仿宋_GB2312" w:eastAsia="仿宋_GB2312" w:cs="仿宋_GB2312"/>
          <w:b w:val="0"/>
          <w:i w:val="0"/>
          <w:caps w:val="0"/>
          <w:spacing w:val="0"/>
          <w:w w:val="100"/>
          <w:sz w:val="24"/>
        </w:rPr>
        <w:tab/>
      </w:r>
      <w:r>
        <w:rPr>
          <w:rFonts w:hint="eastAsia" w:ascii="仿宋_GB2312" w:hAnsi="仿宋_GB2312" w:eastAsia="仿宋_GB2312" w:cs="仿宋_GB2312"/>
          <w:b w:val="0"/>
          <w:i w:val="0"/>
          <w:caps w:val="0"/>
          <w:spacing w:val="0"/>
          <w:w w:val="100"/>
          <w:sz w:val="24"/>
        </w:rPr>
        <w:t>投标人应在投标分项报价表上标明投标货物及相关服务的单价（如适用）和总价，并由法定代表人或其授权代表签署。</w:t>
      </w:r>
    </w:p>
    <w:p w14:paraId="7EF2ADC0">
      <w:pPr>
        <w:snapToGrid/>
        <w:spacing w:before="0" w:beforeAutospacing="0" w:after="0" w:afterAutospacing="0" w:line="288" w:lineRule="auto"/>
        <w:ind w:hangingChars="375"/>
        <w:jc w:val="both"/>
        <w:textAlignment w:val="baseline"/>
        <w:rPr>
          <w:rFonts w:ascii="仿宋_GB2312" w:hAnsi="仿宋_GB2312" w:eastAsia="仿宋_GB2312" w:cs="仿宋_GB2312"/>
          <w:b w:val="0"/>
          <w:i w:val="0"/>
          <w:caps w:val="0"/>
          <w:spacing w:val="0"/>
          <w:w w:val="100"/>
          <w:sz w:val="24"/>
        </w:rPr>
      </w:pPr>
      <w:r>
        <w:rPr>
          <w:rFonts w:hint="eastAsia" w:ascii="仿宋_GB2312" w:hAnsi="仿宋_GB2312" w:eastAsia="仿宋_GB2312" w:cs="仿宋_GB2312"/>
          <w:b w:val="0"/>
          <w:i w:val="0"/>
          <w:caps w:val="0"/>
          <w:spacing w:val="0"/>
          <w:w w:val="100"/>
          <w:sz w:val="24"/>
        </w:rPr>
        <w:t>11.3</w:t>
      </w:r>
      <w:r>
        <w:rPr>
          <w:rFonts w:hint="eastAsia" w:ascii="仿宋_GB2312" w:hAnsi="仿宋_GB2312" w:eastAsia="仿宋_GB2312" w:cs="仿宋_GB2312"/>
          <w:b w:val="0"/>
          <w:i w:val="0"/>
          <w:caps w:val="0"/>
          <w:spacing w:val="0"/>
          <w:w w:val="100"/>
          <w:sz w:val="24"/>
        </w:rPr>
        <w:tab/>
      </w:r>
      <w:r>
        <w:rPr>
          <w:rFonts w:hint="eastAsia" w:ascii="仿宋_GB2312" w:hAnsi="仿宋_GB2312" w:eastAsia="仿宋_GB2312" w:cs="仿宋_GB2312"/>
          <w:b w:val="0"/>
          <w:i w:val="0"/>
          <w:caps w:val="0"/>
          <w:spacing w:val="0"/>
          <w:w w:val="100"/>
          <w:sz w:val="24"/>
        </w:rPr>
        <w:t>投标分项报价表上的价格应按下列方式填写：</w:t>
      </w:r>
    </w:p>
    <w:p w14:paraId="79B6167A">
      <w:pPr>
        <w:snapToGrid/>
        <w:spacing w:before="0" w:beforeAutospacing="0" w:after="0" w:afterAutospacing="0" w:line="288" w:lineRule="auto"/>
        <w:ind w:hangingChars="375"/>
        <w:jc w:val="both"/>
        <w:textAlignment w:val="baseline"/>
        <w:rPr>
          <w:rFonts w:ascii="仿宋_GB2312" w:hAnsi="仿宋_GB2312" w:eastAsia="仿宋_GB2312" w:cs="仿宋_GB2312"/>
          <w:b w:val="0"/>
          <w:i w:val="0"/>
          <w:caps w:val="0"/>
          <w:spacing w:val="0"/>
          <w:w w:val="100"/>
          <w:sz w:val="24"/>
        </w:rPr>
      </w:pPr>
      <w:r>
        <w:rPr>
          <w:rFonts w:hint="eastAsia" w:ascii="仿宋_GB2312" w:hAnsi="仿宋_GB2312" w:eastAsia="仿宋_GB2312" w:cs="仿宋_GB2312"/>
          <w:b w:val="0"/>
          <w:i w:val="0"/>
          <w:caps w:val="0"/>
          <w:spacing w:val="0"/>
          <w:w w:val="100"/>
          <w:sz w:val="24"/>
        </w:rPr>
        <w:t>11.3.1  投标货物（包括备品备件、专用工具等）的出厂价（包括已在中国国内的进口货物完税后的仓库交货价、展室交货价或货架交货价），投标货物安装、调试、检验、技术服务和培训等费用；</w:t>
      </w:r>
    </w:p>
    <w:p w14:paraId="2640760D">
      <w:pPr>
        <w:snapToGrid/>
        <w:spacing w:before="0" w:beforeAutospacing="0" w:after="0" w:afterAutospacing="0" w:line="288" w:lineRule="auto"/>
        <w:ind w:hangingChars="375"/>
        <w:jc w:val="both"/>
        <w:textAlignment w:val="baseline"/>
        <w:rPr>
          <w:rFonts w:ascii="仿宋_GB2312" w:hAnsi="仿宋_GB2312" w:eastAsia="仿宋_GB2312" w:cs="仿宋_GB2312"/>
          <w:b w:val="0"/>
          <w:i w:val="0"/>
          <w:caps w:val="0"/>
          <w:spacing w:val="0"/>
          <w:w w:val="100"/>
          <w:sz w:val="24"/>
        </w:rPr>
      </w:pPr>
      <w:r>
        <w:rPr>
          <w:rFonts w:hint="eastAsia" w:ascii="仿宋_GB2312" w:hAnsi="仿宋_GB2312" w:eastAsia="仿宋_GB2312" w:cs="仿宋_GB2312"/>
          <w:b w:val="0"/>
          <w:i w:val="0"/>
          <w:caps w:val="0"/>
          <w:spacing w:val="0"/>
          <w:w w:val="100"/>
          <w:sz w:val="24"/>
        </w:rPr>
        <w:t>11.3.2  货物运至最终目的地的运输费和保险费用。</w:t>
      </w:r>
    </w:p>
    <w:p w14:paraId="2FEB4ABC">
      <w:pPr>
        <w:snapToGrid/>
        <w:spacing w:before="0" w:beforeAutospacing="0" w:after="0" w:afterAutospacing="0" w:line="288" w:lineRule="auto"/>
        <w:ind w:hangingChars="375"/>
        <w:jc w:val="both"/>
        <w:textAlignment w:val="baseline"/>
        <w:rPr>
          <w:rFonts w:ascii="仿宋_GB2312" w:hAnsi="仿宋_GB2312" w:eastAsia="仿宋_GB2312" w:cs="仿宋_GB2312"/>
          <w:b w:val="0"/>
          <w:i w:val="0"/>
          <w:caps w:val="0"/>
          <w:spacing w:val="0"/>
          <w:w w:val="100"/>
          <w:sz w:val="24"/>
        </w:rPr>
      </w:pPr>
      <w:r>
        <w:rPr>
          <w:rFonts w:hint="eastAsia" w:ascii="仿宋_GB2312" w:hAnsi="仿宋_GB2312" w:eastAsia="仿宋_GB2312" w:cs="仿宋_GB2312"/>
          <w:b w:val="0"/>
          <w:i w:val="0"/>
          <w:caps w:val="0"/>
          <w:spacing w:val="0"/>
          <w:w w:val="100"/>
          <w:sz w:val="24"/>
        </w:rPr>
        <w:t>11.4</w:t>
      </w:r>
      <w:r>
        <w:rPr>
          <w:rFonts w:hint="eastAsia" w:ascii="仿宋_GB2312" w:hAnsi="仿宋_GB2312" w:eastAsia="仿宋_GB2312" w:cs="仿宋_GB2312"/>
          <w:b w:val="0"/>
          <w:i w:val="0"/>
          <w:caps w:val="0"/>
          <w:spacing w:val="0"/>
          <w:w w:val="100"/>
          <w:sz w:val="24"/>
        </w:rPr>
        <w:tab/>
      </w:r>
      <w:r>
        <w:rPr>
          <w:rFonts w:hint="eastAsia" w:ascii="仿宋_GB2312" w:hAnsi="仿宋_GB2312" w:eastAsia="仿宋_GB2312" w:cs="仿宋_GB2312"/>
          <w:b w:val="0"/>
          <w:i w:val="0"/>
          <w:caps w:val="0"/>
          <w:spacing w:val="0"/>
          <w:w w:val="100"/>
          <w:sz w:val="24"/>
        </w:rPr>
        <w:t>投标人所报的各分项投标单价在合同履行过程中是固定不变的，不得以任何理由予以变更。任何包含价格调整要求的投标，其投标将被认定为</w:t>
      </w:r>
      <w:r>
        <w:rPr>
          <w:rFonts w:hint="eastAsia" w:ascii="仿宋_GB2312" w:hAnsi="仿宋_GB2312" w:eastAsia="仿宋_GB2312" w:cs="仿宋_GB2312"/>
          <w:b/>
          <w:bCs/>
          <w:i w:val="0"/>
          <w:caps w:val="0"/>
          <w:spacing w:val="0"/>
          <w:w w:val="100"/>
          <w:sz w:val="24"/>
        </w:rPr>
        <w:t>投标无效</w:t>
      </w:r>
      <w:r>
        <w:rPr>
          <w:rFonts w:hint="eastAsia" w:ascii="仿宋_GB2312" w:hAnsi="仿宋_GB2312" w:eastAsia="仿宋_GB2312" w:cs="仿宋_GB2312"/>
          <w:b w:val="0"/>
          <w:i w:val="0"/>
          <w:caps w:val="0"/>
          <w:spacing w:val="0"/>
          <w:w w:val="100"/>
          <w:sz w:val="24"/>
        </w:rPr>
        <w:t>。</w:t>
      </w:r>
    </w:p>
    <w:p w14:paraId="7B762D65">
      <w:pPr>
        <w:snapToGrid/>
        <w:spacing w:before="0" w:beforeAutospacing="0" w:after="0" w:afterAutospacing="0" w:line="288" w:lineRule="auto"/>
        <w:ind w:hangingChars="375"/>
        <w:jc w:val="both"/>
        <w:textAlignment w:val="baseline"/>
        <w:rPr>
          <w:rFonts w:ascii="仿宋_GB2312" w:hAnsi="仿宋_GB2312" w:eastAsia="仿宋_GB2312" w:cs="仿宋_GB2312"/>
          <w:b w:val="0"/>
          <w:i w:val="0"/>
          <w:caps w:val="0"/>
          <w:spacing w:val="0"/>
          <w:w w:val="100"/>
          <w:sz w:val="24"/>
        </w:rPr>
      </w:pPr>
      <w:r>
        <w:rPr>
          <w:rFonts w:hint="eastAsia" w:ascii="仿宋_GB2312" w:hAnsi="仿宋_GB2312" w:eastAsia="仿宋_GB2312" w:cs="仿宋_GB2312"/>
          <w:b w:val="0"/>
          <w:i w:val="0"/>
          <w:caps w:val="0"/>
          <w:spacing w:val="0"/>
          <w:w w:val="100"/>
          <w:sz w:val="24"/>
        </w:rPr>
        <w:t>11.5</w:t>
      </w:r>
      <w:r>
        <w:rPr>
          <w:rFonts w:hint="eastAsia" w:ascii="仿宋_GB2312" w:hAnsi="仿宋_GB2312" w:eastAsia="仿宋_GB2312" w:cs="仿宋_GB2312"/>
          <w:b w:val="0"/>
          <w:i w:val="0"/>
          <w:caps w:val="0"/>
          <w:spacing w:val="0"/>
          <w:w w:val="100"/>
          <w:sz w:val="24"/>
        </w:rPr>
        <w:tab/>
      </w:r>
      <w:r>
        <w:rPr>
          <w:rFonts w:hint="eastAsia" w:ascii="仿宋_GB2312" w:hAnsi="仿宋_GB2312" w:eastAsia="仿宋_GB2312" w:cs="仿宋_GB2312"/>
          <w:b w:val="0"/>
          <w:i w:val="0"/>
          <w:caps w:val="0"/>
          <w:spacing w:val="0"/>
          <w:w w:val="100"/>
          <w:sz w:val="24"/>
        </w:rPr>
        <w:t>每种货物只能有一个投标报价。采购人不接受具有附加条件的报价。</w:t>
      </w:r>
    </w:p>
    <w:p w14:paraId="359937F8">
      <w:pPr>
        <w:snapToGrid/>
        <w:spacing w:before="0" w:beforeAutospacing="0" w:after="0" w:afterAutospacing="0" w:line="288" w:lineRule="auto"/>
        <w:ind w:hangingChars="375"/>
        <w:jc w:val="both"/>
        <w:textAlignment w:val="baseline"/>
        <w:rPr>
          <w:rFonts w:ascii="仿宋_GB2312" w:hAnsi="仿宋_GB2312" w:eastAsia="仿宋_GB2312" w:cs="仿宋_GB2312"/>
          <w:b w:val="0"/>
          <w:i w:val="0"/>
          <w:caps w:val="0"/>
          <w:spacing w:val="0"/>
          <w:w w:val="100"/>
          <w:sz w:val="24"/>
        </w:rPr>
      </w:pPr>
      <w:r>
        <w:rPr>
          <w:rFonts w:hint="eastAsia" w:ascii="仿宋_GB2312" w:hAnsi="仿宋_GB2312" w:eastAsia="仿宋_GB2312" w:cs="仿宋_GB2312"/>
          <w:b w:val="0"/>
          <w:i w:val="0"/>
          <w:caps w:val="0"/>
          <w:spacing w:val="0"/>
          <w:w w:val="100"/>
          <w:sz w:val="24"/>
        </w:rPr>
        <w:t>11.6    投标文件中应写明投标产品的产地、数量/面积、养护服务期、供货期，未明确写明的其投标将被认定为</w:t>
      </w:r>
      <w:r>
        <w:rPr>
          <w:rFonts w:hint="eastAsia" w:ascii="仿宋_GB2312" w:hAnsi="仿宋_GB2312" w:eastAsia="仿宋_GB2312" w:cs="仿宋_GB2312"/>
          <w:b/>
          <w:bCs/>
          <w:i w:val="0"/>
          <w:caps w:val="0"/>
          <w:spacing w:val="0"/>
          <w:w w:val="100"/>
          <w:sz w:val="24"/>
        </w:rPr>
        <w:t>投标无效</w:t>
      </w:r>
      <w:r>
        <w:rPr>
          <w:rFonts w:hint="eastAsia" w:ascii="仿宋_GB2312" w:hAnsi="仿宋_GB2312" w:eastAsia="仿宋_GB2312" w:cs="仿宋_GB2312"/>
          <w:b w:val="0"/>
          <w:i w:val="0"/>
          <w:caps w:val="0"/>
          <w:spacing w:val="0"/>
          <w:w w:val="100"/>
          <w:sz w:val="24"/>
        </w:rPr>
        <w:t>。</w:t>
      </w:r>
    </w:p>
    <w:p w14:paraId="1EB159A4">
      <w:pPr>
        <w:pStyle w:val="4"/>
        <w:snapToGrid/>
        <w:spacing w:before="0" w:beforeAutospacing="0" w:after="0" w:afterAutospacing="0" w:line="288" w:lineRule="auto"/>
        <w:jc w:val="left"/>
        <w:textAlignment w:val="baseline"/>
        <w:rPr>
          <w:rFonts w:ascii="仿宋_GB2312" w:hAnsi="仿宋_GB2312" w:eastAsia="仿宋_GB2312" w:cs="仿宋_GB2312"/>
          <w:b/>
          <w:i w:val="0"/>
          <w:caps w:val="0"/>
          <w:spacing w:val="0"/>
          <w:w w:val="100"/>
          <w:sz w:val="24"/>
        </w:rPr>
      </w:pPr>
      <w:bookmarkStart w:id="358" w:name="_Toc2856"/>
      <w:bookmarkStart w:id="359" w:name="_Toc1823"/>
      <w:bookmarkStart w:id="360" w:name="_Toc16123"/>
      <w:bookmarkStart w:id="361" w:name="_Toc11514"/>
      <w:bookmarkStart w:id="362" w:name="_Toc515647771"/>
      <w:bookmarkStart w:id="363" w:name="_Toc19688"/>
      <w:bookmarkStart w:id="364" w:name="_Toc17357"/>
      <w:bookmarkStart w:id="365" w:name="_Toc17296"/>
      <w:bookmarkStart w:id="366" w:name="_Toc17788"/>
      <w:bookmarkStart w:id="367" w:name="_Toc22212"/>
      <w:bookmarkStart w:id="368" w:name="_Ref467306513"/>
      <w:bookmarkStart w:id="369" w:name="_Toc27024"/>
      <w:bookmarkStart w:id="370" w:name="_Toc10169"/>
      <w:bookmarkStart w:id="371" w:name="_Toc29572"/>
      <w:bookmarkStart w:id="372" w:name="_Toc13084"/>
      <w:bookmarkStart w:id="373" w:name="_Toc2961"/>
      <w:bookmarkStart w:id="374" w:name="_Toc20540"/>
      <w:bookmarkStart w:id="375" w:name="_Toc6409"/>
      <w:bookmarkStart w:id="376" w:name="_Toc32056"/>
      <w:bookmarkStart w:id="377" w:name="_Toc520356156"/>
      <w:bookmarkStart w:id="378" w:name="_Toc2157"/>
      <w:bookmarkStart w:id="379" w:name="_Toc31739"/>
      <w:bookmarkStart w:id="380" w:name="_Toc8651"/>
      <w:bookmarkStart w:id="381" w:name="_Toc17068"/>
      <w:r>
        <w:rPr>
          <w:rFonts w:hint="eastAsia" w:ascii="仿宋_GB2312" w:hAnsi="仿宋_GB2312" w:eastAsia="仿宋_GB2312" w:cs="仿宋_GB2312"/>
          <w:b/>
          <w:i w:val="0"/>
          <w:caps w:val="0"/>
          <w:spacing w:val="0"/>
          <w:w w:val="100"/>
          <w:sz w:val="24"/>
        </w:rPr>
        <w:t>12.投标保证金</w:t>
      </w:r>
      <w:bookmarkEnd w:id="358"/>
      <w:bookmarkEnd w:id="359"/>
      <w:bookmarkEnd w:id="360"/>
      <w:bookmarkEnd w:id="361"/>
      <w:bookmarkEnd w:id="362"/>
      <w:bookmarkEnd w:id="363"/>
      <w:bookmarkEnd w:id="364"/>
      <w:bookmarkEnd w:id="365"/>
      <w:bookmarkEnd w:id="366"/>
      <w:bookmarkEnd w:id="367"/>
      <w:bookmarkEnd w:id="368"/>
      <w:bookmarkEnd w:id="369"/>
      <w:bookmarkEnd w:id="370"/>
      <w:bookmarkEnd w:id="371"/>
      <w:bookmarkEnd w:id="372"/>
      <w:bookmarkEnd w:id="373"/>
      <w:bookmarkEnd w:id="374"/>
      <w:bookmarkEnd w:id="375"/>
      <w:bookmarkEnd w:id="376"/>
      <w:bookmarkEnd w:id="377"/>
      <w:bookmarkEnd w:id="378"/>
      <w:bookmarkEnd w:id="379"/>
      <w:bookmarkEnd w:id="380"/>
      <w:bookmarkEnd w:id="381"/>
    </w:p>
    <w:p w14:paraId="1A13A551">
      <w:pPr>
        <w:snapToGrid/>
        <w:spacing w:before="0" w:beforeAutospacing="0" w:after="0" w:afterAutospacing="0" w:line="288" w:lineRule="auto"/>
        <w:ind w:hangingChars="375"/>
        <w:jc w:val="both"/>
        <w:textAlignment w:val="baseline"/>
        <w:rPr>
          <w:rFonts w:ascii="仿宋_GB2312" w:hAnsi="仿宋_GB2312" w:eastAsia="仿宋_GB2312" w:cs="仿宋_GB2312"/>
          <w:b w:val="0"/>
          <w:i w:val="0"/>
          <w:caps w:val="0"/>
          <w:spacing w:val="0"/>
          <w:w w:val="100"/>
          <w:sz w:val="24"/>
        </w:rPr>
      </w:pPr>
      <w:bookmarkStart w:id="382" w:name="_Ref467306302"/>
      <w:r>
        <w:rPr>
          <w:rFonts w:hint="eastAsia" w:ascii="仿宋_GB2312" w:hAnsi="仿宋_GB2312" w:eastAsia="仿宋_GB2312" w:cs="仿宋_GB2312"/>
          <w:b w:val="0"/>
          <w:i w:val="0"/>
          <w:caps w:val="0"/>
          <w:spacing w:val="0"/>
          <w:w w:val="100"/>
          <w:sz w:val="24"/>
        </w:rPr>
        <w:t>12.1</w:t>
      </w:r>
      <w:r>
        <w:rPr>
          <w:rFonts w:hint="eastAsia" w:ascii="仿宋_GB2312" w:hAnsi="仿宋_GB2312" w:eastAsia="仿宋_GB2312" w:cs="仿宋_GB2312"/>
          <w:b w:val="0"/>
          <w:i w:val="0"/>
          <w:caps w:val="0"/>
          <w:spacing w:val="0"/>
          <w:w w:val="100"/>
          <w:sz w:val="24"/>
        </w:rPr>
        <w:tab/>
      </w:r>
      <w:r>
        <w:rPr>
          <w:rFonts w:hint="eastAsia" w:ascii="仿宋_GB2312" w:hAnsi="仿宋_GB2312" w:eastAsia="仿宋_GB2312" w:cs="仿宋_GB2312"/>
          <w:b w:val="0"/>
          <w:i w:val="0"/>
          <w:caps w:val="0"/>
          <w:spacing w:val="0"/>
          <w:w w:val="100"/>
          <w:sz w:val="24"/>
        </w:rPr>
        <w:t>投标人应提交</w:t>
      </w:r>
      <w:r>
        <w:rPr>
          <w:rFonts w:hint="eastAsia" w:ascii="仿宋_GB2312" w:hAnsi="仿宋_GB2312" w:eastAsia="仿宋_GB2312" w:cs="仿宋_GB2312"/>
          <w:b w:val="0"/>
          <w:i w:val="0"/>
          <w:caps w:val="0"/>
          <w:spacing w:val="0"/>
          <w:w w:val="100"/>
          <w:sz w:val="24"/>
          <w:u w:val="single" w:color="000000"/>
        </w:rPr>
        <w:t>投标人须知资料表</w:t>
      </w:r>
      <w:r>
        <w:rPr>
          <w:rFonts w:hint="eastAsia" w:ascii="仿宋_GB2312" w:hAnsi="仿宋_GB2312" w:eastAsia="仿宋_GB2312" w:cs="仿宋_GB2312"/>
          <w:b w:val="0"/>
          <w:i w:val="0"/>
          <w:caps w:val="0"/>
          <w:spacing w:val="0"/>
          <w:w w:val="100"/>
          <w:sz w:val="24"/>
        </w:rPr>
        <w:t>中规定的投标保证金</w:t>
      </w:r>
      <w:bookmarkEnd w:id="382"/>
      <w:r>
        <w:rPr>
          <w:rFonts w:hint="eastAsia" w:ascii="仿宋_GB2312" w:hAnsi="仿宋_GB2312" w:eastAsia="仿宋_GB2312" w:cs="仿宋_GB2312"/>
          <w:b w:val="0"/>
          <w:i w:val="0"/>
          <w:caps w:val="0"/>
          <w:spacing w:val="0"/>
          <w:w w:val="100"/>
          <w:sz w:val="24"/>
        </w:rPr>
        <w:t>，并作为其投标的一部分。</w:t>
      </w:r>
    </w:p>
    <w:p w14:paraId="5A058FAE">
      <w:pPr>
        <w:snapToGrid/>
        <w:spacing w:before="0" w:beforeAutospacing="0" w:after="0" w:afterAutospacing="0" w:line="288" w:lineRule="auto"/>
        <w:ind w:hangingChars="375"/>
        <w:jc w:val="both"/>
        <w:textAlignment w:val="baseline"/>
        <w:rPr>
          <w:rFonts w:ascii="仿宋_GB2312" w:hAnsi="仿宋_GB2312" w:eastAsia="仿宋_GB2312" w:cs="仿宋_GB2312"/>
          <w:b w:val="0"/>
          <w:i w:val="0"/>
          <w:caps w:val="0"/>
          <w:spacing w:val="0"/>
          <w:w w:val="100"/>
          <w:sz w:val="24"/>
        </w:rPr>
      </w:pPr>
      <w:r>
        <w:rPr>
          <w:rFonts w:hint="eastAsia" w:ascii="仿宋_GB2312" w:hAnsi="仿宋_GB2312" w:eastAsia="仿宋_GB2312" w:cs="仿宋_GB2312"/>
          <w:b w:val="0"/>
          <w:i w:val="0"/>
          <w:caps w:val="0"/>
          <w:spacing w:val="0"/>
          <w:w w:val="100"/>
          <w:sz w:val="24"/>
        </w:rPr>
        <w:t>12.2</w:t>
      </w:r>
      <w:r>
        <w:rPr>
          <w:rFonts w:hint="eastAsia" w:ascii="仿宋_GB2312" w:hAnsi="仿宋_GB2312" w:eastAsia="仿宋_GB2312" w:cs="仿宋_GB2312"/>
          <w:b w:val="0"/>
          <w:i w:val="0"/>
          <w:caps w:val="0"/>
          <w:spacing w:val="0"/>
          <w:w w:val="100"/>
          <w:sz w:val="24"/>
        </w:rPr>
        <w:tab/>
      </w:r>
      <w:r>
        <w:rPr>
          <w:rFonts w:hint="eastAsia" w:ascii="仿宋_GB2312" w:hAnsi="仿宋_GB2312" w:eastAsia="仿宋_GB2312" w:cs="仿宋_GB2312"/>
          <w:b w:val="0"/>
          <w:i w:val="0"/>
          <w:caps w:val="0"/>
          <w:spacing w:val="0"/>
          <w:w w:val="100"/>
          <w:sz w:val="24"/>
        </w:rPr>
        <w:t>投标人存在下列情形的，投标保证金不予退还：</w:t>
      </w:r>
    </w:p>
    <w:p w14:paraId="54AEB2BF">
      <w:pPr>
        <w:pStyle w:val="20"/>
        <w:tabs>
          <w:tab w:val="left" w:pos="2240"/>
        </w:tabs>
        <w:snapToGrid/>
        <w:spacing w:before="0" w:beforeAutospacing="0" w:after="0" w:afterAutospacing="0" w:line="288" w:lineRule="auto"/>
        <w:ind w:left="1079" w:leftChars="371" w:hangingChars="125"/>
        <w:jc w:val="both"/>
        <w:textAlignment w:val="baseline"/>
        <w:rPr>
          <w:rFonts w:ascii="仿宋_GB2312" w:hAnsi="仿宋_GB2312" w:eastAsia="仿宋_GB2312" w:cs="仿宋_GB2312"/>
          <w:b w:val="0"/>
          <w:i w:val="0"/>
          <w:caps w:val="0"/>
          <w:spacing w:val="0"/>
          <w:w w:val="100"/>
          <w:sz w:val="24"/>
        </w:rPr>
      </w:pPr>
      <w:r>
        <w:rPr>
          <w:rFonts w:hint="eastAsia" w:ascii="仿宋_GB2312" w:hAnsi="仿宋_GB2312" w:eastAsia="仿宋_GB2312" w:cs="仿宋_GB2312"/>
          <w:b w:val="0"/>
          <w:i w:val="0"/>
          <w:caps w:val="0"/>
          <w:spacing w:val="0"/>
          <w:w w:val="100"/>
          <w:sz w:val="24"/>
        </w:rPr>
        <w:t>（1）在投标有效期内，撤销投标的；</w:t>
      </w:r>
    </w:p>
    <w:p w14:paraId="464B22D9">
      <w:pPr>
        <w:pStyle w:val="20"/>
        <w:tabs>
          <w:tab w:val="left" w:pos="2240"/>
        </w:tabs>
        <w:snapToGrid/>
        <w:spacing w:before="0" w:beforeAutospacing="0" w:after="0" w:afterAutospacing="0" w:line="288" w:lineRule="auto"/>
        <w:ind w:left="1079" w:leftChars="371" w:hangingChars="125"/>
        <w:jc w:val="both"/>
        <w:textAlignment w:val="baseline"/>
        <w:rPr>
          <w:rFonts w:ascii="仿宋_GB2312" w:hAnsi="仿宋_GB2312" w:eastAsia="仿宋_GB2312" w:cs="仿宋_GB2312"/>
          <w:b w:val="0"/>
          <w:i w:val="0"/>
          <w:caps w:val="0"/>
          <w:spacing w:val="0"/>
          <w:w w:val="100"/>
          <w:sz w:val="24"/>
        </w:rPr>
      </w:pPr>
      <w:r>
        <w:rPr>
          <w:rFonts w:hint="eastAsia" w:ascii="仿宋_GB2312" w:hAnsi="仿宋_GB2312" w:eastAsia="仿宋_GB2312" w:cs="仿宋_GB2312"/>
          <w:b w:val="0"/>
          <w:i w:val="0"/>
          <w:caps w:val="0"/>
          <w:spacing w:val="0"/>
          <w:w w:val="100"/>
          <w:sz w:val="24"/>
        </w:rPr>
        <w:t>（2）中标后不按本须知第30条的规定与采购人签订合同的；</w:t>
      </w:r>
    </w:p>
    <w:p w14:paraId="3DD9C0F4">
      <w:pPr>
        <w:pStyle w:val="20"/>
        <w:tabs>
          <w:tab w:val="left" w:pos="2240"/>
        </w:tabs>
        <w:snapToGrid/>
        <w:spacing w:before="0" w:beforeAutospacing="0" w:after="0" w:afterAutospacing="0" w:line="288" w:lineRule="auto"/>
        <w:ind w:left="1079" w:leftChars="371" w:hangingChars="125"/>
        <w:jc w:val="both"/>
        <w:textAlignment w:val="baseline"/>
        <w:rPr>
          <w:rFonts w:ascii="仿宋_GB2312" w:hAnsi="仿宋_GB2312" w:eastAsia="仿宋_GB2312" w:cs="仿宋_GB2312"/>
          <w:b w:val="0"/>
          <w:i w:val="0"/>
          <w:caps w:val="0"/>
          <w:spacing w:val="0"/>
          <w:w w:val="100"/>
          <w:sz w:val="24"/>
        </w:rPr>
      </w:pPr>
      <w:r>
        <w:rPr>
          <w:rFonts w:hint="eastAsia" w:ascii="仿宋_GB2312" w:hAnsi="仿宋_GB2312" w:eastAsia="仿宋_GB2312" w:cs="仿宋_GB2312"/>
          <w:b w:val="0"/>
          <w:i w:val="0"/>
          <w:caps w:val="0"/>
          <w:spacing w:val="0"/>
          <w:w w:val="100"/>
          <w:sz w:val="24"/>
        </w:rPr>
        <w:t>（3）中标后不按本须知第31条的规定提交履约保证金的；</w:t>
      </w:r>
    </w:p>
    <w:p w14:paraId="596C7948">
      <w:pPr>
        <w:pStyle w:val="20"/>
        <w:tabs>
          <w:tab w:val="left" w:pos="2240"/>
        </w:tabs>
        <w:snapToGrid/>
        <w:spacing w:before="0" w:beforeAutospacing="0" w:after="0" w:afterAutospacing="0" w:line="288" w:lineRule="auto"/>
        <w:ind w:left="1079" w:leftChars="371" w:hangingChars="125"/>
        <w:jc w:val="both"/>
        <w:textAlignment w:val="baseline"/>
        <w:rPr>
          <w:rFonts w:ascii="仿宋_GB2312" w:hAnsi="仿宋_GB2312" w:eastAsia="仿宋_GB2312" w:cs="仿宋_GB2312"/>
          <w:b w:val="0"/>
          <w:i w:val="0"/>
          <w:caps w:val="0"/>
          <w:spacing w:val="0"/>
          <w:w w:val="100"/>
          <w:sz w:val="24"/>
        </w:rPr>
      </w:pPr>
      <w:r>
        <w:rPr>
          <w:rFonts w:hint="eastAsia" w:ascii="仿宋_GB2312" w:hAnsi="仿宋_GB2312" w:eastAsia="仿宋_GB2312" w:cs="仿宋_GB2312"/>
          <w:b w:val="0"/>
          <w:i w:val="0"/>
          <w:caps w:val="0"/>
          <w:spacing w:val="0"/>
          <w:w w:val="100"/>
          <w:sz w:val="24"/>
        </w:rPr>
        <w:t>（4）存在其他违法违规行为的。</w:t>
      </w:r>
    </w:p>
    <w:p w14:paraId="690E741D">
      <w:pPr>
        <w:snapToGrid/>
        <w:spacing w:before="0" w:beforeAutospacing="0" w:after="0" w:afterAutospacing="0" w:line="288" w:lineRule="auto"/>
        <w:ind w:hangingChars="375"/>
        <w:jc w:val="both"/>
        <w:textAlignment w:val="baseline"/>
        <w:rPr>
          <w:rFonts w:ascii="仿宋_GB2312" w:hAnsi="仿宋_GB2312" w:eastAsia="仿宋_GB2312" w:cs="仿宋_GB2312"/>
          <w:b w:val="0"/>
          <w:i w:val="0"/>
          <w:caps w:val="0"/>
          <w:spacing w:val="0"/>
          <w:w w:val="100"/>
          <w:sz w:val="24"/>
        </w:rPr>
      </w:pPr>
      <w:bookmarkStart w:id="383" w:name="_Ref467306336"/>
      <w:r>
        <w:rPr>
          <w:rFonts w:hint="eastAsia" w:ascii="仿宋_GB2312" w:hAnsi="仿宋_GB2312" w:eastAsia="仿宋_GB2312" w:cs="仿宋_GB2312"/>
          <w:b w:val="0"/>
          <w:i w:val="0"/>
          <w:caps w:val="0"/>
          <w:spacing w:val="0"/>
          <w:w w:val="100"/>
          <w:sz w:val="24"/>
        </w:rPr>
        <w:t>12.3</w:t>
      </w:r>
      <w:r>
        <w:rPr>
          <w:rFonts w:hint="eastAsia" w:ascii="仿宋_GB2312" w:hAnsi="仿宋_GB2312" w:eastAsia="仿宋_GB2312" w:cs="仿宋_GB2312"/>
          <w:b w:val="0"/>
          <w:i w:val="0"/>
          <w:caps w:val="0"/>
          <w:spacing w:val="0"/>
          <w:w w:val="100"/>
          <w:sz w:val="24"/>
        </w:rPr>
        <w:tab/>
      </w:r>
      <w:bookmarkEnd w:id="383"/>
      <w:r>
        <w:rPr>
          <w:rFonts w:hint="eastAsia" w:ascii="仿宋_GB2312" w:hAnsi="仿宋_GB2312" w:eastAsia="仿宋_GB2312" w:cs="仿宋_GB2312"/>
          <w:b w:val="0"/>
          <w:i w:val="0"/>
          <w:caps w:val="0"/>
          <w:spacing w:val="0"/>
          <w:w w:val="100"/>
          <w:sz w:val="24"/>
        </w:rPr>
        <w:t>政府采购信用担保试点范围内的项目，接受符合财政部门规定的政府采购投标担保函原件。</w:t>
      </w:r>
    </w:p>
    <w:p w14:paraId="1BC60E97">
      <w:pPr>
        <w:snapToGrid/>
        <w:spacing w:before="0" w:beforeAutospacing="0" w:after="0" w:afterAutospacing="0" w:line="288" w:lineRule="auto"/>
        <w:ind w:hangingChars="375"/>
        <w:jc w:val="both"/>
        <w:textAlignment w:val="baseline"/>
        <w:rPr>
          <w:rFonts w:ascii="仿宋_GB2312" w:hAnsi="仿宋_GB2312" w:eastAsia="仿宋_GB2312" w:cs="仿宋_GB2312"/>
          <w:b w:val="0"/>
          <w:i w:val="0"/>
          <w:caps w:val="0"/>
          <w:spacing w:val="0"/>
          <w:w w:val="100"/>
          <w:sz w:val="24"/>
        </w:rPr>
      </w:pPr>
      <w:r>
        <w:rPr>
          <w:rFonts w:hint="eastAsia" w:ascii="仿宋_GB2312" w:hAnsi="仿宋_GB2312" w:eastAsia="仿宋_GB2312" w:cs="仿宋_GB2312"/>
          <w:b w:val="0"/>
          <w:i w:val="0"/>
          <w:caps w:val="0"/>
          <w:spacing w:val="0"/>
          <w:w w:val="100"/>
          <w:sz w:val="24"/>
        </w:rPr>
        <w:t>12.4</w:t>
      </w:r>
      <w:r>
        <w:rPr>
          <w:rFonts w:hint="eastAsia" w:ascii="仿宋_GB2312" w:hAnsi="仿宋_GB2312" w:eastAsia="仿宋_GB2312" w:cs="仿宋_GB2312"/>
          <w:b w:val="0"/>
          <w:i w:val="0"/>
          <w:caps w:val="0"/>
          <w:spacing w:val="0"/>
          <w:w w:val="100"/>
          <w:sz w:val="24"/>
        </w:rPr>
        <w:tab/>
      </w:r>
      <w:r>
        <w:rPr>
          <w:rFonts w:hint="eastAsia" w:ascii="仿宋_GB2312" w:hAnsi="仿宋_GB2312" w:eastAsia="仿宋_GB2312" w:cs="仿宋_GB2312"/>
          <w:b w:val="0"/>
          <w:i w:val="0"/>
          <w:caps w:val="0"/>
          <w:spacing w:val="0"/>
          <w:w w:val="100"/>
          <w:sz w:val="24"/>
        </w:rPr>
        <w:t>投标人未按本须知规定提交投标保证金的，其投标将被认定为</w:t>
      </w:r>
      <w:r>
        <w:rPr>
          <w:rFonts w:hint="eastAsia" w:ascii="仿宋_GB2312" w:hAnsi="仿宋_GB2312" w:eastAsia="仿宋_GB2312" w:cs="仿宋_GB2312"/>
          <w:b/>
          <w:bCs/>
          <w:i w:val="0"/>
          <w:caps w:val="0"/>
          <w:spacing w:val="0"/>
          <w:w w:val="100"/>
          <w:sz w:val="24"/>
        </w:rPr>
        <w:t>投标无效</w:t>
      </w:r>
      <w:r>
        <w:rPr>
          <w:rFonts w:hint="eastAsia" w:ascii="仿宋_GB2312" w:hAnsi="仿宋_GB2312" w:eastAsia="仿宋_GB2312" w:cs="仿宋_GB2312"/>
          <w:b w:val="0"/>
          <w:i w:val="0"/>
          <w:caps w:val="0"/>
          <w:spacing w:val="0"/>
          <w:w w:val="100"/>
          <w:sz w:val="24"/>
        </w:rPr>
        <w:t>。</w:t>
      </w:r>
    </w:p>
    <w:p w14:paraId="69AD1B5E">
      <w:pPr>
        <w:snapToGrid/>
        <w:spacing w:before="0" w:beforeAutospacing="0" w:after="0" w:afterAutospacing="0" w:line="288" w:lineRule="auto"/>
        <w:jc w:val="both"/>
        <w:textAlignment w:val="baseline"/>
        <w:rPr>
          <w:rFonts w:ascii="仿宋_GB2312" w:hAnsi="仿宋_GB2312" w:eastAsia="仿宋_GB2312" w:cs="仿宋_GB2312"/>
          <w:b w:val="0"/>
          <w:i w:val="0"/>
          <w:caps w:val="0"/>
          <w:spacing w:val="0"/>
          <w:w w:val="100"/>
          <w:sz w:val="24"/>
        </w:rPr>
      </w:pPr>
      <w:r>
        <w:rPr>
          <w:rFonts w:hint="eastAsia" w:ascii="仿宋_GB2312" w:hAnsi="仿宋_GB2312" w:eastAsia="仿宋_GB2312" w:cs="仿宋_GB2312"/>
          <w:b w:val="0"/>
          <w:i w:val="0"/>
          <w:caps w:val="0"/>
          <w:spacing w:val="0"/>
          <w:w w:val="100"/>
          <w:sz w:val="24"/>
        </w:rPr>
        <w:t>12.4.1  采用电汇形式的，一般可以实时入账。</w:t>
      </w:r>
    </w:p>
    <w:p w14:paraId="079201F2">
      <w:pPr>
        <w:snapToGrid/>
        <w:spacing w:before="0" w:beforeAutospacing="0" w:after="0" w:afterAutospacing="0" w:line="288" w:lineRule="auto"/>
        <w:ind w:hangingChars="400"/>
        <w:jc w:val="left"/>
        <w:textAlignment w:val="baseline"/>
        <w:rPr>
          <w:rFonts w:ascii="仿宋_GB2312" w:hAnsi="仿宋_GB2312" w:eastAsia="仿宋_GB2312" w:cs="仿宋_GB2312"/>
          <w:b w:val="0"/>
          <w:i w:val="0"/>
          <w:caps w:val="0"/>
          <w:spacing w:val="0"/>
          <w:w w:val="100"/>
          <w:sz w:val="24"/>
        </w:rPr>
      </w:pPr>
      <w:r>
        <w:rPr>
          <w:rFonts w:hint="eastAsia" w:ascii="仿宋_GB2312" w:hAnsi="仿宋_GB2312" w:eastAsia="仿宋_GB2312" w:cs="仿宋_GB2312"/>
          <w:b w:val="0"/>
          <w:i w:val="0"/>
          <w:caps w:val="0"/>
          <w:spacing w:val="0"/>
          <w:w w:val="100"/>
          <w:sz w:val="24"/>
        </w:rPr>
        <w:t>12.4.2  采用支票形式的，投标人则应充分考虑支票入账时间，以确保投标保证金能按时进入指定账户。根据银行信息交换和付款时间，支票从递交至实际入账一般需要4-5个工作日。如投标人未及时提交支票或支票不符合银行委托收款要求（如污损、折叠、胶装等），导致投标保证金不能按时进入指定账户的，将按照招标文件的相关规定处理。</w:t>
      </w:r>
    </w:p>
    <w:p w14:paraId="344F4C47">
      <w:pPr>
        <w:snapToGrid/>
        <w:spacing w:before="0" w:beforeAutospacing="0" w:after="0" w:afterAutospacing="0" w:line="288" w:lineRule="auto"/>
        <w:ind w:hangingChars="375"/>
        <w:jc w:val="both"/>
        <w:textAlignment w:val="baseline"/>
        <w:rPr>
          <w:rFonts w:ascii="仿宋_GB2312" w:hAnsi="仿宋_GB2312" w:eastAsia="仿宋_GB2312" w:cs="仿宋_GB2312"/>
          <w:b w:val="0"/>
          <w:i w:val="0"/>
          <w:caps w:val="0"/>
          <w:spacing w:val="0"/>
          <w:w w:val="100"/>
          <w:sz w:val="24"/>
        </w:rPr>
      </w:pPr>
      <w:r>
        <w:rPr>
          <w:rFonts w:hint="eastAsia" w:ascii="仿宋_GB2312" w:hAnsi="仿宋_GB2312" w:eastAsia="仿宋_GB2312" w:cs="仿宋_GB2312"/>
          <w:b w:val="0"/>
          <w:i w:val="0"/>
          <w:caps w:val="0"/>
          <w:spacing w:val="0"/>
          <w:w w:val="100"/>
          <w:sz w:val="24"/>
        </w:rPr>
        <w:t>12.5   联合体投标的，可以由联合体中的一方或者共同提交投标保证金。以一方名义提交投标保证金的，对联合体各方均具有约束力。</w:t>
      </w:r>
    </w:p>
    <w:p w14:paraId="3B31F1E4">
      <w:pPr>
        <w:snapToGrid/>
        <w:spacing w:before="0" w:beforeAutospacing="0" w:after="0" w:afterAutospacing="0" w:line="288" w:lineRule="auto"/>
        <w:ind w:hangingChars="375"/>
        <w:jc w:val="both"/>
        <w:textAlignment w:val="baseline"/>
        <w:rPr>
          <w:rFonts w:ascii="仿宋_GB2312" w:hAnsi="仿宋_GB2312" w:eastAsia="仿宋_GB2312" w:cs="仿宋_GB2312"/>
          <w:b w:val="0"/>
          <w:i w:val="0"/>
          <w:caps w:val="0"/>
          <w:spacing w:val="0"/>
          <w:w w:val="100"/>
          <w:sz w:val="24"/>
        </w:rPr>
      </w:pPr>
      <w:r>
        <w:rPr>
          <w:rFonts w:hint="eastAsia" w:ascii="仿宋_GB2312" w:hAnsi="仿宋_GB2312" w:eastAsia="仿宋_GB2312" w:cs="仿宋_GB2312"/>
          <w:b w:val="0"/>
          <w:i w:val="0"/>
          <w:caps w:val="0"/>
          <w:spacing w:val="0"/>
          <w:w w:val="100"/>
          <w:sz w:val="24"/>
        </w:rPr>
        <w:t>12.6</w:t>
      </w:r>
      <w:r>
        <w:rPr>
          <w:rFonts w:hint="eastAsia" w:ascii="仿宋_GB2312" w:hAnsi="仿宋_GB2312" w:eastAsia="仿宋_GB2312" w:cs="仿宋_GB2312"/>
          <w:b w:val="0"/>
          <w:i w:val="0"/>
          <w:caps w:val="0"/>
          <w:spacing w:val="0"/>
          <w:w w:val="100"/>
          <w:sz w:val="24"/>
        </w:rPr>
        <w:tab/>
      </w:r>
      <w:r>
        <w:rPr>
          <w:rFonts w:hint="eastAsia" w:ascii="仿宋_GB2312" w:hAnsi="仿宋_GB2312" w:eastAsia="仿宋_GB2312" w:cs="仿宋_GB2312"/>
          <w:b w:val="0"/>
          <w:i w:val="0"/>
          <w:caps w:val="0"/>
          <w:spacing w:val="0"/>
          <w:w w:val="100"/>
          <w:sz w:val="24"/>
        </w:rPr>
        <w:t>投标保证金的退还</w:t>
      </w:r>
    </w:p>
    <w:p w14:paraId="7C135C72">
      <w:pPr>
        <w:snapToGrid/>
        <w:spacing w:before="0" w:beforeAutospacing="0" w:after="0" w:afterAutospacing="0" w:line="288" w:lineRule="auto"/>
        <w:ind w:hangingChars="375"/>
        <w:jc w:val="both"/>
        <w:textAlignment w:val="baseline"/>
        <w:rPr>
          <w:rFonts w:ascii="仿宋_GB2312" w:hAnsi="仿宋_GB2312" w:eastAsia="仿宋_GB2312" w:cs="仿宋_GB2312"/>
          <w:b w:val="0"/>
          <w:i w:val="0"/>
          <w:caps w:val="0"/>
          <w:spacing w:val="0"/>
          <w:w w:val="100"/>
          <w:sz w:val="24"/>
        </w:rPr>
      </w:pPr>
      <w:r>
        <w:rPr>
          <w:rFonts w:hint="eastAsia" w:ascii="仿宋_GB2312" w:hAnsi="仿宋_GB2312" w:eastAsia="仿宋_GB2312" w:cs="仿宋_GB2312"/>
          <w:b w:val="0"/>
          <w:i w:val="0"/>
          <w:caps w:val="0"/>
          <w:spacing w:val="0"/>
          <w:w w:val="100"/>
          <w:sz w:val="24"/>
        </w:rPr>
        <w:t>12.6.1  中标人应在与采购人签订合同之日起5个工作日内，及时联系保证金收受机构办理投标保证金无息退还手续。</w:t>
      </w:r>
    </w:p>
    <w:p w14:paraId="5613232C">
      <w:pPr>
        <w:snapToGrid/>
        <w:spacing w:before="0" w:beforeAutospacing="0" w:after="0" w:afterAutospacing="0" w:line="288" w:lineRule="auto"/>
        <w:ind w:hangingChars="400"/>
        <w:jc w:val="both"/>
        <w:textAlignment w:val="baseline"/>
        <w:rPr>
          <w:rFonts w:ascii="仿宋_GB2312" w:hAnsi="仿宋_GB2312" w:eastAsia="仿宋_GB2312" w:cs="仿宋_GB2312"/>
          <w:b w:val="0"/>
          <w:i w:val="0"/>
          <w:caps w:val="0"/>
          <w:spacing w:val="0"/>
          <w:w w:val="100"/>
          <w:sz w:val="24"/>
        </w:rPr>
      </w:pPr>
      <w:r>
        <w:rPr>
          <w:rFonts w:hint="eastAsia" w:ascii="仿宋_GB2312" w:hAnsi="仿宋_GB2312" w:eastAsia="仿宋_GB2312" w:cs="仿宋_GB2312"/>
          <w:b w:val="0"/>
          <w:i w:val="0"/>
          <w:caps w:val="0"/>
          <w:spacing w:val="0"/>
          <w:w w:val="100"/>
          <w:sz w:val="24"/>
        </w:rPr>
        <w:t>12.6.2  未中标投标人的投标保证金将在中标通知书发出之日暨中标结果公告公布之日起5个工作日内无息退还。投标人应及时联系保证金收受机构办理退还投标保证金手续。</w:t>
      </w:r>
    </w:p>
    <w:p w14:paraId="27E3BD2B">
      <w:pPr>
        <w:snapToGrid/>
        <w:spacing w:before="0" w:beforeAutospacing="0" w:after="0" w:afterAutospacing="0" w:line="288" w:lineRule="auto"/>
        <w:jc w:val="both"/>
        <w:textAlignment w:val="baseline"/>
        <w:rPr>
          <w:rFonts w:ascii="仿宋_GB2312" w:hAnsi="仿宋_GB2312" w:eastAsia="仿宋_GB2312" w:cs="仿宋_GB2312"/>
          <w:b w:val="0"/>
          <w:i w:val="0"/>
          <w:caps w:val="0"/>
          <w:spacing w:val="0"/>
          <w:w w:val="100"/>
          <w:sz w:val="24"/>
        </w:rPr>
      </w:pPr>
      <w:r>
        <w:rPr>
          <w:rFonts w:hint="eastAsia" w:ascii="仿宋_GB2312" w:hAnsi="仿宋_GB2312" w:eastAsia="仿宋_GB2312" w:cs="仿宋_GB2312"/>
          <w:b w:val="0"/>
          <w:i w:val="0"/>
          <w:caps w:val="0"/>
          <w:spacing w:val="0"/>
          <w:w w:val="100"/>
          <w:sz w:val="24"/>
        </w:rPr>
        <w:t>12.6.3  政府采购投标担保函不予退回。</w:t>
      </w:r>
    </w:p>
    <w:p w14:paraId="4546CA6A">
      <w:pPr>
        <w:snapToGrid/>
        <w:spacing w:before="0" w:beforeAutospacing="0" w:after="0" w:afterAutospacing="0" w:line="288" w:lineRule="auto"/>
        <w:ind w:right="-121" w:hangingChars="400"/>
        <w:jc w:val="left"/>
        <w:textAlignment w:val="baseline"/>
        <w:rPr>
          <w:rFonts w:ascii="仿宋_GB2312" w:hAnsi="仿宋_GB2312" w:eastAsia="仿宋_GB2312" w:cs="仿宋_GB2312"/>
          <w:b w:val="0"/>
          <w:i w:val="0"/>
          <w:caps w:val="0"/>
          <w:spacing w:val="0"/>
          <w:w w:val="100"/>
          <w:sz w:val="24"/>
        </w:rPr>
      </w:pPr>
      <w:r>
        <w:rPr>
          <w:rFonts w:hint="eastAsia" w:ascii="仿宋_GB2312" w:hAnsi="仿宋_GB2312" w:eastAsia="仿宋_GB2312" w:cs="仿宋_GB2312"/>
          <w:b w:val="0"/>
          <w:i w:val="0"/>
          <w:caps w:val="0"/>
          <w:spacing w:val="0"/>
          <w:w w:val="100"/>
          <w:sz w:val="24"/>
        </w:rPr>
        <w:t>12.7    因投标人自身原因导致无法及时退还的，采购人或采购代理机构将不承担相应责任。</w:t>
      </w:r>
    </w:p>
    <w:p w14:paraId="13C2C643">
      <w:pPr>
        <w:pStyle w:val="4"/>
        <w:snapToGrid/>
        <w:spacing w:before="0" w:beforeAutospacing="0" w:after="0" w:afterAutospacing="0" w:line="288" w:lineRule="auto"/>
        <w:jc w:val="left"/>
        <w:textAlignment w:val="baseline"/>
        <w:rPr>
          <w:rFonts w:ascii="仿宋_GB2312" w:hAnsi="仿宋_GB2312" w:eastAsia="仿宋_GB2312" w:cs="仿宋_GB2312"/>
          <w:b/>
          <w:i w:val="0"/>
          <w:caps w:val="0"/>
          <w:spacing w:val="0"/>
          <w:w w:val="100"/>
          <w:sz w:val="24"/>
        </w:rPr>
      </w:pPr>
      <w:bookmarkStart w:id="384" w:name="_Toc19849"/>
      <w:bookmarkStart w:id="385" w:name="_Toc2130"/>
      <w:bookmarkStart w:id="386" w:name="_Toc27579"/>
      <w:bookmarkStart w:id="387" w:name="_Toc11314"/>
      <w:bookmarkStart w:id="388" w:name="_Toc30629"/>
      <w:bookmarkStart w:id="389" w:name="_Toc23117"/>
      <w:bookmarkStart w:id="390" w:name="_Toc515647772"/>
      <w:bookmarkStart w:id="391" w:name="_Toc32569"/>
      <w:bookmarkStart w:id="392" w:name="_Toc18343"/>
      <w:bookmarkStart w:id="393" w:name="_Toc15069"/>
      <w:bookmarkStart w:id="394" w:name="_Toc15117"/>
      <w:bookmarkStart w:id="395" w:name="_Toc18768"/>
      <w:bookmarkStart w:id="396" w:name="_Toc32236"/>
      <w:bookmarkStart w:id="397" w:name="_Toc22901"/>
      <w:bookmarkStart w:id="398" w:name="_Toc23590"/>
      <w:bookmarkStart w:id="399" w:name="_Toc9445"/>
      <w:bookmarkStart w:id="400" w:name="_Toc29099"/>
      <w:bookmarkStart w:id="401" w:name="_Toc17879"/>
      <w:bookmarkStart w:id="402" w:name="_Toc14721"/>
      <w:bookmarkStart w:id="403" w:name="_Toc520356157"/>
      <w:bookmarkStart w:id="404" w:name="_Toc20684"/>
      <w:bookmarkStart w:id="405" w:name="_Toc512"/>
      <w:bookmarkStart w:id="406" w:name="_Toc26844"/>
      <w:r>
        <w:rPr>
          <w:rFonts w:hint="eastAsia" w:ascii="仿宋_GB2312" w:hAnsi="仿宋_GB2312" w:eastAsia="仿宋_GB2312" w:cs="仿宋_GB2312"/>
          <w:b/>
          <w:i w:val="0"/>
          <w:caps w:val="0"/>
          <w:spacing w:val="0"/>
          <w:w w:val="100"/>
          <w:sz w:val="24"/>
        </w:rPr>
        <w:t>13.投标有效期</w:t>
      </w:r>
      <w:bookmarkEnd w:id="384"/>
      <w:bookmarkEnd w:id="385"/>
      <w:bookmarkEnd w:id="386"/>
      <w:bookmarkEnd w:id="387"/>
      <w:bookmarkEnd w:id="388"/>
      <w:bookmarkEnd w:id="389"/>
      <w:bookmarkEnd w:id="390"/>
      <w:bookmarkEnd w:id="391"/>
      <w:bookmarkEnd w:id="392"/>
      <w:bookmarkEnd w:id="393"/>
      <w:bookmarkEnd w:id="394"/>
      <w:bookmarkEnd w:id="395"/>
      <w:bookmarkEnd w:id="396"/>
      <w:bookmarkEnd w:id="397"/>
      <w:bookmarkEnd w:id="398"/>
      <w:bookmarkEnd w:id="399"/>
      <w:bookmarkEnd w:id="400"/>
      <w:bookmarkEnd w:id="401"/>
      <w:bookmarkEnd w:id="402"/>
      <w:bookmarkEnd w:id="403"/>
      <w:bookmarkEnd w:id="404"/>
      <w:bookmarkEnd w:id="405"/>
      <w:bookmarkEnd w:id="406"/>
    </w:p>
    <w:p w14:paraId="2CAA5C42">
      <w:pPr>
        <w:snapToGrid/>
        <w:spacing w:before="0" w:beforeAutospacing="0" w:after="0" w:afterAutospacing="0" w:line="288" w:lineRule="auto"/>
        <w:ind w:hangingChars="375"/>
        <w:jc w:val="both"/>
        <w:textAlignment w:val="baseline"/>
        <w:rPr>
          <w:rFonts w:ascii="仿宋_GB2312" w:hAnsi="仿宋_GB2312" w:eastAsia="仿宋_GB2312" w:cs="仿宋_GB2312"/>
          <w:b w:val="0"/>
          <w:i w:val="0"/>
          <w:caps w:val="0"/>
          <w:spacing w:val="0"/>
          <w:w w:val="100"/>
          <w:sz w:val="24"/>
        </w:rPr>
      </w:pPr>
      <w:r>
        <w:rPr>
          <w:rFonts w:hint="eastAsia" w:ascii="仿宋_GB2312" w:hAnsi="仿宋_GB2312" w:eastAsia="仿宋_GB2312" w:cs="仿宋_GB2312"/>
          <w:b w:val="0"/>
          <w:i w:val="0"/>
          <w:caps w:val="0"/>
          <w:spacing w:val="0"/>
          <w:w w:val="100"/>
          <w:sz w:val="24"/>
        </w:rPr>
        <w:t>13.1</w:t>
      </w:r>
      <w:r>
        <w:rPr>
          <w:rFonts w:hint="eastAsia" w:ascii="仿宋_GB2312" w:hAnsi="仿宋_GB2312" w:eastAsia="仿宋_GB2312" w:cs="仿宋_GB2312"/>
          <w:b w:val="0"/>
          <w:i w:val="0"/>
          <w:caps w:val="0"/>
          <w:spacing w:val="0"/>
          <w:w w:val="100"/>
          <w:sz w:val="24"/>
        </w:rPr>
        <w:tab/>
      </w:r>
      <w:r>
        <w:rPr>
          <w:rFonts w:hint="eastAsia" w:ascii="仿宋_GB2312" w:hAnsi="仿宋_GB2312" w:eastAsia="仿宋_GB2312" w:cs="仿宋_GB2312"/>
          <w:b w:val="0"/>
          <w:i w:val="0"/>
          <w:caps w:val="0"/>
          <w:spacing w:val="0"/>
          <w:w w:val="100"/>
          <w:sz w:val="24"/>
        </w:rPr>
        <w:t>投标应在</w:t>
      </w:r>
      <w:r>
        <w:rPr>
          <w:rFonts w:hint="eastAsia" w:ascii="仿宋_GB2312" w:hAnsi="仿宋_GB2312" w:eastAsia="仿宋_GB2312" w:cs="仿宋_GB2312"/>
          <w:b w:val="0"/>
          <w:i w:val="0"/>
          <w:caps w:val="0"/>
          <w:spacing w:val="0"/>
          <w:w w:val="100"/>
          <w:sz w:val="24"/>
          <w:u w:val="single" w:color="000000"/>
        </w:rPr>
        <w:t>投标人须知资料表</w:t>
      </w:r>
      <w:r>
        <w:rPr>
          <w:rFonts w:hint="eastAsia" w:ascii="仿宋_GB2312" w:hAnsi="仿宋_GB2312" w:eastAsia="仿宋_GB2312" w:cs="仿宋_GB2312"/>
          <w:b w:val="0"/>
          <w:i w:val="0"/>
          <w:caps w:val="0"/>
          <w:spacing w:val="0"/>
          <w:w w:val="100"/>
          <w:sz w:val="24"/>
        </w:rPr>
        <w:t>中规定时间内保持有效。投标有效期不满足要求的投标，其投标将被认定为</w:t>
      </w:r>
      <w:r>
        <w:rPr>
          <w:rFonts w:hint="eastAsia" w:ascii="仿宋_GB2312" w:hAnsi="仿宋_GB2312" w:eastAsia="仿宋_GB2312" w:cs="仿宋_GB2312"/>
          <w:b/>
          <w:bCs/>
          <w:i w:val="0"/>
          <w:caps w:val="0"/>
          <w:spacing w:val="0"/>
          <w:w w:val="100"/>
          <w:sz w:val="24"/>
        </w:rPr>
        <w:t>投标无效</w:t>
      </w:r>
      <w:r>
        <w:rPr>
          <w:rFonts w:hint="eastAsia" w:ascii="仿宋_GB2312" w:hAnsi="仿宋_GB2312" w:eastAsia="仿宋_GB2312" w:cs="仿宋_GB2312"/>
          <w:b w:val="0"/>
          <w:i w:val="0"/>
          <w:caps w:val="0"/>
          <w:spacing w:val="0"/>
          <w:w w:val="100"/>
          <w:sz w:val="24"/>
        </w:rPr>
        <w:t>。</w:t>
      </w:r>
    </w:p>
    <w:p w14:paraId="797662EC">
      <w:pPr>
        <w:snapToGrid/>
        <w:spacing w:before="0" w:beforeAutospacing="0" w:after="0" w:afterAutospacing="0" w:line="288" w:lineRule="auto"/>
        <w:ind w:hangingChars="375"/>
        <w:jc w:val="both"/>
        <w:textAlignment w:val="baseline"/>
        <w:rPr>
          <w:rFonts w:ascii="仿宋_GB2312" w:hAnsi="仿宋_GB2312" w:eastAsia="仿宋_GB2312" w:cs="仿宋_GB2312"/>
          <w:b w:val="0"/>
          <w:i w:val="0"/>
          <w:caps w:val="0"/>
          <w:spacing w:val="0"/>
          <w:w w:val="100"/>
          <w:sz w:val="24"/>
        </w:rPr>
      </w:pPr>
      <w:r>
        <w:rPr>
          <w:rFonts w:hint="eastAsia" w:ascii="仿宋_GB2312" w:hAnsi="仿宋_GB2312" w:eastAsia="仿宋_GB2312" w:cs="仿宋_GB2312"/>
          <w:b w:val="0"/>
          <w:i w:val="0"/>
          <w:caps w:val="0"/>
          <w:spacing w:val="0"/>
          <w:w w:val="100"/>
          <w:sz w:val="24"/>
        </w:rPr>
        <w:t>13.2</w:t>
      </w:r>
      <w:r>
        <w:rPr>
          <w:rFonts w:hint="eastAsia" w:ascii="仿宋_GB2312" w:hAnsi="仿宋_GB2312" w:eastAsia="仿宋_GB2312" w:cs="仿宋_GB2312"/>
          <w:b w:val="0"/>
          <w:i w:val="0"/>
          <w:caps w:val="0"/>
          <w:spacing w:val="0"/>
          <w:w w:val="100"/>
          <w:sz w:val="24"/>
        </w:rPr>
        <w:tab/>
      </w:r>
      <w:r>
        <w:rPr>
          <w:rFonts w:hint="eastAsia" w:ascii="仿宋_GB2312" w:hAnsi="仿宋_GB2312" w:eastAsia="仿宋_GB2312" w:cs="仿宋_GB2312"/>
          <w:b w:val="0"/>
          <w:i w:val="0"/>
          <w:caps w:val="0"/>
          <w:spacing w:val="0"/>
          <w:w w:val="100"/>
          <w:sz w:val="24"/>
        </w:rPr>
        <w:t>为保证有充分时间签订合同，采购人或采购代理机构可根据实际情况，在原投标有效期截止之前，要求投标人延长投标文件的有效期。接受该要求的投标人将不会被要求和允许修正其投标，且本须知中有关投标保证金的要求须在延长的有效期内继续有效。投标人可以拒绝延长投标有效期的要求，其投标保证金将及时无息退还。上述要求和答复都应以书面形式提交。</w:t>
      </w:r>
    </w:p>
    <w:p w14:paraId="5DD61A0C">
      <w:pPr>
        <w:pStyle w:val="4"/>
        <w:snapToGrid/>
        <w:spacing w:before="0" w:beforeAutospacing="0" w:after="0" w:afterAutospacing="0" w:line="288" w:lineRule="auto"/>
        <w:jc w:val="left"/>
        <w:textAlignment w:val="baseline"/>
        <w:rPr>
          <w:rFonts w:hint="eastAsia" w:ascii="仿宋_GB2312" w:hAnsi="仿宋_GB2312" w:eastAsia="仿宋_GB2312" w:cs="仿宋_GB2312"/>
          <w:b/>
          <w:i w:val="0"/>
          <w:caps w:val="0"/>
          <w:spacing w:val="0"/>
          <w:w w:val="100"/>
          <w:sz w:val="24"/>
        </w:rPr>
      </w:pPr>
      <w:bookmarkStart w:id="407" w:name="_Toc23436"/>
      <w:bookmarkStart w:id="408" w:name="_Toc28127"/>
      <w:bookmarkStart w:id="409" w:name="_Toc19630"/>
      <w:bookmarkStart w:id="410" w:name="_Toc15291"/>
      <w:bookmarkStart w:id="411" w:name="_Toc23542"/>
      <w:bookmarkStart w:id="412" w:name="_Toc28722"/>
      <w:bookmarkStart w:id="413" w:name="_Toc22416"/>
      <w:bookmarkStart w:id="414" w:name="_Toc18150"/>
      <w:r>
        <w:rPr>
          <w:rFonts w:hint="eastAsia" w:ascii="仿宋_GB2312" w:hAnsi="仿宋_GB2312" w:eastAsia="仿宋_GB2312" w:cs="仿宋_GB2312"/>
          <w:b/>
          <w:i w:val="0"/>
          <w:caps w:val="0"/>
          <w:spacing w:val="0"/>
          <w:w w:val="100"/>
          <w:sz w:val="24"/>
        </w:rPr>
        <w:t>14.响应文件的签署及规定</w:t>
      </w:r>
      <w:bookmarkEnd w:id="407"/>
      <w:bookmarkEnd w:id="408"/>
      <w:bookmarkEnd w:id="409"/>
      <w:bookmarkEnd w:id="410"/>
      <w:bookmarkEnd w:id="411"/>
      <w:bookmarkEnd w:id="412"/>
      <w:bookmarkEnd w:id="413"/>
      <w:bookmarkEnd w:id="414"/>
    </w:p>
    <w:p w14:paraId="6D677D66">
      <w:pPr>
        <w:snapToGrid/>
        <w:spacing w:before="0" w:beforeAutospacing="0" w:after="0" w:afterAutospacing="0" w:line="288" w:lineRule="auto"/>
        <w:ind w:hangingChars="375"/>
        <w:jc w:val="both"/>
        <w:textAlignment w:val="baseline"/>
        <w:rPr>
          <w:rFonts w:hint="eastAsia" w:ascii="仿宋_GB2312" w:hAnsi="仿宋_GB2312" w:eastAsia="仿宋_GB2312" w:cs="仿宋_GB2312"/>
          <w:b/>
          <w:i w:val="0"/>
          <w:caps w:val="0"/>
          <w:spacing w:val="0"/>
          <w:w w:val="100"/>
          <w:sz w:val="24"/>
        </w:rPr>
      </w:pPr>
      <w:r>
        <w:rPr>
          <w:rFonts w:hint="eastAsia" w:ascii="仿宋_GB2312" w:hAnsi="仿宋_GB2312" w:eastAsia="仿宋_GB2312" w:cs="仿宋_GB2312"/>
          <w:b/>
          <w:i w:val="0"/>
          <w:caps w:val="0"/>
          <w:spacing w:val="0"/>
          <w:w w:val="100"/>
          <w:sz w:val="24"/>
        </w:rPr>
        <w:t>14.1 供应商应按供应商须知资料表中的规定，准备和递交（加密上传）电子响应文件。</w:t>
      </w:r>
    </w:p>
    <w:p w14:paraId="66B08735">
      <w:pPr>
        <w:snapToGrid/>
        <w:spacing w:before="0" w:beforeAutospacing="0" w:after="0" w:afterAutospacing="0" w:line="288" w:lineRule="auto"/>
        <w:ind w:hangingChars="375"/>
        <w:jc w:val="both"/>
        <w:textAlignment w:val="baseline"/>
        <w:rPr>
          <w:rFonts w:hint="eastAsia" w:ascii="仿宋_GB2312" w:hAnsi="仿宋_GB2312" w:eastAsia="仿宋_GB2312" w:cs="仿宋_GB2312"/>
          <w:b/>
          <w:i w:val="0"/>
          <w:caps w:val="0"/>
          <w:spacing w:val="0"/>
          <w:w w:val="100"/>
          <w:sz w:val="24"/>
        </w:rPr>
      </w:pPr>
      <w:r>
        <w:rPr>
          <w:rFonts w:hint="eastAsia" w:ascii="仿宋_GB2312" w:hAnsi="仿宋_GB2312" w:eastAsia="仿宋_GB2312" w:cs="仿宋_GB2312"/>
          <w:b/>
          <w:i w:val="0"/>
          <w:caps w:val="0"/>
          <w:spacing w:val="0"/>
          <w:w w:val="100"/>
          <w:sz w:val="24"/>
        </w:rPr>
        <w:t>14.2 所有响应文件应按照招标文件规定的格式填写、签署和盖章。</w:t>
      </w:r>
    </w:p>
    <w:p w14:paraId="07AA8163">
      <w:pPr>
        <w:snapToGrid/>
        <w:spacing w:before="0" w:beforeAutospacing="0" w:after="0" w:afterAutospacing="0" w:line="288" w:lineRule="auto"/>
        <w:ind w:hangingChars="375"/>
        <w:jc w:val="both"/>
        <w:textAlignment w:val="baseline"/>
        <w:rPr>
          <w:rFonts w:hint="eastAsia" w:ascii="仿宋_GB2312" w:hAnsi="仿宋_GB2312" w:eastAsia="仿宋_GB2312" w:cs="仿宋_GB2312"/>
          <w:b/>
          <w:i w:val="0"/>
          <w:caps w:val="0"/>
          <w:spacing w:val="0"/>
          <w:w w:val="100"/>
          <w:sz w:val="24"/>
        </w:rPr>
      </w:pPr>
      <w:r>
        <w:rPr>
          <w:rFonts w:hint="eastAsia" w:ascii="仿宋_GB2312" w:hAnsi="仿宋_GB2312" w:eastAsia="仿宋_GB2312" w:cs="仿宋_GB2312"/>
          <w:b/>
          <w:i w:val="0"/>
          <w:caps w:val="0"/>
          <w:spacing w:val="0"/>
          <w:w w:val="100"/>
          <w:sz w:val="24"/>
        </w:rPr>
        <w:t>14.3 响应文件因字迹潦草、表达不清所引起的后果由供应商负责。</w:t>
      </w:r>
    </w:p>
    <w:p w14:paraId="6AD3E363">
      <w:pPr>
        <w:pStyle w:val="2"/>
        <w:snapToGrid/>
        <w:spacing w:before="0" w:beforeAutospacing="0" w:after="0" w:afterAutospacing="0" w:line="288" w:lineRule="auto"/>
        <w:ind w:left="1079" w:leftChars="257" w:hanging="540"/>
        <w:jc w:val="center"/>
        <w:textAlignment w:val="baseline"/>
        <w:rPr>
          <w:rFonts w:hint="eastAsia" w:ascii="仿宋_GB2312" w:hAnsi="仿宋_GB2312" w:eastAsia="仿宋_GB2312" w:cs="仿宋_GB2312"/>
          <w:b/>
          <w:i w:val="0"/>
          <w:caps w:val="0"/>
          <w:spacing w:val="0"/>
          <w:w w:val="100"/>
          <w:sz w:val="24"/>
        </w:rPr>
      </w:pPr>
      <w:bookmarkStart w:id="415" w:name="_Toc11179"/>
      <w:bookmarkStart w:id="416" w:name="_Toc31447"/>
      <w:bookmarkStart w:id="417" w:name="_Toc16865"/>
      <w:bookmarkStart w:id="418" w:name="_Toc9509"/>
      <w:bookmarkStart w:id="419" w:name="_Toc25925"/>
      <w:bookmarkStart w:id="420" w:name="_Toc5332"/>
      <w:bookmarkStart w:id="421" w:name="_Toc7920"/>
      <w:bookmarkStart w:id="422" w:name="_Toc27533"/>
      <w:bookmarkStart w:id="423" w:name="_Toc22843"/>
      <w:bookmarkStart w:id="424" w:name="_Toc520356159"/>
      <w:bookmarkStart w:id="425" w:name="_Toc22560"/>
      <w:bookmarkStart w:id="426" w:name="_Toc11483"/>
      <w:bookmarkStart w:id="427" w:name="_Toc515647774"/>
      <w:bookmarkStart w:id="428" w:name="_Toc25200"/>
      <w:bookmarkStart w:id="429" w:name="_Toc25700"/>
      <w:bookmarkStart w:id="430" w:name="_Toc216582808"/>
    </w:p>
    <w:p w14:paraId="7BDE8E22">
      <w:pPr>
        <w:pStyle w:val="2"/>
        <w:snapToGrid/>
        <w:spacing w:before="0" w:beforeAutospacing="0" w:after="0" w:afterAutospacing="0" w:line="288" w:lineRule="auto"/>
        <w:ind w:left="1079" w:leftChars="257" w:hanging="540"/>
        <w:jc w:val="center"/>
        <w:textAlignment w:val="baseline"/>
        <w:rPr>
          <w:rFonts w:ascii="仿宋_GB2312" w:hAnsi="仿宋_GB2312" w:eastAsia="仿宋_GB2312" w:cs="仿宋_GB2312"/>
          <w:b/>
          <w:i w:val="0"/>
          <w:caps w:val="0"/>
          <w:spacing w:val="0"/>
          <w:w w:val="100"/>
          <w:sz w:val="24"/>
        </w:rPr>
      </w:pPr>
      <w:bookmarkStart w:id="431" w:name="_Toc13702"/>
      <w:bookmarkStart w:id="432" w:name="_Toc18369"/>
      <w:bookmarkStart w:id="433" w:name="_Toc2477"/>
      <w:bookmarkStart w:id="434" w:name="_Toc3475"/>
      <w:bookmarkStart w:id="435" w:name="_Toc26373"/>
      <w:bookmarkStart w:id="436" w:name="_Toc12193"/>
      <w:bookmarkStart w:id="437" w:name="_Toc8070"/>
      <w:bookmarkStart w:id="438" w:name="_Toc31909"/>
      <w:r>
        <w:rPr>
          <w:rFonts w:hint="eastAsia" w:ascii="仿宋_GB2312" w:hAnsi="仿宋_GB2312" w:eastAsia="仿宋_GB2312" w:cs="仿宋_GB2312"/>
          <w:b/>
          <w:i w:val="0"/>
          <w:caps w:val="0"/>
          <w:spacing w:val="0"/>
          <w:w w:val="100"/>
          <w:sz w:val="24"/>
        </w:rPr>
        <w:t>四   投标文件的递交</w:t>
      </w:r>
      <w:bookmarkEnd w:id="415"/>
      <w:bookmarkEnd w:id="416"/>
      <w:bookmarkEnd w:id="417"/>
      <w:bookmarkEnd w:id="418"/>
      <w:bookmarkEnd w:id="419"/>
      <w:bookmarkEnd w:id="420"/>
      <w:bookmarkEnd w:id="421"/>
      <w:bookmarkEnd w:id="422"/>
      <w:bookmarkEnd w:id="423"/>
      <w:bookmarkEnd w:id="424"/>
      <w:bookmarkEnd w:id="425"/>
      <w:bookmarkEnd w:id="426"/>
      <w:bookmarkEnd w:id="427"/>
      <w:bookmarkEnd w:id="428"/>
      <w:bookmarkEnd w:id="429"/>
      <w:bookmarkEnd w:id="430"/>
      <w:bookmarkEnd w:id="431"/>
      <w:bookmarkEnd w:id="432"/>
      <w:bookmarkEnd w:id="433"/>
      <w:bookmarkEnd w:id="434"/>
      <w:bookmarkEnd w:id="435"/>
      <w:bookmarkEnd w:id="436"/>
      <w:bookmarkEnd w:id="437"/>
      <w:bookmarkEnd w:id="438"/>
    </w:p>
    <w:p w14:paraId="1F361E1D">
      <w:pPr>
        <w:pStyle w:val="4"/>
        <w:tabs>
          <w:tab w:val="left" w:pos="900"/>
        </w:tabs>
        <w:snapToGrid/>
        <w:spacing w:before="0" w:beforeAutospacing="0" w:after="0" w:afterAutospacing="0" w:line="288" w:lineRule="auto"/>
        <w:jc w:val="left"/>
        <w:textAlignment w:val="baseline"/>
        <w:rPr>
          <w:rFonts w:hint="eastAsia" w:ascii="仿宋_GB2312" w:hAnsi="仿宋_GB2312" w:eastAsia="仿宋_GB2312" w:cs="仿宋_GB2312"/>
          <w:b/>
          <w:i w:val="0"/>
          <w:caps w:val="0"/>
          <w:spacing w:val="0"/>
          <w:w w:val="100"/>
          <w:sz w:val="24"/>
        </w:rPr>
      </w:pPr>
      <w:bookmarkStart w:id="439" w:name="_Toc32337"/>
      <w:bookmarkStart w:id="440" w:name="_Toc26195"/>
      <w:bookmarkStart w:id="441" w:name="_Toc18315"/>
      <w:bookmarkStart w:id="442" w:name="_Toc18877"/>
      <w:bookmarkStart w:id="443" w:name="_Toc26935"/>
      <w:bookmarkStart w:id="444" w:name="_Toc11937"/>
      <w:bookmarkStart w:id="445" w:name="_Toc32131"/>
      <w:bookmarkStart w:id="446" w:name="_Toc21645"/>
      <w:bookmarkStart w:id="447" w:name="_Toc632"/>
      <w:bookmarkStart w:id="448" w:name="_Toc24930"/>
      <w:bookmarkStart w:id="449" w:name="_Toc17402"/>
      <w:bookmarkStart w:id="450" w:name="_Toc520356160"/>
      <w:bookmarkStart w:id="451" w:name="_Toc6343"/>
      <w:bookmarkStart w:id="452" w:name="_Toc515647775"/>
      <w:bookmarkStart w:id="453" w:name="_Toc15077"/>
      <w:bookmarkStart w:id="454" w:name="_Toc20672"/>
      <w:bookmarkStart w:id="455" w:name="_Toc14162"/>
      <w:bookmarkStart w:id="456" w:name="_Toc26374"/>
      <w:r>
        <w:rPr>
          <w:rFonts w:hint="eastAsia" w:ascii="仿宋_GB2312" w:hAnsi="仿宋_GB2312" w:eastAsia="仿宋_GB2312" w:cs="仿宋_GB2312"/>
          <w:b/>
          <w:i w:val="0"/>
          <w:caps w:val="0"/>
          <w:spacing w:val="0"/>
          <w:w w:val="100"/>
          <w:sz w:val="24"/>
        </w:rPr>
        <w:t>15.投标文件的密封和标记</w:t>
      </w:r>
      <w:bookmarkEnd w:id="439"/>
      <w:bookmarkEnd w:id="440"/>
      <w:bookmarkEnd w:id="441"/>
      <w:bookmarkEnd w:id="442"/>
      <w:bookmarkEnd w:id="443"/>
      <w:bookmarkEnd w:id="444"/>
      <w:bookmarkEnd w:id="445"/>
      <w:bookmarkEnd w:id="446"/>
      <w:bookmarkEnd w:id="447"/>
      <w:bookmarkEnd w:id="448"/>
      <w:bookmarkEnd w:id="449"/>
      <w:bookmarkEnd w:id="450"/>
      <w:bookmarkEnd w:id="451"/>
      <w:bookmarkEnd w:id="452"/>
      <w:bookmarkEnd w:id="453"/>
      <w:bookmarkEnd w:id="454"/>
      <w:bookmarkEnd w:id="455"/>
      <w:bookmarkEnd w:id="456"/>
    </w:p>
    <w:p w14:paraId="10C8DE97">
      <w:pPr>
        <w:tabs>
          <w:tab w:val="left" w:pos="-200"/>
          <w:tab w:val="left" w:pos="5580"/>
        </w:tabs>
        <w:spacing w:line="240" w:lineRule="atLeast"/>
        <w:ind w:left="960" w:hanging="960" w:hangingChars="400"/>
        <w:jc w:val="left"/>
        <w:rPr>
          <w:rFonts w:hint="eastAsia" w:ascii="仿宋_GB2312" w:hAnsi="仿宋_GB2312" w:eastAsia="仿宋_GB2312" w:cs="仿宋_GB2312"/>
          <w:b/>
          <w:bCs/>
          <w:i w:val="0"/>
          <w:caps w:val="0"/>
          <w:spacing w:val="0"/>
          <w:w w:val="100"/>
          <w:sz w:val="24"/>
        </w:rPr>
      </w:pPr>
      <w:r>
        <w:rPr>
          <w:rFonts w:hint="eastAsia" w:ascii="宋体" w:hAnsi="宋体" w:cs="宋体"/>
          <w:sz w:val="24"/>
        </w:rPr>
        <w:t xml:space="preserve">15.1    </w:t>
      </w:r>
      <w:r>
        <w:rPr>
          <w:rFonts w:hint="eastAsia" w:ascii="仿宋_GB2312" w:hAnsi="仿宋_GB2312" w:eastAsia="仿宋_GB2312" w:cs="仿宋_GB2312"/>
          <w:b/>
          <w:bCs/>
          <w:i w:val="0"/>
          <w:caps w:val="0"/>
          <w:spacing w:val="0"/>
          <w:w w:val="100"/>
          <w:sz w:val="24"/>
        </w:rPr>
        <w:t>供应商应完整地按招标文件提供的投标文件格式及要求编写投标文件， 供应商须在投标截止时间前完成在新疆政采云平台https://www.zcygov.cn 系统上递交电子投标文件。供应商的电子投标文件是经过CA证书加密后上传提交的，任何单位或个人均无法在投标截止时间之前查看或篡改，不存在泄密风险。（严格按照政采云电子投标流程制作并上传电子响应文件）</w:t>
      </w:r>
    </w:p>
    <w:p w14:paraId="426728AC">
      <w:pPr>
        <w:snapToGrid/>
        <w:spacing w:before="0" w:beforeAutospacing="0" w:after="0" w:afterAutospacing="0" w:line="288" w:lineRule="auto"/>
        <w:ind w:hangingChars="375"/>
        <w:jc w:val="both"/>
        <w:textAlignment w:val="baseline"/>
        <w:rPr>
          <w:rFonts w:hint="eastAsia" w:ascii="仿宋_GB2312" w:hAnsi="仿宋_GB2312" w:eastAsia="仿宋_GB2312" w:cs="仿宋_GB2312"/>
          <w:b w:val="0"/>
          <w:i w:val="0"/>
          <w:caps w:val="0"/>
          <w:spacing w:val="0"/>
          <w:w w:val="100"/>
          <w:sz w:val="24"/>
        </w:rPr>
      </w:pPr>
      <w:bookmarkStart w:id="457" w:name="_Toc28106"/>
      <w:r>
        <w:rPr>
          <w:rFonts w:hint="eastAsia" w:ascii="宋体" w:hAnsi="宋体" w:cs="宋体"/>
          <w:sz w:val="24"/>
        </w:rPr>
        <w:t xml:space="preserve">15.2   </w:t>
      </w:r>
      <w:bookmarkEnd w:id="457"/>
      <w:r>
        <w:rPr>
          <w:rFonts w:hint="eastAsia" w:ascii="仿宋_GB2312" w:hAnsi="仿宋_GB2312" w:eastAsia="仿宋_GB2312" w:cs="仿宋_GB2312"/>
          <w:b w:val="0"/>
          <w:i w:val="0"/>
          <w:caps w:val="0"/>
          <w:spacing w:val="0"/>
          <w:w w:val="100"/>
          <w:sz w:val="24"/>
        </w:rPr>
        <w:t>供应商因自身原因导致电子投标文件无法导入电子评标系统的，该响应文件视为</w:t>
      </w:r>
      <w:r>
        <w:rPr>
          <w:rFonts w:hint="eastAsia" w:ascii="仿宋_GB2312" w:hAnsi="仿宋_GB2312" w:eastAsia="仿宋_GB2312" w:cs="仿宋_GB2312"/>
          <w:b/>
          <w:bCs/>
          <w:i w:val="0"/>
          <w:caps w:val="0"/>
          <w:spacing w:val="0"/>
          <w:w w:val="100"/>
          <w:sz w:val="24"/>
        </w:rPr>
        <w:t>无效文件。</w:t>
      </w:r>
    </w:p>
    <w:p w14:paraId="7BED4A13">
      <w:pPr>
        <w:snapToGrid/>
        <w:spacing w:before="0" w:beforeAutospacing="0" w:after="0" w:afterAutospacing="0" w:line="288" w:lineRule="auto"/>
        <w:ind w:hangingChars="375"/>
        <w:jc w:val="both"/>
        <w:textAlignment w:val="baseline"/>
        <w:rPr>
          <w:rFonts w:hint="eastAsia" w:ascii="宋体" w:hAnsi="宋体" w:cs="宋体"/>
          <w:sz w:val="24"/>
        </w:rPr>
      </w:pPr>
      <w:r>
        <w:rPr>
          <w:rFonts w:hint="eastAsia" w:ascii="仿宋_GB2312" w:hAnsi="仿宋_GB2312" w:eastAsia="仿宋_GB2312" w:cs="仿宋_GB2312"/>
          <w:b w:val="0"/>
          <w:i w:val="0"/>
          <w:caps w:val="0"/>
          <w:spacing w:val="0"/>
          <w:w w:val="100"/>
          <w:sz w:val="24"/>
        </w:rPr>
        <w:t>15.3    电子投标文件具有法律效力,与其他形式的响应文件在内容和格式上等同，若投标文件与招标文件要求不一致，其内容影响成交结果时，责任由供应商自行承担。</w:t>
      </w:r>
    </w:p>
    <w:p w14:paraId="3BF3F648">
      <w:pPr>
        <w:pStyle w:val="4"/>
        <w:tabs>
          <w:tab w:val="left" w:pos="900"/>
        </w:tabs>
        <w:snapToGrid/>
        <w:spacing w:before="0" w:beforeAutospacing="0" w:after="0" w:afterAutospacing="0" w:line="288" w:lineRule="auto"/>
        <w:jc w:val="left"/>
        <w:textAlignment w:val="baseline"/>
        <w:rPr>
          <w:rFonts w:hint="eastAsia" w:ascii="仿宋_GB2312" w:hAnsi="仿宋_GB2312" w:eastAsia="仿宋_GB2312" w:cs="仿宋_GB2312"/>
          <w:b/>
          <w:i w:val="0"/>
          <w:caps w:val="0"/>
          <w:spacing w:val="0"/>
          <w:w w:val="100"/>
          <w:sz w:val="24"/>
        </w:rPr>
      </w:pPr>
      <w:bookmarkStart w:id="458" w:name="_Toc29756"/>
      <w:bookmarkStart w:id="459" w:name="_Toc28294"/>
      <w:bookmarkStart w:id="460" w:name="_Toc17361"/>
      <w:bookmarkStart w:id="461" w:name="_Toc24017"/>
      <w:bookmarkStart w:id="462" w:name="_Toc520356161"/>
      <w:bookmarkStart w:id="463" w:name="_Toc515647776"/>
      <w:bookmarkStart w:id="464" w:name="_Toc28170"/>
      <w:bookmarkStart w:id="465" w:name="_Toc10243"/>
      <w:bookmarkStart w:id="466" w:name="_Toc26544"/>
      <w:bookmarkStart w:id="467" w:name="_Toc12867"/>
      <w:bookmarkStart w:id="468" w:name="_Toc11457"/>
      <w:bookmarkStart w:id="469" w:name="_Toc9840"/>
      <w:bookmarkStart w:id="470" w:name="_Toc27547"/>
      <w:bookmarkStart w:id="471" w:name="_Toc6414"/>
      <w:bookmarkStart w:id="472" w:name="_Toc12751"/>
      <w:bookmarkStart w:id="473" w:name="_Toc30360"/>
      <w:bookmarkStart w:id="474" w:name="_Toc1456"/>
      <w:bookmarkStart w:id="475" w:name="_Toc21581"/>
      <w:r>
        <w:rPr>
          <w:rFonts w:hint="eastAsia" w:ascii="仿宋_GB2312" w:hAnsi="仿宋_GB2312" w:eastAsia="仿宋_GB2312" w:cs="仿宋_GB2312"/>
          <w:b/>
          <w:i w:val="0"/>
          <w:caps w:val="0"/>
          <w:spacing w:val="0"/>
          <w:w w:val="100"/>
          <w:sz w:val="24"/>
        </w:rPr>
        <w:t>16.投标截止</w:t>
      </w:r>
      <w:bookmarkEnd w:id="458"/>
      <w:bookmarkEnd w:id="459"/>
      <w:bookmarkEnd w:id="460"/>
      <w:bookmarkEnd w:id="461"/>
      <w:bookmarkEnd w:id="462"/>
      <w:bookmarkEnd w:id="463"/>
      <w:bookmarkEnd w:id="464"/>
      <w:bookmarkEnd w:id="465"/>
      <w:bookmarkEnd w:id="466"/>
      <w:bookmarkEnd w:id="467"/>
      <w:bookmarkEnd w:id="468"/>
      <w:bookmarkEnd w:id="469"/>
      <w:bookmarkEnd w:id="470"/>
      <w:bookmarkEnd w:id="471"/>
      <w:bookmarkEnd w:id="472"/>
      <w:bookmarkEnd w:id="473"/>
      <w:bookmarkEnd w:id="474"/>
      <w:bookmarkEnd w:id="475"/>
    </w:p>
    <w:p w14:paraId="1360222C">
      <w:pPr>
        <w:spacing w:line="240" w:lineRule="atLeast"/>
        <w:ind w:left="900" w:hanging="900" w:hangingChars="375"/>
        <w:rPr>
          <w:rFonts w:hint="eastAsia" w:ascii="宋体" w:hAnsi="宋体" w:cs="宋体"/>
          <w:b/>
          <w:bCs/>
          <w:sz w:val="24"/>
        </w:rPr>
      </w:pPr>
      <w:r>
        <w:rPr>
          <w:rFonts w:hint="eastAsia" w:ascii="宋体" w:hAnsi="宋体" w:cs="宋体"/>
          <w:sz w:val="24"/>
        </w:rPr>
        <w:t>16.1</w:t>
      </w:r>
      <w:r>
        <w:rPr>
          <w:rFonts w:hint="eastAsia" w:ascii="宋体" w:hAnsi="宋体" w:cs="宋体"/>
          <w:sz w:val="24"/>
        </w:rPr>
        <w:tab/>
      </w:r>
      <w:r>
        <w:rPr>
          <w:rFonts w:hint="eastAsia" w:ascii="仿宋_GB2312" w:hAnsi="仿宋_GB2312" w:eastAsia="仿宋_GB2312" w:cs="仿宋_GB2312"/>
          <w:b w:val="0"/>
          <w:i w:val="0"/>
          <w:caps w:val="0"/>
          <w:spacing w:val="0"/>
          <w:w w:val="100"/>
          <w:sz w:val="24"/>
        </w:rPr>
        <w:t>投标人应在</w:t>
      </w:r>
      <w:r>
        <w:rPr>
          <w:rFonts w:hint="eastAsia" w:ascii="宋体" w:hAnsi="宋体" w:cs="宋体"/>
          <w:b/>
          <w:bCs/>
          <w:sz w:val="24"/>
          <w:u w:val="single"/>
        </w:rPr>
        <w:t>投标人须知资料表</w:t>
      </w:r>
      <w:r>
        <w:rPr>
          <w:rFonts w:hint="eastAsia" w:ascii="仿宋_GB2312" w:hAnsi="仿宋_GB2312" w:eastAsia="仿宋_GB2312" w:cs="仿宋_GB2312"/>
          <w:b w:val="0"/>
          <w:i w:val="0"/>
          <w:caps w:val="0"/>
          <w:spacing w:val="0"/>
          <w:w w:val="100"/>
          <w:sz w:val="24"/>
        </w:rPr>
        <w:t>中规定的截止时间前，将投标文件递交到招标公告中规定的地点。</w:t>
      </w:r>
      <w:r>
        <w:rPr>
          <w:rFonts w:hint="eastAsia" w:ascii="宋体" w:hAnsi="宋体" w:cs="宋体"/>
          <w:b/>
          <w:bCs/>
          <w:sz w:val="24"/>
        </w:rPr>
        <w:t>解密时间30分钟，逾期未解密的视为投标无效。</w:t>
      </w:r>
    </w:p>
    <w:p w14:paraId="6A8666E8">
      <w:pPr>
        <w:snapToGrid/>
        <w:spacing w:before="0" w:beforeAutospacing="0" w:after="0" w:afterAutospacing="0" w:line="288" w:lineRule="auto"/>
        <w:ind w:hangingChars="375"/>
        <w:jc w:val="both"/>
        <w:textAlignment w:val="baseline"/>
        <w:rPr>
          <w:rFonts w:hint="eastAsia" w:ascii="仿宋_GB2312" w:hAnsi="仿宋_GB2312" w:eastAsia="仿宋_GB2312" w:cs="仿宋_GB2312"/>
          <w:b w:val="0"/>
          <w:i w:val="0"/>
          <w:caps w:val="0"/>
          <w:spacing w:val="0"/>
          <w:w w:val="100"/>
          <w:sz w:val="24"/>
        </w:rPr>
      </w:pPr>
      <w:r>
        <w:rPr>
          <w:rFonts w:hint="eastAsia" w:ascii="宋体" w:hAnsi="宋体" w:cs="宋体"/>
          <w:sz w:val="24"/>
        </w:rPr>
        <w:t>16.2</w:t>
      </w:r>
      <w:r>
        <w:rPr>
          <w:rFonts w:hint="eastAsia" w:ascii="宋体" w:hAnsi="宋体" w:cs="宋体"/>
          <w:sz w:val="24"/>
        </w:rPr>
        <w:tab/>
      </w:r>
      <w:r>
        <w:rPr>
          <w:rFonts w:hint="eastAsia" w:ascii="仿宋_GB2312" w:hAnsi="仿宋_GB2312" w:eastAsia="仿宋_GB2312" w:cs="仿宋_GB2312"/>
          <w:b w:val="0"/>
          <w:i w:val="0"/>
          <w:caps w:val="0"/>
          <w:spacing w:val="0"/>
          <w:w w:val="100"/>
          <w:sz w:val="24"/>
        </w:rPr>
        <w:t>采购人和采购代理机构有权按本须知的规定，延迟投标截止时间。在此情况下，采购人、采购代理机构和投标人受投标截止时间制约的所有权利和义务均应延长至新的截止时间。</w:t>
      </w:r>
    </w:p>
    <w:p w14:paraId="3D99D41E">
      <w:pPr>
        <w:snapToGrid/>
        <w:spacing w:before="0" w:beforeAutospacing="0" w:after="0" w:afterAutospacing="0" w:line="288" w:lineRule="auto"/>
        <w:ind w:hangingChars="375"/>
        <w:jc w:val="both"/>
        <w:textAlignment w:val="baseline"/>
        <w:rPr>
          <w:rFonts w:hint="eastAsia" w:ascii="仿宋_GB2312" w:hAnsi="仿宋_GB2312" w:eastAsia="仿宋_GB2312" w:cs="仿宋_GB2312"/>
          <w:b w:val="0"/>
          <w:i w:val="0"/>
          <w:caps w:val="0"/>
          <w:spacing w:val="0"/>
          <w:w w:val="100"/>
          <w:sz w:val="24"/>
        </w:rPr>
      </w:pPr>
      <w:r>
        <w:rPr>
          <w:rFonts w:hint="eastAsia" w:ascii="仿宋_GB2312" w:hAnsi="仿宋_GB2312" w:eastAsia="仿宋_GB2312" w:cs="仿宋_GB2312"/>
          <w:b w:val="0"/>
          <w:i w:val="0"/>
          <w:caps w:val="0"/>
          <w:spacing w:val="0"/>
          <w:w w:val="100"/>
          <w:sz w:val="24"/>
        </w:rPr>
        <w:t>16.3</w:t>
      </w:r>
      <w:r>
        <w:rPr>
          <w:rFonts w:hint="eastAsia" w:ascii="仿宋_GB2312" w:hAnsi="仿宋_GB2312" w:eastAsia="仿宋_GB2312" w:cs="仿宋_GB2312"/>
          <w:b w:val="0"/>
          <w:i w:val="0"/>
          <w:caps w:val="0"/>
          <w:spacing w:val="0"/>
          <w:w w:val="100"/>
          <w:sz w:val="24"/>
        </w:rPr>
        <w:tab/>
      </w:r>
      <w:r>
        <w:rPr>
          <w:rFonts w:hint="eastAsia" w:ascii="仿宋_GB2312" w:hAnsi="仿宋_GB2312" w:eastAsia="仿宋_GB2312" w:cs="仿宋_GB2312"/>
          <w:b w:val="0"/>
          <w:i w:val="0"/>
          <w:caps w:val="0"/>
          <w:spacing w:val="0"/>
          <w:w w:val="100"/>
          <w:sz w:val="24"/>
        </w:rPr>
        <w:t>采购人和采购代理机构将拒绝接收在投标截止时间后上传的投标文件</w:t>
      </w:r>
    </w:p>
    <w:p w14:paraId="7D33E539">
      <w:pPr>
        <w:pStyle w:val="4"/>
        <w:spacing w:before="0" w:after="0" w:line="240" w:lineRule="atLeast"/>
        <w:rPr>
          <w:rFonts w:hint="eastAsia" w:ascii="仿宋_GB2312" w:hAnsi="仿宋_GB2312" w:eastAsia="仿宋_GB2312" w:cs="仿宋_GB2312"/>
          <w:b/>
          <w:i w:val="0"/>
          <w:caps w:val="0"/>
          <w:spacing w:val="0"/>
          <w:w w:val="100"/>
          <w:sz w:val="24"/>
        </w:rPr>
      </w:pPr>
      <w:bookmarkStart w:id="476" w:name="_Toc515647777"/>
      <w:bookmarkStart w:id="477" w:name="_Toc18537"/>
      <w:bookmarkStart w:id="478" w:name="_Toc9987"/>
      <w:bookmarkStart w:id="479" w:name="_Toc22207"/>
      <w:bookmarkStart w:id="480" w:name="_Toc15579"/>
      <w:bookmarkStart w:id="481" w:name="_Toc520356162"/>
      <w:bookmarkStart w:id="482" w:name="_Toc10450"/>
      <w:bookmarkStart w:id="483" w:name="_Toc11458"/>
      <w:bookmarkStart w:id="484" w:name="_Toc5860"/>
      <w:bookmarkStart w:id="485" w:name="_Toc24785"/>
      <w:bookmarkStart w:id="486" w:name="_Toc3464"/>
      <w:bookmarkStart w:id="487" w:name="_Toc23137"/>
      <w:bookmarkStart w:id="488" w:name="_Toc21703"/>
      <w:bookmarkStart w:id="489" w:name="_Toc1625"/>
      <w:bookmarkStart w:id="490" w:name="_Toc31670"/>
      <w:bookmarkStart w:id="491" w:name="_Toc24275"/>
      <w:bookmarkStart w:id="492" w:name="_Toc18105"/>
      <w:bookmarkStart w:id="493" w:name="_Toc3829"/>
      <w:r>
        <w:rPr>
          <w:rFonts w:hint="eastAsia" w:ascii="仿宋_GB2312" w:hAnsi="仿宋_GB2312" w:eastAsia="仿宋_GB2312" w:cs="仿宋_GB2312"/>
          <w:b/>
          <w:i w:val="0"/>
          <w:caps w:val="0"/>
          <w:spacing w:val="0"/>
          <w:w w:val="100"/>
          <w:sz w:val="24"/>
        </w:rPr>
        <w:t>17.投标文件的接收、修改与撤回</w:t>
      </w:r>
      <w:bookmarkEnd w:id="476"/>
      <w:bookmarkEnd w:id="477"/>
      <w:bookmarkEnd w:id="478"/>
      <w:bookmarkEnd w:id="479"/>
      <w:bookmarkEnd w:id="480"/>
      <w:bookmarkEnd w:id="481"/>
      <w:bookmarkEnd w:id="482"/>
      <w:bookmarkEnd w:id="483"/>
      <w:bookmarkEnd w:id="484"/>
      <w:bookmarkEnd w:id="485"/>
      <w:bookmarkEnd w:id="486"/>
      <w:bookmarkEnd w:id="487"/>
      <w:bookmarkEnd w:id="488"/>
      <w:bookmarkEnd w:id="489"/>
      <w:bookmarkEnd w:id="490"/>
      <w:bookmarkEnd w:id="491"/>
      <w:bookmarkEnd w:id="492"/>
      <w:bookmarkEnd w:id="493"/>
    </w:p>
    <w:p w14:paraId="70958765">
      <w:pPr>
        <w:spacing w:line="240" w:lineRule="atLeast"/>
        <w:ind w:left="900" w:hanging="900" w:hangingChars="375"/>
        <w:rPr>
          <w:rFonts w:hint="eastAsia" w:ascii="宋体" w:hAnsi="宋体" w:cs="宋体"/>
          <w:b/>
        </w:rPr>
      </w:pPr>
      <w:r>
        <w:rPr>
          <w:rFonts w:hint="eastAsia" w:ascii="宋体" w:hAnsi="宋体" w:cs="宋体"/>
          <w:sz w:val="24"/>
        </w:rPr>
        <w:t>17.1</w:t>
      </w:r>
      <w:r>
        <w:rPr>
          <w:rFonts w:hint="eastAsia" w:ascii="宋体" w:hAnsi="宋体" w:cs="宋体"/>
          <w:sz w:val="24"/>
        </w:rPr>
        <w:tab/>
      </w:r>
      <w:r>
        <w:rPr>
          <w:rFonts w:hint="eastAsia" w:ascii="仿宋_GB2312" w:hAnsi="仿宋_GB2312" w:eastAsia="仿宋_GB2312" w:cs="仿宋_GB2312"/>
          <w:b w:val="0"/>
          <w:i w:val="0"/>
          <w:caps w:val="0"/>
          <w:spacing w:val="0"/>
          <w:w w:val="100"/>
          <w:sz w:val="24"/>
        </w:rPr>
        <w:t>在投标截止时间后上传投标文件的，采购人和采购代理机构将</w:t>
      </w:r>
      <w:r>
        <w:rPr>
          <w:rFonts w:hint="eastAsia" w:ascii="宋体" w:hAnsi="宋体" w:cs="宋体"/>
          <w:b/>
          <w:bCs/>
          <w:sz w:val="24"/>
        </w:rPr>
        <w:t>拒绝接收</w:t>
      </w:r>
      <w:r>
        <w:rPr>
          <w:rFonts w:hint="eastAsia" w:ascii="宋体" w:hAnsi="宋体" w:cs="宋体"/>
          <w:sz w:val="24"/>
        </w:rPr>
        <w:t>。</w:t>
      </w:r>
    </w:p>
    <w:p w14:paraId="04063FCB">
      <w:pPr>
        <w:snapToGrid/>
        <w:spacing w:before="0" w:beforeAutospacing="0" w:after="0" w:afterAutospacing="0" w:line="288" w:lineRule="auto"/>
        <w:ind w:hangingChars="375"/>
        <w:jc w:val="both"/>
        <w:textAlignment w:val="baseline"/>
        <w:rPr>
          <w:rFonts w:hint="eastAsia" w:ascii="仿宋_GB2312" w:hAnsi="仿宋_GB2312" w:eastAsia="仿宋_GB2312" w:cs="仿宋_GB2312"/>
          <w:b w:val="0"/>
          <w:i w:val="0"/>
          <w:caps w:val="0"/>
          <w:spacing w:val="0"/>
          <w:w w:val="100"/>
          <w:sz w:val="24"/>
        </w:rPr>
      </w:pPr>
      <w:r>
        <w:rPr>
          <w:rFonts w:hint="eastAsia" w:ascii="宋体" w:hAnsi="宋体" w:cs="宋体"/>
          <w:sz w:val="24"/>
        </w:rPr>
        <w:t>17.2</w:t>
      </w:r>
      <w:r>
        <w:rPr>
          <w:rFonts w:hint="eastAsia" w:ascii="宋体" w:hAnsi="宋体" w:cs="宋体"/>
          <w:sz w:val="24"/>
        </w:rPr>
        <w:tab/>
      </w:r>
      <w:r>
        <w:rPr>
          <w:rFonts w:hint="eastAsia" w:ascii="仿宋_GB2312" w:hAnsi="仿宋_GB2312" w:eastAsia="仿宋_GB2312" w:cs="仿宋_GB2312"/>
          <w:b w:val="0"/>
          <w:i w:val="0"/>
          <w:caps w:val="0"/>
          <w:spacing w:val="0"/>
          <w:w w:val="100"/>
          <w:sz w:val="24"/>
        </w:rPr>
        <w:t>采购人或者采购代理机构收到投标文件后，应当如实记载投标文件的送达时间和密封情况。</w:t>
      </w:r>
    </w:p>
    <w:p w14:paraId="1BA9C7EF">
      <w:pPr>
        <w:snapToGrid/>
        <w:spacing w:before="0" w:beforeAutospacing="0" w:after="0" w:afterAutospacing="0" w:line="288" w:lineRule="auto"/>
        <w:ind w:hangingChars="375"/>
        <w:jc w:val="both"/>
        <w:textAlignment w:val="baseline"/>
        <w:rPr>
          <w:rFonts w:hint="eastAsia" w:ascii="仿宋_GB2312" w:hAnsi="仿宋_GB2312" w:eastAsia="仿宋_GB2312" w:cs="仿宋_GB2312"/>
          <w:b w:val="0"/>
          <w:i w:val="0"/>
          <w:caps w:val="0"/>
          <w:spacing w:val="0"/>
          <w:w w:val="100"/>
          <w:sz w:val="24"/>
        </w:rPr>
      </w:pPr>
      <w:r>
        <w:rPr>
          <w:rFonts w:hint="eastAsia" w:ascii="仿宋_GB2312" w:hAnsi="仿宋_GB2312" w:eastAsia="仿宋_GB2312" w:cs="仿宋_GB2312"/>
          <w:b w:val="0"/>
          <w:i w:val="0"/>
          <w:caps w:val="0"/>
          <w:spacing w:val="0"/>
          <w:w w:val="100"/>
          <w:sz w:val="24"/>
        </w:rPr>
        <w:t>17.3</w:t>
      </w:r>
      <w:r>
        <w:rPr>
          <w:rFonts w:hint="eastAsia" w:ascii="仿宋_GB2312" w:hAnsi="仿宋_GB2312" w:eastAsia="仿宋_GB2312" w:cs="仿宋_GB2312"/>
          <w:b w:val="0"/>
          <w:i w:val="0"/>
          <w:caps w:val="0"/>
          <w:spacing w:val="0"/>
          <w:w w:val="100"/>
          <w:sz w:val="24"/>
        </w:rPr>
        <w:tab/>
      </w:r>
      <w:r>
        <w:rPr>
          <w:rFonts w:hint="eastAsia" w:ascii="仿宋_GB2312" w:hAnsi="仿宋_GB2312" w:eastAsia="仿宋_GB2312" w:cs="仿宋_GB2312"/>
          <w:b w:val="0"/>
          <w:i w:val="0"/>
          <w:caps w:val="0"/>
          <w:spacing w:val="0"/>
          <w:w w:val="100"/>
          <w:sz w:val="24"/>
        </w:rPr>
        <w:t>递交投标文件以后，如果投标人要进行修改或撤回投标，须提出书面申请并在投标截止时间前上传至</w:t>
      </w:r>
      <w:r>
        <w:rPr>
          <w:rFonts w:hint="eastAsia" w:ascii="宋体" w:hAnsi="宋体" w:cs="宋体"/>
          <w:b/>
          <w:bCs/>
          <w:sz w:val="24"/>
        </w:rPr>
        <w:t>新疆政采云平台https://www.zcygov.cn</w:t>
      </w:r>
      <w:r>
        <w:rPr>
          <w:rFonts w:hint="eastAsia" w:ascii="宋体" w:hAnsi="宋体" w:cs="宋体"/>
          <w:sz w:val="24"/>
        </w:rPr>
        <w:t>，</w:t>
      </w:r>
      <w:r>
        <w:rPr>
          <w:rFonts w:hint="eastAsia" w:ascii="仿宋_GB2312" w:hAnsi="仿宋_GB2312" w:eastAsia="仿宋_GB2312" w:cs="仿宋_GB2312"/>
          <w:b w:val="0"/>
          <w:i w:val="0"/>
          <w:caps w:val="0"/>
          <w:spacing w:val="0"/>
          <w:w w:val="100"/>
          <w:sz w:val="24"/>
        </w:rPr>
        <w:t>投标人对投标文件的修改或撤回通知应按本须知规定编制、密封、标记。采购人和采购代理机构将予以接收，并视为投标文件的组成部分。</w:t>
      </w:r>
    </w:p>
    <w:p w14:paraId="6879DC14">
      <w:pPr>
        <w:snapToGrid/>
        <w:spacing w:before="0" w:beforeAutospacing="0" w:after="0" w:afterAutospacing="0" w:line="288" w:lineRule="auto"/>
        <w:ind w:hangingChars="375"/>
        <w:jc w:val="both"/>
        <w:textAlignment w:val="baseline"/>
        <w:rPr>
          <w:rFonts w:hint="eastAsia" w:ascii="仿宋_GB2312" w:hAnsi="仿宋_GB2312" w:eastAsia="仿宋_GB2312" w:cs="仿宋_GB2312"/>
          <w:b w:val="0"/>
          <w:i w:val="0"/>
          <w:caps w:val="0"/>
          <w:spacing w:val="0"/>
          <w:w w:val="100"/>
          <w:sz w:val="24"/>
        </w:rPr>
      </w:pPr>
      <w:r>
        <w:rPr>
          <w:rFonts w:hint="eastAsia" w:ascii="仿宋_GB2312" w:hAnsi="仿宋_GB2312" w:eastAsia="仿宋_GB2312" w:cs="仿宋_GB2312"/>
          <w:b w:val="0"/>
          <w:i w:val="0"/>
          <w:caps w:val="0"/>
          <w:spacing w:val="0"/>
          <w:w w:val="100"/>
          <w:sz w:val="24"/>
        </w:rPr>
        <w:t>17.4</w:t>
      </w:r>
      <w:r>
        <w:rPr>
          <w:rFonts w:hint="eastAsia" w:ascii="仿宋_GB2312" w:hAnsi="仿宋_GB2312" w:eastAsia="仿宋_GB2312" w:cs="仿宋_GB2312"/>
          <w:b w:val="0"/>
          <w:i w:val="0"/>
          <w:caps w:val="0"/>
          <w:spacing w:val="0"/>
          <w:w w:val="100"/>
          <w:sz w:val="24"/>
        </w:rPr>
        <w:tab/>
      </w:r>
      <w:r>
        <w:rPr>
          <w:rFonts w:hint="eastAsia" w:ascii="仿宋_GB2312" w:hAnsi="仿宋_GB2312" w:eastAsia="仿宋_GB2312" w:cs="仿宋_GB2312"/>
          <w:b w:val="0"/>
          <w:i w:val="0"/>
          <w:caps w:val="0"/>
          <w:spacing w:val="0"/>
          <w:w w:val="100"/>
          <w:sz w:val="24"/>
        </w:rPr>
        <w:t>在投标截止期之后，采购人和采购代理机构不接受投标人主动对其投标文件做任何修改。</w:t>
      </w:r>
    </w:p>
    <w:p w14:paraId="17E0F59E">
      <w:pPr>
        <w:snapToGrid/>
        <w:spacing w:before="0" w:beforeAutospacing="0" w:after="0" w:afterAutospacing="0" w:line="288" w:lineRule="auto"/>
        <w:ind w:hangingChars="375"/>
        <w:jc w:val="both"/>
        <w:textAlignment w:val="baseline"/>
        <w:rPr>
          <w:rFonts w:ascii="仿宋_GB2312" w:hAnsi="仿宋_GB2312" w:eastAsia="仿宋_GB2312" w:cs="仿宋_GB2312"/>
          <w:b w:val="0"/>
          <w:i w:val="0"/>
          <w:caps w:val="0"/>
          <w:spacing w:val="0"/>
          <w:w w:val="100"/>
          <w:sz w:val="24"/>
        </w:rPr>
      </w:pPr>
      <w:bookmarkStart w:id="494" w:name="_Toc19583"/>
      <w:bookmarkStart w:id="495" w:name="_Toc13495"/>
      <w:bookmarkStart w:id="496" w:name="_Toc26872"/>
      <w:r>
        <w:rPr>
          <w:rFonts w:hint="eastAsia" w:ascii="仿宋_GB2312" w:hAnsi="仿宋_GB2312" w:eastAsia="仿宋_GB2312" w:cs="仿宋_GB2312"/>
          <w:b w:val="0"/>
          <w:i w:val="0"/>
          <w:caps w:val="0"/>
          <w:spacing w:val="0"/>
          <w:w w:val="100"/>
          <w:sz w:val="24"/>
        </w:rPr>
        <w:t>17.5</w:t>
      </w:r>
      <w:r>
        <w:rPr>
          <w:rFonts w:hint="eastAsia" w:ascii="仿宋_GB2312" w:hAnsi="仿宋_GB2312" w:eastAsia="仿宋_GB2312" w:cs="仿宋_GB2312"/>
          <w:b w:val="0"/>
          <w:i w:val="0"/>
          <w:caps w:val="0"/>
          <w:spacing w:val="0"/>
          <w:w w:val="100"/>
          <w:sz w:val="24"/>
        </w:rPr>
        <w:tab/>
      </w:r>
      <w:r>
        <w:rPr>
          <w:rFonts w:hint="eastAsia" w:ascii="仿宋_GB2312" w:hAnsi="仿宋_GB2312" w:eastAsia="仿宋_GB2312" w:cs="仿宋_GB2312"/>
          <w:b w:val="0"/>
          <w:i w:val="0"/>
          <w:caps w:val="0"/>
          <w:spacing w:val="0"/>
          <w:w w:val="100"/>
          <w:sz w:val="24"/>
        </w:rPr>
        <w:t>采购人和采购代理机构对所接收投标文件概不退回。</w:t>
      </w:r>
      <w:bookmarkEnd w:id="494"/>
      <w:bookmarkEnd w:id="495"/>
      <w:bookmarkEnd w:id="496"/>
    </w:p>
    <w:p w14:paraId="644563BA">
      <w:pPr>
        <w:pStyle w:val="2"/>
        <w:snapToGrid/>
        <w:spacing w:before="0" w:beforeAutospacing="0" w:after="0" w:afterAutospacing="0" w:line="288" w:lineRule="auto"/>
        <w:ind w:left="1079" w:leftChars="257" w:hanging="540"/>
        <w:jc w:val="center"/>
        <w:textAlignment w:val="baseline"/>
        <w:rPr>
          <w:rFonts w:hint="eastAsia" w:ascii="仿宋_GB2312" w:hAnsi="仿宋_GB2312" w:eastAsia="仿宋_GB2312" w:cs="仿宋_GB2312"/>
          <w:b/>
          <w:i w:val="0"/>
          <w:caps w:val="0"/>
          <w:spacing w:val="0"/>
          <w:w w:val="100"/>
          <w:sz w:val="24"/>
        </w:rPr>
      </w:pPr>
      <w:bookmarkStart w:id="497" w:name="_Toc6326"/>
      <w:bookmarkStart w:id="498" w:name="_Toc8462"/>
      <w:bookmarkStart w:id="499" w:name="_Toc26891"/>
      <w:bookmarkStart w:id="500" w:name="_Toc216582809"/>
      <w:bookmarkStart w:id="501" w:name="_Toc5077"/>
      <w:bookmarkStart w:id="502" w:name="_Toc22638"/>
      <w:bookmarkStart w:id="503" w:name="_Toc28398"/>
      <w:bookmarkStart w:id="504" w:name="_Toc520356163"/>
      <w:bookmarkStart w:id="505" w:name="_Toc27778"/>
      <w:bookmarkStart w:id="506" w:name="_Toc515647778"/>
      <w:bookmarkStart w:id="507" w:name="_Toc26876"/>
      <w:bookmarkStart w:id="508" w:name="_Toc25610"/>
      <w:bookmarkStart w:id="509" w:name="_Toc20246"/>
      <w:bookmarkStart w:id="510" w:name="_Toc4683"/>
      <w:bookmarkStart w:id="511" w:name="_Toc12436"/>
      <w:bookmarkStart w:id="512" w:name="_Toc28581"/>
      <w:bookmarkStart w:id="513" w:name="_Toc515647780"/>
      <w:bookmarkStart w:id="514" w:name="_Toc19296"/>
      <w:bookmarkStart w:id="515" w:name="_Toc31290"/>
      <w:bookmarkStart w:id="516" w:name="_Toc21372"/>
    </w:p>
    <w:p w14:paraId="546CEA9F">
      <w:pPr>
        <w:pStyle w:val="2"/>
        <w:snapToGrid/>
        <w:spacing w:before="0" w:beforeAutospacing="0" w:after="0" w:afterAutospacing="0" w:line="288" w:lineRule="auto"/>
        <w:ind w:left="1079" w:leftChars="257" w:hanging="540"/>
        <w:jc w:val="center"/>
        <w:textAlignment w:val="baseline"/>
        <w:rPr>
          <w:rFonts w:ascii="仿宋_GB2312" w:hAnsi="仿宋_GB2312" w:eastAsia="仿宋_GB2312" w:cs="仿宋_GB2312"/>
          <w:b/>
          <w:i w:val="0"/>
          <w:caps w:val="0"/>
          <w:spacing w:val="0"/>
          <w:w w:val="100"/>
          <w:sz w:val="30"/>
        </w:rPr>
      </w:pPr>
      <w:bookmarkStart w:id="517" w:name="_Toc1306"/>
      <w:bookmarkStart w:id="518" w:name="_Toc17322"/>
      <w:bookmarkStart w:id="519" w:name="_Toc23106"/>
      <w:bookmarkStart w:id="520" w:name="_Toc2696"/>
      <w:bookmarkStart w:id="521" w:name="_Toc12683"/>
      <w:bookmarkStart w:id="522" w:name="_Toc20444"/>
      <w:bookmarkStart w:id="523" w:name="_Toc31043"/>
      <w:bookmarkStart w:id="524" w:name="_Toc6737"/>
      <w:r>
        <w:rPr>
          <w:rFonts w:hint="eastAsia" w:ascii="仿宋_GB2312" w:hAnsi="仿宋_GB2312" w:eastAsia="仿宋_GB2312" w:cs="仿宋_GB2312"/>
          <w:b/>
          <w:i w:val="0"/>
          <w:caps w:val="0"/>
          <w:spacing w:val="0"/>
          <w:w w:val="100"/>
          <w:sz w:val="24"/>
        </w:rPr>
        <w:t>五   开标及评标</w:t>
      </w:r>
      <w:bookmarkEnd w:id="497"/>
      <w:bookmarkEnd w:id="498"/>
      <w:bookmarkEnd w:id="499"/>
      <w:bookmarkEnd w:id="500"/>
      <w:bookmarkEnd w:id="501"/>
      <w:bookmarkEnd w:id="502"/>
      <w:bookmarkEnd w:id="503"/>
      <w:bookmarkEnd w:id="504"/>
      <w:bookmarkEnd w:id="505"/>
      <w:bookmarkEnd w:id="506"/>
      <w:bookmarkEnd w:id="507"/>
      <w:bookmarkEnd w:id="508"/>
      <w:bookmarkEnd w:id="509"/>
      <w:bookmarkEnd w:id="510"/>
      <w:bookmarkEnd w:id="511"/>
      <w:bookmarkEnd w:id="512"/>
      <w:bookmarkEnd w:id="517"/>
      <w:bookmarkEnd w:id="518"/>
      <w:bookmarkEnd w:id="519"/>
      <w:bookmarkEnd w:id="520"/>
      <w:bookmarkEnd w:id="521"/>
      <w:bookmarkEnd w:id="522"/>
      <w:bookmarkEnd w:id="523"/>
      <w:bookmarkEnd w:id="524"/>
    </w:p>
    <w:p w14:paraId="60A825BB">
      <w:pPr>
        <w:pStyle w:val="4"/>
        <w:numPr>
          <w:ilvl w:val="0"/>
          <w:numId w:val="7"/>
        </w:numPr>
        <w:snapToGrid/>
        <w:spacing w:before="360" w:beforeAutospacing="0" w:after="120" w:afterAutospacing="0" w:line="288" w:lineRule="auto"/>
        <w:jc w:val="left"/>
        <w:textAlignment w:val="baseline"/>
        <w:rPr>
          <w:rFonts w:ascii="仿宋_GB2312" w:hAnsi="仿宋_GB2312" w:eastAsia="仿宋_GB2312" w:cs="仿宋_GB2312"/>
          <w:b/>
          <w:i w:val="0"/>
          <w:caps w:val="0"/>
          <w:spacing w:val="0"/>
          <w:w w:val="100"/>
          <w:sz w:val="24"/>
          <w:u w:val="single"/>
        </w:rPr>
      </w:pPr>
      <w:bookmarkStart w:id="525" w:name="_Toc21932"/>
      <w:bookmarkStart w:id="526" w:name="_Toc28774"/>
      <w:bookmarkStart w:id="527" w:name="_Toc23664"/>
      <w:bookmarkStart w:id="528" w:name="_Toc21582"/>
      <w:bookmarkStart w:id="529" w:name="_Toc515647779"/>
      <w:bookmarkStart w:id="530" w:name="_Toc11395"/>
      <w:bookmarkStart w:id="531" w:name="_Toc25345"/>
      <w:bookmarkStart w:id="532" w:name="_Toc520356164"/>
      <w:bookmarkStart w:id="533" w:name="_Toc15850"/>
      <w:bookmarkStart w:id="534" w:name="_Toc18521"/>
      <w:bookmarkStart w:id="535" w:name="_Toc22221"/>
      <w:bookmarkStart w:id="536" w:name="_Toc17257"/>
      <w:bookmarkStart w:id="537" w:name="_Toc32258"/>
      <w:bookmarkStart w:id="538" w:name="_Toc7186"/>
      <w:bookmarkStart w:id="539" w:name="_Toc18431"/>
      <w:bookmarkStart w:id="540" w:name="_Toc10951"/>
      <w:bookmarkStart w:id="541" w:name="_Toc19944"/>
      <w:bookmarkStart w:id="542" w:name="_Toc15239"/>
      <w:bookmarkStart w:id="543" w:name="_Toc24428"/>
      <w:bookmarkStart w:id="544" w:name="_Toc6310"/>
      <w:bookmarkStart w:id="545" w:name="_Toc2870"/>
      <w:bookmarkStart w:id="546" w:name="_Toc17235"/>
      <w:bookmarkStart w:id="547" w:name="_Toc433"/>
      <w:r>
        <w:rPr>
          <w:rFonts w:hint="eastAsia" w:ascii="仿宋_GB2312" w:hAnsi="仿宋_GB2312" w:eastAsia="仿宋_GB2312" w:cs="仿宋_GB2312"/>
          <w:b/>
          <w:i w:val="0"/>
          <w:caps w:val="0"/>
          <w:spacing w:val="0"/>
          <w:w w:val="100"/>
          <w:sz w:val="24"/>
        </w:rPr>
        <w:t>开标</w:t>
      </w:r>
      <w:bookmarkEnd w:id="525"/>
      <w:bookmarkEnd w:id="526"/>
      <w:bookmarkEnd w:id="527"/>
      <w:bookmarkEnd w:id="528"/>
      <w:bookmarkEnd w:id="529"/>
      <w:bookmarkEnd w:id="530"/>
      <w:bookmarkEnd w:id="531"/>
      <w:bookmarkEnd w:id="532"/>
      <w:bookmarkEnd w:id="533"/>
      <w:bookmarkEnd w:id="534"/>
      <w:bookmarkEnd w:id="535"/>
      <w:bookmarkEnd w:id="536"/>
      <w:bookmarkEnd w:id="537"/>
      <w:bookmarkEnd w:id="538"/>
      <w:bookmarkEnd w:id="539"/>
      <w:bookmarkEnd w:id="540"/>
      <w:bookmarkEnd w:id="541"/>
      <w:bookmarkEnd w:id="542"/>
      <w:bookmarkEnd w:id="543"/>
      <w:bookmarkEnd w:id="544"/>
      <w:bookmarkEnd w:id="545"/>
      <w:bookmarkEnd w:id="546"/>
      <w:bookmarkEnd w:id="547"/>
    </w:p>
    <w:p w14:paraId="095D1442">
      <w:pPr>
        <w:numPr>
          <w:ilvl w:val="1"/>
          <w:numId w:val="7"/>
        </w:numPr>
        <w:snapToGrid/>
        <w:spacing w:before="0" w:beforeAutospacing="0" w:after="0" w:afterAutospacing="0" w:line="288" w:lineRule="auto"/>
        <w:ind w:hangingChars="375"/>
        <w:jc w:val="both"/>
        <w:textAlignment w:val="baseline"/>
        <w:rPr>
          <w:rFonts w:ascii="仿宋_GB2312" w:hAnsi="仿宋_GB2312" w:eastAsia="仿宋_GB2312" w:cs="仿宋_GB2312"/>
          <w:b w:val="0"/>
          <w:i w:val="0"/>
          <w:caps w:val="0"/>
          <w:spacing w:val="0"/>
          <w:w w:val="100"/>
          <w:sz w:val="24"/>
        </w:rPr>
      </w:pPr>
      <w:r>
        <w:rPr>
          <w:rFonts w:hint="eastAsia" w:ascii="仿宋_GB2312" w:hAnsi="仿宋_GB2312" w:eastAsia="仿宋_GB2312" w:cs="仿宋_GB2312"/>
          <w:b w:val="0"/>
          <w:i w:val="0"/>
          <w:caps w:val="0"/>
          <w:spacing w:val="0"/>
          <w:w w:val="100"/>
          <w:sz w:val="24"/>
        </w:rPr>
        <w:t>采购人和采购代理机构将按</w:t>
      </w:r>
      <w:r>
        <w:rPr>
          <w:rFonts w:hint="eastAsia" w:ascii="仿宋_GB2312" w:hAnsi="仿宋_GB2312" w:eastAsia="仿宋_GB2312" w:cs="仿宋_GB2312"/>
          <w:b w:val="0"/>
          <w:i w:val="0"/>
          <w:caps w:val="0"/>
          <w:spacing w:val="0"/>
          <w:w w:val="100"/>
          <w:sz w:val="24"/>
          <w:u w:val="single" w:color="000000"/>
        </w:rPr>
        <w:t>投标人须知资料表</w:t>
      </w:r>
      <w:r>
        <w:rPr>
          <w:rFonts w:hint="eastAsia" w:ascii="仿宋_GB2312" w:hAnsi="仿宋_GB2312" w:eastAsia="仿宋_GB2312" w:cs="仿宋_GB2312"/>
          <w:b w:val="0"/>
          <w:i w:val="0"/>
          <w:caps w:val="0"/>
          <w:spacing w:val="0"/>
          <w:w w:val="100"/>
          <w:sz w:val="24"/>
        </w:rPr>
        <w:t>中规定的开标时间和地点组织公开开标并邀请所有投标人代表参加。</w:t>
      </w:r>
    </w:p>
    <w:p w14:paraId="5B9CA2D7">
      <w:pPr>
        <w:snapToGrid/>
        <w:spacing w:before="0" w:beforeAutospacing="0" w:after="0" w:afterAutospacing="0" w:line="288" w:lineRule="auto"/>
        <w:ind w:left="735" w:leftChars="350" w:firstLine="120" w:firstLineChars="50"/>
        <w:jc w:val="both"/>
        <w:textAlignment w:val="baseline"/>
        <w:rPr>
          <w:rFonts w:ascii="仿宋_GB2312" w:hAnsi="仿宋_GB2312" w:eastAsia="仿宋_GB2312" w:cs="仿宋_GB2312"/>
          <w:b w:val="0"/>
          <w:i w:val="0"/>
          <w:caps w:val="0"/>
          <w:spacing w:val="0"/>
          <w:w w:val="100"/>
          <w:sz w:val="24"/>
        </w:rPr>
      </w:pPr>
      <w:r>
        <w:rPr>
          <w:rFonts w:hint="eastAsia" w:ascii="仿宋_GB2312" w:hAnsi="仿宋_GB2312" w:eastAsia="仿宋_GB2312" w:cs="仿宋_GB2312"/>
          <w:b w:val="0"/>
          <w:i w:val="0"/>
          <w:caps w:val="0"/>
          <w:spacing w:val="0"/>
          <w:w w:val="100"/>
          <w:sz w:val="24"/>
        </w:rPr>
        <w:t>投标人不足3家的，不得开标。</w:t>
      </w:r>
    </w:p>
    <w:p w14:paraId="2FE85C56">
      <w:pPr>
        <w:snapToGrid/>
        <w:spacing w:before="0" w:beforeAutospacing="0" w:after="0" w:afterAutospacing="0" w:line="288" w:lineRule="auto"/>
        <w:ind w:hangingChars="400"/>
        <w:jc w:val="both"/>
        <w:textAlignment w:val="baseline"/>
        <w:rPr>
          <w:rFonts w:ascii="仿宋_GB2312" w:hAnsi="仿宋_GB2312" w:eastAsia="仿宋_GB2312" w:cs="仿宋_GB2312"/>
          <w:b w:val="0"/>
          <w:i w:val="0"/>
          <w:caps w:val="0"/>
          <w:spacing w:val="0"/>
          <w:w w:val="100"/>
          <w:sz w:val="24"/>
        </w:rPr>
      </w:pPr>
      <w:r>
        <w:rPr>
          <w:rFonts w:hint="eastAsia" w:ascii="仿宋_GB2312" w:hAnsi="仿宋_GB2312" w:eastAsia="仿宋_GB2312" w:cs="仿宋_GB2312"/>
          <w:b w:val="0"/>
          <w:i w:val="0"/>
          <w:caps w:val="0"/>
          <w:spacing w:val="0"/>
          <w:w w:val="100"/>
          <w:sz w:val="24"/>
        </w:rPr>
        <w:t xml:space="preserve">18.2   </w:t>
      </w:r>
      <w:r>
        <w:rPr>
          <w:rFonts w:hint="eastAsia" w:ascii="宋体" w:hAnsi="宋体" w:cs="宋体"/>
          <w:b/>
          <w:bCs/>
          <w:sz w:val="24"/>
        </w:rPr>
        <w:t>开标时，由代理机构工作人员点击响应文件解密流程，解密时间为30分钟。解密时间截止后经记录，由采购人或采购代理机构开启开标一览表，宣读投标人名称、投标价格及招标文件规定的内容。对于投标人在投标截止期前递交的投标声明，在开标时当众宣读，评标时有效。未宣读投标价格、价格折扣等实质内容，评标时不予承认。逾期未解密的视为投标无效</w:t>
      </w:r>
      <w:r>
        <w:rPr>
          <w:rFonts w:hint="eastAsia" w:ascii="仿宋_GB2312" w:hAnsi="仿宋_GB2312" w:eastAsia="仿宋_GB2312" w:cs="仿宋_GB2312"/>
          <w:b w:val="0"/>
          <w:i w:val="0"/>
          <w:caps w:val="0"/>
          <w:spacing w:val="0"/>
          <w:w w:val="100"/>
          <w:sz w:val="24"/>
        </w:rPr>
        <w:t>。</w:t>
      </w:r>
    </w:p>
    <w:p w14:paraId="4A921F1D">
      <w:pPr>
        <w:keepNext w:val="0"/>
        <w:keepLines w:val="0"/>
        <w:widowControl/>
        <w:suppressLineNumbers w:val="0"/>
        <w:ind w:left="960" w:hanging="960" w:hangingChars="400"/>
        <w:jc w:val="left"/>
        <w:rPr>
          <w:rFonts w:ascii="仿宋_GB2312" w:hAnsi="仿宋_GB2312" w:eastAsia="仿宋_GB2312" w:cs="仿宋_GB2312"/>
          <w:b w:val="0"/>
          <w:i w:val="0"/>
          <w:caps w:val="0"/>
          <w:spacing w:val="0"/>
          <w:w w:val="100"/>
          <w:sz w:val="24"/>
        </w:rPr>
      </w:pPr>
      <w:r>
        <w:rPr>
          <w:rFonts w:hint="eastAsia" w:ascii="仿宋_GB2312" w:hAnsi="仿宋_GB2312" w:eastAsia="仿宋_GB2312" w:cs="仿宋_GB2312"/>
          <w:b w:val="0"/>
          <w:i w:val="0"/>
          <w:caps w:val="0"/>
          <w:spacing w:val="0"/>
          <w:w w:val="100"/>
          <w:sz w:val="24"/>
        </w:rPr>
        <w:t>18.3   采购人或采购代理机构将对开标过程进行记录，由参加开标的各投标人代表和相关工作人员签字确认，并存档备查。</w:t>
      </w:r>
    </w:p>
    <w:p w14:paraId="227A1034">
      <w:pPr>
        <w:snapToGrid/>
        <w:spacing w:before="0" w:beforeAutospacing="0" w:after="0" w:afterAutospacing="0" w:line="288" w:lineRule="auto"/>
        <w:ind w:hangingChars="375"/>
        <w:jc w:val="both"/>
        <w:textAlignment w:val="baseline"/>
        <w:rPr>
          <w:rFonts w:ascii="仿宋_GB2312" w:hAnsi="仿宋_GB2312" w:eastAsia="仿宋_GB2312" w:cs="仿宋_GB2312"/>
          <w:b w:val="0"/>
          <w:i w:val="0"/>
          <w:caps w:val="0"/>
          <w:spacing w:val="0"/>
          <w:w w:val="100"/>
          <w:sz w:val="24"/>
        </w:rPr>
      </w:pPr>
      <w:r>
        <w:rPr>
          <w:rFonts w:hint="eastAsia" w:ascii="仿宋_GB2312" w:hAnsi="仿宋_GB2312" w:eastAsia="仿宋_GB2312" w:cs="仿宋_GB2312"/>
          <w:b w:val="0"/>
          <w:i w:val="0"/>
          <w:caps w:val="0"/>
          <w:spacing w:val="0"/>
          <w:w w:val="100"/>
          <w:sz w:val="24"/>
        </w:rPr>
        <w:t>18.4    投标人代表对开标过程和开标记录有疑义，以及认为采购人、采购代理机构相关工作人员有需要回避的情形的，应当场提出询问或者回避申请。</w:t>
      </w:r>
    </w:p>
    <w:p w14:paraId="649E35CF">
      <w:pPr>
        <w:pStyle w:val="4"/>
        <w:snapToGrid/>
        <w:spacing w:before="0" w:beforeAutospacing="0" w:after="0" w:afterAutospacing="0" w:line="288" w:lineRule="auto"/>
        <w:jc w:val="left"/>
        <w:textAlignment w:val="baseline"/>
        <w:rPr>
          <w:rFonts w:ascii="仿宋_GB2312" w:hAnsi="仿宋_GB2312" w:eastAsia="仿宋_GB2312" w:cs="仿宋_GB2312"/>
          <w:b/>
          <w:i w:val="0"/>
          <w:caps w:val="0"/>
          <w:spacing w:val="0"/>
          <w:w w:val="100"/>
          <w:sz w:val="24"/>
        </w:rPr>
      </w:pPr>
      <w:bookmarkStart w:id="548" w:name="_Toc1947"/>
      <w:bookmarkStart w:id="549" w:name="_Toc1719"/>
      <w:bookmarkStart w:id="550" w:name="_Toc16981"/>
      <w:bookmarkStart w:id="551" w:name="_Toc16060"/>
      <w:bookmarkStart w:id="552" w:name="_Toc3613"/>
      <w:bookmarkStart w:id="553" w:name="_Toc30404"/>
      <w:bookmarkStart w:id="554" w:name="_Toc9590"/>
      <w:bookmarkStart w:id="555" w:name="_Toc10635"/>
      <w:bookmarkStart w:id="556" w:name="_Toc30017"/>
      <w:bookmarkStart w:id="557" w:name="_Toc10173"/>
      <w:bookmarkStart w:id="558" w:name="_Toc11574"/>
      <w:bookmarkStart w:id="559" w:name="_Toc3739"/>
      <w:bookmarkStart w:id="560" w:name="_Toc19537"/>
      <w:bookmarkStart w:id="561" w:name="_Toc3940"/>
      <w:bookmarkStart w:id="562" w:name="_Toc14377"/>
      <w:bookmarkStart w:id="563" w:name="_Toc8911"/>
      <w:bookmarkStart w:id="564" w:name="_Toc3319"/>
      <w:bookmarkStart w:id="565" w:name="_Toc13177"/>
      <w:r>
        <w:rPr>
          <w:rFonts w:hint="eastAsia" w:ascii="仿宋_GB2312" w:hAnsi="仿宋_GB2312" w:eastAsia="仿宋_GB2312" w:cs="仿宋_GB2312"/>
          <w:b/>
          <w:i w:val="0"/>
          <w:caps w:val="0"/>
          <w:spacing w:val="0"/>
          <w:w w:val="100"/>
          <w:sz w:val="24"/>
        </w:rPr>
        <w:t>19.资格审查及组建评标委员会</w:t>
      </w:r>
      <w:bookmarkEnd w:id="513"/>
      <w:bookmarkEnd w:id="514"/>
      <w:bookmarkEnd w:id="515"/>
      <w:bookmarkEnd w:id="516"/>
      <w:bookmarkEnd w:id="548"/>
      <w:bookmarkEnd w:id="549"/>
      <w:bookmarkEnd w:id="550"/>
      <w:bookmarkEnd w:id="551"/>
      <w:bookmarkEnd w:id="552"/>
      <w:bookmarkEnd w:id="553"/>
      <w:bookmarkEnd w:id="554"/>
      <w:bookmarkEnd w:id="555"/>
      <w:bookmarkEnd w:id="556"/>
      <w:bookmarkEnd w:id="557"/>
      <w:bookmarkEnd w:id="558"/>
      <w:bookmarkEnd w:id="559"/>
      <w:bookmarkEnd w:id="560"/>
      <w:bookmarkEnd w:id="561"/>
      <w:bookmarkEnd w:id="562"/>
      <w:bookmarkEnd w:id="563"/>
      <w:bookmarkEnd w:id="564"/>
      <w:bookmarkEnd w:id="565"/>
    </w:p>
    <w:p w14:paraId="06AC9A5F">
      <w:pPr>
        <w:snapToGrid/>
        <w:spacing w:before="0" w:beforeAutospacing="0" w:after="0" w:afterAutospacing="0" w:line="288" w:lineRule="auto"/>
        <w:ind w:hangingChars="400"/>
        <w:jc w:val="both"/>
        <w:textAlignment w:val="baseline"/>
        <w:rPr>
          <w:rFonts w:ascii="仿宋_GB2312" w:hAnsi="仿宋_GB2312" w:eastAsia="仿宋_GB2312" w:cs="仿宋_GB2312"/>
          <w:b w:val="0"/>
          <w:i w:val="0"/>
          <w:caps w:val="0"/>
          <w:spacing w:val="0"/>
          <w:w w:val="100"/>
          <w:sz w:val="24"/>
        </w:rPr>
      </w:pPr>
      <w:r>
        <w:rPr>
          <w:rFonts w:hint="eastAsia" w:ascii="仿宋_GB2312" w:hAnsi="仿宋_GB2312" w:eastAsia="仿宋_GB2312" w:cs="仿宋_GB2312"/>
          <w:b w:val="0"/>
          <w:i w:val="0"/>
          <w:caps w:val="0"/>
          <w:spacing w:val="0"/>
          <w:w w:val="100"/>
          <w:sz w:val="24"/>
        </w:rPr>
        <w:t>19.1    采购人或采购代理机构依据法律法规和招标文件中规定的内容，对投标人及其货物的资格进行审查，未通过资格审查的投标人不进入评标；通过资格审查的投标人少于不足三家的，不得评标。</w:t>
      </w:r>
    </w:p>
    <w:p w14:paraId="116AAE66">
      <w:pPr>
        <w:spacing w:line="240" w:lineRule="atLeast"/>
        <w:ind w:left="857" w:leftChars="2" w:hanging="853"/>
        <w:rPr>
          <w:rFonts w:hint="eastAsia" w:ascii="仿宋_GB2312" w:hAnsi="仿宋_GB2312" w:eastAsia="仿宋_GB2312" w:cs="仿宋_GB2312"/>
          <w:b w:val="0"/>
          <w:i w:val="0"/>
          <w:caps w:val="0"/>
          <w:spacing w:val="0"/>
          <w:w w:val="100"/>
          <w:sz w:val="24"/>
        </w:rPr>
      </w:pPr>
      <w:r>
        <w:rPr>
          <w:rFonts w:hint="eastAsia" w:ascii="仿宋_GB2312" w:hAnsi="仿宋_GB2312" w:eastAsia="仿宋_GB2312" w:cs="仿宋_GB2312"/>
          <w:b w:val="0"/>
          <w:i w:val="0"/>
          <w:caps w:val="0"/>
          <w:spacing w:val="0"/>
          <w:w w:val="100"/>
          <w:sz w:val="24"/>
        </w:rPr>
        <w:t>19.</w:t>
      </w:r>
      <w:r>
        <w:rPr>
          <w:rFonts w:hint="eastAsia" w:ascii="仿宋_GB2312" w:hAnsi="仿宋_GB2312" w:eastAsia="仿宋_GB2312" w:cs="仿宋_GB2312"/>
          <w:b w:val="0"/>
          <w:i w:val="0"/>
          <w:caps w:val="0"/>
          <w:spacing w:val="0"/>
          <w:w w:val="100"/>
          <w:sz w:val="24"/>
          <w:lang w:val="en-US" w:eastAsia="zh-CN"/>
        </w:rPr>
        <w:t>2</w:t>
      </w:r>
      <w:r>
        <w:rPr>
          <w:rFonts w:hint="eastAsia" w:ascii="仿宋_GB2312" w:hAnsi="仿宋_GB2312" w:eastAsia="仿宋_GB2312" w:cs="仿宋_GB2312"/>
          <w:b w:val="0"/>
          <w:i w:val="0"/>
          <w:caps w:val="0"/>
          <w:spacing w:val="0"/>
          <w:w w:val="100"/>
          <w:sz w:val="24"/>
        </w:rPr>
        <w:t xml:space="preserve">   </w:t>
      </w:r>
      <w:bookmarkStart w:id="566" w:name="_Toc520356166"/>
      <w:r>
        <w:rPr>
          <w:rFonts w:hint="eastAsia" w:ascii="仿宋_GB2312" w:hAnsi="仿宋_GB2312" w:eastAsia="仿宋_GB2312" w:cs="仿宋_GB2312"/>
          <w:b w:val="0"/>
          <w:i w:val="0"/>
          <w:caps w:val="0"/>
          <w:spacing w:val="0"/>
          <w:w w:val="100"/>
          <w:sz w:val="24"/>
        </w:rPr>
        <w:t>采购人或采购代理机构将在开标前1个工作日至投标截止后1小时的期间内查询投标人的信用记录。投标人存在不良信用记录的，其投标将被认定为</w:t>
      </w:r>
      <w:r>
        <w:rPr>
          <w:rFonts w:hint="eastAsia" w:ascii="仿宋_GB2312" w:hAnsi="仿宋_GB2312" w:eastAsia="仿宋_GB2312" w:cs="仿宋_GB2312"/>
          <w:b/>
          <w:bCs/>
          <w:i w:val="0"/>
          <w:caps w:val="0"/>
          <w:spacing w:val="0"/>
          <w:w w:val="100"/>
          <w:sz w:val="24"/>
        </w:rPr>
        <w:t>投标无效</w:t>
      </w:r>
      <w:r>
        <w:rPr>
          <w:rFonts w:hint="eastAsia" w:ascii="仿宋_GB2312" w:hAnsi="仿宋_GB2312" w:eastAsia="仿宋_GB2312" w:cs="仿宋_GB2312"/>
          <w:b w:val="0"/>
          <w:i w:val="0"/>
          <w:caps w:val="0"/>
          <w:spacing w:val="0"/>
          <w:w w:val="100"/>
          <w:sz w:val="24"/>
        </w:rPr>
        <w:t>。</w:t>
      </w:r>
    </w:p>
    <w:p w14:paraId="2860C0F6">
      <w:pPr>
        <w:spacing w:line="240" w:lineRule="atLeast"/>
        <w:ind w:left="857" w:leftChars="2" w:hanging="853"/>
        <w:rPr>
          <w:rFonts w:hint="eastAsia" w:ascii="仿宋_GB2312" w:hAnsi="仿宋_GB2312" w:eastAsia="仿宋_GB2312" w:cs="仿宋_GB2312"/>
          <w:b w:val="0"/>
          <w:i w:val="0"/>
          <w:caps w:val="0"/>
          <w:spacing w:val="0"/>
          <w:w w:val="100"/>
          <w:sz w:val="24"/>
        </w:rPr>
      </w:pPr>
      <w:r>
        <w:rPr>
          <w:rFonts w:hint="eastAsia" w:ascii="宋体" w:hAnsi="宋体" w:cs="宋体"/>
          <w:sz w:val="24"/>
        </w:rPr>
        <w:t xml:space="preserve">19.2.1 </w:t>
      </w:r>
      <w:r>
        <w:rPr>
          <w:rFonts w:hint="eastAsia" w:ascii="仿宋_GB2312" w:hAnsi="仿宋_GB2312" w:eastAsia="仿宋_GB2312" w:cs="仿宋_GB2312"/>
          <w:b w:val="0"/>
          <w:i w:val="0"/>
          <w:caps w:val="0"/>
          <w:spacing w:val="0"/>
          <w:w w:val="100"/>
          <w:sz w:val="24"/>
        </w:rPr>
        <w:t>不良信用记录指：投标人在中国政府采购网（www.ccgp.gov.cn）被列入政府采购严重违法失信行为记录名单，或在“信用中国”网站（www.creditchina.gov.cn）被列入失信被执行人、重大税收违法案件当事人名单，以及存在《中华人民共和国政府采购法实施条例》第十九条规定的行政处罚记录。</w:t>
      </w:r>
    </w:p>
    <w:p w14:paraId="73277CA3">
      <w:pPr>
        <w:spacing w:line="240" w:lineRule="atLeast"/>
        <w:ind w:left="968" w:leftChars="458" w:hanging="7" w:hangingChars="3"/>
        <w:rPr>
          <w:rFonts w:hint="eastAsia" w:ascii="仿宋_GB2312" w:hAnsi="仿宋_GB2312" w:eastAsia="仿宋_GB2312" w:cs="仿宋_GB2312"/>
          <w:b w:val="0"/>
          <w:i w:val="0"/>
          <w:caps w:val="0"/>
          <w:spacing w:val="0"/>
          <w:w w:val="100"/>
          <w:sz w:val="24"/>
        </w:rPr>
      </w:pPr>
      <w:r>
        <w:rPr>
          <w:rFonts w:hint="eastAsia" w:ascii="仿宋_GB2312" w:hAnsi="仿宋_GB2312" w:eastAsia="仿宋_GB2312" w:cs="仿宋_GB2312"/>
          <w:b w:val="0"/>
          <w:i w:val="0"/>
          <w:caps w:val="0"/>
          <w:spacing w:val="0"/>
          <w:w w:val="100"/>
          <w:sz w:val="24"/>
        </w:rPr>
        <w:t>以联合体形式参加投标的，联合体任何成员存在以上不良信用记录的，联合体投标将被认定为</w:t>
      </w:r>
      <w:r>
        <w:rPr>
          <w:rFonts w:hint="eastAsia" w:ascii="仿宋_GB2312" w:hAnsi="仿宋_GB2312" w:eastAsia="仿宋_GB2312" w:cs="仿宋_GB2312"/>
          <w:b/>
          <w:bCs/>
          <w:i w:val="0"/>
          <w:caps w:val="0"/>
          <w:spacing w:val="0"/>
          <w:w w:val="100"/>
          <w:sz w:val="24"/>
        </w:rPr>
        <w:t>投标无效</w:t>
      </w:r>
      <w:r>
        <w:rPr>
          <w:rFonts w:hint="eastAsia" w:ascii="仿宋_GB2312" w:hAnsi="仿宋_GB2312" w:eastAsia="仿宋_GB2312" w:cs="仿宋_GB2312"/>
          <w:b w:val="0"/>
          <w:i w:val="0"/>
          <w:caps w:val="0"/>
          <w:spacing w:val="0"/>
          <w:w w:val="100"/>
          <w:sz w:val="24"/>
        </w:rPr>
        <w:t>。</w:t>
      </w:r>
    </w:p>
    <w:p w14:paraId="4D6241C1">
      <w:pPr>
        <w:spacing w:line="240" w:lineRule="atLeast"/>
        <w:ind w:left="857" w:leftChars="2" w:hanging="853"/>
        <w:rPr>
          <w:rFonts w:hint="eastAsia" w:ascii="仿宋_GB2312" w:hAnsi="仿宋_GB2312" w:eastAsia="仿宋_GB2312" w:cs="仿宋_GB2312"/>
          <w:b w:val="0"/>
          <w:i w:val="0"/>
          <w:caps w:val="0"/>
          <w:spacing w:val="0"/>
          <w:w w:val="100"/>
          <w:sz w:val="24"/>
        </w:rPr>
      </w:pPr>
      <w:r>
        <w:rPr>
          <w:rFonts w:hint="eastAsia" w:hAnsi="宋体" w:cs="宋体"/>
        </w:rPr>
        <w:t xml:space="preserve">19.2.2 </w:t>
      </w:r>
      <w:r>
        <w:rPr>
          <w:rFonts w:hint="eastAsia" w:ascii="仿宋_GB2312" w:hAnsi="仿宋_GB2312" w:eastAsia="仿宋_GB2312" w:cs="仿宋_GB2312"/>
          <w:b w:val="0"/>
          <w:i w:val="0"/>
          <w:caps w:val="0"/>
          <w:spacing w:val="0"/>
          <w:w w:val="100"/>
          <w:sz w:val="24"/>
        </w:rPr>
        <w:t>查询及记录方式：采购人或采购代理机构经办人将查询网页打印、签字并存档备查。投标人不良信用记录以采购人或采购代理机构查询结果为准。</w:t>
      </w:r>
    </w:p>
    <w:p w14:paraId="3094A7E1">
      <w:pPr>
        <w:spacing w:line="240" w:lineRule="atLeast"/>
        <w:ind w:firstLine="960" w:firstLineChars="400"/>
        <w:rPr>
          <w:rFonts w:hint="eastAsia" w:ascii="仿宋_GB2312" w:hAnsi="仿宋_GB2312" w:eastAsia="仿宋_GB2312" w:cs="仿宋_GB2312"/>
          <w:b w:val="0"/>
          <w:i w:val="0"/>
          <w:caps w:val="0"/>
          <w:spacing w:val="0"/>
          <w:w w:val="100"/>
          <w:sz w:val="24"/>
        </w:rPr>
      </w:pPr>
      <w:r>
        <w:rPr>
          <w:rFonts w:hint="eastAsia" w:ascii="仿宋_GB2312" w:hAnsi="仿宋_GB2312" w:eastAsia="仿宋_GB2312" w:cs="仿宋_GB2312"/>
          <w:b w:val="0"/>
          <w:i w:val="0"/>
          <w:caps w:val="0"/>
          <w:spacing w:val="0"/>
          <w:w w:val="100"/>
          <w:sz w:val="24"/>
        </w:rPr>
        <w:t>在本招标文件规定的查询时间之后，网站信息发生的任何变更均不再作为评标依据。</w:t>
      </w:r>
    </w:p>
    <w:p w14:paraId="230B74CD">
      <w:pPr>
        <w:spacing w:line="240" w:lineRule="atLeast"/>
        <w:ind w:left="968" w:leftChars="458" w:hanging="7" w:hangingChars="3"/>
        <w:rPr>
          <w:rFonts w:hint="eastAsia" w:ascii="仿宋_GB2312" w:hAnsi="仿宋_GB2312" w:eastAsia="仿宋_GB2312" w:cs="仿宋_GB2312"/>
          <w:b w:val="0"/>
          <w:i w:val="0"/>
          <w:caps w:val="0"/>
          <w:spacing w:val="0"/>
          <w:w w:val="100"/>
          <w:sz w:val="24"/>
        </w:rPr>
      </w:pPr>
      <w:r>
        <w:rPr>
          <w:rFonts w:hint="eastAsia" w:ascii="仿宋_GB2312" w:hAnsi="仿宋_GB2312" w:eastAsia="仿宋_GB2312" w:cs="仿宋_GB2312"/>
          <w:b w:val="0"/>
          <w:i w:val="0"/>
          <w:caps w:val="0"/>
          <w:spacing w:val="0"/>
          <w:w w:val="100"/>
          <w:sz w:val="24"/>
        </w:rPr>
        <w:t>投标人自行提供的与网站信息不一致的其他证明材料亦不作为资格审查依据。</w:t>
      </w:r>
    </w:p>
    <w:p w14:paraId="65117E17">
      <w:pPr>
        <w:pStyle w:val="27"/>
        <w:ind w:left="960" w:hanging="960" w:hangingChars="400"/>
        <w:rPr>
          <w:rFonts w:hint="eastAsia"/>
          <w:color w:val="FF0000"/>
        </w:rPr>
      </w:pPr>
      <w:r>
        <w:rPr>
          <w:rFonts w:hint="eastAsia" w:ascii="宋体" w:hAnsi="宋体" w:cs="宋体"/>
          <w:sz w:val="24"/>
        </w:rPr>
        <w:t xml:space="preserve">19.3   </w:t>
      </w:r>
      <w:r>
        <w:rPr>
          <w:rFonts w:hint="eastAsia" w:ascii="仿宋_GB2312" w:hAnsi="仿宋_GB2312" w:eastAsia="仿宋_GB2312" w:cs="仿宋_GB2312"/>
          <w:b w:val="0"/>
          <w:i w:val="0"/>
          <w:caps w:val="0"/>
          <w:spacing w:val="0"/>
          <w:w w:val="100"/>
          <w:sz w:val="24"/>
        </w:rPr>
        <w:t>按照《中华人民共和国政府采购法》、《中华人民共和国政府采购法实施条例》及本项目本级和上级财政部门的有关规定依法组建的评标委员会，负责评标工作。</w:t>
      </w:r>
      <w:r>
        <w:rPr>
          <w:rFonts w:hint="eastAsia" w:ascii="仿宋_GB2312" w:hAnsi="仿宋_GB2312" w:eastAsia="仿宋_GB2312" w:cs="仿宋_GB2312"/>
          <w:b/>
          <w:bCs/>
          <w:i w:val="0"/>
          <w:caps w:val="0"/>
          <w:color w:val="FF0000"/>
          <w:spacing w:val="0"/>
          <w:w w:val="100"/>
          <w:sz w:val="24"/>
          <w:u w:val="single"/>
        </w:rPr>
        <w:t>本项目评标委员会由</w:t>
      </w:r>
      <w:r>
        <w:rPr>
          <w:rFonts w:hint="eastAsia" w:ascii="仿宋_GB2312" w:hAnsi="仿宋_GB2312" w:eastAsia="仿宋_GB2312" w:cs="仿宋_GB2312"/>
          <w:b/>
          <w:bCs/>
          <w:i w:val="0"/>
          <w:caps w:val="0"/>
          <w:color w:val="00B0F0"/>
          <w:spacing w:val="0"/>
          <w:w w:val="100"/>
          <w:sz w:val="24"/>
          <w:u w:val="single"/>
          <w:lang w:val="en-US" w:eastAsia="zh-CN"/>
        </w:rPr>
        <w:t>5</w:t>
      </w:r>
      <w:r>
        <w:rPr>
          <w:rFonts w:hint="eastAsia" w:ascii="仿宋_GB2312" w:hAnsi="仿宋_GB2312" w:eastAsia="仿宋_GB2312" w:cs="仿宋_GB2312"/>
          <w:b/>
          <w:bCs/>
          <w:i w:val="0"/>
          <w:caps w:val="0"/>
          <w:color w:val="00B0F0"/>
          <w:spacing w:val="0"/>
          <w:w w:val="100"/>
          <w:sz w:val="24"/>
          <w:u w:val="single"/>
        </w:rPr>
        <w:t>人</w:t>
      </w:r>
      <w:r>
        <w:rPr>
          <w:rFonts w:hint="eastAsia" w:ascii="仿宋_GB2312" w:hAnsi="仿宋_GB2312" w:eastAsia="仿宋_GB2312" w:cs="仿宋_GB2312"/>
          <w:b/>
          <w:bCs/>
          <w:i w:val="0"/>
          <w:caps w:val="0"/>
          <w:color w:val="FF0000"/>
          <w:spacing w:val="0"/>
          <w:w w:val="100"/>
          <w:sz w:val="24"/>
          <w:u w:val="single"/>
        </w:rPr>
        <w:t>单数组成，其中：业主代表</w:t>
      </w:r>
      <w:r>
        <w:rPr>
          <w:rFonts w:hint="eastAsia" w:ascii="仿宋_GB2312" w:hAnsi="仿宋_GB2312" w:eastAsia="仿宋_GB2312" w:cs="仿宋_GB2312"/>
          <w:b/>
          <w:bCs/>
          <w:i w:val="0"/>
          <w:caps w:val="0"/>
          <w:color w:val="00B0F0"/>
          <w:spacing w:val="0"/>
          <w:w w:val="100"/>
          <w:sz w:val="24"/>
          <w:u w:val="single"/>
          <w:lang w:val="en-US" w:eastAsia="zh-CN"/>
        </w:rPr>
        <w:t>1人</w:t>
      </w:r>
      <w:r>
        <w:rPr>
          <w:rFonts w:hint="eastAsia" w:ascii="仿宋_GB2312" w:hAnsi="仿宋_GB2312" w:eastAsia="仿宋_GB2312" w:cs="仿宋_GB2312"/>
          <w:b/>
          <w:bCs/>
          <w:i w:val="0"/>
          <w:caps w:val="0"/>
          <w:color w:val="FF0000"/>
          <w:spacing w:val="0"/>
          <w:w w:val="100"/>
          <w:sz w:val="24"/>
          <w:u w:val="single"/>
        </w:rPr>
        <w:t>，评委</w:t>
      </w:r>
      <w:r>
        <w:rPr>
          <w:rFonts w:hint="eastAsia" w:ascii="仿宋_GB2312" w:hAnsi="仿宋_GB2312" w:eastAsia="仿宋_GB2312" w:cs="仿宋_GB2312"/>
          <w:b/>
          <w:bCs/>
          <w:i w:val="0"/>
          <w:caps w:val="0"/>
          <w:color w:val="00B0F0"/>
          <w:spacing w:val="0"/>
          <w:w w:val="100"/>
          <w:sz w:val="24"/>
          <w:u w:val="single"/>
          <w:lang w:val="en-US" w:eastAsia="zh-CN"/>
        </w:rPr>
        <w:t>4人</w:t>
      </w:r>
      <w:r>
        <w:rPr>
          <w:rFonts w:hint="eastAsia" w:ascii="仿宋_GB2312" w:hAnsi="仿宋_GB2312" w:eastAsia="仿宋_GB2312" w:cs="仿宋_GB2312"/>
          <w:b/>
          <w:bCs/>
          <w:i w:val="0"/>
          <w:caps w:val="0"/>
          <w:color w:val="FF0000"/>
          <w:spacing w:val="0"/>
          <w:w w:val="100"/>
          <w:sz w:val="24"/>
          <w:u w:val="single"/>
        </w:rPr>
        <w:t>（政采云专家库随机抽取）。</w:t>
      </w:r>
    </w:p>
    <w:p w14:paraId="15243737">
      <w:pPr>
        <w:pStyle w:val="27"/>
      </w:pPr>
    </w:p>
    <w:p w14:paraId="0F577142">
      <w:pPr>
        <w:pStyle w:val="4"/>
        <w:snapToGrid/>
        <w:spacing w:before="0" w:beforeAutospacing="0" w:after="0" w:afterAutospacing="0" w:line="288" w:lineRule="auto"/>
        <w:jc w:val="left"/>
        <w:textAlignment w:val="baseline"/>
        <w:rPr>
          <w:rFonts w:ascii="仿宋_GB2312" w:hAnsi="仿宋_GB2312" w:eastAsia="仿宋_GB2312" w:cs="仿宋_GB2312"/>
          <w:b w:val="0"/>
          <w:bCs/>
          <w:i w:val="0"/>
          <w:caps w:val="0"/>
          <w:spacing w:val="0"/>
          <w:w w:val="100"/>
          <w:sz w:val="24"/>
          <w:u w:val="single"/>
          <w:bdr w:val="single" w:color="auto" w:sz="4" w:space="0"/>
        </w:rPr>
      </w:pPr>
      <w:bookmarkStart w:id="567" w:name="_Toc29906"/>
      <w:bookmarkStart w:id="568" w:name="_Toc32552"/>
      <w:bookmarkStart w:id="569" w:name="_Toc21960"/>
      <w:bookmarkStart w:id="570" w:name="_Toc1238"/>
      <w:bookmarkStart w:id="571" w:name="_Toc20899"/>
      <w:bookmarkStart w:id="572" w:name="_Toc14628"/>
      <w:bookmarkStart w:id="573" w:name="_Toc26332"/>
      <w:bookmarkStart w:id="574" w:name="_Toc19949"/>
      <w:bookmarkStart w:id="575" w:name="_Toc21183"/>
      <w:bookmarkStart w:id="576" w:name="_Toc30633"/>
      <w:bookmarkStart w:id="577" w:name="_Toc6973"/>
      <w:bookmarkStart w:id="578" w:name="_Toc8246"/>
      <w:bookmarkStart w:id="579" w:name="_Toc5695"/>
      <w:bookmarkStart w:id="580" w:name="_Toc25418"/>
      <w:bookmarkStart w:id="581" w:name="_Toc23586"/>
      <w:bookmarkStart w:id="582" w:name="_Toc4341"/>
      <w:bookmarkStart w:id="583" w:name="_Toc7529"/>
      <w:bookmarkStart w:id="584" w:name="_Toc12297"/>
      <w:bookmarkStart w:id="585" w:name="_Toc28479"/>
      <w:bookmarkStart w:id="586" w:name="_Toc2541"/>
      <w:bookmarkStart w:id="587" w:name="_Toc515647781"/>
      <w:bookmarkStart w:id="588" w:name="_Toc13960"/>
      <w:r>
        <w:rPr>
          <w:rFonts w:hint="eastAsia" w:ascii="仿宋_GB2312" w:hAnsi="仿宋_GB2312" w:eastAsia="仿宋_GB2312" w:cs="仿宋_GB2312"/>
          <w:b/>
          <w:i w:val="0"/>
          <w:caps w:val="0"/>
          <w:spacing w:val="0"/>
          <w:w w:val="100"/>
          <w:sz w:val="24"/>
        </w:rPr>
        <w:t>20.投标文件</w:t>
      </w:r>
      <w:bookmarkEnd w:id="566"/>
      <w:r>
        <w:rPr>
          <w:rFonts w:hint="eastAsia" w:ascii="仿宋_GB2312" w:hAnsi="仿宋_GB2312" w:eastAsia="仿宋_GB2312" w:cs="仿宋_GB2312"/>
          <w:b/>
          <w:i w:val="0"/>
          <w:caps w:val="0"/>
          <w:spacing w:val="0"/>
          <w:w w:val="100"/>
          <w:sz w:val="24"/>
        </w:rPr>
        <w:t>符合性审查与澄清</w:t>
      </w:r>
      <w:bookmarkEnd w:id="567"/>
      <w:bookmarkEnd w:id="568"/>
      <w:bookmarkEnd w:id="569"/>
      <w:bookmarkEnd w:id="570"/>
      <w:bookmarkEnd w:id="571"/>
      <w:bookmarkEnd w:id="572"/>
      <w:bookmarkEnd w:id="573"/>
      <w:bookmarkEnd w:id="574"/>
      <w:bookmarkEnd w:id="575"/>
      <w:bookmarkEnd w:id="576"/>
      <w:bookmarkEnd w:id="577"/>
      <w:bookmarkEnd w:id="578"/>
      <w:bookmarkEnd w:id="579"/>
      <w:bookmarkEnd w:id="580"/>
      <w:bookmarkEnd w:id="581"/>
      <w:bookmarkEnd w:id="582"/>
      <w:bookmarkEnd w:id="583"/>
      <w:bookmarkEnd w:id="584"/>
      <w:bookmarkEnd w:id="585"/>
      <w:bookmarkEnd w:id="586"/>
      <w:bookmarkEnd w:id="587"/>
      <w:bookmarkEnd w:id="588"/>
    </w:p>
    <w:p w14:paraId="12FDD2DB">
      <w:pPr>
        <w:snapToGrid/>
        <w:spacing w:before="0" w:beforeAutospacing="0" w:after="0" w:afterAutospacing="0" w:line="288" w:lineRule="auto"/>
        <w:ind w:hangingChars="375"/>
        <w:jc w:val="both"/>
        <w:textAlignment w:val="baseline"/>
        <w:rPr>
          <w:rFonts w:ascii="仿宋_GB2312" w:hAnsi="仿宋_GB2312" w:eastAsia="仿宋_GB2312" w:cs="仿宋_GB2312"/>
          <w:b w:val="0"/>
          <w:i w:val="0"/>
          <w:caps w:val="0"/>
          <w:spacing w:val="0"/>
          <w:w w:val="100"/>
          <w:sz w:val="24"/>
        </w:rPr>
      </w:pPr>
      <w:r>
        <w:rPr>
          <w:rFonts w:hint="eastAsia" w:ascii="仿宋_GB2312" w:hAnsi="仿宋_GB2312" w:eastAsia="仿宋_GB2312" w:cs="仿宋_GB2312"/>
          <w:b w:val="0"/>
          <w:i w:val="0"/>
          <w:caps w:val="0"/>
          <w:spacing w:val="0"/>
          <w:w w:val="100"/>
          <w:sz w:val="24"/>
        </w:rPr>
        <w:t>20.1   符合性审查是指依据招标文件的规定，从投标文件的有效性和完整性对招标文件的响应程度进行审查，以确定是否对招标文件的实质性要求做出响应。</w:t>
      </w:r>
      <w:bookmarkStart w:id="589" w:name="_Hlt522424701"/>
      <w:bookmarkEnd w:id="589"/>
      <w:bookmarkStart w:id="590" w:name="_Toc520356167"/>
    </w:p>
    <w:p w14:paraId="47F61B47">
      <w:pPr>
        <w:snapToGrid/>
        <w:spacing w:before="0" w:beforeAutospacing="0" w:after="0" w:afterAutospacing="0" w:line="288" w:lineRule="auto"/>
        <w:ind w:hangingChars="375"/>
        <w:jc w:val="both"/>
        <w:textAlignment w:val="baseline"/>
        <w:rPr>
          <w:rFonts w:ascii="仿宋_GB2312" w:hAnsi="仿宋_GB2312" w:eastAsia="仿宋_GB2312" w:cs="仿宋_GB2312"/>
          <w:b w:val="0"/>
          <w:i w:val="0"/>
          <w:caps w:val="0"/>
          <w:spacing w:val="0"/>
          <w:w w:val="100"/>
          <w:sz w:val="24"/>
        </w:rPr>
      </w:pPr>
      <w:r>
        <w:rPr>
          <w:rFonts w:hint="eastAsia" w:ascii="仿宋_GB2312" w:hAnsi="仿宋_GB2312" w:eastAsia="仿宋_GB2312" w:cs="仿宋_GB2312"/>
          <w:b w:val="0"/>
          <w:i w:val="0"/>
          <w:caps w:val="0"/>
          <w:spacing w:val="0"/>
          <w:w w:val="100"/>
          <w:sz w:val="24"/>
        </w:rPr>
        <w:t>20.2</w:t>
      </w:r>
      <w:r>
        <w:rPr>
          <w:rFonts w:hint="eastAsia" w:ascii="仿宋_GB2312" w:hAnsi="仿宋_GB2312" w:eastAsia="仿宋_GB2312" w:cs="仿宋_GB2312"/>
          <w:b w:val="0"/>
          <w:i w:val="0"/>
          <w:caps w:val="0"/>
          <w:spacing w:val="0"/>
          <w:w w:val="100"/>
          <w:sz w:val="24"/>
        </w:rPr>
        <w:tab/>
      </w:r>
      <w:r>
        <w:rPr>
          <w:rFonts w:hint="eastAsia" w:ascii="仿宋_GB2312" w:hAnsi="仿宋_GB2312" w:eastAsia="仿宋_GB2312" w:cs="仿宋_GB2312"/>
          <w:b w:val="0"/>
          <w:i w:val="0"/>
          <w:caps w:val="0"/>
          <w:spacing w:val="0"/>
          <w:w w:val="100"/>
          <w:sz w:val="24"/>
        </w:rPr>
        <w:t>投标文件的澄清</w:t>
      </w:r>
    </w:p>
    <w:p w14:paraId="3C5CD7C1">
      <w:pPr>
        <w:snapToGrid/>
        <w:spacing w:before="0" w:beforeAutospacing="0" w:after="0" w:afterAutospacing="0" w:line="288" w:lineRule="auto"/>
        <w:ind w:hangingChars="375"/>
        <w:jc w:val="both"/>
        <w:textAlignment w:val="baseline"/>
        <w:rPr>
          <w:rFonts w:ascii="仿宋_GB2312" w:hAnsi="仿宋_GB2312" w:eastAsia="仿宋_GB2312" w:cs="仿宋_GB2312"/>
          <w:b w:val="0"/>
          <w:i w:val="0"/>
          <w:caps w:val="0"/>
          <w:spacing w:val="0"/>
          <w:w w:val="100"/>
          <w:sz w:val="24"/>
        </w:rPr>
      </w:pPr>
      <w:r>
        <w:rPr>
          <w:rFonts w:hint="eastAsia" w:ascii="仿宋_GB2312" w:hAnsi="仿宋_GB2312" w:eastAsia="仿宋_GB2312" w:cs="仿宋_GB2312"/>
          <w:b w:val="0"/>
          <w:i w:val="0"/>
          <w:caps w:val="0"/>
          <w:spacing w:val="0"/>
          <w:w w:val="100"/>
          <w:sz w:val="24"/>
        </w:rPr>
        <w:t>20.2.1  在评标期间，评标委员会将以书面方式要求投标人对其投标文件中含义不明确、对同类问题表述不一致或者有明显文字和计算错误的内容，以及评标委员会认为投标人的报价明显低于其他通过符合性检查投标人的报价，有可能影响履约的情况作必要的澄清、说明或补正。投标人的澄清、说明或补正应在评标委员会规定的时间内以书面方式进行，并不得超出投标文件范围或者改变投标文件的实质性内容。</w:t>
      </w:r>
    </w:p>
    <w:p w14:paraId="610C7E48">
      <w:pPr>
        <w:snapToGrid/>
        <w:spacing w:before="0" w:beforeAutospacing="0" w:after="0" w:afterAutospacing="0" w:line="288" w:lineRule="auto"/>
        <w:ind w:hangingChars="375"/>
        <w:jc w:val="both"/>
        <w:textAlignment w:val="baseline"/>
        <w:rPr>
          <w:rFonts w:ascii="仿宋_GB2312" w:hAnsi="仿宋_GB2312" w:eastAsia="仿宋_GB2312" w:cs="仿宋_GB2312"/>
          <w:b w:val="0"/>
          <w:i w:val="0"/>
          <w:caps w:val="0"/>
          <w:spacing w:val="0"/>
          <w:w w:val="100"/>
          <w:sz w:val="24"/>
        </w:rPr>
      </w:pPr>
      <w:r>
        <w:rPr>
          <w:rFonts w:hint="eastAsia" w:ascii="仿宋_GB2312" w:hAnsi="仿宋_GB2312" w:eastAsia="仿宋_GB2312" w:cs="仿宋_GB2312"/>
          <w:b w:val="0"/>
          <w:i w:val="0"/>
          <w:caps w:val="0"/>
          <w:spacing w:val="0"/>
          <w:w w:val="100"/>
          <w:sz w:val="24"/>
        </w:rPr>
        <w:t>20.2.2  投标人的的澄清、说明或补正将作为投标文件的一部分。</w:t>
      </w:r>
    </w:p>
    <w:p w14:paraId="7C266A51">
      <w:pPr>
        <w:snapToGrid/>
        <w:spacing w:before="0" w:beforeAutospacing="0" w:after="0" w:afterAutospacing="0" w:line="288" w:lineRule="auto"/>
        <w:ind w:hangingChars="375"/>
        <w:jc w:val="both"/>
        <w:textAlignment w:val="baseline"/>
        <w:rPr>
          <w:rFonts w:ascii="仿宋_GB2312" w:hAnsi="仿宋_GB2312" w:eastAsia="仿宋_GB2312" w:cs="仿宋_GB2312"/>
          <w:b/>
          <w:bCs/>
          <w:i w:val="0"/>
          <w:caps w:val="0"/>
          <w:spacing w:val="0"/>
          <w:w w:val="100"/>
          <w:sz w:val="24"/>
        </w:rPr>
      </w:pPr>
      <w:r>
        <w:rPr>
          <w:rFonts w:hint="eastAsia" w:ascii="仿宋_GB2312" w:hAnsi="仿宋_GB2312" w:eastAsia="仿宋_GB2312" w:cs="仿宋_GB2312"/>
          <w:b/>
          <w:bCs/>
          <w:i w:val="0"/>
          <w:caps w:val="0"/>
          <w:spacing w:val="0"/>
          <w:w w:val="100"/>
          <w:sz w:val="24"/>
        </w:rPr>
        <w:t xml:space="preserve">20.3  </w:t>
      </w:r>
      <w:r>
        <w:rPr>
          <w:rFonts w:hint="eastAsia" w:ascii="仿宋_GB2312" w:hAnsi="仿宋_GB2312" w:eastAsia="仿宋_GB2312" w:cs="仿宋_GB2312"/>
          <w:b/>
          <w:bCs/>
          <w:i w:val="0"/>
          <w:caps w:val="0"/>
          <w:spacing w:val="0"/>
          <w:w w:val="100"/>
          <w:sz w:val="24"/>
          <w:lang w:val="en-US" w:eastAsia="zh-CN"/>
        </w:rPr>
        <w:t xml:space="preserve"> </w:t>
      </w:r>
      <w:r>
        <w:rPr>
          <w:rFonts w:hint="eastAsia" w:ascii="仿宋_GB2312" w:hAnsi="仿宋_GB2312" w:eastAsia="仿宋_GB2312" w:cs="仿宋_GB2312"/>
          <w:b/>
          <w:bCs/>
          <w:i w:val="0"/>
          <w:caps w:val="0"/>
          <w:spacing w:val="0"/>
          <w:w w:val="100"/>
          <w:sz w:val="24"/>
        </w:rPr>
        <w:t>投标文件报价出现前后不一致的，按照下列规定修正：</w:t>
      </w:r>
    </w:p>
    <w:p w14:paraId="16D68A22">
      <w:pPr>
        <w:snapToGrid/>
        <w:spacing w:before="0" w:beforeAutospacing="0" w:after="0" w:afterAutospacing="0" w:line="288" w:lineRule="auto"/>
        <w:ind w:hangingChars="425"/>
        <w:jc w:val="both"/>
        <w:textAlignment w:val="baseline"/>
        <w:rPr>
          <w:rFonts w:ascii="仿宋_GB2312" w:hAnsi="仿宋_GB2312" w:eastAsia="仿宋_GB2312" w:cs="仿宋_GB2312"/>
          <w:b w:val="0"/>
          <w:i w:val="0"/>
          <w:caps w:val="0"/>
          <w:spacing w:val="0"/>
          <w:w w:val="100"/>
          <w:sz w:val="24"/>
        </w:rPr>
      </w:pPr>
      <w:r>
        <w:rPr>
          <w:rFonts w:hint="eastAsia" w:ascii="仿宋_GB2312" w:hAnsi="仿宋_GB2312" w:eastAsia="仿宋_GB2312" w:cs="仿宋_GB2312"/>
          <w:b w:val="0"/>
          <w:i w:val="0"/>
          <w:caps w:val="0"/>
          <w:spacing w:val="0"/>
          <w:w w:val="100"/>
          <w:sz w:val="24"/>
        </w:rPr>
        <w:t>　　   （一）投标文件中开标一览表（报价表）内容与投标文件中相应内容不一致的，以开标一览表（报价表）为准；</w:t>
      </w:r>
    </w:p>
    <w:p w14:paraId="6D2629F6">
      <w:pPr>
        <w:snapToGrid/>
        <w:spacing w:before="0" w:beforeAutospacing="0" w:after="0" w:afterAutospacing="0" w:line="288" w:lineRule="auto"/>
        <w:ind w:hangingChars="375"/>
        <w:jc w:val="both"/>
        <w:textAlignment w:val="baseline"/>
        <w:rPr>
          <w:rFonts w:ascii="仿宋_GB2312" w:hAnsi="仿宋_GB2312" w:eastAsia="仿宋_GB2312" w:cs="仿宋_GB2312"/>
          <w:b w:val="0"/>
          <w:i w:val="0"/>
          <w:caps w:val="0"/>
          <w:spacing w:val="0"/>
          <w:w w:val="100"/>
          <w:sz w:val="24"/>
        </w:rPr>
      </w:pPr>
      <w:r>
        <w:rPr>
          <w:rFonts w:hint="eastAsia" w:ascii="仿宋_GB2312" w:hAnsi="仿宋_GB2312" w:eastAsia="仿宋_GB2312" w:cs="仿宋_GB2312"/>
          <w:b w:val="0"/>
          <w:i w:val="0"/>
          <w:caps w:val="0"/>
          <w:spacing w:val="0"/>
          <w:w w:val="100"/>
          <w:sz w:val="24"/>
        </w:rPr>
        <w:t>　　   （二）大写金额和小写金额不一致的，以大写金额为准；</w:t>
      </w:r>
    </w:p>
    <w:p w14:paraId="1829758D">
      <w:pPr>
        <w:snapToGrid/>
        <w:spacing w:before="0" w:beforeAutospacing="0" w:after="0" w:afterAutospacing="0" w:line="288" w:lineRule="auto"/>
        <w:ind w:hangingChars="425"/>
        <w:jc w:val="both"/>
        <w:textAlignment w:val="baseline"/>
        <w:rPr>
          <w:rFonts w:ascii="仿宋_GB2312" w:hAnsi="仿宋_GB2312" w:eastAsia="仿宋_GB2312" w:cs="仿宋_GB2312"/>
          <w:b w:val="0"/>
          <w:i w:val="0"/>
          <w:caps w:val="0"/>
          <w:spacing w:val="0"/>
          <w:w w:val="100"/>
          <w:sz w:val="24"/>
        </w:rPr>
      </w:pPr>
      <w:r>
        <w:rPr>
          <w:rFonts w:hint="eastAsia" w:ascii="仿宋_GB2312" w:hAnsi="仿宋_GB2312" w:eastAsia="仿宋_GB2312" w:cs="仿宋_GB2312"/>
          <w:b w:val="0"/>
          <w:i w:val="0"/>
          <w:caps w:val="0"/>
          <w:spacing w:val="0"/>
          <w:w w:val="100"/>
          <w:sz w:val="24"/>
        </w:rPr>
        <w:t>　   　（三）单价金额小数点或者百分比有明显错位的，以开标一览表的总价为准，并修改单价；</w:t>
      </w:r>
    </w:p>
    <w:p w14:paraId="7ACB0093">
      <w:pPr>
        <w:snapToGrid/>
        <w:spacing w:before="0" w:beforeAutospacing="0" w:after="0" w:afterAutospacing="0" w:line="288" w:lineRule="auto"/>
        <w:ind w:hangingChars="375"/>
        <w:jc w:val="both"/>
        <w:textAlignment w:val="baseline"/>
        <w:rPr>
          <w:rFonts w:ascii="仿宋_GB2312" w:hAnsi="仿宋_GB2312" w:eastAsia="仿宋_GB2312" w:cs="仿宋_GB2312"/>
          <w:b w:val="0"/>
          <w:i w:val="0"/>
          <w:caps w:val="0"/>
          <w:spacing w:val="0"/>
          <w:w w:val="100"/>
          <w:sz w:val="24"/>
        </w:rPr>
      </w:pPr>
      <w:r>
        <w:rPr>
          <w:rFonts w:hint="eastAsia" w:ascii="仿宋_GB2312" w:hAnsi="仿宋_GB2312" w:eastAsia="仿宋_GB2312" w:cs="仿宋_GB2312"/>
          <w:b w:val="0"/>
          <w:i w:val="0"/>
          <w:caps w:val="0"/>
          <w:spacing w:val="0"/>
          <w:w w:val="100"/>
          <w:sz w:val="24"/>
        </w:rPr>
        <w:t>　   　（四）总价金额与按单价汇总金额不一致的，以单价金额计算结果为准。</w:t>
      </w:r>
    </w:p>
    <w:p w14:paraId="4146BF8A">
      <w:pPr>
        <w:snapToGrid/>
        <w:spacing w:before="0" w:beforeAutospacing="0" w:after="0" w:afterAutospacing="0" w:line="288" w:lineRule="auto"/>
        <w:ind w:hangingChars="375"/>
        <w:jc w:val="both"/>
        <w:textAlignment w:val="baseline"/>
        <w:rPr>
          <w:rFonts w:ascii="仿宋_GB2312" w:hAnsi="仿宋_GB2312" w:eastAsia="仿宋_GB2312" w:cs="仿宋_GB2312"/>
          <w:b w:val="0"/>
          <w:i w:val="0"/>
          <w:caps w:val="0"/>
          <w:spacing w:val="0"/>
          <w:w w:val="100"/>
          <w:sz w:val="24"/>
        </w:rPr>
      </w:pPr>
      <w:r>
        <w:rPr>
          <w:rFonts w:hint="eastAsia" w:ascii="仿宋_GB2312" w:hAnsi="仿宋_GB2312" w:eastAsia="仿宋_GB2312" w:cs="仿宋_GB2312"/>
          <w:b w:val="0"/>
          <w:i w:val="0"/>
          <w:caps w:val="0"/>
          <w:spacing w:val="0"/>
          <w:w w:val="100"/>
          <w:sz w:val="24"/>
        </w:rPr>
        <w:t>　　    同时出现两种以上不一致的，按照前款规定的顺序修正。修正后的报价按照第20.2条的规定经投标人确认后产生约束力，投标人不确认的，其投标将被认定为</w:t>
      </w:r>
      <w:r>
        <w:rPr>
          <w:rFonts w:hint="eastAsia" w:ascii="仿宋_GB2312" w:hAnsi="仿宋_GB2312" w:eastAsia="仿宋_GB2312" w:cs="仿宋_GB2312"/>
          <w:b/>
          <w:bCs/>
          <w:i w:val="0"/>
          <w:caps w:val="0"/>
          <w:spacing w:val="0"/>
          <w:w w:val="100"/>
          <w:sz w:val="24"/>
        </w:rPr>
        <w:t>投标无效</w:t>
      </w:r>
      <w:r>
        <w:rPr>
          <w:rFonts w:hint="eastAsia" w:ascii="仿宋_GB2312" w:hAnsi="仿宋_GB2312" w:eastAsia="仿宋_GB2312" w:cs="仿宋_GB2312"/>
          <w:b w:val="0"/>
          <w:i w:val="0"/>
          <w:caps w:val="0"/>
          <w:spacing w:val="0"/>
          <w:w w:val="100"/>
          <w:sz w:val="24"/>
        </w:rPr>
        <w:t>。</w:t>
      </w:r>
    </w:p>
    <w:p w14:paraId="529734F3">
      <w:pPr>
        <w:snapToGrid/>
        <w:spacing w:before="0" w:beforeAutospacing="0" w:after="0" w:afterAutospacing="0" w:line="288" w:lineRule="auto"/>
        <w:ind w:left="735" w:leftChars="350" w:firstLine="120" w:firstLineChars="50"/>
        <w:jc w:val="both"/>
        <w:textAlignment w:val="baseline"/>
        <w:rPr>
          <w:rFonts w:ascii="仿宋_GB2312" w:hAnsi="仿宋_GB2312" w:eastAsia="仿宋_GB2312" w:cs="仿宋_GB2312"/>
          <w:b w:val="0"/>
          <w:i w:val="0"/>
          <w:caps w:val="0"/>
          <w:spacing w:val="0"/>
          <w:w w:val="100"/>
          <w:sz w:val="24"/>
        </w:rPr>
      </w:pPr>
      <w:r>
        <w:rPr>
          <w:rFonts w:hint="eastAsia" w:ascii="仿宋_GB2312" w:hAnsi="仿宋_GB2312" w:eastAsia="仿宋_GB2312" w:cs="仿宋_GB2312"/>
          <w:b w:val="0"/>
          <w:i w:val="0"/>
          <w:caps w:val="0"/>
          <w:spacing w:val="0"/>
          <w:w w:val="100"/>
          <w:sz w:val="24"/>
        </w:rPr>
        <w:t>对不同文字文本投标文件的解释发生异议的，以中文文本为准。</w:t>
      </w:r>
    </w:p>
    <w:p w14:paraId="04833613">
      <w:pPr>
        <w:snapToGrid/>
        <w:spacing w:before="0" w:beforeAutospacing="0" w:after="0" w:afterAutospacing="0" w:line="288" w:lineRule="auto"/>
        <w:ind w:hangingChars="375"/>
        <w:jc w:val="both"/>
        <w:textAlignment w:val="baseline"/>
        <w:rPr>
          <w:rFonts w:ascii="仿宋_GB2312" w:hAnsi="仿宋_GB2312" w:eastAsia="仿宋_GB2312" w:cs="仿宋_GB2312"/>
          <w:b/>
          <w:bCs/>
          <w:i w:val="0"/>
          <w:caps w:val="0"/>
          <w:spacing w:val="0"/>
          <w:w w:val="100"/>
          <w:sz w:val="24"/>
        </w:rPr>
      </w:pPr>
      <w:r>
        <w:rPr>
          <w:rFonts w:hint="eastAsia" w:ascii="仿宋_GB2312" w:hAnsi="仿宋_GB2312" w:eastAsia="仿宋_GB2312" w:cs="仿宋_GB2312"/>
          <w:b/>
          <w:bCs/>
          <w:i w:val="0"/>
          <w:caps w:val="0"/>
          <w:spacing w:val="0"/>
          <w:w w:val="100"/>
          <w:sz w:val="24"/>
        </w:rPr>
        <w:t>20.4   如一个分包内只有一种产品，不同投标人所投产品为同一品牌的，按如下方式处理：</w:t>
      </w:r>
    </w:p>
    <w:p w14:paraId="37079B65">
      <w:pPr>
        <w:snapToGrid/>
        <w:spacing w:before="0" w:beforeAutospacing="0" w:after="0" w:afterAutospacing="0" w:line="288" w:lineRule="auto"/>
        <w:ind w:hangingChars="375"/>
        <w:jc w:val="both"/>
        <w:textAlignment w:val="baseline"/>
        <w:rPr>
          <w:rFonts w:ascii="仿宋_GB2312" w:hAnsi="仿宋_GB2312" w:eastAsia="仿宋_GB2312" w:cs="仿宋_GB2312"/>
          <w:b w:val="0"/>
          <w:i w:val="0"/>
          <w:caps w:val="0"/>
          <w:spacing w:val="0"/>
          <w:w w:val="100"/>
          <w:sz w:val="24"/>
        </w:rPr>
      </w:pPr>
      <w:r>
        <w:rPr>
          <w:rFonts w:hint="eastAsia" w:ascii="仿宋_GB2312" w:hAnsi="仿宋_GB2312" w:eastAsia="仿宋_GB2312" w:cs="仿宋_GB2312"/>
          <w:b w:val="0"/>
          <w:i w:val="0"/>
          <w:caps w:val="0"/>
          <w:spacing w:val="0"/>
          <w:w w:val="100"/>
          <w:sz w:val="24"/>
        </w:rPr>
        <w:t>20.4.1  如本项目使用最低评标价法，提供相同品牌产品的不同投标人以其中通过资格审查、符合性审查且报价最低的参加评标；报价相同的，由采购人或者采购人委托评标委员会按照招标文件第六章中评标办法规定的方式确定一个参加评标的投标人；未规定的采取随机抽取方式确定，其他投标将被认定为</w:t>
      </w:r>
      <w:r>
        <w:rPr>
          <w:rFonts w:hint="eastAsia" w:ascii="仿宋_GB2312" w:hAnsi="仿宋_GB2312" w:eastAsia="仿宋_GB2312" w:cs="仿宋_GB2312"/>
          <w:b/>
          <w:bCs/>
          <w:i w:val="0"/>
          <w:caps w:val="0"/>
          <w:spacing w:val="0"/>
          <w:w w:val="100"/>
          <w:sz w:val="24"/>
        </w:rPr>
        <w:t>投标无效</w:t>
      </w:r>
      <w:r>
        <w:rPr>
          <w:rFonts w:hint="eastAsia" w:ascii="仿宋_GB2312" w:hAnsi="仿宋_GB2312" w:eastAsia="仿宋_GB2312" w:cs="仿宋_GB2312"/>
          <w:b w:val="0"/>
          <w:i w:val="0"/>
          <w:caps w:val="0"/>
          <w:spacing w:val="0"/>
          <w:w w:val="100"/>
          <w:sz w:val="24"/>
        </w:rPr>
        <w:t>。</w:t>
      </w:r>
    </w:p>
    <w:p w14:paraId="68857C6E">
      <w:pPr>
        <w:snapToGrid/>
        <w:spacing w:before="0" w:beforeAutospacing="0" w:after="0" w:afterAutospacing="0" w:line="288" w:lineRule="auto"/>
        <w:ind w:hangingChars="375"/>
        <w:jc w:val="both"/>
        <w:textAlignment w:val="baseline"/>
        <w:rPr>
          <w:rFonts w:ascii="仿宋_GB2312" w:hAnsi="仿宋_GB2312" w:eastAsia="仿宋_GB2312" w:cs="仿宋_GB2312"/>
          <w:b w:val="0"/>
          <w:i w:val="0"/>
          <w:caps w:val="0"/>
          <w:spacing w:val="0"/>
          <w:w w:val="100"/>
          <w:sz w:val="24"/>
        </w:rPr>
      </w:pPr>
      <w:r>
        <w:rPr>
          <w:rFonts w:hint="eastAsia" w:ascii="仿宋_GB2312" w:hAnsi="仿宋_GB2312" w:eastAsia="仿宋_GB2312" w:cs="仿宋_GB2312"/>
          <w:b w:val="0"/>
          <w:i w:val="0"/>
          <w:caps w:val="0"/>
          <w:spacing w:val="0"/>
          <w:w w:val="100"/>
          <w:sz w:val="24"/>
        </w:rPr>
        <w:t>20.4.2  如本项目使用综合评分法，提供相同品牌产品且通过资格审查、符合性审查的不同投标人，按一家投标人计算，评审后得分最高的同品牌投标人获得中标人推荐资格；评审得分相同的，由采购人或者采购人委托评标委员会按照招标文件第六章中评标办法规定的方式确定一个投标人获得中标人推荐资格；未规定的采取随机抽取方式确定，其他同品牌投标人不作为中标候选人。</w:t>
      </w:r>
    </w:p>
    <w:p w14:paraId="0740AF8F">
      <w:pPr>
        <w:snapToGrid/>
        <w:spacing w:before="0" w:beforeAutospacing="0" w:after="0" w:afterAutospacing="0" w:line="288" w:lineRule="auto"/>
        <w:ind w:hangingChars="375"/>
        <w:jc w:val="both"/>
        <w:textAlignment w:val="baseline"/>
        <w:rPr>
          <w:rFonts w:ascii="仿宋_GB2312" w:hAnsi="仿宋_GB2312" w:eastAsia="仿宋_GB2312" w:cs="仿宋_GB2312"/>
          <w:b/>
          <w:bCs/>
          <w:i w:val="0"/>
          <w:caps w:val="0"/>
          <w:spacing w:val="0"/>
          <w:w w:val="100"/>
          <w:sz w:val="24"/>
        </w:rPr>
      </w:pPr>
      <w:r>
        <w:rPr>
          <w:rFonts w:hint="eastAsia" w:ascii="仿宋_GB2312" w:hAnsi="仿宋_GB2312" w:eastAsia="仿宋_GB2312" w:cs="仿宋_GB2312"/>
          <w:b w:val="0"/>
          <w:i w:val="0"/>
          <w:caps w:val="0"/>
          <w:spacing w:val="0"/>
          <w:w w:val="100"/>
          <w:sz w:val="24"/>
        </w:rPr>
        <w:t xml:space="preserve">20.5   </w:t>
      </w:r>
      <w:r>
        <w:rPr>
          <w:rFonts w:hint="eastAsia" w:ascii="仿宋_GB2312" w:hAnsi="仿宋_GB2312" w:eastAsia="仿宋_GB2312" w:cs="仿宋_GB2312"/>
          <w:b/>
          <w:bCs/>
          <w:i w:val="0"/>
          <w:caps w:val="0"/>
          <w:spacing w:val="0"/>
          <w:w w:val="100"/>
          <w:sz w:val="24"/>
        </w:rPr>
        <w:t>如一个分包内包含多种产品的，采购人或采购代理机构将在</w:t>
      </w:r>
      <w:r>
        <w:rPr>
          <w:rFonts w:hint="eastAsia" w:ascii="仿宋_GB2312" w:hAnsi="仿宋_GB2312" w:eastAsia="仿宋_GB2312" w:cs="仿宋_GB2312"/>
          <w:b/>
          <w:bCs/>
          <w:i w:val="0"/>
          <w:caps w:val="0"/>
          <w:spacing w:val="0"/>
          <w:w w:val="100"/>
          <w:sz w:val="24"/>
          <w:u w:val="single" w:color="000000"/>
        </w:rPr>
        <w:t>投标人须知资料表</w:t>
      </w:r>
      <w:r>
        <w:rPr>
          <w:rFonts w:hint="eastAsia" w:ascii="仿宋_GB2312" w:hAnsi="仿宋_GB2312" w:eastAsia="仿宋_GB2312" w:cs="仿宋_GB2312"/>
          <w:b/>
          <w:bCs/>
          <w:i w:val="0"/>
          <w:caps w:val="0"/>
          <w:spacing w:val="0"/>
          <w:w w:val="100"/>
          <w:sz w:val="24"/>
        </w:rPr>
        <w:t>中载明核心产品，多家投标人提供的核心产品品牌相同的，按第20.4条规定处理。</w:t>
      </w:r>
    </w:p>
    <w:p w14:paraId="6DA3225A">
      <w:pPr>
        <w:snapToGrid/>
        <w:spacing w:before="0" w:beforeAutospacing="0" w:after="0" w:afterAutospacing="0" w:line="288" w:lineRule="auto"/>
        <w:ind w:hangingChars="375"/>
        <w:jc w:val="both"/>
        <w:textAlignment w:val="baseline"/>
        <w:rPr>
          <w:rFonts w:ascii="仿宋_GB2312" w:hAnsi="仿宋_GB2312" w:eastAsia="仿宋_GB2312" w:cs="仿宋_GB2312"/>
          <w:b w:val="0"/>
          <w:i w:val="0"/>
          <w:caps w:val="0"/>
          <w:spacing w:val="0"/>
          <w:w w:val="100"/>
          <w:sz w:val="24"/>
        </w:rPr>
      </w:pPr>
      <w:r>
        <w:rPr>
          <w:rFonts w:hint="eastAsia" w:ascii="仿宋_GB2312" w:hAnsi="仿宋_GB2312" w:eastAsia="仿宋_GB2312" w:cs="仿宋_GB2312"/>
          <w:b w:val="0"/>
          <w:i w:val="0"/>
          <w:caps w:val="0"/>
          <w:spacing w:val="0"/>
          <w:w w:val="100"/>
          <w:sz w:val="24"/>
        </w:rPr>
        <w:t>20.6   投标人所投产品如被列入财政部与国家主管部门颁发的节能产品目录或环境标志产品目录，应提供相关证明，在评标时予以优先采购，具体优先采购办法见第六章评标方法和标准。</w:t>
      </w:r>
    </w:p>
    <w:p w14:paraId="46C04BF8">
      <w:pPr>
        <w:snapToGrid/>
        <w:spacing w:before="0" w:beforeAutospacing="0" w:after="0" w:afterAutospacing="0" w:line="288" w:lineRule="auto"/>
        <w:ind w:hangingChars="375"/>
        <w:jc w:val="both"/>
        <w:textAlignment w:val="baseline"/>
        <w:rPr>
          <w:rFonts w:ascii="仿宋_GB2312" w:hAnsi="仿宋_GB2312" w:eastAsia="仿宋_GB2312" w:cs="仿宋_GB2312"/>
          <w:b w:val="0"/>
          <w:i w:val="0"/>
          <w:caps w:val="0"/>
          <w:spacing w:val="0"/>
          <w:w w:val="100"/>
          <w:sz w:val="24"/>
        </w:rPr>
      </w:pPr>
      <w:r>
        <w:rPr>
          <w:rFonts w:hint="eastAsia" w:ascii="仿宋_GB2312" w:hAnsi="仿宋_GB2312" w:eastAsia="仿宋_GB2312" w:cs="仿宋_GB2312"/>
          <w:b w:val="0"/>
          <w:i w:val="0"/>
          <w:caps w:val="0"/>
          <w:spacing w:val="0"/>
          <w:w w:val="100"/>
          <w:sz w:val="24"/>
        </w:rPr>
        <w:t xml:space="preserve">        如采购人所采购产品为政府强制采购的节能产品，投标人所投产品的品牌及型号必须为清单中有效期内产品并提供证明文件，否则其投标将被认定为</w:t>
      </w:r>
      <w:r>
        <w:rPr>
          <w:rFonts w:hint="eastAsia" w:ascii="仿宋_GB2312" w:hAnsi="仿宋_GB2312" w:eastAsia="仿宋_GB2312" w:cs="仿宋_GB2312"/>
          <w:b/>
          <w:bCs/>
          <w:i w:val="0"/>
          <w:caps w:val="0"/>
          <w:spacing w:val="0"/>
          <w:w w:val="100"/>
          <w:sz w:val="24"/>
        </w:rPr>
        <w:t>投标无效</w:t>
      </w:r>
      <w:r>
        <w:rPr>
          <w:rFonts w:hint="eastAsia" w:ascii="仿宋_GB2312" w:hAnsi="仿宋_GB2312" w:eastAsia="仿宋_GB2312" w:cs="仿宋_GB2312"/>
          <w:b w:val="0"/>
          <w:i w:val="0"/>
          <w:caps w:val="0"/>
          <w:spacing w:val="0"/>
          <w:w w:val="100"/>
          <w:sz w:val="24"/>
        </w:rPr>
        <w:t>。</w:t>
      </w:r>
    </w:p>
    <w:p w14:paraId="04498719">
      <w:pPr>
        <w:pStyle w:val="4"/>
        <w:snapToGrid/>
        <w:spacing w:before="0" w:beforeAutospacing="0" w:after="0" w:afterAutospacing="0" w:line="288" w:lineRule="auto"/>
        <w:jc w:val="left"/>
        <w:textAlignment w:val="baseline"/>
        <w:rPr>
          <w:rFonts w:ascii="仿宋_GB2312" w:hAnsi="仿宋_GB2312" w:eastAsia="仿宋_GB2312" w:cs="仿宋_GB2312"/>
          <w:b/>
          <w:i w:val="0"/>
          <w:caps w:val="0"/>
          <w:spacing w:val="0"/>
          <w:w w:val="100"/>
          <w:sz w:val="24"/>
        </w:rPr>
      </w:pPr>
      <w:bookmarkStart w:id="591" w:name="_Toc8063"/>
      <w:bookmarkStart w:id="592" w:name="_Toc5986"/>
      <w:bookmarkStart w:id="593" w:name="_Toc19974"/>
      <w:bookmarkStart w:id="594" w:name="_Toc19326"/>
      <w:bookmarkStart w:id="595" w:name="_Toc24227"/>
      <w:bookmarkStart w:id="596" w:name="_Toc9469"/>
      <w:bookmarkStart w:id="597" w:name="_Toc515647782"/>
      <w:bookmarkStart w:id="598" w:name="_Toc8382"/>
      <w:bookmarkStart w:id="599" w:name="_Toc18529"/>
      <w:bookmarkStart w:id="600" w:name="_Toc6003"/>
      <w:bookmarkStart w:id="601" w:name="_Toc28810"/>
      <w:bookmarkStart w:id="602" w:name="_Toc12839"/>
      <w:bookmarkStart w:id="603" w:name="_Toc5666"/>
      <w:bookmarkStart w:id="604" w:name="_Toc15064"/>
      <w:bookmarkStart w:id="605" w:name="_Toc15628"/>
      <w:bookmarkStart w:id="606" w:name="_Toc15818"/>
      <w:bookmarkStart w:id="607" w:name="_Toc5230"/>
      <w:bookmarkStart w:id="608" w:name="_Toc6364"/>
      <w:bookmarkStart w:id="609" w:name="_Toc25623"/>
      <w:bookmarkStart w:id="610" w:name="_Toc17153"/>
      <w:bookmarkStart w:id="611" w:name="_Toc3359"/>
      <w:bookmarkStart w:id="612" w:name="_Toc19169"/>
      <w:r>
        <w:rPr>
          <w:rFonts w:hint="eastAsia" w:ascii="仿宋_GB2312" w:hAnsi="仿宋_GB2312" w:eastAsia="仿宋_GB2312" w:cs="仿宋_GB2312"/>
          <w:b/>
          <w:i w:val="0"/>
          <w:caps w:val="0"/>
          <w:spacing w:val="0"/>
          <w:w w:val="100"/>
          <w:sz w:val="24"/>
        </w:rPr>
        <w:t>21.投标偏离</w:t>
      </w:r>
      <w:bookmarkEnd w:id="591"/>
      <w:bookmarkEnd w:id="592"/>
      <w:bookmarkEnd w:id="593"/>
      <w:bookmarkEnd w:id="594"/>
      <w:bookmarkEnd w:id="595"/>
      <w:bookmarkEnd w:id="596"/>
      <w:bookmarkEnd w:id="597"/>
      <w:bookmarkEnd w:id="598"/>
      <w:bookmarkEnd w:id="599"/>
      <w:bookmarkEnd w:id="600"/>
      <w:bookmarkEnd w:id="601"/>
      <w:bookmarkEnd w:id="602"/>
      <w:bookmarkEnd w:id="603"/>
      <w:bookmarkEnd w:id="604"/>
      <w:bookmarkEnd w:id="605"/>
      <w:bookmarkEnd w:id="606"/>
      <w:bookmarkEnd w:id="607"/>
      <w:bookmarkEnd w:id="608"/>
      <w:bookmarkEnd w:id="609"/>
      <w:bookmarkEnd w:id="610"/>
      <w:bookmarkEnd w:id="611"/>
      <w:bookmarkEnd w:id="612"/>
    </w:p>
    <w:p w14:paraId="7AC71C07">
      <w:pPr>
        <w:snapToGrid/>
        <w:spacing w:before="0" w:beforeAutospacing="0" w:after="0" w:afterAutospacing="0" w:line="288" w:lineRule="auto"/>
        <w:ind w:left="847" w:leftChars="99" w:hangingChars="267"/>
        <w:jc w:val="both"/>
        <w:textAlignment w:val="baseline"/>
        <w:rPr>
          <w:rFonts w:ascii="仿宋_GB2312" w:hAnsi="仿宋_GB2312" w:eastAsia="仿宋_GB2312" w:cs="仿宋_GB2312"/>
          <w:b w:val="0"/>
          <w:i w:val="0"/>
          <w:caps w:val="0"/>
          <w:spacing w:val="0"/>
          <w:w w:val="100"/>
          <w:sz w:val="24"/>
          <w:highlight w:val="none"/>
        </w:rPr>
      </w:pPr>
      <w:r>
        <w:rPr>
          <w:rFonts w:hint="eastAsia" w:ascii="仿宋_GB2312" w:hAnsi="仿宋_GB2312" w:eastAsia="仿宋_GB2312" w:cs="仿宋_GB2312"/>
          <w:b w:val="0"/>
          <w:i w:val="0"/>
          <w:caps w:val="0"/>
          <w:spacing w:val="0"/>
          <w:w w:val="100"/>
          <w:sz w:val="24"/>
        </w:rPr>
        <w:t xml:space="preserve">    </w:t>
      </w:r>
      <w:r>
        <w:rPr>
          <w:rFonts w:hint="eastAsia" w:ascii="仿宋_GB2312" w:hAnsi="仿宋_GB2312" w:eastAsia="仿宋_GB2312" w:cs="仿宋_GB2312"/>
          <w:b w:val="0"/>
          <w:i w:val="0"/>
          <w:caps w:val="0"/>
          <w:spacing w:val="0"/>
          <w:w w:val="100"/>
          <w:sz w:val="24"/>
          <w:highlight w:val="none"/>
        </w:rPr>
        <w:t xml:space="preserve"> 评标委员会可以接受投标文件中不构成实质性偏离的不正规或不一致。</w:t>
      </w:r>
    </w:p>
    <w:p w14:paraId="4629A335">
      <w:pPr>
        <w:pStyle w:val="4"/>
        <w:snapToGrid/>
        <w:spacing w:before="0" w:beforeAutospacing="0" w:after="0" w:afterAutospacing="0" w:line="288" w:lineRule="auto"/>
        <w:jc w:val="left"/>
        <w:textAlignment w:val="baseline"/>
        <w:rPr>
          <w:rFonts w:ascii="仿宋_GB2312" w:hAnsi="仿宋_GB2312" w:eastAsia="仿宋_GB2312" w:cs="仿宋_GB2312"/>
          <w:b/>
          <w:i w:val="0"/>
          <w:caps w:val="0"/>
          <w:spacing w:val="0"/>
          <w:w w:val="100"/>
          <w:sz w:val="24"/>
        </w:rPr>
      </w:pPr>
      <w:bookmarkStart w:id="613" w:name="_Toc515647783"/>
      <w:bookmarkStart w:id="614" w:name="_Toc32270"/>
      <w:bookmarkStart w:id="615" w:name="_Toc506"/>
      <w:bookmarkStart w:id="616" w:name="_Toc6092"/>
      <w:bookmarkStart w:id="617" w:name="_Toc24964"/>
      <w:bookmarkStart w:id="618" w:name="_Toc16152"/>
      <w:bookmarkStart w:id="619" w:name="_Toc26751"/>
      <w:bookmarkStart w:id="620" w:name="_Toc16089"/>
      <w:bookmarkStart w:id="621" w:name="_Toc21597"/>
      <w:bookmarkStart w:id="622" w:name="_Toc4950"/>
      <w:bookmarkStart w:id="623" w:name="_Toc26915"/>
      <w:bookmarkStart w:id="624" w:name="_Toc8784"/>
      <w:bookmarkStart w:id="625" w:name="_Toc17260"/>
      <w:bookmarkStart w:id="626" w:name="_Toc21189"/>
      <w:bookmarkStart w:id="627" w:name="_Toc21314"/>
      <w:bookmarkStart w:id="628" w:name="_Toc17567"/>
      <w:bookmarkStart w:id="629" w:name="_Toc5894"/>
      <w:bookmarkStart w:id="630" w:name="_Toc21694"/>
      <w:bookmarkStart w:id="631" w:name="_Toc7006"/>
      <w:bookmarkStart w:id="632" w:name="_Toc23936"/>
      <w:bookmarkStart w:id="633" w:name="_Toc18719"/>
      <w:bookmarkStart w:id="634" w:name="_Toc15752"/>
      <w:r>
        <w:rPr>
          <w:rFonts w:hint="eastAsia" w:ascii="仿宋_GB2312" w:hAnsi="仿宋_GB2312" w:eastAsia="仿宋_GB2312" w:cs="仿宋_GB2312"/>
          <w:b/>
          <w:i w:val="0"/>
          <w:caps w:val="0"/>
          <w:spacing w:val="0"/>
          <w:w w:val="100"/>
          <w:sz w:val="24"/>
        </w:rPr>
        <w:t>22.投标</w:t>
      </w:r>
      <w:bookmarkEnd w:id="613"/>
      <w:r>
        <w:rPr>
          <w:rFonts w:hint="eastAsia" w:ascii="仿宋_GB2312" w:hAnsi="仿宋_GB2312" w:eastAsia="仿宋_GB2312" w:cs="仿宋_GB2312"/>
          <w:b/>
          <w:i w:val="0"/>
          <w:caps w:val="0"/>
          <w:spacing w:val="0"/>
          <w:w w:val="100"/>
          <w:sz w:val="24"/>
        </w:rPr>
        <w:t>无效</w:t>
      </w:r>
      <w:bookmarkEnd w:id="614"/>
      <w:bookmarkEnd w:id="615"/>
      <w:bookmarkEnd w:id="616"/>
      <w:bookmarkEnd w:id="617"/>
      <w:bookmarkEnd w:id="618"/>
      <w:bookmarkEnd w:id="619"/>
      <w:bookmarkEnd w:id="620"/>
      <w:bookmarkEnd w:id="621"/>
      <w:bookmarkEnd w:id="622"/>
      <w:bookmarkEnd w:id="623"/>
      <w:bookmarkEnd w:id="624"/>
      <w:bookmarkEnd w:id="625"/>
      <w:bookmarkEnd w:id="626"/>
      <w:bookmarkEnd w:id="627"/>
      <w:bookmarkEnd w:id="628"/>
      <w:bookmarkEnd w:id="629"/>
      <w:bookmarkEnd w:id="630"/>
      <w:bookmarkEnd w:id="631"/>
      <w:bookmarkEnd w:id="632"/>
      <w:bookmarkEnd w:id="633"/>
      <w:bookmarkEnd w:id="634"/>
    </w:p>
    <w:p w14:paraId="75171991">
      <w:pPr>
        <w:snapToGrid/>
        <w:spacing w:before="0" w:beforeAutospacing="0" w:after="0" w:afterAutospacing="0" w:line="288" w:lineRule="auto"/>
        <w:ind w:left="852" w:leftChars="-23" w:hangingChars="375"/>
        <w:jc w:val="both"/>
        <w:textAlignment w:val="baseline"/>
        <w:rPr>
          <w:rFonts w:ascii="仿宋_GB2312" w:hAnsi="仿宋_GB2312" w:eastAsia="仿宋_GB2312" w:cs="仿宋_GB2312"/>
          <w:b w:val="0"/>
          <w:i w:val="0"/>
          <w:caps w:val="0"/>
          <w:spacing w:val="0"/>
          <w:w w:val="100"/>
          <w:sz w:val="24"/>
        </w:rPr>
      </w:pPr>
      <w:r>
        <w:rPr>
          <w:rFonts w:hint="eastAsia" w:ascii="仿宋_GB2312" w:hAnsi="仿宋_GB2312" w:eastAsia="仿宋_GB2312" w:cs="仿宋_GB2312"/>
          <w:b w:val="0"/>
          <w:i w:val="0"/>
          <w:caps w:val="0"/>
          <w:spacing w:val="0"/>
          <w:w w:val="100"/>
          <w:sz w:val="24"/>
        </w:rPr>
        <w:t>22.1   在比较与评价之前，根据本须知的规定，评标委员会要审查每份投标文件是否实质上响应了招标文件的要求。实质上响应的投标应该是与招标文件要求的全部条款、条件和规格相符，没有重大偏离的投标。对关键条款的偏离，将被认定为</w:t>
      </w:r>
      <w:r>
        <w:rPr>
          <w:rFonts w:hint="eastAsia" w:ascii="仿宋_GB2312" w:hAnsi="仿宋_GB2312" w:eastAsia="仿宋_GB2312" w:cs="仿宋_GB2312"/>
          <w:b/>
          <w:bCs/>
          <w:i w:val="0"/>
          <w:caps w:val="0"/>
          <w:spacing w:val="0"/>
          <w:w w:val="100"/>
          <w:sz w:val="24"/>
        </w:rPr>
        <w:t>投标无效</w:t>
      </w:r>
      <w:r>
        <w:rPr>
          <w:rFonts w:hint="eastAsia" w:ascii="仿宋_GB2312" w:hAnsi="仿宋_GB2312" w:eastAsia="仿宋_GB2312" w:cs="仿宋_GB2312"/>
          <w:b w:val="0"/>
          <w:i w:val="0"/>
          <w:caps w:val="0"/>
          <w:spacing w:val="0"/>
          <w:w w:val="100"/>
          <w:sz w:val="24"/>
        </w:rPr>
        <w:t>。投标人不得通过修正或撤销不符合要求的偏离，从而使其投标成为实质上响应的投标。</w:t>
      </w:r>
    </w:p>
    <w:p w14:paraId="15A23295">
      <w:pPr>
        <w:snapToGrid/>
        <w:spacing w:before="0" w:beforeAutospacing="0" w:after="0" w:afterAutospacing="0" w:line="288" w:lineRule="auto"/>
        <w:ind w:left="791" w:leftChars="377"/>
        <w:jc w:val="both"/>
        <w:textAlignment w:val="baseline"/>
        <w:rPr>
          <w:rFonts w:ascii="仿宋_GB2312" w:hAnsi="仿宋_GB2312" w:eastAsia="仿宋_GB2312" w:cs="仿宋_GB2312"/>
          <w:b w:val="0"/>
          <w:i w:val="0"/>
          <w:caps w:val="0"/>
          <w:spacing w:val="0"/>
          <w:w w:val="100"/>
          <w:sz w:val="24"/>
        </w:rPr>
      </w:pPr>
      <w:r>
        <w:rPr>
          <w:rFonts w:hint="eastAsia" w:ascii="仿宋_GB2312" w:hAnsi="仿宋_GB2312" w:eastAsia="仿宋_GB2312" w:cs="仿宋_GB2312"/>
          <w:b w:val="0"/>
          <w:i w:val="0"/>
          <w:caps w:val="0"/>
          <w:spacing w:val="0"/>
          <w:w w:val="100"/>
          <w:sz w:val="24"/>
        </w:rPr>
        <w:t>评标委员会决定投标的响应性只根据招标文件要求、投标文件内容及财政主管部门指定相关信息发布媒体。</w:t>
      </w:r>
    </w:p>
    <w:p w14:paraId="2FFD71A3">
      <w:pPr>
        <w:snapToGrid/>
        <w:spacing w:before="0" w:beforeAutospacing="0" w:after="0" w:afterAutospacing="0" w:line="288" w:lineRule="auto"/>
        <w:ind w:hangingChars="375"/>
        <w:jc w:val="both"/>
        <w:textAlignment w:val="baseline"/>
        <w:rPr>
          <w:rFonts w:ascii="仿宋_GB2312" w:hAnsi="仿宋_GB2312" w:eastAsia="仿宋_GB2312" w:cs="仿宋_GB2312"/>
          <w:b/>
          <w:bCs/>
          <w:i w:val="0"/>
          <w:caps w:val="0"/>
          <w:spacing w:val="0"/>
          <w:w w:val="100"/>
          <w:sz w:val="24"/>
        </w:rPr>
      </w:pPr>
      <w:r>
        <w:rPr>
          <w:rFonts w:hint="eastAsia" w:ascii="仿宋_GB2312" w:hAnsi="仿宋_GB2312" w:eastAsia="仿宋_GB2312" w:cs="仿宋_GB2312"/>
          <w:b w:val="0"/>
          <w:i w:val="0"/>
          <w:caps w:val="0"/>
          <w:spacing w:val="0"/>
          <w:w w:val="100"/>
          <w:sz w:val="24"/>
        </w:rPr>
        <w:t>22.2</w:t>
      </w:r>
      <w:r>
        <w:rPr>
          <w:rFonts w:hint="eastAsia" w:ascii="仿宋_GB2312" w:hAnsi="仿宋_GB2312" w:eastAsia="仿宋_GB2312" w:cs="仿宋_GB2312"/>
          <w:b w:val="0"/>
          <w:i w:val="0"/>
          <w:caps w:val="0"/>
          <w:spacing w:val="0"/>
          <w:w w:val="100"/>
          <w:sz w:val="24"/>
        </w:rPr>
        <w:tab/>
      </w:r>
      <w:r>
        <w:rPr>
          <w:rFonts w:hint="eastAsia" w:ascii="仿宋_GB2312" w:hAnsi="仿宋_GB2312" w:eastAsia="仿宋_GB2312" w:cs="仿宋_GB2312"/>
          <w:b/>
          <w:bCs/>
          <w:i w:val="0"/>
          <w:caps w:val="0"/>
          <w:spacing w:val="0"/>
          <w:w w:val="100"/>
          <w:sz w:val="24"/>
        </w:rPr>
        <w:t>如发现下列情况之一的，其投标将被认定为投标无效：（以下情形应当在招标文件中规定，并以醒目的方式标明）</w:t>
      </w:r>
    </w:p>
    <w:p w14:paraId="57ACD4C7">
      <w:pPr>
        <w:numPr>
          <w:ilvl w:val="0"/>
          <w:numId w:val="0"/>
        </w:numPr>
        <w:snapToGrid/>
        <w:spacing w:before="0" w:beforeAutospacing="0" w:after="0" w:afterAutospacing="0" w:line="288" w:lineRule="auto"/>
        <w:ind w:left="1080" w:leftChars="429" w:hanging="180" w:firstLineChars="0"/>
        <w:jc w:val="both"/>
        <w:textAlignment w:val="baseline"/>
        <w:rPr>
          <w:rFonts w:ascii="仿宋_GB2312" w:hAnsi="仿宋_GB2312" w:eastAsia="仿宋_GB2312" w:cs="仿宋_GB2312"/>
          <w:b w:val="0"/>
          <w:i w:val="0"/>
          <w:caps w:val="0"/>
          <w:spacing w:val="0"/>
          <w:w w:val="100"/>
          <w:sz w:val="24"/>
        </w:rPr>
      </w:pPr>
      <w:r>
        <w:rPr>
          <w:rFonts w:ascii="仿宋_GB2312" w:hAnsi="宋体" w:eastAsia="仿宋_GB2312" w:cs="Times New Roman"/>
          <w:b w:val="0"/>
          <w:i w:val="0"/>
          <w:caps w:val="0"/>
          <w:spacing w:val="0"/>
          <w:w w:val="100"/>
          <w:kern w:val="2"/>
          <w:sz w:val="24"/>
          <w:szCs w:val="24"/>
          <w:lang w:val="en-US" w:eastAsia="zh-CN" w:bidi="ar-SA"/>
        </w:rPr>
        <w:t>（1）</w:t>
      </w:r>
      <w:r>
        <w:rPr>
          <w:rFonts w:hint="eastAsia" w:ascii="仿宋_GB2312" w:hAnsi="仿宋_GB2312" w:eastAsia="仿宋_GB2312" w:cs="仿宋_GB2312"/>
          <w:b w:val="0"/>
          <w:i w:val="0"/>
          <w:caps w:val="0"/>
          <w:spacing w:val="0"/>
          <w:w w:val="100"/>
          <w:sz w:val="24"/>
        </w:rPr>
        <w:t>未按招标文件规定的形式和金额提交投标保证金的；</w:t>
      </w:r>
    </w:p>
    <w:p w14:paraId="58927277">
      <w:pPr>
        <w:numPr>
          <w:ilvl w:val="0"/>
          <w:numId w:val="0"/>
        </w:numPr>
        <w:snapToGrid/>
        <w:spacing w:before="0" w:beforeAutospacing="0" w:after="0" w:afterAutospacing="0" w:line="288" w:lineRule="auto"/>
        <w:ind w:left="1080" w:leftChars="429" w:hanging="180" w:firstLineChars="0"/>
        <w:jc w:val="both"/>
        <w:textAlignment w:val="baseline"/>
        <w:rPr>
          <w:rFonts w:ascii="仿宋_GB2312" w:hAnsi="仿宋_GB2312" w:eastAsia="仿宋_GB2312" w:cs="仿宋_GB2312"/>
          <w:b w:val="0"/>
          <w:i w:val="0"/>
          <w:caps w:val="0"/>
          <w:spacing w:val="0"/>
          <w:w w:val="100"/>
          <w:sz w:val="24"/>
        </w:rPr>
      </w:pPr>
      <w:r>
        <w:rPr>
          <w:rFonts w:ascii="仿宋_GB2312" w:hAnsi="宋体" w:eastAsia="仿宋_GB2312" w:cs="Times New Roman"/>
          <w:b w:val="0"/>
          <w:i w:val="0"/>
          <w:caps w:val="0"/>
          <w:spacing w:val="0"/>
          <w:w w:val="100"/>
          <w:kern w:val="2"/>
          <w:sz w:val="24"/>
          <w:szCs w:val="24"/>
          <w:lang w:val="en-US" w:eastAsia="zh-CN" w:bidi="ar-SA"/>
        </w:rPr>
        <w:t>（2）</w:t>
      </w:r>
      <w:r>
        <w:rPr>
          <w:rFonts w:hint="eastAsia" w:ascii="仿宋_GB2312" w:hAnsi="仿宋_GB2312" w:eastAsia="仿宋_GB2312" w:cs="仿宋_GB2312"/>
          <w:b w:val="0"/>
          <w:i w:val="0"/>
          <w:caps w:val="0"/>
          <w:spacing w:val="0"/>
          <w:w w:val="100"/>
          <w:sz w:val="24"/>
        </w:rPr>
        <w:t>未按照招标文件规定要求签署、盖章的；</w:t>
      </w:r>
    </w:p>
    <w:p w14:paraId="2D16119C">
      <w:pPr>
        <w:numPr>
          <w:ilvl w:val="0"/>
          <w:numId w:val="0"/>
        </w:numPr>
        <w:snapToGrid/>
        <w:spacing w:before="0" w:beforeAutospacing="0" w:after="0" w:afterAutospacing="0" w:line="288" w:lineRule="auto"/>
        <w:ind w:left="1080" w:leftChars="429" w:hanging="180" w:firstLineChars="0"/>
        <w:jc w:val="both"/>
        <w:textAlignment w:val="baseline"/>
        <w:rPr>
          <w:rFonts w:ascii="仿宋_GB2312" w:hAnsi="仿宋_GB2312" w:eastAsia="仿宋_GB2312" w:cs="仿宋_GB2312"/>
          <w:b w:val="0"/>
          <w:i w:val="0"/>
          <w:caps w:val="0"/>
          <w:spacing w:val="0"/>
          <w:w w:val="100"/>
          <w:sz w:val="24"/>
        </w:rPr>
      </w:pPr>
      <w:r>
        <w:rPr>
          <w:rFonts w:ascii="仿宋_GB2312" w:hAnsi="宋体" w:eastAsia="仿宋_GB2312" w:cs="Times New Roman"/>
          <w:b w:val="0"/>
          <w:i w:val="0"/>
          <w:caps w:val="0"/>
          <w:spacing w:val="0"/>
          <w:w w:val="100"/>
          <w:kern w:val="2"/>
          <w:sz w:val="24"/>
          <w:szCs w:val="24"/>
          <w:lang w:val="en-US" w:eastAsia="zh-CN" w:bidi="ar-SA"/>
        </w:rPr>
        <w:t>（3）</w:t>
      </w:r>
      <w:r>
        <w:rPr>
          <w:rFonts w:hint="eastAsia" w:ascii="仿宋_GB2312" w:hAnsi="仿宋_GB2312" w:eastAsia="仿宋_GB2312" w:cs="仿宋_GB2312"/>
          <w:b w:val="0"/>
          <w:i w:val="0"/>
          <w:caps w:val="0"/>
          <w:spacing w:val="0"/>
          <w:w w:val="100"/>
          <w:sz w:val="24"/>
        </w:rPr>
        <w:t>未满足招标文件中技术条款的实质性要求；</w:t>
      </w:r>
    </w:p>
    <w:p w14:paraId="1CCB95E4">
      <w:pPr>
        <w:numPr>
          <w:ilvl w:val="0"/>
          <w:numId w:val="0"/>
        </w:numPr>
        <w:snapToGrid/>
        <w:spacing w:before="0" w:beforeAutospacing="0" w:after="0" w:afterAutospacing="0" w:line="288" w:lineRule="auto"/>
        <w:ind w:left="1080" w:leftChars="429" w:hanging="180" w:firstLineChars="0"/>
        <w:jc w:val="both"/>
        <w:textAlignment w:val="baseline"/>
        <w:rPr>
          <w:rFonts w:ascii="仿宋_GB2312" w:hAnsi="仿宋_GB2312" w:eastAsia="仿宋_GB2312" w:cs="仿宋_GB2312"/>
          <w:b w:val="0"/>
          <w:i w:val="0"/>
          <w:caps w:val="0"/>
          <w:spacing w:val="0"/>
          <w:w w:val="100"/>
          <w:sz w:val="24"/>
        </w:rPr>
      </w:pPr>
      <w:r>
        <w:rPr>
          <w:rFonts w:ascii="仿宋_GB2312" w:hAnsi="宋体" w:eastAsia="仿宋_GB2312" w:cs="Times New Roman"/>
          <w:b w:val="0"/>
          <w:i w:val="0"/>
          <w:caps w:val="0"/>
          <w:spacing w:val="0"/>
          <w:w w:val="100"/>
          <w:kern w:val="2"/>
          <w:sz w:val="24"/>
          <w:szCs w:val="24"/>
          <w:lang w:val="en-US" w:eastAsia="zh-CN" w:bidi="ar-SA"/>
        </w:rPr>
        <w:t>（4）</w:t>
      </w:r>
      <w:r>
        <w:rPr>
          <w:rFonts w:hint="eastAsia" w:ascii="仿宋_GB2312" w:hAnsi="仿宋_GB2312" w:eastAsia="仿宋_GB2312" w:cs="仿宋_GB2312"/>
          <w:b w:val="0"/>
          <w:i w:val="0"/>
          <w:caps w:val="0"/>
          <w:spacing w:val="0"/>
          <w:w w:val="100"/>
          <w:sz w:val="24"/>
        </w:rPr>
        <w:t>与其他投标人串通投标，或者与招标人串通投标；</w:t>
      </w:r>
    </w:p>
    <w:p w14:paraId="54993736">
      <w:pPr>
        <w:numPr>
          <w:ilvl w:val="0"/>
          <w:numId w:val="0"/>
        </w:numPr>
        <w:snapToGrid/>
        <w:spacing w:before="0" w:beforeAutospacing="0" w:after="0" w:afterAutospacing="0" w:line="288" w:lineRule="auto"/>
        <w:ind w:left="1080" w:leftChars="429" w:hanging="180" w:firstLineChars="0"/>
        <w:jc w:val="both"/>
        <w:textAlignment w:val="baseline"/>
        <w:rPr>
          <w:rFonts w:ascii="仿宋_GB2312" w:hAnsi="仿宋_GB2312" w:eastAsia="仿宋_GB2312" w:cs="仿宋_GB2312"/>
          <w:b w:val="0"/>
          <w:i w:val="0"/>
          <w:caps w:val="0"/>
          <w:spacing w:val="0"/>
          <w:w w:val="100"/>
          <w:sz w:val="24"/>
        </w:rPr>
      </w:pPr>
      <w:r>
        <w:rPr>
          <w:rFonts w:ascii="仿宋_GB2312" w:hAnsi="宋体" w:eastAsia="仿宋_GB2312" w:cs="Times New Roman"/>
          <w:b w:val="0"/>
          <w:i w:val="0"/>
          <w:caps w:val="0"/>
          <w:spacing w:val="0"/>
          <w:w w:val="100"/>
          <w:kern w:val="2"/>
          <w:sz w:val="24"/>
          <w:szCs w:val="24"/>
          <w:lang w:val="en-US" w:eastAsia="zh-CN" w:bidi="ar-SA"/>
        </w:rPr>
        <w:t>（5）</w:t>
      </w:r>
      <w:r>
        <w:rPr>
          <w:rFonts w:hint="eastAsia" w:ascii="仿宋_GB2312" w:hAnsi="仿宋_GB2312" w:eastAsia="仿宋_GB2312" w:cs="仿宋_GB2312"/>
          <w:b w:val="0"/>
          <w:i w:val="0"/>
          <w:caps w:val="0"/>
          <w:spacing w:val="0"/>
          <w:w w:val="100"/>
          <w:sz w:val="24"/>
        </w:rPr>
        <w:t>属于招标文件规定的其他</w:t>
      </w:r>
      <w:r>
        <w:rPr>
          <w:rFonts w:hint="eastAsia" w:ascii="仿宋_GB2312" w:hAnsi="仿宋_GB2312" w:eastAsia="仿宋_GB2312" w:cs="仿宋_GB2312"/>
          <w:b/>
          <w:bCs/>
          <w:i w:val="0"/>
          <w:caps w:val="0"/>
          <w:spacing w:val="0"/>
          <w:w w:val="100"/>
          <w:sz w:val="24"/>
        </w:rPr>
        <w:t>投标无效</w:t>
      </w:r>
      <w:r>
        <w:rPr>
          <w:rFonts w:hint="eastAsia" w:ascii="仿宋_GB2312" w:hAnsi="仿宋_GB2312" w:eastAsia="仿宋_GB2312" w:cs="仿宋_GB2312"/>
          <w:b w:val="0"/>
          <w:i w:val="0"/>
          <w:caps w:val="0"/>
          <w:spacing w:val="0"/>
          <w:w w:val="100"/>
          <w:sz w:val="24"/>
        </w:rPr>
        <w:t>情形；</w:t>
      </w:r>
    </w:p>
    <w:p w14:paraId="1C456278">
      <w:pPr>
        <w:numPr>
          <w:ilvl w:val="0"/>
          <w:numId w:val="0"/>
        </w:numPr>
        <w:snapToGrid/>
        <w:spacing w:before="0" w:beforeAutospacing="0" w:after="0" w:afterAutospacing="0" w:line="288" w:lineRule="auto"/>
        <w:ind w:left="1080" w:leftChars="429" w:hanging="180" w:firstLineChars="0"/>
        <w:jc w:val="both"/>
        <w:textAlignment w:val="baseline"/>
        <w:rPr>
          <w:rFonts w:ascii="仿宋_GB2312" w:hAnsi="仿宋_GB2312" w:eastAsia="仿宋_GB2312" w:cs="仿宋_GB2312"/>
          <w:b w:val="0"/>
          <w:i w:val="0"/>
          <w:caps w:val="0"/>
          <w:spacing w:val="0"/>
          <w:w w:val="100"/>
          <w:sz w:val="24"/>
        </w:rPr>
      </w:pPr>
      <w:r>
        <w:rPr>
          <w:rFonts w:ascii="仿宋_GB2312" w:hAnsi="宋体" w:eastAsia="仿宋_GB2312" w:cs="Times New Roman"/>
          <w:b w:val="0"/>
          <w:i w:val="0"/>
          <w:caps w:val="0"/>
          <w:spacing w:val="0"/>
          <w:w w:val="100"/>
          <w:kern w:val="2"/>
          <w:sz w:val="24"/>
          <w:szCs w:val="24"/>
          <w:lang w:val="en-US" w:eastAsia="zh-CN" w:bidi="ar-SA"/>
        </w:rPr>
        <w:t>（6）</w:t>
      </w:r>
      <w:r>
        <w:rPr>
          <w:rFonts w:hint="eastAsia" w:ascii="仿宋_GB2312" w:hAnsi="仿宋_GB2312" w:eastAsia="仿宋_GB2312" w:cs="仿宋_GB2312"/>
          <w:b w:val="0"/>
          <w:i w:val="0"/>
          <w:caps w:val="0"/>
          <w:spacing w:val="0"/>
          <w:w w:val="100"/>
          <w:sz w:val="24"/>
        </w:rPr>
        <w:t>评标委员会认为投标人的报价明显低于其他通过符合性检查投标人的报价，有可能影响履约的，且投标人未按照规定证明其报价合理性的；</w:t>
      </w:r>
    </w:p>
    <w:p w14:paraId="318571C3">
      <w:pPr>
        <w:numPr>
          <w:ilvl w:val="0"/>
          <w:numId w:val="0"/>
        </w:numPr>
        <w:snapToGrid/>
        <w:spacing w:before="0" w:beforeAutospacing="0" w:after="0" w:afterAutospacing="0" w:line="288" w:lineRule="auto"/>
        <w:ind w:left="1080" w:leftChars="429" w:hanging="180" w:firstLineChars="0"/>
        <w:jc w:val="both"/>
        <w:textAlignment w:val="baseline"/>
        <w:rPr>
          <w:rFonts w:ascii="仿宋_GB2312" w:hAnsi="仿宋_GB2312" w:eastAsia="仿宋_GB2312" w:cs="仿宋_GB2312"/>
          <w:b w:val="0"/>
          <w:i w:val="0"/>
          <w:caps w:val="0"/>
          <w:spacing w:val="0"/>
          <w:w w:val="100"/>
          <w:sz w:val="24"/>
        </w:rPr>
      </w:pPr>
      <w:r>
        <w:rPr>
          <w:rFonts w:ascii="仿宋_GB2312" w:hAnsi="宋体" w:eastAsia="仿宋_GB2312" w:cs="Times New Roman"/>
          <w:b w:val="0"/>
          <w:i w:val="0"/>
          <w:caps w:val="0"/>
          <w:spacing w:val="0"/>
          <w:w w:val="100"/>
          <w:kern w:val="2"/>
          <w:sz w:val="24"/>
          <w:szCs w:val="24"/>
          <w:lang w:val="en-US" w:eastAsia="zh-CN" w:bidi="ar-SA"/>
        </w:rPr>
        <w:t>（7）</w:t>
      </w:r>
      <w:r>
        <w:rPr>
          <w:rFonts w:hint="eastAsia" w:ascii="仿宋_GB2312" w:hAnsi="仿宋_GB2312" w:eastAsia="仿宋_GB2312" w:cs="仿宋_GB2312"/>
          <w:b w:val="0"/>
          <w:i w:val="0"/>
          <w:caps w:val="0"/>
          <w:spacing w:val="0"/>
          <w:w w:val="100"/>
          <w:sz w:val="24"/>
        </w:rPr>
        <w:t>投标文件含有采购人不能接受的附加条件的；</w:t>
      </w:r>
    </w:p>
    <w:p w14:paraId="493334F3">
      <w:pPr>
        <w:numPr>
          <w:ilvl w:val="0"/>
          <w:numId w:val="0"/>
        </w:numPr>
        <w:snapToGrid/>
        <w:spacing w:before="0" w:beforeAutospacing="0" w:after="0" w:afterAutospacing="0" w:line="288" w:lineRule="auto"/>
        <w:ind w:left="1080" w:leftChars="429" w:hanging="180" w:firstLineChars="0"/>
        <w:jc w:val="both"/>
        <w:textAlignment w:val="baseline"/>
        <w:rPr>
          <w:rFonts w:hint="eastAsia" w:ascii="仿宋_GB2312" w:hAnsi="仿宋_GB2312" w:eastAsia="仿宋_GB2312" w:cs="仿宋_GB2312"/>
          <w:b/>
          <w:i w:val="0"/>
          <w:caps w:val="0"/>
          <w:spacing w:val="0"/>
          <w:w w:val="100"/>
          <w:sz w:val="24"/>
        </w:rPr>
      </w:pPr>
      <w:r>
        <w:rPr>
          <w:rFonts w:hint="eastAsia" w:ascii="仿宋_GB2312" w:hAnsi="宋体" w:eastAsia="仿宋_GB2312" w:cs="Times New Roman"/>
          <w:b/>
          <w:i w:val="0"/>
          <w:caps w:val="0"/>
          <w:spacing w:val="0"/>
          <w:w w:val="100"/>
          <w:kern w:val="2"/>
          <w:sz w:val="24"/>
          <w:szCs w:val="24"/>
          <w:lang w:val="en-US" w:eastAsia="zh-CN" w:bidi="ar-SA"/>
        </w:rPr>
        <w:t>（8）</w:t>
      </w:r>
      <w:r>
        <w:rPr>
          <w:rFonts w:hint="eastAsia" w:ascii="仿宋_GB2312" w:hAnsi="仿宋_GB2312" w:eastAsia="仿宋_GB2312" w:cs="仿宋_GB2312"/>
          <w:b w:val="0"/>
          <w:i w:val="0"/>
          <w:caps w:val="0"/>
          <w:spacing w:val="0"/>
          <w:w w:val="100"/>
          <w:sz w:val="24"/>
        </w:rPr>
        <w:t>不符合法规和招标文件中规定的其他实质性要求的。</w:t>
      </w:r>
      <w:bookmarkStart w:id="635" w:name="_Toc1001"/>
      <w:bookmarkStart w:id="636" w:name="_Toc13652"/>
      <w:bookmarkStart w:id="637" w:name="_Toc8521"/>
      <w:bookmarkStart w:id="638" w:name="_Toc515647784"/>
      <w:bookmarkStart w:id="639" w:name="_Toc22941"/>
    </w:p>
    <w:p w14:paraId="5C3559FB">
      <w:pPr>
        <w:numPr>
          <w:ilvl w:val="0"/>
          <w:numId w:val="0"/>
        </w:numPr>
        <w:snapToGrid/>
        <w:spacing w:before="0" w:beforeAutospacing="0" w:after="0" w:afterAutospacing="0" w:line="288" w:lineRule="auto"/>
        <w:ind w:leftChars="429"/>
        <w:jc w:val="both"/>
        <w:textAlignment w:val="baseline"/>
        <w:rPr>
          <w:rFonts w:hint="eastAsia" w:ascii="仿宋_GB2312" w:hAnsi="仿宋_GB2312" w:eastAsia="仿宋_GB2312" w:cs="仿宋_GB2312"/>
          <w:b w:val="0"/>
          <w:i w:val="0"/>
          <w:caps w:val="0"/>
          <w:spacing w:val="0"/>
          <w:w w:val="100"/>
          <w:sz w:val="24"/>
        </w:rPr>
      </w:pPr>
      <w:r>
        <w:rPr>
          <w:rFonts w:hint="eastAsia" w:ascii="仿宋_GB2312" w:hAnsi="仿宋_GB2312" w:eastAsia="仿宋_GB2312" w:cs="仿宋_GB2312"/>
          <w:b w:val="0"/>
          <w:i w:val="0"/>
          <w:caps w:val="0"/>
          <w:spacing w:val="0"/>
          <w:w w:val="100"/>
          <w:sz w:val="24"/>
        </w:rPr>
        <w:t xml:space="preserve">有下列情形之一的，视为投标人串通投标，其投标无效：  </w:t>
      </w:r>
    </w:p>
    <w:p w14:paraId="648DA732">
      <w:pPr>
        <w:numPr>
          <w:ilvl w:val="0"/>
          <w:numId w:val="0"/>
        </w:numPr>
        <w:snapToGrid/>
        <w:spacing w:before="0" w:beforeAutospacing="0" w:after="0" w:afterAutospacing="0" w:line="288" w:lineRule="auto"/>
        <w:ind w:left="1080" w:leftChars="429" w:hanging="180" w:firstLineChars="0"/>
        <w:jc w:val="both"/>
        <w:textAlignment w:val="baseline"/>
        <w:rPr>
          <w:rFonts w:hint="eastAsia" w:ascii="仿宋_GB2312" w:hAnsi="仿宋_GB2312" w:eastAsia="仿宋_GB2312" w:cs="仿宋_GB2312"/>
          <w:b w:val="0"/>
          <w:i w:val="0"/>
          <w:caps w:val="0"/>
          <w:spacing w:val="0"/>
          <w:w w:val="100"/>
          <w:sz w:val="24"/>
        </w:rPr>
      </w:pPr>
      <w:r>
        <w:rPr>
          <w:rFonts w:hint="eastAsia" w:ascii="仿宋_GB2312" w:hAnsi="宋体" w:eastAsia="仿宋_GB2312" w:cs="Times New Roman"/>
          <w:b w:val="0"/>
          <w:i w:val="0"/>
          <w:caps w:val="0"/>
          <w:spacing w:val="0"/>
          <w:w w:val="100"/>
          <w:kern w:val="2"/>
          <w:sz w:val="24"/>
          <w:szCs w:val="24"/>
          <w:lang w:val="en-US" w:eastAsia="zh-CN" w:bidi="ar-SA"/>
        </w:rPr>
        <w:t>（1）</w:t>
      </w:r>
      <w:r>
        <w:rPr>
          <w:rFonts w:hint="eastAsia" w:ascii="仿宋_GB2312" w:hAnsi="仿宋_GB2312" w:eastAsia="仿宋_GB2312" w:cs="仿宋_GB2312"/>
          <w:b w:val="0"/>
          <w:i w:val="0"/>
          <w:caps w:val="0"/>
          <w:spacing w:val="0"/>
          <w:w w:val="100"/>
          <w:sz w:val="24"/>
        </w:rPr>
        <w:t xml:space="preserve">不同投标人的投标文件由同一单位或者个人编制；  </w:t>
      </w:r>
    </w:p>
    <w:p w14:paraId="2C88587D">
      <w:pPr>
        <w:numPr>
          <w:ilvl w:val="0"/>
          <w:numId w:val="0"/>
        </w:numPr>
        <w:snapToGrid/>
        <w:spacing w:before="0" w:beforeAutospacing="0" w:after="0" w:afterAutospacing="0" w:line="288" w:lineRule="auto"/>
        <w:ind w:left="1080" w:leftChars="429" w:hanging="180" w:firstLineChars="0"/>
        <w:jc w:val="both"/>
        <w:textAlignment w:val="baseline"/>
        <w:rPr>
          <w:rFonts w:hint="eastAsia" w:ascii="仿宋_GB2312" w:hAnsi="仿宋_GB2312" w:eastAsia="仿宋_GB2312" w:cs="仿宋_GB2312"/>
          <w:b w:val="0"/>
          <w:i w:val="0"/>
          <w:caps w:val="0"/>
          <w:spacing w:val="0"/>
          <w:w w:val="100"/>
          <w:sz w:val="24"/>
        </w:rPr>
      </w:pPr>
      <w:r>
        <w:rPr>
          <w:rFonts w:hint="eastAsia" w:ascii="仿宋_GB2312" w:hAnsi="宋体" w:eastAsia="仿宋_GB2312" w:cs="Times New Roman"/>
          <w:b w:val="0"/>
          <w:i w:val="0"/>
          <w:caps w:val="0"/>
          <w:spacing w:val="0"/>
          <w:w w:val="100"/>
          <w:kern w:val="2"/>
          <w:sz w:val="24"/>
          <w:szCs w:val="24"/>
          <w:lang w:val="en-US" w:eastAsia="zh-CN" w:bidi="ar-SA"/>
        </w:rPr>
        <w:t>（2）</w:t>
      </w:r>
      <w:r>
        <w:rPr>
          <w:rFonts w:hint="eastAsia" w:ascii="仿宋_GB2312" w:hAnsi="仿宋_GB2312" w:eastAsia="仿宋_GB2312" w:cs="仿宋_GB2312"/>
          <w:b w:val="0"/>
          <w:i w:val="0"/>
          <w:caps w:val="0"/>
          <w:spacing w:val="0"/>
          <w:w w:val="100"/>
          <w:sz w:val="24"/>
        </w:rPr>
        <w:t xml:space="preserve">不同投标人委托同一单位或者个人办理投标事宜； </w:t>
      </w:r>
    </w:p>
    <w:p w14:paraId="17C2625B">
      <w:pPr>
        <w:numPr>
          <w:ilvl w:val="0"/>
          <w:numId w:val="0"/>
        </w:numPr>
        <w:snapToGrid/>
        <w:spacing w:before="0" w:beforeAutospacing="0" w:after="0" w:afterAutospacing="0" w:line="288" w:lineRule="auto"/>
        <w:ind w:left="1080" w:leftChars="429" w:hanging="180" w:firstLineChars="0"/>
        <w:jc w:val="both"/>
        <w:textAlignment w:val="baseline"/>
        <w:rPr>
          <w:rFonts w:hint="eastAsia" w:ascii="仿宋_GB2312" w:hAnsi="仿宋_GB2312" w:eastAsia="仿宋_GB2312" w:cs="仿宋_GB2312"/>
          <w:b w:val="0"/>
          <w:i w:val="0"/>
          <w:caps w:val="0"/>
          <w:spacing w:val="0"/>
          <w:w w:val="100"/>
          <w:sz w:val="24"/>
        </w:rPr>
      </w:pPr>
      <w:r>
        <w:rPr>
          <w:rFonts w:hint="eastAsia" w:ascii="仿宋_GB2312" w:hAnsi="宋体" w:eastAsia="仿宋_GB2312" w:cs="Times New Roman"/>
          <w:b w:val="0"/>
          <w:i w:val="0"/>
          <w:caps w:val="0"/>
          <w:spacing w:val="0"/>
          <w:w w:val="100"/>
          <w:kern w:val="2"/>
          <w:sz w:val="24"/>
          <w:szCs w:val="24"/>
          <w:lang w:val="en-US" w:eastAsia="zh-CN" w:bidi="ar-SA"/>
        </w:rPr>
        <w:t>（3）</w:t>
      </w:r>
      <w:r>
        <w:rPr>
          <w:rFonts w:hint="eastAsia" w:ascii="仿宋_GB2312" w:hAnsi="仿宋_GB2312" w:eastAsia="仿宋_GB2312" w:cs="仿宋_GB2312"/>
          <w:b w:val="0"/>
          <w:i w:val="0"/>
          <w:caps w:val="0"/>
          <w:spacing w:val="0"/>
          <w:w w:val="100"/>
          <w:sz w:val="24"/>
        </w:rPr>
        <w:t>不同投标人的投标文件载明的项目管理成员或者联系人员为同一人； </w:t>
      </w:r>
    </w:p>
    <w:p w14:paraId="621BCD36">
      <w:pPr>
        <w:numPr>
          <w:ilvl w:val="0"/>
          <w:numId w:val="0"/>
        </w:numPr>
        <w:snapToGrid/>
        <w:spacing w:before="0" w:beforeAutospacing="0" w:after="0" w:afterAutospacing="0" w:line="288" w:lineRule="auto"/>
        <w:ind w:left="1080" w:leftChars="429" w:hanging="180" w:firstLineChars="0"/>
        <w:jc w:val="both"/>
        <w:textAlignment w:val="baseline"/>
        <w:rPr>
          <w:rFonts w:hint="eastAsia" w:ascii="仿宋_GB2312" w:hAnsi="仿宋_GB2312" w:eastAsia="仿宋_GB2312" w:cs="仿宋_GB2312"/>
          <w:b w:val="0"/>
          <w:i w:val="0"/>
          <w:caps w:val="0"/>
          <w:spacing w:val="0"/>
          <w:w w:val="100"/>
          <w:sz w:val="24"/>
        </w:rPr>
      </w:pPr>
      <w:r>
        <w:rPr>
          <w:rFonts w:hint="eastAsia" w:ascii="仿宋_GB2312" w:hAnsi="宋体" w:eastAsia="仿宋_GB2312" w:cs="Times New Roman"/>
          <w:b w:val="0"/>
          <w:i w:val="0"/>
          <w:caps w:val="0"/>
          <w:spacing w:val="0"/>
          <w:w w:val="100"/>
          <w:kern w:val="2"/>
          <w:sz w:val="24"/>
          <w:szCs w:val="24"/>
          <w:lang w:val="en-US" w:eastAsia="zh-CN" w:bidi="ar-SA"/>
        </w:rPr>
        <w:t>（4）</w:t>
      </w:r>
      <w:r>
        <w:rPr>
          <w:rFonts w:hint="eastAsia" w:ascii="仿宋_GB2312" w:hAnsi="仿宋_GB2312" w:eastAsia="仿宋_GB2312" w:cs="仿宋_GB2312"/>
          <w:b w:val="0"/>
          <w:i w:val="0"/>
          <w:caps w:val="0"/>
          <w:spacing w:val="0"/>
          <w:w w:val="100"/>
          <w:sz w:val="24"/>
        </w:rPr>
        <w:t xml:space="preserve"> 不同投标人的投标文件异常一致或者投标报价呈规律性差异； </w:t>
      </w:r>
    </w:p>
    <w:p w14:paraId="3D21E51F">
      <w:pPr>
        <w:numPr>
          <w:ilvl w:val="0"/>
          <w:numId w:val="0"/>
        </w:numPr>
        <w:snapToGrid/>
        <w:spacing w:before="0" w:beforeAutospacing="0" w:after="0" w:afterAutospacing="0" w:line="288" w:lineRule="auto"/>
        <w:ind w:left="1080" w:leftChars="429" w:hanging="180" w:firstLineChars="0"/>
        <w:jc w:val="both"/>
        <w:textAlignment w:val="baseline"/>
        <w:rPr>
          <w:rFonts w:hint="eastAsia" w:ascii="仿宋_GB2312" w:hAnsi="仿宋_GB2312" w:eastAsia="仿宋_GB2312" w:cs="仿宋_GB2312"/>
          <w:b w:val="0"/>
          <w:i w:val="0"/>
          <w:caps w:val="0"/>
          <w:spacing w:val="0"/>
          <w:w w:val="100"/>
          <w:sz w:val="24"/>
        </w:rPr>
      </w:pPr>
      <w:r>
        <w:rPr>
          <w:rFonts w:hint="eastAsia" w:ascii="仿宋_GB2312" w:hAnsi="宋体" w:eastAsia="仿宋_GB2312" w:cs="Times New Roman"/>
          <w:b w:val="0"/>
          <w:i w:val="0"/>
          <w:caps w:val="0"/>
          <w:spacing w:val="0"/>
          <w:w w:val="100"/>
          <w:kern w:val="2"/>
          <w:sz w:val="24"/>
          <w:szCs w:val="24"/>
          <w:lang w:val="en-US" w:eastAsia="zh-CN" w:bidi="ar-SA"/>
        </w:rPr>
        <w:t>（5）</w:t>
      </w:r>
      <w:r>
        <w:rPr>
          <w:rFonts w:hint="eastAsia" w:ascii="仿宋_GB2312" w:hAnsi="仿宋_GB2312" w:eastAsia="仿宋_GB2312" w:cs="仿宋_GB2312"/>
          <w:b w:val="0"/>
          <w:i w:val="0"/>
          <w:caps w:val="0"/>
          <w:spacing w:val="0"/>
          <w:w w:val="100"/>
          <w:sz w:val="24"/>
        </w:rPr>
        <w:t xml:space="preserve"> 不同投标人的投标文件相互混装；</w:t>
      </w:r>
    </w:p>
    <w:p w14:paraId="6D279189">
      <w:pPr>
        <w:numPr>
          <w:ilvl w:val="0"/>
          <w:numId w:val="0"/>
        </w:numPr>
        <w:snapToGrid/>
        <w:spacing w:before="0" w:beforeAutospacing="0" w:after="0" w:afterAutospacing="0" w:line="288" w:lineRule="auto"/>
        <w:ind w:left="1080" w:leftChars="429" w:hanging="180" w:firstLineChars="0"/>
        <w:jc w:val="both"/>
        <w:textAlignment w:val="baseline"/>
        <w:rPr>
          <w:rFonts w:hint="eastAsia" w:ascii="仿宋_GB2312" w:hAnsi="仿宋_GB2312" w:eastAsia="仿宋_GB2312" w:cs="仿宋_GB2312"/>
          <w:b w:val="0"/>
          <w:i w:val="0"/>
          <w:caps w:val="0"/>
          <w:spacing w:val="0"/>
          <w:w w:val="100"/>
          <w:sz w:val="24"/>
        </w:rPr>
      </w:pPr>
      <w:r>
        <w:rPr>
          <w:rFonts w:hint="eastAsia" w:ascii="仿宋_GB2312" w:hAnsi="宋体" w:eastAsia="仿宋_GB2312" w:cs="Times New Roman"/>
          <w:b w:val="0"/>
          <w:i w:val="0"/>
          <w:caps w:val="0"/>
          <w:spacing w:val="0"/>
          <w:w w:val="100"/>
          <w:kern w:val="2"/>
          <w:sz w:val="24"/>
          <w:szCs w:val="24"/>
          <w:lang w:val="en-US" w:eastAsia="zh-CN" w:bidi="ar-SA"/>
        </w:rPr>
        <w:t>（6）</w:t>
      </w:r>
      <w:r>
        <w:rPr>
          <w:rFonts w:hint="eastAsia" w:ascii="仿宋_GB2312" w:hAnsi="仿宋_GB2312" w:eastAsia="仿宋_GB2312" w:cs="仿宋_GB2312"/>
          <w:b w:val="0"/>
          <w:i w:val="0"/>
          <w:caps w:val="0"/>
          <w:spacing w:val="0"/>
          <w:w w:val="100"/>
          <w:sz w:val="24"/>
        </w:rPr>
        <w:t xml:space="preserve">不同投标人的投标保证金从同一单位或者个人的账户转出。 </w:t>
      </w:r>
    </w:p>
    <w:p w14:paraId="2123D6C4">
      <w:pPr>
        <w:pStyle w:val="4"/>
        <w:snapToGrid/>
        <w:spacing w:before="0" w:beforeAutospacing="0" w:after="0" w:afterAutospacing="0" w:line="288" w:lineRule="auto"/>
        <w:jc w:val="left"/>
        <w:textAlignment w:val="baseline"/>
        <w:rPr>
          <w:rFonts w:ascii="仿宋_GB2312" w:hAnsi="仿宋_GB2312" w:eastAsia="仿宋_GB2312" w:cs="仿宋_GB2312"/>
          <w:b/>
          <w:i w:val="0"/>
          <w:caps w:val="0"/>
          <w:spacing w:val="0"/>
          <w:w w:val="100"/>
          <w:sz w:val="24"/>
        </w:rPr>
      </w:pPr>
      <w:bookmarkStart w:id="640" w:name="_Toc520356168"/>
      <w:bookmarkStart w:id="641" w:name="_Toc10025"/>
      <w:bookmarkStart w:id="642" w:name="_Toc17546"/>
      <w:bookmarkStart w:id="643" w:name="_Toc14242"/>
      <w:bookmarkStart w:id="644" w:name="_Toc2906"/>
      <w:bookmarkStart w:id="645" w:name="_Toc11401"/>
      <w:bookmarkStart w:id="646" w:name="_Toc515647785"/>
      <w:bookmarkStart w:id="647" w:name="_Toc9378"/>
      <w:bookmarkStart w:id="648" w:name="_Toc15293"/>
      <w:bookmarkStart w:id="649" w:name="_Toc20227"/>
      <w:bookmarkStart w:id="650" w:name="_Toc31728"/>
      <w:bookmarkStart w:id="651" w:name="_Toc29670"/>
      <w:bookmarkStart w:id="652" w:name="_Toc11181"/>
      <w:bookmarkStart w:id="653" w:name="_Toc15050"/>
      <w:bookmarkStart w:id="654" w:name="_Toc23673"/>
      <w:bookmarkStart w:id="655" w:name="_Toc9615"/>
      <w:bookmarkStart w:id="656" w:name="_Toc26767"/>
      <w:bookmarkStart w:id="657" w:name="_Toc5875"/>
      <w:bookmarkStart w:id="658" w:name="_Toc1201"/>
      <w:bookmarkStart w:id="659" w:name="_Toc2364"/>
      <w:bookmarkStart w:id="660" w:name="_Toc26696"/>
      <w:bookmarkStart w:id="661" w:name="_Toc8424"/>
      <w:bookmarkStart w:id="662" w:name="_Toc18723"/>
      <w:r>
        <w:rPr>
          <w:rFonts w:hint="eastAsia" w:ascii="仿宋_GB2312" w:hAnsi="仿宋_GB2312" w:eastAsia="仿宋_GB2312" w:cs="仿宋_GB2312"/>
          <w:b/>
          <w:i w:val="0"/>
          <w:caps w:val="0"/>
          <w:spacing w:val="0"/>
          <w:w w:val="100"/>
          <w:sz w:val="24"/>
        </w:rPr>
        <w:t>2</w:t>
      </w:r>
      <w:bookmarkEnd w:id="640"/>
      <w:r>
        <w:rPr>
          <w:rFonts w:hint="eastAsia" w:ascii="仿宋_GB2312" w:hAnsi="仿宋_GB2312" w:eastAsia="仿宋_GB2312" w:cs="仿宋_GB2312"/>
          <w:b/>
          <w:i w:val="0"/>
          <w:caps w:val="0"/>
          <w:spacing w:val="0"/>
          <w:w w:val="100"/>
          <w:sz w:val="24"/>
          <w:lang w:val="en-US" w:eastAsia="zh-CN"/>
        </w:rPr>
        <w:t>3</w:t>
      </w:r>
      <w:r>
        <w:rPr>
          <w:rFonts w:hint="eastAsia" w:ascii="仿宋_GB2312" w:hAnsi="仿宋_GB2312" w:eastAsia="仿宋_GB2312" w:cs="仿宋_GB2312"/>
          <w:b/>
          <w:i w:val="0"/>
          <w:caps w:val="0"/>
          <w:spacing w:val="0"/>
          <w:w w:val="100"/>
          <w:sz w:val="24"/>
        </w:rPr>
        <w:t>.废标</w:t>
      </w:r>
      <w:bookmarkEnd w:id="641"/>
      <w:bookmarkEnd w:id="642"/>
      <w:bookmarkEnd w:id="643"/>
      <w:bookmarkEnd w:id="644"/>
      <w:bookmarkEnd w:id="645"/>
      <w:bookmarkEnd w:id="646"/>
      <w:bookmarkEnd w:id="647"/>
      <w:bookmarkEnd w:id="648"/>
      <w:bookmarkEnd w:id="649"/>
      <w:bookmarkEnd w:id="650"/>
      <w:bookmarkEnd w:id="651"/>
      <w:bookmarkEnd w:id="652"/>
      <w:bookmarkEnd w:id="653"/>
      <w:bookmarkEnd w:id="654"/>
      <w:bookmarkEnd w:id="655"/>
      <w:bookmarkEnd w:id="656"/>
      <w:bookmarkEnd w:id="657"/>
      <w:bookmarkEnd w:id="658"/>
      <w:bookmarkEnd w:id="659"/>
      <w:bookmarkEnd w:id="660"/>
      <w:bookmarkEnd w:id="661"/>
      <w:bookmarkEnd w:id="662"/>
    </w:p>
    <w:p w14:paraId="2A9A54D6">
      <w:pPr>
        <w:snapToGrid/>
        <w:spacing w:before="0" w:beforeAutospacing="0" w:after="0" w:afterAutospacing="0" w:line="288" w:lineRule="auto"/>
        <w:ind w:left="897" w:leftChars="399" w:hangingChars="25"/>
        <w:jc w:val="both"/>
        <w:textAlignment w:val="baseline"/>
        <w:rPr>
          <w:rFonts w:ascii="仿宋_GB2312" w:hAnsi="仿宋_GB2312" w:eastAsia="仿宋_GB2312" w:cs="仿宋_GB2312"/>
          <w:b w:val="0"/>
          <w:i w:val="0"/>
          <w:caps w:val="0"/>
          <w:spacing w:val="0"/>
          <w:w w:val="100"/>
          <w:sz w:val="24"/>
        </w:rPr>
      </w:pPr>
      <w:r>
        <w:rPr>
          <w:rFonts w:hint="eastAsia" w:ascii="仿宋_GB2312" w:hAnsi="仿宋_GB2312" w:eastAsia="仿宋_GB2312" w:cs="仿宋_GB2312"/>
          <w:b w:val="0"/>
          <w:i w:val="0"/>
          <w:caps w:val="0"/>
          <w:spacing w:val="0"/>
          <w:w w:val="100"/>
          <w:sz w:val="24"/>
        </w:rPr>
        <w:t xml:space="preserve">出现下列情形之一，将导致项目废标： </w:t>
      </w:r>
    </w:p>
    <w:p w14:paraId="003E0D02">
      <w:pPr>
        <w:snapToGrid/>
        <w:spacing w:before="0" w:beforeAutospacing="0" w:after="0" w:afterAutospacing="0" w:line="288" w:lineRule="auto"/>
        <w:ind w:hangingChars="375"/>
        <w:jc w:val="both"/>
        <w:textAlignment w:val="baseline"/>
        <w:rPr>
          <w:rFonts w:ascii="仿宋_GB2312" w:hAnsi="仿宋_GB2312" w:eastAsia="仿宋_GB2312" w:cs="仿宋_GB2312"/>
          <w:b w:val="0"/>
          <w:i w:val="0"/>
          <w:caps w:val="0"/>
          <w:spacing w:val="0"/>
          <w:w w:val="100"/>
          <w:sz w:val="24"/>
        </w:rPr>
      </w:pPr>
      <w:r>
        <w:rPr>
          <w:rFonts w:hint="eastAsia" w:ascii="仿宋_GB2312" w:hAnsi="仿宋_GB2312" w:eastAsia="仿宋_GB2312" w:cs="仿宋_GB2312"/>
          <w:b w:val="0"/>
          <w:i w:val="0"/>
          <w:caps w:val="0"/>
          <w:spacing w:val="0"/>
          <w:w w:val="100"/>
          <w:sz w:val="24"/>
        </w:rPr>
        <w:tab/>
      </w:r>
      <w:r>
        <w:rPr>
          <w:rFonts w:hint="eastAsia" w:ascii="仿宋_GB2312" w:hAnsi="仿宋_GB2312" w:eastAsia="仿宋_GB2312" w:cs="仿宋_GB2312"/>
          <w:b w:val="0"/>
          <w:i w:val="0"/>
          <w:caps w:val="0"/>
          <w:spacing w:val="0"/>
          <w:w w:val="100"/>
          <w:sz w:val="24"/>
        </w:rPr>
        <w:t>（1）符合专业条件的供应商或者对招标文件做实质性响应的供应商不足三家；</w:t>
      </w:r>
    </w:p>
    <w:p w14:paraId="71CD27B7">
      <w:pPr>
        <w:snapToGrid/>
        <w:spacing w:before="0" w:beforeAutospacing="0" w:after="0" w:afterAutospacing="0" w:line="288" w:lineRule="auto"/>
        <w:ind w:hangingChars="375"/>
        <w:jc w:val="both"/>
        <w:textAlignment w:val="baseline"/>
        <w:rPr>
          <w:rFonts w:ascii="仿宋_GB2312" w:hAnsi="仿宋_GB2312" w:eastAsia="仿宋_GB2312" w:cs="仿宋_GB2312"/>
          <w:b w:val="0"/>
          <w:i w:val="0"/>
          <w:caps w:val="0"/>
          <w:spacing w:val="0"/>
          <w:w w:val="100"/>
          <w:sz w:val="24"/>
        </w:rPr>
      </w:pPr>
      <w:r>
        <w:rPr>
          <w:rFonts w:hint="eastAsia" w:ascii="仿宋_GB2312" w:hAnsi="仿宋_GB2312" w:eastAsia="仿宋_GB2312" w:cs="仿宋_GB2312"/>
          <w:b w:val="0"/>
          <w:i w:val="0"/>
          <w:caps w:val="0"/>
          <w:spacing w:val="0"/>
          <w:w w:val="100"/>
          <w:sz w:val="24"/>
        </w:rPr>
        <w:tab/>
      </w:r>
      <w:r>
        <w:rPr>
          <w:rFonts w:hint="eastAsia" w:ascii="仿宋_GB2312" w:hAnsi="仿宋_GB2312" w:eastAsia="仿宋_GB2312" w:cs="仿宋_GB2312"/>
          <w:b w:val="0"/>
          <w:i w:val="0"/>
          <w:caps w:val="0"/>
          <w:spacing w:val="0"/>
          <w:w w:val="100"/>
          <w:sz w:val="24"/>
        </w:rPr>
        <w:t>（2）出现影响采购公正的违法、违规行为的；</w:t>
      </w:r>
    </w:p>
    <w:p w14:paraId="1E5E047E">
      <w:pPr>
        <w:snapToGrid/>
        <w:spacing w:before="0" w:beforeAutospacing="0" w:after="0" w:afterAutospacing="0" w:line="288" w:lineRule="auto"/>
        <w:ind w:firstLine="840" w:firstLineChars="350"/>
        <w:jc w:val="both"/>
        <w:textAlignment w:val="baseline"/>
        <w:rPr>
          <w:rFonts w:ascii="仿宋_GB2312" w:hAnsi="仿宋_GB2312" w:eastAsia="仿宋_GB2312" w:cs="仿宋_GB2312"/>
          <w:b w:val="0"/>
          <w:i w:val="0"/>
          <w:caps w:val="0"/>
          <w:spacing w:val="0"/>
          <w:w w:val="100"/>
          <w:sz w:val="24"/>
        </w:rPr>
      </w:pPr>
      <w:r>
        <w:rPr>
          <w:rFonts w:hint="eastAsia" w:ascii="仿宋_GB2312" w:hAnsi="仿宋_GB2312" w:eastAsia="仿宋_GB2312" w:cs="仿宋_GB2312"/>
          <w:b w:val="0"/>
          <w:i w:val="0"/>
          <w:caps w:val="0"/>
          <w:spacing w:val="0"/>
          <w:w w:val="100"/>
          <w:sz w:val="24"/>
        </w:rPr>
        <w:t>（3）投标人的报价均超过了采购预算，采购人不能支付的；</w:t>
      </w:r>
    </w:p>
    <w:p w14:paraId="1CF2420B">
      <w:pPr>
        <w:snapToGrid/>
        <w:spacing w:before="0" w:beforeAutospacing="0" w:after="0" w:afterAutospacing="0" w:line="288" w:lineRule="auto"/>
        <w:ind w:firstLine="840" w:firstLineChars="350"/>
        <w:jc w:val="both"/>
        <w:textAlignment w:val="baseline"/>
        <w:rPr>
          <w:rFonts w:ascii="仿宋_GB2312" w:hAnsi="仿宋_GB2312" w:eastAsia="仿宋_GB2312" w:cs="仿宋_GB2312"/>
          <w:b w:val="0"/>
          <w:i w:val="0"/>
          <w:caps w:val="0"/>
          <w:spacing w:val="0"/>
          <w:w w:val="100"/>
          <w:sz w:val="24"/>
        </w:rPr>
      </w:pPr>
      <w:r>
        <w:rPr>
          <w:rFonts w:hint="eastAsia" w:ascii="仿宋_GB2312" w:hAnsi="仿宋_GB2312" w:eastAsia="仿宋_GB2312" w:cs="仿宋_GB2312"/>
          <w:b w:val="0"/>
          <w:i w:val="0"/>
          <w:caps w:val="0"/>
          <w:spacing w:val="0"/>
          <w:w w:val="100"/>
          <w:sz w:val="24"/>
        </w:rPr>
        <w:t xml:space="preserve">（4）因重大变故，采购任务取消的。   </w:t>
      </w:r>
    </w:p>
    <w:p w14:paraId="183E7AB1">
      <w:pPr>
        <w:numPr>
          <w:ilvl w:val="0"/>
          <w:numId w:val="0"/>
        </w:numPr>
        <w:snapToGrid/>
        <w:spacing w:before="0" w:beforeAutospacing="0" w:after="0" w:afterAutospacing="0" w:line="288" w:lineRule="auto"/>
        <w:ind w:left="1080" w:leftChars="429" w:hanging="180" w:firstLineChars="0"/>
        <w:jc w:val="both"/>
        <w:textAlignment w:val="baseline"/>
        <w:rPr>
          <w:rFonts w:hint="eastAsia" w:ascii="仿宋_GB2312" w:hAnsi="仿宋_GB2312" w:eastAsia="仿宋_GB2312" w:cs="仿宋_GB2312"/>
          <w:b w:val="0"/>
          <w:i w:val="0"/>
          <w:caps w:val="0"/>
          <w:spacing w:val="0"/>
          <w:w w:val="100"/>
          <w:sz w:val="24"/>
        </w:rPr>
      </w:pPr>
    </w:p>
    <w:p w14:paraId="342F9BD1">
      <w:pPr>
        <w:pStyle w:val="4"/>
        <w:snapToGrid/>
        <w:spacing w:before="0" w:beforeAutospacing="0" w:after="0" w:afterAutospacing="0" w:line="288" w:lineRule="auto"/>
        <w:jc w:val="left"/>
        <w:textAlignment w:val="baseline"/>
        <w:rPr>
          <w:rFonts w:hint="eastAsia" w:ascii="仿宋_GB2312" w:hAnsi="仿宋_GB2312" w:eastAsia="仿宋_GB2312" w:cs="仿宋_GB2312"/>
          <w:b/>
          <w:i w:val="0"/>
          <w:caps w:val="0"/>
          <w:spacing w:val="0"/>
          <w:w w:val="100"/>
          <w:sz w:val="24"/>
        </w:rPr>
      </w:pPr>
      <w:bookmarkStart w:id="663" w:name="_Toc3832"/>
      <w:bookmarkStart w:id="664" w:name="_Toc893"/>
      <w:bookmarkStart w:id="665" w:name="_Toc11927"/>
      <w:bookmarkStart w:id="666" w:name="_Toc11988"/>
      <w:bookmarkStart w:id="667" w:name="_Toc9156"/>
      <w:bookmarkStart w:id="668" w:name="_Toc79"/>
      <w:bookmarkStart w:id="669" w:name="_Toc187"/>
      <w:r>
        <w:rPr>
          <w:rFonts w:hint="eastAsia" w:ascii="仿宋_GB2312" w:hAnsi="仿宋_GB2312" w:eastAsia="仿宋_GB2312" w:cs="仿宋_GB2312"/>
          <w:b/>
          <w:i w:val="0"/>
          <w:caps w:val="0"/>
          <w:spacing w:val="0"/>
          <w:w w:val="100"/>
          <w:sz w:val="24"/>
        </w:rPr>
        <w:t>2</w:t>
      </w:r>
      <w:r>
        <w:rPr>
          <w:rFonts w:hint="eastAsia" w:ascii="仿宋_GB2312" w:hAnsi="仿宋_GB2312" w:eastAsia="仿宋_GB2312" w:cs="仿宋_GB2312"/>
          <w:b/>
          <w:i w:val="0"/>
          <w:caps w:val="0"/>
          <w:spacing w:val="0"/>
          <w:w w:val="100"/>
          <w:sz w:val="24"/>
          <w:lang w:val="en-US" w:eastAsia="zh-CN"/>
        </w:rPr>
        <w:t>4</w:t>
      </w:r>
      <w:r>
        <w:rPr>
          <w:rFonts w:hint="eastAsia" w:ascii="仿宋_GB2312" w:hAnsi="仿宋_GB2312" w:eastAsia="仿宋_GB2312" w:cs="仿宋_GB2312"/>
          <w:b/>
          <w:i w:val="0"/>
          <w:caps w:val="0"/>
          <w:spacing w:val="0"/>
          <w:w w:val="100"/>
          <w:sz w:val="24"/>
        </w:rPr>
        <w:t>.</w:t>
      </w:r>
      <w:bookmarkEnd w:id="590"/>
      <w:r>
        <w:rPr>
          <w:rFonts w:hint="eastAsia" w:ascii="仿宋_GB2312" w:hAnsi="仿宋_GB2312" w:eastAsia="仿宋_GB2312" w:cs="仿宋_GB2312"/>
          <w:b/>
          <w:i w:val="0"/>
          <w:caps w:val="0"/>
          <w:spacing w:val="0"/>
          <w:w w:val="100"/>
          <w:sz w:val="24"/>
        </w:rPr>
        <w:t>比较与评价</w:t>
      </w:r>
      <w:bookmarkEnd w:id="635"/>
      <w:bookmarkEnd w:id="636"/>
      <w:bookmarkEnd w:id="637"/>
      <w:bookmarkEnd w:id="638"/>
      <w:bookmarkEnd w:id="639"/>
      <w:bookmarkEnd w:id="663"/>
      <w:bookmarkEnd w:id="664"/>
      <w:bookmarkEnd w:id="665"/>
      <w:bookmarkEnd w:id="666"/>
      <w:bookmarkEnd w:id="667"/>
      <w:bookmarkEnd w:id="668"/>
      <w:bookmarkEnd w:id="669"/>
    </w:p>
    <w:p w14:paraId="6508F1B3">
      <w:pPr>
        <w:snapToGrid/>
        <w:spacing w:before="0" w:beforeAutospacing="0" w:after="0" w:afterAutospacing="0" w:line="288" w:lineRule="auto"/>
        <w:ind w:hangingChars="375"/>
        <w:jc w:val="both"/>
        <w:textAlignment w:val="baseline"/>
        <w:rPr>
          <w:rFonts w:ascii="仿宋_GB2312" w:hAnsi="仿宋_GB2312" w:eastAsia="仿宋_GB2312" w:cs="仿宋_GB2312"/>
          <w:b w:val="0"/>
          <w:i w:val="0"/>
          <w:caps w:val="0"/>
          <w:spacing w:val="0"/>
          <w:w w:val="100"/>
          <w:sz w:val="24"/>
        </w:rPr>
      </w:pPr>
      <w:r>
        <w:rPr>
          <w:rFonts w:hint="eastAsia" w:ascii="仿宋_GB2312" w:hAnsi="仿宋_GB2312" w:eastAsia="仿宋_GB2312" w:cs="仿宋_GB2312"/>
          <w:b w:val="0"/>
          <w:i w:val="0"/>
          <w:caps w:val="0"/>
          <w:spacing w:val="0"/>
          <w:w w:val="100"/>
          <w:sz w:val="24"/>
        </w:rPr>
        <w:t>2</w:t>
      </w:r>
      <w:r>
        <w:rPr>
          <w:rFonts w:hint="eastAsia" w:ascii="仿宋_GB2312" w:hAnsi="仿宋_GB2312" w:eastAsia="仿宋_GB2312" w:cs="仿宋_GB2312"/>
          <w:b w:val="0"/>
          <w:i w:val="0"/>
          <w:caps w:val="0"/>
          <w:spacing w:val="0"/>
          <w:w w:val="100"/>
          <w:sz w:val="24"/>
          <w:lang w:val="en-US" w:eastAsia="zh-CN"/>
        </w:rPr>
        <w:t>4</w:t>
      </w:r>
      <w:r>
        <w:rPr>
          <w:rFonts w:hint="eastAsia" w:ascii="仿宋_GB2312" w:hAnsi="仿宋_GB2312" w:eastAsia="仿宋_GB2312" w:cs="仿宋_GB2312"/>
          <w:b w:val="0"/>
          <w:i w:val="0"/>
          <w:caps w:val="0"/>
          <w:spacing w:val="0"/>
          <w:w w:val="100"/>
          <w:sz w:val="24"/>
        </w:rPr>
        <w:t>.1</w:t>
      </w:r>
      <w:r>
        <w:rPr>
          <w:rFonts w:hint="eastAsia" w:ascii="仿宋_GB2312" w:hAnsi="仿宋_GB2312" w:eastAsia="仿宋_GB2312" w:cs="仿宋_GB2312"/>
          <w:b w:val="0"/>
          <w:i w:val="0"/>
          <w:caps w:val="0"/>
          <w:spacing w:val="0"/>
          <w:w w:val="100"/>
          <w:sz w:val="24"/>
        </w:rPr>
        <w:tab/>
      </w:r>
      <w:r>
        <w:rPr>
          <w:rFonts w:hint="eastAsia" w:ascii="仿宋_GB2312" w:hAnsi="仿宋_GB2312" w:eastAsia="仿宋_GB2312" w:cs="仿宋_GB2312"/>
          <w:b w:val="0"/>
          <w:i w:val="0"/>
          <w:caps w:val="0"/>
          <w:spacing w:val="0"/>
          <w:w w:val="100"/>
          <w:sz w:val="24"/>
        </w:rPr>
        <w:t>经符合性审查合格的投标文件，评标委员会将根据招标文件确定的评标方法和标准，对其投标文件作进一步的比较和评价。</w:t>
      </w:r>
    </w:p>
    <w:p w14:paraId="0DD4AD7F">
      <w:pPr>
        <w:snapToGrid/>
        <w:spacing w:before="0" w:beforeAutospacing="0" w:after="0" w:afterAutospacing="0" w:line="288" w:lineRule="auto"/>
        <w:ind w:hangingChars="375"/>
        <w:jc w:val="both"/>
        <w:textAlignment w:val="baseline"/>
        <w:rPr>
          <w:rFonts w:ascii="仿宋_GB2312" w:hAnsi="仿宋_GB2312" w:eastAsia="仿宋_GB2312" w:cs="仿宋_GB2312"/>
          <w:b w:val="0"/>
          <w:i w:val="0"/>
          <w:caps w:val="0"/>
          <w:spacing w:val="0"/>
          <w:w w:val="100"/>
          <w:sz w:val="24"/>
        </w:rPr>
      </w:pPr>
      <w:r>
        <w:rPr>
          <w:rFonts w:hint="eastAsia" w:ascii="仿宋_GB2312" w:hAnsi="仿宋_GB2312" w:eastAsia="仿宋_GB2312" w:cs="仿宋_GB2312"/>
          <w:b w:val="0"/>
          <w:i w:val="0"/>
          <w:caps w:val="0"/>
          <w:spacing w:val="0"/>
          <w:w w:val="100"/>
          <w:sz w:val="24"/>
        </w:rPr>
        <w:t>2</w:t>
      </w:r>
      <w:r>
        <w:rPr>
          <w:rFonts w:hint="eastAsia" w:ascii="仿宋_GB2312" w:hAnsi="仿宋_GB2312" w:eastAsia="仿宋_GB2312" w:cs="仿宋_GB2312"/>
          <w:b w:val="0"/>
          <w:i w:val="0"/>
          <w:caps w:val="0"/>
          <w:spacing w:val="0"/>
          <w:w w:val="100"/>
          <w:sz w:val="24"/>
          <w:lang w:val="en-US" w:eastAsia="zh-CN"/>
        </w:rPr>
        <w:t>4</w:t>
      </w:r>
      <w:r>
        <w:rPr>
          <w:rFonts w:hint="eastAsia" w:ascii="仿宋_GB2312" w:hAnsi="仿宋_GB2312" w:eastAsia="仿宋_GB2312" w:cs="仿宋_GB2312"/>
          <w:b w:val="0"/>
          <w:i w:val="0"/>
          <w:caps w:val="0"/>
          <w:spacing w:val="0"/>
          <w:w w:val="100"/>
          <w:sz w:val="24"/>
        </w:rPr>
        <w:t xml:space="preserve">.2  </w:t>
      </w:r>
      <w:r>
        <w:rPr>
          <w:rFonts w:hint="eastAsia" w:ascii="仿宋_GB2312" w:hAnsi="仿宋_GB2312" w:eastAsia="仿宋_GB2312" w:cs="仿宋_GB2312"/>
          <w:b w:val="0"/>
          <w:i w:val="0"/>
          <w:caps w:val="0"/>
          <w:spacing w:val="0"/>
          <w:w w:val="100"/>
          <w:sz w:val="24"/>
        </w:rPr>
        <w:tab/>
      </w:r>
      <w:r>
        <w:rPr>
          <w:rFonts w:hint="eastAsia" w:ascii="仿宋_GB2312" w:hAnsi="仿宋_GB2312" w:eastAsia="仿宋_GB2312" w:cs="仿宋_GB2312"/>
          <w:b w:val="0"/>
          <w:i w:val="0"/>
          <w:caps w:val="0"/>
          <w:spacing w:val="0"/>
          <w:w w:val="100"/>
          <w:sz w:val="24"/>
        </w:rPr>
        <w:t>评标严格按照招标文件的要求和条件进行。根据实际情况，在</w:t>
      </w:r>
      <w:r>
        <w:rPr>
          <w:rFonts w:hint="eastAsia" w:ascii="仿宋_GB2312" w:hAnsi="仿宋_GB2312" w:eastAsia="仿宋_GB2312" w:cs="仿宋_GB2312"/>
          <w:b w:val="0"/>
          <w:i w:val="0"/>
          <w:caps w:val="0"/>
          <w:spacing w:val="0"/>
          <w:w w:val="100"/>
          <w:sz w:val="24"/>
          <w:u w:val="single" w:color="000000"/>
        </w:rPr>
        <w:t>投标人须知资料表</w:t>
      </w:r>
      <w:r>
        <w:rPr>
          <w:rFonts w:hint="eastAsia" w:ascii="仿宋_GB2312" w:hAnsi="仿宋_GB2312" w:eastAsia="仿宋_GB2312" w:cs="仿宋_GB2312"/>
          <w:b w:val="0"/>
          <w:i w:val="0"/>
          <w:caps w:val="0"/>
          <w:spacing w:val="0"/>
          <w:w w:val="100"/>
          <w:sz w:val="24"/>
        </w:rPr>
        <w:t>中规定采用下列一种评标方法，详细评标标准见招标文件第六章：</w:t>
      </w:r>
    </w:p>
    <w:p w14:paraId="3BF631BA">
      <w:pPr>
        <w:pStyle w:val="20"/>
        <w:snapToGrid/>
        <w:spacing w:before="0" w:beforeAutospacing="0" w:after="0" w:afterAutospacing="0" w:line="288" w:lineRule="auto"/>
        <w:ind w:left="899" w:leftChars="342" w:hanging="181"/>
        <w:jc w:val="both"/>
        <w:textAlignment w:val="baseline"/>
        <w:rPr>
          <w:rFonts w:ascii="仿宋_GB2312" w:hAnsi="仿宋_GB2312" w:eastAsia="仿宋_GB2312" w:cs="仿宋_GB2312"/>
          <w:b w:val="0"/>
          <w:i w:val="0"/>
          <w:caps w:val="0"/>
          <w:spacing w:val="0"/>
          <w:w w:val="100"/>
          <w:sz w:val="24"/>
          <w:szCs w:val="24"/>
        </w:rPr>
      </w:pPr>
      <w:r>
        <w:rPr>
          <w:rFonts w:hint="eastAsia" w:ascii="仿宋_GB2312" w:hAnsi="仿宋_GB2312" w:eastAsia="仿宋_GB2312" w:cs="仿宋_GB2312"/>
          <w:b w:val="0"/>
          <w:i w:val="0"/>
          <w:caps w:val="0"/>
          <w:spacing w:val="0"/>
          <w:w w:val="100"/>
          <w:sz w:val="24"/>
          <w:szCs w:val="24"/>
        </w:rPr>
        <w:t>（1）最低评标价法，是指投标文件满足招标文件全部实质性要求，且投标报价最低的投标人为中标候选人的评标方法。</w:t>
      </w:r>
    </w:p>
    <w:p w14:paraId="703B3ADF">
      <w:pPr>
        <w:pStyle w:val="20"/>
        <w:snapToGrid/>
        <w:spacing w:before="0" w:beforeAutospacing="0" w:after="0" w:afterAutospacing="0" w:line="288" w:lineRule="auto"/>
        <w:ind w:left="898" w:leftChars="342" w:hanging="180"/>
        <w:jc w:val="both"/>
        <w:textAlignment w:val="baseline"/>
        <w:rPr>
          <w:rFonts w:hint="eastAsia" w:ascii="仿宋_GB2312" w:hAnsi="仿宋_GB2312" w:eastAsia="仿宋_GB2312" w:cs="仿宋_GB2312"/>
          <w:b w:val="0"/>
          <w:i w:val="0"/>
          <w:caps w:val="0"/>
          <w:spacing w:val="0"/>
          <w:w w:val="100"/>
          <w:sz w:val="24"/>
          <w:szCs w:val="24"/>
        </w:rPr>
      </w:pPr>
      <w:r>
        <w:rPr>
          <w:rFonts w:hint="eastAsia" w:ascii="仿宋_GB2312" w:hAnsi="仿宋_GB2312" w:eastAsia="仿宋_GB2312" w:cs="仿宋_GB2312"/>
          <w:b w:val="0"/>
          <w:i w:val="0"/>
          <w:caps w:val="0"/>
          <w:spacing w:val="0"/>
          <w:w w:val="100"/>
          <w:sz w:val="24"/>
          <w:szCs w:val="24"/>
        </w:rPr>
        <w:t>（2）综合评分法，是指投标文件满足招标文件全部实质性要求，且按照评审因素的量化指标评审得分最高的投标人为中标候选人的评标方法。</w:t>
      </w:r>
    </w:p>
    <w:p w14:paraId="1928AF3D">
      <w:pPr>
        <w:pStyle w:val="20"/>
        <w:snapToGrid/>
        <w:spacing w:before="0" w:beforeAutospacing="0" w:after="0" w:afterAutospacing="0" w:line="288" w:lineRule="auto"/>
        <w:ind w:left="720" w:hanging="720" w:hangingChars="300"/>
        <w:jc w:val="both"/>
        <w:textAlignment w:val="baseline"/>
        <w:rPr>
          <w:rFonts w:hint="eastAsia" w:ascii="仿宋_GB2312" w:hAnsi="仿宋_GB2312" w:eastAsia="仿宋_GB2312" w:cs="仿宋_GB2312"/>
          <w:b w:val="0"/>
          <w:i w:val="0"/>
          <w:caps w:val="0"/>
          <w:spacing w:val="0"/>
          <w:w w:val="100"/>
          <w:kern w:val="2"/>
          <w:sz w:val="24"/>
          <w:szCs w:val="24"/>
          <w:lang w:val="en-US" w:eastAsia="zh-CN" w:bidi="ar-SA"/>
        </w:rPr>
      </w:pPr>
      <w:r>
        <w:rPr>
          <w:rFonts w:hint="eastAsia" w:ascii="仿宋_GB2312" w:hAnsi="仿宋_GB2312" w:eastAsia="仿宋_GB2312" w:cs="仿宋_GB2312"/>
          <w:b w:val="0"/>
          <w:i w:val="0"/>
          <w:caps w:val="0"/>
          <w:spacing w:val="0"/>
          <w:w w:val="100"/>
          <w:kern w:val="2"/>
          <w:sz w:val="24"/>
          <w:szCs w:val="24"/>
          <w:lang w:val="en-US" w:eastAsia="zh-CN" w:bidi="ar-SA"/>
        </w:rPr>
        <w:t>24.3  根据《政府采购促进中小企业发展管理办法》(财库「2020]46号)、《关于进一步加大政府采购支持中小企业力度的通知》(财库[2022]19号)《关于落实好政府采购支持中小企业发展的通知》（新财购〔2022〕22号）、《财政部  司法部关于政府采购支持监狱企业发展有关问题的通知》(财库(2014)68号)和《三部门联合发布关于促进残疾人就业政府采购政策的通知》(财库(2017)141号)的规定。对满足价格扣除条件且在投标文件中提交了《投标人企业类型声明函》或省级以上监狱管理局、戒毒管理局(含新疆生产建设兵团)出具的属于监狱企业的证明文件的投标人，其投标报价扣除10-20%后参与评审。具体办法详见招标文件第6章。</w:t>
      </w:r>
    </w:p>
    <w:p w14:paraId="54A40E12">
      <w:pPr>
        <w:pStyle w:val="4"/>
        <w:snapToGrid/>
        <w:spacing w:before="0" w:beforeAutospacing="0" w:after="0" w:afterAutospacing="0" w:line="288" w:lineRule="auto"/>
        <w:jc w:val="left"/>
        <w:textAlignment w:val="baseline"/>
        <w:rPr>
          <w:rFonts w:ascii="仿宋_GB2312" w:hAnsi="仿宋_GB2312" w:eastAsia="仿宋_GB2312" w:cs="仿宋_GB2312"/>
          <w:b/>
          <w:i w:val="0"/>
          <w:caps w:val="0"/>
          <w:spacing w:val="0"/>
          <w:w w:val="100"/>
          <w:sz w:val="24"/>
        </w:rPr>
      </w:pPr>
      <w:bookmarkStart w:id="670" w:name="_Toc19548"/>
      <w:bookmarkStart w:id="671" w:name="_Toc31289"/>
      <w:bookmarkStart w:id="672" w:name="_Toc969"/>
      <w:bookmarkStart w:id="673" w:name="_Toc27384"/>
      <w:bookmarkStart w:id="674" w:name="_Toc24972"/>
      <w:bookmarkStart w:id="675" w:name="_Toc30826"/>
      <w:bookmarkStart w:id="676" w:name="_Toc11175"/>
      <w:bookmarkStart w:id="677" w:name="_Toc1975"/>
      <w:bookmarkStart w:id="678" w:name="_Toc17186"/>
      <w:bookmarkStart w:id="679" w:name="_Toc13265"/>
      <w:bookmarkStart w:id="680" w:name="_Toc30606"/>
      <w:bookmarkStart w:id="681" w:name="_Toc12228"/>
      <w:bookmarkStart w:id="682" w:name="_Toc24769"/>
      <w:bookmarkStart w:id="683" w:name="_Toc515647786"/>
      <w:bookmarkStart w:id="684" w:name="_Toc10707"/>
      <w:bookmarkStart w:id="685" w:name="_Toc31366"/>
      <w:bookmarkStart w:id="686" w:name="_Toc8893"/>
      <w:bookmarkStart w:id="687" w:name="_Toc17843"/>
      <w:bookmarkStart w:id="688" w:name="_Toc11699"/>
      <w:bookmarkStart w:id="689" w:name="_Toc19908"/>
      <w:bookmarkStart w:id="690" w:name="_Toc20311"/>
      <w:bookmarkStart w:id="691" w:name="_Toc16912"/>
      <w:bookmarkStart w:id="692" w:name="_Toc520356169"/>
      <w:r>
        <w:rPr>
          <w:rFonts w:hint="eastAsia" w:ascii="仿宋_GB2312" w:hAnsi="仿宋_GB2312" w:eastAsia="仿宋_GB2312" w:cs="仿宋_GB2312"/>
          <w:b/>
          <w:i w:val="0"/>
          <w:caps w:val="0"/>
          <w:spacing w:val="0"/>
          <w:w w:val="100"/>
          <w:sz w:val="24"/>
        </w:rPr>
        <w:t>25.保密原则</w:t>
      </w:r>
      <w:bookmarkEnd w:id="670"/>
      <w:bookmarkEnd w:id="671"/>
      <w:bookmarkEnd w:id="672"/>
      <w:bookmarkEnd w:id="673"/>
      <w:bookmarkEnd w:id="674"/>
      <w:bookmarkEnd w:id="675"/>
      <w:bookmarkEnd w:id="676"/>
      <w:bookmarkEnd w:id="677"/>
      <w:bookmarkEnd w:id="678"/>
      <w:bookmarkEnd w:id="679"/>
      <w:bookmarkEnd w:id="680"/>
      <w:bookmarkEnd w:id="681"/>
      <w:bookmarkEnd w:id="682"/>
      <w:bookmarkEnd w:id="683"/>
      <w:bookmarkEnd w:id="684"/>
      <w:bookmarkEnd w:id="685"/>
      <w:bookmarkEnd w:id="686"/>
      <w:bookmarkEnd w:id="687"/>
      <w:bookmarkEnd w:id="688"/>
      <w:bookmarkEnd w:id="689"/>
      <w:bookmarkEnd w:id="690"/>
      <w:bookmarkEnd w:id="691"/>
    </w:p>
    <w:p w14:paraId="03AA121C">
      <w:pPr>
        <w:snapToGrid/>
        <w:spacing w:before="0" w:beforeAutospacing="0" w:after="0" w:afterAutospacing="0" w:line="288" w:lineRule="auto"/>
        <w:ind w:hangingChars="375"/>
        <w:jc w:val="both"/>
        <w:textAlignment w:val="baseline"/>
        <w:rPr>
          <w:rFonts w:ascii="仿宋_GB2312" w:hAnsi="仿宋_GB2312" w:eastAsia="仿宋_GB2312" w:cs="仿宋_GB2312"/>
          <w:b w:val="0"/>
          <w:i w:val="0"/>
          <w:caps w:val="0"/>
          <w:spacing w:val="0"/>
          <w:w w:val="100"/>
          <w:sz w:val="24"/>
        </w:rPr>
      </w:pPr>
      <w:r>
        <w:rPr>
          <w:rFonts w:hint="eastAsia" w:ascii="仿宋_GB2312" w:hAnsi="仿宋_GB2312" w:eastAsia="仿宋_GB2312" w:cs="仿宋_GB2312"/>
          <w:b w:val="0"/>
          <w:i w:val="0"/>
          <w:caps w:val="0"/>
          <w:spacing w:val="0"/>
          <w:w w:val="100"/>
          <w:sz w:val="24"/>
        </w:rPr>
        <w:t>25.1</w:t>
      </w:r>
      <w:r>
        <w:rPr>
          <w:rFonts w:hint="eastAsia" w:ascii="仿宋_GB2312" w:hAnsi="仿宋_GB2312" w:eastAsia="仿宋_GB2312" w:cs="仿宋_GB2312"/>
          <w:b w:val="0"/>
          <w:i w:val="0"/>
          <w:caps w:val="0"/>
          <w:spacing w:val="0"/>
          <w:w w:val="100"/>
          <w:sz w:val="24"/>
        </w:rPr>
        <w:tab/>
      </w:r>
      <w:r>
        <w:rPr>
          <w:rFonts w:hint="eastAsia" w:ascii="仿宋_GB2312" w:hAnsi="仿宋_GB2312" w:eastAsia="仿宋_GB2312" w:cs="仿宋_GB2312"/>
          <w:b w:val="0"/>
          <w:i w:val="0"/>
          <w:caps w:val="0"/>
          <w:spacing w:val="0"/>
          <w:w w:val="100"/>
          <w:sz w:val="24"/>
        </w:rPr>
        <w:t>评标将在严格保密的情况下进行。</w:t>
      </w:r>
    </w:p>
    <w:p w14:paraId="09F9F78E">
      <w:pPr>
        <w:snapToGrid/>
        <w:spacing w:before="0" w:beforeAutospacing="0" w:after="0" w:afterAutospacing="0" w:line="288" w:lineRule="auto"/>
        <w:ind w:hangingChars="375"/>
        <w:jc w:val="both"/>
        <w:textAlignment w:val="baseline"/>
        <w:rPr>
          <w:rFonts w:ascii="仿宋_GB2312" w:hAnsi="仿宋_GB2312" w:eastAsia="仿宋_GB2312" w:cs="仿宋_GB2312"/>
          <w:b w:val="0"/>
          <w:i w:val="0"/>
          <w:caps w:val="0"/>
          <w:spacing w:val="0"/>
          <w:w w:val="100"/>
          <w:sz w:val="24"/>
        </w:rPr>
      </w:pPr>
      <w:r>
        <w:rPr>
          <w:rFonts w:hint="eastAsia" w:ascii="仿宋_GB2312" w:hAnsi="仿宋_GB2312" w:eastAsia="仿宋_GB2312" w:cs="仿宋_GB2312"/>
          <w:b w:val="0"/>
          <w:i w:val="0"/>
          <w:caps w:val="0"/>
          <w:spacing w:val="0"/>
          <w:w w:val="100"/>
          <w:sz w:val="24"/>
        </w:rPr>
        <w:t>25.2</w:t>
      </w:r>
      <w:r>
        <w:rPr>
          <w:rFonts w:hint="eastAsia" w:ascii="仿宋_GB2312" w:hAnsi="仿宋_GB2312" w:eastAsia="仿宋_GB2312" w:cs="仿宋_GB2312"/>
          <w:b w:val="0"/>
          <w:i w:val="0"/>
          <w:caps w:val="0"/>
          <w:spacing w:val="0"/>
          <w:w w:val="100"/>
          <w:sz w:val="24"/>
        </w:rPr>
        <w:tab/>
      </w:r>
      <w:r>
        <w:rPr>
          <w:rFonts w:hint="eastAsia" w:ascii="仿宋_GB2312" w:hAnsi="仿宋_GB2312" w:eastAsia="仿宋_GB2312" w:cs="仿宋_GB2312"/>
          <w:b w:val="0"/>
          <w:i w:val="0"/>
          <w:caps w:val="0"/>
          <w:spacing w:val="0"/>
          <w:w w:val="100"/>
          <w:sz w:val="24"/>
        </w:rPr>
        <w:t>政府采购评审专家应当遵守评审工作纪律，不得泄露评审文件、评审情况和评审中获悉的商业秘密。</w:t>
      </w:r>
      <w:bookmarkStart w:id="693" w:name="_Toc515647787"/>
      <w:bookmarkStart w:id="694" w:name="_Toc23904"/>
      <w:bookmarkStart w:id="695" w:name="_Toc12143"/>
      <w:bookmarkStart w:id="696" w:name="_Toc216582810"/>
      <w:bookmarkStart w:id="697" w:name="_Toc2153"/>
    </w:p>
    <w:p w14:paraId="72CD9B66">
      <w:pPr>
        <w:pStyle w:val="2"/>
        <w:snapToGrid/>
        <w:spacing w:before="0" w:beforeAutospacing="0" w:after="0" w:afterAutospacing="0" w:line="288" w:lineRule="auto"/>
        <w:ind w:left="1257" w:leftChars="599" w:firstLine="2500" w:firstLineChars="1042"/>
        <w:jc w:val="both"/>
        <w:textAlignment w:val="baseline"/>
        <w:rPr>
          <w:rFonts w:ascii="仿宋_GB2312" w:hAnsi="仿宋_GB2312" w:eastAsia="仿宋_GB2312" w:cs="仿宋_GB2312"/>
          <w:b/>
          <w:i w:val="0"/>
          <w:caps w:val="0"/>
          <w:spacing w:val="0"/>
          <w:w w:val="100"/>
          <w:sz w:val="24"/>
        </w:rPr>
      </w:pPr>
      <w:bookmarkStart w:id="698" w:name="_Toc13388"/>
      <w:bookmarkStart w:id="699" w:name="_Toc17670"/>
      <w:bookmarkStart w:id="700" w:name="_Toc29576"/>
      <w:bookmarkStart w:id="701" w:name="_Toc4952"/>
      <w:bookmarkStart w:id="702" w:name="_Toc30842"/>
      <w:bookmarkStart w:id="703" w:name="_Toc2098"/>
      <w:bookmarkStart w:id="704" w:name="_Toc9098"/>
      <w:bookmarkStart w:id="705" w:name="_Toc28181"/>
      <w:bookmarkStart w:id="706" w:name="_Toc9033"/>
      <w:bookmarkStart w:id="707" w:name="_Toc11673"/>
      <w:bookmarkStart w:id="708" w:name="_Toc6207"/>
      <w:bookmarkStart w:id="709" w:name="_Toc28894"/>
      <w:bookmarkStart w:id="710" w:name="_Toc31413"/>
      <w:bookmarkStart w:id="711" w:name="_Toc8872"/>
      <w:bookmarkStart w:id="712" w:name="_Toc19969"/>
      <w:bookmarkStart w:id="713" w:name="_Toc4031"/>
      <w:bookmarkStart w:id="714" w:name="_Toc31457"/>
      <w:bookmarkStart w:id="715" w:name="_Toc31174"/>
      <w:r>
        <w:rPr>
          <w:rFonts w:hint="eastAsia" w:ascii="仿宋_GB2312" w:hAnsi="仿宋_GB2312" w:eastAsia="仿宋_GB2312" w:cs="仿宋_GB2312"/>
          <w:b/>
          <w:i w:val="0"/>
          <w:caps w:val="0"/>
          <w:spacing w:val="0"/>
          <w:w w:val="100"/>
          <w:sz w:val="24"/>
        </w:rPr>
        <w:t xml:space="preserve">六   </w:t>
      </w:r>
      <w:bookmarkEnd w:id="692"/>
      <w:r>
        <w:rPr>
          <w:rFonts w:hint="eastAsia" w:ascii="仿宋_GB2312" w:hAnsi="仿宋_GB2312" w:eastAsia="仿宋_GB2312" w:cs="仿宋_GB2312"/>
          <w:b/>
          <w:i w:val="0"/>
          <w:caps w:val="0"/>
          <w:spacing w:val="0"/>
          <w:w w:val="100"/>
          <w:sz w:val="24"/>
        </w:rPr>
        <w:t>确定中标</w:t>
      </w:r>
      <w:bookmarkEnd w:id="693"/>
      <w:bookmarkEnd w:id="694"/>
      <w:bookmarkEnd w:id="695"/>
      <w:bookmarkEnd w:id="696"/>
      <w:bookmarkEnd w:id="697"/>
      <w:bookmarkEnd w:id="698"/>
      <w:bookmarkEnd w:id="699"/>
      <w:bookmarkEnd w:id="700"/>
      <w:bookmarkEnd w:id="701"/>
      <w:bookmarkEnd w:id="702"/>
      <w:bookmarkEnd w:id="703"/>
      <w:bookmarkEnd w:id="704"/>
      <w:bookmarkEnd w:id="705"/>
      <w:bookmarkEnd w:id="706"/>
      <w:bookmarkEnd w:id="707"/>
      <w:bookmarkEnd w:id="708"/>
      <w:bookmarkEnd w:id="709"/>
      <w:bookmarkEnd w:id="710"/>
      <w:bookmarkEnd w:id="711"/>
      <w:bookmarkEnd w:id="712"/>
      <w:bookmarkEnd w:id="713"/>
      <w:bookmarkEnd w:id="714"/>
      <w:bookmarkEnd w:id="715"/>
    </w:p>
    <w:p w14:paraId="3668FDAE">
      <w:pPr>
        <w:pStyle w:val="9"/>
        <w:snapToGrid/>
        <w:spacing w:before="0" w:beforeAutospacing="0" w:after="0" w:afterAutospacing="0" w:line="288" w:lineRule="auto"/>
        <w:ind w:firstLine="420"/>
        <w:jc w:val="left"/>
        <w:textAlignment w:val="baseline"/>
        <w:rPr>
          <w:rFonts w:ascii="仿宋_GB2312" w:hAnsi="仿宋_GB2312" w:eastAsia="仿宋_GB2312" w:cs="仿宋_GB2312"/>
          <w:b w:val="0"/>
          <w:i w:val="0"/>
          <w:caps w:val="0"/>
          <w:spacing w:val="0"/>
          <w:w w:val="100"/>
          <w:sz w:val="24"/>
        </w:rPr>
      </w:pPr>
    </w:p>
    <w:p w14:paraId="07D73C15">
      <w:pPr>
        <w:pStyle w:val="4"/>
        <w:snapToGrid/>
        <w:spacing w:before="0" w:beforeAutospacing="0" w:after="0" w:afterAutospacing="0" w:line="288" w:lineRule="auto"/>
        <w:jc w:val="left"/>
        <w:textAlignment w:val="baseline"/>
        <w:rPr>
          <w:rFonts w:ascii="仿宋_GB2312" w:hAnsi="仿宋_GB2312" w:eastAsia="仿宋_GB2312" w:cs="仿宋_GB2312"/>
          <w:b/>
          <w:i w:val="0"/>
          <w:caps w:val="0"/>
          <w:spacing w:val="0"/>
          <w:w w:val="100"/>
          <w:sz w:val="24"/>
        </w:rPr>
      </w:pPr>
      <w:bookmarkStart w:id="716" w:name="_Toc29826"/>
      <w:bookmarkStart w:id="717" w:name="_Toc31953"/>
      <w:bookmarkStart w:id="718" w:name="_Toc515647788"/>
      <w:bookmarkStart w:id="719" w:name="_Toc23502"/>
      <w:bookmarkStart w:id="720" w:name="_Toc25225"/>
      <w:bookmarkStart w:id="721" w:name="_Toc286"/>
      <w:bookmarkStart w:id="722" w:name="_Toc23538"/>
      <w:bookmarkStart w:id="723" w:name="_Toc12677"/>
      <w:bookmarkStart w:id="724" w:name="_Toc5071"/>
      <w:bookmarkStart w:id="725" w:name="_Toc32399"/>
      <w:bookmarkStart w:id="726" w:name="_Toc13121"/>
      <w:bookmarkStart w:id="727" w:name="_Toc30765"/>
      <w:bookmarkStart w:id="728" w:name="_Toc28066"/>
      <w:bookmarkStart w:id="729" w:name="_Toc30908"/>
      <w:bookmarkStart w:id="730" w:name="_Toc3347"/>
      <w:bookmarkStart w:id="731" w:name="_Toc13522"/>
      <w:bookmarkStart w:id="732" w:name="_Toc520356170"/>
      <w:bookmarkStart w:id="733" w:name="_Toc23617"/>
      <w:bookmarkStart w:id="734" w:name="_Toc23762"/>
      <w:bookmarkStart w:id="735" w:name="_Toc11587"/>
      <w:bookmarkStart w:id="736" w:name="_Toc17452"/>
      <w:bookmarkStart w:id="737" w:name="_Ref467307010"/>
      <w:bookmarkStart w:id="738" w:name="_Toc25884"/>
      <w:bookmarkStart w:id="739" w:name="_Toc30556"/>
      <w:r>
        <w:rPr>
          <w:rFonts w:hint="eastAsia" w:ascii="仿宋_GB2312" w:hAnsi="仿宋_GB2312" w:eastAsia="仿宋_GB2312" w:cs="仿宋_GB2312"/>
          <w:b/>
          <w:i w:val="0"/>
          <w:caps w:val="0"/>
          <w:spacing w:val="0"/>
          <w:w w:val="100"/>
          <w:sz w:val="24"/>
        </w:rPr>
        <w:t>26.中标候选人的确定原则及标准</w:t>
      </w:r>
      <w:bookmarkEnd w:id="716"/>
      <w:bookmarkEnd w:id="717"/>
      <w:bookmarkEnd w:id="718"/>
      <w:bookmarkEnd w:id="719"/>
      <w:bookmarkEnd w:id="720"/>
      <w:bookmarkEnd w:id="721"/>
      <w:bookmarkEnd w:id="722"/>
      <w:bookmarkEnd w:id="723"/>
      <w:bookmarkEnd w:id="724"/>
      <w:bookmarkEnd w:id="725"/>
      <w:bookmarkEnd w:id="726"/>
      <w:bookmarkEnd w:id="727"/>
      <w:bookmarkEnd w:id="728"/>
      <w:bookmarkEnd w:id="729"/>
      <w:bookmarkEnd w:id="730"/>
      <w:bookmarkEnd w:id="731"/>
      <w:bookmarkEnd w:id="732"/>
      <w:bookmarkEnd w:id="733"/>
      <w:bookmarkEnd w:id="734"/>
      <w:bookmarkEnd w:id="735"/>
      <w:bookmarkEnd w:id="736"/>
      <w:bookmarkEnd w:id="737"/>
      <w:bookmarkEnd w:id="738"/>
      <w:bookmarkEnd w:id="739"/>
    </w:p>
    <w:p w14:paraId="455FD9A4">
      <w:pPr>
        <w:snapToGrid/>
        <w:spacing w:before="0" w:beforeAutospacing="0" w:after="0" w:afterAutospacing="0" w:line="288" w:lineRule="auto"/>
        <w:ind w:hangingChars="375"/>
        <w:jc w:val="both"/>
        <w:textAlignment w:val="baseline"/>
        <w:rPr>
          <w:rFonts w:ascii="仿宋_GB2312" w:hAnsi="仿宋_GB2312" w:eastAsia="仿宋_GB2312" w:cs="仿宋_GB2312"/>
          <w:b w:val="0"/>
          <w:i w:val="0"/>
          <w:caps w:val="0"/>
          <w:spacing w:val="0"/>
          <w:w w:val="100"/>
          <w:sz w:val="24"/>
        </w:rPr>
      </w:pPr>
      <w:r>
        <w:rPr>
          <w:rFonts w:hint="eastAsia" w:ascii="仿宋_GB2312" w:hAnsi="仿宋_GB2312" w:eastAsia="仿宋_GB2312" w:cs="仿宋_GB2312"/>
          <w:b w:val="0"/>
          <w:i w:val="0"/>
          <w:caps w:val="0"/>
          <w:spacing w:val="0"/>
          <w:w w:val="100"/>
          <w:sz w:val="24"/>
        </w:rPr>
        <w:tab/>
      </w:r>
      <w:r>
        <w:rPr>
          <w:rFonts w:hint="eastAsia" w:ascii="仿宋_GB2312" w:hAnsi="仿宋_GB2312" w:eastAsia="仿宋_GB2312" w:cs="仿宋_GB2312"/>
          <w:b w:val="0"/>
          <w:i w:val="0"/>
          <w:caps w:val="0"/>
          <w:spacing w:val="0"/>
          <w:w w:val="100"/>
          <w:sz w:val="24"/>
        </w:rPr>
        <w:t>除第28条规定外，对实质上响应招标文件的投标人按下列方法进行排序，确定投标候选人：</w:t>
      </w:r>
    </w:p>
    <w:p w14:paraId="595A375A">
      <w:pPr>
        <w:snapToGrid/>
        <w:spacing w:before="0" w:beforeAutospacing="0" w:after="0" w:afterAutospacing="0" w:line="288" w:lineRule="auto"/>
        <w:ind w:left="901"/>
        <w:jc w:val="both"/>
        <w:textAlignment w:val="baseline"/>
        <w:rPr>
          <w:rFonts w:ascii="仿宋_GB2312" w:hAnsi="仿宋_GB2312" w:eastAsia="仿宋_GB2312" w:cs="仿宋_GB2312"/>
          <w:b w:val="0"/>
          <w:i w:val="0"/>
          <w:caps w:val="0"/>
          <w:spacing w:val="0"/>
          <w:w w:val="100"/>
          <w:sz w:val="24"/>
        </w:rPr>
      </w:pPr>
      <w:bookmarkStart w:id="740" w:name="_Toc520356171"/>
      <w:bookmarkStart w:id="741" w:name="_Toc515647789"/>
      <w:r>
        <w:rPr>
          <w:rFonts w:hint="eastAsia" w:ascii="仿宋_GB2312" w:hAnsi="仿宋_GB2312" w:eastAsia="仿宋_GB2312" w:cs="仿宋_GB2312"/>
          <w:b w:val="0"/>
          <w:i w:val="0"/>
          <w:caps w:val="0"/>
          <w:spacing w:val="0"/>
          <w:w w:val="100"/>
          <w:sz w:val="24"/>
        </w:rPr>
        <w:t>（1）采用最低评标价法的，除了算术修正和落实政府采购政策需进行的价格扣除外，不对投标人的投标价格进行任何调整。评标结果按修正和扣除后的投标报价由低到高顺序排列。报价相同的处理方式详见招标文件第6章。</w:t>
      </w:r>
    </w:p>
    <w:p w14:paraId="718DCAD7">
      <w:pPr>
        <w:snapToGrid/>
        <w:spacing w:before="0" w:beforeAutospacing="0" w:after="0" w:afterAutospacing="0" w:line="288" w:lineRule="auto"/>
        <w:ind w:left="901"/>
        <w:jc w:val="both"/>
        <w:textAlignment w:val="baseline"/>
        <w:rPr>
          <w:rFonts w:ascii="仿宋_GB2312" w:hAnsi="仿宋_GB2312" w:eastAsia="仿宋_GB2312" w:cs="仿宋_GB2312"/>
          <w:b w:val="0"/>
          <w:i w:val="0"/>
          <w:caps w:val="0"/>
          <w:spacing w:val="0"/>
          <w:w w:val="100"/>
          <w:sz w:val="24"/>
        </w:rPr>
      </w:pPr>
      <w:r>
        <w:rPr>
          <w:rFonts w:hint="eastAsia" w:ascii="仿宋_GB2312" w:hAnsi="仿宋_GB2312" w:eastAsia="仿宋_GB2312" w:cs="仿宋_GB2312"/>
          <w:b w:val="0"/>
          <w:i w:val="0"/>
          <w:caps w:val="0"/>
          <w:spacing w:val="0"/>
          <w:w w:val="100"/>
          <w:sz w:val="24"/>
        </w:rPr>
        <w:t>（2）采用综合评分法的，评标结果按评审后得分由高到低顺序排列。得分相同的，按修正和扣除后的投标报价由低到高顺序排列。得分与投标报价均相同的处理方式详见招标文件第6章。</w:t>
      </w:r>
    </w:p>
    <w:p w14:paraId="6CEF6268">
      <w:pPr>
        <w:pStyle w:val="4"/>
        <w:tabs>
          <w:tab w:val="left" w:pos="900"/>
        </w:tabs>
        <w:snapToGrid/>
        <w:spacing w:before="0" w:beforeAutospacing="0" w:after="0" w:afterAutospacing="0" w:line="288" w:lineRule="auto"/>
        <w:jc w:val="left"/>
        <w:textAlignment w:val="baseline"/>
        <w:rPr>
          <w:rFonts w:ascii="仿宋_GB2312" w:hAnsi="仿宋_GB2312" w:eastAsia="仿宋_GB2312" w:cs="仿宋_GB2312"/>
          <w:b/>
          <w:i w:val="0"/>
          <w:caps w:val="0"/>
          <w:spacing w:val="0"/>
          <w:w w:val="100"/>
          <w:sz w:val="24"/>
        </w:rPr>
      </w:pPr>
      <w:bookmarkStart w:id="742" w:name="_Toc3817"/>
      <w:bookmarkStart w:id="743" w:name="_Toc22105"/>
      <w:bookmarkStart w:id="744" w:name="_Toc24651"/>
      <w:bookmarkStart w:id="745" w:name="_Toc28903"/>
      <w:bookmarkStart w:id="746" w:name="_Toc5299"/>
      <w:bookmarkStart w:id="747" w:name="_Toc9653"/>
      <w:bookmarkStart w:id="748" w:name="_Toc10359"/>
      <w:bookmarkStart w:id="749" w:name="_Toc17755"/>
      <w:bookmarkStart w:id="750" w:name="_Toc31605"/>
      <w:bookmarkStart w:id="751" w:name="_Toc28266"/>
      <w:bookmarkStart w:id="752" w:name="_Toc23951"/>
      <w:bookmarkStart w:id="753" w:name="_Toc15415"/>
      <w:bookmarkStart w:id="754" w:name="_Toc8300"/>
      <w:bookmarkStart w:id="755" w:name="_Toc22922"/>
      <w:bookmarkStart w:id="756" w:name="_Toc14469"/>
      <w:bookmarkStart w:id="757" w:name="_Toc5219"/>
      <w:bookmarkStart w:id="758" w:name="_Toc20480"/>
      <w:bookmarkStart w:id="759" w:name="_Toc1493"/>
      <w:bookmarkStart w:id="760" w:name="_Toc19685"/>
      <w:bookmarkStart w:id="761" w:name="_Toc19950"/>
      <w:bookmarkStart w:id="762" w:name="_Toc9238"/>
      <w:r>
        <w:rPr>
          <w:rFonts w:hint="eastAsia" w:ascii="仿宋_GB2312" w:hAnsi="仿宋_GB2312" w:eastAsia="仿宋_GB2312" w:cs="仿宋_GB2312"/>
          <w:b/>
          <w:i w:val="0"/>
          <w:caps w:val="0"/>
          <w:spacing w:val="0"/>
          <w:w w:val="100"/>
          <w:sz w:val="24"/>
        </w:rPr>
        <w:t>27</w:t>
      </w:r>
      <w:bookmarkEnd w:id="740"/>
      <w:r>
        <w:rPr>
          <w:rFonts w:hint="eastAsia" w:ascii="仿宋_GB2312" w:hAnsi="仿宋_GB2312" w:eastAsia="仿宋_GB2312" w:cs="仿宋_GB2312"/>
          <w:b/>
          <w:i w:val="0"/>
          <w:caps w:val="0"/>
          <w:spacing w:val="0"/>
          <w:w w:val="100"/>
          <w:sz w:val="24"/>
        </w:rPr>
        <w:t>.确定中标候选人和中标人</w:t>
      </w:r>
      <w:bookmarkEnd w:id="741"/>
      <w:bookmarkEnd w:id="742"/>
      <w:bookmarkEnd w:id="743"/>
      <w:bookmarkEnd w:id="744"/>
      <w:bookmarkEnd w:id="745"/>
      <w:bookmarkEnd w:id="746"/>
      <w:bookmarkEnd w:id="747"/>
      <w:bookmarkEnd w:id="748"/>
      <w:bookmarkEnd w:id="749"/>
      <w:bookmarkEnd w:id="750"/>
      <w:bookmarkEnd w:id="751"/>
      <w:bookmarkEnd w:id="752"/>
      <w:bookmarkEnd w:id="753"/>
      <w:bookmarkEnd w:id="754"/>
      <w:bookmarkEnd w:id="755"/>
      <w:bookmarkEnd w:id="756"/>
      <w:bookmarkEnd w:id="757"/>
      <w:bookmarkEnd w:id="758"/>
      <w:bookmarkEnd w:id="759"/>
      <w:bookmarkEnd w:id="760"/>
      <w:bookmarkEnd w:id="761"/>
      <w:bookmarkEnd w:id="762"/>
    </w:p>
    <w:p w14:paraId="572DD777">
      <w:pPr>
        <w:snapToGrid/>
        <w:spacing w:before="0" w:beforeAutospacing="0" w:after="0" w:afterAutospacing="0" w:line="288" w:lineRule="auto"/>
        <w:ind w:hangingChars="375"/>
        <w:jc w:val="both"/>
        <w:textAlignment w:val="baseline"/>
        <w:rPr>
          <w:rFonts w:ascii="仿宋_GB2312" w:hAnsi="仿宋_GB2312" w:eastAsia="仿宋_GB2312" w:cs="仿宋_GB2312"/>
          <w:b w:val="0"/>
          <w:i w:val="0"/>
          <w:caps w:val="0"/>
          <w:spacing w:val="0"/>
          <w:w w:val="100"/>
          <w:sz w:val="24"/>
        </w:rPr>
      </w:pPr>
      <w:r>
        <w:rPr>
          <w:rFonts w:hint="eastAsia" w:ascii="仿宋_GB2312" w:hAnsi="仿宋_GB2312" w:eastAsia="仿宋_GB2312" w:cs="仿宋_GB2312"/>
          <w:b w:val="0"/>
          <w:i w:val="0"/>
          <w:caps w:val="0"/>
          <w:spacing w:val="0"/>
          <w:w w:val="100"/>
          <w:sz w:val="24"/>
        </w:rPr>
        <w:tab/>
      </w:r>
      <w:r>
        <w:rPr>
          <w:rFonts w:hint="eastAsia" w:ascii="仿宋_GB2312" w:hAnsi="仿宋_GB2312" w:eastAsia="仿宋_GB2312" w:cs="仿宋_GB2312"/>
          <w:b w:val="0"/>
          <w:i w:val="0"/>
          <w:caps w:val="0"/>
          <w:spacing w:val="0"/>
          <w:w w:val="100"/>
          <w:sz w:val="24"/>
        </w:rPr>
        <w:t>评标委员会将根据评标标准，按</w:t>
      </w:r>
      <w:r>
        <w:rPr>
          <w:rFonts w:hint="eastAsia" w:ascii="仿宋_GB2312" w:hAnsi="仿宋_GB2312" w:eastAsia="仿宋_GB2312" w:cs="仿宋_GB2312"/>
          <w:b w:val="0"/>
          <w:i w:val="0"/>
          <w:caps w:val="0"/>
          <w:spacing w:val="0"/>
          <w:w w:val="100"/>
          <w:sz w:val="24"/>
          <w:u w:val="single" w:color="000000"/>
        </w:rPr>
        <w:t>投标人须知资料表中</w:t>
      </w:r>
      <w:r>
        <w:rPr>
          <w:rFonts w:hint="eastAsia" w:ascii="仿宋_GB2312" w:hAnsi="仿宋_GB2312" w:eastAsia="仿宋_GB2312" w:cs="仿宋_GB2312"/>
          <w:b w:val="0"/>
          <w:i w:val="0"/>
          <w:caps w:val="0"/>
          <w:spacing w:val="0"/>
          <w:w w:val="100"/>
          <w:sz w:val="24"/>
        </w:rPr>
        <w:t>规定数量推荐中标候选人；或根据采购人的委托，直接确定中标人。</w:t>
      </w:r>
    </w:p>
    <w:p w14:paraId="6730305F">
      <w:pPr>
        <w:pStyle w:val="4"/>
        <w:tabs>
          <w:tab w:val="left" w:pos="900"/>
        </w:tabs>
        <w:snapToGrid/>
        <w:spacing w:before="0" w:beforeAutospacing="0" w:after="0" w:afterAutospacing="0" w:line="288" w:lineRule="auto"/>
        <w:jc w:val="left"/>
        <w:textAlignment w:val="baseline"/>
        <w:rPr>
          <w:rFonts w:ascii="仿宋_GB2312" w:hAnsi="仿宋_GB2312" w:eastAsia="仿宋_GB2312" w:cs="仿宋_GB2312"/>
          <w:b/>
          <w:i w:val="0"/>
          <w:caps w:val="0"/>
          <w:spacing w:val="0"/>
          <w:w w:val="100"/>
          <w:sz w:val="24"/>
        </w:rPr>
      </w:pPr>
      <w:bookmarkStart w:id="763" w:name="_Ref467306874"/>
      <w:bookmarkStart w:id="764" w:name="_Toc520356173"/>
      <w:bookmarkStart w:id="765" w:name="_Toc6582"/>
      <w:bookmarkStart w:id="766" w:name="_Toc5444"/>
      <w:bookmarkStart w:id="767" w:name="_Toc26160"/>
      <w:bookmarkStart w:id="768" w:name="_Toc13782"/>
      <w:bookmarkStart w:id="769" w:name="_Toc11881"/>
      <w:bookmarkStart w:id="770" w:name="_Toc28621"/>
      <w:bookmarkStart w:id="771" w:name="_Toc1725"/>
      <w:bookmarkStart w:id="772" w:name="_Toc5937"/>
      <w:bookmarkStart w:id="773" w:name="_Toc19331"/>
      <w:bookmarkStart w:id="774" w:name="_Toc24424"/>
      <w:bookmarkStart w:id="775" w:name="_Toc32749"/>
      <w:bookmarkStart w:id="776" w:name="_Toc25549"/>
      <w:bookmarkStart w:id="777" w:name="_Toc26197"/>
      <w:bookmarkStart w:id="778" w:name="_Toc11867"/>
      <w:bookmarkStart w:id="779" w:name="_Toc16093"/>
      <w:bookmarkStart w:id="780" w:name="_Toc28562"/>
      <w:bookmarkStart w:id="781" w:name="_Toc27049"/>
      <w:bookmarkStart w:id="782" w:name="_Toc8389"/>
      <w:bookmarkStart w:id="783" w:name="_Toc515647790"/>
      <w:bookmarkStart w:id="784" w:name="_Toc8958"/>
      <w:bookmarkStart w:id="785" w:name="_Toc16729"/>
      <w:bookmarkStart w:id="786" w:name="_Toc7783"/>
      <w:r>
        <w:rPr>
          <w:rFonts w:hint="eastAsia" w:ascii="仿宋_GB2312" w:hAnsi="仿宋_GB2312" w:eastAsia="仿宋_GB2312" w:cs="仿宋_GB2312"/>
          <w:b/>
          <w:i w:val="0"/>
          <w:caps w:val="0"/>
          <w:spacing w:val="0"/>
          <w:w w:val="100"/>
          <w:sz w:val="24"/>
        </w:rPr>
        <w:t>28.</w:t>
      </w:r>
      <w:bookmarkEnd w:id="763"/>
      <w:bookmarkEnd w:id="764"/>
      <w:r>
        <w:rPr>
          <w:rFonts w:hint="eastAsia" w:ascii="仿宋_GB2312" w:hAnsi="仿宋_GB2312" w:eastAsia="仿宋_GB2312" w:cs="仿宋_GB2312"/>
          <w:b/>
          <w:i w:val="0"/>
          <w:caps w:val="0"/>
          <w:spacing w:val="0"/>
          <w:w w:val="100"/>
          <w:sz w:val="24"/>
        </w:rPr>
        <w:t>采购任务取消</w:t>
      </w:r>
      <w:bookmarkEnd w:id="765"/>
      <w:bookmarkEnd w:id="766"/>
      <w:bookmarkEnd w:id="767"/>
      <w:bookmarkEnd w:id="768"/>
      <w:bookmarkEnd w:id="769"/>
      <w:bookmarkEnd w:id="770"/>
      <w:bookmarkEnd w:id="771"/>
      <w:bookmarkEnd w:id="772"/>
      <w:bookmarkEnd w:id="773"/>
      <w:bookmarkEnd w:id="774"/>
      <w:bookmarkEnd w:id="775"/>
      <w:bookmarkEnd w:id="776"/>
      <w:bookmarkEnd w:id="777"/>
      <w:bookmarkEnd w:id="778"/>
      <w:bookmarkEnd w:id="779"/>
      <w:bookmarkEnd w:id="780"/>
      <w:bookmarkEnd w:id="781"/>
      <w:bookmarkEnd w:id="782"/>
      <w:bookmarkEnd w:id="783"/>
      <w:bookmarkEnd w:id="784"/>
      <w:bookmarkEnd w:id="785"/>
      <w:bookmarkEnd w:id="786"/>
    </w:p>
    <w:p w14:paraId="3E6F8C30">
      <w:pPr>
        <w:snapToGrid/>
        <w:spacing w:before="0" w:beforeAutospacing="0" w:after="0" w:afterAutospacing="0" w:line="288" w:lineRule="auto"/>
        <w:ind w:hangingChars="375"/>
        <w:jc w:val="both"/>
        <w:textAlignment w:val="baseline"/>
        <w:rPr>
          <w:rFonts w:ascii="仿宋_GB2312" w:hAnsi="仿宋_GB2312" w:eastAsia="仿宋_GB2312" w:cs="仿宋_GB2312"/>
          <w:b w:val="0"/>
          <w:i w:val="0"/>
          <w:caps w:val="0"/>
          <w:spacing w:val="0"/>
          <w:w w:val="100"/>
          <w:sz w:val="24"/>
        </w:rPr>
      </w:pPr>
      <w:r>
        <w:rPr>
          <w:rFonts w:hint="eastAsia" w:ascii="仿宋_GB2312" w:hAnsi="仿宋_GB2312" w:eastAsia="仿宋_GB2312" w:cs="仿宋_GB2312"/>
          <w:b w:val="0"/>
          <w:i w:val="0"/>
          <w:caps w:val="0"/>
          <w:spacing w:val="0"/>
          <w:w w:val="100"/>
          <w:sz w:val="24"/>
        </w:rPr>
        <w:tab/>
      </w:r>
      <w:r>
        <w:rPr>
          <w:rFonts w:hint="eastAsia" w:ascii="仿宋_GB2312" w:hAnsi="仿宋_GB2312" w:eastAsia="仿宋_GB2312" w:cs="仿宋_GB2312"/>
          <w:b w:val="0"/>
          <w:i w:val="0"/>
          <w:caps w:val="0"/>
          <w:spacing w:val="0"/>
          <w:w w:val="100"/>
          <w:sz w:val="24"/>
        </w:rPr>
        <w:t>因重大变故采购任务取消时，采购人有权拒绝任何投标人中标，且对受影响的投标人不承担任何责任。</w:t>
      </w:r>
      <w:bookmarkStart w:id="787" w:name="_Toc520356174"/>
    </w:p>
    <w:p w14:paraId="074C625D">
      <w:pPr>
        <w:pStyle w:val="4"/>
        <w:snapToGrid/>
        <w:spacing w:before="0" w:beforeAutospacing="0" w:after="0" w:afterAutospacing="0" w:line="288" w:lineRule="auto"/>
        <w:jc w:val="left"/>
        <w:textAlignment w:val="baseline"/>
        <w:rPr>
          <w:rFonts w:ascii="仿宋_GB2312" w:hAnsi="仿宋_GB2312" w:eastAsia="仿宋_GB2312" w:cs="仿宋_GB2312"/>
          <w:b/>
          <w:i w:val="0"/>
          <w:caps w:val="0"/>
          <w:spacing w:val="0"/>
          <w:w w:val="100"/>
          <w:sz w:val="24"/>
        </w:rPr>
      </w:pPr>
      <w:bookmarkStart w:id="788" w:name="_Toc25468"/>
      <w:bookmarkStart w:id="789" w:name="_Toc3276"/>
      <w:bookmarkStart w:id="790" w:name="_Toc17031"/>
      <w:bookmarkStart w:id="791" w:name="_Toc30768"/>
      <w:bookmarkStart w:id="792" w:name="_Toc847"/>
      <w:bookmarkStart w:id="793" w:name="_Toc2614"/>
      <w:bookmarkStart w:id="794" w:name="_Toc18506"/>
      <w:bookmarkStart w:id="795" w:name="_Toc5136"/>
      <w:bookmarkStart w:id="796" w:name="_Toc31142"/>
      <w:bookmarkStart w:id="797" w:name="_Toc31099"/>
      <w:bookmarkStart w:id="798" w:name="_Toc30170"/>
      <w:bookmarkStart w:id="799" w:name="_Toc10164"/>
      <w:bookmarkStart w:id="800" w:name="_Toc515647791"/>
      <w:bookmarkStart w:id="801" w:name="_Toc13508"/>
      <w:bookmarkStart w:id="802" w:name="_Toc31281"/>
      <w:bookmarkStart w:id="803" w:name="_Toc9136"/>
      <w:bookmarkStart w:id="804" w:name="_Toc20703"/>
      <w:bookmarkStart w:id="805" w:name="_Toc17230"/>
      <w:bookmarkStart w:id="806" w:name="_Toc22190"/>
      <w:bookmarkStart w:id="807" w:name="_Toc5808"/>
      <w:bookmarkStart w:id="808" w:name="_Toc23988"/>
      <w:bookmarkStart w:id="809" w:name="_Toc31992"/>
      <w:r>
        <w:rPr>
          <w:rFonts w:hint="eastAsia" w:ascii="仿宋_GB2312" w:hAnsi="仿宋_GB2312" w:eastAsia="仿宋_GB2312" w:cs="仿宋_GB2312"/>
          <w:b/>
          <w:i w:val="0"/>
          <w:caps w:val="0"/>
          <w:spacing w:val="0"/>
          <w:w w:val="100"/>
          <w:sz w:val="24"/>
        </w:rPr>
        <w:t>29.中标通知书</w:t>
      </w:r>
      <w:bookmarkEnd w:id="787"/>
      <w:bookmarkEnd w:id="788"/>
      <w:bookmarkEnd w:id="789"/>
      <w:bookmarkEnd w:id="790"/>
      <w:bookmarkEnd w:id="791"/>
      <w:bookmarkEnd w:id="792"/>
      <w:bookmarkEnd w:id="793"/>
      <w:bookmarkEnd w:id="794"/>
      <w:bookmarkEnd w:id="795"/>
      <w:bookmarkEnd w:id="796"/>
      <w:bookmarkEnd w:id="797"/>
      <w:bookmarkEnd w:id="798"/>
      <w:bookmarkEnd w:id="799"/>
      <w:bookmarkEnd w:id="800"/>
      <w:bookmarkEnd w:id="801"/>
      <w:bookmarkEnd w:id="802"/>
      <w:bookmarkEnd w:id="803"/>
      <w:bookmarkEnd w:id="804"/>
      <w:bookmarkEnd w:id="805"/>
      <w:bookmarkEnd w:id="806"/>
      <w:bookmarkEnd w:id="807"/>
      <w:bookmarkEnd w:id="808"/>
      <w:bookmarkEnd w:id="809"/>
    </w:p>
    <w:p w14:paraId="558E3BFB">
      <w:pPr>
        <w:snapToGrid/>
        <w:spacing w:before="0" w:beforeAutospacing="0" w:after="0" w:afterAutospacing="0" w:line="288" w:lineRule="auto"/>
        <w:ind w:hangingChars="375"/>
        <w:jc w:val="both"/>
        <w:textAlignment w:val="baseline"/>
        <w:rPr>
          <w:rFonts w:ascii="仿宋_GB2312" w:hAnsi="仿宋_GB2312" w:eastAsia="仿宋_GB2312" w:cs="仿宋_GB2312"/>
          <w:b w:val="0"/>
          <w:i w:val="0"/>
          <w:caps w:val="0"/>
          <w:spacing w:val="0"/>
          <w:w w:val="100"/>
          <w:sz w:val="24"/>
        </w:rPr>
      </w:pPr>
      <w:r>
        <w:rPr>
          <w:rFonts w:hint="eastAsia" w:ascii="仿宋_GB2312" w:hAnsi="仿宋_GB2312" w:eastAsia="仿宋_GB2312" w:cs="仿宋_GB2312"/>
          <w:b w:val="0"/>
          <w:i w:val="0"/>
          <w:caps w:val="0"/>
          <w:spacing w:val="0"/>
          <w:w w:val="100"/>
          <w:sz w:val="24"/>
        </w:rPr>
        <w:t>29.1</w:t>
      </w:r>
      <w:r>
        <w:rPr>
          <w:rFonts w:hint="eastAsia" w:ascii="仿宋_GB2312" w:hAnsi="仿宋_GB2312" w:eastAsia="仿宋_GB2312" w:cs="仿宋_GB2312"/>
          <w:b w:val="0"/>
          <w:i w:val="0"/>
          <w:caps w:val="0"/>
          <w:spacing w:val="0"/>
          <w:w w:val="100"/>
          <w:sz w:val="24"/>
        </w:rPr>
        <w:tab/>
      </w:r>
      <w:r>
        <w:rPr>
          <w:rFonts w:hint="eastAsia" w:ascii="仿宋_GB2312" w:hAnsi="仿宋_GB2312" w:eastAsia="仿宋_GB2312" w:cs="仿宋_GB2312"/>
          <w:b w:val="0"/>
          <w:i w:val="0"/>
          <w:caps w:val="0"/>
          <w:spacing w:val="0"/>
          <w:w w:val="100"/>
          <w:sz w:val="24"/>
        </w:rPr>
        <w:t>在投标有效期内，中标人确定后，采购人或者采购代理机构发布中标公告，公示期后以书面形式向中标人发出中标通知书。</w:t>
      </w:r>
    </w:p>
    <w:p w14:paraId="299B879E">
      <w:pPr>
        <w:snapToGrid/>
        <w:spacing w:before="0" w:beforeAutospacing="0" w:after="0" w:afterAutospacing="0" w:line="288" w:lineRule="auto"/>
        <w:ind w:hangingChars="375"/>
        <w:jc w:val="both"/>
        <w:textAlignment w:val="baseline"/>
        <w:rPr>
          <w:rFonts w:ascii="仿宋_GB2312" w:hAnsi="仿宋_GB2312" w:eastAsia="仿宋_GB2312" w:cs="仿宋_GB2312"/>
          <w:b w:val="0"/>
          <w:i w:val="0"/>
          <w:caps w:val="0"/>
          <w:spacing w:val="0"/>
          <w:w w:val="100"/>
          <w:sz w:val="24"/>
        </w:rPr>
      </w:pPr>
      <w:r>
        <w:rPr>
          <w:rFonts w:hint="eastAsia" w:ascii="仿宋_GB2312" w:hAnsi="仿宋_GB2312" w:eastAsia="仿宋_GB2312" w:cs="仿宋_GB2312"/>
          <w:b w:val="0"/>
          <w:i w:val="0"/>
          <w:caps w:val="0"/>
          <w:spacing w:val="0"/>
          <w:w w:val="100"/>
          <w:sz w:val="24"/>
        </w:rPr>
        <w:t>29.2</w:t>
      </w:r>
      <w:r>
        <w:rPr>
          <w:rFonts w:hint="eastAsia" w:ascii="仿宋_GB2312" w:hAnsi="仿宋_GB2312" w:eastAsia="仿宋_GB2312" w:cs="仿宋_GB2312"/>
          <w:b w:val="0"/>
          <w:i w:val="0"/>
          <w:caps w:val="0"/>
          <w:spacing w:val="0"/>
          <w:w w:val="100"/>
          <w:sz w:val="24"/>
        </w:rPr>
        <w:tab/>
      </w:r>
      <w:r>
        <w:rPr>
          <w:rFonts w:hint="eastAsia" w:ascii="仿宋_GB2312" w:hAnsi="仿宋_GB2312" w:eastAsia="仿宋_GB2312" w:cs="仿宋_GB2312"/>
          <w:b w:val="0"/>
          <w:i w:val="0"/>
          <w:caps w:val="0"/>
          <w:spacing w:val="0"/>
          <w:w w:val="100"/>
          <w:sz w:val="24"/>
        </w:rPr>
        <w:t>中标通知书是合同的组成部分。</w:t>
      </w:r>
    </w:p>
    <w:p w14:paraId="0990FA12">
      <w:pPr>
        <w:pStyle w:val="4"/>
        <w:snapToGrid/>
        <w:spacing w:before="0" w:beforeAutospacing="0" w:after="0" w:afterAutospacing="0" w:line="288" w:lineRule="auto"/>
        <w:jc w:val="left"/>
        <w:textAlignment w:val="baseline"/>
        <w:rPr>
          <w:rFonts w:ascii="仿宋_GB2312" w:hAnsi="仿宋_GB2312" w:eastAsia="仿宋_GB2312" w:cs="仿宋_GB2312"/>
          <w:b/>
          <w:i w:val="0"/>
          <w:caps w:val="0"/>
          <w:spacing w:val="0"/>
          <w:w w:val="100"/>
          <w:sz w:val="24"/>
        </w:rPr>
      </w:pPr>
      <w:bookmarkStart w:id="810" w:name="_Ref467307204"/>
      <w:bookmarkStart w:id="811" w:name="_Toc3404"/>
      <w:bookmarkStart w:id="812" w:name="_Ref467306377"/>
      <w:bookmarkStart w:id="813" w:name="_Toc520356175"/>
      <w:bookmarkStart w:id="814" w:name="_Toc28520"/>
      <w:bookmarkStart w:id="815" w:name="_Toc24763"/>
      <w:bookmarkStart w:id="816" w:name="_Toc27557"/>
      <w:bookmarkStart w:id="817" w:name="_Toc11910"/>
      <w:bookmarkStart w:id="818" w:name="_Toc1792"/>
      <w:bookmarkStart w:id="819" w:name="_Toc10227"/>
      <w:bookmarkStart w:id="820" w:name="_Toc25617"/>
      <w:bookmarkStart w:id="821" w:name="_Toc790"/>
      <w:bookmarkStart w:id="822" w:name="_Toc14795"/>
      <w:bookmarkStart w:id="823" w:name="_Toc7779"/>
      <w:bookmarkStart w:id="824" w:name="_Toc6177"/>
      <w:bookmarkStart w:id="825" w:name="_Toc19020"/>
      <w:bookmarkStart w:id="826" w:name="_Toc29585"/>
      <w:bookmarkStart w:id="827" w:name="_Toc515647792"/>
      <w:bookmarkStart w:id="828" w:name="_Ref467307062"/>
      <w:bookmarkStart w:id="829" w:name="_Ref467306978"/>
      <w:bookmarkStart w:id="830" w:name="_Toc28367"/>
      <w:bookmarkStart w:id="831" w:name="_Toc24939"/>
      <w:bookmarkStart w:id="832" w:name="_Toc11701"/>
      <w:bookmarkStart w:id="833" w:name="_Toc31080"/>
      <w:bookmarkStart w:id="834" w:name="_Toc15601"/>
      <w:bookmarkStart w:id="835" w:name="_Toc17224"/>
      <w:bookmarkStart w:id="836" w:name="_Toc32036"/>
      <w:r>
        <w:rPr>
          <w:rFonts w:hint="eastAsia" w:ascii="仿宋_GB2312" w:hAnsi="仿宋_GB2312" w:eastAsia="仿宋_GB2312" w:cs="仿宋_GB2312"/>
          <w:b/>
          <w:i w:val="0"/>
          <w:caps w:val="0"/>
          <w:spacing w:val="0"/>
          <w:w w:val="100"/>
          <w:sz w:val="24"/>
        </w:rPr>
        <w:t>30.签订合同</w:t>
      </w:r>
      <w:bookmarkEnd w:id="810"/>
      <w:bookmarkEnd w:id="811"/>
      <w:bookmarkEnd w:id="812"/>
      <w:bookmarkEnd w:id="813"/>
      <w:bookmarkEnd w:id="814"/>
      <w:bookmarkEnd w:id="815"/>
      <w:bookmarkEnd w:id="816"/>
      <w:bookmarkEnd w:id="817"/>
      <w:bookmarkEnd w:id="818"/>
      <w:bookmarkEnd w:id="819"/>
      <w:bookmarkEnd w:id="820"/>
      <w:bookmarkEnd w:id="821"/>
      <w:bookmarkEnd w:id="822"/>
      <w:bookmarkEnd w:id="823"/>
      <w:bookmarkEnd w:id="824"/>
      <w:bookmarkEnd w:id="825"/>
      <w:bookmarkEnd w:id="826"/>
      <w:bookmarkEnd w:id="827"/>
      <w:bookmarkEnd w:id="828"/>
      <w:bookmarkEnd w:id="829"/>
      <w:bookmarkEnd w:id="830"/>
      <w:bookmarkEnd w:id="831"/>
      <w:bookmarkEnd w:id="832"/>
      <w:bookmarkEnd w:id="833"/>
      <w:bookmarkEnd w:id="834"/>
      <w:bookmarkEnd w:id="835"/>
      <w:bookmarkEnd w:id="836"/>
    </w:p>
    <w:p w14:paraId="1D6EF0B1">
      <w:pPr>
        <w:snapToGrid/>
        <w:spacing w:before="0" w:beforeAutospacing="0" w:after="0" w:afterAutospacing="0" w:line="288" w:lineRule="auto"/>
        <w:ind w:hangingChars="375"/>
        <w:jc w:val="both"/>
        <w:textAlignment w:val="baseline"/>
        <w:rPr>
          <w:rFonts w:ascii="仿宋_GB2312" w:hAnsi="仿宋_GB2312" w:eastAsia="仿宋_GB2312" w:cs="仿宋_GB2312"/>
          <w:b w:val="0"/>
          <w:i w:val="0"/>
          <w:caps w:val="0"/>
          <w:spacing w:val="0"/>
          <w:w w:val="100"/>
          <w:sz w:val="24"/>
        </w:rPr>
      </w:pPr>
      <w:r>
        <w:rPr>
          <w:rFonts w:hint="eastAsia" w:ascii="仿宋_GB2312" w:hAnsi="仿宋_GB2312" w:eastAsia="仿宋_GB2312" w:cs="仿宋_GB2312"/>
          <w:b w:val="0"/>
          <w:i w:val="0"/>
          <w:caps w:val="0"/>
          <w:spacing w:val="0"/>
          <w:w w:val="100"/>
          <w:sz w:val="24"/>
        </w:rPr>
        <w:t>30.1</w:t>
      </w:r>
      <w:r>
        <w:rPr>
          <w:rFonts w:hint="eastAsia" w:ascii="仿宋_GB2312" w:hAnsi="仿宋_GB2312" w:eastAsia="仿宋_GB2312" w:cs="仿宋_GB2312"/>
          <w:b w:val="0"/>
          <w:i w:val="0"/>
          <w:caps w:val="0"/>
          <w:spacing w:val="0"/>
          <w:w w:val="100"/>
          <w:sz w:val="24"/>
        </w:rPr>
        <w:tab/>
      </w:r>
      <w:r>
        <w:rPr>
          <w:rFonts w:hint="eastAsia" w:ascii="仿宋_GB2312" w:hAnsi="仿宋_GB2312" w:eastAsia="仿宋_GB2312" w:cs="仿宋_GB2312"/>
          <w:b w:val="0"/>
          <w:i w:val="0"/>
          <w:caps w:val="0"/>
          <w:spacing w:val="0"/>
          <w:w w:val="100"/>
          <w:sz w:val="24"/>
        </w:rPr>
        <w:t>中标人应当自发出中标通知书之日起30日内，与采购人签订合同。</w:t>
      </w:r>
    </w:p>
    <w:p w14:paraId="484CA648">
      <w:pPr>
        <w:snapToGrid/>
        <w:spacing w:before="0" w:beforeAutospacing="0" w:after="0" w:afterAutospacing="0" w:line="288" w:lineRule="auto"/>
        <w:ind w:hangingChars="375"/>
        <w:jc w:val="both"/>
        <w:textAlignment w:val="baseline"/>
        <w:rPr>
          <w:rFonts w:ascii="仿宋_GB2312" w:hAnsi="仿宋_GB2312" w:eastAsia="仿宋_GB2312" w:cs="仿宋_GB2312"/>
          <w:b w:val="0"/>
          <w:i w:val="0"/>
          <w:caps w:val="0"/>
          <w:spacing w:val="0"/>
          <w:w w:val="100"/>
          <w:sz w:val="24"/>
        </w:rPr>
      </w:pPr>
      <w:r>
        <w:rPr>
          <w:rFonts w:hint="eastAsia" w:ascii="仿宋_GB2312" w:hAnsi="仿宋_GB2312" w:eastAsia="仿宋_GB2312" w:cs="仿宋_GB2312"/>
          <w:b w:val="0"/>
          <w:i w:val="0"/>
          <w:caps w:val="0"/>
          <w:spacing w:val="0"/>
          <w:w w:val="100"/>
          <w:sz w:val="24"/>
        </w:rPr>
        <w:t>30.2</w:t>
      </w:r>
      <w:r>
        <w:rPr>
          <w:rFonts w:hint="eastAsia" w:ascii="仿宋_GB2312" w:hAnsi="仿宋_GB2312" w:eastAsia="仿宋_GB2312" w:cs="仿宋_GB2312"/>
          <w:b w:val="0"/>
          <w:i w:val="0"/>
          <w:caps w:val="0"/>
          <w:spacing w:val="0"/>
          <w:w w:val="100"/>
          <w:sz w:val="24"/>
        </w:rPr>
        <w:tab/>
      </w:r>
      <w:bookmarkStart w:id="837" w:name="_Toc520356176"/>
      <w:bookmarkStart w:id="838" w:name="_Ref467307090"/>
      <w:bookmarkStart w:id="839" w:name="_Ref467306425"/>
      <w:r>
        <w:rPr>
          <w:rFonts w:hint="eastAsia" w:ascii="仿宋_GB2312" w:hAnsi="仿宋_GB2312" w:eastAsia="仿宋_GB2312" w:cs="仿宋_GB2312"/>
          <w:b w:val="0"/>
          <w:i w:val="0"/>
          <w:caps w:val="0"/>
          <w:spacing w:val="0"/>
          <w:w w:val="100"/>
          <w:sz w:val="24"/>
        </w:rPr>
        <w:t>招标文件、中标人的投标文件及其澄清文件等，均为签订合同的依据。</w:t>
      </w:r>
    </w:p>
    <w:p w14:paraId="27F89749">
      <w:pPr>
        <w:snapToGrid/>
        <w:spacing w:before="0" w:beforeAutospacing="0" w:after="0" w:afterAutospacing="0" w:line="288" w:lineRule="auto"/>
        <w:ind w:hangingChars="375"/>
        <w:jc w:val="both"/>
        <w:textAlignment w:val="baseline"/>
        <w:rPr>
          <w:rFonts w:ascii="仿宋_GB2312" w:hAnsi="仿宋_GB2312" w:eastAsia="仿宋_GB2312" w:cs="仿宋_GB2312"/>
          <w:b w:val="0"/>
          <w:i w:val="0"/>
          <w:caps w:val="0"/>
          <w:spacing w:val="0"/>
          <w:w w:val="100"/>
          <w:sz w:val="24"/>
        </w:rPr>
      </w:pPr>
      <w:r>
        <w:rPr>
          <w:rFonts w:hint="eastAsia" w:ascii="仿宋_GB2312" w:hAnsi="仿宋_GB2312" w:eastAsia="仿宋_GB2312" w:cs="仿宋_GB2312"/>
          <w:b w:val="0"/>
          <w:i w:val="0"/>
          <w:caps w:val="0"/>
          <w:spacing w:val="0"/>
          <w:w w:val="100"/>
          <w:sz w:val="24"/>
        </w:rPr>
        <w:t>30.3   中标人拒绝与采购人签订合同的，采购人可以按照评审报告推荐的中标候选人名单排序，确定下一中标候选人为中标人，也可以重新开展政府采购活动。</w:t>
      </w:r>
    </w:p>
    <w:p w14:paraId="35DEBC8C">
      <w:pPr>
        <w:snapToGrid/>
        <w:spacing w:before="0" w:beforeAutospacing="0" w:after="0" w:afterAutospacing="0" w:line="288" w:lineRule="auto"/>
        <w:ind w:hangingChars="375"/>
        <w:jc w:val="both"/>
        <w:textAlignment w:val="baseline"/>
        <w:rPr>
          <w:rFonts w:ascii="仿宋_GB2312" w:hAnsi="仿宋_GB2312" w:eastAsia="仿宋_GB2312" w:cs="仿宋_GB2312"/>
          <w:b w:val="0"/>
          <w:i w:val="0"/>
          <w:caps w:val="0"/>
          <w:spacing w:val="0"/>
          <w:w w:val="100"/>
          <w:sz w:val="24"/>
        </w:rPr>
      </w:pPr>
      <w:r>
        <w:rPr>
          <w:rFonts w:hint="eastAsia" w:ascii="仿宋_GB2312" w:hAnsi="仿宋_GB2312" w:eastAsia="仿宋_GB2312" w:cs="仿宋_GB2312"/>
          <w:b w:val="0"/>
          <w:i w:val="0"/>
          <w:caps w:val="0"/>
          <w:spacing w:val="0"/>
          <w:w w:val="100"/>
          <w:sz w:val="24"/>
        </w:rPr>
        <w:t>30.4   当出现法规规定的</w:t>
      </w:r>
      <w:r>
        <w:rPr>
          <w:rFonts w:hint="eastAsia" w:ascii="仿宋_GB2312" w:hAnsi="仿宋_GB2312" w:eastAsia="仿宋_GB2312" w:cs="仿宋_GB2312"/>
          <w:b/>
          <w:i w:val="0"/>
          <w:caps w:val="0"/>
          <w:spacing w:val="0"/>
          <w:w w:val="100"/>
          <w:sz w:val="24"/>
        </w:rPr>
        <w:t>中标无效或中标结果无效</w:t>
      </w:r>
      <w:r>
        <w:rPr>
          <w:rFonts w:hint="eastAsia" w:ascii="仿宋_GB2312" w:hAnsi="仿宋_GB2312" w:eastAsia="仿宋_GB2312" w:cs="仿宋_GB2312"/>
          <w:b w:val="0"/>
          <w:i w:val="0"/>
          <w:caps w:val="0"/>
          <w:spacing w:val="0"/>
          <w:w w:val="100"/>
          <w:sz w:val="24"/>
        </w:rPr>
        <w:t>情形时，采购人可与排名下一位的中标候选人另行签订合同，或依法重新开展采购活动。</w:t>
      </w:r>
    </w:p>
    <w:p w14:paraId="3EA54953">
      <w:pPr>
        <w:pStyle w:val="4"/>
        <w:snapToGrid/>
        <w:spacing w:before="0" w:beforeAutospacing="0" w:after="0" w:afterAutospacing="0" w:line="288" w:lineRule="auto"/>
        <w:jc w:val="left"/>
        <w:textAlignment w:val="baseline"/>
        <w:rPr>
          <w:rFonts w:ascii="仿宋_GB2312" w:hAnsi="仿宋_GB2312" w:eastAsia="仿宋_GB2312" w:cs="仿宋_GB2312"/>
          <w:b/>
          <w:i w:val="0"/>
          <w:caps w:val="0"/>
          <w:spacing w:val="0"/>
          <w:w w:val="100"/>
          <w:sz w:val="24"/>
        </w:rPr>
      </w:pPr>
      <w:bookmarkStart w:id="840" w:name="_Toc16031"/>
      <w:bookmarkStart w:id="841" w:name="_Toc22555"/>
      <w:bookmarkStart w:id="842" w:name="_Toc13900"/>
      <w:bookmarkStart w:id="843" w:name="_Toc11116"/>
      <w:bookmarkStart w:id="844" w:name="_Toc8044"/>
      <w:bookmarkStart w:id="845" w:name="_Toc10395"/>
      <w:bookmarkStart w:id="846" w:name="_Toc14080"/>
      <w:bookmarkStart w:id="847" w:name="_Toc11553"/>
      <w:bookmarkStart w:id="848" w:name="_Toc16785"/>
      <w:bookmarkStart w:id="849" w:name="_Toc15851"/>
      <w:bookmarkStart w:id="850" w:name="_Toc25154"/>
      <w:bookmarkStart w:id="851" w:name="_Toc7003"/>
      <w:bookmarkStart w:id="852" w:name="_Toc9322"/>
      <w:bookmarkStart w:id="853" w:name="_Toc7188"/>
      <w:bookmarkStart w:id="854" w:name="_Toc29549"/>
      <w:bookmarkStart w:id="855" w:name="_Toc27954"/>
      <w:bookmarkStart w:id="856" w:name="_Toc13170"/>
      <w:bookmarkStart w:id="857" w:name="_Toc5487"/>
      <w:bookmarkStart w:id="858" w:name="_Toc515647793"/>
      <w:bookmarkStart w:id="859" w:name="_Toc11523"/>
      <w:bookmarkStart w:id="860" w:name="_Toc25751"/>
      <w:bookmarkStart w:id="861" w:name="_Toc19760"/>
      <w:r>
        <w:rPr>
          <w:rFonts w:hint="eastAsia" w:ascii="仿宋_GB2312" w:hAnsi="仿宋_GB2312" w:eastAsia="仿宋_GB2312" w:cs="仿宋_GB2312"/>
          <w:b/>
          <w:i w:val="0"/>
          <w:caps w:val="0"/>
          <w:spacing w:val="0"/>
          <w:w w:val="100"/>
          <w:sz w:val="24"/>
        </w:rPr>
        <w:t>31.履约保证金</w:t>
      </w:r>
      <w:bookmarkEnd w:id="837"/>
      <w:bookmarkEnd w:id="838"/>
      <w:bookmarkEnd w:id="839"/>
      <w:bookmarkEnd w:id="840"/>
      <w:bookmarkEnd w:id="841"/>
      <w:bookmarkEnd w:id="842"/>
      <w:bookmarkEnd w:id="843"/>
      <w:bookmarkEnd w:id="844"/>
      <w:bookmarkEnd w:id="845"/>
      <w:bookmarkEnd w:id="846"/>
      <w:bookmarkEnd w:id="847"/>
      <w:bookmarkEnd w:id="848"/>
      <w:bookmarkEnd w:id="849"/>
      <w:bookmarkEnd w:id="850"/>
      <w:bookmarkEnd w:id="851"/>
      <w:bookmarkEnd w:id="852"/>
      <w:bookmarkEnd w:id="853"/>
      <w:bookmarkEnd w:id="854"/>
      <w:bookmarkEnd w:id="855"/>
      <w:bookmarkEnd w:id="856"/>
      <w:bookmarkEnd w:id="857"/>
      <w:bookmarkEnd w:id="858"/>
      <w:bookmarkEnd w:id="859"/>
      <w:bookmarkEnd w:id="860"/>
      <w:bookmarkEnd w:id="861"/>
    </w:p>
    <w:p w14:paraId="2A8517C6">
      <w:pPr>
        <w:snapToGrid/>
        <w:spacing w:before="0" w:beforeAutospacing="0" w:after="0" w:afterAutospacing="0" w:line="288" w:lineRule="auto"/>
        <w:ind w:hangingChars="375"/>
        <w:jc w:val="both"/>
        <w:textAlignment w:val="baseline"/>
        <w:rPr>
          <w:rFonts w:ascii="仿宋_GB2312" w:hAnsi="仿宋_GB2312" w:eastAsia="仿宋_GB2312" w:cs="仿宋_GB2312"/>
          <w:b w:val="0"/>
          <w:i w:val="0"/>
          <w:caps w:val="0"/>
          <w:spacing w:val="0"/>
          <w:w w:val="100"/>
          <w:sz w:val="24"/>
        </w:rPr>
      </w:pPr>
      <w:r>
        <w:rPr>
          <w:rFonts w:hint="eastAsia" w:ascii="仿宋_GB2312" w:hAnsi="仿宋_GB2312" w:eastAsia="仿宋_GB2312" w:cs="仿宋_GB2312"/>
          <w:b w:val="0"/>
          <w:i w:val="0"/>
          <w:caps w:val="0"/>
          <w:spacing w:val="0"/>
          <w:w w:val="100"/>
          <w:sz w:val="24"/>
        </w:rPr>
        <w:t>31.1</w:t>
      </w:r>
      <w:r>
        <w:rPr>
          <w:rFonts w:hint="eastAsia" w:ascii="仿宋_GB2312" w:hAnsi="仿宋_GB2312" w:eastAsia="仿宋_GB2312" w:cs="仿宋_GB2312"/>
          <w:b w:val="0"/>
          <w:i w:val="0"/>
          <w:caps w:val="0"/>
          <w:spacing w:val="0"/>
          <w:w w:val="100"/>
          <w:sz w:val="24"/>
        </w:rPr>
        <w:tab/>
      </w:r>
      <w:r>
        <w:rPr>
          <w:rFonts w:hint="eastAsia" w:ascii="仿宋_GB2312" w:hAnsi="仿宋_GB2312" w:eastAsia="仿宋_GB2312" w:cs="仿宋_GB2312"/>
          <w:b w:val="0"/>
          <w:i w:val="0"/>
          <w:caps w:val="0"/>
          <w:spacing w:val="0"/>
          <w:w w:val="100"/>
          <w:sz w:val="24"/>
        </w:rPr>
        <w:t>中标人应按照</w:t>
      </w:r>
      <w:r>
        <w:rPr>
          <w:rFonts w:hint="eastAsia" w:ascii="仿宋_GB2312" w:hAnsi="仿宋_GB2312" w:eastAsia="仿宋_GB2312" w:cs="仿宋_GB2312"/>
          <w:b w:val="0"/>
          <w:i w:val="0"/>
          <w:caps w:val="0"/>
          <w:spacing w:val="0"/>
          <w:w w:val="100"/>
          <w:sz w:val="24"/>
          <w:u w:val="single" w:color="000000"/>
        </w:rPr>
        <w:t>投标人须知资料表</w:t>
      </w:r>
      <w:r>
        <w:rPr>
          <w:rFonts w:hint="eastAsia" w:ascii="仿宋_GB2312" w:hAnsi="仿宋_GB2312" w:eastAsia="仿宋_GB2312" w:cs="仿宋_GB2312"/>
          <w:b w:val="0"/>
          <w:i w:val="0"/>
          <w:caps w:val="0"/>
          <w:spacing w:val="0"/>
          <w:w w:val="100"/>
          <w:sz w:val="24"/>
        </w:rPr>
        <w:t>规定向采购人缴纳履约保证金。</w:t>
      </w:r>
    </w:p>
    <w:p w14:paraId="45997B0D">
      <w:pPr>
        <w:snapToGrid/>
        <w:spacing w:before="0" w:beforeAutospacing="0" w:after="0" w:afterAutospacing="0" w:line="288" w:lineRule="auto"/>
        <w:ind w:hangingChars="375"/>
        <w:jc w:val="both"/>
        <w:textAlignment w:val="baseline"/>
        <w:rPr>
          <w:rFonts w:ascii="仿宋_GB2312" w:hAnsi="仿宋_GB2312" w:eastAsia="仿宋_GB2312" w:cs="仿宋_GB2312"/>
          <w:b w:val="0"/>
          <w:i w:val="0"/>
          <w:caps w:val="0"/>
          <w:spacing w:val="0"/>
          <w:w w:val="100"/>
          <w:sz w:val="24"/>
        </w:rPr>
      </w:pPr>
      <w:r>
        <w:rPr>
          <w:rFonts w:hint="eastAsia" w:ascii="仿宋_GB2312" w:hAnsi="仿宋_GB2312" w:eastAsia="仿宋_GB2312" w:cs="仿宋_GB2312"/>
          <w:b w:val="0"/>
          <w:i w:val="0"/>
          <w:caps w:val="0"/>
          <w:spacing w:val="0"/>
          <w:w w:val="100"/>
          <w:sz w:val="24"/>
        </w:rPr>
        <w:t>31.2   如果中标人没有按照上述履约保证金的规定执行，将视为放弃中标资格，中标人的投标保证金将不予退还。在此情况下，采购人可确定下一候选人为中标人，也可以重新开展采购活动。</w:t>
      </w:r>
    </w:p>
    <w:p w14:paraId="392F8113">
      <w:pPr>
        <w:pStyle w:val="4"/>
        <w:snapToGrid/>
        <w:spacing w:before="0" w:beforeAutospacing="0" w:after="0" w:afterAutospacing="0" w:line="288" w:lineRule="auto"/>
        <w:jc w:val="left"/>
        <w:textAlignment w:val="baseline"/>
        <w:rPr>
          <w:rFonts w:ascii="仿宋_GB2312" w:hAnsi="仿宋_GB2312" w:eastAsia="仿宋_GB2312" w:cs="仿宋_GB2312"/>
          <w:b/>
          <w:i w:val="0"/>
          <w:caps w:val="0"/>
          <w:spacing w:val="0"/>
          <w:w w:val="100"/>
          <w:sz w:val="24"/>
        </w:rPr>
      </w:pPr>
      <w:bookmarkStart w:id="862" w:name="_Toc31936"/>
      <w:bookmarkStart w:id="863" w:name="_Toc17038"/>
      <w:bookmarkStart w:id="864" w:name="_Toc3090"/>
      <w:bookmarkStart w:id="865" w:name="_Toc30049"/>
      <w:bookmarkStart w:id="866" w:name="_Toc20334"/>
      <w:bookmarkStart w:id="867" w:name="_Toc7750"/>
      <w:bookmarkStart w:id="868" w:name="_Toc515647794"/>
      <w:bookmarkStart w:id="869" w:name="_Toc26754"/>
      <w:bookmarkStart w:id="870" w:name="_Toc4524"/>
      <w:bookmarkStart w:id="871" w:name="_Toc817"/>
      <w:bookmarkStart w:id="872" w:name="_Toc24667"/>
      <w:bookmarkStart w:id="873" w:name="_Toc11875"/>
      <w:bookmarkStart w:id="874" w:name="_Toc15895"/>
      <w:bookmarkStart w:id="875" w:name="_Toc27777"/>
      <w:bookmarkStart w:id="876" w:name="_Toc25251"/>
      <w:bookmarkStart w:id="877" w:name="_Toc7922"/>
      <w:bookmarkStart w:id="878" w:name="_Toc29408"/>
      <w:bookmarkStart w:id="879" w:name="_Toc19288"/>
      <w:bookmarkStart w:id="880" w:name="_Toc2864"/>
      <w:bookmarkStart w:id="881" w:name="_Toc10961"/>
      <w:bookmarkStart w:id="882" w:name="_Toc12106"/>
      <w:bookmarkStart w:id="883" w:name="_Toc16457"/>
      <w:r>
        <w:rPr>
          <w:rFonts w:hint="eastAsia" w:ascii="仿宋_GB2312" w:hAnsi="仿宋_GB2312" w:eastAsia="仿宋_GB2312" w:cs="仿宋_GB2312"/>
          <w:b/>
          <w:i w:val="0"/>
          <w:caps w:val="0"/>
          <w:spacing w:val="0"/>
          <w:w w:val="100"/>
          <w:sz w:val="24"/>
        </w:rPr>
        <w:t>32.中标服务费</w:t>
      </w:r>
      <w:bookmarkEnd w:id="862"/>
      <w:bookmarkEnd w:id="863"/>
      <w:bookmarkEnd w:id="864"/>
      <w:bookmarkEnd w:id="865"/>
      <w:bookmarkEnd w:id="866"/>
      <w:bookmarkEnd w:id="867"/>
      <w:bookmarkEnd w:id="868"/>
      <w:bookmarkEnd w:id="869"/>
      <w:bookmarkEnd w:id="870"/>
      <w:bookmarkEnd w:id="871"/>
      <w:bookmarkEnd w:id="872"/>
      <w:bookmarkEnd w:id="873"/>
      <w:bookmarkEnd w:id="874"/>
      <w:bookmarkEnd w:id="875"/>
      <w:bookmarkEnd w:id="876"/>
      <w:bookmarkEnd w:id="877"/>
      <w:bookmarkEnd w:id="878"/>
      <w:bookmarkEnd w:id="879"/>
      <w:bookmarkEnd w:id="880"/>
      <w:bookmarkEnd w:id="881"/>
      <w:bookmarkEnd w:id="882"/>
      <w:bookmarkEnd w:id="883"/>
    </w:p>
    <w:p w14:paraId="47A0A2A5">
      <w:pPr>
        <w:snapToGrid/>
        <w:spacing w:before="0" w:beforeAutospacing="0" w:after="0" w:afterAutospacing="0" w:line="288" w:lineRule="auto"/>
        <w:ind w:left="840" w:leftChars="200" w:hangingChars="175"/>
        <w:jc w:val="both"/>
        <w:textAlignment w:val="baseline"/>
        <w:rPr>
          <w:rFonts w:ascii="仿宋_GB2312" w:hAnsi="仿宋_GB2312" w:eastAsia="仿宋_GB2312" w:cs="仿宋_GB2312"/>
          <w:b w:val="0"/>
          <w:i w:val="0"/>
          <w:caps w:val="0"/>
          <w:spacing w:val="0"/>
          <w:w w:val="100"/>
          <w:sz w:val="24"/>
        </w:rPr>
      </w:pPr>
      <w:r>
        <w:rPr>
          <w:rFonts w:hint="eastAsia" w:ascii="仿宋_GB2312" w:hAnsi="仿宋_GB2312" w:eastAsia="仿宋_GB2312" w:cs="仿宋_GB2312"/>
          <w:b w:val="0"/>
          <w:i w:val="0"/>
          <w:caps w:val="0"/>
          <w:spacing w:val="0"/>
          <w:w w:val="100"/>
          <w:sz w:val="24"/>
        </w:rPr>
        <w:t xml:space="preserve">   中标人须按照</w:t>
      </w:r>
      <w:r>
        <w:rPr>
          <w:rFonts w:hint="eastAsia" w:ascii="仿宋_GB2312" w:hAnsi="仿宋_GB2312" w:eastAsia="仿宋_GB2312" w:cs="仿宋_GB2312"/>
          <w:b w:val="0"/>
          <w:i w:val="0"/>
          <w:caps w:val="0"/>
          <w:spacing w:val="0"/>
          <w:w w:val="100"/>
          <w:sz w:val="24"/>
          <w:u w:val="single" w:color="000000"/>
        </w:rPr>
        <w:t>投标须知资料表</w:t>
      </w:r>
      <w:r>
        <w:rPr>
          <w:rFonts w:hint="eastAsia" w:ascii="仿宋_GB2312" w:hAnsi="仿宋_GB2312" w:eastAsia="仿宋_GB2312" w:cs="仿宋_GB2312"/>
          <w:b w:val="0"/>
          <w:i w:val="0"/>
          <w:caps w:val="0"/>
          <w:spacing w:val="0"/>
          <w:w w:val="100"/>
          <w:sz w:val="24"/>
        </w:rPr>
        <w:t>规定。</w:t>
      </w:r>
    </w:p>
    <w:p w14:paraId="004BD92C">
      <w:pPr>
        <w:pStyle w:val="4"/>
        <w:snapToGrid/>
        <w:spacing w:before="0" w:beforeAutospacing="0" w:after="0" w:afterAutospacing="0" w:line="288" w:lineRule="auto"/>
        <w:jc w:val="left"/>
        <w:textAlignment w:val="baseline"/>
        <w:rPr>
          <w:rFonts w:ascii="仿宋_GB2312" w:hAnsi="仿宋_GB2312" w:eastAsia="仿宋_GB2312" w:cs="仿宋_GB2312"/>
          <w:b/>
          <w:i w:val="0"/>
          <w:caps w:val="0"/>
          <w:spacing w:val="0"/>
          <w:w w:val="100"/>
          <w:sz w:val="24"/>
        </w:rPr>
      </w:pPr>
      <w:bookmarkStart w:id="884" w:name="_Toc16253"/>
      <w:bookmarkStart w:id="885" w:name="_Toc7049"/>
      <w:bookmarkStart w:id="886" w:name="_Toc515647795"/>
      <w:bookmarkStart w:id="887" w:name="_Toc6923"/>
      <w:bookmarkStart w:id="888" w:name="_Toc12385"/>
      <w:bookmarkStart w:id="889" w:name="_Toc30722"/>
      <w:bookmarkStart w:id="890" w:name="_Toc29312"/>
      <w:bookmarkStart w:id="891" w:name="_Toc3954"/>
      <w:bookmarkStart w:id="892" w:name="_Toc17196"/>
      <w:bookmarkStart w:id="893" w:name="_Toc18988"/>
      <w:bookmarkStart w:id="894" w:name="_Toc10688"/>
      <w:bookmarkStart w:id="895" w:name="_Toc28457"/>
      <w:bookmarkStart w:id="896" w:name="_Toc16714"/>
      <w:bookmarkStart w:id="897" w:name="_Toc13136"/>
      <w:bookmarkStart w:id="898" w:name="_Toc8887"/>
      <w:bookmarkStart w:id="899" w:name="_Toc24553"/>
      <w:bookmarkStart w:id="900" w:name="_Toc24674"/>
      <w:bookmarkStart w:id="901" w:name="_Toc30904"/>
      <w:bookmarkStart w:id="902" w:name="_Toc14390"/>
      <w:bookmarkStart w:id="903" w:name="_Toc11408"/>
      <w:bookmarkStart w:id="904" w:name="_Toc13588"/>
      <w:bookmarkStart w:id="905" w:name="_Toc15714"/>
      <w:r>
        <w:rPr>
          <w:rFonts w:hint="eastAsia" w:ascii="仿宋_GB2312" w:hAnsi="仿宋_GB2312" w:eastAsia="仿宋_GB2312" w:cs="仿宋_GB2312"/>
          <w:b/>
          <w:i w:val="0"/>
          <w:caps w:val="0"/>
          <w:spacing w:val="0"/>
          <w:w w:val="100"/>
          <w:sz w:val="24"/>
        </w:rPr>
        <w:t>33.政府采购信用担保</w:t>
      </w:r>
      <w:bookmarkEnd w:id="884"/>
      <w:bookmarkEnd w:id="885"/>
      <w:bookmarkEnd w:id="886"/>
      <w:bookmarkEnd w:id="887"/>
      <w:bookmarkEnd w:id="888"/>
      <w:bookmarkEnd w:id="889"/>
      <w:bookmarkEnd w:id="890"/>
      <w:bookmarkEnd w:id="891"/>
      <w:bookmarkEnd w:id="892"/>
      <w:bookmarkEnd w:id="893"/>
      <w:bookmarkEnd w:id="894"/>
      <w:bookmarkEnd w:id="895"/>
      <w:bookmarkEnd w:id="896"/>
      <w:bookmarkEnd w:id="897"/>
      <w:bookmarkEnd w:id="898"/>
      <w:bookmarkEnd w:id="899"/>
      <w:bookmarkEnd w:id="900"/>
      <w:bookmarkEnd w:id="901"/>
      <w:bookmarkEnd w:id="902"/>
      <w:bookmarkEnd w:id="903"/>
      <w:bookmarkEnd w:id="904"/>
      <w:bookmarkEnd w:id="905"/>
    </w:p>
    <w:p w14:paraId="3A1373D4">
      <w:pPr>
        <w:snapToGrid/>
        <w:spacing w:before="0" w:beforeAutospacing="0" w:after="0" w:afterAutospacing="0" w:line="288" w:lineRule="auto"/>
        <w:ind w:hangingChars="375"/>
        <w:jc w:val="both"/>
        <w:textAlignment w:val="baseline"/>
        <w:rPr>
          <w:rFonts w:ascii="仿宋_GB2312" w:hAnsi="仿宋_GB2312" w:eastAsia="仿宋_GB2312" w:cs="仿宋_GB2312"/>
          <w:b w:val="0"/>
          <w:i w:val="0"/>
          <w:caps w:val="0"/>
          <w:spacing w:val="0"/>
          <w:w w:val="100"/>
          <w:sz w:val="24"/>
        </w:rPr>
      </w:pPr>
      <w:r>
        <w:rPr>
          <w:rFonts w:hint="eastAsia" w:ascii="仿宋_GB2312" w:hAnsi="仿宋_GB2312" w:eastAsia="仿宋_GB2312" w:cs="仿宋_GB2312"/>
          <w:b w:val="0"/>
          <w:i w:val="0"/>
          <w:caps w:val="0"/>
          <w:spacing w:val="0"/>
          <w:w w:val="100"/>
          <w:sz w:val="24"/>
        </w:rPr>
        <w:t>33.1   本项目是否属于信用担保试点范围见</w:t>
      </w:r>
      <w:r>
        <w:rPr>
          <w:rFonts w:hint="eastAsia" w:ascii="仿宋_GB2312" w:hAnsi="仿宋_GB2312" w:eastAsia="仿宋_GB2312" w:cs="仿宋_GB2312"/>
          <w:b w:val="0"/>
          <w:i w:val="0"/>
          <w:caps w:val="0"/>
          <w:spacing w:val="0"/>
          <w:w w:val="100"/>
          <w:sz w:val="24"/>
          <w:u w:val="single" w:color="000000"/>
        </w:rPr>
        <w:t>投标人须知资料表</w:t>
      </w:r>
      <w:r>
        <w:rPr>
          <w:rFonts w:hint="eastAsia" w:ascii="仿宋_GB2312" w:hAnsi="仿宋_GB2312" w:eastAsia="仿宋_GB2312" w:cs="仿宋_GB2312"/>
          <w:b w:val="0"/>
          <w:i w:val="0"/>
          <w:caps w:val="0"/>
          <w:spacing w:val="0"/>
          <w:w w:val="100"/>
          <w:sz w:val="24"/>
        </w:rPr>
        <w:t>。</w:t>
      </w:r>
    </w:p>
    <w:p w14:paraId="65CBDE1F">
      <w:pPr>
        <w:snapToGrid/>
        <w:spacing w:before="0" w:beforeAutospacing="0" w:after="0" w:afterAutospacing="0" w:line="288" w:lineRule="auto"/>
        <w:ind w:hangingChars="354"/>
        <w:jc w:val="both"/>
        <w:textAlignment w:val="baseline"/>
        <w:rPr>
          <w:rFonts w:ascii="仿宋_GB2312" w:hAnsi="仿宋_GB2312" w:eastAsia="仿宋_GB2312" w:cs="仿宋_GB2312"/>
          <w:b w:val="0"/>
          <w:i w:val="0"/>
          <w:caps w:val="0"/>
          <w:spacing w:val="0"/>
          <w:w w:val="100"/>
          <w:sz w:val="24"/>
        </w:rPr>
      </w:pPr>
      <w:r>
        <w:rPr>
          <w:rFonts w:hint="eastAsia" w:ascii="仿宋_GB2312" w:hAnsi="仿宋_GB2312" w:eastAsia="仿宋_GB2312" w:cs="仿宋_GB2312"/>
          <w:b w:val="0"/>
          <w:i w:val="0"/>
          <w:caps w:val="0"/>
          <w:spacing w:val="0"/>
          <w:w w:val="100"/>
          <w:sz w:val="24"/>
        </w:rPr>
        <w:t>33.2   如属于政府采购信用担保试点范围内，中小型企业投标人可以自由按照财政部门的规定，采用投标担保、履约担保和融资担保。</w:t>
      </w:r>
    </w:p>
    <w:p w14:paraId="566B282C">
      <w:pPr>
        <w:snapToGrid/>
        <w:spacing w:before="0" w:beforeAutospacing="0" w:after="0" w:afterAutospacing="0" w:line="288" w:lineRule="auto"/>
        <w:ind w:hangingChars="375"/>
        <w:jc w:val="both"/>
        <w:textAlignment w:val="baseline"/>
        <w:rPr>
          <w:rFonts w:ascii="仿宋_GB2312" w:hAnsi="仿宋_GB2312" w:eastAsia="仿宋_GB2312" w:cs="仿宋_GB2312"/>
          <w:b w:val="0"/>
          <w:i w:val="0"/>
          <w:caps w:val="0"/>
          <w:spacing w:val="0"/>
          <w:w w:val="100"/>
          <w:sz w:val="24"/>
        </w:rPr>
      </w:pPr>
      <w:r>
        <w:rPr>
          <w:rFonts w:hint="eastAsia" w:ascii="仿宋_GB2312" w:hAnsi="仿宋_GB2312" w:eastAsia="仿宋_GB2312" w:cs="仿宋_GB2312"/>
          <w:b w:val="0"/>
          <w:i w:val="0"/>
          <w:caps w:val="0"/>
          <w:spacing w:val="0"/>
          <w:w w:val="100"/>
          <w:sz w:val="24"/>
        </w:rPr>
        <w:t>33.2.1 投标人递交的投标担保函和履约担保函应符合本招标文件的规定。</w:t>
      </w:r>
    </w:p>
    <w:p w14:paraId="4A1C91AE">
      <w:pPr>
        <w:snapToGrid/>
        <w:spacing w:before="0" w:beforeAutospacing="0" w:after="0" w:afterAutospacing="0" w:line="288" w:lineRule="auto"/>
        <w:ind w:hangingChars="375"/>
        <w:jc w:val="both"/>
        <w:textAlignment w:val="baseline"/>
        <w:rPr>
          <w:rFonts w:ascii="仿宋_GB2312" w:hAnsi="仿宋_GB2312" w:eastAsia="仿宋_GB2312" w:cs="仿宋_GB2312"/>
          <w:b w:val="0"/>
          <w:i w:val="0"/>
          <w:caps w:val="0"/>
          <w:spacing w:val="0"/>
          <w:w w:val="100"/>
          <w:sz w:val="24"/>
        </w:rPr>
      </w:pPr>
      <w:r>
        <w:rPr>
          <w:rFonts w:hint="eastAsia" w:ascii="仿宋_GB2312" w:hAnsi="仿宋_GB2312" w:eastAsia="仿宋_GB2312" w:cs="仿宋_GB2312"/>
          <w:b w:val="0"/>
          <w:i w:val="0"/>
          <w:caps w:val="0"/>
          <w:spacing w:val="0"/>
          <w:w w:val="100"/>
          <w:sz w:val="24"/>
        </w:rPr>
        <w:t>33.2.2 中标人可以采取融资担保的形式为政府采购项目履约进行融资。</w:t>
      </w:r>
    </w:p>
    <w:p w14:paraId="4CA15E13">
      <w:pPr>
        <w:snapToGrid/>
        <w:spacing w:before="0" w:beforeAutospacing="0" w:after="0" w:afterAutospacing="0" w:line="288" w:lineRule="auto"/>
        <w:ind w:hangingChars="375"/>
        <w:jc w:val="both"/>
        <w:textAlignment w:val="baseline"/>
        <w:rPr>
          <w:rFonts w:ascii="仿宋_GB2312" w:hAnsi="仿宋_GB2312" w:eastAsia="仿宋_GB2312" w:cs="仿宋_GB2312"/>
          <w:b w:val="0"/>
          <w:i w:val="0"/>
          <w:caps w:val="0"/>
          <w:spacing w:val="0"/>
          <w:w w:val="100"/>
          <w:sz w:val="24"/>
        </w:rPr>
      </w:pPr>
      <w:r>
        <w:rPr>
          <w:rFonts w:hint="eastAsia" w:ascii="仿宋_GB2312" w:hAnsi="仿宋_GB2312" w:eastAsia="仿宋_GB2312" w:cs="仿宋_GB2312"/>
          <w:b w:val="0"/>
          <w:i w:val="0"/>
          <w:caps w:val="0"/>
          <w:spacing w:val="0"/>
          <w:w w:val="100"/>
          <w:sz w:val="24"/>
        </w:rPr>
        <w:t>33.2.3 合格的政府采购专业信用担保机构名单见</w:t>
      </w:r>
      <w:r>
        <w:rPr>
          <w:rFonts w:hint="eastAsia" w:ascii="仿宋_GB2312" w:hAnsi="仿宋_GB2312" w:eastAsia="仿宋_GB2312" w:cs="仿宋_GB2312"/>
          <w:b w:val="0"/>
          <w:i w:val="0"/>
          <w:caps w:val="0"/>
          <w:spacing w:val="0"/>
          <w:w w:val="100"/>
          <w:sz w:val="24"/>
          <w:u w:val="single" w:color="000000"/>
        </w:rPr>
        <w:t>投标人须知资料表</w:t>
      </w:r>
      <w:r>
        <w:rPr>
          <w:rFonts w:hint="eastAsia" w:ascii="仿宋_GB2312" w:hAnsi="仿宋_GB2312" w:eastAsia="仿宋_GB2312" w:cs="仿宋_GB2312"/>
          <w:b w:val="0"/>
          <w:i w:val="0"/>
          <w:caps w:val="0"/>
          <w:spacing w:val="0"/>
          <w:w w:val="100"/>
          <w:sz w:val="24"/>
        </w:rPr>
        <w:t>。</w:t>
      </w:r>
    </w:p>
    <w:p w14:paraId="4F5EC09B">
      <w:pPr>
        <w:pStyle w:val="4"/>
        <w:snapToGrid/>
        <w:spacing w:before="0" w:beforeAutospacing="0" w:after="0" w:afterAutospacing="0" w:line="288" w:lineRule="auto"/>
        <w:jc w:val="left"/>
        <w:textAlignment w:val="baseline"/>
        <w:rPr>
          <w:rFonts w:ascii="仿宋_GB2312" w:hAnsi="仿宋_GB2312" w:eastAsia="仿宋_GB2312" w:cs="仿宋_GB2312"/>
          <w:b/>
          <w:i w:val="0"/>
          <w:caps w:val="0"/>
          <w:spacing w:val="0"/>
          <w:w w:val="100"/>
          <w:sz w:val="24"/>
        </w:rPr>
      </w:pPr>
      <w:bookmarkStart w:id="906" w:name="_Toc21223"/>
      <w:bookmarkStart w:id="907" w:name="_Toc11836"/>
      <w:bookmarkStart w:id="908" w:name="_Toc27816"/>
      <w:bookmarkStart w:id="909" w:name="_Toc9817"/>
      <w:bookmarkStart w:id="910" w:name="_Toc16263"/>
      <w:bookmarkStart w:id="911" w:name="_Toc28024"/>
      <w:bookmarkStart w:id="912" w:name="_Toc3149"/>
      <w:bookmarkStart w:id="913" w:name="_Toc515647796"/>
      <w:bookmarkStart w:id="914" w:name="_Toc25513"/>
      <w:bookmarkStart w:id="915" w:name="_Toc6716"/>
      <w:bookmarkStart w:id="916" w:name="_Toc23999"/>
      <w:bookmarkStart w:id="917" w:name="_Toc9688"/>
      <w:bookmarkStart w:id="918" w:name="_Toc27852"/>
      <w:bookmarkStart w:id="919" w:name="_Toc20713"/>
      <w:bookmarkStart w:id="920" w:name="_Toc26323"/>
      <w:bookmarkStart w:id="921" w:name="_Toc2133"/>
      <w:bookmarkStart w:id="922" w:name="_Toc15920"/>
      <w:bookmarkStart w:id="923" w:name="_Toc27198"/>
      <w:bookmarkStart w:id="924" w:name="_Toc7"/>
      <w:bookmarkStart w:id="925" w:name="_Toc932"/>
      <w:bookmarkStart w:id="926" w:name="_Toc28677"/>
      <w:bookmarkStart w:id="927" w:name="_Toc22070"/>
      <w:r>
        <w:rPr>
          <w:rFonts w:hint="eastAsia" w:ascii="仿宋_GB2312" w:hAnsi="仿宋_GB2312" w:eastAsia="仿宋_GB2312" w:cs="仿宋_GB2312"/>
          <w:b/>
          <w:i w:val="0"/>
          <w:caps w:val="0"/>
          <w:spacing w:val="0"/>
          <w:w w:val="100"/>
          <w:sz w:val="24"/>
        </w:rPr>
        <w:t>34.廉洁自律规定</w:t>
      </w:r>
      <w:bookmarkEnd w:id="906"/>
      <w:bookmarkEnd w:id="907"/>
      <w:bookmarkEnd w:id="908"/>
      <w:bookmarkEnd w:id="909"/>
      <w:bookmarkEnd w:id="910"/>
      <w:bookmarkEnd w:id="911"/>
      <w:bookmarkEnd w:id="912"/>
      <w:bookmarkEnd w:id="913"/>
      <w:bookmarkEnd w:id="914"/>
      <w:bookmarkEnd w:id="915"/>
      <w:bookmarkEnd w:id="916"/>
      <w:bookmarkEnd w:id="917"/>
      <w:bookmarkEnd w:id="918"/>
      <w:bookmarkEnd w:id="919"/>
      <w:bookmarkEnd w:id="920"/>
      <w:bookmarkEnd w:id="921"/>
      <w:bookmarkEnd w:id="922"/>
      <w:bookmarkEnd w:id="923"/>
      <w:bookmarkEnd w:id="924"/>
      <w:bookmarkEnd w:id="925"/>
      <w:bookmarkEnd w:id="926"/>
      <w:bookmarkEnd w:id="927"/>
    </w:p>
    <w:p w14:paraId="1799660A">
      <w:pPr>
        <w:snapToGrid/>
        <w:spacing w:before="0" w:beforeAutospacing="0" w:after="0" w:afterAutospacing="0" w:line="288" w:lineRule="auto"/>
        <w:ind w:hangingChars="375"/>
        <w:jc w:val="both"/>
        <w:textAlignment w:val="baseline"/>
        <w:rPr>
          <w:rFonts w:ascii="仿宋_GB2312" w:hAnsi="仿宋_GB2312" w:eastAsia="仿宋_GB2312" w:cs="仿宋_GB2312"/>
          <w:b w:val="0"/>
          <w:i w:val="0"/>
          <w:caps w:val="0"/>
          <w:spacing w:val="0"/>
          <w:w w:val="100"/>
          <w:sz w:val="24"/>
        </w:rPr>
      </w:pPr>
      <w:r>
        <w:rPr>
          <w:rFonts w:hint="eastAsia" w:ascii="仿宋_GB2312" w:hAnsi="仿宋_GB2312" w:eastAsia="仿宋_GB2312" w:cs="仿宋_GB2312"/>
          <w:b w:val="0"/>
          <w:i w:val="0"/>
          <w:caps w:val="0"/>
          <w:spacing w:val="0"/>
          <w:w w:val="100"/>
          <w:sz w:val="24"/>
        </w:rPr>
        <w:t>34.1   采购代理机构工作人员不得以不正当手段获取政府采购代理业务，不得与采购人、供应商恶意串通操纵政府采购活动。</w:t>
      </w:r>
    </w:p>
    <w:p w14:paraId="050CFF73">
      <w:pPr>
        <w:snapToGrid/>
        <w:spacing w:before="0" w:beforeAutospacing="0" w:after="0" w:afterAutospacing="0" w:line="288" w:lineRule="auto"/>
        <w:ind w:hangingChars="375"/>
        <w:jc w:val="both"/>
        <w:textAlignment w:val="baseline"/>
        <w:rPr>
          <w:rFonts w:ascii="仿宋_GB2312" w:hAnsi="仿宋_GB2312" w:eastAsia="仿宋_GB2312" w:cs="仿宋_GB2312"/>
          <w:b w:val="0"/>
          <w:i w:val="0"/>
          <w:caps w:val="0"/>
          <w:spacing w:val="0"/>
          <w:w w:val="100"/>
          <w:sz w:val="24"/>
        </w:rPr>
      </w:pPr>
      <w:r>
        <w:rPr>
          <w:rFonts w:hint="eastAsia" w:ascii="仿宋_GB2312" w:hAnsi="仿宋_GB2312" w:eastAsia="仿宋_GB2312" w:cs="仿宋_GB2312"/>
          <w:b w:val="0"/>
          <w:i w:val="0"/>
          <w:caps w:val="0"/>
          <w:spacing w:val="0"/>
          <w:w w:val="100"/>
          <w:sz w:val="24"/>
        </w:rPr>
        <w:t>34.2   采购代理机构工作人员不得接受采购人或者供应商组织的宴请、旅游、娱乐，不得收受礼品、现金、有价证券等，不得向采购人或者供应商报销应当由个人承担的费用。</w:t>
      </w:r>
    </w:p>
    <w:p w14:paraId="1D1F49B7">
      <w:pPr>
        <w:snapToGrid/>
        <w:spacing w:before="0" w:beforeAutospacing="0" w:after="0" w:afterAutospacing="0" w:line="288" w:lineRule="auto"/>
        <w:ind w:hangingChars="375"/>
        <w:jc w:val="both"/>
        <w:textAlignment w:val="baseline"/>
        <w:rPr>
          <w:rFonts w:ascii="仿宋_GB2312" w:hAnsi="仿宋_GB2312" w:eastAsia="仿宋_GB2312" w:cs="仿宋_GB2312"/>
          <w:b w:val="0"/>
          <w:i w:val="0"/>
          <w:caps w:val="0"/>
          <w:spacing w:val="0"/>
          <w:w w:val="100"/>
          <w:sz w:val="24"/>
        </w:rPr>
      </w:pPr>
      <w:r>
        <w:rPr>
          <w:rFonts w:hint="eastAsia" w:ascii="仿宋_GB2312" w:hAnsi="仿宋_GB2312" w:eastAsia="仿宋_GB2312" w:cs="仿宋_GB2312"/>
          <w:b w:val="0"/>
          <w:i w:val="0"/>
          <w:caps w:val="0"/>
          <w:spacing w:val="0"/>
          <w:w w:val="100"/>
          <w:sz w:val="24"/>
        </w:rPr>
        <w:t>34.3   为强化采购代理机构内部监督机制，供应商可按</w:t>
      </w:r>
      <w:r>
        <w:rPr>
          <w:rFonts w:hint="eastAsia" w:ascii="仿宋_GB2312" w:hAnsi="仿宋_GB2312" w:eastAsia="仿宋_GB2312" w:cs="仿宋_GB2312"/>
          <w:b w:val="0"/>
          <w:i w:val="0"/>
          <w:caps w:val="0"/>
          <w:spacing w:val="0"/>
          <w:w w:val="100"/>
          <w:sz w:val="24"/>
          <w:u w:val="single" w:color="000000"/>
        </w:rPr>
        <w:t>投标人须知资料表中的</w:t>
      </w:r>
      <w:r>
        <w:rPr>
          <w:rFonts w:hint="eastAsia" w:ascii="仿宋_GB2312" w:hAnsi="仿宋_GB2312" w:eastAsia="仿宋_GB2312" w:cs="仿宋_GB2312"/>
          <w:b w:val="0"/>
          <w:i w:val="0"/>
          <w:caps w:val="0"/>
          <w:spacing w:val="0"/>
          <w:w w:val="100"/>
          <w:sz w:val="24"/>
        </w:rPr>
        <w:t>监督电话和邮箱，反映采购代理机构的廉洁自律等问题。</w:t>
      </w:r>
    </w:p>
    <w:p w14:paraId="37DB17C9">
      <w:pPr>
        <w:pStyle w:val="4"/>
        <w:snapToGrid/>
        <w:spacing w:before="0" w:beforeAutospacing="0" w:after="0" w:afterAutospacing="0" w:line="288" w:lineRule="auto"/>
        <w:jc w:val="left"/>
        <w:textAlignment w:val="baseline"/>
        <w:rPr>
          <w:rFonts w:ascii="仿宋_GB2312" w:hAnsi="仿宋_GB2312" w:eastAsia="仿宋_GB2312" w:cs="仿宋_GB2312"/>
          <w:b/>
          <w:i w:val="0"/>
          <w:caps w:val="0"/>
          <w:spacing w:val="0"/>
          <w:w w:val="100"/>
          <w:sz w:val="24"/>
        </w:rPr>
      </w:pPr>
      <w:bookmarkStart w:id="928" w:name="_Toc5411"/>
      <w:bookmarkStart w:id="929" w:name="_Toc31644"/>
      <w:bookmarkStart w:id="930" w:name="_Toc515647797"/>
      <w:bookmarkStart w:id="931" w:name="_Toc25480"/>
      <w:bookmarkStart w:id="932" w:name="_Toc6874"/>
      <w:bookmarkStart w:id="933" w:name="_Toc5381"/>
      <w:bookmarkStart w:id="934" w:name="_Toc10437"/>
      <w:bookmarkStart w:id="935" w:name="_Toc18027"/>
      <w:bookmarkStart w:id="936" w:name="_Toc1962"/>
      <w:bookmarkStart w:id="937" w:name="_Toc1541"/>
      <w:bookmarkStart w:id="938" w:name="_Toc10376"/>
      <w:bookmarkStart w:id="939" w:name="_Toc24038"/>
      <w:bookmarkStart w:id="940" w:name="_Toc7508"/>
      <w:bookmarkStart w:id="941" w:name="_Toc13483"/>
      <w:bookmarkStart w:id="942" w:name="_Toc6668"/>
      <w:bookmarkStart w:id="943" w:name="_Toc3888"/>
      <w:bookmarkStart w:id="944" w:name="_Toc23562"/>
      <w:bookmarkStart w:id="945" w:name="_Toc11586"/>
      <w:bookmarkStart w:id="946" w:name="_Toc14897"/>
      <w:bookmarkStart w:id="947" w:name="_Toc30425"/>
      <w:bookmarkStart w:id="948" w:name="_Toc22285"/>
      <w:bookmarkStart w:id="949" w:name="_Toc30222"/>
      <w:r>
        <w:rPr>
          <w:rFonts w:hint="eastAsia" w:ascii="仿宋_GB2312" w:hAnsi="仿宋_GB2312" w:eastAsia="仿宋_GB2312" w:cs="仿宋_GB2312"/>
          <w:b/>
          <w:i w:val="0"/>
          <w:caps w:val="0"/>
          <w:spacing w:val="0"/>
          <w:w w:val="100"/>
          <w:sz w:val="24"/>
        </w:rPr>
        <w:t>35.人员回避</w:t>
      </w:r>
      <w:bookmarkEnd w:id="928"/>
      <w:bookmarkEnd w:id="929"/>
      <w:bookmarkEnd w:id="930"/>
      <w:bookmarkEnd w:id="931"/>
      <w:bookmarkEnd w:id="932"/>
      <w:bookmarkEnd w:id="933"/>
      <w:bookmarkEnd w:id="934"/>
      <w:bookmarkEnd w:id="935"/>
      <w:bookmarkEnd w:id="936"/>
      <w:bookmarkEnd w:id="937"/>
      <w:bookmarkEnd w:id="938"/>
      <w:bookmarkEnd w:id="939"/>
      <w:bookmarkEnd w:id="940"/>
      <w:bookmarkEnd w:id="941"/>
      <w:bookmarkEnd w:id="942"/>
      <w:bookmarkEnd w:id="943"/>
      <w:bookmarkEnd w:id="944"/>
      <w:bookmarkEnd w:id="945"/>
      <w:bookmarkEnd w:id="946"/>
      <w:bookmarkEnd w:id="947"/>
      <w:bookmarkEnd w:id="948"/>
      <w:bookmarkEnd w:id="949"/>
    </w:p>
    <w:p w14:paraId="5C4BDC07">
      <w:pPr>
        <w:snapToGrid/>
        <w:spacing w:before="0" w:beforeAutospacing="0" w:after="0" w:afterAutospacing="0" w:line="288" w:lineRule="auto"/>
        <w:ind w:hangingChars="375"/>
        <w:jc w:val="both"/>
        <w:textAlignment w:val="baseline"/>
        <w:rPr>
          <w:rFonts w:ascii="仿宋_GB2312" w:hAnsi="仿宋_GB2312" w:eastAsia="仿宋_GB2312" w:cs="仿宋_GB2312"/>
          <w:b w:val="0"/>
          <w:i w:val="0"/>
          <w:caps w:val="0"/>
          <w:spacing w:val="0"/>
          <w:w w:val="100"/>
          <w:sz w:val="24"/>
        </w:rPr>
      </w:pPr>
      <w:r>
        <w:rPr>
          <w:rFonts w:hint="eastAsia" w:ascii="仿宋_GB2312" w:hAnsi="仿宋_GB2312" w:eastAsia="仿宋_GB2312" w:cs="仿宋_GB2312"/>
          <w:b w:val="0"/>
          <w:i w:val="0"/>
          <w:caps w:val="0"/>
          <w:spacing w:val="0"/>
          <w:w w:val="100"/>
          <w:sz w:val="24"/>
        </w:rPr>
        <w:t xml:space="preserve">       投标人认为采购人员及其相关人员有法律法规所列与其他供应商有利害关系的，可以向采购人或采购代理机构书面提出回避申请，并说明理由。</w:t>
      </w:r>
    </w:p>
    <w:p w14:paraId="6A47B0D9">
      <w:pPr>
        <w:pStyle w:val="4"/>
        <w:spacing w:before="0" w:after="0" w:line="340" w:lineRule="exact"/>
        <w:rPr>
          <w:rFonts w:hint="eastAsia" w:ascii="仿宋_GB2312" w:hAnsi="仿宋_GB2312" w:eastAsia="仿宋_GB2312" w:cs="仿宋_GB2312"/>
          <w:b/>
          <w:kern w:val="0"/>
          <w:sz w:val="24"/>
          <w:szCs w:val="24"/>
          <w:u w:val="single"/>
          <w:lang w:val="en-US" w:eastAsia="zh-CN" w:bidi="ar-SA"/>
        </w:rPr>
      </w:pPr>
      <w:bookmarkStart w:id="950" w:name="_Toc29480"/>
      <w:bookmarkStart w:id="951" w:name="_Toc16862"/>
      <w:bookmarkStart w:id="952" w:name="_Toc7770"/>
      <w:bookmarkStart w:id="953" w:name="_Toc10491"/>
      <w:bookmarkStart w:id="954" w:name="_Toc23001"/>
      <w:bookmarkStart w:id="955" w:name="_Toc19168"/>
      <w:bookmarkStart w:id="956" w:name="_Toc20336"/>
      <w:bookmarkStart w:id="957" w:name="_Toc4413"/>
      <w:bookmarkStart w:id="958" w:name="_Toc28641"/>
      <w:bookmarkStart w:id="959" w:name="_Toc518923103"/>
      <w:bookmarkStart w:id="960" w:name="_Toc23678"/>
      <w:bookmarkStart w:id="961" w:name="_Toc30751"/>
      <w:bookmarkStart w:id="962" w:name="_Toc23883"/>
      <w:bookmarkStart w:id="963" w:name="_Toc3083"/>
      <w:r>
        <w:rPr>
          <w:rFonts w:hint="eastAsia" w:ascii="仿宋_GB2312" w:hAnsi="仿宋_GB2312" w:eastAsia="仿宋_GB2312" w:cs="仿宋_GB2312"/>
          <w:b/>
          <w:kern w:val="0"/>
          <w:sz w:val="24"/>
          <w:szCs w:val="24"/>
          <w:u w:val="single"/>
          <w:lang w:val="en-US" w:eastAsia="zh-CN" w:bidi="ar-SA"/>
        </w:rPr>
        <w:t>36.质疑与接收</w:t>
      </w:r>
      <w:bookmarkEnd w:id="950"/>
      <w:bookmarkEnd w:id="951"/>
      <w:bookmarkEnd w:id="952"/>
      <w:bookmarkEnd w:id="953"/>
      <w:bookmarkEnd w:id="954"/>
      <w:bookmarkEnd w:id="955"/>
      <w:bookmarkEnd w:id="956"/>
      <w:bookmarkEnd w:id="957"/>
      <w:bookmarkEnd w:id="958"/>
    </w:p>
    <w:p w14:paraId="02006A0E">
      <w:pPr>
        <w:keepNext w:val="0"/>
        <w:keepLines w:val="0"/>
        <w:pageBreakBefore w:val="0"/>
        <w:widowControl w:val="0"/>
        <w:kinsoku/>
        <w:wordWrap/>
        <w:overflowPunct/>
        <w:topLinePunct w:val="0"/>
        <w:autoSpaceDE/>
        <w:autoSpaceDN/>
        <w:bidi w:val="0"/>
        <w:adjustRightInd/>
        <w:snapToGrid/>
        <w:spacing w:line="340" w:lineRule="exact"/>
        <w:ind w:left="0" w:hanging="900" w:hangingChars="375"/>
        <w:textAlignment w:val="auto"/>
        <w:rPr>
          <w:rFonts w:hint="eastAsia" w:ascii="仿宋_GB2312" w:hAnsi="仿宋_GB2312" w:eastAsia="仿宋_GB2312" w:cs="仿宋_GB2312"/>
          <w:sz w:val="24"/>
        </w:rPr>
      </w:pPr>
      <w:r>
        <w:rPr>
          <w:rFonts w:hint="eastAsia" w:ascii="仿宋_GB2312" w:hAnsi="仿宋_GB2312" w:eastAsia="仿宋_GB2312" w:cs="仿宋_GB2312"/>
          <w:sz w:val="24"/>
        </w:rPr>
        <w:t>36.1    供应商认为</w:t>
      </w:r>
      <w:r>
        <w:rPr>
          <w:rFonts w:hint="eastAsia" w:ascii="仿宋_GB2312" w:hAnsi="仿宋_GB2312" w:eastAsia="仿宋_GB2312" w:cs="仿宋_GB2312"/>
          <w:sz w:val="24"/>
          <w:lang w:val="en-US" w:eastAsia="zh-CN"/>
        </w:rPr>
        <w:t>招标</w:t>
      </w:r>
      <w:r>
        <w:rPr>
          <w:rFonts w:hint="eastAsia" w:ascii="仿宋_GB2312" w:hAnsi="仿宋_GB2312" w:eastAsia="仿宋_GB2312" w:cs="仿宋_GB2312"/>
          <w:sz w:val="24"/>
        </w:rPr>
        <w:t>文件、</w:t>
      </w:r>
      <w:r>
        <w:rPr>
          <w:rFonts w:hint="eastAsia" w:ascii="仿宋_GB2312" w:hAnsi="仿宋_GB2312" w:eastAsia="仿宋_GB2312" w:cs="仿宋_GB2312"/>
          <w:sz w:val="24"/>
          <w:lang w:val="en-US" w:eastAsia="zh-CN"/>
        </w:rPr>
        <w:t>招标</w:t>
      </w:r>
      <w:r>
        <w:rPr>
          <w:rFonts w:hint="eastAsia" w:ascii="仿宋_GB2312" w:hAnsi="仿宋_GB2312" w:eastAsia="仿宋_GB2312" w:cs="仿宋_GB2312"/>
          <w:sz w:val="24"/>
        </w:rPr>
        <w:t>过程和成交结果使自己的权益受到损害的，可以根据《中华人民共和国政府采购法》、《中华人民共和国政府采购法实施条例》和《政府采购质疑和投诉办法》的有关规定，依法向采购人或其委托的采购代理机构提出质疑。</w:t>
      </w:r>
    </w:p>
    <w:p w14:paraId="37FE7FE9">
      <w:pPr>
        <w:keepNext w:val="0"/>
        <w:keepLines w:val="0"/>
        <w:pageBreakBefore w:val="0"/>
        <w:widowControl w:val="0"/>
        <w:kinsoku/>
        <w:wordWrap/>
        <w:overflowPunct/>
        <w:topLinePunct w:val="0"/>
        <w:autoSpaceDE/>
        <w:autoSpaceDN/>
        <w:bidi w:val="0"/>
        <w:adjustRightInd/>
        <w:snapToGrid/>
        <w:spacing w:line="340" w:lineRule="exact"/>
        <w:ind w:left="0" w:hanging="900" w:hangingChars="375"/>
        <w:textAlignment w:val="auto"/>
        <w:rPr>
          <w:rFonts w:hint="eastAsia" w:ascii="仿宋_GB2312" w:hAnsi="仿宋_GB2312" w:eastAsia="仿宋_GB2312" w:cs="仿宋_GB2312"/>
          <w:sz w:val="24"/>
        </w:rPr>
      </w:pPr>
      <w:r>
        <w:rPr>
          <w:rFonts w:hint="eastAsia" w:ascii="仿宋_GB2312" w:hAnsi="仿宋_GB2312" w:eastAsia="仿宋_GB2312" w:cs="仿宋_GB2312"/>
          <w:sz w:val="24"/>
        </w:rPr>
        <w:t>36.2    质疑供应商应按照财政部制定的《政府采购质疑函范本》格式（可从财政部官方网站下载）和《政府采购质疑和投诉办法》的要求，在法定质疑期内以纸质形式提出质疑，针对同一采购程序环节的质疑应一次性提出。超出法定质疑期的、重复提出的、分次提出的或内容、形式不符合《政府采购质疑和投诉办法》的，质疑供应商将依法承担不利后果。</w:t>
      </w:r>
    </w:p>
    <w:p w14:paraId="2C70B1CA">
      <w:pPr>
        <w:keepNext w:val="0"/>
        <w:keepLines w:val="0"/>
        <w:pageBreakBefore w:val="0"/>
        <w:widowControl w:val="0"/>
        <w:kinsoku/>
        <w:wordWrap/>
        <w:overflowPunct/>
        <w:topLinePunct w:val="0"/>
        <w:autoSpaceDE/>
        <w:autoSpaceDN/>
        <w:bidi w:val="0"/>
        <w:adjustRightInd/>
        <w:snapToGrid/>
        <w:spacing w:line="340" w:lineRule="exact"/>
        <w:ind w:left="0" w:hanging="900" w:hangingChars="375"/>
        <w:textAlignment w:val="auto"/>
        <w:rPr>
          <w:rFonts w:hint="eastAsia" w:ascii="仿宋_GB2312" w:hAnsi="仿宋_GB2312" w:eastAsia="仿宋_GB2312" w:cs="仿宋_GB2312"/>
          <w:sz w:val="24"/>
        </w:rPr>
      </w:pPr>
      <w:r>
        <w:rPr>
          <w:rFonts w:hint="eastAsia" w:ascii="仿宋_GB2312" w:hAnsi="仿宋_GB2312" w:eastAsia="仿宋_GB2312" w:cs="仿宋_GB2312"/>
          <w:sz w:val="24"/>
        </w:rPr>
        <w:t>36.3    采购代理机构质疑函接收部门、联系电话和通讯地址, 见供应商须知资料表。</w:t>
      </w:r>
    </w:p>
    <w:p w14:paraId="1DF8D292">
      <w:pPr>
        <w:keepNext w:val="0"/>
        <w:keepLines w:val="0"/>
        <w:pageBreakBefore w:val="0"/>
        <w:widowControl w:val="0"/>
        <w:kinsoku/>
        <w:wordWrap/>
        <w:overflowPunct/>
        <w:topLinePunct w:val="0"/>
        <w:autoSpaceDE/>
        <w:autoSpaceDN/>
        <w:bidi w:val="0"/>
        <w:adjustRightInd/>
        <w:snapToGrid/>
        <w:spacing w:line="340" w:lineRule="exact"/>
        <w:ind w:left="0" w:hanging="900" w:hangingChars="375"/>
        <w:textAlignment w:val="auto"/>
        <w:rPr>
          <w:rFonts w:hint="eastAsia" w:ascii="仿宋_GB2312" w:hAnsi="仿宋_GB2312" w:eastAsia="仿宋_GB2312" w:cs="仿宋_GB2312"/>
          <w:sz w:val="24"/>
        </w:rPr>
      </w:pPr>
      <w:r>
        <w:rPr>
          <w:rFonts w:hint="eastAsia" w:ascii="仿宋_GB2312" w:hAnsi="仿宋_GB2312" w:eastAsia="仿宋_GB2312" w:cs="仿宋_GB2312"/>
          <w:sz w:val="24"/>
        </w:rPr>
        <w:t>36.4</w:t>
      </w:r>
      <w:r>
        <w:rPr>
          <w:rFonts w:hint="eastAsia" w:ascii="仿宋_GB2312" w:hAnsi="仿宋_GB2312" w:eastAsia="仿宋_GB2312" w:cs="仿宋_GB2312"/>
          <w:sz w:val="24"/>
          <w:lang w:val="en-US" w:eastAsia="zh-CN"/>
        </w:rPr>
        <w:t xml:space="preserve">   </w:t>
      </w:r>
      <w:r>
        <w:rPr>
          <w:rFonts w:hint="eastAsia" w:ascii="仿宋_GB2312" w:hAnsi="仿宋_GB2312" w:eastAsia="仿宋_GB2312" w:cs="仿宋_GB2312"/>
          <w:sz w:val="24"/>
        </w:rPr>
        <w:t>本采购文件中所称质疑及答复，是指参加本次采购活动的供应商对政府采购活动中的采购文件、采购过程和成交结果向采购方提出质疑，采购方答复质疑的行为。</w:t>
      </w:r>
    </w:p>
    <w:p w14:paraId="564307EF">
      <w:pPr>
        <w:keepNext w:val="0"/>
        <w:keepLines w:val="0"/>
        <w:pageBreakBefore w:val="0"/>
        <w:widowControl w:val="0"/>
        <w:kinsoku/>
        <w:wordWrap/>
        <w:overflowPunct/>
        <w:topLinePunct w:val="0"/>
        <w:autoSpaceDE/>
        <w:autoSpaceDN/>
        <w:bidi w:val="0"/>
        <w:adjustRightInd/>
        <w:snapToGrid/>
        <w:spacing w:line="340" w:lineRule="exact"/>
        <w:ind w:left="0" w:hanging="900" w:hangingChars="375"/>
        <w:textAlignment w:val="auto"/>
        <w:rPr>
          <w:rFonts w:hint="eastAsia" w:ascii="仿宋_GB2312" w:hAnsi="仿宋_GB2312" w:eastAsia="仿宋_GB2312" w:cs="仿宋_GB2312"/>
          <w:sz w:val="24"/>
        </w:rPr>
      </w:pPr>
      <w:r>
        <w:rPr>
          <w:rFonts w:hint="eastAsia" w:ascii="仿宋_GB2312" w:hAnsi="仿宋_GB2312" w:eastAsia="仿宋_GB2312" w:cs="仿宋_GB2312"/>
          <w:sz w:val="24"/>
        </w:rPr>
        <w:t>36.</w:t>
      </w:r>
      <w:r>
        <w:rPr>
          <w:rFonts w:hint="eastAsia" w:ascii="仿宋_GB2312" w:hAnsi="仿宋_GB2312" w:eastAsia="仿宋_GB2312" w:cs="仿宋_GB2312"/>
          <w:sz w:val="24"/>
          <w:lang w:val="en-US" w:eastAsia="zh-CN"/>
        </w:rPr>
        <w:t>4.1</w:t>
      </w:r>
      <w:r>
        <w:rPr>
          <w:rFonts w:hint="eastAsia" w:ascii="仿宋_GB2312" w:hAnsi="仿宋_GB2312" w:eastAsia="仿宋_GB2312" w:cs="仿宋_GB2312"/>
          <w:sz w:val="24"/>
        </w:rPr>
        <w:t xml:space="preserve">  供应商认为采购文件、采购过程和成交结果使自己的权益受到损害的，可以在知道或者应知其权益受到损害之日起7个工作日内，以书面形式向采购方提出质疑。供应商应知其权益受到损害之日，是指：</w:t>
      </w:r>
    </w:p>
    <w:p w14:paraId="21D67F35">
      <w:pPr>
        <w:keepNext w:val="0"/>
        <w:keepLines w:val="0"/>
        <w:pageBreakBefore w:val="0"/>
        <w:widowControl w:val="0"/>
        <w:kinsoku/>
        <w:wordWrap/>
        <w:overflowPunct/>
        <w:topLinePunct w:val="0"/>
        <w:autoSpaceDE/>
        <w:autoSpaceDN/>
        <w:bidi w:val="0"/>
        <w:adjustRightInd/>
        <w:snapToGrid/>
        <w:spacing w:line="340" w:lineRule="exact"/>
        <w:ind w:left="898" w:leftChars="228" w:hanging="420" w:hangingChars="175"/>
        <w:textAlignment w:val="auto"/>
        <w:rPr>
          <w:rFonts w:hint="eastAsia" w:ascii="仿宋_GB2312" w:hAnsi="仿宋_GB2312" w:eastAsia="仿宋_GB2312" w:cs="仿宋_GB2312"/>
          <w:sz w:val="24"/>
        </w:rPr>
      </w:pPr>
      <w:r>
        <w:rPr>
          <w:rFonts w:hint="eastAsia" w:ascii="仿宋_GB2312" w:hAnsi="仿宋_GB2312" w:eastAsia="仿宋_GB2312" w:cs="仿宋_GB2312"/>
          <w:sz w:val="24"/>
        </w:rPr>
        <w:t>（一）对可以质疑的采购文件提出质疑的，为收到采购文件之日或者采购文件公告期限届满之日；</w:t>
      </w:r>
    </w:p>
    <w:p w14:paraId="0410C800">
      <w:pPr>
        <w:keepNext w:val="0"/>
        <w:keepLines w:val="0"/>
        <w:pageBreakBefore w:val="0"/>
        <w:widowControl w:val="0"/>
        <w:kinsoku/>
        <w:wordWrap/>
        <w:overflowPunct/>
        <w:topLinePunct w:val="0"/>
        <w:autoSpaceDE/>
        <w:autoSpaceDN/>
        <w:bidi w:val="0"/>
        <w:adjustRightInd/>
        <w:snapToGrid/>
        <w:spacing w:line="340" w:lineRule="exact"/>
        <w:ind w:left="898" w:leftChars="228" w:hanging="420" w:hangingChars="175"/>
        <w:textAlignment w:val="auto"/>
        <w:rPr>
          <w:rFonts w:hint="eastAsia" w:ascii="仿宋_GB2312" w:hAnsi="仿宋_GB2312" w:eastAsia="仿宋_GB2312" w:cs="仿宋_GB2312"/>
          <w:sz w:val="24"/>
        </w:rPr>
      </w:pPr>
      <w:r>
        <w:rPr>
          <w:rFonts w:hint="eastAsia" w:ascii="仿宋_GB2312" w:hAnsi="仿宋_GB2312" w:eastAsia="仿宋_GB2312" w:cs="仿宋_GB2312"/>
          <w:sz w:val="24"/>
        </w:rPr>
        <w:t>（二）对采购过程提出质疑的，为各采购程序环节结束之日；</w:t>
      </w:r>
    </w:p>
    <w:p w14:paraId="4ACC87D7">
      <w:pPr>
        <w:keepNext w:val="0"/>
        <w:keepLines w:val="0"/>
        <w:pageBreakBefore w:val="0"/>
        <w:widowControl w:val="0"/>
        <w:kinsoku/>
        <w:wordWrap/>
        <w:overflowPunct/>
        <w:topLinePunct w:val="0"/>
        <w:autoSpaceDE/>
        <w:autoSpaceDN/>
        <w:bidi w:val="0"/>
        <w:adjustRightInd/>
        <w:snapToGrid/>
        <w:spacing w:line="340" w:lineRule="exact"/>
        <w:ind w:left="898" w:leftChars="228" w:hanging="420" w:hangingChars="175"/>
        <w:textAlignment w:val="auto"/>
        <w:rPr>
          <w:rFonts w:hint="eastAsia" w:ascii="仿宋_GB2312" w:hAnsi="仿宋_GB2312" w:eastAsia="仿宋_GB2312" w:cs="仿宋_GB2312"/>
          <w:sz w:val="24"/>
        </w:rPr>
      </w:pPr>
      <w:r>
        <w:rPr>
          <w:rFonts w:hint="eastAsia" w:ascii="仿宋_GB2312" w:hAnsi="仿宋_GB2312" w:eastAsia="仿宋_GB2312" w:cs="仿宋_GB2312"/>
          <w:sz w:val="24"/>
        </w:rPr>
        <w:t>（三）对成交结果提出质疑的，为成交结果公告期限届满之日。</w:t>
      </w:r>
    </w:p>
    <w:p w14:paraId="68EB1ADC">
      <w:pPr>
        <w:keepNext w:val="0"/>
        <w:keepLines w:val="0"/>
        <w:pageBreakBefore w:val="0"/>
        <w:widowControl w:val="0"/>
        <w:kinsoku/>
        <w:wordWrap/>
        <w:overflowPunct/>
        <w:topLinePunct w:val="0"/>
        <w:autoSpaceDE/>
        <w:autoSpaceDN/>
        <w:bidi w:val="0"/>
        <w:adjustRightInd/>
        <w:snapToGrid/>
        <w:spacing w:line="340" w:lineRule="exact"/>
        <w:ind w:left="0" w:hanging="900" w:hangingChars="375"/>
        <w:textAlignment w:val="auto"/>
        <w:rPr>
          <w:rFonts w:hint="eastAsia" w:ascii="仿宋_GB2312" w:hAnsi="仿宋_GB2312" w:eastAsia="仿宋_GB2312" w:cs="仿宋_GB2312"/>
          <w:sz w:val="24"/>
        </w:rPr>
      </w:pPr>
      <w:r>
        <w:rPr>
          <w:rFonts w:hint="eastAsia" w:ascii="仿宋_GB2312" w:hAnsi="仿宋_GB2312" w:eastAsia="仿宋_GB2312" w:cs="仿宋_GB2312"/>
          <w:sz w:val="24"/>
        </w:rPr>
        <w:t>36.</w:t>
      </w:r>
      <w:r>
        <w:rPr>
          <w:rFonts w:hint="eastAsia" w:ascii="仿宋_GB2312" w:hAnsi="仿宋_GB2312" w:eastAsia="仿宋_GB2312" w:cs="仿宋_GB2312"/>
          <w:sz w:val="24"/>
          <w:lang w:val="en-US" w:eastAsia="zh-CN"/>
        </w:rPr>
        <w:t>4.2</w:t>
      </w:r>
      <w:r>
        <w:rPr>
          <w:rFonts w:hint="eastAsia" w:ascii="仿宋_GB2312" w:hAnsi="仿宋_GB2312" w:eastAsia="仿宋_GB2312" w:cs="仿宋_GB2312"/>
          <w:sz w:val="24"/>
        </w:rPr>
        <w:t xml:space="preserve">  </w:t>
      </w:r>
      <w:r>
        <w:rPr>
          <w:rFonts w:hint="eastAsia" w:ascii="仿宋_GB2312" w:hAnsi="仿宋_GB2312" w:eastAsia="仿宋_GB2312" w:cs="仿宋_GB2312"/>
          <w:sz w:val="24"/>
          <w:lang w:val="en-US" w:eastAsia="zh-CN"/>
        </w:rPr>
        <w:t xml:space="preserve"> </w:t>
      </w:r>
      <w:r>
        <w:rPr>
          <w:rFonts w:hint="eastAsia" w:ascii="仿宋_GB2312" w:hAnsi="仿宋_GB2312" w:eastAsia="仿宋_GB2312" w:cs="仿宋_GB2312"/>
          <w:sz w:val="24"/>
        </w:rPr>
        <w:t>对可以质疑的采购文件提出质疑的，质疑人为参与本项目的报价方或潜在报价方。可质疑的文件为采购公告以及采购文件（包括属于其组成部分的澄清、修改、补充文件和评审标准、合同文本等）。</w:t>
      </w:r>
    </w:p>
    <w:p w14:paraId="0BF65F9B">
      <w:pPr>
        <w:keepNext w:val="0"/>
        <w:keepLines w:val="0"/>
        <w:pageBreakBefore w:val="0"/>
        <w:widowControl w:val="0"/>
        <w:kinsoku/>
        <w:wordWrap/>
        <w:overflowPunct/>
        <w:topLinePunct w:val="0"/>
        <w:autoSpaceDE/>
        <w:autoSpaceDN/>
        <w:bidi w:val="0"/>
        <w:adjustRightInd/>
        <w:snapToGrid/>
        <w:spacing w:line="340" w:lineRule="exact"/>
        <w:ind w:left="0" w:hanging="900" w:hangingChars="375"/>
        <w:textAlignment w:val="auto"/>
        <w:rPr>
          <w:rFonts w:hint="eastAsia" w:ascii="仿宋_GB2312" w:hAnsi="仿宋_GB2312" w:eastAsia="仿宋_GB2312" w:cs="仿宋_GB2312"/>
          <w:sz w:val="24"/>
        </w:rPr>
      </w:pPr>
      <w:r>
        <w:rPr>
          <w:rFonts w:hint="eastAsia" w:ascii="仿宋_GB2312" w:hAnsi="仿宋_GB2312" w:eastAsia="仿宋_GB2312" w:cs="仿宋_GB2312"/>
          <w:sz w:val="24"/>
        </w:rPr>
        <w:t>36.</w:t>
      </w:r>
      <w:r>
        <w:rPr>
          <w:rFonts w:hint="eastAsia" w:ascii="仿宋_GB2312" w:hAnsi="仿宋_GB2312" w:eastAsia="仿宋_GB2312" w:cs="仿宋_GB2312"/>
          <w:sz w:val="24"/>
          <w:lang w:val="en-US" w:eastAsia="zh-CN"/>
        </w:rPr>
        <w:t>4.3</w:t>
      </w:r>
      <w:r>
        <w:rPr>
          <w:rFonts w:hint="eastAsia" w:ascii="仿宋_GB2312" w:hAnsi="仿宋_GB2312" w:eastAsia="仿宋_GB2312" w:cs="仿宋_GB2312"/>
          <w:sz w:val="24"/>
        </w:rPr>
        <w:t xml:space="preserve">  对采购过程和成交结果提出质疑的，质疑人为直接参与本项目的报价方。采购过程,即从采购项目信息公告发布起到成交结果公告止，包括采购文件的发出、提交响应文件、响应文件开启、评审等各个采购程序环节。</w:t>
      </w:r>
    </w:p>
    <w:p w14:paraId="7E4F8039">
      <w:pPr>
        <w:keepNext w:val="0"/>
        <w:keepLines w:val="0"/>
        <w:pageBreakBefore w:val="0"/>
        <w:widowControl w:val="0"/>
        <w:kinsoku/>
        <w:wordWrap/>
        <w:overflowPunct/>
        <w:topLinePunct w:val="0"/>
        <w:autoSpaceDE/>
        <w:autoSpaceDN/>
        <w:bidi w:val="0"/>
        <w:adjustRightInd/>
        <w:snapToGrid/>
        <w:spacing w:line="340" w:lineRule="exact"/>
        <w:ind w:left="0" w:hanging="900" w:hangingChars="375"/>
        <w:textAlignment w:val="auto"/>
        <w:rPr>
          <w:rFonts w:hint="eastAsia" w:ascii="仿宋_GB2312" w:hAnsi="仿宋_GB2312" w:eastAsia="仿宋_GB2312" w:cs="仿宋_GB2312"/>
          <w:sz w:val="24"/>
        </w:rPr>
      </w:pPr>
      <w:r>
        <w:rPr>
          <w:rFonts w:hint="eastAsia" w:ascii="仿宋_GB2312" w:hAnsi="仿宋_GB2312" w:eastAsia="仿宋_GB2312" w:cs="仿宋_GB2312"/>
          <w:sz w:val="24"/>
        </w:rPr>
        <w:t>36.</w:t>
      </w:r>
      <w:r>
        <w:rPr>
          <w:rFonts w:hint="eastAsia" w:ascii="仿宋_GB2312" w:hAnsi="仿宋_GB2312" w:eastAsia="仿宋_GB2312" w:cs="仿宋_GB2312"/>
          <w:sz w:val="24"/>
          <w:lang w:val="en-US" w:eastAsia="zh-CN"/>
        </w:rPr>
        <w:t>5</w:t>
      </w:r>
      <w:r>
        <w:rPr>
          <w:rFonts w:hint="eastAsia" w:ascii="仿宋_GB2312" w:hAnsi="仿宋_GB2312" w:eastAsia="仿宋_GB2312" w:cs="仿宋_GB2312"/>
          <w:sz w:val="24"/>
        </w:rPr>
        <w:t xml:space="preserve">  提出质疑应当符合下列条件：</w:t>
      </w:r>
    </w:p>
    <w:p w14:paraId="0596E4DE">
      <w:pPr>
        <w:keepNext w:val="0"/>
        <w:keepLines w:val="0"/>
        <w:pageBreakBefore w:val="0"/>
        <w:widowControl w:val="0"/>
        <w:kinsoku/>
        <w:wordWrap/>
        <w:overflowPunct/>
        <w:topLinePunct w:val="0"/>
        <w:autoSpaceDE/>
        <w:autoSpaceDN/>
        <w:bidi w:val="0"/>
        <w:adjustRightInd/>
        <w:snapToGrid/>
        <w:spacing w:line="340" w:lineRule="exact"/>
        <w:ind w:left="898" w:leftChars="228" w:hanging="420" w:hangingChars="175"/>
        <w:textAlignment w:val="auto"/>
        <w:rPr>
          <w:rFonts w:hint="eastAsia" w:ascii="仿宋_GB2312" w:hAnsi="仿宋_GB2312" w:eastAsia="仿宋_GB2312" w:cs="仿宋_GB2312"/>
          <w:sz w:val="24"/>
        </w:rPr>
      </w:pPr>
      <w:r>
        <w:rPr>
          <w:rFonts w:hint="eastAsia" w:ascii="仿宋_GB2312" w:hAnsi="仿宋_GB2312" w:eastAsia="仿宋_GB2312" w:cs="仿宋_GB2312"/>
          <w:sz w:val="24"/>
        </w:rPr>
        <w:t>（一）质疑主体应当符合有关规定；</w:t>
      </w:r>
    </w:p>
    <w:p w14:paraId="6F4C327E">
      <w:pPr>
        <w:keepNext w:val="0"/>
        <w:keepLines w:val="0"/>
        <w:pageBreakBefore w:val="0"/>
        <w:widowControl w:val="0"/>
        <w:kinsoku/>
        <w:wordWrap/>
        <w:overflowPunct/>
        <w:topLinePunct w:val="0"/>
        <w:autoSpaceDE/>
        <w:autoSpaceDN/>
        <w:bidi w:val="0"/>
        <w:adjustRightInd/>
        <w:snapToGrid/>
        <w:spacing w:line="340" w:lineRule="exact"/>
        <w:ind w:left="898" w:leftChars="228" w:hanging="420" w:hangingChars="175"/>
        <w:textAlignment w:val="auto"/>
        <w:rPr>
          <w:rFonts w:hint="eastAsia" w:ascii="仿宋_GB2312" w:hAnsi="仿宋_GB2312" w:eastAsia="仿宋_GB2312" w:cs="仿宋_GB2312"/>
          <w:sz w:val="24"/>
        </w:rPr>
      </w:pPr>
      <w:r>
        <w:rPr>
          <w:rFonts w:hint="eastAsia" w:ascii="仿宋_GB2312" w:hAnsi="仿宋_GB2312" w:eastAsia="仿宋_GB2312" w:cs="仿宋_GB2312"/>
          <w:sz w:val="24"/>
        </w:rPr>
        <w:t>（二）在质疑法定期限内提出；</w:t>
      </w:r>
    </w:p>
    <w:p w14:paraId="1844D7CF">
      <w:pPr>
        <w:keepNext w:val="0"/>
        <w:keepLines w:val="0"/>
        <w:pageBreakBefore w:val="0"/>
        <w:widowControl w:val="0"/>
        <w:kinsoku/>
        <w:wordWrap/>
        <w:overflowPunct/>
        <w:topLinePunct w:val="0"/>
        <w:autoSpaceDE/>
        <w:autoSpaceDN/>
        <w:bidi w:val="0"/>
        <w:adjustRightInd/>
        <w:snapToGrid/>
        <w:spacing w:line="340" w:lineRule="exact"/>
        <w:ind w:left="898" w:leftChars="228" w:hanging="420" w:hangingChars="175"/>
        <w:textAlignment w:val="auto"/>
        <w:rPr>
          <w:rFonts w:hint="eastAsia" w:ascii="仿宋_GB2312" w:hAnsi="仿宋_GB2312" w:eastAsia="仿宋_GB2312" w:cs="仿宋_GB2312"/>
          <w:sz w:val="24"/>
        </w:rPr>
      </w:pPr>
      <w:r>
        <w:rPr>
          <w:rFonts w:hint="eastAsia" w:ascii="仿宋_GB2312" w:hAnsi="仿宋_GB2312" w:eastAsia="仿宋_GB2312" w:cs="仿宋_GB2312"/>
          <w:sz w:val="24"/>
        </w:rPr>
        <w:t>（三）属于可以提出质疑的政府采购事项受理范围和本项目采购人的管辖权范围；</w:t>
      </w:r>
    </w:p>
    <w:p w14:paraId="31D873D5">
      <w:pPr>
        <w:keepNext w:val="0"/>
        <w:keepLines w:val="0"/>
        <w:pageBreakBefore w:val="0"/>
        <w:widowControl w:val="0"/>
        <w:kinsoku/>
        <w:wordWrap/>
        <w:overflowPunct/>
        <w:topLinePunct w:val="0"/>
        <w:autoSpaceDE/>
        <w:autoSpaceDN/>
        <w:bidi w:val="0"/>
        <w:adjustRightInd/>
        <w:snapToGrid/>
        <w:spacing w:line="340" w:lineRule="exact"/>
        <w:ind w:left="898" w:leftChars="228" w:hanging="420" w:hangingChars="175"/>
        <w:textAlignment w:val="auto"/>
        <w:rPr>
          <w:rFonts w:hint="eastAsia" w:ascii="仿宋_GB2312" w:hAnsi="仿宋_GB2312" w:eastAsia="仿宋_GB2312" w:cs="仿宋_GB2312"/>
          <w:sz w:val="24"/>
        </w:rPr>
      </w:pPr>
      <w:r>
        <w:rPr>
          <w:rFonts w:hint="eastAsia" w:ascii="仿宋_GB2312" w:hAnsi="仿宋_GB2312" w:eastAsia="仿宋_GB2312" w:cs="仿宋_GB2312"/>
          <w:sz w:val="24"/>
        </w:rPr>
        <w:t>（四）政府采购法律、法规、规章规定的其他条件。</w:t>
      </w:r>
    </w:p>
    <w:p w14:paraId="5D6B27B3">
      <w:pPr>
        <w:keepNext w:val="0"/>
        <w:keepLines w:val="0"/>
        <w:pageBreakBefore w:val="0"/>
        <w:widowControl w:val="0"/>
        <w:kinsoku/>
        <w:wordWrap/>
        <w:overflowPunct/>
        <w:topLinePunct w:val="0"/>
        <w:autoSpaceDE/>
        <w:autoSpaceDN/>
        <w:bidi w:val="0"/>
        <w:adjustRightInd/>
        <w:snapToGrid/>
        <w:spacing w:line="340" w:lineRule="exact"/>
        <w:ind w:left="0" w:hanging="900" w:hangingChars="375"/>
        <w:textAlignment w:val="auto"/>
        <w:rPr>
          <w:rFonts w:hint="eastAsia" w:ascii="仿宋_GB2312" w:hAnsi="仿宋_GB2312" w:eastAsia="仿宋_GB2312" w:cs="仿宋_GB2312"/>
          <w:sz w:val="24"/>
        </w:rPr>
      </w:pPr>
      <w:r>
        <w:rPr>
          <w:rFonts w:hint="eastAsia" w:ascii="仿宋_GB2312" w:hAnsi="仿宋_GB2312" w:eastAsia="仿宋_GB2312" w:cs="仿宋_GB2312"/>
          <w:sz w:val="24"/>
          <w:lang w:val="en-US" w:eastAsia="zh-CN"/>
        </w:rPr>
        <w:t>36.5.1</w:t>
      </w:r>
      <w:r>
        <w:rPr>
          <w:rFonts w:hint="eastAsia" w:ascii="仿宋_GB2312" w:hAnsi="仿宋_GB2312" w:eastAsia="仿宋_GB2312" w:cs="仿宋_GB2312"/>
          <w:sz w:val="24"/>
        </w:rPr>
        <w:t xml:space="preserve">  提出质疑应当具有明确的请求和提供必要的证明材料。明确的请求,即质疑人在质疑函中提出的，要求采购方对其予以支持的主张。必要的证明材料,即能够证明质疑人的质疑请求成立的必要材料，包括相关证据、依据和其他有关材料。</w:t>
      </w:r>
    </w:p>
    <w:p w14:paraId="1ECDF5BE">
      <w:pPr>
        <w:keepNext w:val="0"/>
        <w:keepLines w:val="0"/>
        <w:pageBreakBefore w:val="0"/>
        <w:widowControl w:val="0"/>
        <w:kinsoku/>
        <w:wordWrap/>
        <w:overflowPunct/>
        <w:topLinePunct w:val="0"/>
        <w:autoSpaceDE/>
        <w:autoSpaceDN/>
        <w:bidi w:val="0"/>
        <w:adjustRightInd/>
        <w:snapToGrid/>
        <w:spacing w:line="340" w:lineRule="exact"/>
        <w:ind w:left="0" w:hanging="900" w:hangingChars="375"/>
        <w:textAlignment w:val="auto"/>
        <w:rPr>
          <w:rFonts w:hint="eastAsia" w:ascii="仿宋_GB2312" w:hAnsi="仿宋_GB2312" w:eastAsia="仿宋_GB2312" w:cs="仿宋_GB2312"/>
          <w:sz w:val="24"/>
        </w:rPr>
      </w:pPr>
      <w:r>
        <w:rPr>
          <w:rFonts w:hint="eastAsia" w:ascii="仿宋_GB2312" w:hAnsi="仿宋_GB2312" w:eastAsia="仿宋_GB2312" w:cs="仿宋_GB2312"/>
          <w:sz w:val="24"/>
          <w:lang w:val="en-US" w:eastAsia="zh-CN"/>
        </w:rPr>
        <w:t>36.5.2</w:t>
      </w:r>
      <w:r>
        <w:rPr>
          <w:rFonts w:hint="eastAsia" w:ascii="仿宋_GB2312" w:hAnsi="仿宋_GB2312" w:eastAsia="仿宋_GB2312" w:cs="仿宋_GB2312"/>
          <w:sz w:val="24"/>
        </w:rPr>
        <w:t xml:space="preserve">  质疑人所提供的证明材料应当具有真实性、合法性以及与质疑事项的关联性和证明力，否则不能作为认定该质疑事项成立的依据。</w:t>
      </w:r>
    </w:p>
    <w:p w14:paraId="2DD59691">
      <w:pPr>
        <w:keepNext w:val="0"/>
        <w:keepLines w:val="0"/>
        <w:pageBreakBefore w:val="0"/>
        <w:widowControl w:val="0"/>
        <w:kinsoku/>
        <w:wordWrap/>
        <w:overflowPunct/>
        <w:topLinePunct w:val="0"/>
        <w:autoSpaceDE/>
        <w:autoSpaceDN/>
        <w:bidi w:val="0"/>
        <w:adjustRightInd/>
        <w:snapToGrid/>
        <w:spacing w:line="340" w:lineRule="exact"/>
        <w:ind w:left="0" w:hanging="900" w:hangingChars="375"/>
        <w:textAlignment w:val="auto"/>
        <w:rPr>
          <w:rFonts w:hint="eastAsia" w:ascii="仿宋_GB2312" w:hAnsi="仿宋_GB2312" w:eastAsia="仿宋_GB2312" w:cs="仿宋_GB2312"/>
          <w:sz w:val="24"/>
        </w:rPr>
      </w:pPr>
      <w:r>
        <w:rPr>
          <w:rFonts w:hint="eastAsia" w:ascii="仿宋_GB2312" w:hAnsi="仿宋_GB2312" w:eastAsia="仿宋_GB2312" w:cs="仿宋_GB2312"/>
          <w:sz w:val="24"/>
          <w:lang w:val="en-US" w:eastAsia="zh-CN"/>
        </w:rPr>
        <w:t>36.5.3</w:t>
      </w:r>
      <w:r>
        <w:rPr>
          <w:rFonts w:hint="eastAsia" w:ascii="仿宋_GB2312" w:hAnsi="仿宋_GB2312" w:eastAsia="仿宋_GB2312" w:cs="仿宋_GB2312"/>
          <w:sz w:val="24"/>
        </w:rPr>
        <w:t xml:space="preserve">   质疑人提出质疑时应当提交质疑函。质疑函包括下列内容：</w:t>
      </w:r>
    </w:p>
    <w:p w14:paraId="5B1BD583">
      <w:pPr>
        <w:keepNext w:val="0"/>
        <w:keepLines w:val="0"/>
        <w:pageBreakBefore w:val="0"/>
        <w:widowControl w:val="0"/>
        <w:kinsoku/>
        <w:wordWrap/>
        <w:overflowPunct/>
        <w:topLinePunct w:val="0"/>
        <w:autoSpaceDE/>
        <w:autoSpaceDN/>
        <w:bidi w:val="0"/>
        <w:adjustRightInd/>
        <w:snapToGrid/>
        <w:spacing w:line="340" w:lineRule="exact"/>
        <w:ind w:left="898" w:leftChars="342" w:hanging="180" w:hangingChars="75"/>
        <w:textAlignment w:val="auto"/>
        <w:rPr>
          <w:rFonts w:hint="eastAsia" w:ascii="仿宋_GB2312" w:hAnsi="仿宋_GB2312" w:eastAsia="仿宋_GB2312" w:cs="仿宋_GB2312"/>
          <w:sz w:val="24"/>
        </w:rPr>
      </w:pPr>
      <w:r>
        <w:rPr>
          <w:rFonts w:hint="eastAsia" w:ascii="仿宋_GB2312" w:hAnsi="仿宋_GB2312" w:eastAsia="仿宋_GB2312" w:cs="仿宋_GB2312"/>
          <w:sz w:val="24"/>
        </w:rPr>
        <w:t>（一）提出质疑的质疑人的名称、地址、邮编、联系人及联系电话等；</w:t>
      </w:r>
    </w:p>
    <w:p w14:paraId="09916312">
      <w:pPr>
        <w:keepNext w:val="0"/>
        <w:keepLines w:val="0"/>
        <w:pageBreakBefore w:val="0"/>
        <w:widowControl w:val="0"/>
        <w:kinsoku/>
        <w:wordWrap/>
        <w:overflowPunct/>
        <w:topLinePunct w:val="0"/>
        <w:autoSpaceDE/>
        <w:autoSpaceDN/>
        <w:bidi w:val="0"/>
        <w:adjustRightInd/>
        <w:snapToGrid/>
        <w:spacing w:line="340" w:lineRule="exact"/>
        <w:ind w:left="898" w:leftChars="342" w:hanging="180" w:hangingChars="75"/>
        <w:textAlignment w:val="auto"/>
        <w:rPr>
          <w:rFonts w:hint="eastAsia" w:ascii="仿宋_GB2312" w:hAnsi="仿宋_GB2312" w:eastAsia="仿宋_GB2312" w:cs="仿宋_GB2312"/>
          <w:sz w:val="24"/>
        </w:rPr>
      </w:pPr>
      <w:r>
        <w:rPr>
          <w:rFonts w:hint="eastAsia" w:ascii="仿宋_GB2312" w:hAnsi="仿宋_GB2312" w:eastAsia="仿宋_GB2312" w:cs="仿宋_GB2312"/>
          <w:sz w:val="24"/>
        </w:rPr>
        <w:t>（二）质疑项目的名称、编号；</w:t>
      </w:r>
    </w:p>
    <w:p w14:paraId="683499DC">
      <w:pPr>
        <w:keepNext w:val="0"/>
        <w:keepLines w:val="0"/>
        <w:pageBreakBefore w:val="0"/>
        <w:widowControl w:val="0"/>
        <w:kinsoku/>
        <w:wordWrap/>
        <w:overflowPunct/>
        <w:topLinePunct w:val="0"/>
        <w:autoSpaceDE/>
        <w:autoSpaceDN/>
        <w:bidi w:val="0"/>
        <w:adjustRightInd/>
        <w:snapToGrid/>
        <w:spacing w:line="340" w:lineRule="exact"/>
        <w:ind w:left="898" w:leftChars="342" w:hanging="180" w:hangingChars="75"/>
        <w:textAlignment w:val="auto"/>
        <w:rPr>
          <w:rFonts w:hint="eastAsia" w:ascii="仿宋_GB2312" w:hAnsi="仿宋_GB2312" w:eastAsia="仿宋_GB2312" w:cs="仿宋_GB2312"/>
          <w:sz w:val="24"/>
        </w:rPr>
      </w:pPr>
      <w:r>
        <w:rPr>
          <w:rFonts w:hint="eastAsia" w:ascii="仿宋_GB2312" w:hAnsi="仿宋_GB2312" w:eastAsia="仿宋_GB2312" w:cs="仿宋_GB2312"/>
          <w:sz w:val="24"/>
        </w:rPr>
        <w:t>（三）质疑事项；</w:t>
      </w:r>
    </w:p>
    <w:p w14:paraId="2AA4481E">
      <w:pPr>
        <w:keepNext w:val="0"/>
        <w:keepLines w:val="0"/>
        <w:pageBreakBefore w:val="0"/>
        <w:widowControl w:val="0"/>
        <w:kinsoku/>
        <w:wordWrap/>
        <w:overflowPunct/>
        <w:topLinePunct w:val="0"/>
        <w:autoSpaceDE/>
        <w:autoSpaceDN/>
        <w:bidi w:val="0"/>
        <w:adjustRightInd/>
        <w:snapToGrid/>
        <w:spacing w:line="340" w:lineRule="exact"/>
        <w:ind w:left="898" w:leftChars="342" w:hanging="180" w:hangingChars="75"/>
        <w:textAlignment w:val="auto"/>
        <w:rPr>
          <w:rFonts w:hint="eastAsia" w:ascii="仿宋_GB2312" w:hAnsi="仿宋_GB2312" w:eastAsia="仿宋_GB2312" w:cs="仿宋_GB2312"/>
          <w:sz w:val="24"/>
        </w:rPr>
      </w:pPr>
      <w:r>
        <w:rPr>
          <w:rFonts w:hint="eastAsia" w:ascii="仿宋_GB2312" w:hAnsi="仿宋_GB2312" w:eastAsia="仿宋_GB2312" w:cs="仿宋_GB2312"/>
          <w:sz w:val="24"/>
        </w:rPr>
        <w:t>（四）事实依据和证明材料；</w:t>
      </w:r>
    </w:p>
    <w:p w14:paraId="0928140B">
      <w:pPr>
        <w:keepNext w:val="0"/>
        <w:keepLines w:val="0"/>
        <w:pageBreakBefore w:val="0"/>
        <w:widowControl w:val="0"/>
        <w:kinsoku/>
        <w:wordWrap/>
        <w:overflowPunct/>
        <w:topLinePunct w:val="0"/>
        <w:autoSpaceDE/>
        <w:autoSpaceDN/>
        <w:bidi w:val="0"/>
        <w:adjustRightInd/>
        <w:snapToGrid/>
        <w:spacing w:line="340" w:lineRule="exact"/>
        <w:ind w:left="898" w:leftChars="342" w:hanging="180" w:hangingChars="75"/>
        <w:textAlignment w:val="auto"/>
        <w:rPr>
          <w:rFonts w:hint="eastAsia" w:ascii="仿宋_GB2312" w:hAnsi="仿宋_GB2312" w:eastAsia="仿宋_GB2312" w:cs="仿宋_GB2312"/>
          <w:sz w:val="24"/>
        </w:rPr>
      </w:pPr>
      <w:r>
        <w:rPr>
          <w:rFonts w:hint="eastAsia" w:ascii="仿宋_GB2312" w:hAnsi="仿宋_GB2312" w:eastAsia="仿宋_GB2312" w:cs="仿宋_GB2312"/>
          <w:sz w:val="24"/>
        </w:rPr>
        <w:t>（五）法律依据；</w:t>
      </w:r>
    </w:p>
    <w:p w14:paraId="56C74DF5">
      <w:pPr>
        <w:keepNext w:val="0"/>
        <w:keepLines w:val="0"/>
        <w:pageBreakBefore w:val="0"/>
        <w:widowControl w:val="0"/>
        <w:kinsoku/>
        <w:wordWrap/>
        <w:overflowPunct/>
        <w:topLinePunct w:val="0"/>
        <w:autoSpaceDE/>
        <w:autoSpaceDN/>
        <w:bidi w:val="0"/>
        <w:adjustRightInd/>
        <w:snapToGrid/>
        <w:spacing w:line="340" w:lineRule="exact"/>
        <w:ind w:left="898" w:leftChars="342" w:hanging="180" w:hangingChars="75"/>
        <w:textAlignment w:val="auto"/>
        <w:rPr>
          <w:rFonts w:hint="eastAsia" w:ascii="仿宋_GB2312" w:hAnsi="仿宋_GB2312" w:eastAsia="仿宋_GB2312" w:cs="仿宋_GB2312"/>
          <w:sz w:val="24"/>
        </w:rPr>
      </w:pPr>
      <w:r>
        <w:rPr>
          <w:rFonts w:hint="eastAsia" w:ascii="仿宋_GB2312" w:hAnsi="仿宋_GB2312" w:eastAsia="仿宋_GB2312" w:cs="仿宋_GB2312"/>
          <w:sz w:val="24"/>
        </w:rPr>
        <w:t>（六）提出质疑的日期。</w:t>
      </w:r>
    </w:p>
    <w:p w14:paraId="0E5B2D6E">
      <w:pPr>
        <w:keepNext w:val="0"/>
        <w:keepLines w:val="0"/>
        <w:pageBreakBefore w:val="0"/>
        <w:widowControl w:val="0"/>
        <w:kinsoku/>
        <w:wordWrap/>
        <w:overflowPunct/>
        <w:topLinePunct w:val="0"/>
        <w:autoSpaceDE/>
        <w:autoSpaceDN/>
        <w:bidi w:val="0"/>
        <w:adjustRightInd/>
        <w:snapToGrid/>
        <w:spacing w:line="340" w:lineRule="exact"/>
        <w:ind w:left="957" w:leftChars="456" w:firstLine="60" w:firstLineChars="25"/>
        <w:jc w:val="left"/>
        <w:textAlignment w:val="auto"/>
        <w:rPr>
          <w:rFonts w:hint="eastAsia" w:ascii="仿宋_GB2312" w:hAnsi="仿宋_GB2312" w:eastAsia="仿宋_GB2312" w:cs="仿宋_GB2312"/>
          <w:sz w:val="24"/>
        </w:rPr>
      </w:pPr>
      <w:r>
        <w:rPr>
          <w:rFonts w:hint="eastAsia" w:ascii="仿宋_GB2312" w:hAnsi="仿宋_GB2312" w:eastAsia="仿宋_GB2312" w:cs="仿宋_GB2312"/>
          <w:sz w:val="24"/>
        </w:rPr>
        <w:t>质疑函采用实名制。质疑人为自然人的应当由本人签字，并附有效身份证明文件；质疑人为法人或者非法人组织的应当由法定代表人或者负责人签字并加盖公章，并附有效身份证明文件。</w:t>
      </w:r>
    </w:p>
    <w:p w14:paraId="07AA87A8">
      <w:pPr>
        <w:keepNext w:val="0"/>
        <w:keepLines w:val="0"/>
        <w:pageBreakBefore w:val="0"/>
        <w:widowControl w:val="0"/>
        <w:kinsoku/>
        <w:wordWrap/>
        <w:overflowPunct/>
        <w:topLinePunct w:val="0"/>
        <w:autoSpaceDE/>
        <w:autoSpaceDN/>
        <w:bidi w:val="0"/>
        <w:adjustRightInd/>
        <w:snapToGrid/>
        <w:spacing w:line="340" w:lineRule="exact"/>
        <w:ind w:left="0" w:hanging="900" w:hangingChars="375"/>
        <w:textAlignment w:val="auto"/>
        <w:rPr>
          <w:rFonts w:hint="eastAsia" w:ascii="仿宋_GB2312" w:hAnsi="仿宋_GB2312" w:eastAsia="仿宋_GB2312" w:cs="仿宋_GB2312"/>
          <w:sz w:val="24"/>
        </w:rPr>
      </w:pPr>
      <w:r>
        <w:rPr>
          <w:rFonts w:hint="eastAsia" w:ascii="仿宋_GB2312" w:hAnsi="仿宋_GB2312" w:eastAsia="仿宋_GB2312" w:cs="仿宋_GB2312"/>
          <w:sz w:val="24"/>
          <w:lang w:val="en-US" w:eastAsia="zh-CN"/>
        </w:rPr>
        <w:t>36.5.4</w:t>
      </w:r>
      <w:r>
        <w:rPr>
          <w:rFonts w:hint="eastAsia" w:ascii="仿宋_GB2312" w:hAnsi="仿宋_GB2312" w:eastAsia="仿宋_GB2312" w:cs="仿宋_GB2312"/>
          <w:sz w:val="24"/>
        </w:rPr>
        <w:t xml:space="preserve"> 质疑人可以委托代理人进行质疑。代理人应当提交授权委托书。授权委托书应当载明委托代理的具体权限、期限和相关事项。</w:t>
      </w:r>
    </w:p>
    <w:p w14:paraId="03A81984">
      <w:pPr>
        <w:keepNext w:val="0"/>
        <w:keepLines w:val="0"/>
        <w:pageBreakBefore w:val="0"/>
        <w:widowControl w:val="0"/>
        <w:kinsoku/>
        <w:wordWrap/>
        <w:overflowPunct/>
        <w:topLinePunct w:val="0"/>
        <w:autoSpaceDE/>
        <w:autoSpaceDN/>
        <w:bidi w:val="0"/>
        <w:adjustRightInd/>
        <w:snapToGrid/>
        <w:spacing w:line="340" w:lineRule="exact"/>
        <w:ind w:left="0" w:hanging="900" w:hangingChars="375"/>
        <w:textAlignment w:val="auto"/>
        <w:rPr>
          <w:rFonts w:hint="eastAsia" w:ascii="仿宋_GB2312" w:hAnsi="仿宋_GB2312" w:eastAsia="仿宋_GB2312" w:cs="仿宋_GB2312"/>
          <w:sz w:val="24"/>
        </w:rPr>
      </w:pPr>
      <w:r>
        <w:rPr>
          <w:rFonts w:hint="eastAsia" w:ascii="仿宋_GB2312" w:hAnsi="仿宋_GB2312" w:eastAsia="仿宋_GB2312" w:cs="仿宋_GB2312"/>
          <w:sz w:val="24"/>
          <w:lang w:val="en-US" w:eastAsia="zh-CN"/>
        </w:rPr>
        <w:t>36</w:t>
      </w:r>
      <w:r>
        <w:rPr>
          <w:rFonts w:hint="eastAsia" w:ascii="仿宋_GB2312" w:hAnsi="仿宋_GB2312" w:eastAsia="仿宋_GB2312" w:cs="仿宋_GB2312"/>
          <w:sz w:val="24"/>
        </w:rPr>
        <w:t>.</w:t>
      </w:r>
      <w:r>
        <w:rPr>
          <w:rFonts w:hint="eastAsia" w:ascii="仿宋_GB2312" w:hAnsi="仿宋_GB2312" w:eastAsia="仿宋_GB2312" w:cs="仿宋_GB2312"/>
          <w:sz w:val="24"/>
          <w:lang w:val="en-US" w:eastAsia="zh-CN"/>
        </w:rPr>
        <w:t xml:space="preserve">6  </w:t>
      </w:r>
      <w:r>
        <w:rPr>
          <w:rFonts w:hint="eastAsia" w:ascii="仿宋_GB2312" w:hAnsi="仿宋_GB2312" w:eastAsia="仿宋_GB2312" w:cs="仿宋_GB2312"/>
          <w:sz w:val="24"/>
        </w:rPr>
        <w:t>质疑的审查和受理</w:t>
      </w:r>
    </w:p>
    <w:p w14:paraId="173DD174">
      <w:pPr>
        <w:keepNext w:val="0"/>
        <w:keepLines w:val="0"/>
        <w:pageBreakBefore w:val="0"/>
        <w:widowControl w:val="0"/>
        <w:kinsoku/>
        <w:wordWrap/>
        <w:overflowPunct/>
        <w:topLinePunct w:val="0"/>
        <w:autoSpaceDE/>
        <w:autoSpaceDN/>
        <w:bidi w:val="0"/>
        <w:adjustRightInd/>
        <w:snapToGrid/>
        <w:spacing w:line="340" w:lineRule="exact"/>
        <w:textAlignment w:val="auto"/>
        <w:rPr>
          <w:rFonts w:hint="eastAsia" w:ascii="仿宋_GB2312" w:hAnsi="仿宋_GB2312" w:eastAsia="仿宋_GB2312" w:cs="仿宋_GB2312"/>
          <w:sz w:val="24"/>
        </w:rPr>
      </w:pPr>
      <w:r>
        <w:rPr>
          <w:rFonts w:hint="eastAsia" w:ascii="仿宋_GB2312" w:hAnsi="仿宋_GB2312" w:eastAsia="仿宋_GB2312" w:cs="仿宋_GB2312"/>
          <w:sz w:val="24"/>
          <w:lang w:val="en-US" w:eastAsia="zh-CN"/>
        </w:rPr>
        <w:t xml:space="preserve">36.6.1 </w:t>
      </w:r>
      <w:r>
        <w:rPr>
          <w:rFonts w:hint="eastAsia" w:ascii="仿宋_GB2312" w:hAnsi="仿宋_GB2312" w:eastAsia="仿宋_GB2312" w:cs="仿宋_GB2312"/>
          <w:sz w:val="24"/>
        </w:rPr>
        <w:t>采购方在收到质疑函后应当及时审查是否符合质疑受理条件，对符合质疑受理条件的，及时予以受理。</w:t>
      </w:r>
    </w:p>
    <w:p w14:paraId="274511A8">
      <w:pPr>
        <w:keepNext w:val="0"/>
        <w:keepLines w:val="0"/>
        <w:pageBreakBefore w:val="0"/>
        <w:widowControl w:val="0"/>
        <w:kinsoku/>
        <w:wordWrap/>
        <w:overflowPunct/>
        <w:topLinePunct w:val="0"/>
        <w:autoSpaceDE/>
        <w:autoSpaceDN/>
        <w:bidi w:val="0"/>
        <w:adjustRightInd/>
        <w:snapToGrid/>
        <w:spacing w:line="340" w:lineRule="exact"/>
        <w:ind w:left="0" w:hanging="900" w:hangingChars="375"/>
        <w:textAlignment w:val="auto"/>
        <w:rPr>
          <w:rFonts w:hint="eastAsia" w:ascii="仿宋_GB2312" w:hAnsi="仿宋_GB2312" w:eastAsia="仿宋_GB2312" w:cs="仿宋_GB2312"/>
          <w:sz w:val="24"/>
        </w:rPr>
      </w:pPr>
      <w:r>
        <w:rPr>
          <w:rFonts w:hint="eastAsia" w:ascii="仿宋_GB2312" w:hAnsi="仿宋_GB2312" w:eastAsia="仿宋_GB2312" w:cs="仿宋_GB2312"/>
          <w:sz w:val="24"/>
          <w:lang w:val="en-US" w:eastAsia="zh-CN"/>
        </w:rPr>
        <w:t>36.6.2</w:t>
      </w:r>
      <w:r>
        <w:rPr>
          <w:rFonts w:hint="eastAsia" w:ascii="仿宋_GB2312" w:hAnsi="仿宋_GB2312" w:eastAsia="仿宋_GB2312" w:cs="仿宋_GB2312"/>
          <w:sz w:val="24"/>
        </w:rPr>
        <w:t xml:space="preserve">  对不符合质疑受理条件的，分别按照下列不同情形予以处理：</w:t>
      </w:r>
    </w:p>
    <w:p w14:paraId="058447B6">
      <w:pPr>
        <w:keepNext w:val="0"/>
        <w:keepLines w:val="0"/>
        <w:pageBreakBefore w:val="0"/>
        <w:widowControl w:val="0"/>
        <w:kinsoku/>
        <w:wordWrap/>
        <w:overflowPunct/>
        <w:topLinePunct w:val="0"/>
        <w:autoSpaceDE/>
        <w:autoSpaceDN/>
        <w:bidi w:val="0"/>
        <w:adjustRightInd/>
        <w:snapToGrid/>
        <w:spacing w:line="340" w:lineRule="exact"/>
        <w:ind w:left="898" w:leftChars="228" w:hanging="420" w:hangingChars="175"/>
        <w:textAlignment w:val="auto"/>
        <w:rPr>
          <w:rFonts w:hint="eastAsia" w:ascii="仿宋_GB2312" w:hAnsi="仿宋_GB2312" w:eastAsia="仿宋_GB2312" w:cs="仿宋_GB2312"/>
          <w:sz w:val="24"/>
        </w:rPr>
      </w:pPr>
      <w:r>
        <w:rPr>
          <w:rFonts w:hint="eastAsia" w:ascii="仿宋_GB2312" w:hAnsi="仿宋_GB2312" w:eastAsia="仿宋_GB2312" w:cs="仿宋_GB2312"/>
          <w:sz w:val="24"/>
        </w:rPr>
        <w:t>（一）质疑函内容不符合规定的，告知质疑人进行修改并重新提出质疑。修改后质疑事项仍不具体、不明确或者最终递交质疑函的时间超过质疑法定期限的，不予受理；</w:t>
      </w:r>
    </w:p>
    <w:p w14:paraId="61D27CD3">
      <w:pPr>
        <w:keepNext w:val="0"/>
        <w:keepLines w:val="0"/>
        <w:pageBreakBefore w:val="0"/>
        <w:widowControl w:val="0"/>
        <w:kinsoku/>
        <w:wordWrap/>
        <w:overflowPunct/>
        <w:topLinePunct w:val="0"/>
        <w:autoSpaceDE/>
        <w:autoSpaceDN/>
        <w:bidi w:val="0"/>
        <w:adjustRightInd/>
        <w:snapToGrid/>
        <w:spacing w:line="340" w:lineRule="exact"/>
        <w:ind w:left="898" w:leftChars="228" w:hanging="420" w:hangingChars="175"/>
        <w:textAlignment w:val="auto"/>
        <w:rPr>
          <w:rFonts w:hint="eastAsia" w:ascii="仿宋_GB2312" w:hAnsi="仿宋_GB2312" w:eastAsia="仿宋_GB2312" w:cs="仿宋_GB2312"/>
          <w:sz w:val="24"/>
        </w:rPr>
      </w:pPr>
      <w:r>
        <w:rPr>
          <w:rFonts w:hint="eastAsia" w:ascii="仿宋_GB2312" w:hAnsi="仿宋_GB2312" w:eastAsia="仿宋_GB2312" w:cs="仿宋_GB2312"/>
          <w:sz w:val="24"/>
        </w:rPr>
        <w:t>（二）质疑主体不符合有关规定的，告知质疑人不予受理；</w:t>
      </w:r>
    </w:p>
    <w:p w14:paraId="444EC194">
      <w:pPr>
        <w:keepNext w:val="0"/>
        <w:keepLines w:val="0"/>
        <w:pageBreakBefore w:val="0"/>
        <w:widowControl w:val="0"/>
        <w:kinsoku/>
        <w:wordWrap/>
        <w:overflowPunct/>
        <w:topLinePunct w:val="0"/>
        <w:autoSpaceDE/>
        <w:autoSpaceDN/>
        <w:bidi w:val="0"/>
        <w:adjustRightInd/>
        <w:snapToGrid/>
        <w:spacing w:line="340" w:lineRule="exact"/>
        <w:ind w:left="898" w:leftChars="228" w:hanging="420" w:hangingChars="175"/>
        <w:textAlignment w:val="auto"/>
        <w:rPr>
          <w:rFonts w:hint="eastAsia" w:ascii="仿宋_GB2312" w:hAnsi="仿宋_GB2312" w:eastAsia="仿宋_GB2312" w:cs="仿宋_GB2312"/>
          <w:sz w:val="24"/>
        </w:rPr>
      </w:pPr>
      <w:r>
        <w:rPr>
          <w:rFonts w:hint="eastAsia" w:ascii="仿宋_GB2312" w:hAnsi="仿宋_GB2312" w:eastAsia="仿宋_GB2312" w:cs="仿宋_GB2312"/>
          <w:sz w:val="24"/>
        </w:rPr>
        <w:t>（三）超过质疑法定期限提出质疑的，告知质疑人不予受理；</w:t>
      </w:r>
    </w:p>
    <w:p w14:paraId="31EB429D">
      <w:pPr>
        <w:keepNext w:val="0"/>
        <w:keepLines w:val="0"/>
        <w:pageBreakBefore w:val="0"/>
        <w:widowControl w:val="0"/>
        <w:kinsoku/>
        <w:wordWrap/>
        <w:overflowPunct/>
        <w:topLinePunct w:val="0"/>
        <w:autoSpaceDE/>
        <w:autoSpaceDN/>
        <w:bidi w:val="0"/>
        <w:adjustRightInd/>
        <w:snapToGrid/>
        <w:spacing w:line="340" w:lineRule="exact"/>
        <w:ind w:left="898" w:leftChars="228" w:hanging="420" w:hangingChars="175"/>
        <w:textAlignment w:val="auto"/>
        <w:rPr>
          <w:rFonts w:hint="eastAsia" w:ascii="仿宋_GB2312" w:hAnsi="仿宋_GB2312" w:eastAsia="仿宋_GB2312" w:cs="仿宋_GB2312"/>
          <w:sz w:val="24"/>
        </w:rPr>
      </w:pPr>
      <w:r>
        <w:rPr>
          <w:rFonts w:hint="eastAsia" w:ascii="仿宋_GB2312" w:hAnsi="仿宋_GB2312" w:eastAsia="仿宋_GB2312" w:cs="仿宋_GB2312"/>
          <w:sz w:val="24"/>
        </w:rPr>
        <w:t>（四）对不属于可以提出质疑的政府采购事项提出质疑的，告知质疑人不予受理；</w:t>
      </w:r>
    </w:p>
    <w:p w14:paraId="54D8DBE2">
      <w:pPr>
        <w:keepNext w:val="0"/>
        <w:keepLines w:val="0"/>
        <w:pageBreakBefore w:val="0"/>
        <w:widowControl w:val="0"/>
        <w:kinsoku/>
        <w:wordWrap/>
        <w:overflowPunct/>
        <w:topLinePunct w:val="0"/>
        <w:autoSpaceDE/>
        <w:autoSpaceDN/>
        <w:bidi w:val="0"/>
        <w:adjustRightInd/>
        <w:snapToGrid/>
        <w:spacing w:line="340" w:lineRule="exact"/>
        <w:ind w:left="898" w:leftChars="228" w:hanging="420" w:hangingChars="175"/>
        <w:textAlignment w:val="auto"/>
        <w:rPr>
          <w:rFonts w:hint="eastAsia" w:ascii="仿宋_GB2312" w:hAnsi="仿宋_GB2312" w:eastAsia="仿宋_GB2312" w:cs="仿宋_GB2312"/>
          <w:sz w:val="24"/>
        </w:rPr>
      </w:pPr>
      <w:r>
        <w:rPr>
          <w:rFonts w:hint="eastAsia" w:ascii="仿宋_GB2312" w:hAnsi="仿宋_GB2312" w:eastAsia="仿宋_GB2312" w:cs="仿宋_GB2312"/>
          <w:sz w:val="24"/>
        </w:rPr>
        <w:t>（五）质疑不属于本项目采购方管辖的，告知质疑人向有管辖权的采购人提出质疑；</w:t>
      </w:r>
    </w:p>
    <w:p w14:paraId="549BCEA0">
      <w:pPr>
        <w:keepNext w:val="0"/>
        <w:keepLines w:val="0"/>
        <w:pageBreakBefore w:val="0"/>
        <w:widowControl w:val="0"/>
        <w:kinsoku/>
        <w:wordWrap/>
        <w:overflowPunct/>
        <w:topLinePunct w:val="0"/>
        <w:autoSpaceDE/>
        <w:autoSpaceDN/>
        <w:bidi w:val="0"/>
        <w:adjustRightInd/>
        <w:snapToGrid/>
        <w:spacing w:line="340" w:lineRule="exact"/>
        <w:ind w:left="898" w:leftChars="228" w:hanging="420" w:hangingChars="175"/>
        <w:textAlignment w:val="auto"/>
        <w:rPr>
          <w:rFonts w:hint="eastAsia" w:ascii="仿宋_GB2312" w:hAnsi="仿宋_GB2312" w:eastAsia="仿宋_GB2312" w:cs="仿宋_GB2312"/>
          <w:sz w:val="24"/>
        </w:rPr>
      </w:pPr>
      <w:r>
        <w:rPr>
          <w:rFonts w:hint="eastAsia" w:ascii="仿宋_GB2312" w:hAnsi="仿宋_GB2312" w:eastAsia="仿宋_GB2312" w:cs="仿宋_GB2312"/>
          <w:sz w:val="24"/>
        </w:rPr>
        <w:t>（六）质疑不符合其他条件的，告知质疑人不予受理。</w:t>
      </w:r>
    </w:p>
    <w:p w14:paraId="5A5CA423">
      <w:pPr>
        <w:keepNext w:val="0"/>
        <w:keepLines w:val="0"/>
        <w:pageBreakBefore w:val="0"/>
        <w:widowControl w:val="0"/>
        <w:kinsoku/>
        <w:wordWrap/>
        <w:overflowPunct/>
        <w:topLinePunct w:val="0"/>
        <w:autoSpaceDE/>
        <w:autoSpaceDN/>
        <w:bidi w:val="0"/>
        <w:adjustRightInd/>
        <w:snapToGrid/>
        <w:spacing w:line="340" w:lineRule="exact"/>
        <w:ind w:left="0" w:hanging="900" w:hangingChars="375"/>
        <w:textAlignment w:val="auto"/>
        <w:rPr>
          <w:rFonts w:hint="eastAsia" w:ascii="仿宋_GB2312" w:hAnsi="仿宋_GB2312" w:eastAsia="仿宋_GB2312" w:cs="仿宋_GB2312"/>
          <w:sz w:val="24"/>
        </w:rPr>
      </w:pPr>
      <w:r>
        <w:rPr>
          <w:rFonts w:hint="eastAsia" w:ascii="仿宋_GB2312" w:hAnsi="仿宋_GB2312" w:eastAsia="仿宋_GB2312" w:cs="仿宋_GB2312"/>
          <w:sz w:val="24"/>
          <w:lang w:val="en-US" w:eastAsia="zh-CN"/>
        </w:rPr>
        <w:t xml:space="preserve">36.7   </w:t>
      </w:r>
      <w:r>
        <w:rPr>
          <w:rFonts w:hint="eastAsia" w:ascii="仿宋_GB2312" w:hAnsi="仿宋_GB2312" w:eastAsia="仿宋_GB2312" w:cs="仿宋_GB2312"/>
          <w:sz w:val="24"/>
        </w:rPr>
        <w:t>质疑的处理和答复</w:t>
      </w:r>
    </w:p>
    <w:p w14:paraId="41F10110">
      <w:pPr>
        <w:keepNext w:val="0"/>
        <w:keepLines w:val="0"/>
        <w:pageBreakBefore w:val="0"/>
        <w:widowControl w:val="0"/>
        <w:kinsoku/>
        <w:wordWrap/>
        <w:overflowPunct/>
        <w:topLinePunct w:val="0"/>
        <w:autoSpaceDE/>
        <w:autoSpaceDN/>
        <w:bidi w:val="0"/>
        <w:adjustRightInd/>
        <w:snapToGrid/>
        <w:spacing w:line="340" w:lineRule="exact"/>
        <w:ind w:left="0" w:hanging="900" w:hangingChars="375"/>
        <w:textAlignment w:val="auto"/>
        <w:rPr>
          <w:rFonts w:hint="eastAsia" w:ascii="仿宋_GB2312" w:hAnsi="仿宋_GB2312" w:eastAsia="仿宋_GB2312" w:cs="仿宋_GB2312"/>
          <w:sz w:val="24"/>
        </w:rPr>
      </w:pPr>
      <w:r>
        <w:rPr>
          <w:rFonts w:hint="eastAsia" w:ascii="仿宋_GB2312" w:hAnsi="仿宋_GB2312" w:eastAsia="仿宋_GB2312" w:cs="仿宋_GB2312"/>
          <w:sz w:val="24"/>
          <w:lang w:val="en-US" w:eastAsia="zh-CN"/>
        </w:rPr>
        <w:t>36.7.1</w:t>
      </w:r>
      <w:r>
        <w:rPr>
          <w:rFonts w:hint="eastAsia" w:ascii="仿宋_GB2312" w:hAnsi="仿宋_GB2312" w:eastAsia="仿宋_GB2312" w:cs="仿宋_GB2312"/>
          <w:sz w:val="24"/>
        </w:rPr>
        <w:t xml:space="preserve">  采购方受理质疑后，将及时把质疑函发送给被质疑人，并要求其在一定限期内提交书面答复，同时提供有关证据、依据和相关材料。</w:t>
      </w:r>
    </w:p>
    <w:p w14:paraId="459E65C2">
      <w:pPr>
        <w:keepNext w:val="0"/>
        <w:keepLines w:val="0"/>
        <w:pageBreakBefore w:val="0"/>
        <w:widowControl w:val="0"/>
        <w:kinsoku/>
        <w:wordWrap/>
        <w:overflowPunct/>
        <w:topLinePunct w:val="0"/>
        <w:autoSpaceDE/>
        <w:autoSpaceDN/>
        <w:bidi w:val="0"/>
        <w:adjustRightInd/>
        <w:snapToGrid/>
        <w:spacing w:line="340" w:lineRule="exact"/>
        <w:ind w:left="0" w:hanging="900" w:hangingChars="375"/>
        <w:textAlignment w:val="auto"/>
        <w:rPr>
          <w:rFonts w:hint="eastAsia" w:ascii="仿宋_GB2312" w:hAnsi="仿宋_GB2312" w:eastAsia="仿宋_GB2312" w:cs="仿宋_GB2312"/>
          <w:sz w:val="24"/>
        </w:rPr>
      </w:pPr>
      <w:r>
        <w:rPr>
          <w:rFonts w:hint="eastAsia" w:ascii="仿宋_GB2312" w:hAnsi="仿宋_GB2312" w:eastAsia="仿宋_GB2312" w:cs="仿宋_GB2312"/>
          <w:sz w:val="24"/>
          <w:lang w:val="en-US" w:eastAsia="zh-CN"/>
        </w:rPr>
        <w:t>36.7.2</w:t>
      </w:r>
      <w:r>
        <w:rPr>
          <w:rFonts w:hint="eastAsia" w:ascii="仿宋_GB2312" w:hAnsi="仿宋_GB2312" w:eastAsia="仿宋_GB2312" w:cs="仿宋_GB2312"/>
          <w:sz w:val="24"/>
        </w:rPr>
        <w:t xml:space="preserve">  对于质疑事项中涉及的问题较多、情况比较复杂的，为了全面查清事实、取得充分的证据，采购方认为有必要时，可以进行调查取证或者组织质证。</w:t>
      </w:r>
    </w:p>
    <w:p w14:paraId="40F643CF">
      <w:pPr>
        <w:keepNext w:val="0"/>
        <w:keepLines w:val="0"/>
        <w:pageBreakBefore w:val="0"/>
        <w:widowControl w:val="0"/>
        <w:kinsoku/>
        <w:wordWrap/>
        <w:overflowPunct/>
        <w:topLinePunct w:val="0"/>
        <w:autoSpaceDE/>
        <w:autoSpaceDN/>
        <w:bidi w:val="0"/>
        <w:adjustRightInd/>
        <w:snapToGrid/>
        <w:spacing w:line="340" w:lineRule="exact"/>
        <w:ind w:left="0" w:hanging="900" w:hangingChars="375"/>
        <w:textAlignment w:val="auto"/>
        <w:rPr>
          <w:rFonts w:hint="eastAsia" w:ascii="仿宋_GB2312" w:hAnsi="仿宋_GB2312" w:eastAsia="仿宋_GB2312" w:cs="仿宋_GB2312"/>
          <w:sz w:val="24"/>
        </w:rPr>
      </w:pPr>
      <w:r>
        <w:rPr>
          <w:rFonts w:hint="eastAsia" w:ascii="仿宋_GB2312" w:hAnsi="仿宋_GB2312" w:eastAsia="仿宋_GB2312" w:cs="仿宋_GB2312"/>
          <w:sz w:val="24"/>
          <w:lang w:val="en-US" w:eastAsia="zh-CN"/>
        </w:rPr>
        <w:t>36.7.3</w:t>
      </w:r>
      <w:r>
        <w:rPr>
          <w:rFonts w:hint="eastAsia" w:ascii="仿宋_GB2312" w:hAnsi="仿宋_GB2312" w:eastAsia="仿宋_GB2312" w:cs="仿宋_GB2312"/>
          <w:sz w:val="24"/>
        </w:rPr>
        <w:t xml:space="preserve">  对评审过程、成交结果提出质疑的，采购方可以组织原评审委员会协助答复质疑。</w:t>
      </w:r>
    </w:p>
    <w:p w14:paraId="43F9F237">
      <w:pPr>
        <w:keepNext w:val="0"/>
        <w:keepLines w:val="0"/>
        <w:pageBreakBefore w:val="0"/>
        <w:widowControl w:val="0"/>
        <w:kinsoku/>
        <w:wordWrap/>
        <w:overflowPunct/>
        <w:topLinePunct w:val="0"/>
        <w:autoSpaceDE/>
        <w:autoSpaceDN/>
        <w:bidi w:val="0"/>
        <w:adjustRightInd/>
        <w:snapToGrid/>
        <w:spacing w:line="340" w:lineRule="exact"/>
        <w:ind w:left="0" w:hanging="900" w:hangingChars="375"/>
        <w:textAlignment w:val="auto"/>
        <w:rPr>
          <w:rFonts w:hint="eastAsia" w:ascii="仿宋_GB2312" w:hAnsi="仿宋_GB2312" w:eastAsia="仿宋_GB2312" w:cs="仿宋_GB2312"/>
          <w:sz w:val="24"/>
        </w:rPr>
      </w:pPr>
      <w:r>
        <w:rPr>
          <w:rFonts w:hint="eastAsia" w:ascii="仿宋_GB2312" w:hAnsi="仿宋_GB2312" w:eastAsia="仿宋_GB2312" w:cs="仿宋_GB2312"/>
          <w:sz w:val="24"/>
          <w:lang w:val="en-US" w:eastAsia="zh-CN"/>
        </w:rPr>
        <w:t>36.7.4</w:t>
      </w:r>
      <w:r>
        <w:rPr>
          <w:rFonts w:hint="eastAsia" w:ascii="仿宋_GB2312" w:hAnsi="仿宋_GB2312" w:eastAsia="仿宋_GB2312" w:cs="仿宋_GB2312"/>
          <w:sz w:val="24"/>
        </w:rPr>
        <w:t xml:space="preserve">  质疑处理过程中，质疑人书面申请撤回质疑的，将终止质疑处理程序。</w:t>
      </w:r>
    </w:p>
    <w:p w14:paraId="7BBBD027">
      <w:pPr>
        <w:keepNext w:val="0"/>
        <w:keepLines w:val="0"/>
        <w:pageBreakBefore w:val="0"/>
        <w:widowControl w:val="0"/>
        <w:kinsoku/>
        <w:wordWrap/>
        <w:overflowPunct/>
        <w:topLinePunct w:val="0"/>
        <w:autoSpaceDE/>
        <w:autoSpaceDN/>
        <w:bidi w:val="0"/>
        <w:adjustRightInd/>
        <w:snapToGrid/>
        <w:spacing w:line="340" w:lineRule="exact"/>
        <w:ind w:left="0" w:hanging="900" w:hangingChars="375"/>
        <w:textAlignment w:val="auto"/>
        <w:rPr>
          <w:rFonts w:hint="eastAsia" w:ascii="仿宋_GB2312" w:hAnsi="仿宋_GB2312" w:eastAsia="仿宋_GB2312" w:cs="仿宋_GB2312"/>
          <w:sz w:val="24"/>
        </w:rPr>
      </w:pPr>
      <w:r>
        <w:rPr>
          <w:rFonts w:hint="eastAsia" w:ascii="仿宋_GB2312" w:hAnsi="仿宋_GB2312" w:eastAsia="仿宋_GB2312" w:cs="仿宋_GB2312"/>
          <w:sz w:val="24"/>
          <w:lang w:val="en-US" w:eastAsia="zh-CN"/>
        </w:rPr>
        <w:t>36.7.5</w:t>
      </w:r>
      <w:r>
        <w:rPr>
          <w:rFonts w:hint="eastAsia" w:ascii="仿宋_GB2312" w:hAnsi="仿宋_GB2312" w:eastAsia="仿宋_GB2312" w:cs="仿宋_GB2312"/>
          <w:sz w:val="24"/>
        </w:rPr>
        <w:t xml:space="preserve"> 质疑人拒绝配合采购方依法对质疑进行调查处理的，采购方将按质疑人自动撤回质疑处理；被质疑人拒绝配合采购方依法对质疑进行调查处理的，采购方将视同其认可质疑事项。</w:t>
      </w:r>
    </w:p>
    <w:p w14:paraId="2327A621">
      <w:pPr>
        <w:keepNext w:val="0"/>
        <w:keepLines w:val="0"/>
        <w:pageBreakBefore w:val="0"/>
        <w:widowControl w:val="0"/>
        <w:kinsoku/>
        <w:wordWrap/>
        <w:overflowPunct/>
        <w:topLinePunct w:val="0"/>
        <w:autoSpaceDE/>
        <w:autoSpaceDN/>
        <w:bidi w:val="0"/>
        <w:adjustRightInd/>
        <w:snapToGrid/>
        <w:spacing w:line="340" w:lineRule="exact"/>
        <w:ind w:left="0" w:hanging="900" w:hangingChars="375"/>
        <w:textAlignment w:val="auto"/>
        <w:rPr>
          <w:rFonts w:hint="eastAsia" w:ascii="仿宋_GB2312" w:hAnsi="仿宋_GB2312" w:eastAsia="仿宋_GB2312" w:cs="仿宋_GB2312"/>
          <w:sz w:val="24"/>
        </w:rPr>
      </w:pPr>
      <w:r>
        <w:rPr>
          <w:rFonts w:hint="eastAsia" w:ascii="仿宋_GB2312" w:hAnsi="仿宋_GB2312" w:eastAsia="仿宋_GB2312" w:cs="仿宋_GB2312"/>
          <w:sz w:val="24"/>
          <w:lang w:val="en-US" w:eastAsia="zh-CN"/>
        </w:rPr>
        <w:t>36.7.6</w:t>
      </w:r>
      <w:r>
        <w:rPr>
          <w:rFonts w:hint="eastAsia" w:ascii="仿宋_GB2312" w:hAnsi="仿宋_GB2312" w:eastAsia="仿宋_GB2312" w:cs="仿宋_GB2312"/>
          <w:sz w:val="24"/>
        </w:rPr>
        <w:t xml:space="preserve"> 质疑人拒绝配合采购方依法对质疑进行调查处理的，采购方将按质疑人自动撤回质疑处理；被质疑人拒绝配合采购方依法对质疑进行调查处理的，采购方将视同其认可质疑事项。</w:t>
      </w:r>
    </w:p>
    <w:p w14:paraId="5C236E3E">
      <w:pPr>
        <w:keepNext w:val="0"/>
        <w:keepLines w:val="0"/>
        <w:pageBreakBefore w:val="0"/>
        <w:widowControl w:val="0"/>
        <w:kinsoku/>
        <w:wordWrap/>
        <w:overflowPunct/>
        <w:topLinePunct w:val="0"/>
        <w:autoSpaceDE/>
        <w:autoSpaceDN/>
        <w:bidi w:val="0"/>
        <w:adjustRightInd/>
        <w:snapToGrid/>
        <w:spacing w:line="340" w:lineRule="exact"/>
        <w:ind w:left="0" w:hanging="900" w:hangingChars="375"/>
        <w:textAlignment w:val="auto"/>
        <w:rPr>
          <w:rFonts w:hint="eastAsia" w:ascii="仿宋_GB2312" w:hAnsi="仿宋_GB2312" w:eastAsia="仿宋_GB2312" w:cs="仿宋_GB2312"/>
          <w:sz w:val="24"/>
        </w:rPr>
      </w:pPr>
      <w:r>
        <w:rPr>
          <w:rFonts w:hint="eastAsia" w:ascii="仿宋_GB2312" w:hAnsi="仿宋_GB2312" w:eastAsia="仿宋_GB2312" w:cs="仿宋_GB2312"/>
          <w:sz w:val="24"/>
          <w:lang w:val="en-US" w:eastAsia="zh-CN"/>
        </w:rPr>
        <w:t>36.7.7</w:t>
      </w:r>
      <w:r>
        <w:rPr>
          <w:rFonts w:hint="eastAsia" w:ascii="仿宋_GB2312" w:hAnsi="仿宋_GB2312" w:eastAsia="仿宋_GB2312" w:cs="仿宋_GB2312"/>
          <w:sz w:val="24"/>
        </w:rPr>
        <w:t xml:space="preserve">  采购方将在正式受理质疑后7个工作日内作出答复。</w:t>
      </w:r>
    </w:p>
    <w:p w14:paraId="55C1B653">
      <w:pPr>
        <w:keepNext w:val="0"/>
        <w:keepLines w:val="0"/>
        <w:pageBreakBefore w:val="0"/>
        <w:widowControl w:val="0"/>
        <w:kinsoku/>
        <w:wordWrap/>
        <w:overflowPunct/>
        <w:topLinePunct w:val="0"/>
        <w:autoSpaceDE/>
        <w:autoSpaceDN/>
        <w:bidi w:val="0"/>
        <w:adjustRightInd/>
        <w:snapToGrid/>
        <w:spacing w:line="340" w:lineRule="exact"/>
        <w:ind w:left="898" w:leftChars="342" w:hanging="180" w:hangingChars="75"/>
        <w:textAlignment w:val="auto"/>
        <w:rPr>
          <w:rFonts w:hint="eastAsia" w:ascii="仿宋_GB2312" w:hAnsi="仿宋_GB2312" w:eastAsia="仿宋_GB2312" w:cs="仿宋_GB2312"/>
          <w:sz w:val="24"/>
        </w:rPr>
      </w:pPr>
      <w:r>
        <w:rPr>
          <w:rFonts w:hint="eastAsia" w:ascii="仿宋_GB2312" w:hAnsi="仿宋_GB2312" w:eastAsia="仿宋_GB2312" w:cs="仿宋_GB2312"/>
          <w:sz w:val="24"/>
        </w:rPr>
        <w:t xml:space="preserve">  质疑答复应当包括下列内容：</w:t>
      </w:r>
    </w:p>
    <w:p w14:paraId="24EA8854">
      <w:pPr>
        <w:keepNext w:val="0"/>
        <w:keepLines w:val="0"/>
        <w:pageBreakBefore w:val="0"/>
        <w:widowControl w:val="0"/>
        <w:kinsoku/>
        <w:wordWrap/>
        <w:overflowPunct/>
        <w:topLinePunct w:val="0"/>
        <w:autoSpaceDE/>
        <w:autoSpaceDN/>
        <w:bidi w:val="0"/>
        <w:adjustRightInd/>
        <w:snapToGrid/>
        <w:spacing w:line="340" w:lineRule="exact"/>
        <w:ind w:left="898" w:leftChars="342" w:hanging="180" w:hangingChars="75"/>
        <w:textAlignment w:val="auto"/>
        <w:rPr>
          <w:rFonts w:hint="eastAsia" w:ascii="仿宋_GB2312" w:hAnsi="仿宋_GB2312" w:eastAsia="仿宋_GB2312" w:cs="仿宋_GB2312"/>
          <w:sz w:val="24"/>
        </w:rPr>
      </w:pPr>
      <w:r>
        <w:rPr>
          <w:rFonts w:hint="eastAsia" w:ascii="仿宋_GB2312" w:hAnsi="仿宋_GB2312" w:eastAsia="仿宋_GB2312" w:cs="仿宋_GB2312"/>
          <w:sz w:val="24"/>
        </w:rPr>
        <w:t>（一）质疑人的姓名或者名称；</w:t>
      </w:r>
    </w:p>
    <w:p w14:paraId="431D895C">
      <w:pPr>
        <w:keepNext w:val="0"/>
        <w:keepLines w:val="0"/>
        <w:pageBreakBefore w:val="0"/>
        <w:widowControl w:val="0"/>
        <w:kinsoku/>
        <w:wordWrap/>
        <w:overflowPunct/>
        <w:topLinePunct w:val="0"/>
        <w:autoSpaceDE/>
        <w:autoSpaceDN/>
        <w:bidi w:val="0"/>
        <w:adjustRightInd/>
        <w:snapToGrid/>
        <w:spacing w:line="340" w:lineRule="exact"/>
        <w:ind w:left="898" w:leftChars="342" w:hanging="180" w:hangingChars="75"/>
        <w:textAlignment w:val="auto"/>
        <w:rPr>
          <w:rFonts w:hint="eastAsia" w:ascii="仿宋_GB2312" w:hAnsi="仿宋_GB2312" w:eastAsia="仿宋_GB2312" w:cs="仿宋_GB2312"/>
          <w:sz w:val="24"/>
        </w:rPr>
      </w:pPr>
      <w:r>
        <w:rPr>
          <w:rFonts w:hint="eastAsia" w:ascii="仿宋_GB2312" w:hAnsi="仿宋_GB2312" w:eastAsia="仿宋_GB2312" w:cs="仿宋_GB2312"/>
          <w:sz w:val="24"/>
        </w:rPr>
        <w:t>（二）收到质疑函的日期、质疑项目名称及编号；</w:t>
      </w:r>
    </w:p>
    <w:p w14:paraId="6649718F">
      <w:pPr>
        <w:keepNext w:val="0"/>
        <w:keepLines w:val="0"/>
        <w:pageBreakBefore w:val="0"/>
        <w:widowControl w:val="0"/>
        <w:kinsoku/>
        <w:wordWrap/>
        <w:overflowPunct/>
        <w:topLinePunct w:val="0"/>
        <w:autoSpaceDE/>
        <w:autoSpaceDN/>
        <w:bidi w:val="0"/>
        <w:adjustRightInd/>
        <w:snapToGrid/>
        <w:spacing w:line="340" w:lineRule="exact"/>
        <w:ind w:left="898" w:leftChars="342" w:hanging="180" w:hangingChars="75"/>
        <w:textAlignment w:val="auto"/>
        <w:rPr>
          <w:rFonts w:hint="eastAsia" w:ascii="仿宋_GB2312" w:hAnsi="仿宋_GB2312" w:eastAsia="仿宋_GB2312" w:cs="仿宋_GB2312"/>
          <w:sz w:val="24"/>
        </w:rPr>
      </w:pPr>
      <w:r>
        <w:rPr>
          <w:rFonts w:hint="eastAsia" w:ascii="仿宋_GB2312" w:hAnsi="仿宋_GB2312" w:eastAsia="仿宋_GB2312" w:cs="仿宋_GB2312"/>
          <w:sz w:val="24"/>
        </w:rPr>
        <w:t>（三）质疑事项、质疑答复的具体内容、事实依据和法律依据；</w:t>
      </w:r>
    </w:p>
    <w:p w14:paraId="692C55E8">
      <w:pPr>
        <w:keepNext w:val="0"/>
        <w:keepLines w:val="0"/>
        <w:pageBreakBefore w:val="0"/>
        <w:widowControl w:val="0"/>
        <w:kinsoku/>
        <w:wordWrap/>
        <w:overflowPunct/>
        <w:topLinePunct w:val="0"/>
        <w:autoSpaceDE/>
        <w:autoSpaceDN/>
        <w:bidi w:val="0"/>
        <w:adjustRightInd/>
        <w:snapToGrid/>
        <w:spacing w:line="340" w:lineRule="exact"/>
        <w:ind w:left="898" w:leftChars="342" w:hanging="180" w:hangingChars="75"/>
        <w:textAlignment w:val="auto"/>
        <w:rPr>
          <w:rFonts w:hint="eastAsia" w:ascii="仿宋_GB2312" w:hAnsi="仿宋_GB2312" w:eastAsia="仿宋_GB2312" w:cs="仿宋_GB2312"/>
          <w:sz w:val="24"/>
        </w:rPr>
      </w:pPr>
      <w:r>
        <w:rPr>
          <w:rFonts w:hint="eastAsia" w:ascii="仿宋_GB2312" w:hAnsi="仿宋_GB2312" w:eastAsia="仿宋_GB2312" w:cs="仿宋_GB2312"/>
          <w:sz w:val="24"/>
        </w:rPr>
        <w:t>（四）告知质疑供应商依法投诉的权利；</w:t>
      </w:r>
    </w:p>
    <w:p w14:paraId="68FB0B8B">
      <w:pPr>
        <w:keepNext w:val="0"/>
        <w:keepLines w:val="0"/>
        <w:pageBreakBefore w:val="0"/>
        <w:widowControl w:val="0"/>
        <w:kinsoku/>
        <w:wordWrap/>
        <w:overflowPunct/>
        <w:topLinePunct w:val="0"/>
        <w:autoSpaceDE/>
        <w:autoSpaceDN/>
        <w:bidi w:val="0"/>
        <w:adjustRightInd/>
        <w:snapToGrid/>
        <w:spacing w:line="340" w:lineRule="exact"/>
        <w:ind w:left="898" w:leftChars="342" w:hanging="180" w:hangingChars="75"/>
        <w:textAlignment w:val="auto"/>
        <w:rPr>
          <w:rFonts w:hint="eastAsia" w:ascii="仿宋_GB2312" w:hAnsi="仿宋_GB2312" w:eastAsia="仿宋_GB2312" w:cs="仿宋_GB2312"/>
          <w:sz w:val="24"/>
        </w:rPr>
      </w:pPr>
      <w:r>
        <w:rPr>
          <w:rFonts w:hint="eastAsia" w:ascii="仿宋_GB2312" w:hAnsi="仿宋_GB2312" w:eastAsia="仿宋_GB2312" w:cs="仿宋_GB2312"/>
          <w:sz w:val="24"/>
        </w:rPr>
        <w:t>（五）质疑答复人名称；</w:t>
      </w:r>
    </w:p>
    <w:p w14:paraId="21596A41">
      <w:pPr>
        <w:keepNext w:val="0"/>
        <w:keepLines w:val="0"/>
        <w:pageBreakBefore w:val="0"/>
        <w:widowControl w:val="0"/>
        <w:kinsoku/>
        <w:wordWrap/>
        <w:overflowPunct/>
        <w:topLinePunct w:val="0"/>
        <w:autoSpaceDE/>
        <w:autoSpaceDN/>
        <w:bidi w:val="0"/>
        <w:adjustRightInd/>
        <w:snapToGrid/>
        <w:spacing w:line="340" w:lineRule="exact"/>
        <w:ind w:left="898" w:leftChars="342" w:hanging="180" w:hangingChars="75"/>
        <w:textAlignment w:val="auto"/>
        <w:rPr>
          <w:rFonts w:hint="eastAsia" w:ascii="仿宋_GB2312" w:hAnsi="仿宋_GB2312" w:eastAsia="仿宋_GB2312" w:cs="仿宋_GB2312"/>
          <w:sz w:val="24"/>
        </w:rPr>
      </w:pPr>
      <w:r>
        <w:rPr>
          <w:rFonts w:hint="eastAsia" w:ascii="仿宋_GB2312" w:hAnsi="仿宋_GB2312" w:eastAsia="仿宋_GB2312" w:cs="仿宋_GB2312"/>
          <w:sz w:val="24"/>
        </w:rPr>
        <w:t>（六）答复质疑的日期。</w:t>
      </w:r>
    </w:p>
    <w:p w14:paraId="76146887">
      <w:pPr>
        <w:keepNext w:val="0"/>
        <w:keepLines w:val="0"/>
        <w:pageBreakBefore w:val="0"/>
        <w:widowControl w:val="0"/>
        <w:kinsoku/>
        <w:wordWrap/>
        <w:overflowPunct/>
        <w:topLinePunct w:val="0"/>
        <w:autoSpaceDE/>
        <w:autoSpaceDN/>
        <w:bidi w:val="0"/>
        <w:adjustRightInd/>
        <w:snapToGrid/>
        <w:spacing w:line="340" w:lineRule="exact"/>
        <w:ind w:left="0" w:hanging="900" w:hangingChars="375"/>
        <w:jc w:val="center"/>
        <w:textAlignment w:val="auto"/>
        <w:rPr>
          <w:rFonts w:hint="eastAsia" w:ascii="仿宋_GB2312" w:hAnsi="仿宋_GB2312" w:eastAsia="仿宋_GB2312" w:cs="仿宋_GB2312"/>
          <w:b/>
          <w:bCs/>
          <w:sz w:val="24"/>
        </w:rPr>
      </w:pPr>
    </w:p>
    <w:p w14:paraId="7C21958C">
      <w:pPr>
        <w:pStyle w:val="2"/>
        <w:rPr>
          <w:rFonts w:hint="eastAsia" w:ascii="仿宋_GB2312" w:hAnsi="仿宋_GB2312" w:eastAsia="仿宋_GB2312" w:cs="仿宋_GB2312"/>
          <w:b/>
          <w:bCs/>
          <w:sz w:val="24"/>
        </w:rPr>
      </w:pPr>
    </w:p>
    <w:p w14:paraId="1CA31042">
      <w:pPr>
        <w:rPr>
          <w:rFonts w:hint="eastAsia" w:ascii="仿宋_GB2312" w:hAnsi="仿宋_GB2312" w:eastAsia="仿宋_GB2312" w:cs="仿宋_GB2312"/>
          <w:b/>
          <w:bCs/>
          <w:sz w:val="24"/>
        </w:rPr>
      </w:pPr>
    </w:p>
    <w:p w14:paraId="598C47B5">
      <w:pPr>
        <w:pStyle w:val="2"/>
        <w:rPr>
          <w:rFonts w:hint="eastAsia" w:ascii="仿宋_GB2312" w:hAnsi="仿宋_GB2312" w:eastAsia="仿宋_GB2312" w:cs="仿宋_GB2312"/>
          <w:b/>
          <w:bCs/>
          <w:sz w:val="24"/>
        </w:rPr>
      </w:pPr>
    </w:p>
    <w:p w14:paraId="6B449403">
      <w:pPr>
        <w:rPr>
          <w:rFonts w:hint="eastAsia" w:ascii="仿宋_GB2312" w:hAnsi="仿宋_GB2312" w:eastAsia="仿宋_GB2312" w:cs="仿宋_GB2312"/>
          <w:b/>
          <w:bCs/>
          <w:sz w:val="24"/>
        </w:rPr>
      </w:pPr>
    </w:p>
    <w:p w14:paraId="28432E76">
      <w:pPr>
        <w:pStyle w:val="2"/>
        <w:rPr>
          <w:rFonts w:hint="eastAsia" w:ascii="仿宋_GB2312" w:hAnsi="仿宋_GB2312" w:eastAsia="仿宋_GB2312" w:cs="仿宋_GB2312"/>
          <w:b/>
          <w:bCs/>
          <w:sz w:val="24"/>
        </w:rPr>
      </w:pPr>
    </w:p>
    <w:p w14:paraId="40526D17">
      <w:pPr>
        <w:rPr>
          <w:rFonts w:hint="eastAsia" w:ascii="仿宋_GB2312" w:hAnsi="仿宋_GB2312" w:eastAsia="仿宋_GB2312" w:cs="仿宋_GB2312"/>
          <w:b/>
          <w:bCs/>
          <w:sz w:val="24"/>
        </w:rPr>
      </w:pPr>
    </w:p>
    <w:p w14:paraId="5DED0934">
      <w:pPr>
        <w:keepNext w:val="0"/>
        <w:keepLines w:val="0"/>
        <w:pageBreakBefore w:val="0"/>
        <w:widowControl w:val="0"/>
        <w:kinsoku/>
        <w:wordWrap/>
        <w:overflowPunct/>
        <w:topLinePunct w:val="0"/>
        <w:autoSpaceDE/>
        <w:autoSpaceDN/>
        <w:bidi w:val="0"/>
        <w:adjustRightInd/>
        <w:snapToGrid/>
        <w:spacing w:line="340" w:lineRule="exact"/>
        <w:ind w:left="0" w:hanging="900" w:hangingChars="375"/>
        <w:jc w:val="center"/>
        <w:textAlignment w:val="auto"/>
        <w:rPr>
          <w:rFonts w:hint="eastAsia" w:ascii="仿宋_GB2312" w:hAnsi="仿宋_GB2312" w:eastAsia="仿宋_GB2312" w:cs="仿宋_GB2312"/>
          <w:b/>
          <w:bCs/>
          <w:sz w:val="24"/>
        </w:rPr>
      </w:pPr>
    </w:p>
    <w:p w14:paraId="22A9C1D1">
      <w:pPr>
        <w:keepNext w:val="0"/>
        <w:keepLines w:val="0"/>
        <w:pageBreakBefore w:val="0"/>
        <w:widowControl w:val="0"/>
        <w:kinsoku/>
        <w:wordWrap/>
        <w:overflowPunct/>
        <w:topLinePunct w:val="0"/>
        <w:autoSpaceDE/>
        <w:autoSpaceDN/>
        <w:bidi w:val="0"/>
        <w:adjustRightInd/>
        <w:snapToGrid/>
        <w:spacing w:line="340" w:lineRule="exact"/>
        <w:ind w:left="0" w:hanging="900" w:hangingChars="375"/>
        <w:jc w:val="center"/>
        <w:textAlignment w:val="auto"/>
        <w:rPr>
          <w:rFonts w:hint="eastAsia" w:ascii="仿宋_GB2312" w:hAnsi="仿宋_GB2312" w:eastAsia="仿宋_GB2312" w:cs="仿宋_GB2312"/>
          <w:b/>
          <w:bCs/>
          <w:sz w:val="24"/>
        </w:rPr>
      </w:pPr>
    </w:p>
    <w:p w14:paraId="122FB02E">
      <w:pPr>
        <w:keepNext w:val="0"/>
        <w:keepLines w:val="0"/>
        <w:pageBreakBefore w:val="0"/>
        <w:widowControl w:val="0"/>
        <w:kinsoku/>
        <w:wordWrap/>
        <w:overflowPunct/>
        <w:topLinePunct w:val="0"/>
        <w:autoSpaceDE/>
        <w:autoSpaceDN/>
        <w:bidi w:val="0"/>
        <w:adjustRightInd/>
        <w:snapToGrid/>
        <w:spacing w:line="340" w:lineRule="exact"/>
        <w:ind w:left="0" w:hanging="900" w:hangingChars="375"/>
        <w:jc w:val="center"/>
        <w:textAlignment w:val="auto"/>
        <w:rPr>
          <w:rFonts w:hint="eastAsia" w:ascii="仿宋_GB2312" w:hAnsi="仿宋_GB2312" w:eastAsia="仿宋_GB2312" w:cs="仿宋_GB2312"/>
          <w:b/>
          <w:bCs/>
          <w:sz w:val="24"/>
        </w:rPr>
      </w:pPr>
    </w:p>
    <w:p w14:paraId="65A59C21">
      <w:pPr>
        <w:keepNext w:val="0"/>
        <w:keepLines w:val="0"/>
        <w:pageBreakBefore w:val="0"/>
        <w:widowControl w:val="0"/>
        <w:kinsoku/>
        <w:wordWrap/>
        <w:overflowPunct/>
        <w:topLinePunct w:val="0"/>
        <w:autoSpaceDE/>
        <w:autoSpaceDN/>
        <w:bidi w:val="0"/>
        <w:adjustRightInd/>
        <w:snapToGrid/>
        <w:spacing w:line="340" w:lineRule="exact"/>
        <w:ind w:left="0" w:hanging="900" w:hangingChars="375"/>
        <w:jc w:val="center"/>
        <w:textAlignment w:val="auto"/>
        <w:rPr>
          <w:rFonts w:hint="eastAsia" w:ascii="仿宋_GB2312" w:hAnsi="仿宋_GB2312" w:eastAsia="仿宋_GB2312" w:cs="仿宋_GB2312"/>
          <w:sz w:val="24"/>
        </w:rPr>
      </w:pPr>
      <w:r>
        <w:rPr>
          <w:rFonts w:hint="eastAsia" w:ascii="仿宋_GB2312" w:hAnsi="仿宋_GB2312" w:eastAsia="仿宋_GB2312" w:cs="仿宋_GB2312"/>
          <w:b/>
          <w:bCs/>
          <w:sz w:val="24"/>
        </w:rPr>
        <w:t>质疑函范本</w:t>
      </w:r>
    </w:p>
    <w:p w14:paraId="0D37C1A9">
      <w:pPr>
        <w:keepNext w:val="0"/>
        <w:keepLines w:val="0"/>
        <w:pageBreakBefore w:val="0"/>
        <w:widowControl w:val="0"/>
        <w:kinsoku/>
        <w:wordWrap/>
        <w:overflowPunct/>
        <w:topLinePunct w:val="0"/>
        <w:autoSpaceDE/>
        <w:autoSpaceDN/>
        <w:bidi w:val="0"/>
        <w:adjustRightInd/>
        <w:snapToGrid/>
        <w:spacing w:line="340" w:lineRule="exact"/>
        <w:ind w:left="0" w:hanging="900" w:hangingChars="375"/>
        <w:textAlignment w:val="auto"/>
        <w:rPr>
          <w:rFonts w:hint="eastAsia" w:ascii="仿宋_GB2312" w:hAnsi="仿宋_GB2312" w:eastAsia="仿宋_GB2312" w:cs="仿宋_GB2312"/>
          <w:sz w:val="24"/>
        </w:rPr>
      </w:pPr>
      <w:r>
        <w:rPr>
          <w:rFonts w:hint="eastAsia" w:ascii="仿宋_GB2312" w:hAnsi="仿宋_GB2312" w:eastAsia="仿宋_GB2312" w:cs="仿宋_GB2312"/>
          <w:sz w:val="24"/>
        </w:rPr>
        <w:t>一、质疑供应商基本信息</w:t>
      </w:r>
    </w:p>
    <w:p w14:paraId="425A96DB">
      <w:pPr>
        <w:keepNext w:val="0"/>
        <w:keepLines w:val="0"/>
        <w:pageBreakBefore w:val="0"/>
        <w:widowControl w:val="0"/>
        <w:kinsoku/>
        <w:wordWrap/>
        <w:overflowPunct/>
        <w:topLinePunct w:val="0"/>
        <w:autoSpaceDE/>
        <w:autoSpaceDN/>
        <w:bidi w:val="0"/>
        <w:adjustRightInd/>
        <w:snapToGrid/>
        <w:spacing w:line="340" w:lineRule="exact"/>
        <w:ind w:left="0" w:hanging="900" w:hangingChars="375"/>
        <w:textAlignment w:val="auto"/>
        <w:rPr>
          <w:rFonts w:hint="eastAsia" w:ascii="仿宋_GB2312" w:hAnsi="仿宋_GB2312" w:eastAsia="仿宋_GB2312" w:cs="仿宋_GB2312"/>
          <w:sz w:val="24"/>
        </w:rPr>
      </w:pPr>
      <w:r>
        <w:rPr>
          <w:rFonts w:hint="eastAsia" w:ascii="仿宋_GB2312" w:hAnsi="仿宋_GB2312" w:eastAsia="仿宋_GB2312" w:cs="仿宋_GB2312"/>
          <w:sz w:val="24"/>
        </w:rPr>
        <w:t>质疑供应商：</w:t>
      </w:r>
    </w:p>
    <w:p w14:paraId="160995DF">
      <w:pPr>
        <w:keepNext w:val="0"/>
        <w:keepLines w:val="0"/>
        <w:pageBreakBefore w:val="0"/>
        <w:widowControl w:val="0"/>
        <w:kinsoku/>
        <w:wordWrap/>
        <w:overflowPunct/>
        <w:topLinePunct w:val="0"/>
        <w:autoSpaceDE/>
        <w:autoSpaceDN/>
        <w:bidi w:val="0"/>
        <w:adjustRightInd/>
        <w:snapToGrid/>
        <w:spacing w:line="340" w:lineRule="exact"/>
        <w:ind w:left="0" w:hanging="900" w:hangingChars="375"/>
        <w:textAlignment w:val="auto"/>
        <w:rPr>
          <w:rFonts w:hint="eastAsia" w:ascii="仿宋_GB2312" w:hAnsi="仿宋_GB2312" w:eastAsia="仿宋_GB2312" w:cs="仿宋_GB2312"/>
          <w:sz w:val="24"/>
        </w:rPr>
      </w:pPr>
      <w:r>
        <w:rPr>
          <w:rFonts w:hint="eastAsia" w:ascii="仿宋_GB2312" w:hAnsi="仿宋_GB2312" w:eastAsia="仿宋_GB2312" w:cs="仿宋_GB2312"/>
          <w:sz w:val="24"/>
        </w:rPr>
        <w:t>地址：邮编：</w:t>
      </w:r>
    </w:p>
    <w:p w14:paraId="581BB945">
      <w:pPr>
        <w:keepNext w:val="0"/>
        <w:keepLines w:val="0"/>
        <w:pageBreakBefore w:val="0"/>
        <w:widowControl w:val="0"/>
        <w:kinsoku/>
        <w:wordWrap/>
        <w:overflowPunct/>
        <w:topLinePunct w:val="0"/>
        <w:autoSpaceDE/>
        <w:autoSpaceDN/>
        <w:bidi w:val="0"/>
        <w:adjustRightInd/>
        <w:snapToGrid/>
        <w:spacing w:line="340" w:lineRule="exact"/>
        <w:ind w:left="0" w:hanging="900" w:hangingChars="375"/>
        <w:textAlignment w:val="auto"/>
        <w:rPr>
          <w:rFonts w:hint="eastAsia" w:ascii="仿宋_GB2312" w:hAnsi="仿宋_GB2312" w:eastAsia="仿宋_GB2312" w:cs="仿宋_GB2312"/>
          <w:sz w:val="24"/>
        </w:rPr>
      </w:pPr>
      <w:r>
        <w:rPr>
          <w:rFonts w:hint="eastAsia" w:ascii="仿宋_GB2312" w:hAnsi="仿宋_GB2312" w:eastAsia="仿宋_GB2312" w:cs="仿宋_GB2312"/>
          <w:sz w:val="24"/>
        </w:rPr>
        <w:t>联系人：联系电话：</w:t>
      </w:r>
    </w:p>
    <w:p w14:paraId="706D12DD">
      <w:pPr>
        <w:keepNext w:val="0"/>
        <w:keepLines w:val="0"/>
        <w:pageBreakBefore w:val="0"/>
        <w:widowControl w:val="0"/>
        <w:kinsoku/>
        <w:wordWrap/>
        <w:overflowPunct/>
        <w:topLinePunct w:val="0"/>
        <w:autoSpaceDE/>
        <w:autoSpaceDN/>
        <w:bidi w:val="0"/>
        <w:adjustRightInd/>
        <w:snapToGrid/>
        <w:spacing w:line="340" w:lineRule="exact"/>
        <w:ind w:left="0" w:hanging="900" w:hangingChars="375"/>
        <w:textAlignment w:val="auto"/>
        <w:rPr>
          <w:rFonts w:hint="eastAsia" w:ascii="仿宋_GB2312" w:hAnsi="仿宋_GB2312" w:eastAsia="仿宋_GB2312" w:cs="仿宋_GB2312"/>
          <w:sz w:val="24"/>
        </w:rPr>
      </w:pPr>
      <w:r>
        <w:rPr>
          <w:rFonts w:hint="eastAsia" w:ascii="仿宋_GB2312" w:hAnsi="仿宋_GB2312" w:eastAsia="仿宋_GB2312" w:cs="仿宋_GB2312"/>
          <w:sz w:val="24"/>
        </w:rPr>
        <w:t>授权代表：</w:t>
      </w:r>
    </w:p>
    <w:p w14:paraId="190781CF">
      <w:pPr>
        <w:keepNext w:val="0"/>
        <w:keepLines w:val="0"/>
        <w:pageBreakBefore w:val="0"/>
        <w:widowControl w:val="0"/>
        <w:kinsoku/>
        <w:wordWrap/>
        <w:overflowPunct/>
        <w:topLinePunct w:val="0"/>
        <w:autoSpaceDE/>
        <w:autoSpaceDN/>
        <w:bidi w:val="0"/>
        <w:adjustRightInd/>
        <w:snapToGrid/>
        <w:spacing w:line="340" w:lineRule="exact"/>
        <w:ind w:left="0" w:hanging="900" w:hangingChars="375"/>
        <w:textAlignment w:val="auto"/>
        <w:rPr>
          <w:rFonts w:hint="eastAsia" w:ascii="仿宋_GB2312" w:hAnsi="仿宋_GB2312" w:eastAsia="仿宋_GB2312" w:cs="仿宋_GB2312"/>
          <w:sz w:val="24"/>
        </w:rPr>
      </w:pPr>
      <w:r>
        <w:rPr>
          <w:rFonts w:hint="eastAsia" w:ascii="仿宋_GB2312" w:hAnsi="仿宋_GB2312" w:eastAsia="仿宋_GB2312" w:cs="仿宋_GB2312"/>
          <w:sz w:val="24"/>
        </w:rPr>
        <w:t>联系电话：</w:t>
      </w:r>
    </w:p>
    <w:p w14:paraId="420C3E93">
      <w:pPr>
        <w:keepNext w:val="0"/>
        <w:keepLines w:val="0"/>
        <w:pageBreakBefore w:val="0"/>
        <w:widowControl w:val="0"/>
        <w:kinsoku/>
        <w:wordWrap/>
        <w:overflowPunct/>
        <w:topLinePunct w:val="0"/>
        <w:autoSpaceDE/>
        <w:autoSpaceDN/>
        <w:bidi w:val="0"/>
        <w:adjustRightInd/>
        <w:snapToGrid/>
        <w:spacing w:line="340" w:lineRule="exact"/>
        <w:ind w:left="0" w:hanging="900" w:hangingChars="375"/>
        <w:textAlignment w:val="auto"/>
        <w:rPr>
          <w:rFonts w:hint="eastAsia" w:ascii="仿宋_GB2312" w:hAnsi="仿宋_GB2312" w:eastAsia="仿宋_GB2312" w:cs="仿宋_GB2312"/>
          <w:sz w:val="24"/>
        </w:rPr>
      </w:pPr>
      <w:r>
        <w:rPr>
          <w:rFonts w:hint="eastAsia" w:ascii="仿宋_GB2312" w:hAnsi="仿宋_GB2312" w:eastAsia="仿宋_GB2312" w:cs="仿宋_GB2312"/>
          <w:sz w:val="24"/>
        </w:rPr>
        <w:t>地址：邮编：</w:t>
      </w:r>
    </w:p>
    <w:p w14:paraId="1D2D481A">
      <w:pPr>
        <w:keepNext w:val="0"/>
        <w:keepLines w:val="0"/>
        <w:pageBreakBefore w:val="0"/>
        <w:widowControl w:val="0"/>
        <w:kinsoku/>
        <w:wordWrap/>
        <w:overflowPunct/>
        <w:topLinePunct w:val="0"/>
        <w:autoSpaceDE/>
        <w:autoSpaceDN/>
        <w:bidi w:val="0"/>
        <w:adjustRightInd/>
        <w:snapToGrid/>
        <w:spacing w:line="340" w:lineRule="exact"/>
        <w:ind w:left="0" w:hanging="900" w:hangingChars="375"/>
        <w:textAlignment w:val="auto"/>
        <w:rPr>
          <w:rFonts w:hint="eastAsia" w:ascii="仿宋_GB2312" w:hAnsi="仿宋_GB2312" w:eastAsia="仿宋_GB2312" w:cs="仿宋_GB2312"/>
          <w:sz w:val="24"/>
        </w:rPr>
      </w:pPr>
      <w:r>
        <w:rPr>
          <w:rFonts w:hint="eastAsia" w:ascii="仿宋_GB2312" w:hAnsi="仿宋_GB2312" w:eastAsia="仿宋_GB2312" w:cs="仿宋_GB2312"/>
          <w:sz w:val="24"/>
        </w:rPr>
        <w:t>二、质疑项目基本情况</w:t>
      </w:r>
    </w:p>
    <w:p w14:paraId="695E7F1D">
      <w:pPr>
        <w:keepNext w:val="0"/>
        <w:keepLines w:val="0"/>
        <w:pageBreakBefore w:val="0"/>
        <w:widowControl w:val="0"/>
        <w:kinsoku/>
        <w:wordWrap/>
        <w:overflowPunct/>
        <w:topLinePunct w:val="0"/>
        <w:autoSpaceDE/>
        <w:autoSpaceDN/>
        <w:bidi w:val="0"/>
        <w:adjustRightInd/>
        <w:snapToGrid/>
        <w:spacing w:line="340" w:lineRule="exact"/>
        <w:ind w:left="0" w:hanging="900" w:hangingChars="375"/>
        <w:textAlignment w:val="auto"/>
        <w:rPr>
          <w:rFonts w:hint="eastAsia" w:ascii="仿宋_GB2312" w:hAnsi="仿宋_GB2312" w:eastAsia="仿宋_GB2312" w:cs="仿宋_GB2312"/>
          <w:sz w:val="24"/>
        </w:rPr>
      </w:pPr>
      <w:r>
        <w:rPr>
          <w:rFonts w:hint="eastAsia" w:ascii="仿宋_GB2312" w:hAnsi="仿宋_GB2312" w:eastAsia="仿宋_GB2312" w:cs="仿宋_GB2312"/>
          <w:sz w:val="24"/>
        </w:rPr>
        <w:t>质疑项目的名称：</w:t>
      </w:r>
    </w:p>
    <w:p w14:paraId="3EA56F35">
      <w:pPr>
        <w:keepNext w:val="0"/>
        <w:keepLines w:val="0"/>
        <w:pageBreakBefore w:val="0"/>
        <w:widowControl w:val="0"/>
        <w:kinsoku/>
        <w:wordWrap/>
        <w:overflowPunct/>
        <w:topLinePunct w:val="0"/>
        <w:autoSpaceDE/>
        <w:autoSpaceDN/>
        <w:bidi w:val="0"/>
        <w:adjustRightInd/>
        <w:snapToGrid/>
        <w:spacing w:line="340" w:lineRule="exact"/>
        <w:ind w:left="0" w:hanging="900" w:hangingChars="375"/>
        <w:textAlignment w:val="auto"/>
        <w:rPr>
          <w:rFonts w:hint="eastAsia" w:ascii="仿宋_GB2312" w:hAnsi="仿宋_GB2312" w:eastAsia="仿宋_GB2312" w:cs="仿宋_GB2312"/>
          <w:sz w:val="24"/>
        </w:rPr>
      </w:pPr>
      <w:r>
        <w:rPr>
          <w:rFonts w:hint="eastAsia" w:ascii="仿宋_GB2312" w:hAnsi="仿宋_GB2312" w:eastAsia="仿宋_GB2312" w:cs="仿宋_GB2312"/>
          <w:sz w:val="24"/>
        </w:rPr>
        <w:t>质疑项目的编号：包号：</w:t>
      </w:r>
    </w:p>
    <w:p w14:paraId="039961FC">
      <w:pPr>
        <w:keepNext w:val="0"/>
        <w:keepLines w:val="0"/>
        <w:pageBreakBefore w:val="0"/>
        <w:widowControl w:val="0"/>
        <w:kinsoku/>
        <w:wordWrap/>
        <w:overflowPunct/>
        <w:topLinePunct w:val="0"/>
        <w:autoSpaceDE/>
        <w:autoSpaceDN/>
        <w:bidi w:val="0"/>
        <w:adjustRightInd/>
        <w:snapToGrid/>
        <w:spacing w:line="340" w:lineRule="exact"/>
        <w:ind w:left="0" w:hanging="900" w:hangingChars="375"/>
        <w:textAlignment w:val="auto"/>
        <w:rPr>
          <w:rFonts w:hint="eastAsia" w:ascii="仿宋_GB2312" w:hAnsi="仿宋_GB2312" w:eastAsia="仿宋_GB2312" w:cs="仿宋_GB2312"/>
          <w:sz w:val="24"/>
        </w:rPr>
      </w:pPr>
      <w:r>
        <w:rPr>
          <w:rFonts w:hint="eastAsia" w:ascii="仿宋_GB2312" w:hAnsi="仿宋_GB2312" w:eastAsia="仿宋_GB2312" w:cs="仿宋_GB2312"/>
          <w:sz w:val="24"/>
        </w:rPr>
        <w:t>采购人名称：</w:t>
      </w:r>
    </w:p>
    <w:p w14:paraId="235556EB">
      <w:pPr>
        <w:keepNext w:val="0"/>
        <w:keepLines w:val="0"/>
        <w:pageBreakBefore w:val="0"/>
        <w:widowControl w:val="0"/>
        <w:kinsoku/>
        <w:wordWrap/>
        <w:overflowPunct/>
        <w:topLinePunct w:val="0"/>
        <w:autoSpaceDE/>
        <w:autoSpaceDN/>
        <w:bidi w:val="0"/>
        <w:adjustRightInd/>
        <w:snapToGrid/>
        <w:spacing w:line="340" w:lineRule="exact"/>
        <w:ind w:left="0" w:hanging="900" w:hangingChars="375"/>
        <w:textAlignment w:val="auto"/>
        <w:rPr>
          <w:rFonts w:hint="eastAsia" w:ascii="仿宋_GB2312" w:hAnsi="仿宋_GB2312" w:eastAsia="仿宋_GB2312" w:cs="仿宋_GB2312"/>
          <w:sz w:val="24"/>
        </w:rPr>
      </w:pPr>
      <w:r>
        <w:rPr>
          <w:rFonts w:hint="eastAsia" w:ascii="仿宋_GB2312" w:hAnsi="仿宋_GB2312" w:eastAsia="仿宋_GB2312" w:cs="仿宋_GB2312"/>
          <w:sz w:val="24"/>
        </w:rPr>
        <w:t>采购文件获取日期：</w:t>
      </w:r>
    </w:p>
    <w:p w14:paraId="7CCB1AF1">
      <w:pPr>
        <w:keepNext w:val="0"/>
        <w:keepLines w:val="0"/>
        <w:pageBreakBefore w:val="0"/>
        <w:widowControl w:val="0"/>
        <w:kinsoku/>
        <w:wordWrap/>
        <w:overflowPunct/>
        <w:topLinePunct w:val="0"/>
        <w:autoSpaceDE/>
        <w:autoSpaceDN/>
        <w:bidi w:val="0"/>
        <w:adjustRightInd/>
        <w:snapToGrid/>
        <w:spacing w:line="340" w:lineRule="exact"/>
        <w:ind w:left="0" w:hanging="900" w:hangingChars="375"/>
        <w:textAlignment w:val="auto"/>
        <w:rPr>
          <w:rFonts w:hint="eastAsia" w:ascii="仿宋_GB2312" w:hAnsi="仿宋_GB2312" w:eastAsia="仿宋_GB2312" w:cs="仿宋_GB2312"/>
          <w:sz w:val="24"/>
        </w:rPr>
      </w:pPr>
      <w:r>
        <w:rPr>
          <w:rFonts w:hint="eastAsia" w:ascii="仿宋_GB2312" w:hAnsi="仿宋_GB2312" w:eastAsia="仿宋_GB2312" w:cs="仿宋_GB2312"/>
          <w:sz w:val="24"/>
        </w:rPr>
        <w:t>三、质疑事项具体内容</w:t>
      </w:r>
    </w:p>
    <w:p w14:paraId="66F08300">
      <w:pPr>
        <w:keepNext w:val="0"/>
        <w:keepLines w:val="0"/>
        <w:pageBreakBefore w:val="0"/>
        <w:widowControl w:val="0"/>
        <w:kinsoku/>
        <w:wordWrap/>
        <w:overflowPunct/>
        <w:topLinePunct w:val="0"/>
        <w:autoSpaceDE/>
        <w:autoSpaceDN/>
        <w:bidi w:val="0"/>
        <w:adjustRightInd/>
        <w:snapToGrid/>
        <w:spacing w:line="340" w:lineRule="exact"/>
        <w:ind w:left="0" w:hanging="900" w:hangingChars="375"/>
        <w:textAlignment w:val="auto"/>
        <w:rPr>
          <w:rFonts w:hint="eastAsia" w:ascii="仿宋_GB2312" w:hAnsi="仿宋_GB2312" w:eastAsia="仿宋_GB2312" w:cs="仿宋_GB2312"/>
          <w:sz w:val="24"/>
        </w:rPr>
      </w:pPr>
      <w:r>
        <w:rPr>
          <w:rFonts w:hint="eastAsia" w:ascii="仿宋_GB2312" w:hAnsi="仿宋_GB2312" w:eastAsia="仿宋_GB2312" w:cs="仿宋_GB2312"/>
          <w:sz w:val="24"/>
        </w:rPr>
        <w:t>质疑事项1：</w:t>
      </w:r>
    </w:p>
    <w:p w14:paraId="0582B36D">
      <w:pPr>
        <w:keepNext w:val="0"/>
        <w:keepLines w:val="0"/>
        <w:pageBreakBefore w:val="0"/>
        <w:widowControl w:val="0"/>
        <w:kinsoku/>
        <w:wordWrap/>
        <w:overflowPunct/>
        <w:topLinePunct w:val="0"/>
        <w:autoSpaceDE/>
        <w:autoSpaceDN/>
        <w:bidi w:val="0"/>
        <w:adjustRightInd/>
        <w:snapToGrid/>
        <w:spacing w:line="340" w:lineRule="exact"/>
        <w:ind w:left="0" w:hanging="900" w:hangingChars="375"/>
        <w:textAlignment w:val="auto"/>
        <w:rPr>
          <w:rFonts w:hint="eastAsia" w:ascii="仿宋_GB2312" w:hAnsi="仿宋_GB2312" w:eastAsia="仿宋_GB2312" w:cs="仿宋_GB2312"/>
          <w:sz w:val="24"/>
        </w:rPr>
      </w:pPr>
      <w:r>
        <w:rPr>
          <w:rFonts w:hint="eastAsia" w:ascii="仿宋_GB2312" w:hAnsi="仿宋_GB2312" w:eastAsia="仿宋_GB2312" w:cs="仿宋_GB2312"/>
          <w:sz w:val="24"/>
        </w:rPr>
        <w:t>事实依据：</w:t>
      </w:r>
    </w:p>
    <w:p w14:paraId="6E228C38">
      <w:pPr>
        <w:keepNext w:val="0"/>
        <w:keepLines w:val="0"/>
        <w:pageBreakBefore w:val="0"/>
        <w:widowControl w:val="0"/>
        <w:kinsoku/>
        <w:wordWrap/>
        <w:overflowPunct/>
        <w:topLinePunct w:val="0"/>
        <w:autoSpaceDE/>
        <w:autoSpaceDN/>
        <w:bidi w:val="0"/>
        <w:adjustRightInd/>
        <w:snapToGrid/>
        <w:spacing w:line="340" w:lineRule="exact"/>
        <w:ind w:left="0" w:hanging="900" w:hangingChars="375"/>
        <w:textAlignment w:val="auto"/>
        <w:rPr>
          <w:rFonts w:hint="eastAsia" w:ascii="仿宋_GB2312" w:hAnsi="仿宋_GB2312" w:eastAsia="仿宋_GB2312" w:cs="仿宋_GB2312"/>
          <w:sz w:val="24"/>
        </w:rPr>
      </w:pPr>
    </w:p>
    <w:p w14:paraId="2DC1333C">
      <w:pPr>
        <w:keepNext w:val="0"/>
        <w:keepLines w:val="0"/>
        <w:pageBreakBefore w:val="0"/>
        <w:widowControl w:val="0"/>
        <w:kinsoku/>
        <w:wordWrap/>
        <w:overflowPunct/>
        <w:topLinePunct w:val="0"/>
        <w:autoSpaceDE/>
        <w:autoSpaceDN/>
        <w:bidi w:val="0"/>
        <w:adjustRightInd/>
        <w:snapToGrid/>
        <w:spacing w:line="340" w:lineRule="exact"/>
        <w:ind w:left="0" w:hanging="900" w:hangingChars="375"/>
        <w:textAlignment w:val="auto"/>
        <w:rPr>
          <w:rFonts w:hint="eastAsia" w:ascii="仿宋_GB2312" w:hAnsi="仿宋_GB2312" w:eastAsia="仿宋_GB2312" w:cs="仿宋_GB2312"/>
          <w:sz w:val="24"/>
        </w:rPr>
      </w:pPr>
      <w:r>
        <w:rPr>
          <w:rFonts w:hint="eastAsia" w:ascii="仿宋_GB2312" w:hAnsi="仿宋_GB2312" w:eastAsia="仿宋_GB2312" w:cs="仿宋_GB2312"/>
          <w:sz w:val="24"/>
        </w:rPr>
        <w:t>法律依据：</w:t>
      </w:r>
    </w:p>
    <w:p w14:paraId="41C2D1CC">
      <w:pPr>
        <w:keepNext w:val="0"/>
        <w:keepLines w:val="0"/>
        <w:pageBreakBefore w:val="0"/>
        <w:widowControl w:val="0"/>
        <w:kinsoku/>
        <w:wordWrap/>
        <w:overflowPunct/>
        <w:topLinePunct w:val="0"/>
        <w:autoSpaceDE/>
        <w:autoSpaceDN/>
        <w:bidi w:val="0"/>
        <w:adjustRightInd/>
        <w:snapToGrid/>
        <w:spacing w:line="340" w:lineRule="exact"/>
        <w:ind w:left="0" w:hanging="900" w:hangingChars="375"/>
        <w:textAlignment w:val="auto"/>
        <w:rPr>
          <w:rFonts w:hint="eastAsia" w:ascii="仿宋_GB2312" w:hAnsi="仿宋_GB2312" w:eastAsia="仿宋_GB2312" w:cs="仿宋_GB2312"/>
          <w:sz w:val="24"/>
        </w:rPr>
      </w:pPr>
    </w:p>
    <w:p w14:paraId="14D5809E">
      <w:pPr>
        <w:keepNext w:val="0"/>
        <w:keepLines w:val="0"/>
        <w:pageBreakBefore w:val="0"/>
        <w:widowControl w:val="0"/>
        <w:kinsoku/>
        <w:wordWrap/>
        <w:overflowPunct/>
        <w:topLinePunct w:val="0"/>
        <w:autoSpaceDE/>
        <w:autoSpaceDN/>
        <w:bidi w:val="0"/>
        <w:adjustRightInd/>
        <w:snapToGrid/>
        <w:spacing w:line="340" w:lineRule="exact"/>
        <w:ind w:left="0" w:hanging="900" w:hangingChars="375"/>
        <w:textAlignment w:val="auto"/>
        <w:rPr>
          <w:rFonts w:hint="eastAsia" w:ascii="仿宋_GB2312" w:hAnsi="仿宋_GB2312" w:eastAsia="仿宋_GB2312" w:cs="仿宋_GB2312"/>
          <w:sz w:val="24"/>
        </w:rPr>
      </w:pPr>
      <w:r>
        <w:rPr>
          <w:rFonts w:hint="eastAsia" w:ascii="仿宋_GB2312" w:hAnsi="仿宋_GB2312" w:eastAsia="仿宋_GB2312" w:cs="仿宋_GB2312"/>
          <w:sz w:val="24"/>
        </w:rPr>
        <w:t>质疑事项2</w:t>
      </w:r>
    </w:p>
    <w:p w14:paraId="651E5E48">
      <w:pPr>
        <w:keepNext w:val="0"/>
        <w:keepLines w:val="0"/>
        <w:pageBreakBefore w:val="0"/>
        <w:widowControl w:val="0"/>
        <w:kinsoku/>
        <w:wordWrap/>
        <w:overflowPunct/>
        <w:topLinePunct w:val="0"/>
        <w:autoSpaceDE/>
        <w:autoSpaceDN/>
        <w:bidi w:val="0"/>
        <w:adjustRightInd/>
        <w:snapToGrid/>
        <w:spacing w:line="340" w:lineRule="exact"/>
        <w:ind w:left="0" w:hanging="900" w:hangingChars="375"/>
        <w:textAlignment w:val="auto"/>
        <w:rPr>
          <w:rFonts w:hint="eastAsia" w:ascii="仿宋_GB2312" w:hAnsi="仿宋_GB2312" w:eastAsia="仿宋_GB2312" w:cs="仿宋_GB2312"/>
          <w:sz w:val="24"/>
        </w:rPr>
      </w:pPr>
      <w:r>
        <w:rPr>
          <w:rFonts w:hint="eastAsia" w:ascii="仿宋_GB2312" w:hAnsi="仿宋_GB2312" w:eastAsia="仿宋_GB2312" w:cs="仿宋_GB2312"/>
          <w:sz w:val="24"/>
        </w:rPr>
        <w:t>……</w:t>
      </w:r>
    </w:p>
    <w:p w14:paraId="26CBB6C7">
      <w:pPr>
        <w:keepNext w:val="0"/>
        <w:keepLines w:val="0"/>
        <w:pageBreakBefore w:val="0"/>
        <w:widowControl w:val="0"/>
        <w:kinsoku/>
        <w:wordWrap/>
        <w:overflowPunct/>
        <w:topLinePunct w:val="0"/>
        <w:autoSpaceDE/>
        <w:autoSpaceDN/>
        <w:bidi w:val="0"/>
        <w:adjustRightInd/>
        <w:snapToGrid/>
        <w:spacing w:line="340" w:lineRule="exact"/>
        <w:ind w:left="0" w:hanging="900" w:hangingChars="375"/>
        <w:textAlignment w:val="auto"/>
        <w:rPr>
          <w:rFonts w:hint="eastAsia" w:ascii="仿宋_GB2312" w:hAnsi="仿宋_GB2312" w:eastAsia="仿宋_GB2312" w:cs="仿宋_GB2312"/>
          <w:sz w:val="24"/>
        </w:rPr>
      </w:pPr>
      <w:r>
        <w:rPr>
          <w:rFonts w:hint="eastAsia" w:ascii="仿宋_GB2312" w:hAnsi="仿宋_GB2312" w:eastAsia="仿宋_GB2312" w:cs="仿宋_GB2312"/>
          <w:sz w:val="24"/>
        </w:rPr>
        <w:t>四、与质疑事项相关的质疑请求</w:t>
      </w:r>
    </w:p>
    <w:p w14:paraId="2B041F34">
      <w:pPr>
        <w:keepNext w:val="0"/>
        <w:keepLines w:val="0"/>
        <w:pageBreakBefore w:val="0"/>
        <w:widowControl w:val="0"/>
        <w:kinsoku/>
        <w:wordWrap/>
        <w:overflowPunct/>
        <w:topLinePunct w:val="0"/>
        <w:autoSpaceDE/>
        <w:autoSpaceDN/>
        <w:bidi w:val="0"/>
        <w:adjustRightInd/>
        <w:snapToGrid/>
        <w:spacing w:line="340" w:lineRule="exact"/>
        <w:ind w:left="0" w:hanging="900" w:hangingChars="375"/>
        <w:textAlignment w:val="auto"/>
        <w:rPr>
          <w:rFonts w:hint="eastAsia" w:ascii="仿宋_GB2312" w:hAnsi="仿宋_GB2312" w:eastAsia="仿宋_GB2312" w:cs="仿宋_GB2312"/>
          <w:sz w:val="24"/>
        </w:rPr>
      </w:pPr>
      <w:r>
        <w:rPr>
          <w:rFonts w:hint="eastAsia" w:ascii="仿宋_GB2312" w:hAnsi="仿宋_GB2312" w:eastAsia="仿宋_GB2312" w:cs="仿宋_GB2312"/>
          <w:sz w:val="24"/>
        </w:rPr>
        <w:t>请求：</w:t>
      </w:r>
    </w:p>
    <w:p w14:paraId="28BDE722">
      <w:pPr>
        <w:keepNext w:val="0"/>
        <w:keepLines w:val="0"/>
        <w:pageBreakBefore w:val="0"/>
        <w:widowControl w:val="0"/>
        <w:kinsoku/>
        <w:wordWrap/>
        <w:overflowPunct/>
        <w:topLinePunct w:val="0"/>
        <w:autoSpaceDE/>
        <w:autoSpaceDN/>
        <w:bidi w:val="0"/>
        <w:adjustRightInd/>
        <w:snapToGrid/>
        <w:spacing w:line="340" w:lineRule="exact"/>
        <w:ind w:left="0" w:hanging="900" w:hangingChars="375"/>
        <w:textAlignment w:val="auto"/>
        <w:rPr>
          <w:rFonts w:hint="eastAsia" w:ascii="仿宋_GB2312" w:hAnsi="仿宋_GB2312" w:eastAsia="仿宋_GB2312" w:cs="仿宋_GB2312"/>
          <w:sz w:val="24"/>
        </w:rPr>
      </w:pPr>
      <w:r>
        <w:rPr>
          <w:rFonts w:hint="eastAsia" w:ascii="仿宋_GB2312" w:hAnsi="仿宋_GB2312" w:eastAsia="仿宋_GB2312" w:cs="仿宋_GB2312"/>
          <w:sz w:val="24"/>
        </w:rPr>
        <w:t>签字(签章)：公章：</w:t>
      </w:r>
    </w:p>
    <w:p w14:paraId="18294149">
      <w:pPr>
        <w:keepNext w:val="0"/>
        <w:keepLines w:val="0"/>
        <w:pageBreakBefore w:val="0"/>
        <w:widowControl w:val="0"/>
        <w:kinsoku/>
        <w:wordWrap/>
        <w:overflowPunct/>
        <w:topLinePunct w:val="0"/>
        <w:autoSpaceDE/>
        <w:autoSpaceDN/>
        <w:bidi w:val="0"/>
        <w:adjustRightInd/>
        <w:snapToGrid/>
        <w:spacing w:line="340" w:lineRule="exact"/>
        <w:ind w:left="0" w:hanging="900" w:hangingChars="375"/>
        <w:textAlignment w:val="auto"/>
        <w:rPr>
          <w:rFonts w:hint="eastAsia" w:ascii="仿宋_GB2312" w:hAnsi="仿宋_GB2312" w:eastAsia="仿宋_GB2312" w:cs="仿宋_GB2312"/>
          <w:sz w:val="24"/>
        </w:rPr>
      </w:pPr>
      <w:r>
        <w:rPr>
          <w:rFonts w:hint="eastAsia" w:ascii="仿宋_GB2312" w:hAnsi="仿宋_GB2312" w:eastAsia="仿宋_GB2312" w:cs="仿宋_GB2312"/>
          <w:sz w:val="24"/>
        </w:rPr>
        <w:t>日期：</w:t>
      </w:r>
    </w:p>
    <w:p w14:paraId="21F0FA93">
      <w:pPr>
        <w:keepNext w:val="0"/>
        <w:keepLines w:val="0"/>
        <w:pageBreakBefore w:val="0"/>
        <w:widowControl w:val="0"/>
        <w:kinsoku/>
        <w:wordWrap/>
        <w:overflowPunct/>
        <w:topLinePunct w:val="0"/>
        <w:autoSpaceDE/>
        <w:autoSpaceDN/>
        <w:bidi w:val="0"/>
        <w:adjustRightInd/>
        <w:snapToGrid/>
        <w:spacing w:line="340" w:lineRule="exact"/>
        <w:ind w:left="0" w:hanging="900" w:hangingChars="375"/>
        <w:textAlignment w:val="auto"/>
        <w:rPr>
          <w:rFonts w:hint="eastAsia" w:ascii="仿宋_GB2312" w:hAnsi="仿宋_GB2312" w:eastAsia="仿宋_GB2312" w:cs="仿宋_GB2312"/>
          <w:sz w:val="24"/>
        </w:rPr>
      </w:pPr>
    </w:p>
    <w:p w14:paraId="43C37083">
      <w:pPr>
        <w:keepNext w:val="0"/>
        <w:keepLines w:val="0"/>
        <w:pageBreakBefore w:val="0"/>
        <w:widowControl w:val="0"/>
        <w:kinsoku/>
        <w:wordWrap/>
        <w:overflowPunct/>
        <w:topLinePunct w:val="0"/>
        <w:autoSpaceDE/>
        <w:autoSpaceDN/>
        <w:bidi w:val="0"/>
        <w:adjustRightInd/>
        <w:snapToGrid/>
        <w:spacing w:line="340" w:lineRule="exact"/>
        <w:ind w:left="0" w:hanging="900" w:hangingChars="375"/>
        <w:textAlignment w:val="auto"/>
        <w:rPr>
          <w:rFonts w:hint="eastAsia" w:ascii="仿宋_GB2312" w:hAnsi="仿宋_GB2312" w:eastAsia="仿宋_GB2312" w:cs="仿宋_GB2312"/>
          <w:sz w:val="24"/>
        </w:rPr>
      </w:pPr>
    </w:p>
    <w:p w14:paraId="24A214EF">
      <w:pPr>
        <w:keepNext w:val="0"/>
        <w:keepLines w:val="0"/>
        <w:pageBreakBefore w:val="0"/>
        <w:widowControl w:val="0"/>
        <w:kinsoku/>
        <w:wordWrap/>
        <w:overflowPunct/>
        <w:topLinePunct w:val="0"/>
        <w:autoSpaceDE/>
        <w:autoSpaceDN/>
        <w:bidi w:val="0"/>
        <w:adjustRightInd/>
        <w:snapToGrid/>
        <w:spacing w:line="340" w:lineRule="exact"/>
        <w:ind w:left="0" w:hanging="900" w:hangingChars="375"/>
        <w:textAlignment w:val="auto"/>
        <w:rPr>
          <w:rFonts w:hint="eastAsia" w:ascii="仿宋_GB2312" w:hAnsi="仿宋_GB2312" w:eastAsia="仿宋_GB2312" w:cs="仿宋_GB2312"/>
          <w:sz w:val="24"/>
        </w:rPr>
      </w:pPr>
      <w:r>
        <w:rPr>
          <w:rFonts w:hint="eastAsia" w:ascii="仿宋_GB2312" w:hAnsi="仿宋_GB2312" w:eastAsia="仿宋_GB2312" w:cs="仿宋_GB2312"/>
          <w:sz w:val="24"/>
        </w:rPr>
        <w:t>质疑函制作说明：</w:t>
      </w:r>
    </w:p>
    <w:p w14:paraId="218CE539">
      <w:pPr>
        <w:keepNext w:val="0"/>
        <w:keepLines w:val="0"/>
        <w:pageBreakBefore w:val="0"/>
        <w:widowControl w:val="0"/>
        <w:kinsoku/>
        <w:wordWrap/>
        <w:overflowPunct/>
        <w:topLinePunct w:val="0"/>
        <w:autoSpaceDE/>
        <w:autoSpaceDN/>
        <w:bidi w:val="0"/>
        <w:adjustRightInd/>
        <w:snapToGrid/>
        <w:spacing w:line="340" w:lineRule="exact"/>
        <w:ind w:left="0" w:hanging="900" w:hangingChars="375"/>
        <w:textAlignment w:val="auto"/>
        <w:rPr>
          <w:rFonts w:hint="eastAsia" w:ascii="仿宋_GB2312" w:hAnsi="仿宋_GB2312" w:eastAsia="仿宋_GB2312" w:cs="仿宋_GB2312"/>
          <w:sz w:val="24"/>
          <w:lang w:val="en-US" w:eastAsia="zh-CN"/>
        </w:rPr>
      </w:pPr>
      <w:r>
        <w:rPr>
          <w:rFonts w:hint="eastAsia" w:ascii="仿宋_GB2312" w:hAnsi="仿宋_GB2312" w:eastAsia="仿宋_GB2312" w:cs="仿宋_GB2312"/>
          <w:sz w:val="24"/>
        </w:rPr>
        <w:t>1.供应商提出质疑时，应提交质疑函和必要的证明材料。</w:t>
      </w:r>
      <w:r>
        <w:rPr>
          <w:rFonts w:hint="eastAsia" w:ascii="仿宋_GB2312" w:hAnsi="仿宋_GB2312" w:eastAsia="仿宋_GB2312" w:cs="仿宋_GB2312"/>
          <w:sz w:val="24"/>
          <w:lang w:val="en-US" w:eastAsia="zh-CN"/>
        </w:rPr>
        <w:t xml:space="preserve"> </w:t>
      </w:r>
    </w:p>
    <w:p w14:paraId="5D5CEA92">
      <w:pPr>
        <w:keepNext w:val="0"/>
        <w:keepLines w:val="0"/>
        <w:pageBreakBefore w:val="0"/>
        <w:widowControl w:val="0"/>
        <w:kinsoku/>
        <w:wordWrap/>
        <w:overflowPunct/>
        <w:topLinePunct w:val="0"/>
        <w:autoSpaceDE/>
        <w:autoSpaceDN/>
        <w:bidi w:val="0"/>
        <w:adjustRightInd/>
        <w:snapToGrid/>
        <w:spacing w:line="340" w:lineRule="exact"/>
        <w:ind w:left="0" w:hanging="900" w:hangingChars="375"/>
        <w:textAlignment w:val="auto"/>
        <w:rPr>
          <w:rFonts w:hint="eastAsia" w:ascii="仿宋_GB2312" w:hAnsi="仿宋_GB2312" w:eastAsia="仿宋_GB2312" w:cs="仿宋_GB2312"/>
          <w:sz w:val="24"/>
        </w:rPr>
      </w:pPr>
      <w:r>
        <w:rPr>
          <w:rFonts w:hint="eastAsia" w:ascii="仿宋_GB2312" w:hAnsi="仿宋_GB2312" w:eastAsia="仿宋_GB2312" w:cs="仿宋_GB2312"/>
          <w:sz w:val="24"/>
        </w:rPr>
        <w:t>2.质疑供应商若委托代理人进行质疑的，质疑函应按要求列明“授权代表”的有关内容，并在附件中提交由质疑供应商签署的授权委托书。授权委托书应载明代理人的姓名或者名称、代理事项、具体权限、期限和相关事项。</w:t>
      </w:r>
    </w:p>
    <w:p w14:paraId="7C5444A6">
      <w:pPr>
        <w:keepNext w:val="0"/>
        <w:keepLines w:val="0"/>
        <w:pageBreakBefore w:val="0"/>
        <w:widowControl w:val="0"/>
        <w:kinsoku/>
        <w:wordWrap/>
        <w:overflowPunct/>
        <w:topLinePunct w:val="0"/>
        <w:autoSpaceDE/>
        <w:autoSpaceDN/>
        <w:bidi w:val="0"/>
        <w:adjustRightInd/>
        <w:snapToGrid/>
        <w:spacing w:line="340" w:lineRule="exact"/>
        <w:ind w:left="0" w:hanging="900" w:hangingChars="375"/>
        <w:textAlignment w:val="auto"/>
        <w:rPr>
          <w:rFonts w:hint="eastAsia" w:ascii="仿宋_GB2312" w:hAnsi="仿宋_GB2312" w:eastAsia="仿宋_GB2312" w:cs="仿宋_GB2312"/>
          <w:sz w:val="24"/>
        </w:rPr>
      </w:pPr>
      <w:r>
        <w:rPr>
          <w:rFonts w:hint="eastAsia" w:ascii="仿宋_GB2312" w:hAnsi="仿宋_GB2312" w:eastAsia="仿宋_GB2312" w:cs="仿宋_GB2312"/>
          <w:sz w:val="24"/>
        </w:rPr>
        <w:t>3.质疑供应商若对项目的某一分包进行质疑，质疑函中应列明具体分包号。</w:t>
      </w:r>
    </w:p>
    <w:p w14:paraId="60F7CBCF">
      <w:pPr>
        <w:keepNext w:val="0"/>
        <w:keepLines w:val="0"/>
        <w:pageBreakBefore w:val="0"/>
        <w:widowControl w:val="0"/>
        <w:kinsoku/>
        <w:wordWrap/>
        <w:overflowPunct/>
        <w:topLinePunct w:val="0"/>
        <w:autoSpaceDE/>
        <w:autoSpaceDN/>
        <w:bidi w:val="0"/>
        <w:adjustRightInd/>
        <w:snapToGrid/>
        <w:spacing w:line="340" w:lineRule="exact"/>
        <w:ind w:left="0" w:hanging="900" w:hangingChars="375"/>
        <w:textAlignment w:val="auto"/>
        <w:rPr>
          <w:rFonts w:hint="eastAsia" w:ascii="仿宋_GB2312" w:hAnsi="仿宋_GB2312" w:eastAsia="仿宋_GB2312" w:cs="仿宋_GB2312"/>
          <w:sz w:val="24"/>
        </w:rPr>
      </w:pPr>
      <w:r>
        <w:rPr>
          <w:rFonts w:hint="eastAsia" w:ascii="仿宋_GB2312" w:hAnsi="仿宋_GB2312" w:eastAsia="仿宋_GB2312" w:cs="仿宋_GB2312"/>
          <w:sz w:val="24"/>
        </w:rPr>
        <w:t>4.质疑函的质疑事项应具体、明确，并有必要的事实依据和法律依据。</w:t>
      </w:r>
    </w:p>
    <w:p w14:paraId="0EF02BF7">
      <w:pPr>
        <w:keepNext w:val="0"/>
        <w:keepLines w:val="0"/>
        <w:pageBreakBefore w:val="0"/>
        <w:widowControl w:val="0"/>
        <w:kinsoku/>
        <w:wordWrap/>
        <w:overflowPunct/>
        <w:topLinePunct w:val="0"/>
        <w:autoSpaceDE/>
        <w:autoSpaceDN/>
        <w:bidi w:val="0"/>
        <w:adjustRightInd/>
        <w:snapToGrid/>
        <w:spacing w:line="340" w:lineRule="exact"/>
        <w:ind w:left="0" w:hanging="900" w:hangingChars="375"/>
        <w:textAlignment w:val="auto"/>
        <w:rPr>
          <w:rFonts w:hint="eastAsia" w:ascii="仿宋_GB2312" w:hAnsi="仿宋_GB2312" w:eastAsia="仿宋_GB2312" w:cs="仿宋_GB2312"/>
          <w:sz w:val="24"/>
        </w:rPr>
      </w:pPr>
      <w:r>
        <w:rPr>
          <w:rFonts w:hint="eastAsia" w:ascii="仿宋_GB2312" w:hAnsi="仿宋_GB2312" w:eastAsia="仿宋_GB2312" w:cs="仿宋_GB2312"/>
          <w:sz w:val="24"/>
        </w:rPr>
        <w:t>5.质疑函的质疑请求应与质疑事项相关。</w:t>
      </w:r>
    </w:p>
    <w:p w14:paraId="2A3FBFF6">
      <w:pPr>
        <w:keepNext w:val="0"/>
        <w:keepLines w:val="0"/>
        <w:pageBreakBefore w:val="0"/>
        <w:widowControl w:val="0"/>
        <w:kinsoku/>
        <w:wordWrap/>
        <w:overflowPunct/>
        <w:topLinePunct w:val="0"/>
        <w:autoSpaceDE/>
        <w:autoSpaceDN/>
        <w:bidi w:val="0"/>
        <w:adjustRightInd/>
        <w:snapToGrid/>
        <w:spacing w:line="340" w:lineRule="exact"/>
        <w:ind w:left="0" w:hanging="900" w:hangingChars="375"/>
        <w:textAlignment w:val="auto"/>
        <w:rPr>
          <w:rFonts w:hint="eastAsia" w:ascii="仿宋_GB2312" w:hAnsi="仿宋_GB2312" w:eastAsia="仿宋_GB2312" w:cs="仿宋_GB2312"/>
          <w:sz w:val="24"/>
        </w:rPr>
      </w:pPr>
      <w:r>
        <w:rPr>
          <w:rFonts w:hint="eastAsia" w:ascii="仿宋_GB2312" w:hAnsi="仿宋_GB2312" w:eastAsia="仿宋_GB2312" w:cs="仿宋_GB2312"/>
          <w:sz w:val="24"/>
        </w:rPr>
        <w:t>6.质疑供应商为自然人的，质疑函应由本人签字；质疑供应商为法人或者其他组织的，质疑函应由法定代表人、主要负责人，或者其授权代表签字或者盖章，并加盖公章。</w:t>
      </w:r>
    </w:p>
    <w:p w14:paraId="1365969A">
      <w:pPr>
        <w:pageBreakBefore w:val="0"/>
        <w:widowControl w:val="0"/>
        <w:kinsoku/>
        <w:wordWrap/>
        <w:overflowPunct/>
        <w:topLinePunct w:val="0"/>
        <w:bidi w:val="0"/>
        <w:spacing w:before="0" w:line="240" w:lineRule="atLeast"/>
        <w:ind w:left="1079" w:leftChars="257" w:hanging="540"/>
        <w:outlineLvl w:val="9"/>
        <w:rPr>
          <w:rFonts w:hint="eastAsia" w:ascii="宋体" w:hAnsi="宋体" w:eastAsia="宋体" w:cs="宋体"/>
          <w:szCs w:val="24"/>
        </w:rPr>
      </w:pPr>
      <w:r>
        <w:rPr>
          <w:rFonts w:hint="eastAsia" w:ascii="仿宋_GB2312" w:hAnsi="仿宋_GB2312" w:eastAsia="仿宋_GB2312" w:cs="仿宋_GB2312"/>
          <w:sz w:val="24"/>
        </w:rPr>
        <w:br w:type="page"/>
      </w:r>
    </w:p>
    <w:p w14:paraId="6B4223B7">
      <w:pPr>
        <w:pageBreakBefore w:val="0"/>
        <w:widowControl w:val="0"/>
        <w:kinsoku/>
        <w:wordWrap/>
        <w:overflowPunct/>
        <w:topLinePunct w:val="0"/>
        <w:bidi w:val="0"/>
        <w:spacing w:before="0" w:line="240" w:lineRule="atLeast"/>
        <w:ind w:left="1079" w:leftChars="257" w:hanging="540"/>
        <w:outlineLvl w:val="9"/>
        <w:rPr>
          <w:rFonts w:hint="eastAsia" w:ascii="宋体" w:hAnsi="宋体" w:eastAsia="宋体" w:cs="宋体"/>
          <w:szCs w:val="24"/>
        </w:rPr>
      </w:pPr>
      <w:r>
        <w:rPr>
          <w:rFonts w:hint="eastAsia" w:ascii="宋体" w:hAnsi="宋体" w:eastAsia="宋体" w:cs="宋体"/>
          <w:szCs w:val="24"/>
        </w:rPr>
        <w:t>附件1：履约保证金保函（格式）</w:t>
      </w:r>
      <w:bookmarkEnd w:id="959"/>
      <w:bookmarkEnd w:id="960"/>
      <w:bookmarkEnd w:id="961"/>
      <w:bookmarkEnd w:id="962"/>
      <w:bookmarkEnd w:id="963"/>
    </w:p>
    <w:p w14:paraId="2E82729A">
      <w:pPr>
        <w:pStyle w:val="20"/>
        <w:pageBreakBefore w:val="0"/>
        <w:widowControl w:val="0"/>
        <w:kinsoku/>
        <w:wordWrap/>
        <w:overflowPunct/>
        <w:topLinePunct w:val="0"/>
        <w:bidi w:val="0"/>
        <w:spacing w:line="240" w:lineRule="atLeast"/>
        <w:ind w:left="1079" w:leftChars="257" w:hanging="540"/>
        <w:jc w:val="center"/>
        <w:outlineLvl w:val="9"/>
        <w:rPr>
          <w:rFonts w:hint="eastAsia" w:hAnsi="宋体" w:cs="宋体"/>
          <w:b/>
          <w:sz w:val="24"/>
        </w:rPr>
      </w:pPr>
      <w:r>
        <w:rPr>
          <w:rFonts w:hint="eastAsia" w:hAnsi="宋体" w:cs="宋体"/>
          <w:b/>
          <w:sz w:val="24"/>
        </w:rPr>
        <w:t>（中标后开具）</w:t>
      </w:r>
    </w:p>
    <w:p w14:paraId="6F56F4C7">
      <w:pPr>
        <w:pStyle w:val="20"/>
        <w:pageBreakBefore w:val="0"/>
        <w:widowControl w:val="0"/>
        <w:kinsoku/>
        <w:wordWrap/>
        <w:overflowPunct/>
        <w:topLinePunct w:val="0"/>
        <w:bidi w:val="0"/>
        <w:spacing w:line="240" w:lineRule="atLeast"/>
        <w:ind w:left="1079" w:leftChars="257" w:hanging="540"/>
        <w:outlineLvl w:val="9"/>
        <w:rPr>
          <w:rFonts w:hint="eastAsia" w:hAnsi="宋体" w:cs="宋体"/>
          <w:b/>
          <w:sz w:val="24"/>
        </w:rPr>
      </w:pPr>
    </w:p>
    <w:p w14:paraId="0ED2D432">
      <w:pPr>
        <w:pStyle w:val="20"/>
        <w:pageBreakBefore w:val="0"/>
        <w:widowControl w:val="0"/>
        <w:kinsoku/>
        <w:wordWrap/>
        <w:overflowPunct/>
        <w:topLinePunct w:val="0"/>
        <w:bidi w:val="0"/>
        <w:spacing w:line="240" w:lineRule="atLeast"/>
        <w:ind w:left="1079" w:leftChars="257" w:hanging="540"/>
        <w:outlineLvl w:val="9"/>
        <w:rPr>
          <w:rFonts w:hint="eastAsia" w:hAnsi="宋体" w:cs="宋体"/>
          <w:b/>
          <w:sz w:val="24"/>
        </w:rPr>
      </w:pPr>
      <w:r>
        <w:rPr>
          <w:rFonts w:hint="eastAsia" w:hAnsi="宋体" w:cs="宋体"/>
          <w:b/>
          <w:sz w:val="24"/>
        </w:rPr>
        <w:t xml:space="preserve">                       </w:t>
      </w:r>
    </w:p>
    <w:p w14:paraId="457A8BEF">
      <w:pPr>
        <w:pStyle w:val="20"/>
        <w:pageBreakBefore w:val="0"/>
        <w:widowControl w:val="0"/>
        <w:kinsoku/>
        <w:wordWrap/>
        <w:overflowPunct/>
        <w:topLinePunct w:val="0"/>
        <w:bidi w:val="0"/>
        <w:spacing w:line="240" w:lineRule="atLeast"/>
        <w:outlineLvl w:val="9"/>
        <w:rPr>
          <w:rFonts w:hint="eastAsia" w:ascii="宋体" w:hAnsi="宋体" w:eastAsia="宋体" w:cs="宋体"/>
          <w:sz w:val="24"/>
          <w:szCs w:val="24"/>
        </w:rPr>
      </w:pPr>
      <w:r>
        <w:rPr>
          <w:rFonts w:hint="eastAsia" w:ascii="宋体" w:hAnsi="宋体" w:eastAsia="宋体" w:cs="宋体"/>
          <w:sz w:val="24"/>
          <w:szCs w:val="24"/>
        </w:rPr>
        <w:t>致: (</w:t>
      </w:r>
      <w:r>
        <w:rPr>
          <w:rFonts w:hint="eastAsia" w:ascii="宋体" w:hAnsi="宋体" w:eastAsia="宋体" w:cs="宋体"/>
          <w:i/>
          <w:sz w:val="24"/>
          <w:szCs w:val="24"/>
          <w:u w:val="single"/>
        </w:rPr>
        <w:t>买方名称</w:t>
      </w:r>
      <w:r>
        <w:rPr>
          <w:rFonts w:hint="eastAsia" w:ascii="宋体" w:hAnsi="宋体" w:eastAsia="宋体" w:cs="宋体"/>
          <w:sz w:val="24"/>
          <w:szCs w:val="24"/>
        </w:rPr>
        <w:t>)</w:t>
      </w:r>
    </w:p>
    <w:p w14:paraId="6D901AB7">
      <w:pPr>
        <w:pStyle w:val="20"/>
        <w:pageBreakBefore w:val="0"/>
        <w:widowControl w:val="0"/>
        <w:kinsoku/>
        <w:wordWrap/>
        <w:overflowPunct/>
        <w:topLinePunct w:val="0"/>
        <w:bidi w:val="0"/>
        <w:spacing w:line="240" w:lineRule="atLeast"/>
        <w:ind w:left="1079" w:leftChars="257" w:hanging="540"/>
        <w:jc w:val="center"/>
        <w:outlineLvl w:val="9"/>
        <w:rPr>
          <w:rFonts w:hint="eastAsia" w:ascii="宋体" w:hAnsi="宋体" w:eastAsia="宋体" w:cs="宋体"/>
          <w:sz w:val="24"/>
          <w:szCs w:val="24"/>
        </w:rPr>
      </w:pPr>
      <w:r>
        <w:rPr>
          <w:rFonts w:hint="eastAsia" w:ascii="宋体" w:hAnsi="宋体" w:eastAsia="宋体" w:cs="宋体"/>
          <w:sz w:val="24"/>
          <w:szCs w:val="24"/>
          <w:u w:val="single"/>
        </w:rPr>
        <w:t xml:space="preserve">             </w:t>
      </w:r>
      <w:r>
        <w:rPr>
          <w:rFonts w:hint="eastAsia" w:ascii="宋体" w:hAnsi="宋体" w:eastAsia="宋体" w:cs="宋体"/>
          <w:sz w:val="24"/>
          <w:szCs w:val="24"/>
        </w:rPr>
        <w:t>号合同履约保函</w:t>
      </w:r>
    </w:p>
    <w:p w14:paraId="2D13CF4F">
      <w:pPr>
        <w:pStyle w:val="20"/>
        <w:pageBreakBefore w:val="0"/>
        <w:widowControl w:val="0"/>
        <w:kinsoku/>
        <w:wordWrap/>
        <w:overflowPunct/>
        <w:topLinePunct w:val="0"/>
        <w:bidi w:val="0"/>
        <w:spacing w:line="240" w:lineRule="atLeast"/>
        <w:ind w:left="1079" w:leftChars="257" w:hanging="540"/>
        <w:jc w:val="center"/>
        <w:outlineLvl w:val="9"/>
        <w:rPr>
          <w:rFonts w:hint="eastAsia" w:ascii="宋体" w:hAnsi="宋体" w:eastAsia="宋体" w:cs="宋体"/>
          <w:sz w:val="24"/>
          <w:szCs w:val="24"/>
        </w:rPr>
      </w:pPr>
    </w:p>
    <w:p w14:paraId="72C7B7B2">
      <w:pPr>
        <w:pStyle w:val="20"/>
        <w:pageBreakBefore w:val="0"/>
        <w:widowControl w:val="0"/>
        <w:kinsoku/>
        <w:wordWrap/>
        <w:overflowPunct/>
        <w:topLinePunct w:val="0"/>
        <w:bidi w:val="0"/>
        <w:spacing w:line="240" w:lineRule="atLeast"/>
        <w:ind w:firstLine="600" w:firstLineChars="250"/>
        <w:outlineLvl w:val="9"/>
        <w:rPr>
          <w:rFonts w:hint="eastAsia" w:ascii="宋体" w:hAnsi="宋体" w:eastAsia="宋体" w:cs="宋体"/>
          <w:sz w:val="24"/>
          <w:szCs w:val="24"/>
        </w:rPr>
      </w:pPr>
      <w:r>
        <w:rPr>
          <w:rFonts w:hint="eastAsia" w:ascii="宋体" w:hAnsi="宋体" w:eastAsia="宋体" w:cs="宋体"/>
          <w:sz w:val="24"/>
          <w:szCs w:val="24"/>
        </w:rPr>
        <w:t>本保函作为贵方与(</w:t>
      </w:r>
      <w:r>
        <w:rPr>
          <w:rFonts w:hint="eastAsia" w:ascii="宋体" w:hAnsi="宋体" w:eastAsia="宋体" w:cs="宋体"/>
          <w:i/>
          <w:sz w:val="24"/>
          <w:szCs w:val="24"/>
          <w:u w:val="single"/>
        </w:rPr>
        <w:t>卖方名称</w:t>
      </w:r>
      <w:r>
        <w:rPr>
          <w:rFonts w:hint="eastAsia" w:ascii="宋体" w:hAnsi="宋体" w:eastAsia="宋体" w:cs="宋体"/>
          <w:sz w:val="24"/>
          <w:szCs w:val="24"/>
        </w:rPr>
        <w:t>)(以下简称卖方)于</w:t>
      </w:r>
      <w:r>
        <w:rPr>
          <w:rFonts w:hint="eastAsia" w:ascii="宋体" w:hAnsi="宋体" w:eastAsia="宋体" w:cs="宋体"/>
          <w:sz w:val="24"/>
          <w:szCs w:val="24"/>
          <w:u w:val="single"/>
        </w:rPr>
        <w:t xml:space="preserve">    </w:t>
      </w:r>
      <w:r>
        <w:rPr>
          <w:rFonts w:hint="eastAsia" w:ascii="宋体" w:hAnsi="宋体" w:eastAsia="宋体" w:cs="宋体"/>
          <w:sz w:val="24"/>
          <w:szCs w:val="24"/>
        </w:rPr>
        <w:t>年</w:t>
      </w:r>
      <w:r>
        <w:rPr>
          <w:rFonts w:hint="eastAsia" w:ascii="宋体" w:hAnsi="宋体" w:eastAsia="宋体" w:cs="宋体"/>
          <w:sz w:val="24"/>
          <w:szCs w:val="24"/>
          <w:u w:val="single"/>
        </w:rPr>
        <w:t xml:space="preserve">    </w:t>
      </w:r>
      <w:r>
        <w:rPr>
          <w:rFonts w:hint="eastAsia" w:ascii="宋体" w:hAnsi="宋体" w:eastAsia="宋体" w:cs="宋体"/>
          <w:sz w:val="24"/>
          <w:szCs w:val="24"/>
        </w:rPr>
        <w:t>月</w:t>
      </w:r>
      <w:r>
        <w:rPr>
          <w:rFonts w:hint="eastAsia" w:ascii="宋体" w:hAnsi="宋体" w:eastAsia="宋体" w:cs="宋体"/>
          <w:sz w:val="24"/>
          <w:szCs w:val="24"/>
          <w:u w:val="single"/>
        </w:rPr>
        <w:t xml:space="preserve">    </w:t>
      </w:r>
      <w:r>
        <w:rPr>
          <w:rFonts w:hint="eastAsia" w:ascii="宋体" w:hAnsi="宋体" w:eastAsia="宋体" w:cs="宋体"/>
          <w:sz w:val="24"/>
          <w:szCs w:val="24"/>
        </w:rPr>
        <w:t>日就</w:t>
      </w:r>
      <w:r>
        <w:rPr>
          <w:rFonts w:hint="eastAsia" w:ascii="宋体" w:hAnsi="宋体" w:eastAsia="宋体" w:cs="宋体"/>
          <w:sz w:val="24"/>
          <w:szCs w:val="24"/>
          <w:u w:val="single"/>
        </w:rPr>
        <w:t xml:space="preserve">      </w:t>
      </w:r>
      <w:r>
        <w:rPr>
          <w:rFonts w:hint="eastAsia" w:ascii="宋体" w:hAnsi="宋体" w:eastAsia="宋体" w:cs="宋体"/>
          <w:sz w:val="24"/>
          <w:szCs w:val="24"/>
        </w:rPr>
        <w:t>项目(以下简称项目)项下提供(</w:t>
      </w:r>
      <w:r>
        <w:rPr>
          <w:rFonts w:hint="eastAsia" w:ascii="宋体" w:hAnsi="宋体" w:eastAsia="宋体" w:cs="宋体"/>
          <w:i/>
          <w:sz w:val="24"/>
          <w:szCs w:val="24"/>
          <w:u w:val="single"/>
        </w:rPr>
        <w:t>货物名称</w:t>
      </w:r>
      <w:r>
        <w:rPr>
          <w:rFonts w:hint="eastAsia" w:ascii="宋体" w:hAnsi="宋体" w:eastAsia="宋体" w:cs="宋体"/>
          <w:sz w:val="24"/>
          <w:szCs w:val="24"/>
        </w:rPr>
        <w:t>)(以下简称货物)签订的(</w:t>
      </w:r>
      <w:r>
        <w:rPr>
          <w:rFonts w:hint="eastAsia" w:ascii="宋体" w:hAnsi="宋体" w:eastAsia="宋体" w:cs="宋体"/>
          <w:i/>
          <w:sz w:val="24"/>
          <w:szCs w:val="24"/>
          <w:u w:val="single"/>
        </w:rPr>
        <w:t>合同号</w:t>
      </w:r>
      <w:r>
        <w:rPr>
          <w:rFonts w:hint="eastAsia" w:ascii="宋体" w:hAnsi="宋体" w:eastAsia="宋体" w:cs="宋体"/>
          <w:sz w:val="24"/>
          <w:szCs w:val="24"/>
        </w:rPr>
        <w:t>)号合同的履约保函。</w:t>
      </w:r>
    </w:p>
    <w:p w14:paraId="27B90889">
      <w:pPr>
        <w:pStyle w:val="20"/>
        <w:pageBreakBefore w:val="0"/>
        <w:widowControl w:val="0"/>
        <w:kinsoku/>
        <w:wordWrap/>
        <w:overflowPunct/>
        <w:topLinePunct w:val="0"/>
        <w:bidi w:val="0"/>
        <w:spacing w:line="240" w:lineRule="atLeast"/>
        <w:ind w:firstLine="540" w:firstLineChars="225"/>
        <w:outlineLvl w:val="9"/>
        <w:rPr>
          <w:rFonts w:hint="eastAsia" w:ascii="宋体" w:hAnsi="宋体" w:eastAsia="宋体" w:cs="宋体"/>
          <w:sz w:val="24"/>
          <w:szCs w:val="24"/>
        </w:rPr>
      </w:pPr>
      <w:r>
        <w:rPr>
          <w:rFonts w:hint="eastAsia" w:ascii="宋体" w:hAnsi="宋体" w:eastAsia="宋体" w:cs="宋体"/>
          <w:sz w:val="24"/>
          <w:szCs w:val="24"/>
        </w:rPr>
        <w:t>(</w:t>
      </w:r>
      <w:r>
        <w:rPr>
          <w:rFonts w:hint="eastAsia" w:ascii="宋体" w:hAnsi="宋体" w:eastAsia="宋体" w:cs="宋体"/>
          <w:i/>
          <w:sz w:val="24"/>
          <w:szCs w:val="24"/>
          <w:u w:val="single"/>
        </w:rPr>
        <w:t>出具保函的银行名称</w:t>
      </w:r>
      <w:r>
        <w:rPr>
          <w:rFonts w:hint="eastAsia" w:ascii="宋体" w:hAnsi="宋体" w:eastAsia="宋体" w:cs="宋体"/>
          <w:sz w:val="24"/>
          <w:szCs w:val="24"/>
        </w:rPr>
        <w:t>)(以下简称银行)无条件地、不可撤销地具结保证本行、其继承人和受让人无追索地向贵方以(</w:t>
      </w:r>
      <w:r>
        <w:rPr>
          <w:rFonts w:hint="eastAsia" w:ascii="宋体" w:hAnsi="宋体" w:eastAsia="宋体" w:cs="宋体"/>
          <w:i/>
          <w:sz w:val="24"/>
          <w:szCs w:val="24"/>
          <w:u w:val="single"/>
        </w:rPr>
        <w:t>货币名称</w:t>
      </w:r>
      <w:r>
        <w:rPr>
          <w:rFonts w:hint="eastAsia" w:ascii="宋体" w:hAnsi="宋体" w:eastAsia="宋体" w:cs="宋体"/>
          <w:sz w:val="24"/>
          <w:szCs w:val="24"/>
        </w:rPr>
        <w:t>)支付总额不超过(</w:t>
      </w:r>
      <w:r>
        <w:rPr>
          <w:rFonts w:hint="eastAsia" w:ascii="宋体" w:hAnsi="宋体" w:eastAsia="宋体" w:cs="宋体"/>
          <w:i/>
          <w:sz w:val="24"/>
          <w:szCs w:val="24"/>
          <w:u w:val="single"/>
        </w:rPr>
        <w:t>货币数量</w:t>
      </w:r>
      <w:r>
        <w:rPr>
          <w:rFonts w:hint="eastAsia" w:ascii="宋体" w:hAnsi="宋体" w:eastAsia="宋体" w:cs="宋体"/>
          <w:sz w:val="24"/>
          <w:szCs w:val="24"/>
        </w:rPr>
        <w:t>),即相当于合同价格的</w:t>
      </w:r>
      <w:r>
        <w:rPr>
          <w:rFonts w:hint="eastAsia" w:ascii="宋体" w:hAnsi="宋体" w:eastAsia="宋体" w:cs="宋体"/>
          <w:sz w:val="24"/>
          <w:szCs w:val="24"/>
          <w:u w:val="single"/>
        </w:rPr>
        <w:t xml:space="preserve">     </w:t>
      </w:r>
      <w:r>
        <w:rPr>
          <w:rFonts w:hint="eastAsia" w:ascii="宋体" w:hAnsi="宋体" w:eastAsia="宋体" w:cs="宋体"/>
          <w:sz w:val="24"/>
          <w:szCs w:val="24"/>
        </w:rPr>
        <w:t>%,并以此约定如下:</w:t>
      </w:r>
    </w:p>
    <w:p w14:paraId="12FBA8C4">
      <w:pPr>
        <w:pStyle w:val="20"/>
        <w:pageBreakBefore w:val="0"/>
        <w:widowControl w:val="0"/>
        <w:kinsoku/>
        <w:wordWrap/>
        <w:overflowPunct/>
        <w:topLinePunct w:val="0"/>
        <w:bidi w:val="0"/>
        <w:spacing w:line="240" w:lineRule="atLeast"/>
        <w:ind w:left="539" w:leftChars="257"/>
        <w:outlineLvl w:val="9"/>
        <w:rPr>
          <w:rFonts w:hint="eastAsia" w:ascii="宋体" w:hAnsi="宋体" w:eastAsia="宋体" w:cs="宋体"/>
          <w:sz w:val="24"/>
          <w:szCs w:val="24"/>
        </w:rPr>
      </w:pPr>
      <w:r>
        <w:rPr>
          <w:rFonts w:hint="eastAsia" w:ascii="宋体" w:hAnsi="宋体" w:eastAsia="宋体" w:cs="宋体"/>
          <w:sz w:val="24"/>
          <w:szCs w:val="24"/>
        </w:rPr>
        <w:t>1.只要贵方确定卖方未能忠实地履行所有合同文件的规定和双方此后一致 同意的修改、补充和变动,包括更改和/或修补贵方认为有缺陷的货物(以下简称违约),无论卖方有任何反对,本行将凭贵方关于卖方违约说明的书面通知,立即按贵方提出的累计总额不超过上述金额的款项和按贵方通知规定的方式付给贵方。</w:t>
      </w:r>
    </w:p>
    <w:p w14:paraId="3EB8CFB2">
      <w:pPr>
        <w:pStyle w:val="20"/>
        <w:pageBreakBefore w:val="0"/>
        <w:widowControl w:val="0"/>
        <w:kinsoku/>
        <w:wordWrap/>
        <w:overflowPunct/>
        <w:topLinePunct w:val="0"/>
        <w:bidi w:val="0"/>
        <w:spacing w:line="240" w:lineRule="atLeast"/>
        <w:ind w:left="540"/>
        <w:outlineLvl w:val="9"/>
        <w:rPr>
          <w:rFonts w:hint="eastAsia" w:ascii="宋体" w:hAnsi="宋体" w:eastAsia="宋体" w:cs="宋体"/>
          <w:sz w:val="24"/>
          <w:szCs w:val="24"/>
        </w:rPr>
      </w:pPr>
      <w:r>
        <w:rPr>
          <w:rFonts w:hint="eastAsia" w:ascii="宋体" w:hAnsi="宋体" w:eastAsia="宋体" w:cs="宋体"/>
          <w:sz w:val="24"/>
          <w:szCs w:val="24"/>
        </w:rPr>
        <w:t>2.本保函项下的任何支付应为免税和净值。对于现有或将来的税收、关税、收费、费用扣减或预提税款，不论这些款项是何种性质和由谁征收，都不应从本保函项下的支付中扣除。</w:t>
      </w:r>
    </w:p>
    <w:p w14:paraId="22203EC8">
      <w:pPr>
        <w:pStyle w:val="20"/>
        <w:pageBreakBefore w:val="0"/>
        <w:widowControl w:val="0"/>
        <w:kinsoku/>
        <w:wordWrap/>
        <w:overflowPunct/>
        <w:topLinePunct w:val="0"/>
        <w:bidi w:val="0"/>
        <w:spacing w:line="240" w:lineRule="atLeast"/>
        <w:ind w:left="540"/>
        <w:outlineLvl w:val="9"/>
        <w:rPr>
          <w:rFonts w:hint="eastAsia" w:ascii="宋体" w:hAnsi="宋体" w:eastAsia="宋体" w:cs="宋体"/>
          <w:sz w:val="24"/>
          <w:szCs w:val="24"/>
        </w:rPr>
      </w:pPr>
      <w:r>
        <w:rPr>
          <w:rFonts w:hint="eastAsia" w:ascii="宋体" w:hAnsi="宋体" w:eastAsia="宋体" w:cs="宋体"/>
          <w:sz w:val="24"/>
          <w:szCs w:val="24"/>
        </w:rPr>
        <w:t>3.本保函的条款构成本行无条件的、不可撤销的直接责任。对即将履行的合同条款的任何变更、贵方在时间上的宽限、或由贵方采取的如果没有本款可能免除本行责任的任何其它行为，均不能解除或免除本行在本保函项下的责任。</w:t>
      </w:r>
    </w:p>
    <w:p w14:paraId="1CFC7C80">
      <w:pPr>
        <w:pStyle w:val="20"/>
        <w:pageBreakBefore w:val="0"/>
        <w:widowControl w:val="0"/>
        <w:kinsoku/>
        <w:wordWrap/>
        <w:overflowPunct/>
        <w:topLinePunct w:val="0"/>
        <w:bidi w:val="0"/>
        <w:spacing w:line="240" w:lineRule="atLeast"/>
        <w:ind w:left="1079" w:leftChars="257" w:hanging="540"/>
        <w:outlineLvl w:val="9"/>
        <w:rPr>
          <w:rFonts w:hint="eastAsia" w:ascii="宋体" w:hAnsi="宋体" w:eastAsia="宋体" w:cs="宋体"/>
          <w:sz w:val="24"/>
          <w:szCs w:val="24"/>
        </w:rPr>
      </w:pPr>
      <w:bookmarkStart w:id="964" w:name="_Toc1076"/>
      <w:bookmarkStart w:id="965" w:name="_Toc6985"/>
      <w:r>
        <w:rPr>
          <w:rFonts w:hint="eastAsia" w:ascii="宋体" w:hAnsi="宋体" w:eastAsia="宋体" w:cs="宋体"/>
          <w:sz w:val="24"/>
          <w:szCs w:val="24"/>
        </w:rPr>
        <w:t>4.本保函在本合同规定的保证期期满前完全有效。</w:t>
      </w:r>
      <w:bookmarkEnd w:id="964"/>
      <w:bookmarkEnd w:id="965"/>
    </w:p>
    <w:p w14:paraId="0CB09257">
      <w:pPr>
        <w:pStyle w:val="20"/>
        <w:pageBreakBefore w:val="0"/>
        <w:widowControl w:val="0"/>
        <w:kinsoku/>
        <w:wordWrap/>
        <w:overflowPunct/>
        <w:topLinePunct w:val="0"/>
        <w:bidi w:val="0"/>
        <w:spacing w:line="240" w:lineRule="atLeast"/>
        <w:ind w:left="1079" w:leftChars="257" w:hanging="540"/>
        <w:outlineLvl w:val="9"/>
        <w:rPr>
          <w:rFonts w:hint="eastAsia" w:ascii="宋体" w:hAnsi="宋体" w:eastAsia="宋体" w:cs="宋体"/>
          <w:sz w:val="24"/>
          <w:szCs w:val="24"/>
        </w:rPr>
      </w:pPr>
    </w:p>
    <w:p w14:paraId="6F40731C">
      <w:pPr>
        <w:pStyle w:val="20"/>
        <w:pageBreakBefore w:val="0"/>
        <w:widowControl w:val="0"/>
        <w:kinsoku/>
        <w:wordWrap/>
        <w:overflowPunct/>
        <w:topLinePunct w:val="0"/>
        <w:bidi w:val="0"/>
        <w:spacing w:line="240" w:lineRule="atLeast"/>
        <w:ind w:left="1079" w:leftChars="257" w:hanging="540"/>
        <w:outlineLvl w:val="9"/>
        <w:rPr>
          <w:rFonts w:hint="eastAsia" w:ascii="宋体" w:hAnsi="宋体" w:eastAsia="宋体" w:cs="宋体"/>
          <w:sz w:val="24"/>
          <w:szCs w:val="24"/>
        </w:rPr>
      </w:pPr>
      <w:r>
        <w:rPr>
          <w:rFonts w:hint="eastAsia" w:ascii="宋体" w:hAnsi="宋体" w:eastAsia="宋体" w:cs="宋体"/>
          <w:sz w:val="24"/>
          <w:szCs w:val="24"/>
        </w:rPr>
        <w:t>谨启</w:t>
      </w:r>
    </w:p>
    <w:p w14:paraId="0A0AAA53">
      <w:pPr>
        <w:pStyle w:val="20"/>
        <w:pageBreakBefore w:val="0"/>
        <w:widowControl w:val="0"/>
        <w:kinsoku/>
        <w:wordWrap/>
        <w:overflowPunct/>
        <w:topLinePunct w:val="0"/>
        <w:bidi w:val="0"/>
        <w:spacing w:line="240" w:lineRule="atLeast"/>
        <w:ind w:left="1079" w:leftChars="257" w:hanging="540"/>
        <w:outlineLvl w:val="9"/>
        <w:rPr>
          <w:rFonts w:hint="eastAsia" w:ascii="宋体" w:hAnsi="宋体" w:eastAsia="宋体" w:cs="宋体"/>
          <w:sz w:val="24"/>
          <w:szCs w:val="24"/>
        </w:rPr>
      </w:pPr>
      <w:r>
        <w:rPr>
          <w:rFonts w:hint="eastAsia" w:ascii="宋体" w:hAnsi="宋体" w:eastAsia="宋体" w:cs="宋体"/>
          <w:sz w:val="24"/>
          <w:szCs w:val="24"/>
        </w:rPr>
        <w:t>出具保函银行名称：</w:t>
      </w:r>
      <w:r>
        <w:rPr>
          <w:rFonts w:hint="eastAsia" w:ascii="宋体" w:hAnsi="宋体" w:eastAsia="宋体" w:cs="宋体"/>
          <w:sz w:val="24"/>
          <w:szCs w:val="24"/>
          <w:u w:val="single"/>
        </w:rPr>
        <w:t xml:space="preserve">                             </w:t>
      </w:r>
    </w:p>
    <w:p w14:paraId="541C1179">
      <w:pPr>
        <w:pStyle w:val="20"/>
        <w:pageBreakBefore w:val="0"/>
        <w:widowControl w:val="0"/>
        <w:kinsoku/>
        <w:wordWrap/>
        <w:overflowPunct/>
        <w:topLinePunct w:val="0"/>
        <w:bidi w:val="0"/>
        <w:spacing w:line="240" w:lineRule="atLeast"/>
        <w:ind w:left="1079" w:leftChars="257" w:hanging="540"/>
        <w:outlineLvl w:val="9"/>
        <w:rPr>
          <w:rFonts w:hint="eastAsia" w:ascii="宋体" w:hAnsi="宋体" w:eastAsia="宋体" w:cs="宋体"/>
          <w:sz w:val="24"/>
          <w:szCs w:val="24"/>
          <w:u w:val="single"/>
        </w:rPr>
      </w:pPr>
      <w:r>
        <w:rPr>
          <w:rFonts w:hint="eastAsia" w:ascii="宋体" w:hAnsi="宋体" w:eastAsia="宋体" w:cs="宋体"/>
          <w:sz w:val="24"/>
          <w:szCs w:val="24"/>
        </w:rPr>
        <w:t>签字人姓名和职务：</w:t>
      </w:r>
      <w:r>
        <w:rPr>
          <w:rFonts w:hint="eastAsia" w:ascii="宋体" w:hAnsi="宋体" w:eastAsia="宋体" w:cs="宋体"/>
          <w:sz w:val="24"/>
          <w:szCs w:val="24"/>
          <w:u w:val="single"/>
        </w:rPr>
        <w:t xml:space="preserve">                             </w:t>
      </w:r>
    </w:p>
    <w:p w14:paraId="22878787">
      <w:pPr>
        <w:pStyle w:val="20"/>
        <w:pageBreakBefore w:val="0"/>
        <w:widowControl w:val="0"/>
        <w:kinsoku/>
        <w:wordWrap/>
        <w:overflowPunct/>
        <w:topLinePunct w:val="0"/>
        <w:bidi w:val="0"/>
        <w:spacing w:line="240" w:lineRule="atLeast"/>
        <w:ind w:left="1079" w:leftChars="257" w:hanging="540"/>
        <w:outlineLvl w:val="9"/>
        <w:rPr>
          <w:rFonts w:hint="eastAsia" w:ascii="宋体" w:hAnsi="宋体" w:eastAsia="宋体" w:cs="宋体"/>
          <w:sz w:val="24"/>
          <w:szCs w:val="24"/>
        </w:rPr>
      </w:pPr>
      <w:r>
        <w:rPr>
          <w:rFonts w:hint="eastAsia" w:ascii="宋体" w:hAnsi="宋体" w:eastAsia="宋体" w:cs="宋体"/>
          <w:sz w:val="24"/>
          <w:szCs w:val="24"/>
        </w:rPr>
        <w:t>签字人签名</w:t>
      </w:r>
      <w:r>
        <w:rPr>
          <w:rFonts w:hint="eastAsia" w:hAnsi="宋体" w:eastAsia="宋体" w:cs="宋体"/>
          <w:sz w:val="24"/>
          <w:szCs w:val="24"/>
          <w:lang w:val="en-US" w:eastAsia="zh-CN"/>
        </w:rPr>
        <w:t>或签章</w:t>
      </w:r>
      <w:r>
        <w:rPr>
          <w:rFonts w:hint="eastAsia" w:ascii="宋体" w:hAnsi="宋体" w:eastAsia="宋体" w:cs="宋体"/>
          <w:sz w:val="24"/>
          <w:szCs w:val="24"/>
        </w:rPr>
        <w:t>：</w:t>
      </w:r>
      <w:r>
        <w:rPr>
          <w:rFonts w:hint="eastAsia" w:ascii="宋体" w:hAnsi="宋体" w:eastAsia="宋体" w:cs="宋体"/>
          <w:sz w:val="24"/>
          <w:szCs w:val="24"/>
          <w:u w:val="single"/>
        </w:rPr>
        <w:t xml:space="preserve">                                   </w:t>
      </w:r>
    </w:p>
    <w:p w14:paraId="792664B7">
      <w:pPr>
        <w:pStyle w:val="20"/>
        <w:pageBreakBefore w:val="0"/>
        <w:widowControl w:val="0"/>
        <w:kinsoku/>
        <w:wordWrap/>
        <w:overflowPunct/>
        <w:topLinePunct w:val="0"/>
        <w:bidi w:val="0"/>
        <w:spacing w:line="240" w:lineRule="atLeast"/>
        <w:ind w:left="1079" w:leftChars="257" w:hanging="540"/>
        <w:outlineLvl w:val="9"/>
        <w:rPr>
          <w:rFonts w:hint="eastAsia" w:ascii="宋体" w:hAnsi="宋体" w:eastAsia="宋体" w:cs="宋体"/>
          <w:sz w:val="24"/>
          <w:szCs w:val="24"/>
          <w:u w:val="single"/>
        </w:rPr>
      </w:pPr>
      <w:r>
        <w:rPr>
          <w:rFonts w:hint="eastAsia" w:ascii="宋体" w:hAnsi="宋体" w:eastAsia="宋体" w:cs="宋体"/>
          <w:sz w:val="24"/>
          <w:szCs w:val="24"/>
        </w:rPr>
        <w:t>公章：</w:t>
      </w:r>
      <w:r>
        <w:rPr>
          <w:rFonts w:hint="eastAsia" w:ascii="宋体" w:hAnsi="宋体" w:eastAsia="宋体" w:cs="宋体"/>
          <w:sz w:val="24"/>
          <w:szCs w:val="24"/>
          <w:u w:val="single"/>
        </w:rPr>
        <w:t xml:space="preserve">                                         </w:t>
      </w:r>
    </w:p>
    <w:p w14:paraId="3ABAAAE5">
      <w:pPr>
        <w:pStyle w:val="36"/>
        <w:rPr>
          <w:rFonts w:hint="eastAsia" w:ascii="宋体" w:hAnsi="宋体" w:eastAsia="宋体" w:cs="宋体"/>
          <w:sz w:val="24"/>
          <w:szCs w:val="24"/>
        </w:rPr>
      </w:pPr>
    </w:p>
    <w:p w14:paraId="2B02EE83">
      <w:pPr>
        <w:pStyle w:val="36"/>
        <w:rPr>
          <w:rFonts w:hint="eastAsia" w:ascii="宋体" w:hAnsi="宋体" w:eastAsia="宋体" w:cs="宋体"/>
          <w:sz w:val="24"/>
          <w:szCs w:val="24"/>
        </w:rPr>
      </w:pPr>
    </w:p>
    <w:p w14:paraId="18DD0AA9">
      <w:pPr>
        <w:pStyle w:val="36"/>
        <w:rPr>
          <w:rFonts w:hint="eastAsia" w:ascii="宋体" w:hAnsi="宋体" w:eastAsia="宋体" w:cs="宋体"/>
        </w:rPr>
      </w:pPr>
    </w:p>
    <w:p w14:paraId="6BF7012C">
      <w:pPr>
        <w:pStyle w:val="36"/>
        <w:rPr>
          <w:rFonts w:hint="eastAsia" w:ascii="宋体" w:hAnsi="宋体" w:eastAsia="宋体" w:cs="宋体"/>
        </w:rPr>
      </w:pPr>
    </w:p>
    <w:p w14:paraId="6EA5DE56">
      <w:pPr>
        <w:pStyle w:val="36"/>
        <w:rPr>
          <w:rFonts w:hint="eastAsia" w:ascii="宋体" w:hAnsi="宋体" w:eastAsia="宋体" w:cs="宋体"/>
        </w:rPr>
      </w:pPr>
    </w:p>
    <w:p w14:paraId="2FFF7BD6">
      <w:pPr>
        <w:pStyle w:val="36"/>
        <w:rPr>
          <w:rFonts w:hint="eastAsia" w:ascii="宋体" w:hAnsi="宋体" w:eastAsia="宋体" w:cs="宋体"/>
        </w:rPr>
      </w:pPr>
    </w:p>
    <w:p w14:paraId="277B32ED">
      <w:pPr>
        <w:pStyle w:val="36"/>
        <w:rPr>
          <w:rFonts w:hint="eastAsia" w:ascii="宋体" w:hAnsi="宋体" w:eastAsia="宋体" w:cs="宋体"/>
        </w:rPr>
      </w:pPr>
    </w:p>
    <w:p w14:paraId="2674DEDD">
      <w:pPr>
        <w:rPr>
          <w:rFonts w:hint="eastAsia" w:ascii="宋体" w:hAnsi="宋体" w:eastAsia="宋体" w:cs="宋体"/>
        </w:rPr>
      </w:pPr>
    </w:p>
    <w:p w14:paraId="39CC3A69">
      <w:pPr>
        <w:pStyle w:val="27"/>
        <w:rPr>
          <w:rFonts w:hint="eastAsia" w:ascii="宋体" w:hAnsi="宋体" w:eastAsia="宋体" w:cs="宋体"/>
        </w:rPr>
      </w:pPr>
    </w:p>
    <w:p w14:paraId="2CB7CCC3">
      <w:pPr>
        <w:pStyle w:val="14"/>
        <w:rPr>
          <w:rFonts w:hint="eastAsia" w:ascii="宋体" w:hAnsi="宋体" w:eastAsia="宋体" w:cs="宋体"/>
        </w:rPr>
      </w:pPr>
    </w:p>
    <w:p w14:paraId="16C56303">
      <w:pPr>
        <w:pStyle w:val="36"/>
        <w:rPr>
          <w:rFonts w:hint="eastAsia" w:ascii="宋体" w:hAnsi="宋体" w:eastAsia="宋体" w:cs="宋体"/>
        </w:rPr>
      </w:pPr>
    </w:p>
    <w:p w14:paraId="5680D1B0">
      <w:pPr>
        <w:rPr>
          <w:rFonts w:hint="eastAsia"/>
        </w:rPr>
      </w:pPr>
    </w:p>
    <w:p w14:paraId="36BA2578">
      <w:pPr>
        <w:pStyle w:val="27"/>
        <w:rPr>
          <w:rFonts w:hint="eastAsia"/>
        </w:rPr>
      </w:pPr>
    </w:p>
    <w:p w14:paraId="202DE8FC">
      <w:pPr>
        <w:pageBreakBefore w:val="0"/>
        <w:widowControl w:val="0"/>
        <w:kinsoku/>
        <w:wordWrap/>
        <w:overflowPunct/>
        <w:topLinePunct w:val="0"/>
        <w:bidi w:val="0"/>
        <w:spacing w:before="0" w:line="240" w:lineRule="atLeast"/>
        <w:ind w:left="1079" w:leftChars="257" w:hanging="540"/>
        <w:outlineLvl w:val="9"/>
        <w:rPr>
          <w:rFonts w:hint="eastAsia" w:ascii="宋体" w:hAnsi="宋体" w:eastAsia="宋体" w:cs="宋体"/>
          <w:szCs w:val="24"/>
        </w:rPr>
      </w:pPr>
      <w:bookmarkStart w:id="966" w:name="_Toc27788"/>
      <w:bookmarkStart w:id="967" w:name="_Toc21744"/>
      <w:bookmarkStart w:id="968" w:name="_Toc27581"/>
      <w:bookmarkStart w:id="969" w:name="_Toc22540"/>
      <w:bookmarkStart w:id="970" w:name="_Toc16707"/>
      <w:bookmarkStart w:id="971" w:name="_Toc518923104"/>
    </w:p>
    <w:p w14:paraId="33F2A4FF">
      <w:pPr>
        <w:pageBreakBefore w:val="0"/>
        <w:widowControl w:val="0"/>
        <w:kinsoku/>
        <w:wordWrap/>
        <w:overflowPunct/>
        <w:topLinePunct w:val="0"/>
        <w:bidi w:val="0"/>
        <w:spacing w:before="0" w:line="240" w:lineRule="atLeast"/>
        <w:ind w:left="1079" w:leftChars="257" w:hanging="540"/>
        <w:outlineLvl w:val="9"/>
        <w:rPr>
          <w:rFonts w:hint="eastAsia" w:ascii="宋体" w:hAnsi="宋体" w:eastAsia="宋体" w:cs="宋体"/>
          <w:szCs w:val="24"/>
        </w:rPr>
      </w:pPr>
      <w:r>
        <w:rPr>
          <w:rFonts w:hint="eastAsia" w:ascii="宋体" w:hAnsi="宋体" w:eastAsia="宋体" w:cs="宋体"/>
          <w:szCs w:val="24"/>
        </w:rPr>
        <w:t>附件2：履约担保函格式</w:t>
      </w:r>
      <w:bookmarkEnd w:id="966"/>
      <w:bookmarkEnd w:id="967"/>
      <w:bookmarkEnd w:id="968"/>
      <w:bookmarkEnd w:id="969"/>
      <w:bookmarkEnd w:id="970"/>
      <w:bookmarkEnd w:id="971"/>
    </w:p>
    <w:p w14:paraId="64DCAAA4">
      <w:pPr>
        <w:pageBreakBefore w:val="0"/>
        <w:widowControl w:val="0"/>
        <w:kinsoku/>
        <w:wordWrap/>
        <w:overflowPunct/>
        <w:topLinePunct w:val="0"/>
        <w:bidi w:val="0"/>
        <w:spacing w:before="0" w:line="240" w:lineRule="atLeast"/>
        <w:ind w:left="1079" w:leftChars="257" w:hanging="540"/>
        <w:outlineLvl w:val="9"/>
        <w:rPr>
          <w:rFonts w:hint="eastAsia" w:ascii="宋体" w:hAnsi="宋体" w:eastAsia="宋体" w:cs="宋体"/>
          <w:b w:val="0"/>
        </w:rPr>
      </w:pPr>
      <w:bookmarkStart w:id="972" w:name="_Toc32574"/>
      <w:bookmarkStart w:id="973" w:name="_Toc515647801"/>
      <w:bookmarkStart w:id="974" w:name="_Toc13962"/>
      <w:bookmarkStart w:id="975" w:name="_Toc162"/>
      <w:bookmarkStart w:id="976" w:name="_Toc9735"/>
      <w:bookmarkStart w:id="977" w:name="_Toc7209"/>
      <w:r>
        <w:rPr>
          <w:rFonts w:hint="eastAsia" w:ascii="宋体" w:hAnsi="宋体" w:eastAsia="宋体" w:cs="宋体"/>
          <w:szCs w:val="24"/>
        </w:rPr>
        <w:t>（采用政府采购信用担保形式时使用）</w:t>
      </w:r>
      <w:bookmarkEnd w:id="972"/>
      <w:bookmarkEnd w:id="973"/>
      <w:bookmarkEnd w:id="974"/>
      <w:bookmarkEnd w:id="975"/>
      <w:bookmarkEnd w:id="976"/>
      <w:bookmarkEnd w:id="977"/>
    </w:p>
    <w:p w14:paraId="5187D1E7">
      <w:pPr>
        <w:pageBreakBefore w:val="0"/>
        <w:widowControl w:val="0"/>
        <w:kinsoku/>
        <w:wordWrap/>
        <w:overflowPunct/>
        <w:topLinePunct w:val="0"/>
        <w:bidi w:val="0"/>
        <w:spacing w:line="240" w:lineRule="atLeast"/>
        <w:ind w:left="1079" w:leftChars="257" w:hanging="540"/>
        <w:outlineLvl w:val="9"/>
        <w:rPr>
          <w:rFonts w:hint="eastAsia" w:ascii="宋体" w:hAnsi="宋体" w:cs="宋体"/>
          <w:b/>
          <w:kern w:val="0"/>
          <w:sz w:val="24"/>
          <w:szCs w:val="20"/>
        </w:rPr>
      </w:pPr>
    </w:p>
    <w:p w14:paraId="05BDA42E">
      <w:pPr>
        <w:pageBreakBefore w:val="0"/>
        <w:widowControl w:val="0"/>
        <w:kinsoku/>
        <w:wordWrap/>
        <w:overflowPunct/>
        <w:topLinePunct w:val="0"/>
        <w:bidi w:val="0"/>
        <w:jc w:val="center"/>
        <w:outlineLvl w:val="9"/>
        <w:rPr>
          <w:rFonts w:hint="eastAsia" w:ascii="宋体" w:hAnsi="宋体" w:cs="宋体"/>
          <w:sz w:val="24"/>
        </w:rPr>
      </w:pPr>
      <w:r>
        <w:rPr>
          <w:rFonts w:hint="eastAsia" w:ascii="宋体" w:hAnsi="宋体" w:cs="宋体"/>
          <w:sz w:val="24"/>
        </w:rPr>
        <w:t>政府采购履约担保函（项目用）</w:t>
      </w:r>
    </w:p>
    <w:p w14:paraId="434525CA">
      <w:pPr>
        <w:pageBreakBefore w:val="0"/>
        <w:widowControl w:val="0"/>
        <w:kinsoku/>
        <w:wordWrap/>
        <w:overflowPunct/>
        <w:topLinePunct w:val="0"/>
        <w:bidi w:val="0"/>
        <w:outlineLvl w:val="9"/>
        <w:rPr>
          <w:rFonts w:hint="eastAsia" w:ascii="宋体" w:hAnsi="宋体" w:cs="宋体"/>
          <w:sz w:val="24"/>
        </w:rPr>
      </w:pPr>
      <w:r>
        <w:rPr>
          <w:rFonts w:hint="eastAsia" w:ascii="宋体" w:hAnsi="宋体" w:cs="宋体"/>
          <w:sz w:val="24"/>
        </w:rPr>
        <w:t xml:space="preserve">                                                   编号：</w:t>
      </w:r>
    </w:p>
    <w:p w14:paraId="5CA8D547">
      <w:pPr>
        <w:pageBreakBefore w:val="0"/>
        <w:widowControl w:val="0"/>
        <w:kinsoku/>
        <w:wordWrap/>
        <w:overflowPunct/>
        <w:topLinePunct w:val="0"/>
        <w:bidi w:val="0"/>
        <w:outlineLvl w:val="9"/>
        <w:rPr>
          <w:rFonts w:hint="eastAsia" w:ascii="宋体" w:hAnsi="宋体" w:cs="宋体"/>
          <w:sz w:val="24"/>
        </w:rPr>
      </w:pPr>
    </w:p>
    <w:p w14:paraId="431EA1D1">
      <w:pPr>
        <w:pageBreakBefore w:val="0"/>
        <w:widowControl w:val="0"/>
        <w:kinsoku/>
        <w:wordWrap/>
        <w:overflowPunct/>
        <w:topLinePunct w:val="0"/>
        <w:bidi w:val="0"/>
        <w:outlineLvl w:val="9"/>
        <w:rPr>
          <w:rFonts w:hint="eastAsia" w:ascii="宋体" w:hAnsi="宋体" w:cs="宋体"/>
          <w:sz w:val="24"/>
        </w:rPr>
      </w:pPr>
      <w:r>
        <w:rPr>
          <w:rFonts w:hint="eastAsia" w:ascii="宋体" w:hAnsi="宋体" w:cs="宋体"/>
          <w:sz w:val="24"/>
          <w:u w:val="single"/>
        </w:rPr>
        <w:t xml:space="preserve">                  </w:t>
      </w:r>
      <w:r>
        <w:rPr>
          <w:rFonts w:hint="eastAsia" w:ascii="宋体" w:hAnsi="宋体" w:cs="宋体"/>
          <w:sz w:val="24"/>
        </w:rPr>
        <w:t>（采购人）：</w:t>
      </w:r>
    </w:p>
    <w:p w14:paraId="461035D1">
      <w:pPr>
        <w:pageBreakBefore w:val="0"/>
        <w:widowControl w:val="0"/>
        <w:kinsoku/>
        <w:wordWrap/>
        <w:overflowPunct/>
        <w:topLinePunct w:val="0"/>
        <w:bidi w:val="0"/>
        <w:outlineLvl w:val="9"/>
        <w:rPr>
          <w:rFonts w:hint="eastAsia" w:ascii="宋体" w:hAnsi="宋体" w:cs="宋体"/>
          <w:sz w:val="24"/>
        </w:rPr>
      </w:pPr>
    </w:p>
    <w:p w14:paraId="194F803D">
      <w:pPr>
        <w:pageBreakBefore w:val="0"/>
        <w:widowControl w:val="0"/>
        <w:kinsoku/>
        <w:wordWrap/>
        <w:overflowPunct/>
        <w:topLinePunct w:val="0"/>
        <w:bidi w:val="0"/>
        <w:ind w:firstLine="480" w:firstLineChars="200"/>
        <w:outlineLvl w:val="9"/>
        <w:rPr>
          <w:rFonts w:hint="eastAsia" w:ascii="宋体" w:hAnsi="宋体" w:cs="宋体"/>
          <w:sz w:val="24"/>
        </w:rPr>
      </w:pPr>
      <w:r>
        <w:rPr>
          <w:rFonts w:hint="eastAsia" w:ascii="宋体" w:hAnsi="宋体" w:cs="宋体"/>
          <w:sz w:val="24"/>
        </w:rPr>
        <w:t>鉴于你方与</w:t>
      </w:r>
      <w:r>
        <w:rPr>
          <w:rFonts w:hint="eastAsia" w:ascii="宋体" w:hAnsi="宋体" w:cs="宋体"/>
          <w:sz w:val="24"/>
          <w:u w:val="single"/>
        </w:rPr>
        <w:t xml:space="preserve">                    </w:t>
      </w:r>
      <w:r>
        <w:rPr>
          <w:rFonts w:hint="eastAsia" w:ascii="宋体" w:hAnsi="宋体" w:cs="宋体"/>
          <w:sz w:val="24"/>
        </w:rPr>
        <w:t>（以下简称供应商）于</w:t>
      </w:r>
      <w:r>
        <w:rPr>
          <w:rFonts w:hint="eastAsia" w:ascii="宋体" w:hAnsi="宋体" w:cs="宋体"/>
          <w:sz w:val="24"/>
          <w:u w:val="single"/>
        </w:rPr>
        <w:t xml:space="preserve">   </w:t>
      </w:r>
      <w:r>
        <w:rPr>
          <w:rFonts w:hint="eastAsia" w:ascii="宋体" w:hAnsi="宋体" w:cs="宋体"/>
          <w:sz w:val="24"/>
        </w:rPr>
        <w:t>年</w:t>
      </w:r>
      <w:r>
        <w:rPr>
          <w:rFonts w:hint="eastAsia" w:ascii="宋体" w:hAnsi="宋体" w:cs="宋体"/>
          <w:sz w:val="24"/>
          <w:u w:val="single"/>
        </w:rPr>
        <w:t xml:space="preserve">  </w:t>
      </w:r>
      <w:r>
        <w:rPr>
          <w:rFonts w:hint="eastAsia" w:ascii="宋体" w:hAnsi="宋体" w:cs="宋体"/>
          <w:sz w:val="24"/>
        </w:rPr>
        <w:t>月</w:t>
      </w:r>
      <w:r>
        <w:rPr>
          <w:rFonts w:hint="eastAsia" w:ascii="宋体" w:hAnsi="宋体" w:cs="宋体"/>
          <w:sz w:val="24"/>
          <w:u w:val="single"/>
        </w:rPr>
        <w:t xml:space="preserve">  </w:t>
      </w:r>
      <w:r>
        <w:rPr>
          <w:rFonts w:hint="eastAsia" w:ascii="宋体" w:hAnsi="宋体" w:cs="宋体"/>
          <w:sz w:val="24"/>
        </w:rPr>
        <w:t>日签定编号为   的《</w:t>
      </w:r>
      <w:r>
        <w:rPr>
          <w:rFonts w:hint="eastAsia" w:ascii="宋体" w:hAnsi="宋体" w:cs="宋体"/>
          <w:sz w:val="24"/>
          <w:u w:val="single"/>
        </w:rPr>
        <w:t xml:space="preserve">           </w:t>
      </w:r>
      <w:r>
        <w:rPr>
          <w:rFonts w:hint="eastAsia" w:ascii="宋体" w:hAnsi="宋体" w:cs="宋体"/>
          <w:sz w:val="24"/>
        </w:rPr>
        <w:t>政府采购合同》（以下简称主合同），且依据该合同的约定，供应商应在</w:t>
      </w:r>
      <w:r>
        <w:rPr>
          <w:rFonts w:hint="eastAsia" w:ascii="宋体" w:hAnsi="宋体" w:cs="宋体"/>
          <w:sz w:val="24"/>
          <w:u w:val="single"/>
        </w:rPr>
        <w:t xml:space="preserve">    </w:t>
      </w:r>
      <w:r>
        <w:rPr>
          <w:rFonts w:hint="eastAsia" w:ascii="宋体" w:hAnsi="宋体" w:cs="宋体"/>
          <w:sz w:val="24"/>
        </w:rPr>
        <w:t>年</w:t>
      </w:r>
    </w:p>
    <w:p w14:paraId="425CAA83">
      <w:pPr>
        <w:pageBreakBefore w:val="0"/>
        <w:widowControl w:val="0"/>
        <w:kinsoku/>
        <w:wordWrap/>
        <w:overflowPunct/>
        <w:topLinePunct w:val="0"/>
        <w:bidi w:val="0"/>
        <w:outlineLvl w:val="9"/>
        <w:rPr>
          <w:rFonts w:hint="eastAsia" w:ascii="宋体" w:hAnsi="宋体" w:cs="宋体"/>
          <w:sz w:val="24"/>
        </w:rPr>
      </w:pPr>
      <w:r>
        <w:rPr>
          <w:rFonts w:hint="eastAsia" w:ascii="宋体" w:hAnsi="宋体" w:cs="宋体"/>
          <w:sz w:val="24"/>
          <w:u w:val="single"/>
        </w:rPr>
        <w:t xml:space="preserve">    </w:t>
      </w:r>
      <w:r>
        <w:rPr>
          <w:rFonts w:hint="eastAsia" w:ascii="宋体" w:hAnsi="宋体" w:cs="宋体"/>
          <w:sz w:val="24"/>
        </w:rPr>
        <w:t>月</w:t>
      </w:r>
      <w:r>
        <w:rPr>
          <w:rFonts w:hint="eastAsia" w:ascii="宋体" w:hAnsi="宋体" w:cs="宋体"/>
          <w:sz w:val="24"/>
          <w:u w:val="single"/>
        </w:rPr>
        <w:t xml:space="preserve">   </w:t>
      </w:r>
      <w:r>
        <w:rPr>
          <w:rFonts w:hint="eastAsia" w:ascii="宋体" w:hAnsi="宋体" w:cs="宋体"/>
          <w:sz w:val="24"/>
        </w:rPr>
        <w:t>日前向你方交纳履约保证金，且可以履约担保函的形式交纳履约保证金。应供应商的申请，我方以保证的方式向你方提供如下履约保证金担保：</w:t>
      </w:r>
    </w:p>
    <w:p w14:paraId="332A84E2">
      <w:pPr>
        <w:pageBreakBefore w:val="0"/>
        <w:widowControl w:val="0"/>
        <w:kinsoku/>
        <w:wordWrap/>
        <w:overflowPunct/>
        <w:topLinePunct w:val="0"/>
        <w:bidi w:val="0"/>
        <w:ind w:firstLine="480" w:firstLineChars="200"/>
        <w:outlineLvl w:val="9"/>
        <w:rPr>
          <w:rFonts w:hint="eastAsia" w:ascii="宋体" w:hAnsi="宋体" w:cs="宋体"/>
          <w:sz w:val="24"/>
        </w:rPr>
      </w:pPr>
      <w:bookmarkStart w:id="978" w:name="_Toc16807"/>
      <w:r>
        <w:rPr>
          <w:rFonts w:hint="eastAsia" w:ascii="宋体" w:hAnsi="宋体" w:cs="宋体"/>
          <w:sz w:val="24"/>
        </w:rPr>
        <w:t>一、保证责任的情形及保证金额</w:t>
      </w:r>
      <w:bookmarkEnd w:id="978"/>
    </w:p>
    <w:p w14:paraId="3A28CDD5">
      <w:pPr>
        <w:pageBreakBefore w:val="0"/>
        <w:widowControl w:val="0"/>
        <w:kinsoku/>
        <w:wordWrap/>
        <w:overflowPunct/>
        <w:topLinePunct w:val="0"/>
        <w:bidi w:val="0"/>
        <w:ind w:firstLine="480" w:firstLineChars="200"/>
        <w:outlineLvl w:val="9"/>
        <w:rPr>
          <w:rFonts w:hint="eastAsia" w:ascii="宋体" w:hAnsi="宋体" w:cs="宋体"/>
          <w:sz w:val="24"/>
        </w:rPr>
      </w:pPr>
      <w:r>
        <w:rPr>
          <w:rFonts w:hint="eastAsia" w:ascii="宋体" w:hAnsi="宋体" w:cs="宋体"/>
          <w:sz w:val="24"/>
        </w:rPr>
        <w:t>（一）在供应商出现下列情形之一时，我方承担保证责任：</w:t>
      </w:r>
    </w:p>
    <w:p w14:paraId="379538F8">
      <w:pPr>
        <w:pageBreakBefore w:val="0"/>
        <w:widowControl w:val="0"/>
        <w:kinsoku/>
        <w:wordWrap/>
        <w:overflowPunct/>
        <w:topLinePunct w:val="0"/>
        <w:bidi w:val="0"/>
        <w:ind w:firstLine="480" w:firstLineChars="200"/>
        <w:outlineLvl w:val="9"/>
        <w:rPr>
          <w:rFonts w:hint="eastAsia" w:ascii="宋体" w:hAnsi="宋体" w:cs="宋体"/>
          <w:sz w:val="24"/>
        </w:rPr>
      </w:pPr>
      <w:r>
        <w:rPr>
          <w:rFonts w:hint="eastAsia" w:ascii="宋体" w:hAnsi="宋体" w:cs="宋体"/>
          <w:sz w:val="24"/>
        </w:rPr>
        <w:t>1．将中标项目转让给他人，或者在投标文件中未说明，且未经采购招标机构人同意，将中标项目分包给他人的；</w:t>
      </w:r>
    </w:p>
    <w:p w14:paraId="6951E708">
      <w:pPr>
        <w:pageBreakBefore w:val="0"/>
        <w:widowControl w:val="0"/>
        <w:kinsoku/>
        <w:wordWrap/>
        <w:overflowPunct/>
        <w:topLinePunct w:val="0"/>
        <w:bidi w:val="0"/>
        <w:outlineLvl w:val="9"/>
        <w:rPr>
          <w:rFonts w:hint="eastAsia" w:ascii="宋体" w:hAnsi="宋体" w:cs="宋体"/>
          <w:sz w:val="24"/>
        </w:rPr>
      </w:pPr>
      <w:r>
        <w:rPr>
          <w:rFonts w:hint="eastAsia" w:ascii="宋体" w:hAnsi="宋体" w:cs="宋体"/>
          <w:sz w:val="24"/>
        </w:rPr>
        <w:t>　　</w:t>
      </w:r>
      <w:bookmarkStart w:id="979" w:name="_Toc806"/>
      <w:bookmarkStart w:id="980" w:name="_Toc2434"/>
      <w:bookmarkStart w:id="981" w:name="_Toc30650"/>
      <w:r>
        <w:rPr>
          <w:rFonts w:hint="eastAsia" w:ascii="宋体" w:hAnsi="宋体" w:cs="宋体"/>
          <w:sz w:val="24"/>
        </w:rPr>
        <w:t>2．主合同约定的应当缴纳履约保证金的情形:</w:t>
      </w:r>
      <w:bookmarkEnd w:id="979"/>
      <w:bookmarkEnd w:id="980"/>
      <w:bookmarkEnd w:id="981"/>
      <w:r>
        <w:rPr>
          <w:rFonts w:hint="eastAsia" w:ascii="宋体" w:hAnsi="宋体" w:cs="宋体"/>
          <w:sz w:val="24"/>
        </w:rPr>
        <w:t xml:space="preserve"> </w:t>
      </w:r>
    </w:p>
    <w:p w14:paraId="14CF3A04">
      <w:pPr>
        <w:pageBreakBefore w:val="0"/>
        <w:widowControl w:val="0"/>
        <w:kinsoku/>
        <w:wordWrap/>
        <w:overflowPunct/>
        <w:topLinePunct w:val="0"/>
        <w:bidi w:val="0"/>
        <w:ind w:firstLine="480" w:firstLineChars="200"/>
        <w:outlineLvl w:val="9"/>
        <w:rPr>
          <w:rFonts w:hint="eastAsia" w:ascii="宋体" w:hAnsi="宋体" w:cs="宋体"/>
          <w:sz w:val="24"/>
        </w:rPr>
      </w:pPr>
      <w:r>
        <w:rPr>
          <w:rFonts w:hint="eastAsia" w:ascii="宋体" w:hAnsi="宋体" w:cs="宋体"/>
          <w:sz w:val="24"/>
        </w:rPr>
        <w:t>（1）未按主合同约定的质量、数量和期限供应货物/提供服务/完成工程的；</w:t>
      </w:r>
    </w:p>
    <w:p w14:paraId="6CD677D4">
      <w:pPr>
        <w:pageBreakBefore w:val="0"/>
        <w:widowControl w:val="0"/>
        <w:kinsoku/>
        <w:wordWrap/>
        <w:overflowPunct/>
        <w:topLinePunct w:val="0"/>
        <w:bidi w:val="0"/>
        <w:ind w:firstLine="480" w:firstLineChars="200"/>
        <w:outlineLvl w:val="9"/>
        <w:rPr>
          <w:rFonts w:hint="eastAsia" w:ascii="宋体" w:hAnsi="宋体" w:cs="宋体"/>
          <w:sz w:val="24"/>
        </w:rPr>
      </w:pPr>
      <w:r>
        <w:rPr>
          <w:rFonts w:hint="eastAsia" w:ascii="宋体" w:hAnsi="宋体" w:cs="宋体"/>
          <w:sz w:val="24"/>
        </w:rPr>
        <w:t>（2）</w:t>
      </w:r>
      <w:r>
        <w:rPr>
          <w:rFonts w:hint="eastAsia" w:ascii="宋体" w:hAnsi="宋体" w:cs="宋体"/>
          <w:sz w:val="24"/>
          <w:u w:val="single"/>
        </w:rPr>
        <w:t xml:space="preserve">                                                           </w:t>
      </w:r>
      <w:r>
        <w:rPr>
          <w:rFonts w:hint="eastAsia" w:ascii="宋体" w:hAnsi="宋体" w:cs="宋体"/>
          <w:sz w:val="24"/>
        </w:rPr>
        <w:t>。</w:t>
      </w:r>
    </w:p>
    <w:p w14:paraId="5737290E">
      <w:pPr>
        <w:pageBreakBefore w:val="0"/>
        <w:widowControl w:val="0"/>
        <w:kinsoku/>
        <w:wordWrap/>
        <w:overflowPunct/>
        <w:topLinePunct w:val="0"/>
        <w:bidi w:val="0"/>
        <w:ind w:firstLine="480" w:firstLineChars="200"/>
        <w:outlineLvl w:val="9"/>
        <w:rPr>
          <w:rFonts w:hint="eastAsia" w:ascii="宋体" w:hAnsi="宋体" w:cs="宋体"/>
          <w:sz w:val="24"/>
        </w:rPr>
      </w:pPr>
      <w:r>
        <w:rPr>
          <w:rFonts w:hint="eastAsia" w:ascii="宋体" w:hAnsi="宋体" w:cs="宋体"/>
          <w:sz w:val="24"/>
        </w:rPr>
        <w:t>（二）我方的保证范围是主合同约定的合同价款总额的</w:t>
      </w:r>
      <w:r>
        <w:rPr>
          <w:rFonts w:hint="eastAsia" w:ascii="宋体" w:hAnsi="宋体" w:cs="宋体"/>
          <w:sz w:val="24"/>
          <w:u w:val="single"/>
        </w:rPr>
        <w:t xml:space="preserve">      </w:t>
      </w:r>
      <w:r>
        <w:rPr>
          <w:rFonts w:hint="eastAsia" w:ascii="宋体" w:hAnsi="宋体" w:cs="宋体"/>
          <w:sz w:val="24"/>
        </w:rPr>
        <w:t>%数额为</w:t>
      </w:r>
      <w:r>
        <w:rPr>
          <w:rFonts w:hint="eastAsia" w:ascii="宋体" w:hAnsi="宋体" w:cs="宋体"/>
          <w:sz w:val="24"/>
          <w:u w:val="single"/>
        </w:rPr>
        <w:t xml:space="preserve">         </w:t>
      </w:r>
      <w:r>
        <w:rPr>
          <w:rFonts w:hint="eastAsia" w:ascii="宋体" w:hAnsi="宋体" w:cs="宋体"/>
          <w:sz w:val="24"/>
        </w:rPr>
        <w:t>元（大写</w:t>
      </w:r>
      <w:r>
        <w:rPr>
          <w:rFonts w:hint="eastAsia" w:ascii="宋体" w:hAnsi="宋体" w:cs="宋体"/>
          <w:sz w:val="24"/>
          <w:u w:val="single"/>
        </w:rPr>
        <w:t xml:space="preserve">           </w:t>
      </w:r>
      <w:r>
        <w:rPr>
          <w:rFonts w:hint="eastAsia" w:ascii="宋体" w:hAnsi="宋体" w:cs="宋体"/>
          <w:sz w:val="24"/>
        </w:rPr>
        <w:t>），币种为</w:t>
      </w:r>
      <w:r>
        <w:rPr>
          <w:rFonts w:hint="eastAsia" w:ascii="宋体" w:hAnsi="宋体" w:cs="宋体"/>
          <w:sz w:val="24"/>
          <w:u w:val="single"/>
        </w:rPr>
        <w:t xml:space="preserve">        </w:t>
      </w:r>
      <w:r>
        <w:rPr>
          <w:rFonts w:hint="eastAsia" w:ascii="宋体" w:hAnsi="宋体" w:cs="宋体"/>
          <w:sz w:val="24"/>
        </w:rPr>
        <w:t>。（即主合同履约保证金金额）</w:t>
      </w:r>
    </w:p>
    <w:p w14:paraId="6FC9DDDC">
      <w:pPr>
        <w:pageBreakBefore w:val="0"/>
        <w:widowControl w:val="0"/>
        <w:kinsoku/>
        <w:wordWrap/>
        <w:overflowPunct/>
        <w:topLinePunct w:val="0"/>
        <w:bidi w:val="0"/>
        <w:ind w:firstLine="480" w:firstLineChars="200"/>
        <w:outlineLvl w:val="9"/>
        <w:rPr>
          <w:rFonts w:hint="eastAsia" w:ascii="宋体" w:hAnsi="宋体" w:cs="宋体"/>
          <w:sz w:val="24"/>
        </w:rPr>
      </w:pPr>
      <w:bookmarkStart w:id="982" w:name="_Toc16733"/>
      <w:r>
        <w:rPr>
          <w:rFonts w:hint="eastAsia" w:ascii="宋体" w:hAnsi="宋体" w:cs="宋体"/>
          <w:sz w:val="24"/>
        </w:rPr>
        <w:t>二、保证的方式及保证期间</w:t>
      </w:r>
      <w:bookmarkEnd w:id="982"/>
    </w:p>
    <w:p w14:paraId="597D342E">
      <w:pPr>
        <w:pageBreakBefore w:val="0"/>
        <w:widowControl w:val="0"/>
        <w:kinsoku/>
        <w:wordWrap/>
        <w:overflowPunct/>
        <w:topLinePunct w:val="0"/>
        <w:bidi w:val="0"/>
        <w:ind w:firstLine="480" w:firstLineChars="200"/>
        <w:outlineLvl w:val="9"/>
        <w:rPr>
          <w:rFonts w:hint="eastAsia" w:ascii="宋体" w:hAnsi="宋体" w:cs="宋体"/>
          <w:sz w:val="24"/>
        </w:rPr>
      </w:pPr>
      <w:r>
        <w:rPr>
          <w:rFonts w:hint="eastAsia" w:ascii="宋体" w:hAnsi="宋体" w:cs="宋体"/>
          <w:sz w:val="24"/>
        </w:rPr>
        <w:t>我方保证的方式为：连带责任保证。</w:t>
      </w:r>
    </w:p>
    <w:p w14:paraId="55C4D2D8">
      <w:pPr>
        <w:pageBreakBefore w:val="0"/>
        <w:widowControl w:val="0"/>
        <w:kinsoku/>
        <w:wordWrap/>
        <w:overflowPunct/>
        <w:topLinePunct w:val="0"/>
        <w:bidi w:val="0"/>
        <w:ind w:firstLine="480" w:firstLineChars="200"/>
        <w:outlineLvl w:val="9"/>
        <w:rPr>
          <w:rFonts w:hint="eastAsia" w:ascii="宋体" w:hAnsi="宋体" w:cs="宋体"/>
          <w:sz w:val="24"/>
        </w:rPr>
      </w:pPr>
      <w:r>
        <w:rPr>
          <w:rFonts w:hint="eastAsia" w:ascii="宋体" w:hAnsi="宋体" w:cs="宋体"/>
          <w:sz w:val="24"/>
        </w:rPr>
        <w:t>我方保证的期间为：自本合同生效之日起至供应商按照主合同约定的供货/完工期限届满后</w:t>
      </w:r>
      <w:r>
        <w:rPr>
          <w:rFonts w:hint="eastAsia" w:ascii="宋体" w:hAnsi="宋体" w:cs="宋体"/>
          <w:sz w:val="24"/>
          <w:u w:val="single"/>
        </w:rPr>
        <w:t xml:space="preserve">     </w:t>
      </w:r>
      <w:r>
        <w:rPr>
          <w:rFonts w:hint="eastAsia" w:ascii="宋体" w:hAnsi="宋体" w:cs="宋体"/>
          <w:sz w:val="24"/>
        </w:rPr>
        <w:t>日内。</w:t>
      </w:r>
    </w:p>
    <w:p w14:paraId="463A1652">
      <w:pPr>
        <w:pageBreakBefore w:val="0"/>
        <w:widowControl w:val="0"/>
        <w:kinsoku/>
        <w:wordWrap/>
        <w:overflowPunct/>
        <w:topLinePunct w:val="0"/>
        <w:bidi w:val="0"/>
        <w:ind w:firstLine="480" w:firstLineChars="200"/>
        <w:outlineLvl w:val="9"/>
        <w:rPr>
          <w:rFonts w:hint="eastAsia" w:ascii="宋体" w:hAnsi="宋体" w:cs="宋体"/>
          <w:sz w:val="24"/>
        </w:rPr>
      </w:pPr>
      <w:r>
        <w:rPr>
          <w:rFonts w:hint="eastAsia" w:ascii="宋体" w:hAnsi="宋体" w:cs="宋体"/>
          <w:sz w:val="24"/>
        </w:rPr>
        <w:t>如果供应商未按主合同约定向贵方供应货物/提供服务/完成工程的，由我方在保证金额内向你方支付上述款项。</w:t>
      </w:r>
    </w:p>
    <w:p w14:paraId="09C97BBC">
      <w:pPr>
        <w:pageBreakBefore w:val="0"/>
        <w:widowControl w:val="0"/>
        <w:kinsoku/>
        <w:wordWrap/>
        <w:overflowPunct/>
        <w:topLinePunct w:val="0"/>
        <w:bidi w:val="0"/>
        <w:ind w:firstLine="480" w:firstLineChars="200"/>
        <w:outlineLvl w:val="9"/>
        <w:rPr>
          <w:rFonts w:hint="eastAsia" w:ascii="宋体" w:hAnsi="宋体" w:cs="宋体"/>
          <w:sz w:val="24"/>
        </w:rPr>
      </w:pPr>
      <w:bookmarkStart w:id="983" w:name="_Toc19668"/>
      <w:r>
        <w:rPr>
          <w:rFonts w:hint="eastAsia" w:ascii="宋体" w:hAnsi="宋体" w:cs="宋体"/>
          <w:sz w:val="24"/>
        </w:rPr>
        <w:t>三、承担保证责任的程序</w:t>
      </w:r>
      <w:bookmarkEnd w:id="983"/>
    </w:p>
    <w:p w14:paraId="02D585D7">
      <w:pPr>
        <w:pageBreakBefore w:val="0"/>
        <w:widowControl w:val="0"/>
        <w:kinsoku/>
        <w:wordWrap/>
        <w:overflowPunct/>
        <w:topLinePunct w:val="0"/>
        <w:bidi w:val="0"/>
        <w:ind w:firstLine="480" w:firstLineChars="200"/>
        <w:outlineLvl w:val="9"/>
        <w:rPr>
          <w:rFonts w:hint="eastAsia" w:ascii="宋体" w:hAnsi="宋体" w:cs="宋体"/>
          <w:sz w:val="24"/>
        </w:rPr>
      </w:pPr>
      <w:r>
        <w:rPr>
          <w:rFonts w:hint="eastAsia" w:ascii="宋体" w:hAnsi="宋体" w:cs="宋体"/>
          <w:sz w:val="24"/>
        </w:rPr>
        <w:t>1．你方要求我方承担保证责任的，应在本保函保证期间内向我方发出书面索赔通知。索赔通知应写明要求索赔的金额，支付款项应到达的帐号。并附有证明供应商违约事实的证明材料。</w:t>
      </w:r>
    </w:p>
    <w:p w14:paraId="64430335">
      <w:pPr>
        <w:pageBreakBefore w:val="0"/>
        <w:widowControl w:val="0"/>
        <w:kinsoku/>
        <w:wordWrap/>
        <w:overflowPunct/>
        <w:topLinePunct w:val="0"/>
        <w:bidi w:val="0"/>
        <w:ind w:firstLine="480" w:firstLineChars="200"/>
        <w:outlineLvl w:val="9"/>
        <w:rPr>
          <w:rFonts w:hint="eastAsia" w:ascii="宋体" w:hAnsi="宋体" w:cs="宋体"/>
          <w:sz w:val="24"/>
        </w:rPr>
      </w:pPr>
      <w:r>
        <w:rPr>
          <w:rFonts w:hint="eastAsia" w:ascii="宋体" w:hAnsi="宋体" w:cs="宋体"/>
          <w:sz w:val="24"/>
        </w:rPr>
        <w:t>如果你方与供应商因货物质量问题产生争议，你方还需同时提供</w:t>
      </w:r>
      <w:r>
        <w:rPr>
          <w:rFonts w:hint="eastAsia" w:ascii="宋体" w:hAnsi="宋体" w:cs="宋体"/>
          <w:sz w:val="24"/>
          <w:u w:val="single"/>
        </w:rPr>
        <w:t xml:space="preserve">        </w:t>
      </w:r>
      <w:r>
        <w:rPr>
          <w:rFonts w:hint="eastAsia" w:ascii="宋体" w:hAnsi="宋体" w:cs="宋体"/>
          <w:sz w:val="24"/>
        </w:rPr>
        <w:t>部门出具的质量检测报告，或经诉讼（仲裁）程序裁决后的裁决书、调解书，本保证人即按照检测结果或裁决书、调解书决定是否承担保证责任。</w:t>
      </w:r>
    </w:p>
    <w:p w14:paraId="0ACDEF72">
      <w:pPr>
        <w:pageBreakBefore w:val="0"/>
        <w:widowControl w:val="0"/>
        <w:kinsoku/>
        <w:wordWrap/>
        <w:overflowPunct/>
        <w:topLinePunct w:val="0"/>
        <w:bidi w:val="0"/>
        <w:ind w:firstLine="480" w:firstLineChars="200"/>
        <w:outlineLvl w:val="9"/>
        <w:rPr>
          <w:rFonts w:hint="eastAsia" w:ascii="宋体" w:hAnsi="宋体" w:cs="宋体"/>
          <w:sz w:val="24"/>
        </w:rPr>
      </w:pPr>
      <w:r>
        <w:rPr>
          <w:rFonts w:hint="eastAsia" w:ascii="宋体" w:hAnsi="宋体" w:cs="宋体"/>
          <w:sz w:val="24"/>
        </w:rPr>
        <w:t>2． 我方收到你方的书面索赔通知及相应证明材料，在</w:t>
      </w:r>
      <w:r>
        <w:rPr>
          <w:rFonts w:hint="eastAsia" w:ascii="宋体" w:hAnsi="宋体" w:cs="宋体"/>
          <w:sz w:val="24"/>
          <w:u w:val="single"/>
        </w:rPr>
        <w:t xml:space="preserve">     </w:t>
      </w:r>
      <w:r>
        <w:rPr>
          <w:rFonts w:hint="eastAsia" w:ascii="宋体" w:hAnsi="宋体" w:cs="宋体"/>
          <w:sz w:val="24"/>
        </w:rPr>
        <w:t>工作日内进行核定后按照本保函的承诺承担保证责任。</w:t>
      </w:r>
    </w:p>
    <w:p w14:paraId="04B1FC32">
      <w:pPr>
        <w:pageBreakBefore w:val="0"/>
        <w:widowControl w:val="0"/>
        <w:kinsoku/>
        <w:wordWrap/>
        <w:overflowPunct/>
        <w:topLinePunct w:val="0"/>
        <w:bidi w:val="0"/>
        <w:ind w:firstLine="480" w:firstLineChars="200"/>
        <w:outlineLvl w:val="9"/>
        <w:rPr>
          <w:rFonts w:hint="eastAsia" w:ascii="宋体" w:hAnsi="宋体" w:cs="宋体"/>
          <w:sz w:val="24"/>
        </w:rPr>
      </w:pPr>
      <w:bookmarkStart w:id="984" w:name="_Toc11641"/>
      <w:r>
        <w:rPr>
          <w:rFonts w:hint="eastAsia" w:ascii="宋体" w:hAnsi="宋体" w:cs="宋体"/>
          <w:sz w:val="24"/>
        </w:rPr>
        <w:t>四、保证责任的终止</w:t>
      </w:r>
      <w:bookmarkEnd w:id="984"/>
    </w:p>
    <w:p w14:paraId="5571172F">
      <w:pPr>
        <w:pageBreakBefore w:val="0"/>
        <w:widowControl w:val="0"/>
        <w:kinsoku/>
        <w:wordWrap/>
        <w:overflowPunct/>
        <w:topLinePunct w:val="0"/>
        <w:bidi w:val="0"/>
        <w:ind w:firstLine="480" w:firstLineChars="200"/>
        <w:outlineLvl w:val="9"/>
        <w:rPr>
          <w:rFonts w:hint="eastAsia" w:ascii="宋体" w:hAnsi="宋体" w:cs="宋体"/>
          <w:sz w:val="24"/>
        </w:rPr>
      </w:pPr>
      <w:r>
        <w:rPr>
          <w:rFonts w:hint="eastAsia" w:ascii="宋体" w:hAnsi="宋体" w:cs="宋体"/>
          <w:sz w:val="24"/>
        </w:rPr>
        <w:t>1．保证期间届满你方未向我方书面主张保证责任的，自保证期间届满次日起，我方保证责任自动终止。保证期间届满前，主合同约定的货物\工程\服务全部验收合格的，自验收合格日起，我方保证责任自动终止。</w:t>
      </w:r>
    </w:p>
    <w:p w14:paraId="28D2949C">
      <w:pPr>
        <w:pageBreakBefore w:val="0"/>
        <w:widowControl w:val="0"/>
        <w:kinsoku/>
        <w:wordWrap/>
        <w:overflowPunct/>
        <w:topLinePunct w:val="0"/>
        <w:bidi w:val="0"/>
        <w:ind w:firstLine="480" w:firstLineChars="200"/>
        <w:outlineLvl w:val="9"/>
        <w:rPr>
          <w:rFonts w:hint="eastAsia" w:ascii="宋体" w:hAnsi="宋体" w:cs="宋体"/>
          <w:sz w:val="24"/>
        </w:rPr>
      </w:pPr>
      <w:r>
        <w:rPr>
          <w:rFonts w:hint="eastAsia" w:ascii="宋体" w:hAnsi="宋体" w:cs="宋体"/>
          <w:sz w:val="24"/>
        </w:rPr>
        <w:t>2．我方按照本保函向你方履行了保证责任后，自我方向你方支付款项（支付款项从我方账户划出）之日起，保证责任即终止。</w:t>
      </w:r>
    </w:p>
    <w:p w14:paraId="1796C3B1">
      <w:pPr>
        <w:pageBreakBefore w:val="0"/>
        <w:widowControl w:val="0"/>
        <w:kinsoku/>
        <w:wordWrap/>
        <w:overflowPunct/>
        <w:topLinePunct w:val="0"/>
        <w:bidi w:val="0"/>
        <w:ind w:firstLine="480" w:firstLineChars="200"/>
        <w:outlineLvl w:val="9"/>
        <w:rPr>
          <w:rFonts w:hint="eastAsia" w:ascii="宋体" w:hAnsi="宋体" w:cs="宋体"/>
          <w:sz w:val="24"/>
        </w:rPr>
      </w:pPr>
      <w:r>
        <w:rPr>
          <w:rFonts w:hint="eastAsia" w:ascii="宋体" w:hAnsi="宋体" w:cs="宋体"/>
          <w:sz w:val="24"/>
        </w:rPr>
        <w:t>3．按照法律法规的规定或出现应终止我方保证责任的其它情形的，我方在本保函项下的保证责任亦终止。</w:t>
      </w:r>
    </w:p>
    <w:p w14:paraId="469954D1">
      <w:pPr>
        <w:pageBreakBefore w:val="0"/>
        <w:widowControl w:val="0"/>
        <w:kinsoku/>
        <w:wordWrap/>
        <w:overflowPunct/>
        <w:topLinePunct w:val="0"/>
        <w:bidi w:val="0"/>
        <w:ind w:firstLine="480" w:firstLineChars="200"/>
        <w:outlineLvl w:val="9"/>
        <w:rPr>
          <w:rFonts w:hint="eastAsia" w:ascii="宋体" w:hAnsi="宋体" w:cs="宋体"/>
          <w:sz w:val="24"/>
        </w:rPr>
      </w:pPr>
      <w:r>
        <w:rPr>
          <w:rFonts w:hint="eastAsia" w:ascii="宋体" w:hAnsi="宋体" w:cs="宋体"/>
          <w:sz w:val="24"/>
        </w:rPr>
        <w:t>4．你方与供应商修改主合同，加重我方保证责任的，我方对加重部分不承担保证责任，但该等修改事先经我方书面同意的除外；你方与供应商修改主合同履行期限，我方保证期间仍依修改前的履行期限计算，但该等修改事先经我方书面同意的除外。</w:t>
      </w:r>
    </w:p>
    <w:p w14:paraId="0541DA87">
      <w:pPr>
        <w:pageBreakBefore w:val="0"/>
        <w:widowControl w:val="0"/>
        <w:kinsoku/>
        <w:wordWrap/>
        <w:overflowPunct/>
        <w:topLinePunct w:val="0"/>
        <w:bidi w:val="0"/>
        <w:ind w:firstLine="480" w:firstLineChars="200"/>
        <w:outlineLvl w:val="9"/>
        <w:rPr>
          <w:rFonts w:hint="eastAsia" w:ascii="宋体" w:hAnsi="宋体" w:cs="宋体"/>
          <w:sz w:val="24"/>
        </w:rPr>
      </w:pPr>
      <w:bookmarkStart w:id="985" w:name="_Toc3542"/>
      <w:r>
        <w:rPr>
          <w:rFonts w:hint="eastAsia" w:ascii="宋体" w:hAnsi="宋体" w:cs="宋体"/>
          <w:sz w:val="24"/>
        </w:rPr>
        <w:t>五、免责条款</w:t>
      </w:r>
      <w:bookmarkEnd w:id="985"/>
    </w:p>
    <w:p w14:paraId="2230F2E5">
      <w:pPr>
        <w:pageBreakBefore w:val="0"/>
        <w:widowControl w:val="0"/>
        <w:kinsoku/>
        <w:wordWrap/>
        <w:overflowPunct/>
        <w:topLinePunct w:val="0"/>
        <w:bidi w:val="0"/>
        <w:ind w:firstLine="480" w:firstLineChars="200"/>
        <w:outlineLvl w:val="9"/>
        <w:rPr>
          <w:rFonts w:hint="eastAsia" w:ascii="宋体" w:hAnsi="宋体" w:cs="宋体"/>
          <w:sz w:val="24"/>
        </w:rPr>
      </w:pPr>
      <w:r>
        <w:rPr>
          <w:rFonts w:hint="eastAsia" w:ascii="宋体" w:hAnsi="宋体" w:cs="宋体"/>
          <w:sz w:val="24"/>
        </w:rPr>
        <w:t>1．因你方违反主合同约定致使供应商不能履行义务的，我方不承担保证责任。</w:t>
      </w:r>
    </w:p>
    <w:p w14:paraId="4E6E001E">
      <w:pPr>
        <w:pageBreakBefore w:val="0"/>
        <w:widowControl w:val="0"/>
        <w:kinsoku/>
        <w:wordWrap/>
        <w:overflowPunct/>
        <w:topLinePunct w:val="0"/>
        <w:bidi w:val="0"/>
        <w:ind w:firstLine="480" w:firstLineChars="200"/>
        <w:outlineLvl w:val="9"/>
        <w:rPr>
          <w:rFonts w:hint="eastAsia" w:ascii="宋体" w:hAnsi="宋体" w:cs="宋体"/>
          <w:sz w:val="24"/>
        </w:rPr>
      </w:pPr>
      <w:r>
        <w:rPr>
          <w:rFonts w:hint="eastAsia" w:ascii="宋体" w:hAnsi="宋体" w:cs="宋体"/>
          <w:sz w:val="24"/>
        </w:rPr>
        <w:t>2．依照法律法规的规定或你方与供应商的另行约定，全部或者部分免除供应商应缴纳的保证金义务的，我方亦免除相应的保证责任。</w:t>
      </w:r>
    </w:p>
    <w:p w14:paraId="417D8B04">
      <w:pPr>
        <w:pageBreakBefore w:val="0"/>
        <w:widowControl w:val="0"/>
        <w:kinsoku/>
        <w:wordWrap/>
        <w:overflowPunct/>
        <w:topLinePunct w:val="0"/>
        <w:bidi w:val="0"/>
        <w:ind w:firstLine="480" w:firstLineChars="200"/>
        <w:outlineLvl w:val="9"/>
        <w:rPr>
          <w:rFonts w:hint="eastAsia" w:ascii="宋体" w:hAnsi="宋体" w:cs="宋体"/>
          <w:sz w:val="24"/>
        </w:rPr>
      </w:pPr>
      <w:r>
        <w:rPr>
          <w:rFonts w:hint="eastAsia" w:ascii="宋体" w:hAnsi="宋体" w:cs="宋体"/>
          <w:sz w:val="24"/>
        </w:rPr>
        <w:t>3．因不可抗力造成供应商不能履行供货义务的，我方不承担保证责任。</w:t>
      </w:r>
    </w:p>
    <w:p w14:paraId="1198D369">
      <w:pPr>
        <w:pageBreakBefore w:val="0"/>
        <w:widowControl w:val="0"/>
        <w:kinsoku/>
        <w:wordWrap/>
        <w:overflowPunct/>
        <w:topLinePunct w:val="0"/>
        <w:bidi w:val="0"/>
        <w:ind w:firstLine="480" w:firstLineChars="200"/>
        <w:outlineLvl w:val="9"/>
        <w:rPr>
          <w:rFonts w:hint="eastAsia" w:ascii="宋体" w:hAnsi="宋体" w:cs="宋体"/>
          <w:sz w:val="24"/>
        </w:rPr>
      </w:pPr>
      <w:bookmarkStart w:id="986" w:name="_Toc908"/>
      <w:r>
        <w:rPr>
          <w:rFonts w:hint="eastAsia" w:ascii="宋体" w:hAnsi="宋体" w:cs="宋体"/>
          <w:sz w:val="24"/>
        </w:rPr>
        <w:t>六、争议的解决</w:t>
      </w:r>
      <w:bookmarkEnd w:id="986"/>
    </w:p>
    <w:p w14:paraId="715400F8">
      <w:pPr>
        <w:pageBreakBefore w:val="0"/>
        <w:widowControl w:val="0"/>
        <w:kinsoku/>
        <w:wordWrap/>
        <w:overflowPunct/>
        <w:topLinePunct w:val="0"/>
        <w:bidi w:val="0"/>
        <w:ind w:firstLine="480" w:firstLineChars="200"/>
        <w:outlineLvl w:val="9"/>
        <w:rPr>
          <w:rFonts w:hint="eastAsia" w:ascii="宋体" w:hAnsi="宋体" w:cs="宋体"/>
          <w:sz w:val="24"/>
        </w:rPr>
      </w:pPr>
      <w:r>
        <w:rPr>
          <w:rFonts w:hint="eastAsia" w:ascii="宋体" w:hAnsi="宋体" w:cs="宋体"/>
          <w:sz w:val="24"/>
        </w:rPr>
        <w:t>因本保函发生的纠纷，由你我双方协商解决，协商不成的，通过诉讼程序解决，诉讼管辖地法院为</w:t>
      </w:r>
      <w:r>
        <w:rPr>
          <w:rFonts w:hint="eastAsia" w:ascii="宋体" w:hAnsi="宋体" w:cs="宋体"/>
          <w:sz w:val="24"/>
          <w:u w:val="single"/>
        </w:rPr>
        <w:t xml:space="preserve">        </w:t>
      </w:r>
      <w:r>
        <w:rPr>
          <w:rFonts w:hint="eastAsia" w:ascii="宋体" w:hAnsi="宋体" w:cs="宋体"/>
          <w:sz w:val="24"/>
        </w:rPr>
        <w:t>法院。</w:t>
      </w:r>
    </w:p>
    <w:p w14:paraId="4AB689AF">
      <w:pPr>
        <w:pageBreakBefore w:val="0"/>
        <w:widowControl w:val="0"/>
        <w:kinsoku/>
        <w:wordWrap/>
        <w:overflowPunct/>
        <w:topLinePunct w:val="0"/>
        <w:bidi w:val="0"/>
        <w:ind w:firstLine="480" w:firstLineChars="200"/>
        <w:outlineLvl w:val="9"/>
        <w:rPr>
          <w:rFonts w:hint="eastAsia" w:ascii="宋体" w:hAnsi="宋体" w:cs="宋体"/>
          <w:sz w:val="24"/>
        </w:rPr>
      </w:pPr>
      <w:bookmarkStart w:id="987" w:name="_Toc17651"/>
      <w:r>
        <w:rPr>
          <w:rFonts w:hint="eastAsia" w:ascii="宋体" w:hAnsi="宋体" w:cs="宋体"/>
          <w:sz w:val="24"/>
        </w:rPr>
        <w:t>七、保函的生效</w:t>
      </w:r>
      <w:bookmarkEnd w:id="987"/>
    </w:p>
    <w:p w14:paraId="383CD483">
      <w:pPr>
        <w:pageBreakBefore w:val="0"/>
        <w:widowControl w:val="0"/>
        <w:kinsoku/>
        <w:wordWrap/>
        <w:overflowPunct/>
        <w:topLinePunct w:val="0"/>
        <w:bidi w:val="0"/>
        <w:ind w:firstLine="480" w:firstLineChars="200"/>
        <w:outlineLvl w:val="9"/>
        <w:rPr>
          <w:rFonts w:hint="eastAsia" w:ascii="宋体" w:hAnsi="宋体" w:cs="宋体"/>
          <w:sz w:val="24"/>
        </w:rPr>
      </w:pPr>
      <w:r>
        <w:rPr>
          <w:rFonts w:hint="eastAsia" w:ascii="宋体" w:hAnsi="宋体" w:cs="宋体"/>
          <w:sz w:val="24"/>
        </w:rPr>
        <w:t>本保函自我方加盖公章之日起生效。</w:t>
      </w:r>
    </w:p>
    <w:p w14:paraId="1D5A706E">
      <w:pPr>
        <w:pStyle w:val="27"/>
        <w:rPr>
          <w:rFonts w:hint="eastAsia" w:ascii="宋体" w:hAnsi="宋体" w:cs="宋体"/>
          <w:sz w:val="24"/>
        </w:rPr>
      </w:pPr>
    </w:p>
    <w:p w14:paraId="7633B694">
      <w:pPr>
        <w:pStyle w:val="14"/>
        <w:rPr>
          <w:rFonts w:hint="eastAsia"/>
        </w:rPr>
      </w:pPr>
    </w:p>
    <w:p w14:paraId="7E554E5D">
      <w:pPr>
        <w:pageBreakBefore w:val="0"/>
        <w:widowControl w:val="0"/>
        <w:kinsoku/>
        <w:wordWrap/>
        <w:overflowPunct/>
        <w:topLinePunct w:val="0"/>
        <w:bidi w:val="0"/>
        <w:outlineLvl w:val="9"/>
        <w:rPr>
          <w:rFonts w:hint="eastAsia" w:ascii="宋体" w:hAnsi="宋体" w:cs="宋体"/>
          <w:sz w:val="24"/>
        </w:rPr>
      </w:pPr>
    </w:p>
    <w:p w14:paraId="59BBD6D1">
      <w:pPr>
        <w:pageBreakBefore w:val="0"/>
        <w:widowControl w:val="0"/>
        <w:kinsoku/>
        <w:wordWrap/>
        <w:overflowPunct/>
        <w:topLinePunct w:val="0"/>
        <w:bidi w:val="0"/>
        <w:outlineLvl w:val="9"/>
        <w:rPr>
          <w:rFonts w:hint="eastAsia" w:ascii="宋体" w:hAnsi="宋体" w:cs="宋体"/>
          <w:sz w:val="24"/>
        </w:rPr>
      </w:pPr>
      <w:r>
        <w:rPr>
          <w:rFonts w:hint="eastAsia" w:ascii="宋体" w:hAnsi="宋体" w:cs="宋体"/>
          <w:sz w:val="24"/>
        </w:rPr>
        <w:t xml:space="preserve">                                      </w:t>
      </w:r>
    </w:p>
    <w:p w14:paraId="180C04FC">
      <w:pPr>
        <w:pageBreakBefore w:val="0"/>
        <w:widowControl w:val="0"/>
        <w:kinsoku/>
        <w:wordWrap/>
        <w:overflowPunct/>
        <w:topLinePunct w:val="0"/>
        <w:bidi w:val="0"/>
        <w:ind w:firstLine="5400" w:firstLineChars="2250"/>
        <w:outlineLvl w:val="9"/>
        <w:rPr>
          <w:rFonts w:hint="eastAsia" w:ascii="宋体" w:hAnsi="宋体" w:cs="宋体"/>
          <w:sz w:val="24"/>
        </w:rPr>
      </w:pPr>
      <w:r>
        <w:rPr>
          <w:rFonts w:hint="eastAsia" w:ascii="宋体" w:hAnsi="宋体" w:cs="宋体"/>
          <w:sz w:val="24"/>
        </w:rPr>
        <w:t>保证人：（公章）</w:t>
      </w:r>
    </w:p>
    <w:p w14:paraId="6F4D30C6">
      <w:pPr>
        <w:pageBreakBefore w:val="0"/>
        <w:widowControl w:val="0"/>
        <w:kinsoku/>
        <w:wordWrap/>
        <w:overflowPunct/>
        <w:topLinePunct w:val="0"/>
        <w:bidi w:val="0"/>
        <w:outlineLvl w:val="9"/>
        <w:rPr>
          <w:rFonts w:hint="eastAsia" w:ascii="宋体" w:hAnsi="宋体" w:cs="宋体"/>
          <w:sz w:val="24"/>
        </w:rPr>
      </w:pPr>
      <w:r>
        <w:rPr>
          <w:rFonts w:hint="eastAsia" w:ascii="宋体" w:hAnsi="宋体" w:cs="宋体"/>
          <w:sz w:val="24"/>
        </w:rPr>
        <w:t xml:space="preserve">                   </w:t>
      </w:r>
    </w:p>
    <w:p w14:paraId="7E498111">
      <w:pPr>
        <w:pageBreakBefore w:val="0"/>
        <w:widowControl w:val="0"/>
        <w:kinsoku/>
        <w:wordWrap/>
        <w:overflowPunct/>
        <w:topLinePunct w:val="0"/>
        <w:bidi w:val="0"/>
        <w:outlineLvl w:val="9"/>
        <w:rPr>
          <w:rFonts w:hint="eastAsia" w:ascii="宋体" w:hAnsi="宋体" w:cs="宋体"/>
          <w:sz w:val="24"/>
        </w:rPr>
      </w:pPr>
      <w:r>
        <w:rPr>
          <w:rFonts w:hint="eastAsia" w:ascii="宋体" w:hAnsi="宋体" w:cs="宋体"/>
          <w:sz w:val="24"/>
        </w:rPr>
        <w:t xml:space="preserve">                                                   年     月      日</w:t>
      </w:r>
    </w:p>
    <w:p w14:paraId="61E7553E">
      <w:pPr>
        <w:pageBreakBefore w:val="0"/>
        <w:widowControl w:val="0"/>
        <w:kinsoku/>
        <w:wordWrap/>
        <w:overflowPunct/>
        <w:topLinePunct w:val="0"/>
        <w:bidi w:val="0"/>
        <w:outlineLvl w:val="9"/>
        <w:rPr>
          <w:rFonts w:hint="eastAsia" w:ascii="宋体" w:hAnsi="宋体" w:cs="宋体"/>
          <w:sz w:val="24"/>
        </w:rPr>
      </w:pPr>
    </w:p>
    <w:p w14:paraId="70A28517">
      <w:pPr>
        <w:pStyle w:val="36"/>
        <w:ind w:left="0" w:leftChars="0" w:firstLine="0" w:firstLineChars="0"/>
        <w:rPr>
          <w:rFonts w:hint="eastAsia" w:ascii="仿宋_GB2312" w:hAnsi="仿宋_GB2312" w:eastAsia="仿宋_GB2312" w:cs="仿宋_GB2312"/>
          <w:b/>
          <w:i w:val="0"/>
          <w:caps w:val="0"/>
          <w:spacing w:val="0"/>
          <w:w w:val="100"/>
          <w:kern w:val="0"/>
          <w:sz w:val="44"/>
          <w:szCs w:val="44"/>
        </w:rPr>
      </w:pPr>
    </w:p>
    <w:p w14:paraId="47AE26F2">
      <w:pPr>
        <w:pageBreakBefore w:val="0"/>
        <w:widowControl w:val="0"/>
        <w:tabs>
          <w:tab w:val="left" w:pos="0"/>
        </w:tabs>
        <w:kinsoku/>
        <w:wordWrap/>
        <w:overflowPunct/>
        <w:topLinePunct w:val="0"/>
        <w:bidi w:val="0"/>
        <w:snapToGrid/>
        <w:spacing w:before="0" w:beforeAutospacing="0" w:after="0" w:afterAutospacing="0" w:line="240" w:lineRule="atLeast"/>
        <w:jc w:val="both"/>
        <w:textAlignment w:val="baseline"/>
        <w:outlineLvl w:val="9"/>
        <w:rPr>
          <w:rFonts w:hint="eastAsia" w:ascii="仿宋_GB2312" w:hAnsi="仿宋_GB2312" w:eastAsia="仿宋_GB2312" w:cs="仿宋_GB2312"/>
          <w:b/>
          <w:i w:val="0"/>
          <w:caps w:val="0"/>
          <w:spacing w:val="0"/>
          <w:w w:val="100"/>
          <w:kern w:val="0"/>
          <w:sz w:val="44"/>
          <w:szCs w:val="44"/>
        </w:rPr>
      </w:pPr>
    </w:p>
    <w:p w14:paraId="458EABE7">
      <w:pPr>
        <w:pStyle w:val="37"/>
        <w:rPr>
          <w:rFonts w:hint="eastAsia" w:ascii="仿宋_GB2312" w:hAnsi="仿宋_GB2312" w:eastAsia="仿宋_GB2312" w:cs="仿宋_GB2312"/>
          <w:b/>
          <w:i w:val="0"/>
          <w:caps w:val="0"/>
          <w:spacing w:val="0"/>
          <w:w w:val="100"/>
          <w:kern w:val="0"/>
          <w:sz w:val="44"/>
          <w:szCs w:val="44"/>
        </w:rPr>
      </w:pPr>
    </w:p>
    <w:p w14:paraId="260F67A6">
      <w:pPr>
        <w:pStyle w:val="9"/>
        <w:rPr>
          <w:rFonts w:hint="eastAsia" w:ascii="仿宋_GB2312" w:hAnsi="仿宋_GB2312" w:eastAsia="仿宋_GB2312" w:cs="仿宋_GB2312"/>
          <w:b/>
          <w:i w:val="0"/>
          <w:caps w:val="0"/>
          <w:spacing w:val="0"/>
          <w:w w:val="100"/>
          <w:kern w:val="0"/>
          <w:sz w:val="44"/>
          <w:szCs w:val="44"/>
        </w:rPr>
      </w:pPr>
    </w:p>
    <w:p w14:paraId="0F39C9F7">
      <w:pPr>
        <w:pStyle w:val="10"/>
        <w:rPr>
          <w:rFonts w:hint="eastAsia" w:ascii="仿宋_GB2312" w:hAnsi="仿宋_GB2312" w:eastAsia="仿宋_GB2312" w:cs="仿宋_GB2312"/>
          <w:b/>
          <w:i w:val="0"/>
          <w:caps w:val="0"/>
          <w:spacing w:val="0"/>
          <w:w w:val="100"/>
          <w:kern w:val="0"/>
          <w:sz w:val="44"/>
          <w:szCs w:val="44"/>
        </w:rPr>
      </w:pPr>
    </w:p>
    <w:p w14:paraId="68A3A185">
      <w:pPr>
        <w:rPr>
          <w:rFonts w:hint="eastAsia" w:ascii="仿宋_GB2312" w:hAnsi="仿宋_GB2312" w:eastAsia="仿宋_GB2312" w:cs="仿宋_GB2312"/>
          <w:b/>
          <w:i w:val="0"/>
          <w:caps w:val="0"/>
          <w:spacing w:val="0"/>
          <w:w w:val="100"/>
          <w:kern w:val="0"/>
          <w:sz w:val="44"/>
          <w:szCs w:val="44"/>
        </w:rPr>
      </w:pPr>
    </w:p>
    <w:p w14:paraId="3CA05B65">
      <w:pPr>
        <w:pStyle w:val="37"/>
        <w:rPr>
          <w:rFonts w:hint="eastAsia" w:ascii="仿宋_GB2312" w:hAnsi="仿宋_GB2312" w:eastAsia="仿宋_GB2312" w:cs="仿宋_GB2312"/>
          <w:b/>
          <w:i w:val="0"/>
          <w:caps w:val="0"/>
          <w:spacing w:val="0"/>
          <w:w w:val="100"/>
          <w:kern w:val="0"/>
          <w:sz w:val="44"/>
          <w:szCs w:val="44"/>
        </w:rPr>
      </w:pPr>
    </w:p>
    <w:p w14:paraId="4B56B160">
      <w:pPr>
        <w:pStyle w:val="36"/>
        <w:rPr>
          <w:rFonts w:hint="eastAsia" w:ascii="仿宋_GB2312" w:hAnsi="仿宋_GB2312" w:eastAsia="仿宋_GB2312" w:cs="仿宋_GB2312"/>
          <w:b/>
          <w:i w:val="0"/>
          <w:caps w:val="0"/>
          <w:spacing w:val="0"/>
          <w:w w:val="100"/>
          <w:kern w:val="0"/>
          <w:sz w:val="44"/>
          <w:szCs w:val="44"/>
        </w:rPr>
      </w:pPr>
    </w:p>
    <w:p w14:paraId="7FEC0328">
      <w:pPr>
        <w:rPr>
          <w:rFonts w:hint="eastAsia" w:ascii="仿宋_GB2312" w:hAnsi="仿宋_GB2312" w:eastAsia="仿宋_GB2312" w:cs="仿宋_GB2312"/>
          <w:b/>
          <w:i w:val="0"/>
          <w:caps w:val="0"/>
          <w:spacing w:val="0"/>
          <w:w w:val="100"/>
          <w:kern w:val="0"/>
          <w:sz w:val="44"/>
          <w:szCs w:val="44"/>
        </w:rPr>
      </w:pPr>
    </w:p>
    <w:p w14:paraId="1D886772">
      <w:pPr>
        <w:pStyle w:val="27"/>
        <w:rPr>
          <w:rFonts w:hint="eastAsia" w:ascii="仿宋_GB2312" w:hAnsi="仿宋_GB2312" w:eastAsia="仿宋_GB2312" w:cs="仿宋_GB2312"/>
          <w:b/>
          <w:i w:val="0"/>
          <w:caps w:val="0"/>
          <w:spacing w:val="0"/>
          <w:w w:val="100"/>
          <w:kern w:val="0"/>
          <w:sz w:val="44"/>
          <w:szCs w:val="44"/>
        </w:rPr>
      </w:pPr>
    </w:p>
    <w:p w14:paraId="42BAFBF5">
      <w:pPr>
        <w:pStyle w:val="14"/>
        <w:rPr>
          <w:rFonts w:hint="eastAsia" w:ascii="仿宋_GB2312" w:hAnsi="仿宋_GB2312" w:eastAsia="仿宋_GB2312" w:cs="仿宋_GB2312"/>
          <w:b/>
          <w:i w:val="0"/>
          <w:caps w:val="0"/>
          <w:spacing w:val="0"/>
          <w:w w:val="100"/>
          <w:kern w:val="0"/>
          <w:sz w:val="44"/>
          <w:szCs w:val="44"/>
        </w:rPr>
      </w:pPr>
    </w:p>
    <w:p w14:paraId="6719BA21">
      <w:pPr>
        <w:pStyle w:val="36"/>
        <w:rPr>
          <w:rFonts w:hint="eastAsia" w:ascii="仿宋_GB2312" w:hAnsi="仿宋_GB2312" w:eastAsia="仿宋_GB2312" w:cs="仿宋_GB2312"/>
          <w:b/>
          <w:i w:val="0"/>
          <w:caps w:val="0"/>
          <w:spacing w:val="0"/>
          <w:w w:val="100"/>
          <w:kern w:val="0"/>
          <w:sz w:val="44"/>
          <w:szCs w:val="44"/>
        </w:rPr>
      </w:pPr>
    </w:p>
    <w:p w14:paraId="27ACA2E9">
      <w:pPr>
        <w:rPr>
          <w:rFonts w:hint="eastAsia" w:ascii="仿宋_GB2312" w:hAnsi="仿宋_GB2312" w:eastAsia="仿宋_GB2312" w:cs="仿宋_GB2312"/>
          <w:b/>
          <w:i w:val="0"/>
          <w:caps w:val="0"/>
          <w:spacing w:val="0"/>
          <w:w w:val="100"/>
          <w:kern w:val="0"/>
          <w:sz w:val="44"/>
          <w:szCs w:val="44"/>
        </w:rPr>
      </w:pPr>
    </w:p>
    <w:bookmarkEnd w:id="0"/>
    <w:bookmarkEnd w:id="1"/>
    <w:bookmarkEnd w:id="2"/>
    <w:bookmarkEnd w:id="3"/>
    <w:bookmarkEnd w:id="4"/>
    <w:bookmarkEnd w:id="5"/>
    <w:bookmarkEnd w:id="6"/>
    <w:bookmarkEnd w:id="7"/>
    <w:bookmarkEnd w:id="8"/>
    <w:p w14:paraId="3C907702">
      <w:pPr>
        <w:pStyle w:val="3"/>
        <w:tabs>
          <w:tab w:val="left" w:pos="0"/>
        </w:tabs>
        <w:snapToGrid/>
        <w:spacing w:before="0" w:beforeAutospacing="0" w:after="0" w:afterAutospacing="0" w:line="240" w:lineRule="atLeast"/>
        <w:jc w:val="center"/>
        <w:textAlignment w:val="baseline"/>
        <w:rPr>
          <w:rFonts w:ascii="仿宋_GB2312" w:hAnsi="仿宋_GB2312" w:eastAsia="仿宋_GB2312" w:cs="仿宋_GB2312"/>
          <w:b/>
          <w:i w:val="0"/>
          <w:caps w:val="0"/>
          <w:spacing w:val="0"/>
          <w:w w:val="100"/>
          <w:sz w:val="44"/>
          <w:szCs w:val="44"/>
        </w:rPr>
      </w:pPr>
      <w:bookmarkStart w:id="988" w:name="_Toc25831"/>
      <w:bookmarkStart w:id="989" w:name="_Toc10137"/>
      <w:bookmarkStart w:id="990" w:name="_Toc26781"/>
      <w:bookmarkStart w:id="991" w:name="_Toc24454"/>
      <w:bookmarkStart w:id="992" w:name="_Toc8096"/>
      <w:bookmarkStart w:id="993" w:name="_Toc13090"/>
      <w:bookmarkStart w:id="994" w:name="_Toc6011"/>
      <w:bookmarkStart w:id="995" w:name="_Toc14885"/>
      <w:bookmarkStart w:id="996" w:name="_Toc2603"/>
      <w:bookmarkStart w:id="997" w:name="_Toc16384"/>
      <w:bookmarkStart w:id="998" w:name="_Toc1405"/>
      <w:bookmarkStart w:id="999" w:name="_Toc10488"/>
      <w:bookmarkStart w:id="1000" w:name="_Toc216582823"/>
      <w:bookmarkStart w:id="1001" w:name="_Toc512937850"/>
      <w:bookmarkStart w:id="1002" w:name="_Toc507399903"/>
      <w:bookmarkStart w:id="1003" w:name="_Toc20439"/>
      <w:bookmarkStart w:id="1004" w:name="_Toc515647830"/>
      <w:bookmarkStart w:id="1005" w:name="_Toc31583"/>
      <w:r>
        <w:rPr>
          <w:rFonts w:hint="eastAsia" w:ascii="仿宋_GB2312" w:hAnsi="仿宋_GB2312" w:eastAsia="仿宋_GB2312" w:cs="仿宋_GB2312"/>
          <w:b/>
          <w:i w:val="0"/>
          <w:caps w:val="0"/>
          <w:spacing w:val="0"/>
          <w:w w:val="100"/>
          <w:kern w:val="0"/>
          <w:sz w:val="44"/>
          <w:szCs w:val="44"/>
        </w:rPr>
        <w:t>第二章</w:t>
      </w:r>
      <w:r>
        <w:rPr>
          <w:rFonts w:hint="eastAsia" w:ascii="仿宋_GB2312" w:hAnsi="仿宋_GB2312" w:eastAsia="仿宋_GB2312" w:cs="仿宋_GB2312"/>
          <w:b/>
          <w:i w:val="0"/>
          <w:caps w:val="0"/>
          <w:spacing w:val="0"/>
          <w:w w:val="100"/>
          <w:sz w:val="44"/>
          <w:szCs w:val="44"/>
        </w:rPr>
        <w:t xml:space="preserve">  投标文件格式</w:t>
      </w:r>
      <w:bookmarkEnd w:id="988"/>
      <w:bookmarkEnd w:id="989"/>
      <w:bookmarkEnd w:id="990"/>
      <w:bookmarkEnd w:id="991"/>
      <w:bookmarkEnd w:id="992"/>
      <w:bookmarkEnd w:id="993"/>
      <w:bookmarkEnd w:id="994"/>
      <w:bookmarkEnd w:id="995"/>
      <w:bookmarkEnd w:id="996"/>
      <w:bookmarkEnd w:id="997"/>
    </w:p>
    <w:p w14:paraId="266DF60B">
      <w:pPr>
        <w:snapToGrid/>
        <w:spacing w:before="0" w:beforeAutospacing="0" w:after="0" w:afterAutospacing="0" w:line="240" w:lineRule="auto"/>
        <w:jc w:val="both"/>
        <w:textAlignment w:val="baseline"/>
        <w:rPr>
          <w:b w:val="0"/>
          <w:i w:val="0"/>
          <w:caps w:val="0"/>
          <w:spacing w:val="0"/>
          <w:w w:val="100"/>
          <w:sz w:val="20"/>
        </w:rPr>
      </w:pPr>
    </w:p>
    <w:p w14:paraId="107C6D12">
      <w:pPr>
        <w:pStyle w:val="2"/>
        <w:snapToGrid/>
        <w:spacing w:before="0" w:beforeAutospacing="0" w:after="0" w:afterAutospacing="0" w:line="240" w:lineRule="atLeast"/>
        <w:ind w:left="1079" w:leftChars="257" w:hanging="540"/>
        <w:jc w:val="center"/>
        <w:textAlignment w:val="baseline"/>
        <w:rPr>
          <w:rFonts w:ascii="仿宋_GB2312" w:hAnsi="宋体" w:eastAsia="仿宋_GB2312"/>
          <w:b/>
          <w:i w:val="0"/>
          <w:caps w:val="0"/>
          <w:spacing w:val="0"/>
          <w:w w:val="100"/>
          <w:sz w:val="24"/>
        </w:rPr>
      </w:pPr>
      <w:bookmarkStart w:id="1006" w:name="_Toc15142"/>
      <w:bookmarkStart w:id="1007" w:name="_Toc518923107"/>
    </w:p>
    <w:p w14:paraId="69A4473A">
      <w:pPr>
        <w:pStyle w:val="2"/>
        <w:snapToGrid/>
        <w:spacing w:before="0" w:beforeAutospacing="0" w:after="0" w:afterAutospacing="0" w:line="240" w:lineRule="atLeast"/>
        <w:ind w:left="1079" w:leftChars="257" w:hanging="540"/>
        <w:jc w:val="center"/>
        <w:textAlignment w:val="baseline"/>
        <w:rPr>
          <w:rFonts w:ascii="仿宋_GB2312" w:hAnsi="宋体" w:eastAsia="仿宋_GB2312"/>
          <w:b/>
          <w:i w:val="0"/>
          <w:caps w:val="0"/>
          <w:spacing w:val="0"/>
          <w:w w:val="100"/>
          <w:sz w:val="24"/>
        </w:rPr>
      </w:pPr>
      <w:bookmarkStart w:id="1008" w:name="_Toc13868"/>
      <w:bookmarkStart w:id="1009" w:name="_Toc24822"/>
      <w:bookmarkStart w:id="1010" w:name="_Toc14363"/>
      <w:bookmarkStart w:id="1011" w:name="_Toc30205"/>
      <w:bookmarkStart w:id="1012" w:name="_Toc30198"/>
      <w:bookmarkStart w:id="1013" w:name="_Toc11730"/>
      <w:bookmarkStart w:id="1014" w:name="_Toc8875"/>
      <w:bookmarkStart w:id="1015" w:name="_Toc10047"/>
      <w:bookmarkStart w:id="1016" w:name="_Toc11201"/>
      <w:bookmarkStart w:id="1017" w:name="_Toc12690"/>
      <w:bookmarkStart w:id="1018" w:name="_Toc15037"/>
      <w:bookmarkStart w:id="1019" w:name="_Toc11490"/>
      <w:bookmarkStart w:id="1020" w:name="_Toc15435"/>
      <w:bookmarkStart w:id="1021" w:name="_Toc11722"/>
      <w:bookmarkStart w:id="1022" w:name="_Toc17486"/>
      <w:bookmarkStart w:id="1023" w:name="_Toc21312"/>
      <w:bookmarkStart w:id="1024" w:name="_Toc7162"/>
      <w:bookmarkStart w:id="1025" w:name="_Toc13309"/>
      <w:bookmarkStart w:id="1026" w:name="_Toc28599"/>
      <w:r>
        <w:rPr>
          <w:rFonts w:ascii="仿宋_GB2312" w:hAnsi="宋体" w:eastAsia="仿宋_GB2312"/>
          <w:b/>
          <w:i w:val="0"/>
          <w:caps w:val="0"/>
          <w:spacing w:val="0"/>
          <w:w w:val="100"/>
          <w:sz w:val="24"/>
        </w:rPr>
        <w:t>第一部分</w:t>
      </w:r>
      <w:r>
        <w:rPr>
          <w:rFonts w:hint="eastAsia" w:ascii="仿宋_GB2312" w:hAnsi="宋体" w:eastAsia="仿宋_GB2312"/>
          <w:b/>
          <w:i w:val="0"/>
          <w:caps w:val="0"/>
          <w:spacing w:val="0"/>
          <w:w w:val="100"/>
          <w:sz w:val="24"/>
        </w:rPr>
        <w:t xml:space="preserve"> 开标一览表及资格证明文件</w:t>
      </w:r>
      <w:bookmarkEnd w:id="1006"/>
      <w:bookmarkEnd w:id="1007"/>
      <w:bookmarkEnd w:id="1008"/>
      <w:bookmarkEnd w:id="1009"/>
      <w:bookmarkEnd w:id="1010"/>
      <w:bookmarkEnd w:id="1011"/>
      <w:bookmarkEnd w:id="1012"/>
      <w:bookmarkEnd w:id="1013"/>
      <w:bookmarkEnd w:id="1014"/>
      <w:bookmarkEnd w:id="1015"/>
      <w:bookmarkEnd w:id="1016"/>
      <w:bookmarkEnd w:id="1017"/>
      <w:bookmarkEnd w:id="1018"/>
      <w:bookmarkEnd w:id="1019"/>
      <w:bookmarkEnd w:id="1020"/>
      <w:bookmarkEnd w:id="1021"/>
      <w:bookmarkEnd w:id="1022"/>
      <w:bookmarkEnd w:id="1023"/>
      <w:bookmarkEnd w:id="1024"/>
      <w:bookmarkEnd w:id="1025"/>
      <w:bookmarkEnd w:id="1026"/>
    </w:p>
    <w:p w14:paraId="44A369C4">
      <w:pPr>
        <w:snapToGrid/>
        <w:spacing w:before="0" w:beforeAutospacing="0" w:after="0" w:afterAutospacing="0" w:line="288" w:lineRule="auto"/>
        <w:jc w:val="both"/>
        <w:textAlignment w:val="baseline"/>
        <w:rPr>
          <w:rFonts w:ascii="仿宋_GB2312" w:hAnsi="仿宋_GB2312" w:eastAsia="仿宋_GB2312" w:cs="仿宋_GB2312"/>
          <w:b w:val="0"/>
          <w:i w:val="0"/>
          <w:caps w:val="0"/>
          <w:spacing w:val="0"/>
          <w:w w:val="100"/>
          <w:sz w:val="24"/>
        </w:rPr>
      </w:pPr>
    </w:p>
    <w:p w14:paraId="1B1010FE">
      <w:pPr>
        <w:snapToGrid/>
        <w:spacing w:before="0" w:beforeAutospacing="0" w:after="0" w:afterAutospacing="0" w:line="240" w:lineRule="atLeast"/>
        <w:ind w:hangingChars="295"/>
        <w:jc w:val="center"/>
        <w:textAlignment w:val="baseline"/>
        <w:rPr>
          <w:rFonts w:ascii="仿宋_GB2312" w:hAnsi="宋体" w:eastAsia="仿宋_GB2312"/>
          <w:b w:val="0"/>
          <w:i w:val="0"/>
          <w:caps w:val="0"/>
          <w:spacing w:val="0"/>
          <w:w w:val="100"/>
          <w:sz w:val="24"/>
        </w:rPr>
      </w:pPr>
    </w:p>
    <w:p w14:paraId="0E9EFB71">
      <w:pPr>
        <w:pStyle w:val="20"/>
        <w:snapToGrid/>
        <w:spacing w:before="0" w:beforeAutospacing="0" w:after="0" w:afterAutospacing="0" w:line="288" w:lineRule="auto"/>
        <w:ind w:firstLine="480" w:firstLineChars="200"/>
        <w:jc w:val="left"/>
        <w:textAlignment w:val="baseline"/>
        <w:rPr>
          <w:rFonts w:ascii="仿宋_GB2312" w:hAnsi="仿宋_GB2312" w:eastAsia="仿宋_GB2312" w:cs="仿宋_GB2312"/>
          <w:b w:val="0"/>
          <w:i w:val="0"/>
          <w:caps w:val="0"/>
          <w:spacing w:val="0"/>
          <w:w w:val="100"/>
          <w:sz w:val="24"/>
        </w:rPr>
      </w:pPr>
      <w:r>
        <w:rPr>
          <w:rFonts w:hint="eastAsia" w:ascii="仿宋_GB2312" w:hAnsi="仿宋_GB2312" w:eastAsia="仿宋_GB2312" w:cs="仿宋_GB2312"/>
          <w:b w:val="0"/>
          <w:i w:val="0"/>
          <w:caps w:val="0"/>
          <w:spacing w:val="0"/>
          <w:w w:val="100"/>
          <w:sz w:val="24"/>
        </w:rPr>
        <w:t>1、开标一览表</w:t>
      </w:r>
    </w:p>
    <w:p w14:paraId="30CF345D">
      <w:pPr>
        <w:pStyle w:val="20"/>
        <w:snapToGrid/>
        <w:spacing w:before="0" w:beforeAutospacing="0" w:after="0" w:afterAutospacing="0" w:line="288" w:lineRule="auto"/>
        <w:ind w:firstLine="480" w:firstLineChars="200"/>
        <w:jc w:val="left"/>
        <w:textAlignment w:val="baseline"/>
        <w:rPr>
          <w:rFonts w:ascii="仿宋_GB2312" w:hAnsi="仿宋_GB2312" w:eastAsia="仿宋_GB2312" w:cs="仿宋_GB2312"/>
          <w:b w:val="0"/>
          <w:i w:val="0"/>
          <w:caps w:val="0"/>
          <w:spacing w:val="0"/>
          <w:w w:val="100"/>
          <w:sz w:val="24"/>
        </w:rPr>
      </w:pPr>
      <w:r>
        <w:rPr>
          <w:rFonts w:hint="eastAsia" w:ascii="仿宋_GB2312" w:hAnsi="仿宋_GB2312" w:eastAsia="仿宋_GB2312" w:cs="仿宋_GB2312"/>
          <w:b w:val="0"/>
          <w:i w:val="0"/>
          <w:caps w:val="0"/>
          <w:spacing w:val="0"/>
          <w:w w:val="100"/>
          <w:sz w:val="24"/>
        </w:rPr>
        <w:t>2、法人或者非法人组织的营业执照等证明文件</w:t>
      </w:r>
    </w:p>
    <w:p w14:paraId="163768B9">
      <w:pPr>
        <w:pStyle w:val="20"/>
        <w:snapToGrid/>
        <w:spacing w:before="0" w:beforeAutospacing="0" w:after="0" w:afterAutospacing="0" w:line="288" w:lineRule="auto"/>
        <w:ind w:firstLine="480" w:firstLineChars="200"/>
        <w:jc w:val="left"/>
        <w:textAlignment w:val="baseline"/>
        <w:rPr>
          <w:rFonts w:ascii="仿宋_GB2312" w:hAnsi="仿宋_GB2312" w:eastAsia="仿宋_GB2312" w:cs="仿宋_GB2312"/>
          <w:b w:val="0"/>
          <w:i w:val="0"/>
          <w:caps w:val="0"/>
          <w:spacing w:val="0"/>
          <w:w w:val="100"/>
          <w:sz w:val="24"/>
        </w:rPr>
      </w:pPr>
      <w:r>
        <w:rPr>
          <w:rFonts w:hint="eastAsia" w:ascii="仿宋_GB2312" w:hAnsi="仿宋_GB2312" w:eastAsia="仿宋_GB2312" w:cs="仿宋_GB2312"/>
          <w:b w:val="0"/>
          <w:i w:val="0"/>
          <w:caps w:val="0"/>
          <w:spacing w:val="0"/>
          <w:w w:val="100"/>
          <w:sz w:val="24"/>
        </w:rPr>
        <w:t>3、法定代表人身份证明</w:t>
      </w:r>
    </w:p>
    <w:p w14:paraId="797F8AEB">
      <w:pPr>
        <w:pStyle w:val="20"/>
        <w:snapToGrid/>
        <w:spacing w:before="0" w:beforeAutospacing="0" w:after="0" w:afterAutospacing="0" w:line="288" w:lineRule="auto"/>
        <w:ind w:firstLine="480" w:firstLineChars="200"/>
        <w:jc w:val="left"/>
        <w:textAlignment w:val="baseline"/>
        <w:rPr>
          <w:rFonts w:ascii="仿宋_GB2312" w:hAnsi="仿宋_GB2312" w:eastAsia="仿宋_GB2312" w:cs="仿宋_GB2312"/>
          <w:b w:val="0"/>
          <w:i w:val="0"/>
          <w:caps w:val="0"/>
          <w:spacing w:val="0"/>
          <w:w w:val="100"/>
          <w:sz w:val="24"/>
        </w:rPr>
      </w:pPr>
      <w:r>
        <w:rPr>
          <w:rFonts w:hint="eastAsia" w:ascii="仿宋_GB2312" w:hAnsi="仿宋_GB2312" w:eastAsia="仿宋_GB2312" w:cs="仿宋_GB2312"/>
          <w:b w:val="0"/>
          <w:i w:val="0"/>
          <w:caps w:val="0"/>
          <w:spacing w:val="0"/>
          <w:w w:val="100"/>
          <w:sz w:val="24"/>
        </w:rPr>
        <w:t>4、法定代表人授权委托书</w:t>
      </w:r>
    </w:p>
    <w:p w14:paraId="20BF2BB9">
      <w:pPr>
        <w:pStyle w:val="20"/>
        <w:snapToGrid/>
        <w:spacing w:before="0" w:beforeAutospacing="0" w:after="0" w:afterAutospacing="0" w:line="288" w:lineRule="auto"/>
        <w:ind w:firstLine="480" w:firstLineChars="200"/>
        <w:jc w:val="left"/>
        <w:textAlignment w:val="baseline"/>
        <w:rPr>
          <w:rFonts w:ascii="仿宋_GB2312" w:hAnsi="仿宋_GB2312" w:eastAsia="仿宋_GB2312" w:cs="仿宋_GB2312"/>
          <w:b w:val="0"/>
          <w:i w:val="0"/>
          <w:caps w:val="0"/>
          <w:spacing w:val="0"/>
          <w:w w:val="100"/>
          <w:sz w:val="24"/>
        </w:rPr>
      </w:pPr>
      <w:r>
        <w:rPr>
          <w:rFonts w:hint="eastAsia" w:ascii="仿宋_GB2312" w:hAnsi="仿宋_GB2312" w:eastAsia="仿宋_GB2312" w:cs="仿宋_GB2312"/>
          <w:b w:val="0"/>
          <w:i w:val="0"/>
          <w:caps w:val="0"/>
          <w:spacing w:val="0"/>
          <w:w w:val="100"/>
          <w:sz w:val="24"/>
        </w:rPr>
        <w:t>5、投标保证金缴纳收据复印件</w:t>
      </w:r>
      <w:r>
        <w:rPr>
          <w:rFonts w:hint="eastAsia" w:ascii="仿宋_GB2312" w:hAnsi="仿宋" w:eastAsia="仿宋_GB2312"/>
          <w:b w:val="0"/>
          <w:i w:val="0"/>
          <w:caps w:val="0"/>
          <w:spacing w:val="0"/>
          <w:w w:val="100"/>
          <w:sz w:val="24"/>
        </w:rPr>
        <w:t>或保函复印件</w:t>
      </w:r>
    </w:p>
    <w:p w14:paraId="0056E5CF">
      <w:pPr>
        <w:pStyle w:val="20"/>
        <w:snapToGrid/>
        <w:spacing w:before="0" w:beforeAutospacing="0" w:after="0" w:afterAutospacing="0" w:line="288" w:lineRule="auto"/>
        <w:ind w:firstLine="480" w:firstLineChars="200"/>
        <w:jc w:val="left"/>
        <w:textAlignment w:val="baseline"/>
        <w:rPr>
          <w:rFonts w:ascii="仿宋_GB2312" w:hAnsi="仿宋_GB2312" w:eastAsia="仿宋_GB2312" w:cs="仿宋_GB2312"/>
          <w:b w:val="0"/>
          <w:i w:val="0"/>
          <w:caps w:val="0"/>
          <w:spacing w:val="0"/>
          <w:w w:val="100"/>
          <w:sz w:val="24"/>
        </w:rPr>
      </w:pPr>
      <w:r>
        <w:rPr>
          <w:rFonts w:hint="eastAsia" w:ascii="仿宋_GB2312" w:hAnsi="仿宋_GB2312" w:eastAsia="仿宋_GB2312" w:cs="仿宋_GB2312"/>
          <w:b w:val="0"/>
          <w:i w:val="0"/>
          <w:caps w:val="0"/>
          <w:spacing w:val="0"/>
          <w:w w:val="100"/>
          <w:sz w:val="24"/>
        </w:rPr>
        <w:t>6、社会保障资金的缴纳记录</w:t>
      </w:r>
    </w:p>
    <w:p w14:paraId="5B5434F7">
      <w:pPr>
        <w:pStyle w:val="20"/>
        <w:snapToGrid/>
        <w:spacing w:before="0" w:beforeAutospacing="0" w:after="0" w:afterAutospacing="0" w:line="288" w:lineRule="auto"/>
        <w:ind w:firstLine="480" w:firstLineChars="200"/>
        <w:jc w:val="left"/>
        <w:textAlignment w:val="baseline"/>
        <w:rPr>
          <w:rFonts w:ascii="仿宋_GB2312" w:hAnsi="仿宋_GB2312" w:eastAsia="仿宋_GB2312" w:cs="仿宋_GB2312"/>
          <w:b w:val="0"/>
          <w:i w:val="0"/>
          <w:caps w:val="0"/>
          <w:spacing w:val="0"/>
          <w:w w:val="100"/>
          <w:sz w:val="24"/>
        </w:rPr>
      </w:pPr>
      <w:r>
        <w:rPr>
          <w:rFonts w:hint="eastAsia" w:ascii="仿宋_GB2312" w:hAnsi="仿宋_GB2312" w:eastAsia="仿宋_GB2312" w:cs="仿宋_GB2312"/>
          <w:b w:val="0"/>
          <w:i w:val="0"/>
          <w:caps w:val="0"/>
          <w:spacing w:val="0"/>
          <w:w w:val="100"/>
          <w:sz w:val="24"/>
        </w:rPr>
        <w:t>7、良好的商业信誉和健全的财务会计制度证明材料</w:t>
      </w:r>
    </w:p>
    <w:p w14:paraId="321DE93A">
      <w:pPr>
        <w:pStyle w:val="20"/>
        <w:snapToGrid/>
        <w:spacing w:before="0" w:beforeAutospacing="0" w:after="0" w:afterAutospacing="0" w:line="288" w:lineRule="auto"/>
        <w:ind w:firstLine="480" w:firstLineChars="200"/>
        <w:jc w:val="left"/>
        <w:textAlignment w:val="baseline"/>
        <w:rPr>
          <w:rFonts w:hint="eastAsia" w:ascii="仿宋_GB2312" w:hAnsi="仿宋_GB2312" w:eastAsia="仿宋_GB2312" w:cs="仿宋_GB2312"/>
          <w:b w:val="0"/>
          <w:i w:val="0"/>
          <w:caps w:val="0"/>
          <w:spacing w:val="0"/>
          <w:w w:val="100"/>
          <w:sz w:val="24"/>
        </w:rPr>
      </w:pPr>
      <w:r>
        <w:rPr>
          <w:rFonts w:hint="eastAsia" w:ascii="仿宋_GB2312" w:hAnsi="仿宋_GB2312" w:eastAsia="仿宋_GB2312" w:cs="仿宋_GB2312"/>
          <w:b w:val="0"/>
          <w:i w:val="0"/>
          <w:caps w:val="0"/>
          <w:spacing w:val="0"/>
          <w:w w:val="100"/>
          <w:sz w:val="24"/>
        </w:rPr>
        <w:t>8、依法缴纳税收的证明</w:t>
      </w:r>
    </w:p>
    <w:p w14:paraId="4F8350E0">
      <w:pPr>
        <w:pStyle w:val="20"/>
        <w:snapToGrid/>
        <w:spacing w:before="0" w:beforeAutospacing="0" w:after="0" w:afterAutospacing="0" w:line="288" w:lineRule="auto"/>
        <w:ind w:firstLine="480" w:firstLineChars="200"/>
        <w:jc w:val="left"/>
        <w:textAlignment w:val="baseline"/>
        <w:rPr>
          <w:rFonts w:hint="eastAsia" w:eastAsia="仿宋_GB2312"/>
          <w:lang w:val="en-US" w:eastAsia="zh-CN"/>
        </w:rPr>
      </w:pPr>
      <w:r>
        <w:rPr>
          <w:rFonts w:hint="eastAsia" w:ascii="仿宋_GB2312" w:hAnsi="仿宋_GB2312" w:eastAsia="仿宋_GB2312" w:cs="仿宋_GB2312"/>
          <w:b w:val="0"/>
          <w:i w:val="0"/>
          <w:caps w:val="0"/>
          <w:spacing w:val="0"/>
          <w:w w:val="100"/>
          <w:sz w:val="24"/>
          <w:lang w:val="en-US" w:eastAsia="zh-CN"/>
        </w:rPr>
        <w:t>9、</w:t>
      </w:r>
      <w:r>
        <w:rPr>
          <w:rFonts w:hint="eastAsia" w:ascii="仿宋_GB2312" w:hAnsi="仿宋_GB2312" w:eastAsia="仿宋_GB2312" w:cs="仿宋_GB2312"/>
          <w:b w:val="0"/>
          <w:i w:val="0"/>
          <w:caps w:val="0"/>
          <w:spacing w:val="0"/>
          <w:w w:val="100"/>
          <w:sz w:val="24"/>
        </w:rPr>
        <w:t>参加政府采购活动前3年内在经营活动中没有重大违法记录的</w:t>
      </w:r>
      <w:r>
        <w:rPr>
          <w:rFonts w:hint="eastAsia" w:ascii="仿宋_GB2312" w:hAnsi="仿宋_GB2312" w:eastAsia="仿宋_GB2312" w:cs="仿宋_GB2312"/>
          <w:b w:val="0"/>
          <w:i w:val="0"/>
          <w:caps w:val="0"/>
          <w:spacing w:val="0"/>
          <w:w w:val="100"/>
          <w:sz w:val="24"/>
          <w:lang w:val="en-US" w:eastAsia="zh-CN"/>
        </w:rPr>
        <w:t>承诺书</w:t>
      </w:r>
      <w:r>
        <w:rPr>
          <w:rFonts w:hint="eastAsia" w:ascii="仿宋_GB2312" w:hAnsi="仿宋_GB2312" w:eastAsia="仿宋_GB2312" w:cs="仿宋_GB2312"/>
          <w:b w:val="0"/>
          <w:i w:val="0"/>
          <w:caps w:val="0"/>
          <w:spacing w:val="0"/>
          <w:w w:val="100"/>
          <w:sz w:val="24"/>
        </w:rPr>
        <w:t>及反商业受贿承诺</w:t>
      </w:r>
      <w:r>
        <w:rPr>
          <w:rFonts w:hint="eastAsia" w:ascii="仿宋_GB2312" w:hAnsi="仿宋_GB2312" w:eastAsia="仿宋_GB2312" w:cs="仿宋_GB2312"/>
          <w:b w:val="0"/>
          <w:i w:val="0"/>
          <w:caps w:val="0"/>
          <w:spacing w:val="0"/>
          <w:w w:val="100"/>
          <w:sz w:val="24"/>
          <w:lang w:val="en-US" w:eastAsia="zh-CN"/>
        </w:rPr>
        <w:t>书</w:t>
      </w:r>
    </w:p>
    <w:p w14:paraId="7693CB7D">
      <w:pPr>
        <w:pStyle w:val="20"/>
        <w:snapToGrid/>
        <w:spacing w:before="0" w:beforeAutospacing="0" w:after="0" w:afterAutospacing="0" w:line="288" w:lineRule="auto"/>
        <w:ind w:firstLine="480" w:firstLineChars="200"/>
        <w:jc w:val="left"/>
        <w:textAlignment w:val="baseline"/>
        <w:rPr>
          <w:rFonts w:hint="default" w:ascii="仿宋_GB2312" w:hAnsi="仿宋_GB2312" w:eastAsia="仿宋_GB2312" w:cs="仿宋_GB2312"/>
          <w:b w:val="0"/>
          <w:i w:val="0"/>
          <w:caps w:val="0"/>
          <w:spacing w:val="0"/>
          <w:w w:val="100"/>
          <w:sz w:val="24"/>
          <w:lang w:val="en-US" w:eastAsia="zh-CN"/>
        </w:rPr>
      </w:pPr>
      <w:r>
        <w:rPr>
          <w:rFonts w:hint="eastAsia" w:ascii="仿宋_GB2312" w:hAnsi="仿宋_GB2312" w:eastAsia="仿宋_GB2312" w:cs="仿宋_GB2312"/>
          <w:b w:val="0"/>
          <w:i w:val="0"/>
          <w:caps w:val="0"/>
          <w:spacing w:val="0"/>
          <w:w w:val="100"/>
          <w:sz w:val="24"/>
          <w:lang w:val="en-US" w:eastAsia="zh-CN"/>
        </w:rPr>
        <w:t>10、履行合同所必需的设备和专业技术能力的证明材料（提供承诺函）</w:t>
      </w:r>
    </w:p>
    <w:p w14:paraId="188CD2B3">
      <w:pPr>
        <w:pStyle w:val="20"/>
        <w:snapToGrid/>
        <w:spacing w:before="0" w:beforeAutospacing="0" w:after="0" w:afterAutospacing="0" w:line="288" w:lineRule="auto"/>
        <w:ind w:firstLine="480" w:firstLineChars="200"/>
        <w:jc w:val="left"/>
        <w:textAlignment w:val="baseline"/>
        <w:rPr>
          <w:rFonts w:ascii="仿宋_GB2312" w:hAnsi="仿宋_GB2312" w:eastAsia="仿宋_GB2312" w:cs="仿宋_GB2312"/>
          <w:sz w:val="24"/>
        </w:rPr>
      </w:pPr>
      <w:r>
        <w:rPr>
          <w:rFonts w:hint="eastAsia" w:ascii="仿宋_GB2312" w:hAnsi="仿宋_GB2312" w:eastAsia="仿宋_GB2312" w:cs="仿宋_GB2312"/>
          <w:b w:val="0"/>
          <w:i w:val="0"/>
          <w:caps w:val="0"/>
          <w:spacing w:val="0"/>
          <w:w w:val="100"/>
          <w:sz w:val="24"/>
          <w:lang w:val="en-US" w:eastAsia="zh-CN"/>
        </w:rPr>
        <w:t>11</w:t>
      </w:r>
      <w:r>
        <w:rPr>
          <w:rFonts w:hint="eastAsia" w:ascii="仿宋_GB2312" w:hAnsi="仿宋_GB2312" w:eastAsia="仿宋_GB2312" w:cs="仿宋_GB2312"/>
          <w:b w:val="0"/>
          <w:i w:val="0"/>
          <w:caps w:val="0"/>
          <w:spacing w:val="0"/>
          <w:w w:val="100"/>
          <w:sz w:val="24"/>
        </w:rPr>
        <w:t>、投标人须知资料表要求的其他资格证明文件</w:t>
      </w:r>
    </w:p>
    <w:p w14:paraId="5FAC37B9">
      <w:pPr>
        <w:pStyle w:val="27"/>
        <w:rPr>
          <w:rFonts w:ascii="仿宋_GB2312" w:hAnsi="仿宋_GB2312" w:eastAsia="仿宋_GB2312" w:cs="仿宋_GB2312"/>
          <w:sz w:val="24"/>
        </w:rPr>
      </w:pPr>
    </w:p>
    <w:p w14:paraId="5E6394C5">
      <w:pPr>
        <w:pStyle w:val="27"/>
        <w:rPr>
          <w:rFonts w:ascii="仿宋_GB2312" w:hAnsi="仿宋_GB2312" w:eastAsia="仿宋_GB2312" w:cs="仿宋_GB2312"/>
          <w:sz w:val="24"/>
        </w:rPr>
      </w:pPr>
    </w:p>
    <w:p w14:paraId="0851802A">
      <w:pPr>
        <w:pStyle w:val="27"/>
        <w:rPr>
          <w:rFonts w:ascii="仿宋_GB2312" w:hAnsi="仿宋_GB2312" w:eastAsia="仿宋_GB2312" w:cs="仿宋_GB2312"/>
          <w:sz w:val="24"/>
        </w:rPr>
      </w:pPr>
    </w:p>
    <w:p w14:paraId="6391DDC3">
      <w:pPr>
        <w:pStyle w:val="27"/>
        <w:rPr>
          <w:rFonts w:ascii="仿宋_GB2312" w:hAnsi="仿宋_GB2312" w:eastAsia="仿宋_GB2312" w:cs="仿宋_GB2312"/>
          <w:sz w:val="24"/>
        </w:rPr>
      </w:pPr>
    </w:p>
    <w:p w14:paraId="75D6F311">
      <w:pPr>
        <w:pStyle w:val="27"/>
        <w:rPr>
          <w:rFonts w:ascii="仿宋_GB2312" w:hAnsi="仿宋_GB2312" w:eastAsia="仿宋_GB2312" w:cs="仿宋_GB2312"/>
          <w:sz w:val="24"/>
        </w:rPr>
      </w:pPr>
    </w:p>
    <w:p w14:paraId="09894485">
      <w:pPr>
        <w:pStyle w:val="27"/>
        <w:rPr>
          <w:rFonts w:ascii="仿宋_GB2312" w:hAnsi="仿宋_GB2312" w:eastAsia="仿宋_GB2312" w:cs="仿宋_GB2312"/>
          <w:sz w:val="24"/>
        </w:rPr>
      </w:pPr>
    </w:p>
    <w:p w14:paraId="3F678C56">
      <w:pPr>
        <w:pStyle w:val="14"/>
        <w:rPr>
          <w:rFonts w:ascii="仿宋_GB2312" w:hAnsi="仿宋_GB2312" w:eastAsia="仿宋_GB2312" w:cs="仿宋_GB2312"/>
          <w:sz w:val="24"/>
        </w:rPr>
      </w:pPr>
    </w:p>
    <w:p w14:paraId="20E52BDD">
      <w:pPr>
        <w:pStyle w:val="36"/>
        <w:rPr>
          <w:rFonts w:ascii="仿宋_GB2312" w:hAnsi="仿宋_GB2312" w:eastAsia="仿宋_GB2312" w:cs="仿宋_GB2312"/>
          <w:sz w:val="24"/>
        </w:rPr>
      </w:pPr>
    </w:p>
    <w:p w14:paraId="49DEBC3D"/>
    <w:p w14:paraId="1BE043F0">
      <w:pPr>
        <w:pStyle w:val="27"/>
        <w:rPr>
          <w:rFonts w:ascii="仿宋_GB2312" w:hAnsi="仿宋_GB2312" w:eastAsia="仿宋_GB2312" w:cs="仿宋_GB2312"/>
          <w:sz w:val="24"/>
        </w:rPr>
      </w:pPr>
    </w:p>
    <w:p w14:paraId="709C0BA9">
      <w:pPr>
        <w:pStyle w:val="27"/>
        <w:rPr>
          <w:rFonts w:ascii="仿宋_GB2312" w:hAnsi="仿宋_GB2312" w:eastAsia="仿宋_GB2312" w:cs="仿宋_GB2312"/>
          <w:sz w:val="24"/>
        </w:rPr>
      </w:pPr>
    </w:p>
    <w:p w14:paraId="7C17C342">
      <w:pPr>
        <w:pStyle w:val="27"/>
        <w:rPr>
          <w:rFonts w:ascii="仿宋_GB2312" w:hAnsi="仿宋_GB2312" w:eastAsia="仿宋_GB2312" w:cs="仿宋_GB2312"/>
          <w:sz w:val="24"/>
        </w:rPr>
      </w:pPr>
    </w:p>
    <w:p w14:paraId="35D59534">
      <w:pPr>
        <w:pStyle w:val="27"/>
        <w:rPr>
          <w:rFonts w:ascii="仿宋_GB2312" w:hAnsi="仿宋_GB2312" w:eastAsia="仿宋_GB2312" w:cs="仿宋_GB2312"/>
          <w:sz w:val="24"/>
        </w:rPr>
      </w:pPr>
    </w:p>
    <w:p w14:paraId="12C709F6">
      <w:pPr>
        <w:pStyle w:val="27"/>
        <w:rPr>
          <w:rFonts w:ascii="仿宋_GB2312" w:hAnsi="仿宋_GB2312" w:eastAsia="仿宋_GB2312" w:cs="仿宋_GB2312"/>
          <w:sz w:val="24"/>
        </w:rPr>
      </w:pPr>
    </w:p>
    <w:p w14:paraId="40D4B5B4">
      <w:pPr>
        <w:pStyle w:val="27"/>
        <w:rPr>
          <w:rFonts w:ascii="仿宋_GB2312" w:hAnsi="仿宋_GB2312" w:eastAsia="仿宋_GB2312" w:cs="仿宋_GB2312"/>
          <w:sz w:val="24"/>
        </w:rPr>
      </w:pPr>
    </w:p>
    <w:p w14:paraId="3F25E4EB">
      <w:pPr>
        <w:pStyle w:val="27"/>
        <w:rPr>
          <w:rFonts w:ascii="仿宋_GB2312" w:hAnsi="仿宋_GB2312" w:eastAsia="仿宋_GB2312" w:cs="仿宋_GB2312"/>
          <w:sz w:val="24"/>
        </w:rPr>
      </w:pPr>
    </w:p>
    <w:p w14:paraId="7D4E7400">
      <w:pPr>
        <w:pStyle w:val="27"/>
        <w:rPr>
          <w:rFonts w:ascii="仿宋_GB2312" w:hAnsi="仿宋_GB2312" w:eastAsia="仿宋_GB2312" w:cs="仿宋_GB2312"/>
          <w:sz w:val="24"/>
        </w:rPr>
      </w:pPr>
    </w:p>
    <w:p w14:paraId="26872EA2">
      <w:pPr>
        <w:pStyle w:val="27"/>
        <w:rPr>
          <w:rFonts w:ascii="仿宋_GB2312" w:hAnsi="仿宋_GB2312" w:eastAsia="仿宋_GB2312" w:cs="仿宋_GB2312"/>
          <w:sz w:val="24"/>
        </w:rPr>
      </w:pPr>
    </w:p>
    <w:p w14:paraId="04686CCD">
      <w:pPr>
        <w:pStyle w:val="27"/>
        <w:rPr>
          <w:rFonts w:ascii="仿宋_GB2312" w:hAnsi="仿宋_GB2312" w:eastAsia="仿宋_GB2312" w:cs="仿宋_GB2312"/>
          <w:sz w:val="24"/>
        </w:rPr>
      </w:pPr>
    </w:p>
    <w:p w14:paraId="2A744FFE">
      <w:pPr>
        <w:pStyle w:val="27"/>
        <w:rPr>
          <w:rFonts w:ascii="仿宋_GB2312" w:hAnsi="仿宋_GB2312" w:eastAsia="仿宋_GB2312" w:cs="仿宋_GB2312"/>
          <w:sz w:val="24"/>
        </w:rPr>
      </w:pPr>
    </w:p>
    <w:p w14:paraId="157FACEB">
      <w:pPr>
        <w:pStyle w:val="14"/>
        <w:rPr>
          <w:rFonts w:ascii="仿宋_GB2312" w:hAnsi="仿宋_GB2312" w:eastAsia="仿宋_GB2312" w:cs="仿宋_GB2312"/>
          <w:sz w:val="24"/>
        </w:rPr>
      </w:pPr>
    </w:p>
    <w:p w14:paraId="5ACB0BAC">
      <w:pPr>
        <w:pStyle w:val="36"/>
      </w:pPr>
    </w:p>
    <w:p w14:paraId="5F585BC2">
      <w:pPr>
        <w:pStyle w:val="27"/>
        <w:rPr>
          <w:rFonts w:ascii="仿宋_GB2312" w:hAnsi="仿宋_GB2312" w:eastAsia="仿宋_GB2312" w:cs="仿宋_GB2312"/>
          <w:sz w:val="24"/>
        </w:rPr>
      </w:pPr>
    </w:p>
    <w:p w14:paraId="0F01F109">
      <w:pPr>
        <w:pStyle w:val="27"/>
        <w:rPr>
          <w:rFonts w:ascii="仿宋_GB2312" w:hAnsi="仿宋_GB2312" w:eastAsia="仿宋_GB2312" w:cs="仿宋_GB2312"/>
          <w:sz w:val="24"/>
        </w:rPr>
      </w:pPr>
    </w:p>
    <w:p w14:paraId="38538425">
      <w:pPr>
        <w:pStyle w:val="27"/>
        <w:rPr>
          <w:rFonts w:ascii="仿宋_GB2312" w:hAnsi="仿宋_GB2312" w:eastAsia="仿宋_GB2312" w:cs="仿宋_GB2312"/>
          <w:sz w:val="24"/>
        </w:rPr>
      </w:pPr>
    </w:p>
    <w:p w14:paraId="2141B2C8">
      <w:pPr>
        <w:pStyle w:val="4"/>
        <w:keepNext/>
        <w:keepLines/>
        <w:pageBreakBefore w:val="0"/>
        <w:widowControl/>
        <w:kinsoku/>
        <w:wordWrap/>
        <w:overflowPunct/>
        <w:topLinePunct w:val="0"/>
        <w:autoSpaceDE w:val="0"/>
        <w:autoSpaceDN w:val="0"/>
        <w:bidi w:val="0"/>
        <w:adjustRightInd w:val="0"/>
        <w:snapToGrid/>
        <w:spacing w:before="0" w:beforeAutospacing="0" w:after="0" w:afterAutospacing="0" w:line="288" w:lineRule="auto"/>
        <w:ind w:left="1078" w:leftChars="257" w:hanging="539"/>
        <w:jc w:val="center"/>
        <w:textAlignment w:val="baseline"/>
        <w:outlineLvl w:val="2"/>
        <w:rPr>
          <w:rFonts w:ascii="仿宋_GB2312" w:hAnsi="仿宋_GB2312" w:eastAsia="仿宋_GB2312" w:cs="仿宋_GB2312"/>
          <w:b/>
          <w:i w:val="0"/>
          <w:caps w:val="0"/>
          <w:spacing w:val="0"/>
          <w:w w:val="100"/>
          <w:sz w:val="24"/>
          <w:u w:val="none"/>
        </w:rPr>
      </w:pPr>
      <w:bookmarkStart w:id="1027" w:name="_Toc515647804"/>
      <w:bookmarkStart w:id="1028" w:name="_Toc15915"/>
      <w:bookmarkStart w:id="1029" w:name="_Toc2495"/>
      <w:bookmarkStart w:id="1030" w:name="_Toc14899"/>
      <w:bookmarkStart w:id="1031" w:name="_Toc31998"/>
      <w:bookmarkStart w:id="1032" w:name="_Toc24557"/>
      <w:bookmarkStart w:id="1033" w:name="_Toc1690"/>
      <w:bookmarkStart w:id="1034" w:name="_Toc29905"/>
      <w:bookmarkStart w:id="1035" w:name="_Toc23476"/>
      <w:bookmarkStart w:id="1036" w:name="_Toc14603"/>
      <w:bookmarkStart w:id="1037" w:name="_Toc14309"/>
      <w:bookmarkStart w:id="1038" w:name="_Toc30524"/>
      <w:bookmarkStart w:id="1039" w:name="_Toc2776"/>
      <w:bookmarkStart w:id="1040" w:name="_Toc4924"/>
      <w:bookmarkStart w:id="1041" w:name="_Toc32488"/>
      <w:bookmarkStart w:id="1042" w:name="_Toc9428"/>
      <w:bookmarkStart w:id="1043" w:name="_Toc20950"/>
      <w:bookmarkStart w:id="1044" w:name="_Toc9159"/>
      <w:bookmarkStart w:id="1045" w:name="_Toc16568"/>
      <w:bookmarkStart w:id="1046" w:name="_Toc18565"/>
      <w:bookmarkStart w:id="1047" w:name="_Toc12481"/>
      <w:bookmarkStart w:id="1048" w:name="_Toc19180"/>
      <w:bookmarkStart w:id="1049" w:name="_Toc4959"/>
      <w:r>
        <w:rPr>
          <w:rFonts w:hint="eastAsia" w:ascii="仿宋_GB2312" w:hAnsi="仿宋_GB2312" w:eastAsia="仿宋_GB2312" w:cs="仿宋_GB2312"/>
          <w:b/>
          <w:i w:val="0"/>
          <w:caps w:val="0"/>
          <w:spacing w:val="0"/>
          <w:w w:val="100"/>
          <w:sz w:val="24"/>
          <w:u w:val="none"/>
        </w:rPr>
        <w:t>1  开标一览表</w:t>
      </w:r>
      <w:bookmarkEnd w:id="1027"/>
      <w:bookmarkEnd w:id="1028"/>
      <w:bookmarkEnd w:id="1029"/>
      <w:bookmarkEnd w:id="1030"/>
      <w:bookmarkEnd w:id="1031"/>
      <w:bookmarkEnd w:id="1032"/>
      <w:bookmarkEnd w:id="1033"/>
      <w:bookmarkEnd w:id="1034"/>
      <w:bookmarkEnd w:id="1035"/>
      <w:bookmarkEnd w:id="1036"/>
      <w:bookmarkEnd w:id="1037"/>
      <w:bookmarkEnd w:id="1038"/>
      <w:bookmarkEnd w:id="1039"/>
      <w:bookmarkEnd w:id="1040"/>
      <w:bookmarkEnd w:id="1041"/>
      <w:bookmarkEnd w:id="1042"/>
      <w:bookmarkEnd w:id="1043"/>
      <w:bookmarkEnd w:id="1044"/>
      <w:bookmarkEnd w:id="1045"/>
      <w:bookmarkEnd w:id="1046"/>
      <w:bookmarkEnd w:id="1047"/>
      <w:bookmarkEnd w:id="1048"/>
      <w:bookmarkEnd w:id="1049"/>
    </w:p>
    <w:p w14:paraId="6CC52126">
      <w:pPr>
        <w:pStyle w:val="20"/>
        <w:tabs>
          <w:tab w:val="left" w:pos="5580"/>
        </w:tabs>
        <w:snapToGrid/>
        <w:spacing w:before="0" w:beforeAutospacing="0" w:after="0" w:afterAutospacing="0" w:line="288" w:lineRule="auto"/>
        <w:ind w:left="268" w:leftChars="128"/>
        <w:jc w:val="both"/>
        <w:textAlignment w:val="baseline"/>
        <w:rPr>
          <w:rFonts w:ascii="仿宋_GB2312" w:hAnsi="仿宋_GB2312" w:eastAsia="仿宋_GB2312" w:cs="仿宋_GB2312"/>
          <w:b w:val="0"/>
          <w:i w:val="0"/>
          <w:caps w:val="0"/>
          <w:spacing w:val="0"/>
          <w:w w:val="100"/>
          <w:sz w:val="24"/>
        </w:rPr>
      </w:pPr>
    </w:p>
    <w:p w14:paraId="1233C663">
      <w:pPr>
        <w:pStyle w:val="20"/>
        <w:tabs>
          <w:tab w:val="left" w:pos="5580"/>
        </w:tabs>
        <w:snapToGrid/>
        <w:spacing w:before="0" w:beforeAutospacing="0" w:after="0" w:afterAutospacing="0" w:line="288" w:lineRule="auto"/>
        <w:ind w:left="268" w:leftChars="128"/>
        <w:jc w:val="both"/>
        <w:textAlignment w:val="baseline"/>
        <w:rPr>
          <w:rFonts w:ascii="仿宋_GB2312" w:hAnsi="仿宋_GB2312" w:eastAsia="仿宋_GB2312" w:cs="仿宋_GB2312"/>
          <w:b w:val="0"/>
          <w:i w:val="0"/>
          <w:caps w:val="0"/>
          <w:spacing w:val="0"/>
          <w:w w:val="100"/>
          <w:sz w:val="24"/>
          <w:szCs w:val="24"/>
        </w:rPr>
      </w:pPr>
    </w:p>
    <w:p w14:paraId="2178A4E6">
      <w:pPr>
        <w:pStyle w:val="27"/>
        <w:snapToGrid w:val="0"/>
        <w:spacing w:before="0" w:beforeAutospacing="0" w:after="0" w:afterAutospacing="0" w:line="288" w:lineRule="auto"/>
        <w:jc w:val="left"/>
        <w:textAlignment w:val="baseline"/>
        <w:rPr>
          <w:rFonts w:ascii="Times New Roman" w:hAnsi="Times New Roman" w:eastAsia="宋体"/>
          <w:b w:val="0"/>
          <w:i w:val="0"/>
          <w:caps w:val="0"/>
          <w:spacing w:val="0"/>
          <w:w w:val="100"/>
          <w:sz w:val="24"/>
        </w:rPr>
      </w:pPr>
      <w:bookmarkStart w:id="1050" w:name="_Hlt520356241"/>
      <w:bookmarkEnd w:id="1050"/>
      <w:r>
        <w:rPr>
          <w:rFonts w:hint="eastAsia"/>
          <w:b w:val="0"/>
          <w:i w:val="0"/>
          <w:caps w:val="0"/>
          <w:spacing w:val="0"/>
          <w:w w:val="100"/>
          <w:sz w:val="24"/>
        </w:rPr>
        <w:t>项目名称：</w:t>
      </w:r>
    </w:p>
    <w:p w14:paraId="0A9024F9">
      <w:pPr>
        <w:pStyle w:val="27"/>
        <w:snapToGrid w:val="0"/>
        <w:spacing w:before="0" w:beforeAutospacing="0" w:after="0" w:afterAutospacing="0" w:line="288" w:lineRule="auto"/>
        <w:jc w:val="left"/>
        <w:textAlignment w:val="baseline"/>
        <w:rPr>
          <w:rFonts w:hint="eastAsia"/>
          <w:b w:val="0"/>
          <w:i w:val="0"/>
          <w:caps w:val="0"/>
          <w:spacing w:val="0"/>
          <w:w w:val="100"/>
          <w:sz w:val="24"/>
        </w:rPr>
      </w:pPr>
      <w:r>
        <w:rPr>
          <w:rFonts w:hint="eastAsia"/>
          <w:b w:val="0"/>
          <w:i w:val="0"/>
          <w:caps w:val="0"/>
          <w:spacing w:val="0"/>
          <w:w w:val="100"/>
          <w:sz w:val="24"/>
        </w:rPr>
        <w:t>项目编号：</w:t>
      </w:r>
    </w:p>
    <w:p w14:paraId="117F022F">
      <w:pPr>
        <w:pStyle w:val="27"/>
        <w:snapToGrid w:val="0"/>
        <w:spacing w:before="0" w:beforeAutospacing="0" w:after="0" w:afterAutospacing="0" w:line="288" w:lineRule="auto"/>
        <w:jc w:val="left"/>
        <w:textAlignment w:val="baseline"/>
        <w:rPr>
          <w:rFonts w:hint="eastAsia" w:ascii="Times New Roman" w:hAnsi="Times New Roman" w:eastAsia="宋体" w:cs="Times New Roman"/>
          <w:b w:val="0"/>
          <w:i w:val="0"/>
          <w:caps w:val="0"/>
          <w:spacing w:val="0"/>
          <w:w w:val="100"/>
          <w:sz w:val="24"/>
        </w:rPr>
      </w:pPr>
      <w:r>
        <w:rPr>
          <w:rFonts w:hint="eastAsia" w:ascii="Times New Roman" w:hAnsi="Times New Roman" w:eastAsia="宋体" w:cs="Times New Roman"/>
          <w:b w:val="0"/>
          <w:i w:val="0"/>
          <w:caps w:val="0"/>
          <w:spacing w:val="0"/>
          <w:w w:val="100"/>
          <w:sz w:val="24"/>
        </w:rPr>
        <w:t xml:space="preserve">标    段: </w:t>
      </w:r>
    </w:p>
    <w:p w14:paraId="1315998D">
      <w:pPr>
        <w:pStyle w:val="27"/>
        <w:snapToGrid w:val="0"/>
        <w:spacing w:before="0" w:beforeAutospacing="0" w:after="0" w:afterAutospacing="0" w:line="240" w:lineRule="auto"/>
        <w:jc w:val="center"/>
        <w:textAlignment w:val="baseline"/>
        <w:rPr>
          <w:rFonts w:ascii="宋体"/>
          <w:b w:val="0"/>
          <w:i w:val="0"/>
          <w:caps w:val="0"/>
          <w:spacing w:val="0"/>
          <w:w w:val="100"/>
          <w:sz w:val="24"/>
        </w:rPr>
      </w:pPr>
      <w:r>
        <w:rPr>
          <w:rFonts w:hint="eastAsia"/>
          <w:b w:val="0"/>
          <w:i w:val="0"/>
          <w:caps w:val="0"/>
          <w:spacing w:val="0"/>
          <w:w w:val="100"/>
          <w:sz w:val="18"/>
          <w:lang w:val="en-US" w:eastAsia="zh-CN"/>
        </w:rPr>
        <w:t xml:space="preserve">                                                                    </w:t>
      </w:r>
      <w:r>
        <w:rPr>
          <w:rFonts w:hint="eastAsia"/>
          <w:b w:val="0"/>
          <w:i w:val="0"/>
          <w:caps w:val="0"/>
          <w:spacing w:val="0"/>
          <w:w w:val="100"/>
          <w:sz w:val="18"/>
        </w:rPr>
        <w:t>单位：人民币元</w:t>
      </w:r>
    </w:p>
    <w:p w14:paraId="1E2949B6">
      <w:pPr>
        <w:pStyle w:val="27"/>
        <w:snapToGrid w:val="0"/>
        <w:spacing w:before="0" w:beforeAutospacing="0" w:after="0" w:afterAutospacing="0" w:line="240" w:lineRule="auto"/>
        <w:jc w:val="left"/>
        <w:textAlignment w:val="baseline"/>
        <w:rPr>
          <w:rFonts w:ascii="Times New Roman" w:hAnsi="Times New Roman" w:eastAsia="宋体"/>
          <w:b w:val="0"/>
          <w:i w:val="0"/>
          <w:caps w:val="0"/>
          <w:spacing w:val="0"/>
          <w:w w:val="100"/>
          <w:sz w:val="18"/>
        </w:rPr>
      </w:pPr>
    </w:p>
    <w:tbl>
      <w:tblPr>
        <w:tblStyle w:val="38"/>
        <w:tblpPr w:leftFromText="180" w:rightFromText="180" w:vertAnchor="text" w:horzAnchor="page" w:tblpX="1170" w:tblpY="82"/>
        <w:tblOverlap w:val="never"/>
        <w:tblW w:w="9278" w:type="dxa"/>
        <w:tblInd w:w="0" w:type="dxa"/>
        <w:tblLayout w:type="fixed"/>
        <w:tblCellMar>
          <w:top w:w="15" w:type="dxa"/>
          <w:left w:w="15" w:type="dxa"/>
          <w:bottom w:w="15" w:type="dxa"/>
          <w:right w:w="15" w:type="dxa"/>
        </w:tblCellMar>
      </w:tblPr>
      <w:tblGrid>
        <w:gridCol w:w="2094"/>
        <w:gridCol w:w="2291"/>
        <w:gridCol w:w="1413"/>
        <w:gridCol w:w="823"/>
        <w:gridCol w:w="1512"/>
        <w:gridCol w:w="1145"/>
      </w:tblGrid>
      <w:tr w14:paraId="31BC74C3">
        <w:tblPrEx>
          <w:tblCellMar>
            <w:top w:w="15" w:type="dxa"/>
            <w:left w:w="15" w:type="dxa"/>
            <w:bottom w:w="15" w:type="dxa"/>
            <w:right w:w="15" w:type="dxa"/>
          </w:tblCellMar>
        </w:tblPrEx>
        <w:trPr>
          <w:trHeight w:val="1364" w:hRule="atLeast"/>
        </w:trPr>
        <w:tc>
          <w:tcPr>
            <w:tcW w:w="2094" w:type="dxa"/>
            <w:tcBorders>
              <w:top w:val="single" w:color="auto" w:sz="4" w:space="0"/>
              <w:left w:val="single" w:color="auto" w:sz="4" w:space="0"/>
              <w:bottom w:val="single" w:color="auto" w:sz="4" w:space="0"/>
              <w:right w:val="single" w:color="auto" w:sz="4" w:space="0"/>
            </w:tcBorders>
            <w:noWrap w:val="0"/>
            <w:vAlign w:val="center"/>
          </w:tcPr>
          <w:p w14:paraId="6F222EFB">
            <w:pPr>
              <w:keepNext w:val="0"/>
              <w:keepLines w:val="0"/>
              <w:suppressLineNumbers w:val="0"/>
              <w:tabs>
                <w:tab w:val="left" w:pos="5580"/>
              </w:tabs>
              <w:spacing w:before="0" w:beforeAutospacing="0" w:after="0" w:afterAutospacing="0" w:line="240" w:lineRule="atLeast"/>
              <w:ind w:left="0" w:right="-199" w:rightChars="0" w:firstLine="480" w:firstLineChars="200"/>
              <w:jc w:val="both"/>
              <w:rPr>
                <w:rFonts w:hint="default" w:ascii="宋体" w:hAnsi="宋体" w:eastAsia="宋体" w:cs="宋体"/>
                <w:b w:val="0"/>
                <w:i w:val="0"/>
                <w:caps w:val="0"/>
                <w:spacing w:val="0"/>
                <w:w w:val="100"/>
                <w:sz w:val="24"/>
                <w:highlight w:val="yellow"/>
                <w:lang w:val="en-US" w:eastAsia="zh-CN"/>
              </w:rPr>
            </w:pPr>
            <w:r>
              <w:rPr>
                <w:rFonts w:hint="eastAsia" w:ascii="仿宋_GB2312" w:hAnsi="宋体" w:eastAsia="仿宋_GB2312" w:cs="Times New Roman"/>
                <w:sz w:val="24"/>
                <w:lang w:eastAsia="zh-CN"/>
              </w:rPr>
              <w:t>项目</w:t>
            </w:r>
            <w:r>
              <w:rPr>
                <w:rFonts w:hint="eastAsia" w:ascii="仿宋_GB2312" w:hAnsi="宋体" w:eastAsia="仿宋_GB2312" w:cs="Times New Roman"/>
                <w:sz w:val="24"/>
              </w:rPr>
              <w:t>名称</w:t>
            </w:r>
          </w:p>
        </w:tc>
        <w:tc>
          <w:tcPr>
            <w:tcW w:w="2291" w:type="dxa"/>
            <w:tcBorders>
              <w:top w:val="single" w:color="auto" w:sz="4" w:space="0"/>
              <w:left w:val="single" w:color="auto" w:sz="4" w:space="0"/>
              <w:bottom w:val="single" w:color="auto" w:sz="4" w:space="0"/>
              <w:right w:val="single" w:color="auto" w:sz="4" w:space="0"/>
            </w:tcBorders>
            <w:noWrap w:val="0"/>
            <w:vAlign w:val="center"/>
          </w:tcPr>
          <w:p w14:paraId="0F092621">
            <w:pPr>
              <w:keepNext w:val="0"/>
              <w:keepLines w:val="0"/>
              <w:suppressLineNumbers w:val="0"/>
              <w:tabs>
                <w:tab w:val="left" w:pos="5580"/>
              </w:tabs>
              <w:spacing w:before="0" w:beforeAutospacing="0" w:after="0" w:afterAutospacing="0" w:line="240" w:lineRule="atLeast"/>
              <w:ind w:left="0" w:right="-199" w:rightChars="0" w:firstLine="240" w:firstLineChars="100"/>
              <w:jc w:val="both"/>
              <w:rPr>
                <w:rFonts w:hint="eastAsia" w:ascii="宋体" w:hAnsi="宋体" w:eastAsia="宋体" w:cs="宋体"/>
                <w:b w:val="0"/>
                <w:i w:val="0"/>
                <w:caps w:val="0"/>
                <w:spacing w:val="0"/>
                <w:w w:val="100"/>
                <w:kern w:val="0"/>
                <w:sz w:val="24"/>
                <w:highlight w:val="yellow"/>
                <w:lang w:eastAsia="zh-CN"/>
              </w:rPr>
            </w:pPr>
            <w:r>
              <w:rPr>
                <w:rFonts w:hint="eastAsia" w:ascii="仿宋_GB2312" w:hAnsi="宋体" w:eastAsia="仿宋_GB2312" w:cs="Times New Roman"/>
                <w:sz w:val="24"/>
              </w:rPr>
              <w:t>投标</w:t>
            </w:r>
            <w:r>
              <w:rPr>
                <w:rFonts w:hint="eastAsia" w:ascii="仿宋_GB2312" w:hAnsi="宋体" w:eastAsia="仿宋_GB2312" w:cs="Times New Roman"/>
                <w:sz w:val="24"/>
                <w:lang w:eastAsia="zh-CN"/>
              </w:rPr>
              <w:t>报</w:t>
            </w:r>
            <w:r>
              <w:rPr>
                <w:rFonts w:hint="eastAsia" w:ascii="仿宋_GB2312" w:hAnsi="宋体" w:eastAsia="仿宋_GB2312" w:cs="Times New Roman"/>
                <w:sz w:val="24"/>
              </w:rPr>
              <w:t>价</w:t>
            </w:r>
          </w:p>
        </w:tc>
        <w:tc>
          <w:tcPr>
            <w:tcW w:w="1413" w:type="dxa"/>
            <w:tcBorders>
              <w:top w:val="single" w:color="auto" w:sz="4" w:space="0"/>
              <w:left w:val="single" w:color="auto" w:sz="4" w:space="0"/>
              <w:bottom w:val="single" w:color="auto" w:sz="4" w:space="0"/>
              <w:right w:val="single" w:color="auto" w:sz="4" w:space="0"/>
            </w:tcBorders>
            <w:noWrap w:val="0"/>
            <w:vAlign w:val="center"/>
          </w:tcPr>
          <w:p w14:paraId="22003C6C">
            <w:pPr>
              <w:keepNext w:val="0"/>
              <w:keepLines w:val="0"/>
              <w:suppressLineNumbers w:val="0"/>
              <w:tabs>
                <w:tab w:val="left" w:pos="5580"/>
              </w:tabs>
              <w:spacing w:before="0" w:beforeAutospacing="0" w:after="0" w:afterAutospacing="0" w:line="240" w:lineRule="atLeast"/>
              <w:ind w:left="0" w:right="-199" w:rightChars="0"/>
              <w:jc w:val="both"/>
              <w:rPr>
                <w:rFonts w:hint="default" w:ascii="宋体" w:hAnsi="宋体" w:cs="宋体"/>
                <w:b w:val="0"/>
                <w:i w:val="0"/>
                <w:caps w:val="0"/>
                <w:spacing w:val="0"/>
                <w:w w:val="100"/>
                <w:sz w:val="24"/>
                <w:highlight w:val="yellow"/>
              </w:rPr>
            </w:pPr>
            <w:r>
              <w:rPr>
                <w:rFonts w:hint="eastAsia" w:ascii="仿宋_GB2312" w:hAnsi="宋体" w:eastAsia="仿宋_GB2312" w:cs="Times New Roman"/>
                <w:sz w:val="24"/>
              </w:rPr>
              <w:t>投标保证金</w:t>
            </w:r>
          </w:p>
        </w:tc>
        <w:tc>
          <w:tcPr>
            <w:tcW w:w="823" w:type="dxa"/>
            <w:tcBorders>
              <w:top w:val="single" w:color="auto" w:sz="4" w:space="0"/>
              <w:left w:val="single" w:color="auto" w:sz="4" w:space="0"/>
              <w:bottom w:val="single" w:color="auto" w:sz="4" w:space="0"/>
              <w:right w:val="single" w:color="auto" w:sz="4" w:space="0"/>
            </w:tcBorders>
            <w:noWrap w:val="0"/>
            <w:vAlign w:val="center"/>
          </w:tcPr>
          <w:p w14:paraId="7BFCC988">
            <w:pPr>
              <w:keepNext w:val="0"/>
              <w:keepLines w:val="0"/>
              <w:suppressLineNumbers w:val="0"/>
              <w:tabs>
                <w:tab w:val="left" w:pos="5580"/>
              </w:tabs>
              <w:spacing w:before="0" w:beforeAutospacing="0" w:after="0" w:afterAutospacing="0" w:line="240" w:lineRule="atLeast"/>
              <w:ind w:left="0" w:right="0"/>
              <w:jc w:val="center"/>
              <w:rPr>
                <w:rFonts w:hint="default" w:ascii="宋体" w:hAnsi="宋体" w:cs="宋体"/>
                <w:b w:val="0"/>
                <w:i w:val="0"/>
                <w:caps w:val="0"/>
                <w:spacing w:val="0"/>
                <w:w w:val="100"/>
                <w:kern w:val="0"/>
                <w:sz w:val="24"/>
                <w:highlight w:val="yellow"/>
              </w:rPr>
            </w:pPr>
            <w:r>
              <w:rPr>
                <w:rFonts w:hint="eastAsia" w:ascii="仿宋_GB2312" w:hAnsi="宋体" w:eastAsia="仿宋_GB2312" w:cs="Times New Roman"/>
                <w:sz w:val="24"/>
                <w:lang w:val="en-US" w:eastAsia="zh-CN"/>
              </w:rPr>
              <w:t>质保</w:t>
            </w:r>
            <w:r>
              <w:rPr>
                <w:rFonts w:hint="eastAsia" w:ascii="仿宋_GB2312" w:hAnsi="宋体" w:eastAsia="仿宋_GB2312" w:cs="Times New Roman"/>
                <w:sz w:val="24"/>
              </w:rPr>
              <w:t>期</w:t>
            </w:r>
          </w:p>
        </w:tc>
        <w:tc>
          <w:tcPr>
            <w:tcW w:w="1512" w:type="dxa"/>
            <w:tcBorders>
              <w:top w:val="single" w:color="auto" w:sz="4" w:space="0"/>
              <w:left w:val="single" w:color="auto" w:sz="4" w:space="0"/>
              <w:bottom w:val="single" w:color="auto" w:sz="4" w:space="0"/>
              <w:right w:val="single" w:color="auto" w:sz="4" w:space="0"/>
            </w:tcBorders>
            <w:noWrap w:val="0"/>
            <w:vAlign w:val="center"/>
          </w:tcPr>
          <w:p w14:paraId="790830AA">
            <w:pPr>
              <w:keepNext w:val="0"/>
              <w:keepLines w:val="0"/>
              <w:suppressLineNumbers w:val="0"/>
              <w:tabs>
                <w:tab w:val="left" w:pos="5580"/>
              </w:tabs>
              <w:spacing w:before="0" w:beforeAutospacing="0" w:after="0" w:afterAutospacing="0" w:line="240" w:lineRule="atLeast"/>
              <w:ind w:left="0" w:right="0" w:firstLine="240" w:firstLineChars="100"/>
              <w:jc w:val="both"/>
              <w:rPr>
                <w:rFonts w:hint="default" w:ascii="宋体" w:hAnsi="宋体" w:cs="宋体"/>
                <w:b w:val="0"/>
                <w:i w:val="0"/>
                <w:caps w:val="0"/>
                <w:spacing w:val="0"/>
                <w:w w:val="100"/>
                <w:sz w:val="24"/>
                <w:highlight w:val="yellow"/>
              </w:rPr>
            </w:pPr>
            <w:r>
              <w:rPr>
                <w:rFonts w:hint="eastAsia" w:ascii="仿宋_GB2312" w:hAnsi="宋体" w:eastAsia="仿宋_GB2312" w:cs="Times New Roman"/>
                <w:sz w:val="24"/>
                <w:lang w:val="en-US" w:eastAsia="zh-CN"/>
              </w:rPr>
              <w:t>交货</w:t>
            </w:r>
            <w:r>
              <w:rPr>
                <w:rFonts w:hint="eastAsia" w:ascii="仿宋_GB2312" w:hAnsi="宋体" w:eastAsia="仿宋_GB2312" w:cs="Times New Roman"/>
                <w:sz w:val="24"/>
              </w:rPr>
              <w:t>地点</w:t>
            </w:r>
          </w:p>
        </w:tc>
        <w:tc>
          <w:tcPr>
            <w:tcW w:w="1145" w:type="dxa"/>
            <w:tcBorders>
              <w:top w:val="single" w:color="auto" w:sz="4" w:space="0"/>
              <w:left w:val="single" w:color="auto" w:sz="4" w:space="0"/>
              <w:bottom w:val="single" w:color="auto" w:sz="4" w:space="0"/>
              <w:right w:val="single" w:color="auto" w:sz="4" w:space="0"/>
            </w:tcBorders>
            <w:noWrap w:val="0"/>
            <w:vAlign w:val="center"/>
          </w:tcPr>
          <w:p w14:paraId="1C2BF4A9">
            <w:pPr>
              <w:keepNext w:val="0"/>
              <w:keepLines w:val="0"/>
              <w:suppressLineNumbers w:val="0"/>
              <w:tabs>
                <w:tab w:val="left" w:pos="5580"/>
              </w:tabs>
              <w:spacing w:before="0" w:beforeAutospacing="0" w:after="0" w:afterAutospacing="0" w:line="240" w:lineRule="atLeast"/>
              <w:ind w:left="0" w:right="0" w:firstLine="240" w:firstLineChars="100"/>
              <w:jc w:val="both"/>
              <w:rPr>
                <w:rFonts w:hint="default" w:ascii="宋体" w:hAnsi="宋体" w:cs="宋体"/>
                <w:b w:val="0"/>
                <w:i w:val="0"/>
                <w:caps w:val="0"/>
                <w:spacing w:val="0"/>
                <w:w w:val="100"/>
                <w:sz w:val="24"/>
                <w:highlight w:val="yellow"/>
              </w:rPr>
            </w:pPr>
            <w:r>
              <w:rPr>
                <w:rFonts w:hint="eastAsia" w:ascii="仿宋_GB2312" w:hAnsi="宋体" w:eastAsia="仿宋_GB2312" w:cs="Times New Roman"/>
                <w:sz w:val="24"/>
              </w:rPr>
              <w:t>备注</w:t>
            </w:r>
          </w:p>
        </w:tc>
      </w:tr>
      <w:tr w14:paraId="5CBED992">
        <w:tblPrEx>
          <w:tblCellMar>
            <w:top w:w="15" w:type="dxa"/>
            <w:left w:w="15" w:type="dxa"/>
            <w:bottom w:w="15" w:type="dxa"/>
            <w:right w:w="15" w:type="dxa"/>
          </w:tblCellMar>
        </w:tblPrEx>
        <w:trPr>
          <w:trHeight w:val="1441" w:hRule="atLeast"/>
        </w:trPr>
        <w:tc>
          <w:tcPr>
            <w:tcW w:w="2094" w:type="dxa"/>
            <w:tcBorders>
              <w:top w:val="single" w:color="auto" w:sz="4" w:space="0"/>
              <w:left w:val="single" w:color="auto" w:sz="4" w:space="0"/>
              <w:bottom w:val="single" w:color="auto" w:sz="4" w:space="0"/>
              <w:right w:val="single" w:color="auto" w:sz="4" w:space="0"/>
            </w:tcBorders>
            <w:noWrap w:val="0"/>
            <w:vAlign w:val="center"/>
          </w:tcPr>
          <w:p w14:paraId="128ECB7E">
            <w:pPr>
              <w:keepNext w:val="0"/>
              <w:keepLines w:val="0"/>
              <w:suppressLineNumbers w:val="0"/>
              <w:tabs>
                <w:tab w:val="left" w:pos="5580"/>
              </w:tabs>
              <w:spacing w:before="0" w:beforeAutospacing="0" w:after="0" w:afterAutospacing="0" w:line="240" w:lineRule="atLeast"/>
              <w:ind w:left="0" w:right="0"/>
              <w:jc w:val="both"/>
              <w:rPr>
                <w:rFonts w:hint="default" w:ascii="Times New Roman" w:hAnsi="Times New Roman" w:eastAsia="宋体" w:cs="Times New Roman"/>
                <w:b w:val="0"/>
                <w:i w:val="0"/>
                <w:caps w:val="0"/>
                <w:spacing w:val="0"/>
                <w:w w:val="100"/>
                <w:sz w:val="18"/>
                <w:highlight w:val="yellow"/>
              </w:rPr>
            </w:pPr>
          </w:p>
        </w:tc>
        <w:tc>
          <w:tcPr>
            <w:tcW w:w="2291" w:type="dxa"/>
            <w:tcBorders>
              <w:top w:val="single" w:color="auto" w:sz="4" w:space="0"/>
              <w:left w:val="single" w:color="auto" w:sz="4" w:space="0"/>
              <w:bottom w:val="single" w:color="auto" w:sz="4" w:space="0"/>
              <w:right w:val="single" w:color="auto" w:sz="4" w:space="0"/>
            </w:tcBorders>
            <w:noWrap w:val="0"/>
            <w:vAlign w:val="center"/>
          </w:tcPr>
          <w:p w14:paraId="076BBA00">
            <w:pPr>
              <w:keepNext w:val="0"/>
              <w:keepLines w:val="0"/>
              <w:suppressLineNumbers w:val="0"/>
              <w:tabs>
                <w:tab w:val="left" w:pos="5580"/>
              </w:tabs>
              <w:spacing w:before="0" w:beforeAutospacing="0" w:after="0" w:afterAutospacing="0" w:line="240" w:lineRule="atLeast"/>
              <w:ind w:left="0" w:right="0"/>
              <w:jc w:val="left"/>
              <w:rPr>
                <w:rFonts w:hint="default" w:ascii="宋体" w:hAnsi="宋体" w:eastAsia="宋体" w:cs="宋体"/>
              </w:rPr>
            </w:pPr>
            <w:r>
              <w:rPr>
                <w:rFonts w:hint="eastAsia" w:ascii="宋体" w:hAnsi="宋体" w:eastAsia="宋体" w:cs="宋体"/>
              </w:rPr>
              <w:t>大写：</w:t>
            </w:r>
          </w:p>
          <w:p w14:paraId="6DCE53EA">
            <w:pPr>
              <w:pStyle w:val="27"/>
              <w:keepNext w:val="0"/>
              <w:keepLines w:val="0"/>
              <w:suppressLineNumbers w:val="0"/>
              <w:spacing w:before="0" w:beforeAutospacing="0" w:after="0" w:afterAutospacing="0"/>
              <w:ind w:left="0" w:right="0"/>
              <w:rPr>
                <w:rFonts w:hint="default" w:ascii="Times New Roman" w:hAnsi="Times New Roman" w:cs="Times New Roman"/>
              </w:rPr>
            </w:pPr>
          </w:p>
          <w:p w14:paraId="06F29EE2">
            <w:pPr>
              <w:keepNext w:val="0"/>
              <w:keepLines w:val="0"/>
              <w:suppressLineNumbers w:val="0"/>
              <w:tabs>
                <w:tab w:val="left" w:pos="5580"/>
              </w:tabs>
              <w:spacing w:before="0" w:beforeAutospacing="0" w:after="0" w:afterAutospacing="0" w:line="240" w:lineRule="atLeast"/>
              <w:ind w:left="0" w:right="0"/>
              <w:jc w:val="left"/>
              <w:rPr>
                <w:rFonts w:hint="default" w:ascii="宋体" w:hAnsi="宋体" w:cs="宋体"/>
                <w:b w:val="0"/>
                <w:i w:val="0"/>
                <w:caps w:val="0"/>
                <w:spacing w:val="0"/>
                <w:w w:val="100"/>
                <w:kern w:val="0"/>
                <w:sz w:val="24"/>
                <w:highlight w:val="yellow"/>
              </w:rPr>
            </w:pPr>
            <w:r>
              <w:rPr>
                <w:rFonts w:hint="eastAsia" w:ascii="宋体" w:hAnsi="宋体" w:eastAsia="宋体" w:cs="宋体"/>
              </w:rPr>
              <w:t>小写：</w:t>
            </w:r>
          </w:p>
        </w:tc>
        <w:tc>
          <w:tcPr>
            <w:tcW w:w="1413" w:type="dxa"/>
            <w:tcBorders>
              <w:top w:val="single" w:color="auto" w:sz="4" w:space="0"/>
              <w:left w:val="single" w:color="auto" w:sz="4" w:space="0"/>
              <w:bottom w:val="single" w:color="auto" w:sz="4" w:space="0"/>
              <w:right w:val="single" w:color="auto" w:sz="4" w:space="0"/>
            </w:tcBorders>
            <w:noWrap w:val="0"/>
            <w:vAlign w:val="center"/>
          </w:tcPr>
          <w:p w14:paraId="3D0E9B72">
            <w:pPr>
              <w:keepNext w:val="0"/>
              <w:keepLines w:val="0"/>
              <w:suppressLineNumbers w:val="0"/>
              <w:tabs>
                <w:tab w:val="left" w:pos="5580"/>
              </w:tabs>
              <w:spacing w:before="0" w:beforeAutospacing="0" w:after="0" w:afterAutospacing="0" w:line="240" w:lineRule="atLeast"/>
              <w:ind w:left="1079" w:leftChars="257" w:right="0" w:hanging="540" w:firstLineChars="0"/>
              <w:jc w:val="center"/>
              <w:rPr>
                <w:rFonts w:hint="default" w:ascii="宋体" w:hAnsi="宋体" w:cs="宋体"/>
                <w:b w:val="0"/>
                <w:i w:val="0"/>
                <w:caps w:val="0"/>
                <w:spacing w:val="0"/>
                <w:w w:val="100"/>
                <w:kern w:val="0"/>
                <w:sz w:val="24"/>
                <w:highlight w:val="yellow"/>
              </w:rPr>
            </w:pPr>
          </w:p>
        </w:tc>
        <w:tc>
          <w:tcPr>
            <w:tcW w:w="823" w:type="dxa"/>
            <w:tcBorders>
              <w:top w:val="single" w:color="auto" w:sz="4" w:space="0"/>
              <w:left w:val="single" w:color="auto" w:sz="4" w:space="0"/>
              <w:bottom w:val="single" w:color="auto" w:sz="4" w:space="0"/>
              <w:right w:val="single" w:color="auto" w:sz="4" w:space="0"/>
            </w:tcBorders>
            <w:noWrap w:val="0"/>
            <w:vAlign w:val="center"/>
          </w:tcPr>
          <w:p w14:paraId="2B523120">
            <w:pPr>
              <w:keepNext w:val="0"/>
              <w:keepLines w:val="0"/>
              <w:suppressLineNumbers w:val="0"/>
              <w:tabs>
                <w:tab w:val="left" w:pos="5580"/>
              </w:tabs>
              <w:spacing w:before="0" w:beforeAutospacing="0" w:after="0" w:afterAutospacing="0" w:line="240" w:lineRule="atLeast"/>
              <w:ind w:left="0" w:right="0"/>
              <w:jc w:val="both"/>
              <w:rPr>
                <w:rFonts w:hint="default" w:ascii="宋体" w:hAnsi="宋体" w:cs="宋体"/>
                <w:b w:val="0"/>
                <w:i w:val="0"/>
                <w:caps w:val="0"/>
                <w:spacing w:val="0"/>
                <w:w w:val="100"/>
                <w:kern w:val="0"/>
                <w:sz w:val="24"/>
                <w:highlight w:val="yellow"/>
              </w:rPr>
            </w:pPr>
          </w:p>
        </w:tc>
        <w:tc>
          <w:tcPr>
            <w:tcW w:w="1512" w:type="dxa"/>
            <w:tcBorders>
              <w:top w:val="single" w:color="auto" w:sz="4" w:space="0"/>
              <w:left w:val="single" w:color="auto" w:sz="4" w:space="0"/>
              <w:bottom w:val="single" w:color="auto" w:sz="4" w:space="0"/>
              <w:right w:val="single" w:color="auto" w:sz="4" w:space="0"/>
            </w:tcBorders>
            <w:noWrap w:val="0"/>
            <w:vAlign w:val="center"/>
          </w:tcPr>
          <w:p w14:paraId="60099DBD">
            <w:pPr>
              <w:keepNext w:val="0"/>
              <w:keepLines w:val="0"/>
              <w:suppressLineNumbers w:val="0"/>
              <w:tabs>
                <w:tab w:val="left" w:pos="5580"/>
              </w:tabs>
              <w:spacing w:before="0" w:beforeAutospacing="0" w:after="0" w:afterAutospacing="0" w:line="240" w:lineRule="atLeast"/>
              <w:ind w:left="0" w:right="0"/>
              <w:jc w:val="both"/>
              <w:rPr>
                <w:rFonts w:hint="default" w:ascii="宋体" w:hAnsi="宋体" w:cs="宋体"/>
                <w:b w:val="0"/>
                <w:i w:val="0"/>
                <w:caps w:val="0"/>
                <w:spacing w:val="0"/>
                <w:w w:val="100"/>
                <w:kern w:val="0"/>
                <w:sz w:val="24"/>
                <w:highlight w:val="yellow"/>
              </w:rPr>
            </w:pPr>
          </w:p>
        </w:tc>
        <w:tc>
          <w:tcPr>
            <w:tcW w:w="1145" w:type="dxa"/>
            <w:tcBorders>
              <w:top w:val="single" w:color="auto" w:sz="4" w:space="0"/>
              <w:left w:val="single" w:color="auto" w:sz="4" w:space="0"/>
              <w:bottom w:val="single" w:color="auto" w:sz="4" w:space="0"/>
              <w:right w:val="single" w:color="auto" w:sz="4" w:space="0"/>
            </w:tcBorders>
            <w:noWrap w:val="0"/>
            <w:vAlign w:val="center"/>
          </w:tcPr>
          <w:p w14:paraId="41F06404">
            <w:pPr>
              <w:keepNext w:val="0"/>
              <w:keepLines w:val="0"/>
              <w:suppressLineNumbers w:val="0"/>
              <w:tabs>
                <w:tab w:val="left" w:pos="5580"/>
              </w:tabs>
              <w:spacing w:before="0" w:beforeAutospacing="0" w:after="0" w:afterAutospacing="0" w:line="240" w:lineRule="atLeast"/>
              <w:ind w:left="0" w:right="0"/>
              <w:jc w:val="both"/>
              <w:rPr>
                <w:rFonts w:hint="default" w:ascii="宋体" w:hAnsi="宋体" w:cs="宋体"/>
                <w:b w:val="0"/>
                <w:i w:val="0"/>
                <w:caps w:val="0"/>
                <w:spacing w:val="0"/>
                <w:w w:val="100"/>
                <w:kern w:val="0"/>
                <w:sz w:val="24"/>
                <w:highlight w:val="yellow"/>
              </w:rPr>
            </w:pPr>
          </w:p>
        </w:tc>
      </w:tr>
    </w:tbl>
    <w:p w14:paraId="594375B5">
      <w:pPr>
        <w:pStyle w:val="27"/>
        <w:snapToGrid w:val="0"/>
        <w:spacing w:before="0" w:beforeAutospacing="0" w:after="0" w:afterAutospacing="0" w:line="240" w:lineRule="auto"/>
        <w:jc w:val="both"/>
        <w:textAlignment w:val="baseline"/>
        <w:rPr>
          <w:rFonts w:hint="eastAsia" w:ascii="宋体"/>
          <w:b w:val="0"/>
          <w:i w:val="0"/>
          <w:caps w:val="0"/>
          <w:spacing w:val="0"/>
          <w:w w:val="100"/>
          <w:sz w:val="24"/>
        </w:rPr>
      </w:pPr>
    </w:p>
    <w:p w14:paraId="1B525624">
      <w:pPr>
        <w:pStyle w:val="27"/>
        <w:snapToGrid w:val="0"/>
        <w:spacing w:before="0" w:beforeAutospacing="0" w:after="0" w:afterAutospacing="0" w:line="240" w:lineRule="auto"/>
        <w:jc w:val="both"/>
        <w:textAlignment w:val="baseline"/>
        <w:rPr>
          <w:rFonts w:ascii="宋体"/>
          <w:b w:val="0"/>
          <w:i w:val="0"/>
          <w:caps w:val="0"/>
          <w:spacing w:val="0"/>
          <w:w w:val="100"/>
          <w:sz w:val="24"/>
        </w:rPr>
      </w:pPr>
      <w:r>
        <w:rPr>
          <w:rFonts w:hint="eastAsia" w:ascii="宋体"/>
          <w:b w:val="0"/>
          <w:i w:val="0"/>
          <w:caps w:val="0"/>
          <w:spacing w:val="0"/>
          <w:w w:val="100"/>
          <w:sz w:val="24"/>
        </w:rPr>
        <w:t>注：</w:t>
      </w:r>
    </w:p>
    <w:p w14:paraId="4DE00430">
      <w:pPr>
        <w:pStyle w:val="27"/>
        <w:snapToGrid w:val="0"/>
        <w:spacing w:before="0" w:beforeAutospacing="0" w:after="0" w:afterAutospacing="0" w:line="360" w:lineRule="auto"/>
        <w:ind w:firstLine="480" w:firstLineChars="200"/>
        <w:jc w:val="left"/>
        <w:textAlignment w:val="baseline"/>
        <w:rPr>
          <w:rFonts w:ascii="宋体"/>
          <w:b w:val="0"/>
          <w:i w:val="0"/>
          <w:caps w:val="0"/>
          <w:spacing w:val="0"/>
          <w:w w:val="100"/>
          <w:sz w:val="24"/>
        </w:rPr>
      </w:pPr>
      <w:r>
        <w:rPr>
          <w:rFonts w:hint="eastAsia" w:ascii="宋体"/>
          <w:b w:val="0"/>
          <w:i w:val="0"/>
          <w:caps w:val="0"/>
          <w:spacing w:val="0"/>
          <w:w w:val="100"/>
          <w:sz w:val="24"/>
        </w:rPr>
        <w:t xml:space="preserve">1. </w:t>
      </w:r>
      <w:r>
        <w:rPr>
          <w:rFonts w:hint="eastAsia" w:hAnsi="宋体"/>
          <w:b w:val="0"/>
          <w:i w:val="0"/>
          <w:caps w:val="0"/>
          <w:spacing w:val="0"/>
          <w:w w:val="100"/>
          <w:sz w:val="24"/>
        </w:rPr>
        <w:t>“开标一览表”中的报价包含招标文件中规定的所有采购货物且数量一致，</w:t>
      </w:r>
      <w:r>
        <w:rPr>
          <w:rFonts w:hint="eastAsia" w:ascii="宋体"/>
          <w:b w:val="0"/>
          <w:i w:val="0"/>
          <w:caps w:val="0"/>
          <w:spacing w:val="0"/>
          <w:w w:val="100"/>
          <w:sz w:val="24"/>
        </w:rPr>
        <w:t xml:space="preserve">报价应是最终用户验收合格后的总价，包括货物运输、保险、代理、安装调试、培训、税费及提供服务产生的一切费用等与本项目有关的一切费用。 </w:t>
      </w:r>
    </w:p>
    <w:p w14:paraId="1D7B2933">
      <w:pPr>
        <w:snapToGrid/>
        <w:spacing w:before="0" w:beforeAutospacing="0" w:after="0" w:afterAutospacing="0" w:line="360" w:lineRule="auto"/>
        <w:ind w:firstLine="470" w:firstLineChars="196"/>
        <w:jc w:val="left"/>
        <w:textAlignment w:val="baseline"/>
        <w:rPr>
          <w:rFonts w:ascii="宋体"/>
          <w:b w:val="0"/>
          <w:i w:val="0"/>
          <w:caps w:val="0"/>
          <w:spacing w:val="0"/>
          <w:w w:val="100"/>
          <w:sz w:val="24"/>
        </w:rPr>
      </w:pPr>
      <w:bookmarkStart w:id="1051" w:name="_Toc2616"/>
      <w:bookmarkStart w:id="1052" w:name="_Toc32608"/>
      <w:bookmarkStart w:id="1053" w:name="_Toc31653"/>
      <w:bookmarkStart w:id="1054" w:name="_Toc4333"/>
      <w:bookmarkStart w:id="1055" w:name="_Toc677"/>
      <w:bookmarkStart w:id="1056" w:name="_Toc13226"/>
      <w:r>
        <w:rPr>
          <w:rFonts w:hint="eastAsia" w:ascii="宋体"/>
          <w:b w:val="0"/>
          <w:i w:val="0"/>
          <w:caps w:val="0"/>
          <w:spacing w:val="0"/>
          <w:w w:val="100"/>
          <w:sz w:val="24"/>
        </w:rPr>
        <w:t>2.“开标一览表”为多页的，每页均需加盖投标人公章。</w:t>
      </w:r>
      <w:bookmarkEnd w:id="1051"/>
      <w:bookmarkEnd w:id="1052"/>
      <w:bookmarkEnd w:id="1053"/>
      <w:bookmarkEnd w:id="1054"/>
      <w:bookmarkEnd w:id="1055"/>
      <w:bookmarkEnd w:id="1056"/>
    </w:p>
    <w:p w14:paraId="78C8F7CF">
      <w:pPr>
        <w:snapToGrid/>
        <w:spacing w:before="0" w:beforeAutospacing="0" w:after="0" w:afterAutospacing="0" w:line="360" w:lineRule="auto"/>
        <w:ind w:firstLine="470" w:firstLineChars="196"/>
        <w:jc w:val="left"/>
        <w:textAlignment w:val="baseline"/>
        <w:rPr>
          <w:rFonts w:hint="eastAsia" w:ascii="宋体"/>
          <w:b w:val="0"/>
          <w:i w:val="0"/>
          <w:caps w:val="0"/>
          <w:spacing w:val="0"/>
          <w:w w:val="100"/>
          <w:sz w:val="24"/>
        </w:rPr>
      </w:pPr>
      <w:bookmarkStart w:id="1057" w:name="_Toc7822"/>
      <w:bookmarkStart w:id="1058" w:name="_Toc16295"/>
      <w:bookmarkStart w:id="1059" w:name="_Toc24080"/>
      <w:bookmarkStart w:id="1060" w:name="_Toc24640"/>
      <w:bookmarkStart w:id="1061" w:name="_Toc4215"/>
      <w:bookmarkStart w:id="1062" w:name="_Toc18302"/>
    </w:p>
    <w:p w14:paraId="6E294DB1">
      <w:pPr>
        <w:snapToGrid/>
        <w:spacing w:before="0" w:beforeAutospacing="0" w:after="0" w:afterAutospacing="0" w:line="360" w:lineRule="auto"/>
        <w:ind w:firstLine="470" w:firstLineChars="196"/>
        <w:jc w:val="left"/>
        <w:textAlignment w:val="baseline"/>
        <w:rPr>
          <w:rFonts w:ascii="宋体"/>
          <w:b w:val="0"/>
          <w:i w:val="0"/>
          <w:caps w:val="0"/>
          <w:spacing w:val="0"/>
          <w:w w:val="100"/>
          <w:sz w:val="24"/>
        </w:rPr>
      </w:pPr>
      <w:r>
        <w:rPr>
          <w:rFonts w:hint="eastAsia" w:ascii="宋体"/>
          <w:b w:val="0"/>
          <w:i w:val="0"/>
          <w:caps w:val="0"/>
          <w:spacing w:val="0"/>
          <w:w w:val="100"/>
          <w:sz w:val="24"/>
        </w:rPr>
        <w:t>投标人名称：XXXX（单位公章）</w:t>
      </w:r>
      <w:bookmarkEnd w:id="1057"/>
      <w:bookmarkEnd w:id="1058"/>
      <w:bookmarkEnd w:id="1059"/>
      <w:bookmarkEnd w:id="1060"/>
      <w:bookmarkEnd w:id="1061"/>
      <w:bookmarkEnd w:id="1062"/>
    </w:p>
    <w:p w14:paraId="6A13CF29">
      <w:pPr>
        <w:snapToGrid/>
        <w:spacing w:before="0" w:beforeAutospacing="0" w:after="0" w:afterAutospacing="0" w:line="360" w:lineRule="auto"/>
        <w:ind w:firstLine="470" w:firstLineChars="196"/>
        <w:jc w:val="left"/>
        <w:textAlignment w:val="baseline"/>
        <w:rPr>
          <w:rFonts w:ascii="宋体"/>
          <w:b w:val="0"/>
          <w:i w:val="0"/>
          <w:caps w:val="0"/>
          <w:spacing w:val="0"/>
          <w:w w:val="100"/>
          <w:sz w:val="24"/>
        </w:rPr>
      </w:pPr>
      <w:bookmarkStart w:id="1063" w:name="_Toc15175"/>
      <w:bookmarkStart w:id="1064" w:name="_Toc18382"/>
      <w:bookmarkStart w:id="1065" w:name="_Toc16819"/>
      <w:bookmarkStart w:id="1066" w:name="_Toc5153"/>
      <w:bookmarkStart w:id="1067" w:name="_Toc18063"/>
      <w:bookmarkStart w:id="1068" w:name="_Toc21779"/>
      <w:r>
        <w:rPr>
          <w:rFonts w:hint="eastAsia" w:ascii="宋体"/>
          <w:b w:val="0"/>
          <w:i w:val="0"/>
          <w:caps w:val="0"/>
          <w:spacing w:val="0"/>
          <w:w w:val="100"/>
          <w:sz w:val="24"/>
        </w:rPr>
        <w:t>法定代表人或授权代表</w:t>
      </w:r>
      <w:r>
        <w:rPr>
          <w:rFonts w:hint="eastAsia" w:ascii="宋体"/>
          <w:b w:val="0"/>
          <w:i w:val="0"/>
          <w:caps w:val="0"/>
          <w:spacing w:val="0"/>
          <w:w w:val="100"/>
          <w:sz w:val="24"/>
          <w:lang w:val="en-US" w:eastAsia="zh-CN"/>
        </w:rPr>
        <w:t>人</w:t>
      </w:r>
      <w:r>
        <w:rPr>
          <w:rFonts w:hint="eastAsia" w:ascii="宋体"/>
          <w:b w:val="0"/>
          <w:i w:val="0"/>
          <w:caps w:val="0"/>
          <w:spacing w:val="0"/>
          <w:w w:val="100"/>
          <w:sz w:val="24"/>
        </w:rPr>
        <w:t>（签字或</w:t>
      </w:r>
      <w:r>
        <w:rPr>
          <w:rFonts w:hint="eastAsia" w:ascii="宋体"/>
          <w:b w:val="0"/>
          <w:i w:val="0"/>
          <w:caps w:val="0"/>
          <w:spacing w:val="0"/>
          <w:w w:val="100"/>
          <w:sz w:val="24"/>
          <w:lang w:val="en-US" w:eastAsia="zh-CN"/>
        </w:rPr>
        <w:t>签</w:t>
      </w:r>
      <w:r>
        <w:rPr>
          <w:rFonts w:hint="eastAsia" w:ascii="宋体"/>
          <w:b w:val="0"/>
          <w:i w:val="0"/>
          <w:caps w:val="0"/>
          <w:spacing w:val="0"/>
          <w:w w:val="100"/>
          <w:sz w:val="24"/>
        </w:rPr>
        <w:t>章）：XXXX</w:t>
      </w:r>
      <w:bookmarkEnd w:id="1063"/>
      <w:bookmarkEnd w:id="1064"/>
      <w:bookmarkEnd w:id="1065"/>
      <w:bookmarkEnd w:id="1066"/>
      <w:bookmarkEnd w:id="1067"/>
      <w:bookmarkEnd w:id="1068"/>
    </w:p>
    <w:p w14:paraId="47D30515">
      <w:pPr>
        <w:snapToGrid/>
        <w:spacing w:before="0" w:beforeAutospacing="0" w:after="0" w:afterAutospacing="0" w:line="360" w:lineRule="auto"/>
        <w:ind w:firstLine="470" w:firstLineChars="196"/>
        <w:jc w:val="left"/>
        <w:textAlignment w:val="baseline"/>
        <w:rPr>
          <w:b w:val="0"/>
          <w:i w:val="0"/>
          <w:caps w:val="0"/>
          <w:spacing w:val="0"/>
          <w:w w:val="100"/>
          <w:sz w:val="20"/>
        </w:rPr>
      </w:pPr>
      <w:bookmarkStart w:id="1069" w:name="_Toc6832"/>
      <w:bookmarkStart w:id="1070" w:name="_Toc1937"/>
      <w:bookmarkStart w:id="1071" w:name="_Toc26447"/>
      <w:bookmarkStart w:id="1072" w:name="_Toc28391"/>
      <w:bookmarkStart w:id="1073" w:name="_Toc30952"/>
      <w:bookmarkStart w:id="1074" w:name="_Toc488"/>
      <w:r>
        <w:rPr>
          <w:rFonts w:hint="eastAsia" w:ascii="宋体"/>
          <w:b w:val="0"/>
          <w:i w:val="0"/>
          <w:caps w:val="0"/>
          <w:spacing w:val="0"/>
          <w:w w:val="100"/>
          <w:sz w:val="24"/>
        </w:rPr>
        <w:t>投标日期：XXXX年XXXX月XXXX日</w:t>
      </w:r>
      <w:bookmarkEnd w:id="1069"/>
      <w:bookmarkEnd w:id="1070"/>
      <w:bookmarkEnd w:id="1071"/>
      <w:bookmarkEnd w:id="1072"/>
      <w:bookmarkEnd w:id="1073"/>
      <w:bookmarkEnd w:id="1074"/>
      <w:bookmarkStart w:id="1075" w:name="_Toc608"/>
      <w:bookmarkStart w:id="1076" w:name="_Toc515647805"/>
      <w:bookmarkStart w:id="1077" w:name="_Toc17577"/>
      <w:bookmarkStart w:id="1078" w:name="_Toc29899"/>
    </w:p>
    <w:p w14:paraId="13F9D0E3">
      <w:pPr>
        <w:pStyle w:val="9"/>
        <w:snapToGrid/>
        <w:spacing w:before="0" w:beforeAutospacing="0" w:after="0" w:afterAutospacing="0" w:line="240" w:lineRule="auto"/>
        <w:ind w:firstLine="0"/>
        <w:jc w:val="left"/>
        <w:textAlignment w:val="baseline"/>
        <w:rPr>
          <w:rFonts w:ascii="宋体"/>
          <w:b w:val="0"/>
          <w:i w:val="0"/>
          <w:caps w:val="0"/>
          <w:spacing w:val="0"/>
          <w:w w:val="100"/>
          <w:sz w:val="24"/>
        </w:rPr>
      </w:pPr>
    </w:p>
    <w:p w14:paraId="3419FAC7"/>
    <w:p w14:paraId="4BD99607">
      <w:pPr>
        <w:pStyle w:val="27"/>
      </w:pPr>
    </w:p>
    <w:p w14:paraId="44C656E6">
      <w:pPr>
        <w:pStyle w:val="4"/>
        <w:keepNext/>
        <w:keepLines/>
        <w:pageBreakBefore w:val="0"/>
        <w:widowControl/>
        <w:kinsoku/>
        <w:wordWrap/>
        <w:overflowPunct/>
        <w:topLinePunct w:val="0"/>
        <w:autoSpaceDE w:val="0"/>
        <w:autoSpaceDN w:val="0"/>
        <w:bidi w:val="0"/>
        <w:adjustRightInd w:val="0"/>
        <w:snapToGrid/>
        <w:spacing w:before="0" w:beforeAutospacing="0" w:after="0" w:afterAutospacing="0" w:line="288" w:lineRule="auto"/>
        <w:jc w:val="both"/>
        <w:textAlignment w:val="baseline"/>
        <w:outlineLvl w:val="2"/>
        <w:rPr>
          <w:rFonts w:hint="eastAsia" w:ascii="仿宋_GB2312" w:hAnsi="仿宋_GB2312" w:eastAsia="仿宋_GB2312" w:cs="仿宋_GB2312"/>
          <w:b/>
          <w:i w:val="0"/>
          <w:caps w:val="0"/>
          <w:spacing w:val="0"/>
          <w:w w:val="100"/>
          <w:kern w:val="0"/>
          <w:sz w:val="24"/>
          <w:szCs w:val="20"/>
          <w:u w:val="none"/>
          <w:lang w:val="en-US" w:eastAsia="zh-CN" w:bidi="ar-SA"/>
        </w:rPr>
      </w:pPr>
      <w:bookmarkStart w:id="1079" w:name="_Toc32063"/>
      <w:bookmarkStart w:id="1080" w:name="_Toc7771"/>
      <w:bookmarkStart w:id="1081" w:name="_Toc2685"/>
      <w:bookmarkStart w:id="1082" w:name="_Toc28853"/>
      <w:bookmarkStart w:id="1083" w:name="_Toc15059"/>
      <w:bookmarkStart w:id="1084" w:name="_Toc32172"/>
      <w:bookmarkStart w:id="1085" w:name="_Toc438"/>
      <w:bookmarkStart w:id="1086" w:name="_Toc25505"/>
      <w:bookmarkStart w:id="1087" w:name="_Toc18942"/>
      <w:bookmarkStart w:id="1088" w:name="_Toc22243"/>
      <w:bookmarkStart w:id="1089" w:name="_Toc6477"/>
      <w:bookmarkStart w:id="1090" w:name="_Toc14381"/>
      <w:bookmarkStart w:id="1091" w:name="_Toc3097"/>
      <w:bookmarkStart w:id="1092" w:name="_Toc12511"/>
      <w:bookmarkStart w:id="1093" w:name="_Toc18028"/>
      <w:bookmarkStart w:id="1094" w:name="_Toc14475"/>
      <w:bookmarkStart w:id="1095" w:name="_Toc12928"/>
      <w:bookmarkStart w:id="1096" w:name="_Toc3091"/>
      <w:bookmarkStart w:id="1097" w:name="_Toc9524"/>
    </w:p>
    <w:p w14:paraId="7FB284A3">
      <w:pPr>
        <w:pStyle w:val="4"/>
        <w:keepNext/>
        <w:keepLines/>
        <w:pageBreakBefore w:val="0"/>
        <w:widowControl/>
        <w:kinsoku/>
        <w:wordWrap/>
        <w:overflowPunct/>
        <w:topLinePunct w:val="0"/>
        <w:autoSpaceDE w:val="0"/>
        <w:autoSpaceDN w:val="0"/>
        <w:bidi w:val="0"/>
        <w:adjustRightInd w:val="0"/>
        <w:snapToGrid/>
        <w:spacing w:before="0" w:beforeAutospacing="0" w:after="0" w:afterAutospacing="0" w:line="288" w:lineRule="auto"/>
        <w:ind w:left="1078" w:leftChars="257" w:hanging="539"/>
        <w:jc w:val="center"/>
        <w:textAlignment w:val="baseline"/>
        <w:outlineLvl w:val="2"/>
        <w:rPr>
          <w:rFonts w:hint="eastAsia" w:ascii="仿宋_GB2312" w:hAnsi="仿宋_GB2312" w:eastAsia="仿宋_GB2312" w:cs="仿宋_GB2312"/>
          <w:b/>
          <w:i w:val="0"/>
          <w:caps w:val="0"/>
          <w:spacing w:val="0"/>
          <w:w w:val="100"/>
          <w:kern w:val="0"/>
          <w:sz w:val="24"/>
          <w:szCs w:val="20"/>
          <w:u w:val="none"/>
          <w:lang w:val="en-US" w:eastAsia="zh-CN" w:bidi="ar-SA"/>
        </w:rPr>
      </w:pPr>
    </w:p>
    <w:p w14:paraId="072D186A">
      <w:pPr>
        <w:pStyle w:val="4"/>
        <w:keepNext/>
        <w:keepLines/>
        <w:pageBreakBefore w:val="0"/>
        <w:widowControl/>
        <w:kinsoku/>
        <w:wordWrap/>
        <w:overflowPunct/>
        <w:topLinePunct w:val="0"/>
        <w:autoSpaceDE w:val="0"/>
        <w:autoSpaceDN w:val="0"/>
        <w:bidi w:val="0"/>
        <w:adjustRightInd w:val="0"/>
        <w:snapToGrid/>
        <w:spacing w:before="0" w:beforeAutospacing="0" w:after="0" w:afterAutospacing="0" w:line="288" w:lineRule="auto"/>
        <w:ind w:left="1078" w:leftChars="257" w:hanging="539"/>
        <w:jc w:val="center"/>
        <w:textAlignment w:val="baseline"/>
        <w:outlineLvl w:val="2"/>
        <w:rPr>
          <w:rFonts w:hint="eastAsia" w:ascii="仿宋_GB2312" w:hAnsi="仿宋_GB2312" w:eastAsia="仿宋_GB2312" w:cs="仿宋_GB2312"/>
          <w:b/>
          <w:i w:val="0"/>
          <w:caps w:val="0"/>
          <w:spacing w:val="0"/>
          <w:w w:val="100"/>
          <w:kern w:val="0"/>
          <w:sz w:val="24"/>
          <w:szCs w:val="20"/>
          <w:u w:val="none"/>
          <w:lang w:val="en-US" w:eastAsia="zh-CN" w:bidi="ar-SA"/>
        </w:rPr>
      </w:pPr>
    </w:p>
    <w:p w14:paraId="45AD1281">
      <w:pPr>
        <w:pStyle w:val="4"/>
        <w:keepNext/>
        <w:keepLines/>
        <w:pageBreakBefore w:val="0"/>
        <w:widowControl/>
        <w:kinsoku/>
        <w:wordWrap/>
        <w:overflowPunct/>
        <w:topLinePunct w:val="0"/>
        <w:autoSpaceDE w:val="0"/>
        <w:autoSpaceDN w:val="0"/>
        <w:bidi w:val="0"/>
        <w:adjustRightInd w:val="0"/>
        <w:snapToGrid/>
        <w:spacing w:before="0" w:beforeAutospacing="0" w:after="0" w:afterAutospacing="0" w:line="288" w:lineRule="auto"/>
        <w:jc w:val="both"/>
        <w:textAlignment w:val="baseline"/>
        <w:outlineLvl w:val="2"/>
        <w:rPr>
          <w:rFonts w:hint="eastAsia" w:ascii="仿宋_GB2312" w:hAnsi="仿宋_GB2312" w:eastAsia="仿宋_GB2312" w:cs="仿宋_GB2312"/>
          <w:b/>
          <w:i w:val="0"/>
          <w:caps w:val="0"/>
          <w:spacing w:val="0"/>
          <w:w w:val="100"/>
          <w:kern w:val="0"/>
          <w:sz w:val="24"/>
          <w:szCs w:val="20"/>
          <w:u w:val="none"/>
          <w:lang w:val="en-US" w:eastAsia="zh-CN" w:bidi="ar-SA"/>
        </w:rPr>
      </w:pPr>
    </w:p>
    <w:p w14:paraId="4FBEE5E6">
      <w:pPr>
        <w:rPr>
          <w:rFonts w:hint="eastAsia"/>
          <w:lang w:val="en-US" w:eastAsia="zh-CN"/>
        </w:rPr>
      </w:pPr>
    </w:p>
    <w:p w14:paraId="29721D53">
      <w:pPr>
        <w:pStyle w:val="4"/>
        <w:keepNext/>
        <w:keepLines/>
        <w:pageBreakBefore w:val="0"/>
        <w:widowControl/>
        <w:kinsoku/>
        <w:wordWrap/>
        <w:overflowPunct/>
        <w:topLinePunct w:val="0"/>
        <w:autoSpaceDE w:val="0"/>
        <w:autoSpaceDN w:val="0"/>
        <w:bidi w:val="0"/>
        <w:adjustRightInd w:val="0"/>
        <w:snapToGrid/>
        <w:spacing w:before="0" w:beforeAutospacing="0" w:after="0" w:afterAutospacing="0" w:line="288" w:lineRule="auto"/>
        <w:ind w:firstLine="2400" w:firstLineChars="1000"/>
        <w:jc w:val="both"/>
        <w:textAlignment w:val="baseline"/>
        <w:outlineLvl w:val="2"/>
        <w:rPr>
          <w:rFonts w:ascii="仿宋_GB2312" w:hAnsi="仿宋_GB2312" w:eastAsia="仿宋_GB2312" w:cs="仿宋_GB2312"/>
          <w:b/>
          <w:i w:val="0"/>
          <w:caps w:val="0"/>
          <w:spacing w:val="0"/>
          <w:w w:val="100"/>
          <w:sz w:val="24"/>
        </w:rPr>
      </w:pPr>
      <w:r>
        <w:rPr>
          <w:rFonts w:hint="eastAsia" w:ascii="仿宋_GB2312" w:hAnsi="仿宋_GB2312" w:eastAsia="仿宋_GB2312" w:cs="仿宋_GB2312"/>
          <w:b/>
          <w:i w:val="0"/>
          <w:caps w:val="0"/>
          <w:spacing w:val="0"/>
          <w:w w:val="100"/>
          <w:kern w:val="0"/>
          <w:sz w:val="24"/>
          <w:szCs w:val="20"/>
          <w:u w:val="none"/>
          <w:lang w:val="en-US" w:eastAsia="zh-CN" w:bidi="ar-SA"/>
        </w:rPr>
        <w:t>2  法人或者非法人组织的营业执照等证明文件</w:t>
      </w:r>
      <w:bookmarkEnd w:id="1075"/>
      <w:bookmarkEnd w:id="1076"/>
      <w:bookmarkEnd w:id="1077"/>
      <w:bookmarkEnd w:id="1078"/>
      <w:bookmarkEnd w:id="1079"/>
      <w:bookmarkEnd w:id="1080"/>
      <w:bookmarkEnd w:id="1081"/>
      <w:bookmarkEnd w:id="1082"/>
      <w:bookmarkEnd w:id="1083"/>
      <w:bookmarkEnd w:id="1084"/>
      <w:bookmarkEnd w:id="1085"/>
      <w:bookmarkEnd w:id="1086"/>
      <w:bookmarkEnd w:id="1087"/>
      <w:bookmarkEnd w:id="1088"/>
      <w:bookmarkEnd w:id="1089"/>
      <w:bookmarkEnd w:id="1090"/>
      <w:bookmarkEnd w:id="1091"/>
      <w:bookmarkEnd w:id="1092"/>
      <w:bookmarkEnd w:id="1093"/>
      <w:bookmarkEnd w:id="1094"/>
      <w:bookmarkEnd w:id="1095"/>
      <w:bookmarkEnd w:id="1096"/>
      <w:bookmarkEnd w:id="1097"/>
    </w:p>
    <w:p w14:paraId="7E370524">
      <w:pPr>
        <w:pStyle w:val="20"/>
        <w:tabs>
          <w:tab w:val="left" w:pos="5580"/>
        </w:tabs>
        <w:snapToGrid/>
        <w:spacing w:before="0" w:beforeAutospacing="0" w:after="0" w:afterAutospacing="0" w:line="288" w:lineRule="auto"/>
        <w:ind w:left="1079" w:leftChars="257" w:hanging="540"/>
        <w:jc w:val="center"/>
        <w:textAlignment w:val="baseline"/>
        <w:rPr>
          <w:rFonts w:ascii="仿宋_GB2312" w:hAnsi="仿宋_GB2312" w:eastAsia="仿宋_GB2312" w:cs="仿宋_GB2312"/>
          <w:b/>
          <w:i w:val="0"/>
          <w:caps w:val="0"/>
          <w:spacing w:val="0"/>
          <w:w w:val="100"/>
          <w:sz w:val="24"/>
        </w:rPr>
      </w:pPr>
    </w:p>
    <w:p w14:paraId="2D769C85">
      <w:pPr>
        <w:pStyle w:val="20"/>
        <w:tabs>
          <w:tab w:val="left" w:pos="5580"/>
        </w:tabs>
        <w:snapToGrid/>
        <w:spacing w:before="0" w:beforeAutospacing="0" w:after="0" w:afterAutospacing="0" w:line="288" w:lineRule="auto"/>
        <w:jc w:val="both"/>
        <w:textAlignment w:val="baseline"/>
        <w:rPr>
          <w:rFonts w:ascii="仿宋_GB2312" w:hAnsi="仿宋_GB2312" w:eastAsia="仿宋_GB2312" w:cs="仿宋_GB2312"/>
          <w:b/>
          <w:i w:val="0"/>
          <w:caps w:val="0"/>
          <w:spacing w:val="0"/>
          <w:w w:val="100"/>
          <w:sz w:val="24"/>
        </w:rPr>
      </w:pPr>
    </w:p>
    <w:p w14:paraId="4CBA64ED">
      <w:pPr>
        <w:pStyle w:val="20"/>
        <w:tabs>
          <w:tab w:val="left" w:pos="5580"/>
        </w:tabs>
        <w:spacing w:line="240" w:lineRule="atLeast"/>
        <w:ind w:left="1079" w:leftChars="257" w:hanging="540"/>
        <w:rPr>
          <w:rFonts w:hint="eastAsia" w:ascii="仿宋_GB2312" w:hAnsi="宋体" w:eastAsia="仿宋_GB2312"/>
          <w:sz w:val="24"/>
        </w:rPr>
      </w:pPr>
      <w:r>
        <w:rPr>
          <w:rFonts w:hint="eastAsia" w:ascii="仿宋_GB2312" w:hAnsi="仿宋_GB2312" w:eastAsia="仿宋_GB2312" w:cs="仿宋_GB2312"/>
          <w:b w:val="0"/>
          <w:i w:val="0"/>
          <w:caps w:val="0"/>
          <w:spacing w:val="0"/>
          <w:w w:val="100"/>
          <w:sz w:val="24"/>
        </w:rPr>
        <w:t>说明：</w:t>
      </w:r>
      <w:r>
        <w:rPr>
          <w:rFonts w:hint="eastAsia" w:ascii="仿宋_GB2312" w:hAnsi="宋体" w:eastAsia="仿宋_GB2312"/>
          <w:sz w:val="24"/>
        </w:rPr>
        <w:t>1.提供有效的营业执照等证明文件复印件，复印件上应加盖本单位章。</w:t>
      </w:r>
    </w:p>
    <w:p w14:paraId="3445CD05">
      <w:pPr>
        <w:pStyle w:val="20"/>
        <w:tabs>
          <w:tab w:val="left" w:pos="5580"/>
        </w:tabs>
        <w:spacing w:line="240" w:lineRule="atLeast"/>
        <w:ind w:left="1079" w:leftChars="257" w:hanging="540"/>
        <w:rPr>
          <w:rFonts w:hint="eastAsia" w:ascii="仿宋_GB2312" w:hAnsi="宋体" w:eastAsia="仿宋_GB2312"/>
          <w:sz w:val="24"/>
        </w:rPr>
      </w:pPr>
      <w:r>
        <w:rPr>
          <w:rFonts w:hint="eastAsia" w:ascii="仿宋_GB2312" w:hAnsi="宋体" w:eastAsia="仿宋_GB2312"/>
          <w:sz w:val="24"/>
        </w:rPr>
        <w:t xml:space="preserve">      2. 投标人为自然人的，应提供身份证明的复印件。</w:t>
      </w:r>
    </w:p>
    <w:p w14:paraId="0788CE64">
      <w:pPr>
        <w:pStyle w:val="20"/>
        <w:tabs>
          <w:tab w:val="left" w:pos="5580"/>
        </w:tabs>
        <w:spacing w:line="240" w:lineRule="atLeast"/>
        <w:ind w:left="1079" w:leftChars="257" w:hanging="540"/>
        <w:rPr>
          <w:rFonts w:hint="eastAsia" w:ascii="仿宋_GB2312" w:hAnsi="宋体" w:eastAsia="仿宋_GB2312"/>
          <w:sz w:val="24"/>
        </w:rPr>
      </w:pPr>
      <w:r>
        <w:rPr>
          <w:rFonts w:hint="eastAsia" w:ascii="仿宋_GB2312" w:hAnsi="宋体" w:eastAsia="仿宋_GB2312"/>
          <w:sz w:val="24"/>
        </w:rPr>
        <w:t xml:space="preserve">      3.联合体投标应提供联合体各方满足以上要求的证明文件。</w:t>
      </w:r>
    </w:p>
    <w:p w14:paraId="559C8533">
      <w:pPr>
        <w:pStyle w:val="20"/>
        <w:tabs>
          <w:tab w:val="left" w:pos="5580"/>
        </w:tabs>
        <w:snapToGrid/>
        <w:spacing w:before="0" w:beforeAutospacing="0" w:after="0" w:afterAutospacing="0" w:line="288" w:lineRule="auto"/>
        <w:jc w:val="both"/>
        <w:textAlignment w:val="baseline"/>
        <w:rPr>
          <w:rFonts w:ascii="仿宋_GB2312" w:hAnsi="仿宋_GB2312" w:eastAsia="仿宋_GB2312" w:cs="仿宋_GB2312"/>
          <w:b w:val="0"/>
          <w:i w:val="0"/>
          <w:caps w:val="0"/>
          <w:spacing w:val="0"/>
          <w:w w:val="100"/>
          <w:sz w:val="24"/>
        </w:rPr>
      </w:pPr>
    </w:p>
    <w:p w14:paraId="59C85E3D">
      <w:pPr>
        <w:pStyle w:val="4"/>
        <w:keepNext/>
        <w:keepLines/>
        <w:pageBreakBefore w:val="0"/>
        <w:widowControl/>
        <w:kinsoku/>
        <w:wordWrap/>
        <w:overflowPunct/>
        <w:topLinePunct w:val="0"/>
        <w:autoSpaceDE w:val="0"/>
        <w:autoSpaceDN w:val="0"/>
        <w:bidi w:val="0"/>
        <w:adjustRightInd w:val="0"/>
        <w:snapToGrid/>
        <w:spacing w:before="0" w:beforeAutospacing="0" w:after="0" w:afterAutospacing="0" w:line="288" w:lineRule="auto"/>
        <w:ind w:left="1078" w:leftChars="257" w:hanging="539"/>
        <w:jc w:val="center"/>
        <w:textAlignment w:val="baseline"/>
        <w:outlineLvl w:val="2"/>
        <w:rPr>
          <w:rFonts w:hint="eastAsia" w:ascii="仿宋_GB2312" w:hAnsi="仿宋_GB2312" w:eastAsia="仿宋_GB2312" w:cs="仿宋_GB2312"/>
          <w:b/>
          <w:i w:val="0"/>
          <w:caps w:val="0"/>
          <w:spacing w:val="0"/>
          <w:w w:val="100"/>
          <w:sz w:val="24"/>
          <w:u w:val="none"/>
        </w:rPr>
      </w:pPr>
      <w:bookmarkStart w:id="1098" w:name="_Toc14172"/>
      <w:bookmarkStart w:id="1099" w:name="_Toc32588"/>
      <w:bookmarkStart w:id="1100" w:name="_Toc31591"/>
      <w:bookmarkStart w:id="1101" w:name="_Toc7891"/>
      <w:bookmarkStart w:id="1102" w:name="_Toc21673"/>
      <w:bookmarkStart w:id="1103" w:name="_Toc1578"/>
      <w:bookmarkStart w:id="1104" w:name="_Toc26259"/>
      <w:bookmarkStart w:id="1105" w:name="_Toc29158"/>
      <w:bookmarkStart w:id="1106" w:name="_Toc12767"/>
      <w:bookmarkStart w:id="1107" w:name="_Toc23004_WPSOffice_Level2"/>
      <w:bookmarkStart w:id="1108" w:name="_Toc7999"/>
      <w:bookmarkStart w:id="1109" w:name="_Toc3498"/>
      <w:bookmarkStart w:id="1110" w:name="_Toc8196"/>
      <w:bookmarkStart w:id="1111" w:name="_Toc31493"/>
      <w:bookmarkStart w:id="1112" w:name="_Toc15096"/>
      <w:bookmarkStart w:id="1113" w:name="_Toc32668"/>
      <w:bookmarkStart w:id="1114" w:name="_Toc25159"/>
      <w:bookmarkStart w:id="1115" w:name="_Toc13066"/>
      <w:bookmarkStart w:id="1116" w:name="_Toc767"/>
      <w:bookmarkStart w:id="1117" w:name="_Toc26563"/>
      <w:bookmarkStart w:id="1118" w:name="_Toc3865"/>
      <w:bookmarkStart w:id="1119" w:name="_Toc5546"/>
      <w:r>
        <w:rPr>
          <w:rFonts w:hint="eastAsia" w:ascii="仿宋_GB2312" w:hAnsi="仿宋_GB2312" w:eastAsia="仿宋_GB2312" w:cs="仿宋_GB2312"/>
          <w:b/>
          <w:i w:val="0"/>
          <w:caps w:val="0"/>
          <w:spacing w:val="0"/>
          <w:w w:val="100"/>
          <w:sz w:val="24"/>
          <w:u w:val="none"/>
        </w:rPr>
        <w:t>3  法定代表人身份证明</w:t>
      </w:r>
      <w:bookmarkEnd w:id="1098"/>
      <w:bookmarkEnd w:id="1099"/>
      <w:bookmarkEnd w:id="1100"/>
      <w:bookmarkEnd w:id="1101"/>
      <w:bookmarkEnd w:id="1102"/>
      <w:bookmarkEnd w:id="1103"/>
      <w:bookmarkEnd w:id="1104"/>
      <w:bookmarkEnd w:id="1105"/>
      <w:bookmarkEnd w:id="1106"/>
      <w:bookmarkEnd w:id="1107"/>
      <w:bookmarkEnd w:id="1108"/>
      <w:bookmarkEnd w:id="1109"/>
      <w:bookmarkEnd w:id="1110"/>
      <w:bookmarkEnd w:id="1111"/>
      <w:bookmarkEnd w:id="1112"/>
      <w:bookmarkEnd w:id="1113"/>
      <w:bookmarkEnd w:id="1114"/>
      <w:bookmarkEnd w:id="1115"/>
      <w:bookmarkEnd w:id="1116"/>
      <w:bookmarkEnd w:id="1117"/>
      <w:bookmarkEnd w:id="1118"/>
      <w:bookmarkEnd w:id="1119"/>
    </w:p>
    <w:p w14:paraId="1571AC99">
      <w:pPr>
        <w:pStyle w:val="2"/>
        <w:snapToGrid/>
        <w:spacing w:before="0" w:beforeAutospacing="0" w:after="0" w:afterAutospacing="0" w:line="288" w:lineRule="auto"/>
        <w:jc w:val="both"/>
        <w:textAlignment w:val="baseline"/>
        <w:rPr>
          <w:rFonts w:ascii="仿宋_GB2312" w:hAnsi="仿宋_GB2312" w:eastAsia="仿宋_GB2312" w:cs="仿宋_GB2312"/>
          <w:b/>
          <w:i w:val="0"/>
          <w:caps w:val="0"/>
          <w:spacing w:val="0"/>
          <w:w w:val="100"/>
          <w:sz w:val="24"/>
        </w:rPr>
      </w:pPr>
    </w:p>
    <w:p w14:paraId="09809E08">
      <w:pPr>
        <w:snapToGrid/>
        <w:spacing w:before="0" w:beforeAutospacing="0" w:after="0" w:afterAutospacing="0" w:line="360" w:lineRule="auto"/>
        <w:ind w:firstLine="240" w:firstLineChars="100"/>
        <w:jc w:val="both"/>
        <w:textAlignment w:val="baseline"/>
        <w:rPr>
          <w:rFonts w:ascii="仿宋_GB2312" w:hAnsi="仿宋_GB2312" w:eastAsia="仿宋_GB2312" w:cs="仿宋_GB2312"/>
          <w:b w:val="0"/>
          <w:i w:val="0"/>
          <w:caps w:val="0"/>
          <w:spacing w:val="0"/>
          <w:w w:val="100"/>
          <w:sz w:val="24"/>
          <w:szCs w:val="20"/>
        </w:rPr>
      </w:pPr>
      <w:r>
        <w:rPr>
          <w:rFonts w:hint="eastAsia" w:ascii="仿宋_GB2312" w:hAnsi="仿宋_GB2312" w:eastAsia="仿宋_GB2312" w:cs="仿宋_GB2312"/>
          <w:b w:val="0"/>
          <w:i w:val="0"/>
          <w:caps w:val="0"/>
          <w:spacing w:val="0"/>
          <w:w w:val="100"/>
          <w:sz w:val="24"/>
          <w:szCs w:val="20"/>
        </w:rPr>
        <w:t xml:space="preserve"> </w:t>
      </w:r>
      <w:r>
        <w:rPr>
          <w:rFonts w:hint="eastAsia" w:ascii="仿宋_GB2312" w:hAnsi="仿宋_GB2312" w:eastAsia="仿宋_GB2312" w:cs="仿宋_GB2312"/>
          <w:b w:val="0"/>
          <w:i w:val="0"/>
          <w:caps w:val="0"/>
          <w:spacing w:val="0"/>
          <w:w w:val="100"/>
          <w:sz w:val="24"/>
          <w:szCs w:val="20"/>
          <w:u w:val="single" w:color="000000"/>
        </w:rPr>
        <w:t xml:space="preserve">      </w:t>
      </w:r>
      <w:r>
        <w:rPr>
          <w:rFonts w:hint="eastAsia" w:ascii="仿宋_GB2312" w:hAnsi="仿宋_GB2312" w:eastAsia="仿宋_GB2312" w:cs="仿宋_GB2312"/>
          <w:b w:val="0"/>
          <w:i w:val="0"/>
          <w:caps w:val="0"/>
          <w:spacing w:val="0"/>
          <w:w w:val="100"/>
          <w:sz w:val="24"/>
          <w:szCs w:val="20"/>
        </w:rPr>
        <w:t>同志，现任我单位</w:t>
      </w:r>
      <w:r>
        <w:rPr>
          <w:rFonts w:hint="eastAsia" w:ascii="仿宋_GB2312" w:hAnsi="仿宋_GB2312" w:eastAsia="仿宋_GB2312" w:cs="仿宋_GB2312"/>
          <w:b w:val="0"/>
          <w:i w:val="0"/>
          <w:caps w:val="0"/>
          <w:spacing w:val="0"/>
          <w:w w:val="100"/>
          <w:sz w:val="24"/>
          <w:szCs w:val="20"/>
          <w:u w:val="single" w:color="000000"/>
        </w:rPr>
        <w:t xml:space="preserve">          职</w:t>
      </w:r>
      <w:r>
        <w:rPr>
          <w:rFonts w:hint="eastAsia" w:ascii="仿宋_GB2312" w:hAnsi="仿宋_GB2312" w:eastAsia="仿宋_GB2312" w:cs="仿宋_GB2312"/>
          <w:b w:val="0"/>
          <w:i w:val="0"/>
          <w:caps w:val="0"/>
          <w:spacing w:val="0"/>
          <w:w w:val="100"/>
          <w:sz w:val="24"/>
          <w:szCs w:val="20"/>
        </w:rPr>
        <w:t>务，为法定代表人，特此证明。</w:t>
      </w:r>
    </w:p>
    <w:p w14:paraId="2CA7D8F9">
      <w:pPr>
        <w:snapToGrid/>
        <w:spacing w:before="0" w:beforeAutospacing="0" w:after="0" w:afterAutospacing="0" w:line="360" w:lineRule="auto"/>
        <w:ind w:firstLine="240" w:firstLineChars="100"/>
        <w:jc w:val="both"/>
        <w:textAlignment w:val="baseline"/>
        <w:rPr>
          <w:rFonts w:ascii="仿宋_GB2312" w:hAnsi="仿宋_GB2312" w:eastAsia="仿宋_GB2312" w:cs="仿宋_GB2312"/>
          <w:b w:val="0"/>
          <w:i w:val="0"/>
          <w:caps w:val="0"/>
          <w:spacing w:val="0"/>
          <w:w w:val="100"/>
          <w:sz w:val="24"/>
          <w:szCs w:val="20"/>
        </w:rPr>
      </w:pPr>
      <w:r>
        <w:rPr>
          <w:rFonts w:hint="eastAsia" w:ascii="仿宋_GB2312" w:hAnsi="仿宋_GB2312" w:eastAsia="仿宋_GB2312" w:cs="仿宋_GB2312"/>
          <w:b w:val="0"/>
          <w:i w:val="0"/>
          <w:caps w:val="0"/>
          <w:spacing w:val="0"/>
          <w:w w:val="100"/>
          <w:sz w:val="24"/>
          <w:szCs w:val="20"/>
        </w:rPr>
        <w:t xml:space="preserve">签发日期：                  单位：          </w:t>
      </w:r>
    </w:p>
    <w:p w14:paraId="0D45071A">
      <w:pPr>
        <w:snapToGrid/>
        <w:spacing w:before="0" w:beforeAutospacing="0" w:after="0" w:afterAutospacing="0" w:line="360" w:lineRule="auto"/>
        <w:ind w:firstLine="240" w:firstLineChars="100"/>
        <w:jc w:val="both"/>
        <w:textAlignment w:val="baseline"/>
        <w:rPr>
          <w:rFonts w:ascii="仿宋_GB2312" w:hAnsi="仿宋_GB2312" w:eastAsia="仿宋_GB2312" w:cs="仿宋_GB2312"/>
          <w:b w:val="0"/>
          <w:i w:val="0"/>
          <w:caps w:val="0"/>
          <w:spacing w:val="0"/>
          <w:w w:val="100"/>
          <w:sz w:val="24"/>
          <w:szCs w:val="20"/>
        </w:rPr>
      </w:pPr>
      <w:r>
        <w:rPr>
          <w:rFonts w:hint="eastAsia" w:ascii="仿宋_GB2312" w:hAnsi="仿宋_GB2312" w:eastAsia="仿宋_GB2312" w:cs="仿宋_GB2312"/>
          <w:b w:val="0"/>
          <w:i w:val="0"/>
          <w:caps w:val="0"/>
          <w:spacing w:val="0"/>
          <w:w w:val="100"/>
          <w:sz w:val="24"/>
          <w:szCs w:val="20"/>
        </w:rPr>
        <w:t>附：代表人性别：            年龄：           身份证号码：</w:t>
      </w:r>
    </w:p>
    <w:p w14:paraId="625D1249">
      <w:pPr>
        <w:snapToGrid/>
        <w:spacing w:before="0" w:beforeAutospacing="0" w:after="0" w:afterAutospacing="0" w:line="360" w:lineRule="auto"/>
        <w:ind w:firstLine="240" w:firstLineChars="100"/>
        <w:jc w:val="both"/>
        <w:textAlignment w:val="baseline"/>
        <w:rPr>
          <w:rFonts w:ascii="仿宋_GB2312" w:hAnsi="仿宋_GB2312" w:eastAsia="仿宋_GB2312" w:cs="仿宋_GB2312"/>
          <w:b w:val="0"/>
          <w:i w:val="0"/>
          <w:caps w:val="0"/>
          <w:spacing w:val="0"/>
          <w:w w:val="100"/>
          <w:sz w:val="24"/>
          <w:szCs w:val="20"/>
        </w:rPr>
      </w:pPr>
      <w:r>
        <w:rPr>
          <w:rFonts w:hint="eastAsia" w:ascii="仿宋_GB2312" w:hAnsi="仿宋_GB2312" w:eastAsia="仿宋_GB2312" w:cs="仿宋_GB2312"/>
          <w:b w:val="0"/>
          <w:i w:val="0"/>
          <w:caps w:val="0"/>
          <w:spacing w:val="0"/>
          <w:w w:val="100"/>
          <w:sz w:val="24"/>
          <w:szCs w:val="20"/>
        </w:rPr>
        <w:t>联系电话：</w:t>
      </w:r>
    </w:p>
    <w:p w14:paraId="12E51BA4">
      <w:pPr>
        <w:snapToGrid/>
        <w:spacing w:before="0" w:beforeAutospacing="0" w:after="0" w:afterAutospacing="0" w:line="360" w:lineRule="auto"/>
        <w:ind w:firstLine="240" w:firstLineChars="100"/>
        <w:jc w:val="both"/>
        <w:textAlignment w:val="baseline"/>
        <w:rPr>
          <w:rFonts w:ascii="仿宋_GB2312" w:hAnsi="仿宋_GB2312" w:eastAsia="仿宋_GB2312" w:cs="仿宋_GB2312"/>
          <w:b w:val="0"/>
          <w:i w:val="0"/>
          <w:caps w:val="0"/>
          <w:spacing w:val="0"/>
          <w:w w:val="100"/>
          <w:sz w:val="24"/>
          <w:szCs w:val="20"/>
        </w:rPr>
      </w:pPr>
      <w:r>
        <w:rPr>
          <w:rFonts w:hint="eastAsia" w:ascii="仿宋_GB2312" w:hAnsi="仿宋_GB2312" w:eastAsia="仿宋_GB2312" w:cs="仿宋_GB2312"/>
          <w:b w:val="0"/>
          <w:i w:val="0"/>
          <w:caps w:val="0"/>
          <w:spacing w:val="0"/>
          <w:w w:val="100"/>
          <w:sz w:val="24"/>
          <w:szCs w:val="20"/>
        </w:rPr>
        <w:t>营业执照号码：              经济性质：</w:t>
      </w:r>
    </w:p>
    <w:p w14:paraId="3E75F542">
      <w:pPr>
        <w:snapToGrid/>
        <w:spacing w:before="0" w:beforeAutospacing="0" w:after="0" w:afterAutospacing="0" w:line="360" w:lineRule="auto"/>
        <w:jc w:val="both"/>
        <w:textAlignment w:val="baseline"/>
        <w:rPr>
          <w:rFonts w:ascii="仿宋_GB2312" w:hAnsi="仿宋_GB2312" w:eastAsia="仿宋_GB2312" w:cs="仿宋_GB2312"/>
          <w:b w:val="0"/>
          <w:i w:val="0"/>
          <w:caps w:val="0"/>
          <w:spacing w:val="0"/>
          <w:w w:val="100"/>
          <w:sz w:val="24"/>
          <w:szCs w:val="20"/>
        </w:rPr>
      </w:pPr>
      <w:r>
        <w:rPr>
          <w:rFonts w:hint="eastAsia" w:ascii="仿宋_GB2312" w:hAnsi="仿宋_GB2312" w:eastAsia="仿宋_GB2312" w:cs="仿宋_GB2312"/>
          <w:b w:val="0"/>
          <w:i w:val="0"/>
          <w:caps w:val="0"/>
          <w:spacing w:val="0"/>
          <w:w w:val="100"/>
          <w:sz w:val="24"/>
          <w:szCs w:val="20"/>
        </w:rPr>
        <w:t>说明：</w:t>
      </w:r>
    </w:p>
    <w:p w14:paraId="41CF267C">
      <w:pPr>
        <w:snapToGrid/>
        <w:spacing w:before="0" w:beforeAutospacing="0" w:after="0" w:afterAutospacing="0" w:line="360" w:lineRule="auto"/>
        <w:ind w:firstLine="240" w:firstLineChars="100"/>
        <w:jc w:val="both"/>
        <w:textAlignment w:val="baseline"/>
        <w:rPr>
          <w:rFonts w:ascii="仿宋_GB2312" w:hAnsi="仿宋_GB2312" w:eastAsia="仿宋_GB2312" w:cs="仿宋_GB2312"/>
          <w:b w:val="0"/>
          <w:i w:val="0"/>
          <w:caps w:val="0"/>
          <w:spacing w:val="0"/>
          <w:w w:val="100"/>
          <w:sz w:val="24"/>
          <w:szCs w:val="20"/>
        </w:rPr>
      </w:pPr>
      <w:r>
        <w:rPr>
          <w:rFonts w:hint="eastAsia" w:ascii="仿宋_GB2312" w:hAnsi="仿宋_GB2312" w:eastAsia="仿宋_GB2312" w:cs="仿宋_GB2312"/>
          <w:b w:val="0"/>
          <w:i w:val="0"/>
          <w:caps w:val="0"/>
          <w:spacing w:val="0"/>
          <w:w w:val="100"/>
          <w:sz w:val="24"/>
          <w:szCs w:val="20"/>
        </w:rPr>
        <w:t>1、法定代表人为企业事业单位、国家机关、社会团体的主要行政负责人。</w:t>
      </w:r>
    </w:p>
    <w:p w14:paraId="1FC9D8AA">
      <w:pPr>
        <w:snapToGrid/>
        <w:spacing w:before="0" w:beforeAutospacing="0" w:after="0" w:afterAutospacing="0" w:line="360" w:lineRule="auto"/>
        <w:jc w:val="both"/>
        <w:textAlignment w:val="baseline"/>
        <w:rPr>
          <w:rFonts w:ascii="仿宋_GB2312" w:hAnsi="仿宋_GB2312" w:eastAsia="仿宋_GB2312" w:cs="仿宋_GB2312"/>
          <w:b w:val="0"/>
          <w:i w:val="0"/>
          <w:caps w:val="0"/>
          <w:spacing w:val="0"/>
          <w:w w:val="100"/>
          <w:sz w:val="24"/>
          <w:szCs w:val="20"/>
        </w:rPr>
      </w:pPr>
      <w:r>
        <w:rPr>
          <w:rFonts w:hint="eastAsia" w:ascii="仿宋_GB2312" w:hAnsi="仿宋_GB2312" w:eastAsia="仿宋_GB2312" w:cs="仿宋_GB2312"/>
          <w:b w:val="0"/>
          <w:i w:val="0"/>
          <w:caps w:val="0"/>
          <w:spacing w:val="0"/>
          <w:w w:val="100"/>
          <w:sz w:val="24"/>
          <w:szCs w:val="20"/>
        </w:rPr>
        <w:t xml:space="preserve">  2、内容必须填写真实、清楚、涂改无效，不得转让。</w:t>
      </w:r>
    </w:p>
    <w:p w14:paraId="00FCA178">
      <w:pPr>
        <w:snapToGrid/>
        <w:spacing w:before="0" w:beforeAutospacing="0" w:after="0" w:afterAutospacing="0" w:line="360" w:lineRule="auto"/>
        <w:ind w:firstLine="240" w:firstLineChars="100"/>
        <w:jc w:val="both"/>
        <w:textAlignment w:val="baseline"/>
        <w:rPr>
          <w:rFonts w:ascii="仿宋_GB2312" w:hAnsi="仿宋_GB2312" w:eastAsia="仿宋_GB2312" w:cs="仿宋_GB2312"/>
          <w:b w:val="0"/>
          <w:i w:val="0"/>
          <w:caps w:val="0"/>
          <w:spacing w:val="0"/>
          <w:w w:val="100"/>
          <w:sz w:val="24"/>
          <w:szCs w:val="20"/>
        </w:rPr>
      </w:pPr>
      <w:r>
        <w:rPr>
          <w:rFonts w:hint="eastAsia" w:ascii="仿宋_GB2312" w:hAnsi="仿宋_GB2312" w:eastAsia="仿宋_GB2312" w:cs="仿宋_GB2312"/>
          <w:b w:val="0"/>
          <w:i w:val="0"/>
          <w:caps w:val="0"/>
          <w:spacing w:val="0"/>
          <w:w w:val="100"/>
          <w:sz w:val="24"/>
          <w:szCs w:val="20"/>
        </w:rPr>
        <w:t>3、将此证明书原件提交采购代理机构作为响应文件附件。</w:t>
      </w:r>
    </w:p>
    <w:p w14:paraId="4875B62A">
      <w:pPr>
        <w:snapToGrid/>
        <w:spacing w:before="0" w:beforeAutospacing="0" w:after="0" w:afterAutospacing="0" w:line="360" w:lineRule="auto"/>
        <w:jc w:val="both"/>
        <w:textAlignment w:val="baseline"/>
        <w:rPr>
          <w:rFonts w:ascii="仿宋_GB2312" w:hAnsi="仿宋_GB2312" w:eastAsia="仿宋_GB2312" w:cs="仿宋_GB2312"/>
          <w:b w:val="0"/>
          <w:i w:val="0"/>
          <w:caps w:val="0"/>
          <w:spacing w:val="0"/>
          <w:w w:val="100"/>
          <w:sz w:val="24"/>
          <w:szCs w:val="20"/>
        </w:rPr>
      </w:pPr>
      <w:r>
        <w:rPr>
          <w:rFonts w:hint="eastAsia" w:ascii="仿宋_GB2312" w:hAnsi="仿宋_GB2312" w:eastAsia="仿宋_GB2312" w:cs="仿宋_GB2312"/>
          <w:b w:val="0"/>
          <w:i w:val="0"/>
          <w:caps w:val="0"/>
          <w:spacing w:val="0"/>
          <w:w w:val="100"/>
          <w:sz w:val="24"/>
          <w:szCs w:val="20"/>
        </w:rPr>
        <w:t xml:space="preserve">  (为避免废标，请供应商务必提供本附件)</w:t>
      </w:r>
    </w:p>
    <w:p w14:paraId="22082543">
      <w:pPr>
        <w:snapToGrid/>
        <w:spacing w:before="0" w:beforeAutospacing="0" w:after="0" w:afterAutospacing="0" w:line="360" w:lineRule="auto"/>
        <w:jc w:val="both"/>
        <w:textAlignment w:val="baseline"/>
        <w:rPr>
          <w:rFonts w:ascii="仿宋_GB2312" w:hAnsi="仿宋_GB2312" w:eastAsia="仿宋_GB2312" w:cs="仿宋_GB2312"/>
          <w:b w:val="0"/>
          <w:i w:val="0"/>
          <w:caps w:val="0"/>
          <w:spacing w:val="0"/>
          <w:w w:val="100"/>
          <w:sz w:val="24"/>
          <w:szCs w:val="20"/>
        </w:rPr>
      </w:pPr>
      <w:r>
        <w:rPr>
          <w:rFonts w:ascii="仿宋_GB2312" w:hAnsi="仿宋_GB2312" w:eastAsia="仿宋_GB2312" w:cs="仿宋_GB2312"/>
          <w:b w:val="0"/>
          <w:i w:val="0"/>
          <w:caps w:val="0"/>
          <w:spacing w:val="0"/>
          <w:w w:val="100"/>
          <w:sz w:val="24"/>
          <w:szCs w:val="20"/>
        </w:rPr>
        <mc:AlternateContent>
          <mc:Choice Requires="wps">
            <w:drawing>
              <wp:anchor distT="0" distB="0" distL="114300" distR="114300" simplePos="0" relativeHeight="251659264" behindDoc="0" locked="0" layoutInCell="1" allowOverlap="1">
                <wp:simplePos x="0" y="0"/>
                <wp:positionH relativeFrom="column">
                  <wp:posOffset>154305</wp:posOffset>
                </wp:positionH>
                <wp:positionV relativeFrom="paragraph">
                  <wp:posOffset>10795</wp:posOffset>
                </wp:positionV>
                <wp:extent cx="2333625" cy="1584325"/>
                <wp:effectExtent l="4445" t="4445" r="5080" b="11430"/>
                <wp:wrapNone/>
                <wp:docPr id="14" name="流程图: 可选过程 14"/>
                <wp:cNvGraphicFramePr/>
                <a:graphic xmlns:a="http://schemas.openxmlformats.org/drawingml/2006/main">
                  <a:graphicData uri="http://schemas.microsoft.com/office/word/2010/wordprocessingShape">
                    <wps:wsp>
                      <wps:cNvSpPr/>
                      <wps:spPr>
                        <a:xfrm>
                          <a:off x="0" y="0"/>
                          <a:ext cx="2333625" cy="1584325"/>
                        </a:xfrm>
                        <a:prstGeom prst="flowChartAlternateProcess">
                          <a:avLst/>
                        </a:prstGeom>
                        <a:solidFill>
                          <a:srgbClr val="FFFFFF"/>
                        </a:solidFill>
                        <a:ln w="9525" cap="flat" cmpd="sng">
                          <a:solidFill>
                            <a:srgbClr val="000000"/>
                          </a:solidFill>
                          <a:prstDash val="solid"/>
                          <a:miter/>
                          <a:headEnd type="none" w="med" len="med"/>
                          <a:tailEnd type="none" w="med" len="med"/>
                        </a:ln>
                        <a:effectLst/>
                      </wps:spPr>
                      <wps:txbx>
                        <w:txbxContent>
                          <w:p w14:paraId="409BAD46">
                            <w:pPr>
                              <w:jc w:val="center"/>
                              <w:rPr>
                                <w:rFonts w:hAnsi="宋体"/>
                                <w:szCs w:val="21"/>
                              </w:rPr>
                            </w:pPr>
                          </w:p>
                          <w:p w14:paraId="5171FE54">
                            <w:pPr>
                              <w:jc w:val="center"/>
                              <w:rPr>
                                <w:rFonts w:hAnsi="宋体"/>
                                <w:szCs w:val="21"/>
                              </w:rPr>
                            </w:pPr>
                          </w:p>
                          <w:p w14:paraId="33CDD50C">
                            <w:pPr>
                              <w:jc w:val="center"/>
                              <w:rPr>
                                <w:rFonts w:hAnsi="宋体"/>
                                <w:szCs w:val="21"/>
                              </w:rPr>
                            </w:pPr>
                          </w:p>
                          <w:p w14:paraId="02E9CEED">
                            <w:pPr>
                              <w:jc w:val="center"/>
                              <w:rPr>
                                <w:szCs w:val="21"/>
                              </w:rPr>
                            </w:pPr>
                            <w:r>
                              <w:rPr>
                                <w:rFonts w:hint="eastAsia" w:hAnsi="宋体"/>
                                <w:szCs w:val="21"/>
                              </w:rPr>
                              <w:t>法定代表人身份证复印件</w:t>
                            </w:r>
                          </w:p>
                        </w:txbxContent>
                      </wps:txbx>
                      <wps:bodyPr wrap="square" upright="1"/>
                    </wps:wsp>
                  </a:graphicData>
                </a:graphic>
              </wp:anchor>
            </w:drawing>
          </mc:Choice>
          <mc:Fallback>
            <w:pict>
              <v:shape id="_x0000_s1026" o:spid="_x0000_s1026" o:spt="176" type="#_x0000_t176" style="position:absolute;left:0pt;margin-left:12.15pt;margin-top:0.85pt;height:124.75pt;width:183.75pt;z-index:251659264;mso-width-relative:page;mso-height-relative:page;" fillcolor="#FFFFFF" filled="t" stroked="t" coordsize="21600,21600" o:gfxdata="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">
                <v:fill on="t" focussize="0,0"/>
                <v:stroke color="#000000" joinstyle="miter"/>
                <v:imagedata o:title=""/>
                <o:lock v:ext="edit" aspectratio="f"/>
                <v:textbox>
                  <w:txbxContent>
                    <w:p w14:paraId="409BAD46">
                      <w:pPr>
                        <w:jc w:val="center"/>
                        <w:rPr>
                          <w:rFonts w:hAnsi="宋体"/>
                          <w:szCs w:val="21"/>
                        </w:rPr>
                      </w:pPr>
                    </w:p>
                    <w:p w14:paraId="5171FE54">
                      <w:pPr>
                        <w:jc w:val="center"/>
                        <w:rPr>
                          <w:rFonts w:hAnsi="宋体"/>
                          <w:szCs w:val="21"/>
                        </w:rPr>
                      </w:pPr>
                    </w:p>
                    <w:p w14:paraId="33CDD50C">
                      <w:pPr>
                        <w:jc w:val="center"/>
                        <w:rPr>
                          <w:rFonts w:hAnsi="宋体"/>
                          <w:szCs w:val="21"/>
                        </w:rPr>
                      </w:pPr>
                    </w:p>
                    <w:p w14:paraId="02E9CEED">
                      <w:pPr>
                        <w:jc w:val="center"/>
                        <w:rPr>
                          <w:szCs w:val="21"/>
                        </w:rPr>
                      </w:pPr>
                      <w:r>
                        <w:rPr>
                          <w:rFonts w:hint="eastAsia" w:hAnsi="宋体"/>
                          <w:szCs w:val="21"/>
                        </w:rPr>
                        <w:t>法定代表人身份证复印件</w:t>
                      </w:r>
                    </w:p>
                  </w:txbxContent>
                </v:textbox>
              </v:shape>
            </w:pict>
          </mc:Fallback>
        </mc:AlternateContent>
      </w:r>
      <w:r>
        <w:rPr>
          <w:rFonts w:ascii="仿宋_GB2312" w:hAnsi="仿宋_GB2312" w:eastAsia="仿宋_GB2312" w:cs="仿宋_GB2312"/>
          <w:b w:val="0"/>
          <w:i w:val="0"/>
          <w:caps w:val="0"/>
          <w:spacing w:val="0"/>
          <w:w w:val="100"/>
          <w:sz w:val="24"/>
          <w:szCs w:val="20"/>
        </w:rPr>
        <mc:AlternateContent>
          <mc:Choice Requires="wps">
            <w:drawing>
              <wp:anchor distT="0" distB="0" distL="114300" distR="114300" simplePos="0" relativeHeight="251660288" behindDoc="0" locked="0" layoutInCell="1" allowOverlap="1">
                <wp:simplePos x="0" y="0"/>
                <wp:positionH relativeFrom="column">
                  <wp:posOffset>2918460</wp:posOffset>
                </wp:positionH>
                <wp:positionV relativeFrom="paragraph">
                  <wp:posOffset>28575</wp:posOffset>
                </wp:positionV>
                <wp:extent cx="2609850" cy="1557020"/>
                <wp:effectExtent l="7620" t="7620" r="11430" b="16510"/>
                <wp:wrapNone/>
                <wp:docPr id="15" name="圆角矩形 15"/>
                <wp:cNvGraphicFramePr/>
                <a:graphic xmlns:a="http://schemas.openxmlformats.org/drawingml/2006/main">
                  <a:graphicData uri="http://schemas.microsoft.com/office/word/2010/wordprocessingShape">
                    <wps:wsp>
                      <wps:cNvSpPr/>
                      <wps:spPr>
                        <a:xfrm>
                          <a:off x="0" y="0"/>
                          <a:ext cx="2609850" cy="1557020"/>
                        </a:xfrm>
                        <a:prstGeom prst="roundRect">
                          <a:avLst>
                            <a:gd name="adj" fmla="val 16667"/>
                          </a:avLst>
                        </a:prstGeom>
                        <a:solidFill>
                          <a:srgbClr val="FFFFFF"/>
                        </a:solidFill>
                        <a:ln w="15875" cap="flat" cmpd="sng">
                          <a:solidFill>
                            <a:srgbClr val="808080"/>
                          </a:solidFill>
                          <a:prstDash val="solid"/>
                          <a:headEnd type="none" w="med" len="med"/>
                          <a:tailEnd type="none" w="med" len="med"/>
                        </a:ln>
                        <a:effectLst/>
                      </wps:spPr>
                      <wps:txbx>
                        <w:txbxContent>
                          <w:p w14:paraId="2D63F3A2">
                            <w:pPr>
                              <w:jc w:val="center"/>
                              <w:rPr>
                                <w:rFonts w:hAnsi="宋体"/>
                                <w:szCs w:val="21"/>
                              </w:rPr>
                            </w:pPr>
                          </w:p>
                          <w:p w14:paraId="0DBA69E9">
                            <w:pPr>
                              <w:jc w:val="center"/>
                              <w:rPr>
                                <w:rFonts w:hAnsi="宋体"/>
                                <w:szCs w:val="21"/>
                              </w:rPr>
                            </w:pPr>
                          </w:p>
                          <w:p w14:paraId="3AE5ED70">
                            <w:pPr>
                              <w:jc w:val="center"/>
                              <w:rPr>
                                <w:rFonts w:hAnsi="宋体"/>
                                <w:szCs w:val="21"/>
                              </w:rPr>
                            </w:pPr>
                          </w:p>
                          <w:p w14:paraId="326D70D1">
                            <w:pPr>
                              <w:jc w:val="center"/>
                              <w:rPr>
                                <w:szCs w:val="21"/>
                              </w:rPr>
                            </w:pPr>
                            <w:r>
                              <w:rPr>
                                <w:rFonts w:hint="eastAsia" w:hAnsi="宋体"/>
                                <w:szCs w:val="21"/>
                              </w:rPr>
                              <w:t>法人身份证复印件反面</w:t>
                            </w:r>
                          </w:p>
                          <w:p w14:paraId="3CA33979"/>
                          <w:p w14:paraId="683B2F21">
                            <w:pPr>
                              <w:pStyle w:val="9"/>
                            </w:pPr>
                          </w:p>
                          <w:p w14:paraId="3E549DB5">
                            <w:pPr>
                              <w:pStyle w:val="9"/>
                            </w:pPr>
                          </w:p>
                          <w:p w14:paraId="307A57D9">
                            <w:pPr>
                              <w:pStyle w:val="9"/>
                            </w:pPr>
                          </w:p>
                          <w:p w14:paraId="1B55B926">
                            <w:pPr>
                              <w:pStyle w:val="9"/>
                            </w:pPr>
                          </w:p>
                        </w:txbxContent>
                      </wps:txbx>
                      <wps:bodyPr wrap="square" upright="1"/>
                    </wps:wsp>
                  </a:graphicData>
                </a:graphic>
              </wp:anchor>
            </w:drawing>
          </mc:Choice>
          <mc:Fallback>
            <w:pict>
              <v:roundrect id="_x0000_s1026" o:spid="_x0000_s1026" o:spt="2" style="position:absolute;left:0pt;margin-left:229.8pt;margin-top:2.25pt;height:122.6pt;width:205.5pt;z-index:251660288;mso-width-relative:page;mso-height-relative:page;" fillcolor="#FFFFFF" filled="t" stroked="t" coordsize="21600,21600" arcsize="0.166666666666667" o:gfxdata="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">
                <v:fill on="t" focussize="0,0"/>
                <v:stroke weight="1.25pt" color="#808080" joinstyle="round"/>
                <v:imagedata o:title=""/>
                <o:lock v:ext="edit" aspectratio="f"/>
                <v:textbox>
                  <w:txbxContent>
                    <w:p w14:paraId="2D63F3A2">
                      <w:pPr>
                        <w:jc w:val="center"/>
                        <w:rPr>
                          <w:rFonts w:hAnsi="宋体"/>
                          <w:szCs w:val="21"/>
                        </w:rPr>
                      </w:pPr>
                    </w:p>
                    <w:p w14:paraId="0DBA69E9">
                      <w:pPr>
                        <w:jc w:val="center"/>
                        <w:rPr>
                          <w:rFonts w:hAnsi="宋体"/>
                          <w:szCs w:val="21"/>
                        </w:rPr>
                      </w:pPr>
                    </w:p>
                    <w:p w14:paraId="3AE5ED70">
                      <w:pPr>
                        <w:jc w:val="center"/>
                        <w:rPr>
                          <w:rFonts w:hAnsi="宋体"/>
                          <w:szCs w:val="21"/>
                        </w:rPr>
                      </w:pPr>
                    </w:p>
                    <w:p w14:paraId="326D70D1">
                      <w:pPr>
                        <w:jc w:val="center"/>
                        <w:rPr>
                          <w:szCs w:val="21"/>
                        </w:rPr>
                      </w:pPr>
                      <w:r>
                        <w:rPr>
                          <w:rFonts w:hint="eastAsia" w:hAnsi="宋体"/>
                          <w:szCs w:val="21"/>
                        </w:rPr>
                        <w:t>法人身份证复印件反面</w:t>
                      </w:r>
                    </w:p>
                    <w:p w14:paraId="3CA33979"/>
                    <w:p w14:paraId="683B2F21">
                      <w:pPr>
                        <w:pStyle w:val="9"/>
                      </w:pPr>
                    </w:p>
                    <w:p w14:paraId="3E549DB5">
                      <w:pPr>
                        <w:pStyle w:val="9"/>
                      </w:pPr>
                    </w:p>
                    <w:p w14:paraId="307A57D9">
                      <w:pPr>
                        <w:pStyle w:val="9"/>
                      </w:pPr>
                    </w:p>
                    <w:p w14:paraId="1B55B926">
                      <w:pPr>
                        <w:pStyle w:val="9"/>
                      </w:pPr>
                    </w:p>
                  </w:txbxContent>
                </v:textbox>
              </v:roundrect>
            </w:pict>
          </mc:Fallback>
        </mc:AlternateContent>
      </w:r>
    </w:p>
    <w:p w14:paraId="635D9417">
      <w:pPr>
        <w:snapToGrid/>
        <w:spacing w:before="0" w:beforeAutospacing="0" w:after="0" w:afterAutospacing="0" w:line="360" w:lineRule="auto"/>
        <w:jc w:val="both"/>
        <w:textAlignment w:val="baseline"/>
        <w:rPr>
          <w:rFonts w:ascii="仿宋_GB2312" w:hAnsi="仿宋_GB2312" w:eastAsia="仿宋_GB2312" w:cs="仿宋_GB2312"/>
          <w:b w:val="0"/>
          <w:i w:val="0"/>
          <w:caps w:val="0"/>
          <w:spacing w:val="0"/>
          <w:w w:val="100"/>
          <w:sz w:val="24"/>
          <w:szCs w:val="20"/>
        </w:rPr>
      </w:pPr>
    </w:p>
    <w:p w14:paraId="7E1AE473">
      <w:pPr>
        <w:snapToGrid/>
        <w:spacing w:before="0" w:beforeAutospacing="0" w:after="0" w:afterAutospacing="0" w:line="360" w:lineRule="auto"/>
        <w:jc w:val="both"/>
        <w:textAlignment w:val="baseline"/>
        <w:rPr>
          <w:rFonts w:ascii="仿宋_GB2312" w:hAnsi="仿宋_GB2312" w:eastAsia="仿宋_GB2312" w:cs="仿宋_GB2312"/>
          <w:b w:val="0"/>
          <w:i w:val="0"/>
          <w:caps w:val="0"/>
          <w:spacing w:val="0"/>
          <w:w w:val="100"/>
          <w:sz w:val="24"/>
          <w:szCs w:val="20"/>
        </w:rPr>
      </w:pPr>
    </w:p>
    <w:p w14:paraId="6C6CF94F">
      <w:pPr>
        <w:tabs>
          <w:tab w:val="left" w:pos="654"/>
          <w:tab w:val="left" w:pos="1734"/>
          <w:tab w:val="left" w:pos="2814"/>
          <w:tab w:val="left" w:pos="3894"/>
          <w:tab w:val="left" w:pos="5334"/>
          <w:tab w:val="left" w:pos="6414"/>
          <w:tab w:val="left" w:pos="7254"/>
          <w:tab w:val="left" w:pos="8574"/>
          <w:tab w:val="left" w:pos="9654"/>
        </w:tabs>
        <w:snapToGrid/>
        <w:spacing w:before="0" w:beforeAutospacing="0" w:after="0" w:afterAutospacing="0" w:line="360" w:lineRule="auto"/>
        <w:jc w:val="both"/>
        <w:textAlignment w:val="baseline"/>
        <w:rPr>
          <w:rFonts w:ascii="仿宋_GB2312" w:hAnsi="仿宋_GB2312" w:eastAsia="仿宋_GB2312" w:cs="仿宋_GB2312"/>
          <w:b w:val="0"/>
          <w:i w:val="0"/>
          <w:caps w:val="0"/>
          <w:spacing w:val="0"/>
          <w:w w:val="100"/>
          <w:sz w:val="24"/>
          <w:szCs w:val="20"/>
        </w:rPr>
      </w:pPr>
    </w:p>
    <w:p w14:paraId="21D1FB0E">
      <w:pPr>
        <w:snapToGrid/>
        <w:spacing w:before="0" w:beforeAutospacing="0" w:after="0" w:afterAutospacing="0" w:line="360" w:lineRule="auto"/>
        <w:ind w:right="246"/>
        <w:jc w:val="both"/>
        <w:textAlignment w:val="baseline"/>
        <w:rPr>
          <w:rFonts w:ascii="仿宋_GB2312" w:hAnsi="仿宋_GB2312" w:eastAsia="仿宋_GB2312" w:cs="仿宋_GB2312"/>
          <w:b w:val="0"/>
          <w:i w:val="0"/>
          <w:caps w:val="0"/>
          <w:spacing w:val="0"/>
          <w:w w:val="100"/>
          <w:sz w:val="24"/>
          <w:szCs w:val="20"/>
        </w:rPr>
      </w:pPr>
    </w:p>
    <w:p w14:paraId="302572DF">
      <w:pPr>
        <w:snapToGrid/>
        <w:spacing w:before="0" w:beforeAutospacing="0" w:after="0" w:afterAutospacing="0" w:line="360" w:lineRule="auto"/>
        <w:ind w:right="246" w:firstLine="784" w:firstLineChars="327"/>
        <w:jc w:val="both"/>
        <w:textAlignment w:val="baseline"/>
        <w:rPr>
          <w:rFonts w:ascii="仿宋_GB2312" w:hAnsi="仿宋_GB2312" w:eastAsia="仿宋_GB2312" w:cs="仿宋_GB2312"/>
          <w:b w:val="0"/>
          <w:i w:val="0"/>
          <w:caps w:val="0"/>
          <w:spacing w:val="0"/>
          <w:w w:val="100"/>
          <w:sz w:val="24"/>
          <w:szCs w:val="20"/>
        </w:rPr>
      </w:pPr>
    </w:p>
    <w:p w14:paraId="5DB3D673">
      <w:pPr>
        <w:snapToGrid/>
        <w:spacing w:before="0" w:beforeAutospacing="0" w:after="0" w:afterAutospacing="0" w:line="360" w:lineRule="auto"/>
        <w:ind w:right="246" w:firstLine="784" w:firstLineChars="327"/>
        <w:jc w:val="both"/>
        <w:textAlignment w:val="baseline"/>
        <w:rPr>
          <w:rFonts w:ascii="仿宋_GB2312" w:hAnsi="仿宋_GB2312" w:eastAsia="仿宋_GB2312" w:cs="仿宋_GB2312"/>
          <w:b w:val="0"/>
          <w:i w:val="0"/>
          <w:caps w:val="0"/>
          <w:spacing w:val="0"/>
          <w:w w:val="100"/>
          <w:sz w:val="24"/>
          <w:szCs w:val="20"/>
        </w:rPr>
      </w:pPr>
    </w:p>
    <w:p w14:paraId="553578F8">
      <w:pPr>
        <w:snapToGrid/>
        <w:spacing w:before="0" w:beforeAutospacing="0" w:after="0" w:afterAutospacing="0" w:line="360" w:lineRule="auto"/>
        <w:ind w:right="246" w:firstLine="784" w:firstLineChars="327"/>
        <w:jc w:val="both"/>
        <w:textAlignment w:val="baseline"/>
        <w:rPr>
          <w:rFonts w:ascii="仿宋_GB2312" w:hAnsi="仿宋_GB2312" w:eastAsia="仿宋_GB2312" w:cs="仿宋_GB2312"/>
          <w:b w:val="0"/>
          <w:i w:val="0"/>
          <w:caps w:val="0"/>
          <w:spacing w:val="0"/>
          <w:w w:val="100"/>
          <w:sz w:val="24"/>
          <w:szCs w:val="20"/>
        </w:rPr>
      </w:pPr>
      <w:r>
        <w:rPr>
          <w:rFonts w:hint="eastAsia" w:ascii="仿宋_GB2312" w:hAnsi="仿宋_GB2312" w:eastAsia="仿宋_GB2312" w:cs="仿宋_GB2312"/>
          <w:b w:val="0"/>
          <w:i w:val="0"/>
          <w:caps w:val="0"/>
          <w:spacing w:val="0"/>
          <w:w w:val="100"/>
          <w:sz w:val="24"/>
          <w:szCs w:val="20"/>
        </w:rPr>
        <w:t xml:space="preserve">供应商（盖章）：                              </w:t>
      </w:r>
    </w:p>
    <w:p w14:paraId="47506C41">
      <w:pPr>
        <w:snapToGrid w:val="0"/>
        <w:spacing w:before="0" w:beforeAutospacing="0" w:after="0" w:afterAutospacing="0" w:line="360" w:lineRule="auto"/>
        <w:ind w:firstLine="784" w:firstLineChars="327"/>
        <w:jc w:val="both"/>
        <w:textAlignment w:val="baseline"/>
        <w:rPr>
          <w:rFonts w:ascii="仿宋_GB2312" w:hAnsi="仿宋_GB2312" w:eastAsia="仿宋_GB2312" w:cs="仿宋_GB2312"/>
          <w:b w:val="0"/>
          <w:i w:val="0"/>
          <w:caps w:val="0"/>
          <w:spacing w:val="0"/>
          <w:w w:val="100"/>
          <w:sz w:val="24"/>
          <w:szCs w:val="20"/>
        </w:rPr>
      </w:pPr>
      <w:r>
        <w:rPr>
          <w:rFonts w:hint="eastAsia" w:ascii="仿宋_GB2312" w:hAnsi="仿宋_GB2312" w:eastAsia="仿宋_GB2312" w:cs="仿宋_GB2312"/>
          <w:b w:val="0"/>
          <w:i w:val="0"/>
          <w:caps w:val="0"/>
          <w:spacing w:val="0"/>
          <w:w w:val="100"/>
          <w:sz w:val="24"/>
          <w:szCs w:val="20"/>
        </w:rPr>
        <w:t>法定代表人</w:t>
      </w:r>
      <w:r>
        <w:rPr>
          <w:rFonts w:hint="eastAsia" w:ascii="仿宋_GB2312" w:hAnsi="仿宋_GB2312" w:eastAsia="仿宋_GB2312" w:cs="仿宋_GB2312"/>
          <w:b w:val="0"/>
          <w:i w:val="0"/>
          <w:caps w:val="0"/>
          <w:spacing w:val="0"/>
          <w:w w:val="100"/>
          <w:sz w:val="24"/>
          <w:szCs w:val="20"/>
          <w:lang w:eastAsia="zh-CN"/>
        </w:rPr>
        <w:t>（</w:t>
      </w:r>
      <w:r>
        <w:rPr>
          <w:rFonts w:hint="eastAsia" w:ascii="仿宋_GB2312" w:hAnsi="仿宋_GB2312" w:eastAsia="仿宋_GB2312" w:cs="仿宋_GB2312"/>
          <w:b w:val="0"/>
          <w:i w:val="0"/>
          <w:caps w:val="0"/>
          <w:spacing w:val="0"/>
          <w:w w:val="100"/>
          <w:sz w:val="24"/>
          <w:szCs w:val="20"/>
        </w:rPr>
        <w:t>签字或签章</w:t>
      </w:r>
      <w:r>
        <w:rPr>
          <w:rFonts w:hint="eastAsia" w:ascii="仿宋_GB2312" w:hAnsi="仿宋_GB2312" w:eastAsia="仿宋_GB2312" w:cs="仿宋_GB2312"/>
          <w:b w:val="0"/>
          <w:i w:val="0"/>
          <w:caps w:val="0"/>
          <w:spacing w:val="0"/>
          <w:w w:val="100"/>
          <w:sz w:val="24"/>
          <w:szCs w:val="20"/>
          <w:lang w:eastAsia="zh-CN"/>
        </w:rPr>
        <w:t>）</w:t>
      </w:r>
      <w:r>
        <w:rPr>
          <w:rFonts w:hint="eastAsia" w:ascii="仿宋_GB2312" w:hAnsi="仿宋_GB2312" w:eastAsia="仿宋_GB2312" w:cs="仿宋_GB2312"/>
          <w:b w:val="0"/>
          <w:i w:val="0"/>
          <w:caps w:val="0"/>
          <w:spacing w:val="0"/>
          <w:w w:val="100"/>
          <w:sz w:val="24"/>
          <w:szCs w:val="20"/>
        </w:rPr>
        <w:t xml:space="preserve">：                    </w:t>
      </w:r>
    </w:p>
    <w:p w14:paraId="68BE3AB2">
      <w:pPr>
        <w:snapToGrid w:val="0"/>
        <w:spacing w:before="0" w:beforeAutospacing="0" w:after="0" w:afterAutospacing="0" w:line="360" w:lineRule="auto"/>
        <w:ind w:firstLine="784" w:firstLineChars="327"/>
        <w:jc w:val="both"/>
        <w:textAlignment w:val="baseline"/>
        <w:rPr>
          <w:rFonts w:ascii="仿宋_GB2312" w:hAnsi="仿宋_GB2312" w:eastAsia="仿宋_GB2312" w:cs="仿宋_GB2312"/>
          <w:b w:val="0"/>
          <w:i w:val="0"/>
          <w:caps w:val="0"/>
          <w:spacing w:val="0"/>
          <w:w w:val="100"/>
          <w:sz w:val="24"/>
          <w:szCs w:val="20"/>
        </w:rPr>
      </w:pPr>
      <w:r>
        <w:rPr>
          <w:rFonts w:hint="eastAsia" w:ascii="仿宋_GB2312" w:hAnsi="仿宋_GB2312" w:eastAsia="仿宋_GB2312" w:cs="仿宋_GB2312"/>
          <w:b w:val="0"/>
          <w:i w:val="0"/>
          <w:caps w:val="0"/>
          <w:spacing w:val="0"/>
          <w:w w:val="100"/>
          <w:sz w:val="24"/>
          <w:szCs w:val="20"/>
        </w:rPr>
        <w:t xml:space="preserve">日期：                                       </w:t>
      </w:r>
    </w:p>
    <w:p w14:paraId="34A80390">
      <w:pPr>
        <w:pStyle w:val="20"/>
        <w:tabs>
          <w:tab w:val="left" w:pos="5580"/>
        </w:tabs>
        <w:snapToGrid/>
        <w:spacing w:before="0" w:beforeAutospacing="0" w:after="0" w:afterAutospacing="0" w:line="240" w:lineRule="atLeast"/>
        <w:ind w:left="1079" w:leftChars="257" w:hanging="540"/>
        <w:jc w:val="both"/>
        <w:textAlignment w:val="baseline"/>
        <w:rPr>
          <w:rFonts w:ascii="仿宋_GB2312" w:hAnsi="仿宋_GB2312" w:eastAsia="仿宋_GB2312" w:cs="仿宋_GB2312"/>
          <w:b w:val="0"/>
          <w:i w:val="0"/>
          <w:caps w:val="0"/>
          <w:spacing w:val="0"/>
          <w:w w:val="100"/>
          <w:sz w:val="24"/>
        </w:rPr>
      </w:pPr>
    </w:p>
    <w:p w14:paraId="01FE88D6">
      <w:pPr>
        <w:pStyle w:val="20"/>
        <w:tabs>
          <w:tab w:val="left" w:pos="5580"/>
        </w:tabs>
        <w:snapToGrid/>
        <w:spacing w:before="0" w:beforeAutospacing="0" w:after="0" w:afterAutospacing="0" w:line="240" w:lineRule="atLeast"/>
        <w:ind w:left="1079" w:leftChars="257" w:hanging="540"/>
        <w:jc w:val="both"/>
        <w:textAlignment w:val="baseline"/>
        <w:rPr>
          <w:rFonts w:ascii="仿宋_GB2312" w:hAnsi="仿宋_GB2312" w:eastAsia="仿宋_GB2312" w:cs="仿宋_GB2312"/>
          <w:b w:val="0"/>
          <w:i w:val="0"/>
          <w:caps w:val="0"/>
          <w:spacing w:val="0"/>
          <w:w w:val="100"/>
          <w:sz w:val="24"/>
        </w:rPr>
      </w:pPr>
    </w:p>
    <w:p w14:paraId="422E6404">
      <w:pPr>
        <w:pStyle w:val="20"/>
        <w:tabs>
          <w:tab w:val="left" w:pos="5580"/>
        </w:tabs>
        <w:snapToGrid/>
        <w:spacing w:before="0" w:beforeAutospacing="0" w:after="0" w:afterAutospacing="0" w:line="240" w:lineRule="atLeast"/>
        <w:jc w:val="both"/>
        <w:textAlignment w:val="baseline"/>
        <w:rPr>
          <w:rFonts w:ascii="仿宋_GB2312" w:hAnsi="仿宋_GB2312" w:eastAsia="仿宋_GB2312" w:cs="仿宋_GB2312"/>
          <w:b w:val="0"/>
          <w:i w:val="0"/>
          <w:caps w:val="0"/>
          <w:spacing w:val="0"/>
          <w:w w:val="100"/>
          <w:sz w:val="24"/>
        </w:rPr>
      </w:pPr>
    </w:p>
    <w:p w14:paraId="1FEDA062">
      <w:pPr>
        <w:pStyle w:val="4"/>
        <w:keepNext/>
        <w:keepLines/>
        <w:pageBreakBefore w:val="0"/>
        <w:widowControl/>
        <w:kinsoku/>
        <w:wordWrap/>
        <w:overflowPunct/>
        <w:topLinePunct w:val="0"/>
        <w:autoSpaceDE w:val="0"/>
        <w:autoSpaceDN w:val="0"/>
        <w:bidi w:val="0"/>
        <w:adjustRightInd w:val="0"/>
        <w:snapToGrid/>
        <w:spacing w:before="0" w:beforeAutospacing="0" w:after="0" w:afterAutospacing="0" w:line="288" w:lineRule="auto"/>
        <w:jc w:val="both"/>
        <w:textAlignment w:val="baseline"/>
        <w:outlineLvl w:val="2"/>
        <w:rPr>
          <w:rFonts w:hint="eastAsia" w:ascii="仿宋_GB2312" w:hAnsi="仿宋_GB2312" w:eastAsia="仿宋_GB2312" w:cs="仿宋_GB2312"/>
          <w:b/>
          <w:i w:val="0"/>
          <w:caps w:val="0"/>
          <w:spacing w:val="0"/>
          <w:w w:val="100"/>
          <w:sz w:val="24"/>
          <w:u w:val="none"/>
        </w:rPr>
      </w:pPr>
      <w:bookmarkStart w:id="1120" w:name="_Toc28191"/>
      <w:bookmarkStart w:id="1121" w:name="_Toc30696"/>
      <w:bookmarkStart w:id="1122" w:name="_Toc6391"/>
      <w:bookmarkStart w:id="1123" w:name="_Toc6725"/>
      <w:bookmarkStart w:id="1124" w:name="_Toc1302"/>
      <w:bookmarkStart w:id="1125" w:name="_Toc19476"/>
    </w:p>
    <w:p w14:paraId="33A3F777">
      <w:pPr>
        <w:pStyle w:val="4"/>
        <w:keepNext/>
        <w:keepLines/>
        <w:pageBreakBefore w:val="0"/>
        <w:widowControl/>
        <w:kinsoku/>
        <w:wordWrap/>
        <w:overflowPunct/>
        <w:topLinePunct w:val="0"/>
        <w:autoSpaceDE w:val="0"/>
        <w:autoSpaceDN w:val="0"/>
        <w:bidi w:val="0"/>
        <w:adjustRightInd w:val="0"/>
        <w:snapToGrid/>
        <w:spacing w:before="0" w:beforeAutospacing="0" w:after="0" w:afterAutospacing="0" w:line="288" w:lineRule="auto"/>
        <w:ind w:left="1078" w:leftChars="257" w:hanging="539"/>
        <w:jc w:val="center"/>
        <w:textAlignment w:val="baseline"/>
        <w:outlineLvl w:val="2"/>
        <w:rPr>
          <w:rFonts w:hint="eastAsia" w:ascii="仿宋_GB2312" w:hAnsi="仿宋_GB2312" w:eastAsia="仿宋_GB2312" w:cs="仿宋_GB2312"/>
          <w:b/>
          <w:i w:val="0"/>
          <w:caps w:val="0"/>
          <w:spacing w:val="0"/>
          <w:w w:val="100"/>
          <w:sz w:val="24"/>
          <w:u w:val="none"/>
        </w:rPr>
      </w:pPr>
    </w:p>
    <w:p w14:paraId="6190DA39">
      <w:pPr>
        <w:rPr>
          <w:rFonts w:hint="eastAsia"/>
        </w:rPr>
      </w:pPr>
    </w:p>
    <w:p w14:paraId="12985E9A">
      <w:pPr>
        <w:pStyle w:val="4"/>
        <w:keepNext/>
        <w:keepLines/>
        <w:pageBreakBefore w:val="0"/>
        <w:widowControl/>
        <w:kinsoku/>
        <w:wordWrap/>
        <w:overflowPunct/>
        <w:topLinePunct w:val="0"/>
        <w:autoSpaceDE w:val="0"/>
        <w:autoSpaceDN w:val="0"/>
        <w:bidi w:val="0"/>
        <w:adjustRightInd w:val="0"/>
        <w:snapToGrid/>
        <w:spacing w:before="0" w:beforeAutospacing="0" w:after="0" w:afterAutospacing="0" w:line="288" w:lineRule="auto"/>
        <w:ind w:left="1078" w:leftChars="257" w:hanging="539"/>
        <w:jc w:val="center"/>
        <w:textAlignment w:val="baseline"/>
        <w:outlineLvl w:val="2"/>
        <w:rPr>
          <w:rFonts w:hint="eastAsia" w:ascii="仿宋_GB2312" w:hAnsi="仿宋_GB2312" w:eastAsia="仿宋_GB2312" w:cs="仿宋_GB2312"/>
          <w:b/>
          <w:i w:val="0"/>
          <w:caps w:val="0"/>
          <w:spacing w:val="0"/>
          <w:w w:val="100"/>
          <w:sz w:val="24"/>
          <w:u w:val="none"/>
        </w:rPr>
      </w:pPr>
      <w:bookmarkStart w:id="1126" w:name="_Toc8800"/>
      <w:bookmarkStart w:id="1127" w:name="_Toc26022"/>
      <w:bookmarkStart w:id="1128" w:name="_Toc5078"/>
      <w:bookmarkStart w:id="1129" w:name="_Toc8720"/>
      <w:bookmarkStart w:id="1130" w:name="_Toc23323"/>
      <w:bookmarkStart w:id="1131" w:name="_Toc26792"/>
      <w:r>
        <w:rPr>
          <w:rFonts w:hint="eastAsia" w:ascii="仿宋_GB2312" w:hAnsi="仿宋_GB2312" w:eastAsia="仿宋_GB2312" w:cs="仿宋_GB2312"/>
          <w:b/>
          <w:i w:val="0"/>
          <w:caps w:val="0"/>
          <w:spacing w:val="0"/>
          <w:w w:val="100"/>
          <w:sz w:val="24"/>
          <w:u w:val="none"/>
        </w:rPr>
        <w:t>4  法定代表人授权委托书</w:t>
      </w:r>
      <w:bookmarkEnd w:id="1120"/>
      <w:bookmarkEnd w:id="1121"/>
      <w:bookmarkEnd w:id="1122"/>
      <w:bookmarkEnd w:id="1123"/>
      <w:bookmarkEnd w:id="1124"/>
      <w:bookmarkEnd w:id="1125"/>
      <w:bookmarkEnd w:id="1126"/>
      <w:bookmarkEnd w:id="1127"/>
      <w:bookmarkEnd w:id="1128"/>
      <w:bookmarkEnd w:id="1129"/>
      <w:bookmarkEnd w:id="1130"/>
      <w:bookmarkEnd w:id="1131"/>
    </w:p>
    <w:p w14:paraId="3F36B12B">
      <w:pPr>
        <w:pStyle w:val="20"/>
        <w:tabs>
          <w:tab w:val="left" w:pos="5580"/>
        </w:tabs>
        <w:snapToGrid/>
        <w:spacing w:before="0" w:beforeAutospacing="0" w:after="0" w:afterAutospacing="0" w:line="240" w:lineRule="atLeast"/>
        <w:ind w:firstLine="480" w:firstLineChars="200"/>
        <w:jc w:val="both"/>
        <w:textAlignment w:val="baseline"/>
        <w:rPr>
          <w:rFonts w:hint="eastAsia" w:ascii="仿宋_GB2312" w:hAnsi="仿宋_GB2312" w:eastAsia="仿宋_GB2312" w:cs="仿宋_GB2312"/>
          <w:b w:val="0"/>
          <w:i w:val="0"/>
          <w:caps w:val="0"/>
          <w:spacing w:val="0"/>
          <w:w w:val="100"/>
          <w:sz w:val="24"/>
        </w:rPr>
      </w:pPr>
    </w:p>
    <w:p w14:paraId="0948ACC6">
      <w:pPr>
        <w:pStyle w:val="20"/>
        <w:keepNext w:val="0"/>
        <w:keepLines w:val="0"/>
        <w:pageBreakBefore w:val="0"/>
        <w:widowControl w:val="0"/>
        <w:tabs>
          <w:tab w:val="left" w:pos="5580"/>
        </w:tabs>
        <w:kinsoku/>
        <w:wordWrap/>
        <w:overflowPunct/>
        <w:topLinePunct w:val="0"/>
        <w:autoSpaceDE/>
        <w:autoSpaceDN/>
        <w:bidi w:val="0"/>
        <w:adjustRightInd/>
        <w:snapToGrid/>
        <w:spacing w:before="0" w:beforeAutospacing="0" w:after="0" w:afterAutospacing="0" w:line="560" w:lineRule="exact"/>
        <w:ind w:firstLine="480" w:firstLineChars="200"/>
        <w:jc w:val="both"/>
        <w:textAlignment w:val="baseline"/>
        <w:rPr>
          <w:rFonts w:ascii="仿宋_GB2312" w:hAnsi="仿宋_GB2312" w:eastAsia="仿宋_GB2312" w:cs="仿宋_GB2312"/>
          <w:b w:val="0"/>
          <w:i w:val="0"/>
          <w:caps w:val="0"/>
          <w:spacing w:val="0"/>
          <w:w w:val="100"/>
          <w:sz w:val="24"/>
        </w:rPr>
      </w:pPr>
      <w:r>
        <w:rPr>
          <w:rFonts w:hint="eastAsia" w:ascii="仿宋_GB2312" w:hAnsi="仿宋_GB2312" w:eastAsia="仿宋_GB2312" w:cs="仿宋_GB2312"/>
          <w:b w:val="0"/>
          <w:i w:val="0"/>
          <w:caps w:val="0"/>
          <w:spacing w:val="0"/>
          <w:w w:val="100"/>
          <w:sz w:val="24"/>
        </w:rPr>
        <w:t xml:space="preserve"> 本授权书声明：注册于（国家或地区的名称）的（供应商）的在下面签字的（法人代表姓名、职务）代表我单位授权（单位名称）的在下面签字的（被授权人的姓名、职务）为我单位的合法代理人，就</w:t>
      </w:r>
      <w:r>
        <w:rPr>
          <w:rFonts w:hint="eastAsia" w:ascii="仿宋_GB2312" w:hAnsi="仿宋_GB2312" w:eastAsia="仿宋_GB2312" w:cs="仿宋_GB2312"/>
          <w:b w:val="0"/>
          <w:i w:val="0"/>
          <w:caps w:val="0"/>
          <w:spacing w:val="0"/>
          <w:w w:val="100"/>
          <w:sz w:val="24"/>
          <w:lang w:eastAsia="zh-CN"/>
        </w:rPr>
        <w:t>（</w:t>
      </w:r>
      <w:r>
        <w:rPr>
          <w:rFonts w:hint="eastAsia" w:ascii="仿宋_GB2312" w:hAnsi="仿宋_GB2312" w:eastAsia="仿宋_GB2312" w:cs="仿宋_GB2312"/>
          <w:b w:val="0"/>
          <w:i w:val="0"/>
          <w:caps w:val="0"/>
          <w:spacing w:val="0"/>
          <w:w w:val="100"/>
          <w:sz w:val="24"/>
        </w:rPr>
        <w:t>项 目 名 称</w:t>
      </w:r>
      <w:r>
        <w:rPr>
          <w:rFonts w:hint="eastAsia" w:ascii="仿宋_GB2312" w:hAnsi="仿宋_GB2312" w:eastAsia="仿宋_GB2312" w:cs="仿宋_GB2312"/>
          <w:b w:val="0"/>
          <w:i w:val="0"/>
          <w:caps w:val="0"/>
          <w:spacing w:val="0"/>
          <w:w w:val="100"/>
          <w:sz w:val="24"/>
          <w:lang w:eastAsia="zh-CN"/>
        </w:rPr>
        <w:t>、</w:t>
      </w:r>
      <w:r>
        <w:rPr>
          <w:rFonts w:hint="eastAsia" w:ascii="仿宋_GB2312" w:hAnsi="仿宋_GB2312" w:eastAsia="仿宋_GB2312" w:cs="仿宋_GB2312"/>
          <w:b w:val="0"/>
          <w:i w:val="0"/>
          <w:caps w:val="0"/>
          <w:spacing w:val="0"/>
          <w:w w:val="100"/>
          <w:sz w:val="24"/>
        </w:rPr>
        <w:t xml:space="preserve"> 项目编号）公开招标，以我单位名义处理一切与之有关的事务。</w:t>
      </w:r>
      <w:r>
        <w:rPr>
          <w:rFonts w:hint="eastAsia" w:ascii="仿宋_GB2312" w:hAnsi="仿宋_GB2312" w:eastAsia="仿宋_GB2312" w:cs="仿宋_GB2312"/>
          <w:b w:val="0"/>
          <w:i w:val="0"/>
          <w:caps w:val="0"/>
          <w:spacing w:val="0"/>
          <w:w w:val="100"/>
          <w:sz w:val="24"/>
        </w:rPr>
        <w:cr/>
      </w:r>
      <w:r>
        <w:rPr>
          <w:rFonts w:hint="eastAsia" w:ascii="仿宋_GB2312" w:hAnsi="仿宋_GB2312" w:eastAsia="仿宋_GB2312" w:cs="仿宋_GB2312"/>
          <w:b w:val="0"/>
          <w:i w:val="0"/>
          <w:caps w:val="0"/>
          <w:spacing w:val="0"/>
          <w:w w:val="100"/>
          <w:sz w:val="24"/>
        </w:rPr>
        <w:t>　　</w:t>
      </w:r>
    </w:p>
    <w:p w14:paraId="7B89B360">
      <w:pPr>
        <w:pStyle w:val="20"/>
        <w:tabs>
          <w:tab w:val="left" w:pos="5580"/>
        </w:tabs>
        <w:snapToGrid/>
        <w:spacing w:before="0" w:beforeAutospacing="0" w:after="0" w:afterAutospacing="0" w:line="240" w:lineRule="atLeast"/>
        <w:ind w:left="1154" w:leftChars="485" w:hanging="136" w:hangingChars="57"/>
        <w:jc w:val="both"/>
        <w:textAlignment w:val="baseline"/>
        <w:rPr>
          <w:rFonts w:ascii="仿宋_GB2312" w:hAnsi="仿宋_GB2312" w:eastAsia="仿宋_GB2312" w:cs="仿宋_GB2312"/>
          <w:b w:val="0"/>
          <w:i w:val="0"/>
          <w:caps w:val="0"/>
          <w:spacing w:val="0"/>
          <w:w w:val="100"/>
          <w:sz w:val="24"/>
        </w:rPr>
      </w:pPr>
      <w:r>
        <w:rPr>
          <w:rFonts w:hint="eastAsia" w:ascii="仿宋_GB2312" w:hAnsi="仿宋_GB2312" w:eastAsia="仿宋_GB2312" w:cs="仿宋_GB2312"/>
          <w:b w:val="0"/>
          <w:i w:val="0"/>
          <w:caps w:val="0"/>
          <w:spacing w:val="0"/>
          <w:w w:val="100"/>
          <w:sz w:val="24"/>
        </w:rPr>
        <w:t>本授权书于           年     月     日签字生效,特此声明。</w:t>
      </w:r>
      <w:r>
        <w:rPr>
          <w:rFonts w:hint="eastAsia" w:ascii="仿宋_GB2312" w:hAnsi="仿宋_GB2312" w:eastAsia="仿宋_GB2312" w:cs="仿宋_GB2312"/>
          <w:b w:val="0"/>
          <w:i w:val="0"/>
          <w:caps w:val="0"/>
          <w:spacing w:val="0"/>
          <w:w w:val="100"/>
          <w:sz w:val="24"/>
        </w:rPr>
        <w:cr/>
      </w:r>
      <w:r>
        <w:rPr>
          <w:rFonts w:hint="eastAsia" w:ascii="仿宋_GB2312" w:hAnsi="仿宋_GB2312" w:eastAsia="仿宋_GB2312" w:cs="仿宋_GB2312"/>
          <w:b w:val="0"/>
          <w:i w:val="0"/>
          <w:caps w:val="0"/>
          <w:spacing w:val="0"/>
          <w:w w:val="100"/>
          <w:sz w:val="24"/>
        </w:rPr>
        <w:cr/>
      </w:r>
    </w:p>
    <w:p w14:paraId="48B0E671">
      <w:pPr>
        <w:pStyle w:val="20"/>
        <w:tabs>
          <w:tab w:val="left" w:pos="5580"/>
        </w:tabs>
        <w:snapToGrid/>
        <w:spacing w:before="0" w:beforeAutospacing="0" w:after="0" w:afterAutospacing="0" w:line="240" w:lineRule="atLeast"/>
        <w:ind w:left="1079" w:leftChars="257" w:hanging="540"/>
        <w:jc w:val="both"/>
        <w:textAlignment w:val="baseline"/>
        <w:rPr>
          <w:rFonts w:ascii="仿宋_GB2312" w:hAnsi="仿宋_GB2312" w:eastAsia="仿宋_GB2312" w:cs="仿宋_GB2312"/>
          <w:b w:val="0"/>
          <w:i w:val="0"/>
          <w:caps w:val="0"/>
          <w:spacing w:val="0"/>
          <w:w w:val="100"/>
          <w:sz w:val="24"/>
        </w:rPr>
      </w:pPr>
      <w:r>
        <w:rPr>
          <w:rFonts w:ascii="仿宋_GB2312" w:hAnsi="仿宋_GB2312" w:eastAsia="仿宋_GB2312" w:cs="仿宋_GB2312"/>
          <w:b w:val="0"/>
          <w:i w:val="0"/>
          <w:caps w:val="0"/>
          <w:spacing w:val="0"/>
          <w:w w:val="100"/>
          <w:sz w:val="24"/>
        </w:rPr>
        <mc:AlternateContent>
          <mc:Choice Requires="wps">
            <w:drawing>
              <wp:anchor distT="0" distB="0" distL="114300" distR="114300" simplePos="0" relativeHeight="251661312" behindDoc="0" locked="0" layoutInCell="1" allowOverlap="1">
                <wp:simplePos x="0" y="0"/>
                <wp:positionH relativeFrom="column">
                  <wp:posOffset>343535</wp:posOffset>
                </wp:positionH>
                <wp:positionV relativeFrom="paragraph">
                  <wp:posOffset>6350</wp:posOffset>
                </wp:positionV>
                <wp:extent cx="2317750" cy="1143000"/>
                <wp:effectExtent l="4445" t="5080" r="20955" b="13970"/>
                <wp:wrapNone/>
                <wp:docPr id="4" name="流程图: 可选过程 4"/>
                <wp:cNvGraphicFramePr/>
                <a:graphic xmlns:a="http://schemas.openxmlformats.org/drawingml/2006/main">
                  <a:graphicData uri="http://schemas.microsoft.com/office/word/2010/wordprocessingShape">
                    <wps:wsp>
                      <wps:cNvSpPr/>
                      <wps:spPr>
                        <a:xfrm>
                          <a:off x="0" y="0"/>
                          <a:ext cx="2317750" cy="1143000"/>
                        </a:xfrm>
                        <a:prstGeom prst="flowChartAlternateProcess">
                          <a:avLst/>
                        </a:prstGeom>
                        <a:solidFill>
                          <a:srgbClr val="FFFFFF"/>
                        </a:solidFill>
                        <a:ln w="9525" cap="flat" cmpd="sng">
                          <a:solidFill>
                            <a:srgbClr val="000000"/>
                          </a:solidFill>
                          <a:prstDash val="solid"/>
                          <a:miter/>
                          <a:headEnd type="none" w="med" len="med"/>
                          <a:tailEnd type="none" w="med" len="med"/>
                        </a:ln>
                        <a:effectLst/>
                      </wps:spPr>
                      <wps:txbx>
                        <w:txbxContent>
                          <w:p w14:paraId="1BCEB70E">
                            <w:pPr>
                              <w:jc w:val="center"/>
                              <w:rPr>
                                <w:rFonts w:hAnsi="宋体"/>
                              </w:rPr>
                            </w:pPr>
                          </w:p>
                          <w:p w14:paraId="6A9B5473">
                            <w:pPr>
                              <w:jc w:val="center"/>
                              <w:rPr>
                                <w:rFonts w:hAnsi="宋体"/>
                              </w:rPr>
                            </w:pPr>
                          </w:p>
                          <w:p w14:paraId="4EA58EEF">
                            <w:r>
                              <w:rPr>
                                <w:rFonts w:hint="eastAsia" w:hAnsi="宋体"/>
                              </w:rPr>
                              <w:t>授权委托人身份证复印件正面</w:t>
                            </w:r>
                          </w:p>
                        </w:txbxContent>
                      </wps:txbx>
                      <wps:bodyPr wrap="square" upright="1"/>
                    </wps:wsp>
                  </a:graphicData>
                </a:graphic>
              </wp:anchor>
            </w:drawing>
          </mc:Choice>
          <mc:Fallback>
            <w:pict>
              <v:shape id="_x0000_s1026" o:spid="_x0000_s1026" o:spt="176" type="#_x0000_t176" style="position:absolute;left:0pt;margin-left:27.05pt;margin-top:0.5pt;height:90pt;width:182.5pt;z-index:251661312;mso-width-relative:page;mso-height-relative:page;" fillcolor="#FFFFFF" filled="t" stroked="t" coordsize="21600,21600" o:gfxdata="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">
                <v:fill on="t" focussize="0,0"/>
                <v:stroke color="#000000" joinstyle="miter"/>
                <v:imagedata o:title=""/>
                <o:lock v:ext="edit" aspectratio="f"/>
                <v:textbox>
                  <w:txbxContent>
                    <w:p w14:paraId="1BCEB70E">
                      <w:pPr>
                        <w:jc w:val="center"/>
                        <w:rPr>
                          <w:rFonts w:hAnsi="宋体"/>
                        </w:rPr>
                      </w:pPr>
                    </w:p>
                    <w:p w14:paraId="6A9B5473">
                      <w:pPr>
                        <w:jc w:val="center"/>
                        <w:rPr>
                          <w:rFonts w:hAnsi="宋体"/>
                        </w:rPr>
                      </w:pPr>
                    </w:p>
                    <w:p w14:paraId="4EA58EEF">
                      <w:r>
                        <w:rPr>
                          <w:rFonts w:hint="eastAsia" w:hAnsi="宋体"/>
                        </w:rPr>
                        <w:t>授权委托人身份证复印件正面</w:t>
                      </w:r>
                    </w:p>
                  </w:txbxContent>
                </v:textbox>
              </v:shape>
            </w:pict>
          </mc:Fallback>
        </mc:AlternateContent>
      </w:r>
      <w:r>
        <w:rPr>
          <w:rFonts w:ascii="仿宋_GB2312" w:hAnsi="仿宋_GB2312" w:eastAsia="仿宋_GB2312" w:cs="仿宋_GB2312"/>
          <w:b w:val="0"/>
          <w:i w:val="0"/>
          <w:caps w:val="0"/>
          <w:spacing w:val="0"/>
          <w:w w:val="100"/>
          <w:sz w:val="24"/>
        </w:rPr>
        <mc:AlternateContent>
          <mc:Choice Requires="wps">
            <w:drawing>
              <wp:anchor distT="0" distB="0" distL="114300" distR="114300" simplePos="0" relativeHeight="251662336" behindDoc="0" locked="0" layoutInCell="1" allowOverlap="1">
                <wp:simplePos x="0" y="0"/>
                <wp:positionH relativeFrom="column">
                  <wp:posOffset>2810510</wp:posOffset>
                </wp:positionH>
                <wp:positionV relativeFrom="paragraph">
                  <wp:posOffset>15875</wp:posOffset>
                </wp:positionV>
                <wp:extent cx="2478405" cy="1158240"/>
                <wp:effectExtent l="7620" t="7620" r="9525" b="15240"/>
                <wp:wrapNone/>
                <wp:docPr id="2" name="圆角矩形 2"/>
                <wp:cNvGraphicFramePr/>
                <a:graphic xmlns:a="http://schemas.openxmlformats.org/drawingml/2006/main">
                  <a:graphicData uri="http://schemas.microsoft.com/office/word/2010/wordprocessingShape">
                    <wps:wsp>
                      <wps:cNvSpPr/>
                      <wps:spPr>
                        <a:xfrm>
                          <a:off x="0" y="0"/>
                          <a:ext cx="2478405" cy="1158240"/>
                        </a:xfrm>
                        <a:prstGeom prst="roundRect">
                          <a:avLst>
                            <a:gd name="adj" fmla="val 16667"/>
                          </a:avLst>
                        </a:prstGeom>
                        <a:solidFill>
                          <a:srgbClr val="FFFFFF"/>
                        </a:solidFill>
                        <a:ln w="15875" cap="flat" cmpd="sng">
                          <a:solidFill>
                            <a:srgbClr val="808080"/>
                          </a:solidFill>
                          <a:prstDash val="solid"/>
                          <a:headEnd type="none" w="med" len="med"/>
                          <a:tailEnd type="none" w="med" len="med"/>
                        </a:ln>
                        <a:effectLst/>
                      </wps:spPr>
                      <wps:txbx>
                        <w:txbxContent>
                          <w:p w14:paraId="7378403F">
                            <w:pPr>
                              <w:rPr>
                                <w:rFonts w:hAnsi="宋体"/>
                              </w:rPr>
                            </w:pPr>
                          </w:p>
                          <w:p w14:paraId="6BFCBB7E">
                            <w:pPr>
                              <w:rPr>
                                <w:rFonts w:hAnsi="宋体"/>
                              </w:rPr>
                            </w:pPr>
                          </w:p>
                          <w:p w14:paraId="24B29CB3">
                            <w:r>
                              <w:rPr>
                                <w:rFonts w:hint="eastAsia" w:hAnsi="宋体"/>
                              </w:rPr>
                              <w:t>授权委托人身份证复印件反面</w:t>
                            </w:r>
                          </w:p>
                          <w:p w14:paraId="24AC7324"/>
                        </w:txbxContent>
                      </wps:txbx>
                      <wps:bodyPr wrap="square" upright="1"/>
                    </wps:wsp>
                  </a:graphicData>
                </a:graphic>
              </wp:anchor>
            </w:drawing>
          </mc:Choice>
          <mc:Fallback>
            <w:pict>
              <v:roundrect id="_x0000_s1026" o:spid="_x0000_s1026" o:spt="2" style="position:absolute;left:0pt;margin-left:221.3pt;margin-top:1.25pt;height:91.2pt;width:195.15pt;z-index:251662336;mso-width-relative:page;mso-height-relative:page;" fillcolor="#FFFFFF" filled="t" stroked="t" coordsize="21600,21600" arcsize="0.166666666666667" o:gfxdata="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">
                <v:fill on="t" focussize="0,0"/>
                <v:stroke weight="1.25pt" color="#808080" joinstyle="round"/>
                <v:imagedata o:title=""/>
                <o:lock v:ext="edit" aspectratio="f"/>
                <v:textbox>
                  <w:txbxContent>
                    <w:p w14:paraId="7378403F">
                      <w:pPr>
                        <w:rPr>
                          <w:rFonts w:hAnsi="宋体"/>
                        </w:rPr>
                      </w:pPr>
                    </w:p>
                    <w:p w14:paraId="6BFCBB7E">
                      <w:pPr>
                        <w:rPr>
                          <w:rFonts w:hAnsi="宋体"/>
                        </w:rPr>
                      </w:pPr>
                    </w:p>
                    <w:p w14:paraId="24B29CB3">
                      <w:r>
                        <w:rPr>
                          <w:rFonts w:hint="eastAsia" w:hAnsi="宋体"/>
                        </w:rPr>
                        <w:t>授权委托人身份证复印件反面</w:t>
                      </w:r>
                    </w:p>
                    <w:p w14:paraId="24AC7324"/>
                  </w:txbxContent>
                </v:textbox>
              </v:roundrect>
            </w:pict>
          </mc:Fallback>
        </mc:AlternateContent>
      </w:r>
    </w:p>
    <w:p w14:paraId="306EA458">
      <w:pPr>
        <w:pStyle w:val="20"/>
        <w:tabs>
          <w:tab w:val="left" w:pos="5580"/>
        </w:tabs>
        <w:snapToGrid/>
        <w:spacing w:before="0" w:beforeAutospacing="0" w:after="0" w:afterAutospacing="0" w:line="240" w:lineRule="atLeast"/>
        <w:ind w:left="1079" w:leftChars="257" w:hanging="540"/>
        <w:jc w:val="both"/>
        <w:textAlignment w:val="baseline"/>
        <w:rPr>
          <w:rFonts w:hint="eastAsia" w:ascii="仿宋_GB2312" w:hAnsi="仿宋_GB2312" w:eastAsia="仿宋_GB2312" w:cs="仿宋_GB2312"/>
          <w:b w:val="0"/>
          <w:i w:val="0"/>
          <w:caps w:val="0"/>
          <w:spacing w:val="0"/>
          <w:w w:val="100"/>
          <w:sz w:val="24"/>
          <w:lang w:val="en-US" w:eastAsia="zh-CN"/>
        </w:rPr>
      </w:pPr>
      <w:r>
        <w:rPr>
          <w:rFonts w:hint="eastAsia" w:ascii="仿宋_GB2312" w:hAnsi="仿宋_GB2312" w:eastAsia="仿宋_GB2312" w:cs="仿宋_GB2312"/>
          <w:b w:val="0"/>
          <w:i w:val="0"/>
          <w:caps w:val="0"/>
          <w:spacing w:val="0"/>
          <w:w w:val="100"/>
          <w:sz w:val="24"/>
          <w:lang w:val="en-US" w:eastAsia="zh-CN"/>
        </w:rPr>
        <w:t xml:space="preserve"> </w:t>
      </w:r>
    </w:p>
    <w:p w14:paraId="0808CCA4">
      <w:pPr>
        <w:pStyle w:val="20"/>
        <w:tabs>
          <w:tab w:val="left" w:pos="5580"/>
        </w:tabs>
        <w:snapToGrid/>
        <w:spacing w:before="0" w:beforeAutospacing="0" w:after="0" w:afterAutospacing="0" w:line="240" w:lineRule="atLeast"/>
        <w:ind w:left="1079" w:leftChars="257" w:hanging="540"/>
        <w:jc w:val="both"/>
        <w:textAlignment w:val="baseline"/>
        <w:rPr>
          <w:rFonts w:hint="eastAsia" w:ascii="仿宋_GB2312" w:hAnsi="仿宋_GB2312" w:eastAsia="仿宋_GB2312" w:cs="仿宋_GB2312"/>
          <w:b w:val="0"/>
          <w:i w:val="0"/>
          <w:caps w:val="0"/>
          <w:spacing w:val="0"/>
          <w:w w:val="100"/>
          <w:sz w:val="24"/>
          <w:lang w:val="en-US" w:eastAsia="zh-CN"/>
        </w:rPr>
      </w:pPr>
      <w:r>
        <w:rPr>
          <w:rFonts w:hint="eastAsia" w:ascii="仿宋_GB2312" w:hAnsi="仿宋_GB2312" w:eastAsia="仿宋_GB2312" w:cs="仿宋_GB2312"/>
          <w:b w:val="0"/>
          <w:i w:val="0"/>
          <w:caps w:val="0"/>
          <w:spacing w:val="0"/>
          <w:w w:val="100"/>
          <w:sz w:val="24"/>
          <w:lang w:val="en-US" w:eastAsia="zh-CN"/>
        </w:rPr>
        <w:t xml:space="preserve"> </w:t>
      </w:r>
    </w:p>
    <w:p w14:paraId="3C7F849C">
      <w:pPr>
        <w:pStyle w:val="20"/>
        <w:tabs>
          <w:tab w:val="left" w:pos="5580"/>
        </w:tabs>
        <w:snapToGrid/>
        <w:spacing w:before="0" w:beforeAutospacing="0" w:after="0" w:afterAutospacing="0" w:line="240" w:lineRule="atLeast"/>
        <w:ind w:left="1079" w:leftChars="257" w:hanging="540"/>
        <w:jc w:val="both"/>
        <w:textAlignment w:val="baseline"/>
        <w:rPr>
          <w:rFonts w:ascii="仿宋_GB2312" w:hAnsi="仿宋_GB2312" w:eastAsia="仿宋_GB2312" w:cs="仿宋_GB2312"/>
          <w:b w:val="0"/>
          <w:i w:val="0"/>
          <w:caps w:val="0"/>
          <w:spacing w:val="0"/>
          <w:w w:val="100"/>
          <w:sz w:val="24"/>
        </w:rPr>
      </w:pPr>
    </w:p>
    <w:p w14:paraId="45D65E83">
      <w:pPr>
        <w:pStyle w:val="20"/>
        <w:tabs>
          <w:tab w:val="left" w:pos="5580"/>
        </w:tabs>
        <w:snapToGrid/>
        <w:spacing w:before="0" w:beforeAutospacing="0" w:after="0" w:afterAutospacing="0" w:line="240" w:lineRule="atLeast"/>
        <w:ind w:left="1079" w:leftChars="257" w:hanging="540"/>
        <w:jc w:val="both"/>
        <w:textAlignment w:val="baseline"/>
        <w:rPr>
          <w:rFonts w:ascii="仿宋_GB2312" w:hAnsi="仿宋_GB2312" w:eastAsia="仿宋_GB2312" w:cs="仿宋_GB2312"/>
          <w:b w:val="0"/>
          <w:i w:val="0"/>
          <w:caps w:val="0"/>
          <w:spacing w:val="0"/>
          <w:w w:val="100"/>
          <w:sz w:val="24"/>
        </w:rPr>
      </w:pPr>
    </w:p>
    <w:p w14:paraId="5D0C2F75">
      <w:pPr>
        <w:pStyle w:val="20"/>
        <w:tabs>
          <w:tab w:val="left" w:pos="5580"/>
        </w:tabs>
        <w:snapToGrid/>
        <w:spacing w:before="0" w:beforeAutospacing="0" w:after="0" w:afterAutospacing="0" w:line="240" w:lineRule="atLeast"/>
        <w:ind w:left="1079" w:leftChars="257" w:hanging="540"/>
        <w:jc w:val="both"/>
        <w:textAlignment w:val="baseline"/>
        <w:rPr>
          <w:rFonts w:ascii="仿宋_GB2312" w:hAnsi="仿宋_GB2312" w:eastAsia="仿宋_GB2312" w:cs="仿宋_GB2312"/>
          <w:b w:val="0"/>
          <w:i w:val="0"/>
          <w:caps w:val="0"/>
          <w:spacing w:val="0"/>
          <w:w w:val="100"/>
          <w:sz w:val="24"/>
        </w:rPr>
      </w:pPr>
      <w:r>
        <w:rPr>
          <w:rFonts w:ascii="仿宋_GB2312" w:hAnsi="仿宋_GB2312" w:eastAsia="仿宋_GB2312" w:cs="仿宋_GB2312"/>
          <w:b w:val="0"/>
          <w:i w:val="0"/>
          <w:caps w:val="0"/>
          <w:spacing w:val="0"/>
          <w:w w:val="100"/>
          <w:sz w:val="24"/>
        </w:rPr>
        <mc:AlternateContent>
          <mc:Choice Requires="wps">
            <w:drawing>
              <wp:anchor distT="0" distB="0" distL="114300" distR="114300" simplePos="0" relativeHeight="251663360" behindDoc="0" locked="0" layoutInCell="1" allowOverlap="1">
                <wp:simplePos x="0" y="0"/>
                <wp:positionH relativeFrom="column">
                  <wp:posOffset>283845</wp:posOffset>
                </wp:positionH>
                <wp:positionV relativeFrom="paragraph">
                  <wp:posOffset>198120</wp:posOffset>
                </wp:positionV>
                <wp:extent cx="2372995" cy="1085215"/>
                <wp:effectExtent l="7620" t="7620" r="19685" b="12065"/>
                <wp:wrapNone/>
                <wp:docPr id="5" name="圆角矩形 5"/>
                <wp:cNvGraphicFramePr/>
                <a:graphic xmlns:a="http://schemas.openxmlformats.org/drawingml/2006/main">
                  <a:graphicData uri="http://schemas.microsoft.com/office/word/2010/wordprocessingShape">
                    <wps:wsp>
                      <wps:cNvSpPr/>
                      <wps:spPr>
                        <a:xfrm>
                          <a:off x="0" y="0"/>
                          <a:ext cx="2372995" cy="1085215"/>
                        </a:xfrm>
                        <a:prstGeom prst="roundRect">
                          <a:avLst>
                            <a:gd name="adj" fmla="val 16667"/>
                          </a:avLst>
                        </a:prstGeom>
                        <a:solidFill>
                          <a:srgbClr val="FFFFFF"/>
                        </a:solidFill>
                        <a:ln w="15875" cap="flat" cmpd="sng">
                          <a:solidFill>
                            <a:srgbClr val="808080"/>
                          </a:solidFill>
                          <a:prstDash val="solid"/>
                          <a:headEnd type="none" w="med" len="med"/>
                          <a:tailEnd type="none" w="med" len="med"/>
                        </a:ln>
                        <a:effectLst/>
                      </wps:spPr>
                      <wps:txbx>
                        <w:txbxContent>
                          <w:p w14:paraId="704D6412">
                            <w:pPr>
                              <w:jc w:val="center"/>
                              <w:rPr>
                                <w:rFonts w:hAnsi="宋体"/>
                              </w:rPr>
                            </w:pPr>
                          </w:p>
                          <w:p w14:paraId="700279B6">
                            <w:pPr>
                              <w:jc w:val="center"/>
                              <w:rPr>
                                <w:rFonts w:hAnsi="宋体"/>
                              </w:rPr>
                            </w:pPr>
                          </w:p>
                          <w:p w14:paraId="4C4C0ACE">
                            <w:pPr>
                              <w:ind w:firstLine="420" w:firstLineChars="200"/>
                            </w:pPr>
                            <w:r>
                              <w:rPr>
                                <w:rFonts w:hint="eastAsia" w:hAnsi="宋体"/>
                              </w:rPr>
                              <w:t>法人身份证复印件正面</w:t>
                            </w:r>
                          </w:p>
                          <w:p w14:paraId="7BBA2DC9"/>
                        </w:txbxContent>
                      </wps:txbx>
                      <wps:bodyPr wrap="square" upright="1"/>
                    </wps:wsp>
                  </a:graphicData>
                </a:graphic>
              </wp:anchor>
            </w:drawing>
          </mc:Choice>
          <mc:Fallback>
            <w:pict>
              <v:roundrect id="_x0000_s1026" o:spid="_x0000_s1026" o:spt="2" style="position:absolute;left:0pt;margin-left:22.35pt;margin-top:15.6pt;height:85.45pt;width:186.85pt;z-index:251663360;mso-width-relative:page;mso-height-relative:page;" fillcolor="#FFFFFF" filled="t" stroked="t" coordsize="21600,21600" arcsize="0.166666666666667" o:gfxdata="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">
                <v:fill on="t" focussize="0,0"/>
                <v:stroke weight="1.25pt" color="#808080" joinstyle="round"/>
                <v:imagedata o:title=""/>
                <o:lock v:ext="edit" aspectratio="f"/>
                <v:textbox>
                  <w:txbxContent>
                    <w:p w14:paraId="704D6412">
                      <w:pPr>
                        <w:jc w:val="center"/>
                        <w:rPr>
                          <w:rFonts w:hAnsi="宋体"/>
                        </w:rPr>
                      </w:pPr>
                    </w:p>
                    <w:p w14:paraId="700279B6">
                      <w:pPr>
                        <w:jc w:val="center"/>
                        <w:rPr>
                          <w:rFonts w:hAnsi="宋体"/>
                        </w:rPr>
                      </w:pPr>
                    </w:p>
                    <w:p w14:paraId="4C4C0ACE">
                      <w:pPr>
                        <w:ind w:firstLine="420" w:firstLineChars="200"/>
                      </w:pPr>
                      <w:r>
                        <w:rPr>
                          <w:rFonts w:hint="eastAsia" w:hAnsi="宋体"/>
                        </w:rPr>
                        <w:t>法人身份证复印件正面</w:t>
                      </w:r>
                    </w:p>
                    <w:p w14:paraId="7BBA2DC9"/>
                  </w:txbxContent>
                </v:textbox>
              </v:roundrect>
            </w:pict>
          </mc:Fallback>
        </mc:AlternateContent>
      </w:r>
    </w:p>
    <w:p w14:paraId="5E501ECF">
      <w:pPr>
        <w:pStyle w:val="20"/>
        <w:tabs>
          <w:tab w:val="left" w:pos="5580"/>
        </w:tabs>
        <w:snapToGrid/>
        <w:spacing w:before="0" w:beforeAutospacing="0" w:after="0" w:afterAutospacing="0" w:line="240" w:lineRule="atLeast"/>
        <w:ind w:left="1079" w:leftChars="257" w:hanging="540"/>
        <w:jc w:val="both"/>
        <w:textAlignment w:val="baseline"/>
        <w:rPr>
          <w:rFonts w:ascii="仿宋_GB2312" w:hAnsi="仿宋_GB2312" w:eastAsia="仿宋_GB2312" w:cs="仿宋_GB2312"/>
          <w:b w:val="0"/>
          <w:i w:val="0"/>
          <w:caps w:val="0"/>
          <w:spacing w:val="0"/>
          <w:w w:val="100"/>
          <w:sz w:val="24"/>
        </w:rPr>
      </w:pPr>
      <w:r>
        <w:rPr>
          <w:rFonts w:ascii="仿宋_GB2312" w:hAnsi="仿宋_GB2312" w:eastAsia="仿宋_GB2312" w:cs="仿宋_GB2312"/>
          <w:b w:val="0"/>
          <w:i w:val="0"/>
          <w:caps w:val="0"/>
          <w:spacing w:val="0"/>
          <w:w w:val="100"/>
          <w:sz w:val="24"/>
        </w:rPr>
        <mc:AlternateContent>
          <mc:Choice Requires="wps">
            <w:drawing>
              <wp:anchor distT="0" distB="0" distL="114300" distR="114300" simplePos="0" relativeHeight="251664384" behindDoc="0" locked="0" layoutInCell="1" allowOverlap="1">
                <wp:simplePos x="0" y="0"/>
                <wp:positionH relativeFrom="column">
                  <wp:posOffset>2820035</wp:posOffset>
                </wp:positionH>
                <wp:positionV relativeFrom="paragraph">
                  <wp:posOffset>20320</wp:posOffset>
                </wp:positionV>
                <wp:extent cx="2566670" cy="1057910"/>
                <wp:effectExtent l="7620" t="7620" r="16510" b="20320"/>
                <wp:wrapNone/>
                <wp:docPr id="9" name="圆角矩形 9"/>
                <wp:cNvGraphicFramePr/>
                <a:graphic xmlns:a="http://schemas.openxmlformats.org/drawingml/2006/main">
                  <a:graphicData uri="http://schemas.microsoft.com/office/word/2010/wordprocessingShape">
                    <wps:wsp>
                      <wps:cNvSpPr/>
                      <wps:spPr>
                        <a:xfrm>
                          <a:off x="0" y="0"/>
                          <a:ext cx="2566670" cy="1057910"/>
                        </a:xfrm>
                        <a:prstGeom prst="roundRect">
                          <a:avLst>
                            <a:gd name="adj" fmla="val 16667"/>
                          </a:avLst>
                        </a:prstGeom>
                        <a:solidFill>
                          <a:srgbClr val="FFFFFF"/>
                        </a:solidFill>
                        <a:ln w="15875" cap="flat" cmpd="sng">
                          <a:solidFill>
                            <a:srgbClr val="808080"/>
                          </a:solidFill>
                          <a:prstDash val="solid"/>
                          <a:headEnd type="none" w="med" len="med"/>
                          <a:tailEnd type="none" w="med" len="med"/>
                        </a:ln>
                        <a:effectLst/>
                      </wps:spPr>
                      <wps:txbx>
                        <w:txbxContent>
                          <w:p w14:paraId="186ED9B3">
                            <w:pPr>
                              <w:rPr>
                                <w:rFonts w:hAnsi="宋体"/>
                              </w:rPr>
                            </w:pPr>
                          </w:p>
                          <w:p w14:paraId="3905C48C">
                            <w:pPr>
                              <w:ind w:firstLine="420" w:firstLineChars="200"/>
                              <w:rPr>
                                <w:rFonts w:hAnsi="宋体"/>
                              </w:rPr>
                            </w:pPr>
                          </w:p>
                          <w:p w14:paraId="55A285BA">
                            <w:pPr>
                              <w:ind w:firstLine="420" w:firstLineChars="200"/>
                            </w:pPr>
                            <w:r>
                              <w:rPr>
                                <w:rFonts w:hint="eastAsia" w:hAnsi="宋体"/>
                              </w:rPr>
                              <w:t>法人身份证复印件反面</w:t>
                            </w:r>
                          </w:p>
                          <w:p w14:paraId="2CD2EE0B"/>
                        </w:txbxContent>
                      </wps:txbx>
                      <wps:bodyPr wrap="square" upright="1"/>
                    </wps:wsp>
                  </a:graphicData>
                </a:graphic>
              </wp:anchor>
            </w:drawing>
          </mc:Choice>
          <mc:Fallback>
            <w:pict>
              <v:roundrect id="_x0000_s1026" o:spid="_x0000_s1026" o:spt="2" style="position:absolute;left:0pt;margin-left:222.05pt;margin-top:1.6pt;height:83.3pt;width:202.1pt;z-index:251664384;mso-width-relative:page;mso-height-relative:page;" fillcolor="#FFFFFF" filled="t" stroked="t" coordsize="21600,21600" arcsize="0.166666666666667" o:gfxdata="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">
                <v:fill on="t" focussize="0,0"/>
                <v:stroke weight="1.25pt" color="#808080" joinstyle="round"/>
                <v:imagedata o:title=""/>
                <o:lock v:ext="edit" aspectratio="f"/>
                <v:textbox>
                  <w:txbxContent>
                    <w:p w14:paraId="186ED9B3">
                      <w:pPr>
                        <w:rPr>
                          <w:rFonts w:hAnsi="宋体"/>
                        </w:rPr>
                      </w:pPr>
                    </w:p>
                    <w:p w14:paraId="3905C48C">
                      <w:pPr>
                        <w:ind w:firstLine="420" w:firstLineChars="200"/>
                        <w:rPr>
                          <w:rFonts w:hAnsi="宋体"/>
                        </w:rPr>
                      </w:pPr>
                    </w:p>
                    <w:p w14:paraId="55A285BA">
                      <w:pPr>
                        <w:ind w:firstLine="420" w:firstLineChars="200"/>
                      </w:pPr>
                      <w:r>
                        <w:rPr>
                          <w:rFonts w:hint="eastAsia" w:hAnsi="宋体"/>
                        </w:rPr>
                        <w:t>法人身份证复印件反面</w:t>
                      </w:r>
                    </w:p>
                    <w:p w14:paraId="2CD2EE0B"/>
                  </w:txbxContent>
                </v:textbox>
              </v:roundrect>
            </w:pict>
          </mc:Fallback>
        </mc:AlternateContent>
      </w:r>
    </w:p>
    <w:p w14:paraId="0B7B223C">
      <w:pPr>
        <w:pStyle w:val="20"/>
        <w:tabs>
          <w:tab w:val="left" w:pos="5580"/>
        </w:tabs>
        <w:snapToGrid/>
        <w:spacing w:before="0" w:beforeAutospacing="0" w:after="0" w:afterAutospacing="0" w:line="240" w:lineRule="atLeast"/>
        <w:ind w:left="1079" w:leftChars="257" w:hanging="540"/>
        <w:jc w:val="both"/>
        <w:textAlignment w:val="baseline"/>
        <w:rPr>
          <w:rFonts w:ascii="仿宋_GB2312" w:hAnsi="仿宋_GB2312" w:eastAsia="仿宋_GB2312" w:cs="仿宋_GB2312"/>
          <w:b w:val="0"/>
          <w:i w:val="0"/>
          <w:caps w:val="0"/>
          <w:spacing w:val="0"/>
          <w:w w:val="100"/>
          <w:sz w:val="24"/>
        </w:rPr>
      </w:pPr>
    </w:p>
    <w:p w14:paraId="16DE4E01">
      <w:pPr>
        <w:pStyle w:val="20"/>
        <w:tabs>
          <w:tab w:val="left" w:pos="5580"/>
        </w:tabs>
        <w:snapToGrid/>
        <w:spacing w:before="0" w:beforeAutospacing="0" w:after="0" w:afterAutospacing="0" w:line="240" w:lineRule="atLeast"/>
        <w:ind w:left="1079" w:leftChars="257" w:hanging="540"/>
        <w:jc w:val="both"/>
        <w:textAlignment w:val="baseline"/>
        <w:rPr>
          <w:rFonts w:ascii="仿宋_GB2312" w:hAnsi="仿宋_GB2312" w:eastAsia="仿宋_GB2312" w:cs="仿宋_GB2312"/>
          <w:b w:val="0"/>
          <w:i w:val="0"/>
          <w:caps w:val="0"/>
          <w:spacing w:val="0"/>
          <w:w w:val="100"/>
          <w:sz w:val="24"/>
        </w:rPr>
      </w:pPr>
    </w:p>
    <w:p w14:paraId="06751E52">
      <w:pPr>
        <w:pStyle w:val="20"/>
        <w:tabs>
          <w:tab w:val="left" w:pos="5580"/>
        </w:tabs>
        <w:snapToGrid/>
        <w:spacing w:before="0" w:beforeAutospacing="0" w:after="0" w:afterAutospacing="0" w:line="240" w:lineRule="atLeast"/>
        <w:ind w:left="1079" w:leftChars="257" w:hanging="540"/>
        <w:jc w:val="both"/>
        <w:textAlignment w:val="baseline"/>
        <w:rPr>
          <w:rFonts w:ascii="仿宋_GB2312" w:hAnsi="仿宋_GB2312" w:eastAsia="仿宋_GB2312" w:cs="仿宋_GB2312"/>
          <w:b w:val="0"/>
          <w:i w:val="0"/>
          <w:caps w:val="0"/>
          <w:spacing w:val="0"/>
          <w:w w:val="100"/>
          <w:sz w:val="24"/>
        </w:rPr>
      </w:pPr>
    </w:p>
    <w:p w14:paraId="6F8ECA77">
      <w:pPr>
        <w:pStyle w:val="20"/>
        <w:tabs>
          <w:tab w:val="left" w:pos="5580"/>
        </w:tabs>
        <w:snapToGrid/>
        <w:spacing w:before="0" w:beforeAutospacing="0" w:after="0" w:afterAutospacing="0" w:line="240" w:lineRule="atLeast"/>
        <w:ind w:left="1079" w:leftChars="257" w:hanging="540"/>
        <w:jc w:val="both"/>
        <w:textAlignment w:val="baseline"/>
        <w:rPr>
          <w:rFonts w:ascii="仿宋_GB2312" w:hAnsi="仿宋_GB2312" w:eastAsia="仿宋_GB2312" w:cs="仿宋_GB2312"/>
          <w:b w:val="0"/>
          <w:i w:val="0"/>
          <w:caps w:val="0"/>
          <w:spacing w:val="0"/>
          <w:w w:val="100"/>
          <w:sz w:val="24"/>
        </w:rPr>
      </w:pPr>
    </w:p>
    <w:p w14:paraId="0604D2D8">
      <w:pPr>
        <w:pStyle w:val="20"/>
        <w:tabs>
          <w:tab w:val="left" w:pos="5580"/>
        </w:tabs>
        <w:snapToGrid/>
        <w:spacing w:before="0" w:beforeAutospacing="0" w:after="0" w:afterAutospacing="0" w:line="240" w:lineRule="atLeast"/>
        <w:ind w:left="1079" w:leftChars="257" w:hanging="540"/>
        <w:jc w:val="both"/>
        <w:textAlignment w:val="baseline"/>
        <w:rPr>
          <w:rFonts w:ascii="仿宋_GB2312" w:hAnsi="仿宋_GB2312" w:eastAsia="仿宋_GB2312" w:cs="仿宋_GB2312"/>
          <w:b w:val="0"/>
          <w:i w:val="0"/>
          <w:caps w:val="0"/>
          <w:spacing w:val="0"/>
          <w:w w:val="100"/>
          <w:sz w:val="24"/>
        </w:rPr>
      </w:pPr>
    </w:p>
    <w:p w14:paraId="3B5668AD">
      <w:pPr>
        <w:pStyle w:val="20"/>
        <w:keepNext w:val="0"/>
        <w:keepLines w:val="0"/>
        <w:pageBreakBefore w:val="0"/>
        <w:widowControl w:val="0"/>
        <w:tabs>
          <w:tab w:val="left" w:pos="5580"/>
        </w:tabs>
        <w:kinsoku/>
        <w:wordWrap/>
        <w:overflowPunct/>
        <w:topLinePunct w:val="0"/>
        <w:autoSpaceDE/>
        <w:autoSpaceDN/>
        <w:bidi w:val="0"/>
        <w:adjustRightInd/>
        <w:snapToGrid/>
        <w:spacing w:before="0" w:beforeAutospacing="0" w:after="0" w:afterAutospacing="0" w:line="560" w:lineRule="exact"/>
        <w:ind w:left="1078" w:leftChars="257" w:hanging="539"/>
        <w:jc w:val="both"/>
        <w:textAlignment w:val="baseline"/>
        <w:rPr>
          <w:rFonts w:ascii="仿宋_GB2312" w:hAnsi="仿宋_GB2312" w:eastAsia="仿宋_GB2312" w:cs="仿宋_GB2312"/>
          <w:b w:val="0"/>
          <w:i w:val="0"/>
          <w:caps w:val="0"/>
          <w:spacing w:val="0"/>
          <w:w w:val="100"/>
          <w:sz w:val="24"/>
        </w:rPr>
      </w:pPr>
      <w:r>
        <w:rPr>
          <w:rFonts w:hint="eastAsia" w:ascii="仿宋_GB2312" w:hAnsi="仿宋_GB2312" w:eastAsia="仿宋_GB2312" w:cs="仿宋_GB2312"/>
          <w:b w:val="0"/>
          <w:i w:val="0"/>
          <w:caps w:val="0"/>
          <w:spacing w:val="0"/>
          <w:w w:val="100"/>
          <w:sz w:val="24"/>
        </w:rPr>
        <w:t xml:space="preserve">供应商（盖单位章）;                           </w:t>
      </w:r>
    </w:p>
    <w:p w14:paraId="510ACE80">
      <w:pPr>
        <w:pStyle w:val="20"/>
        <w:keepNext w:val="0"/>
        <w:keepLines w:val="0"/>
        <w:pageBreakBefore w:val="0"/>
        <w:widowControl w:val="0"/>
        <w:tabs>
          <w:tab w:val="left" w:pos="5580"/>
        </w:tabs>
        <w:kinsoku/>
        <w:wordWrap/>
        <w:overflowPunct/>
        <w:topLinePunct w:val="0"/>
        <w:autoSpaceDE/>
        <w:autoSpaceDN/>
        <w:bidi w:val="0"/>
        <w:adjustRightInd/>
        <w:snapToGrid/>
        <w:spacing w:before="0" w:beforeAutospacing="0" w:after="0" w:afterAutospacing="0" w:line="560" w:lineRule="exact"/>
        <w:ind w:left="1078" w:leftChars="257" w:hanging="539"/>
        <w:jc w:val="both"/>
        <w:textAlignment w:val="baseline"/>
        <w:rPr>
          <w:rFonts w:ascii="仿宋_GB2312" w:hAnsi="仿宋_GB2312" w:eastAsia="仿宋_GB2312" w:cs="仿宋_GB2312"/>
          <w:b w:val="0"/>
          <w:i w:val="0"/>
          <w:caps w:val="0"/>
          <w:spacing w:val="0"/>
          <w:w w:val="100"/>
          <w:sz w:val="24"/>
          <w:u w:val="single"/>
        </w:rPr>
      </w:pPr>
      <w:r>
        <w:rPr>
          <w:rFonts w:hint="eastAsia" w:ascii="仿宋_GB2312" w:hAnsi="仿宋_GB2312" w:eastAsia="仿宋_GB2312" w:cs="仿宋_GB2312"/>
          <w:b w:val="0"/>
          <w:i w:val="0"/>
          <w:caps w:val="0"/>
          <w:spacing w:val="0"/>
          <w:w w:val="100"/>
          <w:sz w:val="24"/>
        </w:rPr>
        <w:t>法定代表人（签字或签章）：</w:t>
      </w:r>
    </w:p>
    <w:p w14:paraId="31DA4DBE">
      <w:pPr>
        <w:pStyle w:val="20"/>
        <w:keepNext w:val="0"/>
        <w:keepLines w:val="0"/>
        <w:pageBreakBefore w:val="0"/>
        <w:widowControl w:val="0"/>
        <w:tabs>
          <w:tab w:val="left" w:pos="5580"/>
        </w:tabs>
        <w:kinsoku/>
        <w:wordWrap/>
        <w:overflowPunct/>
        <w:topLinePunct w:val="0"/>
        <w:autoSpaceDE/>
        <w:autoSpaceDN/>
        <w:bidi w:val="0"/>
        <w:adjustRightInd/>
        <w:snapToGrid/>
        <w:spacing w:before="0" w:beforeAutospacing="0" w:after="0" w:afterAutospacing="0" w:line="560" w:lineRule="exact"/>
        <w:ind w:left="1078" w:leftChars="257" w:hanging="539"/>
        <w:jc w:val="both"/>
        <w:textAlignment w:val="baseline"/>
        <w:rPr>
          <w:rFonts w:ascii="仿宋_GB2312" w:hAnsi="仿宋_GB2312" w:eastAsia="仿宋_GB2312" w:cs="仿宋_GB2312"/>
          <w:b w:val="0"/>
          <w:i w:val="0"/>
          <w:caps w:val="0"/>
          <w:spacing w:val="0"/>
          <w:w w:val="100"/>
          <w:sz w:val="24"/>
        </w:rPr>
      </w:pPr>
      <w:r>
        <w:rPr>
          <w:rFonts w:hint="eastAsia" w:ascii="仿宋_GB2312" w:hAnsi="仿宋_GB2312" w:eastAsia="仿宋_GB2312" w:cs="仿宋_GB2312"/>
          <w:b w:val="0"/>
          <w:i w:val="0"/>
          <w:caps w:val="0"/>
          <w:spacing w:val="0"/>
          <w:w w:val="100"/>
          <w:sz w:val="24"/>
        </w:rPr>
        <w:t xml:space="preserve">身份证号码： </w:t>
      </w:r>
    </w:p>
    <w:p w14:paraId="2E2B8582">
      <w:pPr>
        <w:pStyle w:val="20"/>
        <w:keepNext w:val="0"/>
        <w:keepLines w:val="0"/>
        <w:pageBreakBefore w:val="0"/>
        <w:widowControl w:val="0"/>
        <w:tabs>
          <w:tab w:val="left" w:pos="5580"/>
        </w:tabs>
        <w:kinsoku/>
        <w:wordWrap/>
        <w:overflowPunct/>
        <w:topLinePunct w:val="0"/>
        <w:autoSpaceDE/>
        <w:autoSpaceDN/>
        <w:bidi w:val="0"/>
        <w:adjustRightInd/>
        <w:snapToGrid/>
        <w:spacing w:before="0" w:beforeAutospacing="0" w:after="0" w:afterAutospacing="0" w:line="560" w:lineRule="exact"/>
        <w:ind w:left="1078" w:leftChars="257" w:hanging="539"/>
        <w:jc w:val="both"/>
        <w:textAlignment w:val="baseline"/>
        <w:rPr>
          <w:rFonts w:ascii="仿宋_GB2312" w:hAnsi="仿宋_GB2312" w:eastAsia="仿宋_GB2312" w:cs="仿宋_GB2312"/>
          <w:b w:val="0"/>
          <w:i w:val="0"/>
          <w:caps w:val="0"/>
          <w:spacing w:val="0"/>
          <w:w w:val="100"/>
          <w:sz w:val="24"/>
        </w:rPr>
      </w:pPr>
      <w:r>
        <w:rPr>
          <w:rFonts w:hint="eastAsia" w:ascii="仿宋_GB2312" w:hAnsi="仿宋_GB2312" w:eastAsia="仿宋_GB2312" w:cs="仿宋_GB2312"/>
          <w:b w:val="0"/>
          <w:i w:val="0"/>
          <w:caps w:val="0"/>
          <w:spacing w:val="0"/>
          <w:w w:val="100"/>
          <w:sz w:val="24"/>
        </w:rPr>
        <w:t>委托代理人（签字或签章）：</w:t>
      </w:r>
    </w:p>
    <w:p w14:paraId="000D8EFC">
      <w:pPr>
        <w:pStyle w:val="20"/>
        <w:keepNext w:val="0"/>
        <w:keepLines w:val="0"/>
        <w:pageBreakBefore w:val="0"/>
        <w:widowControl w:val="0"/>
        <w:tabs>
          <w:tab w:val="left" w:pos="5580"/>
        </w:tabs>
        <w:kinsoku/>
        <w:wordWrap/>
        <w:overflowPunct/>
        <w:topLinePunct w:val="0"/>
        <w:autoSpaceDE/>
        <w:autoSpaceDN/>
        <w:bidi w:val="0"/>
        <w:adjustRightInd/>
        <w:snapToGrid/>
        <w:spacing w:before="0" w:beforeAutospacing="0" w:after="0" w:afterAutospacing="0" w:line="560" w:lineRule="exact"/>
        <w:ind w:left="1078" w:leftChars="257" w:hanging="539"/>
        <w:jc w:val="both"/>
        <w:textAlignment w:val="baseline"/>
        <w:rPr>
          <w:rFonts w:ascii="仿宋_GB2312" w:hAnsi="仿宋_GB2312" w:eastAsia="仿宋_GB2312" w:cs="仿宋_GB2312"/>
          <w:b w:val="0"/>
          <w:i w:val="0"/>
          <w:caps w:val="0"/>
          <w:spacing w:val="0"/>
          <w:w w:val="100"/>
          <w:sz w:val="24"/>
        </w:rPr>
      </w:pPr>
      <w:r>
        <w:rPr>
          <w:rFonts w:hint="eastAsia" w:ascii="仿宋_GB2312" w:hAnsi="仿宋_GB2312" w:eastAsia="仿宋_GB2312" w:cs="仿宋_GB2312"/>
          <w:b w:val="0"/>
          <w:i w:val="0"/>
          <w:caps w:val="0"/>
          <w:spacing w:val="0"/>
          <w:w w:val="100"/>
          <w:sz w:val="24"/>
        </w:rPr>
        <w:t>身份证号码：</w:t>
      </w:r>
    </w:p>
    <w:p w14:paraId="428D1ADD">
      <w:pPr>
        <w:pStyle w:val="20"/>
        <w:keepNext w:val="0"/>
        <w:keepLines w:val="0"/>
        <w:pageBreakBefore w:val="0"/>
        <w:widowControl w:val="0"/>
        <w:tabs>
          <w:tab w:val="left" w:pos="5580"/>
        </w:tabs>
        <w:kinsoku/>
        <w:wordWrap/>
        <w:overflowPunct/>
        <w:topLinePunct w:val="0"/>
        <w:autoSpaceDE/>
        <w:autoSpaceDN/>
        <w:bidi w:val="0"/>
        <w:adjustRightInd/>
        <w:snapToGrid/>
        <w:spacing w:before="0" w:beforeAutospacing="0" w:after="0" w:afterAutospacing="0" w:line="560" w:lineRule="exact"/>
        <w:ind w:left="1078" w:leftChars="257" w:hanging="539"/>
        <w:jc w:val="both"/>
        <w:textAlignment w:val="baseline"/>
        <w:rPr>
          <w:rFonts w:ascii="仿宋_GB2312" w:hAnsi="仿宋_GB2312" w:eastAsia="仿宋_GB2312" w:cs="仿宋_GB2312"/>
          <w:b w:val="0"/>
          <w:i w:val="0"/>
          <w:caps w:val="0"/>
          <w:spacing w:val="0"/>
          <w:w w:val="100"/>
          <w:sz w:val="24"/>
        </w:rPr>
      </w:pPr>
      <w:r>
        <w:rPr>
          <w:rFonts w:hint="eastAsia" w:ascii="仿宋_GB2312" w:hAnsi="仿宋_GB2312" w:eastAsia="仿宋_GB2312" w:cs="仿宋_GB2312"/>
          <w:b w:val="0"/>
          <w:i w:val="0"/>
          <w:caps w:val="0"/>
          <w:spacing w:val="0"/>
          <w:w w:val="100"/>
          <w:sz w:val="24"/>
        </w:rPr>
        <w:t>详细通讯地址：</w:t>
      </w:r>
    </w:p>
    <w:p w14:paraId="2C4C5BBD">
      <w:pPr>
        <w:pStyle w:val="20"/>
        <w:keepNext w:val="0"/>
        <w:keepLines w:val="0"/>
        <w:pageBreakBefore w:val="0"/>
        <w:widowControl w:val="0"/>
        <w:tabs>
          <w:tab w:val="left" w:pos="5580"/>
        </w:tabs>
        <w:kinsoku/>
        <w:wordWrap/>
        <w:overflowPunct/>
        <w:topLinePunct w:val="0"/>
        <w:autoSpaceDE/>
        <w:autoSpaceDN/>
        <w:bidi w:val="0"/>
        <w:adjustRightInd/>
        <w:snapToGrid/>
        <w:spacing w:before="0" w:beforeAutospacing="0" w:after="0" w:afterAutospacing="0" w:line="560" w:lineRule="exact"/>
        <w:ind w:left="1078" w:leftChars="257" w:hanging="539"/>
        <w:jc w:val="both"/>
        <w:textAlignment w:val="baseline"/>
        <w:rPr>
          <w:rFonts w:ascii="仿宋_GB2312" w:hAnsi="仿宋_GB2312" w:eastAsia="仿宋_GB2312" w:cs="仿宋_GB2312"/>
          <w:b w:val="0"/>
          <w:i w:val="0"/>
          <w:caps w:val="0"/>
          <w:spacing w:val="0"/>
          <w:w w:val="100"/>
          <w:sz w:val="24"/>
        </w:rPr>
      </w:pPr>
      <w:r>
        <w:rPr>
          <w:rFonts w:hint="eastAsia" w:ascii="仿宋_GB2312" w:hAnsi="仿宋_GB2312" w:eastAsia="仿宋_GB2312" w:cs="仿宋_GB2312"/>
          <w:b w:val="0"/>
          <w:i w:val="0"/>
          <w:caps w:val="0"/>
          <w:spacing w:val="0"/>
          <w:w w:val="100"/>
          <w:sz w:val="24"/>
        </w:rPr>
        <w:t>邮 政 编 码 ：</w:t>
      </w:r>
    </w:p>
    <w:p w14:paraId="79246D19">
      <w:pPr>
        <w:pStyle w:val="20"/>
        <w:keepNext w:val="0"/>
        <w:keepLines w:val="0"/>
        <w:pageBreakBefore w:val="0"/>
        <w:widowControl w:val="0"/>
        <w:tabs>
          <w:tab w:val="left" w:pos="5580"/>
        </w:tabs>
        <w:kinsoku/>
        <w:wordWrap/>
        <w:overflowPunct/>
        <w:topLinePunct w:val="0"/>
        <w:autoSpaceDE/>
        <w:autoSpaceDN/>
        <w:bidi w:val="0"/>
        <w:adjustRightInd/>
        <w:snapToGrid/>
        <w:spacing w:before="0" w:beforeAutospacing="0" w:after="0" w:afterAutospacing="0" w:line="560" w:lineRule="exact"/>
        <w:ind w:left="1078" w:leftChars="257" w:hanging="539"/>
        <w:jc w:val="both"/>
        <w:textAlignment w:val="baseline"/>
        <w:rPr>
          <w:rFonts w:ascii="仿宋_GB2312" w:hAnsi="仿宋_GB2312" w:eastAsia="仿宋_GB2312" w:cs="仿宋_GB2312"/>
          <w:b w:val="0"/>
          <w:i w:val="0"/>
          <w:caps w:val="0"/>
          <w:spacing w:val="0"/>
          <w:w w:val="100"/>
          <w:sz w:val="24"/>
        </w:rPr>
      </w:pPr>
      <w:r>
        <w:rPr>
          <w:rFonts w:hint="eastAsia" w:ascii="仿宋_GB2312" w:hAnsi="仿宋_GB2312" w:eastAsia="仿宋_GB2312" w:cs="仿宋_GB2312"/>
          <w:b w:val="0"/>
          <w:i w:val="0"/>
          <w:caps w:val="0"/>
          <w:spacing w:val="0"/>
          <w:w w:val="100"/>
          <w:sz w:val="24"/>
        </w:rPr>
        <w:t>传　　　　真：</w:t>
      </w:r>
    </w:p>
    <w:p w14:paraId="3B11F815">
      <w:pPr>
        <w:pStyle w:val="20"/>
        <w:keepNext w:val="0"/>
        <w:keepLines w:val="0"/>
        <w:pageBreakBefore w:val="0"/>
        <w:widowControl w:val="0"/>
        <w:tabs>
          <w:tab w:val="left" w:pos="5580"/>
        </w:tabs>
        <w:kinsoku/>
        <w:wordWrap/>
        <w:overflowPunct/>
        <w:topLinePunct w:val="0"/>
        <w:autoSpaceDE/>
        <w:autoSpaceDN/>
        <w:bidi w:val="0"/>
        <w:adjustRightInd/>
        <w:snapToGrid/>
        <w:spacing w:before="0" w:beforeAutospacing="0" w:after="0" w:afterAutospacing="0" w:line="560" w:lineRule="exact"/>
        <w:ind w:left="1078" w:leftChars="257" w:hanging="539"/>
        <w:jc w:val="both"/>
        <w:textAlignment w:val="baseline"/>
        <w:rPr>
          <w:rFonts w:ascii="仿宋_GB2312" w:hAnsi="仿宋_GB2312" w:eastAsia="仿宋_GB2312" w:cs="仿宋_GB2312"/>
          <w:b w:val="0"/>
          <w:i w:val="0"/>
          <w:caps w:val="0"/>
          <w:spacing w:val="0"/>
          <w:w w:val="100"/>
          <w:sz w:val="24"/>
        </w:rPr>
      </w:pPr>
      <w:r>
        <w:rPr>
          <w:rFonts w:hint="eastAsia" w:ascii="仿宋_GB2312" w:hAnsi="仿宋_GB2312" w:eastAsia="仿宋_GB2312" w:cs="仿宋_GB2312"/>
          <w:b w:val="0"/>
          <w:i w:val="0"/>
          <w:caps w:val="0"/>
          <w:spacing w:val="0"/>
          <w:w w:val="100"/>
          <w:sz w:val="24"/>
        </w:rPr>
        <w:t>电　　　　话：</w:t>
      </w:r>
    </w:p>
    <w:p w14:paraId="266F60D0">
      <w:pPr>
        <w:pStyle w:val="20"/>
        <w:tabs>
          <w:tab w:val="left" w:pos="5580"/>
        </w:tabs>
        <w:snapToGrid/>
        <w:spacing w:before="0" w:beforeAutospacing="0" w:after="0" w:afterAutospacing="0" w:line="288" w:lineRule="auto"/>
        <w:ind w:firstLine="480" w:firstLineChars="200"/>
        <w:jc w:val="both"/>
        <w:textAlignment w:val="baseline"/>
        <w:rPr>
          <w:rFonts w:ascii="仿宋_GB2312" w:hAnsi="仿宋_GB2312" w:eastAsia="仿宋_GB2312" w:cs="仿宋_GB2312"/>
          <w:b w:val="0"/>
          <w:i w:val="0"/>
          <w:caps w:val="0"/>
          <w:spacing w:val="0"/>
          <w:w w:val="100"/>
          <w:sz w:val="24"/>
          <w:u w:val="single" w:color="FFFFFF"/>
        </w:rPr>
      </w:pPr>
    </w:p>
    <w:p w14:paraId="35E72AF9">
      <w:pPr>
        <w:pStyle w:val="36"/>
        <w:ind w:left="0" w:leftChars="0" w:firstLine="0" w:firstLineChars="0"/>
        <w:rPr>
          <w:rFonts w:ascii="仿宋_GB2312" w:hAnsi="微软雅黑 Light" w:eastAsia="仿宋_GB2312" w:cs="微软雅黑 Light"/>
          <w:b/>
          <w:bCs/>
          <w:i w:val="0"/>
          <w:iCs/>
          <w:caps w:val="0"/>
          <w:spacing w:val="0"/>
          <w:w w:val="100"/>
          <w:sz w:val="24"/>
        </w:rPr>
      </w:pPr>
      <w:bookmarkStart w:id="1132" w:name="_Toc32520"/>
      <w:bookmarkEnd w:id="1132"/>
      <w:bookmarkStart w:id="1133" w:name="_Toc18130"/>
      <w:bookmarkEnd w:id="1133"/>
      <w:bookmarkStart w:id="1134" w:name="_Toc7039"/>
      <w:bookmarkEnd w:id="1134"/>
      <w:bookmarkStart w:id="1135" w:name="_Toc515647808"/>
      <w:bookmarkEnd w:id="1135"/>
    </w:p>
    <w:p w14:paraId="73AFD53D">
      <w:pPr>
        <w:keepNext w:val="0"/>
        <w:keepLines w:val="0"/>
        <w:pageBreakBefore w:val="0"/>
        <w:widowControl/>
        <w:kinsoku/>
        <w:wordWrap/>
        <w:overflowPunct/>
        <w:topLinePunct w:val="0"/>
        <w:autoSpaceDE/>
        <w:autoSpaceDN/>
        <w:bidi w:val="0"/>
        <w:adjustRightInd/>
        <w:snapToGrid/>
        <w:spacing w:before="0" w:beforeAutospacing="0" w:after="0" w:afterAutospacing="0" w:line="500" w:lineRule="exact"/>
        <w:jc w:val="both"/>
        <w:textAlignment w:val="baseline"/>
        <w:outlineLvl w:val="2"/>
        <w:rPr>
          <w:rFonts w:hint="eastAsia" w:ascii="仿宋_GB2312" w:hAnsi="仿宋_GB2312" w:eastAsia="仿宋_GB2312" w:cs="仿宋_GB2312"/>
          <w:b/>
          <w:i w:val="0"/>
          <w:caps w:val="0"/>
          <w:spacing w:val="0"/>
          <w:w w:val="100"/>
          <w:kern w:val="0"/>
          <w:sz w:val="24"/>
          <w:szCs w:val="20"/>
          <w:u w:val="none"/>
          <w:lang w:val="en-US" w:eastAsia="zh-CN" w:bidi="ar-SA"/>
        </w:rPr>
      </w:pPr>
    </w:p>
    <w:p w14:paraId="6F7FC8B4">
      <w:pPr>
        <w:keepNext w:val="0"/>
        <w:keepLines w:val="0"/>
        <w:pageBreakBefore w:val="0"/>
        <w:widowControl/>
        <w:kinsoku/>
        <w:wordWrap/>
        <w:overflowPunct/>
        <w:topLinePunct w:val="0"/>
        <w:autoSpaceDE/>
        <w:autoSpaceDN/>
        <w:bidi w:val="0"/>
        <w:adjustRightInd/>
        <w:snapToGrid/>
        <w:spacing w:before="0" w:beforeAutospacing="0" w:after="0" w:afterAutospacing="0" w:line="500" w:lineRule="exact"/>
        <w:jc w:val="center"/>
        <w:textAlignment w:val="baseline"/>
        <w:outlineLvl w:val="2"/>
        <w:rPr>
          <w:rFonts w:hint="eastAsia" w:ascii="仿宋_GB2312" w:hAnsi="仿宋_GB2312" w:eastAsia="仿宋_GB2312" w:cs="仿宋_GB2312"/>
          <w:b/>
          <w:i w:val="0"/>
          <w:caps w:val="0"/>
          <w:spacing w:val="0"/>
          <w:w w:val="100"/>
          <w:kern w:val="0"/>
          <w:sz w:val="24"/>
          <w:szCs w:val="20"/>
          <w:u w:val="none"/>
          <w:lang w:val="en-US" w:eastAsia="zh-CN" w:bidi="ar-SA"/>
        </w:rPr>
      </w:pPr>
      <w:bookmarkStart w:id="1136" w:name="_Toc19958"/>
      <w:bookmarkStart w:id="1137" w:name="_Toc29966"/>
      <w:bookmarkStart w:id="1138" w:name="_Toc28642"/>
    </w:p>
    <w:p w14:paraId="33F17842">
      <w:pPr>
        <w:keepNext w:val="0"/>
        <w:keepLines w:val="0"/>
        <w:pageBreakBefore w:val="0"/>
        <w:widowControl/>
        <w:kinsoku/>
        <w:wordWrap/>
        <w:overflowPunct/>
        <w:topLinePunct w:val="0"/>
        <w:autoSpaceDE/>
        <w:autoSpaceDN/>
        <w:bidi w:val="0"/>
        <w:adjustRightInd/>
        <w:snapToGrid/>
        <w:spacing w:before="0" w:beforeAutospacing="0" w:after="0" w:afterAutospacing="0" w:line="500" w:lineRule="exact"/>
        <w:jc w:val="center"/>
        <w:textAlignment w:val="baseline"/>
        <w:outlineLvl w:val="2"/>
        <w:rPr>
          <w:rFonts w:ascii="仿宋_GB2312" w:hAnsi="微软雅黑 Light" w:eastAsia="仿宋_GB2312" w:cs="微软雅黑 Light"/>
          <w:b/>
          <w:bCs/>
          <w:i w:val="0"/>
          <w:iCs/>
          <w:caps w:val="0"/>
          <w:spacing w:val="0"/>
          <w:w w:val="100"/>
          <w:sz w:val="24"/>
        </w:rPr>
      </w:pPr>
      <w:bookmarkStart w:id="1139" w:name="_Toc3066"/>
      <w:bookmarkStart w:id="1140" w:name="_Toc10326"/>
      <w:bookmarkStart w:id="1141" w:name="_Toc28882"/>
      <w:bookmarkStart w:id="1142" w:name="_Toc24658"/>
      <w:bookmarkStart w:id="1143" w:name="_Toc13669"/>
      <w:bookmarkStart w:id="1144" w:name="_Toc5928"/>
      <w:r>
        <w:rPr>
          <w:rFonts w:hint="eastAsia" w:ascii="仿宋_GB2312" w:hAnsi="仿宋_GB2312" w:eastAsia="仿宋_GB2312" w:cs="仿宋_GB2312"/>
          <w:b/>
          <w:i w:val="0"/>
          <w:caps w:val="0"/>
          <w:spacing w:val="0"/>
          <w:w w:val="100"/>
          <w:kern w:val="0"/>
          <w:sz w:val="24"/>
          <w:szCs w:val="20"/>
          <w:u w:val="none"/>
          <w:lang w:val="en-US" w:eastAsia="zh-CN" w:bidi="ar-SA"/>
        </w:rPr>
        <w:t>5  投标保证金缴纳凭证</w:t>
      </w:r>
      <w:bookmarkEnd w:id="1136"/>
      <w:bookmarkEnd w:id="1137"/>
      <w:bookmarkEnd w:id="1138"/>
      <w:bookmarkEnd w:id="1139"/>
      <w:bookmarkEnd w:id="1140"/>
      <w:bookmarkEnd w:id="1141"/>
      <w:bookmarkEnd w:id="1142"/>
      <w:bookmarkEnd w:id="1143"/>
      <w:bookmarkEnd w:id="1144"/>
    </w:p>
    <w:p w14:paraId="1AE883D2">
      <w:pPr>
        <w:pStyle w:val="32"/>
        <w:keepNext w:val="0"/>
        <w:keepLines w:val="0"/>
        <w:pageBreakBefore w:val="0"/>
        <w:widowControl/>
        <w:kinsoku/>
        <w:wordWrap/>
        <w:overflowPunct/>
        <w:topLinePunct w:val="0"/>
        <w:autoSpaceDE/>
        <w:autoSpaceDN/>
        <w:bidi w:val="0"/>
        <w:adjustRightInd/>
        <w:snapToGrid/>
        <w:spacing w:beforeAutospacing="0" w:afterAutospacing="0" w:line="360" w:lineRule="auto"/>
        <w:ind w:left="147" w:firstLine="480" w:firstLineChars="200"/>
        <w:textAlignment w:val="auto"/>
        <w:rPr>
          <w:rFonts w:hint="eastAsia" w:ascii="仿宋" w:hAnsi="仿宋" w:eastAsia="仿宋"/>
        </w:rPr>
      </w:pPr>
      <w:r>
        <w:rPr>
          <w:rFonts w:hint="eastAsia" w:ascii="仿宋" w:hAnsi="仿宋" w:eastAsia="仿宋" w:cs="Times New Roman"/>
          <w:lang w:val="en-US" w:eastAsia="zh-CN"/>
        </w:rPr>
        <w:t>投标保证金应当以支票、汇票、本票或者金融机构、担保机构出具的保函等非现金形式提交。投标人未按照招标文件要求提交投标保证金的，投标无效。</w:t>
      </w:r>
      <w:bookmarkStart w:id="1145" w:name="_Toc494296665"/>
      <w:bookmarkStart w:id="1146" w:name="_Toc494296991"/>
      <w:r>
        <w:rPr>
          <w:rFonts w:hint="eastAsia" w:ascii="仿宋" w:hAnsi="仿宋" w:eastAsia="仿宋" w:cs="Times New Roman"/>
        </w:rPr>
        <w:t>投</w:t>
      </w:r>
      <w:r>
        <w:rPr>
          <w:rFonts w:hint="eastAsia" w:ascii="仿宋" w:hAnsi="仿宋" w:eastAsia="仿宋"/>
        </w:rPr>
        <w:t>标人可将本项目</w:t>
      </w:r>
      <w:r>
        <w:rPr>
          <w:rFonts w:ascii="仿宋" w:hAnsi="仿宋" w:eastAsia="仿宋"/>
        </w:rPr>
        <w:t>保证金</w:t>
      </w:r>
      <w:r>
        <w:rPr>
          <w:rFonts w:hint="eastAsia" w:ascii="仿宋" w:hAnsi="仿宋" w:eastAsia="仿宋"/>
        </w:rPr>
        <w:t>缴纳凭证</w:t>
      </w:r>
      <w:r>
        <w:rPr>
          <w:rFonts w:hint="eastAsia" w:ascii="仿宋" w:hAnsi="仿宋" w:eastAsia="仿宋"/>
          <w:lang w:eastAsia="zh-CN"/>
        </w:rPr>
        <w:t>体现</w:t>
      </w:r>
      <w:r>
        <w:rPr>
          <w:rFonts w:hint="eastAsia" w:ascii="仿宋" w:hAnsi="仿宋" w:eastAsia="仿宋"/>
        </w:rPr>
        <w:t>在本部分</w:t>
      </w:r>
      <w:r>
        <w:rPr>
          <w:rFonts w:hint="eastAsia" w:ascii="仿宋" w:hAnsi="仿宋" w:eastAsia="仿宋"/>
          <w:lang w:eastAsia="zh-CN"/>
        </w:rPr>
        <w:t>中</w:t>
      </w:r>
      <w:r>
        <w:rPr>
          <w:rFonts w:hint="eastAsia" w:ascii="仿宋" w:hAnsi="仿宋" w:eastAsia="仿宋"/>
        </w:rPr>
        <w:t>，复印件上应加盖本单位章；使用</w:t>
      </w:r>
      <w:r>
        <w:rPr>
          <w:rFonts w:ascii="仿宋" w:hAnsi="仿宋" w:eastAsia="仿宋"/>
        </w:rPr>
        <w:t>银行保函</w:t>
      </w:r>
      <w:r>
        <w:rPr>
          <w:rFonts w:hint="eastAsia" w:ascii="仿宋" w:hAnsi="仿宋" w:eastAsia="仿宋"/>
        </w:rPr>
        <w:t>等其他投标</w:t>
      </w:r>
      <w:r>
        <w:rPr>
          <w:rFonts w:ascii="仿宋" w:hAnsi="仿宋" w:eastAsia="仿宋"/>
        </w:rPr>
        <w:t>担保函的，</w:t>
      </w:r>
      <w:r>
        <w:rPr>
          <w:rFonts w:hint="eastAsia" w:ascii="仿宋" w:hAnsi="仿宋" w:eastAsia="仿宋"/>
        </w:rPr>
        <w:t>应将</w:t>
      </w:r>
      <w:r>
        <w:rPr>
          <w:rFonts w:ascii="仿宋" w:hAnsi="仿宋" w:eastAsia="仿宋"/>
        </w:rPr>
        <w:t>担保函</w:t>
      </w:r>
      <w:r>
        <w:rPr>
          <w:rFonts w:hint="eastAsia" w:ascii="仿宋" w:hAnsi="仿宋" w:eastAsia="仿宋"/>
          <w:lang w:eastAsia="zh-CN"/>
        </w:rPr>
        <w:t>复印件</w:t>
      </w:r>
      <w:r>
        <w:rPr>
          <w:rFonts w:hint="eastAsia" w:ascii="仿宋" w:hAnsi="仿宋" w:eastAsia="仿宋"/>
        </w:rPr>
        <w:t>，</w:t>
      </w:r>
      <w:r>
        <w:rPr>
          <w:rFonts w:hint="eastAsia" w:ascii="仿宋" w:hAnsi="仿宋" w:eastAsia="仿宋"/>
          <w:lang w:eastAsia="zh-CN"/>
        </w:rPr>
        <w:t>体现</w:t>
      </w:r>
      <w:r>
        <w:rPr>
          <w:rFonts w:hint="eastAsia" w:ascii="仿宋" w:hAnsi="仿宋" w:eastAsia="仿宋"/>
        </w:rPr>
        <w:t>在本部分</w:t>
      </w:r>
      <w:r>
        <w:rPr>
          <w:rFonts w:ascii="仿宋" w:hAnsi="仿宋" w:eastAsia="仿宋"/>
        </w:rPr>
        <w:t>中；</w:t>
      </w:r>
      <w:r>
        <w:rPr>
          <w:rFonts w:hint="eastAsia" w:ascii="仿宋" w:hAnsi="仿宋" w:eastAsia="仿宋"/>
        </w:rPr>
        <w:t>如采用政府采购信用担保形式的，</w:t>
      </w:r>
      <w:r>
        <w:rPr>
          <w:rFonts w:ascii="仿宋" w:hAnsi="仿宋" w:eastAsia="仿宋"/>
        </w:rPr>
        <w:t>应使用</w:t>
      </w:r>
      <w:r>
        <w:rPr>
          <w:rFonts w:hint="eastAsia" w:ascii="仿宋" w:hAnsi="仿宋" w:eastAsia="仿宋"/>
          <w:lang w:eastAsia="zh-CN"/>
        </w:rPr>
        <w:t>以下模板</w:t>
      </w:r>
      <w:r>
        <w:rPr>
          <w:rFonts w:hint="eastAsia" w:ascii="仿宋" w:hAnsi="仿宋" w:eastAsia="仿宋"/>
        </w:rPr>
        <w:t>,将</w:t>
      </w:r>
      <w:r>
        <w:rPr>
          <w:rFonts w:hint="eastAsia" w:ascii="仿宋" w:hAnsi="仿宋" w:eastAsia="仿宋"/>
          <w:lang w:eastAsia="zh-CN"/>
        </w:rPr>
        <w:t>复印件体现</w:t>
      </w:r>
      <w:r>
        <w:rPr>
          <w:rFonts w:ascii="仿宋" w:hAnsi="仿宋" w:eastAsia="仿宋"/>
        </w:rPr>
        <w:t>在本部分中</w:t>
      </w:r>
      <w:r>
        <w:rPr>
          <w:rFonts w:hint="eastAsia" w:ascii="仿宋" w:hAnsi="仿宋" w:eastAsia="仿宋"/>
        </w:rPr>
        <w:t>。</w:t>
      </w:r>
      <w:bookmarkEnd w:id="1145"/>
      <w:bookmarkEnd w:id="1146"/>
    </w:p>
    <w:p w14:paraId="1BD9A2A2">
      <w:pPr>
        <w:jc w:val="center"/>
        <w:rPr>
          <w:rFonts w:hint="eastAsia" w:ascii="仿宋" w:hAnsi="仿宋" w:eastAsia="仿宋"/>
          <w:sz w:val="28"/>
          <w:szCs w:val="28"/>
        </w:rPr>
      </w:pPr>
    </w:p>
    <w:p w14:paraId="33D6678A">
      <w:pPr>
        <w:jc w:val="center"/>
        <w:rPr>
          <w:rFonts w:hint="eastAsia" w:ascii="仿宋" w:hAnsi="仿宋" w:eastAsia="仿宋"/>
          <w:sz w:val="28"/>
          <w:szCs w:val="28"/>
        </w:rPr>
      </w:pPr>
    </w:p>
    <w:p w14:paraId="3EF53776">
      <w:pPr>
        <w:pStyle w:val="27"/>
        <w:rPr>
          <w:rFonts w:hint="eastAsia" w:ascii="仿宋" w:hAnsi="仿宋" w:eastAsia="仿宋"/>
          <w:sz w:val="28"/>
          <w:szCs w:val="28"/>
        </w:rPr>
      </w:pPr>
    </w:p>
    <w:p w14:paraId="472AB566">
      <w:pPr>
        <w:pStyle w:val="14"/>
        <w:rPr>
          <w:rFonts w:hint="eastAsia" w:ascii="仿宋" w:hAnsi="仿宋" w:eastAsia="仿宋"/>
          <w:sz w:val="28"/>
          <w:szCs w:val="28"/>
        </w:rPr>
      </w:pPr>
    </w:p>
    <w:p w14:paraId="7BC8EB30">
      <w:pPr>
        <w:pStyle w:val="36"/>
        <w:rPr>
          <w:rFonts w:hint="eastAsia" w:ascii="仿宋" w:hAnsi="仿宋" w:eastAsia="仿宋"/>
          <w:sz w:val="28"/>
          <w:szCs w:val="28"/>
        </w:rPr>
      </w:pPr>
    </w:p>
    <w:p w14:paraId="2E1CF3F3">
      <w:pPr>
        <w:pStyle w:val="36"/>
        <w:ind w:left="0" w:leftChars="0" w:firstLine="0" w:firstLineChars="0"/>
        <w:rPr>
          <w:rFonts w:hint="eastAsia"/>
        </w:rPr>
      </w:pPr>
    </w:p>
    <w:p w14:paraId="3A04C185">
      <w:pPr>
        <w:jc w:val="center"/>
        <w:rPr>
          <w:rFonts w:hint="eastAsia" w:ascii="仿宋" w:hAnsi="仿宋" w:eastAsia="仿宋"/>
          <w:sz w:val="28"/>
          <w:szCs w:val="28"/>
        </w:rPr>
      </w:pPr>
    </w:p>
    <w:p w14:paraId="5B286383">
      <w:pPr>
        <w:jc w:val="center"/>
        <w:rPr>
          <w:rFonts w:hint="eastAsia" w:ascii="仿宋" w:hAnsi="仿宋" w:eastAsia="仿宋"/>
          <w:sz w:val="28"/>
          <w:szCs w:val="28"/>
        </w:rPr>
      </w:pPr>
    </w:p>
    <w:p w14:paraId="0FD7E91C">
      <w:pPr>
        <w:jc w:val="center"/>
        <w:rPr>
          <w:rFonts w:hint="eastAsia" w:ascii="仿宋" w:hAnsi="仿宋" w:eastAsia="仿宋"/>
          <w:sz w:val="28"/>
          <w:szCs w:val="28"/>
        </w:rPr>
      </w:pPr>
    </w:p>
    <w:p w14:paraId="36CEFA5A">
      <w:pPr>
        <w:jc w:val="center"/>
        <w:rPr>
          <w:rFonts w:hint="eastAsia" w:ascii="仿宋" w:hAnsi="仿宋" w:eastAsia="仿宋"/>
          <w:sz w:val="28"/>
          <w:szCs w:val="28"/>
        </w:rPr>
      </w:pPr>
    </w:p>
    <w:p w14:paraId="7B085835">
      <w:pPr>
        <w:jc w:val="center"/>
        <w:rPr>
          <w:rFonts w:hint="eastAsia" w:ascii="仿宋" w:hAnsi="仿宋" w:eastAsia="仿宋"/>
          <w:sz w:val="28"/>
          <w:szCs w:val="28"/>
        </w:rPr>
      </w:pPr>
    </w:p>
    <w:p w14:paraId="450A433F">
      <w:pPr>
        <w:jc w:val="center"/>
        <w:rPr>
          <w:rFonts w:hint="eastAsia" w:ascii="仿宋" w:hAnsi="仿宋" w:eastAsia="仿宋"/>
          <w:sz w:val="28"/>
          <w:szCs w:val="28"/>
        </w:rPr>
      </w:pPr>
    </w:p>
    <w:p w14:paraId="2FA82E6D">
      <w:pPr>
        <w:jc w:val="center"/>
        <w:rPr>
          <w:rFonts w:hint="eastAsia" w:ascii="仿宋" w:hAnsi="仿宋" w:eastAsia="仿宋"/>
          <w:sz w:val="28"/>
          <w:szCs w:val="28"/>
        </w:rPr>
      </w:pPr>
    </w:p>
    <w:p w14:paraId="0649812F">
      <w:pPr>
        <w:jc w:val="center"/>
        <w:rPr>
          <w:rFonts w:hint="eastAsia" w:ascii="仿宋" w:hAnsi="仿宋" w:eastAsia="仿宋"/>
          <w:sz w:val="28"/>
          <w:szCs w:val="28"/>
        </w:rPr>
      </w:pPr>
    </w:p>
    <w:p w14:paraId="7377A1A7">
      <w:pPr>
        <w:jc w:val="center"/>
        <w:rPr>
          <w:rFonts w:hint="eastAsia" w:ascii="仿宋" w:hAnsi="仿宋" w:eastAsia="仿宋"/>
          <w:sz w:val="28"/>
          <w:szCs w:val="28"/>
        </w:rPr>
      </w:pPr>
    </w:p>
    <w:p w14:paraId="7C535030">
      <w:pPr>
        <w:jc w:val="center"/>
        <w:rPr>
          <w:rFonts w:hint="eastAsia" w:ascii="仿宋" w:hAnsi="仿宋" w:eastAsia="仿宋"/>
          <w:sz w:val="28"/>
          <w:szCs w:val="28"/>
        </w:rPr>
      </w:pPr>
    </w:p>
    <w:p w14:paraId="39902E07">
      <w:pPr>
        <w:jc w:val="center"/>
        <w:rPr>
          <w:rFonts w:hint="eastAsia" w:ascii="仿宋" w:hAnsi="仿宋" w:eastAsia="仿宋"/>
          <w:sz w:val="28"/>
          <w:szCs w:val="28"/>
        </w:rPr>
      </w:pPr>
    </w:p>
    <w:p w14:paraId="731DB8FB">
      <w:pPr>
        <w:jc w:val="center"/>
        <w:rPr>
          <w:rFonts w:hint="eastAsia" w:ascii="仿宋" w:hAnsi="仿宋" w:eastAsia="仿宋"/>
          <w:sz w:val="28"/>
          <w:szCs w:val="28"/>
        </w:rPr>
      </w:pPr>
    </w:p>
    <w:p w14:paraId="42BC1378">
      <w:pPr>
        <w:jc w:val="center"/>
        <w:rPr>
          <w:rFonts w:hint="eastAsia" w:ascii="仿宋" w:hAnsi="仿宋" w:eastAsia="仿宋"/>
          <w:sz w:val="28"/>
          <w:szCs w:val="28"/>
        </w:rPr>
      </w:pPr>
      <w:r>
        <w:rPr>
          <w:rFonts w:hint="eastAsia" w:ascii="仿宋" w:hAnsi="仿宋" w:eastAsia="仿宋"/>
          <w:sz w:val="28"/>
          <w:szCs w:val="28"/>
        </w:rPr>
        <w:t>政府采购投标担保函 （项目用）</w:t>
      </w:r>
    </w:p>
    <w:p w14:paraId="46D52458">
      <w:pPr>
        <w:ind w:firstLine="6720" w:firstLineChars="3200"/>
        <w:rPr>
          <w:rFonts w:ascii="仿宋" w:hAnsi="仿宋" w:eastAsia="仿宋"/>
        </w:rPr>
      </w:pPr>
      <w:r>
        <w:rPr>
          <w:rFonts w:hint="eastAsia" w:ascii="仿宋" w:hAnsi="仿宋" w:eastAsia="仿宋"/>
        </w:rPr>
        <w:t>编号：</w:t>
      </w:r>
    </w:p>
    <w:p w14:paraId="19CD33E5">
      <w:pPr>
        <w:tabs>
          <w:tab w:val="left" w:pos="6669"/>
        </w:tabs>
        <w:rPr>
          <w:rFonts w:hint="eastAsia" w:ascii="仿宋" w:hAnsi="仿宋" w:eastAsia="仿宋"/>
          <w:lang w:eastAsia="zh-CN"/>
        </w:rPr>
      </w:pPr>
      <w:r>
        <w:rPr>
          <w:rFonts w:hint="eastAsia" w:ascii="仿宋" w:hAnsi="仿宋" w:eastAsia="仿宋"/>
          <w:u w:val="single"/>
        </w:rPr>
        <w:t xml:space="preserve">                  </w:t>
      </w:r>
      <w:r>
        <w:rPr>
          <w:rFonts w:hint="eastAsia" w:ascii="仿宋" w:hAnsi="仿宋" w:eastAsia="仿宋"/>
        </w:rPr>
        <w:t>（采购人或采购代理机构）：</w:t>
      </w:r>
      <w:r>
        <w:rPr>
          <w:rFonts w:hint="eastAsia" w:ascii="仿宋" w:hAnsi="仿宋" w:eastAsia="仿宋"/>
          <w:lang w:eastAsia="zh-CN"/>
        </w:rPr>
        <w:tab/>
      </w:r>
    </w:p>
    <w:p w14:paraId="5C95ADCC">
      <w:pPr>
        <w:rPr>
          <w:rFonts w:ascii="仿宋" w:hAnsi="仿宋" w:eastAsia="仿宋"/>
        </w:rPr>
      </w:pPr>
    </w:p>
    <w:p w14:paraId="10733AF5">
      <w:pPr>
        <w:ind w:firstLine="420" w:firstLineChars="200"/>
        <w:rPr>
          <w:rFonts w:hint="eastAsia" w:ascii="仿宋" w:hAnsi="仿宋" w:eastAsia="仿宋"/>
        </w:rPr>
      </w:pPr>
      <w:r>
        <w:rPr>
          <w:rFonts w:hint="eastAsia" w:ascii="仿宋" w:hAnsi="仿宋" w:eastAsia="仿宋"/>
        </w:rPr>
        <w:t>鉴于</w:t>
      </w:r>
      <w:r>
        <w:rPr>
          <w:rFonts w:hint="eastAsia" w:ascii="仿宋" w:hAnsi="仿宋" w:eastAsia="仿宋"/>
          <w:u w:val="single"/>
        </w:rPr>
        <w:t xml:space="preserve">               </w:t>
      </w:r>
      <w:r>
        <w:rPr>
          <w:rFonts w:hint="eastAsia" w:ascii="仿宋" w:hAnsi="仿宋" w:eastAsia="仿宋"/>
        </w:rPr>
        <w:t>（以下简称“投标人”）拟参加编号为</w:t>
      </w:r>
      <w:r>
        <w:rPr>
          <w:rFonts w:hint="eastAsia" w:ascii="仿宋" w:hAnsi="仿宋" w:eastAsia="仿宋"/>
          <w:u w:val="single"/>
        </w:rPr>
        <w:t xml:space="preserve">            </w:t>
      </w:r>
      <w:r>
        <w:rPr>
          <w:rFonts w:hint="eastAsia" w:ascii="仿宋" w:hAnsi="仿宋" w:eastAsia="仿宋"/>
        </w:rPr>
        <w:t>的</w:t>
      </w:r>
      <w:r>
        <w:rPr>
          <w:rFonts w:hint="eastAsia" w:ascii="仿宋" w:hAnsi="仿宋" w:eastAsia="仿宋"/>
          <w:u w:val="single"/>
        </w:rPr>
        <w:t xml:space="preserve">           </w:t>
      </w:r>
      <w:r>
        <w:rPr>
          <w:rFonts w:hint="eastAsia" w:ascii="仿宋" w:hAnsi="仿宋" w:eastAsia="仿宋"/>
        </w:rPr>
        <w:t xml:space="preserve">                            </w:t>
      </w:r>
    </w:p>
    <w:p w14:paraId="126D8E91">
      <w:pPr>
        <w:rPr>
          <w:rFonts w:hint="eastAsia" w:ascii="仿宋" w:hAnsi="仿宋" w:eastAsia="仿宋"/>
        </w:rPr>
      </w:pPr>
      <w:r>
        <w:rPr>
          <w:rFonts w:hint="eastAsia" w:ascii="仿宋" w:hAnsi="仿宋" w:eastAsia="仿宋"/>
        </w:rPr>
        <w:t>项目（以下简称“本项目”）投标，根据本项目招标文件，供应商参加投标时应向你方交纳投标保证金，且可以投标担保函的形式交纳投标保证金。应供应商的申请，我方以保证的方式向你方提供如下投标保证金担保：</w:t>
      </w:r>
    </w:p>
    <w:p w14:paraId="5E28B7E6">
      <w:pPr>
        <w:ind w:firstLine="420" w:firstLineChars="200"/>
        <w:rPr>
          <w:rFonts w:hint="eastAsia" w:ascii="仿宋" w:hAnsi="仿宋" w:eastAsia="仿宋"/>
        </w:rPr>
      </w:pPr>
      <w:r>
        <w:rPr>
          <w:rFonts w:hint="eastAsia" w:ascii="仿宋" w:hAnsi="仿宋" w:eastAsia="仿宋"/>
        </w:rPr>
        <w:t>一、保证责任的情形及保证金额</w:t>
      </w:r>
    </w:p>
    <w:p w14:paraId="4D2487BE">
      <w:pPr>
        <w:ind w:firstLine="210" w:firstLineChars="100"/>
        <w:rPr>
          <w:rFonts w:hint="eastAsia" w:ascii="仿宋" w:hAnsi="仿宋" w:eastAsia="仿宋"/>
        </w:rPr>
      </w:pPr>
      <w:r>
        <w:rPr>
          <w:rFonts w:hint="eastAsia" w:ascii="仿宋" w:hAnsi="仿宋" w:eastAsia="仿宋"/>
        </w:rPr>
        <w:t>（一）在投标人出现下列情形之一时，我方承担保证责任：</w:t>
      </w:r>
    </w:p>
    <w:p w14:paraId="0B9FA5F6">
      <w:pPr>
        <w:ind w:firstLine="420" w:firstLineChars="200"/>
        <w:rPr>
          <w:rFonts w:hint="eastAsia" w:ascii="仿宋" w:hAnsi="仿宋" w:eastAsia="仿宋"/>
        </w:rPr>
      </w:pPr>
      <w:r>
        <w:rPr>
          <w:rFonts w:hint="eastAsia" w:ascii="仿宋" w:hAnsi="仿宋" w:eastAsia="仿宋"/>
        </w:rPr>
        <w:t>1．中标后投标人无正当理由不与采购人或者采购代理机构签订《政府采购合同》；</w:t>
      </w:r>
    </w:p>
    <w:p w14:paraId="0C6099D8">
      <w:pPr>
        <w:ind w:firstLine="420" w:firstLineChars="200"/>
        <w:rPr>
          <w:rFonts w:hint="eastAsia" w:ascii="仿宋" w:hAnsi="仿宋" w:eastAsia="仿宋"/>
        </w:rPr>
      </w:pPr>
      <w:r>
        <w:rPr>
          <w:rFonts w:hint="eastAsia" w:ascii="仿宋" w:hAnsi="仿宋" w:eastAsia="仿宋"/>
        </w:rPr>
        <w:t>2．招标文件规定的投标人应当缴纳保证金的其他情形。</w:t>
      </w:r>
    </w:p>
    <w:p w14:paraId="18275E16">
      <w:pPr>
        <w:ind w:firstLine="210" w:firstLineChars="100"/>
        <w:rPr>
          <w:rFonts w:hint="eastAsia" w:ascii="仿宋" w:hAnsi="仿宋" w:eastAsia="仿宋"/>
        </w:rPr>
      </w:pPr>
      <w:r>
        <w:rPr>
          <w:rFonts w:hint="eastAsia" w:ascii="仿宋" w:hAnsi="仿宋" w:eastAsia="仿宋"/>
        </w:rPr>
        <w:t>（二）我方承担保证责任的最高金额为人民币</w:t>
      </w:r>
      <w:r>
        <w:rPr>
          <w:rFonts w:hint="eastAsia" w:ascii="仿宋" w:hAnsi="仿宋" w:eastAsia="仿宋"/>
          <w:u w:val="single"/>
        </w:rPr>
        <w:t xml:space="preserve">      </w:t>
      </w:r>
      <w:r>
        <w:rPr>
          <w:rFonts w:hint="eastAsia" w:ascii="仿宋" w:hAnsi="仿宋" w:eastAsia="仿宋"/>
        </w:rPr>
        <w:t>元（大写</w:t>
      </w:r>
      <w:r>
        <w:rPr>
          <w:rFonts w:hint="eastAsia" w:ascii="仿宋" w:hAnsi="仿宋" w:eastAsia="仿宋"/>
          <w:u w:val="single"/>
        </w:rPr>
        <w:t xml:space="preserve">            </w:t>
      </w:r>
      <w:r>
        <w:rPr>
          <w:rFonts w:hint="eastAsia" w:ascii="仿宋" w:hAnsi="仿宋" w:eastAsia="仿宋"/>
        </w:rPr>
        <w:t>），即本项目的投标保证金金额。</w:t>
      </w:r>
    </w:p>
    <w:p w14:paraId="0FB79DCB">
      <w:pPr>
        <w:ind w:firstLine="420" w:firstLineChars="200"/>
        <w:rPr>
          <w:rFonts w:hint="eastAsia" w:ascii="仿宋" w:hAnsi="仿宋" w:eastAsia="仿宋"/>
        </w:rPr>
      </w:pPr>
      <w:r>
        <w:rPr>
          <w:rFonts w:hint="eastAsia" w:ascii="仿宋" w:hAnsi="仿宋" w:eastAsia="仿宋"/>
        </w:rPr>
        <w:t>二、保证的方式及保证期间</w:t>
      </w:r>
    </w:p>
    <w:p w14:paraId="3535F194">
      <w:pPr>
        <w:ind w:firstLine="420" w:firstLineChars="200"/>
        <w:rPr>
          <w:rFonts w:hint="eastAsia" w:ascii="仿宋" w:hAnsi="仿宋" w:eastAsia="仿宋"/>
        </w:rPr>
      </w:pPr>
      <w:r>
        <w:rPr>
          <w:rFonts w:hint="eastAsia" w:ascii="仿宋" w:hAnsi="仿宋" w:eastAsia="仿宋"/>
        </w:rPr>
        <w:t>我方保证的方式为：连带责任保证。</w:t>
      </w:r>
    </w:p>
    <w:p w14:paraId="7B055BCB">
      <w:pPr>
        <w:ind w:firstLine="420" w:firstLineChars="200"/>
        <w:rPr>
          <w:rFonts w:hint="eastAsia" w:ascii="仿宋" w:hAnsi="仿宋" w:eastAsia="仿宋"/>
        </w:rPr>
      </w:pPr>
      <w:r>
        <w:rPr>
          <w:rFonts w:hint="eastAsia" w:ascii="仿宋" w:hAnsi="仿宋" w:eastAsia="仿宋"/>
        </w:rPr>
        <w:t>我方的保证期间为：自本保函生效之日起</w:t>
      </w:r>
      <w:r>
        <w:rPr>
          <w:rFonts w:hint="eastAsia" w:ascii="仿宋" w:hAnsi="仿宋" w:eastAsia="仿宋"/>
          <w:u w:val="single"/>
        </w:rPr>
        <w:t xml:space="preserve">    </w:t>
      </w:r>
      <w:r>
        <w:rPr>
          <w:rFonts w:hint="eastAsia" w:ascii="仿宋" w:hAnsi="仿宋" w:eastAsia="仿宋"/>
        </w:rPr>
        <w:t>个月止。</w:t>
      </w:r>
    </w:p>
    <w:p w14:paraId="4C26EDDB">
      <w:pPr>
        <w:ind w:firstLine="420" w:firstLineChars="200"/>
        <w:rPr>
          <w:rFonts w:hint="eastAsia" w:ascii="仿宋" w:hAnsi="仿宋" w:eastAsia="仿宋"/>
        </w:rPr>
      </w:pPr>
      <w:r>
        <w:rPr>
          <w:rFonts w:hint="eastAsia" w:ascii="仿宋" w:hAnsi="仿宋" w:eastAsia="仿宋"/>
        </w:rPr>
        <w:t>三、承担保证责任的程序</w:t>
      </w:r>
    </w:p>
    <w:p w14:paraId="6C926DF0">
      <w:pPr>
        <w:ind w:firstLine="420" w:firstLineChars="200"/>
        <w:rPr>
          <w:rFonts w:hint="eastAsia" w:ascii="仿宋" w:hAnsi="仿宋" w:eastAsia="仿宋"/>
        </w:rPr>
      </w:pPr>
      <w:r>
        <w:rPr>
          <w:rFonts w:hint="eastAsia" w:ascii="仿宋" w:hAnsi="仿宋" w:eastAsia="仿宋"/>
        </w:rPr>
        <w:t>1．你方要求我方承担保证责任的，应在本保函保证期间内向我方发出书面索赔通知。索赔通知应写明要求索赔的金额，支付款项应到达的账号，并附有证明投标人发生我方应承担保证责任情形的事实材料。</w:t>
      </w:r>
    </w:p>
    <w:p w14:paraId="07724B6F">
      <w:pPr>
        <w:ind w:firstLine="420" w:firstLineChars="200"/>
        <w:rPr>
          <w:rFonts w:hint="eastAsia" w:ascii="仿宋" w:hAnsi="仿宋" w:eastAsia="仿宋"/>
        </w:rPr>
      </w:pPr>
      <w:r>
        <w:rPr>
          <w:rFonts w:hint="eastAsia" w:ascii="仿宋" w:hAnsi="仿宋" w:eastAsia="仿宋"/>
        </w:rPr>
        <w:t>2．我方在收到索赔通知及相关证明材料后，在</w:t>
      </w:r>
      <w:r>
        <w:rPr>
          <w:rFonts w:hint="eastAsia" w:ascii="仿宋" w:hAnsi="仿宋" w:eastAsia="仿宋"/>
          <w:u w:val="single"/>
        </w:rPr>
        <w:t>　　　</w:t>
      </w:r>
      <w:r>
        <w:rPr>
          <w:rFonts w:hint="eastAsia" w:ascii="仿宋" w:hAnsi="仿宋" w:eastAsia="仿宋"/>
        </w:rPr>
        <w:t>个工作日内进行审查，符合应承担保证责任情形的，我方应按照你方的要求代投标人向你方支付投标保证金。</w:t>
      </w:r>
    </w:p>
    <w:p w14:paraId="522CC0F2">
      <w:pPr>
        <w:ind w:firstLine="420" w:firstLineChars="200"/>
        <w:rPr>
          <w:rFonts w:hint="eastAsia" w:ascii="仿宋" w:hAnsi="仿宋" w:eastAsia="仿宋"/>
        </w:rPr>
      </w:pPr>
      <w:r>
        <w:rPr>
          <w:rFonts w:hint="eastAsia" w:ascii="仿宋" w:hAnsi="仿宋" w:eastAsia="仿宋"/>
        </w:rPr>
        <w:t>四、保证责任的终止</w:t>
      </w:r>
    </w:p>
    <w:p w14:paraId="757FC9E4">
      <w:pPr>
        <w:ind w:firstLine="420" w:firstLineChars="200"/>
        <w:rPr>
          <w:rFonts w:hint="eastAsia" w:ascii="仿宋" w:hAnsi="仿宋" w:eastAsia="仿宋"/>
        </w:rPr>
      </w:pPr>
      <w:r>
        <w:rPr>
          <w:rFonts w:hint="eastAsia" w:ascii="仿宋" w:hAnsi="仿宋" w:eastAsia="仿宋"/>
        </w:rPr>
        <w:t>1．保证期间届满你方未向我方书面主张保证责任的，自保证期间届满次日起，我方保证责任自动终止。</w:t>
      </w:r>
    </w:p>
    <w:p w14:paraId="100F71A2">
      <w:pPr>
        <w:ind w:firstLine="420" w:firstLineChars="200"/>
        <w:rPr>
          <w:rFonts w:hint="eastAsia" w:ascii="仿宋" w:hAnsi="仿宋" w:eastAsia="仿宋"/>
        </w:rPr>
      </w:pPr>
      <w:r>
        <w:rPr>
          <w:rFonts w:hint="eastAsia" w:ascii="仿宋" w:hAnsi="仿宋" w:eastAsia="仿宋"/>
        </w:rPr>
        <w:t>2．我方按照本保函向你贵方履行了保证责任后，自我方向你贵方支付款项（支付款项从我方账户划出）之日起，保证责任终止。</w:t>
      </w:r>
    </w:p>
    <w:p w14:paraId="0DC19141">
      <w:pPr>
        <w:ind w:firstLine="420" w:firstLineChars="200"/>
        <w:rPr>
          <w:rFonts w:hint="eastAsia" w:ascii="仿宋" w:hAnsi="仿宋" w:eastAsia="仿宋"/>
        </w:rPr>
      </w:pPr>
      <w:r>
        <w:rPr>
          <w:rFonts w:hint="eastAsia" w:ascii="仿宋" w:hAnsi="仿宋" w:eastAsia="仿宋"/>
        </w:rPr>
        <w:t>3．按照法律法规的规定或出现我方保证责任终止的其它情形的，我方在本保函项下的保证责任亦终止。</w:t>
      </w:r>
    </w:p>
    <w:p w14:paraId="739BDE40">
      <w:pPr>
        <w:ind w:firstLine="420" w:firstLineChars="200"/>
        <w:rPr>
          <w:rFonts w:hint="eastAsia" w:ascii="仿宋" w:hAnsi="仿宋" w:eastAsia="仿宋"/>
        </w:rPr>
      </w:pPr>
      <w:r>
        <w:rPr>
          <w:rFonts w:hint="eastAsia" w:ascii="仿宋" w:hAnsi="仿宋" w:eastAsia="仿宋"/>
        </w:rPr>
        <w:t>五、免责条款</w:t>
      </w:r>
    </w:p>
    <w:p w14:paraId="2D64C318">
      <w:pPr>
        <w:ind w:firstLine="420" w:firstLineChars="200"/>
        <w:rPr>
          <w:rFonts w:hint="eastAsia" w:ascii="仿宋" w:hAnsi="仿宋" w:eastAsia="仿宋"/>
        </w:rPr>
      </w:pPr>
      <w:r>
        <w:rPr>
          <w:rFonts w:hint="eastAsia" w:ascii="仿宋" w:hAnsi="仿宋" w:eastAsia="仿宋"/>
        </w:rPr>
        <w:t>1．依照法律规定或你方与投标人的另行约定，全部或者部分免除投标人投标保证金义务时，我方亦免除相应的保证责任。</w:t>
      </w:r>
    </w:p>
    <w:p w14:paraId="10201B40">
      <w:pPr>
        <w:ind w:firstLine="420" w:firstLineChars="200"/>
        <w:rPr>
          <w:rFonts w:hint="eastAsia" w:ascii="仿宋" w:hAnsi="仿宋" w:eastAsia="仿宋"/>
        </w:rPr>
      </w:pPr>
      <w:r>
        <w:rPr>
          <w:rFonts w:hint="eastAsia" w:ascii="仿宋" w:hAnsi="仿宋" w:eastAsia="仿宋"/>
        </w:rPr>
        <w:t>2．因你方原因致使投标人发生本保函第一条第（一）款约定情形的，我方不承担保证责任。</w:t>
      </w:r>
    </w:p>
    <w:p w14:paraId="0C8CE752">
      <w:pPr>
        <w:ind w:firstLine="420" w:firstLineChars="200"/>
        <w:rPr>
          <w:rFonts w:hint="eastAsia" w:ascii="仿宋" w:hAnsi="仿宋" w:eastAsia="仿宋"/>
        </w:rPr>
      </w:pPr>
      <w:r>
        <w:rPr>
          <w:rFonts w:hint="eastAsia" w:ascii="仿宋" w:hAnsi="仿宋" w:eastAsia="仿宋"/>
        </w:rPr>
        <w:t>3．因不可抗力造成投标人发生本保函第一条约定情形的，我方不承担保证责任。</w:t>
      </w:r>
    </w:p>
    <w:p w14:paraId="3FC2FF8C">
      <w:pPr>
        <w:ind w:firstLine="420" w:firstLineChars="200"/>
        <w:rPr>
          <w:rFonts w:hint="eastAsia" w:ascii="仿宋" w:hAnsi="仿宋" w:eastAsia="仿宋"/>
        </w:rPr>
      </w:pPr>
      <w:r>
        <w:rPr>
          <w:rFonts w:hint="eastAsia" w:ascii="仿宋" w:hAnsi="仿宋" w:eastAsia="仿宋"/>
        </w:rPr>
        <w:t>4．你方或其他有权机关对招标文件进行任何澄清或修改，加重我方保证责任的，我方对加重部分不承担保证责任，但该澄清或修改经我方事先书面同意的除外。</w:t>
      </w:r>
    </w:p>
    <w:p w14:paraId="5AAAF25D">
      <w:pPr>
        <w:ind w:firstLine="420" w:firstLineChars="200"/>
        <w:rPr>
          <w:rFonts w:hint="eastAsia" w:ascii="仿宋" w:hAnsi="仿宋" w:eastAsia="仿宋"/>
        </w:rPr>
      </w:pPr>
      <w:r>
        <w:rPr>
          <w:rFonts w:hint="eastAsia" w:ascii="仿宋" w:hAnsi="仿宋" w:eastAsia="仿宋"/>
        </w:rPr>
        <w:t>六、争议的解决</w:t>
      </w:r>
    </w:p>
    <w:p w14:paraId="33DDB098">
      <w:pPr>
        <w:ind w:firstLine="420" w:firstLineChars="200"/>
        <w:rPr>
          <w:rFonts w:hint="eastAsia" w:ascii="仿宋" w:hAnsi="仿宋" w:eastAsia="仿宋"/>
        </w:rPr>
      </w:pPr>
      <w:r>
        <w:rPr>
          <w:rFonts w:hint="eastAsia" w:ascii="仿宋" w:hAnsi="仿宋" w:eastAsia="仿宋"/>
        </w:rPr>
        <w:t>因本保函发生的纠纷，由你我双方协商解决，协商不成的，通过诉讼程序解决，诉讼管辖地法院为</w:t>
      </w:r>
      <w:r>
        <w:rPr>
          <w:rFonts w:hint="eastAsia" w:ascii="仿宋" w:hAnsi="仿宋" w:eastAsia="仿宋"/>
          <w:u w:val="single"/>
        </w:rPr>
        <w:t xml:space="preserve">          </w:t>
      </w:r>
      <w:r>
        <w:rPr>
          <w:rFonts w:hint="eastAsia" w:ascii="仿宋" w:hAnsi="仿宋" w:eastAsia="仿宋"/>
        </w:rPr>
        <w:t>法院。</w:t>
      </w:r>
    </w:p>
    <w:p w14:paraId="709D1F2C">
      <w:pPr>
        <w:ind w:firstLine="420" w:firstLineChars="200"/>
        <w:rPr>
          <w:rFonts w:hint="eastAsia" w:ascii="仿宋" w:hAnsi="仿宋" w:eastAsia="仿宋"/>
        </w:rPr>
      </w:pPr>
      <w:r>
        <w:rPr>
          <w:rFonts w:hint="eastAsia" w:ascii="仿宋" w:hAnsi="仿宋" w:eastAsia="仿宋"/>
        </w:rPr>
        <w:t>七、保函的生效</w:t>
      </w:r>
    </w:p>
    <w:p w14:paraId="6F874C06">
      <w:pPr>
        <w:ind w:firstLine="420" w:firstLineChars="200"/>
        <w:rPr>
          <w:rFonts w:ascii="仿宋" w:hAnsi="仿宋" w:eastAsia="仿宋"/>
        </w:rPr>
      </w:pPr>
      <w:r>
        <w:rPr>
          <w:rFonts w:hint="eastAsia" w:ascii="仿宋" w:hAnsi="仿宋" w:eastAsia="仿宋"/>
        </w:rPr>
        <w:t>本保函自我方加盖公章之日起生效。</w:t>
      </w:r>
    </w:p>
    <w:p w14:paraId="3B34002F">
      <w:pPr>
        <w:ind w:firstLine="5040" w:firstLineChars="2400"/>
        <w:rPr>
          <w:rFonts w:ascii="仿宋" w:hAnsi="仿宋" w:eastAsia="仿宋"/>
        </w:rPr>
        <w:sectPr>
          <w:headerReference r:id="rId5" w:type="default"/>
          <w:footerReference r:id="rId6" w:type="default"/>
          <w:pgSz w:w="11906" w:h="16838"/>
          <w:pgMar w:top="1100" w:right="1060" w:bottom="1100" w:left="1060" w:header="851" w:footer="992" w:gutter="0"/>
          <w:pgBorders>
            <w:top w:val="none" w:sz="0" w:space="0"/>
            <w:left w:val="none" w:sz="0" w:space="0"/>
            <w:bottom w:val="none" w:sz="0" w:space="0"/>
            <w:right w:val="none" w:sz="0" w:space="0"/>
          </w:pgBorders>
          <w:pgNumType w:fmt="decimal" w:start="1"/>
          <w:cols w:space="720" w:num="1"/>
          <w:docGrid w:type="linesAndChars" w:linePitch="312" w:charSpace="0"/>
        </w:sectPr>
      </w:pPr>
      <w:r>
        <w:rPr>
          <w:rFonts w:hint="eastAsia" w:ascii="仿宋" w:hAnsi="仿宋" w:eastAsia="仿宋"/>
        </w:rPr>
        <w:t>保证人：（公章）</w:t>
      </w:r>
      <w:r>
        <w:rPr>
          <w:rFonts w:hint="eastAsia" w:ascii="仿宋" w:hAnsi="仿宋" w:eastAsia="仿宋"/>
          <w:lang w:val="en-US" w:eastAsia="zh-CN"/>
        </w:rPr>
        <w:t xml:space="preserve">        </w:t>
      </w:r>
      <w:r>
        <w:rPr>
          <w:rFonts w:hint="eastAsia" w:ascii="仿宋" w:hAnsi="仿宋" w:eastAsia="仿宋"/>
        </w:rPr>
        <w:t>年     月      日</w:t>
      </w:r>
    </w:p>
    <w:p w14:paraId="5EEAA055">
      <w:pPr>
        <w:pStyle w:val="2"/>
        <w:snapToGrid/>
        <w:spacing w:before="0" w:beforeAutospacing="0" w:after="0" w:afterAutospacing="0" w:line="288" w:lineRule="auto"/>
        <w:jc w:val="both"/>
        <w:textAlignment w:val="baseline"/>
        <w:rPr>
          <w:rFonts w:ascii="仿宋_GB2312" w:hAnsi="仿宋_GB2312" w:eastAsia="仿宋_GB2312" w:cs="仿宋_GB2312"/>
          <w:b/>
          <w:i w:val="0"/>
          <w:caps w:val="0"/>
          <w:spacing w:val="0"/>
          <w:w w:val="100"/>
          <w:sz w:val="24"/>
        </w:rPr>
      </w:pPr>
    </w:p>
    <w:p w14:paraId="6243F695">
      <w:pPr>
        <w:pStyle w:val="4"/>
        <w:keepNext/>
        <w:keepLines/>
        <w:pageBreakBefore w:val="0"/>
        <w:widowControl/>
        <w:kinsoku/>
        <w:wordWrap/>
        <w:overflowPunct/>
        <w:topLinePunct w:val="0"/>
        <w:autoSpaceDE w:val="0"/>
        <w:autoSpaceDN w:val="0"/>
        <w:bidi w:val="0"/>
        <w:adjustRightInd w:val="0"/>
        <w:snapToGrid/>
        <w:spacing w:before="0" w:beforeAutospacing="0" w:after="0" w:afterAutospacing="0" w:line="288" w:lineRule="auto"/>
        <w:jc w:val="center"/>
        <w:textAlignment w:val="baseline"/>
        <w:outlineLvl w:val="2"/>
        <w:rPr>
          <w:rFonts w:ascii="仿宋_GB2312" w:hAnsi="仿宋_GB2312" w:eastAsia="仿宋_GB2312" w:cs="仿宋_GB2312"/>
          <w:b/>
          <w:i w:val="0"/>
          <w:caps w:val="0"/>
          <w:spacing w:val="0"/>
          <w:w w:val="100"/>
          <w:sz w:val="24"/>
        </w:rPr>
      </w:pPr>
      <w:bookmarkStart w:id="1147" w:name="_Toc23863"/>
      <w:bookmarkStart w:id="1148" w:name="_Toc6247"/>
      <w:bookmarkStart w:id="1149" w:name="_Toc19712"/>
      <w:bookmarkStart w:id="1150" w:name="_Toc21047"/>
      <w:bookmarkStart w:id="1151" w:name="_Toc11556"/>
      <w:bookmarkStart w:id="1152" w:name="_Toc7945"/>
      <w:bookmarkStart w:id="1153" w:name="_Toc21594"/>
      <w:bookmarkStart w:id="1154" w:name="_Toc21308"/>
      <w:bookmarkStart w:id="1155" w:name="_Toc15919"/>
      <w:bookmarkStart w:id="1156" w:name="_Toc8839"/>
      <w:bookmarkStart w:id="1157" w:name="_Toc29022"/>
      <w:bookmarkStart w:id="1158" w:name="_Toc8535"/>
      <w:bookmarkStart w:id="1159" w:name="_Toc19756"/>
      <w:bookmarkStart w:id="1160" w:name="_Toc3408"/>
      <w:bookmarkStart w:id="1161" w:name="_Toc7329"/>
      <w:bookmarkStart w:id="1162" w:name="_Toc21576"/>
      <w:bookmarkStart w:id="1163" w:name="_Toc10990"/>
      <w:bookmarkStart w:id="1164" w:name="_Toc11268"/>
      <w:bookmarkStart w:id="1165" w:name="_Toc1610"/>
      <w:r>
        <w:rPr>
          <w:rFonts w:hint="eastAsia" w:ascii="仿宋_GB2312" w:hAnsi="仿宋_GB2312" w:eastAsia="仿宋_GB2312" w:cs="仿宋_GB2312"/>
          <w:b/>
          <w:i w:val="0"/>
          <w:caps w:val="0"/>
          <w:spacing w:val="0"/>
          <w:w w:val="100"/>
          <w:kern w:val="0"/>
          <w:sz w:val="24"/>
          <w:szCs w:val="20"/>
          <w:u w:val="none"/>
          <w:lang w:val="en-US" w:eastAsia="zh-CN" w:bidi="ar-SA"/>
        </w:rPr>
        <w:t>6  社会保障资金的缴纳记录</w:t>
      </w:r>
      <w:bookmarkEnd w:id="1147"/>
      <w:bookmarkEnd w:id="1148"/>
      <w:bookmarkEnd w:id="1149"/>
      <w:bookmarkEnd w:id="1150"/>
      <w:bookmarkEnd w:id="1151"/>
      <w:bookmarkEnd w:id="1152"/>
      <w:bookmarkEnd w:id="1153"/>
      <w:bookmarkEnd w:id="1154"/>
      <w:bookmarkEnd w:id="1155"/>
      <w:bookmarkEnd w:id="1156"/>
      <w:bookmarkEnd w:id="1157"/>
      <w:bookmarkEnd w:id="1158"/>
      <w:bookmarkEnd w:id="1159"/>
      <w:bookmarkEnd w:id="1160"/>
      <w:bookmarkEnd w:id="1161"/>
      <w:bookmarkEnd w:id="1162"/>
      <w:bookmarkEnd w:id="1163"/>
      <w:bookmarkEnd w:id="1164"/>
      <w:bookmarkEnd w:id="1165"/>
    </w:p>
    <w:p w14:paraId="733509DE">
      <w:pPr>
        <w:pStyle w:val="20"/>
        <w:tabs>
          <w:tab w:val="left" w:pos="5580"/>
        </w:tabs>
        <w:snapToGrid/>
        <w:spacing w:before="0" w:beforeAutospacing="0" w:after="0" w:afterAutospacing="0" w:line="288" w:lineRule="auto"/>
        <w:jc w:val="both"/>
        <w:textAlignment w:val="baseline"/>
        <w:rPr>
          <w:rFonts w:ascii="仿宋_GB2312" w:hAnsi="仿宋_GB2312" w:eastAsia="仿宋_GB2312" w:cs="仿宋_GB2312"/>
          <w:b/>
          <w:i w:val="0"/>
          <w:caps w:val="0"/>
          <w:spacing w:val="0"/>
          <w:w w:val="100"/>
          <w:sz w:val="24"/>
        </w:rPr>
      </w:pPr>
    </w:p>
    <w:p w14:paraId="74B87350">
      <w:pPr>
        <w:pStyle w:val="20"/>
        <w:keepNext w:val="0"/>
        <w:keepLines w:val="0"/>
        <w:pageBreakBefore w:val="0"/>
        <w:widowControl w:val="0"/>
        <w:tabs>
          <w:tab w:val="left" w:pos="5580"/>
        </w:tabs>
        <w:kinsoku/>
        <w:wordWrap/>
        <w:overflowPunct/>
        <w:topLinePunct w:val="0"/>
        <w:autoSpaceDE/>
        <w:autoSpaceDN/>
        <w:bidi w:val="0"/>
        <w:adjustRightInd/>
        <w:snapToGrid/>
        <w:spacing w:line="560" w:lineRule="exact"/>
        <w:ind w:left="540"/>
        <w:textAlignment w:val="auto"/>
        <w:rPr>
          <w:rFonts w:hint="eastAsia" w:ascii="仿宋_GB2312" w:hAnsi="宋体" w:eastAsia="仿宋_GB2312"/>
          <w:sz w:val="24"/>
        </w:rPr>
      </w:pPr>
      <w:r>
        <w:rPr>
          <w:rFonts w:hint="eastAsia" w:ascii="仿宋_GB2312" w:hAnsi="宋体" w:eastAsia="仿宋_GB2312"/>
          <w:sz w:val="24"/>
        </w:rPr>
        <w:t>说明：1.按照</w:t>
      </w:r>
      <w:r>
        <w:rPr>
          <w:rFonts w:hint="eastAsia" w:ascii="仿宋_GB2312" w:hAnsi="宋体" w:eastAsia="仿宋_GB2312"/>
          <w:sz w:val="24"/>
          <w:u w:val="single"/>
        </w:rPr>
        <w:t>投标人须知资料表</w:t>
      </w:r>
      <w:r>
        <w:rPr>
          <w:rFonts w:hint="eastAsia" w:ascii="仿宋_GB2312" w:hAnsi="宋体" w:eastAsia="仿宋_GB2312"/>
          <w:sz w:val="24"/>
        </w:rPr>
        <w:t>中的规定提供复印件。</w:t>
      </w:r>
    </w:p>
    <w:p w14:paraId="03ABB4D1">
      <w:pPr>
        <w:pStyle w:val="20"/>
        <w:keepNext w:val="0"/>
        <w:keepLines w:val="0"/>
        <w:pageBreakBefore w:val="0"/>
        <w:widowControl w:val="0"/>
        <w:tabs>
          <w:tab w:val="left" w:pos="5580"/>
        </w:tabs>
        <w:kinsoku/>
        <w:wordWrap/>
        <w:overflowPunct/>
        <w:topLinePunct w:val="0"/>
        <w:autoSpaceDE/>
        <w:autoSpaceDN/>
        <w:bidi w:val="0"/>
        <w:adjustRightInd/>
        <w:snapToGrid/>
        <w:spacing w:line="560" w:lineRule="exact"/>
        <w:ind w:firstLine="1200" w:firstLineChars="500"/>
        <w:textAlignment w:val="auto"/>
        <w:rPr>
          <w:rFonts w:hint="eastAsia" w:ascii="仿宋_GB2312" w:hAnsi="宋体" w:eastAsia="仿宋_GB2312"/>
          <w:sz w:val="24"/>
        </w:rPr>
      </w:pPr>
      <w:r>
        <w:rPr>
          <w:rFonts w:hint="eastAsia" w:ascii="仿宋_GB2312" w:hAnsi="宋体" w:eastAsia="仿宋_GB2312"/>
          <w:sz w:val="24"/>
        </w:rPr>
        <w:t>2.复印件上应加盖本单位章。</w:t>
      </w:r>
    </w:p>
    <w:p w14:paraId="5925312C">
      <w:pPr>
        <w:keepNext w:val="0"/>
        <w:keepLines w:val="0"/>
        <w:pageBreakBefore w:val="0"/>
        <w:widowControl w:val="0"/>
        <w:tabs>
          <w:tab w:val="left" w:pos="5580"/>
        </w:tabs>
        <w:kinsoku/>
        <w:wordWrap/>
        <w:overflowPunct/>
        <w:topLinePunct w:val="0"/>
        <w:autoSpaceDE/>
        <w:autoSpaceDN/>
        <w:bidi w:val="0"/>
        <w:adjustRightInd/>
        <w:snapToGrid/>
        <w:spacing w:line="560" w:lineRule="exact"/>
        <w:ind w:firstLine="1200" w:firstLineChars="500"/>
        <w:textAlignment w:val="auto"/>
        <w:rPr>
          <w:rFonts w:ascii="Times New Roman" w:hAnsi="Times New Roman" w:eastAsia="宋体"/>
          <w:b w:val="0"/>
          <w:i w:val="0"/>
          <w:caps w:val="0"/>
          <w:spacing w:val="0"/>
          <w:w w:val="100"/>
          <w:sz w:val="18"/>
        </w:rPr>
      </w:pPr>
      <w:r>
        <w:rPr>
          <w:rFonts w:hint="eastAsia" w:ascii="仿宋_GB2312" w:hAnsi="宋体" w:eastAsia="仿宋_GB2312"/>
          <w:sz w:val="24"/>
        </w:rPr>
        <w:t>3.</w:t>
      </w:r>
      <w:r>
        <w:rPr>
          <w:rFonts w:hint="eastAsia" w:ascii="仿宋_GB2312" w:eastAsia="仿宋_GB2312"/>
          <w:sz w:val="24"/>
        </w:rPr>
        <w:t>如果是联合体投标，联合体各方均需提供上述证明。</w:t>
      </w:r>
    </w:p>
    <w:p w14:paraId="306864AE">
      <w:pPr>
        <w:keepNext w:val="0"/>
        <w:keepLines w:val="0"/>
        <w:pageBreakBefore w:val="0"/>
        <w:widowControl w:val="0"/>
        <w:kinsoku/>
        <w:wordWrap/>
        <w:overflowPunct/>
        <w:topLinePunct w:val="0"/>
        <w:autoSpaceDE/>
        <w:autoSpaceDN/>
        <w:bidi w:val="0"/>
        <w:adjustRightInd/>
        <w:snapToGrid/>
        <w:spacing w:line="560" w:lineRule="exact"/>
        <w:textAlignment w:val="auto"/>
        <w:rPr>
          <w:rFonts w:ascii="仿宋_GB2312" w:hAnsi="仿宋_GB2312" w:eastAsia="仿宋_GB2312" w:cs="仿宋_GB2312"/>
          <w:sz w:val="24"/>
        </w:rPr>
      </w:pPr>
    </w:p>
    <w:p w14:paraId="179DA79E">
      <w:pPr>
        <w:pStyle w:val="91"/>
      </w:pPr>
    </w:p>
    <w:p w14:paraId="0125AE3C">
      <w:pPr>
        <w:pStyle w:val="27"/>
      </w:pPr>
    </w:p>
    <w:p w14:paraId="7CCF4D94">
      <w:pPr>
        <w:keepNext/>
        <w:keepLines/>
        <w:pageBreakBefore w:val="0"/>
        <w:widowControl w:val="0"/>
        <w:kinsoku/>
        <w:wordWrap/>
        <w:overflowPunct/>
        <w:topLinePunct w:val="0"/>
        <w:autoSpaceDE w:val="0"/>
        <w:autoSpaceDN w:val="0"/>
        <w:bidi w:val="0"/>
        <w:adjustRightInd w:val="0"/>
        <w:snapToGrid/>
        <w:spacing w:before="0" w:line="288" w:lineRule="auto"/>
        <w:jc w:val="center"/>
        <w:textAlignment w:val="auto"/>
        <w:outlineLvl w:val="1"/>
        <w:rPr>
          <w:rFonts w:hint="eastAsia" w:ascii="仿宋_GB2312" w:hAnsi="仿宋_GB2312" w:eastAsia="仿宋_GB2312" w:cs="仿宋_GB2312"/>
          <w:b/>
          <w:sz w:val="24"/>
          <w:lang w:val="en-US" w:eastAsia="zh-CN"/>
        </w:rPr>
      </w:pPr>
      <w:bookmarkStart w:id="1166" w:name="_Toc6222"/>
      <w:bookmarkStart w:id="1167" w:name="_Toc28491"/>
      <w:bookmarkStart w:id="1168" w:name="_Toc27936"/>
      <w:bookmarkStart w:id="1169" w:name="_Toc9263"/>
      <w:bookmarkStart w:id="1170" w:name="_Toc22265"/>
      <w:bookmarkStart w:id="1171" w:name="_Toc31615"/>
      <w:bookmarkStart w:id="1172" w:name="_Toc29935"/>
      <w:bookmarkStart w:id="1173" w:name="_Toc25337"/>
      <w:bookmarkStart w:id="1174" w:name="_Toc3110"/>
      <w:bookmarkStart w:id="1175" w:name="_Toc23700"/>
      <w:bookmarkStart w:id="1176" w:name="_Toc6321"/>
      <w:bookmarkStart w:id="1177" w:name="_Toc31242"/>
      <w:bookmarkStart w:id="1178" w:name="_Toc13105"/>
      <w:bookmarkStart w:id="1179" w:name="_Toc31547"/>
      <w:bookmarkStart w:id="1180" w:name="_Toc32605"/>
      <w:bookmarkStart w:id="1181" w:name="_Toc5233"/>
      <w:bookmarkStart w:id="1182" w:name="_Toc20976"/>
      <w:bookmarkStart w:id="1183" w:name="_Toc28908"/>
      <w:bookmarkStart w:id="1184" w:name="_Toc15284"/>
      <w:r>
        <w:rPr>
          <w:rFonts w:hint="eastAsia" w:ascii="仿宋_GB2312" w:hAnsi="仿宋_GB2312" w:eastAsia="仿宋_GB2312" w:cs="仿宋_GB2312"/>
          <w:b/>
          <w:sz w:val="24"/>
          <w:lang w:val="en-US" w:eastAsia="zh-CN"/>
        </w:rPr>
        <w:t>7 良好的商业信誉和健全的财务会计制度证明材料</w:t>
      </w:r>
      <w:bookmarkEnd w:id="1166"/>
      <w:bookmarkEnd w:id="1167"/>
      <w:bookmarkEnd w:id="1168"/>
      <w:bookmarkEnd w:id="1169"/>
      <w:bookmarkEnd w:id="1170"/>
      <w:bookmarkEnd w:id="1171"/>
      <w:bookmarkEnd w:id="1172"/>
      <w:bookmarkEnd w:id="1173"/>
      <w:bookmarkEnd w:id="1174"/>
      <w:bookmarkEnd w:id="1175"/>
      <w:bookmarkEnd w:id="1176"/>
      <w:bookmarkEnd w:id="1177"/>
      <w:bookmarkEnd w:id="1178"/>
      <w:bookmarkEnd w:id="1179"/>
      <w:bookmarkEnd w:id="1180"/>
      <w:bookmarkEnd w:id="1181"/>
      <w:bookmarkEnd w:id="1182"/>
    </w:p>
    <w:bookmarkEnd w:id="1183"/>
    <w:bookmarkEnd w:id="1184"/>
    <w:p w14:paraId="11C27DE6">
      <w:pPr>
        <w:pageBreakBefore w:val="0"/>
        <w:widowControl w:val="0"/>
        <w:tabs>
          <w:tab w:val="left" w:pos="5580"/>
        </w:tabs>
        <w:kinsoku/>
        <w:wordWrap/>
        <w:overflowPunct/>
        <w:topLinePunct w:val="0"/>
        <w:bidi w:val="0"/>
        <w:spacing w:line="560" w:lineRule="exact"/>
        <w:ind w:left="1079" w:leftChars="257" w:hanging="540"/>
        <w:textAlignment w:val="auto"/>
        <w:rPr>
          <w:rFonts w:hint="eastAsia" w:ascii="仿宋_GB2312" w:hAnsi="宋体" w:eastAsia="仿宋_GB2312"/>
          <w:bCs/>
          <w:sz w:val="24"/>
        </w:rPr>
      </w:pPr>
      <w:r>
        <w:rPr>
          <w:rFonts w:hint="eastAsia" w:ascii="仿宋_GB2312" w:eastAsia="仿宋_GB2312"/>
          <w:sz w:val="24"/>
        </w:rPr>
        <w:t>说明：1、</w:t>
      </w:r>
      <w:r>
        <w:rPr>
          <w:rFonts w:hint="eastAsia" w:ascii="仿宋_GB2312" w:eastAsia="仿宋_GB2312"/>
          <w:sz w:val="24"/>
          <w:lang w:eastAsia="zh-CN"/>
        </w:rPr>
        <w:t>如</w:t>
      </w:r>
      <w:r>
        <w:rPr>
          <w:rFonts w:hint="eastAsia" w:ascii="仿宋_GB2312" w:eastAsia="仿宋_GB2312"/>
          <w:sz w:val="24"/>
        </w:rPr>
        <w:t>提供本单位上年度经会计师事务所出具的审计报告复印件须加盖</w:t>
      </w:r>
      <w:r>
        <w:rPr>
          <w:rFonts w:hint="eastAsia" w:ascii="仿宋_GB2312" w:hAnsi="宋体" w:eastAsia="仿宋_GB2312"/>
          <w:bCs/>
          <w:sz w:val="24"/>
        </w:rPr>
        <w:t>本单位</w:t>
      </w:r>
      <w:r>
        <w:rPr>
          <w:rFonts w:hint="eastAsia" w:ascii="仿宋_GB2312" w:eastAsia="仿宋_GB2312"/>
          <w:bCs/>
          <w:sz w:val="24"/>
        </w:rPr>
        <w:t>章。</w:t>
      </w:r>
    </w:p>
    <w:p w14:paraId="3E11B235">
      <w:pPr>
        <w:pageBreakBefore w:val="0"/>
        <w:widowControl w:val="0"/>
        <w:tabs>
          <w:tab w:val="left" w:pos="5580"/>
        </w:tabs>
        <w:kinsoku/>
        <w:wordWrap/>
        <w:overflowPunct/>
        <w:topLinePunct w:val="0"/>
        <w:bidi w:val="0"/>
        <w:spacing w:line="560" w:lineRule="exact"/>
        <w:ind w:left="540" w:firstLine="480" w:firstLineChars="200"/>
        <w:textAlignment w:val="auto"/>
        <w:rPr>
          <w:rFonts w:hint="eastAsia" w:ascii="仿宋_GB2312" w:eastAsia="仿宋_GB2312"/>
          <w:sz w:val="24"/>
        </w:rPr>
      </w:pPr>
      <w:r>
        <w:rPr>
          <w:rFonts w:hint="eastAsia" w:ascii="仿宋_GB2312" w:eastAsia="仿宋_GB2312"/>
          <w:sz w:val="24"/>
        </w:rPr>
        <w:t>2、如提供</w:t>
      </w:r>
      <w:r>
        <w:rPr>
          <w:rFonts w:hint="eastAsia" w:ascii="仿宋_GB2312" w:hAnsi="宋体" w:eastAsia="仿宋_GB2312"/>
          <w:sz w:val="24"/>
        </w:rPr>
        <w:t>银行出具的证明文件。银行证明文件可提供原件，也可提供银行在开标日前三个月内开具证明文件的复印件。若提供的是复印件，招标采购单位保留审核原件的权利。</w:t>
      </w:r>
      <w:r>
        <w:rPr>
          <w:rFonts w:hint="eastAsia" w:ascii="仿宋_GB2312" w:eastAsia="仿宋_GB2312"/>
          <w:sz w:val="24"/>
        </w:rPr>
        <w:t>银行出具</w:t>
      </w:r>
      <w:r>
        <w:rPr>
          <w:rFonts w:ascii="仿宋_GB2312" w:eastAsia="仿宋_GB2312"/>
          <w:sz w:val="24"/>
        </w:rPr>
        <w:t>的</w:t>
      </w:r>
      <w:r>
        <w:rPr>
          <w:rFonts w:hint="eastAsia" w:ascii="仿宋_GB2312" w:eastAsia="仿宋_GB2312"/>
          <w:sz w:val="24"/>
        </w:rPr>
        <w:t>证明文件应能说明该投标人与银行之间业务往来正常，企业信誉良好等。</w:t>
      </w:r>
    </w:p>
    <w:p w14:paraId="4CCDFD5A">
      <w:pPr>
        <w:pageBreakBefore w:val="0"/>
        <w:widowControl w:val="0"/>
        <w:tabs>
          <w:tab w:val="left" w:pos="5580"/>
        </w:tabs>
        <w:kinsoku/>
        <w:wordWrap/>
        <w:overflowPunct/>
        <w:topLinePunct w:val="0"/>
        <w:bidi w:val="0"/>
        <w:spacing w:line="560" w:lineRule="exact"/>
        <w:ind w:left="1154" w:leftChars="485" w:hanging="136" w:hangingChars="57"/>
        <w:textAlignment w:val="auto"/>
        <w:rPr>
          <w:rFonts w:hint="eastAsia" w:ascii="仿宋_GB2312" w:eastAsia="仿宋_GB2312"/>
          <w:sz w:val="24"/>
        </w:rPr>
      </w:pPr>
      <w:r>
        <w:rPr>
          <w:rFonts w:ascii="仿宋_GB2312" w:eastAsia="仿宋_GB2312"/>
          <w:sz w:val="24"/>
        </w:rPr>
        <w:t>3</w:t>
      </w:r>
      <w:r>
        <w:rPr>
          <w:rFonts w:hint="eastAsia" w:ascii="仿宋_GB2312" w:eastAsia="仿宋_GB2312"/>
          <w:sz w:val="24"/>
        </w:rPr>
        <w:t>、如果是联合体投标，联合体各方均需提供上述证明。</w:t>
      </w:r>
    </w:p>
    <w:p w14:paraId="4723EA78">
      <w:pPr>
        <w:pStyle w:val="11"/>
        <w:pageBreakBefore w:val="0"/>
        <w:widowControl w:val="0"/>
        <w:kinsoku/>
        <w:wordWrap/>
        <w:overflowPunct/>
        <w:topLinePunct w:val="0"/>
        <w:bidi w:val="0"/>
        <w:spacing w:line="560" w:lineRule="exact"/>
        <w:ind w:left="0" w:leftChars="0" w:firstLine="0" w:firstLineChars="0"/>
        <w:textAlignment w:val="auto"/>
        <w:rPr>
          <w:rFonts w:hint="eastAsia"/>
          <w:lang w:val="en-US" w:eastAsia="zh-CN"/>
        </w:rPr>
      </w:pPr>
    </w:p>
    <w:p w14:paraId="2815B516">
      <w:pPr>
        <w:pStyle w:val="2"/>
        <w:keepNext/>
        <w:keepLines/>
        <w:pageBreakBefore w:val="0"/>
        <w:widowControl w:val="0"/>
        <w:kinsoku/>
        <w:wordWrap/>
        <w:overflowPunct/>
        <w:topLinePunct w:val="0"/>
        <w:autoSpaceDE w:val="0"/>
        <w:autoSpaceDN w:val="0"/>
        <w:bidi w:val="0"/>
        <w:adjustRightInd w:val="0"/>
        <w:snapToGrid/>
        <w:spacing w:before="0" w:line="560" w:lineRule="exact"/>
        <w:jc w:val="center"/>
        <w:textAlignment w:val="auto"/>
        <w:rPr>
          <w:rFonts w:hint="eastAsia" w:ascii="仿宋_GB2312" w:hAnsi="仿宋_GB2312" w:eastAsia="仿宋_GB2312" w:cs="仿宋_GB2312"/>
          <w:b/>
          <w:sz w:val="24"/>
          <w:lang w:val="en-US" w:eastAsia="zh-CN"/>
        </w:rPr>
      </w:pPr>
      <w:bookmarkStart w:id="1185" w:name="_Toc20592"/>
      <w:bookmarkStart w:id="1186" w:name="_Toc12059"/>
      <w:bookmarkStart w:id="1187" w:name="_Toc16318"/>
      <w:bookmarkStart w:id="1188" w:name="_Toc18809"/>
      <w:bookmarkStart w:id="1189" w:name="_Toc27458"/>
      <w:bookmarkStart w:id="1190" w:name="_Toc21546"/>
      <w:bookmarkStart w:id="1191" w:name="_Toc12724"/>
      <w:bookmarkStart w:id="1192" w:name="_Toc24923"/>
      <w:bookmarkStart w:id="1193" w:name="_Toc18093"/>
      <w:bookmarkStart w:id="1194" w:name="_Toc6213"/>
      <w:bookmarkStart w:id="1195" w:name="_Toc13883"/>
      <w:bookmarkStart w:id="1196" w:name="_Toc11835"/>
      <w:bookmarkStart w:id="1197" w:name="_Toc28013"/>
      <w:bookmarkStart w:id="1198" w:name="_Toc29429"/>
      <w:bookmarkStart w:id="1199" w:name="_Toc16690"/>
      <w:bookmarkStart w:id="1200" w:name="_Toc16284"/>
      <w:bookmarkStart w:id="1201" w:name="_Toc13664"/>
      <w:bookmarkStart w:id="1202" w:name="_Toc24688"/>
      <w:bookmarkStart w:id="1203" w:name="_Toc1391"/>
      <w:r>
        <w:rPr>
          <w:rFonts w:hint="eastAsia" w:ascii="仿宋_GB2312" w:hAnsi="仿宋_GB2312" w:eastAsia="仿宋_GB2312" w:cs="仿宋_GB2312"/>
          <w:b/>
          <w:sz w:val="24"/>
          <w:lang w:val="en-US" w:eastAsia="zh-CN"/>
        </w:rPr>
        <w:t>8 依法缴纳税收的证明</w:t>
      </w:r>
      <w:bookmarkEnd w:id="1185"/>
      <w:bookmarkEnd w:id="1186"/>
      <w:bookmarkEnd w:id="1187"/>
      <w:bookmarkEnd w:id="1188"/>
      <w:bookmarkEnd w:id="1189"/>
      <w:bookmarkEnd w:id="1190"/>
      <w:bookmarkEnd w:id="1191"/>
      <w:bookmarkEnd w:id="1192"/>
      <w:bookmarkEnd w:id="1193"/>
      <w:bookmarkEnd w:id="1194"/>
      <w:bookmarkEnd w:id="1195"/>
      <w:bookmarkEnd w:id="1196"/>
      <w:bookmarkEnd w:id="1197"/>
      <w:bookmarkEnd w:id="1198"/>
      <w:bookmarkEnd w:id="1199"/>
      <w:bookmarkEnd w:id="1200"/>
      <w:bookmarkEnd w:id="1201"/>
      <w:bookmarkEnd w:id="1202"/>
      <w:bookmarkEnd w:id="1203"/>
    </w:p>
    <w:p w14:paraId="6530CFF4">
      <w:pPr>
        <w:pStyle w:val="20"/>
        <w:pageBreakBefore w:val="0"/>
        <w:widowControl w:val="0"/>
        <w:tabs>
          <w:tab w:val="left" w:pos="5580"/>
        </w:tabs>
        <w:kinsoku/>
        <w:wordWrap/>
        <w:overflowPunct/>
        <w:topLinePunct w:val="0"/>
        <w:bidi w:val="0"/>
        <w:spacing w:line="560" w:lineRule="exact"/>
        <w:ind w:left="540"/>
        <w:textAlignment w:val="auto"/>
        <w:rPr>
          <w:rFonts w:hint="eastAsia" w:ascii="仿宋_GB2312" w:hAnsi="宋体" w:eastAsia="仿宋_GB2312"/>
          <w:sz w:val="24"/>
        </w:rPr>
      </w:pPr>
      <w:r>
        <w:rPr>
          <w:rFonts w:hint="eastAsia" w:ascii="仿宋_GB2312" w:hAnsi="宋体" w:eastAsia="仿宋_GB2312"/>
          <w:sz w:val="24"/>
        </w:rPr>
        <w:t>说明：1.按照</w:t>
      </w:r>
      <w:r>
        <w:rPr>
          <w:rFonts w:hint="eastAsia" w:ascii="仿宋_GB2312" w:hAnsi="宋体" w:eastAsia="仿宋_GB2312"/>
          <w:sz w:val="24"/>
          <w:u w:val="single"/>
        </w:rPr>
        <w:t>投标人须知资料表</w:t>
      </w:r>
      <w:r>
        <w:rPr>
          <w:rFonts w:hint="eastAsia" w:ascii="仿宋_GB2312" w:hAnsi="宋体" w:eastAsia="仿宋_GB2312"/>
          <w:sz w:val="24"/>
        </w:rPr>
        <w:t>中的规定提供复印件。</w:t>
      </w:r>
    </w:p>
    <w:p w14:paraId="35C5E53F">
      <w:pPr>
        <w:pStyle w:val="20"/>
        <w:pageBreakBefore w:val="0"/>
        <w:widowControl w:val="0"/>
        <w:tabs>
          <w:tab w:val="left" w:pos="5580"/>
        </w:tabs>
        <w:kinsoku/>
        <w:wordWrap/>
        <w:overflowPunct/>
        <w:topLinePunct w:val="0"/>
        <w:bidi w:val="0"/>
        <w:spacing w:line="560" w:lineRule="exact"/>
        <w:ind w:left="1079" w:leftChars="257" w:hanging="540"/>
        <w:textAlignment w:val="auto"/>
        <w:rPr>
          <w:rFonts w:hint="eastAsia" w:ascii="仿宋_GB2312" w:hAnsi="宋体" w:eastAsia="仿宋_GB2312"/>
          <w:sz w:val="24"/>
        </w:rPr>
      </w:pPr>
      <w:r>
        <w:rPr>
          <w:rFonts w:hint="eastAsia" w:ascii="仿宋_GB2312" w:hAnsi="宋体" w:eastAsia="仿宋_GB2312"/>
          <w:sz w:val="24"/>
        </w:rPr>
        <w:t xml:space="preserve">      2.复印件上应加盖本单位章。</w:t>
      </w:r>
    </w:p>
    <w:p w14:paraId="28A8ED9E">
      <w:pPr>
        <w:pStyle w:val="20"/>
        <w:pageBreakBefore w:val="0"/>
        <w:widowControl w:val="0"/>
        <w:tabs>
          <w:tab w:val="left" w:pos="5580"/>
        </w:tabs>
        <w:kinsoku/>
        <w:wordWrap/>
        <w:overflowPunct/>
        <w:topLinePunct w:val="0"/>
        <w:bidi w:val="0"/>
        <w:spacing w:line="560" w:lineRule="exact"/>
        <w:ind w:left="1079" w:leftChars="257" w:hanging="540"/>
        <w:textAlignment w:val="auto"/>
        <w:rPr>
          <w:rFonts w:ascii="仿宋_GB2312" w:hAnsi="仿宋_GB2312" w:eastAsia="仿宋_GB2312" w:cs="仿宋_GB2312"/>
          <w:sz w:val="24"/>
        </w:rPr>
      </w:pPr>
      <w:r>
        <w:rPr>
          <w:rFonts w:hint="eastAsia" w:ascii="仿宋_GB2312" w:hAnsi="宋体" w:eastAsia="仿宋_GB2312"/>
          <w:sz w:val="24"/>
        </w:rPr>
        <w:t xml:space="preserve">      3.</w:t>
      </w:r>
      <w:r>
        <w:rPr>
          <w:rFonts w:hint="eastAsia" w:ascii="仿宋_GB2312" w:eastAsia="仿宋_GB2312"/>
          <w:sz w:val="24"/>
        </w:rPr>
        <w:t>如果是联合体投标，联合体各方均需提供上述证明。</w:t>
      </w:r>
    </w:p>
    <w:p w14:paraId="28C51235">
      <w:pPr>
        <w:pageBreakBefore w:val="0"/>
        <w:widowControl w:val="0"/>
        <w:kinsoku/>
        <w:wordWrap/>
        <w:overflowPunct/>
        <w:topLinePunct w:val="0"/>
        <w:bidi w:val="0"/>
        <w:spacing w:line="560" w:lineRule="exact"/>
        <w:textAlignment w:val="auto"/>
        <w:rPr>
          <w:rFonts w:hint="eastAsia"/>
          <w:lang w:val="en-US" w:eastAsia="zh-CN"/>
        </w:rPr>
      </w:pPr>
    </w:p>
    <w:p w14:paraId="0872B401">
      <w:pPr>
        <w:pStyle w:val="91"/>
        <w:rPr>
          <w:rFonts w:hint="eastAsia"/>
          <w:lang w:val="en-US" w:eastAsia="zh-CN"/>
        </w:rPr>
      </w:pPr>
    </w:p>
    <w:p w14:paraId="53D602EA">
      <w:pPr>
        <w:pStyle w:val="2"/>
        <w:keepNext/>
        <w:keepLines/>
        <w:pageBreakBefore w:val="0"/>
        <w:widowControl w:val="0"/>
        <w:kinsoku/>
        <w:wordWrap/>
        <w:overflowPunct/>
        <w:topLinePunct w:val="0"/>
        <w:autoSpaceDE w:val="0"/>
        <w:autoSpaceDN w:val="0"/>
        <w:bidi w:val="0"/>
        <w:adjustRightInd w:val="0"/>
        <w:snapToGrid/>
        <w:spacing w:before="0" w:line="288" w:lineRule="auto"/>
        <w:ind w:firstLine="1440" w:firstLineChars="600"/>
        <w:jc w:val="center"/>
        <w:textAlignment w:val="auto"/>
        <w:rPr>
          <w:rFonts w:hint="eastAsia" w:ascii="仿宋_GB2312" w:hAnsi="仿宋_GB2312" w:eastAsia="仿宋_GB2312" w:cs="仿宋_GB2312"/>
          <w:b/>
          <w:sz w:val="24"/>
          <w:lang w:val="en-US" w:eastAsia="zh-CN"/>
        </w:rPr>
      </w:pPr>
      <w:bookmarkStart w:id="1204" w:name="_Toc31910"/>
      <w:bookmarkStart w:id="1205" w:name="_Toc16097"/>
      <w:bookmarkStart w:id="1206" w:name="_Toc10582"/>
      <w:bookmarkStart w:id="1207" w:name="_Toc21065"/>
      <w:bookmarkStart w:id="1208" w:name="_Toc8820"/>
      <w:bookmarkStart w:id="1209" w:name="_Toc192"/>
      <w:bookmarkStart w:id="1210" w:name="_Toc24225"/>
      <w:bookmarkStart w:id="1211" w:name="_Toc23320"/>
      <w:bookmarkStart w:id="1212" w:name="_Toc24064"/>
      <w:bookmarkStart w:id="1213" w:name="_Toc11794"/>
      <w:bookmarkStart w:id="1214" w:name="_Toc15726"/>
      <w:bookmarkStart w:id="1215" w:name="_Toc7086"/>
      <w:r>
        <w:rPr>
          <w:rFonts w:hint="eastAsia" w:ascii="仿宋_GB2312" w:hAnsi="仿宋_GB2312" w:eastAsia="仿宋_GB2312" w:cs="仿宋_GB2312"/>
          <w:b/>
          <w:sz w:val="24"/>
          <w:lang w:val="en-US" w:eastAsia="zh-CN"/>
        </w:rPr>
        <w:t>9  参加政府采购活动前3年内在经营活动中没有重大违法记录的承诺书及反商业受贿承诺</w:t>
      </w:r>
      <w:bookmarkEnd w:id="1204"/>
      <w:bookmarkEnd w:id="1205"/>
      <w:bookmarkEnd w:id="1206"/>
      <w:bookmarkEnd w:id="1207"/>
      <w:r>
        <w:rPr>
          <w:rFonts w:hint="eastAsia" w:ascii="仿宋_GB2312" w:hAnsi="仿宋_GB2312" w:eastAsia="仿宋_GB2312" w:cs="仿宋_GB2312"/>
          <w:b/>
          <w:sz w:val="24"/>
          <w:lang w:val="en-US" w:eastAsia="zh-CN"/>
        </w:rPr>
        <w:t>书</w:t>
      </w:r>
      <w:bookmarkEnd w:id="1208"/>
      <w:bookmarkEnd w:id="1209"/>
      <w:bookmarkEnd w:id="1210"/>
      <w:bookmarkEnd w:id="1211"/>
      <w:bookmarkEnd w:id="1212"/>
      <w:bookmarkEnd w:id="1213"/>
      <w:bookmarkEnd w:id="1214"/>
      <w:bookmarkEnd w:id="1215"/>
    </w:p>
    <w:p w14:paraId="5BD0B88D">
      <w:pPr>
        <w:pStyle w:val="36"/>
        <w:ind w:left="0" w:leftChars="0" w:firstLine="0" w:firstLineChars="0"/>
        <w:jc w:val="center"/>
      </w:pPr>
    </w:p>
    <w:p w14:paraId="5F0C0CB4">
      <w:pPr>
        <w:pStyle w:val="36"/>
        <w:ind w:left="0" w:leftChars="0" w:firstLine="0" w:firstLineChars="0"/>
        <w:jc w:val="center"/>
      </w:pPr>
    </w:p>
    <w:p w14:paraId="16740101">
      <w:pPr>
        <w:pStyle w:val="36"/>
        <w:ind w:left="0" w:leftChars="0" w:firstLine="0" w:firstLineChars="0"/>
        <w:jc w:val="center"/>
      </w:pPr>
    </w:p>
    <w:p w14:paraId="6D8AFE32">
      <w:pPr>
        <w:pStyle w:val="36"/>
        <w:ind w:left="0" w:leftChars="0" w:firstLine="0" w:firstLineChars="0"/>
        <w:jc w:val="center"/>
      </w:pPr>
    </w:p>
    <w:p w14:paraId="3C879A62">
      <w:pPr>
        <w:pStyle w:val="36"/>
        <w:ind w:left="0" w:leftChars="0" w:firstLine="0" w:firstLineChars="0"/>
        <w:jc w:val="center"/>
      </w:pPr>
    </w:p>
    <w:p w14:paraId="4A926479">
      <w:pPr>
        <w:pStyle w:val="36"/>
        <w:ind w:left="0" w:leftChars="0" w:firstLine="0" w:firstLineChars="0"/>
        <w:jc w:val="both"/>
      </w:pPr>
    </w:p>
    <w:p w14:paraId="1553877C">
      <w:pPr>
        <w:pStyle w:val="2"/>
        <w:bidi w:val="0"/>
        <w:rPr>
          <w:rFonts w:hint="eastAsia" w:ascii="方正仿宋_GBK" w:hAnsi="方正仿宋_GBK" w:eastAsia="方正仿宋_GBK" w:cs="方正仿宋_GBK"/>
          <w:b/>
          <w:bCs w:val="0"/>
          <w:sz w:val="24"/>
          <w:szCs w:val="24"/>
          <w:lang w:val="en-US" w:eastAsia="zh-CN"/>
        </w:rPr>
      </w:pPr>
      <w:bookmarkStart w:id="1216" w:name="_Toc25510"/>
      <w:bookmarkStart w:id="1217" w:name="_Toc31903"/>
      <w:bookmarkStart w:id="1218" w:name="_Toc27914"/>
      <w:r>
        <w:rPr>
          <w:rFonts w:hint="eastAsia" w:ascii="方正仿宋_GBK" w:hAnsi="方正仿宋_GBK" w:eastAsia="方正仿宋_GBK" w:cs="方正仿宋_GBK"/>
          <w:b/>
          <w:bCs w:val="0"/>
          <w:sz w:val="24"/>
          <w:szCs w:val="24"/>
          <w:lang w:val="en-US" w:eastAsia="zh-CN"/>
        </w:rPr>
        <w:t>10  履行合同所必需的设备和专业技术能力的证明材料（提供承诺函）</w:t>
      </w:r>
      <w:bookmarkEnd w:id="1216"/>
      <w:bookmarkEnd w:id="1217"/>
      <w:bookmarkEnd w:id="1218"/>
    </w:p>
    <w:p w14:paraId="5AFF9FDF">
      <w:pPr>
        <w:ind w:firstLine="960" w:firstLineChars="400"/>
        <w:rPr>
          <w:rFonts w:hint="default" w:ascii="仿宋_GB2312" w:hAnsi="Courier New" w:eastAsia="仿宋_GB2312" w:cs="Times New Roman"/>
          <w:kern w:val="2"/>
          <w:sz w:val="24"/>
          <w:szCs w:val="20"/>
          <w:lang w:val="en-US" w:eastAsia="zh-CN" w:bidi="ar-SA"/>
        </w:rPr>
      </w:pPr>
      <w:r>
        <w:rPr>
          <w:rFonts w:hint="eastAsia" w:ascii="仿宋_GB2312" w:hAnsi="仿宋_GB2312" w:eastAsia="仿宋_GB2312" w:cs="仿宋_GB2312"/>
          <w:b/>
          <w:kern w:val="0"/>
          <w:sz w:val="24"/>
          <w:szCs w:val="20"/>
          <w:lang w:val="en-US" w:eastAsia="zh-CN" w:bidi="ar-SA"/>
        </w:rPr>
        <w:t xml:space="preserve">                    </w:t>
      </w:r>
      <w:r>
        <w:rPr>
          <w:rFonts w:hint="eastAsia" w:ascii="仿宋_GB2312" w:hAnsi="Courier New" w:eastAsia="仿宋_GB2312" w:cs="Times New Roman"/>
          <w:kern w:val="2"/>
          <w:sz w:val="24"/>
          <w:szCs w:val="20"/>
          <w:lang w:val="en-US" w:eastAsia="zh-CN" w:bidi="ar-SA"/>
        </w:rPr>
        <w:t>（格式自拟）</w:t>
      </w:r>
    </w:p>
    <w:p w14:paraId="08A511EE"/>
    <w:p w14:paraId="4EFCDA20"/>
    <w:p w14:paraId="04604F7F"/>
    <w:p w14:paraId="1F8C7886"/>
    <w:p w14:paraId="1866F0A2">
      <w:pPr>
        <w:pStyle w:val="2"/>
        <w:keepNext/>
        <w:keepLines/>
        <w:pageBreakBefore w:val="0"/>
        <w:widowControl w:val="0"/>
        <w:kinsoku/>
        <w:wordWrap/>
        <w:overflowPunct/>
        <w:topLinePunct w:val="0"/>
        <w:autoSpaceDE w:val="0"/>
        <w:autoSpaceDN w:val="0"/>
        <w:bidi w:val="0"/>
        <w:adjustRightInd w:val="0"/>
        <w:snapToGrid/>
        <w:spacing w:before="0" w:line="288" w:lineRule="auto"/>
        <w:jc w:val="center"/>
        <w:textAlignment w:val="auto"/>
        <w:rPr>
          <w:rFonts w:hint="eastAsia" w:ascii="仿宋_GB2312" w:hAnsi="仿宋_GB2312" w:eastAsia="仿宋_GB2312" w:cs="仿宋_GB2312"/>
          <w:b/>
          <w:sz w:val="24"/>
          <w:lang w:val="en-US" w:eastAsia="zh-CN"/>
        </w:rPr>
      </w:pPr>
      <w:bookmarkStart w:id="1219" w:name="_Toc2180"/>
      <w:bookmarkStart w:id="1220" w:name="_Toc25801"/>
      <w:bookmarkStart w:id="1221" w:name="_Toc31779"/>
      <w:bookmarkStart w:id="1222" w:name="_Toc3659"/>
      <w:bookmarkStart w:id="1223" w:name="_Toc9818"/>
      <w:bookmarkStart w:id="1224" w:name="_Toc9088"/>
      <w:bookmarkStart w:id="1225" w:name="_Toc4680"/>
      <w:bookmarkStart w:id="1226" w:name="_Toc11340"/>
      <w:bookmarkStart w:id="1227" w:name="_Toc18306"/>
      <w:bookmarkStart w:id="1228" w:name="_Toc2815"/>
      <w:bookmarkStart w:id="1229" w:name="_Toc23996"/>
      <w:bookmarkStart w:id="1230" w:name="_Toc29051"/>
      <w:bookmarkStart w:id="1231" w:name="_Toc22388"/>
      <w:bookmarkStart w:id="1232" w:name="_Toc11464"/>
      <w:bookmarkStart w:id="1233" w:name="_Toc23393"/>
      <w:bookmarkStart w:id="1234" w:name="_Toc2365"/>
      <w:bookmarkStart w:id="1235" w:name="_Toc21347"/>
      <w:bookmarkStart w:id="1236" w:name="_Toc4689"/>
      <w:bookmarkStart w:id="1237" w:name="_Toc12799"/>
      <w:r>
        <w:rPr>
          <w:rFonts w:hint="eastAsia" w:ascii="仿宋_GB2312" w:hAnsi="仿宋_GB2312" w:eastAsia="仿宋_GB2312" w:cs="仿宋_GB2312"/>
          <w:b/>
          <w:sz w:val="24"/>
          <w:lang w:val="en-US" w:eastAsia="zh-CN"/>
        </w:rPr>
        <w:t>11  投标人须知资料表要求的其他资格证明文件</w:t>
      </w:r>
      <w:bookmarkEnd w:id="1219"/>
      <w:bookmarkEnd w:id="1220"/>
      <w:bookmarkEnd w:id="1221"/>
      <w:bookmarkEnd w:id="1222"/>
      <w:bookmarkEnd w:id="1223"/>
      <w:bookmarkEnd w:id="1224"/>
      <w:bookmarkEnd w:id="1225"/>
      <w:bookmarkEnd w:id="1226"/>
      <w:bookmarkEnd w:id="1227"/>
      <w:bookmarkEnd w:id="1228"/>
      <w:bookmarkEnd w:id="1229"/>
      <w:bookmarkEnd w:id="1230"/>
      <w:bookmarkEnd w:id="1231"/>
      <w:bookmarkEnd w:id="1232"/>
      <w:bookmarkEnd w:id="1233"/>
      <w:bookmarkEnd w:id="1234"/>
      <w:bookmarkEnd w:id="1235"/>
      <w:bookmarkEnd w:id="1236"/>
      <w:bookmarkEnd w:id="1237"/>
    </w:p>
    <w:p w14:paraId="6F4F066F">
      <w:pPr>
        <w:pStyle w:val="20"/>
        <w:tabs>
          <w:tab w:val="left" w:pos="5580"/>
        </w:tabs>
        <w:spacing w:line="288" w:lineRule="auto"/>
        <w:ind w:left="1079" w:leftChars="257" w:hanging="540"/>
        <w:rPr>
          <w:rFonts w:hint="eastAsia" w:ascii="仿宋_GB2312" w:hAnsi="仿宋_GB2312" w:eastAsia="仿宋_GB2312" w:cs="仿宋_GB2312"/>
          <w:sz w:val="24"/>
        </w:rPr>
      </w:pPr>
    </w:p>
    <w:p w14:paraId="6D222577">
      <w:pPr>
        <w:pStyle w:val="20"/>
        <w:keepNext w:val="0"/>
        <w:keepLines w:val="0"/>
        <w:pageBreakBefore w:val="0"/>
        <w:widowControl w:val="0"/>
        <w:tabs>
          <w:tab w:val="left" w:pos="5580"/>
        </w:tabs>
        <w:kinsoku/>
        <w:wordWrap/>
        <w:overflowPunct/>
        <w:topLinePunct w:val="0"/>
        <w:autoSpaceDE/>
        <w:autoSpaceDN/>
        <w:bidi w:val="0"/>
        <w:adjustRightInd/>
        <w:snapToGrid/>
        <w:spacing w:line="560" w:lineRule="exact"/>
        <w:ind w:left="1079" w:leftChars="257" w:hanging="540"/>
        <w:textAlignment w:val="auto"/>
        <w:rPr>
          <w:rFonts w:hint="eastAsia" w:ascii="仿宋_GB2312" w:hAnsi="宋体" w:eastAsia="仿宋_GB2312"/>
          <w:sz w:val="24"/>
        </w:rPr>
      </w:pPr>
      <w:r>
        <w:rPr>
          <w:rFonts w:hint="eastAsia" w:ascii="仿宋_GB2312" w:hAnsi="宋体" w:eastAsia="仿宋_GB2312"/>
          <w:sz w:val="24"/>
        </w:rPr>
        <w:t>说明：1.应提供</w:t>
      </w:r>
      <w:r>
        <w:rPr>
          <w:rFonts w:hint="eastAsia" w:ascii="仿宋_GB2312" w:hAnsi="宋体" w:eastAsia="仿宋_GB2312"/>
          <w:sz w:val="24"/>
          <w:u w:val="single"/>
        </w:rPr>
        <w:t>投标人须知资料表</w:t>
      </w:r>
      <w:r>
        <w:rPr>
          <w:rFonts w:hint="eastAsia" w:ascii="仿宋_GB2312" w:hAnsi="宋体" w:eastAsia="仿宋_GB2312"/>
          <w:sz w:val="24"/>
        </w:rPr>
        <w:t>要求的其他资格证明文件。</w:t>
      </w:r>
    </w:p>
    <w:p w14:paraId="560A4BB3">
      <w:pPr>
        <w:pStyle w:val="20"/>
        <w:keepNext w:val="0"/>
        <w:keepLines w:val="0"/>
        <w:pageBreakBefore w:val="0"/>
        <w:widowControl w:val="0"/>
        <w:tabs>
          <w:tab w:val="left" w:pos="5580"/>
        </w:tabs>
        <w:kinsoku/>
        <w:wordWrap/>
        <w:overflowPunct/>
        <w:topLinePunct w:val="0"/>
        <w:autoSpaceDE/>
        <w:autoSpaceDN/>
        <w:bidi w:val="0"/>
        <w:adjustRightInd/>
        <w:snapToGrid/>
        <w:spacing w:line="560" w:lineRule="exact"/>
        <w:ind w:left="1079" w:leftChars="257" w:hanging="540"/>
        <w:textAlignment w:val="auto"/>
        <w:rPr>
          <w:rFonts w:hint="eastAsia" w:ascii="仿宋_GB2312" w:hAnsi="宋体" w:eastAsia="仿宋_GB2312"/>
          <w:sz w:val="24"/>
        </w:rPr>
      </w:pPr>
      <w:r>
        <w:rPr>
          <w:rFonts w:hint="eastAsia" w:ascii="仿宋_GB2312" w:hAnsi="宋体" w:eastAsia="仿宋_GB2312"/>
          <w:sz w:val="24"/>
        </w:rPr>
        <w:t xml:space="preserve">      2.复印件上应加盖本单位章（自然人投标的无需盖章，需要签字）。</w:t>
      </w:r>
    </w:p>
    <w:p w14:paraId="47BC5F49">
      <w:pPr>
        <w:pStyle w:val="20"/>
        <w:keepNext w:val="0"/>
        <w:keepLines w:val="0"/>
        <w:pageBreakBefore w:val="0"/>
        <w:widowControl w:val="0"/>
        <w:tabs>
          <w:tab w:val="left" w:pos="5580"/>
        </w:tabs>
        <w:kinsoku/>
        <w:wordWrap/>
        <w:overflowPunct/>
        <w:topLinePunct w:val="0"/>
        <w:autoSpaceDE/>
        <w:autoSpaceDN/>
        <w:bidi w:val="0"/>
        <w:adjustRightInd/>
        <w:snapToGrid/>
        <w:spacing w:line="560" w:lineRule="exact"/>
        <w:ind w:left="1260" w:leftChars="344" w:hanging="538"/>
        <w:textAlignment w:val="auto"/>
        <w:rPr>
          <w:rFonts w:hint="eastAsia" w:ascii="仿宋_GB2312" w:hAnsi="宋体" w:eastAsia="仿宋_GB2312"/>
          <w:sz w:val="24"/>
        </w:rPr>
      </w:pPr>
      <w:r>
        <w:rPr>
          <w:rFonts w:hint="eastAsia" w:ascii="仿宋_GB2312" w:hAnsi="宋体" w:eastAsia="仿宋_GB2312"/>
          <w:sz w:val="24"/>
        </w:rPr>
        <w:t xml:space="preserve">    3.</w:t>
      </w:r>
      <w:r>
        <w:rPr>
          <w:rFonts w:hint="eastAsia" w:ascii="仿宋_GB2312" w:eastAsia="仿宋_GB2312"/>
          <w:sz w:val="24"/>
        </w:rPr>
        <w:t xml:space="preserve"> 如果是联合体投标，联合体各方需提供的满足招标文件要求的其他资格证明文件。</w:t>
      </w:r>
    </w:p>
    <w:p w14:paraId="3BDB29E9">
      <w:pPr>
        <w:pStyle w:val="27"/>
        <w:numPr>
          <w:ilvl w:val="0"/>
          <w:numId w:val="8"/>
        </w:numPr>
        <w:sectPr>
          <w:headerReference r:id="rId7" w:type="default"/>
          <w:footerReference r:id="rId8" w:type="default"/>
          <w:pgSz w:w="11906" w:h="16838"/>
          <w:pgMar w:top="1440" w:right="1797" w:bottom="1440" w:left="1797" w:header="851" w:footer="992" w:gutter="0"/>
          <w:pgBorders>
            <w:top w:val="none" w:sz="0" w:space="0"/>
            <w:left w:val="none" w:sz="0" w:space="0"/>
            <w:bottom w:val="none" w:sz="0" w:space="0"/>
            <w:right w:val="none" w:sz="0" w:space="0"/>
          </w:pgBorders>
          <w:pgNumType w:fmt="decimal"/>
          <w:cols w:space="720" w:num="1"/>
          <w:docGrid w:type="linesAndChars" w:linePitch="312" w:charSpace="0"/>
        </w:sectPr>
      </w:pPr>
    </w:p>
    <w:p w14:paraId="236753BF">
      <w:pPr>
        <w:pStyle w:val="20"/>
        <w:keepNext w:val="0"/>
        <w:keepLines w:val="0"/>
        <w:pageBreakBefore w:val="0"/>
        <w:widowControl w:val="0"/>
        <w:tabs>
          <w:tab w:val="left" w:pos="5580"/>
        </w:tabs>
        <w:kinsoku/>
        <w:wordWrap/>
        <w:overflowPunct/>
        <w:topLinePunct w:val="0"/>
        <w:autoSpaceDE/>
        <w:autoSpaceDN/>
        <w:bidi w:val="0"/>
        <w:adjustRightInd/>
        <w:snapToGrid w:val="0"/>
        <w:spacing w:before="0" w:beforeAutospacing="0" w:after="0" w:afterAutospacing="0" w:line="288" w:lineRule="auto"/>
        <w:jc w:val="center"/>
        <w:textAlignment w:val="baseline"/>
        <w:outlineLvl w:val="1"/>
        <w:rPr>
          <w:rFonts w:hint="eastAsia" w:ascii="仿宋_GB2312" w:hAnsi="Courier New" w:eastAsia="仿宋_GB2312" w:cs="Times New Roman"/>
          <w:kern w:val="2"/>
          <w:sz w:val="24"/>
          <w:szCs w:val="20"/>
          <w:lang w:val="en-US" w:eastAsia="zh-CN" w:bidi="ar-SA"/>
        </w:rPr>
      </w:pPr>
      <w:bookmarkStart w:id="1238" w:name="_Toc14404"/>
      <w:bookmarkStart w:id="1239" w:name="_Toc27343"/>
      <w:bookmarkStart w:id="1240" w:name="_Toc28134"/>
      <w:bookmarkStart w:id="1241" w:name="_Toc20506"/>
      <w:bookmarkStart w:id="1242" w:name="_Toc2184"/>
      <w:bookmarkStart w:id="1243" w:name="_Toc2243"/>
      <w:bookmarkStart w:id="1244" w:name="_Toc30530"/>
      <w:bookmarkStart w:id="1245" w:name="_Toc6294"/>
      <w:bookmarkStart w:id="1246" w:name="_Toc8614"/>
      <w:r>
        <w:rPr>
          <w:rFonts w:ascii="仿宋_GB2312" w:hAnsi="宋体" w:eastAsia="仿宋_GB2312" w:cs="Times New Roman"/>
          <w:b/>
          <w:i w:val="0"/>
          <w:caps w:val="0"/>
          <w:spacing w:val="0"/>
          <w:w w:val="100"/>
          <w:kern w:val="0"/>
          <w:sz w:val="24"/>
          <w:szCs w:val="20"/>
          <w:lang w:val="en-US" w:eastAsia="zh-CN" w:bidi="ar-SA"/>
        </w:rPr>
        <w:t>第</w:t>
      </w:r>
      <w:r>
        <w:rPr>
          <w:rFonts w:hint="eastAsia" w:ascii="仿宋_GB2312" w:hAnsi="宋体" w:eastAsia="仿宋_GB2312" w:cs="Times New Roman"/>
          <w:b/>
          <w:i w:val="0"/>
          <w:caps w:val="0"/>
          <w:spacing w:val="0"/>
          <w:w w:val="100"/>
          <w:kern w:val="0"/>
          <w:sz w:val="24"/>
          <w:szCs w:val="20"/>
          <w:lang w:val="en-US" w:eastAsia="zh-CN" w:bidi="ar-SA"/>
        </w:rPr>
        <w:t>二</w:t>
      </w:r>
      <w:r>
        <w:rPr>
          <w:rFonts w:ascii="仿宋_GB2312" w:hAnsi="宋体" w:eastAsia="仿宋_GB2312" w:cs="Times New Roman"/>
          <w:b/>
          <w:i w:val="0"/>
          <w:caps w:val="0"/>
          <w:spacing w:val="0"/>
          <w:w w:val="100"/>
          <w:kern w:val="0"/>
          <w:sz w:val="24"/>
          <w:szCs w:val="20"/>
          <w:lang w:val="en-US" w:eastAsia="zh-CN" w:bidi="ar-SA"/>
        </w:rPr>
        <w:t>部分</w:t>
      </w:r>
      <w:r>
        <w:rPr>
          <w:rFonts w:hint="eastAsia" w:ascii="仿宋_GB2312" w:hAnsi="宋体" w:eastAsia="仿宋_GB2312" w:cs="Times New Roman"/>
          <w:b/>
          <w:i w:val="0"/>
          <w:caps w:val="0"/>
          <w:spacing w:val="0"/>
          <w:w w:val="100"/>
          <w:kern w:val="0"/>
          <w:sz w:val="24"/>
          <w:szCs w:val="20"/>
          <w:lang w:val="en-US" w:eastAsia="zh-CN" w:bidi="ar-SA"/>
        </w:rPr>
        <w:t xml:space="preserve"> 商务及技术文件</w:t>
      </w:r>
      <w:bookmarkEnd w:id="1238"/>
      <w:bookmarkEnd w:id="1239"/>
      <w:bookmarkEnd w:id="1240"/>
      <w:bookmarkEnd w:id="1241"/>
      <w:bookmarkEnd w:id="1242"/>
      <w:bookmarkEnd w:id="1243"/>
      <w:bookmarkEnd w:id="1244"/>
      <w:bookmarkEnd w:id="1245"/>
      <w:bookmarkEnd w:id="1246"/>
    </w:p>
    <w:p w14:paraId="11C2B077">
      <w:pPr>
        <w:pStyle w:val="20"/>
        <w:keepNext w:val="0"/>
        <w:keepLines w:val="0"/>
        <w:pageBreakBefore w:val="0"/>
        <w:widowControl w:val="0"/>
        <w:kinsoku/>
        <w:wordWrap/>
        <w:overflowPunct/>
        <w:topLinePunct w:val="0"/>
        <w:autoSpaceDE/>
        <w:autoSpaceDN/>
        <w:bidi w:val="0"/>
        <w:adjustRightInd/>
        <w:snapToGrid w:val="0"/>
        <w:spacing w:before="0" w:beforeAutospacing="0" w:after="0" w:afterAutospacing="0" w:line="560" w:lineRule="exact"/>
        <w:ind w:left="1080" w:leftChars="257" w:hanging="540"/>
        <w:jc w:val="left"/>
        <w:textAlignment w:val="baseline"/>
        <w:rPr>
          <w:rFonts w:hint="eastAsia" w:ascii="仿宋_GB2312" w:hAnsi="Courier New" w:eastAsia="仿宋_GB2312" w:cs="Times New Roman"/>
          <w:kern w:val="2"/>
          <w:sz w:val="24"/>
          <w:szCs w:val="20"/>
          <w:lang w:val="en-US" w:eastAsia="zh-CN" w:bidi="ar-SA"/>
        </w:rPr>
      </w:pPr>
      <w:r>
        <w:rPr>
          <w:rFonts w:hint="eastAsia" w:ascii="仿宋_GB2312" w:hAnsi="Courier New" w:eastAsia="仿宋_GB2312" w:cs="Times New Roman"/>
          <w:kern w:val="2"/>
          <w:sz w:val="24"/>
          <w:szCs w:val="20"/>
          <w:lang w:val="en-US" w:eastAsia="zh-CN" w:bidi="ar-SA"/>
        </w:rPr>
        <w:t>1、投标书</w:t>
      </w:r>
    </w:p>
    <w:p w14:paraId="5E66B429">
      <w:pPr>
        <w:pStyle w:val="20"/>
        <w:keepNext w:val="0"/>
        <w:keepLines w:val="0"/>
        <w:pageBreakBefore w:val="0"/>
        <w:widowControl w:val="0"/>
        <w:kinsoku/>
        <w:wordWrap/>
        <w:overflowPunct/>
        <w:topLinePunct w:val="0"/>
        <w:autoSpaceDE/>
        <w:autoSpaceDN/>
        <w:bidi w:val="0"/>
        <w:adjustRightInd/>
        <w:snapToGrid w:val="0"/>
        <w:spacing w:before="0" w:beforeAutospacing="0" w:after="0" w:afterAutospacing="0" w:line="560" w:lineRule="exact"/>
        <w:ind w:left="1080" w:leftChars="257" w:hanging="540"/>
        <w:jc w:val="left"/>
        <w:textAlignment w:val="baseline"/>
        <w:rPr>
          <w:rFonts w:hint="eastAsia" w:ascii="仿宋_GB2312" w:hAnsi="Courier New" w:eastAsia="仿宋_GB2312" w:cs="Times New Roman"/>
          <w:kern w:val="2"/>
          <w:sz w:val="24"/>
          <w:szCs w:val="20"/>
          <w:lang w:val="en-US" w:eastAsia="zh-CN" w:bidi="ar-SA"/>
        </w:rPr>
      </w:pPr>
      <w:r>
        <w:rPr>
          <w:rFonts w:hint="eastAsia" w:ascii="仿宋_GB2312" w:hAnsi="Courier New" w:eastAsia="仿宋_GB2312" w:cs="Times New Roman"/>
          <w:kern w:val="2"/>
          <w:sz w:val="24"/>
          <w:szCs w:val="20"/>
          <w:lang w:val="en-US" w:eastAsia="zh-CN" w:bidi="ar-SA"/>
        </w:rPr>
        <w:t>2、投标分项报价表</w:t>
      </w:r>
    </w:p>
    <w:p w14:paraId="034DA717">
      <w:pPr>
        <w:pStyle w:val="20"/>
        <w:keepNext w:val="0"/>
        <w:keepLines w:val="0"/>
        <w:pageBreakBefore w:val="0"/>
        <w:widowControl w:val="0"/>
        <w:kinsoku/>
        <w:wordWrap/>
        <w:overflowPunct/>
        <w:topLinePunct w:val="0"/>
        <w:autoSpaceDE/>
        <w:autoSpaceDN/>
        <w:bidi w:val="0"/>
        <w:adjustRightInd/>
        <w:snapToGrid w:val="0"/>
        <w:spacing w:before="0" w:beforeAutospacing="0" w:after="0" w:afterAutospacing="0" w:line="560" w:lineRule="exact"/>
        <w:ind w:left="1080" w:leftChars="257" w:hanging="540"/>
        <w:jc w:val="left"/>
        <w:textAlignment w:val="baseline"/>
        <w:rPr>
          <w:rFonts w:hint="eastAsia" w:ascii="仿宋_GB2312" w:hAnsi="Courier New" w:eastAsia="仿宋_GB2312" w:cs="Times New Roman"/>
          <w:kern w:val="2"/>
          <w:sz w:val="24"/>
          <w:szCs w:val="20"/>
          <w:lang w:val="en-US" w:eastAsia="zh-CN" w:bidi="ar-SA"/>
        </w:rPr>
      </w:pPr>
      <w:r>
        <w:rPr>
          <w:rFonts w:hint="eastAsia" w:ascii="仿宋_GB2312" w:hAnsi="Courier New" w:eastAsia="仿宋_GB2312" w:cs="Times New Roman"/>
          <w:kern w:val="2"/>
          <w:sz w:val="24"/>
          <w:szCs w:val="20"/>
          <w:lang w:val="en-US" w:eastAsia="zh-CN" w:bidi="ar-SA"/>
        </w:rPr>
        <w:t>3、货物说明一览表</w:t>
      </w:r>
    </w:p>
    <w:p w14:paraId="47DBC0C3">
      <w:pPr>
        <w:pStyle w:val="20"/>
        <w:keepNext w:val="0"/>
        <w:keepLines w:val="0"/>
        <w:pageBreakBefore w:val="0"/>
        <w:widowControl w:val="0"/>
        <w:kinsoku/>
        <w:wordWrap/>
        <w:overflowPunct/>
        <w:topLinePunct w:val="0"/>
        <w:autoSpaceDE/>
        <w:autoSpaceDN/>
        <w:bidi w:val="0"/>
        <w:adjustRightInd/>
        <w:snapToGrid w:val="0"/>
        <w:spacing w:before="0" w:beforeAutospacing="0" w:after="0" w:afterAutospacing="0" w:line="560" w:lineRule="exact"/>
        <w:ind w:left="1080" w:leftChars="257" w:hanging="540"/>
        <w:jc w:val="left"/>
        <w:textAlignment w:val="baseline"/>
        <w:rPr>
          <w:rFonts w:hint="eastAsia" w:ascii="仿宋_GB2312" w:hAnsi="Courier New" w:eastAsia="仿宋_GB2312" w:cs="Times New Roman"/>
          <w:kern w:val="2"/>
          <w:sz w:val="24"/>
          <w:szCs w:val="20"/>
          <w:lang w:val="en-US" w:eastAsia="zh-CN" w:bidi="ar-SA"/>
        </w:rPr>
      </w:pPr>
      <w:r>
        <w:rPr>
          <w:rFonts w:hint="eastAsia" w:ascii="仿宋_GB2312" w:hAnsi="Courier New" w:eastAsia="仿宋_GB2312" w:cs="Times New Roman"/>
          <w:kern w:val="2"/>
          <w:sz w:val="24"/>
          <w:szCs w:val="20"/>
          <w:lang w:val="en-US" w:eastAsia="zh-CN" w:bidi="ar-SA"/>
        </w:rPr>
        <w:t>4、技术规格偏离表</w:t>
      </w:r>
    </w:p>
    <w:p w14:paraId="5E4A0EFB">
      <w:pPr>
        <w:pStyle w:val="20"/>
        <w:keepNext w:val="0"/>
        <w:keepLines w:val="0"/>
        <w:pageBreakBefore w:val="0"/>
        <w:widowControl w:val="0"/>
        <w:kinsoku/>
        <w:wordWrap/>
        <w:overflowPunct/>
        <w:topLinePunct w:val="0"/>
        <w:autoSpaceDE/>
        <w:autoSpaceDN/>
        <w:bidi w:val="0"/>
        <w:adjustRightInd/>
        <w:snapToGrid w:val="0"/>
        <w:spacing w:before="0" w:beforeAutospacing="0" w:after="0" w:afterAutospacing="0" w:line="560" w:lineRule="exact"/>
        <w:ind w:left="1080" w:leftChars="257" w:hanging="540"/>
        <w:jc w:val="left"/>
        <w:textAlignment w:val="baseline"/>
        <w:rPr>
          <w:rFonts w:hint="eastAsia" w:ascii="仿宋_GB2312" w:hAnsi="Courier New" w:eastAsia="仿宋_GB2312" w:cs="Times New Roman"/>
          <w:kern w:val="2"/>
          <w:sz w:val="24"/>
          <w:szCs w:val="20"/>
          <w:lang w:val="en-US" w:eastAsia="zh-CN" w:bidi="ar-SA"/>
        </w:rPr>
      </w:pPr>
      <w:r>
        <w:rPr>
          <w:rFonts w:hint="eastAsia" w:ascii="仿宋_GB2312" w:hAnsi="Courier New" w:eastAsia="仿宋_GB2312" w:cs="Times New Roman"/>
          <w:kern w:val="2"/>
          <w:sz w:val="24"/>
          <w:szCs w:val="20"/>
          <w:lang w:val="en-US" w:eastAsia="zh-CN" w:bidi="ar-SA"/>
        </w:rPr>
        <w:t>5、商务条款偏离表</w:t>
      </w:r>
    </w:p>
    <w:p w14:paraId="09E82F19">
      <w:pPr>
        <w:pStyle w:val="20"/>
        <w:keepNext w:val="0"/>
        <w:keepLines w:val="0"/>
        <w:pageBreakBefore w:val="0"/>
        <w:widowControl w:val="0"/>
        <w:kinsoku/>
        <w:wordWrap/>
        <w:overflowPunct/>
        <w:topLinePunct w:val="0"/>
        <w:autoSpaceDE/>
        <w:autoSpaceDN/>
        <w:bidi w:val="0"/>
        <w:adjustRightInd/>
        <w:snapToGrid w:val="0"/>
        <w:spacing w:before="0" w:beforeAutospacing="0" w:after="0" w:afterAutospacing="0" w:line="560" w:lineRule="exact"/>
        <w:ind w:left="1080" w:leftChars="257" w:hanging="540"/>
        <w:jc w:val="left"/>
        <w:textAlignment w:val="baseline"/>
        <w:rPr>
          <w:rFonts w:hint="eastAsia" w:ascii="仿宋_GB2312" w:hAnsi="Courier New" w:eastAsia="仿宋_GB2312" w:cs="Times New Roman"/>
          <w:kern w:val="2"/>
          <w:sz w:val="24"/>
          <w:szCs w:val="20"/>
          <w:lang w:val="en-US" w:eastAsia="zh-CN" w:bidi="ar-SA"/>
        </w:rPr>
      </w:pPr>
      <w:r>
        <w:rPr>
          <w:rFonts w:hint="eastAsia" w:ascii="仿宋_GB2312" w:hAnsi="Courier New" w:eastAsia="仿宋_GB2312" w:cs="Times New Roman"/>
          <w:kern w:val="2"/>
          <w:sz w:val="24"/>
          <w:szCs w:val="20"/>
          <w:lang w:val="en-US" w:eastAsia="zh-CN" w:bidi="ar-SA"/>
        </w:rPr>
        <w:t>6、《中小企业声明函》</w:t>
      </w:r>
    </w:p>
    <w:p w14:paraId="1E6D882F">
      <w:pPr>
        <w:pStyle w:val="20"/>
        <w:keepNext w:val="0"/>
        <w:keepLines w:val="0"/>
        <w:pageBreakBefore w:val="0"/>
        <w:widowControl w:val="0"/>
        <w:kinsoku/>
        <w:wordWrap/>
        <w:overflowPunct/>
        <w:topLinePunct w:val="0"/>
        <w:autoSpaceDE/>
        <w:autoSpaceDN/>
        <w:bidi w:val="0"/>
        <w:adjustRightInd/>
        <w:snapToGrid w:val="0"/>
        <w:spacing w:before="0" w:beforeAutospacing="0" w:after="0" w:afterAutospacing="0" w:line="560" w:lineRule="exact"/>
        <w:ind w:left="1080" w:leftChars="257" w:hanging="540"/>
        <w:jc w:val="left"/>
        <w:textAlignment w:val="baseline"/>
        <w:rPr>
          <w:rFonts w:hint="eastAsia" w:ascii="仿宋_GB2312" w:hAnsi="Courier New" w:eastAsia="仿宋_GB2312" w:cs="Times New Roman"/>
          <w:kern w:val="2"/>
          <w:sz w:val="24"/>
          <w:szCs w:val="20"/>
          <w:lang w:val="en-US" w:eastAsia="zh-CN" w:bidi="ar-SA"/>
        </w:rPr>
      </w:pPr>
      <w:r>
        <w:rPr>
          <w:rFonts w:hint="eastAsia" w:ascii="仿宋_GB2312" w:hAnsi="Courier New" w:eastAsia="仿宋_GB2312" w:cs="Times New Roman"/>
          <w:kern w:val="2"/>
          <w:sz w:val="24"/>
          <w:szCs w:val="20"/>
          <w:lang w:val="en-US" w:eastAsia="zh-CN" w:bidi="ar-SA"/>
        </w:rPr>
        <w:t>6-1《中小企业声明函》（货物/服务）</w:t>
      </w:r>
    </w:p>
    <w:p w14:paraId="6F3BA88E">
      <w:pPr>
        <w:pStyle w:val="20"/>
        <w:keepNext w:val="0"/>
        <w:keepLines w:val="0"/>
        <w:pageBreakBefore w:val="0"/>
        <w:widowControl w:val="0"/>
        <w:kinsoku/>
        <w:wordWrap/>
        <w:overflowPunct/>
        <w:topLinePunct w:val="0"/>
        <w:autoSpaceDE/>
        <w:autoSpaceDN/>
        <w:bidi w:val="0"/>
        <w:adjustRightInd/>
        <w:snapToGrid w:val="0"/>
        <w:spacing w:before="0" w:beforeAutospacing="0" w:after="0" w:afterAutospacing="0" w:line="560" w:lineRule="exact"/>
        <w:ind w:left="1080" w:leftChars="257" w:hanging="540"/>
        <w:jc w:val="left"/>
        <w:textAlignment w:val="baseline"/>
        <w:rPr>
          <w:rFonts w:hint="eastAsia" w:ascii="仿宋_GB2312" w:hAnsi="Courier New" w:eastAsia="仿宋_GB2312" w:cs="Times New Roman"/>
          <w:kern w:val="2"/>
          <w:sz w:val="24"/>
          <w:szCs w:val="20"/>
          <w:lang w:val="en-US" w:eastAsia="zh-CN" w:bidi="ar-SA"/>
        </w:rPr>
      </w:pPr>
      <w:r>
        <w:rPr>
          <w:rFonts w:hint="eastAsia" w:ascii="仿宋_GB2312" w:hAnsi="Courier New" w:eastAsia="仿宋_GB2312" w:cs="Times New Roman"/>
          <w:kern w:val="2"/>
          <w:sz w:val="24"/>
          <w:szCs w:val="20"/>
          <w:lang w:val="en-US" w:eastAsia="zh-CN" w:bidi="ar-SA"/>
        </w:rPr>
        <w:t>6-2《残疾人福利性单位声明函》</w:t>
      </w:r>
    </w:p>
    <w:p w14:paraId="31B10CE2">
      <w:pPr>
        <w:pStyle w:val="20"/>
        <w:keepNext w:val="0"/>
        <w:keepLines w:val="0"/>
        <w:pageBreakBefore w:val="0"/>
        <w:widowControl w:val="0"/>
        <w:kinsoku/>
        <w:wordWrap/>
        <w:overflowPunct/>
        <w:topLinePunct w:val="0"/>
        <w:autoSpaceDE/>
        <w:autoSpaceDN/>
        <w:bidi w:val="0"/>
        <w:adjustRightInd/>
        <w:snapToGrid w:val="0"/>
        <w:spacing w:before="0" w:beforeAutospacing="0" w:after="0" w:afterAutospacing="0" w:line="560" w:lineRule="exact"/>
        <w:ind w:left="1080" w:leftChars="257" w:hanging="540"/>
        <w:jc w:val="left"/>
        <w:textAlignment w:val="baseline"/>
        <w:rPr>
          <w:rFonts w:hint="eastAsia" w:ascii="仿宋_GB2312" w:hAnsi="Courier New" w:eastAsia="仿宋_GB2312" w:cs="Times New Roman"/>
          <w:kern w:val="2"/>
          <w:sz w:val="24"/>
          <w:szCs w:val="20"/>
          <w:lang w:val="en-US" w:eastAsia="zh-CN" w:bidi="ar-SA"/>
        </w:rPr>
      </w:pPr>
      <w:r>
        <w:rPr>
          <w:rFonts w:hint="eastAsia" w:ascii="仿宋_GB2312" w:hAnsi="Courier New" w:eastAsia="仿宋_GB2312" w:cs="Times New Roman"/>
          <w:kern w:val="2"/>
          <w:sz w:val="24"/>
          <w:szCs w:val="20"/>
          <w:lang w:val="en-US" w:eastAsia="zh-CN" w:bidi="ar-SA"/>
        </w:rPr>
        <w:t>6-3《监狱企业适用》</w:t>
      </w:r>
    </w:p>
    <w:p w14:paraId="6B3D9408">
      <w:pPr>
        <w:pStyle w:val="20"/>
        <w:keepNext w:val="0"/>
        <w:keepLines w:val="0"/>
        <w:pageBreakBefore w:val="0"/>
        <w:widowControl w:val="0"/>
        <w:numPr>
          <w:ilvl w:val="0"/>
          <w:numId w:val="0"/>
        </w:numPr>
        <w:kinsoku/>
        <w:wordWrap/>
        <w:overflowPunct/>
        <w:topLinePunct w:val="0"/>
        <w:autoSpaceDE/>
        <w:autoSpaceDN/>
        <w:bidi w:val="0"/>
        <w:adjustRightInd/>
        <w:snapToGrid w:val="0"/>
        <w:spacing w:before="0" w:beforeAutospacing="0" w:after="0" w:afterAutospacing="0" w:line="560" w:lineRule="exact"/>
        <w:ind w:leftChars="0" w:firstLine="480" w:firstLineChars="200"/>
        <w:jc w:val="left"/>
        <w:textAlignment w:val="baseline"/>
        <w:rPr>
          <w:rFonts w:hint="eastAsia" w:ascii="仿宋_GB2312" w:hAnsi="Courier New" w:eastAsia="仿宋_GB2312" w:cs="Times New Roman"/>
          <w:kern w:val="2"/>
          <w:sz w:val="24"/>
          <w:szCs w:val="20"/>
          <w:lang w:val="en-US" w:eastAsia="zh-CN" w:bidi="ar-SA"/>
        </w:rPr>
      </w:pPr>
      <w:r>
        <w:rPr>
          <w:rFonts w:hint="eastAsia" w:ascii="仿宋_GB2312" w:hAnsi="Courier New" w:eastAsia="仿宋_GB2312" w:cs="Times New Roman"/>
          <w:kern w:val="2"/>
          <w:sz w:val="24"/>
          <w:szCs w:val="20"/>
          <w:lang w:val="en-US" w:eastAsia="zh-CN" w:bidi="ar-SA"/>
        </w:rPr>
        <w:t>7、投标文件还应包括第五章、综合评分表的所有技术文件</w:t>
      </w:r>
    </w:p>
    <w:p w14:paraId="7FEDBFBE">
      <w:pPr>
        <w:pStyle w:val="20"/>
        <w:keepNext w:val="0"/>
        <w:keepLines w:val="0"/>
        <w:pageBreakBefore w:val="0"/>
        <w:widowControl w:val="0"/>
        <w:numPr>
          <w:ilvl w:val="0"/>
          <w:numId w:val="0"/>
        </w:numPr>
        <w:kinsoku/>
        <w:wordWrap/>
        <w:overflowPunct/>
        <w:topLinePunct w:val="0"/>
        <w:autoSpaceDE/>
        <w:autoSpaceDN/>
        <w:bidi w:val="0"/>
        <w:adjustRightInd/>
        <w:snapToGrid w:val="0"/>
        <w:spacing w:before="0" w:beforeAutospacing="0" w:after="0" w:afterAutospacing="0" w:line="560" w:lineRule="exact"/>
        <w:ind w:leftChars="0" w:firstLine="480" w:firstLineChars="200"/>
        <w:jc w:val="left"/>
        <w:textAlignment w:val="baseline"/>
        <w:rPr>
          <w:rFonts w:hint="eastAsia" w:ascii="仿宋_GB2312" w:hAnsi="Courier New" w:eastAsia="仿宋_GB2312" w:cs="Times New Roman"/>
          <w:kern w:val="2"/>
          <w:sz w:val="24"/>
          <w:szCs w:val="20"/>
          <w:lang w:val="en-US" w:eastAsia="zh-CN" w:bidi="ar-SA"/>
        </w:rPr>
      </w:pPr>
      <w:r>
        <w:rPr>
          <w:rFonts w:hint="eastAsia" w:ascii="仿宋_GB2312" w:hAnsi="Courier New" w:eastAsia="仿宋_GB2312" w:cs="Times New Roman"/>
          <w:kern w:val="2"/>
          <w:sz w:val="24"/>
          <w:szCs w:val="20"/>
          <w:lang w:val="en-US" w:eastAsia="zh-CN" w:bidi="ar-SA"/>
        </w:rPr>
        <w:t>8、投标人关联单位的说明（格式自拟）</w:t>
      </w:r>
    </w:p>
    <w:p w14:paraId="6F9D8421">
      <w:pPr>
        <w:pStyle w:val="20"/>
        <w:keepNext w:val="0"/>
        <w:keepLines w:val="0"/>
        <w:pageBreakBefore w:val="0"/>
        <w:widowControl w:val="0"/>
        <w:numPr>
          <w:ilvl w:val="0"/>
          <w:numId w:val="0"/>
        </w:numPr>
        <w:kinsoku/>
        <w:wordWrap/>
        <w:overflowPunct/>
        <w:topLinePunct w:val="0"/>
        <w:autoSpaceDE/>
        <w:autoSpaceDN/>
        <w:bidi w:val="0"/>
        <w:adjustRightInd/>
        <w:snapToGrid w:val="0"/>
        <w:spacing w:before="0" w:beforeAutospacing="0" w:after="0" w:afterAutospacing="0" w:line="560" w:lineRule="exact"/>
        <w:ind w:leftChars="0" w:firstLine="480" w:firstLineChars="200"/>
        <w:jc w:val="left"/>
        <w:textAlignment w:val="baseline"/>
        <w:rPr>
          <w:rFonts w:hint="eastAsia" w:ascii="仿宋_GB2312" w:hAnsi="Courier New" w:eastAsia="仿宋_GB2312" w:cs="Times New Roman"/>
          <w:kern w:val="2"/>
          <w:sz w:val="24"/>
          <w:szCs w:val="20"/>
          <w:lang w:val="en-US" w:eastAsia="zh-CN" w:bidi="ar-SA"/>
        </w:rPr>
      </w:pPr>
      <w:r>
        <w:rPr>
          <w:rFonts w:hint="eastAsia" w:ascii="仿宋_GB2312" w:hAnsi="Courier New" w:eastAsia="仿宋_GB2312" w:cs="Times New Roman"/>
          <w:kern w:val="2"/>
          <w:sz w:val="24"/>
          <w:szCs w:val="20"/>
          <w:lang w:val="en-US" w:eastAsia="zh-CN" w:bidi="ar-SA"/>
        </w:rPr>
        <w:t>9、其他有利于投标人的文件或证明材料</w:t>
      </w:r>
    </w:p>
    <w:p w14:paraId="409B5C7E">
      <w:pPr>
        <w:pStyle w:val="20"/>
        <w:keepNext w:val="0"/>
        <w:keepLines w:val="0"/>
        <w:pageBreakBefore w:val="0"/>
        <w:widowControl w:val="0"/>
        <w:numPr>
          <w:ilvl w:val="0"/>
          <w:numId w:val="0"/>
        </w:numPr>
        <w:kinsoku/>
        <w:wordWrap/>
        <w:overflowPunct/>
        <w:topLinePunct w:val="0"/>
        <w:autoSpaceDE/>
        <w:autoSpaceDN/>
        <w:bidi w:val="0"/>
        <w:adjustRightInd/>
        <w:snapToGrid w:val="0"/>
        <w:spacing w:before="0" w:beforeAutospacing="0" w:after="0" w:afterAutospacing="0" w:line="560" w:lineRule="exact"/>
        <w:ind w:leftChars="0" w:firstLine="480" w:firstLineChars="200"/>
        <w:jc w:val="left"/>
        <w:textAlignment w:val="baseline"/>
        <w:rPr>
          <w:rFonts w:hint="eastAsia" w:ascii="仿宋_GB2312" w:hAnsi="Courier New" w:eastAsia="仿宋_GB2312" w:cs="Times New Roman"/>
          <w:kern w:val="2"/>
          <w:sz w:val="24"/>
          <w:szCs w:val="20"/>
          <w:lang w:val="en-US" w:eastAsia="zh-CN" w:bidi="ar-SA"/>
        </w:rPr>
      </w:pPr>
      <w:r>
        <w:rPr>
          <w:rFonts w:hint="eastAsia" w:ascii="仿宋_GB2312" w:hAnsi="Courier New" w:eastAsia="仿宋_GB2312" w:cs="Times New Roman"/>
          <w:kern w:val="2"/>
          <w:sz w:val="24"/>
          <w:szCs w:val="20"/>
          <w:lang w:val="en-US" w:eastAsia="zh-CN" w:bidi="ar-SA"/>
        </w:rPr>
        <w:t>10、对本项目投标文件（响应文件）中资料真实性的承诺</w:t>
      </w:r>
    </w:p>
    <w:p w14:paraId="4DD1275A">
      <w:pPr>
        <w:pStyle w:val="20"/>
        <w:snapToGrid w:val="0"/>
        <w:spacing w:before="0" w:beforeAutospacing="0" w:after="0" w:afterAutospacing="0" w:line="240" w:lineRule="auto"/>
        <w:jc w:val="both"/>
        <w:textAlignment w:val="baseline"/>
        <w:rPr>
          <w:rFonts w:ascii="仿宋" w:hAnsi="仿宋" w:eastAsia="仿宋" w:cs="仿宋"/>
          <w:b w:val="0"/>
          <w:i w:val="0"/>
          <w:caps w:val="0"/>
          <w:spacing w:val="0"/>
          <w:w w:val="100"/>
          <w:sz w:val="24"/>
          <w:szCs w:val="24"/>
          <w:highlight w:val="yellow"/>
        </w:rPr>
      </w:pPr>
    </w:p>
    <w:p w14:paraId="6F2663EE">
      <w:pPr>
        <w:pStyle w:val="20"/>
        <w:snapToGrid w:val="0"/>
        <w:spacing w:before="0" w:beforeAutospacing="0" w:after="0" w:afterAutospacing="0" w:line="288" w:lineRule="auto"/>
        <w:ind w:left="1080" w:leftChars="257" w:hanging="540"/>
        <w:jc w:val="left"/>
        <w:textAlignment w:val="baseline"/>
        <w:rPr>
          <w:rFonts w:ascii="仿宋_GB2312" w:hAnsi="仿宋_GB2312" w:eastAsia="仿宋_GB2312" w:cs="仿宋_GB2312"/>
          <w:b w:val="0"/>
          <w:i w:val="0"/>
          <w:caps w:val="0"/>
          <w:spacing w:val="0"/>
          <w:w w:val="100"/>
          <w:sz w:val="28"/>
          <w:szCs w:val="28"/>
        </w:rPr>
      </w:pPr>
    </w:p>
    <w:p w14:paraId="2D947FDD">
      <w:pPr>
        <w:pStyle w:val="20"/>
        <w:snapToGrid w:val="0"/>
        <w:spacing w:before="0" w:beforeAutospacing="0" w:after="0" w:afterAutospacing="0" w:line="288" w:lineRule="auto"/>
        <w:ind w:left="1080" w:leftChars="257" w:hanging="540"/>
        <w:jc w:val="left"/>
        <w:textAlignment w:val="baseline"/>
        <w:rPr>
          <w:rFonts w:ascii="仿宋_GB2312" w:hAnsi="仿宋_GB2312" w:eastAsia="仿宋_GB2312" w:cs="仿宋_GB2312"/>
          <w:b w:val="0"/>
          <w:i w:val="0"/>
          <w:caps w:val="0"/>
          <w:spacing w:val="0"/>
          <w:w w:val="100"/>
          <w:sz w:val="28"/>
          <w:szCs w:val="28"/>
        </w:rPr>
      </w:pPr>
    </w:p>
    <w:p w14:paraId="007A0E3E">
      <w:pPr>
        <w:pStyle w:val="2"/>
        <w:snapToGrid w:val="0"/>
        <w:spacing w:before="0" w:beforeAutospacing="0" w:after="0" w:afterAutospacing="0" w:line="240" w:lineRule="atLeast"/>
        <w:ind w:left="1080" w:leftChars="257" w:hanging="540"/>
        <w:jc w:val="center"/>
        <w:textAlignment w:val="baseline"/>
        <w:rPr>
          <w:rFonts w:ascii="楷体" w:hAnsi="楷体" w:eastAsia="楷体" w:cs="楷体"/>
          <w:b/>
          <w:i w:val="0"/>
          <w:caps w:val="0"/>
          <w:color w:val="000000"/>
          <w:spacing w:val="0"/>
          <w:w w:val="100"/>
          <w:sz w:val="24"/>
        </w:rPr>
      </w:pPr>
      <w:bookmarkStart w:id="1247" w:name="_Toc39671748"/>
      <w:bookmarkStart w:id="1248" w:name="_Toc10388"/>
      <w:bookmarkStart w:id="1249" w:name="_Toc515647817"/>
      <w:bookmarkStart w:id="1250" w:name="_Toc14915"/>
      <w:bookmarkStart w:id="1251" w:name="_Toc216582815"/>
      <w:bookmarkStart w:id="1252" w:name="_Toc28445"/>
      <w:bookmarkStart w:id="1253" w:name="_Toc515647818"/>
      <w:bookmarkStart w:id="1254" w:name="_Toc515647809"/>
      <w:bookmarkStart w:id="1255" w:name="_Toc31238"/>
      <w:bookmarkStart w:id="1256" w:name="_Toc1881"/>
      <w:bookmarkStart w:id="1257" w:name="_Toc20897"/>
      <w:bookmarkStart w:id="1258" w:name="_Toc11047"/>
      <w:bookmarkStart w:id="1259" w:name="_Toc2041"/>
    </w:p>
    <w:p w14:paraId="57E268AE">
      <w:pPr>
        <w:snapToGrid w:val="0"/>
        <w:spacing w:before="0" w:beforeAutospacing="0" w:after="0" w:afterAutospacing="0" w:line="240" w:lineRule="auto"/>
        <w:jc w:val="both"/>
        <w:textAlignment w:val="baseline"/>
        <w:rPr>
          <w:rFonts w:ascii="楷体" w:hAnsi="楷体" w:eastAsia="楷体" w:cs="楷体"/>
          <w:b w:val="0"/>
          <w:i w:val="0"/>
          <w:caps w:val="0"/>
          <w:color w:val="000000"/>
          <w:spacing w:val="0"/>
          <w:w w:val="100"/>
          <w:sz w:val="24"/>
        </w:rPr>
      </w:pPr>
    </w:p>
    <w:p w14:paraId="41978682">
      <w:pPr>
        <w:pStyle w:val="27"/>
        <w:snapToGrid w:val="0"/>
        <w:spacing w:before="0" w:beforeAutospacing="0" w:after="0" w:afterAutospacing="0" w:line="240" w:lineRule="auto"/>
        <w:jc w:val="left"/>
        <w:textAlignment w:val="baseline"/>
        <w:rPr>
          <w:rFonts w:ascii="楷体" w:hAnsi="楷体" w:eastAsia="楷体" w:cs="楷体"/>
          <w:b w:val="0"/>
          <w:i w:val="0"/>
          <w:caps w:val="0"/>
          <w:color w:val="000000"/>
          <w:spacing w:val="0"/>
          <w:w w:val="100"/>
          <w:sz w:val="24"/>
        </w:rPr>
      </w:pPr>
    </w:p>
    <w:p w14:paraId="53C807D3">
      <w:pPr>
        <w:pStyle w:val="27"/>
        <w:snapToGrid w:val="0"/>
        <w:spacing w:before="0" w:beforeAutospacing="0" w:after="0" w:afterAutospacing="0" w:line="240" w:lineRule="auto"/>
        <w:jc w:val="left"/>
        <w:textAlignment w:val="baseline"/>
        <w:rPr>
          <w:rFonts w:ascii="楷体" w:hAnsi="楷体" w:eastAsia="楷体" w:cs="楷体"/>
          <w:b w:val="0"/>
          <w:i w:val="0"/>
          <w:caps w:val="0"/>
          <w:color w:val="000000"/>
          <w:spacing w:val="0"/>
          <w:w w:val="100"/>
          <w:sz w:val="24"/>
        </w:rPr>
      </w:pPr>
    </w:p>
    <w:p w14:paraId="1A1CE7E5">
      <w:pPr>
        <w:pStyle w:val="27"/>
        <w:snapToGrid w:val="0"/>
        <w:spacing w:before="0" w:beforeAutospacing="0" w:after="0" w:afterAutospacing="0" w:line="240" w:lineRule="auto"/>
        <w:jc w:val="left"/>
        <w:textAlignment w:val="baseline"/>
        <w:rPr>
          <w:rFonts w:ascii="楷体" w:hAnsi="楷体" w:eastAsia="楷体" w:cs="楷体"/>
          <w:b w:val="0"/>
          <w:i w:val="0"/>
          <w:caps w:val="0"/>
          <w:color w:val="000000"/>
          <w:spacing w:val="0"/>
          <w:w w:val="100"/>
          <w:sz w:val="24"/>
        </w:rPr>
      </w:pPr>
    </w:p>
    <w:p w14:paraId="11F6A716">
      <w:pPr>
        <w:pStyle w:val="27"/>
        <w:snapToGrid w:val="0"/>
        <w:spacing w:before="0" w:beforeAutospacing="0" w:after="0" w:afterAutospacing="0" w:line="240" w:lineRule="auto"/>
        <w:jc w:val="left"/>
        <w:textAlignment w:val="baseline"/>
        <w:rPr>
          <w:rFonts w:ascii="楷体" w:hAnsi="楷体" w:eastAsia="楷体" w:cs="楷体"/>
          <w:b w:val="0"/>
          <w:i w:val="0"/>
          <w:caps w:val="0"/>
          <w:color w:val="000000"/>
          <w:spacing w:val="0"/>
          <w:w w:val="100"/>
          <w:sz w:val="24"/>
        </w:rPr>
      </w:pPr>
    </w:p>
    <w:p w14:paraId="3DCD0BDF">
      <w:pPr>
        <w:pStyle w:val="27"/>
        <w:snapToGrid w:val="0"/>
        <w:spacing w:before="0" w:beforeAutospacing="0" w:after="0" w:afterAutospacing="0" w:line="240" w:lineRule="auto"/>
        <w:jc w:val="left"/>
        <w:textAlignment w:val="baseline"/>
        <w:rPr>
          <w:rFonts w:ascii="楷体" w:hAnsi="楷体" w:eastAsia="楷体" w:cs="楷体"/>
          <w:b w:val="0"/>
          <w:i w:val="0"/>
          <w:caps w:val="0"/>
          <w:color w:val="000000"/>
          <w:spacing w:val="0"/>
          <w:w w:val="100"/>
          <w:sz w:val="24"/>
        </w:rPr>
      </w:pPr>
    </w:p>
    <w:p w14:paraId="2F9AF79A">
      <w:pPr>
        <w:pStyle w:val="27"/>
        <w:snapToGrid w:val="0"/>
        <w:spacing w:before="0" w:beforeAutospacing="0" w:after="0" w:afterAutospacing="0" w:line="240" w:lineRule="auto"/>
        <w:jc w:val="left"/>
        <w:textAlignment w:val="baseline"/>
        <w:rPr>
          <w:rFonts w:ascii="楷体" w:hAnsi="楷体" w:eastAsia="楷体" w:cs="楷体"/>
          <w:b w:val="0"/>
          <w:i w:val="0"/>
          <w:caps w:val="0"/>
          <w:color w:val="000000"/>
          <w:spacing w:val="0"/>
          <w:w w:val="100"/>
          <w:sz w:val="24"/>
        </w:rPr>
      </w:pPr>
    </w:p>
    <w:p w14:paraId="2D363A0E">
      <w:pPr>
        <w:pStyle w:val="27"/>
        <w:snapToGrid w:val="0"/>
        <w:spacing w:before="0" w:beforeAutospacing="0" w:after="0" w:afterAutospacing="0" w:line="240" w:lineRule="auto"/>
        <w:jc w:val="left"/>
        <w:textAlignment w:val="baseline"/>
        <w:rPr>
          <w:rFonts w:ascii="楷体" w:hAnsi="楷体" w:eastAsia="楷体" w:cs="楷体"/>
          <w:b w:val="0"/>
          <w:i w:val="0"/>
          <w:caps w:val="0"/>
          <w:color w:val="000000"/>
          <w:spacing w:val="0"/>
          <w:w w:val="100"/>
          <w:sz w:val="24"/>
        </w:rPr>
      </w:pPr>
    </w:p>
    <w:p w14:paraId="67CE31AF">
      <w:pPr>
        <w:pStyle w:val="27"/>
        <w:snapToGrid w:val="0"/>
        <w:spacing w:before="0" w:beforeAutospacing="0" w:after="0" w:afterAutospacing="0" w:line="240" w:lineRule="auto"/>
        <w:jc w:val="left"/>
        <w:textAlignment w:val="baseline"/>
        <w:rPr>
          <w:rFonts w:ascii="楷体" w:hAnsi="楷体" w:eastAsia="楷体" w:cs="楷体"/>
          <w:b w:val="0"/>
          <w:i w:val="0"/>
          <w:caps w:val="0"/>
          <w:color w:val="000000"/>
          <w:spacing w:val="0"/>
          <w:w w:val="100"/>
          <w:sz w:val="24"/>
        </w:rPr>
      </w:pPr>
    </w:p>
    <w:p w14:paraId="5DDFF43F">
      <w:pPr>
        <w:pStyle w:val="27"/>
        <w:snapToGrid w:val="0"/>
        <w:spacing w:before="0" w:beforeAutospacing="0" w:after="0" w:afterAutospacing="0" w:line="240" w:lineRule="auto"/>
        <w:jc w:val="left"/>
        <w:textAlignment w:val="baseline"/>
        <w:rPr>
          <w:rFonts w:ascii="楷体" w:hAnsi="楷体" w:eastAsia="楷体" w:cs="楷体"/>
          <w:b w:val="0"/>
          <w:i w:val="0"/>
          <w:caps w:val="0"/>
          <w:color w:val="000000"/>
          <w:spacing w:val="0"/>
          <w:w w:val="100"/>
          <w:sz w:val="24"/>
        </w:rPr>
      </w:pPr>
    </w:p>
    <w:p w14:paraId="395FD68D">
      <w:pPr>
        <w:pStyle w:val="27"/>
        <w:snapToGrid w:val="0"/>
        <w:spacing w:before="0" w:beforeAutospacing="0" w:after="0" w:afterAutospacing="0" w:line="240" w:lineRule="auto"/>
        <w:jc w:val="left"/>
        <w:textAlignment w:val="baseline"/>
        <w:rPr>
          <w:rFonts w:ascii="楷体" w:hAnsi="楷体" w:eastAsia="楷体" w:cs="楷体"/>
          <w:b w:val="0"/>
          <w:i w:val="0"/>
          <w:caps w:val="0"/>
          <w:color w:val="000000"/>
          <w:spacing w:val="0"/>
          <w:w w:val="100"/>
          <w:sz w:val="24"/>
        </w:rPr>
      </w:pPr>
    </w:p>
    <w:p w14:paraId="0EB87BF7">
      <w:pPr>
        <w:pStyle w:val="27"/>
        <w:snapToGrid w:val="0"/>
        <w:spacing w:before="0" w:beforeAutospacing="0" w:after="0" w:afterAutospacing="0" w:line="240" w:lineRule="auto"/>
        <w:jc w:val="left"/>
        <w:textAlignment w:val="baseline"/>
        <w:rPr>
          <w:rFonts w:ascii="楷体" w:hAnsi="楷体" w:eastAsia="楷体" w:cs="楷体"/>
          <w:b w:val="0"/>
          <w:i w:val="0"/>
          <w:caps w:val="0"/>
          <w:color w:val="000000"/>
          <w:spacing w:val="0"/>
          <w:w w:val="100"/>
          <w:sz w:val="24"/>
        </w:rPr>
      </w:pPr>
    </w:p>
    <w:p w14:paraId="2CC46EAC">
      <w:pPr>
        <w:pStyle w:val="2"/>
        <w:snapToGrid w:val="0"/>
        <w:spacing w:before="0" w:beforeAutospacing="0" w:after="0" w:afterAutospacing="0" w:line="240" w:lineRule="atLeast"/>
        <w:jc w:val="both"/>
        <w:textAlignment w:val="baseline"/>
        <w:rPr>
          <w:rFonts w:ascii="仿宋" w:hAnsi="仿宋" w:eastAsia="仿宋" w:cs="仿宋"/>
          <w:b/>
          <w:i w:val="0"/>
          <w:caps w:val="0"/>
          <w:color w:val="000000"/>
          <w:spacing w:val="0"/>
          <w:w w:val="100"/>
          <w:sz w:val="24"/>
        </w:rPr>
      </w:pPr>
    </w:p>
    <w:p w14:paraId="1D39795B"/>
    <w:bookmarkEnd w:id="1247"/>
    <w:bookmarkEnd w:id="1248"/>
    <w:bookmarkEnd w:id="1249"/>
    <w:bookmarkEnd w:id="1250"/>
    <w:bookmarkEnd w:id="1251"/>
    <w:bookmarkEnd w:id="1252"/>
    <w:bookmarkEnd w:id="1253"/>
    <w:bookmarkEnd w:id="1254"/>
    <w:bookmarkEnd w:id="1255"/>
    <w:bookmarkEnd w:id="1256"/>
    <w:bookmarkEnd w:id="1257"/>
    <w:bookmarkEnd w:id="1258"/>
    <w:bookmarkEnd w:id="1259"/>
    <w:p w14:paraId="2219E3B1">
      <w:pPr>
        <w:pStyle w:val="2"/>
        <w:keepNext/>
        <w:keepLines/>
        <w:pageBreakBefore w:val="0"/>
        <w:widowControl w:val="0"/>
        <w:kinsoku/>
        <w:wordWrap/>
        <w:overflowPunct/>
        <w:topLinePunct w:val="0"/>
        <w:autoSpaceDE w:val="0"/>
        <w:autoSpaceDN w:val="0"/>
        <w:bidi w:val="0"/>
        <w:adjustRightInd w:val="0"/>
        <w:snapToGrid/>
        <w:spacing w:before="0" w:line="288" w:lineRule="auto"/>
        <w:ind w:firstLine="3614" w:firstLineChars="1500"/>
        <w:jc w:val="both"/>
        <w:textAlignment w:val="auto"/>
        <w:rPr>
          <w:rFonts w:hint="eastAsia" w:ascii="仿宋_GB2312" w:hAnsi="仿宋_GB2312" w:eastAsia="仿宋_GB2312" w:cs="仿宋_GB2312"/>
          <w:b/>
          <w:sz w:val="24"/>
          <w:lang w:val="en-US" w:eastAsia="zh-CN"/>
        </w:rPr>
      </w:pPr>
      <w:bookmarkStart w:id="1260" w:name="_Toc1908"/>
      <w:bookmarkStart w:id="1261" w:name="_Toc31638"/>
      <w:bookmarkStart w:id="1262" w:name="_Toc25733"/>
      <w:bookmarkStart w:id="1263" w:name="_Toc3618"/>
      <w:bookmarkStart w:id="1264" w:name="_Toc21159"/>
      <w:bookmarkStart w:id="1265" w:name="_Toc9025"/>
      <w:bookmarkStart w:id="1266" w:name="_Toc32643"/>
      <w:bookmarkStart w:id="1267" w:name="_Toc31410"/>
      <w:bookmarkStart w:id="1268" w:name="_Toc25213"/>
      <w:bookmarkStart w:id="1269" w:name="_Toc18920"/>
      <w:bookmarkStart w:id="1270" w:name="_Toc24743"/>
      <w:bookmarkStart w:id="1271" w:name="_Toc12247"/>
      <w:bookmarkStart w:id="1272" w:name="_Toc30384"/>
      <w:bookmarkStart w:id="1273" w:name="_Toc15236"/>
      <w:bookmarkStart w:id="1274" w:name="_Toc14062"/>
      <w:bookmarkStart w:id="1275" w:name="_Toc17635"/>
      <w:bookmarkStart w:id="1276" w:name="_Toc28670"/>
      <w:r>
        <w:rPr>
          <w:rFonts w:hint="eastAsia" w:ascii="仿宋_GB2312" w:hAnsi="仿宋_GB2312" w:eastAsia="仿宋_GB2312" w:cs="仿宋_GB2312"/>
          <w:b/>
          <w:sz w:val="24"/>
          <w:lang w:val="en-US" w:eastAsia="zh-CN"/>
        </w:rPr>
        <w:t>1  投标书</w:t>
      </w:r>
      <w:bookmarkEnd w:id="1260"/>
      <w:bookmarkEnd w:id="1261"/>
      <w:bookmarkEnd w:id="1262"/>
      <w:bookmarkEnd w:id="1263"/>
      <w:bookmarkEnd w:id="1264"/>
      <w:bookmarkEnd w:id="1265"/>
      <w:bookmarkEnd w:id="1266"/>
      <w:bookmarkEnd w:id="1267"/>
      <w:bookmarkEnd w:id="1268"/>
      <w:bookmarkEnd w:id="1269"/>
      <w:bookmarkEnd w:id="1270"/>
      <w:bookmarkEnd w:id="1271"/>
      <w:bookmarkEnd w:id="1272"/>
      <w:bookmarkEnd w:id="1273"/>
      <w:bookmarkEnd w:id="1274"/>
      <w:bookmarkEnd w:id="1275"/>
      <w:bookmarkEnd w:id="1276"/>
    </w:p>
    <w:p w14:paraId="0849F711">
      <w:pPr>
        <w:keepNext w:val="0"/>
        <w:keepLines w:val="0"/>
        <w:pageBreakBefore w:val="0"/>
        <w:widowControl w:val="0"/>
        <w:tabs>
          <w:tab w:val="left" w:pos="5580"/>
        </w:tabs>
        <w:kinsoku/>
        <w:wordWrap/>
        <w:overflowPunct/>
        <w:topLinePunct w:val="0"/>
        <w:autoSpaceDE/>
        <w:autoSpaceDN/>
        <w:bidi w:val="0"/>
        <w:adjustRightInd/>
        <w:snapToGrid w:val="0"/>
        <w:spacing w:before="0" w:beforeAutospacing="0" w:after="0" w:afterAutospacing="0" w:line="360" w:lineRule="exact"/>
        <w:ind w:left="1080" w:leftChars="257" w:hanging="540"/>
        <w:jc w:val="both"/>
        <w:textAlignment w:val="baseline"/>
        <w:rPr>
          <w:rFonts w:ascii="仿宋_GB2312" w:hAnsi="仿宋_GB2312" w:eastAsia="仿宋_GB2312" w:cs="仿宋_GB2312"/>
          <w:b w:val="0"/>
          <w:i w:val="0"/>
          <w:caps w:val="0"/>
          <w:spacing w:val="0"/>
          <w:w w:val="100"/>
          <w:sz w:val="32"/>
          <w:szCs w:val="32"/>
        </w:rPr>
      </w:pPr>
    </w:p>
    <w:p w14:paraId="44AA1C2F">
      <w:pPr>
        <w:keepNext w:val="0"/>
        <w:keepLines w:val="0"/>
        <w:pageBreakBefore w:val="0"/>
        <w:widowControl w:val="0"/>
        <w:tabs>
          <w:tab w:val="left" w:pos="5580"/>
        </w:tabs>
        <w:kinsoku/>
        <w:wordWrap/>
        <w:overflowPunct/>
        <w:topLinePunct w:val="0"/>
        <w:autoSpaceDE/>
        <w:autoSpaceDN/>
        <w:bidi w:val="0"/>
        <w:adjustRightInd/>
        <w:snapToGrid w:val="0"/>
        <w:spacing w:before="0" w:beforeAutospacing="0" w:after="0" w:afterAutospacing="0" w:line="360" w:lineRule="exact"/>
        <w:ind w:left="1080" w:hanging="1080"/>
        <w:jc w:val="both"/>
        <w:textAlignment w:val="baseline"/>
        <w:rPr>
          <w:rFonts w:ascii="仿宋" w:hAnsi="仿宋" w:eastAsia="仿宋" w:cs="仿宋"/>
          <w:b w:val="0"/>
          <w:i w:val="0"/>
          <w:caps w:val="0"/>
          <w:color w:val="000000"/>
          <w:spacing w:val="0"/>
          <w:w w:val="100"/>
          <w:sz w:val="24"/>
        </w:rPr>
      </w:pPr>
      <w:r>
        <w:rPr>
          <w:rFonts w:hint="eastAsia" w:ascii="仿宋" w:hAnsi="仿宋" w:eastAsia="仿宋" w:cs="仿宋"/>
          <w:b w:val="0"/>
          <w:i w:val="0"/>
          <w:caps w:val="0"/>
          <w:color w:val="000000"/>
          <w:spacing w:val="0"/>
          <w:w w:val="100"/>
          <w:sz w:val="24"/>
        </w:rPr>
        <w:t>致：</w:t>
      </w:r>
      <w:r>
        <w:rPr>
          <w:rFonts w:hint="eastAsia" w:ascii="仿宋" w:hAnsi="仿宋" w:eastAsia="仿宋" w:cs="仿宋"/>
          <w:b w:val="0"/>
          <w:i w:val="0"/>
          <w:caps w:val="0"/>
          <w:color w:val="000000"/>
          <w:spacing w:val="0"/>
          <w:w w:val="100"/>
          <w:sz w:val="24"/>
          <w:u w:val="single" w:color="000000"/>
        </w:rPr>
        <w:t xml:space="preserve"> （采购人名称）</w:t>
      </w:r>
    </w:p>
    <w:p w14:paraId="5BD30DF9">
      <w:pPr>
        <w:pStyle w:val="20"/>
        <w:keepNext w:val="0"/>
        <w:keepLines w:val="0"/>
        <w:pageBreakBefore w:val="0"/>
        <w:widowControl w:val="0"/>
        <w:tabs>
          <w:tab w:val="left" w:pos="720"/>
          <w:tab w:val="left" w:pos="900"/>
        </w:tabs>
        <w:kinsoku/>
        <w:wordWrap/>
        <w:overflowPunct/>
        <w:topLinePunct w:val="0"/>
        <w:autoSpaceDE/>
        <w:autoSpaceDN/>
        <w:bidi w:val="0"/>
        <w:adjustRightInd/>
        <w:snapToGrid w:val="0"/>
        <w:spacing w:before="0" w:beforeAutospacing="0" w:after="0" w:afterAutospacing="0" w:line="360" w:lineRule="exact"/>
        <w:ind w:firstLine="480" w:firstLineChars="200"/>
        <w:jc w:val="both"/>
        <w:textAlignment w:val="baseline"/>
        <w:rPr>
          <w:rFonts w:hint="eastAsia" w:ascii="仿宋" w:hAnsi="仿宋" w:eastAsia="仿宋" w:cs="仿宋"/>
          <w:b w:val="0"/>
          <w:i w:val="0"/>
          <w:caps w:val="0"/>
          <w:color w:val="000000"/>
          <w:spacing w:val="0"/>
          <w:w w:val="100"/>
          <w:sz w:val="24"/>
          <w:u w:val="single" w:color="000000"/>
        </w:rPr>
      </w:pPr>
      <w:r>
        <w:rPr>
          <w:rFonts w:hint="eastAsia" w:ascii="仿宋" w:hAnsi="仿宋" w:eastAsia="仿宋" w:cs="仿宋"/>
          <w:b w:val="0"/>
          <w:i w:val="0"/>
          <w:caps w:val="0"/>
          <w:color w:val="000000"/>
          <w:spacing w:val="0"/>
          <w:w w:val="100"/>
          <w:sz w:val="24"/>
          <w:u w:val="single" w:color="000000"/>
        </w:rPr>
        <w:t>根据贵方(项目名称)项目的投标邀请(招标编号),签字代表(姓名、职务)经正式授权并代表投标人（名称、地址）上传</w:t>
      </w:r>
      <w:r>
        <w:rPr>
          <w:rFonts w:hint="eastAsia" w:ascii="仿宋" w:hAnsi="仿宋" w:eastAsia="仿宋" w:cs="仿宋"/>
          <w:b w:val="0"/>
          <w:i w:val="0"/>
          <w:caps w:val="0"/>
          <w:color w:val="000000"/>
          <w:spacing w:val="0"/>
          <w:w w:val="100"/>
          <w:sz w:val="24"/>
          <w:u w:val="single" w:color="000000"/>
          <w:lang w:eastAsia="zh-CN"/>
        </w:rPr>
        <w:t>响应文件</w:t>
      </w:r>
      <w:r>
        <w:rPr>
          <w:rFonts w:hint="eastAsia" w:ascii="仿宋" w:hAnsi="仿宋" w:eastAsia="仿宋" w:cs="仿宋"/>
          <w:b w:val="0"/>
          <w:i w:val="0"/>
          <w:caps w:val="0"/>
          <w:color w:val="000000"/>
          <w:spacing w:val="0"/>
          <w:w w:val="100"/>
          <w:sz w:val="24"/>
          <w:u w:val="single" w:color="000000"/>
        </w:rPr>
        <w:t>，并以         形式出具的金额为人民币　　　　元的</w:t>
      </w:r>
      <w:r>
        <w:rPr>
          <w:rFonts w:hint="eastAsia" w:ascii="仿宋" w:hAnsi="仿宋" w:eastAsia="仿宋" w:cs="仿宋"/>
          <w:b w:val="0"/>
          <w:i w:val="0"/>
          <w:caps w:val="0"/>
          <w:color w:val="000000"/>
          <w:spacing w:val="0"/>
          <w:w w:val="100"/>
          <w:sz w:val="24"/>
          <w:u w:val="single" w:color="000000"/>
          <w:lang w:eastAsia="zh-CN"/>
        </w:rPr>
        <w:t>投标保证金</w:t>
      </w:r>
      <w:r>
        <w:rPr>
          <w:rFonts w:hint="eastAsia" w:ascii="仿宋" w:hAnsi="仿宋" w:eastAsia="仿宋" w:cs="仿宋"/>
          <w:b w:val="0"/>
          <w:i w:val="0"/>
          <w:caps w:val="0"/>
          <w:color w:val="000000"/>
          <w:spacing w:val="0"/>
          <w:w w:val="100"/>
          <w:sz w:val="24"/>
          <w:u w:val="single" w:color="000000"/>
        </w:rPr>
        <w:t>。</w:t>
      </w:r>
    </w:p>
    <w:p w14:paraId="28B9CDB7">
      <w:pPr>
        <w:pStyle w:val="20"/>
        <w:keepNext w:val="0"/>
        <w:keepLines w:val="0"/>
        <w:pageBreakBefore w:val="0"/>
        <w:widowControl w:val="0"/>
        <w:tabs>
          <w:tab w:val="left" w:pos="5580"/>
        </w:tabs>
        <w:kinsoku/>
        <w:wordWrap/>
        <w:overflowPunct/>
        <w:topLinePunct w:val="0"/>
        <w:autoSpaceDE/>
        <w:autoSpaceDN/>
        <w:bidi w:val="0"/>
        <w:adjustRightInd/>
        <w:snapToGrid w:val="0"/>
        <w:spacing w:before="0" w:beforeAutospacing="0" w:after="0" w:afterAutospacing="0" w:line="360" w:lineRule="exact"/>
        <w:ind w:firstLine="480" w:firstLineChars="200"/>
        <w:jc w:val="both"/>
        <w:textAlignment w:val="baseline"/>
        <w:rPr>
          <w:rFonts w:hint="eastAsia" w:ascii="仿宋" w:hAnsi="仿宋" w:eastAsia="仿宋" w:cs="仿宋"/>
          <w:b w:val="0"/>
          <w:i w:val="0"/>
          <w:caps w:val="0"/>
          <w:color w:val="000000"/>
          <w:spacing w:val="0"/>
          <w:w w:val="100"/>
          <w:sz w:val="24"/>
        </w:rPr>
      </w:pPr>
      <w:r>
        <w:rPr>
          <w:rFonts w:hint="eastAsia" w:ascii="仿宋" w:hAnsi="仿宋" w:eastAsia="仿宋" w:cs="仿宋"/>
          <w:b w:val="0"/>
          <w:i w:val="0"/>
          <w:caps w:val="0"/>
          <w:color w:val="000000"/>
          <w:spacing w:val="0"/>
          <w:w w:val="100"/>
          <w:sz w:val="24"/>
        </w:rPr>
        <w:t>据此，签字代表宣布同意如下：</w:t>
      </w:r>
    </w:p>
    <w:p w14:paraId="385F8AC5">
      <w:pPr>
        <w:pStyle w:val="20"/>
        <w:keepNext w:val="0"/>
        <w:keepLines w:val="0"/>
        <w:pageBreakBefore w:val="0"/>
        <w:widowControl w:val="0"/>
        <w:tabs>
          <w:tab w:val="left" w:pos="5580"/>
        </w:tabs>
        <w:kinsoku/>
        <w:wordWrap/>
        <w:overflowPunct/>
        <w:topLinePunct w:val="0"/>
        <w:autoSpaceDE/>
        <w:autoSpaceDN/>
        <w:bidi w:val="0"/>
        <w:adjustRightInd/>
        <w:snapToGrid w:val="0"/>
        <w:spacing w:before="0" w:beforeAutospacing="0" w:after="0" w:afterAutospacing="0" w:line="360" w:lineRule="exact"/>
        <w:ind w:firstLine="480" w:firstLineChars="200"/>
        <w:jc w:val="both"/>
        <w:textAlignment w:val="baseline"/>
        <w:rPr>
          <w:rFonts w:ascii="仿宋" w:hAnsi="仿宋" w:eastAsia="仿宋" w:cs="仿宋"/>
          <w:b w:val="0"/>
          <w:i w:val="0"/>
          <w:caps w:val="0"/>
          <w:color w:val="000000"/>
          <w:spacing w:val="0"/>
          <w:w w:val="100"/>
          <w:sz w:val="24"/>
          <w:u w:val="single" w:color="000000"/>
        </w:rPr>
      </w:pPr>
      <w:r>
        <w:rPr>
          <w:rFonts w:hint="eastAsia" w:ascii="仿宋" w:hAnsi="仿宋" w:eastAsia="仿宋" w:cs="仿宋"/>
          <w:b w:val="0"/>
          <w:i w:val="0"/>
          <w:caps w:val="0"/>
          <w:color w:val="000000"/>
          <w:spacing w:val="0"/>
          <w:w w:val="100"/>
          <w:sz w:val="24"/>
        </w:rPr>
        <w:t>（1）附投标价格表中规定的应提供货物的投标总价详见开标一览表。</w:t>
      </w:r>
    </w:p>
    <w:p w14:paraId="63BB40DF">
      <w:pPr>
        <w:pStyle w:val="20"/>
        <w:keepNext w:val="0"/>
        <w:keepLines w:val="0"/>
        <w:pageBreakBefore w:val="0"/>
        <w:widowControl w:val="0"/>
        <w:tabs>
          <w:tab w:val="left" w:pos="5580"/>
        </w:tabs>
        <w:kinsoku/>
        <w:wordWrap/>
        <w:overflowPunct/>
        <w:topLinePunct w:val="0"/>
        <w:autoSpaceDE/>
        <w:autoSpaceDN/>
        <w:bidi w:val="0"/>
        <w:adjustRightInd/>
        <w:snapToGrid w:val="0"/>
        <w:spacing w:before="0" w:beforeAutospacing="0" w:after="0" w:afterAutospacing="0" w:line="360" w:lineRule="exact"/>
        <w:ind w:firstLine="480" w:firstLineChars="200"/>
        <w:jc w:val="both"/>
        <w:textAlignment w:val="baseline"/>
        <w:rPr>
          <w:rFonts w:ascii="仿宋" w:hAnsi="仿宋" w:eastAsia="仿宋" w:cs="仿宋"/>
          <w:b w:val="0"/>
          <w:i w:val="0"/>
          <w:caps w:val="0"/>
          <w:color w:val="000000"/>
          <w:spacing w:val="0"/>
          <w:w w:val="100"/>
          <w:sz w:val="24"/>
        </w:rPr>
      </w:pPr>
      <w:r>
        <w:rPr>
          <w:rFonts w:hint="eastAsia" w:ascii="仿宋" w:hAnsi="仿宋" w:eastAsia="仿宋" w:cs="仿宋"/>
          <w:b w:val="0"/>
          <w:i w:val="0"/>
          <w:caps w:val="0"/>
          <w:color w:val="000000"/>
          <w:spacing w:val="0"/>
          <w:w w:val="100"/>
          <w:sz w:val="24"/>
        </w:rPr>
        <w:t>（2）本投标有效期为自投标截止之日起</w:t>
      </w:r>
      <w:r>
        <w:rPr>
          <w:rFonts w:hint="eastAsia" w:ascii="仿宋" w:hAnsi="仿宋" w:eastAsia="仿宋" w:cs="仿宋"/>
          <w:b w:val="0"/>
          <w:i w:val="0"/>
          <w:caps w:val="0"/>
          <w:color w:val="000000"/>
          <w:spacing w:val="0"/>
          <w:w w:val="100"/>
          <w:sz w:val="24"/>
          <w:u w:val="single" w:color="000000"/>
        </w:rPr>
        <w:t xml:space="preserve"> </w:t>
      </w:r>
      <w:r>
        <w:rPr>
          <w:rFonts w:hint="eastAsia" w:ascii="仿宋" w:hAnsi="仿宋" w:eastAsia="仿宋" w:cs="仿宋"/>
          <w:b w:val="0"/>
          <w:i w:val="0"/>
          <w:caps w:val="0"/>
          <w:color w:val="000000"/>
          <w:spacing w:val="0"/>
          <w:w w:val="100"/>
          <w:sz w:val="24"/>
          <w:u w:val="single" w:color="000000"/>
          <w:lang w:val="en-US" w:eastAsia="zh-CN"/>
        </w:rPr>
        <w:t xml:space="preserve">    </w:t>
      </w:r>
      <w:r>
        <w:rPr>
          <w:rFonts w:hint="eastAsia" w:ascii="仿宋" w:hAnsi="仿宋" w:eastAsia="仿宋" w:cs="仿宋"/>
          <w:b w:val="0"/>
          <w:i w:val="0"/>
          <w:caps w:val="0"/>
          <w:color w:val="000000"/>
          <w:spacing w:val="0"/>
          <w:w w:val="100"/>
          <w:sz w:val="24"/>
        </w:rPr>
        <w:t>个日历日。</w:t>
      </w:r>
    </w:p>
    <w:p w14:paraId="43C79D69">
      <w:pPr>
        <w:pStyle w:val="20"/>
        <w:keepNext w:val="0"/>
        <w:keepLines w:val="0"/>
        <w:pageBreakBefore w:val="0"/>
        <w:widowControl w:val="0"/>
        <w:tabs>
          <w:tab w:val="left" w:pos="5580"/>
        </w:tabs>
        <w:kinsoku/>
        <w:wordWrap/>
        <w:overflowPunct/>
        <w:topLinePunct w:val="0"/>
        <w:autoSpaceDE/>
        <w:autoSpaceDN/>
        <w:bidi w:val="0"/>
        <w:adjustRightInd/>
        <w:snapToGrid w:val="0"/>
        <w:spacing w:before="0" w:beforeAutospacing="0" w:after="0" w:afterAutospacing="0" w:line="360" w:lineRule="exact"/>
        <w:ind w:firstLine="480" w:firstLineChars="200"/>
        <w:jc w:val="both"/>
        <w:textAlignment w:val="baseline"/>
        <w:rPr>
          <w:rFonts w:ascii="仿宋" w:hAnsi="仿宋" w:eastAsia="仿宋" w:cs="仿宋"/>
          <w:b w:val="0"/>
          <w:i w:val="0"/>
          <w:caps w:val="0"/>
          <w:color w:val="000000"/>
          <w:spacing w:val="0"/>
          <w:w w:val="100"/>
          <w:sz w:val="24"/>
        </w:rPr>
      </w:pPr>
      <w:r>
        <w:rPr>
          <w:rFonts w:hint="eastAsia" w:ascii="仿宋" w:hAnsi="仿宋" w:eastAsia="仿宋" w:cs="仿宋"/>
          <w:b w:val="0"/>
          <w:i w:val="0"/>
          <w:caps w:val="0"/>
          <w:color w:val="000000"/>
          <w:spacing w:val="0"/>
          <w:w w:val="100"/>
          <w:sz w:val="24"/>
        </w:rPr>
        <w:t>（3）联合体中的大中型企业和其他自然人、法人或者非法人组织，与联合体中的小型、微型企业之间</w:t>
      </w:r>
      <w:r>
        <w:rPr>
          <w:rFonts w:hint="eastAsia" w:ascii="仿宋" w:hAnsi="仿宋" w:eastAsia="仿宋" w:cs="仿宋"/>
          <w:b w:val="0"/>
          <w:i w:val="0"/>
          <w:caps w:val="0"/>
          <w:color w:val="000000"/>
          <w:spacing w:val="0"/>
          <w:w w:val="100"/>
          <w:sz w:val="24"/>
          <w:u w:val="single" w:color="000000"/>
        </w:rPr>
        <w:t xml:space="preserve">     （</w:t>
      </w:r>
      <w:r>
        <w:rPr>
          <w:rFonts w:hint="eastAsia" w:ascii="仿宋" w:hAnsi="仿宋" w:eastAsia="仿宋" w:cs="仿宋"/>
          <w:b w:val="0"/>
          <w:i w:val="0"/>
          <w:caps w:val="0"/>
          <w:color w:val="000000"/>
          <w:spacing w:val="0"/>
          <w:w w:val="100"/>
          <w:sz w:val="24"/>
        </w:rPr>
        <w:t>存在、不存在）投资关系（如果是联合体的话）。</w:t>
      </w:r>
    </w:p>
    <w:p w14:paraId="02CD3A4C">
      <w:pPr>
        <w:pStyle w:val="20"/>
        <w:keepNext w:val="0"/>
        <w:keepLines w:val="0"/>
        <w:pageBreakBefore w:val="0"/>
        <w:widowControl w:val="0"/>
        <w:tabs>
          <w:tab w:val="left" w:pos="5580"/>
        </w:tabs>
        <w:kinsoku/>
        <w:wordWrap/>
        <w:overflowPunct/>
        <w:topLinePunct w:val="0"/>
        <w:autoSpaceDE/>
        <w:autoSpaceDN/>
        <w:bidi w:val="0"/>
        <w:adjustRightInd/>
        <w:snapToGrid w:val="0"/>
        <w:spacing w:before="0" w:beforeAutospacing="0" w:after="0" w:afterAutospacing="0" w:line="360" w:lineRule="exact"/>
        <w:ind w:firstLine="480" w:firstLineChars="200"/>
        <w:jc w:val="both"/>
        <w:textAlignment w:val="baseline"/>
        <w:rPr>
          <w:rFonts w:ascii="仿宋" w:hAnsi="仿宋" w:eastAsia="仿宋" w:cs="仿宋"/>
          <w:b w:val="0"/>
          <w:i w:val="0"/>
          <w:caps w:val="0"/>
          <w:color w:val="000000"/>
          <w:spacing w:val="0"/>
          <w:w w:val="100"/>
          <w:sz w:val="24"/>
        </w:rPr>
      </w:pPr>
      <w:r>
        <w:rPr>
          <w:rFonts w:hint="eastAsia" w:ascii="仿宋" w:hAnsi="仿宋" w:eastAsia="仿宋" w:cs="仿宋"/>
          <w:b w:val="0"/>
          <w:i w:val="0"/>
          <w:caps w:val="0"/>
          <w:color w:val="000000"/>
          <w:spacing w:val="0"/>
          <w:w w:val="100"/>
          <w:sz w:val="24"/>
        </w:rPr>
        <w:t>（4）已详细审查全部招标文件，包括所有补充通知（如果有的话），完全理解并同意放弃对这方面有不明、误解和质疑的权力。</w:t>
      </w:r>
    </w:p>
    <w:p w14:paraId="27684B80">
      <w:pPr>
        <w:pStyle w:val="20"/>
        <w:keepNext w:val="0"/>
        <w:keepLines w:val="0"/>
        <w:pageBreakBefore w:val="0"/>
        <w:widowControl w:val="0"/>
        <w:tabs>
          <w:tab w:val="left" w:pos="5580"/>
        </w:tabs>
        <w:kinsoku/>
        <w:wordWrap/>
        <w:overflowPunct/>
        <w:topLinePunct w:val="0"/>
        <w:autoSpaceDE/>
        <w:autoSpaceDN/>
        <w:bidi w:val="0"/>
        <w:adjustRightInd/>
        <w:snapToGrid w:val="0"/>
        <w:spacing w:before="0" w:beforeAutospacing="0" w:after="0" w:afterAutospacing="0" w:line="360" w:lineRule="exact"/>
        <w:ind w:left="1080" w:leftChars="257" w:hanging="540"/>
        <w:jc w:val="both"/>
        <w:textAlignment w:val="baseline"/>
        <w:rPr>
          <w:rFonts w:hint="eastAsia" w:ascii="仿宋" w:hAnsi="仿宋" w:eastAsia="仿宋" w:cs="仿宋"/>
          <w:b w:val="0"/>
          <w:i w:val="0"/>
          <w:caps w:val="0"/>
          <w:color w:val="000000"/>
          <w:spacing w:val="0"/>
          <w:w w:val="100"/>
          <w:sz w:val="24"/>
        </w:rPr>
      </w:pPr>
      <w:r>
        <w:rPr>
          <w:rFonts w:hint="eastAsia" w:ascii="仿宋" w:hAnsi="仿宋" w:eastAsia="仿宋" w:cs="仿宋"/>
          <w:b w:val="0"/>
          <w:i w:val="0"/>
          <w:caps w:val="0"/>
          <w:color w:val="000000"/>
          <w:spacing w:val="0"/>
          <w:w w:val="100"/>
          <w:sz w:val="24"/>
        </w:rPr>
        <w:t>（5）在规定的开标时间后，遵守招标文件中有关保证金的规定。</w:t>
      </w:r>
    </w:p>
    <w:p w14:paraId="436FF9A3">
      <w:pPr>
        <w:pStyle w:val="20"/>
        <w:keepNext w:val="0"/>
        <w:keepLines w:val="0"/>
        <w:pageBreakBefore w:val="0"/>
        <w:widowControl w:val="0"/>
        <w:tabs>
          <w:tab w:val="left" w:pos="5580"/>
        </w:tabs>
        <w:kinsoku/>
        <w:wordWrap/>
        <w:overflowPunct/>
        <w:topLinePunct w:val="0"/>
        <w:autoSpaceDE/>
        <w:autoSpaceDN/>
        <w:bidi w:val="0"/>
        <w:adjustRightInd/>
        <w:snapToGrid w:val="0"/>
        <w:spacing w:before="0" w:beforeAutospacing="0" w:after="0" w:afterAutospacing="0" w:line="360" w:lineRule="exact"/>
        <w:ind w:firstLine="480" w:firstLineChars="200"/>
        <w:jc w:val="both"/>
        <w:textAlignment w:val="baseline"/>
        <w:rPr>
          <w:rFonts w:ascii="仿宋" w:hAnsi="仿宋" w:eastAsia="仿宋" w:cs="仿宋"/>
          <w:b w:val="0"/>
          <w:i w:val="0"/>
          <w:caps w:val="0"/>
          <w:color w:val="000000"/>
          <w:spacing w:val="0"/>
          <w:w w:val="100"/>
          <w:sz w:val="24"/>
        </w:rPr>
      </w:pPr>
      <w:r>
        <w:rPr>
          <w:rFonts w:hint="eastAsia" w:ascii="仿宋" w:hAnsi="仿宋" w:eastAsia="仿宋" w:cs="仿宋"/>
          <w:b w:val="0"/>
          <w:i w:val="0"/>
          <w:caps w:val="0"/>
          <w:color w:val="000000"/>
          <w:spacing w:val="0"/>
          <w:w w:val="100"/>
          <w:sz w:val="24"/>
        </w:rPr>
        <w:t>（6）我方不是为本项目提供整体设计、规范编制或者项目管理、监理、检测等服务的供应商，我方不是采购代理机构的附属机构。</w:t>
      </w:r>
    </w:p>
    <w:p w14:paraId="57BBF451">
      <w:pPr>
        <w:pStyle w:val="20"/>
        <w:keepNext w:val="0"/>
        <w:keepLines w:val="0"/>
        <w:pageBreakBefore w:val="0"/>
        <w:widowControl w:val="0"/>
        <w:tabs>
          <w:tab w:val="left" w:pos="5580"/>
        </w:tabs>
        <w:kinsoku/>
        <w:wordWrap/>
        <w:overflowPunct/>
        <w:topLinePunct w:val="0"/>
        <w:autoSpaceDE/>
        <w:autoSpaceDN/>
        <w:bidi w:val="0"/>
        <w:adjustRightInd/>
        <w:snapToGrid w:val="0"/>
        <w:spacing w:before="0" w:beforeAutospacing="0" w:after="0" w:afterAutospacing="0" w:line="360" w:lineRule="exact"/>
        <w:ind w:firstLine="480" w:firstLineChars="200"/>
        <w:jc w:val="both"/>
        <w:textAlignment w:val="baseline"/>
        <w:rPr>
          <w:rFonts w:ascii="仿宋" w:hAnsi="仿宋" w:eastAsia="仿宋" w:cs="仿宋"/>
          <w:b w:val="0"/>
          <w:i w:val="0"/>
          <w:caps w:val="0"/>
          <w:color w:val="000000"/>
          <w:spacing w:val="0"/>
          <w:w w:val="100"/>
          <w:sz w:val="24"/>
        </w:rPr>
      </w:pPr>
      <w:r>
        <w:rPr>
          <w:rFonts w:hint="eastAsia" w:ascii="仿宋" w:hAnsi="仿宋" w:eastAsia="仿宋" w:cs="仿宋"/>
          <w:b w:val="0"/>
          <w:i w:val="0"/>
          <w:caps w:val="0"/>
          <w:color w:val="000000"/>
          <w:spacing w:val="0"/>
          <w:w w:val="100"/>
          <w:sz w:val="24"/>
        </w:rPr>
        <w:t>（7）在领取中标通知书的同时按招标文件规定的形式，向贵方一次性支付中标服务费。</w:t>
      </w:r>
    </w:p>
    <w:p w14:paraId="2EEC4BFA">
      <w:pPr>
        <w:pStyle w:val="20"/>
        <w:keepNext w:val="0"/>
        <w:keepLines w:val="0"/>
        <w:pageBreakBefore w:val="0"/>
        <w:widowControl w:val="0"/>
        <w:tabs>
          <w:tab w:val="left" w:pos="5580"/>
        </w:tabs>
        <w:kinsoku/>
        <w:wordWrap/>
        <w:overflowPunct/>
        <w:topLinePunct w:val="0"/>
        <w:autoSpaceDE/>
        <w:autoSpaceDN/>
        <w:bidi w:val="0"/>
        <w:adjustRightInd/>
        <w:snapToGrid w:val="0"/>
        <w:spacing w:before="0" w:beforeAutospacing="0" w:after="0" w:afterAutospacing="0" w:line="360" w:lineRule="exact"/>
        <w:ind w:firstLine="480" w:firstLineChars="200"/>
        <w:jc w:val="both"/>
        <w:textAlignment w:val="baseline"/>
        <w:rPr>
          <w:rFonts w:ascii="仿宋" w:hAnsi="仿宋" w:eastAsia="仿宋" w:cs="仿宋"/>
          <w:b w:val="0"/>
          <w:i w:val="0"/>
          <w:caps w:val="0"/>
          <w:color w:val="000000"/>
          <w:spacing w:val="0"/>
          <w:w w:val="100"/>
          <w:sz w:val="24"/>
        </w:rPr>
      </w:pPr>
      <w:r>
        <w:rPr>
          <w:rFonts w:hint="eastAsia" w:ascii="仿宋" w:hAnsi="仿宋" w:eastAsia="仿宋" w:cs="仿宋"/>
          <w:b w:val="0"/>
          <w:i w:val="0"/>
          <w:caps w:val="0"/>
          <w:color w:val="000000"/>
          <w:spacing w:val="0"/>
          <w:w w:val="100"/>
          <w:sz w:val="24"/>
        </w:rPr>
        <w:t>（8）按照贵方可能要求，提供与其投标有关的一切数据或资料，完全理解贵方不一定接受最低价的投标或收到的任何投标。</w:t>
      </w:r>
    </w:p>
    <w:p w14:paraId="028AB829">
      <w:pPr>
        <w:pStyle w:val="20"/>
        <w:keepNext w:val="0"/>
        <w:keepLines w:val="0"/>
        <w:pageBreakBefore w:val="0"/>
        <w:widowControl w:val="0"/>
        <w:tabs>
          <w:tab w:val="left" w:pos="5580"/>
        </w:tabs>
        <w:kinsoku/>
        <w:wordWrap/>
        <w:overflowPunct/>
        <w:topLinePunct w:val="0"/>
        <w:autoSpaceDE/>
        <w:autoSpaceDN/>
        <w:bidi w:val="0"/>
        <w:adjustRightInd/>
        <w:snapToGrid w:val="0"/>
        <w:spacing w:before="0" w:beforeAutospacing="0" w:after="0" w:afterAutospacing="0" w:line="360" w:lineRule="exact"/>
        <w:ind w:firstLine="480" w:firstLineChars="200"/>
        <w:jc w:val="both"/>
        <w:textAlignment w:val="baseline"/>
        <w:rPr>
          <w:rFonts w:ascii="仿宋" w:hAnsi="仿宋" w:eastAsia="仿宋" w:cs="仿宋"/>
          <w:b w:val="0"/>
          <w:i w:val="0"/>
          <w:caps w:val="0"/>
          <w:color w:val="000000"/>
          <w:spacing w:val="0"/>
          <w:w w:val="100"/>
          <w:sz w:val="24"/>
        </w:rPr>
      </w:pPr>
      <w:r>
        <w:rPr>
          <w:rFonts w:hint="eastAsia" w:ascii="仿宋" w:hAnsi="仿宋" w:eastAsia="仿宋" w:cs="仿宋"/>
          <w:b w:val="0"/>
          <w:i w:val="0"/>
          <w:caps w:val="0"/>
          <w:color w:val="000000"/>
          <w:spacing w:val="0"/>
          <w:w w:val="100"/>
          <w:sz w:val="24"/>
        </w:rPr>
        <w:t>（9）在中标公示期过后7个工作日内领取中标通知书，不领取中标通知书视为自动放弃中标资格，采购人可依法进行相应处罚。</w:t>
      </w:r>
    </w:p>
    <w:p w14:paraId="521B3A51">
      <w:pPr>
        <w:pStyle w:val="20"/>
        <w:keepNext w:val="0"/>
        <w:keepLines w:val="0"/>
        <w:pageBreakBefore w:val="0"/>
        <w:widowControl w:val="0"/>
        <w:tabs>
          <w:tab w:val="left" w:pos="5580"/>
        </w:tabs>
        <w:kinsoku/>
        <w:wordWrap/>
        <w:overflowPunct/>
        <w:topLinePunct w:val="0"/>
        <w:autoSpaceDE/>
        <w:autoSpaceDN/>
        <w:bidi w:val="0"/>
        <w:adjustRightInd/>
        <w:snapToGrid w:val="0"/>
        <w:spacing w:before="0" w:beforeAutospacing="0" w:after="0" w:afterAutospacing="0" w:line="360" w:lineRule="exact"/>
        <w:ind w:firstLine="480" w:firstLineChars="200"/>
        <w:jc w:val="both"/>
        <w:textAlignment w:val="baseline"/>
        <w:rPr>
          <w:rFonts w:ascii="仿宋" w:hAnsi="仿宋" w:eastAsia="仿宋" w:cs="仿宋"/>
          <w:b w:val="0"/>
          <w:i w:val="0"/>
          <w:caps w:val="0"/>
          <w:color w:val="000000"/>
          <w:spacing w:val="0"/>
          <w:w w:val="100"/>
          <w:sz w:val="24"/>
        </w:rPr>
      </w:pPr>
      <w:r>
        <w:rPr>
          <w:rFonts w:hint="eastAsia" w:ascii="仿宋" w:hAnsi="仿宋" w:eastAsia="仿宋" w:cs="仿宋"/>
          <w:b w:val="0"/>
          <w:i w:val="0"/>
          <w:caps w:val="0"/>
          <w:color w:val="000000"/>
          <w:spacing w:val="0"/>
          <w:w w:val="100"/>
          <w:sz w:val="24"/>
        </w:rPr>
        <w:t>（10）按照招标文件的规定履行合同责任和义务。</w:t>
      </w:r>
    </w:p>
    <w:p w14:paraId="6B02639F">
      <w:pPr>
        <w:pStyle w:val="20"/>
        <w:keepNext w:val="0"/>
        <w:keepLines w:val="0"/>
        <w:pageBreakBefore w:val="0"/>
        <w:widowControl w:val="0"/>
        <w:tabs>
          <w:tab w:val="left" w:pos="5580"/>
        </w:tabs>
        <w:kinsoku/>
        <w:wordWrap/>
        <w:overflowPunct/>
        <w:topLinePunct w:val="0"/>
        <w:autoSpaceDE/>
        <w:autoSpaceDN/>
        <w:bidi w:val="0"/>
        <w:adjustRightInd/>
        <w:snapToGrid w:val="0"/>
        <w:spacing w:before="0" w:beforeAutospacing="0" w:after="0" w:afterAutospacing="0" w:line="320" w:lineRule="exact"/>
        <w:ind w:left="359" w:leftChars="68" w:hangingChars="90"/>
        <w:jc w:val="both"/>
        <w:textAlignment w:val="baseline"/>
        <w:rPr>
          <w:rFonts w:hint="eastAsia" w:ascii="仿宋" w:hAnsi="仿宋" w:eastAsia="仿宋" w:cs="仿宋"/>
          <w:b w:val="0"/>
          <w:i w:val="0"/>
          <w:caps w:val="0"/>
          <w:color w:val="000000"/>
          <w:spacing w:val="0"/>
          <w:w w:val="100"/>
          <w:sz w:val="24"/>
        </w:rPr>
      </w:pPr>
      <w:r>
        <w:rPr>
          <w:rFonts w:hint="eastAsia" w:ascii="仿宋" w:hAnsi="仿宋" w:eastAsia="仿宋" w:cs="仿宋"/>
          <w:b w:val="0"/>
          <w:i w:val="0"/>
          <w:caps w:val="0"/>
          <w:color w:val="000000"/>
          <w:spacing w:val="0"/>
          <w:w w:val="100"/>
          <w:sz w:val="24"/>
        </w:rPr>
        <w:t xml:space="preserve"> </w:t>
      </w:r>
      <w:r>
        <w:rPr>
          <w:rFonts w:hint="eastAsia" w:ascii="仿宋" w:hAnsi="仿宋" w:eastAsia="仿宋" w:cs="仿宋"/>
          <w:b w:val="0"/>
          <w:i w:val="0"/>
          <w:caps w:val="0"/>
          <w:color w:val="000000"/>
          <w:spacing w:val="0"/>
          <w:w w:val="100"/>
          <w:sz w:val="24"/>
          <w:lang w:val="en-US" w:eastAsia="zh-CN"/>
        </w:rPr>
        <w:t xml:space="preserve">  </w:t>
      </w:r>
      <w:r>
        <w:rPr>
          <w:rFonts w:hint="eastAsia" w:ascii="仿宋" w:hAnsi="仿宋" w:eastAsia="仿宋" w:cs="仿宋"/>
          <w:b w:val="0"/>
          <w:i w:val="0"/>
          <w:caps w:val="0"/>
          <w:color w:val="000000"/>
          <w:spacing w:val="0"/>
          <w:w w:val="100"/>
          <w:sz w:val="24"/>
        </w:rPr>
        <w:t xml:space="preserve"> 与本投标有关的一切正式往来信函请寄：</w:t>
      </w:r>
    </w:p>
    <w:p w14:paraId="763ADCA8">
      <w:pPr>
        <w:pStyle w:val="20"/>
        <w:keepNext w:val="0"/>
        <w:keepLines w:val="0"/>
        <w:pageBreakBefore w:val="0"/>
        <w:widowControl w:val="0"/>
        <w:tabs>
          <w:tab w:val="left" w:pos="5580"/>
        </w:tabs>
        <w:kinsoku/>
        <w:wordWrap/>
        <w:overflowPunct/>
        <w:topLinePunct w:val="0"/>
        <w:autoSpaceDE/>
        <w:autoSpaceDN/>
        <w:bidi w:val="0"/>
        <w:adjustRightInd/>
        <w:snapToGrid w:val="0"/>
        <w:spacing w:before="0" w:beforeAutospacing="0" w:after="0" w:afterAutospacing="0" w:line="320" w:lineRule="exact"/>
        <w:ind w:left="1080" w:leftChars="257" w:hanging="540"/>
        <w:jc w:val="both"/>
        <w:textAlignment w:val="baseline"/>
        <w:rPr>
          <w:rFonts w:ascii="仿宋" w:hAnsi="仿宋" w:eastAsia="仿宋" w:cs="仿宋"/>
          <w:b w:val="0"/>
          <w:i w:val="0"/>
          <w:caps w:val="0"/>
          <w:color w:val="000000"/>
          <w:spacing w:val="0"/>
          <w:w w:val="100"/>
          <w:sz w:val="24"/>
        </w:rPr>
      </w:pPr>
      <w:r>
        <w:rPr>
          <w:rFonts w:hint="eastAsia" w:ascii="仿宋" w:hAnsi="仿宋" w:eastAsia="仿宋" w:cs="仿宋"/>
          <w:b w:val="0"/>
          <w:i w:val="0"/>
          <w:caps w:val="0"/>
          <w:color w:val="000000"/>
          <w:spacing w:val="0"/>
          <w:w w:val="100"/>
          <w:sz w:val="24"/>
        </w:rPr>
        <w:t>地址</w:t>
      </w:r>
      <w:r>
        <w:rPr>
          <w:rFonts w:hint="eastAsia" w:ascii="仿宋" w:hAnsi="仿宋" w:eastAsia="仿宋" w:cs="仿宋"/>
          <w:b w:val="0"/>
          <w:i w:val="0"/>
          <w:caps w:val="0"/>
          <w:color w:val="000000"/>
          <w:spacing w:val="0"/>
          <w:w w:val="100"/>
          <w:sz w:val="24"/>
          <w:u w:val="single" w:color="000000"/>
        </w:rPr>
        <w:t xml:space="preserve">                         </w:t>
      </w:r>
      <w:r>
        <w:rPr>
          <w:rFonts w:hint="eastAsia" w:ascii="仿宋" w:hAnsi="仿宋" w:eastAsia="仿宋" w:cs="仿宋"/>
          <w:b w:val="0"/>
          <w:i w:val="0"/>
          <w:caps w:val="0"/>
          <w:color w:val="000000"/>
          <w:spacing w:val="0"/>
          <w:w w:val="100"/>
          <w:sz w:val="24"/>
        </w:rPr>
        <w:t xml:space="preserve">     传真</w:t>
      </w:r>
      <w:r>
        <w:rPr>
          <w:rFonts w:hint="eastAsia" w:ascii="仿宋" w:hAnsi="仿宋" w:eastAsia="仿宋" w:cs="仿宋"/>
          <w:b w:val="0"/>
          <w:i w:val="0"/>
          <w:caps w:val="0"/>
          <w:color w:val="000000"/>
          <w:spacing w:val="0"/>
          <w:w w:val="100"/>
          <w:sz w:val="24"/>
          <w:u w:val="single" w:color="000000"/>
        </w:rPr>
        <w:t xml:space="preserve">                             </w:t>
      </w:r>
    </w:p>
    <w:p w14:paraId="28D33A9A">
      <w:pPr>
        <w:pStyle w:val="20"/>
        <w:keepNext w:val="0"/>
        <w:keepLines w:val="0"/>
        <w:pageBreakBefore w:val="0"/>
        <w:widowControl w:val="0"/>
        <w:tabs>
          <w:tab w:val="left" w:pos="5580"/>
        </w:tabs>
        <w:kinsoku/>
        <w:wordWrap/>
        <w:overflowPunct/>
        <w:topLinePunct w:val="0"/>
        <w:autoSpaceDE/>
        <w:autoSpaceDN/>
        <w:bidi w:val="0"/>
        <w:adjustRightInd/>
        <w:snapToGrid w:val="0"/>
        <w:spacing w:before="0" w:beforeAutospacing="0" w:after="0" w:afterAutospacing="0" w:line="320" w:lineRule="exact"/>
        <w:ind w:left="1080" w:leftChars="257" w:hanging="540"/>
        <w:jc w:val="both"/>
        <w:textAlignment w:val="baseline"/>
        <w:rPr>
          <w:rFonts w:hint="eastAsia" w:ascii="仿宋" w:hAnsi="仿宋" w:eastAsia="仿宋" w:cs="仿宋"/>
          <w:b w:val="0"/>
          <w:i w:val="0"/>
          <w:caps w:val="0"/>
          <w:color w:val="000000"/>
          <w:spacing w:val="0"/>
          <w:w w:val="100"/>
          <w:sz w:val="24"/>
        </w:rPr>
      </w:pPr>
    </w:p>
    <w:p w14:paraId="2F0081AE">
      <w:pPr>
        <w:pStyle w:val="20"/>
        <w:keepNext w:val="0"/>
        <w:keepLines w:val="0"/>
        <w:pageBreakBefore w:val="0"/>
        <w:widowControl w:val="0"/>
        <w:tabs>
          <w:tab w:val="left" w:pos="5580"/>
        </w:tabs>
        <w:kinsoku/>
        <w:wordWrap/>
        <w:overflowPunct/>
        <w:topLinePunct w:val="0"/>
        <w:autoSpaceDE/>
        <w:autoSpaceDN/>
        <w:bidi w:val="0"/>
        <w:adjustRightInd/>
        <w:snapToGrid w:val="0"/>
        <w:spacing w:before="0" w:beforeAutospacing="0" w:after="0" w:afterAutospacing="0" w:line="320" w:lineRule="exact"/>
        <w:ind w:left="1080" w:leftChars="257" w:hanging="540"/>
        <w:jc w:val="both"/>
        <w:textAlignment w:val="baseline"/>
        <w:rPr>
          <w:rFonts w:ascii="仿宋" w:hAnsi="仿宋" w:eastAsia="仿宋" w:cs="仿宋"/>
          <w:b/>
          <w:i w:val="0"/>
          <w:caps w:val="0"/>
          <w:color w:val="000000"/>
          <w:spacing w:val="0"/>
          <w:w w:val="100"/>
          <w:sz w:val="24"/>
        </w:rPr>
      </w:pPr>
      <w:r>
        <w:rPr>
          <w:rFonts w:hint="eastAsia" w:ascii="仿宋" w:hAnsi="仿宋" w:eastAsia="仿宋" w:cs="仿宋"/>
          <w:b w:val="0"/>
          <w:i w:val="0"/>
          <w:caps w:val="0"/>
          <w:color w:val="000000"/>
          <w:spacing w:val="0"/>
          <w:w w:val="100"/>
          <w:sz w:val="24"/>
        </w:rPr>
        <w:t>电话</w:t>
      </w:r>
      <w:r>
        <w:rPr>
          <w:rFonts w:hint="eastAsia" w:ascii="仿宋" w:hAnsi="仿宋" w:eastAsia="仿宋" w:cs="仿宋"/>
          <w:b w:val="0"/>
          <w:i w:val="0"/>
          <w:caps w:val="0"/>
          <w:color w:val="000000"/>
          <w:spacing w:val="0"/>
          <w:w w:val="100"/>
          <w:sz w:val="24"/>
          <w:u w:val="single" w:color="000000"/>
        </w:rPr>
        <w:t xml:space="preserve">                         </w:t>
      </w:r>
      <w:r>
        <w:rPr>
          <w:rFonts w:hint="eastAsia" w:ascii="仿宋" w:hAnsi="仿宋" w:eastAsia="仿宋" w:cs="仿宋"/>
          <w:b w:val="0"/>
          <w:i w:val="0"/>
          <w:caps w:val="0"/>
          <w:color w:val="000000"/>
          <w:spacing w:val="0"/>
          <w:w w:val="100"/>
          <w:sz w:val="24"/>
        </w:rPr>
        <w:t xml:space="preserve">     电子函件</w:t>
      </w:r>
      <w:r>
        <w:rPr>
          <w:rFonts w:hint="eastAsia" w:ascii="仿宋" w:hAnsi="仿宋" w:eastAsia="仿宋" w:cs="仿宋"/>
          <w:b w:val="0"/>
          <w:i w:val="0"/>
          <w:caps w:val="0"/>
          <w:color w:val="000000"/>
          <w:spacing w:val="0"/>
          <w:w w:val="100"/>
          <w:sz w:val="24"/>
          <w:u w:val="single" w:color="000000"/>
        </w:rPr>
        <w:t xml:space="preserve">                         </w:t>
      </w:r>
    </w:p>
    <w:p w14:paraId="4CA1E740">
      <w:pPr>
        <w:pStyle w:val="20"/>
        <w:keepNext w:val="0"/>
        <w:keepLines w:val="0"/>
        <w:pageBreakBefore w:val="0"/>
        <w:widowControl w:val="0"/>
        <w:tabs>
          <w:tab w:val="left" w:pos="5580"/>
        </w:tabs>
        <w:kinsoku/>
        <w:wordWrap/>
        <w:overflowPunct/>
        <w:topLinePunct w:val="0"/>
        <w:autoSpaceDE/>
        <w:autoSpaceDN/>
        <w:bidi w:val="0"/>
        <w:adjustRightInd/>
        <w:snapToGrid w:val="0"/>
        <w:spacing w:before="0" w:beforeAutospacing="0" w:after="0" w:afterAutospacing="0" w:line="320" w:lineRule="exact"/>
        <w:ind w:left="1080" w:leftChars="257" w:hanging="540"/>
        <w:jc w:val="both"/>
        <w:textAlignment w:val="baseline"/>
        <w:rPr>
          <w:rFonts w:ascii="仿宋" w:hAnsi="仿宋" w:eastAsia="仿宋" w:cs="仿宋"/>
          <w:b w:val="0"/>
          <w:i w:val="0"/>
          <w:caps w:val="0"/>
          <w:color w:val="000000"/>
          <w:spacing w:val="0"/>
          <w:w w:val="100"/>
          <w:sz w:val="24"/>
        </w:rPr>
      </w:pPr>
    </w:p>
    <w:p w14:paraId="0E318BCA">
      <w:pPr>
        <w:pStyle w:val="20"/>
        <w:keepNext w:val="0"/>
        <w:keepLines w:val="0"/>
        <w:pageBreakBefore w:val="0"/>
        <w:widowControl w:val="0"/>
        <w:tabs>
          <w:tab w:val="left" w:pos="5580"/>
        </w:tabs>
        <w:kinsoku/>
        <w:wordWrap/>
        <w:overflowPunct/>
        <w:topLinePunct w:val="0"/>
        <w:autoSpaceDE/>
        <w:autoSpaceDN/>
        <w:bidi w:val="0"/>
        <w:adjustRightInd/>
        <w:snapToGrid w:val="0"/>
        <w:spacing w:before="0" w:beforeAutospacing="0" w:after="0" w:afterAutospacing="0" w:line="320" w:lineRule="exact"/>
        <w:ind w:left="1080" w:leftChars="257" w:hanging="540"/>
        <w:jc w:val="both"/>
        <w:textAlignment w:val="baseline"/>
        <w:rPr>
          <w:rFonts w:hint="eastAsia" w:ascii="仿宋" w:hAnsi="仿宋" w:eastAsia="仿宋" w:cs="仿宋"/>
          <w:b w:val="0"/>
          <w:i w:val="0"/>
          <w:caps w:val="0"/>
          <w:color w:val="000000"/>
          <w:spacing w:val="0"/>
          <w:w w:val="100"/>
          <w:sz w:val="24"/>
        </w:rPr>
      </w:pPr>
      <w:r>
        <w:rPr>
          <w:rFonts w:hint="eastAsia" w:ascii="仿宋" w:hAnsi="仿宋" w:eastAsia="仿宋" w:cs="仿宋"/>
          <w:b w:val="0"/>
          <w:i w:val="0"/>
          <w:caps w:val="0"/>
          <w:color w:val="000000"/>
          <w:spacing w:val="0"/>
          <w:w w:val="100"/>
          <w:sz w:val="24"/>
        </w:rPr>
        <w:t>法定代表人（或企业负责人）或其委托代理人</w:t>
      </w:r>
      <w:r>
        <w:rPr>
          <w:rFonts w:hint="eastAsia" w:ascii="仿宋" w:hAnsi="仿宋" w:eastAsia="仿宋" w:cs="仿宋"/>
          <w:b w:val="0"/>
          <w:i w:val="0"/>
          <w:caps w:val="0"/>
          <w:color w:val="000000"/>
          <w:spacing w:val="0"/>
          <w:w w:val="100"/>
          <w:sz w:val="24"/>
          <w:lang w:eastAsia="zh-CN"/>
        </w:rPr>
        <w:t>（</w:t>
      </w:r>
      <w:r>
        <w:rPr>
          <w:rFonts w:hint="eastAsia" w:ascii="仿宋" w:hAnsi="仿宋" w:eastAsia="仿宋" w:cs="仿宋"/>
          <w:b w:val="0"/>
          <w:i w:val="0"/>
          <w:caps w:val="0"/>
          <w:color w:val="000000"/>
          <w:spacing w:val="0"/>
          <w:w w:val="100"/>
          <w:sz w:val="24"/>
        </w:rPr>
        <w:t>签字</w:t>
      </w:r>
      <w:r>
        <w:rPr>
          <w:rFonts w:hint="eastAsia" w:ascii="仿宋" w:hAnsi="仿宋" w:eastAsia="仿宋" w:cs="仿宋"/>
          <w:b w:val="0"/>
          <w:i w:val="0"/>
          <w:caps w:val="0"/>
          <w:color w:val="000000"/>
          <w:spacing w:val="0"/>
          <w:w w:val="100"/>
          <w:sz w:val="24"/>
          <w:lang w:val="en-US" w:eastAsia="zh-CN"/>
        </w:rPr>
        <w:t>或签章</w:t>
      </w:r>
      <w:r>
        <w:rPr>
          <w:rFonts w:hint="eastAsia" w:ascii="仿宋" w:hAnsi="仿宋" w:eastAsia="仿宋" w:cs="仿宋"/>
          <w:b w:val="0"/>
          <w:i w:val="0"/>
          <w:caps w:val="0"/>
          <w:color w:val="000000"/>
          <w:spacing w:val="0"/>
          <w:w w:val="100"/>
          <w:sz w:val="24"/>
          <w:lang w:eastAsia="zh-CN"/>
        </w:rPr>
        <w:t>）</w:t>
      </w:r>
      <w:r>
        <w:rPr>
          <w:rFonts w:hint="eastAsia" w:ascii="仿宋" w:hAnsi="仿宋" w:eastAsia="仿宋" w:cs="仿宋"/>
          <w:b w:val="0"/>
          <w:i w:val="0"/>
          <w:caps w:val="0"/>
          <w:color w:val="000000"/>
          <w:spacing w:val="0"/>
          <w:w w:val="100"/>
          <w:sz w:val="24"/>
          <w:u w:val="single" w:color="000000"/>
        </w:rPr>
        <w:t xml:space="preserve">               </w:t>
      </w:r>
    </w:p>
    <w:p w14:paraId="47CD3A5C">
      <w:pPr>
        <w:pStyle w:val="20"/>
        <w:keepNext w:val="0"/>
        <w:keepLines w:val="0"/>
        <w:pageBreakBefore w:val="0"/>
        <w:widowControl w:val="0"/>
        <w:tabs>
          <w:tab w:val="left" w:pos="5580"/>
        </w:tabs>
        <w:kinsoku/>
        <w:wordWrap/>
        <w:overflowPunct/>
        <w:topLinePunct w:val="0"/>
        <w:autoSpaceDE/>
        <w:autoSpaceDN/>
        <w:bidi w:val="0"/>
        <w:adjustRightInd/>
        <w:snapToGrid w:val="0"/>
        <w:spacing w:before="0" w:beforeAutospacing="0" w:after="0" w:afterAutospacing="0" w:line="320" w:lineRule="exact"/>
        <w:ind w:left="1080" w:leftChars="257" w:hanging="540"/>
        <w:jc w:val="both"/>
        <w:textAlignment w:val="baseline"/>
        <w:rPr>
          <w:rFonts w:hint="eastAsia" w:ascii="仿宋" w:hAnsi="仿宋" w:eastAsia="仿宋" w:cs="仿宋"/>
          <w:b w:val="0"/>
          <w:i w:val="0"/>
          <w:caps w:val="0"/>
          <w:color w:val="000000"/>
          <w:spacing w:val="0"/>
          <w:w w:val="100"/>
          <w:sz w:val="24"/>
        </w:rPr>
      </w:pPr>
    </w:p>
    <w:p w14:paraId="363CF7F6">
      <w:pPr>
        <w:pStyle w:val="20"/>
        <w:keepNext w:val="0"/>
        <w:keepLines w:val="0"/>
        <w:pageBreakBefore w:val="0"/>
        <w:widowControl w:val="0"/>
        <w:tabs>
          <w:tab w:val="left" w:pos="5580"/>
        </w:tabs>
        <w:kinsoku/>
        <w:wordWrap/>
        <w:overflowPunct/>
        <w:topLinePunct w:val="0"/>
        <w:autoSpaceDE/>
        <w:autoSpaceDN/>
        <w:bidi w:val="0"/>
        <w:adjustRightInd/>
        <w:snapToGrid w:val="0"/>
        <w:spacing w:before="0" w:beforeAutospacing="0" w:after="0" w:afterAutospacing="0" w:line="320" w:lineRule="exact"/>
        <w:ind w:left="1080" w:leftChars="257" w:hanging="540"/>
        <w:jc w:val="both"/>
        <w:textAlignment w:val="baseline"/>
        <w:rPr>
          <w:rFonts w:hint="default" w:ascii="仿宋" w:hAnsi="仿宋" w:eastAsia="仿宋" w:cs="仿宋"/>
          <w:b w:val="0"/>
          <w:i w:val="0"/>
          <w:caps w:val="0"/>
          <w:color w:val="000000"/>
          <w:spacing w:val="0"/>
          <w:w w:val="100"/>
          <w:sz w:val="24"/>
          <w:lang w:val="en-US" w:eastAsia="zh-CN"/>
        </w:rPr>
      </w:pPr>
      <w:r>
        <w:rPr>
          <w:rFonts w:hint="eastAsia" w:ascii="仿宋" w:hAnsi="仿宋" w:eastAsia="仿宋" w:cs="仿宋"/>
          <w:b w:val="0"/>
          <w:i w:val="0"/>
          <w:caps w:val="0"/>
          <w:color w:val="000000"/>
          <w:spacing w:val="0"/>
          <w:w w:val="100"/>
          <w:sz w:val="24"/>
        </w:rPr>
        <w:t>投标人名称（全称）</w:t>
      </w:r>
      <w:r>
        <w:rPr>
          <w:rFonts w:hint="eastAsia" w:ascii="仿宋" w:hAnsi="仿宋" w:eastAsia="仿宋" w:cs="仿宋"/>
          <w:b w:val="0"/>
          <w:i w:val="0"/>
          <w:caps w:val="0"/>
          <w:color w:val="000000"/>
          <w:spacing w:val="0"/>
          <w:w w:val="100"/>
          <w:sz w:val="24"/>
          <w:u w:val="single" w:color="000000"/>
        </w:rPr>
        <w:t xml:space="preserve">                    </w:t>
      </w:r>
      <w:r>
        <w:rPr>
          <w:rFonts w:hint="eastAsia" w:ascii="仿宋" w:hAnsi="仿宋" w:eastAsia="仿宋" w:cs="仿宋"/>
          <w:b w:val="0"/>
          <w:i w:val="0"/>
          <w:caps w:val="0"/>
          <w:color w:val="000000"/>
          <w:spacing w:val="0"/>
          <w:w w:val="100"/>
          <w:sz w:val="24"/>
          <w:u w:val="single" w:color="000000"/>
          <w:lang w:val="en-US" w:eastAsia="zh-CN"/>
        </w:rPr>
        <w:t xml:space="preserve">    </w:t>
      </w:r>
    </w:p>
    <w:p w14:paraId="0C839AD0">
      <w:pPr>
        <w:pStyle w:val="20"/>
        <w:keepNext w:val="0"/>
        <w:keepLines w:val="0"/>
        <w:pageBreakBefore w:val="0"/>
        <w:widowControl w:val="0"/>
        <w:tabs>
          <w:tab w:val="left" w:pos="5580"/>
        </w:tabs>
        <w:kinsoku/>
        <w:wordWrap/>
        <w:overflowPunct/>
        <w:topLinePunct w:val="0"/>
        <w:autoSpaceDE/>
        <w:autoSpaceDN/>
        <w:bidi w:val="0"/>
        <w:adjustRightInd/>
        <w:snapToGrid w:val="0"/>
        <w:spacing w:before="0" w:beforeAutospacing="0" w:after="0" w:afterAutospacing="0" w:line="320" w:lineRule="exact"/>
        <w:ind w:left="1080" w:leftChars="257" w:hanging="540"/>
        <w:jc w:val="both"/>
        <w:textAlignment w:val="baseline"/>
        <w:rPr>
          <w:rFonts w:hint="eastAsia" w:ascii="仿宋" w:hAnsi="仿宋" w:eastAsia="仿宋" w:cs="仿宋"/>
          <w:b w:val="0"/>
          <w:i w:val="0"/>
          <w:caps w:val="0"/>
          <w:color w:val="000000"/>
          <w:spacing w:val="0"/>
          <w:w w:val="100"/>
          <w:sz w:val="24"/>
        </w:rPr>
      </w:pPr>
    </w:p>
    <w:p w14:paraId="16FDD58C">
      <w:pPr>
        <w:pStyle w:val="20"/>
        <w:keepNext w:val="0"/>
        <w:keepLines w:val="0"/>
        <w:pageBreakBefore w:val="0"/>
        <w:widowControl w:val="0"/>
        <w:tabs>
          <w:tab w:val="left" w:pos="5580"/>
        </w:tabs>
        <w:kinsoku/>
        <w:wordWrap/>
        <w:overflowPunct/>
        <w:topLinePunct w:val="0"/>
        <w:autoSpaceDE/>
        <w:autoSpaceDN/>
        <w:bidi w:val="0"/>
        <w:adjustRightInd/>
        <w:snapToGrid w:val="0"/>
        <w:spacing w:before="0" w:beforeAutospacing="0" w:after="0" w:afterAutospacing="0" w:line="320" w:lineRule="exact"/>
        <w:ind w:left="1080" w:leftChars="257" w:hanging="540"/>
        <w:jc w:val="both"/>
        <w:textAlignment w:val="baseline"/>
        <w:rPr>
          <w:rFonts w:ascii="仿宋" w:hAnsi="仿宋" w:eastAsia="仿宋" w:cs="仿宋"/>
          <w:b w:val="0"/>
          <w:i w:val="0"/>
          <w:caps w:val="0"/>
          <w:color w:val="000000"/>
          <w:spacing w:val="0"/>
          <w:w w:val="100"/>
          <w:sz w:val="24"/>
        </w:rPr>
      </w:pPr>
      <w:r>
        <w:rPr>
          <w:rFonts w:hint="eastAsia" w:ascii="仿宋" w:hAnsi="仿宋" w:eastAsia="仿宋" w:cs="仿宋"/>
          <w:b w:val="0"/>
          <w:i w:val="0"/>
          <w:caps w:val="0"/>
          <w:color w:val="000000"/>
          <w:spacing w:val="0"/>
          <w:w w:val="100"/>
          <w:sz w:val="24"/>
        </w:rPr>
        <w:t>投标人开户银行（全称）</w:t>
      </w:r>
      <w:r>
        <w:rPr>
          <w:rFonts w:hint="eastAsia" w:ascii="仿宋" w:hAnsi="仿宋" w:eastAsia="仿宋" w:cs="仿宋"/>
          <w:b w:val="0"/>
          <w:i w:val="0"/>
          <w:caps w:val="0"/>
          <w:color w:val="000000"/>
          <w:spacing w:val="0"/>
          <w:w w:val="100"/>
          <w:sz w:val="24"/>
          <w:u w:val="single" w:color="000000"/>
        </w:rPr>
        <w:t xml:space="preserve">                    </w:t>
      </w:r>
    </w:p>
    <w:p w14:paraId="47996CCC">
      <w:pPr>
        <w:pStyle w:val="20"/>
        <w:keepNext w:val="0"/>
        <w:keepLines w:val="0"/>
        <w:pageBreakBefore w:val="0"/>
        <w:widowControl w:val="0"/>
        <w:tabs>
          <w:tab w:val="left" w:pos="5580"/>
        </w:tabs>
        <w:kinsoku/>
        <w:wordWrap/>
        <w:overflowPunct/>
        <w:topLinePunct w:val="0"/>
        <w:autoSpaceDE/>
        <w:autoSpaceDN/>
        <w:bidi w:val="0"/>
        <w:adjustRightInd/>
        <w:snapToGrid w:val="0"/>
        <w:spacing w:before="0" w:beforeAutospacing="0" w:after="0" w:afterAutospacing="0" w:line="320" w:lineRule="exact"/>
        <w:ind w:left="1080" w:leftChars="257" w:hanging="540"/>
        <w:jc w:val="both"/>
        <w:textAlignment w:val="baseline"/>
        <w:rPr>
          <w:rFonts w:hint="eastAsia" w:ascii="仿宋" w:hAnsi="仿宋" w:eastAsia="仿宋" w:cs="仿宋"/>
          <w:b w:val="0"/>
          <w:i w:val="0"/>
          <w:caps w:val="0"/>
          <w:color w:val="000000"/>
          <w:spacing w:val="0"/>
          <w:w w:val="100"/>
          <w:sz w:val="24"/>
        </w:rPr>
      </w:pPr>
    </w:p>
    <w:p w14:paraId="3D1B08AD">
      <w:pPr>
        <w:pStyle w:val="20"/>
        <w:keepNext w:val="0"/>
        <w:keepLines w:val="0"/>
        <w:pageBreakBefore w:val="0"/>
        <w:widowControl w:val="0"/>
        <w:tabs>
          <w:tab w:val="left" w:pos="5580"/>
        </w:tabs>
        <w:kinsoku/>
        <w:wordWrap/>
        <w:overflowPunct/>
        <w:topLinePunct w:val="0"/>
        <w:autoSpaceDE/>
        <w:autoSpaceDN/>
        <w:bidi w:val="0"/>
        <w:adjustRightInd/>
        <w:snapToGrid w:val="0"/>
        <w:spacing w:before="0" w:beforeAutospacing="0" w:after="0" w:afterAutospacing="0" w:line="320" w:lineRule="exact"/>
        <w:ind w:left="1080" w:leftChars="257" w:hanging="540"/>
        <w:jc w:val="both"/>
        <w:textAlignment w:val="baseline"/>
        <w:rPr>
          <w:rFonts w:hint="default" w:ascii="仿宋" w:hAnsi="仿宋" w:eastAsia="仿宋" w:cs="仿宋"/>
          <w:b w:val="0"/>
          <w:i w:val="0"/>
          <w:caps w:val="0"/>
          <w:color w:val="000000"/>
          <w:spacing w:val="0"/>
          <w:w w:val="100"/>
          <w:sz w:val="24"/>
          <w:lang w:val="en-US" w:eastAsia="zh-CN"/>
        </w:rPr>
      </w:pPr>
      <w:r>
        <w:rPr>
          <w:rFonts w:hint="eastAsia" w:ascii="仿宋" w:hAnsi="仿宋" w:eastAsia="仿宋" w:cs="仿宋"/>
          <w:b w:val="0"/>
          <w:i w:val="0"/>
          <w:caps w:val="0"/>
          <w:color w:val="000000"/>
          <w:spacing w:val="0"/>
          <w:w w:val="100"/>
          <w:sz w:val="24"/>
        </w:rPr>
        <w:t>投标人银行帐号</w:t>
      </w:r>
      <w:r>
        <w:rPr>
          <w:rFonts w:hint="eastAsia" w:ascii="仿宋" w:hAnsi="仿宋" w:eastAsia="仿宋" w:cs="仿宋"/>
          <w:b w:val="0"/>
          <w:i w:val="0"/>
          <w:caps w:val="0"/>
          <w:color w:val="000000"/>
          <w:spacing w:val="0"/>
          <w:w w:val="100"/>
          <w:sz w:val="24"/>
          <w:u w:val="single" w:color="000000"/>
        </w:rPr>
        <w:t xml:space="preserve">                     </w:t>
      </w:r>
      <w:r>
        <w:rPr>
          <w:rFonts w:hint="eastAsia" w:ascii="仿宋" w:hAnsi="仿宋" w:eastAsia="仿宋" w:cs="仿宋"/>
          <w:b w:val="0"/>
          <w:i w:val="0"/>
          <w:caps w:val="0"/>
          <w:color w:val="000000"/>
          <w:spacing w:val="0"/>
          <w:w w:val="100"/>
          <w:sz w:val="24"/>
          <w:u w:val="single" w:color="000000"/>
          <w:lang w:val="en-US" w:eastAsia="zh-CN"/>
        </w:rPr>
        <w:t xml:space="preserve">       </w:t>
      </w:r>
    </w:p>
    <w:p w14:paraId="4E766E36">
      <w:pPr>
        <w:pStyle w:val="20"/>
        <w:keepNext w:val="0"/>
        <w:keepLines w:val="0"/>
        <w:pageBreakBefore w:val="0"/>
        <w:widowControl w:val="0"/>
        <w:tabs>
          <w:tab w:val="left" w:pos="5580"/>
        </w:tabs>
        <w:kinsoku/>
        <w:wordWrap/>
        <w:overflowPunct/>
        <w:topLinePunct w:val="0"/>
        <w:autoSpaceDE/>
        <w:autoSpaceDN/>
        <w:bidi w:val="0"/>
        <w:adjustRightInd/>
        <w:snapToGrid w:val="0"/>
        <w:spacing w:before="0" w:beforeAutospacing="0" w:after="0" w:afterAutospacing="0" w:line="320" w:lineRule="exact"/>
        <w:ind w:left="1080" w:leftChars="257" w:hanging="540"/>
        <w:jc w:val="both"/>
        <w:textAlignment w:val="baseline"/>
        <w:rPr>
          <w:rFonts w:hint="eastAsia" w:ascii="仿宋" w:hAnsi="仿宋" w:eastAsia="仿宋" w:cs="仿宋"/>
          <w:b w:val="0"/>
          <w:i w:val="0"/>
          <w:caps w:val="0"/>
          <w:color w:val="000000"/>
          <w:spacing w:val="0"/>
          <w:w w:val="100"/>
          <w:sz w:val="24"/>
        </w:rPr>
      </w:pPr>
    </w:p>
    <w:p w14:paraId="288271A5">
      <w:pPr>
        <w:pStyle w:val="20"/>
        <w:keepNext w:val="0"/>
        <w:keepLines w:val="0"/>
        <w:pageBreakBefore w:val="0"/>
        <w:widowControl w:val="0"/>
        <w:tabs>
          <w:tab w:val="left" w:pos="5580"/>
        </w:tabs>
        <w:kinsoku/>
        <w:wordWrap/>
        <w:overflowPunct/>
        <w:topLinePunct w:val="0"/>
        <w:autoSpaceDE/>
        <w:autoSpaceDN/>
        <w:bidi w:val="0"/>
        <w:adjustRightInd/>
        <w:snapToGrid w:val="0"/>
        <w:spacing w:before="0" w:beforeAutospacing="0" w:after="0" w:afterAutospacing="0" w:line="320" w:lineRule="exact"/>
        <w:ind w:left="1080" w:leftChars="257" w:hanging="540"/>
        <w:jc w:val="both"/>
        <w:textAlignment w:val="baseline"/>
        <w:rPr>
          <w:rFonts w:hint="default" w:ascii="仿宋" w:hAnsi="仿宋" w:eastAsia="仿宋" w:cs="仿宋"/>
          <w:b w:val="0"/>
          <w:i w:val="0"/>
          <w:caps w:val="0"/>
          <w:color w:val="000000"/>
          <w:spacing w:val="0"/>
          <w:w w:val="100"/>
          <w:sz w:val="24"/>
          <w:lang w:val="en-US" w:eastAsia="zh-CN"/>
        </w:rPr>
      </w:pPr>
      <w:r>
        <w:rPr>
          <w:rFonts w:hint="eastAsia" w:ascii="仿宋" w:hAnsi="仿宋" w:eastAsia="仿宋" w:cs="仿宋"/>
          <w:b w:val="0"/>
          <w:i w:val="0"/>
          <w:caps w:val="0"/>
          <w:color w:val="000000"/>
          <w:spacing w:val="0"/>
          <w:w w:val="100"/>
          <w:sz w:val="24"/>
        </w:rPr>
        <w:t>投标人单位章</w:t>
      </w:r>
      <w:r>
        <w:rPr>
          <w:rFonts w:hint="eastAsia" w:ascii="仿宋" w:hAnsi="仿宋" w:eastAsia="仿宋" w:cs="仿宋"/>
          <w:b w:val="0"/>
          <w:i w:val="0"/>
          <w:caps w:val="0"/>
          <w:color w:val="000000"/>
          <w:spacing w:val="0"/>
          <w:w w:val="100"/>
          <w:sz w:val="24"/>
          <w:u w:val="single" w:color="000000"/>
        </w:rPr>
        <w:t xml:space="preserve">                    </w:t>
      </w:r>
      <w:r>
        <w:rPr>
          <w:rFonts w:hint="eastAsia" w:ascii="仿宋" w:hAnsi="仿宋" w:eastAsia="仿宋" w:cs="仿宋"/>
          <w:b w:val="0"/>
          <w:i w:val="0"/>
          <w:caps w:val="0"/>
          <w:color w:val="000000"/>
          <w:spacing w:val="0"/>
          <w:w w:val="100"/>
          <w:sz w:val="24"/>
          <w:u w:val="single" w:color="000000"/>
          <w:lang w:val="en-US" w:eastAsia="zh-CN"/>
        </w:rPr>
        <w:t xml:space="preserve">          </w:t>
      </w:r>
    </w:p>
    <w:p w14:paraId="4EF32420">
      <w:pPr>
        <w:pStyle w:val="20"/>
        <w:keepNext w:val="0"/>
        <w:keepLines w:val="0"/>
        <w:pageBreakBefore w:val="0"/>
        <w:widowControl w:val="0"/>
        <w:tabs>
          <w:tab w:val="left" w:pos="5580"/>
        </w:tabs>
        <w:kinsoku/>
        <w:wordWrap/>
        <w:overflowPunct/>
        <w:topLinePunct w:val="0"/>
        <w:autoSpaceDE/>
        <w:autoSpaceDN/>
        <w:bidi w:val="0"/>
        <w:adjustRightInd/>
        <w:snapToGrid w:val="0"/>
        <w:spacing w:before="0" w:beforeAutospacing="0" w:after="0" w:afterAutospacing="0" w:line="320" w:lineRule="exact"/>
        <w:ind w:left="1080" w:leftChars="257" w:hanging="540"/>
        <w:jc w:val="both"/>
        <w:textAlignment w:val="baseline"/>
        <w:rPr>
          <w:rFonts w:hint="eastAsia" w:ascii="仿宋" w:hAnsi="仿宋" w:eastAsia="仿宋" w:cs="仿宋"/>
          <w:b w:val="0"/>
          <w:i w:val="0"/>
          <w:caps w:val="0"/>
          <w:color w:val="000000"/>
          <w:spacing w:val="0"/>
          <w:w w:val="100"/>
          <w:sz w:val="24"/>
        </w:rPr>
      </w:pPr>
    </w:p>
    <w:p w14:paraId="373D7242">
      <w:pPr>
        <w:pStyle w:val="20"/>
        <w:keepNext w:val="0"/>
        <w:keepLines w:val="0"/>
        <w:pageBreakBefore w:val="0"/>
        <w:widowControl w:val="0"/>
        <w:tabs>
          <w:tab w:val="left" w:pos="5580"/>
        </w:tabs>
        <w:kinsoku/>
        <w:wordWrap/>
        <w:overflowPunct/>
        <w:topLinePunct w:val="0"/>
        <w:autoSpaceDE/>
        <w:autoSpaceDN/>
        <w:bidi w:val="0"/>
        <w:adjustRightInd/>
        <w:snapToGrid w:val="0"/>
        <w:spacing w:before="0" w:beforeAutospacing="0" w:after="0" w:afterAutospacing="0" w:line="320" w:lineRule="exact"/>
        <w:ind w:left="1080" w:leftChars="257" w:hanging="540"/>
        <w:jc w:val="both"/>
        <w:textAlignment w:val="baseline"/>
        <w:rPr>
          <w:rFonts w:hint="default" w:ascii="仿宋_GB2312" w:hAnsi="仿宋_GB2312" w:eastAsia="仿宋" w:cs="仿宋_GB2312"/>
          <w:b/>
          <w:sz w:val="24"/>
          <w:lang w:val="en-US" w:eastAsia="zh-CN"/>
        </w:rPr>
      </w:pPr>
      <w:r>
        <w:rPr>
          <w:rFonts w:hint="eastAsia" w:ascii="仿宋" w:hAnsi="仿宋" w:eastAsia="仿宋" w:cs="仿宋"/>
          <w:b w:val="0"/>
          <w:i w:val="0"/>
          <w:caps w:val="0"/>
          <w:color w:val="000000"/>
          <w:spacing w:val="0"/>
          <w:w w:val="100"/>
          <w:sz w:val="24"/>
        </w:rPr>
        <w:t>日期</w:t>
      </w:r>
      <w:r>
        <w:rPr>
          <w:rFonts w:hint="eastAsia" w:ascii="仿宋" w:hAnsi="仿宋" w:eastAsia="仿宋" w:cs="仿宋"/>
          <w:b w:val="0"/>
          <w:i w:val="0"/>
          <w:caps w:val="0"/>
          <w:color w:val="000000"/>
          <w:spacing w:val="0"/>
          <w:w w:val="100"/>
          <w:sz w:val="24"/>
          <w:u w:val="single" w:color="000000"/>
        </w:rPr>
        <w:t xml:space="preserve">                    </w:t>
      </w:r>
      <w:bookmarkStart w:id="1277" w:name="_Toc13793"/>
      <w:bookmarkStart w:id="1278" w:name="_Toc8833"/>
      <w:bookmarkStart w:id="1279" w:name="_Toc12977"/>
      <w:bookmarkStart w:id="1280" w:name="_Toc7944"/>
      <w:bookmarkStart w:id="1281" w:name="_Toc31304"/>
      <w:bookmarkStart w:id="1282" w:name="_Toc5579"/>
      <w:bookmarkStart w:id="1283" w:name="_Toc14734"/>
      <w:bookmarkStart w:id="1284" w:name="_Toc30989"/>
      <w:bookmarkStart w:id="1285" w:name="_Toc22551"/>
      <w:r>
        <w:rPr>
          <w:rFonts w:hint="eastAsia" w:ascii="仿宋" w:hAnsi="仿宋" w:eastAsia="仿宋" w:cs="仿宋"/>
          <w:b w:val="0"/>
          <w:i w:val="0"/>
          <w:caps w:val="0"/>
          <w:color w:val="000000"/>
          <w:spacing w:val="0"/>
          <w:w w:val="100"/>
          <w:sz w:val="24"/>
          <w:u w:val="single" w:color="000000"/>
          <w:lang w:val="en-US" w:eastAsia="zh-CN"/>
        </w:rPr>
        <w:t xml:space="preserve">                  </w:t>
      </w:r>
    </w:p>
    <w:p w14:paraId="4DE86433">
      <w:pPr>
        <w:pStyle w:val="2"/>
        <w:keepNext/>
        <w:keepLines/>
        <w:pageBreakBefore w:val="0"/>
        <w:widowControl w:val="0"/>
        <w:kinsoku/>
        <w:wordWrap/>
        <w:overflowPunct/>
        <w:topLinePunct w:val="0"/>
        <w:autoSpaceDE w:val="0"/>
        <w:autoSpaceDN w:val="0"/>
        <w:bidi w:val="0"/>
        <w:adjustRightInd w:val="0"/>
        <w:snapToGrid/>
        <w:spacing w:before="0" w:line="288" w:lineRule="auto"/>
        <w:jc w:val="center"/>
        <w:textAlignment w:val="auto"/>
        <w:rPr>
          <w:rFonts w:hint="eastAsia" w:ascii="仿宋_GB2312" w:hAnsi="仿宋_GB2312" w:eastAsia="仿宋_GB2312" w:cs="仿宋_GB2312"/>
          <w:b/>
          <w:sz w:val="24"/>
          <w:lang w:val="en-US" w:eastAsia="zh-CN"/>
        </w:rPr>
      </w:pPr>
      <w:bookmarkStart w:id="1286" w:name="_Toc19621"/>
      <w:bookmarkStart w:id="1287" w:name="_Toc8569"/>
    </w:p>
    <w:p w14:paraId="0E22CEC7">
      <w:pPr>
        <w:pStyle w:val="2"/>
        <w:keepNext/>
        <w:keepLines/>
        <w:pageBreakBefore w:val="0"/>
        <w:widowControl w:val="0"/>
        <w:kinsoku/>
        <w:wordWrap/>
        <w:overflowPunct/>
        <w:topLinePunct w:val="0"/>
        <w:autoSpaceDE w:val="0"/>
        <w:autoSpaceDN w:val="0"/>
        <w:bidi w:val="0"/>
        <w:adjustRightInd w:val="0"/>
        <w:snapToGrid/>
        <w:spacing w:before="0" w:line="288" w:lineRule="auto"/>
        <w:jc w:val="center"/>
        <w:textAlignment w:val="auto"/>
        <w:rPr>
          <w:rFonts w:hint="eastAsia" w:ascii="仿宋_GB2312" w:hAnsi="仿宋_GB2312" w:eastAsia="仿宋_GB2312" w:cs="仿宋_GB2312"/>
          <w:b/>
          <w:sz w:val="24"/>
          <w:lang w:val="en-US" w:eastAsia="zh-CN"/>
        </w:rPr>
      </w:pPr>
      <w:bookmarkStart w:id="1288" w:name="_Toc28699"/>
      <w:bookmarkStart w:id="1289" w:name="_Toc3836"/>
      <w:bookmarkStart w:id="1290" w:name="_Toc316"/>
      <w:bookmarkStart w:id="1291" w:name="_Toc2151"/>
      <w:bookmarkStart w:id="1292" w:name="_Toc3456"/>
      <w:bookmarkStart w:id="1293" w:name="_Toc25864"/>
      <w:r>
        <w:rPr>
          <w:rFonts w:hint="eastAsia" w:ascii="仿宋_GB2312" w:hAnsi="仿宋_GB2312" w:eastAsia="仿宋_GB2312" w:cs="仿宋_GB2312"/>
          <w:b/>
          <w:sz w:val="24"/>
          <w:lang w:val="en-US" w:eastAsia="zh-CN"/>
        </w:rPr>
        <w:t>2  投标分项报价表</w:t>
      </w:r>
      <w:bookmarkEnd w:id="1277"/>
      <w:bookmarkEnd w:id="1278"/>
      <w:bookmarkEnd w:id="1279"/>
      <w:bookmarkEnd w:id="1280"/>
      <w:bookmarkEnd w:id="1281"/>
      <w:bookmarkEnd w:id="1282"/>
      <w:bookmarkEnd w:id="1283"/>
      <w:bookmarkEnd w:id="1284"/>
      <w:bookmarkEnd w:id="1285"/>
      <w:bookmarkEnd w:id="1286"/>
      <w:bookmarkEnd w:id="1287"/>
      <w:bookmarkEnd w:id="1288"/>
      <w:bookmarkEnd w:id="1289"/>
      <w:bookmarkEnd w:id="1290"/>
      <w:bookmarkEnd w:id="1291"/>
      <w:bookmarkEnd w:id="1292"/>
      <w:bookmarkEnd w:id="1293"/>
    </w:p>
    <w:p w14:paraId="18EBC409">
      <w:pPr>
        <w:pStyle w:val="20"/>
        <w:snapToGrid w:val="0"/>
        <w:spacing w:before="0" w:beforeAutospacing="0" w:after="0" w:afterAutospacing="0" w:line="240" w:lineRule="atLeast"/>
        <w:ind w:left="1080" w:leftChars="257" w:hanging="540"/>
        <w:jc w:val="both"/>
        <w:textAlignment w:val="baseline"/>
        <w:rPr>
          <w:rFonts w:ascii="仿宋_GB2312" w:hAnsi="仿宋_GB2312" w:eastAsia="仿宋_GB2312" w:cs="仿宋_GB2312"/>
          <w:b w:val="0"/>
          <w:i w:val="0"/>
          <w:caps w:val="0"/>
          <w:spacing w:val="0"/>
          <w:w w:val="100"/>
          <w:sz w:val="24"/>
        </w:rPr>
      </w:pPr>
    </w:p>
    <w:p w14:paraId="7516FDAE">
      <w:pPr>
        <w:pStyle w:val="20"/>
        <w:snapToGrid w:val="0"/>
        <w:spacing w:before="0" w:beforeAutospacing="0" w:after="0" w:afterAutospacing="0" w:line="240" w:lineRule="atLeast"/>
        <w:ind w:left="79" w:leftChars="-27" w:hangingChars="57"/>
        <w:jc w:val="both"/>
        <w:textAlignment w:val="baseline"/>
        <w:rPr>
          <w:rFonts w:ascii="仿宋_GB2312" w:hAnsi="仿宋_GB2312" w:eastAsia="仿宋_GB2312" w:cs="仿宋_GB2312"/>
          <w:b w:val="0"/>
          <w:i w:val="0"/>
          <w:caps w:val="0"/>
          <w:spacing w:val="0"/>
          <w:w w:val="100"/>
          <w:sz w:val="24"/>
        </w:rPr>
      </w:pPr>
      <w:r>
        <w:rPr>
          <w:rFonts w:hint="eastAsia" w:ascii="仿宋_GB2312" w:hAnsi="仿宋_GB2312" w:eastAsia="仿宋_GB2312" w:cs="仿宋_GB2312"/>
          <w:b w:val="0"/>
          <w:i w:val="0"/>
          <w:caps w:val="0"/>
          <w:spacing w:val="0"/>
          <w:w w:val="100"/>
          <w:sz w:val="24"/>
        </w:rPr>
        <w:t xml:space="preserve">项目名称:                                        </w:t>
      </w:r>
      <w:r>
        <w:rPr>
          <w:rFonts w:hint="eastAsia" w:ascii="仿宋_GB2312" w:hAnsi="仿宋_GB2312" w:eastAsia="仿宋_GB2312" w:cs="仿宋_GB2312"/>
          <w:b w:val="0"/>
          <w:i w:val="0"/>
          <w:caps w:val="0"/>
          <w:spacing w:val="0"/>
          <w:w w:val="100"/>
          <w:sz w:val="24"/>
          <w:lang w:val="en-US" w:eastAsia="zh-CN"/>
        </w:rPr>
        <w:t>项目</w:t>
      </w:r>
      <w:r>
        <w:rPr>
          <w:rFonts w:hint="eastAsia" w:ascii="仿宋_GB2312" w:hAnsi="仿宋_GB2312" w:eastAsia="仿宋_GB2312" w:cs="仿宋_GB2312"/>
          <w:b w:val="0"/>
          <w:i w:val="0"/>
          <w:caps w:val="0"/>
          <w:spacing w:val="0"/>
          <w:w w:val="100"/>
          <w:sz w:val="24"/>
        </w:rPr>
        <w:t xml:space="preserve">编号:                       </w:t>
      </w:r>
    </w:p>
    <w:p w14:paraId="3124F77F">
      <w:pPr>
        <w:pStyle w:val="20"/>
        <w:snapToGrid w:val="0"/>
        <w:spacing w:before="0" w:beforeAutospacing="0" w:after="0" w:afterAutospacing="0" w:line="240" w:lineRule="atLeast"/>
        <w:ind w:left="79" w:leftChars="-27" w:hangingChars="57"/>
        <w:jc w:val="both"/>
        <w:textAlignment w:val="baseline"/>
        <w:rPr>
          <w:rFonts w:ascii="仿宋_GB2312" w:hAnsi="仿宋_GB2312" w:eastAsia="仿宋_GB2312" w:cs="仿宋_GB2312"/>
          <w:b w:val="0"/>
          <w:i w:val="0"/>
          <w:caps w:val="0"/>
          <w:spacing w:val="0"/>
          <w:w w:val="100"/>
          <w:sz w:val="24"/>
        </w:rPr>
      </w:pPr>
      <w:r>
        <w:rPr>
          <w:rFonts w:hint="eastAsia" w:ascii="仿宋_GB2312" w:hAnsi="仿宋_GB2312" w:eastAsia="仿宋_GB2312" w:cs="仿宋_GB2312"/>
          <w:b w:val="0"/>
          <w:i w:val="0"/>
          <w:caps w:val="0"/>
          <w:spacing w:val="0"/>
          <w:w w:val="100"/>
          <w:sz w:val="24"/>
        </w:rPr>
        <w:t>标    段: 　 　                                  报价单位：</w:t>
      </w:r>
      <w:r>
        <w:rPr>
          <w:rFonts w:hint="eastAsia" w:ascii="仿宋_GB2312" w:hAnsi="仿宋_GB2312" w:eastAsia="仿宋_GB2312" w:cs="仿宋_GB2312"/>
          <w:b w:val="0"/>
          <w:i w:val="0"/>
          <w:caps w:val="0"/>
          <w:spacing w:val="0"/>
          <w:w w:val="100"/>
          <w:sz w:val="24"/>
          <w:lang w:val="en-US" w:eastAsia="zh-CN"/>
        </w:rPr>
        <w:t xml:space="preserve"> </w:t>
      </w:r>
      <w:r>
        <w:rPr>
          <w:rFonts w:hint="eastAsia" w:ascii="仿宋_GB2312" w:hAnsi="仿宋_GB2312" w:eastAsia="仿宋_GB2312" w:cs="仿宋_GB2312"/>
          <w:b w:val="0"/>
          <w:i w:val="0"/>
          <w:caps w:val="0"/>
          <w:spacing w:val="0"/>
          <w:w w:val="100"/>
          <w:sz w:val="24"/>
        </w:rPr>
        <w:t>人民币元</w:t>
      </w:r>
    </w:p>
    <w:p w14:paraId="53E84F4B">
      <w:pPr>
        <w:pStyle w:val="20"/>
        <w:snapToGrid w:val="0"/>
        <w:spacing w:before="0" w:beforeAutospacing="0" w:after="0" w:afterAutospacing="0" w:line="240" w:lineRule="atLeast"/>
        <w:ind w:left="1080" w:leftChars="257" w:hanging="540"/>
        <w:jc w:val="both"/>
        <w:textAlignment w:val="baseline"/>
        <w:rPr>
          <w:rFonts w:ascii="仿宋_GB2312" w:hAnsi="仿宋_GB2312" w:eastAsia="仿宋_GB2312" w:cs="仿宋_GB2312"/>
          <w:b w:val="0"/>
          <w:i w:val="0"/>
          <w:caps w:val="0"/>
          <w:spacing w:val="0"/>
          <w:w w:val="100"/>
          <w:sz w:val="24"/>
        </w:rPr>
      </w:pPr>
    </w:p>
    <w:tbl>
      <w:tblPr>
        <w:tblStyle w:val="38"/>
        <w:tblW w:w="9594" w:type="dxa"/>
        <w:tblInd w:w="-10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52"/>
        <w:gridCol w:w="1570"/>
        <w:gridCol w:w="1336"/>
        <w:gridCol w:w="1041"/>
        <w:gridCol w:w="979"/>
        <w:gridCol w:w="1243"/>
        <w:gridCol w:w="963"/>
        <w:gridCol w:w="961"/>
        <w:gridCol w:w="849"/>
      </w:tblGrid>
      <w:tr w14:paraId="20D18D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0" w:hRule="atLeast"/>
        </w:trPr>
        <w:tc>
          <w:tcPr>
            <w:tcW w:w="652" w:type="dxa"/>
            <w:noWrap w:val="0"/>
            <w:vAlign w:val="center"/>
          </w:tcPr>
          <w:p w14:paraId="6B074F4A">
            <w:pPr>
              <w:pStyle w:val="20"/>
              <w:keepNext w:val="0"/>
              <w:keepLines w:val="0"/>
              <w:suppressLineNumbers w:val="0"/>
              <w:snapToGrid w:val="0"/>
              <w:spacing w:before="0" w:beforeAutospacing="0" w:after="0" w:afterAutospacing="0" w:line="240" w:lineRule="atLeast"/>
              <w:ind w:left="0" w:right="0"/>
              <w:jc w:val="center"/>
              <w:textAlignment w:val="baseline"/>
              <w:rPr>
                <w:rFonts w:hint="default" w:ascii="仿宋_GB2312" w:hAnsi="仿宋_GB2312" w:eastAsia="仿宋_GB2312" w:cs="仿宋_GB2312"/>
                <w:b w:val="0"/>
                <w:i w:val="0"/>
                <w:caps w:val="0"/>
                <w:spacing w:val="0"/>
                <w:w w:val="100"/>
                <w:sz w:val="24"/>
              </w:rPr>
            </w:pPr>
            <w:r>
              <w:rPr>
                <w:rFonts w:hint="eastAsia" w:ascii="仿宋_GB2312" w:hAnsi="仿宋_GB2312" w:eastAsia="仿宋_GB2312" w:cs="仿宋_GB2312"/>
                <w:b w:val="0"/>
                <w:i w:val="0"/>
                <w:caps w:val="0"/>
                <w:spacing w:val="0"/>
                <w:w w:val="100"/>
                <w:sz w:val="24"/>
              </w:rPr>
              <w:t>序号</w:t>
            </w:r>
          </w:p>
        </w:tc>
        <w:tc>
          <w:tcPr>
            <w:tcW w:w="1570" w:type="dxa"/>
            <w:noWrap w:val="0"/>
            <w:vAlign w:val="center"/>
          </w:tcPr>
          <w:p w14:paraId="18C9E682">
            <w:pPr>
              <w:pStyle w:val="20"/>
              <w:keepNext w:val="0"/>
              <w:keepLines w:val="0"/>
              <w:suppressLineNumbers w:val="0"/>
              <w:snapToGrid w:val="0"/>
              <w:spacing w:before="0" w:beforeAutospacing="0" w:after="0" w:afterAutospacing="0" w:line="240" w:lineRule="atLeast"/>
              <w:ind w:left="0" w:right="0"/>
              <w:jc w:val="center"/>
              <w:textAlignment w:val="baseline"/>
              <w:rPr>
                <w:rFonts w:hint="default" w:ascii="仿宋_GB2312" w:hAnsi="仿宋_GB2312" w:eastAsia="仿宋_GB2312" w:cs="仿宋_GB2312"/>
                <w:b w:val="0"/>
                <w:i w:val="0"/>
                <w:caps w:val="0"/>
                <w:spacing w:val="0"/>
                <w:w w:val="100"/>
                <w:sz w:val="24"/>
              </w:rPr>
            </w:pPr>
            <w:r>
              <w:rPr>
                <w:rFonts w:hint="eastAsia" w:ascii="仿宋_GB2312" w:hAnsi="仿宋_GB2312" w:eastAsia="仿宋_GB2312" w:cs="仿宋_GB2312"/>
                <w:b w:val="0"/>
                <w:i w:val="0"/>
                <w:caps w:val="0"/>
                <w:spacing w:val="0"/>
                <w:w w:val="100"/>
                <w:sz w:val="24"/>
              </w:rPr>
              <w:t>货物名称</w:t>
            </w:r>
          </w:p>
        </w:tc>
        <w:tc>
          <w:tcPr>
            <w:tcW w:w="1336" w:type="dxa"/>
            <w:noWrap w:val="0"/>
            <w:vAlign w:val="center"/>
          </w:tcPr>
          <w:p w14:paraId="24DC8540">
            <w:pPr>
              <w:pStyle w:val="20"/>
              <w:keepNext w:val="0"/>
              <w:keepLines w:val="0"/>
              <w:suppressLineNumbers w:val="0"/>
              <w:snapToGrid w:val="0"/>
              <w:spacing w:before="0" w:beforeAutospacing="0" w:after="0" w:afterAutospacing="0" w:line="240" w:lineRule="atLeast"/>
              <w:ind w:left="0" w:right="0"/>
              <w:jc w:val="center"/>
              <w:textAlignment w:val="baseline"/>
              <w:rPr>
                <w:rFonts w:hint="default" w:ascii="仿宋_GB2312" w:hAnsi="仿宋_GB2312" w:eastAsia="仿宋_GB2312" w:cs="仿宋_GB2312"/>
                <w:b w:val="0"/>
                <w:i w:val="0"/>
                <w:caps w:val="0"/>
                <w:spacing w:val="0"/>
                <w:w w:val="100"/>
                <w:sz w:val="24"/>
              </w:rPr>
            </w:pPr>
          </w:p>
          <w:p w14:paraId="42123DB6">
            <w:pPr>
              <w:pStyle w:val="20"/>
              <w:keepNext w:val="0"/>
              <w:keepLines w:val="0"/>
              <w:suppressLineNumbers w:val="0"/>
              <w:snapToGrid w:val="0"/>
              <w:spacing w:before="0" w:beforeAutospacing="0" w:after="0" w:afterAutospacing="0" w:line="240" w:lineRule="atLeast"/>
              <w:ind w:left="0" w:right="0"/>
              <w:jc w:val="center"/>
              <w:textAlignment w:val="baseline"/>
              <w:rPr>
                <w:rFonts w:hint="default" w:ascii="仿宋_GB2312" w:hAnsi="仿宋_GB2312" w:eastAsia="仿宋_GB2312" w:cs="仿宋_GB2312"/>
                <w:b w:val="0"/>
                <w:i w:val="0"/>
                <w:caps w:val="0"/>
                <w:spacing w:val="0"/>
                <w:w w:val="100"/>
                <w:sz w:val="24"/>
              </w:rPr>
            </w:pPr>
            <w:r>
              <w:rPr>
                <w:rFonts w:hint="eastAsia" w:ascii="仿宋_GB2312" w:hAnsi="仿宋_GB2312" w:eastAsia="仿宋_GB2312" w:cs="仿宋_GB2312"/>
                <w:b w:val="0"/>
                <w:i w:val="0"/>
                <w:caps w:val="0"/>
                <w:spacing w:val="0"/>
                <w:w w:val="100"/>
                <w:sz w:val="24"/>
              </w:rPr>
              <w:t>品牌型号</w:t>
            </w:r>
          </w:p>
          <w:p w14:paraId="36E33AB2">
            <w:pPr>
              <w:pStyle w:val="20"/>
              <w:keepNext w:val="0"/>
              <w:keepLines w:val="0"/>
              <w:suppressLineNumbers w:val="0"/>
              <w:snapToGrid w:val="0"/>
              <w:spacing w:before="0" w:beforeAutospacing="0" w:after="0" w:afterAutospacing="0" w:line="240" w:lineRule="atLeast"/>
              <w:ind w:left="0" w:right="0"/>
              <w:jc w:val="center"/>
              <w:textAlignment w:val="baseline"/>
              <w:rPr>
                <w:rFonts w:hint="default" w:ascii="仿宋_GB2312" w:hAnsi="仿宋_GB2312" w:eastAsia="仿宋_GB2312" w:cs="仿宋_GB2312"/>
                <w:b w:val="0"/>
                <w:i w:val="0"/>
                <w:caps w:val="0"/>
                <w:spacing w:val="0"/>
                <w:w w:val="100"/>
                <w:sz w:val="24"/>
              </w:rPr>
            </w:pPr>
          </w:p>
        </w:tc>
        <w:tc>
          <w:tcPr>
            <w:tcW w:w="1041" w:type="dxa"/>
            <w:noWrap w:val="0"/>
            <w:vAlign w:val="center"/>
          </w:tcPr>
          <w:p w14:paraId="7770C9B5">
            <w:pPr>
              <w:pStyle w:val="20"/>
              <w:keepNext w:val="0"/>
              <w:keepLines w:val="0"/>
              <w:suppressLineNumbers w:val="0"/>
              <w:snapToGrid w:val="0"/>
              <w:spacing w:before="0" w:beforeAutospacing="0" w:after="0" w:afterAutospacing="0" w:line="240" w:lineRule="atLeast"/>
              <w:ind w:left="0" w:right="0"/>
              <w:jc w:val="center"/>
              <w:textAlignment w:val="baseline"/>
              <w:rPr>
                <w:rFonts w:hint="default" w:ascii="仿宋_GB2312" w:hAnsi="仿宋_GB2312" w:eastAsia="仿宋_GB2312" w:cs="仿宋_GB2312"/>
                <w:b w:val="0"/>
                <w:i w:val="0"/>
                <w:caps w:val="0"/>
                <w:spacing w:val="0"/>
                <w:w w:val="100"/>
                <w:sz w:val="24"/>
              </w:rPr>
            </w:pPr>
            <w:r>
              <w:rPr>
                <w:rFonts w:hint="eastAsia" w:ascii="仿宋_GB2312" w:hAnsi="仿宋_GB2312" w:eastAsia="仿宋_GB2312" w:cs="仿宋_GB2312"/>
                <w:b w:val="0"/>
                <w:i w:val="0"/>
                <w:caps w:val="0"/>
                <w:spacing w:val="0"/>
                <w:w w:val="100"/>
                <w:sz w:val="24"/>
              </w:rPr>
              <w:t>数量</w:t>
            </w:r>
          </w:p>
        </w:tc>
        <w:tc>
          <w:tcPr>
            <w:tcW w:w="979" w:type="dxa"/>
            <w:noWrap w:val="0"/>
            <w:vAlign w:val="center"/>
          </w:tcPr>
          <w:p w14:paraId="23D3B8D4">
            <w:pPr>
              <w:pStyle w:val="20"/>
              <w:keepNext w:val="0"/>
              <w:keepLines w:val="0"/>
              <w:suppressLineNumbers w:val="0"/>
              <w:snapToGrid w:val="0"/>
              <w:spacing w:before="0" w:beforeAutospacing="0" w:after="0" w:afterAutospacing="0" w:line="240" w:lineRule="atLeast"/>
              <w:ind w:left="0" w:right="0"/>
              <w:jc w:val="center"/>
              <w:textAlignment w:val="baseline"/>
              <w:rPr>
                <w:rFonts w:hint="default" w:ascii="仿宋_GB2312" w:hAnsi="仿宋_GB2312" w:eastAsia="仿宋_GB2312" w:cs="仿宋_GB2312"/>
                <w:b w:val="0"/>
                <w:i w:val="0"/>
                <w:caps w:val="0"/>
                <w:spacing w:val="0"/>
                <w:w w:val="100"/>
                <w:sz w:val="24"/>
              </w:rPr>
            </w:pPr>
            <w:r>
              <w:rPr>
                <w:rFonts w:hint="eastAsia" w:ascii="仿宋_GB2312" w:hAnsi="仿宋_GB2312" w:eastAsia="仿宋_GB2312" w:cs="仿宋_GB2312"/>
                <w:b w:val="0"/>
                <w:i w:val="0"/>
                <w:caps w:val="0"/>
                <w:spacing w:val="0"/>
                <w:w w:val="100"/>
                <w:sz w:val="24"/>
              </w:rPr>
              <w:t>单位</w:t>
            </w:r>
          </w:p>
        </w:tc>
        <w:tc>
          <w:tcPr>
            <w:tcW w:w="1243" w:type="dxa"/>
            <w:noWrap w:val="0"/>
            <w:vAlign w:val="center"/>
          </w:tcPr>
          <w:p w14:paraId="69B031A6">
            <w:pPr>
              <w:pStyle w:val="20"/>
              <w:keepNext w:val="0"/>
              <w:keepLines w:val="0"/>
              <w:suppressLineNumbers w:val="0"/>
              <w:snapToGrid w:val="0"/>
              <w:spacing w:before="0" w:beforeAutospacing="0" w:after="0" w:afterAutospacing="0" w:line="240" w:lineRule="atLeast"/>
              <w:ind w:left="0" w:right="0"/>
              <w:jc w:val="center"/>
              <w:textAlignment w:val="baseline"/>
              <w:rPr>
                <w:rFonts w:hint="default" w:ascii="仿宋_GB2312" w:hAnsi="仿宋_GB2312" w:eastAsia="仿宋_GB2312" w:cs="仿宋_GB2312"/>
                <w:b w:val="0"/>
                <w:i w:val="0"/>
                <w:caps w:val="0"/>
                <w:spacing w:val="0"/>
                <w:w w:val="100"/>
                <w:sz w:val="24"/>
              </w:rPr>
            </w:pPr>
            <w:r>
              <w:rPr>
                <w:rFonts w:hint="eastAsia" w:ascii="仿宋_GB2312" w:hAnsi="仿宋_GB2312" w:eastAsia="仿宋_GB2312" w:cs="仿宋_GB2312"/>
                <w:b w:val="0"/>
                <w:i w:val="0"/>
                <w:caps w:val="0"/>
                <w:spacing w:val="0"/>
                <w:w w:val="100"/>
                <w:sz w:val="24"/>
              </w:rPr>
              <w:t>生产厂家</w:t>
            </w:r>
          </w:p>
        </w:tc>
        <w:tc>
          <w:tcPr>
            <w:tcW w:w="963" w:type="dxa"/>
            <w:noWrap w:val="0"/>
            <w:vAlign w:val="center"/>
          </w:tcPr>
          <w:p w14:paraId="72D84613">
            <w:pPr>
              <w:pStyle w:val="20"/>
              <w:keepNext w:val="0"/>
              <w:keepLines w:val="0"/>
              <w:suppressLineNumbers w:val="0"/>
              <w:snapToGrid w:val="0"/>
              <w:spacing w:before="0" w:beforeAutospacing="0" w:after="0" w:afterAutospacing="0" w:line="240" w:lineRule="atLeast"/>
              <w:ind w:left="0" w:right="0"/>
              <w:jc w:val="center"/>
              <w:textAlignment w:val="baseline"/>
              <w:rPr>
                <w:rFonts w:hint="default" w:ascii="仿宋_GB2312" w:hAnsi="仿宋_GB2312" w:eastAsia="仿宋_GB2312" w:cs="仿宋_GB2312"/>
                <w:b w:val="0"/>
                <w:i w:val="0"/>
                <w:caps w:val="0"/>
                <w:spacing w:val="0"/>
                <w:w w:val="100"/>
                <w:sz w:val="24"/>
              </w:rPr>
            </w:pPr>
            <w:r>
              <w:rPr>
                <w:rFonts w:hint="eastAsia" w:ascii="仿宋_GB2312" w:hAnsi="仿宋_GB2312" w:eastAsia="仿宋_GB2312" w:cs="仿宋_GB2312"/>
                <w:b w:val="0"/>
                <w:i w:val="0"/>
                <w:caps w:val="0"/>
                <w:spacing w:val="0"/>
                <w:w w:val="100"/>
                <w:sz w:val="24"/>
              </w:rPr>
              <w:t>单价</w:t>
            </w:r>
          </w:p>
        </w:tc>
        <w:tc>
          <w:tcPr>
            <w:tcW w:w="961" w:type="dxa"/>
            <w:noWrap w:val="0"/>
            <w:vAlign w:val="center"/>
          </w:tcPr>
          <w:p w14:paraId="677BAF20">
            <w:pPr>
              <w:pStyle w:val="20"/>
              <w:keepNext w:val="0"/>
              <w:keepLines w:val="0"/>
              <w:suppressLineNumbers w:val="0"/>
              <w:snapToGrid w:val="0"/>
              <w:spacing w:before="0" w:beforeAutospacing="0" w:after="0" w:afterAutospacing="0" w:line="240" w:lineRule="atLeast"/>
              <w:ind w:left="0" w:right="0"/>
              <w:jc w:val="center"/>
              <w:textAlignment w:val="baseline"/>
              <w:rPr>
                <w:rFonts w:hint="default" w:ascii="仿宋_GB2312" w:hAnsi="仿宋_GB2312" w:eastAsia="仿宋_GB2312" w:cs="仿宋_GB2312"/>
                <w:b w:val="0"/>
                <w:i w:val="0"/>
                <w:caps w:val="0"/>
                <w:spacing w:val="0"/>
                <w:w w:val="100"/>
                <w:sz w:val="24"/>
              </w:rPr>
            </w:pPr>
            <w:r>
              <w:rPr>
                <w:rFonts w:hint="eastAsia" w:ascii="仿宋_GB2312" w:hAnsi="仿宋_GB2312" w:eastAsia="仿宋_GB2312" w:cs="仿宋_GB2312"/>
                <w:b w:val="0"/>
                <w:i w:val="0"/>
                <w:caps w:val="0"/>
                <w:spacing w:val="0"/>
                <w:w w:val="100"/>
                <w:sz w:val="24"/>
              </w:rPr>
              <w:t>总价</w:t>
            </w:r>
          </w:p>
        </w:tc>
        <w:tc>
          <w:tcPr>
            <w:tcW w:w="849" w:type="dxa"/>
            <w:noWrap w:val="0"/>
            <w:vAlign w:val="center"/>
          </w:tcPr>
          <w:p w14:paraId="7E4D6464">
            <w:pPr>
              <w:pStyle w:val="20"/>
              <w:keepNext w:val="0"/>
              <w:keepLines w:val="0"/>
              <w:suppressLineNumbers w:val="0"/>
              <w:snapToGrid w:val="0"/>
              <w:spacing w:before="0" w:beforeAutospacing="0" w:after="0" w:afterAutospacing="0" w:line="240" w:lineRule="atLeast"/>
              <w:ind w:left="0" w:right="0"/>
              <w:jc w:val="center"/>
              <w:textAlignment w:val="baseline"/>
              <w:rPr>
                <w:rFonts w:hint="default" w:ascii="仿宋_GB2312" w:hAnsi="仿宋_GB2312" w:eastAsia="仿宋_GB2312" w:cs="仿宋_GB2312"/>
                <w:b w:val="0"/>
                <w:i w:val="0"/>
                <w:caps w:val="0"/>
                <w:spacing w:val="0"/>
                <w:w w:val="100"/>
                <w:sz w:val="24"/>
              </w:rPr>
            </w:pPr>
            <w:r>
              <w:rPr>
                <w:rFonts w:hint="eastAsia" w:ascii="仿宋_GB2312" w:hAnsi="仿宋_GB2312" w:eastAsia="仿宋_GB2312" w:cs="仿宋_GB2312"/>
                <w:b w:val="0"/>
                <w:i w:val="0"/>
                <w:caps w:val="0"/>
                <w:spacing w:val="0"/>
                <w:w w:val="100"/>
                <w:sz w:val="24"/>
              </w:rPr>
              <w:t>备注</w:t>
            </w:r>
          </w:p>
        </w:tc>
      </w:tr>
      <w:tr w14:paraId="4FE680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7" w:hRule="atLeast"/>
        </w:trPr>
        <w:tc>
          <w:tcPr>
            <w:tcW w:w="652" w:type="dxa"/>
            <w:noWrap w:val="0"/>
            <w:vAlign w:val="center"/>
          </w:tcPr>
          <w:p w14:paraId="4801F451">
            <w:pPr>
              <w:pStyle w:val="20"/>
              <w:keepNext w:val="0"/>
              <w:keepLines w:val="0"/>
              <w:suppressLineNumbers w:val="0"/>
              <w:snapToGrid w:val="0"/>
              <w:spacing w:before="0" w:beforeAutospacing="0" w:after="0" w:afterAutospacing="0" w:line="240" w:lineRule="atLeast"/>
              <w:ind w:left="0" w:right="0" w:firstLine="240" w:firstLineChars="100"/>
              <w:jc w:val="both"/>
              <w:textAlignment w:val="baseline"/>
              <w:rPr>
                <w:rFonts w:hint="default" w:ascii="仿宋_GB2312" w:hAnsi="仿宋_GB2312" w:eastAsia="仿宋_GB2312" w:cs="仿宋_GB2312"/>
                <w:b w:val="0"/>
                <w:i w:val="0"/>
                <w:caps w:val="0"/>
                <w:spacing w:val="0"/>
                <w:w w:val="100"/>
                <w:sz w:val="24"/>
              </w:rPr>
            </w:pPr>
            <w:r>
              <w:rPr>
                <w:rFonts w:hint="eastAsia" w:ascii="仿宋_GB2312" w:hAnsi="仿宋_GB2312" w:eastAsia="仿宋_GB2312" w:cs="仿宋_GB2312"/>
                <w:b w:val="0"/>
                <w:i w:val="0"/>
                <w:caps w:val="0"/>
                <w:spacing w:val="0"/>
                <w:w w:val="100"/>
                <w:sz w:val="24"/>
              </w:rPr>
              <w:t>1</w:t>
            </w:r>
          </w:p>
        </w:tc>
        <w:tc>
          <w:tcPr>
            <w:tcW w:w="1570" w:type="dxa"/>
            <w:noWrap w:val="0"/>
            <w:vAlign w:val="center"/>
          </w:tcPr>
          <w:p w14:paraId="1CE08B06">
            <w:pPr>
              <w:keepNext w:val="0"/>
              <w:keepLines w:val="0"/>
              <w:suppressLineNumbers w:val="0"/>
              <w:snapToGrid w:val="0"/>
              <w:spacing w:before="0" w:beforeAutospacing="0" w:after="0" w:afterAutospacing="0" w:line="240" w:lineRule="auto"/>
              <w:ind w:left="0" w:right="0"/>
              <w:jc w:val="center"/>
              <w:textAlignment w:val="center"/>
              <w:rPr>
                <w:rFonts w:hint="default" w:ascii="仿宋_GB2312" w:hAnsi="仿宋_GB2312" w:eastAsia="仿宋_GB2312" w:cs="仿宋_GB2312"/>
                <w:b w:val="0"/>
                <w:i w:val="0"/>
                <w:caps w:val="0"/>
                <w:spacing w:val="0"/>
                <w:w w:val="100"/>
                <w:sz w:val="24"/>
              </w:rPr>
            </w:pPr>
            <w:r>
              <w:rPr>
                <w:rFonts w:hint="eastAsia" w:ascii="仿宋" w:hAnsi="仿宋" w:eastAsia="仿宋" w:cs="仿宋"/>
                <w:b w:val="0"/>
                <w:i w:val="0"/>
                <w:caps w:val="0"/>
                <w:color w:val="000000"/>
                <w:spacing w:val="0"/>
                <w:w w:val="100"/>
                <w:kern w:val="0"/>
                <w:sz w:val="24"/>
                <w:lang w:bidi="ar"/>
              </w:rPr>
              <w:t>货物名称</w:t>
            </w:r>
          </w:p>
        </w:tc>
        <w:tc>
          <w:tcPr>
            <w:tcW w:w="1336" w:type="dxa"/>
            <w:noWrap w:val="0"/>
            <w:vAlign w:val="center"/>
          </w:tcPr>
          <w:p w14:paraId="6E7E99B4">
            <w:pPr>
              <w:pStyle w:val="20"/>
              <w:keepNext w:val="0"/>
              <w:keepLines w:val="0"/>
              <w:suppressLineNumbers w:val="0"/>
              <w:snapToGrid w:val="0"/>
              <w:spacing w:before="0" w:beforeAutospacing="0" w:after="0" w:afterAutospacing="0" w:line="240" w:lineRule="atLeast"/>
              <w:ind w:left="1080" w:leftChars="257" w:right="0" w:hanging="540"/>
              <w:jc w:val="center"/>
              <w:textAlignment w:val="baseline"/>
              <w:rPr>
                <w:rFonts w:hint="default" w:ascii="仿宋_GB2312" w:hAnsi="仿宋_GB2312" w:eastAsia="仿宋_GB2312" w:cs="仿宋_GB2312"/>
                <w:b w:val="0"/>
                <w:i w:val="0"/>
                <w:caps w:val="0"/>
                <w:spacing w:val="0"/>
                <w:w w:val="100"/>
                <w:sz w:val="24"/>
              </w:rPr>
            </w:pPr>
          </w:p>
        </w:tc>
        <w:tc>
          <w:tcPr>
            <w:tcW w:w="1041" w:type="dxa"/>
            <w:noWrap w:val="0"/>
            <w:vAlign w:val="center"/>
          </w:tcPr>
          <w:p w14:paraId="7C408397">
            <w:pPr>
              <w:pStyle w:val="20"/>
              <w:keepNext w:val="0"/>
              <w:keepLines w:val="0"/>
              <w:suppressLineNumbers w:val="0"/>
              <w:snapToGrid w:val="0"/>
              <w:spacing w:before="0" w:beforeAutospacing="0" w:after="0" w:afterAutospacing="0" w:line="240" w:lineRule="atLeast"/>
              <w:ind w:left="1080" w:leftChars="257" w:right="0" w:hanging="540"/>
              <w:jc w:val="center"/>
              <w:textAlignment w:val="baseline"/>
              <w:rPr>
                <w:rFonts w:hint="default" w:ascii="仿宋_GB2312" w:hAnsi="仿宋_GB2312" w:eastAsia="仿宋_GB2312" w:cs="仿宋_GB2312"/>
                <w:b w:val="0"/>
                <w:i w:val="0"/>
                <w:caps w:val="0"/>
                <w:spacing w:val="0"/>
                <w:w w:val="100"/>
                <w:sz w:val="24"/>
              </w:rPr>
            </w:pPr>
          </w:p>
        </w:tc>
        <w:tc>
          <w:tcPr>
            <w:tcW w:w="979" w:type="dxa"/>
            <w:noWrap w:val="0"/>
            <w:vAlign w:val="center"/>
          </w:tcPr>
          <w:p w14:paraId="71FB7527">
            <w:pPr>
              <w:pStyle w:val="20"/>
              <w:keepNext w:val="0"/>
              <w:keepLines w:val="0"/>
              <w:suppressLineNumbers w:val="0"/>
              <w:snapToGrid w:val="0"/>
              <w:spacing w:before="0" w:beforeAutospacing="0" w:after="0" w:afterAutospacing="0" w:line="240" w:lineRule="atLeast"/>
              <w:ind w:left="1080" w:leftChars="257" w:right="0" w:hanging="540"/>
              <w:jc w:val="center"/>
              <w:textAlignment w:val="baseline"/>
              <w:rPr>
                <w:rFonts w:hint="default" w:ascii="仿宋_GB2312" w:hAnsi="仿宋_GB2312" w:eastAsia="仿宋_GB2312" w:cs="仿宋_GB2312"/>
                <w:b w:val="0"/>
                <w:i w:val="0"/>
                <w:caps w:val="0"/>
                <w:spacing w:val="0"/>
                <w:w w:val="100"/>
                <w:sz w:val="24"/>
              </w:rPr>
            </w:pPr>
          </w:p>
        </w:tc>
        <w:tc>
          <w:tcPr>
            <w:tcW w:w="1243" w:type="dxa"/>
            <w:noWrap w:val="0"/>
            <w:vAlign w:val="center"/>
          </w:tcPr>
          <w:p w14:paraId="17FF9632">
            <w:pPr>
              <w:pStyle w:val="20"/>
              <w:keepNext w:val="0"/>
              <w:keepLines w:val="0"/>
              <w:suppressLineNumbers w:val="0"/>
              <w:snapToGrid w:val="0"/>
              <w:spacing w:before="0" w:beforeAutospacing="0" w:after="0" w:afterAutospacing="0" w:line="240" w:lineRule="atLeast"/>
              <w:ind w:left="1080" w:leftChars="257" w:right="0" w:hanging="540"/>
              <w:jc w:val="center"/>
              <w:textAlignment w:val="baseline"/>
              <w:rPr>
                <w:rFonts w:hint="default" w:ascii="仿宋_GB2312" w:hAnsi="仿宋_GB2312" w:eastAsia="仿宋_GB2312" w:cs="仿宋_GB2312"/>
                <w:b w:val="0"/>
                <w:i w:val="0"/>
                <w:caps w:val="0"/>
                <w:spacing w:val="0"/>
                <w:w w:val="100"/>
                <w:sz w:val="24"/>
              </w:rPr>
            </w:pPr>
          </w:p>
        </w:tc>
        <w:tc>
          <w:tcPr>
            <w:tcW w:w="963" w:type="dxa"/>
            <w:noWrap w:val="0"/>
            <w:vAlign w:val="center"/>
          </w:tcPr>
          <w:p w14:paraId="35F7D95B">
            <w:pPr>
              <w:pStyle w:val="20"/>
              <w:keepNext w:val="0"/>
              <w:keepLines w:val="0"/>
              <w:suppressLineNumbers w:val="0"/>
              <w:snapToGrid w:val="0"/>
              <w:spacing w:before="0" w:beforeAutospacing="0" w:after="0" w:afterAutospacing="0" w:line="240" w:lineRule="atLeast"/>
              <w:ind w:left="1080" w:leftChars="257" w:right="0" w:hanging="540"/>
              <w:jc w:val="center"/>
              <w:textAlignment w:val="baseline"/>
              <w:rPr>
                <w:rFonts w:hint="default" w:ascii="仿宋_GB2312" w:hAnsi="仿宋_GB2312" w:eastAsia="仿宋_GB2312" w:cs="仿宋_GB2312"/>
                <w:b w:val="0"/>
                <w:i w:val="0"/>
                <w:caps w:val="0"/>
                <w:spacing w:val="0"/>
                <w:w w:val="100"/>
                <w:sz w:val="24"/>
              </w:rPr>
            </w:pPr>
          </w:p>
        </w:tc>
        <w:tc>
          <w:tcPr>
            <w:tcW w:w="961" w:type="dxa"/>
            <w:noWrap w:val="0"/>
            <w:vAlign w:val="center"/>
          </w:tcPr>
          <w:p w14:paraId="0B50B7D4">
            <w:pPr>
              <w:pStyle w:val="20"/>
              <w:keepNext w:val="0"/>
              <w:keepLines w:val="0"/>
              <w:suppressLineNumbers w:val="0"/>
              <w:snapToGrid w:val="0"/>
              <w:spacing w:before="0" w:beforeAutospacing="0" w:after="0" w:afterAutospacing="0" w:line="240" w:lineRule="atLeast"/>
              <w:ind w:left="1080" w:leftChars="257" w:right="0" w:hanging="540"/>
              <w:jc w:val="center"/>
              <w:textAlignment w:val="baseline"/>
              <w:rPr>
                <w:rFonts w:hint="default" w:ascii="仿宋_GB2312" w:hAnsi="仿宋_GB2312" w:eastAsia="仿宋_GB2312" w:cs="仿宋_GB2312"/>
                <w:b w:val="0"/>
                <w:i w:val="0"/>
                <w:caps w:val="0"/>
                <w:spacing w:val="0"/>
                <w:w w:val="100"/>
                <w:sz w:val="24"/>
              </w:rPr>
            </w:pPr>
          </w:p>
        </w:tc>
        <w:tc>
          <w:tcPr>
            <w:tcW w:w="849" w:type="dxa"/>
            <w:noWrap w:val="0"/>
            <w:vAlign w:val="center"/>
          </w:tcPr>
          <w:p w14:paraId="6C49AF29">
            <w:pPr>
              <w:pStyle w:val="20"/>
              <w:keepNext w:val="0"/>
              <w:keepLines w:val="0"/>
              <w:suppressLineNumbers w:val="0"/>
              <w:snapToGrid w:val="0"/>
              <w:spacing w:before="0" w:beforeAutospacing="0" w:after="0" w:afterAutospacing="0" w:line="240" w:lineRule="atLeast"/>
              <w:ind w:left="1080" w:leftChars="257" w:right="0" w:hanging="540"/>
              <w:jc w:val="center"/>
              <w:textAlignment w:val="baseline"/>
              <w:rPr>
                <w:rFonts w:hint="default" w:ascii="仿宋_GB2312" w:hAnsi="仿宋_GB2312" w:eastAsia="仿宋_GB2312" w:cs="仿宋_GB2312"/>
                <w:b w:val="0"/>
                <w:i w:val="0"/>
                <w:caps w:val="0"/>
                <w:spacing w:val="0"/>
                <w:w w:val="100"/>
                <w:sz w:val="24"/>
              </w:rPr>
            </w:pPr>
          </w:p>
        </w:tc>
      </w:tr>
      <w:tr w14:paraId="29173C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7" w:hRule="atLeast"/>
        </w:trPr>
        <w:tc>
          <w:tcPr>
            <w:tcW w:w="652" w:type="dxa"/>
            <w:noWrap w:val="0"/>
            <w:vAlign w:val="center"/>
          </w:tcPr>
          <w:p w14:paraId="500BA34F">
            <w:pPr>
              <w:pStyle w:val="20"/>
              <w:keepNext w:val="0"/>
              <w:keepLines w:val="0"/>
              <w:suppressLineNumbers w:val="0"/>
              <w:snapToGrid w:val="0"/>
              <w:spacing w:before="0" w:beforeAutospacing="0" w:after="0" w:afterAutospacing="0" w:line="240" w:lineRule="atLeast"/>
              <w:ind w:left="269" w:leftChars="128" w:right="0"/>
              <w:jc w:val="both"/>
              <w:textAlignment w:val="baseline"/>
              <w:rPr>
                <w:rFonts w:hint="default" w:ascii="仿宋_GB2312" w:hAnsi="仿宋_GB2312" w:eastAsia="仿宋_GB2312" w:cs="仿宋_GB2312"/>
                <w:b w:val="0"/>
                <w:i w:val="0"/>
                <w:caps w:val="0"/>
                <w:spacing w:val="0"/>
                <w:w w:val="100"/>
                <w:sz w:val="24"/>
              </w:rPr>
            </w:pPr>
            <w:r>
              <w:rPr>
                <w:rFonts w:hint="eastAsia" w:ascii="仿宋_GB2312" w:hAnsi="仿宋_GB2312" w:eastAsia="仿宋_GB2312" w:cs="仿宋_GB2312"/>
                <w:b w:val="0"/>
                <w:i w:val="0"/>
                <w:caps w:val="0"/>
                <w:spacing w:val="0"/>
                <w:w w:val="100"/>
                <w:sz w:val="24"/>
              </w:rPr>
              <w:t>2</w:t>
            </w:r>
          </w:p>
        </w:tc>
        <w:tc>
          <w:tcPr>
            <w:tcW w:w="1570" w:type="dxa"/>
            <w:noWrap w:val="0"/>
            <w:vAlign w:val="center"/>
          </w:tcPr>
          <w:p w14:paraId="2DAA1016">
            <w:pPr>
              <w:keepNext w:val="0"/>
              <w:keepLines w:val="0"/>
              <w:suppressLineNumbers w:val="0"/>
              <w:snapToGrid w:val="0"/>
              <w:spacing w:before="0" w:beforeAutospacing="0" w:after="0" w:afterAutospacing="0" w:line="240" w:lineRule="auto"/>
              <w:ind w:left="0" w:right="0"/>
              <w:jc w:val="center"/>
              <w:textAlignment w:val="center"/>
              <w:rPr>
                <w:rFonts w:hint="default" w:ascii="仿宋_GB2312" w:hAnsi="仿宋_GB2312" w:eastAsia="仿宋_GB2312" w:cs="仿宋_GB2312"/>
                <w:b w:val="0"/>
                <w:i w:val="0"/>
                <w:caps w:val="0"/>
                <w:spacing w:val="0"/>
                <w:w w:val="100"/>
                <w:sz w:val="24"/>
              </w:rPr>
            </w:pPr>
            <w:r>
              <w:rPr>
                <w:rFonts w:hint="eastAsia" w:ascii="仿宋" w:hAnsi="仿宋" w:eastAsia="仿宋" w:cs="仿宋"/>
                <w:b w:val="0"/>
                <w:i w:val="0"/>
                <w:caps w:val="0"/>
                <w:color w:val="000000"/>
                <w:spacing w:val="0"/>
                <w:w w:val="100"/>
                <w:kern w:val="0"/>
                <w:sz w:val="24"/>
                <w:lang w:bidi="ar"/>
              </w:rPr>
              <w:t>备品备件</w:t>
            </w:r>
          </w:p>
        </w:tc>
        <w:tc>
          <w:tcPr>
            <w:tcW w:w="1336" w:type="dxa"/>
            <w:noWrap w:val="0"/>
            <w:vAlign w:val="center"/>
          </w:tcPr>
          <w:p w14:paraId="7763947E">
            <w:pPr>
              <w:pStyle w:val="20"/>
              <w:keepNext w:val="0"/>
              <w:keepLines w:val="0"/>
              <w:suppressLineNumbers w:val="0"/>
              <w:snapToGrid w:val="0"/>
              <w:spacing w:before="0" w:beforeAutospacing="0" w:after="0" w:afterAutospacing="0" w:line="240" w:lineRule="atLeast"/>
              <w:ind w:left="1080" w:leftChars="257" w:right="0" w:hanging="540"/>
              <w:jc w:val="center"/>
              <w:textAlignment w:val="baseline"/>
              <w:rPr>
                <w:rFonts w:hint="default" w:ascii="仿宋_GB2312" w:hAnsi="仿宋_GB2312" w:eastAsia="仿宋_GB2312" w:cs="仿宋_GB2312"/>
                <w:b w:val="0"/>
                <w:i w:val="0"/>
                <w:caps w:val="0"/>
                <w:spacing w:val="0"/>
                <w:w w:val="100"/>
                <w:sz w:val="24"/>
              </w:rPr>
            </w:pPr>
          </w:p>
        </w:tc>
        <w:tc>
          <w:tcPr>
            <w:tcW w:w="1041" w:type="dxa"/>
            <w:noWrap w:val="0"/>
            <w:vAlign w:val="center"/>
          </w:tcPr>
          <w:p w14:paraId="6F0403E2">
            <w:pPr>
              <w:pStyle w:val="20"/>
              <w:keepNext w:val="0"/>
              <w:keepLines w:val="0"/>
              <w:suppressLineNumbers w:val="0"/>
              <w:snapToGrid w:val="0"/>
              <w:spacing w:before="0" w:beforeAutospacing="0" w:after="0" w:afterAutospacing="0" w:line="240" w:lineRule="atLeast"/>
              <w:ind w:left="1080" w:leftChars="257" w:right="0" w:hanging="540"/>
              <w:jc w:val="center"/>
              <w:textAlignment w:val="baseline"/>
              <w:rPr>
                <w:rFonts w:hint="default" w:ascii="仿宋_GB2312" w:hAnsi="仿宋_GB2312" w:eastAsia="仿宋_GB2312" w:cs="仿宋_GB2312"/>
                <w:b w:val="0"/>
                <w:i w:val="0"/>
                <w:caps w:val="0"/>
                <w:spacing w:val="0"/>
                <w:w w:val="100"/>
                <w:sz w:val="24"/>
              </w:rPr>
            </w:pPr>
          </w:p>
        </w:tc>
        <w:tc>
          <w:tcPr>
            <w:tcW w:w="979" w:type="dxa"/>
            <w:noWrap w:val="0"/>
            <w:vAlign w:val="center"/>
          </w:tcPr>
          <w:p w14:paraId="523B8842">
            <w:pPr>
              <w:pStyle w:val="20"/>
              <w:keepNext w:val="0"/>
              <w:keepLines w:val="0"/>
              <w:suppressLineNumbers w:val="0"/>
              <w:snapToGrid w:val="0"/>
              <w:spacing w:before="0" w:beforeAutospacing="0" w:after="0" w:afterAutospacing="0" w:line="240" w:lineRule="atLeast"/>
              <w:ind w:left="1080" w:leftChars="257" w:right="0" w:hanging="540"/>
              <w:jc w:val="center"/>
              <w:textAlignment w:val="baseline"/>
              <w:rPr>
                <w:rFonts w:hint="default" w:ascii="仿宋_GB2312" w:hAnsi="仿宋_GB2312" w:eastAsia="仿宋_GB2312" w:cs="仿宋_GB2312"/>
                <w:b w:val="0"/>
                <w:i w:val="0"/>
                <w:caps w:val="0"/>
                <w:spacing w:val="0"/>
                <w:w w:val="100"/>
                <w:sz w:val="24"/>
              </w:rPr>
            </w:pPr>
          </w:p>
        </w:tc>
        <w:tc>
          <w:tcPr>
            <w:tcW w:w="1243" w:type="dxa"/>
            <w:noWrap w:val="0"/>
            <w:vAlign w:val="center"/>
          </w:tcPr>
          <w:p w14:paraId="1BA30122">
            <w:pPr>
              <w:pStyle w:val="20"/>
              <w:keepNext w:val="0"/>
              <w:keepLines w:val="0"/>
              <w:suppressLineNumbers w:val="0"/>
              <w:snapToGrid w:val="0"/>
              <w:spacing w:before="0" w:beforeAutospacing="0" w:after="0" w:afterAutospacing="0" w:line="240" w:lineRule="atLeast"/>
              <w:ind w:left="1080" w:leftChars="257" w:right="0" w:hanging="540"/>
              <w:jc w:val="center"/>
              <w:textAlignment w:val="baseline"/>
              <w:rPr>
                <w:rFonts w:hint="default" w:ascii="仿宋_GB2312" w:hAnsi="仿宋_GB2312" w:eastAsia="仿宋_GB2312" w:cs="仿宋_GB2312"/>
                <w:b w:val="0"/>
                <w:i w:val="0"/>
                <w:caps w:val="0"/>
                <w:spacing w:val="0"/>
                <w:w w:val="100"/>
                <w:sz w:val="24"/>
              </w:rPr>
            </w:pPr>
          </w:p>
        </w:tc>
        <w:tc>
          <w:tcPr>
            <w:tcW w:w="963" w:type="dxa"/>
            <w:noWrap w:val="0"/>
            <w:vAlign w:val="center"/>
          </w:tcPr>
          <w:p w14:paraId="188816D8">
            <w:pPr>
              <w:pStyle w:val="20"/>
              <w:keepNext w:val="0"/>
              <w:keepLines w:val="0"/>
              <w:suppressLineNumbers w:val="0"/>
              <w:snapToGrid w:val="0"/>
              <w:spacing w:before="0" w:beforeAutospacing="0" w:after="0" w:afterAutospacing="0" w:line="240" w:lineRule="atLeast"/>
              <w:ind w:left="1080" w:leftChars="257" w:right="0" w:hanging="540"/>
              <w:jc w:val="center"/>
              <w:textAlignment w:val="baseline"/>
              <w:rPr>
                <w:rFonts w:hint="default" w:ascii="仿宋_GB2312" w:hAnsi="仿宋_GB2312" w:eastAsia="仿宋_GB2312" w:cs="仿宋_GB2312"/>
                <w:b w:val="0"/>
                <w:i w:val="0"/>
                <w:caps w:val="0"/>
                <w:spacing w:val="0"/>
                <w:w w:val="100"/>
                <w:sz w:val="24"/>
              </w:rPr>
            </w:pPr>
          </w:p>
        </w:tc>
        <w:tc>
          <w:tcPr>
            <w:tcW w:w="961" w:type="dxa"/>
            <w:noWrap w:val="0"/>
            <w:vAlign w:val="center"/>
          </w:tcPr>
          <w:p w14:paraId="24E407F7">
            <w:pPr>
              <w:pStyle w:val="20"/>
              <w:keepNext w:val="0"/>
              <w:keepLines w:val="0"/>
              <w:suppressLineNumbers w:val="0"/>
              <w:snapToGrid w:val="0"/>
              <w:spacing w:before="0" w:beforeAutospacing="0" w:after="0" w:afterAutospacing="0" w:line="240" w:lineRule="atLeast"/>
              <w:ind w:left="1080" w:leftChars="257" w:right="0" w:hanging="540"/>
              <w:jc w:val="center"/>
              <w:textAlignment w:val="baseline"/>
              <w:rPr>
                <w:rFonts w:hint="default" w:ascii="仿宋_GB2312" w:hAnsi="仿宋_GB2312" w:eastAsia="仿宋_GB2312" w:cs="仿宋_GB2312"/>
                <w:b w:val="0"/>
                <w:i w:val="0"/>
                <w:caps w:val="0"/>
                <w:spacing w:val="0"/>
                <w:w w:val="100"/>
                <w:sz w:val="24"/>
              </w:rPr>
            </w:pPr>
          </w:p>
        </w:tc>
        <w:tc>
          <w:tcPr>
            <w:tcW w:w="849" w:type="dxa"/>
            <w:noWrap w:val="0"/>
            <w:vAlign w:val="center"/>
          </w:tcPr>
          <w:p w14:paraId="172535F2">
            <w:pPr>
              <w:pStyle w:val="20"/>
              <w:keepNext w:val="0"/>
              <w:keepLines w:val="0"/>
              <w:suppressLineNumbers w:val="0"/>
              <w:snapToGrid w:val="0"/>
              <w:spacing w:before="0" w:beforeAutospacing="0" w:after="0" w:afterAutospacing="0" w:line="240" w:lineRule="atLeast"/>
              <w:ind w:left="1080" w:leftChars="257" w:right="0" w:hanging="540"/>
              <w:jc w:val="center"/>
              <w:textAlignment w:val="baseline"/>
              <w:rPr>
                <w:rFonts w:hint="default" w:ascii="仿宋_GB2312" w:hAnsi="仿宋_GB2312" w:eastAsia="仿宋_GB2312" w:cs="仿宋_GB2312"/>
                <w:b w:val="0"/>
                <w:i w:val="0"/>
                <w:caps w:val="0"/>
                <w:spacing w:val="0"/>
                <w:w w:val="100"/>
                <w:sz w:val="24"/>
              </w:rPr>
            </w:pPr>
          </w:p>
        </w:tc>
      </w:tr>
      <w:tr w14:paraId="188AF2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7" w:hRule="atLeast"/>
        </w:trPr>
        <w:tc>
          <w:tcPr>
            <w:tcW w:w="652" w:type="dxa"/>
            <w:noWrap w:val="0"/>
            <w:vAlign w:val="center"/>
          </w:tcPr>
          <w:p w14:paraId="3B14D79A">
            <w:pPr>
              <w:pStyle w:val="20"/>
              <w:keepNext w:val="0"/>
              <w:keepLines w:val="0"/>
              <w:suppressLineNumbers w:val="0"/>
              <w:snapToGrid w:val="0"/>
              <w:spacing w:before="0" w:beforeAutospacing="0" w:after="0" w:afterAutospacing="0" w:line="240" w:lineRule="atLeast"/>
              <w:ind w:left="269" w:leftChars="128" w:right="0"/>
              <w:jc w:val="both"/>
              <w:textAlignment w:val="baseline"/>
              <w:rPr>
                <w:rFonts w:hint="default" w:ascii="仿宋_GB2312" w:hAnsi="仿宋_GB2312" w:eastAsia="仿宋_GB2312" w:cs="仿宋_GB2312"/>
                <w:b w:val="0"/>
                <w:i w:val="0"/>
                <w:caps w:val="0"/>
                <w:spacing w:val="0"/>
                <w:w w:val="100"/>
                <w:sz w:val="24"/>
              </w:rPr>
            </w:pPr>
            <w:r>
              <w:rPr>
                <w:rFonts w:hint="eastAsia" w:ascii="仿宋_GB2312" w:hAnsi="仿宋_GB2312" w:eastAsia="仿宋_GB2312" w:cs="仿宋_GB2312"/>
                <w:b w:val="0"/>
                <w:i w:val="0"/>
                <w:caps w:val="0"/>
                <w:spacing w:val="0"/>
                <w:w w:val="100"/>
                <w:sz w:val="24"/>
              </w:rPr>
              <w:t>3</w:t>
            </w:r>
          </w:p>
        </w:tc>
        <w:tc>
          <w:tcPr>
            <w:tcW w:w="1570" w:type="dxa"/>
            <w:noWrap w:val="0"/>
            <w:vAlign w:val="center"/>
          </w:tcPr>
          <w:p w14:paraId="514F9B30">
            <w:pPr>
              <w:keepNext w:val="0"/>
              <w:keepLines w:val="0"/>
              <w:suppressLineNumbers w:val="0"/>
              <w:snapToGrid w:val="0"/>
              <w:spacing w:before="0" w:beforeAutospacing="0" w:after="0" w:afterAutospacing="0" w:line="240" w:lineRule="auto"/>
              <w:ind w:left="0" w:right="0"/>
              <w:jc w:val="center"/>
              <w:textAlignment w:val="center"/>
              <w:rPr>
                <w:rFonts w:hint="default" w:ascii="仿宋_GB2312" w:hAnsi="仿宋_GB2312" w:eastAsia="仿宋_GB2312" w:cs="仿宋_GB2312"/>
                <w:b w:val="0"/>
                <w:i w:val="0"/>
                <w:caps w:val="0"/>
                <w:spacing w:val="0"/>
                <w:w w:val="100"/>
                <w:sz w:val="24"/>
              </w:rPr>
            </w:pPr>
            <w:r>
              <w:rPr>
                <w:rFonts w:hint="eastAsia" w:ascii="仿宋" w:hAnsi="仿宋" w:eastAsia="仿宋" w:cs="仿宋"/>
                <w:b w:val="0"/>
                <w:i w:val="0"/>
                <w:caps w:val="0"/>
                <w:color w:val="000000"/>
                <w:spacing w:val="0"/>
                <w:w w:val="100"/>
                <w:kern w:val="0"/>
                <w:sz w:val="24"/>
                <w:lang w:bidi="ar"/>
              </w:rPr>
              <w:t>专用工具</w:t>
            </w:r>
          </w:p>
        </w:tc>
        <w:tc>
          <w:tcPr>
            <w:tcW w:w="1336" w:type="dxa"/>
            <w:noWrap w:val="0"/>
            <w:vAlign w:val="center"/>
          </w:tcPr>
          <w:p w14:paraId="253DC4B3">
            <w:pPr>
              <w:pStyle w:val="20"/>
              <w:keepNext w:val="0"/>
              <w:keepLines w:val="0"/>
              <w:suppressLineNumbers w:val="0"/>
              <w:snapToGrid w:val="0"/>
              <w:spacing w:before="0" w:beforeAutospacing="0" w:after="0" w:afterAutospacing="0" w:line="240" w:lineRule="atLeast"/>
              <w:ind w:left="1080" w:leftChars="257" w:right="0" w:hanging="540"/>
              <w:jc w:val="center"/>
              <w:textAlignment w:val="baseline"/>
              <w:rPr>
                <w:rFonts w:hint="default" w:ascii="仿宋_GB2312" w:hAnsi="仿宋_GB2312" w:eastAsia="仿宋_GB2312" w:cs="仿宋_GB2312"/>
                <w:b w:val="0"/>
                <w:i w:val="0"/>
                <w:caps w:val="0"/>
                <w:spacing w:val="0"/>
                <w:w w:val="100"/>
                <w:sz w:val="24"/>
              </w:rPr>
            </w:pPr>
          </w:p>
        </w:tc>
        <w:tc>
          <w:tcPr>
            <w:tcW w:w="1041" w:type="dxa"/>
            <w:noWrap w:val="0"/>
            <w:vAlign w:val="center"/>
          </w:tcPr>
          <w:p w14:paraId="39563955">
            <w:pPr>
              <w:pStyle w:val="20"/>
              <w:keepNext w:val="0"/>
              <w:keepLines w:val="0"/>
              <w:suppressLineNumbers w:val="0"/>
              <w:snapToGrid w:val="0"/>
              <w:spacing w:before="0" w:beforeAutospacing="0" w:after="0" w:afterAutospacing="0" w:line="240" w:lineRule="atLeast"/>
              <w:ind w:left="1080" w:leftChars="257" w:right="0" w:hanging="540"/>
              <w:jc w:val="center"/>
              <w:textAlignment w:val="baseline"/>
              <w:rPr>
                <w:rFonts w:hint="default" w:ascii="仿宋_GB2312" w:hAnsi="仿宋_GB2312" w:eastAsia="仿宋_GB2312" w:cs="仿宋_GB2312"/>
                <w:b w:val="0"/>
                <w:i w:val="0"/>
                <w:caps w:val="0"/>
                <w:spacing w:val="0"/>
                <w:w w:val="100"/>
                <w:sz w:val="24"/>
              </w:rPr>
            </w:pPr>
          </w:p>
        </w:tc>
        <w:tc>
          <w:tcPr>
            <w:tcW w:w="979" w:type="dxa"/>
            <w:noWrap w:val="0"/>
            <w:vAlign w:val="center"/>
          </w:tcPr>
          <w:p w14:paraId="1B7D8024">
            <w:pPr>
              <w:pStyle w:val="20"/>
              <w:keepNext w:val="0"/>
              <w:keepLines w:val="0"/>
              <w:suppressLineNumbers w:val="0"/>
              <w:snapToGrid w:val="0"/>
              <w:spacing w:before="0" w:beforeAutospacing="0" w:after="0" w:afterAutospacing="0" w:line="240" w:lineRule="atLeast"/>
              <w:ind w:left="1080" w:leftChars="257" w:right="0" w:hanging="540"/>
              <w:jc w:val="center"/>
              <w:textAlignment w:val="baseline"/>
              <w:rPr>
                <w:rFonts w:hint="default" w:ascii="仿宋_GB2312" w:hAnsi="仿宋_GB2312" w:eastAsia="仿宋_GB2312" w:cs="仿宋_GB2312"/>
                <w:b w:val="0"/>
                <w:i w:val="0"/>
                <w:caps w:val="0"/>
                <w:spacing w:val="0"/>
                <w:w w:val="100"/>
                <w:sz w:val="24"/>
              </w:rPr>
            </w:pPr>
          </w:p>
        </w:tc>
        <w:tc>
          <w:tcPr>
            <w:tcW w:w="1243" w:type="dxa"/>
            <w:noWrap w:val="0"/>
            <w:vAlign w:val="center"/>
          </w:tcPr>
          <w:p w14:paraId="38A65823">
            <w:pPr>
              <w:pStyle w:val="20"/>
              <w:keepNext w:val="0"/>
              <w:keepLines w:val="0"/>
              <w:suppressLineNumbers w:val="0"/>
              <w:snapToGrid w:val="0"/>
              <w:spacing w:before="0" w:beforeAutospacing="0" w:after="0" w:afterAutospacing="0" w:line="240" w:lineRule="atLeast"/>
              <w:ind w:left="1080" w:leftChars="257" w:right="0" w:hanging="540"/>
              <w:jc w:val="center"/>
              <w:textAlignment w:val="baseline"/>
              <w:rPr>
                <w:rFonts w:hint="default" w:ascii="仿宋_GB2312" w:hAnsi="仿宋_GB2312" w:eastAsia="仿宋_GB2312" w:cs="仿宋_GB2312"/>
                <w:b w:val="0"/>
                <w:i w:val="0"/>
                <w:caps w:val="0"/>
                <w:spacing w:val="0"/>
                <w:w w:val="100"/>
                <w:sz w:val="24"/>
              </w:rPr>
            </w:pPr>
          </w:p>
        </w:tc>
        <w:tc>
          <w:tcPr>
            <w:tcW w:w="963" w:type="dxa"/>
            <w:noWrap w:val="0"/>
            <w:vAlign w:val="center"/>
          </w:tcPr>
          <w:p w14:paraId="16EAF213">
            <w:pPr>
              <w:pStyle w:val="20"/>
              <w:keepNext w:val="0"/>
              <w:keepLines w:val="0"/>
              <w:suppressLineNumbers w:val="0"/>
              <w:snapToGrid w:val="0"/>
              <w:spacing w:before="0" w:beforeAutospacing="0" w:after="0" w:afterAutospacing="0" w:line="240" w:lineRule="atLeast"/>
              <w:ind w:left="1080" w:leftChars="257" w:right="0" w:hanging="540"/>
              <w:jc w:val="center"/>
              <w:textAlignment w:val="baseline"/>
              <w:rPr>
                <w:rFonts w:hint="default" w:ascii="仿宋_GB2312" w:hAnsi="仿宋_GB2312" w:eastAsia="仿宋_GB2312" w:cs="仿宋_GB2312"/>
                <w:b w:val="0"/>
                <w:i w:val="0"/>
                <w:caps w:val="0"/>
                <w:spacing w:val="0"/>
                <w:w w:val="100"/>
                <w:sz w:val="24"/>
              </w:rPr>
            </w:pPr>
          </w:p>
        </w:tc>
        <w:tc>
          <w:tcPr>
            <w:tcW w:w="961" w:type="dxa"/>
            <w:noWrap w:val="0"/>
            <w:vAlign w:val="center"/>
          </w:tcPr>
          <w:p w14:paraId="3009287D">
            <w:pPr>
              <w:pStyle w:val="20"/>
              <w:keepNext w:val="0"/>
              <w:keepLines w:val="0"/>
              <w:suppressLineNumbers w:val="0"/>
              <w:snapToGrid w:val="0"/>
              <w:spacing w:before="0" w:beforeAutospacing="0" w:after="0" w:afterAutospacing="0" w:line="240" w:lineRule="atLeast"/>
              <w:ind w:left="1080" w:leftChars="257" w:right="0" w:hanging="540"/>
              <w:jc w:val="center"/>
              <w:textAlignment w:val="baseline"/>
              <w:rPr>
                <w:rFonts w:hint="default" w:ascii="仿宋_GB2312" w:hAnsi="仿宋_GB2312" w:eastAsia="仿宋_GB2312" w:cs="仿宋_GB2312"/>
                <w:b w:val="0"/>
                <w:i w:val="0"/>
                <w:caps w:val="0"/>
                <w:spacing w:val="0"/>
                <w:w w:val="100"/>
                <w:sz w:val="24"/>
              </w:rPr>
            </w:pPr>
          </w:p>
        </w:tc>
        <w:tc>
          <w:tcPr>
            <w:tcW w:w="849" w:type="dxa"/>
            <w:noWrap w:val="0"/>
            <w:vAlign w:val="center"/>
          </w:tcPr>
          <w:p w14:paraId="0D285065">
            <w:pPr>
              <w:pStyle w:val="20"/>
              <w:keepNext w:val="0"/>
              <w:keepLines w:val="0"/>
              <w:suppressLineNumbers w:val="0"/>
              <w:snapToGrid w:val="0"/>
              <w:spacing w:before="0" w:beforeAutospacing="0" w:after="0" w:afterAutospacing="0" w:line="240" w:lineRule="atLeast"/>
              <w:ind w:left="1080" w:leftChars="257" w:right="0" w:hanging="540"/>
              <w:jc w:val="center"/>
              <w:textAlignment w:val="baseline"/>
              <w:rPr>
                <w:rFonts w:hint="default" w:ascii="仿宋_GB2312" w:hAnsi="仿宋_GB2312" w:eastAsia="仿宋_GB2312" w:cs="仿宋_GB2312"/>
                <w:b w:val="0"/>
                <w:i w:val="0"/>
                <w:caps w:val="0"/>
                <w:spacing w:val="0"/>
                <w:w w:val="100"/>
                <w:sz w:val="24"/>
              </w:rPr>
            </w:pPr>
          </w:p>
        </w:tc>
      </w:tr>
      <w:tr w14:paraId="51AF4C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7" w:hRule="atLeast"/>
        </w:trPr>
        <w:tc>
          <w:tcPr>
            <w:tcW w:w="652" w:type="dxa"/>
            <w:noWrap w:val="0"/>
            <w:vAlign w:val="center"/>
          </w:tcPr>
          <w:p w14:paraId="7A58DCF1">
            <w:pPr>
              <w:pStyle w:val="20"/>
              <w:keepNext w:val="0"/>
              <w:keepLines w:val="0"/>
              <w:suppressLineNumbers w:val="0"/>
              <w:snapToGrid w:val="0"/>
              <w:spacing w:before="0" w:beforeAutospacing="0" w:after="0" w:afterAutospacing="0" w:line="240" w:lineRule="atLeast"/>
              <w:ind w:left="269" w:leftChars="128" w:right="0"/>
              <w:jc w:val="center"/>
              <w:textAlignment w:val="baseline"/>
              <w:rPr>
                <w:rFonts w:hint="default" w:ascii="仿宋_GB2312" w:hAnsi="仿宋_GB2312" w:eastAsia="仿宋_GB2312" w:cs="仿宋_GB2312"/>
                <w:b w:val="0"/>
                <w:i w:val="0"/>
                <w:caps w:val="0"/>
                <w:spacing w:val="0"/>
                <w:w w:val="100"/>
                <w:sz w:val="24"/>
              </w:rPr>
            </w:pPr>
            <w:r>
              <w:rPr>
                <w:rFonts w:hint="eastAsia" w:ascii="仿宋_GB2312" w:hAnsi="仿宋_GB2312" w:eastAsia="仿宋_GB2312" w:cs="仿宋_GB2312"/>
                <w:b w:val="0"/>
                <w:i w:val="0"/>
                <w:caps w:val="0"/>
                <w:spacing w:val="0"/>
                <w:w w:val="100"/>
                <w:sz w:val="24"/>
              </w:rPr>
              <w:t>4</w:t>
            </w:r>
          </w:p>
        </w:tc>
        <w:tc>
          <w:tcPr>
            <w:tcW w:w="1570" w:type="dxa"/>
            <w:noWrap w:val="0"/>
            <w:vAlign w:val="center"/>
          </w:tcPr>
          <w:p w14:paraId="46D5A85D">
            <w:pPr>
              <w:keepNext w:val="0"/>
              <w:keepLines w:val="0"/>
              <w:suppressLineNumbers w:val="0"/>
              <w:snapToGrid w:val="0"/>
              <w:spacing w:before="0" w:beforeAutospacing="0" w:after="0" w:afterAutospacing="0" w:line="240" w:lineRule="auto"/>
              <w:ind w:left="0" w:right="0"/>
              <w:jc w:val="center"/>
              <w:textAlignment w:val="center"/>
              <w:rPr>
                <w:rFonts w:hint="default" w:ascii="仿宋_GB2312" w:hAnsi="仿宋_GB2312" w:eastAsia="仿宋_GB2312" w:cs="仿宋_GB2312"/>
                <w:b w:val="0"/>
                <w:i w:val="0"/>
                <w:caps w:val="0"/>
                <w:spacing w:val="0"/>
                <w:w w:val="100"/>
                <w:sz w:val="24"/>
              </w:rPr>
            </w:pPr>
            <w:r>
              <w:rPr>
                <w:rFonts w:hint="eastAsia" w:ascii="仿宋" w:hAnsi="仿宋" w:eastAsia="仿宋" w:cs="仿宋"/>
                <w:b w:val="0"/>
                <w:i w:val="0"/>
                <w:caps w:val="0"/>
                <w:color w:val="000000"/>
                <w:spacing w:val="0"/>
                <w:w w:val="100"/>
                <w:kern w:val="0"/>
                <w:sz w:val="24"/>
                <w:lang w:bidi="ar"/>
              </w:rPr>
              <w:t>安装、调试、检验</w:t>
            </w:r>
          </w:p>
        </w:tc>
        <w:tc>
          <w:tcPr>
            <w:tcW w:w="1336" w:type="dxa"/>
            <w:noWrap w:val="0"/>
            <w:vAlign w:val="center"/>
          </w:tcPr>
          <w:p w14:paraId="406D85C4">
            <w:pPr>
              <w:pStyle w:val="20"/>
              <w:keepNext w:val="0"/>
              <w:keepLines w:val="0"/>
              <w:suppressLineNumbers w:val="0"/>
              <w:snapToGrid w:val="0"/>
              <w:spacing w:before="0" w:beforeAutospacing="0" w:after="0" w:afterAutospacing="0" w:line="240" w:lineRule="atLeast"/>
              <w:ind w:left="1080" w:leftChars="257" w:right="0" w:hanging="540"/>
              <w:jc w:val="center"/>
              <w:textAlignment w:val="baseline"/>
              <w:rPr>
                <w:rFonts w:hint="default" w:ascii="仿宋_GB2312" w:hAnsi="仿宋_GB2312" w:eastAsia="仿宋_GB2312" w:cs="仿宋_GB2312"/>
                <w:b w:val="0"/>
                <w:i w:val="0"/>
                <w:caps w:val="0"/>
                <w:spacing w:val="0"/>
                <w:w w:val="100"/>
                <w:sz w:val="24"/>
              </w:rPr>
            </w:pPr>
          </w:p>
        </w:tc>
        <w:tc>
          <w:tcPr>
            <w:tcW w:w="1041" w:type="dxa"/>
            <w:noWrap w:val="0"/>
            <w:vAlign w:val="center"/>
          </w:tcPr>
          <w:p w14:paraId="25D630A1">
            <w:pPr>
              <w:pStyle w:val="20"/>
              <w:keepNext w:val="0"/>
              <w:keepLines w:val="0"/>
              <w:suppressLineNumbers w:val="0"/>
              <w:snapToGrid w:val="0"/>
              <w:spacing w:before="0" w:beforeAutospacing="0" w:after="0" w:afterAutospacing="0" w:line="240" w:lineRule="atLeast"/>
              <w:ind w:left="1080" w:leftChars="257" w:right="0" w:hanging="540"/>
              <w:jc w:val="center"/>
              <w:textAlignment w:val="baseline"/>
              <w:rPr>
                <w:rFonts w:hint="default" w:ascii="仿宋_GB2312" w:hAnsi="仿宋_GB2312" w:eastAsia="仿宋_GB2312" w:cs="仿宋_GB2312"/>
                <w:b w:val="0"/>
                <w:i w:val="0"/>
                <w:caps w:val="0"/>
                <w:spacing w:val="0"/>
                <w:w w:val="100"/>
                <w:sz w:val="24"/>
              </w:rPr>
            </w:pPr>
          </w:p>
        </w:tc>
        <w:tc>
          <w:tcPr>
            <w:tcW w:w="979" w:type="dxa"/>
            <w:noWrap w:val="0"/>
            <w:vAlign w:val="center"/>
          </w:tcPr>
          <w:p w14:paraId="34A6DBE5">
            <w:pPr>
              <w:pStyle w:val="20"/>
              <w:keepNext w:val="0"/>
              <w:keepLines w:val="0"/>
              <w:suppressLineNumbers w:val="0"/>
              <w:snapToGrid w:val="0"/>
              <w:spacing w:before="0" w:beforeAutospacing="0" w:after="0" w:afterAutospacing="0" w:line="240" w:lineRule="atLeast"/>
              <w:ind w:left="1080" w:leftChars="257" w:right="0" w:hanging="540"/>
              <w:jc w:val="center"/>
              <w:textAlignment w:val="baseline"/>
              <w:rPr>
                <w:rFonts w:hint="default" w:ascii="仿宋_GB2312" w:hAnsi="仿宋_GB2312" w:eastAsia="仿宋_GB2312" w:cs="仿宋_GB2312"/>
                <w:b w:val="0"/>
                <w:i w:val="0"/>
                <w:caps w:val="0"/>
                <w:spacing w:val="0"/>
                <w:w w:val="100"/>
                <w:sz w:val="24"/>
              </w:rPr>
            </w:pPr>
          </w:p>
        </w:tc>
        <w:tc>
          <w:tcPr>
            <w:tcW w:w="1243" w:type="dxa"/>
            <w:noWrap w:val="0"/>
            <w:vAlign w:val="center"/>
          </w:tcPr>
          <w:p w14:paraId="0EC2A49F">
            <w:pPr>
              <w:pStyle w:val="20"/>
              <w:keepNext w:val="0"/>
              <w:keepLines w:val="0"/>
              <w:suppressLineNumbers w:val="0"/>
              <w:snapToGrid w:val="0"/>
              <w:spacing w:before="0" w:beforeAutospacing="0" w:after="0" w:afterAutospacing="0" w:line="240" w:lineRule="atLeast"/>
              <w:ind w:left="1080" w:leftChars="257" w:right="0" w:hanging="540"/>
              <w:jc w:val="center"/>
              <w:textAlignment w:val="baseline"/>
              <w:rPr>
                <w:rFonts w:hint="default" w:ascii="仿宋_GB2312" w:hAnsi="仿宋_GB2312" w:eastAsia="仿宋_GB2312" w:cs="仿宋_GB2312"/>
                <w:b w:val="0"/>
                <w:i w:val="0"/>
                <w:caps w:val="0"/>
                <w:spacing w:val="0"/>
                <w:w w:val="100"/>
                <w:sz w:val="24"/>
              </w:rPr>
            </w:pPr>
          </w:p>
        </w:tc>
        <w:tc>
          <w:tcPr>
            <w:tcW w:w="963" w:type="dxa"/>
            <w:noWrap w:val="0"/>
            <w:vAlign w:val="center"/>
          </w:tcPr>
          <w:p w14:paraId="2A3B90D0">
            <w:pPr>
              <w:pStyle w:val="20"/>
              <w:keepNext w:val="0"/>
              <w:keepLines w:val="0"/>
              <w:suppressLineNumbers w:val="0"/>
              <w:snapToGrid w:val="0"/>
              <w:spacing w:before="0" w:beforeAutospacing="0" w:after="0" w:afterAutospacing="0" w:line="240" w:lineRule="atLeast"/>
              <w:ind w:left="1080" w:leftChars="257" w:right="0" w:hanging="540"/>
              <w:jc w:val="center"/>
              <w:textAlignment w:val="baseline"/>
              <w:rPr>
                <w:rFonts w:hint="default" w:ascii="仿宋_GB2312" w:hAnsi="仿宋_GB2312" w:eastAsia="仿宋_GB2312" w:cs="仿宋_GB2312"/>
                <w:b w:val="0"/>
                <w:i w:val="0"/>
                <w:caps w:val="0"/>
                <w:spacing w:val="0"/>
                <w:w w:val="100"/>
                <w:sz w:val="24"/>
              </w:rPr>
            </w:pPr>
          </w:p>
        </w:tc>
        <w:tc>
          <w:tcPr>
            <w:tcW w:w="961" w:type="dxa"/>
            <w:noWrap w:val="0"/>
            <w:vAlign w:val="center"/>
          </w:tcPr>
          <w:p w14:paraId="79220ACC">
            <w:pPr>
              <w:pStyle w:val="20"/>
              <w:keepNext w:val="0"/>
              <w:keepLines w:val="0"/>
              <w:suppressLineNumbers w:val="0"/>
              <w:snapToGrid w:val="0"/>
              <w:spacing w:before="0" w:beforeAutospacing="0" w:after="0" w:afterAutospacing="0" w:line="240" w:lineRule="atLeast"/>
              <w:ind w:left="1080" w:leftChars="257" w:right="0" w:hanging="540"/>
              <w:jc w:val="center"/>
              <w:textAlignment w:val="baseline"/>
              <w:rPr>
                <w:rFonts w:hint="default" w:ascii="仿宋_GB2312" w:hAnsi="仿宋_GB2312" w:eastAsia="仿宋_GB2312" w:cs="仿宋_GB2312"/>
                <w:b w:val="0"/>
                <w:i w:val="0"/>
                <w:caps w:val="0"/>
                <w:spacing w:val="0"/>
                <w:w w:val="100"/>
                <w:sz w:val="24"/>
              </w:rPr>
            </w:pPr>
          </w:p>
        </w:tc>
        <w:tc>
          <w:tcPr>
            <w:tcW w:w="849" w:type="dxa"/>
            <w:noWrap w:val="0"/>
            <w:vAlign w:val="center"/>
          </w:tcPr>
          <w:p w14:paraId="2335AF01">
            <w:pPr>
              <w:pStyle w:val="20"/>
              <w:keepNext w:val="0"/>
              <w:keepLines w:val="0"/>
              <w:suppressLineNumbers w:val="0"/>
              <w:snapToGrid w:val="0"/>
              <w:spacing w:before="0" w:beforeAutospacing="0" w:after="0" w:afterAutospacing="0" w:line="240" w:lineRule="atLeast"/>
              <w:ind w:left="1080" w:leftChars="257" w:right="0" w:hanging="540"/>
              <w:jc w:val="center"/>
              <w:textAlignment w:val="baseline"/>
              <w:rPr>
                <w:rFonts w:hint="default" w:ascii="仿宋_GB2312" w:hAnsi="仿宋_GB2312" w:eastAsia="仿宋_GB2312" w:cs="仿宋_GB2312"/>
                <w:b w:val="0"/>
                <w:i w:val="0"/>
                <w:caps w:val="0"/>
                <w:spacing w:val="0"/>
                <w:w w:val="100"/>
                <w:sz w:val="24"/>
              </w:rPr>
            </w:pPr>
          </w:p>
        </w:tc>
      </w:tr>
      <w:tr w14:paraId="3764DF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7" w:hRule="atLeast"/>
        </w:trPr>
        <w:tc>
          <w:tcPr>
            <w:tcW w:w="652" w:type="dxa"/>
            <w:noWrap w:val="0"/>
            <w:vAlign w:val="center"/>
          </w:tcPr>
          <w:p w14:paraId="7271E9E0">
            <w:pPr>
              <w:pStyle w:val="20"/>
              <w:keepNext w:val="0"/>
              <w:keepLines w:val="0"/>
              <w:suppressLineNumbers w:val="0"/>
              <w:snapToGrid w:val="0"/>
              <w:spacing w:before="0" w:beforeAutospacing="0" w:after="0" w:afterAutospacing="0" w:line="240" w:lineRule="atLeast"/>
              <w:ind w:left="269" w:leftChars="128" w:right="0"/>
              <w:jc w:val="center"/>
              <w:textAlignment w:val="baseline"/>
              <w:rPr>
                <w:rFonts w:hint="default" w:ascii="仿宋_GB2312" w:hAnsi="仿宋_GB2312" w:eastAsia="仿宋_GB2312" w:cs="仿宋_GB2312"/>
                <w:b w:val="0"/>
                <w:i w:val="0"/>
                <w:caps w:val="0"/>
                <w:spacing w:val="0"/>
                <w:w w:val="100"/>
                <w:sz w:val="24"/>
              </w:rPr>
            </w:pPr>
            <w:r>
              <w:rPr>
                <w:rFonts w:hint="eastAsia" w:ascii="仿宋_GB2312" w:hAnsi="仿宋_GB2312" w:eastAsia="仿宋_GB2312" w:cs="仿宋_GB2312"/>
                <w:b w:val="0"/>
                <w:i w:val="0"/>
                <w:caps w:val="0"/>
                <w:spacing w:val="0"/>
                <w:w w:val="100"/>
                <w:sz w:val="24"/>
              </w:rPr>
              <w:t>5</w:t>
            </w:r>
          </w:p>
        </w:tc>
        <w:tc>
          <w:tcPr>
            <w:tcW w:w="1570" w:type="dxa"/>
            <w:noWrap w:val="0"/>
            <w:vAlign w:val="center"/>
          </w:tcPr>
          <w:p w14:paraId="7F7B6DF1">
            <w:pPr>
              <w:keepNext w:val="0"/>
              <w:keepLines w:val="0"/>
              <w:suppressLineNumbers w:val="0"/>
              <w:snapToGrid w:val="0"/>
              <w:spacing w:before="0" w:beforeAutospacing="0" w:after="0" w:afterAutospacing="0" w:line="240" w:lineRule="auto"/>
              <w:ind w:left="0" w:right="0"/>
              <w:jc w:val="center"/>
              <w:textAlignment w:val="center"/>
              <w:rPr>
                <w:rFonts w:hint="default" w:ascii="仿宋_GB2312" w:hAnsi="仿宋_GB2312" w:eastAsia="仿宋_GB2312" w:cs="仿宋_GB2312"/>
                <w:b w:val="0"/>
                <w:i w:val="0"/>
                <w:caps w:val="0"/>
                <w:spacing w:val="0"/>
                <w:w w:val="100"/>
                <w:sz w:val="24"/>
              </w:rPr>
            </w:pPr>
            <w:r>
              <w:rPr>
                <w:rFonts w:hint="eastAsia" w:ascii="仿宋" w:hAnsi="仿宋" w:eastAsia="仿宋" w:cs="仿宋"/>
                <w:b w:val="0"/>
                <w:i w:val="0"/>
                <w:caps w:val="0"/>
                <w:color w:val="000000"/>
                <w:spacing w:val="0"/>
                <w:w w:val="100"/>
                <w:kern w:val="0"/>
                <w:sz w:val="24"/>
                <w:lang w:bidi="ar"/>
              </w:rPr>
              <w:t>培训</w:t>
            </w:r>
          </w:p>
        </w:tc>
        <w:tc>
          <w:tcPr>
            <w:tcW w:w="1336" w:type="dxa"/>
            <w:noWrap w:val="0"/>
            <w:vAlign w:val="center"/>
          </w:tcPr>
          <w:p w14:paraId="629DC06E">
            <w:pPr>
              <w:pStyle w:val="20"/>
              <w:keepNext w:val="0"/>
              <w:keepLines w:val="0"/>
              <w:suppressLineNumbers w:val="0"/>
              <w:snapToGrid w:val="0"/>
              <w:spacing w:before="0" w:beforeAutospacing="0" w:after="0" w:afterAutospacing="0" w:line="240" w:lineRule="atLeast"/>
              <w:ind w:left="1080" w:leftChars="257" w:right="0" w:hanging="540"/>
              <w:jc w:val="center"/>
              <w:textAlignment w:val="baseline"/>
              <w:rPr>
                <w:rFonts w:hint="default" w:ascii="仿宋_GB2312" w:hAnsi="仿宋_GB2312" w:eastAsia="仿宋_GB2312" w:cs="仿宋_GB2312"/>
                <w:b w:val="0"/>
                <w:i w:val="0"/>
                <w:caps w:val="0"/>
                <w:spacing w:val="0"/>
                <w:w w:val="100"/>
                <w:sz w:val="24"/>
              </w:rPr>
            </w:pPr>
          </w:p>
        </w:tc>
        <w:tc>
          <w:tcPr>
            <w:tcW w:w="1041" w:type="dxa"/>
            <w:noWrap w:val="0"/>
            <w:vAlign w:val="center"/>
          </w:tcPr>
          <w:p w14:paraId="3C26D52F">
            <w:pPr>
              <w:pStyle w:val="20"/>
              <w:keepNext w:val="0"/>
              <w:keepLines w:val="0"/>
              <w:suppressLineNumbers w:val="0"/>
              <w:snapToGrid w:val="0"/>
              <w:spacing w:before="0" w:beforeAutospacing="0" w:after="0" w:afterAutospacing="0" w:line="240" w:lineRule="atLeast"/>
              <w:ind w:left="1080" w:leftChars="257" w:right="0" w:hanging="540"/>
              <w:jc w:val="center"/>
              <w:textAlignment w:val="baseline"/>
              <w:rPr>
                <w:rFonts w:hint="default" w:ascii="仿宋_GB2312" w:hAnsi="仿宋_GB2312" w:eastAsia="仿宋_GB2312" w:cs="仿宋_GB2312"/>
                <w:b w:val="0"/>
                <w:i w:val="0"/>
                <w:caps w:val="0"/>
                <w:spacing w:val="0"/>
                <w:w w:val="100"/>
                <w:sz w:val="24"/>
              </w:rPr>
            </w:pPr>
          </w:p>
        </w:tc>
        <w:tc>
          <w:tcPr>
            <w:tcW w:w="979" w:type="dxa"/>
            <w:noWrap w:val="0"/>
            <w:vAlign w:val="center"/>
          </w:tcPr>
          <w:p w14:paraId="2A1DA0AE">
            <w:pPr>
              <w:pStyle w:val="20"/>
              <w:keepNext w:val="0"/>
              <w:keepLines w:val="0"/>
              <w:suppressLineNumbers w:val="0"/>
              <w:snapToGrid w:val="0"/>
              <w:spacing w:before="0" w:beforeAutospacing="0" w:after="0" w:afterAutospacing="0" w:line="240" w:lineRule="atLeast"/>
              <w:ind w:left="1080" w:leftChars="257" w:right="0" w:hanging="540"/>
              <w:jc w:val="center"/>
              <w:textAlignment w:val="baseline"/>
              <w:rPr>
                <w:rFonts w:hint="default" w:ascii="仿宋_GB2312" w:hAnsi="仿宋_GB2312" w:eastAsia="仿宋_GB2312" w:cs="仿宋_GB2312"/>
                <w:b w:val="0"/>
                <w:i w:val="0"/>
                <w:caps w:val="0"/>
                <w:spacing w:val="0"/>
                <w:w w:val="100"/>
                <w:sz w:val="24"/>
              </w:rPr>
            </w:pPr>
          </w:p>
        </w:tc>
        <w:tc>
          <w:tcPr>
            <w:tcW w:w="1243" w:type="dxa"/>
            <w:noWrap w:val="0"/>
            <w:vAlign w:val="center"/>
          </w:tcPr>
          <w:p w14:paraId="6DE47927">
            <w:pPr>
              <w:pStyle w:val="20"/>
              <w:keepNext w:val="0"/>
              <w:keepLines w:val="0"/>
              <w:suppressLineNumbers w:val="0"/>
              <w:snapToGrid w:val="0"/>
              <w:spacing w:before="0" w:beforeAutospacing="0" w:after="0" w:afterAutospacing="0" w:line="240" w:lineRule="atLeast"/>
              <w:ind w:left="1080" w:leftChars="257" w:right="0" w:hanging="540"/>
              <w:jc w:val="center"/>
              <w:textAlignment w:val="baseline"/>
              <w:rPr>
                <w:rFonts w:hint="default" w:ascii="仿宋_GB2312" w:hAnsi="仿宋_GB2312" w:eastAsia="仿宋_GB2312" w:cs="仿宋_GB2312"/>
                <w:b w:val="0"/>
                <w:i w:val="0"/>
                <w:caps w:val="0"/>
                <w:spacing w:val="0"/>
                <w:w w:val="100"/>
                <w:sz w:val="24"/>
              </w:rPr>
            </w:pPr>
          </w:p>
        </w:tc>
        <w:tc>
          <w:tcPr>
            <w:tcW w:w="963" w:type="dxa"/>
            <w:noWrap w:val="0"/>
            <w:vAlign w:val="center"/>
          </w:tcPr>
          <w:p w14:paraId="47C35806">
            <w:pPr>
              <w:pStyle w:val="20"/>
              <w:keepNext w:val="0"/>
              <w:keepLines w:val="0"/>
              <w:suppressLineNumbers w:val="0"/>
              <w:snapToGrid w:val="0"/>
              <w:spacing w:before="0" w:beforeAutospacing="0" w:after="0" w:afterAutospacing="0" w:line="240" w:lineRule="atLeast"/>
              <w:ind w:left="1080" w:leftChars="257" w:right="0" w:hanging="540"/>
              <w:jc w:val="center"/>
              <w:textAlignment w:val="baseline"/>
              <w:rPr>
                <w:rFonts w:hint="default" w:ascii="仿宋_GB2312" w:hAnsi="仿宋_GB2312" w:eastAsia="仿宋_GB2312" w:cs="仿宋_GB2312"/>
                <w:b w:val="0"/>
                <w:i w:val="0"/>
                <w:caps w:val="0"/>
                <w:spacing w:val="0"/>
                <w:w w:val="100"/>
                <w:sz w:val="24"/>
              </w:rPr>
            </w:pPr>
          </w:p>
        </w:tc>
        <w:tc>
          <w:tcPr>
            <w:tcW w:w="961" w:type="dxa"/>
            <w:noWrap w:val="0"/>
            <w:vAlign w:val="center"/>
          </w:tcPr>
          <w:p w14:paraId="66A4CD26">
            <w:pPr>
              <w:pStyle w:val="20"/>
              <w:keepNext w:val="0"/>
              <w:keepLines w:val="0"/>
              <w:suppressLineNumbers w:val="0"/>
              <w:snapToGrid w:val="0"/>
              <w:spacing w:before="0" w:beforeAutospacing="0" w:after="0" w:afterAutospacing="0" w:line="240" w:lineRule="atLeast"/>
              <w:ind w:left="1080" w:leftChars="257" w:right="0" w:hanging="540"/>
              <w:jc w:val="center"/>
              <w:textAlignment w:val="baseline"/>
              <w:rPr>
                <w:rFonts w:hint="default" w:ascii="仿宋_GB2312" w:hAnsi="仿宋_GB2312" w:eastAsia="仿宋_GB2312" w:cs="仿宋_GB2312"/>
                <w:b w:val="0"/>
                <w:i w:val="0"/>
                <w:caps w:val="0"/>
                <w:spacing w:val="0"/>
                <w:w w:val="100"/>
                <w:sz w:val="24"/>
              </w:rPr>
            </w:pPr>
          </w:p>
        </w:tc>
        <w:tc>
          <w:tcPr>
            <w:tcW w:w="849" w:type="dxa"/>
            <w:noWrap w:val="0"/>
            <w:vAlign w:val="center"/>
          </w:tcPr>
          <w:p w14:paraId="5E98AC13">
            <w:pPr>
              <w:pStyle w:val="20"/>
              <w:keepNext w:val="0"/>
              <w:keepLines w:val="0"/>
              <w:suppressLineNumbers w:val="0"/>
              <w:snapToGrid w:val="0"/>
              <w:spacing w:before="0" w:beforeAutospacing="0" w:after="0" w:afterAutospacing="0" w:line="240" w:lineRule="atLeast"/>
              <w:ind w:left="1080" w:leftChars="257" w:right="0" w:hanging="540"/>
              <w:jc w:val="center"/>
              <w:textAlignment w:val="baseline"/>
              <w:rPr>
                <w:rFonts w:hint="default" w:ascii="仿宋_GB2312" w:hAnsi="仿宋_GB2312" w:eastAsia="仿宋_GB2312" w:cs="仿宋_GB2312"/>
                <w:b w:val="0"/>
                <w:i w:val="0"/>
                <w:caps w:val="0"/>
                <w:spacing w:val="0"/>
                <w:w w:val="100"/>
                <w:sz w:val="24"/>
              </w:rPr>
            </w:pPr>
          </w:p>
        </w:tc>
      </w:tr>
      <w:tr w14:paraId="5028E4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7" w:hRule="atLeast"/>
        </w:trPr>
        <w:tc>
          <w:tcPr>
            <w:tcW w:w="652" w:type="dxa"/>
            <w:noWrap w:val="0"/>
            <w:vAlign w:val="center"/>
          </w:tcPr>
          <w:p w14:paraId="73AA566E">
            <w:pPr>
              <w:pStyle w:val="20"/>
              <w:keepNext w:val="0"/>
              <w:keepLines w:val="0"/>
              <w:suppressLineNumbers w:val="0"/>
              <w:snapToGrid w:val="0"/>
              <w:spacing w:before="0" w:beforeAutospacing="0" w:after="0" w:afterAutospacing="0" w:line="240" w:lineRule="atLeast"/>
              <w:ind w:left="269" w:leftChars="128" w:right="0"/>
              <w:jc w:val="center"/>
              <w:textAlignment w:val="baseline"/>
              <w:rPr>
                <w:rFonts w:hint="default" w:ascii="仿宋_GB2312" w:hAnsi="仿宋_GB2312" w:eastAsia="仿宋_GB2312" w:cs="仿宋_GB2312"/>
                <w:b w:val="0"/>
                <w:i w:val="0"/>
                <w:caps w:val="0"/>
                <w:spacing w:val="0"/>
                <w:w w:val="100"/>
                <w:sz w:val="24"/>
              </w:rPr>
            </w:pPr>
            <w:r>
              <w:rPr>
                <w:rFonts w:hint="eastAsia" w:ascii="仿宋_GB2312" w:hAnsi="仿宋_GB2312" w:eastAsia="仿宋_GB2312" w:cs="仿宋_GB2312"/>
                <w:b w:val="0"/>
                <w:i w:val="0"/>
                <w:caps w:val="0"/>
                <w:spacing w:val="0"/>
                <w:w w:val="100"/>
                <w:sz w:val="24"/>
              </w:rPr>
              <w:t>6</w:t>
            </w:r>
          </w:p>
        </w:tc>
        <w:tc>
          <w:tcPr>
            <w:tcW w:w="1570" w:type="dxa"/>
            <w:noWrap w:val="0"/>
            <w:vAlign w:val="center"/>
          </w:tcPr>
          <w:p w14:paraId="437E6FD6">
            <w:pPr>
              <w:keepNext w:val="0"/>
              <w:keepLines w:val="0"/>
              <w:suppressLineNumbers w:val="0"/>
              <w:snapToGrid w:val="0"/>
              <w:spacing w:before="0" w:beforeAutospacing="0" w:after="0" w:afterAutospacing="0" w:line="240" w:lineRule="auto"/>
              <w:ind w:left="0" w:right="0"/>
              <w:jc w:val="center"/>
              <w:textAlignment w:val="center"/>
              <w:rPr>
                <w:rFonts w:hint="default" w:ascii="仿宋" w:hAnsi="仿宋" w:eastAsia="仿宋" w:cs="仿宋"/>
                <w:b w:val="0"/>
                <w:i w:val="0"/>
                <w:caps w:val="0"/>
                <w:color w:val="000000"/>
                <w:spacing w:val="0"/>
                <w:w w:val="100"/>
                <w:kern w:val="0"/>
                <w:sz w:val="24"/>
                <w:lang w:bidi="ar"/>
              </w:rPr>
            </w:pPr>
            <w:r>
              <w:rPr>
                <w:rFonts w:hint="eastAsia" w:ascii="仿宋" w:hAnsi="仿宋" w:eastAsia="仿宋" w:cs="仿宋"/>
                <w:b w:val="0"/>
                <w:i w:val="0"/>
                <w:caps w:val="0"/>
                <w:color w:val="000000"/>
                <w:spacing w:val="0"/>
                <w:w w:val="100"/>
                <w:kern w:val="0"/>
                <w:sz w:val="24"/>
                <w:lang w:bidi="ar"/>
              </w:rPr>
              <w:t>.....</w:t>
            </w:r>
          </w:p>
        </w:tc>
        <w:tc>
          <w:tcPr>
            <w:tcW w:w="1336" w:type="dxa"/>
            <w:noWrap w:val="0"/>
            <w:vAlign w:val="center"/>
          </w:tcPr>
          <w:p w14:paraId="09AB7BBB">
            <w:pPr>
              <w:pStyle w:val="20"/>
              <w:keepNext w:val="0"/>
              <w:keepLines w:val="0"/>
              <w:suppressLineNumbers w:val="0"/>
              <w:snapToGrid w:val="0"/>
              <w:spacing w:before="0" w:beforeAutospacing="0" w:after="0" w:afterAutospacing="0" w:line="240" w:lineRule="atLeast"/>
              <w:ind w:left="1080" w:leftChars="257" w:right="0" w:hanging="540"/>
              <w:jc w:val="center"/>
              <w:textAlignment w:val="baseline"/>
              <w:rPr>
                <w:rFonts w:hint="default" w:ascii="仿宋_GB2312" w:hAnsi="仿宋_GB2312" w:eastAsia="仿宋_GB2312" w:cs="仿宋_GB2312"/>
                <w:b w:val="0"/>
                <w:i w:val="0"/>
                <w:caps w:val="0"/>
                <w:spacing w:val="0"/>
                <w:w w:val="100"/>
                <w:sz w:val="24"/>
              </w:rPr>
            </w:pPr>
          </w:p>
        </w:tc>
        <w:tc>
          <w:tcPr>
            <w:tcW w:w="1041" w:type="dxa"/>
            <w:noWrap w:val="0"/>
            <w:vAlign w:val="center"/>
          </w:tcPr>
          <w:p w14:paraId="2C7CDB7A">
            <w:pPr>
              <w:pStyle w:val="20"/>
              <w:keepNext w:val="0"/>
              <w:keepLines w:val="0"/>
              <w:suppressLineNumbers w:val="0"/>
              <w:snapToGrid w:val="0"/>
              <w:spacing w:before="0" w:beforeAutospacing="0" w:after="0" w:afterAutospacing="0" w:line="240" w:lineRule="atLeast"/>
              <w:ind w:left="1080" w:leftChars="257" w:right="0" w:hanging="540"/>
              <w:jc w:val="center"/>
              <w:textAlignment w:val="baseline"/>
              <w:rPr>
                <w:rFonts w:hint="default" w:ascii="仿宋_GB2312" w:hAnsi="仿宋_GB2312" w:eastAsia="仿宋_GB2312" w:cs="仿宋_GB2312"/>
                <w:b w:val="0"/>
                <w:i w:val="0"/>
                <w:caps w:val="0"/>
                <w:spacing w:val="0"/>
                <w:w w:val="100"/>
                <w:sz w:val="24"/>
              </w:rPr>
            </w:pPr>
          </w:p>
        </w:tc>
        <w:tc>
          <w:tcPr>
            <w:tcW w:w="979" w:type="dxa"/>
            <w:noWrap w:val="0"/>
            <w:vAlign w:val="center"/>
          </w:tcPr>
          <w:p w14:paraId="65533394">
            <w:pPr>
              <w:pStyle w:val="20"/>
              <w:keepNext w:val="0"/>
              <w:keepLines w:val="0"/>
              <w:suppressLineNumbers w:val="0"/>
              <w:snapToGrid w:val="0"/>
              <w:spacing w:before="0" w:beforeAutospacing="0" w:after="0" w:afterAutospacing="0" w:line="240" w:lineRule="atLeast"/>
              <w:ind w:left="1080" w:leftChars="257" w:right="0" w:hanging="540"/>
              <w:jc w:val="center"/>
              <w:textAlignment w:val="baseline"/>
              <w:rPr>
                <w:rFonts w:hint="default" w:ascii="仿宋_GB2312" w:hAnsi="仿宋_GB2312" w:eastAsia="仿宋_GB2312" w:cs="仿宋_GB2312"/>
                <w:b w:val="0"/>
                <w:i w:val="0"/>
                <w:caps w:val="0"/>
                <w:spacing w:val="0"/>
                <w:w w:val="100"/>
                <w:sz w:val="24"/>
              </w:rPr>
            </w:pPr>
          </w:p>
        </w:tc>
        <w:tc>
          <w:tcPr>
            <w:tcW w:w="1243" w:type="dxa"/>
            <w:noWrap w:val="0"/>
            <w:vAlign w:val="center"/>
          </w:tcPr>
          <w:p w14:paraId="49632760">
            <w:pPr>
              <w:pStyle w:val="20"/>
              <w:keepNext w:val="0"/>
              <w:keepLines w:val="0"/>
              <w:suppressLineNumbers w:val="0"/>
              <w:snapToGrid w:val="0"/>
              <w:spacing w:before="0" w:beforeAutospacing="0" w:after="0" w:afterAutospacing="0" w:line="240" w:lineRule="atLeast"/>
              <w:ind w:left="1080" w:leftChars="257" w:right="0" w:hanging="540"/>
              <w:jc w:val="center"/>
              <w:textAlignment w:val="baseline"/>
              <w:rPr>
                <w:rFonts w:hint="default" w:ascii="仿宋_GB2312" w:hAnsi="仿宋_GB2312" w:eastAsia="仿宋_GB2312" w:cs="仿宋_GB2312"/>
                <w:b w:val="0"/>
                <w:i w:val="0"/>
                <w:caps w:val="0"/>
                <w:spacing w:val="0"/>
                <w:w w:val="100"/>
                <w:sz w:val="24"/>
              </w:rPr>
            </w:pPr>
          </w:p>
        </w:tc>
        <w:tc>
          <w:tcPr>
            <w:tcW w:w="963" w:type="dxa"/>
            <w:noWrap w:val="0"/>
            <w:vAlign w:val="center"/>
          </w:tcPr>
          <w:p w14:paraId="65AFE6A4">
            <w:pPr>
              <w:pStyle w:val="20"/>
              <w:keepNext w:val="0"/>
              <w:keepLines w:val="0"/>
              <w:suppressLineNumbers w:val="0"/>
              <w:snapToGrid w:val="0"/>
              <w:spacing w:before="0" w:beforeAutospacing="0" w:after="0" w:afterAutospacing="0" w:line="240" w:lineRule="atLeast"/>
              <w:ind w:left="1080" w:leftChars="257" w:right="0" w:hanging="540"/>
              <w:jc w:val="center"/>
              <w:textAlignment w:val="baseline"/>
              <w:rPr>
                <w:rFonts w:hint="default" w:ascii="仿宋_GB2312" w:hAnsi="仿宋_GB2312" w:eastAsia="仿宋_GB2312" w:cs="仿宋_GB2312"/>
                <w:b w:val="0"/>
                <w:i w:val="0"/>
                <w:caps w:val="0"/>
                <w:spacing w:val="0"/>
                <w:w w:val="100"/>
                <w:sz w:val="24"/>
              </w:rPr>
            </w:pPr>
          </w:p>
        </w:tc>
        <w:tc>
          <w:tcPr>
            <w:tcW w:w="961" w:type="dxa"/>
            <w:noWrap w:val="0"/>
            <w:vAlign w:val="center"/>
          </w:tcPr>
          <w:p w14:paraId="0CF7AF76">
            <w:pPr>
              <w:pStyle w:val="20"/>
              <w:keepNext w:val="0"/>
              <w:keepLines w:val="0"/>
              <w:suppressLineNumbers w:val="0"/>
              <w:snapToGrid w:val="0"/>
              <w:spacing w:before="0" w:beforeAutospacing="0" w:after="0" w:afterAutospacing="0" w:line="240" w:lineRule="atLeast"/>
              <w:ind w:left="1080" w:leftChars="257" w:right="0" w:hanging="540"/>
              <w:jc w:val="center"/>
              <w:textAlignment w:val="baseline"/>
              <w:rPr>
                <w:rFonts w:hint="default" w:ascii="仿宋_GB2312" w:hAnsi="仿宋_GB2312" w:eastAsia="仿宋_GB2312" w:cs="仿宋_GB2312"/>
                <w:b w:val="0"/>
                <w:i w:val="0"/>
                <w:caps w:val="0"/>
                <w:spacing w:val="0"/>
                <w:w w:val="100"/>
                <w:sz w:val="24"/>
              </w:rPr>
            </w:pPr>
          </w:p>
        </w:tc>
        <w:tc>
          <w:tcPr>
            <w:tcW w:w="849" w:type="dxa"/>
            <w:noWrap w:val="0"/>
            <w:vAlign w:val="center"/>
          </w:tcPr>
          <w:p w14:paraId="7D54A8FD">
            <w:pPr>
              <w:pStyle w:val="20"/>
              <w:keepNext w:val="0"/>
              <w:keepLines w:val="0"/>
              <w:suppressLineNumbers w:val="0"/>
              <w:snapToGrid w:val="0"/>
              <w:spacing w:before="0" w:beforeAutospacing="0" w:after="0" w:afterAutospacing="0" w:line="240" w:lineRule="atLeast"/>
              <w:ind w:left="1080" w:leftChars="257" w:right="0" w:hanging="540"/>
              <w:jc w:val="center"/>
              <w:textAlignment w:val="baseline"/>
              <w:rPr>
                <w:rFonts w:hint="default" w:ascii="仿宋_GB2312" w:hAnsi="仿宋_GB2312" w:eastAsia="仿宋_GB2312" w:cs="仿宋_GB2312"/>
                <w:b w:val="0"/>
                <w:i w:val="0"/>
                <w:caps w:val="0"/>
                <w:spacing w:val="0"/>
                <w:w w:val="100"/>
                <w:sz w:val="24"/>
              </w:rPr>
            </w:pPr>
          </w:p>
        </w:tc>
      </w:tr>
    </w:tbl>
    <w:p w14:paraId="2CCF1A5E">
      <w:pPr>
        <w:pStyle w:val="20"/>
        <w:snapToGrid w:val="0"/>
        <w:spacing w:before="0" w:beforeAutospacing="0" w:after="0" w:afterAutospacing="0" w:line="240" w:lineRule="atLeast"/>
        <w:jc w:val="both"/>
        <w:textAlignment w:val="baseline"/>
        <w:rPr>
          <w:rFonts w:hint="eastAsia" w:ascii="仿宋" w:hAnsi="仿宋" w:eastAsia="仿宋" w:cs="仿宋"/>
          <w:b w:val="0"/>
          <w:i w:val="0"/>
          <w:caps w:val="0"/>
          <w:color w:val="000000"/>
          <w:spacing w:val="0"/>
          <w:w w:val="100"/>
          <w:sz w:val="24"/>
        </w:rPr>
      </w:pPr>
      <w:bookmarkStart w:id="1294" w:name="_Toc216582816"/>
      <w:bookmarkStart w:id="1295" w:name="_Toc18267"/>
      <w:bookmarkStart w:id="1296" w:name="_Toc515647819"/>
      <w:bookmarkStart w:id="1297" w:name="_Toc14037"/>
      <w:bookmarkStart w:id="1298" w:name="_Toc32398"/>
    </w:p>
    <w:p w14:paraId="35AEFAF8">
      <w:pPr>
        <w:pStyle w:val="20"/>
        <w:snapToGrid w:val="0"/>
        <w:spacing w:before="0" w:beforeAutospacing="0" w:after="0" w:afterAutospacing="0" w:line="240" w:lineRule="atLeast"/>
        <w:jc w:val="both"/>
        <w:textAlignment w:val="baseline"/>
        <w:rPr>
          <w:rFonts w:ascii="仿宋" w:hAnsi="仿宋" w:eastAsia="仿宋" w:cs="仿宋"/>
          <w:b w:val="0"/>
          <w:i w:val="0"/>
          <w:caps w:val="0"/>
          <w:color w:val="000000"/>
          <w:spacing w:val="0"/>
          <w:w w:val="100"/>
          <w:sz w:val="24"/>
        </w:rPr>
      </w:pPr>
      <w:r>
        <w:rPr>
          <w:rFonts w:hint="eastAsia" w:ascii="仿宋" w:hAnsi="仿宋" w:eastAsia="仿宋" w:cs="仿宋"/>
          <w:b w:val="0"/>
          <w:i w:val="0"/>
          <w:caps w:val="0"/>
          <w:color w:val="000000"/>
          <w:spacing w:val="0"/>
          <w:w w:val="100"/>
          <w:sz w:val="24"/>
        </w:rPr>
        <w:t>法定代表人（或企业负责人）或其委托代理人</w:t>
      </w:r>
      <w:r>
        <w:rPr>
          <w:rFonts w:hint="eastAsia" w:ascii="仿宋" w:hAnsi="仿宋" w:eastAsia="仿宋" w:cs="仿宋"/>
          <w:b w:val="0"/>
          <w:i w:val="0"/>
          <w:caps w:val="0"/>
          <w:color w:val="000000"/>
          <w:spacing w:val="0"/>
          <w:w w:val="100"/>
          <w:sz w:val="24"/>
          <w:lang w:eastAsia="zh-CN"/>
        </w:rPr>
        <w:t>（</w:t>
      </w:r>
      <w:r>
        <w:rPr>
          <w:rFonts w:hint="eastAsia" w:ascii="仿宋" w:hAnsi="仿宋" w:eastAsia="仿宋" w:cs="仿宋"/>
          <w:b w:val="0"/>
          <w:i w:val="0"/>
          <w:caps w:val="0"/>
          <w:color w:val="000000"/>
          <w:spacing w:val="0"/>
          <w:w w:val="100"/>
          <w:sz w:val="24"/>
        </w:rPr>
        <w:t>签字</w:t>
      </w:r>
      <w:r>
        <w:rPr>
          <w:rFonts w:hint="eastAsia" w:ascii="仿宋" w:hAnsi="仿宋" w:eastAsia="仿宋" w:cs="仿宋"/>
          <w:b w:val="0"/>
          <w:i w:val="0"/>
          <w:caps w:val="0"/>
          <w:color w:val="000000"/>
          <w:spacing w:val="0"/>
          <w:w w:val="100"/>
          <w:sz w:val="24"/>
          <w:lang w:val="en-US" w:eastAsia="zh-CN"/>
        </w:rPr>
        <w:t>或签章</w:t>
      </w:r>
      <w:r>
        <w:rPr>
          <w:rFonts w:hint="eastAsia" w:ascii="仿宋" w:hAnsi="仿宋" w:eastAsia="仿宋" w:cs="仿宋"/>
          <w:b w:val="0"/>
          <w:i w:val="0"/>
          <w:caps w:val="0"/>
          <w:color w:val="000000"/>
          <w:spacing w:val="0"/>
          <w:w w:val="100"/>
          <w:sz w:val="24"/>
          <w:lang w:eastAsia="zh-CN"/>
        </w:rPr>
        <w:t>）</w:t>
      </w:r>
      <w:r>
        <w:rPr>
          <w:rFonts w:hint="eastAsia" w:ascii="仿宋" w:hAnsi="仿宋" w:eastAsia="仿宋" w:cs="仿宋"/>
          <w:b w:val="0"/>
          <w:i w:val="0"/>
          <w:caps w:val="0"/>
          <w:color w:val="000000"/>
          <w:spacing w:val="0"/>
          <w:w w:val="100"/>
          <w:sz w:val="24"/>
        </w:rPr>
        <w:t>:</w:t>
      </w:r>
      <w:r>
        <w:rPr>
          <w:rFonts w:hint="eastAsia" w:ascii="仿宋" w:hAnsi="仿宋" w:eastAsia="仿宋" w:cs="仿宋"/>
          <w:b w:val="0"/>
          <w:i w:val="0"/>
          <w:caps w:val="0"/>
          <w:color w:val="000000"/>
          <w:spacing w:val="0"/>
          <w:w w:val="100"/>
          <w:sz w:val="24"/>
          <w:u w:val="single" w:color="000000"/>
        </w:rPr>
        <w:t xml:space="preserve"> </w:t>
      </w:r>
      <w:r>
        <w:rPr>
          <w:rFonts w:hint="eastAsia" w:ascii="仿宋" w:hAnsi="仿宋" w:eastAsia="仿宋" w:cs="仿宋"/>
          <w:b w:val="0"/>
          <w:i w:val="0"/>
          <w:caps w:val="0"/>
          <w:color w:val="000000"/>
          <w:spacing w:val="0"/>
          <w:w w:val="100"/>
          <w:sz w:val="24"/>
          <w:u w:val="single" w:color="000000"/>
        </w:rPr>
        <w:tab/>
      </w:r>
      <w:r>
        <w:rPr>
          <w:rFonts w:hint="eastAsia" w:ascii="仿宋" w:hAnsi="仿宋" w:eastAsia="仿宋" w:cs="仿宋"/>
          <w:b w:val="0"/>
          <w:i w:val="0"/>
          <w:caps w:val="0"/>
          <w:color w:val="000000"/>
          <w:spacing w:val="0"/>
          <w:w w:val="100"/>
          <w:sz w:val="24"/>
          <w:u w:val="single" w:color="000000"/>
        </w:rPr>
        <w:t xml:space="preserve">                 </w:t>
      </w:r>
    </w:p>
    <w:p w14:paraId="19001F66">
      <w:pPr>
        <w:pStyle w:val="20"/>
        <w:tabs>
          <w:tab w:val="left" w:pos="5370"/>
        </w:tabs>
        <w:snapToGrid w:val="0"/>
        <w:spacing w:before="0" w:beforeAutospacing="0" w:after="0" w:afterAutospacing="0" w:line="240" w:lineRule="atLeast"/>
        <w:jc w:val="both"/>
        <w:textAlignment w:val="baseline"/>
        <w:rPr>
          <w:rFonts w:ascii="仿宋" w:hAnsi="仿宋" w:eastAsia="仿宋" w:cs="仿宋"/>
          <w:b w:val="0"/>
          <w:i w:val="0"/>
          <w:caps w:val="0"/>
          <w:color w:val="000000"/>
          <w:spacing w:val="0"/>
          <w:w w:val="100"/>
          <w:sz w:val="24"/>
          <w:u w:val="single" w:color="000000"/>
        </w:rPr>
      </w:pPr>
      <w:r>
        <w:rPr>
          <w:rFonts w:hint="eastAsia" w:ascii="仿宋" w:hAnsi="仿宋" w:eastAsia="仿宋" w:cs="仿宋"/>
          <w:b w:val="0"/>
          <w:i w:val="0"/>
          <w:caps w:val="0"/>
          <w:color w:val="000000"/>
          <w:spacing w:val="0"/>
          <w:w w:val="100"/>
          <w:sz w:val="24"/>
        </w:rPr>
        <w:t>投标人(盖单位章):</w:t>
      </w:r>
      <w:r>
        <w:rPr>
          <w:rFonts w:hint="eastAsia" w:ascii="仿宋" w:hAnsi="仿宋" w:eastAsia="仿宋" w:cs="仿宋"/>
          <w:b w:val="0"/>
          <w:i w:val="0"/>
          <w:caps w:val="0"/>
          <w:color w:val="000000"/>
          <w:spacing w:val="0"/>
          <w:w w:val="100"/>
          <w:sz w:val="24"/>
          <w:u w:val="single" w:color="000000"/>
        </w:rPr>
        <w:tab/>
      </w:r>
    </w:p>
    <w:p w14:paraId="6081E78E">
      <w:pPr>
        <w:pStyle w:val="20"/>
        <w:snapToGrid w:val="0"/>
        <w:spacing w:before="0" w:beforeAutospacing="0" w:after="0" w:afterAutospacing="0" w:line="240" w:lineRule="atLeast"/>
        <w:jc w:val="both"/>
        <w:textAlignment w:val="baseline"/>
        <w:rPr>
          <w:rFonts w:ascii="仿宋" w:hAnsi="仿宋" w:eastAsia="仿宋" w:cs="仿宋"/>
          <w:b w:val="0"/>
          <w:i w:val="0"/>
          <w:caps w:val="0"/>
          <w:color w:val="000000"/>
          <w:spacing w:val="0"/>
          <w:w w:val="100"/>
          <w:sz w:val="24"/>
        </w:rPr>
      </w:pPr>
      <w:r>
        <w:rPr>
          <w:rFonts w:hint="eastAsia" w:ascii="仿宋" w:hAnsi="仿宋" w:eastAsia="仿宋" w:cs="仿宋"/>
          <w:b w:val="0"/>
          <w:i w:val="0"/>
          <w:caps w:val="0"/>
          <w:color w:val="000000"/>
          <w:spacing w:val="0"/>
          <w:w w:val="100"/>
          <w:sz w:val="24"/>
        </w:rPr>
        <w:t>注: 1.如果投标人认为需要，每种服务、货物填写一份该表。</w:t>
      </w:r>
    </w:p>
    <w:p w14:paraId="7A2CB17E">
      <w:pPr>
        <w:pStyle w:val="20"/>
        <w:snapToGrid w:val="0"/>
        <w:spacing w:before="0" w:beforeAutospacing="0" w:after="0" w:afterAutospacing="0" w:line="240" w:lineRule="atLeast"/>
        <w:ind w:firstLine="480" w:firstLineChars="200"/>
        <w:jc w:val="both"/>
        <w:textAlignment w:val="baseline"/>
        <w:rPr>
          <w:rFonts w:ascii="仿宋" w:hAnsi="仿宋" w:eastAsia="仿宋" w:cs="仿宋"/>
          <w:b w:val="0"/>
          <w:i w:val="0"/>
          <w:caps w:val="0"/>
          <w:color w:val="000000"/>
          <w:spacing w:val="0"/>
          <w:w w:val="100"/>
          <w:sz w:val="24"/>
        </w:rPr>
      </w:pPr>
      <w:r>
        <w:rPr>
          <w:rFonts w:hint="eastAsia" w:ascii="仿宋" w:hAnsi="仿宋" w:eastAsia="仿宋" w:cs="仿宋"/>
          <w:b w:val="0"/>
          <w:i w:val="0"/>
          <w:caps w:val="0"/>
          <w:color w:val="000000"/>
          <w:spacing w:val="0"/>
          <w:w w:val="100"/>
          <w:sz w:val="24"/>
        </w:rPr>
        <w:t>2.如果按单价计算的结果与总价不一致,以单价为准修正总价。</w:t>
      </w:r>
    </w:p>
    <w:p w14:paraId="5C24A655">
      <w:pPr>
        <w:pStyle w:val="20"/>
        <w:snapToGrid w:val="0"/>
        <w:spacing w:before="0" w:beforeAutospacing="0" w:after="0" w:afterAutospacing="0" w:line="240" w:lineRule="atLeast"/>
        <w:ind w:firstLine="480" w:firstLineChars="200"/>
        <w:jc w:val="both"/>
        <w:textAlignment w:val="baseline"/>
        <w:rPr>
          <w:rFonts w:ascii="仿宋" w:hAnsi="仿宋" w:eastAsia="仿宋" w:cs="仿宋"/>
          <w:b w:val="0"/>
          <w:i w:val="0"/>
          <w:caps w:val="0"/>
          <w:color w:val="000000"/>
          <w:spacing w:val="0"/>
          <w:w w:val="100"/>
          <w:sz w:val="24"/>
        </w:rPr>
      </w:pPr>
      <w:r>
        <w:rPr>
          <w:rFonts w:hint="eastAsia" w:ascii="仿宋" w:hAnsi="仿宋" w:eastAsia="仿宋" w:cs="仿宋"/>
          <w:b w:val="0"/>
          <w:i w:val="0"/>
          <w:caps w:val="0"/>
          <w:color w:val="000000"/>
          <w:spacing w:val="0"/>
          <w:w w:val="100"/>
          <w:sz w:val="24"/>
        </w:rPr>
        <w:t>3.如果不提供详细分项报价将视为没有实质性响应招标文件。</w:t>
      </w:r>
    </w:p>
    <w:p w14:paraId="3BE9B628">
      <w:pPr>
        <w:pStyle w:val="20"/>
        <w:snapToGrid w:val="0"/>
        <w:spacing w:before="0" w:beforeAutospacing="0" w:after="0" w:afterAutospacing="0" w:line="240" w:lineRule="atLeast"/>
        <w:ind w:firstLine="480" w:firstLineChars="200"/>
        <w:jc w:val="both"/>
        <w:textAlignment w:val="baseline"/>
        <w:rPr>
          <w:rFonts w:ascii="仿宋" w:hAnsi="仿宋" w:eastAsia="仿宋" w:cs="仿宋"/>
          <w:b w:val="0"/>
          <w:i w:val="0"/>
          <w:caps w:val="0"/>
          <w:color w:val="000000"/>
          <w:spacing w:val="0"/>
          <w:w w:val="100"/>
          <w:sz w:val="24"/>
        </w:rPr>
      </w:pPr>
      <w:r>
        <w:rPr>
          <w:rFonts w:hint="eastAsia" w:ascii="仿宋" w:hAnsi="仿宋" w:eastAsia="仿宋" w:cs="仿宋"/>
          <w:b w:val="0"/>
          <w:i w:val="0"/>
          <w:caps w:val="0"/>
          <w:color w:val="000000"/>
          <w:spacing w:val="0"/>
          <w:w w:val="100"/>
          <w:sz w:val="24"/>
        </w:rPr>
        <w:t>4.上述各项的详细分项报价，应另页描述。</w:t>
      </w:r>
    </w:p>
    <w:p w14:paraId="73BD77AA">
      <w:pPr>
        <w:pStyle w:val="20"/>
        <w:snapToGrid w:val="0"/>
        <w:spacing w:before="0" w:beforeAutospacing="0" w:after="0" w:afterAutospacing="0" w:line="240" w:lineRule="atLeast"/>
        <w:ind w:firstLine="480" w:firstLineChars="200"/>
        <w:jc w:val="both"/>
        <w:textAlignment w:val="baseline"/>
        <w:rPr>
          <w:rFonts w:ascii="仿宋" w:hAnsi="仿宋" w:eastAsia="仿宋" w:cs="仿宋"/>
          <w:b w:val="0"/>
          <w:i w:val="0"/>
          <w:caps w:val="0"/>
          <w:color w:val="000000"/>
          <w:spacing w:val="0"/>
          <w:w w:val="100"/>
          <w:sz w:val="24"/>
        </w:rPr>
      </w:pPr>
      <w:r>
        <w:rPr>
          <w:rFonts w:hint="eastAsia" w:ascii="仿宋" w:hAnsi="仿宋" w:eastAsia="仿宋" w:cs="仿宋"/>
          <w:b w:val="0"/>
          <w:i w:val="0"/>
          <w:caps w:val="0"/>
          <w:color w:val="000000"/>
          <w:spacing w:val="0"/>
          <w:w w:val="100"/>
          <w:sz w:val="24"/>
        </w:rPr>
        <w:t>5.如果开标一览表（报价表）内容与投标文件中明细表内容不一致的，以开标一览表（报价表）内容为准。</w:t>
      </w:r>
    </w:p>
    <w:p w14:paraId="4BF39E62">
      <w:pPr>
        <w:pStyle w:val="20"/>
        <w:snapToGrid w:val="0"/>
        <w:spacing w:before="0" w:beforeAutospacing="0" w:after="0" w:afterAutospacing="0" w:line="240" w:lineRule="atLeast"/>
        <w:ind w:firstLine="480" w:firstLineChars="200"/>
        <w:jc w:val="both"/>
        <w:textAlignment w:val="baseline"/>
        <w:rPr>
          <w:rFonts w:ascii="仿宋" w:hAnsi="仿宋" w:eastAsia="仿宋" w:cs="仿宋"/>
          <w:b w:val="0"/>
          <w:i w:val="0"/>
          <w:caps w:val="0"/>
          <w:spacing w:val="0"/>
          <w:w w:val="100"/>
          <w:sz w:val="24"/>
        </w:rPr>
      </w:pPr>
      <w:r>
        <w:rPr>
          <w:rFonts w:hint="eastAsia" w:ascii="仿宋" w:hAnsi="仿宋" w:eastAsia="仿宋" w:cs="仿宋"/>
          <w:b w:val="0"/>
          <w:i w:val="0"/>
          <w:caps w:val="0"/>
          <w:spacing w:val="0"/>
          <w:w w:val="100"/>
          <w:sz w:val="24"/>
        </w:rPr>
        <w:t>6.投标人可根据需要自行增减表格行数。</w:t>
      </w:r>
    </w:p>
    <w:p w14:paraId="61301CCD">
      <w:pPr>
        <w:pStyle w:val="20"/>
        <w:snapToGrid w:val="0"/>
        <w:spacing w:before="0" w:beforeAutospacing="0" w:after="0" w:afterAutospacing="0" w:line="240" w:lineRule="atLeast"/>
        <w:ind w:firstLine="480" w:firstLineChars="200"/>
        <w:jc w:val="both"/>
        <w:textAlignment w:val="baseline"/>
        <w:rPr>
          <w:rFonts w:ascii="仿宋" w:hAnsi="仿宋" w:eastAsia="仿宋" w:cs="仿宋"/>
          <w:b w:val="0"/>
          <w:i w:val="0"/>
          <w:caps w:val="0"/>
          <w:spacing w:val="0"/>
          <w:w w:val="100"/>
          <w:sz w:val="24"/>
        </w:rPr>
      </w:pPr>
      <w:r>
        <w:rPr>
          <w:rFonts w:hint="eastAsia" w:ascii="仿宋" w:hAnsi="仿宋" w:eastAsia="仿宋" w:cs="仿宋"/>
          <w:b w:val="0"/>
          <w:i w:val="0"/>
          <w:caps w:val="0"/>
          <w:spacing w:val="0"/>
          <w:w w:val="100"/>
          <w:sz w:val="24"/>
        </w:rPr>
        <w:t>7.投标人对所报相关内容的真实性负责，采购代理机构有权将相关内容进行公示，因弄虚作假导致的后果由投标人自行承担。</w:t>
      </w:r>
    </w:p>
    <w:p w14:paraId="25FAC914">
      <w:pPr>
        <w:pStyle w:val="20"/>
        <w:snapToGrid w:val="0"/>
        <w:spacing w:before="0" w:beforeAutospacing="0" w:after="0" w:afterAutospacing="0" w:line="240" w:lineRule="atLeast"/>
        <w:ind w:firstLine="480" w:firstLineChars="200"/>
        <w:jc w:val="both"/>
        <w:textAlignment w:val="baseline"/>
        <w:rPr>
          <w:rFonts w:ascii="仿宋" w:hAnsi="仿宋" w:eastAsia="仿宋" w:cs="仿宋"/>
          <w:b w:val="0"/>
          <w:i w:val="0"/>
          <w:caps w:val="0"/>
          <w:color w:val="FF0000"/>
          <w:spacing w:val="0"/>
          <w:w w:val="100"/>
          <w:sz w:val="21"/>
        </w:rPr>
      </w:pPr>
      <w:r>
        <w:rPr>
          <w:rFonts w:hint="eastAsia" w:ascii="仿宋" w:hAnsi="仿宋" w:eastAsia="仿宋" w:cs="仿宋"/>
          <w:b w:val="0"/>
          <w:i w:val="0"/>
          <w:caps w:val="0"/>
          <w:spacing w:val="0"/>
          <w:w w:val="100"/>
          <w:sz w:val="24"/>
        </w:rPr>
        <w:t>8.以上报价的货物、技术服务，包装、仓储、运输、装卸、保险、安装、税金（规费、税金）等的一切费用。</w:t>
      </w:r>
    </w:p>
    <w:p w14:paraId="538E8F9E">
      <w:pPr>
        <w:pStyle w:val="20"/>
        <w:snapToGrid w:val="0"/>
        <w:spacing w:before="0" w:beforeAutospacing="0" w:after="0" w:afterAutospacing="0" w:line="240" w:lineRule="atLeast"/>
        <w:ind w:firstLine="420" w:firstLineChars="200"/>
        <w:jc w:val="both"/>
        <w:textAlignment w:val="baseline"/>
        <w:rPr>
          <w:rFonts w:ascii="仿宋" w:hAnsi="仿宋" w:eastAsia="仿宋" w:cs="仿宋"/>
          <w:b w:val="0"/>
          <w:i w:val="0"/>
          <w:caps w:val="0"/>
          <w:color w:val="FF0000"/>
          <w:spacing w:val="0"/>
          <w:w w:val="100"/>
          <w:sz w:val="21"/>
        </w:rPr>
      </w:pPr>
    </w:p>
    <w:p w14:paraId="7703B0FB">
      <w:pPr>
        <w:pStyle w:val="2"/>
        <w:snapToGrid w:val="0"/>
        <w:spacing w:before="0" w:beforeAutospacing="0" w:after="0" w:afterAutospacing="0" w:line="240" w:lineRule="atLeast"/>
        <w:ind w:firstLine="3213" w:firstLineChars="1000"/>
        <w:jc w:val="both"/>
        <w:textAlignment w:val="baseline"/>
        <w:rPr>
          <w:rFonts w:ascii="仿宋_GB2312" w:hAnsi="仿宋_GB2312" w:eastAsia="仿宋_GB2312" w:cs="仿宋_GB2312"/>
          <w:b/>
          <w:i w:val="0"/>
          <w:caps w:val="0"/>
          <w:spacing w:val="0"/>
          <w:w w:val="100"/>
          <w:sz w:val="32"/>
          <w:szCs w:val="32"/>
        </w:rPr>
      </w:pPr>
    </w:p>
    <w:p w14:paraId="4D77F63F">
      <w:pPr>
        <w:snapToGrid w:val="0"/>
        <w:spacing w:before="0" w:beforeAutospacing="0" w:after="0" w:afterAutospacing="0" w:line="240" w:lineRule="auto"/>
        <w:jc w:val="both"/>
        <w:textAlignment w:val="baseline"/>
        <w:rPr>
          <w:rFonts w:ascii="仿宋_GB2312" w:hAnsi="仿宋_GB2312" w:eastAsia="仿宋_GB2312" w:cs="仿宋_GB2312"/>
          <w:b w:val="0"/>
          <w:i w:val="0"/>
          <w:caps w:val="0"/>
          <w:spacing w:val="0"/>
          <w:w w:val="100"/>
          <w:sz w:val="32"/>
          <w:szCs w:val="32"/>
        </w:rPr>
      </w:pPr>
    </w:p>
    <w:p w14:paraId="57490CE6">
      <w:pPr>
        <w:pStyle w:val="2"/>
        <w:snapToGrid w:val="0"/>
        <w:spacing w:before="120" w:beforeAutospacing="0" w:after="0" w:afterAutospacing="0" w:line="300" w:lineRule="auto"/>
        <w:jc w:val="center"/>
        <w:textAlignment w:val="baseline"/>
        <w:rPr>
          <w:rFonts w:ascii="Arial" w:hAnsi="Arial" w:eastAsia="黑体"/>
          <w:b/>
          <w:i w:val="0"/>
          <w:caps w:val="0"/>
          <w:spacing w:val="0"/>
          <w:w w:val="100"/>
          <w:sz w:val="30"/>
        </w:rPr>
      </w:pPr>
    </w:p>
    <w:p w14:paraId="2DB5FCC3">
      <w:pPr>
        <w:pStyle w:val="2"/>
        <w:snapToGrid w:val="0"/>
        <w:spacing w:before="120" w:beforeAutospacing="0" w:after="0" w:afterAutospacing="0" w:line="300" w:lineRule="auto"/>
        <w:jc w:val="both"/>
        <w:textAlignment w:val="baseline"/>
        <w:rPr>
          <w:rFonts w:ascii="Arial" w:hAnsi="Arial" w:eastAsia="黑体"/>
          <w:b/>
          <w:i w:val="0"/>
          <w:caps w:val="0"/>
          <w:spacing w:val="0"/>
          <w:w w:val="100"/>
          <w:sz w:val="30"/>
        </w:rPr>
      </w:pPr>
    </w:p>
    <w:p w14:paraId="4DAE6810">
      <w:pPr>
        <w:snapToGrid/>
        <w:spacing w:before="0" w:beforeAutospacing="0" w:after="0" w:afterAutospacing="0" w:line="240" w:lineRule="auto"/>
        <w:jc w:val="both"/>
        <w:textAlignment w:val="baseline"/>
        <w:rPr>
          <w:b w:val="0"/>
          <w:i w:val="0"/>
          <w:caps w:val="0"/>
          <w:spacing w:val="0"/>
          <w:w w:val="100"/>
          <w:sz w:val="20"/>
        </w:rPr>
      </w:pPr>
    </w:p>
    <w:p w14:paraId="3A54A915">
      <w:pPr>
        <w:pStyle w:val="10"/>
        <w:snapToGrid w:val="0"/>
        <w:spacing w:before="120" w:beforeAutospacing="0" w:after="0" w:afterAutospacing="0" w:line="240" w:lineRule="auto"/>
        <w:jc w:val="both"/>
        <w:textAlignment w:val="baseline"/>
        <w:rPr>
          <w:rFonts w:ascii="Cambria" w:hAnsi="Cambria"/>
          <w:b w:val="0"/>
          <w:i w:val="0"/>
          <w:caps w:val="0"/>
          <w:spacing w:val="0"/>
          <w:w w:val="100"/>
          <w:sz w:val="24"/>
        </w:rPr>
      </w:pPr>
    </w:p>
    <w:p w14:paraId="0FABB675">
      <w:pPr>
        <w:pStyle w:val="2"/>
        <w:keepNext/>
        <w:keepLines/>
        <w:pageBreakBefore w:val="0"/>
        <w:widowControl w:val="0"/>
        <w:kinsoku/>
        <w:wordWrap/>
        <w:overflowPunct/>
        <w:topLinePunct w:val="0"/>
        <w:autoSpaceDE w:val="0"/>
        <w:autoSpaceDN w:val="0"/>
        <w:bidi w:val="0"/>
        <w:adjustRightInd w:val="0"/>
        <w:snapToGrid/>
        <w:spacing w:before="0" w:line="288" w:lineRule="auto"/>
        <w:jc w:val="center"/>
        <w:textAlignment w:val="auto"/>
        <w:rPr>
          <w:rFonts w:hint="eastAsia" w:ascii="仿宋_GB2312" w:hAnsi="仿宋_GB2312" w:eastAsia="仿宋_GB2312" w:cs="仿宋_GB2312"/>
          <w:b/>
          <w:sz w:val="24"/>
          <w:lang w:val="en-US" w:eastAsia="zh-CN"/>
        </w:rPr>
      </w:pPr>
      <w:bookmarkStart w:id="1299" w:name="_Toc682"/>
      <w:bookmarkStart w:id="1300" w:name="_Toc27450"/>
      <w:bookmarkStart w:id="1301" w:name="_Toc7442"/>
      <w:bookmarkStart w:id="1302" w:name="_Toc7334"/>
      <w:bookmarkStart w:id="1303" w:name="_Toc7368"/>
      <w:bookmarkStart w:id="1304" w:name="_Toc24906"/>
      <w:bookmarkStart w:id="1305" w:name="_Toc21472"/>
      <w:bookmarkStart w:id="1306" w:name="_Toc4839"/>
      <w:bookmarkStart w:id="1307" w:name="_Toc25123"/>
      <w:bookmarkStart w:id="1308" w:name="_Toc17121"/>
      <w:bookmarkStart w:id="1309" w:name="_Toc11861"/>
      <w:bookmarkStart w:id="1310" w:name="_Toc641"/>
      <w:bookmarkStart w:id="1311" w:name="_Toc19912"/>
      <w:bookmarkStart w:id="1312" w:name="_Toc28976"/>
      <w:bookmarkStart w:id="1313" w:name="_Toc1486"/>
      <w:bookmarkStart w:id="1314" w:name="_Toc75"/>
      <w:bookmarkStart w:id="1315" w:name="_Toc30769"/>
      <w:r>
        <w:rPr>
          <w:rFonts w:hint="eastAsia" w:ascii="仿宋_GB2312" w:hAnsi="仿宋_GB2312" w:eastAsia="仿宋_GB2312" w:cs="仿宋_GB2312"/>
          <w:b/>
          <w:sz w:val="24"/>
          <w:lang w:val="en-US" w:eastAsia="zh-CN"/>
        </w:rPr>
        <w:t>3 货物说明一览表</w:t>
      </w:r>
      <w:bookmarkEnd w:id="1294"/>
      <w:bookmarkEnd w:id="1295"/>
      <w:bookmarkEnd w:id="1296"/>
      <w:bookmarkEnd w:id="1297"/>
      <w:bookmarkEnd w:id="1298"/>
      <w:bookmarkEnd w:id="1299"/>
      <w:bookmarkEnd w:id="1300"/>
      <w:bookmarkEnd w:id="1301"/>
      <w:bookmarkEnd w:id="1302"/>
      <w:bookmarkEnd w:id="1303"/>
      <w:bookmarkEnd w:id="1304"/>
      <w:bookmarkEnd w:id="1305"/>
      <w:bookmarkEnd w:id="1306"/>
      <w:bookmarkEnd w:id="1307"/>
      <w:bookmarkEnd w:id="1308"/>
      <w:bookmarkEnd w:id="1309"/>
      <w:bookmarkEnd w:id="1310"/>
      <w:bookmarkEnd w:id="1311"/>
      <w:bookmarkEnd w:id="1312"/>
      <w:bookmarkEnd w:id="1313"/>
      <w:bookmarkEnd w:id="1314"/>
      <w:bookmarkEnd w:id="1315"/>
    </w:p>
    <w:p w14:paraId="562C60F6">
      <w:pPr>
        <w:pStyle w:val="20"/>
        <w:snapToGrid w:val="0"/>
        <w:spacing w:before="0" w:beforeAutospacing="0" w:after="0" w:afterAutospacing="0" w:line="240" w:lineRule="atLeast"/>
        <w:ind w:left="1080" w:leftChars="257" w:hanging="540"/>
        <w:jc w:val="both"/>
        <w:textAlignment w:val="baseline"/>
        <w:rPr>
          <w:rFonts w:ascii="仿宋_GB2312" w:hAnsi="仿宋_GB2312" w:eastAsia="仿宋_GB2312" w:cs="仿宋_GB2312"/>
          <w:b w:val="0"/>
          <w:i w:val="0"/>
          <w:caps w:val="0"/>
          <w:spacing w:val="0"/>
          <w:w w:val="100"/>
          <w:sz w:val="24"/>
        </w:rPr>
      </w:pPr>
    </w:p>
    <w:p w14:paraId="03F86B5C">
      <w:pPr>
        <w:pStyle w:val="20"/>
        <w:snapToGrid w:val="0"/>
        <w:spacing w:before="0" w:beforeAutospacing="0" w:after="0" w:afterAutospacing="0" w:line="240" w:lineRule="atLeast"/>
        <w:ind w:left="1080" w:leftChars="257" w:hanging="540"/>
        <w:jc w:val="both"/>
        <w:textAlignment w:val="baseline"/>
        <w:rPr>
          <w:rFonts w:ascii="仿宋_GB2312" w:hAnsi="仿宋_GB2312" w:eastAsia="仿宋_GB2312" w:cs="仿宋_GB2312"/>
          <w:b w:val="0"/>
          <w:i w:val="0"/>
          <w:caps w:val="0"/>
          <w:spacing w:val="0"/>
          <w:w w:val="100"/>
          <w:sz w:val="24"/>
        </w:rPr>
      </w:pPr>
      <w:r>
        <w:rPr>
          <w:rFonts w:hint="eastAsia" w:ascii="仿宋_GB2312" w:hAnsi="仿宋_GB2312" w:eastAsia="仿宋_GB2312" w:cs="仿宋_GB2312"/>
          <w:b w:val="0"/>
          <w:i w:val="0"/>
          <w:caps w:val="0"/>
          <w:spacing w:val="0"/>
          <w:w w:val="100"/>
          <w:sz w:val="24"/>
        </w:rPr>
        <w:t xml:space="preserve">项目名称:           </w:t>
      </w:r>
      <w:r>
        <w:rPr>
          <w:rFonts w:hint="eastAsia" w:ascii="仿宋_GB2312" w:hAnsi="仿宋_GB2312" w:eastAsia="仿宋_GB2312" w:cs="仿宋_GB2312"/>
          <w:b w:val="0"/>
          <w:i w:val="0"/>
          <w:caps w:val="0"/>
          <w:spacing w:val="0"/>
          <w:w w:val="100"/>
          <w:sz w:val="24"/>
          <w:lang w:val="en-US" w:eastAsia="zh-CN"/>
        </w:rPr>
        <w:t>项目</w:t>
      </w:r>
      <w:r>
        <w:rPr>
          <w:rFonts w:hint="eastAsia" w:ascii="仿宋_GB2312" w:hAnsi="仿宋_GB2312" w:eastAsia="仿宋_GB2312" w:cs="仿宋_GB2312"/>
          <w:b w:val="0"/>
          <w:i w:val="0"/>
          <w:caps w:val="0"/>
          <w:spacing w:val="0"/>
          <w:w w:val="100"/>
          <w:sz w:val="24"/>
        </w:rPr>
        <w:t xml:space="preserve">编号:              </w:t>
      </w:r>
      <w:r>
        <w:rPr>
          <w:rFonts w:hint="eastAsia" w:ascii="仿宋_GB2312" w:hAnsi="仿宋_GB2312" w:eastAsia="仿宋_GB2312" w:cs="仿宋_GB2312"/>
          <w:b w:val="0"/>
          <w:i w:val="0"/>
          <w:caps w:val="0"/>
          <w:spacing w:val="0"/>
          <w:w w:val="100"/>
          <w:sz w:val="24"/>
          <w:lang w:val="en-US" w:eastAsia="zh-CN"/>
        </w:rPr>
        <w:t>标段</w:t>
      </w:r>
      <w:r>
        <w:rPr>
          <w:rFonts w:hint="eastAsia" w:ascii="仿宋_GB2312" w:hAnsi="仿宋_GB2312" w:eastAsia="仿宋_GB2312" w:cs="仿宋_GB2312"/>
          <w:b w:val="0"/>
          <w:i w:val="0"/>
          <w:caps w:val="0"/>
          <w:spacing w:val="0"/>
          <w:w w:val="100"/>
          <w:sz w:val="24"/>
        </w:rPr>
        <w:t xml:space="preserve">:                      </w:t>
      </w:r>
    </w:p>
    <w:p w14:paraId="7FBE3E8C">
      <w:pPr>
        <w:pStyle w:val="20"/>
        <w:snapToGrid w:val="0"/>
        <w:spacing w:before="0" w:beforeAutospacing="0" w:after="0" w:afterAutospacing="0" w:line="240" w:lineRule="atLeast"/>
        <w:ind w:left="1080" w:leftChars="257" w:hanging="540"/>
        <w:jc w:val="both"/>
        <w:textAlignment w:val="baseline"/>
        <w:rPr>
          <w:rFonts w:ascii="仿宋_GB2312" w:hAnsi="仿宋_GB2312" w:eastAsia="仿宋_GB2312" w:cs="仿宋_GB2312"/>
          <w:b w:val="0"/>
          <w:i w:val="0"/>
          <w:caps w:val="0"/>
          <w:spacing w:val="0"/>
          <w:w w:val="100"/>
          <w:sz w:val="24"/>
        </w:rPr>
      </w:pPr>
    </w:p>
    <w:tbl>
      <w:tblPr>
        <w:tblStyle w:val="38"/>
        <w:tblpPr w:leftFromText="180" w:rightFromText="180" w:vertAnchor="text" w:horzAnchor="page" w:tblpX="1506" w:tblpY="217"/>
        <w:tblOverlap w:val="never"/>
        <w:tblW w:w="86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65"/>
        <w:gridCol w:w="1326"/>
        <w:gridCol w:w="1205"/>
        <w:gridCol w:w="1085"/>
        <w:gridCol w:w="1056"/>
        <w:gridCol w:w="2126"/>
        <w:gridCol w:w="917"/>
      </w:tblGrid>
      <w:tr w14:paraId="4A1485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3" w:hRule="atLeast"/>
        </w:trPr>
        <w:tc>
          <w:tcPr>
            <w:tcW w:w="965" w:type="dxa"/>
            <w:noWrap w:val="0"/>
            <w:vAlign w:val="center"/>
          </w:tcPr>
          <w:p w14:paraId="29158093">
            <w:pPr>
              <w:pStyle w:val="20"/>
              <w:keepNext w:val="0"/>
              <w:keepLines w:val="0"/>
              <w:suppressLineNumbers w:val="0"/>
              <w:snapToGrid w:val="0"/>
              <w:spacing w:before="0" w:beforeAutospacing="0" w:after="0" w:afterAutospacing="0" w:line="240" w:lineRule="atLeast"/>
              <w:ind w:left="0" w:right="0" w:firstLine="240" w:firstLineChars="100"/>
              <w:jc w:val="center"/>
              <w:textAlignment w:val="baseline"/>
              <w:rPr>
                <w:rFonts w:hint="default" w:ascii="仿宋_GB2312" w:hAnsi="仿宋_GB2312" w:eastAsia="仿宋_GB2312" w:cs="仿宋_GB2312"/>
                <w:b w:val="0"/>
                <w:i w:val="0"/>
                <w:caps w:val="0"/>
                <w:spacing w:val="0"/>
                <w:w w:val="100"/>
                <w:sz w:val="24"/>
              </w:rPr>
            </w:pPr>
            <w:r>
              <w:rPr>
                <w:rFonts w:hint="eastAsia" w:ascii="仿宋_GB2312" w:hAnsi="仿宋_GB2312" w:eastAsia="仿宋_GB2312" w:cs="仿宋_GB2312"/>
                <w:b w:val="0"/>
                <w:i w:val="0"/>
                <w:caps w:val="0"/>
                <w:spacing w:val="0"/>
                <w:w w:val="100"/>
                <w:sz w:val="24"/>
              </w:rPr>
              <w:t>序号</w:t>
            </w:r>
          </w:p>
        </w:tc>
        <w:tc>
          <w:tcPr>
            <w:tcW w:w="1326" w:type="dxa"/>
            <w:noWrap w:val="0"/>
            <w:vAlign w:val="center"/>
          </w:tcPr>
          <w:p w14:paraId="4DBEBEEA">
            <w:pPr>
              <w:pStyle w:val="20"/>
              <w:keepNext w:val="0"/>
              <w:keepLines w:val="0"/>
              <w:suppressLineNumbers w:val="0"/>
              <w:snapToGrid w:val="0"/>
              <w:spacing w:before="0" w:beforeAutospacing="0" w:after="0" w:afterAutospacing="0" w:line="240" w:lineRule="atLeast"/>
              <w:ind w:left="0" w:right="0"/>
              <w:jc w:val="center"/>
              <w:textAlignment w:val="baseline"/>
              <w:rPr>
                <w:rFonts w:hint="default" w:ascii="仿宋_GB2312" w:hAnsi="仿宋_GB2312" w:eastAsia="仿宋_GB2312" w:cs="仿宋_GB2312"/>
                <w:b w:val="0"/>
                <w:i w:val="0"/>
                <w:caps w:val="0"/>
                <w:spacing w:val="0"/>
                <w:w w:val="100"/>
                <w:sz w:val="24"/>
              </w:rPr>
            </w:pPr>
            <w:r>
              <w:rPr>
                <w:rFonts w:hint="eastAsia" w:ascii="仿宋_GB2312" w:hAnsi="仿宋_GB2312" w:eastAsia="仿宋_GB2312" w:cs="仿宋_GB2312"/>
                <w:b w:val="0"/>
                <w:i w:val="0"/>
                <w:caps w:val="0"/>
                <w:spacing w:val="0"/>
                <w:w w:val="100"/>
                <w:sz w:val="24"/>
              </w:rPr>
              <w:t>货物名称</w:t>
            </w:r>
          </w:p>
        </w:tc>
        <w:tc>
          <w:tcPr>
            <w:tcW w:w="1205" w:type="dxa"/>
            <w:noWrap w:val="0"/>
            <w:vAlign w:val="center"/>
          </w:tcPr>
          <w:p w14:paraId="5483FC55">
            <w:pPr>
              <w:pStyle w:val="20"/>
              <w:keepNext w:val="0"/>
              <w:keepLines w:val="0"/>
              <w:suppressLineNumbers w:val="0"/>
              <w:snapToGrid w:val="0"/>
              <w:spacing w:before="0" w:beforeAutospacing="0" w:after="0" w:afterAutospacing="0" w:line="240" w:lineRule="atLeast"/>
              <w:ind w:left="0" w:right="0"/>
              <w:jc w:val="center"/>
              <w:textAlignment w:val="baseline"/>
              <w:rPr>
                <w:rFonts w:hint="default" w:ascii="仿宋_GB2312" w:hAnsi="仿宋_GB2312" w:eastAsia="仿宋_GB2312" w:cs="仿宋_GB2312"/>
                <w:b w:val="0"/>
                <w:i w:val="0"/>
                <w:caps w:val="0"/>
                <w:spacing w:val="0"/>
                <w:w w:val="100"/>
                <w:sz w:val="24"/>
              </w:rPr>
            </w:pPr>
            <w:r>
              <w:rPr>
                <w:rFonts w:hint="eastAsia" w:ascii="仿宋_GB2312" w:hAnsi="仿宋_GB2312" w:eastAsia="仿宋_GB2312" w:cs="仿宋_GB2312"/>
                <w:b w:val="0"/>
                <w:i w:val="0"/>
                <w:caps w:val="0"/>
                <w:spacing w:val="0"/>
                <w:w w:val="100"/>
                <w:sz w:val="24"/>
              </w:rPr>
              <w:t>品牌型号</w:t>
            </w:r>
          </w:p>
          <w:p w14:paraId="4CA1BF25">
            <w:pPr>
              <w:pStyle w:val="20"/>
              <w:keepNext w:val="0"/>
              <w:keepLines w:val="0"/>
              <w:suppressLineNumbers w:val="0"/>
              <w:snapToGrid w:val="0"/>
              <w:spacing w:before="0" w:beforeAutospacing="0" w:after="0" w:afterAutospacing="0" w:line="240" w:lineRule="atLeast"/>
              <w:ind w:left="0" w:right="0"/>
              <w:jc w:val="center"/>
              <w:textAlignment w:val="baseline"/>
              <w:rPr>
                <w:rFonts w:hint="default" w:ascii="仿宋_GB2312" w:hAnsi="仿宋_GB2312" w:eastAsia="仿宋_GB2312" w:cs="仿宋_GB2312"/>
                <w:b w:val="0"/>
                <w:i w:val="0"/>
                <w:caps w:val="0"/>
                <w:spacing w:val="0"/>
                <w:w w:val="100"/>
                <w:sz w:val="24"/>
              </w:rPr>
            </w:pPr>
            <w:r>
              <w:rPr>
                <w:rFonts w:hint="eastAsia" w:ascii="仿宋_GB2312" w:hAnsi="仿宋_GB2312" w:eastAsia="仿宋_GB2312" w:cs="仿宋_GB2312"/>
                <w:b w:val="0"/>
                <w:i w:val="0"/>
                <w:caps w:val="0"/>
                <w:spacing w:val="0"/>
                <w:w w:val="100"/>
                <w:sz w:val="24"/>
              </w:rPr>
              <w:t>主要规格</w:t>
            </w:r>
          </w:p>
        </w:tc>
        <w:tc>
          <w:tcPr>
            <w:tcW w:w="1085" w:type="dxa"/>
            <w:noWrap w:val="0"/>
            <w:vAlign w:val="center"/>
          </w:tcPr>
          <w:p w14:paraId="1CFE7A11">
            <w:pPr>
              <w:pStyle w:val="20"/>
              <w:keepNext w:val="0"/>
              <w:keepLines w:val="0"/>
              <w:suppressLineNumbers w:val="0"/>
              <w:snapToGrid w:val="0"/>
              <w:spacing w:before="0" w:beforeAutospacing="0" w:after="0" w:afterAutospacing="0" w:line="240" w:lineRule="atLeast"/>
              <w:ind w:left="0" w:right="0"/>
              <w:jc w:val="center"/>
              <w:textAlignment w:val="baseline"/>
              <w:rPr>
                <w:rFonts w:hint="default" w:ascii="仿宋_GB2312" w:hAnsi="仿宋_GB2312" w:eastAsia="仿宋_GB2312" w:cs="仿宋_GB2312"/>
                <w:b w:val="0"/>
                <w:i w:val="0"/>
                <w:caps w:val="0"/>
                <w:spacing w:val="0"/>
                <w:w w:val="100"/>
                <w:sz w:val="24"/>
              </w:rPr>
            </w:pPr>
            <w:r>
              <w:rPr>
                <w:rFonts w:hint="eastAsia" w:ascii="仿宋_GB2312" w:hAnsi="仿宋_GB2312" w:eastAsia="仿宋_GB2312" w:cs="仿宋_GB2312"/>
                <w:b w:val="0"/>
                <w:i w:val="0"/>
                <w:caps w:val="0"/>
                <w:spacing w:val="0"/>
                <w:w w:val="100"/>
                <w:sz w:val="24"/>
              </w:rPr>
              <w:t>数量</w:t>
            </w:r>
          </w:p>
        </w:tc>
        <w:tc>
          <w:tcPr>
            <w:tcW w:w="1056" w:type="dxa"/>
            <w:noWrap w:val="0"/>
            <w:vAlign w:val="center"/>
          </w:tcPr>
          <w:p w14:paraId="1ADAF219">
            <w:pPr>
              <w:pStyle w:val="20"/>
              <w:keepNext w:val="0"/>
              <w:keepLines w:val="0"/>
              <w:suppressLineNumbers w:val="0"/>
              <w:snapToGrid w:val="0"/>
              <w:spacing w:before="0" w:beforeAutospacing="0" w:after="0" w:afterAutospacing="0" w:line="240" w:lineRule="atLeast"/>
              <w:ind w:left="0" w:right="0"/>
              <w:jc w:val="center"/>
              <w:textAlignment w:val="baseline"/>
              <w:rPr>
                <w:rFonts w:hint="default" w:ascii="仿宋_GB2312" w:hAnsi="仿宋_GB2312" w:eastAsia="仿宋_GB2312" w:cs="仿宋_GB2312"/>
                <w:b w:val="0"/>
                <w:i w:val="0"/>
                <w:caps w:val="0"/>
                <w:spacing w:val="0"/>
                <w:w w:val="100"/>
                <w:sz w:val="24"/>
              </w:rPr>
            </w:pPr>
            <w:r>
              <w:rPr>
                <w:rFonts w:hint="eastAsia" w:ascii="仿宋_GB2312" w:hAnsi="仿宋_GB2312" w:eastAsia="仿宋_GB2312" w:cs="仿宋_GB2312"/>
                <w:b w:val="0"/>
                <w:i w:val="0"/>
                <w:caps w:val="0"/>
                <w:spacing w:val="0"/>
                <w:w w:val="100"/>
                <w:sz w:val="24"/>
              </w:rPr>
              <w:t>交货期</w:t>
            </w:r>
          </w:p>
        </w:tc>
        <w:tc>
          <w:tcPr>
            <w:tcW w:w="2126" w:type="dxa"/>
            <w:noWrap w:val="0"/>
            <w:vAlign w:val="center"/>
          </w:tcPr>
          <w:p w14:paraId="42F077E3">
            <w:pPr>
              <w:pStyle w:val="20"/>
              <w:keepNext w:val="0"/>
              <w:keepLines w:val="0"/>
              <w:suppressLineNumbers w:val="0"/>
              <w:snapToGrid w:val="0"/>
              <w:spacing w:before="0" w:beforeAutospacing="0" w:after="0" w:afterAutospacing="0" w:line="240" w:lineRule="atLeast"/>
              <w:ind w:left="0" w:right="0"/>
              <w:jc w:val="center"/>
              <w:textAlignment w:val="baseline"/>
              <w:rPr>
                <w:rFonts w:hint="default" w:ascii="仿宋_GB2312" w:hAnsi="仿宋_GB2312" w:eastAsia="仿宋_GB2312" w:cs="仿宋_GB2312"/>
                <w:b w:val="0"/>
                <w:i w:val="0"/>
                <w:caps w:val="0"/>
                <w:spacing w:val="0"/>
                <w:w w:val="100"/>
                <w:sz w:val="24"/>
              </w:rPr>
            </w:pPr>
            <w:r>
              <w:rPr>
                <w:rFonts w:hint="eastAsia" w:ascii="仿宋_GB2312" w:hAnsi="仿宋_GB2312" w:eastAsia="仿宋_GB2312" w:cs="仿宋_GB2312"/>
                <w:b w:val="0"/>
                <w:i w:val="0"/>
                <w:caps w:val="0"/>
                <w:spacing w:val="0"/>
                <w:w w:val="100"/>
                <w:sz w:val="24"/>
              </w:rPr>
              <w:t>交货地点</w:t>
            </w:r>
          </w:p>
        </w:tc>
        <w:tc>
          <w:tcPr>
            <w:tcW w:w="917" w:type="dxa"/>
            <w:noWrap w:val="0"/>
            <w:vAlign w:val="center"/>
          </w:tcPr>
          <w:p w14:paraId="4E8626E4">
            <w:pPr>
              <w:pStyle w:val="20"/>
              <w:keepNext w:val="0"/>
              <w:keepLines w:val="0"/>
              <w:suppressLineNumbers w:val="0"/>
              <w:snapToGrid w:val="0"/>
              <w:spacing w:before="0" w:beforeAutospacing="0" w:after="0" w:afterAutospacing="0" w:line="240" w:lineRule="atLeast"/>
              <w:ind w:left="0" w:right="0"/>
              <w:jc w:val="center"/>
              <w:textAlignment w:val="baseline"/>
              <w:rPr>
                <w:rFonts w:hint="default" w:ascii="仿宋_GB2312" w:hAnsi="仿宋_GB2312" w:eastAsia="仿宋_GB2312" w:cs="仿宋_GB2312"/>
                <w:b w:val="0"/>
                <w:i w:val="0"/>
                <w:caps w:val="0"/>
                <w:spacing w:val="0"/>
                <w:w w:val="100"/>
                <w:sz w:val="24"/>
              </w:rPr>
            </w:pPr>
            <w:r>
              <w:rPr>
                <w:rFonts w:hint="eastAsia" w:ascii="仿宋_GB2312" w:hAnsi="仿宋_GB2312" w:eastAsia="仿宋_GB2312" w:cs="仿宋_GB2312"/>
                <w:b w:val="0"/>
                <w:i w:val="0"/>
                <w:caps w:val="0"/>
                <w:spacing w:val="0"/>
                <w:w w:val="100"/>
                <w:sz w:val="24"/>
              </w:rPr>
              <w:t>其它</w:t>
            </w:r>
          </w:p>
        </w:tc>
      </w:tr>
      <w:tr w14:paraId="02133D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trPr>
        <w:tc>
          <w:tcPr>
            <w:tcW w:w="965" w:type="dxa"/>
            <w:noWrap w:val="0"/>
            <w:vAlign w:val="top"/>
          </w:tcPr>
          <w:p w14:paraId="44F88BCE">
            <w:pPr>
              <w:pStyle w:val="20"/>
              <w:keepNext w:val="0"/>
              <w:keepLines w:val="0"/>
              <w:suppressLineNumbers w:val="0"/>
              <w:snapToGrid w:val="0"/>
              <w:spacing w:before="0" w:beforeAutospacing="0" w:after="0" w:afterAutospacing="0" w:line="240" w:lineRule="atLeast"/>
              <w:ind w:left="1080" w:leftChars="257" w:right="0" w:hanging="540"/>
              <w:jc w:val="both"/>
              <w:textAlignment w:val="baseline"/>
              <w:rPr>
                <w:rFonts w:hint="default" w:ascii="仿宋_GB2312" w:hAnsi="仿宋_GB2312" w:eastAsia="仿宋_GB2312" w:cs="仿宋_GB2312"/>
                <w:b w:val="0"/>
                <w:i w:val="0"/>
                <w:caps w:val="0"/>
                <w:spacing w:val="0"/>
                <w:w w:val="100"/>
                <w:sz w:val="24"/>
              </w:rPr>
            </w:pPr>
          </w:p>
        </w:tc>
        <w:tc>
          <w:tcPr>
            <w:tcW w:w="1326" w:type="dxa"/>
            <w:noWrap w:val="0"/>
            <w:vAlign w:val="top"/>
          </w:tcPr>
          <w:p w14:paraId="1D40D492">
            <w:pPr>
              <w:pStyle w:val="20"/>
              <w:keepNext w:val="0"/>
              <w:keepLines w:val="0"/>
              <w:suppressLineNumbers w:val="0"/>
              <w:snapToGrid w:val="0"/>
              <w:spacing w:before="0" w:beforeAutospacing="0" w:after="0" w:afterAutospacing="0" w:line="240" w:lineRule="atLeast"/>
              <w:ind w:left="1080" w:leftChars="257" w:right="0" w:hanging="540"/>
              <w:jc w:val="both"/>
              <w:textAlignment w:val="baseline"/>
              <w:rPr>
                <w:rFonts w:hint="default" w:ascii="仿宋_GB2312" w:hAnsi="仿宋_GB2312" w:eastAsia="仿宋_GB2312" w:cs="仿宋_GB2312"/>
                <w:b w:val="0"/>
                <w:i w:val="0"/>
                <w:caps w:val="0"/>
                <w:spacing w:val="0"/>
                <w:w w:val="100"/>
                <w:sz w:val="24"/>
              </w:rPr>
            </w:pPr>
          </w:p>
        </w:tc>
        <w:tc>
          <w:tcPr>
            <w:tcW w:w="1205" w:type="dxa"/>
            <w:noWrap w:val="0"/>
            <w:vAlign w:val="top"/>
          </w:tcPr>
          <w:p w14:paraId="088F2CED">
            <w:pPr>
              <w:pStyle w:val="20"/>
              <w:keepNext w:val="0"/>
              <w:keepLines w:val="0"/>
              <w:suppressLineNumbers w:val="0"/>
              <w:snapToGrid w:val="0"/>
              <w:spacing w:before="0" w:beforeAutospacing="0" w:after="0" w:afterAutospacing="0" w:line="240" w:lineRule="atLeast"/>
              <w:ind w:left="1080" w:leftChars="257" w:right="0" w:hanging="540"/>
              <w:jc w:val="both"/>
              <w:textAlignment w:val="baseline"/>
              <w:rPr>
                <w:rFonts w:hint="default" w:ascii="仿宋_GB2312" w:hAnsi="仿宋_GB2312" w:eastAsia="仿宋_GB2312" w:cs="仿宋_GB2312"/>
                <w:b w:val="0"/>
                <w:i w:val="0"/>
                <w:caps w:val="0"/>
                <w:spacing w:val="0"/>
                <w:w w:val="100"/>
                <w:sz w:val="24"/>
              </w:rPr>
            </w:pPr>
          </w:p>
        </w:tc>
        <w:tc>
          <w:tcPr>
            <w:tcW w:w="1085" w:type="dxa"/>
            <w:noWrap w:val="0"/>
            <w:vAlign w:val="top"/>
          </w:tcPr>
          <w:p w14:paraId="3C1115AF">
            <w:pPr>
              <w:pStyle w:val="20"/>
              <w:keepNext w:val="0"/>
              <w:keepLines w:val="0"/>
              <w:suppressLineNumbers w:val="0"/>
              <w:snapToGrid w:val="0"/>
              <w:spacing w:before="0" w:beforeAutospacing="0" w:after="0" w:afterAutospacing="0" w:line="240" w:lineRule="atLeast"/>
              <w:ind w:left="1080" w:leftChars="257" w:right="0" w:hanging="540"/>
              <w:jc w:val="both"/>
              <w:textAlignment w:val="baseline"/>
              <w:rPr>
                <w:rFonts w:hint="default" w:ascii="仿宋_GB2312" w:hAnsi="仿宋_GB2312" w:eastAsia="仿宋_GB2312" w:cs="仿宋_GB2312"/>
                <w:b w:val="0"/>
                <w:i w:val="0"/>
                <w:caps w:val="0"/>
                <w:spacing w:val="0"/>
                <w:w w:val="100"/>
                <w:sz w:val="24"/>
              </w:rPr>
            </w:pPr>
          </w:p>
        </w:tc>
        <w:tc>
          <w:tcPr>
            <w:tcW w:w="1056" w:type="dxa"/>
            <w:noWrap w:val="0"/>
            <w:vAlign w:val="top"/>
          </w:tcPr>
          <w:p w14:paraId="4E9CC61A">
            <w:pPr>
              <w:pStyle w:val="20"/>
              <w:keepNext w:val="0"/>
              <w:keepLines w:val="0"/>
              <w:suppressLineNumbers w:val="0"/>
              <w:snapToGrid w:val="0"/>
              <w:spacing w:before="0" w:beforeAutospacing="0" w:after="0" w:afterAutospacing="0" w:line="240" w:lineRule="atLeast"/>
              <w:ind w:left="1080" w:leftChars="257" w:right="0" w:hanging="540"/>
              <w:jc w:val="both"/>
              <w:textAlignment w:val="baseline"/>
              <w:rPr>
                <w:rFonts w:hint="default" w:ascii="仿宋_GB2312" w:hAnsi="仿宋_GB2312" w:eastAsia="仿宋_GB2312" w:cs="仿宋_GB2312"/>
                <w:b w:val="0"/>
                <w:i w:val="0"/>
                <w:caps w:val="0"/>
                <w:spacing w:val="0"/>
                <w:w w:val="100"/>
                <w:sz w:val="24"/>
              </w:rPr>
            </w:pPr>
          </w:p>
        </w:tc>
        <w:tc>
          <w:tcPr>
            <w:tcW w:w="2126" w:type="dxa"/>
            <w:noWrap w:val="0"/>
            <w:vAlign w:val="top"/>
          </w:tcPr>
          <w:p w14:paraId="3CD3FAB2">
            <w:pPr>
              <w:pStyle w:val="20"/>
              <w:keepNext w:val="0"/>
              <w:keepLines w:val="0"/>
              <w:suppressLineNumbers w:val="0"/>
              <w:snapToGrid w:val="0"/>
              <w:spacing w:before="0" w:beforeAutospacing="0" w:after="0" w:afterAutospacing="0" w:line="240" w:lineRule="atLeast"/>
              <w:ind w:left="1080" w:leftChars="257" w:right="0" w:hanging="540"/>
              <w:jc w:val="both"/>
              <w:textAlignment w:val="baseline"/>
              <w:rPr>
                <w:rFonts w:hint="default" w:ascii="仿宋_GB2312" w:hAnsi="仿宋_GB2312" w:eastAsia="仿宋_GB2312" w:cs="仿宋_GB2312"/>
                <w:b w:val="0"/>
                <w:i w:val="0"/>
                <w:caps w:val="0"/>
                <w:spacing w:val="0"/>
                <w:w w:val="100"/>
                <w:sz w:val="24"/>
              </w:rPr>
            </w:pPr>
          </w:p>
        </w:tc>
        <w:tc>
          <w:tcPr>
            <w:tcW w:w="917" w:type="dxa"/>
            <w:noWrap w:val="0"/>
            <w:vAlign w:val="top"/>
          </w:tcPr>
          <w:p w14:paraId="564FE1EA">
            <w:pPr>
              <w:pStyle w:val="20"/>
              <w:keepNext w:val="0"/>
              <w:keepLines w:val="0"/>
              <w:suppressLineNumbers w:val="0"/>
              <w:snapToGrid w:val="0"/>
              <w:spacing w:before="0" w:beforeAutospacing="0" w:after="0" w:afterAutospacing="0" w:line="240" w:lineRule="atLeast"/>
              <w:ind w:left="1080" w:leftChars="257" w:right="0" w:hanging="540"/>
              <w:jc w:val="both"/>
              <w:textAlignment w:val="baseline"/>
              <w:rPr>
                <w:rFonts w:hint="default" w:ascii="仿宋_GB2312" w:hAnsi="仿宋_GB2312" w:eastAsia="仿宋_GB2312" w:cs="仿宋_GB2312"/>
                <w:b w:val="0"/>
                <w:i w:val="0"/>
                <w:caps w:val="0"/>
                <w:spacing w:val="0"/>
                <w:w w:val="100"/>
                <w:sz w:val="24"/>
              </w:rPr>
            </w:pPr>
          </w:p>
        </w:tc>
      </w:tr>
      <w:tr w14:paraId="7C76AB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trPr>
        <w:tc>
          <w:tcPr>
            <w:tcW w:w="965" w:type="dxa"/>
            <w:noWrap w:val="0"/>
            <w:vAlign w:val="top"/>
          </w:tcPr>
          <w:p w14:paraId="31F72946">
            <w:pPr>
              <w:pStyle w:val="20"/>
              <w:keepNext w:val="0"/>
              <w:keepLines w:val="0"/>
              <w:suppressLineNumbers w:val="0"/>
              <w:snapToGrid w:val="0"/>
              <w:spacing w:before="0" w:beforeAutospacing="0" w:after="0" w:afterAutospacing="0" w:line="240" w:lineRule="atLeast"/>
              <w:ind w:left="1080" w:leftChars="257" w:right="0" w:hanging="540"/>
              <w:jc w:val="both"/>
              <w:textAlignment w:val="baseline"/>
              <w:rPr>
                <w:rFonts w:hint="default" w:ascii="仿宋_GB2312" w:hAnsi="仿宋_GB2312" w:eastAsia="仿宋_GB2312" w:cs="仿宋_GB2312"/>
                <w:b w:val="0"/>
                <w:i w:val="0"/>
                <w:caps w:val="0"/>
                <w:spacing w:val="0"/>
                <w:w w:val="100"/>
                <w:sz w:val="24"/>
              </w:rPr>
            </w:pPr>
          </w:p>
        </w:tc>
        <w:tc>
          <w:tcPr>
            <w:tcW w:w="1326" w:type="dxa"/>
            <w:noWrap w:val="0"/>
            <w:vAlign w:val="top"/>
          </w:tcPr>
          <w:p w14:paraId="3AFD545C">
            <w:pPr>
              <w:pStyle w:val="20"/>
              <w:keepNext w:val="0"/>
              <w:keepLines w:val="0"/>
              <w:suppressLineNumbers w:val="0"/>
              <w:snapToGrid w:val="0"/>
              <w:spacing w:before="0" w:beforeAutospacing="0" w:after="0" w:afterAutospacing="0" w:line="240" w:lineRule="atLeast"/>
              <w:ind w:left="1080" w:leftChars="257" w:right="0" w:hanging="540"/>
              <w:jc w:val="both"/>
              <w:textAlignment w:val="baseline"/>
              <w:rPr>
                <w:rFonts w:hint="default" w:ascii="仿宋_GB2312" w:hAnsi="仿宋_GB2312" w:eastAsia="仿宋_GB2312" w:cs="仿宋_GB2312"/>
                <w:b w:val="0"/>
                <w:i w:val="0"/>
                <w:caps w:val="0"/>
                <w:spacing w:val="0"/>
                <w:w w:val="100"/>
                <w:sz w:val="24"/>
              </w:rPr>
            </w:pPr>
          </w:p>
        </w:tc>
        <w:tc>
          <w:tcPr>
            <w:tcW w:w="1205" w:type="dxa"/>
            <w:noWrap w:val="0"/>
            <w:vAlign w:val="top"/>
          </w:tcPr>
          <w:p w14:paraId="63EAF86F">
            <w:pPr>
              <w:pStyle w:val="20"/>
              <w:keepNext w:val="0"/>
              <w:keepLines w:val="0"/>
              <w:suppressLineNumbers w:val="0"/>
              <w:snapToGrid w:val="0"/>
              <w:spacing w:before="0" w:beforeAutospacing="0" w:after="0" w:afterAutospacing="0" w:line="240" w:lineRule="atLeast"/>
              <w:ind w:left="1080" w:leftChars="257" w:right="0" w:hanging="540"/>
              <w:jc w:val="both"/>
              <w:textAlignment w:val="baseline"/>
              <w:rPr>
                <w:rFonts w:hint="default" w:ascii="仿宋_GB2312" w:hAnsi="仿宋_GB2312" w:eastAsia="仿宋_GB2312" w:cs="仿宋_GB2312"/>
                <w:b w:val="0"/>
                <w:i w:val="0"/>
                <w:caps w:val="0"/>
                <w:spacing w:val="0"/>
                <w:w w:val="100"/>
                <w:sz w:val="24"/>
              </w:rPr>
            </w:pPr>
          </w:p>
        </w:tc>
        <w:tc>
          <w:tcPr>
            <w:tcW w:w="1085" w:type="dxa"/>
            <w:noWrap w:val="0"/>
            <w:vAlign w:val="top"/>
          </w:tcPr>
          <w:p w14:paraId="3D8B3EA4">
            <w:pPr>
              <w:pStyle w:val="20"/>
              <w:keepNext w:val="0"/>
              <w:keepLines w:val="0"/>
              <w:suppressLineNumbers w:val="0"/>
              <w:snapToGrid w:val="0"/>
              <w:spacing w:before="0" w:beforeAutospacing="0" w:after="0" w:afterAutospacing="0" w:line="240" w:lineRule="atLeast"/>
              <w:ind w:left="1080" w:leftChars="257" w:right="0" w:hanging="540"/>
              <w:jc w:val="both"/>
              <w:textAlignment w:val="baseline"/>
              <w:rPr>
                <w:rFonts w:hint="default" w:ascii="仿宋_GB2312" w:hAnsi="仿宋_GB2312" w:eastAsia="仿宋_GB2312" w:cs="仿宋_GB2312"/>
                <w:b w:val="0"/>
                <w:i w:val="0"/>
                <w:caps w:val="0"/>
                <w:spacing w:val="0"/>
                <w:w w:val="100"/>
                <w:sz w:val="24"/>
              </w:rPr>
            </w:pPr>
          </w:p>
        </w:tc>
        <w:tc>
          <w:tcPr>
            <w:tcW w:w="1056" w:type="dxa"/>
            <w:noWrap w:val="0"/>
            <w:vAlign w:val="top"/>
          </w:tcPr>
          <w:p w14:paraId="6A2B8BD8">
            <w:pPr>
              <w:pStyle w:val="20"/>
              <w:keepNext w:val="0"/>
              <w:keepLines w:val="0"/>
              <w:suppressLineNumbers w:val="0"/>
              <w:snapToGrid w:val="0"/>
              <w:spacing w:before="0" w:beforeAutospacing="0" w:after="0" w:afterAutospacing="0" w:line="240" w:lineRule="atLeast"/>
              <w:ind w:left="1080" w:leftChars="257" w:right="0" w:hanging="540"/>
              <w:jc w:val="both"/>
              <w:textAlignment w:val="baseline"/>
              <w:rPr>
                <w:rFonts w:hint="default" w:ascii="仿宋_GB2312" w:hAnsi="仿宋_GB2312" w:eastAsia="仿宋_GB2312" w:cs="仿宋_GB2312"/>
                <w:b w:val="0"/>
                <w:i w:val="0"/>
                <w:caps w:val="0"/>
                <w:spacing w:val="0"/>
                <w:w w:val="100"/>
                <w:sz w:val="24"/>
              </w:rPr>
            </w:pPr>
          </w:p>
        </w:tc>
        <w:tc>
          <w:tcPr>
            <w:tcW w:w="2126" w:type="dxa"/>
            <w:noWrap w:val="0"/>
            <w:vAlign w:val="top"/>
          </w:tcPr>
          <w:p w14:paraId="51020366">
            <w:pPr>
              <w:pStyle w:val="20"/>
              <w:keepNext w:val="0"/>
              <w:keepLines w:val="0"/>
              <w:suppressLineNumbers w:val="0"/>
              <w:snapToGrid w:val="0"/>
              <w:spacing w:before="0" w:beforeAutospacing="0" w:after="0" w:afterAutospacing="0" w:line="240" w:lineRule="atLeast"/>
              <w:ind w:left="1080" w:leftChars="257" w:right="0" w:hanging="540"/>
              <w:jc w:val="both"/>
              <w:textAlignment w:val="baseline"/>
              <w:rPr>
                <w:rFonts w:hint="default" w:ascii="仿宋_GB2312" w:hAnsi="仿宋_GB2312" w:eastAsia="仿宋_GB2312" w:cs="仿宋_GB2312"/>
                <w:b w:val="0"/>
                <w:i w:val="0"/>
                <w:caps w:val="0"/>
                <w:spacing w:val="0"/>
                <w:w w:val="100"/>
                <w:sz w:val="24"/>
              </w:rPr>
            </w:pPr>
          </w:p>
        </w:tc>
        <w:tc>
          <w:tcPr>
            <w:tcW w:w="917" w:type="dxa"/>
            <w:noWrap w:val="0"/>
            <w:vAlign w:val="top"/>
          </w:tcPr>
          <w:p w14:paraId="6639B91D">
            <w:pPr>
              <w:pStyle w:val="20"/>
              <w:keepNext w:val="0"/>
              <w:keepLines w:val="0"/>
              <w:suppressLineNumbers w:val="0"/>
              <w:snapToGrid w:val="0"/>
              <w:spacing w:before="0" w:beforeAutospacing="0" w:after="0" w:afterAutospacing="0" w:line="240" w:lineRule="atLeast"/>
              <w:ind w:left="1080" w:leftChars="257" w:right="0" w:hanging="540"/>
              <w:jc w:val="both"/>
              <w:textAlignment w:val="baseline"/>
              <w:rPr>
                <w:rFonts w:hint="default" w:ascii="仿宋_GB2312" w:hAnsi="仿宋_GB2312" w:eastAsia="仿宋_GB2312" w:cs="仿宋_GB2312"/>
                <w:b w:val="0"/>
                <w:i w:val="0"/>
                <w:caps w:val="0"/>
                <w:spacing w:val="0"/>
                <w:w w:val="100"/>
                <w:sz w:val="24"/>
              </w:rPr>
            </w:pPr>
          </w:p>
        </w:tc>
      </w:tr>
      <w:tr w14:paraId="57DA8D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trPr>
        <w:tc>
          <w:tcPr>
            <w:tcW w:w="965" w:type="dxa"/>
            <w:noWrap w:val="0"/>
            <w:vAlign w:val="top"/>
          </w:tcPr>
          <w:p w14:paraId="56647B5E">
            <w:pPr>
              <w:pStyle w:val="20"/>
              <w:keepNext w:val="0"/>
              <w:keepLines w:val="0"/>
              <w:suppressLineNumbers w:val="0"/>
              <w:snapToGrid w:val="0"/>
              <w:spacing w:before="0" w:beforeAutospacing="0" w:after="0" w:afterAutospacing="0" w:line="240" w:lineRule="atLeast"/>
              <w:ind w:left="1080" w:leftChars="257" w:right="0" w:hanging="540"/>
              <w:jc w:val="both"/>
              <w:textAlignment w:val="baseline"/>
              <w:rPr>
                <w:rFonts w:hint="default" w:ascii="仿宋_GB2312" w:hAnsi="仿宋_GB2312" w:eastAsia="仿宋_GB2312" w:cs="仿宋_GB2312"/>
                <w:b w:val="0"/>
                <w:i w:val="0"/>
                <w:caps w:val="0"/>
                <w:spacing w:val="0"/>
                <w:w w:val="100"/>
                <w:sz w:val="24"/>
              </w:rPr>
            </w:pPr>
          </w:p>
        </w:tc>
        <w:tc>
          <w:tcPr>
            <w:tcW w:w="1326" w:type="dxa"/>
            <w:noWrap w:val="0"/>
            <w:vAlign w:val="top"/>
          </w:tcPr>
          <w:p w14:paraId="5F875AAE">
            <w:pPr>
              <w:pStyle w:val="20"/>
              <w:keepNext w:val="0"/>
              <w:keepLines w:val="0"/>
              <w:suppressLineNumbers w:val="0"/>
              <w:snapToGrid w:val="0"/>
              <w:spacing w:before="0" w:beforeAutospacing="0" w:after="0" w:afterAutospacing="0" w:line="240" w:lineRule="atLeast"/>
              <w:ind w:left="1080" w:leftChars="257" w:right="0" w:hanging="540"/>
              <w:jc w:val="both"/>
              <w:textAlignment w:val="baseline"/>
              <w:rPr>
                <w:rFonts w:hint="default" w:ascii="仿宋_GB2312" w:hAnsi="仿宋_GB2312" w:eastAsia="仿宋_GB2312" w:cs="仿宋_GB2312"/>
                <w:b w:val="0"/>
                <w:i w:val="0"/>
                <w:caps w:val="0"/>
                <w:spacing w:val="0"/>
                <w:w w:val="100"/>
                <w:sz w:val="24"/>
              </w:rPr>
            </w:pPr>
          </w:p>
        </w:tc>
        <w:tc>
          <w:tcPr>
            <w:tcW w:w="1205" w:type="dxa"/>
            <w:noWrap w:val="0"/>
            <w:vAlign w:val="top"/>
          </w:tcPr>
          <w:p w14:paraId="34848625">
            <w:pPr>
              <w:pStyle w:val="20"/>
              <w:keepNext w:val="0"/>
              <w:keepLines w:val="0"/>
              <w:suppressLineNumbers w:val="0"/>
              <w:snapToGrid w:val="0"/>
              <w:spacing w:before="0" w:beforeAutospacing="0" w:after="0" w:afterAutospacing="0" w:line="240" w:lineRule="atLeast"/>
              <w:ind w:left="1080" w:leftChars="257" w:right="0" w:hanging="540"/>
              <w:jc w:val="both"/>
              <w:textAlignment w:val="baseline"/>
              <w:rPr>
                <w:rFonts w:hint="default" w:ascii="仿宋_GB2312" w:hAnsi="仿宋_GB2312" w:eastAsia="仿宋_GB2312" w:cs="仿宋_GB2312"/>
                <w:b w:val="0"/>
                <w:i w:val="0"/>
                <w:caps w:val="0"/>
                <w:spacing w:val="0"/>
                <w:w w:val="100"/>
                <w:sz w:val="24"/>
              </w:rPr>
            </w:pPr>
          </w:p>
        </w:tc>
        <w:tc>
          <w:tcPr>
            <w:tcW w:w="1085" w:type="dxa"/>
            <w:noWrap w:val="0"/>
            <w:vAlign w:val="top"/>
          </w:tcPr>
          <w:p w14:paraId="0E7A2D9E">
            <w:pPr>
              <w:pStyle w:val="20"/>
              <w:keepNext w:val="0"/>
              <w:keepLines w:val="0"/>
              <w:suppressLineNumbers w:val="0"/>
              <w:snapToGrid w:val="0"/>
              <w:spacing w:before="0" w:beforeAutospacing="0" w:after="0" w:afterAutospacing="0" w:line="240" w:lineRule="atLeast"/>
              <w:ind w:left="1080" w:leftChars="257" w:right="0" w:hanging="540"/>
              <w:jc w:val="both"/>
              <w:textAlignment w:val="baseline"/>
              <w:rPr>
                <w:rFonts w:hint="default" w:ascii="仿宋_GB2312" w:hAnsi="仿宋_GB2312" w:eastAsia="仿宋_GB2312" w:cs="仿宋_GB2312"/>
                <w:b w:val="0"/>
                <w:i w:val="0"/>
                <w:caps w:val="0"/>
                <w:spacing w:val="0"/>
                <w:w w:val="100"/>
                <w:sz w:val="24"/>
              </w:rPr>
            </w:pPr>
          </w:p>
        </w:tc>
        <w:tc>
          <w:tcPr>
            <w:tcW w:w="1056" w:type="dxa"/>
            <w:noWrap w:val="0"/>
            <w:vAlign w:val="top"/>
          </w:tcPr>
          <w:p w14:paraId="7CA239D5">
            <w:pPr>
              <w:pStyle w:val="20"/>
              <w:keepNext w:val="0"/>
              <w:keepLines w:val="0"/>
              <w:suppressLineNumbers w:val="0"/>
              <w:snapToGrid w:val="0"/>
              <w:spacing w:before="0" w:beforeAutospacing="0" w:after="0" w:afterAutospacing="0" w:line="240" w:lineRule="atLeast"/>
              <w:ind w:left="1080" w:leftChars="257" w:right="0" w:hanging="540"/>
              <w:jc w:val="both"/>
              <w:textAlignment w:val="baseline"/>
              <w:rPr>
                <w:rFonts w:hint="default" w:ascii="仿宋_GB2312" w:hAnsi="仿宋_GB2312" w:eastAsia="仿宋_GB2312" w:cs="仿宋_GB2312"/>
                <w:b w:val="0"/>
                <w:i w:val="0"/>
                <w:caps w:val="0"/>
                <w:spacing w:val="0"/>
                <w:w w:val="100"/>
                <w:sz w:val="24"/>
              </w:rPr>
            </w:pPr>
          </w:p>
        </w:tc>
        <w:tc>
          <w:tcPr>
            <w:tcW w:w="2126" w:type="dxa"/>
            <w:noWrap w:val="0"/>
            <w:vAlign w:val="top"/>
          </w:tcPr>
          <w:p w14:paraId="0E12A44F">
            <w:pPr>
              <w:pStyle w:val="20"/>
              <w:keepNext w:val="0"/>
              <w:keepLines w:val="0"/>
              <w:suppressLineNumbers w:val="0"/>
              <w:snapToGrid w:val="0"/>
              <w:spacing w:before="0" w:beforeAutospacing="0" w:after="0" w:afterAutospacing="0" w:line="240" w:lineRule="atLeast"/>
              <w:ind w:left="1080" w:leftChars="257" w:right="0" w:hanging="540"/>
              <w:jc w:val="both"/>
              <w:textAlignment w:val="baseline"/>
              <w:rPr>
                <w:rFonts w:hint="default" w:ascii="仿宋_GB2312" w:hAnsi="仿宋_GB2312" w:eastAsia="仿宋_GB2312" w:cs="仿宋_GB2312"/>
                <w:b w:val="0"/>
                <w:i w:val="0"/>
                <w:caps w:val="0"/>
                <w:spacing w:val="0"/>
                <w:w w:val="100"/>
                <w:sz w:val="24"/>
              </w:rPr>
            </w:pPr>
          </w:p>
        </w:tc>
        <w:tc>
          <w:tcPr>
            <w:tcW w:w="917" w:type="dxa"/>
            <w:noWrap w:val="0"/>
            <w:vAlign w:val="top"/>
          </w:tcPr>
          <w:p w14:paraId="43D1EEAE">
            <w:pPr>
              <w:pStyle w:val="20"/>
              <w:keepNext w:val="0"/>
              <w:keepLines w:val="0"/>
              <w:suppressLineNumbers w:val="0"/>
              <w:snapToGrid w:val="0"/>
              <w:spacing w:before="0" w:beforeAutospacing="0" w:after="0" w:afterAutospacing="0" w:line="240" w:lineRule="atLeast"/>
              <w:ind w:left="1080" w:leftChars="257" w:right="0" w:hanging="540"/>
              <w:jc w:val="both"/>
              <w:textAlignment w:val="baseline"/>
              <w:rPr>
                <w:rFonts w:hint="default" w:ascii="仿宋_GB2312" w:hAnsi="仿宋_GB2312" w:eastAsia="仿宋_GB2312" w:cs="仿宋_GB2312"/>
                <w:b w:val="0"/>
                <w:i w:val="0"/>
                <w:caps w:val="0"/>
                <w:spacing w:val="0"/>
                <w:w w:val="100"/>
                <w:sz w:val="24"/>
              </w:rPr>
            </w:pPr>
          </w:p>
        </w:tc>
      </w:tr>
      <w:tr w14:paraId="160294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trPr>
        <w:tc>
          <w:tcPr>
            <w:tcW w:w="965" w:type="dxa"/>
            <w:noWrap w:val="0"/>
            <w:vAlign w:val="top"/>
          </w:tcPr>
          <w:p w14:paraId="6032DC0C">
            <w:pPr>
              <w:pStyle w:val="20"/>
              <w:keepNext w:val="0"/>
              <w:keepLines w:val="0"/>
              <w:suppressLineNumbers w:val="0"/>
              <w:snapToGrid w:val="0"/>
              <w:spacing w:before="0" w:beforeAutospacing="0" w:after="0" w:afterAutospacing="0" w:line="240" w:lineRule="atLeast"/>
              <w:ind w:left="1080" w:leftChars="257" w:right="0" w:hanging="540"/>
              <w:jc w:val="both"/>
              <w:textAlignment w:val="baseline"/>
              <w:rPr>
                <w:rFonts w:hint="default" w:ascii="仿宋_GB2312" w:hAnsi="仿宋_GB2312" w:eastAsia="仿宋_GB2312" w:cs="仿宋_GB2312"/>
                <w:b w:val="0"/>
                <w:i w:val="0"/>
                <w:caps w:val="0"/>
                <w:spacing w:val="0"/>
                <w:w w:val="100"/>
                <w:sz w:val="24"/>
              </w:rPr>
            </w:pPr>
          </w:p>
        </w:tc>
        <w:tc>
          <w:tcPr>
            <w:tcW w:w="1326" w:type="dxa"/>
            <w:noWrap w:val="0"/>
            <w:vAlign w:val="top"/>
          </w:tcPr>
          <w:p w14:paraId="1C1785B4">
            <w:pPr>
              <w:pStyle w:val="20"/>
              <w:keepNext w:val="0"/>
              <w:keepLines w:val="0"/>
              <w:suppressLineNumbers w:val="0"/>
              <w:snapToGrid w:val="0"/>
              <w:spacing w:before="0" w:beforeAutospacing="0" w:after="0" w:afterAutospacing="0" w:line="240" w:lineRule="atLeast"/>
              <w:ind w:left="1080" w:leftChars="257" w:right="0" w:hanging="540"/>
              <w:jc w:val="both"/>
              <w:textAlignment w:val="baseline"/>
              <w:rPr>
                <w:rFonts w:hint="default" w:ascii="仿宋_GB2312" w:hAnsi="仿宋_GB2312" w:eastAsia="仿宋_GB2312" w:cs="仿宋_GB2312"/>
                <w:b w:val="0"/>
                <w:i w:val="0"/>
                <w:caps w:val="0"/>
                <w:spacing w:val="0"/>
                <w:w w:val="100"/>
                <w:sz w:val="24"/>
              </w:rPr>
            </w:pPr>
          </w:p>
        </w:tc>
        <w:tc>
          <w:tcPr>
            <w:tcW w:w="1205" w:type="dxa"/>
            <w:noWrap w:val="0"/>
            <w:vAlign w:val="top"/>
          </w:tcPr>
          <w:p w14:paraId="2530AA2B">
            <w:pPr>
              <w:pStyle w:val="20"/>
              <w:keepNext w:val="0"/>
              <w:keepLines w:val="0"/>
              <w:suppressLineNumbers w:val="0"/>
              <w:snapToGrid w:val="0"/>
              <w:spacing w:before="0" w:beforeAutospacing="0" w:after="0" w:afterAutospacing="0" w:line="240" w:lineRule="atLeast"/>
              <w:ind w:left="1080" w:leftChars="257" w:right="0" w:hanging="540"/>
              <w:jc w:val="both"/>
              <w:textAlignment w:val="baseline"/>
              <w:rPr>
                <w:rFonts w:hint="default" w:ascii="仿宋_GB2312" w:hAnsi="仿宋_GB2312" w:eastAsia="仿宋_GB2312" w:cs="仿宋_GB2312"/>
                <w:b w:val="0"/>
                <w:i w:val="0"/>
                <w:caps w:val="0"/>
                <w:spacing w:val="0"/>
                <w:w w:val="100"/>
                <w:sz w:val="24"/>
              </w:rPr>
            </w:pPr>
          </w:p>
        </w:tc>
        <w:tc>
          <w:tcPr>
            <w:tcW w:w="1085" w:type="dxa"/>
            <w:noWrap w:val="0"/>
            <w:vAlign w:val="top"/>
          </w:tcPr>
          <w:p w14:paraId="06ECA7E5">
            <w:pPr>
              <w:pStyle w:val="20"/>
              <w:keepNext w:val="0"/>
              <w:keepLines w:val="0"/>
              <w:suppressLineNumbers w:val="0"/>
              <w:snapToGrid w:val="0"/>
              <w:spacing w:before="0" w:beforeAutospacing="0" w:after="0" w:afterAutospacing="0" w:line="240" w:lineRule="atLeast"/>
              <w:ind w:left="1080" w:leftChars="257" w:right="0" w:hanging="540"/>
              <w:jc w:val="both"/>
              <w:textAlignment w:val="baseline"/>
              <w:rPr>
                <w:rFonts w:hint="default" w:ascii="仿宋_GB2312" w:hAnsi="仿宋_GB2312" w:eastAsia="仿宋_GB2312" w:cs="仿宋_GB2312"/>
                <w:b w:val="0"/>
                <w:i w:val="0"/>
                <w:caps w:val="0"/>
                <w:spacing w:val="0"/>
                <w:w w:val="100"/>
                <w:sz w:val="24"/>
              </w:rPr>
            </w:pPr>
          </w:p>
        </w:tc>
        <w:tc>
          <w:tcPr>
            <w:tcW w:w="1056" w:type="dxa"/>
            <w:noWrap w:val="0"/>
            <w:vAlign w:val="top"/>
          </w:tcPr>
          <w:p w14:paraId="04FCC0C8">
            <w:pPr>
              <w:pStyle w:val="20"/>
              <w:keepNext w:val="0"/>
              <w:keepLines w:val="0"/>
              <w:suppressLineNumbers w:val="0"/>
              <w:snapToGrid w:val="0"/>
              <w:spacing w:before="0" w:beforeAutospacing="0" w:after="0" w:afterAutospacing="0" w:line="240" w:lineRule="atLeast"/>
              <w:ind w:left="1080" w:leftChars="257" w:right="0" w:hanging="540"/>
              <w:jc w:val="both"/>
              <w:textAlignment w:val="baseline"/>
              <w:rPr>
                <w:rFonts w:hint="default" w:ascii="仿宋_GB2312" w:hAnsi="仿宋_GB2312" w:eastAsia="仿宋_GB2312" w:cs="仿宋_GB2312"/>
                <w:b w:val="0"/>
                <w:i w:val="0"/>
                <w:caps w:val="0"/>
                <w:spacing w:val="0"/>
                <w:w w:val="100"/>
                <w:sz w:val="24"/>
              </w:rPr>
            </w:pPr>
          </w:p>
        </w:tc>
        <w:tc>
          <w:tcPr>
            <w:tcW w:w="2126" w:type="dxa"/>
            <w:noWrap w:val="0"/>
            <w:vAlign w:val="top"/>
          </w:tcPr>
          <w:p w14:paraId="4BECBDBD">
            <w:pPr>
              <w:pStyle w:val="20"/>
              <w:keepNext w:val="0"/>
              <w:keepLines w:val="0"/>
              <w:suppressLineNumbers w:val="0"/>
              <w:snapToGrid w:val="0"/>
              <w:spacing w:before="0" w:beforeAutospacing="0" w:after="0" w:afterAutospacing="0" w:line="240" w:lineRule="atLeast"/>
              <w:ind w:left="1080" w:leftChars="257" w:right="0" w:hanging="540"/>
              <w:jc w:val="both"/>
              <w:textAlignment w:val="baseline"/>
              <w:rPr>
                <w:rFonts w:hint="default" w:ascii="仿宋_GB2312" w:hAnsi="仿宋_GB2312" w:eastAsia="仿宋_GB2312" w:cs="仿宋_GB2312"/>
                <w:b w:val="0"/>
                <w:i w:val="0"/>
                <w:caps w:val="0"/>
                <w:spacing w:val="0"/>
                <w:w w:val="100"/>
                <w:sz w:val="24"/>
              </w:rPr>
            </w:pPr>
          </w:p>
        </w:tc>
        <w:tc>
          <w:tcPr>
            <w:tcW w:w="917" w:type="dxa"/>
            <w:noWrap w:val="0"/>
            <w:vAlign w:val="top"/>
          </w:tcPr>
          <w:p w14:paraId="6649A1FE">
            <w:pPr>
              <w:pStyle w:val="20"/>
              <w:keepNext w:val="0"/>
              <w:keepLines w:val="0"/>
              <w:suppressLineNumbers w:val="0"/>
              <w:snapToGrid w:val="0"/>
              <w:spacing w:before="0" w:beforeAutospacing="0" w:after="0" w:afterAutospacing="0" w:line="240" w:lineRule="atLeast"/>
              <w:ind w:left="1080" w:leftChars="257" w:right="0" w:hanging="540"/>
              <w:jc w:val="both"/>
              <w:textAlignment w:val="baseline"/>
              <w:rPr>
                <w:rFonts w:hint="default" w:ascii="仿宋_GB2312" w:hAnsi="仿宋_GB2312" w:eastAsia="仿宋_GB2312" w:cs="仿宋_GB2312"/>
                <w:b w:val="0"/>
                <w:i w:val="0"/>
                <w:caps w:val="0"/>
                <w:spacing w:val="0"/>
                <w:w w:val="100"/>
                <w:sz w:val="24"/>
              </w:rPr>
            </w:pPr>
          </w:p>
        </w:tc>
      </w:tr>
      <w:tr w14:paraId="0DF273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trPr>
        <w:tc>
          <w:tcPr>
            <w:tcW w:w="965" w:type="dxa"/>
            <w:noWrap w:val="0"/>
            <w:vAlign w:val="top"/>
          </w:tcPr>
          <w:p w14:paraId="12FA4D77">
            <w:pPr>
              <w:pStyle w:val="20"/>
              <w:keepNext w:val="0"/>
              <w:keepLines w:val="0"/>
              <w:suppressLineNumbers w:val="0"/>
              <w:snapToGrid w:val="0"/>
              <w:spacing w:before="0" w:beforeAutospacing="0" w:after="0" w:afterAutospacing="0" w:line="240" w:lineRule="atLeast"/>
              <w:ind w:left="1080" w:leftChars="257" w:right="0" w:hanging="540"/>
              <w:jc w:val="both"/>
              <w:textAlignment w:val="baseline"/>
              <w:rPr>
                <w:rFonts w:hint="default" w:ascii="仿宋_GB2312" w:hAnsi="仿宋_GB2312" w:eastAsia="仿宋_GB2312" w:cs="仿宋_GB2312"/>
                <w:b w:val="0"/>
                <w:i w:val="0"/>
                <w:caps w:val="0"/>
                <w:spacing w:val="0"/>
                <w:w w:val="100"/>
                <w:sz w:val="24"/>
              </w:rPr>
            </w:pPr>
          </w:p>
        </w:tc>
        <w:tc>
          <w:tcPr>
            <w:tcW w:w="1326" w:type="dxa"/>
            <w:noWrap w:val="0"/>
            <w:vAlign w:val="top"/>
          </w:tcPr>
          <w:p w14:paraId="1BE8FE51">
            <w:pPr>
              <w:pStyle w:val="20"/>
              <w:keepNext w:val="0"/>
              <w:keepLines w:val="0"/>
              <w:suppressLineNumbers w:val="0"/>
              <w:snapToGrid w:val="0"/>
              <w:spacing w:before="0" w:beforeAutospacing="0" w:after="0" w:afterAutospacing="0" w:line="240" w:lineRule="atLeast"/>
              <w:ind w:left="1080" w:leftChars="257" w:right="0" w:hanging="540"/>
              <w:jc w:val="both"/>
              <w:textAlignment w:val="baseline"/>
              <w:rPr>
                <w:rFonts w:hint="default" w:ascii="仿宋_GB2312" w:hAnsi="仿宋_GB2312" w:eastAsia="仿宋_GB2312" w:cs="仿宋_GB2312"/>
                <w:b w:val="0"/>
                <w:i w:val="0"/>
                <w:caps w:val="0"/>
                <w:spacing w:val="0"/>
                <w:w w:val="100"/>
                <w:sz w:val="24"/>
              </w:rPr>
            </w:pPr>
          </w:p>
        </w:tc>
        <w:tc>
          <w:tcPr>
            <w:tcW w:w="1205" w:type="dxa"/>
            <w:noWrap w:val="0"/>
            <w:vAlign w:val="top"/>
          </w:tcPr>
          <w:p w14:paraId="461069FA">
            <w:pPr>
              <w:pStyle w:val="20"/>
              <w:keepNext w:val="0"/>
              <w:keepLines w:val="0"/>
              <w:suppressLineNumbers w:val="0"/>
              <w:snapToGrid w:val="0"/>
              <w:spacing w:before="0" w:beforeAutospacing="0" w:after="0" w:afterAutospacing="0" w:line="240" w:lineRule="atLeast"/>
              <w:ind w:left="1080" w:leftChars="257" w:right="0" w:hanging="540"/>
              <w:jc w:val="both"/>
              <w:textAlignment w:val="baseline"/>
              <w:rPr>
                <w:rFonts w:hint="default" w:ascii="仿宋_GB2312" w:hAnsi="仿宋_GB2312" w:eastAsia="仿宋_GB2312" w:cs="仿宋_GB2312"/>
                <w:b w:val="0"/>
                <w:i w:val="0"/>
                <w:caps w:val="0"/>
                <w:spacing w:val="0"/>
                <w:w w:val="100"/>
                <w:sz w:val="24"/>
              </w:rPr>
            </w:pPr>
          </w:p>
        </w:tc>
        <w:tc>
          <w:tcPr>
            <w:tcW w:w="1085" w:type="dxa"/>
            <w:noWrap w:val="0"/>
            <w:vAlign w:val="top"/>
          </w:tcPr>
          <w:p w14:paraId="065AE9BE">
            <w:pPr>
              <w:pStyle w:val="20"/>
              <w:keepNext w:val="0"/>
              <w:keepLines w:val="0"/>
              <w:suppressLineNumbers w:val="0"/>
              <w:snapToGrid w:val="0"/>
              <w:spacing w:before="0" w:beforeAutospacing="0" w:after="0" w:afterAutospacing="0" w:line="240" w:lineRule="atLeast"/>
              <w:ind w:left="1080" w:leftChars="257" w:right="0" w:hanging="540"/>
              <w:jc w:val="both"/>
              <w:textAlignment w:val="baseline"/>
              <w:rPr>
                <w:rFonts w:hint="default" w:ascii="仿宋_GB2312" w:hAnsi="仿宋_GB2312" w:eastAsia="仿宋_GB2312" w:cs="仿宋_GB2312"/>
                <w:b w:val="0"/>
                <w:i w:val="0"/>
                <w:caps w:val="0"/>
                <w:spacing w:val="0"/>
                <w:w w:val="100"/>
                <w:sz w:val="24"/>
              </w:rPr>
            </w:pPr>
          </w:p>
        </w:tc>
        <w:tc>
          <w:tcPr>
            <w:tcW w:w="1056" w:type="dxa"/>
            <w:noWrap w:val="0"/>
            <w:vAlign w:val="top"/>
          </w:tcPr>
          <w:p w14:paraId="6A4D0CAF">
            <w:pPr>
              <w:pStyle w:val="20"/>
              <w:keepNext w:val="0"/>
              <w:keepLines w:val="0"/>
              <w:suppressLineNumbers w:val="0"/>
              <w:snapToGrid w:val="0"/>
              <w:spacing w:before="0" w:beforeAutospacing="0" w:after="0" w:afterAutospacing="0" w:line="240" w:lineRule="atLeast"/>
              <w:ind w:left="1080" w:leftChars="257" w:right="0" w:hanging="540"/>
              <w:jc w:val="both"/>
              <w:textAlignment w:val="baseline"/>
              <w:rPr>
                <w:rFonts w:hint="default" w:ascii="仿宋_GB2312" w:hAnsi="仿宋_GB2312" w:eastAsia="仿宋_GB2312" w:cs="仿宋_GB2312"/>
                <w:b w:val="0"/>
                <w:i w:val="0"/>
                <w:caps w:val="0"/>
                <w:spacing w:val="0"/>
                <w:w w:val="100"/>
                <w:sz w:val="24"/>
              </w:rPr>
            </w:pPr>
          </w:p>
        </w:tc>
        <w:tc>
          <w:tcPr>
            <w:tcW w:w="2126" w:type="dxa"/>
            <w:noWrap w:val="0"/>
            <w:vAlign w:val="top"/>
          </w:tcPr>
          <w:p w14:paraId="4D4F830E">
            <w:pPr>
              <w:pStyle w:val="20"/>
              <w:keepNext w:val="0"/>
              <w:keepLines w:val="0"/>
              <w:suppressLineNumbers w:val="0"/>
              <w:snapToGrid w:val="0"/>
              <w:spacing w:before="0" w:beforeAutospacing="0" w:after="0" w:afterAutospacing="0" w:line="240" w:lineRule="atLeast"/>
              <w:ind w:left="1080" w:leftChars="257" w:right="0" w:hanging="540"/>
              <w:jc w:val="both"/>
              <w:textAlignment w:val="baseline"/>
              <w:rPr>
                <w:rFonts w:hint="default" w:ascii="仿宋_GB2312" w:hAnsi="仿宋_GB2312" w:eastAsia="仿宋_GB2312" w:cs="仿宋_GB2312"/>
                <w:b w:val="0"/>
                <w:i w:val="0"/>
                <w:caps w:val="0"/>
                <w:spacing w:val="0"/>
                <w:w w:val="100"/>
                <w:sz w:val="24"/>
              </w:rPr>
            </w:pPr>
          </w:p>
        </w:tc>
        <w:tc>
          <w:tcPr>
            <w:tcW w:w="917" w:type="dxa"/>
            <w:noWrap w:val="0"/>
            <w:vAlign w:val="top"/>
          </w:tcPr>
          <w:p w14:paraId="1A09F769">
            <w:pPr>
              <w:pStyle w:val="20"/>
              <w:keepNext w:val="0"/>
              <w:keepLines w:val="0"/>
              <w:suppressLineNumbers w:val="0"/>
              <w:snapToGrid w:val="0"/>
              <w:spacing w:before="0" w:beforeAutospacing="0" w:after="0" w:afterAutospacing="0" w:line="240" w:lineRule="atLeast"/>
              <w:ind w:left="1080" w:leftChars="257" w:right="0" w:hanging="540"/>
              <w:jc w:val="both"/>
              <w:textAlignment w:val="baseline"/>
              <w:rPr>
                <w:rFonts w:hint="default" w:ascii="仿宋_GB2312" w:hAnsi="仿宋_GB2312" w:eastAsia="仿宋_GB2312" w:cs="仿宋_GB2312"/>
                <w:b w:val="0"/>
                <w:i w:val="0"/>
                <w:caps w:val="0"/>
                <w:spacing w:val="0"/>
                <w:w w:val="100"/>
                <w:sz w:val="24"/>
              </w:rPr>
            </w:pPr>
          </w:p>
        </w:tc>
      </w:tr>
      <w:tr w14:paraId="243FDD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trPr>
        <w:tc>
          <w:tcPr>
            <w:tcW w:w="965" w:type="dxa"/>
            <w:noWrap w:val="0"/>
            <w:vAlign w:val="top"/>
          </w:tcPr>
          <w:p w14:paraId="72AFA142">
            <w:pPr>
              <w:pStyle w:val="20"/>
              <w:keepNext w:val="0"/>
              <w:keepLines w:val="0"/>
              <w:suppressLineNumbers w:val="0"/>
              <w:snapToGrid w:val="0"/>
              <w:spacing w:before="0" w:beforeAutospacing="0" w:after="0" w:afterAutospacing="0" w:line="240" w:lineRule="atLeast"/>
              <w:ind w:left="1080" w:leftChars="257" w:right="0" w:hanging="540"/>
              <w:jc w:val="both"/>
              <w:textAlignment w:val="baseline"/>
              <w:rPr>
                <w:rFonts w:hint="default" w:ascii="仿宋_GB2312" w:hAnsi="仿宋_GB2312" w:eastAsia="仿宋_GB2312" w:cs="仿宋_GB2312"/>
                <w:b w:val="0"/>
                <w:i w:val="0"/>
                <w:caps w:val="0"/>
                <w:spacing w:val="0"/>
                <w:w w:val="100"/>
                <w:sz w:val="24"/>
              </w:rPr>
            </w:pPr>
          </w:p>
        </w:tc>
        <w:tc>
          <w:tcPr>
            <w:tcW w:w="1326" w:type="dxa"/>
            <w:noWrap w:val="0"/>
            <w:vAlign w:val="top"/>
          </w:tcPr>
          <w:p w14:paraId="4D8B58CA">
            <w:pPr>
              <w:pStyle w:val="20"/>
              <w:keepNext w:val="0"/>
              <w:keepLines w:val="0"/>
              <w:suppressLineNumbers w:val="0"/>
              <w:snapToGrid w:val="0"/>
              <w:spacing w:before="0" w:beforeAutospacing="0" w:after="0" w:afterAutospacing="0" w:line="240" w:lineRule="atLeast"/>
              <w:ind w:left="1080" w:leftChars="257" w:right="0" w:hanging="540"/>
              <w:jc w:val="both"/>
              <w:textAlignment w:val="baseline"/>
              <w:rPr>
                <w:rFonts w:hint="default" w:ascii="仿宋_GB2312" w:hAnsi="仿宋_GB2312" w:eastAsia="仿宋_GB2312" w:cs="仿宋_GB2312"/>
                <w:b w:val="0"/>
                <w:i w:val="0"/>
                <w:caps w:val="0"/>
                <w:spacing w:val="0"/>
                <w:w w:val="100"/>
                <w:sz w:val="24"/>
              </w:rPr>
            </w:pPr>
          </w:p>
        </w:tc>
        <w:tc>
          <w:tcPr>
            <w:tcW w:w="1205" w:type="dxa"/>
            <w:noWrap w:val="0"/>
            <w:vAlign w:val="top"/>
          </w:tcPr>
          <w:p w14:paraId="64BB5E8B">
            <w:pPr>
              <w:pStyle w:val="20"/>
              <w:keepNext w:val="0"/>
              <w:keepLines w:val="0"/>
              <w:suppressLineNumbers w:val="0"/>
              <w:snapToGrid w:val="0"/>
              <w:spacing w:before="0" w:beforeAutospacing="0" w:after="0" w:afterAutospacing="0" w:line="240" w:lineRule="atLeast"/>
              <w:ind w:left="1080" w:leftChars="257" w:right="0" w:hanging="540"/>
              <w:jc w:val="both"/>
              <w:textAlignment w:val="baseline"/>
              <w:rPr>
                <w:rFonts w:hint="default" w:ascii="仿宋_GB2312" w:hAnsi="仿宋_GB2312" w:eastAsia="仿宋_GB2312" w:cs="仿宋_GB2312"/>
                <w:b w:val="0"/>
                <w:i w:val="0"/>
                <w:caps w:val="0"/>
                <w:spacing w:val="0"/>
                <w:w w:val="100"/>
                <w:sz w:val="24"/>
              </w:rPr>
            </w:pPr>
          </w:p>
        </w:tc>
        <w:tc>
          <w:tcPr>
            <w:tcW w:w="1085" w:type="dxa"/>
            <w:noWrap w:val="0"/>
            <w:vAlign w:val="top"/>
          </w:tcPr>
          <w:p w14:paraId="50874B4E">
            <w:pPr>
              <w:pStyle w:val="20"/>
              <w:keepNext w:val="0"/>
              <w:keepLines w:val="0"/>
              <w:suppressLineNumbers w:val="0"/>
              <w:snapToGrid w:val="0"/>
              <w:spacing w:before="0" w:beforeAutospacing="0" w:after="0" w:afterAutospacing="0" w:line="240" w:lineRule="atLeast"/>
              <w:ind w:left="1080" w:leftChars="257" w:right="0" w:hanging="540"/>
              <w:jc w:val="both"/>
              <w:textAlignment w:val="baseline"/>
              <w:rPr>
                <w:rFonts w:hint="default" w:ascii="仿宋_GB2312" w:hAnsi="仿宋_GB2312" w:eastAsia="仿宋_GB2312" w:cs="仿宋_GB2312"/>
                <w:b w:val="0"/>
                <w:i w:val="0"/>
                <w:caps w:val="0"/>
                <w:spacing w:val="0"/>
                <w:w w:val="100"/>
                <w:sz w:val="24"/>
              </w:rPr>
            </w:pPr>
          </w:p>
        </w:tc>
        <w:tc>
          <w:tcPr>
            <w:tcW w:w="1056" w:type="dxa"/>
            <w:noWrap w:val="0"/>
            <w:vAlign w:val="top"/>
          </w:tcPr>
          <w:p w14:paraId="633FCD02">
            <w:pPr>
              <w:pStyle w:val="20"/>
              <w:keepNext w:val="0"/>
              <w:keepLines w:val="0"/>
              <w:suppressLineNumbers w:val="0"/>
              <w:snapToGrid w:val="0"/>
              <w:spacing w:before="0" w:beforeAutospacing="0" w:after="0" w:afterAutospacing="0" w:line="240" w:lineRule="atLeast"/>
              <w:ind w:left="1080" w:leftChars="257" w:right="0" w:hanging="540"/>
              <w:jc w:val="both"/>
              <w:textAlignment w:val="baseline"/>
              <w:rPr>
                <w:rFonts w:hint="default" w:ascii="仿宋_GB2312" w:hAnsi="仿宋_GB2312" w:eastAsia="仿宋_GB2312" w:cs="仿宋_GB2312"/>
                <w:b w:val="0"/>
                <w:i w:val="0"/>
                <w:caps w:val="0"/>
                <w:spacing w:val="0"/>
                <w:w w:val="100"/>
                <w:sz w:val="24"/>
              </w:rPr>
            </w:pPr>
          </w:p>
        </w:tc>
        <w:tc>
          <w:tcPr>
            <w:tcW w:w="2126" w:type="dxa"/>
            <w:noWrap w:val="0"/>
            <w:vAlign w:val="top"/>
          </w:tcPr>
          <w:p w14:paraId="2F14D6E9">
            <w:pPr>
              <w:pStyle w:val="20"/>
              <w:keepNext w:val="0"/>
              <w:keepLines w:val="0"/>
              <w:suppressLineNumbers w:val="0"/>
              <w:snapToGrid w:val="0"/>
              <w:spacing w:before="0" w:beforeAutospacing="0" w:after="0" w:afterAutospacing="0" w:line="240" w:lineRule="atLeast"/>
              <w:ind w:left="1080" w:leftChars="257" w:right="0" w:hanging="540"/>
              <w:jc w:val="both"/>
              <w:textAlignment w:val="baseline"/>
              <w:rPr>
                <w:rFonts w:hint="default" w:ascii="仿宋_GB2312" w:hAnsi="仿宋_GB2312" w:eastAsia="仿宋_GB2312" w:cs="仿宋_GB2312"/>
                <w:b w:val="0"/>
                <w:i w:val="0"/>
                <w:caps w:val="0"/>
                <w:spacing w:val="0"/>
                <w:w w:val="100"/>
                <w:sz w:val="24"/>
              </w:rPr>
            </w:pPr>
          </w:p>
        </w:tc>
        <w:tc>
          <w:tcPr>
            <w:tcW w:w="917" w:type="dxa"/>
            <w:noWrap w:val="0"/>
            <w:vAlign w:val="top"/>
          </w:tcPr>
          <w:p w14:paraId="0E72B6C5">
            <w:pPr>
              <w:pStyle w:val="20"/>
              <w:keepNext w:val="0"/>
              <w:keepLines w:val="0"/>
              <w:suppressLineNumbers w:val="0"/>
              <w:snapToGrid w:val="0"/>
              <w:spacing w:before="0" w:beforeAutospacing="0" w:after="0" w:afterAutospacing="0" w:line="240" w:lineRule="atLeast"/>
              <w:ind w:left="1080" w:leftChars="257" w:right="0" w:hanging="540"/>
              <w:jc w:val="both"/>
              <w:textAlignment w:val="baseline"/>
              <w:rPr>
                <w:rFonts w:hint="default" w:ascii="仿宋_GB2312" w:hAnsi="仿宋_GB2312" w:eastAsia="仿宋_GB2312" w:cs="仿宋_GB2312"/>
                <w:b w:val="0"/>
                <w:i w:val="0"/>
                <w:caps w:val="0"/>
                <w:spacing w:val="0"/>
                <w:w w:val="100"/>
                <w:sz w:val="24"/>
              </w:rPr>
            </w:pPr>
          </w:p>
        </w:tc>
      </w:tr>
      <w:tr w14:paraId="52FDD0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trPr>
        <w:tc>
          <w:tcPr>
            <w:tcW w:w="965" w:type="dxa"/>
            <w:noWrap w:val="0"/>
            <w:vAlign w:val="top"/>
          </w:tcPr>
          <w:p w14:paraId="06EA75FD">
            <w:pPr>
              <w:pStyle w:val="20"/>
              <w:keepNext w:val="0"/>
              <w:keepLines w:val="0"/>
              <w:suppressLineNumbers w:val="0"/>
              <w:snapToGrid w:val="0"/>
              <w:spacing w:before="0" w:beforeAutospacing="0" w:after="0" w:afterAutospacing="0" w:line="240" w:lineRule="atLeast"/>
              <w:ind w:left="1080" w:leftChars="257" w:right="0" w:hanging="540"/>
              <w:jc w:val="both"/>
              <w:textAlignment w:val="baseline"/>
              <w:rPr>
                <w:rFonts w:hint="default" w:ascii="仿宋_GB2312" w:hAnsi="仿宋_GB2312" w:eastAsia="仿宋_GB2312" w:cs="仿宋_GB2312"/>
                <w:b w:val="0"/>
                <w:i w:val="0"/>
                <w:caps w:val="0"/>
                <w:spacing w:val="0"/>
                <w:w w:val="100"/>
                <w:sz w:val="24"/>
              </w:rPr>
            </w:pPr>
          </w:p>
        </w:tc>
        <w:tc>
          <w:tcPr>
            <w:tcW w:w="1326" w:type="dxa"/>
            <w:noWrap w:val="0"/>
            <w:vAlign w:val="top"/>
          </w:tcPr>
          <w:p w14:paraId="431BED22">
            <w:pPr>
              <w:pStyle w:val="20"/>
              <w:keepNext w:val="0"/>
              <w:keepLines w:val="0"/>
              <w:suppressLineNumbers w:val="0"/>
              <w:snapToGrid w:val="0"/>
              <w:spacing w:before="0" w:beforeAutospacing="0" w:after="0" w:afterAutospacing="0" w:line="240" w:lineRule="atLeast"/>
              <w:ind w:left="1080" w:leftChars="257" w:right="0" w:hanging="540"/>
              <w:jc w:val="both"/>
              <w:textAlignment w:val="baseline"/>
              <w:rPr>
                <w:rFonts w:hint="default" w:ascii="仿宋_GB2312" w:hAnsi="仿宋_GB2312" w:eastAsia="仿宋_GB2312" w:cs="仿宋_GB2312"/>
                <w:b w:val="0"/>
                <w:i w:val="0"/>
                <w:caps w:val="0"/>
                <w:spacing w:val="0"/>
                <w:w w:val="100"/>
                <w:sz w:val="24"/>
              </w:rPr>
            </w:pPr>
          </w:p>
        </w:tc>
        <w:tc>
          <w:tcPr>
            <w:tcW w:w="1205" w:type="dxa"/>
            <w:noWrap w:val="0"/>
            <w:vAlign w:val="top"/>
          </w:tcPr>
          <w:p w14:paraId="7262C925">
            <w:pPr>
              <w:pStyle w:val="20"/>
              <w:keepNext w:val="0"/>
              <w:keepLines w:val="0"/>
              <w:suppressLineNumbers w:val="0"/>
              <w:snapToGrid w:val="0"/>
              <w:spacing w:before="0" w:beforeAutospacing="0" w:after="0" w:afterAutospacing="0" w:line="240" w:lineRule="atLeast"/>
              <w:ind w:left="1080" w:leftChars="257" w:right="0" w:hanging="540"/>
              <w:jc w:val="both"/>
              <w:textAlignment w:val="baseline"/>
              <w:rPr>
                <w:rFonts w:hint="default" w:ascii="仿宋_GB2312" w:hAnsi="仿宋_GB2312" w:eastAsia="仿宋_GB2312" w:cs="仿宋_GB2312"/>
                <w:b w:val="0"/>
                <w:i w:val="0"/>
                <w:caps w:val="0"/>
                <w:spacing w:val="0"/>
                <w:w w:val="100"/>
                <w:sz w:val="24"/>
              </w:rPr>
            </w:pPr>
          </w:p>
        </w:tc>
        <w:tc>
          <w:tcPr>
            <w:tcW w:w="1085" w:type="dxa"/>
            <w:noWrap w:val="0"/>
            <w:vAlign w:val="top"/>
          </w:tcPr>
          <w:p w14:paraId="754D4E7F">
            <w:pPr>
              <w:pStyle w:val="20"/>
              <w:keepNext w:val="0"/>
              <w:keepLines w:val="0"/>
              <w:suppressLineNumbers w:val="0"/>
              <w:snapToGrid w:val="0"/>
              <w:spacing w:before="0" w:beforeAutospacing="0" w:after="0" w:afterAutospacing="0" w:line="240" w:lineRule="atLeast"/>
              <w:ind w:left="1080" w:leftChars="257" w:right="0" w:hanging="540"/>
              <w:jc w:val="both"/>
              <w:textAlignment w:val="baseline"/>
              <w:rPr>
                <w:rFonts w:hint="default" w:ascii="仿宋_GB2312" w:hAnsi="仿宋_GB2312" w:eastAsia="仿宋_GB2312" w:cs="仿宋_GB2312"/>
                <w:b w:val="0"/>
                <w:i w:val="0"/>
                <w:caps w:val="0"/>
                <w:spacing w:val="0"/>
                <w:w w:val="100"/>
                <w:sz w:val="24"/>
              </w:rPr>
            </w:pPr>
          </w:p>
        </w:tc>
        <w:tc>
          <w:tcPr>
            <w:tcW w:w="1056" w:type="dxa"/>
            <w:noWrap w:val="0"/>
            <w:vAlign w:val="top"/>
          </w:tcPr>
          <w:p w14:paraId="061F0204">
            <w:pPr>
              <w:pStyle w:val="20"/>
              <w:keepNext w:val="0"/>
              <w:keepLines w:val="0"/>
              <w:suppressLineNumbers w:val="0"/>
              <w:snapToGrid w:val="0"/>
              <w:spacing w:before="0" w:beforeAutospacing="0" w:after="0" w:afterAutospacing="0" w:line="240" w:lineRule="atLeast"/>
              <w:ind w:left="1080" w:leftChars="257" w:right="0" w:hanging="540"/>
              <w:jc w:val="both"/>
              <w:textAlignment w:val="baseline"/>
              <w:rPr>
                <w:rFonts w:hint="default" w:ascii="仿宋_GB2312" w:hAnsi="仿宋_GB2312" w:eastAsia="仿宋_GB2312" w:cs="仿宋_GB2312"/>
                <w:b w:val="0"/>
                <w:i w:val="0"/>
                <w:caps w:val="0"/>
                <w:spacing w:val="0"/>
                <w:w w:val="100"/>
                <w:sz w:val="24"/>
              </w:rPr>
            </w:pPr>
          </w:p>
        </w:tc>
        <w:tc>
          <w:tcPr>
            <w:tcW w:w="2126" w:type="dxa"/>
            <w:noWrap w:val="0"/>
            <w:vAlign w:val="top"/>
          </w:tcPr>
          <w:p w14:paraId="2707895C">
            <w:pPr>
              <w:pStyle w:val="20"/>
              <w:keepNext w:val="0"/>
              <w:keepLines w:val="0"/>
              <w:suppressLineNumbers w:val="0"/>
              <w:snapToGrid w:val="0"/>
              <w:spacing w:before="0" w:beforeAutospacing="0" w:after="0" w:afterAutospacing="0" w:line="240" w:lineRule="atLeast"/>
              <w:ind w:left="1080" w:leftChars="257" w:right="0" w:hanging="540"/>
              <w:jc w:val="both"/>
              <w:textAlignment w:val="baseline"/>
              <w:rPr>
                <w:rFonts w:hint="default" w:ascii="仿宋_GB2312" w:hAnsi="仿宋_GB2312" w:eastAsia="仿宋_GB2312" w:cs="仿宋_GB2312"/>
                <w:b w:val="0"/>
                <w:i w:val="0"/>
                <w:caps w:val="0"/>
                <w:spacing w:val="0"/>
                <w:w w:val="100"/>
                <w:sz w:val="24"/>
              </w:rPr>
            </w:pPr>
          </w:p>
        </w:tc>
        <w:tc>
          <w:tcPr>
            <w:tcW w:w="917" w:type="dxa"/>
            <w:noWrap w:val="0"/>
            <w:vAlign w:val="top"/>
          </w:tcPr>
          <w:p w14:paraId="0B28B784">
            <w:pPr>
              <w:pStyle w:val="20"/>
              <w:keepNext w:val="0"/>
              <w:keepLines w:val="0"/>
              <w:suppressLineNumbers w:val="0"/>
              <w:snapToGrid w:val="0"/>
              <w:spacing w:before="0" w:beforeAutospacing="0" w:after="0" w:afterAutospacing="0" w:line="240" w:lineRule="atLeast"/>
              <w:ind w:left="1080" w:leftChars="257" w:right="0" w:hanging="540"/>
              <w:jc w:val="both"/>
              <w:textAlignment w:val="baseline"/>
              <w:rPr>
                <w:rFonts w:hint="default" w:ascii="仿宋_GB2312" w:hAnsi="仿宋_GB2312" w:eastAsia="仿宋_GB2312" w:cs="仿宋_GB2312"/>
                <w:b w:val="0"/>
                <w:i w:val="0"/>
                <w:caps w:val="0"/>
                <w:spacing w:val="0"/>
                <w:w w:val="100"/>
                <w:sz w:val="24"/>
              </w:rPr>
            </w:pPr>
          </w:p>
        </w:tc>
      </w:tr>
      <w:tr w14:paraId="3DEE11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 w:hRule="atLeast"/>
        </w:trPr>
        <w:tc>
          <w:tcPr>
            <w:tcW w:w="965" w:type="dxa"/>
            <w:noWrap w:val="0"/>
            <w:vAlign w:val="top"/>
          </w:tcPr>
          <w:p w14:paraId="499B9B14">
            <w:pPr>
              <w:pStyle w:val="20"/>
              <w:keepNext w:val="0"/>
              <w:keepLines w:val="0"/>
              <w:suppressLineNumbers w:val="0"/>
              <w:snapToGrid w:val="0"/>
              <w:spacing w:before="0" w:beforeAutospacing="0" w:after="0" w:afterAutospacing="0" w:line="240" w:lineRule="atLeast"/>
              <w:ind w:left="1080" w:leftChars="257" w:right="0" w:hanging="540"/>
              <w:jc w:val="both"/>
              <w:textAlignment w:val="baseline"/>
              <w:rPr>
                <w:rFonts w:hint="default" w:ascii="仿宋_GB2312" w:hAnsi="仿宋_GB2312" w:eastAsia="仿宋_GB2312" w:cs="仿宋_GB2312"/>
                <w:b w:val="0"/>
                <w:i w:val="0"/>
                <w:caps w:val="0"/>
                <w:spacing w:val="0"/>
                <w:w w:val="100"/>
                <w:sz w:val="24"/>
              </w:rPr>
            </w:pPr>
          </w:p>
        </w:tc>
        <w:tc>
          <w:tcPr>
            <w:tcW w:w="1326" w:type="dxa"/>
            <w:noWrap w:val="0"/>
            <w:vAlign w:val="top"/>
          </w:tcPr>
          <w:p w14:paraId="448ED7A0">
            <w:pPr>
              <w:pStyle w:val="20"/>
              <w:keepNext w:val="0"/>
              <w:keepLines w:val="0"/>
              <w:suppressLineNumbers w:val="0"/>
              <w:snapToGrid w:val="0"/>
              <w:spacing w:before="0" w:beforeAutospacing="0" w:after="0" w:afterAutospacing="0" w:line="240" w:lineRule="atLeast"/>
              <w:ind w:left="1080" w:leftChars="257" w:right="0" w:hanging="540"/>
              <w:jc w:val="both"/>
              <w:textAlignment w:val="baseline"/>
              <w:rPr>
                <w:rFonts w:hint="default" w:ascii="仿宋_GB2312" w:hAnsi="仿宋_GB2312" w:eastAsia="仿宋_GB2312" w:cs="仿宋_GB2312"/>
                <w:b w:val="0"/>
                <w:i w:val="0"/>
                <w:caps w:val="0"/>
                <w:spacing w:val="0"/>
                <w:w w:val="100"/>
                <w:sz w:val="24"/>
              </w:rPr>
            </w:pPr>
          </w:p>
        </w:tc>
        <w:tc>
          <w:tcPr>
            <w:tcW w:w="1205" w:type="dxa"/>
            <w:noWrap w:val="0"/>
            <w:vAlign w:val="top"/>
          </w:tcPr>
          <w:p w14:paraId="328AA493">
            <w:pPr>
              <w:pStyle w:val="20"/>
              <w:keepNext w:val="0"/>
              <w:keepLines w:val="0"/>
              <w:suppressLineNumbers w:val="0"/>
              <w:snapToGrid w:val="0"/>
              <w:spacing w:before="0" w:beforeAutospacing="0" w:after="0" w:afterAutospacing="0" w:line="240" w:lineRule="atLeast"/>
              <w:ind w:left="1080" w:leftChars="257" w:right="0" w:hanging="540"/>
              <w:jc w:val="both"/>
              <w:textAlignment w:val="baseline"/>
              <w:rPr>
                <w:rFonts w:hint="default" w:ascii="仿宋_GB2312" w:hAnsi="仿宋_GB2312" w:eastAsia="仿宋_GB2312" w:cs="仿宋_GB2312"/>
                <w:b w:val="0"/>
                <w:i w:val="0"/>
                <w:caps w:val="0"/>
                <w:spacing w:val="0"/>
                <w:w w:val="100"/>
                <w:sz w:val="24"/>
              </w:rPr>
            </w:pPr>
          </w:p>
        </w:tc>
        <w:tc>
          <w:tcPr>
            <w:tcW w:w="1085" w:type="dxa"/>
            <w:noWrap w:val="0"/>
            <w:vAlign w:val="top"/>
          </w:tcPr>
          <w:p w14:paraId="520BC6FD">
            <w:pPr>
              <w:pStyle w:val="20"/>
              <w:keepNext w:val="0"/>
              <w:keepLines w:val="0"/>
              <w:suppressLineNumbers w:val="0"/>
              <w:snapToGrid w:val="0"/>
              <w:spacing w:before="0" w:beforeAutospacing="0" w:after="0" w:afterAutospacing="0" w:line="240" w:lineRule="atLeast"/>
              <w:ind w:left="1080" w:leftChars="257" w:right="0" w:hanging="540"/>
              <w:jc w:val="both"/>
              <w:textAlignment w:val="baseline"/>
              <w:rPr>
                <w:rFonts w:hint="default" w:ascii="仿宋_GB2312" w:hAnsi="仿宋_GB2312" w:eastAsia="仿宋_GB2312" w:cs="仿宋_GB2312"/>
                <w:b w:val="0"/>
                <w:i w:val="0"/>
                <w:caps w:val="0"/>
                <w:spacing w:val="0"/>
                <w:w w:val="100"/>
                <w:sz w:val="24"/>
              </w:rPr>
            </w:pPr>
          </w:p>
        </w:tc>
        <w:tc>
          <w:tcPr>
            <w:tcW w:w="1056" w:type="dxa"/>
            <w:noWrap w:val="0"/>
            <w:vAlign w:val="top"/>
          </w:tcPr>
          <w:p w14:paraId="2BF08386">
            <w:pPr>
              <w:pStyle w:val="20"/>
              <w:keepNext w:val="0"/>
              <w:keepLines w:val="0"/>
              <w:suppressLineNumbers w:val="0"/>
              <w:snapToGrid w:val="0"/>
              <w:spacing w:before="0" w:beforeAutospacing="0" w:after="0" w:afterAutospacing="0" w:line="240" w:lineRule="atLeast"/>
              <w:ind w:left="1080" w:leftChars="257" w:right="0" w:hanging="540"/>
              <w:jc w:val="both"/>
              <w:textAlignment w:val="baseline"/>
              <w:rPr>
                <w:rFonts w:hint="default" w:ascii="仿宋_GB2312" w:hAnsi="仿宋_GB2312" w:eastAsia="仿宋_GB2312" w:cs="仿宋_GB2312"/>
                <w:b w:val="0"/>
                <w:i w:val="0"/>
                <w:caps w:val="0"/>
                <w:spacing w:val="0"/>
                <w:w w:val="100"/>
                <w:sz w:val="24"/>
              </w:rPr>
            </w:pPr>
          </w:p>
        </w:tc>
        <w:tc>
          <w:tcPr>
            <w:tcW w:w="2126" w:type="dxa"/>
            <w:noWrap w:val="0"/>
            <w:vAlign w:val="top"/>
          </w:tcPr>
          <w:p w14:paraId="7F2490D4">
            <w:pPr>
              <w:pStyle w:val="20"/>
              <w:keepNext w:val="0"/>
              <w:keepLines w:val="0"/>
              <w:suppressLineNumbers w:val="0"/>
              <w:snapToGrid w:val="0"/>
              <w:spacing w:before="0" w:beforeAutospacing="0" w:after="0" w:afterAutospacing="0" w:line="240" w:lineRule="atLeast"/>
              <w:ind w:left="1080" w:leftChars="257" w:right="0" w:hanging="540"/>
              <w:jc w:val="both"/>
              <w:textAlignment w:val="baseline"/>
              <w:rPr>
                <w:rFonts w:hint="default" w:ascii="仿宋_GB2312" w:hAnsi="仿宋_GB2312" w:eastAsia="仿宋_GB2312" w:cs="仿宋_GB2312"/>
                <w:b w:val="0"/>
                <w:i w:val="0"/>
                <w:caps w:val="0"/>
                <w:spacing w:val="0"/>
                <w:w w:val="100"/>
                <w:sz w:val="24"/>
              </w:rPr>
            </w:pPr>
          </w:p>
        </w:tc>
        <w:tc>
          <w:tcPr>
            <w:tcW w:w="917" w:type="dxa"/>
            <w:noWrap w:val="0"/>
            <w:vAlign w:val="top"/>
          </w:tcPr>
          <w:p w14:paraId="31AE2090">
            <w:pPr>
              <w:pStyle w:val="20"/>
              <w:keepNext w:val="0"/>
              <w:keepLines w:val="0"/>
              <w:suppressLineNumbers w:val="0"/>
              <w:snapToGrid w:val="0"/>
              <w:spacing w:before="0" w:beforeAutospacing="0" w:after="0" w:afterAutospacing="0" w:line="240" w:lineRule="atLeast"/>
              <w:ind w:left="1080" w:leftChars="257" w:right="0" w:hanging="540"/>
              <w:jc w:val="both"/>
              <w:textAlignment w:val="baseline"/>
              <w:rPr>
                <w:rFonts w:hint="default" w:ascii="仿宋_GB2312" w:hAnsi="仿宋_GB2312" w:eastAsia="仿宋_GB2312" w:cs="仿宋_GB2312"/>
                <w:b w:val="0"/>
                <w:i w:val="0"/>
                <w:caps w:val="0"/>
                <w:spacing w:val="0"/>
                <w:w w:val="100"/>
                <w:sz w:val="24"/>
              </w:rPr>
            </w:pPr>
          </w:p>
        </w:tc>
      </w:tr>
    </w:tbl>
    <w:p w14:paraId="3F33E2C0">
      <w:pPr>
        <w:pStyle w:val="20"/>
        <w:snapToGrid w:val="0"/>
        <w:spacing w:before="0" w:beforeAutospacing="0" w:after="0" w:afterAutospacing="0" w:line="240" w:lineRule="atLeast"/>
        <w:ind w:left="1080" w:leftChars="257" w:hanging="540"/>
        <w:jc w:val="both"/>
        <w:textAlignment w:val="baseline"/>
        <w:rPr>
          <w:rFonts w:ascii="仿宋_GB2312" w:hAnsi="仿宋_GB2312" w:eastAsia="仿宋_GB2312" w:cs="仿宋_GB2312"/>
          <w:b w:val="0"/>
          <w:i w:val="0"/>
          <w:caps w:val="0"/>
          <w:spacing w:val="0"/>
          <w:w w:val="100"/>
          <w:sz w:val="24"/>
        </w:rPr>
      </w:pPr>
    </w:p>
    <w:p w14:paraId="544BC46E">
      <w:pPr>
        <w:pStyle w:val="20"/>
        <w:snapToGrid w:val="0"/>
        <w:spacing w:before="0" w:beforeAutospacing="0" w:after="0" w:afterAutospacing="0" w:line="240" w:lineRule="atLeast"/>
        <w:ind w:left="1080" w:leftChars="257" w:hanging="540"/>
        <w:jc w:val="both"/>
        <w:textAlignment w:val="baseline"/>
        <w:rPr>
          <w:rFonts w:hint="eastAsia" w:ascii="仿宋_GB2312" w:hAnsi="仿宋_GB2312" w:eastAsia="仿宋_GB2312" w:cs="仿宋_GB2312"/>
          <w:b w:val="0"/>
          <w:i w:val="0"/>
          <w:caps w:val="0"/>
          <w:spacing w:val="0"/>
          <w:w w:val="100"/>
          <w:sz w:val="24"/>
        </w:rPr>
      </w:pPr>
    </w:p>
    <w:p w14:paraId="32644F99">
      <w:pPr>
        <w:pStyle w:val="20"/>
        <w:snapToGrid w:val="0"/>
        <w:spacing w:before="0" w:beforeAutospacing="0" w:after="0" w:afterAutospacing="0" w:line="240" w:lineRule="atLeast"/>
        <w:ind w:left="1080" w:leftChars="257" w:hanging="540"/>
        <w:jc w:val="both"/>
        <w:textAlignment w:val="baseline"/>
        <w:rPr>
          <w:rFonts w:hint="default" w:ascii="仿宋_GB2312" w:hAnsi="仿宋_GB2312" w:eastAsia="仿宋_GB2312" w:cs="仿宋_GB2312"/>
          <w:b w:val="0"/>
          <w:i w:val="0"/>
          <w:caps w:val="0"/>
          <w:spacing w:val="0"/>
          <w:w w:val="100"/>
          <w:sz w:val="24"/>
          <w:lang w:val="en-US" w:eastAsia="zh-CN"/>
        </w:rPr>
      </w:pPr>
      <w:r>
        <w:rPr>
          <w:rFonts w:hint="eastAsia" w:ascii="仿宋_GB2312" w:hAnsi="仿宋_GB2312" w:eastAsia="仿宋_GB2312" w:cs="仿宋_GB2312"/>
          <w:b w:val="0"/>
          <w:i w:val="0"/>
          <w:caps w:val="0"/>
          <w:spacing w:val="0"/>
          <w:w w:val="100"/>
          <w:sz w:val="24"/>
        </w:rPr>
        <w:t>法定代表人或其委托代理人</w:t>
      </w:r>
      <w:r>
        <w:rPr>
          <w:rFonts w:hint="eastAsia" w:ascii="仿宋" w:hAnsi="仿宋" w:eastAsia="仿宋" w:cs="仿宋"/>
          <w:b w:val="0"/>
          <w:i w:val="0"/>
          <w:caps w:val="0"/>
          <w:color w:val="000000"/>
          <w:spacing w:val="0"/>
          <w:w w:val="100"/>
          <w:sz w:val="24"/>
          <w:lang w:eastAsia="zh-CN"/>
        </w:rPr>
        <w:t>（</w:t>
      </w:r>
      <w:r>
        <w:rPr>
          <w:rFonts w:hint="eastAsia" w:ascii="仿宋" w:hAnsi="仿宋" w:eastAsia="仿宋" w:cs="仿宋"/>
          <w:b w:val="0"/>
          <w:i w:val="0"/>
          <w:caps w:val="0"/>
          <w:color w:val="000000"/>
          <w:spacing w:val="0"/>
          <w:w w:val="100"/>
          <w:sz w:val="24"/>
        </w:rPr>
        <w:t>签字</w:t>
      </w:r>
      <w:r>
        <w:rPr>
          <w:rFonts w:hint="eastAsia" w:ascii="仿宋" w:hAnsi="仿宋" w:eastAsia="仿宋" w:cs="仿宋"/>
          <w:b w:val="0"/>
          <w:i w:val="0"/>
          <w:caps w:val="0"/>
          <w:color w:val="000000"/>
          <w:spacing w:val="0"/>
          <w:w w:val="100"/>
          <w:sz w:val="24"/>
          <w:lang w:val="en-US" w:eastAsia="zh-CN"/>
        </w:rPr>
        <w:t>或签章</w:t>
      </w:r>
      <w:r>
        <w:rPr>
          <w:rFonts w:hint="eastAsia" w:ascii="仿宋" w:hAnsi="仿宋" w:eastAsia="仿宋" w:cs="仿宋"/>
          <w:b w:val="0"/>
          <w:i w:val="0"/>
          <w:caps w:val="0"/>
          <w:color w:val="000000"/>
          <w:spacing w:val="0"/>
          <w:w w:val="100"/>
          <w:sz w:val="24"/>
          <w:lang w:eastAsia="zh-CN"/>
        </w:rPr>
        <w:t>）</w:t>
      </w:r>
      <w:r>
        <w:rPr>
          <w:rFonts w:hint="eastAsia" w:ascii="仿宋_GB2312" w:hAnsi="仿宋_GB2312" w:eastAsia="仿宋_GB2312" w:cs="仿宋_GB2312"/>
          <w:b w:val="0"/>
          <w:i w:val="0"/>
          <w:caps w:val="0"/>
          <w:spacing w:val="0"/>
          <w:w w:val="100"/>
          <w:sz w:val="24"/>
        </w:rPr>
        <w:t xml:space="preserve">: </w:t>
      </w:r>
      <w:r>
        <w:rPr>
          <w:rFonts w:hint="eastAsia" w:ascii="仿宋_GB2312" w:hAnsi="仿宋_GB2312" w:eastAsia="仿宋_GB2312" w:cs="仿宋_GB2312"/>
          <w:b w:val="0"/>
          <w:i w:val="0"/>
          <w:caps w:val="0"/>
          <w:spacing w:val="0"/>
          <w:w w:val="100"/>
          <w:sz w:val="24"/>
          <w:u w:val="single" w:color="000000"/>
        </w:rPr>
        <w:t xml:space="preserve">  </w:t>
      </w:r>
      <w:r>
        <w:rPr>
          <w:rFonts w:hint="eastAsia" w:ascii="仿宋_GB2312" w:hAnsi="仿宋_GB2312" w:eastAsia="仿宋_GB2312" w:cs="仿宋_GB2312"/>
          <w:b w:val="0"/>
          <w:i w:val="0"/>
          <w:caps w:val="0"/>
          <w:spacing w:val="0"/>
          <w:w w:val="100"/>
          <w:sz w:val="24"/>
          <w:u w:val="single" w:color="000000"/>
          <w:lang w:val="en-US" w:eastAsia="zh-CN"/>
        </w:rPr>
        <w:t xml:space="preserve">                   </w:t>
      </w:r>
    </w:p>
    <w:p w14:paraId="6E00DBCB">
      <w:pPr>
        <w:pStyle w:val="20"/>
        <w:tabs>
          <w:tab w:val="left" w:pos="5370"/>
        </w:tabs>
        <w:snapToGrid w:val="0"/>
        <w:spacing w:before="0" w:beforeAutospacing="0" w:after="0" w:afterAutospacing="0" w:line="240" w:lineRule="atLeast"/>
        <w:ind w:left="1080" w:leftChars="257" w:hanging="540"/>
        <w:jc w:val="both"/>
        <w:textAlignment w:val="baseline"/>
        <w:rPr>
          <w:rFonts w:hint="eastAsia" w:ascii="仿宋_GB2312" w:hAnsi="仿宋_GB2312" w:eastAsia="仿宋_GB2312" w:cs="仿宋_GB2312"/>
          <w:b w:val="0"/>
          <w:i w:val="0"/>
          <w:caps w:val="0"/>
          <w:spacing w:val="0"/>
          <w:w w:val="100"/>
          <w:sz w:val="24"/>
        </w:rPr>
      </w:pPr>
    </w:p>
    <w:p w14:paraId="4D746605">
      <w:pPr>
        <w:pStyle w:val="20"/>
        <w:tabs>
          <w:tab w:val="left" w:pos="5370"/>
        </w:tabs>
        <w:snapToGrid w:val="0"/>
        <w:spacing w:before="0" w:beforeAutospacing="0" w:after="0" w:afterAutospacing="0" w:line="240" w:lineRule="atLeast"/>
        <w:ind w:left="1080" w:leftChars="257" w:hanging="540"/>
        <w:jc w:val="both"/>
        <w:textAlignment w:val="baseline"/>
        <w:rPr>
          <w:rFonts w:ascii="仿宋_GB2312" w:hAnsi="仿宋_GB2312" w:eastAsia="仿宋_GB2312" w:cs="仿宋_GB2312"/>
          <w:b w:val="0"/>
          <w:i w:val="0"/>
          <w:caps w:val="0"/>
          <w:spacing w:val="0"/>
          <w:w w:val="100"/>
          <w:sz w:val="24"/>
          <w:u w:val="single"/>
        </w:rPr>
      </w:pPr>
      <w:r>
        <w:rPr>
          <w:rFonts w:hint="eastAsia" w:ascii="仿宋_GB2312" w:hAnsi="仿宋_GB2312" w:eastAsia="仿宋_GB2312" w:cs="仿宋_GB2312"/>
          <w:b w:val="0"/>
          <w:i w:val="0"/>
          <w:caps w:val="0"/>
          <w:spacing w:val="0"/>
          <w:w w:val="100"/>
          <w:sz w:val="24"/>
        </w:rPr>
        <w:t>投标人(盖单位章):</w:t>
      </w:r>
      <w:r>
        <w:rPr>
          <w:rFonts w:hint="eastAsia" w:ascii="仿宋_GB2312" w:hAnsi="仿宋_GB2312" w:eastAsia="仿宋_GB2312" w:cs="仿宋_GB2312"/>
          <w:b w:val="0"/>
          <w:i w:val="0"/>
          <w:caps w:val="0"/>
          <w:spacing w:val="0"/>
          <w:w w:val="100"/>
          <w:sz w:val="24"/>
          <w:u w:val="single" w:color="000000"/>
        </w:rPr>
        <w:tab/>
      </w:r>
    </w:p>
    <w:p w14:paraId="0BE5CB89">
      <w:pPr>
        <w:pStyle w:val="20"/>
        <w:snapToGrid w:val="0"/>
        <w:spacing w:before="0" w:beforeAutospacing="0" w:after="0" w:afterAutospacing="0" w:line="240" w:lineRule="atLeast"/>
        <w:ind w:left="1080" w:leftChars="257" w:hanging="540"/>
        <w:jc w:val="both"/>
        <w:textAlignment w:val="baseline"/>
        <w:rPr>
          <w:rFonts w:ascii="仿宋_GB2312" w:hAnsi="仿宋_GB2312" w:eastAsia="仿宋_GB2312" w:cs="仿宋_GB2312"/>
          <w:b w:val="0"/>
          <w:i w:val="0"/>
          <w:caps w:val="0"/>
          <w:spacing w:val="0"/>
          <w:w w:val="100"/>
          <w:sz w:val="24"/>
        </w:rPr>
      </w:pPr>
    </w:p>
    <w:p w14:paraId="7DF6DEA0">
      <w:pPr>
        <w:pStyle w:val="20"/>
        <w:snapToGrid w:val="0"/>
        <w:spacing w:before="0" w:beforeAutospacing="0" w:after="0" w:afterAutospacing="0" w:line="240" w:lineRule="atLeast"/>
        <w:ind w:left="1080" w:leftChars="257" w:hanging="540"/>
        <w:jc w:val="both"/>
        <w:textAlignment w:val="baseline"/>
        <w:rPr>
          <w:rFonts w:ascii="仿宋_GB2312" w:hAnsi="仿宋_GB2312" w:eastAsia="仿宋_GB2312" w:cs="仿宋_GB2312"/>
          <w:b w:val="0"/>
          <w:i w:val="0"/>
          <w:caps w:val="0"/>
          <w:spacing w:val="0"/>
          <w:w w:val="100"/>
          <w:sz w:val="24"/>
        </w:rPr>
      </w:pPr>
      <w:r>
        <w:rPr>
          <w:rFonts w:hint="eastAsia" w:ascii="仿宋_GB2312" w:hAnsi="仿宋_GB2312" w:eastAsia="仿宋_GB2312" w:cs="仿宋_GB2312"/>
          <w:b w:val="0"/>
          <w:i w:val="0"/>
          <w:caps w:val="0"/>
          <w:spacing w:val="0"/>
          <w:w w:val="100"/>
          <w:sz w:val="24"/>
        </w:rPr>
        <w:t>注: 各项货物详细技术性能应另页描述。</w:t>
      </w:r>
    </w:p>
    <w:p w14:paraId="496D8498">
      <w:pPr>
        <w:pStyle w:val="20"/>
        <w:snapToGrid w:val="0"/>
        <w:spacing w:before="0" w:beforeAutospacing="0" w:after="0" w:afterAutospacing="0" w:line="240" w:lineRule="atLeast"/>
        <w:ind w:left="1080" w:leftChars="257" w:hanging="540"/>
        <w:jc w:val="center"/>
        <w:textAlignment w:val="baseline"/>
        <w:rPr>
          <w:rFonts w:ascii="仿宋_GB2312" w:hAnsi="仿宋_GB2312" w:eastAsia="仿宋_GB2312" w:cs="仿宋_GB2312"/>
          <w:b w:val="0"/>
          <w:i w:val="0"/>
          <w:caps w:val="0"/>
          <w:spacing w:val="0"/>
          <w:w w:val="100"/>
          <w:sz w:val="24"/>
        </w:rPr>
      </w:pPr>
    </w:p>
    <w:p w14:paraId="6E41F80F">
      <w:pPr>
        <w:pStyle w:val="20"/>
        <w:snapToGrid w:val="0"/>
        <w:spacing w:before="0" w:beforeAutospacing="0" w:after="0" w:afterAutospacing="0" w:line="240" w:lineRule="atLeast"/>
        <w:ind w:left="1080" w:leftChars="257" w:hanging="540"/>
        <w:jc w:val="center"/>
        <w:textAlignment w:val="baseline"/>
        <w:rPr>
          <w:rFonts w:ascii="仿宋_GB2312" w:hAnsi="仿宋_GB2312" w:eastAsia="仿宋_GB2312" w:cs="仿宋_GB2312"/>
          <w:b w:val="0"/>
          <w:i w:val="0"/>
          <w:caps w:val="0"/>
          <w:spacing w:val="0"/>
          <w:w w:val="100"/>
          <w:sz w:val="24"/>
        </w:rPr>
        <w:sectPr>
          <w:headerReference r:id="rId9" w:type="default"/>
          <w:footerReference r:id="rId10" w:type="default"/>
          <w:pgSz w:w="11906" w:h="16838"/>
          <w:pgMar w:top="1440" w:right="1797" w:bottom="1440" w:left="1797" w:header="851" w:footer="992" w:gutter="0"/>
          <w:pgBorders>
            <w:top w:val="none" w:sz="0" w:space="0"/>
            <w:left w:val="none" w:sz="0" w:space="0"/>
            <w:bottom w:val="none" w:sz="0" w:space="0"/>
            <w:right w:val="none" w:sz="0" w:space="0"/>
          </w:pgBorders>
          <w:pgNumType w:fmt="decimal"/>
          <w:cols w:space="720" w:num="1"/>
          <w:docGrid w:linePitch="312" w:charSpace="0"/>
        </w:sectPr>
      </w:pPr>
    </w:p>
    <w:p w14:paraId="45A091EA">
      <w:pPr>
        <w:pStyle w:val="2"/>
        <w:keepNext/>
        <w:keepLines/>
        <w:pageBreakBefore w:val="0"/>
        <w:widowControl w:val="0"/>
        <w:kinsoku/>
        <w:wordWrap/>
        <w:overflowPunct/>
        <w:topLinePunct w:val="0"/>
        <w:autoSpaceDE w:val="0"/>
        <w:autoSpaceDN w:val="0"/>
        <w:bidi w:val="0"/>
        <w:adjustRightInd w:val="0"/>
        <w:snapToGrid/>
        <w:spacing w:before="0" w:line="288" w:lineRule="auto"/>
        <w:jc w:val="center"/>
        <w:textAlignment w:val="auto"/>
        <w:rPr>
          <w:rFonts w:hint="eastAsia" w:ascii="仿宋_GB2312" w:hAnsi="仿宋_GB2312" w:eastAsia="仿宋_GB2312" w:cs="仿宋_GB2312"/>
          <w:b/>
          <w:sz w:val="24"/>
          <w:lang w:val="en-US" w:eastAsia="zh-CN"/>
        </w:rPr>
      </w:pPr>
      <w:bookmarkStart w:id="1316" w:name="_Toc29133"/>
      <w:bookmarkStart w:id="1317" w:name="_Toc12177"/>
      <w:bookmarkStart w:id="1318" w:name="_Toc1112"/>
      <w:bookmarkStart w:id="1319" w:name="_Toc1858"/>
      <w:bookmarkStart w:id="1320" w:name="_Toc28689"/>
      <w:bookmarkStart w:id="1321" w:name="_Toc12128"/>
      <w:bookmarkStart w:id="1322" w:name="_Toc515647820"/>
      <w:bookmarkStart w:id="1323" w:name="_Toc28959"/>
      <w:bookmarkStart w:id="1324" w:name="_Toc10052"/>
      <w:bookmarkStart w:id="1325" w:name="_Toc24289"/>
      <w:bookmarkStart w:id="1326" w:name="_Toc15211"/>
      <w:bookmarkStart w:id="1327" w:name="_Toc216582817"/>
      <w:bookmarkStart w:id="1328" w:name="_Toc29780"/>
      <w:bookmarkStart w:id="1329" w:name="_Toc7062"/>
      <w:bookmarkStart w:id="1330" w:name="_Toc24855"/>
      <w:bookmarkStart w:id="1331" w:name="_Toc8513"/>
      <w:bookmarkStart w:id="1332" w:name="_Toc22563"/>
      <w:bookmarkStart w:id="1333" w:name="_Toc5951"/>
      <w:bookmarkStart w:id="1334" w:name="_Toc32464"/>
      <w:bookmarkStart w:id="1335" w:name="_Toc13515"/>
      <w:bookmarkStart w:id="1336" w:name="_Toc1197"/>
      <w:bookmarkStart w:id="1337" w:name="_Toc11330"/>
      <w:r>
        <w:rPr>
          <w:rFonts w:hint="eastAsia" w:ascii="仿宋_GB2312" w:hAnsi="仿宋_GB2312" w:eastAsia="仿宋_GB2312" w:cs="仿宋_GB2312"/>
          <w:b/>
          <w:sz w:val="24"/>
          <w:lang w:val="en-US" w:eastAsia="zh-CN"/>
        </w:rPr>
        <w:t>4 技术规格偏离表</w:t>
      </w:r>
      <w:bookmarkEnd w:id="1316"/>
      <w:bookmarkEnd w:id="1317"/>
      <w:bookmarkEnd w:id="1318"/>
      <w:bookmarkEnd w:id="1319"/>
      <w:bookmarkEnd w:id="1320"/>
      <w:bookmarkEnd w:id="1321"/>
      <w:bookmarkEnd w:id="1322"/>
      <w:bookmarkEnd w:id="1323"/>
      <w:bookmarkEnd w:id="1324"/>
      <w:bookmarkEnd w:id="1325"/>
      <w:bookmarkEnd w:id="1326"/>
      <w:bookmarkEnd w:id="1327"/>
      <w:bookmarkEnd w:id="1328"/>
      <w:bookmarkEnd w:id="1329"/>
      <w:bookmarkEnd w:id="1330"/>
      <w:bookmarkEnd w:id="1331"/>
      <w:bookmarkEnd w:id="1332"/>
      <w:bookmarkEnd w:id="1333"/>
      <w:bookmarkEnd w:id="1334"/>
      <w:bookmarkEnd w:id="1335"/>
      <w:bookmarkEnd w:id="1336"/>
      <w:bookmarkEnd w:id="1337"/>
    </w:p>
    <w:p w14:paraId="63A4DEC5">
      <w:pPr>
        <w:pStyle w:val="20"/>
        <w:snapToGrid w:val="0"/>
        <w:spacing w:before="0" w:beforeAutospacing="0" w:after="0" w:afterAutospacing="0" w:line="240" w:lineRule="atLeast"/>
        <w:ind w:left="1080" w:leftChars="257" w:hanging="540"/>
        <w:jc w:val="both"/>
        <w:textAlignment w:val="baseline"/>
        <w:rPr>
          <w:rFonts w:ascii="仿宋_GB2312" w:hAnsi="仿宋_GB2312" w:eastAsia="仿宋_GB2312" w:cs="仿宋_GB2312"/>
          <w:b w:val="0"/>
          <w:i w:val="0"/>
          <w:caps w:val="0"/>
          <w:spacing w:val="0"/>
          <w:w w:val="100"/>
          <w:sz w:val="24"/>
        </w:rPr>
      </w:pPr>
    </w:p>
    <w:p w14:paraId="512A9AAC">
      <w:pPr>
        <w:pStyle w:val="20"/>
        <w:snapToGrid w:val="0"/>
        <w:spacing w:before="0" w:beforeAutospacing="0" w:after="0" w:afterAutospacing="0" w:line="240" w:lineRule="atLeast"/>
        <w:ind w:firstLine="360" w:firstLineChars="150"/>
        <w:jc w:val="both"/>
        <w:textAlignment w:val="baseline"/>
        <w:rPr>
          <w:rFonts w:ascii="仿宋_GB2312" w:hAnsi="仿宋_GB2312" w:eastAsia="仿宋_GB2312" w:cs="仿宋_GB2312"/>
          <w:b w:val="0"/>
          <w:i w:val="0"/>
          <w:caps w:val="0"/>
          <w:spacing w:val="0"/>
          <w:w w:val="100"/>
          <w:sz w:val="24"/>
        </w:rPr>
      </w:pPr>
      <w:r>
        <w:rPr>
          <w:rFonts w:hint="eastAsia" w:ascii="仿宋_GB2312" w:hAnsi="仿宋_GB2312" w:eastAsia="仿宋_GB2312" w:cs="仿宋_GB2312"/>
          <w:b w:val="0"/>
          <w:i w:val="0"/>
          <w:caps w:val="0"/>
          <w:spacing w:val="0"/>
          <w:w w:val="100"/>
          <w:sz w:val="24"/>
        </w:rPr>
        <w:t xml:space="preserve">项目名称:                      </w:t>
      </w:r>
      <w:r>
        <w:rPr>
          <w:rFonts w:hint="eastAsia" w:ascii="仿宋_GB2312" w:hAnsi="仿宋_GB2312" w:eastAsia="仿宋_GB2312" w:cs="仿宋_GB2312"/>
          <w:b w:val="0"/>
          <w:i w:val="0"/>
          <w:caps w:val="0"/>
          <w:spacing w:val="0"/>
          <w:w w:val="100"/>
          <w:sz w:val="24"/>
          <w:lang w:val="en-US" w:eastAsia="zh-CN"/>
        </w:rPr>
        <w:t>项目</w:t>
      </w:r>
      <w:r>
        <w:rPr>
          <w:rFonts w:hint="eastAsia" w:ascii="仿宋_GB2312" w:hAnsi="仿宋_GB2312" w:eastAsia="仿宋_GB2312" w:cs="仿宋_GB2312"/>
          <w:b w:val="0"/>
          <w:i w:val="0"/>
          <w:caps w:val="0"/>
          <w:spacing w:val="0"/>
          <w:w w:val="100"/>
          <w:sz w:val="24"/>
        </w:rPr>
        <w:t xml:space="preserve">编号:             </w:t>
      </w:r>
      <w:r>
        <w:rPr>
          <w:rFonts w:hint="eastAsia" w:ascii="仿宋_GB2312" w:hAnsi="仿宋_GB2312" w:eastAsia="仿宋_GB2312" w:cs="仿宋_GB2312"/>
          <w:b w:val="0"/>
          <w:i w:val="0"/>
          <w:caps w:val="0"/>
          <w:spacing w:val="0"/>
          <w:w w:val="100"/>
          <w:sz w:val="24"/>
          <w:lang w:val="en-US" w:eastAsia="zh-CN"/>
        </w:rPr>
        <w:t>标段</w:t>
      </w:r>
      <w:r>
        <w:rPr>
          <w:rFonts w:hint="eastAsia" w:ascii="仿宋_GB2312" w:hAnsi="仿宋_GB2312" w:eastAsia="仿宋_GB2312" w:cs="仿宋_GB2312"/>
          <w:b w:val="0"/>
          <w:i w:val="0"/>
          <w:caps w:val="0"/>
          <w:spacing w:val="0"/>
          <w:w w:val="100"/>
          <w:sz w:val="24"/>
        </w:rPr>
        <w:t>:</w:t>
      </w:r>
    </w:p>
    <w:p w14:paraId="0A042699">
      <w:pPr>
        <w:pStyle w:val="20"/>
        <w:snapToGrid w:val="0"/>
        <w:spacing w:before="0" w:beforeAutospacing="0" w:after="0" w:afterAutospacing="0" w:line="240" w:lineRule="atLeast"/>
        <w:ind w:left="1080" w:leftChars="257" w:hanging="540"/>
        <w:jc w:val="both"/>
        <w:textAlignment w:val="baseline"/>
        <w:rPr>
          <w:rFonts w:ascii="仿宋_GB2312" w:hAnsi="仿宋_GB2312" w:eastAsia="仿宋_GB2312" w:cs="仿宋_GB2312"/>
          <w:b w:val="0"/>
          <w:i w:val="0"/>
          <w:caps w:val="0"/>
          <w:spacing w:val="0"/>
          <w:w w:val="100"/>
          <w:sz w:val="24"/>
        </w:rPr>
      </w:pPr>
    </w:p>
    <w:tbl>
      <w:tblPr>
        <w:tblStyle w:val="38"/>
        <w:tblW w:w="843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36"/>
        <w:gridCol w:w="1686"/>
        <w:gridCol w:w="1511"/>
        <w:gridCol w:w="1385"/>
        <w:gridCol w:w="1183"/>
        <w:gridCol w:w="1135"/>
      </w:tblGrid>
      <w:tr w14:paraId="207E5D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6" w:hRule="atLeast"/>
          <w:jc w:val="center"/>
        </w:trPr>
        <w:tc>
          <w:tcPr>
            <w:tcW w:w="1536" w:type="dxa"/>
            <w:noWrap w:val="0"/>
            <w:vAlign w:val="center"/>
          </w:tcPr>
          <w:p w14:paraId="06DB8A09">
            <w:pPr>
              <w:pStyle w:val="20"/>
              <w:keepNext w:val="0"/>
              <w:keepLines w:val="0"/>
              <w:suppressLineNumbers w:val="0"/>
              <w:snapToGrid w:val="0"/>
              <w:spacing w:before="0" w:beforeAutospacing="0" w:after="0" w:afterAutospacing="0" w:line="240" w:lineRule="atLeast"/>
              <w:ind w:left="0" w:right="0"/>
              <w:jc w:val="center"/>
              <w:textAlignment w:val="baseline"/>
              <w:rPr>
                <w:rFonts w:hint="default" w:ascii="仿宋_GB2312" w:hAnsi="仿宋_GB2312" w:eastAsia="仿宋_GB2312" w:cs="仿宋_GB2312"/>
                <w:b w:val="0"/>
                <w:i w:val="0"/>
                <w:caps w:val="0"/>
                <w:spacing w:val="0"/>
                <w:w w:val="100"/>
                <w:sz w:val="24"/>
              </w:rPr>
            </w:pPr>
            <w:r>
              <w:rPr>
                <w:rFonts w:hint="eastAsia" w:ascii="仿宋_GB2312" w:hAnsi="仿宋_GB2312" w:eastAsia="仿宋_GB2312" w:cs="仿宋_GB2312"/>
                <w:b w:val="0"/>
                <w:i w:val="0"/>
                <w:caps w:val="0"/>
                <w:spacing w:val="0"/>
                <w:w w:val="100"/>
                <w:sz w:val="24"/>
              </w:rPr>
              <w:t>序号</w:t>
            </w:r>
          </w:p>
        </w:tc>
        <w:tc>
          <w:tcPr>
            <w:tcW w:w="1686" w:type="dxa"/>
            <w:noWrap w:val="0"/>
            <w:vAlign w:val="center"/>
          </w:tcPr>
          <w:p w14:paraId="37FD34EE">
            <w:pPr>
              <w:pStyle w:val="20"/>
              <w:keepNext w:val="0"/>
              <w:keepLines w:val="0"/>
              <w:suppressLineNumbers w:val="0"/>
              <w:snapToGrid w:val="0"/>
              <w:spacing w:before="0" w:beforeAutospacing="0" w:after="0" w:afterAutospacing="0" w:line="240" w:lineRule="atLeast"/>
              <w:ind w:left="0" w:right="0"/>
              <w:jc w:val="center"/>
              <w:textAlignment w:val="baseline"/>
              <w:rPr>
                <w:rFonts w:hint="default" w:ascii="仿宋_GB2312" w:hAnsi="仿宋_GB2312" w:eastAsia="仿宋_GB2312" w:cs="仿宋_GB2312"/>
                <w:b w:val="0"/>
                <w:i w:val="0"/>
                <w:caps w:val="0"/>
                <w:spacing w:val="0"/>
                <w:w w:val="100"/>
                <w:sz w:val="24"/>
              </w:rPr>
            </w:pPr>
            <w:r>
              <w:rPr>
                <w:rFonts w:hint="eastAsia" w:ascii="仿宋_GB2312" w:hAnsi="仿宋_GB2312" w:eastAsia="仿宋_GB2312" w:cs="仿宋_GB2312"/>
                <w:b w:val="0"/>
                <w:i w:val="0"/>
                <w:caps w:val="0"/>
                <w:spacing w:val="0"/>
                <w:w w:val="100"/>
                <w:sz w:val="24"/>
              </w:rPr>
              <w:t>货物名称</w:t>
            </w:r>
          </w:p>
        </w:tc>
        <w:tc>
          <w:tcPr>
            <w:tcW w:w="1511" w:type="dxa"/>
            <w:noWrap w:val="0"/>
            <w:vAlign w:val="center"/>
          </w:tcPr>
          <w:p w14:paraId="1EF74E80">
            <w:pPr>
              <w:pStyle w:val="20"/>
              <w:keepNext w:val="0"/>
              <w:keepLines w:val="0"/>
              <w:suppressLineNumbers w:val="0"/>
              <w:snapToGrid w:val="0"/>
              <w:spacing w:before="0" w:beforeAutospacing="0" w:after="0" w:afterAutospacing="0" w:line="240" w:lineRule="atLeast"/>
              <w:ind w:left="0" w:right="0"/>
              <w:jc w:val="center"/>
              <w:textAlignment w:val="baseline"/>
              <w:rPr>
                <w:rFonts w:hint="default" w:ascii="仿宋_GB2312" w:hAnsi="仿宋_GB2312" w:eastAsia="仿宋_GB2312" w:cs="仿宋_GB2312"/>
                <w:b w:val="0"/>
                <w:i w:val="0"/>
                <w:caps w:val="0"/>
                <w:spacing w:val="0"/>
                <w:w w:val="100"/>
                <w:sz w:val="24"/>
              </w:rPr>
            </w:pPr>
            <w:r>
              <w:rPr>
                <w:rFonts w:hint="eastAsia" w:ascii="仿宋_GB2312" w:hAnsi="仿宋_GB2312" w:eastAsia="仿宋_GB2312" w:cs="仿宋_GB2312"/>
                <w:b w:val="0"/>
                <w:i w:val="0"/>
                <w:caps w:val="0"/>
                <w:spacing w:val="0"/>
                <w:w w:val="100"/>
                <w:sz w:val="24"/>
              </w:rPr>
              <w:t>招标规格</w:t>
            </w:r>
          </w:p>
        </w:tc>
        <w:tc>
          <w:tcPr>
            <w:tcW w:w="1385" w:type="dxa"/>
            <w:noWrap w:val="0"/>
            <w:vAlign w:val="center"/>
          </w:tcPr>
          <w:p w14:paraId="24A8EEC6">
            <w:pPr>
              <w:pStyle w:val="20"/>
              <w:keepNext w:val="0"/>
              <w:keepLines w:val="0"/>
              <w:suppressLineNumbers w:val="0"/>
              <w:snapToGrid w:val="0"/>
              <w:spacing w:before="0" w:beforeAutospacing="0" w:after="0" w:afterAutospacing="0" w:line="240" w:lineRule="atLeast"/>
              <w:ind w:left="0" w:right="0"/>
              <w:jc w:val="center"/>
              <w:textAlignment w:val="baseline"/>
              <w:rPr>
                <w:rFonts w:hint="default" w:ascii="仿宋_GB2312" w:hAnsi="仿宋_GB2312" w:eastAsia="仿宋_GB2312" w:cs="仿宋_GB2312"/>
                <w:b w:val="0"/>
                <w:i w:val="0"/>
                <w:caps w:val="0"/>
                <w:spacing w:val="0"/>
                <w:w w:val="100"/>
                <w:sz w:val="24"/>
              </w:rPr>
            </w:pPr>
            <w:r>
              <w:rPr>
                <w:rFonts w:hint="eastAsia" w:ascii="仿宋_GB2312" w:hAnsi="仿宋_GB2312" w:eastAsia="仿宋_GB2312" w:cs="仿宋_GB2312"/>
                <w:b w:val="0"/>
                <w:i w:val="0"/>
                <w:caps w:val="0"/>
                <w:spacing w:val="0"/>
                <w:w w:val="100"/>
                <w:sz w:val="24"/>
              </w:rPr>
              <w:t>投标规格</w:t>
            </w:r>
          </w:p>
        </w:tc>
        <w:tc>
          <w:tcPr>
            <w:tcW w:w="1183" w:type="dxa"/>
            <w:noWrap w:val="0"/>
            <w:vAlign w:val="center"/>
          </w:tcPr>
          <w:p w14:paraId="6EFA24DD">
            <w:pPr>
              <w:pStyle w:val="20"/>
              <w:keepNext w:val="0"/>
              <w:keepLines w:val="0"/>
              <w:suppressLineNumbers w:val="0"/>
              <w:snapToGrid w:val="0"/>
              <w:spacing w:before="0" w:beforeAutospacing="0" w:after="0" w:afterAutospacing="0" w:line="240" w:lineRule="atLeast"/>
              <w:ind w:left="0" w:right="0"/>
              <w:jc w:val="center"/>
              <w:textAlignment w:val="baseline"/>
              <w:rPr>
                <w:rFonts w:hint="default" w:ascii="仿宋_GB2312" w:hAnsi="仿宋_GB2312" w:eastAsia="仿宋_GB2312" w:cs="仿宋_GB2312"/>
                <w:b w:val="0"/>
                <w:i w:val="0"/>
                <w:caps w:val="0"/>
                <w:spacing w:val="0"/>
                <w:w w:val="100"/>
                <w:sz w:val="24"/>
              </w:rPr>
            </w:pPr>
            <w:r>
              <w:rPr>
                <w:rFonts w:hint="eastAsia" w:ascii="仿宋_GB2312" w:hAnsi="仿宋_GB2312" w:eastAsia="仿宋_GB2312" w:cs="仿宋_GB2312"/>
                <w:b w:val="0"/>
                <w:i w:val="0"/>
                <w:caps w:val="0"/>
                <w:spacing w:val="0"/>
                <w:w w:val="100"/>
                <w:sz w:val="24"/>
              </w:rPr>
              <w:t>偏离</w:t>
            </w:r>
          </w:p>
        </w:tc>
        <w:tc>
          <w:tcPr>
            <w:tcW w:w="1135" w:type="dxa"/>
            <w:noWrap w:val="0"/>
            <w:vAlign w:val="center"/>
          </w:tcPr>
          <w:p w14:paraId="4A4E6940">
            <w:pPr>
              <w:pStyle w:val="20"/>
              <w:keepNext w:val="0"/>
              <w:keepLines w:val="0"/>
              <w:suppressLineNumbers w:val="0"/>
              <w:snapToGrid w:val="0"/>
              <w:spacing w:before="0" w:beforeAutospacing="0" w:after="0" w:afterAutospacing="0" w:line="240" w:lineRule="atLeast"/>
              <w:ind w:left="0" w:right="0"/>
              <w:jc w:val="center"/>
              <w:textAlignment w:val="baseline"/>
              <w:rPr>
                <w:rFonts w:hint="default" w:ascii="仿宋_GB2312" w:hAnsi="仿宋_GB2312" w:eastAsia="仿宋_GB2312" w:cs="仿宋_GB2312"/>
                <w:b w:val="0"/>
                <w:i w:val="0"/>
                <w:caps w:val="0"/>
                <w:spacing w:val="0"/>
                <w:w w:val="100"/>
                <w:sz w:val="24"/>
              </w:rPr>
            </w:pPr>
            <w:r>
              <w:rPr>
                <w:rFonts w:hint="eastAsia" w:ascii="仿宋_GB2312" w:hAnsi="仿宋_GB2312" w:eastAsia="仿宋_GB2312" w:cs="仿宋_GB2312"/>
                <w:b w:val="0"/>
                <w:i w:val="0"/>
                <w:caps w:val="0"/>
                <w:spacing w:val="0"/>
                <w:w w:val="100"/>
                <w:sz w:val="24"/>
              </w:rPr>
              <w:t>说明</w:t>
            </w:r>
          </w:p>
        </w:tc>
      </w:tr>
      <w:tr w14:paraId="64A94F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6" w:hRule="atLeast"/>
          <w:jc w:val="center"/>
        </w:trPr>
        <w:tc>
          <w:tcPr>
            <w:tcW w:w="1536" w:type="dxa"/>
            <w:noWrap w:val="0"/>
            <w:vAlign w:val="top"/>
          </w:tcPr>
          <w:p w14:paraId="6D814064">
            <w:pPr>
              <w:pStyle w:val="20"/>
              <w:keepNext w:val="0"/>
              <w:keepLines w:val="0"/>
              <w:suppressLineNumbers w:val="0"/>
              <w:snapToGrid w:val="0"/>
              <w:spacing w:before="0" w:beforeAutospacing="0" w:after="0" w:afterAutospacing="0" w:line="240" w:lineRule="atLeast"/>
              <w:ind w:left="1080" w:leftChars="257" w:right="0" w:hanging="540"/>
              <w:jc w:val="both"/>
              <w:textAlignment w:val="baseline"/>
              <w:rPr>
                <w:rFonts w:hint="default" w:ascii="仿宋_GB2312" w:hAnsi="仿宋_GB2312" w:eastAsia="仿宋_GB2312" w:cs="仿宋_GB2312"/>
                <w:b w:val="0"/>
                <w:i w:val="0"/>
                <w:caps w:val="0"/>
                <w:spacing w:val="0"/>
                <w:w w:val="100"/>
                <w:sz w:val="24"/>
              </w:rPr>
            </w:pPr>
          </w:p>
        </w:tc>
        <w:tc>
          <w:tcPr>
            <w:tcW w:w="1686" w:type="dxa"/>
            <w:noWrap w:val="0"/>
            <w:vAlign w:val="top"/>
          </w:tcPr>
          <w:p w14:paraId="6669B6AF">
            <w:pPr>
              <w:pStyle w:val="20"/>
              <w:keepNext w:val="0"/>
              <w:keepLines w:val="0"/>
              <w:suppressLineNumbers w:val="0"/>
              <w:snapToGrid w:val="0"/>
              <w:spacing w:before="0" w:beforeAutospacing="0" w:after="0" w:afterAutospacing="0" w:line="240" w:lineRule="atLeast"/>
              <w:ind w:left="1080" w:leftChars="257" w:right="0" w:hanging="540"/>
              <w:jc w:val="both"/>
              <w:textAlignment w:val="baseline"/>
              <w:rPr>
                <w:rFonts w:hint="default" w:ascii="仿宋_GB2312" w:hAnsi="仿宋_GB2312" w:eastAsia="仿宋_GB2312" w:cs="仿宋_GB2312"/>
                <w:b w:val="0"/>
                <w:i w:val="0"/>
                <w:caps w:val="0"/>
                <w:spacing w:val="0"/>
                <w:w w:val="100"/>
                <w:sz w:val="24"/>
              </w:rPr>
            </w:pPr>
          </w:p>
        </w:tc>
        <w:tc>
          <w:tcPr>
            <w:tcW w:w="1511" w:type="dxa"/>
            <w:noWrap w:val="0"/>
            <w:vAlign w:val="top"/>
          </w:tcPr>
          <w:p w14:paraId="3B522330">
            <w:pPr>
              <w:pStyle w:val="20"/>
              <w:keepNext w:val="0"/>
              <w:keepLines w:val="0"/>
              <w:suppressLineNumbers w:val="0"/>
              <w:snapToGrid w:val="0"/>
              <w:spacing w:before="0" w:beforeAutospacing="0" w:after="0" w:afterAutospacing="0" w:line="240" w:lineRule="atLeast"/>
              <w:ind w:left="1080" w:leftChars="257" w:right="0" w:hanging="540"/>
              <w:jc w:val="both"/>
              <w:textAlignment w:val="baseline"/>
              <w:rPr>
                <w:rFonts w:hint="default" w:ascii="仿宋_GB2312" w:hAnsi="仿宋_GB2312" w:eastAsia="仿宋_GB2312" w:cs="仿宋_GB2312"/>
                <w:b w:val="0"/>
                <w:i w:val="0"/>
                <w:caps w:val="0"/>
                <w:spacing w:val="0"/>
                <w:w w:val="100"/>
                <w:sz w:val="24"/>
              </w:rPr>
            </w:pPr>
          </w:p>
        </w:tc>
        <w:tc>
          <w:tcPr>
            <w:tcW w:w="1385" w:type="dxa"/>
            <w:noWrap w:val="0"/>
            <w:vAlign w:val="top"/>
          </w:tcPr>
          <w:p w14:paraId="290FC63F">
            <w:pPr>
              <w:pStyle w:val="20"/>
              <w:keepNext w:val="0"/>
              <w:keepLines w:val="0"/>
              <w:suppressLineNumbers w:val="0"/>
              <w:snapToGrid w:val="0"/>
              <w:spacing w:before="0" w:beforeAutospacing="0" w:after="0" w:afterAutospacing="0" w:line="240" w:lineRule="atLeast"/>
              <w:ind w:left="1080" w:leftChars="257" w:right="0" w:hanging="540"/>
              <w:jc w:val="both"/>
              <w:textAlignment w:val="baseline"/>
              <w:rPr>
                <w:rFonts w:hint="default" w:ascii="仿宋_GB2312" w:hAnsi="仿宋_GB2312" w:eastAsia="仿宋_GB2312" w:cs="仿宋_GB2312"/>
                <w:b w:val="0"/>
                <w:i w:val="0"/>
                <w:caps w:val="0"/>
                <w:spacing w:val="0"/>
                <w:w w:val="100"/>
                <w:sz w:val="24"/>
              </w:rPr>
            </w:pPr>
          </w:p>
        </w:tc>
        <w:tc>
          <w:tcPr>
            <w:tcW w:w="1183" w:type="dxa"/>
            <w:noWrap w:val="0"/>
            <w:vAlign w:val="top"/>
          </w:tcPr>
          <w:p w14:paraId="371A9EF3">
            <w:pPr>
              <w:pStyle w:val="20"/>
              <w:keepNext w:val="0"/>
              <w:keepLines w:val="0"/>
              <w:suppressLineNumbers w:val="0"/>
              <w:snapToGrid w:val="0"/>
              <w:spacing w:before="0" w:beforeAutospacing="0" w:after="0" w:afterAutospacing="0" w:line="240" w:lineRule="atLeast"/>
              <w:ind w:left="1080" w:leftChars="257" w:right="0" w:hanging="540"/>
              <w:jc w:val="both"/>
              <w:textAlignment w:val="baseline"/>
              <w:rPr>
                <w:rFonts w:hint="default" w:ascii="仿宋_GB2312" w:hAnsi="仿宋_GB2312" w:eastAsia="仿宋_GB2312" w:cs="仿宋_GB2312"/>
                <w:b w:val="0"/>
                <w:i w:val="0"/>
                <w:caps w:val="0"/>
                <w:spacing w:val="0"/>
                <w:w w:val="100"/>
                <w:sz w:val="24"/>
              </w:rPr>
            </w:pPr>
          </w:p>
        </w:tc>
        <w:tc>
          <w:tcPr>
            <w:tcW w:w="1135" w:type="dxa"/>
            <w:noWrap w:val="0"/>
            <w:vAlign w:val="top"/>
          </w:tcPr>
          <w:p w14:paraId="45A380D1">
            <w:pPr>
              <w:pStyle w:val="20"/>
              <w:keepNext w:val="0"/>
              <w:keepLines w:val="0"/>
              <w:suppressLineNumbers w:val="0"/>
              <w:snapToGrid w:val="0"/>
              <w:spacing w:before="0" w:beforeAutospacing="0" w:after="0" w:afterAutospacing="0" w:line="240" w:lineRule="atLeast"/>
              <w:ind w:left="1080" w:leftChars="257" w:right="0" w:hanging="540"/>
              <w:jc w:val="both"/>
              <w:textAlignment w:val="baseline"/>
              <w:rPr>
                <w:rFonts w:hint="default" w:ascii="仿宋_GB2312" w:hAnsi="仿宋_GB2312" w:eastAsia="仿宋_GB2312" w:cs="仿宋_GB2312"/>
                <w:b w:val="0"/>
                <w:i w:val="0"/>
                <w:caps w:val="0"/>
                <w:spacing w:val="0"/>
                <w:w w:val="100"/>
                <w:sz w:val="24"/>
              </w:rPr>
            </w:pPr>
          </w:p>
        </w:tc>
      </w:tr>
      <w:tr w14:paraId="0317C0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6" w:hRule="atLeast"/>
          <w:jc w:val="center"/>
        </w:trPr>
        <w:tc>
          <w:tcPr>
            <w:tcW w:w="1536" w:type="dxa"/>
            <w:noWrap w:val="0"/>
            <w:vAlign w:val="top"/>
          </w:tcPr>
          <w:p w14:paraId="4484D918">
            <w:pPr>
              <w:pStyle w:val="20"/>
              <w:keepNext w:val="0"/>
              <w:keepLines w:val="0"/>
              <w:suppressLineNumbers w:val="0"/>
              <w:snapToGrid w:val="0"/>
              <w:spacing w:before="0" w:beforeAutospacing="0" w:after="0" w:afterAutospacing="0" w:line="240" w:lineRule="atLeast"/>
              <w:ind w:left="1080" w:leftChars="257" w:right="0" w:hanging="540"/>
              <w:jc w:val="both"/>
              <w:textAlignment w:val="baseline"/>
              <w:rPr>
                <w:rFonts w:hint="default" w:ascii="仿宋_GB2312" w:hAnsi="仿宋_GB2312" w:eastAsia="仿宋_GB2312" w:cs="仿宋_GB2312"/>
                <w:b w:val="0"/>
                <w:i w:val="0"/>
                <w:caps w:val="0"/>
                <w:spacing w:val="0"/>
                <w:w w:val="100"/>
                <w:sz w:val="24"/>
              </w:rPr>
            </w:pPr>
          </w:p>
        </w:tc>
        <w:tc>
          <w:tcPr>
            <w:tcW w:w="1686" w:type="dxa"/>
            <w:noWrap w:val="0"/>
            <w:vAlign w:val="top"/>
          </w:tcPr>
          <w:p w14:paraId="14960E29">
            <w:pPr>
              <w:pStyle w:val="20"/>
              <w:keepNext w:val="0"/>
              <w:keepLines w:val="0"/>
              <w:suppressLineNumbers w:val="0"/>
              <w:snapToGrid w:val="0"/>
              <w:spacing w:before="0" w:beforeAutospacing="0" w:after="0" w:afterAutospacing="0" w:line="240" w:lineRule="atLeast"/>
              <w:ind w:left="1080" w:leftChars="257" w:right="0" w:hanging="540"/>
              <w:jc w:val="both"/>
              <w:textAlignment w:val="baseline"/>
              <w:rPr>
                <w:rFonts w:hint="default" w:ascii="仿宋_GB2312" w:hAnsi="仿宋_GB2312" w:eastAsia="仿宋_GB2312" w:cs="仿宋_GB2312"/>
                <w:b w:val="0"/>
                <w:i w:val="0"/>
                <w:caps w:val="0"/>
                <w:spacing w:val="0"/>
                <w:w w:val="100"/>
                <w:sz w:val="24"/>
              </w:rPr>
            </w:pPr>
          </w:p>
        </w:tc>
        <w:tc>
          <w:tcPr>
            <w:tcW w:w="1511" w:type="dxa"/>
            <w:noWrap w:val="0"/>
            <w:vAlign w:val="top"/>
          </w:tcPr>
          <w:p w14:paraId="74AF41C1">
            <w:pPr>
              <w:pStyle w:val="20"/>
              <w:keepNext w:val="0"/>
              <w:keepLines w:val="0"/>
              <w:suppressLineNumbers w:val="0"/>
              <w:snapToGrid w:val="0"/>
              <w:spacing w:before="0" w:beforeAutospacing="0" w:after="0" w:afterAutospacing="0" w:line="240" w:lineRule="atLeast"/>
              <w:ind w:left="1080" w:leftChars="257" w:right="0" w:hanging="540"/>
              <w:jc w:val="both"/>
              <w:textAlignment w:val="baseline"/>
              <w:rPr>
                <w:rFonts w:hint="default" w:ascii="仿宋_GB2312" w:hAnsi="仿宋_GB2312" w:eastAsia="仿宋_GB2312" w:cs="仿宋_GB2312"/>
                <w:b w:val="0"/>
                <w:i w:val="0"/>
                <w:caps w:val="0"/>
                <w:spacing w:val="0"/>
                <w:w w:val="100"/>
                <w:sz w:val="24"/>
              </w:rPr>
            </w:pPr>
          </w:p>
        </w:tc>
        <w:tc>
          <w:tcPr>
            <w:tcW w:w="1385" w:type="dxa"/>
            <w:noWrap w:val="0"/>
            <w:vAlign w:val="top"/>
          </w:tcPr>
          <w:p w14:paraId="467A9028">
            <w:pPr>
              <w:pStyle w:val="20"/>
              <w:keepNext w:val="0"/>
              <w:keepLines w:val="0"/>
              <w:suppressLineNumbers w:val="0"/>
              <w:snapToGrid w:val="0"/>
              <w:spacing w:before="0" w:beforeAutospacing="0" w:after="0" w:afterAutospacing="0" w:line="240" w:lineRule="atLeast"/>
              <w:ind w:left="1080" w:leftChars="257" w:right="0" w:hanging="540"/>
              <w:jc w:val="both"/>
              <w:textAlignment w:val="baseline"/>
              <w:rPr>
                <w:rFonts w:hint="default" w:ascii="仿宋_GB2312" w:hAnsi="仿宋_GB2312" w:eastAsia="仿宋_GB2312" w:cs="仿宋_GB2312"/>
                <w:b w:val="0"/>
                <w:i w:val="0"/>
                <w:caps w:val="0"/>
                <w:spacing w:val="0"/>
                <w:w w:val="100"/>
                <w:sz w:val="24"/>
              </w:rPr>
            </w:pPr>
          </w:p>
        </w:tc>
        <w:tc>
          <w:tcPr>
            <w:tcW w:w="1183" w:type="dxa"/>
            <w:noWrap w:val="0"/>
            <w:vAlign w:val="top"/>
          </w:tcPr>
          <w:p w14:paraId="0715E00E">
            <w:pPr>
              <w:pStyle w:val="20"/>
              <w:keepNext w:val="0"/>
              <w:keepLines w:val="0"/>
              <w:suppressLineNumbers w:val="0"/>
              <w:snapToGrid w:val="0"/>
              <w:spacing w:before="0" w:beforeAutospacing="0" w:after="0" w:afterAutospacing="0" w:line="240" w:lineRule="atLeast"/>
              <w:ind w:left="1080" w:leftChars="257" w:right="0" w:hanging="540"/>
              <w:jc w:val="both"/>
              <w:textAlignment w:val="baseline"/>
              <w:rPr>
                <w:rFonts w:hint="default" w:ascii="仿宋_GB2312" w:hAnsi="仿宋_GB2312" w:eastAsia="仿宋_GB2312" w:cs="仿宋_GB2312"/>
                <w:b w:val="0"/>
                <w:i w:val="0"/>
                <w:caps w:val="0"/>
                <w:spacing w:val="0"/>
                <w:w w:val="100"/>
                <w:sz w:val="24"/>
              </w:rPr>
            </w:pPr>
          </w:p>
        </w:tc>
        <w:tc>
          <w:tcPr>
            <w:tcW w:w="1135" w:type="dxa"/>
            <w:noWrap w:val="0"/>
            <w:vAlign w:val="top"/>
          </w:tcPr>
          <w:p w14:paraId="25A41A5D">
            <w:pPr>
              <w:pStyle w:val="20"/>
              <w:keepNext w:val="0"/>
              <w:keepLines w:val="0"/>
              <w:suppressLineNumbers w:val="0"/>
              <w:snapToGrid w:val="0"/>
              <w:spacing w:before="0" w:beforeAutospacing="0" w:after="0" w:afterAutospacing="0" w:line="240" w:lineRule="atLeast"/>
              <w:ind w:left="1080" w:leftChars="257" w:right="0" w:hanging="540"/>
              <w:jc w:val="both"/>
              <w:textAlignment w:val="baseline"/>
              <w:rPr>
                <w:rFonts w:hint="default" w:ascii="仿宋_GB2312" w:hAnsi="仿宋_GB2312" w:eastAsia="仿宋_GB2312" w:cs="仿宋_GB2312"/>
                <w:b w:val="0"/>
                <w:i w:val="0"/>
                <w:caps w:val="0"/>
                <w:spacing w:val="0"/>
                <w:w w:val="100"/>
                <w:sz w:val="24"/>
              </w:rPr>
            </w:pPr>
          </w:p>
        </w:tc>
      </w:tr>
      <w:tr w14:paraId="7C2D46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6" w:hRule="atLeast"/>
          <w:jc w:val="center"/>
        </w:trPr>
        <w:tc>
          <w:tcPr>
            <w:tcW w:w="1536" w:type="dxa"/>
            <w:noWrap w:val="0"/>
            <w:vAlign w:val="top"/>
          </w:tcPr>
          <w:p w14:paraId="559C77BC">
            <w:pPr>
              <w:pStyle w:val="20"/>
              <w:keepNext w:val="0"/>
              <w:keepLines w:val="0"/>
              <w:suppressLineNumbers w:val="0"/>
              <w:snapToGrid w:val="0"/>
              <w:spacing w:before="0" w:beforeAutospacing="0" w:after="0" w:afterAutospacing="0" w:line="240" w:lineRule="atLeast"/>
              <w:ind w:left="1080" w:leftChars="257" w:right="0" w:hanging="540"/>
              <w:jc w:val="both"/>
              <w:textAlignment w:val="baseline"/>
              <w:rPr>
                <w:rFonts w:hint="default" w:ascii="仿宋_GB2312" w:hAnsi="仿宋_GB2312" w:eastAsia="仿宋_GB2312" w:cs="仿宋_GB2312"/>
                <w:b w:val="0"/>
                <w:i w:val="0"/>
                <w:caps w:val="0"/>
                <w:spacing w:val="0"/>
                <w:w w:val="100"/>
                <w:sz w:val="24"/>
              </w:rPr>
            </w:pPr>
          </w:p>
        </w:tc>
        <w:tc>
          <w:tcPr>
            <w:tcW w:w="1686" w:type="dxa"/>
            <w:noWrap w:val="0"/>
            <w:vAlign w:val="top"/>
          </w:tcPr>
          <w:p w14:paraId="3F89091F">
            <w:pPr>
              <w:pStyle w:val="20"/>
              <w:keepNext w:val="0"/>
              <w:keepLines w:val="0"/>
              <w:suppressLineNumbers w:val="0"/>
              <w:snapToGrid w:val="0"/>
              <w:spacing w:before="0" w:beforeAutospacing="0" w:after="0" w:afterAutospacing="0" w:line="240" w:lineRule="atLeast"/>
              <w:ind w:left="1080" w:leftChars="257" w:right="0" w:hanging="540"/>
              <w:jc w:val="both"/>
              <w:textAlignment w:val="baseline"/>
              <w:rPr>
                <w:rFonts w:hint="default" w:ascii="仿宋_GB2312" w:hAnsi="仿宋_GB2312" w:eastAsia="仿宋_GB2312" w:cs="仿宋_GB2312"/>
                <w:b w:val="0"/>
                <w:i w:val="0"/>
                <w:caps w:val="0"/>
                <w:spacing w:val="0"/>
                <w:w w:val="100"/>
                <w:sz w:val="24"/>
              </w:rPr>
            </w:pPr>
          </w:p>
        </w:tc>
        <w:tc>
          <w:tcPr>
            <w:tcW w:w="1511" w:type="dxa"/>
            <w:noWrap w:val="0"/>
            <w:vAlign w:val="top"/>
          </w:tcPr>
          <w:p w14:paraId="410A8272">
            <w:pPr>
              <w:pStyle w:val="20"/>
              <w:keepNext w:val="0"/>
              <w:keepLines w:val="0"/>
              <w:suppressLineNumbers w:val="0"/>
              <w:snapToGrid w:val="0"/>
              <w:spacing w:before="0" w:beforeAutospacing="0" w:after="0" w:afterAutospacing="0" w:line="240" w:lineRule="atLeast"/>
              <w:ind w:left="1080" w:leftChars="257" w:right="0" w:hanging="540"/>
              <w:jc w:val="both"/>
              <w:textAlignment w:val="baseline"/>
              <w:rPr>
                <w:rFonts w:hint="default" w:ascii="仿宋_GB2312" w:hAnsi="仿宋_GB2312" w:eastAsia="仿宋_GB2312" w:cs="仿宋_GB2312"/>
                <w:b w:val="0"/>
                <w:i w:val="0"/>
                <w:caps w:val="0"/>
                <w:spacing w:val="0"/>
                <w:w w:val="100"/>
                <w:sz w:val="24"/>
              </w:rPr>
            </w:pPr>
          </w:p>
        </w:tc>
        <w:tc>
          <w:tcPr>
            <w:tcW w:w="1385" w:type="dxa"/>
            <w:noWrap w:val="0"/>
            <w:vAlign w:val="top"/>
          </w:tcPr>
          <w:p w14:paraId="36FAA745">
            <w:pPr>
              <w:pStyle w:val="20"/>
              <w:keepNext w:val="0"/>
              <w:keepLines w:val="0"/>
              <w:suppressLineNumbers w:val="0"/>
              <w:snapToGrid w:val="0"/>
              <w:spacing w:before="0" w:beforeAutospacing="0" w:after="0" w:afterAutospacing="0" w:line="240" w:lineRule="atLeast"/>
              <w:ind w:left="1080" w:leftChars="257" w:right="0" w:hanging="540"/>
              <w:jc w:val="both"/>
              <w:textAlignment w:val="baseline"/>
              <w:rPr>
                <w:rFonts w:hint="default" w:ascii="仿宋_GB2312" w:hAnsi="仿宋_GB2312" w:eastAsia="仿宋_GB2312" w:cs="仿宋_GB2312"/>
                <w:b w:val="0"/>
                <w:i w:val="0"/>
                <w:caps w:val="0"/>
                <w:spacing w:val="0"/>
                <w:w w:val="100"/>
                <w:sz w:val="24"/>
              </w:rPr>
            </w:pPr>
          </w:p>
        </w:tc>
        <w:tc>
          <w:tcPr>
            <w:tcW w:w="1183" w:type="dxa"/>
            <w:noWrap w:val="0"/>
            <w:vAlign w:val="top"/>
          </w:tcPr>
          <w:p w14:paraId="4CE7D0D4">
            <w:pPr>
              <w:pStyle w:val="20"/>
              <w:keepNext w:val="0"/>
              <w:keepLines w:val="0"/>
              <w:suppressLineNumbers w:val="0"/>
              <w:snapToGrid w:val="0"/>
              <w:spacing w:before="0" w:beforeAutospacing="0" w:after="0" w:afterAutospacing="0" w:line="240" w:lineRule="atLeast"/>
              <w:ind w:left="1080" w:leftChars="257" w:right="0" w:hanging="540"/>
              <w:jc w:val="both"/>
              <w:textAlignment w:val="baseline"/>
              <w:rPr>
                <w:rFonts w:hint="default" w:ascii="仿宋_GB2312" w:hAnsi="仿宋_GB2312" w:eastAsia="仿宋_GB2312" w:cs="仿宋_GB2312"/>
                <w:b w:val="0"/>
                <w:i w:val="0"/>
                <w:caps w:val="0"/>
                <w:spacing w:val="0"/>
                <w:w w:val="100"/>
                <w:sz w:val="24"/>
              </w:rPr>
            </w:pPr>
          </w:p>
        </w:tc>
        <w:tc>
          <w:tcPr>
            <w:tcW w:w="1135" w:type="dxa"/>
            <w:noWrap w:val="0"/>
            <w:vAlign w:val="top"/>
          </w:tcPr>
          <w:p w14:paraId="6DB1794D">
            <w:pPr>
              <w:pStyle w:val="20"/>
              <w:keepNext w:val="0"/>
              <w:keepLines w:val="0"/>
              <w:suppressLineNumbers w:val="0"/>
              <w:snapToGrid w:val="0"/>
              <w:spacing w:before="0" w:beforeAutospacing="0" w:after="0" w:afterAutospacing="0" w:line="240" w:lineRule="atLeast"/>
              <w:ind w:left="1080" w:leftChars="257" w:right="0" w:hanging="540"/>
              <w:jc w:val="both"/>
              <w:textAlignment w:val="baseline"/>
              <w:rPr>
                <w:rFonts w:hint="default" w:ascii="仿宋_GB2312" w:hAnsi="仿宋_GB2312" w:eastAsia="仿宋_GB2312" w:cs="仿宋_GB2312"/>
                <w:b w:val="0"/>
                <w:i w:val="0"/>
                <w:caps w:val="0"/>
                <w:spacing w:val="0"/>
                <w:w w:val="100"/>
                <w:sz w:val="24"/>
              </w:rPr>
            </w:pPr>
          </w:p>
        </w:tc>
      </w:tr>
      <w:tr w14:paraId="00BDE7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6" w:hRule="atLeast"/>
          <w:jc w:val="center"/>
        </w:trPr>
        <w:tc>
          <w:tcPr>
            <w:tcW w:w="1536" w:type="dxa"/>
            <w:noWrap w:val="0"/>
            <w:vAlign w:val="top"/>
          </w:tcPr>
          <w:p w14:paraId="30AAAD83">
            <w:pPr>
              <w:pStyle w:val="20"/>
              <w:keepNext w:val="0"/>
              <w:keepLines w:val="0"/>
              <w:suppressLineNumbers w:val="0"/>
              <w:snapToGrid w:val="0"/>
              <w:spacing w:before="0" w:beforeAutospacing="0" w:after="0" w:afterAutospacing="0" w:line="240" w:lineRule="atLeast"/>
              <w:ind w:left="1080" w:leftChars="257" w:right="0" w:hanging="540"/>
              <w:jc w:val="both"/>
              <w:textAlignment w:val="baseline"/>
              <w:rPr>
                <w:rFonts w:hint="default" w:ascii="仿宋_GB2312" w:hAnsi="仿宋_GB2312" w:eastAsia="仿宋_GB2312" w:cs="仿宋_GB2312"/>
                <w:b w:val="0"/>
                <w:i w:val="0"/>
                <w:caps w:val="0"/>
                <w:spacing w:val="0"/>
                <w:w w:val="100"/>
                <w:sz w:val="24"/>
              </w:rPr>
            </w:pPr>
          </w:p>
        </w:tc>
        <w:tc>
          <w:tcPr>
            <w:tcW w:w="1686" w:type="dxa"/>
            <w:noWrap w:val="0"/>
            <w:vAlign w:val="top"/>
          </w:tcPr>
          <w:p w14:paraId="0328BA1E">
            <w:pPr>
              <w:pStyle w:val="20"/>
              <w:keepNext w:val="0"/>
              <w:keepLines w:val="0"/>
              <w:suppressLineNumbers w:val="0"/>
              <w:snapToGrid w:val="0"/>
              <w:spacing w:before="0" w:beforeAutospacing="0" w:after="0" w:afterAutospacing="0" w:line="240" w:lineRule="atLeast"/>
              <w:ind w:left="1080" w:leftChars="257" w:right="0" w:hanging="540"/>
              <w:jc w:val="both"/>
              <w:textAlignment w:val="baseline"/>
              <w:rPr>
                <w:rFonts w:hint="default" w:ascii="仿宋_GB2312" w:hAnsi="仿宋_GB2312" w:eastAsia="仿宋_GB2312" w:cs="仿宋_GB2312"/>
                <w:b w:val="0"/>
                <w:i w:val="0"/>
                <w:caps w:val="0"/>
                <w:spacing w:val="0"/>
                <w:w w:val="100"/>
                <w:sz w:val="24"/>
              </w:rPr>
            </w:pPr>
          </w:p>
        </w:tc>
        <w:tc>
          <w:tcPr>
            <w:tcW w:w="1511" w:type="dxa"/>
            <w:noWrap w:val="0"/>
            <w:vAlign w:val="top"/>
          </w:tcPr>
          <w:p w14:paraId="1057709A">
            <w:pPr>
              <w:pStyle w:val="20"/>
              <w:keepNext w:val="0"/>
              <w:keepLines w:val="0"/>
              <w:suppressLineNumbers w:val="0"/>
              <w:snapToGrid w:val="0"/>
              <w:spacing w:before="0" w:beforeAutospacing="0" w:after="0" w:afterAutospacing="0" w:line="240" w:lineRule="atLeast"/>
              <w:ind w:left="1080" w:leftChars="257" w:right="0" w:hanging="540"/>
              <w:jc w:val="both"/>
              <w:textAlignment w:val="baseline"/>
              <w:rPr>
                <w:rFonts w:hint="default" w:ascii="仿宋_GB2312" w:hAnsi="仿宋_GB2312" w:eastAsia="仿宋_GB2312" w:cs="仿宋_GB2312"/>
                <w:b w:val="0"/>
                <w:i w:val="0"/>
                <w:caps w:val="0"/>
                <w:spacing w:val="0"/>
                <w:w w:val="100"/>
                <w:sz w:val="24"/>
              </w:rPr>
            </w:pPr>
          </w:p>
        </w:tc>
        <w:tc>
          <w:tcPr>
            <w:tcW w:w="1385" w:type="dxa"/>
            <w:noWrap w:val="0"/>
            <w:vAlign w:val="top"/>
          </w:tcPr>
          <w:p w14:paraId="60D4EFEF">
            <w:pPr>
              <w:pStyle w:val="20"/>
              <w:keepNext w:val="0"/>
              <w:keepLines w:val="0"/>
              <w:suppressLineNumbers w:val="0"/>
              <w:snapToGrid w:val="0"/>
              <w:spacing w:before="0" w:beforeAutospacing="0" w:after="0" w:afterAutospacing="0" w:line="240" w:lineRule="atLeast"/>
              <w:ind w:left="1080" w:leftChars="257" w:right="0" w:hanging="540"/>
              <w:jc w:val="both"/>
              <w:textAlignment w:val="baseline"/>
              <w:rPr>
                <w:rFonts w:hint="default" w:ascii="仿宋_GB2312" w:hAnsi="仿宋_GB2312" w:eastAsia="仿宋_GB2312" w:cs="仿宋_GB2312"/>
                <w:b w:val="0"/>
                <w:i w:val="0"/>
                <w:caps w:val="0"/>
                <w:spacing w:val="0"/>
                <w:w w:val="100"/>
                <w:sz w:val="24"/>
              </w:rPr>
            </w:pPr>
          </w:p>
        </w:tc>
        <w:tc>
          <w:tcPr>
            <w:tcW w:w="1183" w:type="dxa"/>
            <w:noWrap w:val="0"/>
            <w:vAlign w:val="top"/>
          </w:tcPr>
          <w:p w14:paraId="178F613C">
            <w:pPr>
              <w:pStyle w:val="20"/>
              <w:keepNext w:val="0"/>
              <w:keepLines w:val="0"/>
              <w:suppressLineNumbers w:val="0"/>
              <w:snapToGrid w:val="0"/>
              <w:spacing w:before="0" w:beforeAutospacing="0" w:after="0" w:afterAutospacing="0" w:line="240" w:lineRule="atLeast"/>
              <w:ind w:left="1080" w:leftChars="257" w:right="0" w:hanging="540"/>
              <w:jc w:val="both"/>
              <w:textAlignment w:val="baseline"/>
              <w:rPr>
                <w:rFonts w:hint="default" w:ascii="仿宋_GB2312" w:hAnsi="仿宋_GB2312" w:eastAsia="仿宋_GB2312" w:cs="仿宋_GB2312"/>
                <w:b w:val="0"/>
                <w:i w:val="0"/>
                <w:caps w:val="0"/>
                <w:spacing w:val="0"/>
                <w:w w:val="100"/>
                <w:sz w:val="24"/>
              </w:rPr>
            </w:pPr>
          </w:p>
        </w:tc>
        <w:tc>
          <w:tcPr>
            <w:tcW w:w="1135" w:type="dxa"/>
            <w:noWrap w:val="0"/>
            <w:vAlign w:val="top"/>
          </w:tcPr>
          <w:p w14:paraId="4FC837CD">
            <w:pPr>
              <w:pStyle w:val="20"/>
              <w:keepNext w:val="0"/>
              <w:keepLines w:val="0"/>
              <w:suppressLineNumbers w:val="0"/>
              <w:snapToGrid w:val="0"/>
              <w:spacing w:before="0" w:beforeAutospacing="0" w:after="0" w:afterAutospacing="0" w:line="240" w:lineRule="atLeast"/>
              <w:ind w:left="1080" w:leftChars="257" w:right="0" w:hanging="540"/>
              <w:jc w:val="both"/>
              <w:textAlignment w:val="baseline"/>
              <w:rPr>
                <w:rFonts w:hint="default" w:ascii="仿宋_GB2312" w:hAnsi="仿宋_GB2312" w:eastAsia="仿宋_GB2312" w:cs="仿宋_GB2312"/>
                <w:b w:val="0"/>
                <w:i w:val="0"/>
                <w:caps w:val="0"/>
                <w:spacing w:val="0"/>
                <w:w w:val="100"/>
                <w:sz w:val="24"/>
              </w:rPr>
            </w:pPr>
          </w:p>
        </w:tc>
      </w:tr>
      <w:tr w14:paraId="41D628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6" w:hRule="atLeast"/>
          <w:jc w:val="center"/>
        </w:trPr>
        <w:tc>
          <w:tcPr>
            <w:tcW w:w="1536" w:type="dxa"/>
            <w:noWrap w:val="0"/>
            <w:vAlign w:val="top"/>
          </w:tcPr>
          <w:p w14:paraId="4FB88BDE">
            <w:pPr>
              <w:pStyle w:val="20"/>
              <w:keepNext w:val="0"/>
              <w:keepLines w:val="0"/>
              <w:suppressLineNumbers w:val="0"/>
              <w:snapToGrid w:val="0"/>
              <w:spacing w:before="0" w:beforeAutospacing="0" w:after="0" w:afterAutospacing="0" w:line="240" w:lineRule="atLeast"/>
              <w:ind w:left="1080" w:leftChars="257" w:right="0" w:hanging="540"/>
              <w:jc w:val="both"/>
              <w:textAlignment w:val="baseline"/>
              <w:rPr>
                <w:rFonts w:hint="default" w:ascii="仿宋_GB2312" w:hAnsi="仿宋_GB2312" w:eastAsia="仿宋_GB2312" w:cs="仿宋_GB2312"/>
                <w:b w:val="0"/>
                <w:i w:val="0"/>
                <w:caps w:val="0"/>
                <w:spacing w:val="0"/>
                <w:w w:val="100"/>
                <w:sz w:val="24"/>
              </w:rPr>
            </w:pPr>
          </w:p>
        </w:tc>
        <w:tc>
          <w:tcPr>
            <w:tcW w:w="1686" w:type="dxa"/>
            <w:noWrap w:val="0"/>
            <w:vAlign w:val="top"/>
          </w:tcPr>
          <w:p w14:paraId="0C69CE15">
            <w:pPr>
              <w:pStyle w:val="20"/>
              <w:keepNext w:val="0"/>
              <w:keepLines w:val="0"/>
              <w:suppressLineNumbers w:val="0"/>
              <w:snapToGrid w:val="0"/>
              <w:spacing w:before="0" w:beforeAutospacing="0" w:after="0" w:afterAutospacing="0" w:line="240" w:lineRule="atLeast"/>
              <w:ind w:left="1080" w:leftChars="257" w:right="0" w:hanging="540"/>
              <w:jc w:val="both"/>
              <w:textAlignment w:val="baseline"/>
              <w:rPr>
                <w:rFonts w:hint="default" w:ascii="仿宋_GB2312" w:hAnsi="仿宋_GB2312" w:eastAsia="仿宋_GB2312" w:cs="仿宋_GB2312"/>
                <w:b w:val="0"/>
                <w:i w:val="0"/>
                <w:caps w:val="0"/>
                <w:spacing w:val="0"/>
                <w:w w:val="100"/>
                <w:sz w:val="24"/>
              </w:rPr>
            </w:pPr>
          </w:p>
        </w:tc>
        <w:tc>
          <w:tcPr>
            <w:tcW w:w="1511" w:type="dxa"/>
            <w:noWrap w:val="0"/>
            <w:vAlign w:val="top"/>
          </w:tcPr>
          <w:p w14:paraId="6B0C533C">
            <w:pPr>
              <w:pStyle w:val="20"/>
              <w:keepNext w:val="0"/>
              <w:keepLines w:val="0"/>
              <w:suppressLineNumbers w:val="0"/>
              <w:snapToGrid w:val="0"/>
              <w:spacing w:before="0" w:beforeAutospacing="0" w:after="0" w:afterAutospacing="0" w:line="240" w:lineRule="atLeast"/>
              <w:ind w:left="1080" w:leftChars="257" w:right="0" w:hanging="540"/>
              <w:jc w:val="both"/>
              <w:textAlignment w:val="baseline"/>
              <w:rPr>
                <w:rFonts w:hint="default" w:ascii="仿宋_GB2312" w:hAnsi="仿宋_GB2312" w:eastAsia="仿宋_GB2312" w:cs="仿宋_GB2312"/>
                <w:b w:val="0"/>
                <w:i w:val="0"/>
                <w:caps w:val="0"/>
                <w:spacing w:val="0"/>
                <w:w w:val="100"/>
                <w:sz w:val="24"/>
              </w:rPr>
            </w:pPr>
          </w:p>
        </w:tc>
        <w:tc>
          <w:tcPr>
            <w:tcW w:w="1385" w:type="dxa"/>
            <w:noWrap w:val="0"/>
            <w:vAlign w:val="top"/>
          </w:tcPr>
          <w:p w14:paraId="713C78EA">
            <w:pPr>
              <w:pStyle w:val="20"/>
              <w:keepNext w:val="0"/>
              <w:keepLines w:val="0"/>
              <w:suppressLineNumbers w:val="0"/>
              <w:snapToGrid w:val="0"/>
              <w:spacing w:before="0" w:beforeAutospacing="0" w:after="0" w:afterAutospacing="0" w:line="240" w:lineRule="atLeast"/>
              <w:ind w:left="1080" w:leftChars="257" w:right="0" w:hanging="540"/>
              <w:jc w:val="both"/>
              <w:textAlignment w:val="baseline"/>
              <w:rPr>
                <w:rFonts w:hint="default" w:ascii="仿宋_GB2312" w:hAnsi="仿宋_GB2312" w:eastAsia="仿宋_GB2312" w:cs="仿宋_GB2312"/>
                <w:b w:val="0"/>
                <w:i w:val="0"/>
                <w:caps w:val="0"/>
                <w:spacing w:val="0"/>
                <w:w w:val="100"/>
                <w:sz w:val="24"/>
              </w:rPr>
            </w:pPr>
          </w:p>
        </w:tc>
        <w:tc>
          <w:tcPr>
            <w:tcW w:w="1183" w:type="dxa"/>
            <w:noWrap w:val="0"/>
            <w:vAlign w:val="top"/>
          </w:tcPr>
          <w:p w14:paraId="39E79DCD">
            <w:pPr>
              <w:pStyle w:val="20"/>
              <w:keepNext w:val="0"/>
              <w:keepLines w:val="0"/>
              <w:suppressLineNumbers w:val="0"/>
              <w:snapToGrid w:val="0"/>
              <w:spacing w:before="0" w:beforeAutospacing="0" w:after="0" w:afterAutospacing="0" w:line="240" w:lineRule="atLeast"/>
              <w:ind w:left="1080" w:leftChars="257" w:right="0" w:hanging="540"/>
              <w:jc w:val="both"/>
              <w:textAlignment w:val="baseline"/>
              <w:rPr>
                <w:rFonts w:hint="default" w:ascii="仿宋_GB2312" w:hAnsi="仿宋_GB2312" w:eastAsia="仿宋_GB2312" w:cs="仿宋_GB2312"/>
                <w:b w:val="0"/>
                <w:i w:val="0"/>
                <w:caps w:val="0"/>
                <w:spacing w:val="0"/>
                <w:w w:val="100"/>
                <w:sz w:val="24"/>
              </w:rPr>
            </w:pPr>
          </w:p>
        </w:tc>
        <w:tc>
          <w:tcPr>
            <w:tcW w:w="1135" w:type="dxa"/>
            <w:noWrap w:val="0"/>
            <w:vAlign w:val="top"/>
          </w:tcPr>
          <w:p w14:paraId="25CEA801">
            <w:pPr>
              <w:pStyle w:val="20"/>
              <w:keepNext w:val="0"/>
              <w:keepLines w:val="0"/>
              <w:suppressLineNumbers w:val="0"/>
              <w:snapToGrid w:val="0"/>
              <w:spacing w:before="0" w:beforeAutospacing="0" w:after="0" w:afterAutospacing="0" w:line="240" w:lineRule="atLeast"/>
              <w:ind w:left="1080" w:leftChars="257" w:right="0" w:hanging="540"/>
              <w:jc w:val="both"/>
              <w:textAlignment w:val="baseline"/>
              <w:rPr>
                <w:rFonts w:hint="default" w:ascii="仿宋_GB2312" w:hAnsi="仿宋_GB2312" w:eastAsia="仿宋_GB2312" w:cs="仿宋_GB2312"/>
                <w:b w:val="0"/>
                <w:i w:val="0"/>
                <w:caps w:val="0"/>
                <w:spacing w:val="0"/>
                <w:w w:val="100"/>
                <w:sz w:val="24"/>
              </w:rPr>
            </w:pPr>
          </w:p>
        </w:tc>
      </w:tr>
      <w:tr w14:paraId="35A6EC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6" w:hRule="atLeast"/>
          <w:jc w:val="center"/>
        </w:trPr>
        <w:tc>
          <w:tcPr>
            <w:tcW w:w="1536" w:type="dxa"/>
            <w:noWrap w:val="0"/>
            <w:vAlign w:val="top"/>
          </w:tcPr>
          <w:p w14:paraId="4DDCFD89">
            <w:pPr>
              <w:pStyle w:val="20"/>
              <w:keepNext w:val="0"/>
              <w:keepLines w:val="0"/>
              <w:suppressLineNumbers w:val="0"/>
              <w:snapToGrid w:val="0"/>
              <w:spacing w:before="0" w:beforeAutospacing="0" w:after="0" w:afterAutospacing="0" w:line="240" w:lineRule="atLeast"/>
              <w:ind w:left="1080" w:leftChars="257" w:right="0" w:hanging="540"/>
              <w:jc w:val="both"/>
              <w:textAlignment w:val="baseline"/>
              <w:rPr>
                <w:rFonts w:hint="default" w:ascii="仿宋_GB2312" w:hAnsi="仿宋_GB2312" w:eastAsia="仿宋_GB2312" w:cs="仿宋_GB2312"/>
                <w:b w:val="0"/>
                <w:i w:val="0"/>
                <w:caps w:val="0"/>
                <w:spacing w:val="0"/>
                <w:w w:val="100"/>
                <w:sz w:val="24"/>
              </w:rPr>
            </w:pPr>
          </w:p>
        </w:tc>
        <w:tc>
          <w:tcPr>
            <w:tcW w:w="1686" w:type="dxa"/>
            <w:noWrap w:val="0"/>
            <w:vAlign w:val="top"/>
          </w:tcPr>
          <w:p w14:paraId="13665F76">
            <w:pPr>
              <w:pStyle w:val="20"/>
              <w:keepNext w:val="0"/>
              <w:keepLines w:val="0"/>
              <w:suppressLineNumbers w:val="0"/>
              <w:snapToGrid w:val="0"/>
              <w:spacing w:before="0" w:beforeAutospacing="0" w:after="0" w:afterAutospacing="0" w:line="240" w:lineRule="atLeast"/>
              <w:ind w:left="1080" w:leftChars="257" w:right="0" w:hanging="540"/>
              <w:jc w:val="both"/>
              <w:textAlignment w:val="baseline"/>
              <w:rPr>
                <w:rFonts w:hint="default" w:ascii="仿宋_GB2312" w:hAnsi="仿宋_GB2312" w:eastAsia="仿宋_GB2312" w:cs="仿宋_GB2312"/>
                <w:b w:val="0"/>
                <w:i w:val="0"/>
                <w:caps w:val="0"/>
                <w:spacing w:val="0"/>
                <w:w w:val="100"/>
                <w:sz w:val="24"/>
              </w:rPr>
            </w:pPr>
          </w:p>
        </w:tc>
        <w:tc>
          <w:tcPr>
            <w:tcW w:w="1511" w:type="dxa"/>
            <w:noWrap w:val="0"/>
            <w:vAlign w:val="top"/>
          </w:tcPr>
          <w:p w14:paraId="29E4787E">
            <w:pPr>
              <w:pStyle w:val="20"/>
              <w:keepNext w:val="0"/>
              <w:keepLines w:val="0"/>
              <w:suppressLineNumbers w:val="0"/>
              <w:snapToGrid w:val="0"/>
              <w:spacing w:before="0" w:beforeAutospacing="0" w:after="0" w:afterAutospacing="0" w:line="240" w:lineRule="atLeast"/>
              <w:ind w:left="1080" w:leftChars="257" w:right="0" w:hanging="540"/>
              <w:jc w:val="both"/>
              <w:textAlignment w:val="baseline"/>
              <w:rPr>
                <w:rFonts w:hint="default" w:ascii="仿宋_GB2312" w:hAnsi="仿宋_GB2312" w:eastAsia="仿宋_GB2312" w:cs="仿宋_GB2312"/>
                <w:b w:val="0"/>
                <w:i w:val="0"/>
                <w:caps w:val="0"/>
                <w:spacing w:val="0"/>
                <w:w w:val="100"/>
                <w:sz w:val="24"/>
              </w:rPr>
            </w:pPr>
          </w:p>
        </w:tc>
        <w:tc>
          <w:tcPr>
            <w:tcW w:w="1385" w:type="dxa"/>
            <w:noWrap w:val="0"/>
            <w:vAlign w:val="top"/>
          </w:tcPr>
          <w:p w14:paraId="63B0089F">
            <w:pPr>
              <w:pStyle w:val="20"/>
              <w:keepNext w:val="0"/>
              <w:keepLines w:val="0"/>
              <w:suppressLineNumbers w:val="0"/>
              <w:snapToGrid w:val="0"/>
              <w:spacing w:before="0" w:beforeAutospacing="0" w:after="0" w:afterAutospacing="0" w:line="240" w:lineRule="atLeast"/>
              <w:ind w:left="1080" w:leftChars="257" w:right="0" w:hanging="540"/>
              <w:jc w:val="both"/>
              <w:textAlignment w:val="baseline"/>
              <w:rPr>
                <w:rFonts w:hint="default" w:ascii="仿宋_GB2312" w:hAnsi="仿宋_GB2312" w:eastAsia="仿宋_GB2312" w:cs="仿宋_GB2312"/>
                <w:b w:val="0"/>
                <w:i w:val="0"/>
                <w:caps w:val="0"/>
                <w:spacing w:val="0"/>
                <w:w w:val="100"/>
                <w:sz w:val="24"/>
              </w:rPr>
            </w:pPr>
          </w:p>
        </w:tc>
        <w:tc>
          <w:tcPr>
            <w:tcW w:w="1183" w:type="dxa"/>
            <w:noWrap w:val="0"/>
            <w:vAlign w:val="top"/>
          </w:tcPr>
          <w:p w14:paraId="21604F0B">
            <w:pPr>
              <w:pStyle w:val="20"/>
              <w:keepNext w:val="0"/>
              <w:keepLines w:val="0"/>
              <w:suppressLineNumbers w:val="0"/>
              <w:snapToGrid w:val="0"/>
              <w:spacing w:before="0" w:beforeAutospacing="0" w:after="0" w:afterAutospacing="0" w:line="240" w:lineRule="atLeast"/>
              <w:ind w:left="1080" w:leftChars="257" w:right="0" w:hanging="540"/>
              <w:jc w:val="both"/>
              <w:textAlignment w:val="baseline"/>
              <w:rPr>
                <w:rFonts w:hint="default" w:ascii="仿宋_GB2312" w:hAnsi="仿宋_GB2312" w:eastAsia="仿宋_GB2312" w:cs="仿宋_GB2312"/>
                <w:b w:val="0"/>
                <w:i w:val="0"/>
                <w:caps w:val="0"/>
                <w:spacing w:val="0"/>
                <w:w w:val="100"/>
                <w:sz w:val="24"/>
              </w:rPr>
            </w:pPr>
          </w:p>
        </w:tc>
        <w:tc>
          <w:tcPr>
            <w:tcW w:w="1135" w:type="dxa"/>
            <w:noWrap w:val="0"/>
            <w:vAlign w:val="top"/>
          </w:tcPr>
          <w:p w14:paraId="25251D45">
            <w:pPr>
              <w:pStyle w:val="20"/>
              <w:keepNext w:val="0"/>
              <w:keepLines w:val="0"/>
              <w:suppressLineNumbers w:val="0"/>
              <w:snapToGrid w:val="0"/>
              <w:spacing w:before="0" w:beforeAutospacing="0" w:after="0" w:afterAutospacing="0" w:line="240" w:lineRule="atLeast"/>
              <w:ind w:left="1080" w:leftChars="257" w:right="0" w:hanging="540"/>
              <w:jc w:val="both"/>
              <w:textAlignment w:val="baseline"/>
              <w:rPr>
                <w:rFonts w:hint="default" w:ascii="仿宋_GB2312" w:hAnsi="仿宋_GB2312" w:eastAsia="仿宋_GB2312" w:cs="仿宋_GB2312"/>
                <w:b w:val="0"/>
                <w:i w:val="0"/>
                <w:caps w:val="0"/>
                <w:spacing w:val="0"/>
                <w:w w:val="100"/>
                <w:sz w:val="24"/>
              </w:rPr>
            </w:pPr>
          </w:p>
        </w:tc>
      </w:tr>
      <w:tr w14:paraId="00E806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6" w:hRule="atLeast"/>
          <w:jc w:val="center"/>
        </w:trPr>
        <w:tc>
          <w:tcPr>
            <w:tcW w:w="1536" w:type="dxa"/>
            <w:noWrap w:val="0"/>
            <w:vAlign w:val="top"/>
          </w:tcPr>
          <w:p w14:paraId="6552697C">
            <w:pPr>
              <w:pStyle w:val="20"/>
              <w:keepNext w:val="0"/>
              <w:keepLines w:val="0"/>
              <w:suppressLineNumbers w:val="0"/>
              <w:snapToGrid w:val="0"/>
              <w:spacing w:before="0" w:beforeAutospacing="0" w:after="0" w:afterAutospacing="0" w:line="240" w:lineRule="atLeast"/>
              <w:ind w:left="1080" w:leftChars="257" w:right="0" w:hanging="540"/>
              <w:jc w:val="both"/>
              <w:textAlignment w:val="baseline"/>
              <w:rPr>
                <w:rFonts w:hint="default" w:ascii="仿宋_GB2312" w:hAnsi="仿宋_GB2312" w:eastAsia="仿宋_GB2312" w:cs="仿宋_GB2312"/>
                <w:b w:val="0"/>
                <w:i w:val="0"/>
                <w:caps w:val="0"/>
                <w:spacing w:val="0"/>
                <w:w w:val="100"/>
                <w:sz w:val="24"/>
              </w:rPr>
            </w:pPr>
          </w:p>
        </w:tc>
        <w:tc>
          <w:tcPr>
            <w:tcW w:w="1686" w:type="dxa"/>
            <w:noWrap w:val="0"/>
            <w:vAlign w:val="top"/>
          </w:tcPr>
          <w:p w14:paraId="5BF8150B">
            <w:pPr>
              <w:pStyle w:val="20"/>
              <w:keepNext w:val="0"/>
              <w:keepLines w:val="0"/>
              <w:suppressLineNumbers w:val="0"/>
              <w:snapToGrid w:val="0"/>
              <w:spacing w:before="0" w:beforeAutospacing="0" w:after="0" w:afterAutospacing="0" w:line="240" w:lineRule="atLeast"/>
              <w:ind w:left="1080" w:leftChars="257" w:right="0" w:hanging="540"/>
              <w:jc w:val="both"/>
              <w:textAlignment w:val="baseline"/>
              <w:rPr>
                <w:rFonts w:hint="default" w:ascii="仿宋_GB2312" w:hAnsi="仿宋_GB2312" w:eastAsia="仿宋_GB2312" w:cs="仿宋_GB2312"/>
                <w:b w:val="0"/>
                <w:i w:val="0"/>
                <w:caps w:val="0"/>
                <w:spacing w:val="0"/>
                <w:w w:val="100"/>
                <w:sz w:val="24"/>
              </w:rPr>
            </w:pPr>
          </w:p>
        </w:tc>
        <w:tc>
          <w:tcPr>
            <w:tcW w:w="1511" w:type="dxa"/>
            <w:noWrap w:val="0"/>
            <w:vAlign w:val="top"/>
          </w:tcPr>
          <w:p w14:paraId="38866D66">
            <w:pPr>
              <w:pStyle w:val="20"/>
              <w:keepNext w:val="0"/>
              <w:keepLines w:val="0"/>
              <w:suppressLineNumbers w:val="0"/>
              <w:snapToGrid w:val="0"/>
              <w:spacing w:before="0" w:beforeAutospacing="0" w:after="0" w:afterAutospacing="0" w:line="240" w:lineRule="atLeast"/>
              <w:ind w:left="1080" w:leftChars="257" w:right="0" w:hanging="540"/>
              <w:jc w:val="both"/>
              <w:textAlignment w:val="baseline"/>
              <w:rPr>
                <w:rFonts w:hint="default" w:ascii="仿宋_GB2312" w:hAnsi="仿宋_GB2312" w:eastAsia="仿宋_GB2312" w:cs="仿宋_GB2312"/>
                <w:b w:val="0"/>
                <w:i w:val="0"/>
                <w:caps w:val="0"/>
                <w:spacing w:val="0"/>
                <w:w w:val="100"/>
                <w:sz w:val="24"/>
              </w:rPr>
            </w:pPr>
          </w:p>
        </w:tc>
        <w:tc>
          <w:tcPr>
            <w:tcW w:w="1385" w:type="dxa"/>
            <w:noWrap w:val="0"/>
            <w:vAlign w:val="top"/>
          </w:tcPr>
          <w:p w14:paraId="5FEDEAB8">
            <w:pPr>
              <w:pStyle w:val="20"/>
              <w:keepNext w:val="0"/>
              <w:keepLines w:val="0"/>
              <w:suppressLineNumbers w:val="0"/>
              <w:snapToGrid w:val="0"/>
              <w:spacing w:before="0" w:beforeAutospacing="0" w:after="0" w:afterAutospacing="0" w:line="240" w:lineRule="atLeast"/>
              <w:ind w:left="1080" w:leftChars="257" w:right="0" w:hanging="540"/>
              <w:jc w:val="both"/>
              <w:textAlignment w:val="baseline"/>
              <w:rPr>
                <w:rFonts w:hint="default" w:ascii="仿宋_GB2312" w:hAnsi="仿宋_GB2312" w:eastAsia="仿宋_GB2312" w:cs="仿宋_GB2312"/>
                <w:b w:val="0"/>
                <w:i w:val="0"/>
                <w:caps w:val="0"/>
                <w:spacing w:val="0"/>
                <w:w w:val="100"/>
                <w:sz w:val="24"/>
              </w:rPr>
            </w:pPr>
          </w:p>
        </w:tc>
        <w:tc>
          <w:tcPr>
            <w:tcW w:w="1183" w:type="dxa"/>
            <w:noWrap w:val="0"/>
            <w:vAlign w:val="top"/>
          </w:tcPr>
          <w:p w14:paraId="424A902D">
            <w:pPr>
              <w:pStyle w:val="20"/>
              <w:keepNext w:val="0"/>
              <w:keepLines w:val="0"/>
              <w:suppressLineNumbers w:val="0"/>
              <w:snapToGrid w:val="0"/>
              <w:spacing w:before="0" w:beforeAutospacing="0" w:after="0" w:afterAutospacing="0" w:line="240" w:lineRule="atLeast"/>
              <w:ind w:left="1080" w:leftChars="257" w:right="0" w:hanging="540"/>
              <w:jc w:val="both"/>
              <w:textAlignment w:val="baseline"/>
              <w:rPr>
                <w:rFonts w:hint="default" w:ascii="仿宋_GB2312" w:hAnsi="仿宋_GB2312" w:eastAsia="仿宋_GB2312" w:cs="仿宋_GB2312"/>
                <w:b w:val="0"/>
                <w:i w:val="0"/>
                <w:caps w:val="0"/>
                <w:spacing w:val="0"/>
                <w:w w:val="100"/>
                <w:sz w:val="24"/>
              </w:rPr>
            </w:pPr>
          </w:p>
        </w:tc>
        <w:tc>
          <w:tcPr>
            <w:tcW w:w="1135" w:type="dxa"/>
            <w:noWrap w:val="0"/>
            <w:vAlign w:val="top"/>
          </w:tcPr>
          <w:p w14:paraId="385CC4A7">
            <w:pPr>
              <w:pStyle w:val="20"/>
              <w:keepNext w:val="0"/>
              <w:keepLines w:val="0"/>
              <w:suppressLineNumbers w:val="0"/>
              <w:snapToGrid w:val="0"/>
              <w:spacing w:before="0" w:beforeAutospacing="0" w:after="0" w:afterAutospacing="0" w:line="240" w:lineRule="atLeast"/>
              <w:ind w:left="1080" w:leftChars="257" w:right="0" w:hanging="540"/>
              <w:jc w:val="both"/>
              <w:textAlignment w:val="baseline"/>
              <w:rPr>
                <w:rFonts w:hint="default" w:ascii="仿宋_GB2312" w:hAnsi="仿宋_GB2312" w:eastAsia="仿宋_GB2312" w:cs="仿宋_GB2312"/>
                <w:b w:val="0"/>
                <w:i w:val="0"/>
                <w:caps w:val="0"/>
                <w:spacing w:val="0"/>
                <w:w w:val="100"/>
                <w:sz w:val="24"/>
              </w:rPr>
            </w:pPr>
          </w:p>
        </w:tc>
      </w:tr>
      <w:tr w14:paraId="23A9A2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6" w:hRule="atLeast"/>
          <w:jc w:val="center"/>
        </w:trPr>
        <w:tc>
          <w:tcPr>
            <w:tcW w:w="1536" w:type="dxa"/>
            <w:noWrap w:val="0"/>
            <w:vAlign w:val="top"/>
          </w:tcPr>
          <w:p w14:paraId="19ED2CF0">
            <w:pPr>
              <w:pStyle w:val="20"/>
              <w:keepNext w:val="0"/>
              <w:keepLines w:val="0"/>
              <w:suppressLineNumbers w:val="0"/>
              <w:snapToGrid w:val="0"/>
              <w:spacing w:before="0" w:beforeAutospacing="0" w:after="0" w:afterAutospacing="0" w:line="240" w:lineRule="atLeast"/>
              <w:ind w:left="1080" w:leftChars="257" w:right="0" w:hanging="540"/>
              <w:jc w:val="both"/>
              <w:textAlignment w:val="baseline"/>
              <w:rPr>
                <w:rFonts w:hint="default" w:ascii="仿宋_GB2312" w:hAnsi="仿宋_GB2312" w:eastAsia="仿宋_GB2312" w:cs="仿宋_GB2312"/>
                <w:b w:val="0"/>
                <w:i w:val="0"/>
                <w:caps w:val="0"/>
                <w:spacing w:val="0"/>
                <w:w w:val="100"/>
                <w:sz w:val="24"/>
              </w:rPr>
            </w:pPr>
          </w:p>
        </w:tc>
        <w:tc>
          <w:tcPr>
            <w:tcW w:w="1686" w:type="dxa"/>
            <w:noWrap w:val="0"/>
            <w:vAlign w:val="top"/>
          </w:tcPr>
          <w:p w14:paraId="3D8154C8">
            <w:pPr>
              <w:pStyle w:val="20"/>
              <w:keepNext w:val="0"/>
              <w:keepLines w:val="0"/>
              <w:suppressLineNumbers w:val="0"/>
              <w:snapToGrid w:val="0"/>
              <w:spacing w:before="0" w:beforeAutospacing="0" w:after="0" w:afterAutospacing="0" w:line="240" w:lineRule="atLeast"/>
              <w:ind w:left="1080" w:leftChars="257" w:right="0" w:hanging="540"/>
              <w:jc w:val="both"/>
              <w:textAlignment w:val="baseline"/>
              <w:rPr>
                <w:rFonts w:hint="default" w:ascii="仿宋_GB2312" w:hAnsi="仿宋_GB2312" w:eastAsia="仿宋_GB2312" w:cs="仿宋_GB2312"/>
                <w:b w:val="0"/>
                <w:i w:val="0"/>
                <w:caps w:val="0"/>
                <w:spacing w:val="0"/>
                <w:w w:val="100"/>
                <w:sz w:val="24"/>
              </w:rPr>
            </w:pPr>
          </w:p>
        </w:tc>
        <w:tc>
          <w:tcPr>
            <w:tcW w:w="1511" w:type="dxa"/>
            <w:noWrap w:val="0"/>
            <w:vAlign w:val="top"/>
          </w:tcPr>
          <w:p w14:paraId="7E8D7702">
            <w:pPr>
              <w:pStyle w:val="20"/>
              <w:keepNext w:val="0"/>
              <w:keepLines w:val="0"/>
              <w:suppressLineNumbers w:val="0"/>
              <w:snapToGrid w:val="0"/>
              <w:spacing w:before="0" w:beforeAutospacing="0" w:after="0" w:afterAutospacing="0" w:line="240" w:lineRule="atLeast"/>
              <w:ind w:left="1080" w:leftChars="257" w:right="0" w:hanging="540"/>
              <w:jc w:val="both"/>
              <w:textAlignment w:val="baseline"/>
              <w:rPr>
                <w:rFonts w:hint="default" w:ascii="仿宋_GB2312" w:hAnsi="仿宋_GB2312" w:eastAsia="仿宋_GB2312" w:cs="仿宋_GB2312"/>
                <w:b w:val="0"/>
                <w:i w:val="0"/>
                <w:caps w:val="0"/>
                <w:spacing w:val="0"/>
                <w:w w:val="100"/>
                <w:sz w:val="24"/>
              </w:rPr>
            </w:pPr>
          </w:p>
        </w:tc>
        <w:tc>
          <w:tcPr>
            <w:tcW w:w="1385" w:type="dxa"/>
            <w:noWrap w:val="0"/>
            <w:vAlign w:val="top"/>
          </w:tcPr>
          <w:p w14:paraId="10A8D79D">
            <w:pPr>
              <w:pStyle w:val="20"/>
              <w:keepNext w:val="0"/>
              <w:keepLines w:val="0"/>
              <w:suppressLineNumbers w:val="0"/>
              <w:snapToGrid w:val="0"/>
              <w:spacing w:before="0" w:beforeAutospacing="0" w:after="0" w:afterAutospacing="0" w:line="240" w:lineRule="atLeast"/>
              <w:ind w:left="1080" w:leftChars="257" w:right="0" w:hanging="540"/>
              <w:jc w:val="both"/>
              <w:textAlignment w:val="baseline"/>
              <w:rPr>
                <w:rFonts w:hint="default" w:ascii="仿宋_GB2312" w:hAnsi="仿宋_GB2312" w:eastAsia="仿宋_GB2312" w:cs="仿宋_GB2312"/>
                <w:b w:val="0"/>
                <w:i w:val="0"/>
                <w:caps w:val="0"/>
                <w:spacing w:val="0"/>
                <w:w w:val="100"/>
                <w:sz w:val="24"/>
              </w:rPr>
            </w:pPr>
          </w:p>
        </w:tc>
        <w:tc>
          <w:tcPr>
            <w:tcW w:w="1183" w:type="dxa"/>
            <w:noWrap w:val="0"/>
            <w:vAlign w:val="top"/>
          </w:tcPr>
          <w:p w14:paraId="627E4785">
            <w:pPr>
              <w:pStyle w:val="20"/>
              <w:keepNext w:val="0"/>
              <w:keepLines w:val="0"/>
              <w:suppressLineNumbers w:val="0"/>
              <w:snapToGrid w:val="0"/>
              <w:spacing w:before="0" w:beforeAutospacing="0" w:after="0" w:afterAutospacing="0" w:line="240" w:lineRule="atLeast"/>
              <w:ind w:left="1080" w:leftChars="257" w:right="0" w:hanging="540"/>
              <w:jc w:val="both"/>
              <w:textAlignment w:val="baseline"/>
              <w:rPr>
                <w:rFonts w:hint="default" w:ascii="仿宋_GB2312" w:hAnsi="仿宋_GB2312" w:eastAsia="仿宋_GB2312" w:cs="仿宋_GB2312"/>
                <w:b w:val="0"/>
                <w:i w:val="0"/>
                <w:caps w:val="0"/>
                <w:spacing w:val="0"/>
                <w:w w:val="100"/>
                <w:sz w:val="24"/>
              </w:rPr>
            </w:pPr>
          </w:p>
        </w:tc>
        <w:tc>
          <w:tcPr>
            <w:tcW w:w="1135" w:type="dxa"/>
            <w:noWrap w:val="0"/>
            <w:vAlign w:val="top"/>
          </w:tcPr>
          <w:p w14:paraId="238ADCAE">
            <w:pPr>
              <w:pStyle w:val="20"/>
              <w:keepNext w:val="0"/>
              <w:keepLines w:val="0"/>
              <w:suppressLineNumbers w:val="0"/>
              <w:snapToGrid w:val="0"/>
              <w:spacing w:before="0" w:beforeAutospacing="0" w:after="0" w:afterAutospacing="0" w:line="240" w:lineRule="atLeast"/>
              <w:ind w:left="1080" w:leftChars="257" w:right="0" w:hanging="540"/>
              <w:jc w:val="both"/>
              <w:textAlignment w:val="baseline"/>
              <w:rPr>
                <w:rFonts w:hint="default" w:ascii="仿宋_GB2312" w:hAnsi="仿宋_GB2312" w:eastAsia="仿宋_GB2312" w:cs="仿宋_GB2312"/>
                <w:b w:val="0"/>
                <w:i w:val="0"/>
                <w:caps w:val="0"/>
                <w:spacing w:val="0"/>
                <w:w w:val="100"/>
                <w:sz w:val="24"/>
              </w:rPr>
            </w:pPr>
          </w:p>
        </w:tc>
      </w:tr>
      <w:tr w14:paraId="268332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7" w:hRule="atLeast"/>
          <w:jc w:val="center"/>
        </w:trPr>
        <w:tc>
          <w:tcPr>
            <w:tcW w:w="1536" w:type="dxa"/>
            <w:noWrap w:val="0"/>
            <w:vAlign w:val="top"/>
          </w:tcPr>
          <w:p w14:paraId="59701DC5">
            <w:pPr>
              <w:pStyle w:val="20"/>
              <w:keepNext w:val="0"/>
              <w:keepLines w:val="0"/>
              <w:suppressLineNumbers w:val="0"/>
              <w:snapToGrid w:val="0"/>
              <w:spacing w:before="0" w:beforeAutospacing="0" w:after="0" w:afterAutospacing="0" w:line="240" w:lineRule="atLeast"/>
              <w:ind w:left="1080" w:leftChars="257" w:right="0" w:hanging="540"/>
              <w:jc w:val="both"/>
              <w:textAlignment w:val="baseline"/>
              <w:rPr>
                <w:rFonts w:hint="default" w:ascii="仿宋_GB2312" w:hAnsi="仿宋_GB2312" w:eastAsia="仿宋_GB2312" w:cs="仿宋_GB2312"/>
                <w:b w:val="0"/>
                <w:i w:val="0"/>
                <w:caps w:val="0"/>
                <w:spacing w:val="0"/>
                <w:w w:val="100"/>
                <w:sz w:val="24"/>
              </w:rPr>
            </w:pPr>
          </w:p>
        </w:tc>
        <w:tc>
          <w:tcPr>
            <w:tcW w:w="1686" w:type="dxa"/>
            <w:noWrap w:val="0"/>
            <w:vAlign w:val="top"/>
          </w:tcPr>
          <w:p w14:paraId="7F3BDF17">
            <w:pPr>
              <w:pStyle w:val="20"/>
              <w:keepNext w:val="0"/>
              <w:keepLines w:val="0"/>
              <w:suppressLineNumbers w:val="0"/>
              <w:snapToGrid w:val="0"/>
              <w:spacing w:before="0" w:beforeAutospacing="0" w:after="0" w:afterAutospacing="0" w:line="240" w:lineRule="atLeast"/>
              <w:ind w:left="1080" w:leftChars="257" w:right="0" w:hanging="540"/>
              <w:jc w:val="both"/>
              <w:textAlignment w:val="baseline"/>
              <w:rPr>
                <w:rFonts w:hint="default" w:ascii="仿宋_GB2312" w:hAnsi="仿宋_GB2312" w:eastAsia="仿宋_GB2312" w:cs="仿宋_GB2312"/>
                <w:b w:val="0"/>
                <w:i w:val="0"/>
                <w:caps w:val="0"/>
                <w:spacing w:val="0"/>
                <w:w w:val="100"/>
                <w:sz w:val="24"/>
              </w:rPr>
            </w:pPr>
          </w:p>
        </w:tc>
        <w:tc>
          <w:tcPr>
            <w:tcW w:w="1511" w:type="dxa"/>
            <w:noWrap w:val="0"/>
            <w:vAlign w:val="top"/>
          </w:tcPr>
          <w:p w14:paraId="45D61741">
            <w:pPr>
              <w:pStyle w:val="20"/>
              <w:keepNext w:val="0"/>
              <w:keepLines w:val="0"/>
              <w:suppressLineNumbers w:val="0"/>
              <w:snapToGrid w:val="0"/>
              <w:spacing w:before="0" w:beforeAutospacing="0" w:after="0" w:afterAutospacing="0" w:line="240" w:lineRule="atLeast"/>
              <w:ind w:left="1080" w:leftChars="257" w:right="0" w:hanging="540"/>
              <w:jc w:val="both"/>
              <w:textAlignment w:val="baseline"/>
              <w:rPr>
                <w:rFonts w:hint="default" w:ascii="仿宋_GB2312" w:hAnsi="仿宋_GB2312" w:eastAsia="仿宋_GB2312" w:cs="仿宋_GB2312"/>
                <w:b w:val="0"/>
                <w:i w:val="0"/>
                <w:caps w:val="0"/>
                <w:spacing w:val="0"/>
                <w:w w:val="100"/>
                <w:sz w:val="24"/>
              </w:rPr>
            </w:pPr>
          </w:p>
        </w:tc>
        <w:tc>
          <w:tcPr>
            <w:tcW w:w="1385" w:type="dxa"/>
            <w:noWrap w:val="0"/>
            <w:vAlign w:val="top"/>
          </w:tcPr>
          <w:p w14:paraId="74BF85C5">
            <w:pPr>
              <w:pStyle w:val="20"/>
              <w:keepNext w:val="0"/>
              <w:keepLines w:val="0"/>
              <w:suppressLineNumbers w:val="0"/>
              <w:snapToGrid w:val="0"/>
              <w:spacing w:before="0" w:beforeAutospacing="0" w:after="0" w:afterAutospacing="0" w:line="240" w:lineRule="atLeast"/>
              <w:ind w:left="1080" w:leftChars="257" w:right="0" w:hanging="540"/>
              <w:jc w:val="both"/>
              <w:textAlignment w:val="baseline"/>
              <w:rPr>
                <w:rFonts w:hint="default" w:ascii="仿宋_GB2312" w:hAnsi="仿宋_GB2312" w:eastAsia="仿宋_GB2312" w:cs="仿宋_GB2312"/>
                <w:b w:val="0"/>
                <w:i w:val="0"/>
                <w:caps w:val="0"/>
                <w:spacing w:val="0"/>
                <w:w w:val="100"/>
                <w:sz w:val="24"/>
              </w:rPr>
            </w:pPr>
          </w:p>
        </w:tc>
        <w:tc>
          <w:tcPr>
            <w:tcW w:w="1183" w:type="dxa"/>
            <w:noWrap w:val="0"/>
            <w:vAlign w:val="top"/>
          </w:tcPr>
          <w:p w14:paraId="39459D4A">
            <w:pPr>
              <w:pStyle w:val="20"/>
              <w:keepNext w:val="0"/>
              <w:keepLines w:val="0"/>
              <w:suppressLineNumbers w:val="0"/>
              <w:snapToGrid w:val="0"/>
              <w:spacing w:before="0" w:beforeAutospacing="0" w:after="0" w:afterAutospacing="0" w:line="240" w:lineRule="atLeast"/>
              <w:ind w:left="1080" w:leftChars="257" w:right="0" w:hanging="540"/>
              <w:jc w:val="both"/>
              <w:textAlignment w:val="baseline"/>
              <w:rPr>
                <w:rFonts w:hint="default" w:ascii="仿宋_GB2312" w:hAnsi="仿宋_GB2312" w:eastAsia="仿宋_GB2312" w:cs="仿宋_GB2312"/>
                <w:b w:val="0"/>
                <w:i w:val="0"/>
                <w:caps w:val="0"/>
                <w:spacing w:val="0"/>
                <w:w w:val="100"/>
                <w:sz w:val="24"/>
              </w:rPr>
            </w:pPr>
          </w:p>
        </w:tc>
        <w:tc>
          <w:tcPr>
            <w:tcW w:w="1135" w:type="dxa"/>
            <w:noWrap w:val="0"/>
            <w:vAlign w:val="top"/>
          </w:tcPr>
          <w:p w14:paraId="4048BE04">
            <w:pPr>
              <w:pStyle w:val="20"/>
              <w:keepNext w:val="0"/>
              <w:keepLines w:val="0"/>
              <w:suppressLineNumbers w:val="0"/>
              <w:snapToGrid w:val="0"/>
              <w:spacing w:before="0" w:beforeAutospacing="0" w:after="0" w:afterAutospacing="0" w:line="240" w:lineRule="atLeast"/>
              <w:ind w:left="1080" w:leftChars="257" w:right="0" w:hanging="540"/>
              <w:jc w:val="both"/>
              <w:textAlignment w:val="baseline"/>
              <w:rPr>
                <w:rFonts w:hint="default" w:ascii="仿宋_GB2312" w:hAnsi="仿宋_GB2312" w:eastAsia="仿宋_GB2312" w:cs="仿宋_GB2312"/>
                <w:b w:val="0"/>
                <w:i w:val="0"/>
                <w:caps w:val="0"/>
                <w:spacing w:val="0"/>
                <w:w w:val="100"/>
                <w:sz w:val="24"/>
              </w:rPr>
            </w:pPr>
          </w:p>
        </w:tc>
      </w:tr>
      <w:tr w14:paraId="2731A9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6" w:hRule="atLeast"/>
          <w:jc w:val="center"/>
        </w:trPr>
        <w:tc>
          <w:tcPr>
            <w:tcW w:w="1536" w:type="dxa"/>
            <w:noWrap w:val="0"/>
            <w:vAlign w:val="top"/>
          </w:tcPr>
          <w:p w14:paraId="3DF9ADAA">
            <w:pPr>
              <w:pStyle w:val="20"/>
              <w:keepNext w:val="0"/>
              <w:keepLines w:val="0"/>
              <w:suppressLineNumbers w:val="0"/>
              <w:snapToGrid w:val="0"/>
              <w:spacing w:before="0" w:beforeAutospacing="0" w:after="0" w:afterAutospacing="0" w:line="240" w:lineRule="atLeast"/>
              <w:ind w:left="1080" w:leftChars="257" w:right="0" w:hanging="540"/>
              <w:jc w:val="both"/>
              <w:textAlignment w:val="baseline"/>
              <w:rPr>
                <w:rFonts w:hint="default" w:ascii="仿宋_GB2312" w:hAnsi="仿宋_GB2312" w:eastAsia="仿宋_GB2312" w:cs="仿宋_GB2312"/>
                <w:b w:val="0"/>
                <w:i w:val="0"/>
                <w:caps w:val="0"/>
                <w:spacing w:val="0"/>
                <w:w w:val="100"/>
                <w:sz w:val="24"/>
              </w:rPr>
            </w:pPr>
          </w:p>
        </w:tc>
        <w:tc>
          <w:tcPr>
            <w:tcW w:w="1686" w:type="dxa"/>
            <w:noWrap w:val="0"/>
            <w:vAlign w:val="top"/>
          </w:tcPr>
          <w:p w14:paraId="6126F7F7">
            <w:pPr>
              <w:pStyle w:val="20"/>
              <w:keepNext w:val="0"/>
              <w:keepLines w:val="0"/>
              <w:suppressLineNumbers w:val="0"/>
              <w:snapToGrid w:val="0"/>
              <w:spacing w:before="0" w:beforeAutospacing="0" w:after="0" w:afterAutospacing="0" w:line="240" w:lineRule="atLeast"/>
              <w:ind w:left="1080" w:leftChars="257" w:right="0" w:hanging="540"/>
              <w:jc w:val="both"/>
              <w:textAlignment w:val="baseline"/>
              <w:rPr>
                <w:rFonts w:hint="default" w:ascii="仿宋_GB2312" w:hAnsi="仿宋_GB2312" w:eastAsia="仿宋_GB2312" w:cs="仿宋_GB2312"/>
                <w:b w:val="0"/>
                <w:i w:val="0"/>
                <w:caps w:val="0"/>
                <w:spacing w:val="0"/>
                <w:w w:val="100"/>
                <w:sz w:val="24"/>
              </w:rPr>
            </w:pPr>
          </w:p>
        </w:tc>
        <w:tc>
          <w:tcPr>
            <w:tcW w:w="1511" w:type="dxa"/>
            <w:noWrap w:val="0"/>
            <w:vAlign w:val="top"/>
          </w:tcPr>
          <w:p w14:paraId="52F0BA01">
            <w:pPr>
              <w:pStyle w:val="20"/>
              <w:keepNext w:val="0"/>
              <w:keepLines w:val="0"/>
              <w:suppressLineNumbers w:val="0"/>
              <w:snapToGrid w:val="0"/>
              <w:spacing w:before="0" w:beforeAutospacing="0" w:after="0" w:afterAutospacing="0" w:line="240" w:lineRule="atLeast"/>
              <w:ind w:left="1080" w:leftChars="257" w:right="0" w:hanging="540"/>
              <w:jc w:val="both"/>
              <w:textAlignment w:val="baseline"/>
              <w:rPr>
                <w:rFonts w:hint="default" w:ascii="仿宋_GB2312" w:hAnsi="仿宋_GB2312" w:eastAsia="仿宋_GB2312" w:cs="仿宋_GB2312"/>
                <w:b w:val="0"/>
                <w:i w:val="0"/>
                <w:caps w:val="0"/>
                <w:spacing w:val="0"/>
                <w:w w:val="100"/>
                <w:sz w:val="24"/>
              </w:rPr>
            </w:pPr>
          </w:p>
        </w:tc>
        <w:tc>
          <w:tcPr>
            <w:tcW w:w="1385" w:type="dxa"/>
            <w:noWrap w:val="0"/>
            <w:vAlign w:val="top"/>
          </w:tcPr>
          <w:p w14:paraId="36E87097">
            <w:pPr>
              <w:pStyle w:val="20"/>
              <w:keepNext w:val="0"/>
              <w:keepLines w:val="0"/>
              <w:suppressLineNumbers w:val="0"/>
              <w:snapToGrid w:val="0"/>
              <w:spacing w:before="0" w:beforeAutospacing="0" w:after="0" w:afterAutospacing="0" w:line="240" w:lineRule="atLeast"/>
              <w:ind w:left="1080" w:leftChars="257" w:right="0" w:hanging="540"/>
              <w:jc w:val="both"/>
              <w:textAlignment w:val="baseline"/>
              <w:rPr>
                <w:rFonts w:hint="default" w:ascii="仿宋_GB2312" w:hAnsi="仿宋_GB2312" w:eastAsia="仿宋_GB2312" w:cs="仿宋_GB2312"/>
                <w:b w:val="0"/>
                <w:i w:val="0"/>
                <w:caps w:val="0"/>
                <w:spacing w:val="0"/>
                <w:w w:val="100"/>
                <w:sz w:val="24"/>
              </w:rPr>
            </w:pPr>
          </w:p>
        </w:tc>
        <w:tc>
          <w:tcPr>
            <w:tcW w:w="1183" w:type="dxa"/>
            <w:noWrap w:val="0"/>
            <w:vAlign w:val="top"/>
          </w:tcPr>
          <w:p w14:paraId="6CDA3962">
            <w:pPr>
              <w:pStyle w:val="20"/>
              <w:keepNext w:val="0"/>
              <w:keepLines w:val="0"/>
              <w:suppressLineNumbers w:val="0"/>
              <w:snapToGrid w:val="0"/>
              <w:spacing w:before="0" w:beforeAutospacing="0" w:after="0" w:afterAutospacing="0" w:line="240" w:lineRule="atLeast"/>
              <w:ind w:left="1080" w:leftChars="257" w:right="0" w:hanging="540"/>
              <w:jc w:val="both"/>
              <w:textAlignment w:val="baseline"/>
              <w:rPr>
                <w:rFonts w:hint="default" w:ascii="仿宋_GB2312" w:hAnsi="仿宋_GB2312" w:eastAsia="仿宋_GB2312" w:cs="仿宋_GB2312"/>
                <w:b w:val="0"/>
                <w:i w:val="0"/>
                <w:caps w:val="0"/>
                <w:spacing w:val="0"/>
                <w:w w:val="100"/>
                <w:sz w:val="24"/>
              </w:rPr>
            </w:pPr>
          </w:p>
        </w:tc>
        <w:tc>
          <w:tcPr>
            <w:tcW w:w="1135" w:type="dxa"/>
            <w:noWrap w:val="0"/>
            <w:vAlign w:val="top"/>
          </w:tcPr>
          <w:p w14:paraId="7ED438D6">
            <w:pPr>
              <w:pStyle w:val="20"/>
              <w:keepNext w:val="0"/>
              <w:keepLines w:val="0"/>
              <w:suppressLineNumbers w:val="0"/>
              <w:snapToGrid w:val="0"/>
              <w:spacing w:before="0" w:beforeAutospacing="0" w:after="0" w:afterAutospacing="0" w:line="240" w:lineRule="atLeast"/>
              <w:ind w:left="1080" w:leftChars="257" w:right="0" w:hanging="540"/>
              <w:jc w:val="both"/>
              <w:textAlignment w:val="baseline"/>
              <w:rPr>
                <w:rFonts w:hint="default" w:ascii="仿宋_GB2312" w:hAnsi="仿宋_GB2312" w:eastAsia="仿宋_GB2312" w:cs="仿宋_GB2312"/>
                <w:b w:val="0"/>
                <w:i w:val="0"/>
                <w:caps w:val="0"/>
                <w:spacing w:val="0"/>
                <w:w w:val="100"/>
                <w:sz w:val="24"/>
              </w:rPr>
            </w:pPr>
          </w:p>
        </w:tc>
      </w:tr>
      <w:tr w14:paraId="562767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7" w:hRule="atLeast"/>
          <w:jc w:val="center"/>
        </w:trPr>
        <w:tc>
          <w:tcPr>
            <w:tcW w:w="1536" w:type="dxa"/>
            <w:noWrap w:val="0"/>
            <w:vAlign w:val="top"/>
          </w:tcPr>
          <w:p w14:paraId="4A3F2C77">
            <w:pPr>
              <w:pStyle w:val="20"/>
              <w:keepNext w:val="0"/>
              <w:keepLines w:val="0"/>
              <w:suppressLineNumbers w:val="0"/>
              <w:snapToGrid w:val="0"/>
              <w:spacing w:before="0" w:beforeAutospacing="0" w:after="0" w:afterAutospacing="0" w:line="240" w:lineRule="atLeast"/>
              <w:ind w:left="1080" w:leftChars="257" w:right="0" w:hanging="540"/>
              <w:jc w:val="both"/>
              <w:textAlignment w:val="baseline"/>
              <w:rPr>
                <w:rFonts w:hint="default" w:ascii="仿宋_GB2312" w:hAnsi="仿宋_GB2312" w:eastAsia="仿宋_GB2312" w:cs="仿宋_GB2312"/>
                <w:b w:val="0"/>
                <w:i w:val="0"/>
                <w:caps w:val="0"/>
                <w:spacing w:val="0"/>
                <w:w w:val="100"/>
                <w:sz w:val="24"/>
              </w:rPr>
            </w:pPr>
          </w:p>
        </w:tc>
        <w:tc>
          <w:tcPr>
            <w:tcW w:w="1686" w:type="dxa"/>
            <w:noWrap w:val="0"/>
            <w:vAlign w:val="top"/>
          </w:tcPr>
          <w:p w14:paraId="1B9F73E9">
            <w:pPr>
              <w:pStyle w:val="20"/>
              <w:keepNext w:val="0"/>
              <w:keepLines w:val="0"/>
              <w:suppressLineNumbers w:val="0"/>
              <w:snapToGrid w:val="0"/>
              <w:spacing w:before="0" w:beforeAutospacing="0" w:after="0" w:afterAutospacing="0" w:line="240" w:lineRule="atLeast"/>
              <w:ind w:left="1080" w:leftChars="257" w:right="0" w:hanging="540"/>
              <w:jc w:val="both"/>
              <w:textAlignment w:val="baseline"/>
              <w:rPr>
                <w:rFonts w:hint="default" w:ascii="仿宋_GB2312" w:hAnsi="仿宋_GB2312" w:eastAsia="仿宋_GB2312" w:cs="仿宋_GB2312"/>
                <w:b w:val="0"/>
                <w:i w:val="0"/>
                <w:caps w:val="0"/>
                <w:spacing w:val="0"/>
                <w:w w:val="100"/>
                <w:sz w:val="24"/>
              </w:rPr>
            </w:pPr>
          </w:p>
        </w:tc>
        <w:tc>
          <w:tcPr>
            <w:tcW w:w="1511" w:type="dxa"/>
            <w:noWrap w:val="0"/>
            <w:vAlign w:val="top"/>
          </w:tcPr>
          <w:p w14:paraId="0F7F4B06">
            <w:pPr>
              <w:pStyle w:val="20"/>
              <w:keepNext w:val="0"/>
              <w:keepLines w:val="0"/>
              <w:suppressLineNumbers w:val="0"/>
              <w:snapToGrid w:val="0"/>
              <w:spacing w:before="0" w:beforeAutospacing="0" w:after="0" w:afterAutospacing="0" w:line="240" w:lineRule="atLeast"/>
              <w:ind w:left="1080" w:leftChars="257" w:right="0" w:hanging="540"/>
              <w:jc w:val="both"/>
              <w:textAlignment w:val="baseline"/>
              <w:rPr>
                <w:rFonts w:hint="default" w:ascii="仿宋_GB2312" w:hAnsi="仿宋_GB2312" w:eastAsia="仿宋_GB2312" w:cs="仿宋_GB2312"/>
                <w:b w:val="0"/>
                <w:i w:val="0"/>
                <w:caps w:val="0"/>
                <w:spacing w:val="0"/>
                <w:w w:val="100"/>
                <w:sz w:val="24"/>
              </w:rPr>
            </w:pPr>
          </w:p>
        </w:tc>
        <w:tc>
          <w:tcPr>
            <w:tcW w:w="1385" w:type="dxa"/>
            <w:noWrap w:val="0"/>
            <w:vAlign w:val="top"/>
          </w:tcPr>
          <w:p w14:paraId="74A905D1">
            <w:pPr>
              <w:pStyle w:val="20"/>
              <w:keepNext w:val="0"/>
              <w:keepLines w:val="0"/>
              <w:suppressLineNumbers w:val="0"/>
              <w:snapToGrid w:val="0"/>
              <w:spacing w:before="0" w:beforeAutospacing="0" w:after="0" w:afterAutospacing="0" w:line="240" w:lineRule="atLeast"/>
              <w:ind w:left="1080" w:leftChars="257" w:right="0" w:hanging="540"/>
              <w:jc w:val="both"/>
              <w:textAlignment w:val="baseline"/>
              <w:rPr>
                <w:rFonts w:hint="default" w:ascii="仿宋_GB2312" w:hAnsi="仿宋_GB2312" w:eastAsia="仿宋_GB2312" w:cs="仿宋_GB2312"/>
                <w:b w:val="0"/>
                <w:i w:val="0"/>
                <w:caps w:val="0"/>
                <w:spacing w:val="0"/>
                <w:w w:val="100"/>
                <w:sz w:val="24"/>
              </w:rPr>
            </w:pPr>
          </w:p>
        </w:tc>
        <w:tc>
          <w:tcPr>
            <w:tcW w:w="1183" w:type="dxa"/>
            <w:noWrap w:val="0"/>
            <w:vAlign w:val="top"/>
          </w:tcPr>
          <w:p w14:paraId="2C72CD03">
            <w:pPr>
              <w:pStyle w:val="20"/>
              <w:keepNext w:val="0"/>
              <w:keepLines w:val="0"/>
              <w:suppressLineNumbers w:val="0"/>
              <w:snapToGrid w:val="0"/>
              <w:spacing w:before="0" w:beforeAutospacing="0" w:after="0" w:afterAutospacing="0" w:line="240" w:lineRule="atLeast"/>
              <w:ind w:left="1080" w:leftChars="257" w:right="0" w:hanging="540"/>
              <w:jc w:val="both"/>
              <w:textAlignment w:val="baseline"/>
              <w:rPr>
                <w:rFonts w:hint="default" w:ascii="仿宋_GB2312" w:hAnsi="仿宋_GB2312" w:eastAsia="仿宋_GB2312" w:cs="仿宋_GB2312"/>
                <w:b w:val="0"/>
                <w:i w:val="0"/>
                <w:caps w:val="0"/>
                <w:spacing w:val="0"/>
                <w:w w:val="100"/>
                <w:sz w:val="24"/>
              </w:rPr>
            </w:pPr>
          </w:p>
        </w:tc>
        <w:tc>
          <w:tcPr>
            <w:tcW w:w="1135" w:type="dxa"/>
            <w:noWrap w:val="0"/>
            <w:vAlign w:val="top"/>
          </w:tcPr>
          <w:p w14:paraId="37E8DAA0">
            <w:pPr>
              <w:pStyle w:val="20"/>
              <w:keepNext w:val="0"/>
              <w:keepLines w:val="0"/>
              <w:suppressLineNumbers w:val="0"/>
              <w:snapToGrid w:val="0"/>
              <w:spacing w:before="0" w:beforeAutospacing="0" w:after="0" w:afterAutospacing="0" w:line="240" w:lineRule="atLeast"/>
              <w:ind w:left="1080" w:leftChars="257" w:right="0" w:hanging="540"/>
              <w:jc w:val="both"/>
              <w:textAlignment w:val="baseline"/>
              <w:rPr>
                <w:rFonts w:hint="default" w:ascii="仿宋_GB2312" w:hAnsi="仿宋_GB2312" w:eastAsia="仿宋_GB2312" w:cs="仿宋_GB2312"/>
                <w:b w:val="0"/>
                <w:i w:val="0"/>
                <w:caps w:val="0"/>
                <w:spacing w:val="0"/>
                <w:w w:val="100"/>
                <w:sz w:val="24"/>
              </w:rPr>
            </w:pPr>
          </w:p>
        </w:tc>
      </w:tr>
      <w:tr w14:paraId="698E70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6" w:hRule="atLeast"/>
          <w:jc w:val="center"/>
        </w:trPr>
        <w:tc>
          <w:tcPr>
            <w:tcW w:w="1536" w:type="dxa"/>
            <w:noWrap w:val="0"/>
            <w:vAlign w:val="top"/>
          </w:tcPr>
          <w:p w14:paraId="38C484F4">
            <w:pPr>
              <w:pStyle w:val="20"/>
              <w:keepNext w:val="0"/>
              <w:keepLines w:val="0"/>
              <w:suppressLineNumbers w:val="0"/>
              <w:snapToGrid w:val="0"/>
              <w:spacing w:before="0" w:beforeAutospacing="0" w:after="0" w:afterAutospacing="0" w:line="240" w:lineRule="atLeast"/>
              <w:ind w:left="1080" w:leftChars="257" w:right="0" w:hanging="540"/>
              <w:jc w:val="both"/>
              <w:textAlignment w:val="baseline"/>
              <w:rPr>
                <w:rFonts w:hint="default" w:ascii="仿宋_GB2312" w:hAnsi="仿宋_GB2312" w:eastAsia="仿宋_GB2312" w:cs="仿宋_GB2312"/>
                <w:b w:val="0"/>
                <w:i w:val="0"/>
                <w:caps w:val="0"/>
                <w:spacing w:val="0"/>
                <w:w w:val="100"/>
                <w:sz w:val="24"/>
              </w:rPr>
            </w:pPr>
          </w:p>
        </w:tc>
        <w:tc>
          <w:tcPr>
            <w:tcW w:w="1686" w:type="dxa"/>
            <w:noWrap w:val="0"/>
            <w:vAlign w:val="top"/>
          </w:tcPr>
          <w:p w14:paraId="5520844C">
            <w:pPr>
              <w:pStyle w:val="20"/>
              <w:keepNext w:val="0"/>
              <w:keepLines w:val="0"/>
              <w:suppressLineNumbers w:val="0"/>
              <w:snapToGrid w:val="0"/>
              <w:spacing w:before="0" w:beforeAutospacing="0" w:after="0" w:afterAutospacing="0" w:line="240" w:lineRule="atLeast"/>
              <w:ind w:left="1080" w:leftChars="257" w:right="0" w:hanging="540"/>
              <w:jc w:val="both"/>
              <w:textAlignment w:val="baseline"/>
              <w:rPr>
                <w:rFonts w:hint="default" w:ascii="仿宋_GB2312" w:hAnsi="仿宋_GB2312" w:eastAsia="仿宋_GB2312" w:cs="仿宋_GB2312"/>
                <w:b w:val="0"/>
                <w:i w:val="0"/>
                <w:caps w:val="0"/>
                <w:spacing w:val="0"/>
                <w:w w:val="100"/>
                <w:sz w:val="24"/>
              </w:rPr>
            </w:pPr>
          </w:p>
        </w:tc>
        <w:tc>
          <w:tcPr>
            <w:tcW w:w="1511" w:type="dxa"/>
            <w:noWrap w:val="0"/>
            <w:vAlign w:val="top"/>
          </w:tcPr>
          <w:p w14:paraId="63FD91F9">
            <w:pPr>
              <w:pStyle w:val="20"/>
              <w:keepNext w:val="0"/>
              <w:keepLines w:val="0"/>
              <w:suppressLineNumbers w:val="0"/>
              <w:snapToGrid w:val="0"/>
              <w:spacing w:before="0" w:beforeAutospacing="0" w:after="0" w:afterAutospacing="0" w:line="240" w:lineRule="atLeast"/>
              <w:ind w:left="1080" w:leftChars="257" w:right="0" w:hanging="540"/>
              <w:jc w:val="both"/>
              <w:textAlignment w:val="baseline"/>
              <w:rPr>
                <w:rFonts w:hint="default" w:ascii="仿宋_GB2312" w:hAnsi="仿宋_GB2312" w:eastAsia="仿宋_GB2312" w:cs="仿宋_GB2312"/>
                <w:b w:val="0"/>
                <w:i w:val="0"/>
                <w:caps w:val="0"/>
                <w:spacing w:val="0"/>
                <w:w w:val="100"/>
                <w:sz w:val="24"/>
              </w:rPr>
            </w:pPr>
          </w:p>
        </w:tc>
        <w:tc>
          <w:tcPr>
            <w:tcW w:w="1385" w:type="dxa"/>
            <w:noWrap w:val="0"/>
            <w:vAlign w:val="top"/>
          </w:tcPr>
          <w:p w14:paraId="005C2699">
            <w:pPr>
              <w:pStyle w:val="20"/>
              <w:keepNext w:val="0"/>
              <w:keepLines w:val="0"/>
              <w:suppressLineNumbers w:val="0"/>
              <w:snapToGrid w:val="0"/>
              <w:spacing w:before="0" w:beforeAutospacing="0" w:after="0" w:afterAutospacing="0" w:line="240" w:lineRule="atLeast"/>
              <w:ind w:left="1080" w:leftChars="257" w:right="0" w:hanging="540"/>
              <w:jc w:val="both"/>
              <w:textAlignment w:val="baseline"/>
              <w:rPr>
                <w:rFonts w:hint="default" w:ascii="仿宋_GB2312" w:hAnsi="仿宋_GB2312" w:eastAsia="仿宋_GB2312" w:cs="仿宋_GB2312"/>
                <w:b w:val="0"/>
                <w:i w:val="0"/>
                <w:caps w:val="0"/>
                <w:spacing w:val="0"/>
                <w:w w:val="100"/>
                <w:sz w:val="24"/>
              </w:rPr>
            </w:pPr>
          </w:p>
        </w:tc>
        <w:tc>
          <w:tcPr>
            <w:tcW w:w="1183" w:type="dxa"/>
            <w:noWrap w:val="0"/>
            <w:vAlign w:val="top"/>
          </w:tcPr>
          <w:p w14:paraId="52331AD1">
            <w:pPr>
              <w:pStyle w:val="20"/>
              <w:keepNext w:val="0"/>
              <w:keepLines w:val="0"/>
              <w:suppressLineNumbers w:val="0"/>
              <w:snapToGrid w:val="0"/>
              <w:spacing w:before="0" w:beforeAutospacing="0" w:after="0" w:afterAutospacing="0" w:line="240" w:lineRule="atLeast"/>
              <w:ind w:left="1080" w:leftChars="257" w:right="0" w:hanging="540"/>
              <w:jc w:val="both"/>
              <w:textAlignment w:val="baseline"/>
              <w:rPr>
                <w:rFonts w:hint="default" w:ascii="仿宋_GB2312" w:hAnsi="仿宋_GB2312" w:eastAsia="仿宋_GB2312" w:cs="仿宋_GB2312"/>
                <w:b w:val="0"/>
                <w:i w:val="0"/>
                <w:caps w:val="0"/>
                <w:spacing w:val="0"/>
                <w:w w:val="100"/>
                <w:sz w:val="24"/>
              </w:rPr>
            </w:pPr>
          </w:p>
        </w:tc>
        <w:tc>
          <w:tcPr>
            <w:tcW w:w="1135" w:type="dxa"/>
            <w:noWrap w:val="0"/>
            <w:vAlign w:val="top"/>
          </w:tcPr>
          <w:p w14:paraId="58AA03CF">
            <w:pPr>
              <w:pStyle w:val="20"/>
              <w:keepNext w:val="0"/>
              <w:keepLines w:val="0"/>
              <w:suppressLineNumbers w:val="0"/>
              <w:snapToGrid w:val="0"/>
              <w:spacing w:before="0" w:beforeAutospacing="0" w:after="0" w:afterAutospacing="0" w:line="240" w:lineRule="atLeast"/>
              <w:ind w:left="1080" w:leftChars="257" w:right="0" w:hanging="540"/>
              <w:jc w:val="both"/>
              <w:textAlignment w:val="baseline"/>
              <w:rPr>
                <w:rFonts w:hint="default" w:ascii="仿宋_GB2312" w:hAnsi="仿宋_GB2312" w:eastAsia="仿宋_GB2312" w:cs="仿宋_GB2312"/>
                <w:b w:val="0"/>
                <w:i w:val="0"/>
                <w:caps w:val="0"/>
                <w:spacing w:val="0"/>
                <w:w w:val="100"/>
                <w:sz w:val="24"/>
              </w:rPr>
            </w:pPr>
          </w:p>
        </w:tc>
      </w:tr>
    </w:tbl>
    <w:p w14:paraId="6B64D0A1">
      <w:pPr>
        <w:pStyle w:val="20"/>
        <w:snapToGrid w:val="0"/>
        <w:spacing w:before="0" w:beforeAutospacing="0" w:after="0" w:afterAutospacing="0" w:line="240" w:lineRule="atLeast"/>
        <w:ind w:left="1080" w:leftChars="257" w:hanging="540"/>
        <w:jc w:val="both"/>
        <w:textAlignment w:val="baseline"/>
        <w:rPr>
          <w:rFonts w:ascii="仿宋_GB2312" w:hAnsi="仿宋_GB2312" w:eastAsia="仿宋_GB2312" w:cs="仿宋_GB2312"/>
          <w:b w:val="0"/>
          <w:i w:val="0"/>
          <w:caps w:val="0"/>
          <w:spacing w:val="0"/>
          <w:w w:val="100"/>
          <w:sz w:val="24"/>
        </w:rPr>
      </w:pPr>
    </w:p>
    <w:p w14:paraId="2D243DDD">
      <w:pPr>
        <w:pStyle w:val="20"/>
        <w:snapToGrid w:val="0"/>
        <w:spacing w:before="0" w:beforeAutospacing="0" w:after="0" w:afterAutospacing="0" w:line="240" w:lineRule="atLeast"/>
        <w:ind w:left="1080" w:leftChars="257" w:hanging="540"/>
        <w:jc w:val="both"/>
        <w:textAlignment w:val="baseline"/>
        <w:rPr>
          <w:rFonts w:ascii="仿宋_GB2312" w:hAnsi="仿宋_GB2312" w:eastAsia="仿宋_GB2312" w:cs="仿宋_GB2312"/>
          <w:b w:val="0"/>
          <w:i w:val="0"/>
          <w:caps w:val="0"/>
          <w:spacing w:val="0"/>
          <w:w w:val="100"/>
          <w:sz w:val="24"/>
        </w:rPr>
      </w:pPr>
      <w:r>
        <w:rPr>
          <w:rFonts w:hint="eastAsia" w:ascii="仿宋_GB2312" w:hAnsi="仿宋_GB2312" w:eastAsia="仿宋_GB2312" w:cs="仿宋_GB2312"/>
          <w:b w:val="0"/>
          <w:i w:val="0"/>
          <w:caps w:val="0"/>
          <w:spacing w:val="0"/>
          <w:w w:val="100"/>
          <w:sz w:val="24"/>
        </w:rPr>
        <w:t>法定代表人或其委托代理人</w:t>
      </w:r>
      <w:r>
        <w:rPr>
          <w:rFonts w:hint="eastAsia" w:ascii="仿宋" w:hAnsi="仿宋" w:eastAsia="仿宋" w:cs="仿宋"/>
          <w:b w:val="0"/>
          <w:i w:val="0"/>
          <w:caps w:val="0"/>
          <w:color w:val="000000"/>
          <w:spacing w:val="0"/>
          <w:w w:val="100"/>
          <w:sz w:val="24"/>
          <w:lang w:eastAsia="zh-CN"/>
        </w:rPr>
        <w:t>（</w:t>
      </w:r>
      <w:r>
        <w:rPr>
          <w:rFonts w:hint="eastAsia" w:ascii="仿宋" w:hAnsi="仿宋" w:eastAsia="仿宋" w:cs="仿宋"/>
          <w:b w:val="0"/>
          <w:i w:val="0"/>
          <w:caps w:val="0"/>
          <w:color w:val="000000"/>
          <w:spacing w:val="0"/>
          <w:w w:val="100"/>
          <w:sz w:val="24"/>
        </w:rPr>
        <w:t>签字</w:t>
      </w:r>
      <w:r>
        <w:rPr>
          <w:rFonts w:hint="eastAsia" w:ascii="仿宋" w:hAnsi="仿宋" w:eastAsia="仿宋" w:cs="仿宋"/>
          <w:b w:val="0"/>
          <w:i w:val="0"/>
          <w:caps w:val="0"/>
          <w:color w:val="000000"/>
          <w:spacing w:val="0"/>
          <w:w w:val="100"/>
          <w:sz w:val="24"/>
          <w:lang w:val="en-US" w:eastAsia="zh-CN"/>
        </w:rPr>
        <w:t>或签章</w:t>
      </w:r>
      <w:r>
        <w:rPr>
          <w:rFonts w:hint="eastAsia" w:ascii="仿宋" w:hAnsi="仿宋" w:eastAsia="仿宋" w:cs="仿宋"/>
          <w:b w:val="0"/>
          <w:i w:val="0"/>
          <w:caps w:val="0"/>
          <w:color w:val="000000"/>
          <w:spacing w:val="0"/>
          <w:w w:val="100"/>
          <w:sz w:val="24"/>
          <w:lang w:eastAsia="zh-CN"/>
        </w:rPr>
        <w:t>）</w:t>
      </w:r>
      <w:r>
        <w:rPr>
          <w:rFonts w:hint="eastAsia" w:ascii="仿宋_GB2312" w:hAnsi="仿宋_GB2312" w:eastAsia="仿宋_GB2312" w:cs="仿宋_GB2312"/>
          <w:b w:val="0"/>
          <w:i w:val="0"/>
          <w:caps w:val="0"/>
          <w:spacing w:val="0"/>
          <w:w w:val="100"/>
          <w:sz w:val="24"/>
        </w:rPr>
        <w:t>:___________</w:t>
      </w:r>
    </w:p>
    <w:p w14:paraId="49215B2C">
      <w:pPr>
        <w:pStyle w:val="20"/>
        <w:tabs>
          <w:tab w:val="left" w:pos="5370"/>
        </w:tabs>
        <w:snapToGrid w:val="0"/>
        <w:spacing w:before="0" w:beforeAutospacing="0" w:after="0" w:afterAutospacing="0" w:line="240" w:lineRule="atLeast"/>
        <w:ind w:left="1080" w:leftChars="257" w:hanging="540"/>
        <w:jc w:val="both"/>
        <w:textAlignment w:val="baseline"/>
        <w:rPr>
          <w:rFonts w:hint="eastAsia" w:ascii="仿宋_GB2312" w:hAnsi="仿宋_GB2312" w:eastAsia="仿宋_GB2312" w:cs="仿宋_GB2312"/>
          <w:b w:val="0"/>
          <w:i w:val="0"/>
          <w:caps w:val="0"/>
          <w:spacing w:val="0"/>
          <w:w w:val="100"/>
          <w:sz w:val="24"/>
        </w:rPr>
      </w:pPr>
    </w:p>
    <w:p w14:paraId="0E027702">
      <w:pPr>
        <w:pStyle w:val="20"/>
        <w:tabs>
          <w:tab w:val="left" w:pos="5370"/>
        </w:tabs>
        <w:snapToGrid w:val="0"/>
        <w:spacing w:before="0" w:beforeAutospacing="0" w:after="0" w:afterAutospacing="0" w:line="240" w:lineRule="atLeast"/>
        <w:ind w:left="1080" w:leftChars="257" w:hanging="540"/>
        <w:jc w:val="both"/>
        <w:textAlignment w:val="baseline"/>
        <w:rPr>
          <w:rFonts w:ascii="仿宋_GB2312" w:hAnsi="仿宋_GB2312" w:eastAsia="仿宋_GB2312" w:cs="仿宋_GB2312"/>
          <w:b w:val="0"/>
          <w:i w:val="0"/>
          <w:caps w:val="0"/>
          <w:spacing w:val="0"/>
          <w:w w:val="100"/>
          <w:sz w:val="24"/>
          <w:u w:val="single"/>
        </w:rPr>
      </w:pPr>
      <w:r>
        <w:rPr>
          <w:rFonts w:hint="eastAsia" w:ascii="仿宋_GB2312" w:hAnsi="仿宋_GB2312" w:eastAsia="仿宋_GB2312" w:cs="仿宋_GB2312"/>
          <w:b w:val="0"/>
          <w:i w:val="0"/>
          <w:caps w:val="0"/>
          <w:spacing w:val="0"/>
          <w:w w:val="100"/>
          <w:sz w:val="24"/>
        </w:rPr>
        <w:t>投标人(盖单位章):</w:t>
      </w:r>
      <w:r>
        <w:rPr>
          <w:rFonts w:hint="eastAsia" w:ascii="仿宋_GB2312" w:hAnsi="仿宋_GB2312" w:eastAsia="仿宋_GB2312" w:cs="仿宋_GB2312"/>
          <w:b w:val="0"/>
          <w:i w:val="0"/>
          <w:caps w:val="0"/>
          <w:spacing w:val="0"/>
          <w:w w:val="100"/>
          <w:sz w:val="24"/>
          <w:u w:val="single" w:color="000000"/>
        </w:rPr>
        <w:tab/>
      </w:r>
    </w:p>
    <w:p w14:paraId="4A4A0CF7">
      <w:pPr>
        <w:pStyle w:val="20"/>
        <w:tabs>
          <w:tab w:val="left" w:pos="5580"/>
        </w:tabs>
        <w:snapToGrid w:val="0"/>
        <w:spacing w:before="0" w:beforeAutospacing="0" w:after="0" w:afterAutospacing="0" w:line="240" w:lineRule="atLeast"/>
        <w:jc w:val="both"/>
        <w:textAlignment w:val="baseline"/>
        <w:rPr>
          <w:rFonts w:ascii="仿宋_GB2312" w:hAnsi="仿宋_GB2312" w:eastAsia="仿宋_GB2312" w:cs="仿宋_GB2312"/>
          <w:b w:val="0"/>
          <w:i w:val="0"/>
          <w:caps w:val="0"/>
          <w:spacing w:val="0"/>
          <w:w w:val="100"/>
          <w:sz w:val="24"/>
          <w:u w:val="single"/>
        </w:rPr>
      </w:pPr>
    </w:p>
    <w:p w14:paraId="3C2E217B">
      <w:pPr>
        <w:snapToGrid w:val="0"/>
        <w:spacing w:before="0" w:beforeAutospacing="0" w:after="0" w:afterAutospacing="0" w:line="240" w:lineRule="auto"/>
        <w:jc w:val="left"/>
        <w:textAlignment w:val="baseline"/>
        <w:rPr>
          <w:rFonts w:ascii="仿宋" w:hAnsi="仿宋" w:eastAsia="仿宋" w:cs="仿宋"/>
          <w:b w:val="0"/>
          <w:i w:val="0"/>
          <w:caps w:val="0"/>
          <w:spacing w:val="0"/>
          <w:w w:val="100"/>
          <w:kern w:val="0"/>
          <w:sz w:val="20"/>
          <w:szCs w:val="20"/>
        </w:rPr>
      </w:pPr>
    </w:p>
    <w:p w14:paraId="5B39C85A">
      <w:pPr>
        <w:pStyle w:val="20"/>
        <w:snapToGrid w:val="0"/>
        <w:spacing w:before="0" w:beforeAutospacing="0" w:after="0" w:afterAutospacing="0" w:line="240" w:lineRule="atLeast"/>
        <w:ind w:firstLine="480" w:firstLineChars="200"/>
        <w:jc w:val="both"/>
        <w:textAlignment w:val="baseline"/>
        <w:rPr>
          <w:rFonts w:ascii="仿宋" w:hAnsi="仿宋" w:eastAsia="仿宋" w:cs="仿宋"/>
          <w:b w:val="0"/>
          <w:i w:val="0"/>
          <w:caps w:val="0"/>
          <w:spacing w:val="0"/>
          <w:w w:val="100"/>
          <w:sz w:val="24"/>
        </w:rPr>
      </w:pPr>
      <w:r>
        <w:rPr>
          <w:rFonts w:hint="eastAsia" w:ascii="仿宋" w:hAnsi="仿宋" w:eastAsia="仿宋" w:cs="仿宋"/>
          <w:b w:val="0"/>
          <w:i w:val="0"/>
          <w:caps w:val="0"/>
          <w:spacing w:val="0"/>
          <w:w w:val="100"/>
          <w:sz w:val="24"/>
        </w:rPr>
        <w:t>注：</w:t>
      </w:r>
    </w:p>
    <w:p w14:paraId="76CA95DD">
      <w:pPr>
        <w:pStyle w:val="20"/>
        <w:snapToGrid w:val="0"/>
        <w:spacing w:before="0" w:beforeAutospacing="0" w:after="0" w:afterAutospacing="0" w:line="240" w:lineRule="atLeast"/>
        <w:ind w:firstLine="480" w:firstLineChars="200"/>
        <w:jc w:val="both"/>
        <w:textAlignment w:val="baseline"/>
        <w:rPr>
          <w:rFonts w:ascii="仿宋" w:hAnsi="仿宋" w:eastAsia="仿宋" w:cs="仿宋"/>
          <w:b w:val="0"/>
          <w:i w:val="0"/>
          <w:caps w:val="0"/>
          <w:spacing w:val="0"/>
          <w:w w:val="100"/>
          <w:sz w:val="24"/>
        </w:rPr>
      </w:pPr>
      <w:r>
        <w:rPr>
          <w:rFonts w:hint="eastAsia" w:ascii="仿宋" w:hAnsi="仿宋" w:eastAsia="仿宋" w:cs="仿宋"/>
          <w:b w:val="0"/>
          <w:i w:val="0"/>
          <w:caps w:val="0"/>
          <w:spacing w:val="0"/>
          <w:w w:val="100"/>
          <w:sz w:val="24"/>
        </w:rPr>
        <w:t>1、投标人应根据招标要求逐条逐项表述说明投标响应情况。</w:t>
      </w:r>
    </w:p>
    <w:p w14:paraId="0B5DCD5C">
      <w:pPr>
        <w:pStyle w:val="20"/>
        <w:snapToGrid w:val="0"/>
        <w:spacing w:before="0" w:beforeAutospacing="0" w:after="0" w:afterAutospacing="0" w:line="240" w:lineRule="atLeast"/>
        <w:ind w:firstLine="480" w:firstLineChars="200"/>
        <w:jc w:val="both"/>
        <w:textAlignment w:val="baseline"/>
        <w:rPr>
          <w:rFonts w:ascii="仿宋" w:hAnsi="仿宋" w:eastAsia="仿宋" w:cs="仿宋"/>
          <w:b w:val="0"/>
          <w:i w:val="0"/>
          <w:caps w:val="0"/>
          <w:spacing w:val="0"/>
          <w:w w:val="100"/>
          <w:sz w:val="24"/>
        </w:rPr>
      </w:pPr>
      <w:r>
        <w:rPr>
          <w:rFonts w:hint="eastAsia" w:ascii="仿宋" w:hAnsi="仿宋" w:eastAsia="仿宋" w:cs="仿宋"/>
          <w:b w:val="0"/>
          <w:i w:val="0"/>
          <w:caps w:val="0"/>
          <w:spacing w:val="0"/>
          <w:w w:val="100"/>
          <w:sz w:val="24"/>
        </w:rPr>
        <w:t>2、投标人提交的投标文件中的服务响应与招标文件的服务、技术要求不同时，应逐条逐项如实填列在偏离表中。投标人不如实填写偏离情况、存在弄虚作假行为的，将依法承担相应的法律责任。</w:t>
      </w:r>
    </w:p>
    <w:p w14:paraId="3444C529">
      <w:pPr>
        <w:pStyle w:val="20"/>
        <w:snapToGrid w:val="0"/>
        <w:spacing w:before="0" w:beforeAutospacing="0" w:after="0" w:afterAutospacing="0" w:line="240" w:lineRule="atLeast"/>
        <w:ind w:firstLine="480" w:firstLineChars="200"/>
        <w:jc w:val="both"/>
        <w:textAlignment w:val="baseline"/>
        <w:rPr>
          <w:rFonts w:ascii="仿宋" w:hAnsi="仿宋" w:eastAsia="仿宋" w:cs="仿宋"/>
          <w:b w:val="0"/>
          <w:i w:val="0"/>
          <w:caps w:val="0"/>
          <w:spacing w:val="0"/>
          <w:w w:val="100"/>
          <w:sz w:val="24"/>
        </w:rPr>
      </w:pPr>
      <w:r>
        <w:rPr>
          <w:rFonts w:hint="eastAsia" w:ascii="仿宋" w:hAnsi="仿宋" w:eastAsia="仿宋" w:cs="仿宋"/>
          <w:b w:val="0"/>
          <w:i w:val="0"/>
          <w:caps w:val="0"/>
          <w:spacing w:val="0"/>
          <w:w w:val="100"/>
          <w:sz w:val="24"/>
        </w:rPr>
        <w:t>3、投标人应结合实际情况说明或描述其实际服务内容。如果完全复制粘贴本招标文件之服务、技术要求，或者只注明“符合”、“满足”等类似无具体内容的表述，因此而产生的不利于投标人的评审风险由投标人自行承担。</w:t>
      </w:r>
    </w:p>
    <w:p w14:paraId="2433B38C">
      <w:pPr>
        <w:pStyle w:val="20"/>
        <w:snapToGrid w:val="0"/>
        <w:spacing w:before="0" w:beforeAutospacing="0" w:after="0" w:afterAutospacing="0" w:line="240" w:lineRule="atLeast"/>
        <w:ind w:firstLine="480" w:firstLineChars="200"/>
        <w:jc w:val="both"/>
        <w:textAlignment w:val="baseline"/>
        <w:rPr>
          <w:rFonts w:ascii="仿宋" w:hAnsi="仿宋" w:eastAsia="仿宋" w:cs="仿宋"/>
          <w:b/>
          <w:bCs/>
          <w:i w:val="0"/>
          <w:caps w:val="0"/>
          <w:spacing w:val="0"/>
          <w:w w:val="100"/>
          <w:sz w:val="24"/>
        </w:rPr>
      </w:pPr>
      <w:r>
        <w:rPr>
          <w:rFonts w:hint="eastAsia" w:ascii="仿宋" w:hAnsi="仿宋" w:eastAsia="仿宋" w:cs="仿宋"/>
          <w:b w:val="0"/>
          <w:i w:val="0"/>
          <w:caps w:val="0"/>
          <w:spacing w:val="0"/>
          <w:w w:val="100"/>
          <w:sz w:val="24"/>
        </w:rPr>
        <w:t>4、投标人可根据需要自行增减表格行数。</w:t>
      </w:r>
    </w:p>
    <w:p w14:paraId="556CB134">
      <w:pPr>
        <w:pStyle w:val="20"/>
        <w:tabs>
          <w:tab w:val="left" w:pos="5580"/>
        </w:tabs>
        <w:snapToGrid w:val="0"/>
        <w:spacing w:before="0" w:beforeAutospacing="0" w:after="0" w:afterAutospacing="0" w:line="240" w:lineRule="atLeast"/>
        <w:jc w:val="both"/>
        <w:textAlignment w:val="baseline"/>
        <w:rPr>
          <w:rFonts w:ascii="仿宋_GB2312" w:hAnsi="仿宋_GB2312" w:eastAsia="仿宋_GB2312" w:cs="仿宋_GB2312"/>
          <w:b w:val="0"/>
          <w:i w:val="0"/>
          <w:caps w:val="0"/>
          <w:spacing w:val="0"/>
          <w:w w:val="100"/>
          <w:sz w:val="24"/>
        </w:rPr>
      </w:pPr>
    </w:p>
    <w:p w14:paraId="68735ED3">
      <w:pPr>
        <w:pStyle w:val="2"/>
        <w:snapToGrid w:val="0"/>
        <w:spacing w:before="0" w:beforeAutospacing="0" w:after="0" w:afterAutospacing="0" w:line="240" w:lineRule="atLeast"/>
        <w:jc w:val="both"/>
        <w:textAlignment w:val="baseline"/>
        <w:rPr>
          <w:rFonts w:ascii="仿宋_GB2312" w:hAnsi="仿宋_GB2312" w:eastAsia="仿宋_GB2312" w:cs="仿宋_GB2312"/>
          <w:b/>
          <w:i w:val="0"/>
          <w:caps w:val="0"/>
          <w:spacing w:val="0"/>
          <w:w w:val="100"/>
          <w:sz w:val="24"/>
        </w:rPr>
      </w:pPr>
      <w:bookmarkStart w:id="1338" w:name="_Toc1980"/>
      <w:bookmarkStart w:id="1339" w:name="_Toc28374"/>
      <w:bookmarkStart w:id="1340" w:name="_Toc216582818"/>
      <w:bookmarkStart w:id="1341" w:name="_Toc23"/>
      <w:bookmarkStart w:id="1342" w:name="_Toc515647821"/>
    </w:p>
    <w:p w14:paraId="5B4A3992">
      <w:pPr>
        <w:pStyle w:val="4"/>
        <w:keepNext/>
        <w:keepLines/>
        <w:pageBreakBefore w:val="0"/>
        <w:widowControl/>
        <w:kinsoku/>
        <w:wordWrap/>
        <w:overflowPunct/>
        <w:topLinePunct w:val="0"/>
        <w:autoSpaceDE w:val="0"/>
        <w:autoSpaceDN w:val="0"/>
        <w:bidi w:val="0"/>
        <w:adjustRightInd w:val="0"/>
        <w:snapToGrid/>
        <w:spacing w:before="0" w:beforeAutospacing="0" w:after="0" w:afterAutospacing="0" w:line="288" w:lineRule="auto"/>
        <w:jc w:val="both"/>
        <w:textAlignment w:val="baseline"/>
        <w:outlineLvl w:val="2"/>
        <w:rPr>
          <w:rFonts w:hint="eastAsia" w:ascii="仿宋_GB2312" w:hAnsi="仿宋_GB2312" w:eastAsia="仿宋_GB2312" w:cs="仿宋_GB2312"/>
          <w:b/>
          <w:i w:val="0"/>
          <w:caps w:val="0"/>
          <w:spacing w:val="0"/>
          <w:w w:val="100"/>
          <w:sz w:val="24"/>
          <w:u w:val="none"/>
        </w:rPr>
      </w:pPr>
      <w:bookmarkStart w:id="1343" w:name="_Toc17874"/>
      <w:bookmarkStart w:id="1344" w:name="_Toc21884"/>
      <w:bookmarkStart w:id="1345" w:name="_Toc29157"/>
      <w:bookmarkStart w:id="1346" w:name="_Toc5952"/>
      <w:bookmarkStart w:id="1347" w:name="_Toc471"/>
      <w:bookmarkStart w:id="1348" w:name="_Toc16991"/>
      <w:bookmarkStart w:id="1349" w:name="_Toc9803"/>
      <w:bookmarkStart w:id="1350" w:name="_Toc14202"/>
    </w:p>
    <w:p w14:paraId="212386E5">
      <w:pPr>
        <w:pStyle w:val="4"/>
        <w:keepNext/>
        <w:keepLines/>
        <w:pageBreakBefore w:val="0"/>
        <w:widowControl/>
        <w:kinsoku/>
        <w:wordWrap/>
        <w:overflowPunct/>
        <w:topLinePunct w:val="0"/>
        <w:autoSpaceDE w:val="0"/>
        <w:autoSpaceDN w:val="0"/>
        <w:bidi w:val="0"/>
        <w:adjustRightInd w:val="0"/>
        <w:snapToGrid/>
        <w:spacing w:before="0" w:beforeAutospacing="0" w:after="0" w:afterAutospacing="0" w:line="288" w:lineRule="auto"/>
        <w:ind w:left="1079" w:leftChars="257" w:hanging="539"/>
        <w:jc w:val="center"/>
        <w:textAlignment w:val="baseline"/>
        <w:outlineLvl w:val="2"/>
        <w:rPr>
          <w:rFonts w:hint="eastAsia" w:ascii="仿宋_GB2312" w:hAnsi="仿宋_GB2312" w:eastAsia="仿宋_GB2312" w:cs="仿宋_GB2312"/>
          <w:b/>
          <w:kern w:val="0"/>
          <w:sz w:val="24"/>
          <w:szCs w:val="20"/>
          <w:u w:val="none"/>
          <w:lang w:val="en-US" w:eastAsia="zh-CN" w:bidi="ar-SA"/>
        </w:rPr>
      </w:pPr>
      <w:r>
        <w:rPr>
          <w:rFonts w:hint="eastAsia" w:ascii="仿宋_GB2312" w:hAnsi="仿宋_GB2312" w:eastAsia="仿宋_GB2312" w:cs="仿宋_GB2312"/>
          <w:b/>
          <w:i w:val="0"/>
          <w:caps w:val="0"/>
          <w:spacing w:val="0"/>
          <w:w w:val="100"/>
          <w:sz w:val="24"/>
          <w:u w:val="none"/>
        </w:rPr>
        <w:br w:type="page"/>
      </w:r>
      <w:bookmarkStart w:id="1351" w:name="_Toc13083"/>
      <w:bookmarkStart w:id="1352" w:name="_Toc13720"/>
      <w:bookmarkStart w:id="1353" w:name="_Toc5257"/>
      <w:bookmarkStart w:id="1354" w:name="_Toc13108"/>
      <w:bookmarkStart w:id="1355" w:name="_Toc9805"/>
      <w:bookmarkStart w:id="1356" w:name="_Toc19461"/>
      <w:bookmarkStart w:id="1357" w:name="_Toc8322"/>
      <w:bookmarkStart w:id="1358" w:name="_Toc18520"/>
      <w:bookmarkStart w:id="1359" w:name="_Toc368"/>
      <w:r>
        <w:rPr>
          <w:rFonts w:hint="eastAsia" w:ascii="仿宋_GB2312" w:hAnsi="仿宋_GB2312" w:eastAsia="仿宋_GB2312" w:cs="仿宋_GB2312"/>
          <w:b/>
          <w:kern w:val="0"/>
          <w:sz w:val="24"/>
          <w:szCs w:val="20"/>
          <w:u w:val="none"/>
          <w:lang w:val="en-US" w:eastAsia="zh-CN" w:bidi="ar-SA"/>
        </w:rPr>
        <w:t>5  商务条款偏离表</w:t>
      </w:r>
      <w:bookmarkEnd w:id="1338"/>
      <w:bookmarkEnd w:id="1339"/>
      <w:bookmarkEnd w:id="1340"/>
      <w:bookmarkEnd w:id="1341"/>
      <w:bookmarkEnd w:id="1342"/>
      <w:bookmarkEnd w:id="1343"/>
      <w:bookmarkEnd w:id="1344"/>
      <w:bookmarkEnd w:id="1345"/>
      <w:bookmarkEnd w:id="1346"/>
      <w:bookmarkEnd w:id="1347"/>
      <w:bookmarkEnd w:id="1348"/>
      <w:bookmarkEnd w:id="1349"/>
      <w:bookmarkEnd w:id="1350"/>
      <w:bookmarkEnd w:id="1351"/>
      <w:bookmarkEnd w:id="1352"/>
      <w:bookmarkEnd w:id="1353"/>
      <w:bookmarkEnd w:id="1354"/>
      <w:bookmarkEnd w:id="1355"/>
      <w:bookmarkEnd w:id="1356"/>
      <w:bookmarkEnd w:id="1357"/>
      <w:bookmarkEnd w:id="1358"/>
      <w:bookmarkEnd w:id="1359"/>
    </w:p>
    <w:p w14:paraId="0369EEBC">
      <w:pPr>
        <w:pStyle w:val="20"/>
        <w:snapToGrid w:val="0"/>
        <w:spacing w:before="0" w:beforeAutospacing="0" w:after="0" w:afterAutospacing="0" w:line="240" w:lineRule="atLeast"/>
        <w:ind w:left="1080" w:leftChars="257" w:hanging="540"/>
        <w:jc w:val="both"/>
        <w:textAlignment w:val="baseline"/>
        <w:rPr>
          <w:rFonts w:ascii="仿宋_GB2312" w:hAnsi="仿宋_GB2312" w:eastAsia="仿宋_GB2312" w:cs="仿宋_GB2312"/>
          <w:b w:val="0"/>
          <w:i w:val="0"/>
          <w:caps w:val="0"/>
          <w:spacing w:val="0"/>
          <w:w w:val="100"/>
          <w:sz w:val="24"/>
        </w:rPr>
      </w:pPr>
    </w:p>
    <w:p w14:paraId="12F9653E">
      <w:pPr>
        <w:pStyle w:val="20"/>
        <w:snapToGrid w:val="0"/>
        <w:spacing w:before="0" w:beforeAutospacing="0" w:after="0" w:afterAutospacing="0" w:line="240" w:lineRule="atLeast"/>
        <w:ind w:left="1080" w:leftChars="257" w:hanging="540"/>
        <w:jc w:val="both"/>
        <w:textAlignment w:val="baseline"/>
        <w:rPr>
          <w:rFonts w:ascii="仿宋_GB2312" w:hAnsi="仿宋_GB2312" w:eastAsia="仿宋_GB2312" w:cs="仿宋_GB2312"/>
          <w:b w:val="0"/>
          <w:i w:val="0"/>
          <w:caps w:val="0"/>
          <w:spacing w:val="0"/>
          <w:w w:val="100"/>
          <w:sz w:val="24"/>
        </w:rPr>
      </w:pPr>
    </w:p>
    <w:p w14:paraId="2797AAF2">
      <w:pPr>
        <w:pStyle w:val="20"/>
        <w:snapToGrid w:val="0"/>
        <w:spacing w:before="0" w:beforeAutospacing="0" w:after="0" w:afterAutospacing="0" w:line="240" w:lineRule="atLeast"/>
        <w:ind w:left="1080" w:leftChars="257" w:hanging="540"/>
        <w:jc w:val="both"/>
        <w:textAlignment w:val="baseline"/>
        <w:rPr>
          <w:rFonts w:ascii="仿宋_GB2312" w:hAnsi="仿宋_GB2312" w:eastAsia="仿宋_GB2312" w:cs="仿宋_GB2312"/>
          <w:b w:val="0"/>
          <w:i w:val="0"/>
          <w:caps w:val="0"/>
          <w:spacing w:val="0"/>
          <w:w w:val="100"/>
          <w:sz w:val="24"/>
        </w:rPr>
      </w:pPr>
      <w:r>
        <w:rPr>
          <w:rFonts w:hint="eastAsia" w:ascii="仿宋_GB2312" w:hAnsi="仿宋_GB2312" w:eastAsia="仿宋_GB2312" w:cs="仿宋_GB2312"/>
          <w:b w:val="0"/>
          <w:i w:val="0"/>
          <w:caps w:val="0"/>
          <w:spacing w:val="0"/>
          <w:w w:val="100"/>
          <w:sz w:val="24"/>
        </w:rPr>
        <w:t xml:space="preserve">项目名称:                      </w:t>
      </w:r>
      <w:r>
        <w:rPr>
          <w:rFonts w:hint="eastAsia" w:ascii="仿宋_GB2312" w:hAnsi="仿宋_GB2312" w:eastAsia="仿宋_GB2312" w:cs="仿宋_GB2312"/>
          <w:b w:val="0"/>
          <w:i w:val="0"/>
          <w:caps w:val="0"/>
          <w:spacing w:val="0"/>
          <w:w w:val="100"/>
          <w:sz w:val="24"/>
          <w:lang w:val="en-US" w:eastAsia="zh-CN"/>
        </w:rPr>
        <w:t>项目</w:t>
      </w:r>
      <w:r>
        <w:rPr>
          <w:rFonts w:hint="eastAsia" w:ascii="仿宋_GB2312" w:hAnsi="仿宋_GB2312" w:eastAsia="仿宋_GB2312" w:cs="仿宋_GB2312"/>
          <w:b w:val="0"/>
          <w:i w:val="0"/>
          <w:caps w:val="0"/>
          <w:spacing w:val="0"/>
          <w:w w:val="100"/>
          <w:sz w:val="24"/>
        </w:rPr>
        <w:t xml:space="preserve">编号:           </w:t>
      </w:r>
      <w:r>
        <w:rPr>
          <w:rFonts w:hint="eastAsia" w:ascii="仿宋_GB2312" w:hAnsi="仿宋_GB2312" w:eastAsia="仿宋_GB2312" w:cs="仿宋_GB2312"/>
          <w:b w:val="0"/>
          <w:i w:val="0"/>
          <w:caps w:val="0"/>
          <w:spacing w:val="0"/>
          <w:w w:val="100"/>
          <w:sz w:val="24"/>
          <w:lang w:val="en-US" w:eastAsia="zh-CN"/>
        </w:rPr>
        <w:t>标段</w:t>
      </w:r>
      <w:r>
        <w:rPr>
          <w:rFonts w:hint="eastAsia" w:ascii="仿宋_GB2312" w:hAnsi="仿宋_GB2312" w:eastAsia="仿宋_GB2312" w:cs="仿宋_GB2312"/>
          <w:b w:val="0"/>
          <w:i w:val="0"/>
          <w:caps w:val="0"/>
          <w:spacing w:val="0"/>
          <w:w w:val="100"/>
          <w:sz w:val="24"/>
        </w:rPr>
        <w:t>:</w:t>
      </w:r>
    </w:p>
    <w:p w14:paraId="359162D1">
      <w:pPr>
        <w:pStyle w:val="20"/>
        <w:snapToGrid w:val="0"/>
        <w:spacing w:before="0" w:beforeAutospacing="0" w:after="0" w:afterAutospacing="0" w:line="240" w:lineRule="atLeast"/>
        <w:ind w:left="1080" w:leftChars="257" w:hanging="540"/>
        <w:jc w:val="both"/>
        <w:textAlignment w:val="baseline"/>
        <w:rPr>
          <w:rFonts w:ascii="仿宋_GB2312" w:hAnsi="仿宋_GB2312" w:eastAsia="仿宋_GB2312" w:cs="仿宋_GB2312"/>
          <w:b w:val="0"/>
          <w:i w:val="0"/>
          <w:caps w:val="0"/>
          <w:spacing w:val="0"/>
          <w:w w:val="100"/>
          <w:sz w:val="24"/>
        </w:rPr>
      </w:pPr>
    </w:p>
    <w:tbl>
      <w:tblPr>
        <w:tblStyle w:val="38"/>
        <w:tblW w:w="833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91"/>
        <w:gridCol w:w="2520"/>
        <w:gridCol w:w="2520"/>
        <w:gridCol w:w="1805"/>
      </w:tblGrid>
      <w:tr w14:paraId="732A1B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1491" w:type="dxa"/>
            <w:noWrap w:val="0"/>
            <w:vAlign w:val="center"/>
          </w:tcPr>
          <w:p w14:paraId="6750653C">
            <w:pPr>
              <w:pStyle w:val="20"/>
              <w:keepNext w:val="0"/>
              <w:keepLines w:val="0"/>
              <w:suppressLineNumbers w:val="0"/>
              <w:snapToGrid w:val="0"/>
              <w:spacing w:before="0" w:beforeAutospacing="0" w:after="0" w:afterAutospacing="0" w:line="240" w:lineRule="atLeast"/>
              <w:ind w:left="0" w:right="0"/>
              <w:jc w:val="center"/>
              <w:textAlignment w:val="baseline"/>
              <w:rPr>
                <w:rFonts w:hint="default" w:ascii="仿宋_GB2312" w:hAnsi="仿宋_GB2312" w:eastAsia="仿宋_GB2312" w:cs="仿宋_GB2312"/>
                <w:b w:val="0"/>
                <w:i w:val="0"/>
                <w:caps w:val="0"/>
                <w:spacing w:val="0"/>
                <w:w w:val="100"/>
                <w:sz w:val="24"/>
              </w:rPr>
            </w:pPr>
            <w:r>
              <w:rPr>
                <w:rFonts w:hint="eastAsia" w:ascii="仿宋_GB2312" w:hAnsi="仿宋_GB2312" w:eastAsia="仿宋_GB2312" w:cs="仿宋_GB2312"/>
                <w:b w:val="0"/>
                <w:i w:val="0"/>
                <w:caps w:val="0"/>
                <w:spacing w:val="0"/>
                <w:w w:val="100"/>
                <w:sz w:val="24"/>
              </w:rPr>
              <w:t>序号</w:t>
            </w:r>
          </w:p>
        </w:tc>
        <w:tc>
          <w:tcPr>
            <w:tcW w:w="2520" w:type="dxa"/>
            <w:noWrap w:val="0"/>
            <w:vAlign w:val="center"/>
          </w:tcPr>
          <w:p w14:paraId="32B6A018">
            <w:pPr>
              <w:pStyle w:val="20"/>
              <w:keepNext w:val="0"/>
              <w:keepLines w:val="0"/>
              <w:suppressLineNumbers w:val="0"/>
              <w:snapToGrid w:val="0"/>
              <w:spacing w:before="0" w:beforeAutospacing="0" w:after="0" w:afterAutospacing="0" w:line="240" w:lineRule="atLeast"/>
              <w:ind w:left="0" w:right="0"/>
              <w:jc w:val="center"/>
              <w:textAlignment w:val="baseline"/>
              <w:rPr>
                <w:rFonts w:hint="default" w:ascii="仿宋_GB2312" w:hAnsi="仿宋_GB2312" w:eastAsia="仿宋_GB2312" w:cs="仿宋_GB2312"/>
                <w:b w:val="0"/>
                <w:i w:val="0"/>
                <w:caps w:val="0"/>
                <w:spacing w:val="0"/>
                <w:w w:val="100"/>
                <w:sz w:val="24"/>
              </w:rPr>
            </w:pPr>
            <w:r>
              <w:rPr>
                <w:rFonts w:hint="eastAsia" w:ascii="仿宋_GB2312" w:hAnsi="仿宋_GB2312" w:eastAsia="仿宋_GB2312" w:cs="仿宋_GB2312"/>
                <w:b w:val="0"/>
                <w:i w:val="0"/>
                <w:caps w:val="0"/>
                <w:spacing w:val="0"/>
                <w:w w:val="100"/>
                <w:sz w:val="24"/>
              </w:rPr>
              <w:t>招标文件的商务条款</w:t>
            </w:r>
          </w:p>
        </w:tc>
        <w:tc>
          <w:tcPr>
            <w:tcW w:w="2520" w:type="dxa"/>
            <w:noWrap w:val="0"/>
            <w:vAlign w:val="center"/>
          </w:tcPr>
          <w:p w14:paraId="78A01A45">
            <w:pPr>
              <w:pStyle w:val="20"/>
              <w:keepNext w:val="0"/>
              <w:keepLines w:val="0"/>
              <w:suppressLineNumbers w:val="0"/>
              <w:snapToGrid w:val="0"/>
              <w:spacing w:before="0" w:beforeAutospacing="0" w:after="0" w:afterAutospacing="0" w:line="240" w:lineRule="atLeast"/>
              <w:ind w:left="0" w:right="0"/>
              <w:jc w:val="center"/>
              <w:textAlignment w:val="baseline"/>
              <w:rPr>
                <w:rFonts w:hint="default" w:ascii="仿宋_GB2312" w:hAnsi="仿宋_GB2312" w:eastAsia="仿宋_GB2312" w:cs="仿宋_GB2312"/>
                <w:b w:val="0"/>
                <w:i w:val="0"/>
                <w:caps w:val="0"/>
                <w:spacing w:val="0"/>
                <w:w w:val="100"/>
                <w:sz w:val="24"/>
              </w:rPr>
            </w:pPr>
            <w:r>
              <w:rPr>
                <w:rFonts w:hint="eastAsia" w:ascii="仿宋_GB2312" w:hAnsi="仿宋_GB2312" w:eastAsia="仿宋_GB2312" w:cs="仿宋_GB2312"/>
                <w:b w:val="0"/>
                <w:i w:val="0"/>
                <w:caps w:val="0"/>
                <w:spacing w:val="0"/>
                <w:w w:val="100"/>
                <w:sz w:val="24"/>
              </w:rPr>
              <w:t>投标文件的商务条款</w:t>
            </w:r>
          </w:p>
        </w:tc>
        <w:tc>
          <w:tcPr>
            <w:tcW w:w="1805" w:type="dxa"/>
            <w:noWrap w:val="0"/>
            <w:vAlign w:val="center"/>
          </w:tcPr>
          <w:p w14:paraId="7D925F9B">
            <w:pPr>
              <w:pStyle w:val="20"/>
              <w:keepNext w:val="0"/>
              <w:keepLines w:val="0"/>
              <w:suppressLineNumbers w:val="0"/>
              <w:snapToGrid w:val="0"/>
              <w:spacing w:before="0" w:beforeAutospacing="0" w:after="0" w:afterAutospacing="0" w:line="240" w:lineRule="atLeast"/>
              <w:ind w:left="0" w:right="0"/>
              <w:jc w:val="center"/>
              <w:textAlignment w:val="baseline"/>
              <w:rPr>
                <w:rFonts w:hint="default" w:ascii="仿宋_GB2312" w:hAnsi="仿宋_GB2312" w:eastAsia="仿宋_GB2312" w:cs="仿宋_GB2312"/>
                <w:b w:val="0"/>
                <w:i w:val="0"/>
                <w:caps w:val="0"/>
                <w:spacing w:val="0"/>
                <w:w w:val="100"/>
                <w:sz w:val="24"/>
              </w:rPr>
            </w:pPr>
            <w:r>
              <w:rPr>
                <w:rFonts w:hint="eastAsia" w:ascii="仿宋_GB2312" w:hAnsi="仿宋_GB2312" w:eastAsia="仿宋_GB2312" w:cs="仿宋_GB2312"/>
                <w:b w:val="0"/>
                <w:i w:val="0"/>
                <w:caps w:val="0"/>
                <w:spacing w:val="0"/>
                <w:w w:val="100"/>
                <w:sz w:val="24"/>
              </w:rPr>
              <w:t>说明</w:t>
            </w:r>
          </w:p>
        </w:tc>
      </w:tr>
      <w:tr w14:paraId="6A5FA4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1491" w:type="dxa"/>
            <w:noWrap w:val="0"/>
            <w:vAlign w:val="top"/>
          </w:tcPr>
          <w:p w14:paraId="0060207F">
            <w:pPr>
              <w:pStyle w:val="20"/>
              <w:keepNext w:val="0"/>
              <w:keepLines w:val="0"/>
              <w:suppressLineNumbers w:val="0"/>
              <w:snapToGrid w:val="0"/>
              <w:spacing w:before="0" w:beforeAutospacing="0" w:after="0" w:afterAutospacing="0" w:line="240" w:lineRule="atLeast"/>
              <w:ind w:left="1080" w:leftChars="257" w:right="0" w:hanging="540"/>
              <w:jc w:val="both"/>
              <w:textAlignment w:val="baseline"/>
              <w:rPr>
                <w:rFonts w:hint="default" w:ascii="仿宋_GB2312" w:hAnsi="仿宋_GB2312" w:eastAsia="仿宋_GB2312" w:cs="仿宋_GB2312"/>
                <w:b w:val="0"/>
                <w:i w:val="0"/>
                <w:caps w:val="0"/>
                <w:spacing w:val="0"/>
                <w:w w:val="100"/>
                <w:sz w:val="24"/>
              </w:rPr>
            </w:pPr>
          </w:p>
        </w:tc>
        <w:tc>
          <w:tcPr>
            <w:tcW w:w="2520" w:type="dxa"/>
            <w:noWrap w:val="0"/>
            <w:vAlign w:val="top"/>
          </w:tcPr>
          <w:p w14:paraId="367835B3">
            <w:pPr>
              <w:pStyle w:val="20"/>
              <w:keepNext w:val="0"/>
              <w:keepLines w:val="0"/>
              <w:suppressLineNumbers w:val="0"/>
              <w:snapToGrid w:val="0"/>
              <w:spacing w:before="0" w:beforeAutospacing="0" w:after="0" w:afterAutospacing="0" w:line="240" w:lineRule="atLeast"/>
              <w:ind w:left="1080" w:leftChars="257" w:right="0" w:hanging="540"/>
              <w:jc w:val="center"/>
              <w:textAlignment w:val="baseline"/>
              <w:rPr>
                <w:rFonts w:hint="default" w:ascii="仿宋_GB2312" w:hAnsi="仿宋_GB2312" w:eastAsia="仿宋_GB2312" w:cs="仿宋_GB2312"/>
                <w:b w:val="0"/>
                <w:i w:val="0"/>
                <w:caps w:val="0"/>
                <w:spacing w:val="0"/>
                <w:w w:val="100"/>
                <w:sz w:val="24"/>
              </w:rPr>
            </w:pPr>
          </w:p>
        </w:tc>
        <w:tc>
          <w:tcPr>
            <w:tcW w:w="2520" w:type="dxa"/>
            <w:noWrap w:val="0"/>
            <w:vAlign w:val="top"/>
          </w:tcPr>
          <w:p w14:paraId="3B5364D2">
            <w:pPr>
              <w:pStyle w:val="20"/>
              <w:keepNext w:val="0"/>
              <w:keepLines w:val="0"/>
              <w:suppressLineNumbers w:val="0"/>
              <w:snapToGrid w:val="0"/>
              <w:spacing w:before="0" w:beforeAutospacing="0" w:after="0" w:afterAutospacing="0" w:line="240" w:lineRule="atLeast"/>
              <w:ind w:left="1080" w:leftChars="257" w:right="0" w:hanging="540"/>
              <w:jc w:val="center"/>
              <w:textAlignment w:val="baseline"/>
              <w:rPr>
                <w:rFonts w:hint="default" w:ascii="仿宋_GB2312" w:hAnsi="仿宋_GB2312" w:eastAsia="仿宋_GB2312" w:cs="仿宋_GB2312"/>
                <w:b w:val="0"/>
                <w:i w:val="0"/>
                <w:caps w:val="0"/>
                <w:spacing w:val="0"/>
                <w:w w:val="100"/>
                <w:sz w:val="24"/>
              </w:rPr>
            </w:pPr>
          </w:p>
        </w:tc>
        <w:tc>
          <w:tcPr>
            <w:tcW w:w="1805" w:type="dxa"/>
            <w:noWrap w:val="0"/>
            <w:vAlign w:val="top"/>
          </w:tcPr>
          <w:p w14:paraId="7339E423">
            <w:pPr>
              <w:pStyle w:val="20"/>
              <w:keepNext w:val="0"/>
              <w:keepLines w:val="0"/>
              <w:suppressLineNumbers w:val="0"/>
              <w:snapToGrid w:val="0"/>
              <w:spacing w:before="0" w:beforeAutospacing="0" w:after="0" w:afterAutospacing="0" w:line="240" w:lineRule="atLeast"/>
              <w:ind w:left="1080" w:leftChars="257" w:right="0" w:hanging="540"/>
              <w:jc w:val="both"/>
              <w:textAlignment w:val="baseline"/>
              <w:rPr>
                <w:rFonts w:hint="default" w:ascii="仿宋_GB2312" w:hAnsi="仿宋_GB2312" w:eastAsia="仿宋_GB2312" w:cs="仿宋_GB2312"/>
                <w:b w:val="0"/>
                <w:i w:val="0"/>
                <w:caps w:val="0"/>
                <w:spacing w:val="0"/>
                <w:w w:val="100"/>
                <w:sz w:val="24"/>
              </w:rPr>
            </w:pPr>
          </w:p>
        </w:tc>
      </w:tr>
      <w:tr w14:paraId="14D80E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1491" w:type="dxa"/>
            <w:noWrap w:val="0"/>
            <w:vAlign w:val="top"/>
          </w:tcPr>
          <w:p w14:paraId="0CCABC7F">
            <w:pPr>
              <w:pStyle w:val="20"/>
              <w:keepNext w:val="0"/>
              <w:keepLines w:val="0"/>
              <w:suppressLineNumbers w:val="0"/>
              <w:snapToGrid w:val="0"/>
              <w:spacing w:before="0" w:beforeAutospacing="0" w:after="0" w:afterAutospacing="0" w:line="240" w:lineRule="atLeast"/>
              <w:ind w:left="1080" w:leftChars="257" w:right="0" w:hanging="540"/>
              <w:jc w:val="both"/>
              <w:textAlignment w:val="baseline"/>
              <w:rPr>
                <w:rFonts w:hint="default" w:ascii="仿宋_GB2312" w:hAnsi="仿宋_GB2312" w:eastAsia="仿宋_GB2312" w:cs="仿宋_GB2312"/>
                <w:b w:val="0"/>
                <w:i w:val="0"/>
                <w:caps w:val="0"/>
                <w:spacing w:val="0"/>
                <w:w w:val="100"/>
                <w:sz w:val="24"/>
              </w:rPr>
            </w:pPr>
          </w:p>
        </w:tc>
        <w:tc>
          <w:tcPr>
            <w:tcW w:w="2520" w:type="dxa"/>
            <w:noWrap w:val="0"/>
            <w:vAlign w:val="top"/>
          </w:tcPr>
          <w:p w14:paraId="648D4F55">
            <w:pPr>
              <w:pStyle w:val="20"/>
              <w:keepNext w:val="0"/>
              <w:keepLines w:val="0"/>
              <w:suppressLineNumbers w:val="0"/>
              <w:snapToGrid w:val="0"/>
              <w:spacing w:before="0" w:beforeAutospacing="0" w:after="0" w:afterAutospacing="0" w:line="240" w:lineRule="atLeast"/>
              <w:ind w:left="1080" w:leftChars="257" w:right="0" w:hanging="540"/>
              <w:jc w:val="both"/>
              <w:textAlignment w:val="baseline"/>
              <w:rPr>
                <w:rFonts w:hint="default" w:ascii="仿宋_GB2312" w:hAnsi="仿宋_GB2312" w:eastAsia="仿宋_GB2312" w:cs="仿宋_GB2312"/>
                <w:b w:val="0"/>
                <w:i w:val="0"/>
                <w:caps w:val="0"/>
                <w:spacing w:val="0"/>
                <w:w w:val="100"/>
                <w:sz w:val="24"/>
              </w:rPr>
            </w:pPr>
          </w:p>
        </w:tc>
        <w:tc>
          <w:tcPr>
            <w:tcW w:w="2520" w:type="dxa"/>
            <w:noWrap w:val="0"/>
            <w:vAlign w:val="top"/>
          </w:tcPr>
          <w:p w14:paraId="3F4C7D28">
            <w:pPr>
              <w:pStyle w:val="20"/>
              <w:keepNext w:val="0"/>
              <w:keepLines w:val="0"/>
              <w:suppressLineNumbers w:val="0"/>
              <w:snapToGrid w:val="0"/>
              <w:spacing w:before="0" w:beforeAutospacing="0" w:after="0" w:afterAutospacing="0" w:line="240" w:lineRule="atLeast"/>
              <w:ind w:left="1080" w:leftChars="257" w:right="0" w:hanging="540"/>
              <w:jc w:val="both"/>
              <w:textAlignment w:val="baseline"/>
              <w:rPr>
                <w:rFonts w:hint="default" w:ascii="仿宋_GB2312" w:hAnsi="仿宋_GB2312" w:eastAsia="仿宋_GB2312" w:cs="仿宋_GB2312"/>
                <w:b w:val="0"/>
                <w:i w:val="0"/>
                <w:caps w:val="0"/>
                <w:spacing w:val="0"/>
                <w:w w:val="100"/>
                <w:sz w:val="24"/>
              </w:rPr>
            </w:pPr>
          </w:p>
        </w:tc>
        <w:tc>
          <w:tcPr>
            <w:tcW w:w="1805" w:type="dxa"/>
            <w:noWrap w:val="0"/>
            <w:vAlign w:val="top"/>
          </w:tcPr>
          <w:p w14:paraId="7BA256BC">
            <w:pPr>
              <w:pStyle w:val="20"/>
              <w:keepNext w:val="0"/>
              <w:keepLines w:val="0"/>
              <w:suppressLineNumbers w:val="0"/>
              <w:snapToGrid w:val="0"/>
              <w:spacing w:before="0" w:beforeAutospacing="0" w:after="0" w:afterAutospacing="0" w:line="240" w:lineRule="atLeast"/>
              <w:ind w:left="1080" w:leftChars="257" w:right="0" w:hanging="540"/>
              <w:jc w:val="both"/>
              <w:textAlignment w:val="baseline"/>
              <w:rPr>
                <w:rFonts w:hint="default" w:ascii="仿宋_GB2312" w:hAnsi="仿宋_GB2312" w:eastAsia="仿宋_GB2312" w:cs="仿宋_GB2312"/>
                <w:b w:val="0"/>
                <w:i w:val="0"/>
                <w:caps w:val="0"/>
                <w:spacing w:val="0"/>
                <w:w w:val="100"/>
                <w:sz w:val="24"/>
              </w:rPr>
            </w:pPr>
          </w:p>
        </w:tc>
      </w:tr>
      <w:tr w14:paraId="0BE74C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1491" w:type="dxa"/>
            <w:noWrap w:val="0"/>
            <w:vAlign w:val="top"/>
          </w:tcPr>
          <w:p w14:paraId="03E1C72E">
            <w:pPr>
              <w:pStyle w:val="20"/>
              <w:keepNext w:val="0"/>
              <w:keepLines w:val="0"/>
              <w:suppressLineNumbers w:val="0"/>
              <w:snapToGrid w:val="0"/>
              <w:spacing w:before="0" w:beforeAutospacing="0" w:after="0" w:afterAutospacing="0" w:line="240" w:lineRule="atLeast"/>
              <w:ind w:left="1080" w:leftChars="257" w:right="0" w:hanging="540"/>
              <w:jc w:val="both"/>
              <w:textAlignment w:val="baseline"/>
              <w:rPr>
                <w:rFonts w:hint="default" w:ascii="仿宋_GB2312" w:hAnsi="仿宋_GB2312" w:eastAsia="仿宋_GB2312" w:cs="仿宋_GB2312"/>
                <w:b w:val="0"/>
                <w:i w:val="0"/>
                <w:caps w:val="0"/>
                <w:spacing w:val="0"/>
                <w:w w:val="100"/>
                <w:sz w:val="24"/>
              </w:rPr>
            </w:pPr>
          </w:p>
        </w:tc>
        <w:tc>
          <w:tcPr>
            <w:tcW w:w="2520" w:type="dxa"/>
            <w:noWrap w:val="0"/>
            <w:vAlign w:val="top"/>
          </w:tcPr>
          <w:p w14:paraId="53EC543A">
            <w:pPr>
              <w:pStyle w:val="20"/>
              <w:keepNext w:val="0"/>
              <w:keepLines w:val="0"/>
              <w:suppressLineNumbers w:val="0"/>
              <w:snapToGrid w:val="0"/>
              <w:spacing w:before="0" w:beforeAutospacing="0" w:after="0" w:afterAutospacing="0" w:line="240" w:lineRule="atLeast"/>
              <w:ind w:left="1080" w:leftChars="257" w:right="0" w:hanging="540"/>
              <w:jc w:val="both"/>
              <w:textAlignment w:val="baseline"/>
              <w:rPr>
                <w:rFonts w:hint="default" w:ascii="仿宋_GB2312" w:hAnsi="仿宋_GB2312" w:eastAsia="仿宋_GB2312" w:cs="仿宋_GB2312"/>
                <w:b w:val="0"/>
                <w:i w:val="0"/>
                <w:caps w:val="0"/>
                <w:spacing w:val="0"/>
                <w:w w:val="100"/>
                <w:sz w:val="24"/>
              </w:rPr>
            </w:pPr>
          </w:p>
        </w:tc>
        <w:tc>
          <w:tcPr>
            <w:tcW w:w="2520" w:type="dxa"/>
            <w:noWrap w:val="0"/>
            <w:vAlign w:val="top"/>
          </w:tcPr>
          <w:p w14:paraId="22A7A171">
            <w:pPr>
              <w:pStyle w:val="20"/>
              <w:keepNext w:val="0"/>
              <w:keepLines w:val="0"/>
              <w:suppressLineNumbers w:val="0"/>
              <w:snapToGrid w:val="0"/>
              <w:spacing w:before="0" w:beforeAutospacing="0" w:after="0" w:afterAutospacing="0" w:line="240" w:lineRule="atLeast"/>
              <w:ind w:left="1080" w:leftChars="257" w:right="0" w:hanging="540"/>
              <w:jc w:val="both"/>
              <w:textAlignment w:val="baseline"/>
              <w:rPr>
                <w:rFonts w:hint="default" w:ascii="仿宋_GB2312" w:hAnsi="仿宋_GB2312" w:eastAsia="仿宋_GB2312" w:cs="仿宋_GB2312"/>
                <w:b w:val="0"/>
                <w:i w:val="0"/>
                <w:caps w:val="0"/>
                <w:spacing w:val="0"/>
                <w:w w:val="100"/>
                <w:sz w:val="24"/>
              </w:rPr>
            </w:pPr>
          </w:p>
        </w:tc>
        <w:tc>
          <w:tcPr>
            <w:tcW w:w="1805" w:type="dxa"/>
            <w:noWrap w:val="0"/>
            <w:vAlign w:val="top"/>
          </w:tcPr>
          <w:p w14:paraId="71ED2BD3">
            <w:pPr>
              <w:pStyle w:val="20"/>
              <w:keepNext w:val="0"/>
              <w:keepLines w:val="0"/>
              <w:suppressLineNumbers w:val="0"/>
              <w:snapToGrid w:val="0"/>
              <w:spacing w:before="0" w:beforeAutospacing="0" w:after="0" w:afterAutospacing="0" w:line="240" w:lineRule="atLeast"/>
              <w:ind w:left="1080" w:leftChars="257" w:right="0" w:hanging="540"/>
              <w:jc w:val="both"/>
              <w:textAlignment w:val="baseline"/>
              <w:rPr>
                <w:rFonts w:hint="default" w:ascii="仿宋_GB2312" w:hAnsi="仿宋_GB2312" w:eastAsia="仿宋_GB2312" w:cs="仿宋_GB2312"/>
                <w:b w:val="0"/>
                <w:i w:val="0"/>
                <w:caps w:val="0"/>
                <w:spacing w:val="0"/>
                <w:w w:val="100"/>
                <w:sz w:val="24"/>
              </w:rPr>
            </w:pPr>
          </w:p>
        </w:tc>
      </w:tr>
      <w:tr w14:paraId="2C18F1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1491" w:type="dxa"/>
            <w:noWrap w:val="0"/>
            <w:vAlign w:val="top"/>
          </w:tcPr>
          <w:p w14:paraId="40AAF0A2">
            <w:pPr>
              <w:pStyle w:val="20"/>
              <w:keepNext w:val="0"/>
              <w:keepLines w:val="0"/>
              <w:suppressLineNumbers w:val="0"/>
              <w:snapToGrid w:val="0"/>
              <w:spacing w:before="0" w:beforeAutospacing="0" w:after="0" w:afterAutospacing="0" w:line="240" w:lineRule="atLeast"/>
              <w:ind w:left="1080" w:leftChars="257" w:right="0" w:hanging="540"/>
              <w:jc w:val="both"/>
              <w:textAlignment w:val="baseline"/>
              <w:rPr>
                <w:rFonts w:hint="default" w:ascii="仿宋_GB2312" w:hAnsi="仿宋_GB2312" w:eastAsia="仿宋_GB2312" w:cs="仿宋_GB2312"/>
                <w:b w:val="0"/>
                <w:i w:val="0"/>
                <w:caps w:val="0"/>
                <w:spacing w:val="0"/>
                <w:w w:val="100"/>
                <w:sz w:val="24"/>
              </w:rPr>
            </w:pPr>
          </w:p>
        </w:tc>
        <w:tc>
          <w:tcPr>
            <w:tcW w:w="2520" w:type="dxa"/>
            <w:noWrap w:val="0"/>
            <w:vAlign w:val="top"/>
          </w:tcPr>
          <w:p w14:paraId="35DA2394">
            <w:pPr>
              <w:pStyle w:val="20"/>
              <w:keepNext w:val="0"/>
              <w:keepLines w:val="0"/>
              <w:suppressLineNumbers w:val="0"/>
              <w:snapToGrid w:val="0"/>
              <w:spacing w:before="0" w:beforeAutospacing="0" w:after="0" w:afterAutospacing="0" w:line="240" w:lineRule="atLeast"/>
              <w:ind w:left="1080" w:leftChars="257" w:right="0" w:hanging="540"/>
              <w:jc w:val="both"/>
              <w:textAlignment w:val="baseline"/>
              <w:rPr>
                <w:rFonts w:hint="default" w:ascii="仿宋_GB2312" w:hAnsi="仿宋_GB2312" w:eastAsia="仿宋_GB2312" w:cs="仿宋_GB2312"/>
                <w:b w:val="0"/>
                <w:i w:val="0"/>
                <w:caps w:val="0"/>
                <w:spacing w:val="0"/>
                <w:w w:val="100"/>
                <w:sz w:val="24"/>
              </w:rPr>
            </w:pPr>
          </w:p>
        </w:tc>
        <w:tc>
          <w:tcPr>
            <w:tcW w:w="2520" w:type="dxa"/>
            <w:noWrap w:val="0"/>
            <w:vAlign w:val="top"/>
          </w:tcPr>
          <w:p w14:paraId="43022DD6">
            <w:pPr>
              <w:pStyle w:val="20"/>
              <w:keepNext w:val="0"/>
              <w:keepLines w:val="0"/>
              <w:suppressLineNumbers w:val="0"/>
              <w:snapToGrid w:val="0"/>
              <w:spacing w:before="0" w:beforeAutospacing="0" w:after="0" w:afterAutospacing="0" w:line="240" w:lineRule="atLeast"/>
              <w:ind w:left="1080" w:leftChars="257" w:right="0" w:hanging="540"/>
              <w:jc w:val="both"/>
              <w:textAlignment w:val="baseline"/>
              <w:rPr>
                <w:rFonts w:hint="default" w:ascii="仿宋_GB2312" w:hAnsi="仿宋_GB2312" w:eastAsia="仿宋_GB2312" w:cs="仿宋_GB2312"/>
                <w:b w:val="0"/>
                <w:i w:val="0"/>
                <w:caps w:val="0"/>
                <w:spacing w:val="0"/>
                <w:w w:val="100"/>
                <w:sz w:val="24"/>
              </w:rPr>
            </w:pPr>
          </w:p>
        </w:tc>
        <w:tc>
          <w:tcPr>
            <w:tcW w:w="1805" w:type="dxa"/>
            <w:noWrap w:val="0"/>
            <w:vAlign w:val="top"/>
          </w:tcPr>
          <w:p w14:paraId="4A63190E">
            <w:pPr>
              <w:pStyle w:val="20"/>
              <w:keepNext w:val="0"/>
              <w:keepLines w:val="0"/>
              <w:suppressLineNumbers w:val="0"/>
              <w:snapToGrid w:val="0"/>
              <w:spacing w:before="0" w:beforeAutospacing="0" w:after="0" w:afterAutospacing="0" w:line="240" w:lineRule="atLeast"/>
              <w:ind w:left="1080" w:leftChars="257" w:right="0" w:hanging="540"/>
              <w:jc w:val="both"/>
              <w:textAlignment w:val="baseline"/>
              <w:rPr>
                <w:rFonts w:hint="default" w:ascii="仿宋_GB2312" w:hAnsi="仿宋_GB2312" w:eastAsia="仿宋_GB2312" w:cs="仿宋_GB2312"/>
                <w:b w:val="0"/>
                <w:i w:val="0"/>
                <w:caps w:val="0"/>
                <w:spacing w:val="0"/>
                <w:w w:val="100"/>
                <w:sz w:val="24"/>
              </w:rPr>
            </w:pPr>
          </w:p>
        </w:tc>
      </w:tr>
      <w:tr w14:paraId="0358E9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1491" w:type="dxa"/>
            <w:noWrap w:val="0"/>
            <w:vAlign w:val="top"/>
          </w:tcPr>
          <w:p w14:paraId="67E292A6">
            <w:pPr>
              <w:pStyle w:val="20"/>
              <w:keepNext w:val="0"/>
              <w:keepLines w:val="0"/>
              <w:suppressLineNumbers w:val="0"/>
              <w:snapToGrid w:val="0"/>
              <w:spacing w:before="0" w:beforeAutospacing="0" w:after="0" w:afterAutospacing="0" w:line="240" w:lineRule="atLeast"/>
              <w:ind w:left="1080" w:leftChars="257" w:right="0" w:hanging="540"/>
              <w:jc w:val="both"/>
              <w:textAlignment w:val="baseline"/>
              <w:rPr>
                <w:rFonts w:hint="default" w:ascii="仿宋_GB2312" w:hAnsi="仿宋_GB2312" w:eastAsia="仿宋_GB2312" w:cs="仿宋_GB2312"/>
                <w:b w:val="0"/>
                <w:i w:val="0"/>
                <w:caps w:val="0"/>
                <w:spacing w:val="0"/>
                <w:w w:val="100"/>
                <w:sz w:val="24"/>
              </w:rPr>
            </w:pPr>
          </w:p>
        </w:tc>
        <w:tc>
          <w:tcPr>
            <w:tcW w:w="2520" w:type="dxa"/>
            <w:noWrap w:val="0"/>
            <w:vAlign w:val="top"/>
          </w:tcPr>
          <w:p w14:paraId="2176401F">
            <w:pPr>
              <w:pStyle w:val="20"/>
              <w:keepNext w:val="0"/>
              <w:keepLines w:val="0"/>
              <w:suppressLineNumbers w:val="0"/>
              <w:snapToGrid w:val="0"/>
              <w:spacing w:before="0" w:beforeAutospacing="0" w:after="0" w:afterAutospacing="0" w:line="240" w:lineRule="atLeast"/>
              <w:ind w:left="1080" w:leftChars="257" w:right="0" w:hanging="540"/>
              <w:jc w:val="both"/>
              <w:textAlignment w:val="baseline"/>
              <w:rPr>
                <w:rFonts w:hint="default" w:ascii="仿宋_GB2312" w:hAnsi="仿宋_GB2312" w:eastAsia="仿宋_GB2312" w:cs="仿宋_GB2312"/>
                <w:b w:val="0"/>
                <w:i w:val="0"/>
                <w:caps w:val="0"/>
                <w:spacing w:val="0"/>
                <w:w w:val="100"/>
                <w:sz w:val="24"/>
              </w:rPr>
            </w:pPr>
          </w:p>
        </w:tc>
        <w:tc>
          <w:tcPr>
            <w:tcW w:w="2520" w:type="dxa"/>
            <w:noWrap w:val="0"/>
            <w:vAlign w:val="top"/>
          </w:tcPr>
          <w:p w14:paraId="616E2596">
            <w:pPr>
              <w:pStyle w:val="20"/>
              <w:keepNext w:val="0"/>
              <w:keepLines w:val="0"/>
              <w:suppressLineNumbers w:val="0"/>
              <w:snapToGrid w:val="0"/>
              <w:spacing w:before="0" w:beforeAutospacing="0" w:after="0" w:afterAutospacing="0" w:line="240" w:lineRule="atLeast"/>
              <w:ind w:left="1080" w:leftChars="257" w:right="0" w:hanging="540"/>
              <w:jc w:val="both"/>
              <w:textAlignment w:val="baseline"/>
              <w:rPr>
                <w:rFonts w:hint="default" w:ascii="仿宋_GB2312" w:hAnsi="仿宋_GB2312" w:eastAsia="仿宋_GB2312" w:cs="仿宋_GB2312"/>
                <w:b w:val="0"/>
                <w:i w:val="0"/>
                <w:caps w:val="0"/>
                <w:spacing w:val="0"/>
                <w:w w:val="100"/>
                <w:sz w:val="24"/>
              </w:rPr>
            </w:pPr>
          </w:p>
        </w:tc>
        <w:tc>
          <w:tcPr>
            <w:tcW w:w="1805" w:type="dxa"/>
            <w:noWrap w:val="0"/>
            <w:vAlign w:val="top"/>
          </w:tcPr>
          <w:p w14:paraId="5D7C1D93">
            <w:pPr>
              <w:pStyle w:val="20"/>
              <w:keepNext w:val="0"/>
              <w:keepLines w:val="0"/>
              <w:suppressLineNumbers w:val="0"/>
              <w:snapToGrid w:val="0"/>
              <w:spacing w:before="0" w:beforeAutospacing="0" w:after="0" w:afterAutospacing="0" w:line="240" w:lineRule="atLeast"/>
              <w:ind w:left="1080" w:leftChars="257" w:right="0" w:hanging="540"/>
              <w:jc w:val="both"/>
              <w:textAlignment w:val="baseline"/>
              <w:rPr>
                <w:rFonts w:hint="default" w:ascii="仿宋_GB2312" w:hAnsi="仿宋_GB2312" w:eastAsia="仿宋_GB2312" w:cs="仿宋_GB2312"/>
                <w:b w:val="0"/>
                <w:i w:val="0"/>
                <w:caps w:val="0"/>
                <w:spacing w:val="0"/>
                <w:w w:val="100"/>
                <w:sz w:val="24"/>
              </w:rPr>
            </w:pPr>
          </w:p>
        </w:tc>
      </w:tr>
      <w:tr w14:paraId="29961B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1491" w:type="dxa"/>
            <w:noWrap w:val="0"/>
            <w:vAlign w:val="top"/>
          </w:tcPr>
          <w:p w14:paraId="40477D32">
            <w:pPr>
              <w:pStyle w:val="20"/>
              <w:keepNext w:val="0"/>
              <w:keepLines w:val="0"/>
              <w:suppressLineNumbers w:val="0"/>
              <w:snapToGrid w:val="0"/>
              <w:spacing w:before="0" w:beforeAutospacing="0" w:after="0" w:afterAutospacing="0" w:line="240" w:lineRule="atLeast"/>
              <w:ind w:left="1080" w:leftChars="257" w:right="0" w:hanging="540"/>
              <w:jc w:val="both"/>
              <w:textAlignment w:val="baseline"/>
              <w:rPr>
                <w:rFonts w:hint="default" w:ascii="仿宋_GB2312" w:hAnsi="仿宋_GB2312" w:eastAsia="仿宋_GB2312" w:cs="仿宋_GB2312"/>
                <w:b w:val="0"/>
                <w:i w:val="0"/>
                <w:caps w:val="0"/>
                <w:spacing w:val="0"/>
                <w:w w:val="100"/>
                <w:sz w:val="24"/>
              </w:rPr>
            </w:pPr>
          </w:p>
        </w:tc>
        <w:tc>
          <w:tcPr>
            <w:tcW w:w="2520" w:type="dxa"/>
            <w:noWrap w:val="0"/>
            <w:vAlign w:val="top"/>
          </w:tcPr>
          <w:p w14:paraId="0CAE85DF">
            <w:pPr>
              <w:pStyle w:val="20"/>
              <w:keepNext w:val="0"/>
              <w:keepLines w:val="0"/>
              <w:suppressLineNumbers w:val="0"/>
              <w:snapToGrid w:val="0"/>
              <w:spacing w:before="0" w:beforeAutospacing="0" w:after="0" w:afterAutospacing="0" w:line="240" w:lineRule="atLeast"/>
              <w:ind w:left="1080" w:leftChars="257" w:right="0" w:hanging="540"/>
              <w:jc w:val="both"/>
              <w:textAlignment w:val="baseline"/>
              <w:rPr>
                <w:rFonts w:hint="default" w:ascii="仿宋_GB2312" w:hAnsi="仿宋_GB2312" w:eastAsia="仿宋_GB2312" w:cs="仿宋_GB2312"/>
                <w:b w:val="0"/>
                <w:i w:val="0"/>
                <w:caps w:val="0"/>
                <w:spacing w:val="0"/>
                <w:w w:val="100"/>
                <w:sz w:val="24"/>
              </w:rPr>
            </w:pPr>
          </w:p>
        </w:tc>
        <w:tc>
          <w:tcPr>
            <w:tcW w:w="2520" w:type="dxa"/>
            <w:noWrap w:val="0"/>
            <w:vAlign w:val="top"/>
          </w:tcPr>
          <w:p w14:paraId="450D1886">
            <w:pPr>
              <w:pStyle w:val="20"/>
              <w:keepNext w:val="0"/>
              <w:keepLines w:val="0"/>
              <w:suppressLineNumbers w:val="0"/>
              <w:snapToGrid w:val="0"/>
              <w:spacing w:before="0" w:beforeAutospacing="0" w:after="0" w:afterAutospacing="0" w:line="240" w:lineRule="atLeast"/>
              <w:ind w:left="1080" w:leftChars="257" w:right="0" w:hanging="540"/>
              <w:jc w:val="both"/>
              <w:textAlignment w:val="baseline"/>
              <w:rPr>
                <w:rFonts w:hint="default" w:ascii="仿宋_GB2312" w:hAnsi="仿宋_GB2312" w:eastAsia="仿宋_GB2312" w:cs="仿宋_GB2312"/>
                <w:b w:val="0"/>
                <w:i w:val="0"/>
                <w:caps w:val="0"/>
                <w:spacing w:val="0"/>
                <w:w w:val="100"/>
                <w:sz w:val="24"/>
              </w:rPr>
            </w:pPr>
          </w:p>
        </w:tc>
        <w:tc>
          <w:tcPr>
            <w:tcW w:w="1805" w:type="dxa"/>
            <w:noWrap w:val="0"/>
            <w:vAlign w:val="top"/>
          </w:tcPr>
          <w:p w14:paraId="0117427A">
            <w:pPr>
              <w:pStyle w:val="20"/>
              <w:keepNext w:val="0"/>
              <w:keepLines w:val="0"/>
              <w:suppressLineNumbers w:val="0"/>
              <w:snapToGrid w:val="0"/>
              <w:spacing w:before="0" w:beforeAutospacing="0" w:after="0" w:afterAutospacing="0" w:line="240" w:lineRule="atLeast"/>
              <w:ind w:left="1080" w:leftChars="257" w:right="0" w:hanging="540"/>
              <w:jc w:val="both"/>
              <w:textAlignment w:val="baseline"/>
              <w:rPr>
                <w:rFonts w:hint="default" w:ascii="仿宋_GB2312" w:hAnsi="仿宋_GB2312" w:eastAsia="仿宋_GB2312" w:cs="仿宋_GB2312"/>
                <w:b w:val="0"/>
                <w:i w:val="0"/>
                <w:caps w:val="0"/>
                <w:spacing w:val="0"/>
                <w:w w:val="100"/>
                <w:sz w:val="24"/>
              </w:rPr>
            </w:pPr>
          </w:p>
        </w:tc>
      </w:tr>
      <w:tr w14:paraId="6EB7A5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1491" w:type="dxa"/>
            <w:noWrap w:val="0"/>
            <w:vAlign w:val="top"/>
          </w:tcPr>
          <w:p w14:paraId="3A79D401">
            <w:pPr>
              <w:pStyle w:val="20"/>
              <w:keepNext w:val="0"/>
              <w:keepLines w:val="0"/>
              <w:suppressLineNumbers w:val="0"/>
              <w:snapToGrid w:val="0"/>
              <w:spacing w:before="0" w:beforeAutospacing="0" w:after="0" w:afterAutospacing="0" w:line="240" w:lineRule="atLeast"/>
              <w:ind w:left="1080" w:leftChars="257" w:right="0" w:hanging="540"/>
              <w:jc w:val="both"/>
              <w:textAlignment w:val="baseline"/>
              <w:rPr>
                <w:rFonts w:hint="default" w:ascii="仿宋_GB2312" w:hAnsi="仿宋_GB2312" w:eastAsia="仿宋_GB2312" w:cs="仿宋_GB2312"/>
                <w:b w:val="0"/>
                <w:i w:val="0"/>
                <w:caps w:val="0"/>
                <w:spacing w:val="0"/>
                <w:w w:val="100"/>
                <w:sz w:val="24"/>
              </w:rPr>
            </w:pPr>
          </w:p>
        </w:tc>
        <w:tc>
          <w:tcPr>
            <w:tcW w:w="2520" w:type="dxa"/>
            <w:noWrap w:val="0"/>
            <w:vAlign w:val="top"/>
          </w:tcPr>
          <w:p w14:paraId="2C9BE7CF">
            <w:pPr>
              <w:pStyle w:val="20"/>
              <w:keepNext w:val="0"/>
              <w:keepLines w:val="0"/>
              <w:suppressLineNumbers w:val="0"/>
              <w:snapToGrid w:val="0"/>
              <w:spacing w:before="0" w:beforeAutospacing="0" w:after="0" w:afterAutospacing="0" w:line="240" w:lineRule="atLeast"/>
              <w:ind w:left="1080" w:leftChars="257" w:right="0" w:hanging="540"/>
              <w:jc w:val="both"/>
              <w:textAlignment w:val="baseline"/>
              <w:rPr>
                <w:rFonts w:hint="default" w:ascii="仿宋_GB2312" w:hAnsi="仿宋_GB2312" w:eastAsia="仿宋_GB2312" w:cs="仿宋_GB2312"/>
                <w:b w:val="0"/>
                <w:i w:val="0"/>
                <w:caps w:val="0"/>
                <w:spacing w:val="0"/>
                <w:w w:val="100"/>
                <w:sz w:val="24"/>
              </w:rPr>
            </w:pPr>
          </w:p>
        </w:tc>
        <w:tc>
          <w:tcPr>
            <w:tcW w:w="2520" w:type="dxa"/>
            <w:noWrap w:val="0"/>
            <w:vAlign w:val="top"/>
          </w:tcPr>
          <w:p w14:paraId="11438D3B">
            <w:pPr>
              <w:pStyle w:val="20"/>
              <w:keepNext w:val="0"/>
              <w:keepLines w:val="0"/>
              <w:suppressLineNumbers w:val="0"/>
              <w:snapToGrid w:val="0"/>
              <w:spacing w:before="0" w:beforeAutospacing="0" w:after="0" w:afterAutospacing="0" w:line="240" w:lineRule="atLeast"/>
              <w:ind w:left="1080" w:leftChars="257" w:right="0" w:hanging="540"/>
              <w:jc w:val="both"/>
              <w:textAlignment w:val="baseline"/>
              <w:rPr>
                <w:rFonts w:hint="default" w:ascii="仿宋_GB2312" w:hAnsi="仿宋_GB2312" w:eastAsia="仿宋_GB2312" w:cs="仿宋_GB2312"/>
                <w:b w:val="0"/>
                <w:i w:val="0"/>
                <w:caps w:val="0"/>
                <w:spacing w:val="0"/>
                <w:w w:val="100"/>
                <w:sz w:val="24"/>
              </w:rPr>
            </w:pPr>
          </w:p>
        </w:tc>
        <w:tc>
          <w:tcPr>
            <w:tcW w:w="1805" w:type="dxa"/>
            <w:noWrap w:val="0"/>
            <w:vAlign w:val="top"/>
          </w:tcPr>
          <w:p w14:paraId="01EB863F">
            <w:pPr>
              <w:pStyle w:val="20"/>
              <w:keepNext w:val="0"/>
              <w:keepLines w:val="0"/>
              <w:suppressLineNumbers w:val="0"/>
              <w:snapToGrid w:val="0"/>
              <w:spacing w:before="0" w:beforeAutospacing="0" w:after="0" w:afterAutospacing="0" w:line="240" w:lineRule="atLeast"/>
              <w:ind w:left="1080" w:leftChars="257" w:right="0" w:hanging="540"/>
              <w:jc w:val="both"/>
              <w:textAlignment w:val="baseline"/>
              <w:rPr>
                <w:rFonts w:hint="default" w:ascii="仿宋_GB2312" w:hAnsi="仿宋_GB2312" w:eastAsia="仿宋_GB2312" w:cs="仿宋_GB2312"/>
                <w:b w:val="0"/>
                <w:i w:val="0"/>
                <w:caps w:val="0"/>
                <w:spacing w:val="0"/>
                <w:w w:val="100"/>
                <w:sz w:val="24"/>
              </w:rPr>
            </w:pPr>
          </w:p>
        </w:tc>
      </w:tr>
      <w:tr w14:paraId="0414CD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1491" w:type="dxa"/>
            <w:noWrap w:val="0"/>
            <w:vAlign w:val="top"/>
          </w:tcPr>
          <w:p w14:paraId="7D03D984">
            <w:pPr>
              <w:pStyle w:val="20"/>
              <w:keepNext w:val="0"/>
              <w:keepLines w:val="0"/>
              <w:suppressLineNumbers w:val="0"/>
              <w:snapToGrid w:val="0"/>
              <w:spacing w:before="0" w:beforeAutospacing="0" w:after="0" w:afterAutospacing="0" w:line="240" w:lineRule="atLeast"/>
              <w:ind w:left="1080" w:leftChars="257" w:right="0" w:hanging="540"/>
              <w:jc w:val="both"/>
              <w:textAlignment w:val="baseline"/>
              <w:rPr>
                <w:rFonts w:hint="default" w:ascii="仿宋_GB2312" w:hAnsi="仿宋_GB2312" w:eastAsia="仿宋_GB2312" w:cs="仿宋_GB2312"/>
                <w:b w:val="0"/>
                <w:i w:val="0"/>
                <w:caps w:val="0"/>
                <w:spacing w:val="0"/>
                <w:w w:val="100"/>
                <w:sz w:val="24"/>
              </w:rPr>
            </w:pPr>
          </w:p>
        </w:tc>
        <w:tc>
          <w:tcPr>
            <w:tcW w:w="2520" w:type="dxa"/>
            <w:noWrap w:val="0"/>
            <w:vAlign w:val="top"/>
          </w:tcPr>
          <w:p w14:paraId="16B0DD93">
            <w:pPr>
              <w:pStyle w:val="20"/>
              <w:keepNext w:val="0"/>
              <w:keepLines w:val="0"/>
              <w:suppressLineNumbers w:val="0"/>
              <w:snapToGrid w:val="0"/>
              <w:spacing w:before="0" w:beforeAutospacing="0" w:after="0" w:afterAutospacing="0" w:line="240" w:lineRule="atLeast"/>
              <w:ind w:left="1080" w:leftChars="257" w:right="0" w:hanging="540"/>
              <w:jc w:val="both"/>
              <w:textAlignment w:val="baseline"/>
              <w:rPr>
                <w:rFonts w:hint="default" w:ascii="仿宋_GB2312" w:hAnsi="仿宋_GB2312" w:eastAsia="仿宋_GB2312" w:cs="仿宋_GB2312"/>
                <w:b w:val="0"/>
                <w:i w:val="0"/>
                <w:caps w:val="0"/>
                <w:spacing w:val="0"/>
                <w:w w:val="100"/>
                <w:sz w:val="24"/>
              </w:rPr>
            </w:pPr>
          </w:p>
        </w:tc>
        <w:tc>
          <w:tcPr>
            <w:tcW w:w="2520" w:type="dxa"/>
            <w:noWrap w:val="0"/>
            <w:vAlign w:val="top"/>
          </w:tcPr>
          <w:p w14:paraId="59053ED9">
            <w:pPr>
              <w:pStyle w:val="20"/>
              <w:keepNext w:val="0"/>
              <w:keepLines w:val="0"/>
              <w:suppressLineNumbers w:val="0"/>
              <w:snapToGrid w:val="0"/>
              <w:spacing w:before="0" w:beforeAutospacing="0" w:after="0" w:afterAutospacing="0" w:line="240" w:lineRule="atLeast"/>
              <w:ind w:left="1080" w:leftChars="257" w:right="0" w:hanging="540"/>
              <w:jc w:val="both"/>
              <w:textAlignment w:val="baseline"/>
              <w:rPr>
                <w:rFonts w:hint="default" w:ascii="仿宋_GB2312" w:hAnsi="仿宋_GB2312" w:eastAsia="仿宋_GB2312" w:cs="仿宋_GB2312"/>
                <w:b w:val="0"/>
                <w:i w:val="0"/>
                <w:caps w:val="0"/>
                <w:spacing w:val="0"/>
                <w:w w:val="100"/>
                <w:sz w:val="24"/>
              </w:rPr>
            </w:pPr>
          </w:p>
        </w:tc>
        <w:tc>
          <w:tcPr>
            <w:tcW w:w="1805" w:type="dxa"/>
            <w:noWrap w:val="0"/>
            <w:vAlign w:val="top"/>
          </w:tcPr>
          <w:p w14:paraId="33FCA0D9">
            <w:pPr>
              <w:pStyle w:val="20"/>
              <w:keepNext w:val="0"/>
              <w:keepLines w:val="0"/>
              <w:suppressLineNumbers w:val="0"/>
              <w:snapToGrid w:val="0"/>
              <w:spacing w:before="0" w:beforeAutospacing="0" w:after="0" w:afterAutospacing="0" w:line="240" w:lineRule="atLeast"/>
              <w:ind w:left="1080" w:leftChars="257" w:right="0" w:hanging="540"/>
              <w:jc w:val="both"/>
              <w:textAlignment w:val="baseline"/>
              <w:rPr>
                <w:rFonts w:hint="default" w:ascii="仿宋_GB2312" w:hAnsi="仿宋_GB2312" w:eastAsia="仿宋_GB2312" w:cs="仿宋_GB2312"/>
                <w:b w:val="0"/>
                <w:i w:val="0"/>
                <w:caps w:val="0"/>
                <w:spacing w:val="0"/>
                <w:w w:val="100"/>
                <w:sz w:val="24"/>
              </w:rPr>
            </w:pPr>
          </w:p>
        </w:tc>
      </w:tr>
      <w:tr w14:paraId="564C4F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1491" w:type="dxa"/>
            <w:noWrap w:val="0"/>
            <w:vAlign w:val="top"/>
          </w:tcPr>
          <w:p w14:paraId="139904B7">
            <w:pPr>
              <w:pStyle w:val="20"/>
              <w:keepNext w:val="0"/>
              <w:keepLines w:val="0"/>
              <w:suppressLineNumbers w:val="0"/>
              <w:snapToGrid w:val="0"/>
              <w:spacing w:before="0" w:beforeAutospacing="0" w:after="0" w:afterAutospacing="0" w:line="240" w:lineRule="atLeast"/>
              <w:ind w:left="1080" w:leftChars="257" w:right="0" w:hanging="540"/>
              <w:jc w:val="both"/>
              <w:textAlignment w:val="baseline"/>
              <w:rPr>
                <w:rFonts w:hint="default" w:ascii="仿宋_GB2312" w:hAnsi="仿宋_GB2312" w:eastAsia="仿宋_GB2312" w:cs="仿宋_GB2312"/>
                <w:b w:val="0"/>
                <w:i w:val="0"/>
                <w:caps w:val="0"/>
                <w:spacing w:val="0"/>
                <w:w w:val="100"/>
                <w:sz w:val="24"/>
              </w:rPr>
            </w:pPr>
          </w:p>
        </w:tc>
        <w:tc>
          <w:tcPr>
            <w:tcW w:w="2520" w:type="dxa"/>
            <w:noWrap w:val="0"/>
            <w:vAlign w:val="top"/>
          </w:tcPr>
          <w:p w14:paraId="22FE87EF">
            <w:pPr>
              <w:pStyle w:val="20"/>
              <w:keepNext w:val="0"/>
              <w:keepLines w:val="0"/>
              <w:suppressLineNumbers w:val="0"/>
              <w:snapToGrid w:val="0"/>
              <w:spacing w:before="0" w:beforeAutospacing="0" w:after="0" w:afterAutospacing="0" w:line="240" w:lineRule="atLeast"/>
              <w:ind w:left="1080" w:leftChars="257" w:right="0" w:hanging="540"/>
              <w:jc w:val="both"/>
              <w:textAlignment w:val="baseline"/>
              <w:rPr>
                <w:rFonts w:hint="default" w:ascii="仿宋_GB2312" w:hAnsi="仿宋_GB2312" w:eastAsia="仿宋_GB2312" w:cs="仿宋_GB2312"/>
                <w:b w:val="0"/>
                <w:i w:val="0"/>
                <w:caps w:val="0"/>
                <w:spacing w:val="0"/>
                <w:w w:val="100"/>
                <w:sz w:val="24"/>
              </w:rPr>
            </w:pPr>
          </w:p>
        </w:tc>
        <w:tc>
          <w:tcPr>
            <w:tcW w:w="2520" w:type="dxa"/>
            <w:noWrap w:val="0"/>
            <w:vAlign w:val="top"/>
          </w:tcPr>
          <w:p w14:paraId="36EC5B04">
            <w:pPr>
              <w:pStyle w:val="20"/>
              <w:keepNext w:val="0"/>
              <w:keepLines w:val="0"/>
              <w:suppressLineNumbers w:val="0"/>
              <w:snapToGrid w:val="0"/>
              <w:spacing w:before="0" w:beforeAutospacing="0" w:after="0" w:afterAutospacing="0" w:line="240" w:lineRule="atLeast"/>
              <w:ind w:left="1080" w:leftChars="257" w:right="0" w:hanging="540"/>
              <w:jc w:val="both"/>
              <w:textAlignment w:val="baseline"/>
              <w:rPr>
                <w:rFonts w:hint="default" w:ascii="仿宋_GB2312" w:hAnsi="仿宋_GB2312" w:eastAsia="仿宋_GB2312" w:cs="仿宋_GB2312"/>
                <w:b w:val="0"/>
                <w:i w:val="0"/>
                <w:caps w:val="0"/>
                <w:spacing w:val="0"/>
                <w:w w:val="100"/>
                <w:sz w:val="24"/>
              </w:rPr>
            </w:pPr>
          </w:p>
        </w:tc>
        <w:tc>
          <w:tcPr>
            <w:tcW w:w="1805" w:type="dxa"/>
            <w:noWrap w:val="0"/>
            <w:vAlign w:val="top"/>
          </w:tcPr>
          <w:p w14:paraId="6AEFB834">
            <w:pPr>
              <w:pStyle w:val="20"/>
              <w:keepNext w:val="0"/>
              <w:keepLines w:val="0"/>
              <w:suppressLineNumbers w:val="0"/>
              <w:snapToGrid w:val="0"/>
              <w:spacing w:before="0" w:beforeAutospacing="0" w:after="0" w:afterAutospacing="0" w:line="240" w:lineRule="atLeast"/>
              <w:ind w:left="1080" w:leftChars="257" w:right="0" w:hanging="540"/>
              <w:jc w:val="both"/>
              <w:textAlignment w:val="baseline"/>
              <w:rPr>
                <w:rFonts w:hint="default" w:ascii="仿宋_GB2312" w:hAnsi="仿宋_GB2312" w:eastAsia="仿宋_GB2312" w:cs="仿宋_GB2312"/>
                <w:b w:val="0"/>
                <w:i w:val="0"/>
                <w:caps w:val="0"/>
                <w:spacing w:val="0"/>
                <w:w w:val="100"/>
                <w:sz w:val="24"/>
              </w:rPr>
            </w:pPr>
          </w:p>
        </w:tc>
      </w:tr>
      <w:tr w14:paraId="2B84C5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1491" w:type="dxa"/>
            <w:noWrap w:val="0"/>
            <w:vAlign w:val="top"/>
          </w:tcPr>
          <w:p w14:paraId="0CAEFA44">
            <w:pPr>
              <w:pStyle w:val="20"/>
              <w:keepNext w:val="0"/>
              <w:keepLines w:val="0"/>
              <w:suppressLineNumbers w:val="0"/>
              <w:snapToGrid w:val="0"/>
              <w:spacing w:before="0" w:beforeAutospacing="0" w:after="0" w:afterAutospacing="0" w:line="240" w:lineRule="atLeast"/>
              <w:ind w:left="1080" w:leftChars="257" w:right="0" w:hanging="540"/>
              <w:jc w:val="both"/>
              <w:textAlignment w:val="baseline"/>
              <w:rPr>
                <w:rFonts w:hint="default" w:ascii="仿宋_GB2312" w:hAnsi="仿宋_GB2312" w:eastAsia="仿宋_GB2312" w:cs="仿宋_GB2312"/>
                <w:b w:val="0"/>
                <w:i w:val="0"/>
                <w:caps w:val="0"/>
                <w:spacing w:val="0"/>
                <w:w w:val="100"/>
                <w:sz w:val="24"/>
              </w:rPr>
            </w:pPr>
          </w:p>
        </w:tc>
        <w:tc>
          <w:tcPr>
            <w:tcW w:w="2520" w:type="dxa"/>
            <w:noWrap w:val="0"/>
            <w:vAlign w:val="top"/>
          </w:tcPr>
          <w:p w14:paraId="71E2B4F3">
            <w:pPr>
              <w:pStyle w:val="20"/>
              <w:keepNext w:val="0"/>
              <w:keepLines w:val="0"/>
              <w:suppressLineNumbers w:val="0"/>
              <w:snapToGrid w:val="0"/>
              <w:spacing w:before="0" w:beforeAutospacing="0" w:after="0" w:afterAutospacing="0" w:line="240" w:lineRule="atLeast"/>
              <w:ind w:left="1080" w:leftChars="257" w:right="0" w:hanging="540"/>
              <w:jc w:val="both"/>
              <w:textAlignment w:val="baseline"/>
              <w:rPr>
                <w:rFonts w:hint="default" w:ascii="仿宋_GB2312" w:hAnsi="仿宋_GB2312" w:eastAsia="仿宋_GB2312" w:cs="仿宋_GB2312"/>
                <w:b w:val="0"/>
                <w:i w:val="0"/>
                <w:caps w:val="0"/>
                <w:spacing w:val="0"/>
                <w:w w:val="100"/>
                <w:sz w:val="24"/>
              </w:rPr>
            </w:pPr>
          </w:p>
        </w:tc>
        <w:tc>
          <w:tcPr>
            <w:tcW w:w="2520" w:type="dxa"/>
            <w:noWrap w:val="0"/>
            <w:vAlign w:val="top"/>
          </w:tcPr>
          <w:p w14:paraId="1120A155">
            <w:pPr>
              <w:pStyle w:val="20"/>
              <w:keepNext w:val="0"/>
              <w:keepLines w:val="0"/>
              <w:suppressLineNumbers w:val="0"/>
              <w:snapToGrid w:val="0"/>
              <w:spacing w:before="0" w:beforeAutospacing="0" w:after="0" w:afterAutospacing="0" w:line="240" w:lineRule="atLeast"/>
              <w:ind w:left="1080" w:leftChars="257" w:right="0" w:hanging="540"/>
              <w:jc w:val="both"/>
              <w:textAlignment w:val="baseline"/>
              <w:rPr>
                <w:rFonts w:hint="default" w:ascii="仿宋_GB2312" w:hAnsi="仿宋_GB2312" w:eastAsia="仿宋_GB2312" w:cs="仿宋_GB2312"/>
                <w:b w:val="0"/>
                <w:i w:val="0"/>
                <w:caps w:val="0"/>
                <w:spacing w:val="0"/>
                <w:w w:val="100"/>
                <w:sz w:val="24"/>
              </w:rPr>
            </w:pPr>
          </w:p>
        </w:tc>
        <w:tc>
          <w:tcPr>
            <w:tcW w:w="1805" w:type="dxa"/>
            <w:noWrap w:val="0"/>
            <w:vAlign w:val="top"/>
          </w:tcPr>
          <w:p w14:paraId="0D6DE52C">
            <w:pPr>
              <w:pStyle w:val="20"/>
              <w:keepNext w:val="0"/>
              <w:keepLines w:val="0"/>
              <w:suppressLineNumbers w:val="0"/>
              <w:snapToGrid w:val="0"/>
              <w:spacing w:before="0" w:beforeAutospacing="0" w:after="0" w:afterAutospacing="0" w:line="240" w:lineRule="atLeast"/>
              <w:ind w:left="1080" w:leftChars="257" w:right="0" w:hanging="540"/>
              <w:jc w:val="both"/>
              <w:textAlignment w:val="baseline"/>
              <w:rPr>
                <w:rFonts w:hint="default" w:ascii="仿宋_GB2312" w:hAnsi="仿宋_GB2312" w:eastAsia="仿宋_GB2312" w:cs="仿宋_GB2312"/>
                <w:b w:val="0"/>
                <w:i w:val="0"/>
                <w:caps w:val="0"/>
                <w:spacing w:val="0"/>
                <w:w w:val="100"/>
                <w:sz w:val="24"/>
              </w:rPr>
            </w:pPr>
          </w:p>
        </w:tc>
      </w:tr>
      <w:tr w14:paraId="77558A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1491" w:type="dxa"/>
            <w:noWrap w:val="0"/>
            <w:vAlign w:val="top"/>
          </w:tcPr>
          <w:p w14:paraId="31CFA868">
            <w:pPr>
              <w:pStyle w:val="20"/>
              <w:keepNext w:val="0"/>
              <w:keepLines w:val="0"/>
              <w:suppressLineNumbers w:val="0"/>
              <w:snapToGrid w:val="0"/>
              <w:spacing w:before="0" w:beforeAutospacing="0" w:after="0" w:afterAutospacing="0" w:line="240" w:lineRule="atLeast"/>
              <w:ind w:left="1080" w:leftChars="257" w:right="0" w:hanging="540"/>
              <w:jc w:val="both"/>
              <w:textAlignment w:val="baseline"/>
              <w:rPr>
                <w:rFonts w:hint="default" w:ascii="仿宋_GB2312" w:hAnsi="仿宋_GB2312" w:eastAsia="仿宋_GB2312" w:cs="仿宋_GB2312"/>
                <w:b w:val="0"/>
                <w:i w:val="0"/>
                <w:caps w:val="0"/>
                <w:spacing w:val="0"/>
                <w:w w:val="100"/>
                <w:sz w:val="24"/>
              </w:rPr>
            </w:pPr>
          </w:p>
        </w:tc>
        <w:tc>
          <w:tcPr>
            <w:tcW w:w="2520" w:type="dxa"/>
            <w:noWrap w:val="0"/>
            <w:vAlign w:val="top"/>
          </w:tcPr>
          <w:p w14:paraId="78409FC9">
            <w:pPr>
              <w:pStyle w:val="20"/>
              <w:keepNext w:val="0"/>
              <w:keepLines w:val="0"/>
              <w:suppressLineNumbers w:val="0"/>
              <w:snapToGrid w:val="0"/>
              <w:spacing w:before="0" w:beforeAutospacing="0" w:after="0" w:afterAutospacing="0" w:line="240" w:lineRule="atLeast"/>
              <w:ind w:left="1080" w:leftChars="257" w:right="0" w:hanging="540"/>
              <w:jc w:val="both"/>
              <w:textAlignment w:val="baseline"/>
              <w:rPr>
                <w:rFonts w:hint="default" w:ascii="仿宋_GB2312" w:hAnsi="仿宋_GB2312" w:eastAsia="仿宋_GB2312" w:cs="仿宋_GB2312"/>
                <w:b w:val="0"/>
                <w:i w:val="0"/>
                <w:caps w:val="0"/>
                <w:spacing w:val="0"/>
                <w:w w:val="100"/>
                <w:sz w:val="24"/>
              </w:rPr>
            </w:pPr>
          </w:p>
        </w:tc>
        <w:tc>
          <w:tcPr>
            <w:tcW w:w="2520" w:type="dxa"/>
            <w:noWrap w:val="0"/>
            <w:vAlign w:val="top"/>
          </w:tcPr>
          <w:p w14:paraId="63463220">
            <w:pPr>
              <w:pStyle w:val="20"/>
              <w:keepNext w:val="0"/>
              <w:keepLines w:val="0"/>
              <w:suppressLineNumbers w:val="0"/>
              <w:snapToGrid w:val="0"/>
              <w:spacing w:before="0" w:beforeAutospacing="0" w:after="0" w:afterAutospacing="0" w:line="240" w:lineRule="atLeast"/>
              <w:ind w:left="1080" w:leftChars="257" w:right="0" w:hanging="540"/>
              <w:jc w:val="both"/>
              <w:textAlignment w:val="baseline"/>
              <w:rPr>
                <w:rFonts w:hint="default" w:ascii="仿宋_GB2312" w:hAnsi="仿宋_GB2312" w:eastAsia="仿宋_GB2312" w:cs="仿宋_GB2312"/>
                <w:b w:val="0"/>
                <w:i w:val="0"/>
                <w:caps w:val="0"/>
                <w:spacing w:val="0"/>
                <w:w w:val="100"/>
                <w:sz w:val="24"/>
              </w:rPr>
            </w:pPr>
          </w:p>
        </w:tc>
        <w:tc>
          <w:tcPr>
            <w:tcW w:w="1805" w:type="dxa"/>
            <w:noWrap w:val="0"/>
            <w:vAlign w:val="top"/>
          </w:tcPr>
          <w:p w14:paraId="2BF3E9F0">
            <w:pPr>
              <w:pStyle w:val="20"/>
              <w:keepNext w:val="0"/>
              <w:keepLines w:val="0"/>
              <w:suppressLineNumbers w:val="0"/>
              <w:snapToGrid w:val="0"/>
              <w:spacing w:before="0" w:beforeAutospacing="0" w:after="0" w:afterAutospacing="0" w:line="240" w:lineRule="atLeast"/>
              <w:ind w:left="1080" w:leftChars="257" w:right="0" w:hanging="540"/>
              <w:jc w:val="both"/>
              <w:textAlignment w:val="baseline"/>
              <w:rPr>
                <w:rFonts w:hint="default" w:ascii="仿宋_GB2312" w:hAnsi="仿宋_GB2312" w:eastAsia="仿宋_GB2312" w:cs="仿宋_GB2312"/>
                <w:b w:val="0"/>
                <w:i w:val="0"/>
                <w:caps w:val="0"/>
                <w:spacing w:val="0"/>
                <w:w w:val="100"/>
                <w:sz w:val="24"/>
              </w:rPr>
            </w:pPr>
          </w:p>
        </w:tc>
      </w:tr>
      <w:tr w14:paraId="64ED94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1491" w:type="dxa"/>
            <w:noWrap w:val="0"/>
            <w:vAlign w:val="top"/>
          </w:tcPr>
          <w:p w14:paraId="30FE987B">
            <w:pPr>
              <w:pStyle w:val="20"/>
              <w:keepNext w:val="0"/>
              <w:keepLines w:val="0"/>
              <w:suppressLineNumbers w:val="0"/>
              <w:snapToGrid w:val="0"/>
              <w:spacing w:before="0" w:beforeAutospacing="0" w:after="0" w:afterAutospacing="0" w:line="240" w:lineRule="atLeast"/>
              <w:ind w:left="1080" w:leftChars="257" w:right="0" w:hanging="540"/>
              <w:jc w:val="both"/>
              <w:textAlignment w:val="baseline"/>
              <w:rPr>
                <w:rFonts w:hint="default" w:ascii="仿宋_GB2312" w:hAnsi="仿宋_GB2312" w:eastAsia="仿宋_GB2312" w:cs="仿宋_GB2312"/>
                <w:b w:val="0"/>
                <w:i w:val="0"/>
                <w:caps w:val="0"/>
                <w:spacing w:val="0"/>
                <w:w w:val="100"/>
                <w:sz w:val="24"/>
              </w:rPr>
            </w:pPr>
          </w:p>
        </w:tc>
        <w:tc>
          <w:tcPr>
            <w:tcW w:w="2520" w:type="dxa"/>
            <w:noWrap w:val="0"/>
            <w:vAlign w:val="top"/>
          </w:tcPr>
          <w:p w14:paraId="1F87267B">
            <w:pPr>
              <w:pStyle w:val="20"/>
              <w:keepNext w:val="0"/>
              <w:keepLines w:val="0"/>
              <w:suppressLineNumbers w:val="0"/>
              <w:snapToGrid w:val="0"/>
              <w:spacing w:before="0" w:beforeAutospacing="0" w:after="0" w:afterAutospacing="0" w:line="240" w:lineRule="atLeast"/>
              <w:ind w:left="1080" w:leftChars="257" w:right="0" w:hanging="540"/>
              <w:jc w:val="both"/>
              <w:textAlignment w:val="baseline"/>
              <w:rPr>
                <w:rFonts w:hint="default" w:ascii="仿宋_GB2312" w:hAnsi="仿宋_GB2312" w:eastAsia="仿宋_GB2312" w:cs="仿宋_GB2312"/>
                <w:b w:val="0"/>
                <w:i w:val="0"/>
                <w:caps w:val="0"/>
                <w:spacing w:val="0"/>
                <w:w w:val="100"/>
                <w:sz w:val="24"/>
              </w:rPr>
            </w:pPr>
          </w:p>
        </w:tc>
        <w:tc>
          <w:tcPr>
            <w:tcW w:w="2520" w:type="dxa"/>
            <w:noWrap w:val="0"/>
            <w:vAlign w:val="top"/>
          </w:tcPr>
          <w:p w14:paraId="2362FD6C">
            <w:pPr>
              <w:pStyle w:val="20"/>
              <w:keepNext w:val="0"/>
              <w:keepLines w:val="0"/>
              <w:suppressLineNumbers w:val="0"/>
              <w:snapToGrid w:val="0"/>
              <w:spacing w:before="0" w:beforeAutospacing="0" w:after="0" w:afterAutospacing="0" w:line="240" w:lineRule="atLeast"/>
              <w:ind w:left="1080" w:leftChars="257" w:right="0" w:hanging="540"/>
              <w:jc w:val="both"/>
              <w:textAlignment w:val="baseline"/>
              <w:rPr>
                <w:rFonts w:hint="default" w:ascii="仿宋_GB2312" w:hAnsi="仿宋_GB2312" w:eastAsia="仿宋_GB2312" w:cs="仿宋_GB2312"/>
                <w:b w:val="0"/>
                <w:i w:val="0"/>
                <w:caps w:val="0"/>
                <w:spacing w:val="0"/>
                <w:w w:val="100"/>
                <w:sz w:val="24"/>
              </w:rPr>
            </w:pPr>
          </w:p>
        </w:tc>
        <w:tc>
          <w:tcPr>
            <w:tcW w:w="1805" w:type="dxa"/>
            <w:noWrap w:val="0"/>
            <w:vAlign w:val="top"/>
          </w:tcPr>
          <w:p w14:paraId="5C3C00A9">
            <w:pPr>
              <w:pStyle w:val="20"/>
              <w:keepNext w:val="0"/>
              <w:keepLines w:val="0"/>
              <w:suppressLineNumbers w:val="0"/>
              <w:snapToGrid w:val="0"/>
              <w:spacing w:before="0" w:beforeAutospacing="0" w:after="0" w:afterAutospacing="0" w:line="240" w:lineRule="atLeast"/>
              <w:ind w:left="1080" w:leftChars="257" w:right="0" w:hanging="540"/>
              <w:jc w:val="both"/>
              <w:textAlignment w:val="baseline"/>
              <w:rPr>
                <w:rFonts w:hint="default" w:ascii="仿宋_GB2312" w:hAnsi="仿宋_GB2312" w:eastAsia="仿宋_GB2312" w:cs="仿宋_GB2312"/>
                <w:b w:val="0"/>
                <w:i w:val="0"/>
                <w:caps w:val="0"/>
                <w:spacing w:val="0"/>
                <w:w w:val="100"/>
                <w:sz w:val="24"/>
              </w:rPr>
            </w:pPr>
          </w:p>
        </w:tc>
      </w:tr>
      <w:tr w14:paraId="40BC6D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1491" w:type="dxa"/>
            <w:noWrap w:val="0"/>
            <w:vAlign w:val="top"/>
          </w:tcPr>
          <w:p w14:paraId="1F4F4C78">
            <w:pPr>
              <w:pStyle w:val="20"/>
              <w:keepNext w:val="0"/>
              <w:keepLines w:val="0"/>
              <w:suppressLineNumbers w:val="0"/>
              <w:snapToGrid w:val="0"/>
              <w:spacing w:before="0" w:beforeAutospacing="0" w:after="0" w:afterAutospacing="0" w:line="240" w:lineRule="atLeast"/>
              <w:ind w:left="1080" w:leftChars="257" w:right="0" w:hanging="540"/>
              <w:jc w:val="both"/>
              <w:textAlignment w:val="baseline"/>
              <w:rPr>
                <w:rFonts w:hint="default" w:ascii="仿宋_GB2312" w:hAnsi="仿宋_GB2312" w:eastAsia="仿宋_GB2312" w:cs="仿宋_GB2312"/>
                <w:b w:val="0"/>
                <w:i w:val="0"/>
                <w:caps w:val="0"/>
                <w:spacing w:val="0"/>
                <w:w w:val="100"/>
                <w:sz w:val="24"/>
              </w:rPr>
            </w:pPr>
          </w:p>
        </w:tc>
        <w:tc>
          <w:tcPr>
            <w:tcW w:w="2520" w:type="dxa"/>
            <w:noWrap w:val="0"/>
            <w:vAlign w:val="top"/>
          </w:tcPr>
          <w:p w14:paraId="40BE4D56">
            <w:pPr>
              <w:pStyle w:val="20"/>
              <w:keepNext w:val="0"/>
              <w:keepLines w:val="0"/>
              <w:suppressLineNumbers w:val="0"/>
              <w:snapToGrid w:val="0"/>
              <w:spacing w:before="0" w:beforeAutospacing="0" w:after="0" w:afterAutospacing="0" w:line="240" w:lineRule="atLeast"/>
              <w:ind w:left="1080" w:leftChars="257" w:right="0" w:hanging="540"/>
              <w:jc w:val="both"/>
              <w:textAlignment w:val="baseline"/>
              <w:rPr>
                <w:rFonts w:hint="default" w:ascii="仿宋_GB2312" w:hAnsi="仿宋_GB2312" w:eastAsia="仿宋_GB2312" w:cs="仿宋_GB2312"/>
                <w:b w:val="0"/>
                <w:i w:val="0"/>
                <w:caps w:val="0"/>
                <w:spacing w:val="0"/>
                <w:w w:val="100"/>
                <w:sz w:val="24"/>
              </w:rPr>
            </w:pPr>
          </w:p>
        </w:tc>
        <w:tc>
          <w:tcPr>
            <w:tcW w:w="2520" w:type="dxa"/>
            <w:noWrap w:val="0"/>
            <w:vAlign w:val="top"/>
          </w:tcPr>
          <w:p w14:paraId="0EB85230">
            <w:pPr>
              <w:pStyle w:val="20"/>
              <w:keepNext w:val="0"/>
              <w:keepLines w:val="0"/>
              <w:suppressLineNumbers w:val="0"/>
              <w:snapToGrid w:val="0"/>
              <w:spacing w:before="0" w:beforeAutospacing="0" w:after="0" w:afterAutospacing="0" w:line="240" w:lineRule="atLeast"/>
              <w:ind w:left="1080" w:leftChars="257" w:right="0" w:hanging="540"/>
              <w:jc w:val="both"/>
              <w:textAlignment w:val="baseline"/>
              <w:rPr>
                <w:rFonts w:hint="default" w:ascii="仿宋_GB2312" w:hAnsi="仿宋_GB2312" w:eastAsia="仿宋_GB2312" w:cs="仿宋_GB2312"/>
                <w:b w:val="0"/>
                <w:i w:val="0"/>
                <w:caps w:val="0"/>
                <w:spacing w:val="0"/>
                <w:w w:val="100"/>
                <w:sz w:val="24"/>
              </w:rPr>
            </w:pPr>
          </w:p>
        </w:tc>
        <w:tc>
          <w:tcPr>
            <w:tcW w:w="1805" w:type="dxa"/>
            <w:noWrap w:val="0"/>
            <w:vAlign w:val="top"/>
          </w:tcPr>
          <w:p w14:paraId="6EFC7B4A">
            <w:pPr>
              <w:pStyle w:val="20"/>
              <w:keepNext w:val="0"/>
              <w:keepLines w:val="0"/>
              <w:suppressLineNumbers w:val="0"/>
              <w:snapToGrid w:val="0"/>
              <w:spacing w:before="0" w:beforeAutospacing="0" w:after="0" w:afterAutospacing="0" w:line="240" w:lineRule="atLeast"/>
              <w:ind w:left="1080" w:leftChars="257" w:right="0" w:hanging="540"/>
              <w:jc w:val="both"/>
              <w:textAlignment w:val="baseline"/>
              <w:rPr>
                <w:rFonts w:hint="default" w:ascii="仿宋_GB2312" w:hAnsi="仿宋_GB2312" w:eastAsia="仿宋_GB2312" w:cs="仿宋_GB2312"/>
                <w:b w:val="0"/>
                <w:i w:val="0"/>
                <w:caps w:val="0"/>
                <w:spacing w:val="0"/>
                <w:w w:val="100"/>
                <w:sz w:val="24"/>
              </w:rPr>
            </w:pPr>
          </w:p>
        </w:tc>
      </w:tr>
      <w:tr w14:paraId="10A02A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1491" w:type="dxa"/>
            <w:noWrap w:val="0"/>
            <w:vAlign w:val="top"/>
          </w:tcPr>
          <w:p w14:paraId="1B7F90FA">
            <w:pPr>
              <w:pStyle w:val="20"/>
              <w:keepNext w:val="0"/>
              <w:keepLines w:val="0"/>
              <w:suppressLineNumbers w:val="0"/>
              <w:snapToGrid w:val="0"/>
              <w:spacing w:before="0" w:beforeAutospacing="0" w:after="0" w:afterAutospacing="0" w:line="240" w:lineRule="atLeast"/>
              <w:ind w:left="1080" w:leftChars="257" w:right="0" w:hanging="540"/>
              <w:jc w:val="both"/>
              <w:textAlignment w:val="baseline"/>
              <w:rPr>
                <w:rFonts w:hint="default" w:ascii="仿宋_GB2312" w:hAnsi="仿宋_GB2312" w:eastAsia="仿宋_GB2312" w:cs="仿宋_GB2312"/>
                <w:b w:val="0"/>
                <w:i w:val="0"/>
                <w:caps w:val="0"/>
                <w:spacing w:val="0"/>
                <w:w w:val="100"/>
                <w:sz w:val="24"/>
              </w:rPr>
            </w:pPr>
          </w:p>
        </w:tc>
        <w:tc>
          <w:tcPr>
            <w:tcW w:w="2520" w:type="dxa"/>
            <w:noWrap w:val="0"/>
            <w:vAlign w:val="top"/>
          </w:tcPr>
          <w:p w14:paraId="2F3DD47D">
            <w:pPr>
              <w:pStyle w:val="20"/>
              <w:keepNext w:val="0"/>
              <w:keepLines w:val="0"/>
              <w:suppressLineNumbers w:val="0"/>
              <w:snapToGrid w:val="0"/>
              <w:spacing w:before="0" w:beforeAutospacing="0" w:after="0" w:afterAutospacing="0" w:line="240" w:lineRule="atLeast"/>
              <w:ind w:left="1080" w:leftChars="257" w:right="0" w:hanging="540"/>
              <w:jc w:val="both"/>
              <w:textAlignment w:val="baseline"/>
              <w:rPr>
                <w:rFonts w:hint="default" w:ascii="仿宋_GB2312" w:hAnsi="仿宋_GB2312" w:eastAsia="仿宋_GB2312" w:cs="仿宋_GB2312"/>
                <w:b w:val="0"/>
                <w:i w:val="0"/>
                <w:caps w:val="0"/>
                <w:spacing w:val="0"/>
                <w:w w:val="100"/>
                <w:sz w:val="24"/>
              </w:rPr>
            </w:pPr>
          </w:p>
        </w:tc>
        <w:tc>
          <w:tcPr>
            <w:tcW w:w="2520" w:type="dxa"/>
            <w:noWrap w:val="0"/>
            <w:vAlign w:val="top"/>
          </w:tcPr>
          <w:p w14:paraId="33B3736B">
            <w:pPr>
              <w:pStyle w:val="20"/>
              <w:keepNext w:val="0"/>
              <w:keepLines w:val="0"/>
              <w:suppressLineNumbers w:val="0"/>
              <w:snapToGrid w:val="0"/>
              <w:spacing w:before="0" w:beforeAutospacing="0" w:after="0" w:afterAutospacing="0" w:line="240" w:lineRule="atLeast"/>
              <w:ind w:left="1080" w:leftChars="257" w:right="0" w:hanging="540"/>
              <w:jc w:val="both"/>
              <w:textAlignment w:val="baseline"/>
              <w:rPr>
                <w:rFonts w:hint="default" w:ascii="仿宋_GB2312" w:hAnsi="仿宋_GB2312" w:eastAsia="仿宋_GB2312" w:cs="仿宋_GB2312"/>
                <w:b w:val="0"/>
                <w:i w:val="0"/>
                <w:caps w:val="0"/>
                <w:spacing w:val="0"/>
                <w:w w:val="100"/>
                <w:sz w:val="24"/>
              </w:rPr>
            </w:pPr>
          </w:p>
        </w:tc>
        <w:tc>
          <w:tcPr>
            <w:tcW w:w="1805" w:type="dxa"/>
            <w:noWrap w:val="0"/>
            <w:vAlign w:val="top"/>
          </w:tcPr>
          <w:p w14:paraId="24F451E4">
            <w:pPr>
              <w:pStyle w:val="20"/>
              <w:keepNext w:val="0"/>
              <w:keepLines w:val="0"/>
              <w:suppressLineNumbers w:val="0"/>
              <w:snapToGrid w:val="0"/>
              <w:spacing w:before="0" w:beforeAutospacing="0" w:after="0" w:afterAutospacing="0" w:line="240" w:lineRule="atLeast"/>
              <w:ind w:left="1080" w:leftChars="257" w:right="0" w:hanging="540"/>
              <w:jc w:val="both"/>
              <w:textAlignment w:val="baseline"/>
              <w:rPr>
                <w:rFonts w:hint="default" w:ascii="仿宋_GB2312" w:hAnsi="仿宋_GB2312" w:eastAsia="仿宋_GB2312" w:cs="仿宋_GB2312"/>
                <w:b w:val="0"/>
                <w:i w:val="0"/>
                <w:caps w:val="0"/>
                <w:spacing w:val="0"/>
                <w:w w:val="100"/>
                <w:sz w:val="24"/>
              </w:rPr>
            </w:pPr>
          </w:p>
        </w:tc>
      </w:tr>
      <w:tr w14:paraId="1E5343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1491" w:type="dxa"/>
            <w:noWrap w:val="0"/>
            <w:vAlign w:val="top"/>
          </w:tcPr>
          <w:p w14:paraId="4A7D0B70">
            <w:pPr>
              <w:pStyle w:val="20"/>
              <w:keepNext w:val="0"/>
              <w:keepLines w:val="0"/>
              <w:suppressLineNumbers w:val="0"/>
              <w:snapToGrid w:val="0"/>
              <w:spacing w:before="0" w:beforeAutospacing="0" w:after="0" w:afterAutospacing="0" w:line="240" w:lineRule="atLeast"/>
              <w:ind w:left="1080" w:leftChars="257" w:right="0" w:hanging="540"/>
              <w:jc w:val="both"/>
              <w:textAlignment w:val="baseline"/>
              <w:rPr>
                <w:rFonts w:hint="default" w:ascii="仿宋_GB2312" w:hAnsi="仿宋_GB2312" w:eastAsia="仿宋_GB2312" w:cs="仿宋_GB2312"/>
                <w:b w:val="0"/>
                <w:i w:val="0"/>
                <w:caps w:val="0"/>
                <w:spacing w:val="0"/>
                <w:w w:val="100"/>
                <w:sz w:val="24"/>
              </w:rPr>
            </w:pPr>
          </w:p>
        </w:tc>
        <w:tc>
          <w:tcPr>
            <w:tcW w:w="2520" w:type="dxa"/>
            <w:noWrap w:val="0"/>
            <w:vAlign w:val="top"/>
          </w:tcPr>
          <w:p w14:paraId="5823458B">
            <w:pPr>
              <w:pStyle w:val="20"/>
              <w:keepNext w:val="0"/>
              <w:keepLines w:val="0"/>
              <w:suppressLineNumbers w:val="0"/>
              <w:snapToGrid w:val="0"/>
              <w:spacing w:before="0" w:beforeAutospacing="0" w:after="0" w:afterAutospacing="0" w:line="240" w:lineRule="atLeast"/>
              <w:ind w:left="1080" w:leftChars="257" w:right="0" w:hanging="540"/>
              <w:jc w:val="both"/>
              <w:textAlignment w:val="baseline"/>
              <w:rPr>
                <w:rFonts w:hint="default" w:ascii="仿宋_GB2312" w:hAnsi="仿宋_GB2312" w:eastAsia="仿宋_GB2312" w:cs="仿宋_GB2312"/>
                <w:b w:val="0"/>
                <w:i w:val="0"/>
                <w:caps w:val="0"/>
                <w:spacing w:val="0"/>
                <w:w w:val="100"/>
                <w:sz w:val="24"/>
              </w:rPr>
            </w:pPr>
          </w:p>
        </w:tc>
        <w:tc>
          <w:tcPr>
            <w:tcW w:w="2520" w:type="dxa"/>
            <w:noWrap w:val="0"/>
            <w:vAlign w:val="top"/>
          </w:tcPr>
          <w:p w14:paraId="6219B0E5">
            <w:pPr>
              <w:pStyle w:val="20"/>
              <w:keepNext w:val="0"/>
              <w:keepLines w:val="0"/>
              <w:suppressLineNumbers w:val="0"/>
              <w:snapToGrid w:val="0"/>
              <w:spacing w:before="0" w:beforeAutospacing="0" w:after="0" w:afterAutospacing="0" w:line="240" w:lineRule="atLeast"/>
              <w:ind w:left="1080" w:leftChars="257" w:right="0" w:hanging="540"/>
              <w:jc w:val="both"/>
              <w:textAlignment w:val="baseline"/>
              <w:rPr>
                <w:rFonts w:hint="default" w:ascii="仿宋_GB2312" w:hAnsi="仿宋_GB2312" w:eastAsia="仿宋_GB2312" w:cs="仿宋_GB2312"/>
                <w:b w:val="0"/>
                <w:i w:val="0"/>
                <w:caps w:val="0"/>
                <w:spacing w:val="0"/>
                <w:w w:val="100"/>
                <w:sz w:val="24"/>
              </w:rPr>
            </w:pPr>
          </w:p>
        </w:tc>
        <w:tc>
          <w:tcPr>
            <w:tcW w:w="1805" w:type="dxa"/>
            <w:noWrap w:val="0"/>
            <w:vAlign w:val="top"/>
          </w:tcPr>
          <w:p w14:paraId="7BDD7C9C">
            <w:pPr>
              <w:pStyle w:val="20"/>
              <w:keepNext w:val="0"/>
              <w:keepLines w:val="0"/>
              <w:suppressLineNumbers w:val="0"/>
              <w:snapToGrid w:val="0"/>
              <w:spacing w:before="0" w:beforeAutospacing="0" w:after="0" w:afterAutospacing="0" w:line="240" w:lineRule="atLeast"/>
              <w:ind w:left="1080" w:leftChars="257" w:right="0" w:hanging="540"/>
              <w:jc w:val="both"/>
              <w:textAlignment w:val="baseline"/>
              <w:rPr>
                <w:rFonts w:hint="default" w:ascii="仿宋_GB2312" w:hAnsi="仿宋_GB2312" w:eastAsia="仿宋_GB2312" w:cs="仿宋_GB2312"/>
                <w:b w:val="0"/>
                <w:i w:val="0"/>
                <w:caps w:val="0"/>
                <w:spacing w:val="0"/>
                <w:w w:val="100"/>
                <w:sz w:val="24"/>
              </w:rPr>
            </w:pPr>
          </w:p>
        </w:tc>
      </w:tr>
      <w:tr w14:paraId="66B963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1491" w:type="dxa"/>
            <w:noWrap w:val="0"/>
            <w:vAlign w:val="top"/>
          </w:tcPr>
          <w:p w14:paraId="29E18C4B">
            <w:pPr>
              <w:pStyle w:val="20"/>
              <w:keepNext w:val="0"/>
              <w:keepLines w:val="0"/>
              <w:suppressLineNumbers w:val="0"/>
              <w:snapToGrid w:val="0"/>
              <w:spacing w:before="0" w:beforeAutospacing="0" w:after="0" w:afterAutospacing="0" w:line="240" w:lineRule="atLeast"/>
              <w:ind w:left="1080" w:leftChars="257" w:right="0" w:hanging="540"/>
              <w:jc w:val="both"/>
              <w:textAlignment w:val="baseline"/>
              <w:rPr>
                <w:rFonts w:hint="default" w:ascii="仿宋_GB2312" w:hAnsi="仿宋_GB2312" w:eastAsia="仿宋_GB2312" w:cs="仿宋_GB2312"/>
                <w:b w:val="0"/>
                <w:i w:val="0"/>
                <w:caps w:val="0"/>
                <w:spacing w:val="0"/>
                <w:w w:val="100"/>
                <w:sz w:val="24"/>
              </w:rPr>
            </w:pPr>
          </w:p>
        </w:tc>
        <w:tc>
          <w:tcPr>
            <w:tcW w:w="2520" w:type="dxa"/>
            <w:noWrap w:val="0"/>
            <w:vAlign w:val="top"/>
          </w:tcPr>
          <w:p w14:paraId="7D597DDD">
            <w:pPr>
              <w:pStyle w:val="20"/>
              <w:keepNext w:val="0"/>
              <w:keepLines w:val="0"/>
              <w:suppressLineNumbers w:val="0"/>
              <w:snapToGrid w:val="0"/>
              <w:spacing w:before="0" w:beforeAutospacing="0" w:after="0" w:afterAutospacing="0" w:line="240" w:lineRule="atLeast"/>
              <w:ind w:left="1080" w:leftChars="257" w:right="0" w:hanging="540"/>
              <w:jc w:val="both"/>
              <w:textAlignment w:val="baseline"/>
              <w:rPr>
                <w:rFonts w:hint="default" w:ascii="仿宋_GB2312" w:hAnsi="仿宋_GB2312" w:eastAsia="仿宋_GB2312" w:cs="仿宋_GB2312"/>
                <w:b w:val="0"/>
                <w:i w:val="0"/>
                <w:caps w:val="0"/>
                <w:spacing w:val="0"/>
                <w:w w:val="100"/>
                <w:sz w:val="24"/>
              </w:rPr>
            </w:pPr>
          </w:p>
        </w:tc>
        <w:tc>
          <w:tcPr>
            <w:tcW w:w="2520" w:type="dxa"/>
            <w:noWrap w:val="0"/>
            <w:vAlign w:val="top"/>
          </w:tcPr>
          <w:p w14:paraId="252ED434">
            <w:pPr>
              <w:pStyle w:val="20"/>
              <w:keepNext w:val="0"/>
              <w:keepLines w:val="0"/>
              <w:suppressLineNumbers w:val="0"/>
              <w:snapToGrid w:val="0"/>
              <w:spacing w:before="0" w:beforeAutospacing="0" w:after="0" w:afterAutospacing="0" w:line="240" w:lineRule="atLeast"/>
              <w:ind w:left="1080" w:leftChars="257" w:right="0" w:hanging="540"/>
              <w:jc w:val="both"/>
              <w:textAlignment w:val="baseline"/>
              <w:rPr>
                <w:rFonts w:hint="default" w:ascii="仿宋_GB2312" w:hAnsi="仿宋_GB2312" w:eastAsia="仿宋_GB2312" w:cs="仿宋_GB2312"/>
                <w:b w:val="0"/>
                <w:i w:val="0"/>
                <w:caps w:val="0"/>
                <w:spacing w:val="0"/>
                <w:w w:val="100"/>
                <w:sz w:val="24"/>
              </w:rPr>
            </w:pPr>
          </w:p>
        </w:tc>
        <w:tc>
          <w:tcPr>
            <w:tcW w:w="1805" w:type="dxa"/>
            <w:noWrap w:val="0"/>
            <w:vAlign w:val="top"/>
          </w:tcPr>
          <w:p w14:paraId="1D07289D">
            <w:pPr>
              <w:pStyle w:val="20"/>
              <w:keepNext w:val="0"/>
              <w:keepLines w:val="0"/>
              <w:suppressLineNumbers w:val="0"/>
              <w:snapToGrid w:val="0"/>
              <w:spacing w:before="0" w:beforeAutospacing="0" w:after="0" w:afterAutospacing="0" w:line="240" w:lineRule="atLeast"/>
              <w:ind w:left="1080" w:leftChars="257" w:right="0" w:hanging="540"/>
              <w:jc w:val="both"/>
              <w:textAlignment w:val="baseline"/>
              <w:rPr>
                <w:rFonts w:hint="default" w:ascii="仿宋_GB2312" w:hAnsi="仿宋_GB2312" w:eastAsia="仿宋_GB2312" w:cs="仿宋_GB2312"/>
                <w:b w:val="0"/>
                <w:i w:val="0"/>
                <w:caps w:val="0"/>
                <w:spacing w:val="0"/>
                <w:w w:val="100"/>
                <w:sz w:val="24"/>
              </w:rPr>
            </w:pPr>
          </w:p>
        </w:tc>
      </w:tr>
      <w:tr w14:paraId="1123F9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1491" w:type="dxa"/>
            <w:noWrap w:val="0"/>
            <w:vAlign w:val="top"/>
          </w:tcPr>
          <w:p w14:paraId="6926E616">
            <w:pPr>
              <w:pStyle w:val="20"/>
              <w:keepNext w:val="0"/>
              <w:keepLines w:val="0"/>
              <w:suppressLineNumbers w:val="0"/>
              <w:snapToGrid w:val="0"/>
              <w:spacing w:before="0" w:beforeAutospacing="0" w:after="0" w:afterAutospacing="0" w:line="240" w:lineRule="atLeast"/>
              <w:ind w:left="1080" w:leftChars="257" w:right="0" w:hanging="540"/>
              <w:jc w:val="both"/>
              <w:textAlignment w:val="baseline"/>
              <w:rPr>
                <w:rFonts w:hint="default" w:ascii="仿宋_GB2312" w:hAnsi="仿宋_GB2312" w:eastAsia="仿宋_GB2312" w:cs="仿宋_GB2312"/>
                <w:b w:val="0"/>
                <w:i w:val="0"/>
                <w:caps w:val="0"/>
                <w:spacing w:val="0"/>
                <w:w w:val="100"/>
                <w:sz w:val="24"/>
              </w:rPr>
            </w:pPr>
          </w:p>
        </w:tc>
        <w:tc>
          <w:tcPr>
            <w:tcW w:w="2520" w:type="dxa"/>
            <w:noWrap w:val="0"/>
            <w:vAlign w:val="top"/>
          </w:tcPr>
          <w:p w14:paraId="7D519809">
            <w:pPr>
              <w:pStyle w:val="20"/>
              <w:keepNext w:val="0"/>
              <w:keepLines w:val="0"/>
              <w:suppressLineNumbers w:val="0"/>
              <w:snapToGrid w:val="0"/>
              <w:spacing w:before="0" w:beforeAutospacing="0" w:after="0" w:afterAutospacing="0" w:line="240" w:lineRule="atLeast"/>
              <w:ind w:left="1080" w:leftChars="257" w:right="0" w:hanging="540"/>
              <w:jc w:val="both"/>
              <w:textAlignment w:val="baseline"/>
              <w:rPr>
                <w:rFonts w:hint="default" w:ascii="仿宋_GB2312" w:hAnsi="仿宋_GB2312" w:eastAsia="仿宋_GB2312" w:cs="仿宋_GB2312"/>
                <w:b w:val="0"/>
                <w:i w:val="0"/>
                <w:caps w:val="0"/>
                <w:spacing w:val="0"/>
                <w:w w:val="100"/>
                <w:sz w:val="24"/>
              </w:rPr>
            </w:pPr>
          </w:p>
        </w:tc>
        <w:tc>
          <w:tcPr>
            <w:tcW w:w="2520" w:type="dxa"/>
            <w:noWrap w:val="0"/>
            <w:vAlign w:val="top"/>
          </w:tcPr>
          <w:p w14:paraId="05DCFF54">
            <w:pPr>
              <w:pStyle w:val="20"/>
              <w:keepNext w:val="0"/>
              <w:keepLines w:val="0"/>
              <w:suppressLineNumbers w:val="0"/>
              <w:snapToGrid w:val="0"/>
              <w:spacing w:before="0" w:beforeAutospacing="0" w:after="0" w:afterAutospacing="0" w:line="240" w:lineRule="atLeast"/>
              <w:ind w:left="1080" w:leftChars="257" w:right="0" w:hanging="540"/>
              <w:jc w:val="both"/>
              <w:textAlignment w:val="baseline"/>
              <w:rPr>
                <w:rFonts w:hint="default" w:ascii="仿宋_GB2312" w:hAnsi="仿宋_GB2312" w:eastAsia="仿宋_GB2312" w:cs="仿宋_GB2312"/>
                <w:b w:val="0"/>
                <w:i w:val="0"/>
                <w:caps w:val="0"/>
                <w:spacing w:val="0"/>
                <w:w w:val="100"/>
                <w:sz w:val="24"/>
              </w:rPr>
            </w:pPr>
          </w:p>
        </w:tc>
        <w:tc>
          <w:tcPr>
            <w:tcW w:w="1805" w:type="dxa"/>
            <w:noWrap w:val="0"/>
            <w:vAlign w:val="top"/>
          </w:tcPr>
          <w:p w14:paraId="03165352">
            <w:pPr>
              <w:pStyle w:val="20"/>
              <w:keepNext w:val="0"/>
              <w:keepLines w:val="0"/>
              <w:suppressLineNumbers w:val="0"/>
              <w:snapToGrid w:val="0"/>
              <w:spacing w:before="0" w:beforeAutospacing="0" w:after="0" w:afterAutospacing="0" w:line="240" w:lineRule="atLeast"/>
              <w:ind w:left="1080" w:leftChars="257" w:right="0" w:hanging="540"/>
              <w:jc w:val="both"/>
              <w:textAlignment w:val="baseline"/>
              <w:rPr>
                <w:rFonts w:hint="default" w:ascii="仿宋_GB2312" w:hAnsi="仿宋_GB2312" w:eastAsia="仿宋_GB2312" w:cs="仿宋_GB2312"/>
                <w:b w:val="0"/>
                <w:i w:val="0"/>
                <w:caps w:val="0"/>
                <w:spacing w:val="0"/>
                <w:w w:val="100"/>
                <w:sz w:val="24"/>
              </w:rPr>
            </w:pPr>
          </w:p>
        </w:tc>
      </w:tr>
    </w:tbl>
    <w:p w14:paraId="79F6D574">
      <w:pPr>
        <w:pStyle w:val="20"/>
        <w:snapToGrid w:val="0"/>
        <w:spacing w:before="0" w:beforeAutospacing="0" w:after="0" w:afterAutospacing="0" w:line="240" w:lineRule="atLeast"/>
        <w:ind w:left="1080" w:leftChars="257" w:hanging="540"/>
        <w:jc w:val="both"/>
        <w:textAlignment w:val="baseline"/>
        <w:rPr>
          <w:rFonts w:ascii="仿宋_GB2312" w:hAnsi="仿宋_GB2312" w:eastAsia="仿宋_GB2312" w:cs="仿宋_GB2312"/>
          <w:b w:val="0"/>
          <w:i w:val="0"/>
          <w:caps w:val="0"/>
          <w:spacing w:val="0"/>
          <w:w w:val="100"/>
          <w:sz w:val="24"/>
        </w:rPr>
      </w:pPr>
    </w:p>
    <w:p w14:paraId="1920AEB6">
      <w:pPr>
        <w:pStyle w:val="20"/>
        <w:snapToGrid w:val="0"/>
        <w:spacing w:before="0" w:beforeAutospacing="0" w:after="0" w:afterAutospacing="0" w:line="240" w:lineRule="atLeast"/>
        <w:ind w:left="1080" w:leftChars="257" w:hanging="540"/>
        <w:jc w:val="both"/>
        <w:textAlignment w:val="baseline"/>
        <w:rPr>
          <w:rFonts w:ascii="仿宋_GB2312" w:hAnsi="仿宋_GB2312" w:eastAsia="仿宋_GB2312" w:cs="仿宋_GB2312"/>
          <w:b w:val="0"/>
          <w:i w:val="0"/>
          <w:caps w:val="0"/>
          <w:spacing w:val="0"/>
          <w:w w:val="100"/>
          <w:sz w:val="24"/>
        </w:rPr>
      </w:pPr>
    </w:p>
    <w:p w14:paraId="23440725">
      <w:pPr>
        <w:pStyle w:val="20"/>
        <w:snapToGrid w:val="0"/>
        <w:spacing w:before="0" w:beforeAutospacing="0" w:after="0" w:afterAutospacing="0" w:line="240" w:lineRule="atLeast"/>
        <w:ind w:left="1080" w:leftChars="257" w:hanging="540"/>
        <w:jc w:val="both"/>
        <w:textAlignment w:val="baseline"/>
        <w:rPr>
          <w:rFonts w:hint="default" w:ascii="仿宋_GB2312" w:hAnsi="仿宋_GB2312" w:eastAsia="仿宋_GB2312" w:cs="仿宋_GB2312"/>
          <w:b w:val="0"/>
          <w:i w:val="0"/>
          <w:caps w:val="0"/>
          <w:spacing w:val="0"/>
          <w:w w:val="100"/>
          <w:sz w:val="24"/>
          <w:lang w:val="en-US" w:eastAsia="zh-CN"/>
        </w:rPr>
      </w:pPr>
      <w:r>
        <w:rPr>
          <w:rFonts w:hint="eastAsia" w:ascii="仿宋_GB2312" w:hAnsi="仿宋_GB2312" w:eastAsia="仿宋_GB2312" w:cs="仿宋_GB2312"/>
          <w:b w:val="0"/>
          <w:i w:val="0"/>
          <w:caps w:val="0"/>
          <w:spacing w:val="0"/>
          <w:w w:val="100"/>
          <w:sz w:val="24"/>
        </w:rPr>
        <w:t>法定代表人或其委托代理人</w:t>
      </w:r>
      <w:r>
        <w:rPr>
          <w:rFonts w:hint="eastAsia" w:ascii="仿宋" w:hAnsi="仿宋" w:eastAsia="仿宋" w:cs="仿宋"/>
          <w:b w:val="0"/>
          <w:i w:val="0"/>
          <w:caps w:val="0"/>
          <w:color w:val="000000"/>
          <w:spacing w:val="0"/>
          <w:w w:val="100"/>
          <w:sz w:val="24"/>
          <w:lang w:eastAsia="zh-CN"/>
        </w:rPr>
        <w:t>（</w:t>
      </w:r>
      <w:r>
        <w:rPr>
          <w:rFonts w:hint="eastAsia" w:ascii="仿宋" w:hAnsi="仿宋" w:eastAsia="仿宋" w:cs="仿宋"/>
          <w:b w:val="0"/>
          <w:i w:val="0"/>
          <w:caps w:val="0"/>
          <w:color w:val="000000"/>
          <w:spacing w:val="0"/>
          <w:w w:val="100"/>
          <w:sz w:val="24"/>
        </w:rPr>
        <w:t>签字</w:t>
      </w:r>
      <w:r>
        <w:rPr>
          <w:rFonts w:hint="eastAsia" w:ascii="仿宋" w:hAnsi="仿宋" w:eastAsia="仿宋" w:cs="仿宋"/>
          <w:b w:val="0"/>
          <w:i w:val="0"/>
          <w:caps w:val="0"/>
          <w:color w:val="000000"/>
          <w:spacing w:val="0"/>
          <w:w w:val="100"/>
          <w:sz w:val="24"/>
          <w:lang w:val="en-US" w:eastAsia="zh-CN"/>
        </w:rPr>
        <w:t>或签章</w:t>
      </w:r>
      <w:r>
        <w:rPr>
          <w:rFonts w:hint="eastAsia" w:ascii="仿宋" w:hAnsi="仿宋" w:eastAsia="仿宋" w:cs="仿宋"/>
          <w:b w:val="0"/>
          <w:i w:val="0"/>
          <w:caps w:val="0"/>
          <w:color w:val="000000"/>
          <w:spacing w:val="0"/>
          <w:w w:val="100"/>
          <w:sz w:val="24"/>
          <w:lang w:eastAsia="zh-CN"/>
        </w:rPr>
        <w:t>）</w:t>
      </w:r>
      <w:r>
        <w:rPr>
          <w:rFonts w:hint="eastAsia" w:ascii="仿宋_GB2312" w:hAnsi="仿宋_GB2312" w:eastAsia="仿宋_GB2312" w:cs="仿宋_GB2312"/>
          <w:b w:val="0"/>
          <w:i w:val="0"/>
          <w:caps w:val="0"/>
          <w:spacing w:val="0"/>
          <w:w w:val="100"/>
          <w:sz w:val="24"/>
        </w:rPr>
        <w:t>:</w:t>
      </w:r>
      <w:r>
        <w:rPr>
          <w:rFonts w:hint="eastAsia" w:ascii="仿宋_GB2312" w:hAnsi="仿宋_GB2312" w:eastAsia="仿宋_GB2312" w:cs="仿宋_GB2312"/>
          <w:b w:val="0"/>
          <w:i w:val="0"/>
          <w:caps w:val="0"/>
          <w:spacing w:val="0"/>
          <w:w w:val="100"/>
          <w:sz w:val="24"/>
          <w:u w:val="single" w:color="000000"/>
        </w:rPr>
        <w:tab/>
      </w:r>
      <w:r>
        <w:rPr>
          <w:rFonts w:hint="eastAsia" w:ascii="仿宋_GB2312" w:hAnsi="仿宋_GB2312" w:eastAsia="仿宋_GB2312" w:cs="仿宋_GB2312"/>
          <w:b w:val="0"/>
          <w:i w:val="0"/>
          <w:caps w:val="0"/>
          <w:spacing w:val="0"/>
          <w:w w:val="100"/>
          <w:sz w:val="24"/>
          <w:u w:val="single" w:color="000000"/>
          <w:lang w:val="en-US" w:eastAsia="zh-CN"/>
        </w:rPr>
        <w:t xml:space="preserve">                   </w:t>
      </w:r>
    </w:p>
    <w:p w14:paraId="1B0D3122">
      <w:pPr>
        <w:pStyle w:val="20"/>
        <w:tabs>
          <w:tab w:val="left" w:pos="5370"/>
        </w:tabs>
        <w:snapToGrid w:val="0"/>
        <w:spacing w:before="0" w:beforeAutospacing="0" w:after="0" w:afterAutospacing="0" w:line="240" w:lineRule="atLeast"/>
        <w:ind w:left="1080" w:leftChars="257" w:hanging="540"/>
        <w:jc w:val="both"/>
        <w:textAlignment w:val="baseline"/>
        <w:rPr>
          <w:rFonts w:hint="eastAsia" w:ascii="仿宋_GB2312" w:hAnsi="仿宋_GB2312" w:eastAsia="仿宋_GB2312" w:cs="仿宋_GB2312"/>
          <w:b w:val="0"/>
          <w:i w:val="0"/>
          <w:caps w:val="0"/>
          <w:spacing w:val="0"/>
          <w:w w:val="100"/>
          <w:sz w:val="24"/>
        </w:rPr>
      </w:pPr>
    </w:p>
    <w:p w14:paraId="15A36559">
      <w:pPr>
        <w:pStyle w:val="20"/>
        <w:tabs>
          <w:tab w:val="left" w:pos="5370"/>
        </w:tabs>
        <w:snapToGrid w:val="0"/>
        <w:spacing w:before="0" w:beforeAutospacing="0" w:after="0" w:afterAutospacing="0" w:line="240" w:lineRule="atLeast"/>
        <w:ind w:left="1080" w:leftChars="257" w:hanging="540"/>
        <w:jc w:val="both"/>
        <w:textAlignment w:val="baseline"/>
        <w:rPr>
          <w:rFonts w:ascii="仿宋_GB2312" w:hAnsi="仿宋_GB2312" w:eastAsia="仿宋_GB2312" w:cs="仿宋_GB2312"/>
          <w:b w:val="0"/>
          <w:i w:val="0"/>
          <w:caps w:val="0"/>
          <w:spacing w:val="0"/>
          <w:w w:val="100"/>
          <w:sz w:val="24"/>
          <w:u w:val="single"/>
        </w:rPr>
      </w:pPr>
      <w:r>
        <w:rPr>
          <w:rFonts w:hint="eastAsia" w:ascii="仿宋_GB2312" w:hAnsi="仿宋_GB2312" w:eastAsia="仿宋_GB2312" w:cs="仿宋_GB2312"/>
          <w:b w:val="0"/>
          <w:i w:val="0"/>
          <w:caps w:val="0"/>
          <w:spacing w:val="0"/>
          <w:w w:val="100"/>
          <w:sz w:val="24"/>
        </w:rPr>
        <w:t>投标人(盖单位章):</w:t>
      </w:r>
      <w:r>
        <w:rPr>
          <w:rFonts w:hint="eastAsia" w:ascii="仿宋_GB2312" w:hAnsi="仿宋_GB2312" w:eastAsia="仿宋_GB2312" w:cs="仿宋_GB2312"/>
          <w:b w:val="0"/>
          <w:i w:val="0"/>
          <w:caps w:val="0"/>
          <w:spacing w:val="0"/>
          <w:w w:val="100"/>
          <w:sz w:val="24"/>
          <w:u w:val="single" w:color="000000"/>
        </w:rPr>
        <w:tab/>
      </w:r>
    </w:p>
    <w:p w14:paraId="6DA98BA3">
      <w:pPr>
        <w:pStyle w:val="20"/>
        <w:snapToGrid w:val="0"/>
        <w:spacing w:before="0" w:beforeAutospacing="0" w:after="0" w:afterAutospacing="0" w:line="240" w:lineRule="atLeast"/>
        <w:jc w:val="both"/>
        <w:textAlignment w:val="baseline"/>
        <w:rPr>
          <w:rFonts w:ascii="仿宋_GB2312" w:hAnsi="仿宋_GB2312" w:eastAsia="仿宋_GB2312" w:cs="仿宋_GB2312"/>
          <w:b w:val="0"/>
          <w:i w:val="0"/>
          <w:caps w:val="0"/>
          <w:spacing w:val="0"/>
          <w:w w:val="100"/>
          <w:sz w:val="24"/>
        </w:rPr>
      </w:pPr>
    </w:p>
    <w:p w14:paraId="21E452C4">
      <w:pPr>
        <w:pStyle w:val="9"/>
        <w:snapToGrid w:val="0"/>
        <w:spacing w:before="0" w:beforeAutospacing="0" w:after="0" w:afterAutospacing="0" w:line="240" w:lineRule="auto"/>
        <w:ind w:firstLine="420"/>
        <w:jc w:val="left"/>
        <w:textAlignment w:val="baseline"/>
        <w:rPr>
          <w:rFonts w:ascii="仿宋_GB2312" w:hAnsi="仿宋_GB2312" w:eastAsia="仿宋_GB2312" w:cs="仿宋_GB2312"/>
          <w:b w:val="0"/>
          <w:i w:val="0"/>
          <w:caps w:val="0"/>
          <w:spacing w:val="0"/>
          <w:w w:val="100"/>
          <w:sz w:val="24"/>
        </w:rPr>
      </w:pPr>
      <w:bookmarkStart w:id="1360" w:name="_Hlt520273711"/>
      <w:bookmarkEnd w:id="1360"/>
      <w:bookmarkStart w:id="1361" w:name="_Hlt520350918"/>
      <w:bookmarkEnd w:id="1361"/>
      <w:bookmarkStart w:id="1362" w:name="_Hlt520274065"/>
      <w:bookmarkEnd w:id="1362"/>
      <w:bookmarkStart w:id="1363" w:name="_Hlt520273973"/>
      <w:bookmarkEnd w:id="1363"/>
      <w:bookmarkStart w:id="1364" w:name="_Hlt520274393"/>
      <w:bookmarkEnd w:id="1364"/>
      <w:bookmarkStart w:id="1365" w:name="_Hlt520343392"/>
      <w:bookmarkEnd w:id="1365"/>
      <w:bookmarkStart w:id="1366" w:name="_Hlt520274407"/>
      <w:bookmarkEnd w:id="1366"/>
      <w:bookmarkStart w:id="1367" w:name="_Hlt520343000"/>
      <w:bookmarkEnd w:id="1367"/>
      <w:bookmarkStart w:id="1368" w:name="_Hlt520274911"/>
      <w:bookmarkEnd w:id="1368"/>
      <w:bookmarkStart w:id="1369" w:name="_Hlt520350957"/>
      <w:bookmarkEnd w:id="1369"/>
      <w:bookmarkStart w:id="1370" w:name="_Hlt520271212"/>
      <w:bookmarkEnd w:id="1370"/>
    </w:p>
    <w:p w14:paraId="09645613">
      <w:pPr>
        <w:snapToGrid w:val="0"/>
        <w:spacing w:before="0" w:beforeAutospacing="0" w:after="0" w:afterAutospacing="0" w:line="240" w:lineRule="auto"/>
        <w:jc w:val="both"/>
        <w:textAlignment w:val="baseline"/>
        <w:rPr>
          <w:rFonts w:ascii="仿宋_GB2312" w:hAnsi="仿宋_GB2312" w:eastAsia="仿宋_GB2312" w:cs="仿宋_GB2312"/>
          <w:b w:val="0"/>
          <w:i w:val="0"/>
          <w:caps w:val="0"/>
          <w:spacing w:val="0"/>
          <w:w w:val="100"/>
          <w:sz w:val="20"/>
        </w:rPr>
      </w:pPr>
    </w:p>
    <w:p w14:paraId="73EDBA60">
      <w:pPr>
        <w:pStyle w:val="2"/>
        <w:keepNext/>
        <w:keepLines/>
        <w:pageBreakBefore w:val="0"/>
        <w:widowControl/>
        <w:kinsoku/>
        <w:wordWrap/>
        <w:overflowPunct/>
        <w:topLinePunct w:val="0"/>
        <w:autoSpaceDE w:val="0"/>
        <w:autoSpaceDN w:val="0"/>
        <w:bidi w:val="0"/>
        <w:adjustRightInd w:val="0"/>
        <w:snapToGrid/>
        <w:spacing w:before="0" w:beforeAutospacing="0" w:after="0" w:afterAutospacing="0" w:line="288" w:lineRule="auto"/>
        <w:ind w:left="1079" w:leftChars="257" w:hanging="539"/>
        <w:jc w:val="center"/>
        <w:textAlignment w:val="baseline"/>
        <w:outlineLvl w:val="1"/>
        <w:rPr>
          <w:rFonts w:hint="eastAsia" w:ascii="仿宋_GB2312" w:hAnsi="仿宋_GB2312" w:eastAsia="仿宋_GB2312" w:cs="仿宋_GB2312"/>
          <w:b/>
          <w:i w:val="0"/>
          <w:caps w:val="0"/>
          <w:spacing w:val="0"/>
          <w:w w:val="100"/>
          <w:kern w:val="0"/>
          <w:sz w:val="24"/>
          <w:szCs w:val="20"/>
          <w:u w:val="none"/>
          <w:lang w:val="en-US" w:eastAsia="zh-CN" w:bidi="ar-SA"/>
        </w:rPr>
      </w:pPr>
      <w:bookmarkStart w:id="1371" w:name="_Toc16312"/>
      <w:bookmarkStart w:id="1372" w:name="_Toc6406"/>
      <w:bookmarkStart w:id="1373" w:name="_Toc26188"/>
    </w:p>
    <w:p w14:paraId="7C34F0E3">
      <w:pPr>
        <w:pStyle w:val="2"/>
        <w:keepNext/>
        <w:keepLines/>
        <w:pageBreakBefore w:val="0"/>
        <w:widowControl/>
        <w:kinsoku/>
        <w:wordWrap/>
        <w:overflowPunct/>
        <w:topLinePunct w:val="0"/>
        <w:autoSpaceDE w:val="0"/>
        <w:autoSpaceDN w:val="0"/>
        <w:bidi w:val="0"/>
        <w:adjustRightInd w:val="0"/>
        <w:snapToGrid/>
        <w:spacing w:before="0" w:beforeAutospacing="0" w:after="0" w:afterAutospacing="0" w:line="288" w:lineRule="auto"/>
        <w:ind w:left="1079" w:leftChars="257" w:hanging="539"/>
        <w:jc w:val="center"/>
        <w:textAlignment w:val="baseline"/>
        <w:outlineLvl w:val="1"/>
        <w:rPr>
          <w:rFonts w:hint="eastAsia" w:ascii="仿宋_GB2312" w:hAnsi="仿宋_GB2312" w:eastAsia="仿宋_GB2312" w:cs="仿宋_GB2312"/>
          <w:b/>
          <w:i w:val="0"/>
          <w:caps w:val="0"/>
          <w:spacing w:val="0"/>
          <w:w w:val="100"/>
          <w:kern w:val="0"/>
          <w:sz w:val="24"/>
          <w:szCs w:val="20"/>
          <w:u w:val="none"/>
          <w:lang w:val="en-US" w:eastAsia="zh-CN" w:bidi="ar-SA"/>
        </w:rPr>
      </w:pPr>
      <w:r>
        <w:rPr>
          <w:rFonts w:hint="eastAsia" w:ascii="仿宋_GB2312" w:hAnsi="仿宋_GB2312" w:eastAsia="仿宋_GB2312" w:cs="仿宋_GB2312"/>
          <w:b/>
          <w:i w:val="0"/>
          <w:caps w:val="0"/>
          <w:spacing w:val="0"/>
          <w:w w:val="100"/>
          <w:kern w:val="0"/>
          <w:sz w:val="24"/>
          <w:szCs w:val="20"/>
          <w:u w:val="none"/>
          <w:lang w:val="en-US" w:eastAsia="zh-CN" w:bidi="ar-SA"/>
        </w:rPr>
        <w:br w:type="page"/>
      </w:r>
      <w:bookmarkEnd w:id="1371"/>
      <w:bookmarkEnd w:id="1372"/>
      <w:bookmarkEnd w:id="1373"/>
      <w:bookmarkStart w:id="1374" w:name="_Toc18491"/>
      <w:bookmarkStart w:id="1375" w:name="_Toc20622"/>
      <w:bookmarkStart w:id="1376" w:name="_Toc25791"/>
      <w:bookmarkStart w:id="1377" w:name="_Toc27603"/>
      <w:bookmarkStart w:id="1378" w:name="_Toc4283"/>
      <w:bookmarkStart w:id="1379" w:name="_Toc515647823"/>
      <w:bookmarkStart w:id="1380" w:name="_Toc28936"/>
      <w:bookmarkStart w:id="1381" w:name="_Toc18272"/>
      <w:bookmarkStart w:id="1382" w:name="_Toc10725"/>
      <w:bookmarkStart w:id="1383" w:name="_Toc5437"/>
    </w:p>
    <w:p w14:paraId="2196B58D">
      <w:pPr>
        <w:pStyle w:val="2"/>
        <w:keepNext/>
        <w:keepLines/>
        <w:pageBreakBefore w:val="0"/>
        <w:widowControl/>
        <w:kinsoku/>
        <w:wordWrap/>
        <w:overflowPunct/>
        <w:topLinePunct w:val="0"/>
        <w:autoSpaceDE w:val="0"/>
        <w:autoSpaceDN w:val="0"/>
        <w:bidi w:val="0"/>
        <w:adjustRightInd w:val="0"/>
        <w:snapToGrid/>
        <w:spacing w:before="0" w:beforeAutospacing="0" w:after="0" w:afterAutospacing="0" w:line="288" w:lineRule="auto"/>
        <w:ind w:left="1079" w:leftChars="257" w:hanging="539"/>
        <w:jc w:val="center"/>
        <w:textAlignment w:val="baseline"/>
        <w:outlineLvl w:val="1"/>
        <w:rPr>
          <w:rFonts w:hint="eastAsia" w:ascii="仿宋_GB2312" w:hAnsi="仿宋_GB2312" w:eastAsia="仿宋_GB2312" w:cs="仿宋_GB2312"/>
          <w:b/>
          <w:i w:val="0"/>
          <w:caps w:val="0"/>
          <w:spacing w:val="0"/>
          <w:w w:val="100"/>
          <w:sz w:val="24"/>
          <w:u w:val="none"/>
          <w:lang w:val="en-US" w:eastAsia="zh-CN"/>
        </w:rPr>
      </w:pPr>
      <w:bookmarkStart w:id="1384" w:name="_Toc16929"/>
      <w:bookmarkStart w:id="1385" w:name="_Toc10253"/>
      <w:bookmarkStart w:id="1386" w:name="_Toc26407"/>
      <w:bookmarkStart w:id="1387" w:name="_Toc341"/>
      <w:bookmarkStart w:id="1388" w:name="_Toc5492"/>
      <w:bookmarkStart w:id="1389" w:name="_Toc13271"/>
      <w:r>
        <w:rPr>
          <w:rFonts w:hint="eastAsia" w:ascii="仿宋_GB2312" w:hAnsi="仿宋_GB2312" w:eastAsia="仿宋_GB2312" w:cs="仿宋_GB2312"/>
          <w:b/>
          <w:i w:val="0"/>
          <w:caps w:val="0"/>
          <w:spacing w:val="0"/>
          <w:w w:val="100"/>
          <w:sz w:val="24"/>
          <w:u w:val="none"/>
          <w:lang w:val="en-US" w:eastAsia="zh-CN"/>
        </w:rPr>
        <w:t>6   中小企业声明函</w:t>
      </w:r>
      <w:bookmarkEnd w:id="1384"/>
      <w:bookmarkEnd w:id="1385"/>
      <w:bookmarkEnd w:id="1386"/>
      <w:bookmarkEnd w:id="1387"/>
      <w:bookmarkEnd w:id="1388"/>
      <w:bookmarkEnd w:id="1389"/>
    </w:p>
    <w:p w14:paraId="02A40119">
      <w:pPr>
        <w:rPr>
          <w:rFonts w:hint="eastAsia" w:ascii="仿宋_GB2312" w:hAnsi="仿宋_GB2312" w:eastAsia="仿宋_GB2312" w:cs="仿宋_GB2312"/>
          <w:b/>
          <w:i w:val="0"/>
          <w:caps w:val="0"/>
          <w:spacing w:val="0"/>
          <w:w w:val="100"/>
          <w:sz w:val="24"/>
          <w:u w:val="none"/>
          <w:lang w:val="en-US" w:eastAsia="zh-CN"/>
        </w:rPr>
      </w:pPr>
    </w:p>
    <w:p w14:paraId="53E1D82C">
      <w:pPr>
        <w:pStyle w:val="2"/>
        <w:keepNext/>
        <w:keepLines/>
        <w:pageBreakBefore w:val="0"/>
        <w:widowControl/>
        <w:kinsoku/>
        <w:wordWrap/>
        <w:overflowPunct/>
        <w:topLinePunct w:val="0"/>
        <w:autoSpaceDE w:val="0"/>
        <w:autoSpaceDN w:val="0"/>
        <w:bidi w:val="0"/>
        <w:adjustRightInd w:val="0"/>
        <w:snapToGrid/>
        <w:spacing w:before="0" w:beforeAutospacing="0" w:after="0" w:afterAutospacing="0" w:line="288" w:lineRule="auto"/>
        <w:ind w:firstLine="2650" w:firstLineChars="1100"/>
        <w:jc w:val="both"/>
        <w:textAlignment w:val="baseline"/>
        <w:outlineLvl w:val="1"/>
        <w:rPr>
          <w:rFonts w:hint="eastAsia"/>
          <w:lang w:val="en-US" w:eastAsia="zh-CN"/>
        </w:rPr>
      </w:pPr>
      <w:bookmarkStart w:id="1390" w:name="_Toc3049"/>
      <w:r>
        <w:rPr>
          <w:rFonts w:hint="eastAsia" w:ascii="仿宋_GB2312" w:hAnsi="仿宋_GB2312" w:eastAsia="仿宋_GB2312" w:cs="仿宋_GB2312"/>
          <w:b/>
          <w:i w:val="0"/>
          <w:caps w:val="0"/>
          <w:spacing w:val="0"/>
          <w:w w:val="100"/>
          <w:sz w:val="24"/>
          <w:u w:val="none"/>
          <w:lang w:val="en-US" w:eastAsia="zh-CN"/>
        </w:rPr>
        <w:t>6-1   中小企业声明函（货物）</w:t>
      </w:r>
      <w:bookmarkEnd w:id="1390"/>
    </w:p>
    <w:bookmarkEnd w:id="1374"/>
    <w:bookmarkEnd w:id="1375"/>
    <w:bookmarkEnd w:id="1376"/>
    <w:bookmarkEnd w:id="1377"/>
    <w:bookmarkEnd w:id="1378"/>
    <w:bookmarkEnd w:id="1379"/>
    <w:bookmarkEnd w:id="1380"/>
    <w:bookmarkEnd w:id="1381"/>
    <w:bookmarkEnd w:id="1382"/>
    <w:p w14:paraId="3CC5AE88">
      <w:pPr>
        <w:keepNext w:val="0"/>
        <w:keepLines w:val="0"/>
        <w:pageBreakBefore w:val="0"/>
        <w:widowControl/>
        <w:suppressLineNumbers w:val="0"/>
        <w:shd w:val="clear" w:color="auto" w:fill="FFFFFF"/>
        <w:kinsoku/>
        <w:wordWrap/>
        <w:overflowPunct/>
        <w:topLinePunct w:val="0"/>
        <w:autoSpaceDE/>
        <w:autoSpaceDN/>
        <w:bidi w:val="0"/>
        <w:adjustRightInd/>
        <w:snapToGrid/>
        <w:spacing w:before="100" w:beforeAutospacing="1" w:after="100" w:afterAutospacing="1" w:line="240" w:lineRule="auto"/>
        <w:ind w:left="0" w:right="0" w:firstLine="480"/>
        <w:jc w:val="left"/>
        <w:textAlignment w:val="auto"/>
        <w:rPr>
          <w:rFonts w:hint="eastAsia" w:ascii="仿宋" w:hAnsi="仿宋" w:eastAsia="仿宋" w:cs="仿宋"/>
          <w:i w:val="0"/>
          <w:iCs w:val="0"/>
          <w:caps w:val="0"/>
          <w:color w:val="333333"/>
          <w:spacing w:val="0"/>
          <w:sz w:val="24"/>
          <w:szCs w:val="24"/>
        </w:rPr>
      </w:pPr>
      <w:bookmarkStart w:id="1391" w:name="_Toc515647824"/>
      <w:bookmarkStart w:id="1392" w:name="_Toc11803"/>
      <w:bookmarkStart w:id="1393" w:name="_Toc10977"/>
      <w:r>
        <w:rPr>
          <w:rFonts w:hint="eastAsia" w:ascii="仿宋" w:hAnsi="仿宋" w:eastAsia="仿宋" w:cs="仿宋"/>
          <w:i w:val="0"/>
          <w:iCs w:val="0"/>
          <w:caps w:val="0"/>
          <w:color w:val="333333"/>
          <w:spacing w:val="0"/>
          <w:kern w:val="0"/>
          <w:sz w:val="24"/>
          <w:szCs w:val="24"/>
          <w:shd w:val="clear" w:color="auto" w:fill="FFFFFF"/>
          <w:lang w:val="en-US" w:eastAsia="zh-CN" w:bidi="ar"/>
        </w:rPr>
        <w:t>本公司（联合体）郑重声明，根据《政府采购促进中小企业发展管理办法》（财库﹝2020﹞46 号）的规定，本公司（联合体）参加</w:t>
      </w:r>
      <w:r>
        <w:rPr>
          <w:rFonts w:hint="eastAsia" w:ascii="仿宋" w:hAnsi="仿宋" w:eastAsia="仿宋" w:cs="仿宋"/>
          <w:i w:val="0"/>
          <w:iCs w:val="0"/>
          <w:caps w:val="0"/>
          <w:color w:val="333333"/>
          <w:spacing w:val="0"/>
          <w:kern w:val="0"/>
          <w:sz w:val="24"/>
          <w:szCs w:val="24"/>
          <w:u w:val="single"/>
          <w:shd w:val="clear" w:color="auto" w:fill="FFFFFF"/>
          <w:lang w:val="en-US" w:eastAsia="zh-CN" w:bidi="ar"/>
        </w:rPr>
        <w:t>     （单位名称）</w:t>
      </w:r>
      <w:r>
        <w:rPr>
          <w:rFonts w:hint="eastAsia" w:ascii="仿宋" w:hAnsi="仿宋" w:eastAsia="仿宋" w:cs="仿宋"/>
          <w:i w:val="0"/>
          <w:iCs w:val="0"/>
          <w:caps w:val="0"/>
          <w:color w:val="333333"/>
          <w:spacing w:val="0"/>
          <w:kern w:val="0"/>
          <w:sz w:val="24"/>
          <w:szCs w:val="24"/>
          <w:shd w:val="clear" w:color="auto" w:fill="FFFFFF"/>
          <w:lang w:val="en-US" w:eastAsia="zh-CN" w:bidi="ar"/>
        </w:rPr>
        <w:t>的</w:t>
      </w:r>
      <w:r>
        <w:rPr>
          <w:rFonts w:hint="eastAsia" w:ascii="仿宋" w:hAnsi="仿宋" w:eastAsia="仿宋" w:cs="仿宋"/>
          <w:i w:val="0"/>
          <w:iCs w:val="0"/>
          <w:caps w:val="0"/>
          <w:color w:val="333333"/>
          <w:spacing w:val="0"/>
          <w:kern w:val="0"/>
          <w:sz w:val="24"/>
          <w:szCs w:val="24"/>
          <w:u w:val="single"/>
          <w:shd w:val="clear" w:color="auto" w:fill="FFFFFF"/>
          <w:lang w:val="en-US" w:eastAsia="zh-CN" w:bidi="ar"/>
        </w:rPr>
        <w:t>    （项目名称）</w:t>
      </w:r>
      <w:r>
        <w:rPr>
          <w:rFonts w:hint="eastAsia" w:ascii="仿宋" w:hAnsi="仿宋" w:eastAsia="仿宋" w:cs="仿宋"/>
          <w:i w:val="0"/>
          <w:iCs w:val="0"/>
          <w:caps w:val="0"/>
          <w:color w:val="333333"/>
          <w:spacing w:val="0"/>
          <w:kern w:val="0"/>
          <w:sz w:val="24"/>
          <w:szCs w:val="24"/>
          <w:shd w:val="clear" w:color="auto" w:fill="FFFFFF"/>
          <w:lang w:val="en-US" w:eastAsia="zh-CN" w:bidi="ar"/>
        </w:rPr>
        <w:t>采购活动，提供的货物全部由符合政策要求的中小企业制造。相关企业（含联合体中的中小企业、签订分包意向协议的中小企业）的具体情况如下：</w:t>
      </w:r>
    </w:p>
    <w:p w14:paraId="379F536B">
      <w:pPr>
        <w:keepNext w:val="0"/>
        <w:keepLines w:val="0"/>
        <w:pageBreakBefore w:val="0"/>
        <w:widowControl/>
        <w:suppressLineNumbers w:val="0"/>
        <w:shd w:val="clear" w:color="auto" w:fill="FFFFFF"/>
        <w:kinsoku/>
        <w:wordWrap/>
        <w:overflowPunct/>
        <w:topLinePunct w:val="0"/>
        <w:autoSpaceDE/>
        <w:autoSpaceDN/>
        <w:bidi w:val="0"/>
        <w:adjustRightInd/>
        <w:snapToGrid/>
        <w:spacing w:before="100" w:beforeAutospacing="1" w:after="100" w:afterAutospacing="1" w:line="240" w:lineRule="auto"/>
        <w:ind w:left="0" w:right="0" w:firstLine="480"/>
        <w:jc w:val="left"/>
        <w:textAlignment w:val="auto"/>
        <w:rPr>
          <w:rFonts w:hint="eastAsia" w:ascii="仿宋" w:hAnsi="仿宋" w:eastAsia="仿宋" w:cs="仿宋"/>
          <w:i w:val="0"/>
          <w:iCs w:val="0"/>
          <w:caps w:val="0"/>
          <w:color w:val="333333"/>
          <w:spacing w:val="0"/>
          <w:sz w:val="24"/>
          <w:szCs w:val="24"/>
        </w:rPr>
      </w:pPr>
      <w:r>
        <w:rPr>
          <w:rFonts w:hint="eastAsia" w:ascii="仿宋" w:hAnsi="仿宋" w:eastAsia="仿宋" w:cs="仿宋"/>
          <w:i w:val="0"/>
          <w:iCs w:val="0"/>
          <w:caps w:val="0"/>
          <w:color w:val="333333"/>
          <w:spacing w:val="0"/>
          <w:kern w:val="0"/>
          <w:sz w:val="24"/>
          <w:szCs w:val="24"/>
          <w:shd w:val="clear" w:color="auto" w:fill="FFFFFF"/>
          <w:lang w:val="en-US" w:eastAsia="zh-CN" w:bidi="ar"/>
        </w:rPr>
        <w:t>1.</w:t>
      </w:r>
      <w:r>
        <w:rPr>
          <w:rFonts w:hint="eastAsia" w:ascii="仿宋" w:hAnsi="仿宋" w:eastAsia="仿宋" w:cs="仿宋"/>
          <w:i w:val="0"/>
          <w:iCs w:val="0"/>
          <w:caps w:val="0"/>
          <w:color w:val="333333"/>
          <w:spacing w:val="0"/>
          <w:kern w:val="0"/>
          <w:sz w:val="24"/>
          <w:szCs w:val="24"/>
          <w:u w:val="single"/>
          <w:shd w:val="clear" w:color="auto" w:fill="FFFFFF"/>
          <w:lang w:val="en-US" w:eastAsia="zh-CN" w:bidi="ar"/>
        </w:rPr>
        <w:t>     （标的名称）</w:t>
      </w:r>
      <w:r>
        <w:rPr>
          <w:rFonts w:hint="eastAsia" w:ascii="仿宋" w:hAnsi="仿宋" w:eastAsia="仿宋" w:cs="仿宋"/>
          <w:i w:val="0"/>
          <w:iCs w:val="0"/>
          <w:caps w:val="0"/>
          <w:color w:val="333333"/>
          <w:spacing w:val="0"/>
          <w:kern w:val="0"/>
          <w:sz w:val="24"/>
          <w:szCs w:val="24"/>
          <w:shd w:val="clear" w:color="auto" w:fill="FFFFFF"/>
          <w:lang w:val="en-US" w:eastAsia="zh-CN" w:bidi="ar"/>
        </w:rPr>
        <w:t>，属于</w:t>
      </w:r>
      <w:r>
        <w:rPr>
          <w:rFonts w:hint="eastAsia" w:ascii="仿宋" w:hAnsi="仿宋" w:eastAsia="仿宋" w:cs="仿宋"/>
          <w:i w:val="0"/>
          <w:iCs w:val="0"/>
          <w:caps w:val="0"/>
          <w:color w:val="333333"/>
          <w:spacing w:val="0"/>
          <w:kern w:val="0"/>
          <w:sz w:val="24"/>
          <w:szCs w:val="24"/>
          <w:u w:val="single"/>
          <w:shd w:val="clear" w:color="auto" w:fill="FFFFFF"/>
          <w:lang w:val="en-US" w:eastAsia="zh-CN" w:bidi="ar"/>
        </w:rPr>
        <w:t>     （采购文件中明确的所属行业）</w:t>
      </w:r>
      <w:r>
        <w:rPr>
          <w:rFonts w:hint="eastAsia" w:ascii="仿宋" w:hAnsi="仿宋" w:eastAsia="仿宋" w:cs="仿宋"/>
          <w:i w:val="0"/>
          <w:iCs w:val="0"/>
          <w:caps w:val="0"/>
          <w:color w:val="333333"/>
          <w:spacing w:val="0"/>
          <w:kern w:val="0"/>
          <w:sz w:val="24"/>
          <w:szCs w:val="24"/>
          <w:shd w:val="clear" w:color="auto" w:fill="FFFFFF"/>
          <w:lang w:val="en-US" w:eastAsia="zh-CN" w:bidi="ar"/>
        </w:rPr>
        <w:t>行业；制造商为</w:t>
      </w:r>
      <w:r>
        <w:rPr>
          <w:rFonts w:hint="eastAsia" w:ascii="仿宋" w:hAnsi="仿宋" w:eastAsia="仿宋" w:cs="仿宋"/>
          <w:i w:val="0"/>
          <w:iCs w:val="0"/>
          <w:caps w:val="0"/>
          <w:color w:val="333333"/>
          <w:spacing w:val="0"/>
          <w:kern w:val="0"/>
          <w:sz w:val="24"/>
          <w:szCs w:val="24"/>
          <w:u w:val="single"/>
          <w:shd w:val="clear" w:color="auto" w:fill="FFFFFF"/>
          <w:lang w:val="en-US" w:eastAsia="zh-CN" w:bidi="ar"/>
        </w:rPr>
        <w:t>       （企业名称）</w:t>
      </w:r>
      <w:r>
        <w:rPr>
          <w:rFonts w:hint="eastAsia" w:ascii="仿宋" w:hAnsi="仿宋" w:eastAsia="仿宋" w:cs="仿宋"/>
          <w:i w:val="0"/>
          <w:iCs w:val="0"/>
          <w:caps w:val="0"/>
          <w:color w:val="333333"/>
          <w:spacing w:val="0"/>
          <w:kern w:val="0"/>
          <w:sz w:val="24"/>
          <w:szCs w:val="24"/>
          <w:shd w:val="clear" w:color="auto" w:fill="FFFFFF"/>
          <w:lang w:val="en-US" w:eastAsia="zh-CN" w:bidi="ar"/>
        </w:rPr>
        <w:t>，从业人员</w:t>
      </w:r>
      <w:r>
        <w:rPr>
          <w:rFonts w:hint="eastAsia" w:ascii="仿宋" w:hAnsi="仿宋" w:eastAsia="仿宋" w:cs="仿宋"/>
          <w:i w:val="0"/>
          <w:iCs w:val="0"/>
          <w:caps w:val="0"/>
          <w:color w:val="333333"/>
          <w:spacing w:val="0"/>
          <w:kern w:val="0"/>
          <w:sz w:val="24"/>
          <w:szCs w:val="24"/>
          <w:u w:val="single"/>
          <w:shd w:val="clear" w:color="auto" w:fill="FFFFFF"/>
          <w:lang w:val="en-US" w:eastAsia="zh-CN" w:bidi="ar"/>
        </w:rPr>
        <w:t>    </w:t>
      </w:r>
      <w:r>
        <w:rPr>
          <w:rFonts w:hint="eastAsia" w:ascii="仿宋" w:hAnsi="仿宋" w:eastAsia="仿宋" w:cs="仿宋"/>
          <w:i w:val="0"/>
          <w:iCs w:val="0"/>
          <w:caps w:val="0"/>
          <w:color w:val="333333"/>
          <w:spacing w:val="0"/>
          <w:kern w:val="0"/>
          <w:sz w:val="24"/>
          <w:szCs w:val="24"/>
          <w:shd w:val="clear" w:color="auto" w:fill="FFFFFF"/>
          <w:lang w:val="en-US" w:eastAsia="zh-CN" w:bidi="ar"/>
        </w:rPr>
        <w:t>人，营业收入为</w:t>
      </w:r>
      <w:r>
        <w:rPr>
          <w:rFonts w:hint="eastAsia" w:ascii="仿宋" w:hAnsi="仿宋" w:eastAsia="仿宋" w:cs="仿宋"/>
          <w:i w:val="0"/>
          <w:iCs w:val="0"/>
          <w:caps w:val="0"/>
          <w:color w:val="333333"/>
          <w:spacing w:val="0"/>
          <w:kern w:val="0"/>
          <w:sz w:val="24"/>
          <w:szCs w:val="24"/>
          <w:u w:val="single"/>
          <w:shd w:val="clear" w:color="auto" w:fill="FFFFFF"/>
          <w:lang w:val="en-US" w:eastAsia="zh-CN" w:bidi="ar"/>
        </w:rPr>
        <w:t>    </w:t>
      </w:r>
      <w:r>
        <w:rPr>
          <w:rFonts w:hint="eastAsia" w:ascii="仿宋" w:hAnsi="仿宋" w:eastAsia="仿宋" w:cs="仿宋"/>
          <w:i w:val="0"/>
          <w:iCs w:val="0"/>
          <w:caps w:val="0"/>
          <w:color w:val="333333"/>
          <w:spacing w:val="0"/>
          <w:kern w:val="0"/>
          <w:sz w:val="24"/>
          <w:szCs w:val="24"/>
          <w:shd w:val="clear" w:color="auto" w:fill="FFFFFF"/>
          <w:lang w:val="en-US" w:eastAsia="zh-CN" w:bidi="ar"/>
        </w:rPr>
        <w:t>万元，资产总额为</w:t>
      </w:r>
      <w:r>
        <w:rPr>
          <w:rFonts w:hint="eastAsia" w:ascii="仿宋" w:hAnsi="仿宋" w:eastAsia="仿宋" w:cs="仿宋"/>
          <w:i w:val="0"/>
          <w:iCs w:val="0"/>
          <w:caps w:val="0"/>
          <w:color w:val="333333"/>
          <w:spacing w:val="0"/>
          <w:kern w:val="0"/>
          <w:sz w:val="24"/>
          <w:szCs w:val="24"/>
          <w:u w:val="single"/>
          <w:shd w:val="clear" w:color="auto" w:fill="FFFFFF"/>
          <w:lang w:val="en-US" w:eastAsia="zh-CN" w:bidi="ar"/>
        </w:rPr>
        <w:t>   </w:t>
      </w:r>
      <w:r>
        <w:rPr>
          <w:rFonts w:hint="eastAsia" w:ascii="仿宋" w:hAnsi="仿宋" w:eastAsia="仿宋" w:cs="仿宋"/>
          <w:i w:val="0"/>
          <w:iCs w:val="0"/>
          <w:caps w:val="0"/>
          <w:color w:val="333333"/>
          <w:spacing w:val="0"/>
          <w:kern w:val="0"/>
          <w:sz w:val="24"/>
          <w:szCs w:val="24"/>
          <w:shd w:val="clear" w:color="auto" w:fill="FFFFFF"/>
          <w:lang w:val="en-US" w:eastAsia="zh-CN" w:bidi="ar"/>
        </w:rPr>
        <w:t>万元</w:t>
      </w:r>
      <w:r>
        <w:rPr>
          <w:rFonts w:hint="eastAsia" w:ascii="仿宋" w:hAnsi="仿宋" w:eastAsia="仿宋" w:cs="仿宋"/>
          <w:i w:val="0"/>
          <w:iCs w:val="0"/>
          <w:caps w:val="0"/>
          <w:color w:val="333333"/>
          <w:spacing w:val="0"/>
          <w:kern w:val="0"/>
          <w:sz w:val="24"/>
          <w:szCs w:val="24"/>
          <w:shd w:val="clear" w:color="auto" w:fill="FFFFFF"/>
          <w:vertAlign w:val="superscript"/>
          <w:lang w:val="en-US" w:eastAsia="zh-CN" w:bidi="ar"/>
        </w:rPr>
        <w:t>1</w:t>
      </w:r>
      <w:r>
        <w:rPr>
          <w:rFonts w:hint="eastAsia" w:ascii="仿宋" w:hAnsi="仿宋" w:eastAsia="仿宋" w:cs="仿宋"/>
          <w:i w:val="0"/>
          <w:iCs w:val="0"/>
          <w:caps w:val="0"/>
          <w:color w:val="333333"/>
          <w:spacing w:val="0"/>
          <w:kern w:val="0"/>
          <w:sz w:val="24"/>
          <w:szCs w:val="24"/>
          <w:shd w:val="clear" w:color="auto" w:fill="FFFFFF"/>
          <w:lang w:val="en-US" w:eastAsia="zh-CN" w:bidi="ar"/>
        </w:rPr>
        <w:t>，属于</w:t>
      </w:r>
      <w:r>
        <w:rPr>
          <w:rFonts w:hint="eastAsia" w:ascii="仿宋" w:hAnsi="仿宋" w:eastAsia="仿宋" w:cs="仿宋"/>
          <w:i w:val="0"/>
          <w:iCs w:val="0"/>
          <w:caps w:val="0"/>
          <w:color w:val="333333"/>
          <w:spacing w:val="0"/>
          <w:kern w:val="0"/>
          <w:sz w:val="24"/>
          <w:szCs w:val="24"/>
          <w:u w:val="single"/>
          <w:shd w:val="clear" w:color="auto" w:fill="FFFFFF"/>
          <w:lang w:val="en-US" w:eastAsia="zh-CN" w:bidi="ar"/>
        </w:rPr>
        <w:t>     （中型企业、小型企业、微型企业）</w:t>
      </w:r>
      <w:r>
        <w:rPr>
          <w:rFonts w:hint="eastAsia" w:ascii="仿宋" w:hAnsi="仿宋" w:eastAsia="仿宋" w:cs="仿宋"/>
          <w:i w:val="0"/>
          <w:iCs w:val="0"/>
          <w:caps w:val="0"/>
          <w:color w:val="333333"/>
          <w:spacing w:val="0"/>
          <w:kern w:val="0"/>
          <w:sz w:val="24"/>
          <w:szCs w:val="24"/>
          <w:shd w:val="clear" w:color="auto" w:fill="FFFFFF"/>
          <w:lang w:val="en-US" w:eastAsia="zh-CN" w:bidi="ar"/>
        </w:rPr>
        <w:t>；</w:t>
      </w:r>
    </w:p>
    <w:p w14:paraId="3876AF35">
      <w:pPr>
        <w:keepNext w:val="0"/>
        <w:keepLines w:val="0"/>
        <w:pageBreakBefore w:val="0"/>
        <w:widowControl/>
        <w:suppressLineNumbers w:val="0"/>
        <w:shd w:val="clear" w:color="auto" w:fill="FFFFFF"/>
        <w:kinsoku/>
        <w:wordWrap/>
        <w:overflowPunct/>
        <w:topLinePunct w:val="0"/>
        <w:autoSpaceDE/>
        <w:autoSpaceDN/>
        <w:bidi w:val="0"/>
        <w:adjustRightInd/>
        <w:snapToGrid/>
        <w:spacing w:before="100" w:beforeAutospacing="1" w:after="100" w:afterAutospacing="1" w:line="240" w:lineRule="auto"/>
        <w:ind w:left="0" w:right="0" w:firstLine="480"/>
        <w:jc w:val="left"/>
        <w:textAlignment w:val="auto"/>
        <w:rPr>
          <w:rFonts w:hint="eastAsia" w:ascii="仿宋" w:hAnsi="仿宋" w:eastAsia="仿宋" w:cs="仿宋"/>
          <w:i w:val="0"/>
          <w:iCs w:val="0"/>
          <w:caps w:val="0"/>
          <w:color w:val="333333"/>
          <w:spacing w:val="0"/>
          <w:sz w:val="24"/>
          <w:szCs w:val="24"/>
        </w:rPr>
      </w:pPr>
      <w:r>
        <w:rPr>
          <w:rFonts w:hint="eastAsia" w:ascii="仿宋" w:hAnsi="仿宋" w:eastAsia="仿宋" w:cs="仿宋"/>
          <w:i w:val="0"/>
          <w:iCs w:val="0"/>
          <w:caps w:val="0"/>
          <w:color w:val="333333"/>
          <w:spacing w:val="0"/>
          <w:kern w:val="0"/>
          <w:sz w:val="24"/>
          <w:szCs w:val="24"/>
          <w:shd w:val="clear" w:color="auto" w:fill="FFFFFF"/>
          <w:lang w:val="en-US" w:eastAsia="zh-CN" w:bidi="ar"/>
        </w:rPr>
        <w:t>2.</w:t>
      </w:r>
      <w:r>
        <w:rPr>
          <w:rFonts w:hint="eastAsia" w:ascii="仿宋" w:hAnsi="仿宋" w:eastAsia="仿宋" w:cs="仿宋"/>
          <w:i w:val="0"/>
          <w:iCs w:val="0"/>
          <w:caps w:val="0"/>
          <w:color w:val="333333"/>
          <w:spacing w:val="0"/>
          <w:kern w:val="0"/>
          <w:sz w:val="24"/>
          <w:szCs w:val="24"/>
          <w:u w:val="single"/>
          <w:shd w:val="clear" w:color="auto" w:fill="FFFFFF"/>
          <w:lang w:val="en-US" w:eastAsia="zh-CN" w:bidi="ar"/>
        </w:rPr>
        <w:t>     （标的名称）</w:t>
      </w:r>
      <w:r>
        <w:rPr>
          <w:rFonts w:hint="eastAsia" w:ascii="仿宋" w:hAnsi="仿宋" w:eastAsia="仿宋" w:cs="仿宋"/>
          <w:i w:val="0"/>
          <w:iCs w:val="0"/>
          <w:caps w:val="0"/>
          <w:color w:val="333333"/>
          <w:spacing w:val="0"/>
          <w:kern w:val="0"/>
          <w:sz w:val="24"/>
          <w:szCs w:val="24"/>
          <w:shd w:val="clear" w:color="auto" w:fill="FFFFFF"/>
          <w:lang w:val="en-US" w:eastAsia="zh-CN" w:bidi="ar"/>
        </w:rPr>
        <w:t>，属于</w:t>
      </w:r>
      <w:r>
        <w:rPr>
          <w:rFonts w:hint="eastAsia" w:ascii="仿宋" w:hAnsi="仿宋" w:eastAsia="仿宋" w:cs="仿宋"/>
          <w:i w:val="0"/>
          <w:iCs w:val="0"/>
          <w:caps w:val="0"/>
          <w:color w:val="333333"/>
          <w:spacing w:val="0"/>
          <w:kern w:val="0"/>
          <w:sz w:val="24"/>
          <w:szCs w:val="24"/>
          <w:u w:val="single"/>
          <w:shd w:val="clear" w:color="auto" w:fill="FFFFFF"/>
          <w:lang w:val="en-US" w:eastAsia="zh-CN" w:bidi="ar"/>
        </w:rPr>
        <w:t>     （采购文件中明确的所属行业）</w:t>
      </w:r>
      <w:r>
        <w:rPr>
          <w:rFonts w:hint="eastAsia" w:ascii="仿宋" w:hAnsi="仿宋" w:eastAsia="仿宋" w:cs="仿宋"/>
          <w:i w:val="0"/>
          <w:iCs w:val="0"/>
          <w:caps w:val="0"/>
          <w:color w:val="333333"/>
          <w:spacing w:val="0"/>
          <w:kern w:val="0"/>
          <w:sz w:val="24"/>
          <w:szCs w:val="24"/>
          <w:shd w:val="clear" w:color="auto" w:fill="FFFFFF"/>
          <w:lang w:val="en-US" w:eastAsia="zh-CN" w:bidi="ar"/>
        </w:rPr>
        <w:t>行业；制造商为</w:t>
      </w:r>
      <w:r>
        <w:rPr>
          <w:rFonts w:hint="eastAsia" w:ascii="仿宋" w:hAnsi="仿宋" w:eastAsia="仿宋" w:cs="仿宋"/>
          <w:i w:val="0"/>
          <w:iCs w:val="0"/>
          <w:caps w:val="0"/>
          <w:color w:val="333333"/>
          <w:spacing w:val="0"/>
          <w:kern w:val="0"/>
          <w:sz w:val="24"/>
          <w:szCs w:val="24"/>
          <w:u w:val="single"/>
          <w:shd w:val="clear" w:color="auto" w:fill="FFFFFF"/>
          <w:lang w:val="en-US" w:eastAsia="zh-CN" w:bidi="ar"/>
        </w:rPr>
        <w:t>       （企业名称）</w:t>
      </w:r>
      <w:r>
        <w:rPr>
          <w:rFonts w:hint="eastAsia" w:ascii="仿宋" w:hAnsi="仿宋" w:eastAsia="仿宋" w:cs="仿宋"/>
          <w:i w:val="0"/>
          <w:iCs w:val="0"/>
          <w:caps w:val="0"/>
          <w:color w:val="333333"/>
          <w:spacing w:val="0"/>
          <w:kern w:val="0"/>
          <w:sz w:val="24"/>
          <w:szCs w:val="24"/>
          <w:shd w:val="clear" w:color="auto" w:fill="FFFFFF"/>
          <w:lang w:val="en-US" w:eastAsia="zh-CN" w:bidi="ar"/>
        </w:rPr>
        <w:t>，从业人员</w:t>
      </w:r>
      <w:r>
        <w:rPr>
          <w:rFonts w:hint="eastAsia" w:ascii="仿宋" w:hAnsi="仿宋" w:eastAsia="仿宋" w:cs="仿宋"/>
          <w:i w:val="0"/>
          <w:iCs w:val="0"/>
          <w:caps w:val="0"/>
          <w:color w:val="333333"/>
          <w:spacing w:val="0"/>
          <w:kern w:val="0"/>
          <w:sz w:val="24"/>
          <w:szCs w:val="24"/>
          <w:u w:val="single"/>
          <w:shd w:val="clear" w:color="auto" w:fill="FFFFFF"/>
          <w:lang w:val="en-US" w:eastAsia="zh-CN" w:bidi="ar"/>
        </w:rPr>
        <w:t>    </w:t>
      </w:r>
      <w:r>
        <w:rPr>
          <w:rFonts w:hint="eastAsia" w:ascii="仿宋" w:hAnsi="仿宋" w:eastAsia="仿宋" w:cs="仿宋"/>
          <w:i w:val="0"/>
          <w:iCs w:val="0"/>
          <w:caps w:val="0"/>
          <w:color w:val="333333"/>
          <w:spacing w:val="0"/>
          <w:kern w:val="0"/>
          <w:sz w:val="24"/>
          <w:szCs w:val="24"/>
          <w:shd w:val="clear" w:color="auto" w:fill="FFFFFF"/>
          <w:lang w:val="en-US" w:eastAsia="zh-CN" w:bidi="ar"/>
        </w:rPr>
        <w:t>人，营业收入为</w:t>
      </w:r>
      <w:r>
        <w:rPr>
          <w:rFonts w:hint="eastAsia" w:ascii="仿宋" w:hAnsi="仿宋" w:eastAsia="仿宋" w:cs="仿宋"/>
          <w:i w:val="0"/>
          <w:iCs w:val="0"/>
          <w:caps w:val="0"/>
          <w:color w:val="333333"/>
          <w:spacing w:val="0"/>
          <w:kern w:val="0"/>
          <w:sz w:val="24"/>
          <w:szCs w:val="24"/>
          <w:u w:val="single"/>
          <w:shd w:val="clear" w:color="auto" w:fill="FFFFFF"/>
          <w:lang w:val="en-US" w:eastAsia="zh-CN" w:bidi="ar"/>
        </w:rPr>
        <w:t>    </w:t>
      </w:r>
      <w:r>
        <w:rPr>
          <w:rFonts w:hint="eastAsia" w:ascii="仿宋" w:hAnsi="仿宋" w:eastAsia="仿宋" w:cs="仿宋"/>
          <w:i w:val="0"/>
          <w:iCs w:val="0"/>
          <w:caps w:val="0"/>
          <w:color w:val="333333"/>
          <w:spacing w:val="0"/>
          <w:kern w:val="0"/>
          <w:sz w:val="24"/>
          <w:szCs w:val="24"/>
          <w:shd w:val="clear" w:color="auto" w:fill="FFFFFF"/>
          <w:lang w:val="en-US" w:eastAsia="zh-CN" w:bidi="ar"/>
        </w:rPr>
        <w:t>万元，资产总额为</w:t>
      </w:r>
      <w:r>
        <w:rPr>
          <w:rFonts w:hint="eastAsia" w:ascii="仿宋" w:hAnsi="仿宋" w:eastAsia="仿宋" w:cs="仿宋"/>
          <w:i w:val="0"/>
          <w:iCs w:val="0"/>
          <w:caps w:val="0"/>
          <w:color w:val="333333"/>
          <w:spacing w:val="0"/>
          <w:kern w:val="0"/>
          <w:sz w:val="24"/>
          <w:szCs w:val="24"/>
          <w:u w:val="single"/>
          <w:shd w:val="clear" w:color="auto" w:fill="FFFFFF"/>
          <w:lang w:val="en-US" w:eastAsia="zh-CN" w:bidi="ar"/>
        </w:rPr>
        <w:t>   </w:t>
      </w:r>
      <w:r>
        <w:rPr>
          <w:rFonts w:hint="eastAsia" w:ascii="仿宋" w:hAnsi="仿宋" w:eastAsia="仿宋" w:cs="仿宋"/>
          <w:i w:val="0"/>
          <w:iCs w:val="0"/>
          <w:caps w:val="0"/>
          <w:color w:val="333333"/>
          <w:spacing w:val="0"/>
          <w:kern w:val="0"/>
          <w:sz w:val="24"/>
          <w:szCs w:val="24"/>
          <w:shd w:val="clear" w:color="auto" w:fill="FFFFFF"/>
          <w:lang w:val="en-US" w:eastAsia="zh-CN" w:bidi="ar"/>
        </w:rPr>
        <w:t>万元</w:t>
      </w:r>
      <w:r>
        <w:rPr>
          <w:rFonts w:hint="eastAsia" w:ascii="仿宋" w:hAnsi="仿宋" w:eastAsia="仿宋" w:cs="仿宋"/>
          <w:i w:val="0"/>
          <w:iCs w:val="0"/>
          <w:caps w:val="0"/>
          <w:color w:val="333333"/>
          <w:spacing w:val="0"/>
          <w:kern w:val="0"/>
          <w:sz w:val="24"/>
          <w:szCs w:val="24"/>
          <w:shd w:val="clear" w:color="auto" w:fill="FFFFFF"/>
          <w:vertAlign w:val="superscript"/>
          <w:lang w:val="en-US" w:eastAsia="zh-CN" w:bidi="ar"/>
        </w:rPr>
        <w:t>1</w:t>
      </w:r>
      <w:r>
        <w:rPr>
          <w:rFonts w:hint="eastAsia" w:ascii="仿宋" w:hAnsi="仿宋" w:eastAsia="仿宋" w:cs="仿宋"/>
          <w:i w:val="0"/>
          <w:iCs w:val="0"/>
          <w:caps w:val="0"/>
          <w:color w:val="333333"/>
          <w:spacing w:val="0"/>
          <w:kern w:val="0"/>
          <w:sz w:val="24"/>
          <w:szCs w:val="24"/>
          <w:shd w:val="clear" w:color="auto" w:fill="FFFFFF"/>
          <w:lang w:val="en-US" w:eastAsia="zh-CN" w:bidi="ar"/>
        </w:rPr>
        <w:t>，属于</w:t>
      </w:r>
      <w:r>
        <w:rPr>
          <w:rFonts w:hint="eastAsia" w:ascii="仿宋" w:hAnsi="仿宋" w:eastAsia="仿宋" w:cs="仿宋"/>
          <w:i w:val="0"/>
          <w:iCs w:val="0"/>
          <w:caps w:val="0"/>
          <w:color w:val="333333"/>
          <w:spacing w:val="0"/>
          <w:kern w:val="0"/>
          <w:sz w:val="24"/>
          <w:szCs w:val="24"/>
          <w:u w:val="single"/>
          <w:shd w:val="clear" w:color="auto" w:fill="FFFFFF"/>
          <w:lang w:val="en-US" w:eastAsia="zh-CN" w:bidi="ar"/>
        </w:rPr>
        <w:t>     （中型企业、小型企业、微型企业）</w:t>
      </w:r>
      <w:r>
        <w:rPr>
          <w:rFonts w:hint="eastAsia" w:ascii="仿宋" w:hAnsi="仿宋" w:eastAsia="仿宋" w:cs="仿宋"/>
          <w:i w:val="0"/>
          <w:iCs w:val="0"/>
          <w:caps w:val="0"/>
          <w:color w:val="333333"/>
          <w:spacing w:val="0"/>
          <w:kern w:val="0"/>
          <w:sz w:val="24"/>
          <w:szCs w:val="24"/>
          <w:shd w:val="clear" w:color="auto" w:fill="FFFFFF"/>
          <w:lang w:val="en-US" w:eastAsia="zh-CN" w:bidi="ar"/>
        </w:rPr>
        <w:t>；</w:t>
      </w:r>
    </w:p>
    <w:p w14:paraId="5165B724">
      <w:pPr>
        <w:keepNext w:val="0"/>
        <w:keepLines w:val="0"/>
        <w:pageBreakBefore w:val="0"/>
        <w:widowControl/>
        <w:suppressLineNumbers w:val="0"/>
        <w:shd w:val="clear" w:color="auto" w:fill="FFFFFF"/>
        <w:kinsoku/>
        <w:wordWrap/>
        <w:overflowPunct/>
        <w:topLinePunct w:val="0"/>
        <w:autoSpaceDE/>
        <w:autoSpaceDN/>
        <w:bidi w:val="0"/>
        <w:adjustRightInd/>
        <w:snapToGrid/>
        <w:spacing w:before="100" w:beforeAutospacing="1" w:after="100" w:afterAutospacing="1" w:line="240" w:lineRule="auto"/>
        <w:ind w:left="0" w:right="0" w:firstLine="480"/>
        <w:jc w:val="left"/>
        <w:textAlignment w:val="auto"/>
        <w:rPr>
          <w:rFonts w:hint="eastAsia" w:ascii="仿宋" w:hAnsi="仿宋" w:eastAsia="仿宋" w:cs="仿宋"/>
          <w:i w:val="0"/>
          <w:iCs w:val="0"/>
          <w:caps w:val="0"/>
          <w:color w:val="333333"/>
          <w:spacing w:val="0"/>
          <w:sz w:val="24"/>
          <w:szCs w:val="24"/>
        </w:rPr>
      </w:pPr>
      <w:r>
        <w:rPr>
          <w:rFonts w:hint="eastAsia" w:ascii="仿宋" w:hAnsi="仿宋" w:eastAsia="仿宋" w:cs="仿宋"/>
          <w:i w:val="0"/>
          <w:iCs w:val="0"/>
          <w:caps w:val="0"/>
          <w:color w:val="333333"/>
          <w:spacing w:val="0"/>
          <w:kern w:val="0"/>
          <w:sz w:val="24"/>
          <w:szCs w:val="24"/>
          <w:shd w:val="clear" w:color="auto" w:fill="FFFFFF"/>
          <w:lang w:val="en-US" w:eastAsia="zh-CN" w:bidi="ar"/>
        </w:rPr>
        <w:t>……</w:t>
      </w:r>
    </w:p>
    <w:p w14:paraId="65FB3FCB">
      <w:pPr>
        <w:keepNext w:val="0"/>
        <w:keepLines w:val="0"/>
        <w:pageBreakBefore w:val="0"/>
        <w:widowControl/>
        <w:suppressLineNumbers w:val="0"/>
        <w:shd w:val="clear" w:color="auto" w:fill="FFFFFF"/>
        <w:kinsoku/>
        <w:wordWrap/>
        <w:overflowPunct/>
        <w:topLinePunct w:val="0"/>
        <w:autoSpaceDE/>
        <w:autoSpaceDN/>
        <w:bidi w:val="0"/>
        <w:adjustRightInd/>
        <w:snapToGrid/>
        <w:spacing w:before="100" w:beforeAutospacing="1" w:after="100" w:afterAutospacing="1" w:line="240" w:lineRule="auto"/>
        <w:ind w:left="0" w:right="0" w:firstLine="480"/>
        <w:jc w:val="left"/>
        <w:textAlignment w:val="auto"/>
        <w:rPr>
          <w:rFonts w:hint="eastAsia" w:ascii="仿宋" w:hAnsi="仿宋" w:eastAsia="仿宋" w:cs="仿宋"/>
          <w:i w:val="0"/>
          <w:iCs w:val="0"/>
          <w:caps w:val="0"/>
          <w:color w:val="333333"/>
          <w:spacing w:val="0"/>
          <w:sz w:val="24"/>
          <w:szCs w:val="24"/>
        </w:rPr>
      </w:pPr>
      <w:r>
        <w:rPr>
          <w:rFonts w:hint="eastAsia" w:ascii="仿宋" w:hAnsi="仿宋" w:eastAsia="仿宋" w:cs="仿宋"/>
          <w:i w:val="0"/>
          <w:iCs w:val="0"/>
          <w:caps w:val="0"/>
          <w:color w:val="333333"/>
          <w:spacing w:val="0"/>
          <w:kern w:val="0"/>
          <w:sz w:val="24"/>
          <w:szCs w:val="24"/>
          <w:shd w:val="clear" w:color="auto" w:fill="FFFFFF"/>
          <w:lang w:val="en-US" w:eastAsia="zh-CN" w:bidi="ar"/>
        </w:rPr>
        <w:t>以上企业，不属于大企业的分支机构，不存在控股股东为大企业的情形，也不存在与大企业的负责人为同一人的情形。</w:t>
      </w:r>
    </w:p>
    <w:p w14:paraId="4C1ABCEF">
      <w:pPr>
        <w:keepNext w:val="0"/>
        <w:keepLines w:val="0"/>
        <w:widowControl/>
        <w:suppressLineNumbers w:val="0"/>
        <w:shd w:val="clear" w:color="auto" w:fill="FFFFFF"/>
        <w:spacing w:before="100" w:beforeAutospacing="1" w:after="100" w:afterAutospacing="1" w:line="435" w:lineRule="atLeast"/>
        <w:ind w:right="0"/>
        <w:jc w:val="center"/>
        <w:rPr>
          <w:rFonts w:hint="eastAsia" w:ascii="仿宋" w:hAnsi="仿宋" w:eastAsia="仿宋" w:cs="仿宋"/>
          <w:i w:val="0"/>
          <w:iCs w:val="0"/>
          <w:caps w:val="0"/>
          <w:color w:val="333333"/>
          <w:spacing w:val="0"/>
          <w:kern w:val="0"/>
          <w:sz w:val="24"/>
          <w:szCs w:val="24"/>
          <w:shd w:val="clear" w:color="auto" w:fill="FFFFFF"/>
          <w:lang w:val="en-US" w:eastAsia="zh-CN" w:bidi="ar"/>
        </w:rPr>
      </w:pPr>
      <w:r>
        <w:rPr>
          <w:rFonts w:hint="eastAsia" w:ascii="仿宋" w:hAnsi="仿宋" w:eastAsia="仿宋" w:cs="仿宋"/>
          <w:i w:val="0"/>
          <w:iCs w:val="0"/>
          <w:caps w:val="0"/>
          <w:color w:val="333333"/>
          <w:spacing w:val="0"/>
          <w:kern w:val="0"/>
          <w:sz w:val="24"/>
          <w:szCs w:val="24"/>
          <w:shd w:val="clear" w:color="auto" w:fill="FFFFFF"/>
          <w:lang w:val="en-US" w:eastAsia="zh-CN" w:bidi="ar"/>
        </w:rPr>
        <w:t>本企业对上述声明内容的真实性负责。如有虚假，将依法承担相应责任。</w:t>
      </w:r>
    </w:p>
    <w:p w14:paraId="234A219E">
      <w:pPr>
        <w:keepNext w:val="0"/>
        <w:keepLines w:val="0"/>
        <w:pageBreakBefore w:val="0"/>
        <w:widowControl/>
        <w:suppressLineNumbers w:val="0"/>
        <w:shd w:val="clear" w:color="auto" w:fill="FFFFFF"/>
        <w:kinsoku/>
        <w:wordWrap/>
        <w:overflowPunct/>
        <w:topLinePunct w:val="0"/>
        <w:autoSpaceDE/>
        <w:autoSpaceDN/>
        <w:bidi w:val="0"/>
        <w:adjustRightInd/>
        <w:snapToGrid/>
        <w:spacing w:before="100" w:beforeAutospacing="1" w:after="100" w:afterAutospacing="1" w:line="240" w:lineRule="auto"/>
        <w:ind w:left="0" w:right="0" w:firstLine="480" w:firstLineChars="200"/>
        <w:jc w:val="left"/>
        <w:textAlignment w:val="auto"/>
        <w:rPr>
          <w:rFonts w:hint="eastAsia" w:ascii="仿宋" w:hAnsi="仿宋" w:eastAsia="仿宋" w:cs="仿宋"/>
          <w:i w:val="0"/>
          <w:iCs w:val="0"/>
          <w:caps w:val="0"/>
          <w:color w:val="333333"/>
          <w:spacing w:val="0"/>
          <w:sz w:val="21"/>
          <w:szCs w:val="21"/>
        </w:rPr>
      </w:pPr>
      <w:r>
        <w:rPr>
          <w:rFonts w:hint="eastAsia" w:ascii="仿宋" w:hAnsi="仿宋" w:eastAsia="仿宋" w:cs="仿宋"/>
          <w:i w:val="0"/>
          <w:iCs w:val="0"/>
          <w:caps w:val="0"/>
          <w:color w:val="333333"/>
          <w:spacing w:val="0"/>
          <w:kern w:val="0"/>
          <w:sz w:val="24"/>
          <w:szCs w:val="24"/>
          <w:shd w:val="clear" w:color="auto" w:fill="FFFFFF"/>
          <w:lang w:val="en-US" w:eastAsia="zh-CN" w:bidi="ar"/>
        </w:rPr>
        <w:t>企业名称（盖章）：</w:t>
      </w:r>
    </w:p>
    <w:p w14:paraId="6BF3605D">
      <w:pPr>
        <w:keepNext w:val="0"/>
        <w:keepLines w:val="0"/>
        <w:pageBreakBefore w:val="0"/>
        <w:widowControl/>
        <w:suppressLineNumbers w:val="0"/>
        <w:shd w:val="clear" w:color="auto" w:fill="FFFFFF"/>
        <w:kinsoku/>
        <w:wordWrap/>
        <w:overflowPunct/>
        <w:topLinePunct w:val="0"/>
        <w:autoSpaceDE/>
        <w:autoSpaceDN/>
        <w:bidi w:val="0"/>
        <w:adjustRightInd/>
        <w:snapToGrid/>
        <w:spacing w:before="100" w:beforeAutospacing="1" w:after="100" w:afterAutospacing="1" w:line="240" w:lineRule="auto"/>
        <w:ind w:left="0" w:right="0" w:firstLine="480" w:firstLineChars="200"/>
        <w:jc w:val="left"/>
        <w:textAlignment w:val="auto"/>
        <w:rPr>
          <w:rFonts w:hint="eastAsia" w:ascii="仿宋" w:hAnsi="仿宋" w:eastAsia="仿宋" w:cs="仿宋"/>
          <w:i w:val="0"/>
          <w:iCs w:val="0"/>
          <w:caps w:val="0"/>
          <w:color w:val="333333"/>
          <w:spacing w:val="0"/>
          <w:sz w:val="21"/>
          <w:szCs w:val="21"/>
        </w:rPr>
      </w:pPr>
      <w:r>
        <w:rPr>
          <w:rFonts w:hint="eastAsia" w:ascii="仿宋" w:hAnsi="仿宋" w:eastAsia="仿宋" w:cs="仿宋"/>
          <w:i w:val="0"/>
          <w:iCs w:val="0"/>
          <w:caps w:val="0"/>
          <w:color w:val="333333"/>
          <w:spacing w:val="0"/>
          <w:kern w:val="0"/>
          <w:sz w:val="24"/>
          <w:szCs w:val="24"/>
          <w:shd w:val="clear" w:color="auto" w:fill="FFFFFF"/>
          <w:lang w:val="en-US" w:eastAsia="zh-CN" w:bidi="ar"/>
        </w:rPr>
        <w:t>日 期：</w:t>
      </w:r>
    </w:p>
    <w:p w14:paraId="364DAC19">
      <w:pPr>
        <w:keepNext w:val="0"/>
        <w:keepLines w:val="0"/>
        <w:pageBreakBefore w:val="0"/>
        <w:widowControl/>
        <w:kinsoku/>
        <w:wordWrap/>
        <w:overflowPunct/>
        <w:topLinePunct w:val="0"/>
        <w:autoSpaceDE/>
        <w:autoSpaceDN/>
        <w:bidi w:val="0"/>
        <w:adjustRightInd/>
        <w:snapToGrid/>
        <w:spacing w:before="100" w:beforeAutospacing="1" w:after="100" w:afterAutospacing="1" w:line="240" w:lineRule="auto"/>
        <w:ind w:firstLine="480" w:firstLineChars="200"/>
        <w:jc w:val="left"/>
        <w:textAlignment w:val="auto"/>
        <w:rPr>
          <w:rFonts w:hint="eastAsia" w:ascii="仿宋" w:hAnsi="仿宋" w:eastAsia="仿宋" w:cs="仿宋"/>
          <w:b/>
          <w:bCs/>
          <w:color w:val="000000"/>
          <w:kern w:val="2"/>
          <w:sz w:val="24"/>
          <w:szCs w:val="24"/>
          <w:highlight w:val="none"/>
          <w:lang w:val="en-US" w:eastAsia="zh-CN" w:bidi="ar-SA"/>
        </w:rPr>
      </w:pPr>
      <w:r>
        <w:rPr>
          <w:rFonts w:hint="eastAsia" w:ascii="仿宋" w:hAnsi="仿宋" w:eastAsia="仿宋" w:cs="仿宋"/>
          <w:color w:val="auto"/>
          <w:kern w:val="2"/>
          <w:sz w:val="24"/>
          <w:szCs w:val="20"/>
          <w:highlight w:val="none"/>
          <w:lang w:val="en-US" w:eastAsia="zh-CN" w:bidi="ar-SA"/>
        </w:rPr>
        <w:t>1从业人员、营业收入、资产总额填报上一年度数据，无上一年度数据的新成立企业可不填报。</w:t>
      </w:r>
      <w:bookmarkStart w:id="1394" w:name="_Toc31155"/>
      <w:bookmarkStart w:id="1395" w:name="_Toc25533"/>
      <w:bookmarkStart w:id="1396" w:name="_Toc22709"/>
    </w:p>
    <w:bookmarkEnd w:id="1394"/>
    <w:bookmarkEnd w:id="1395"/>
    <w:bookmarkEnd w:id="1396"/>
    <w:p w14:paraId="7A79B062">
      <w:pPr>
        <w:pStyle w:val="9"/>
        <w:keepNext w:val="0"/>
        <w:keepLines w:val="0"/>
        <w:pageBreakBefore w:val="0"/>
        <w:kinsoku/>
        <w:wordWrap/>
        <w:overflowPunct/>
        <w:topLinePunct w:val="0"/>
        <w:bidi w:val="0"/>
        <w:snapToGrid/>
        <w:textAlignment w:val="auto"/>
        <w:rPr>
          <w:rFonts w:hint="default"/>
          <w:b/>
          <w:bCs/>
          <w:lang w:val="en-US"/>
        </w:rPr>
      </w:pPr>
      <w:r>
        <w:rPr>
          <w:rFonts w:hint="eastAsia" w:ascii="仿宋" w:hAnsi="仿宋" w:eastAsia="仿宋" w:cs="仿宋"/>
          <w:b/>
          <w:bCs/>
          <w:i w:val="0"/>
          <w:iCs w:val="0"/>
          <w:caps w:val="0"/>
          <w:color w:val="333333"/>
          <w:spacing w:val="0"/>
          <w:kern w:val="0"/>
          <w:sz w:val="24"/>
          <w:szCs w:val="24"/>
          <w:shd w:val="clear" w:color="auto" w:fill="FFFFFF"/>
          <w:lang w:val="en-US" w:eastAsia="zh-CN" w:bidi="ar"/>
        </w:rPr>
        <w:t>注：</w:t>
      </w:r>
    </w:p>
    <w:p w14:paraId="73361EB0">
      <w:pPr>
        <w:keepNext w:val="0"/>
        <w:keepLines w:val="0"/>
        <w:pageBreakBefore w:val="0"/>
        <w:widowControl/>
        <w:numPr>
          <w:ilvl w:val="0"/>
          <w:numId w:val="9"/>
        </w:numPr>
        <w:suppressLineNumbers w:val="0"/>
        <w:shd w:val="clear" w:color="auto" w:fill="FFFFFF"/>
        <w:kinsoku/>
        <w:wordWrap/>
        <w:overflowPunct/>
        <w:topLinePunct w:val="0"/>
        <w:autoSpaceDE/>
        <w:autoSpaceDN/>
        <w:bidi w:val="0"/>
        <w:adjustRightInd/>
        <w:snapToGrid/>
        <w:spacing w:before="100" w:beforeAutospacing="1" w:after="100" w:afterAutospacing="1" w:line="240" w:lineRule="auto"/>
        <w:ind w:left="0" w:right="0" w:firstLine="480"/>
        <w:jc w:val="left"/>
        <w:textAlignment w:val="auto"/>
        <w:rPr>
          <w:rFonts w:hint="eastAsia" w:ascii="仿宋" w:hAnsi="仿宋" w:eastAsia="仿宋" w:cs="仿宋"/>
          <w:b/>
          <w:bCs/>
          <w:i w:val="0"/>
          <w:iCs w:val="0"/>
          <w:caps w:val="0"/>
          <w:color w:val="333333"/>
          <w:spacing w:val="0"/>
          <w:kern w:val="0"/>
          <w:sz w:val="24"/>
          <w:szCs w:val="24"/>
          <w:shd w:val="clear" w:color="auto" w:fill="FFFFFF"/>
          <w:lang w:val="en-US" w:eastAsia="zh-CN" w:bidi="ar"/>
        </w:rPr>
      </w:pPr>
      <w:r>
        <w:rPr>
          <w:rFonts w:hint="eastAsia" w:ascii="仿宋" w:hAnsi="仿宋" w:eastAsia="仿宋" w:cs="仿宋"/>
          <w:b/>
          <w:bCs/>
          <w:i w:val="0"/>
          <w:iCs w:val="0"/>
          <w:caps w:val="0"/>
          <w:color w:val="333333"/>
          <w:spacing w:val="0"/>
          <w:kern w:val="0"/>
          <w:sz w:val="24"/>
          <w:szCs w:val="24"/>
          <w:shd w:val="clear" w:color="auto" w:fill="FFFFFF"/>
          <w:lang w:val="en-US" w:eastAsia="zh-CN" w:bidi="ar"/>
        </w:rPr>
        <w:t>从业人员、营业收入、资产总额填报上一年度数据，无上一年度数据的新成立企业可不填报。</w:t>
      </w:r>
    </w:p>
    <w:p w14:paraId="2FB5AAE3">
      <w:pPr>
        <w:keepNext w:val="0"/>
        <w:keepLines w:val="0"/>
        <w:pageBreakBefore w:val="0"/>
        <w:widowControl/>
        <w:numPr>
          <w:ilvl w:val="0"/>
          <w:numId w:val="9"/>
        </w:numPr>
        <w:suppressLineNumbers w:val="0"/>
        <w:shd w:val="clear" w:color="auto" w:fill="FFFFFF"/>
        <w:kinsoku/>
        <w:wordWrap/>
        <w:overflowPunct/>
        <w:topLinePunct w:val="0"/>
        <w:autoSpaceDE/>
        <w:autoSpaceDN/>
        <w:bidi w:val="0"/>
        <w:adjustRightInd/>
        <w:snapToGrid/>
        <w:spacing w:before="100" w:beforeAutospacing="1" w:after="100" w:afterAutospacing="1" w:line="240" w:lineRule="auto"/>
        <w:ind w:left="0" w:right="0" w:firstLine="480"/>
        <w:jc w:val="left"/>
        <w:textAlignment w:val="auto"/>
        <w:rPr>
          <w:rFonts w:hint="eastAsia" w:ascii="仿宋" w:hAnsi="仿宋" w:eastAsia="仿宋" w:cs="仿宋"/>
          <w:b/>
          <w:bCs/>
          <w:i w:val="0"/>
          <w:iCs w:val="0"/>
          <w:caps w:val="0"/>
          <w:color w:val="333333"/>
          <w:spacing w:val="0"/>
          <w:kern w:val="0"/>
          <w:sz w:val="24"/>
          <w:szCs w:val="24"/>
          <w:shd w:val="clear" w:color="auto" w:fill="FFFFFF"/>
          <w:lang w:val="en-US" w:eastAsia="zh-CN" w:bidi="ar"/>
        </w:rPr>
      </w:pPr>
      <w:r>
        <w:rPr>
          <w:rFonts w:hint="eastAsia" w:ascii="仿宋" w:hAnsi="仿宋" w:eastAsia="仿宋" w:cs="仿宋"/>
          <w:b/>
          <w:bCs/>
          <w:i w:val="0"/>
          <w:iCs w:val="0"/>
          <w:caps w:val="0"/>
          <w:color w:val="333333"/>
          <w:spacing w:val="0"/>
          <w:kern w:val="0"/>
          <w:sz w:val="24"/>
          <w:szCs w:val="24"/>
          <w:shd w:val="clear" w:color="auto" w:fill="FFFFFF"/>
          <w:lang w:val="en-US" w:eastAsia="zh-CN" w:bidi="ar"/>
        </w:rPr>
        <w:t>潜在投标企业属于中小微企业的，请在响应文件中提供“中小企业声明函”，如果未提供或提供虚假的“中小企业声明函”，投标企业将承担由此造成的一切不利后果。注：对中小企业的认定，由货物制造商或者工程、服务供应商注册登记所在地的县级以上人民政府中小企业主管部门负责。如因供应商提供的《中小企业声明函》引起的质疑、投诉、信访或其他方式情况反映等，供应商须自行澄清，并提供由中小企业主管部门出具的企业划型证明。对于不能出具企业划型证明的供应商，自行承担由此产生的一切后果，包括声明内容视为无效、不享受相关政府采购优惠政策等。</w:t>
      </w:r>
      <w:bookmarkEnd w:id="1391"/>
      <w:bookmarkEnd w:id="1392"/>
      <w:bookmarkEnd w:id="1393"/>
      <w:bookmarkStart w:id="1397" w:name="_Toc28524"/>
    </w:p>
    <w:p w14:paraId="599A537D">
      <w:pPr>
        <w:keepNext w:val="0"/>
        <w:keepLines w:val="0"/>
        <w:pageBreakBefore w:val="0"/>
        <w:widowControl/>
        <w:numPr>
          <w:ilvl w:val="0"/>
          <w:numId w:val="9"/>
        </w:numPr>
        <w:suppressLineNumbers w:val="0"/>
        <w:shd w:val="clear" w:color="auto" w:fill="FFFFFF"/>
        <w:kinsoku/>
        <w:wordWrap/>
        <w:overflowPunct/>
        <w:topLinePunct w:val="0"/>
        <w:autoSpaceDE/>
        <w:autoSpaceDN/>
        <w:bidi w:val="0"/>
        <w:adjustRightInd/>
        <w:snapToGrid/>
        <w:spacing w:before="100" w:beforeAutospacing="1" w:after="100" w:afterAutospacing="1" w:line="240" w:lineRule="auto"/>
        <w:ind w:left="0" w:right="0" w:firstLine="480"/>
        <w:jc w:val="left"/>
        <w:textAlignment w:val="auto"/>
        <w:rPr>
          <w:rFonts w:hint="eastAsia" w:ascii="方正仿宋_GBK" w:hAnsi="方正仿宋_GBK" w:eastAsia="方正仿宋_GBK" w:cs="方正仿宋_GBK"/>
          <w:b/>
          <w:color w:val="auto"/>
          <w:kern w:val="0"/>
          <w:sz w:val="24"/>
          <w:highlight w:val="none"/>
          <w:lang w:val="en-US" w:eastAsia="zh-CN"/>
        </w:rPr>
      </w:pPr>
      <w:r>
        <w:rPr>
          <w:rFonts w:hint="eastAsia" w:ascii="仿宋" w:hAnsi="仿宋" w:eastAsia="仿宋" w:cs="仿宋"/>
          <w:b/>
          <w:bCs/>
          <w:i w:val="0"/>
          <w:iCs w:val="0"/>
          <w:caps w:val="0"/>
          <w:color w:val="333333"/>
          <w:spacing w:val="0"/>
          <w:kern w:val="0"/>
          <w:sz w:val="24"/>
          <w:szCs w:val="24"/>
          <w:highlight w:val="none"/>
          <w:shd w:val="clear" w:color="auto" w:fill="FFFFFF"/>
          <w:lang w:val="en-US" w:eastAsia="zh-CN" w:bidi="ar"/>
        </w:rPr>
        <w:t>（本项目对应的中小企业划分标准所属行业为：</w:t>
      </w:r>
      <w:r>
        <w:rPr>
          <w:rFonts w:hint="eastAsia" w:ascii="仿宋" w:hAnsi="仿宋" w:eastAsia="仿宋" w:cs="仿宋"/>
          <w:b/>
          <w:bCs/>
          <w:i w:val="0"/>
          <w:iCs w:val="0"/>
          <w:caps w:val="0"/>
          <w:color w:val="00B0F0"/>
          <w:spacing w:val="0"/>
          <w:kern w:val="0"/>
          <w:sz w:val="24"/>
          <w:szCs w:val="24"/>
          <w:highlight w:val="none"/>
          <w:shd w:val="clear" w:color="auto" w:fill="FFFFFF"/>
          <w:lang w:val="en-US" w:eastAsia="zh-CN" w:bidi="ar"/>
        </w:rPr>
        <w:t>工业</w:t>
      </w:r>
      <w:r>
        <w:rPr>
          <w:rFonts w:hint="eastAsia" w:ascii="仿宋" w:hAnsi="仿宋" w:eastAsia="仿宋" w:cs="仿宋"/>
          <w:b/>
          <w:bCs/>
          <w:i w:val="0"/>
          <w:iCs w:val="0"/>
          <w:caps w:val="0"/>
          <w:color w:val="333333"/>
          <w:spacing w:val="0"/>
          <w:kern w:val="0"/>
          <w:sz w:val="24"/>
          <w:szCs w:val="24"/>
          <w:highlight w:val="none"/>
          <w:shd w:val="clear" w:color="auto" w:fill="FFFFFF"/>
          <w:lang w:val="en-US" w:eastAsia="zh-CN" w:bidi="ar"/>
        </w:rPr>
        <w:t>）</w:t>
      </w:r>
    </w:p>
    <w:p w14:paraId="55DD4DE5">
      <w:pPr>
        <w:jc w:val="both"/>
        <w:rPr>
          <w:rFonts w:hint="eastAsia"/>
          <w:lang w:val="en-US" w:eastAsia="zh-CN"/>
        </w:rPr>
      </w:pPr>
      <w:r>
        <w:rPr>
          <w:rFonts w:hint="eastAsia" w:ascii="方正仿宋_GBK" w:hAnsi="方正仿宋_GBK" w:eastAsia="方正仿宋_GBK" w:cs="方正仿宋_GBK"/>
          <w:b/>
          <w:color w:val="auto"/>
          <w:kern w:val="0"/>
          <w:sz w:val="24"/>
          <w:highlight w:val="none"/>
          <w:lang w:val="en-US" w:eastAsia="zh-CN"/>
        </w:rPr>
        <w:t>附：</w:t>
      </w:r>
    </w:p>
    <w:p w14:paraId="1932816A">
      <w:pPr>
        <w:keepNext w:val="0"/>
        <w:keepLines w:val="0"/>
        <w:pageBreakBefore w:val="0"/>
        <w:widowControl/>
        <w:suppressLineNumbers w:val="0"/>
        <w:shd w:val="clear" w:color="auto" w:fill="auto"/>
        <w:kinsoku/>
        <w:wordWrap/>
        <w:overflowPunct/>
        <w:topLinePunct w:val="0"/>
        <w:autoSpaceDE/>
        <w:autoSpaceDN/>
        <w:bidi w:val="0"/>
        <w:adjustRightInd/>
        <w:snapToGrid/>
        <w:spacing w:before="0" w:beforeAutospacing="0" w:after="0" w:afterAutospacing="0" w:line="460" w:lineRule="exact"/>
        <w:ind w:left="0" w:right="0" w:firstLine="2880" w:firstLineChars="1200"/>
        <w:jc w:val="left"/>
        <w:textAlignment w:val="auto"/>
        <w:rPr>
          <w:rFonts w:hint="eastAsia"/>
          <w:lang w:val="en-US" w:eastAsia="zh-CN"/>
        </w:rPr>
      </w:pPr>
      <w:r>
        <w:rPr>
          <w:rFonts w:hint="eastAsia" w:ascii="微软雅黑" w:hAnsi="微软雅黑" w:eastAsia="微软雅黑" w:cs="微软雅黑"/>
          <w:i w:val="0"/>
          <w:iCs w:val="0"/>
          <w:caps w:val="0"/>
          <w:color w:val="auto"/>
          <w:spacing w:val="0"/>
          <w:kern w:val="0"/>
          <w:sz w:val="24"/>
          <w:szCs w:val="24"/>
          <w:highlight w:val="none"/>
          <w:shd w:val="clear" w:color="auto" w:fill="FFFFFF"/>
          <w:lang w:val="en-US" w:eastAsia="zh-CN"/>
        </w:rPr>
        <w:t>中小微企业划型标准</w:t>
      </w:r>
    </w:p>
    <w:tbl>
      <w:tblPr>
        <w:tblStyle w:val="38"/>
        <w:tblW w:w="9378" w:type="dxa"/>
        <w:jc w:val="center"/>
        <w:tblLayout w:type="fixed"/>
        <w:tblCellMar>
          <w:top w:w="0" w:type="dxa"/>
          <w:left w:w="108" w:type="dxa"/>
          <w:bottom w:w="0" w:type="dxa"/>
          <w:right w:w="108" w:type="dxa"/>
        </w:tblCellMar>
      </w:tblPr>
      <w:tblGrid>
        <w:gridCol w:w="1570"/>
        <w:gridCol w:w="1660"/>
        <w:gridCol w:w="1466"/>
        <w:gridCol w:w="1903"/>
        <w:gridCol w:w="1692"/>
        <w:gridCol w:w="1087"/>
      </w:tblGrid>
      <w:tr w14:paraId="1B9506D1">
        <w:tblPrEx>
          <w:tblCellMar>
            <w:top w:w="0" w:type="dxa"/>
            <w:left w:w="108" w:type="dxa"/>
            <w:bottom w:w="0" w:type="dxa"/>
            <w:right w:w="108" w:type="dxa"/>
          </w:tblCellMar>
        </w:tblPrEx>
        <w:trPr>
          <w:trHeight w:val="252" w:hRule="atLeast"/>
          <w:jc w:val="center"/>
        </w:trPr>
        <w:tc>
          <w:tcPr>
            <w:tcW w:w="1570" w:type="dxa"/>
            <w:tcBorders>
              <w:top w:val="single" w:color="auto" w:sz="4" w:space="0"/>
              <w:left w:val="single" w:color="auto" w:sz="4" w:space="0"/>
              <w:bottom w:val="single" w:color="auto" w:sz="4" w:space="0"/>
              <w:right w:val="single" w:color="auto" w:sz="4" w:space="0"/>
            </w:tcBorders>
            <w:noWrap w:val="0"/>
            <w:vAlign w:val="center"/>
          </w:tcPr>
          <w:p w14:paraId="7002B511">
            <w:pPr>
              <w:keepNext w:val="0"/>
              <w:keepLines w:val="0"/>
              <w:widowControl/>
              <w:suppressLineNumbers w:val="0"/>
              <w:snapToGrid w:val="0"/>
              <w:spacing w:before="0" w:beforeAutospacing="0" w:after="0" w:afterAutospacing="0"/>
              <w:ind w:left="0" w:right="0"/>
              <w:contextualSpacing/>
              <w:jc w:val="center"/>
              <w:rPr>
                <w:rFonts w:hint="eastAsia" w:ascii="方正仿宋_GBK" w:hAnsi="方正仿宋_GBK" w:eastAsia="方正仿宋_GBK" w:cs="方正仿宋_GBK"/>
                <w:b/>
                <w:color w:val="auto"/>
                <w:kern w:val="0"/>
                <w:sz w:val="24"/>
                <w:highlight w:val="none"/>
              </w:rPr>
            </w:pPr>
            <w:r>
              <w:rPr>
                <w:rFonts w:hint="eastAsia" w:ascii="方正仿宋_GBK" w:hAnsi="方正仿宋_GBK" w:eastAsia="方正仿宋_GBK" w:cs="方正仿宋_GBK"/>
                <w:b/>
                <w:color w:val="auto"/>
                <w:kern w:val="0"/>
                <w:sz w:val="24"/>
                <w:highlight w:val="none"/>
              </w:rPr>
              <w:t>行业名称</w:t>
            </w:r>
          </w:p>
        </w:tc>
        <w:tc>
          <w:tcPr>
            <w:tcW w:w="1660" w:type="dxa"/>
            <w:tcBorders>
              <w:top w:val="single" w:color="auto" w:sz="4" w:space="0"/>
              <w:left w:val="nil"/>
              <w:bottom w:val="single" w:color="auto" w:sz="4" w:space="0"/>
              <w:right w:val="single" w:color="auto" w:sz="4" w:space="0"/>
            </w:tcBorders>
            <w:noWrap w:val="0"/>
            <w:vAlign w:val="center"/>
          </w:tcPr>
          <w:p w14:paraId="13AD0F2A">
            <w:pPr>
              <w:keepNext w:val="0"/>
              <w:keepLines w:val="0"/>
              <w:widowControl/>
              <w:suppressLineNumbers w:val="0"/>
              <w:snapToGrid w:val="0"/>
              <w:spacing w:before="0" w:beforeAutospacing="0" w:after="0" w:afterAutospacing="0"/>
              <w:ind w:left="0" w:right="0"/>
              <w:contextualSpacing/>
              <w:jc w:val="center"/>
              <w:rPr>
                <w:rFonts w:hint="eastAsia" w:ascii="方正仿宋_GBK" w:hAnsi="方正仿宋_GBK" w:eastAsia="方正仿宋_GBK" w:cs="方正仿宋_GBK"/>
                <w:b/>
                <w:color w:val="auto"/>
                <w:kern w:val="0"/>
                <w:sz w:val="24"/>
                <w:highlight w:val="none"/>
              </w:rPr>
            </w:pPr>
            <w:r>
              <w:rPr>
                <w:rFonts w:hint="eastAsia" w:ascii="方正仿宋_GBK" w:hAnsi="方正仿宋_GBK" w:eastAsia="方正仿宋_GBK" w:cs="方正仿宋_GBK"/>
                <w:b/>
                <w:color w:val="auto"/>
                <w:kern w:val="0"/>
                <w:sz w:val="24"/>
                <w:highlight w:val="none"/>
              </w:rPr>
              <w:t>指标名称</w:t>
            </w:r>
          </w:p>
        </w:tc>
        <w:tc>
          <w:tcPr>
            <w:tcW w:w="1466" w:type="dxa"/>
            <w:tcBorders>
              <w:top w:val="single" w:color="auto" w:sz="4" w:space="0"/>
              <w:left w:val="nil"/>
              <w:bottom w:val="single" w:color="auto" w:sz="4" w:space="0"/>
              <w:right w:val="single" w:color="auto" w:sz="4" w:space="0"/>
            </w:tcBorders>
            <w:noWrap w:val="0"/>
            <w:vAlign w:val="center"/>
          </w:tcPr>
          <w:p w14:paraId="4253A40D">
            <w:pPr>
              <w:keepNext w:val="0"/>
              <w:keepLines w:val="0"/>
              <w:widowControl/>
              <w:suppressLineNumbers w:val="0"/>
              <w:snapToGrid w:val="0"/>
              <w:spacing w:before="0" w:beforeAutospacing="0" w:after="0" w:afterAutospacing="0"/>
              <w:ind w:left="0" w:right="0"/>
              <w:contextualSpacing/>
              <w:jc w:val="center"/>
              <w:rPr>
                <w:rFonts w:hint="eastAsia" w:ascii="方正仿宋_GBK" w:hAnsi="方正仿宋_GBK" w:eastAsia="方正仿宋_GBK" w:cs="方正仿宋_GBK"/>
                <w:b/>
                <w:color w:val="auto"/>
                <w:kern w:val="0"/>
                <w:sz w:val="24"/>
                <w:highlight w:val="none"/>
              </w:rPr>
            </w:pPr>
            <w:r>
              <w:rPr>
                <w:rFonts w:hint="eastAsia" w:ascii="方正仿宋_GBK" w:hAnsi="方正仿宋_GBK" w:eastAsia="方正仿宋_GBK" w:cs="方正仿宋_GBK"/>
                <w:b/>
                <w:color w:val="auto"/>
                <w:kern w:val="0"/>
                <w:sz w:val="24"/>
                <w:highlight w:val="none"/>
              </w:rPr>
              <w:t>计量单位</w:t>
            </w:r>
          </w:p>
        </w:tc>
        <w:tc>
          <w:tcPr>
            <w:tcW w:w="1903" w:type="dxa"/>
            <w:tcBorders>
              <w:top w:val="single" w:color="auto" w:sz="4" w:space="0"/>
              <w:left w:val="nil"/>
              <w:bottom w:val="single" w:color="auto" w:sz="4" w:space="0"/>
              <w:right w:val="single" w:color="auto" w:sz="4" w:space="0"/>
            </w:tcBorders>
            <w:noWrap w:val="0"/>
            <w:vAlign w:val="center"/>
          </w:tcPr>
          <w:p w14:paraId="01185A1A">
            <w:pPr>
              <w:keepNext w:val="0"/>
              <w:keepLines w:val="0"/>
              <w:widowControl/>
              <w:suppressLineNumbers w:val="0"/>
              <w:snapToGrid w:val="0"/>
              <w:spacing w:before="0" w:beforeAutospacing="0" w:after="0" w:afterAutospacing="0"/>
              <w:ind w:left="0" w:right="0"/>
              <w:contextualSpacing/>
              <w:jc w:val="center"/>
              <w:rPr>
                <w:rFonts w:hint="eastAsia" w:ascii="方正仿宋_GBK" w:hAnsi="方正仿宋_GBK" w:eastAsia="方正仿宋_GBK" w:cs="方正仿宋_GBK"/>
                <w:b/>
                <w:color w:val="auto"/>
                <w:kern w:val="0"/>
                <w:sz w:val="24"/>
                <w:highlight w:val="none"/>
              </w:rPr>
            </w:pPr>
            <w:r>
              <w:rPr>
                <w:rFonts w:hint="eastAsia" w:ascii="方正仿宋_GBK" w:hAnsi="方正仿宋_GBK" w:eastAsia="方正仿宋_GBK" w:cs="方正仿宋_GBK"/>
                <w:b/>
                <w:color w:val="auto"/>
                <w:kern w:val="0"/>
                <w:sz w:val="24"/>
                <w:highlight w:val="none"/>
              </w:rPr>
              <w:t>中型</w:t>
            </w:r>
          </w:p>
        </w:tc>
        <w:tc>
          <w:tcPr>
            <w:tcW w:w="1692" w:type="dxa"/>
            <w:tcBorders>
              <w:top w:val="single" w:color="auto" w:sz="4" w:space="0"/>
              <w:left w:val="nil"/>
              <w:bottom w:val="single" w:color="auto" w:sz="4" w:space="0"/>
              <w:right w:val="single" w:color="auto" w:sz="4" w:space="0"/>
            </w:tcBorders>
            <w:noWrap w:val="0"/>
            <w:vAlign w:val="center"/>
          </w:tcPr>
          <w:p w14:paraId="007FC618">
            <w:pPr>
              <w:keepNext w:val="0"/>
              <w:keepLines w:val="0"/>
              <w:widowControl/>
              <w:suppressLineNumbers w:val="0"/>
              <w:snapToGrid w:val="0"/>
              <w:spacing w:before="0" w:beforeAutospacing="0" w:after="0" w:afterAutospacing="0"/>
              <w:ind w:left="0" w:right="0"/>
              <w:contextualSpacing/>
              <w:jc w:val="center"/>
              <w:rPr>
                <w:rFonts w:hint="eastAsia" w:ascii="方正仿宋_GBK" w:hAnsi="方正仿宋_GBK" w:eastAsia="方正仿宋_GBK" w:cs="方正仿宋_GBK"/>
                <w:b/>
                <w:color w:val="auto"/>
                <w:kern w:val="0"/>
                <w:sz w:val="24"/>
                <w:highlight w:val="none"/>
              </w:rPr>
            </w:pPr>
            <w:r>
              <w:rPr>
                <w:rFonts w:hint="eastAsia" w:ascii="方正仿宋_GBK" w:hAnsi="方正仿宋_GBK" w:eastAsia="方正仿宋_GBK" w:cs="方正仿宋_GBK"/>
                <w:b/>
                <w:color w:val="auto"/>
                <w:kern w:val="0"/>
                <w:sz w:val="24"/>
                <w:highlight w:val="none"/>
              </w:rPr>
              <w:t>小型</w:t>
            </w:r>
          </w:p>
        </w:tc>
        <w:tc>
          <w:tcPr>
            <w:tcW w:w="1087" w:type="dxa"/>
            <w:tcBorders>
              <w:top w:val="single" w:color="auto" w:sz="4" w:space="0"/>
              <w:left w:val="nil"/>
              <w:bottom w:val="single" w:color="auto" w:sz="4" w:space="0"/>
              <w:right w:val="single" w:color="auto" w:sz="4" w:space="0"/>
            </w:tcBorders>
            <w:noWrap w:val="0"/>
            <w:vAlign w:val="center"/>
          </w:tcPr>
          <w:p w14:paraId="56906A0E">
            <w:pPr>
              <w:keepNext w:val="0"/>
              <w:keepLines w:val="0"/>
              <w:widowControl/>
              <w:suppressLineNumbers w:val="0"/>
              <w:snapToGrid w:val="0"/>
              <w:spacing w:before="0" w:beforeAutospacing="0" w:after="0" w:afterAutospacing="0"/>
              <w:ind w:left="0" w:right="0"/>
              <w:contextualSpacing/>
              <w:jc w:val="center"/>
              <w:rPr>
                <w:rFonts w:hint="eastAsia" w:ascii="方正仿宋_GBK" w:hAnsi="方正仿宋_GBK" w:eastAsia="方正仿宋_GBK" w:cs="方正仿宋_GBK"/>
                <w:b/>
                <w:color w:val="auto"/>
                <w:kern w:val="0"/>
                <w:sz w:val="24"/>
                <w:highlight w:val="none"/>
              </w:rPr>
            </w:pPr>
            <w:r>
              <w:rPr>
                <w:rFonts w:hint="eastAsia" w:ascii="方正仿宋_GBK" w:hAnsi="方正仿宋_GBK" w:eastAsia="方正仿宋_GBK" w:cs="方正仿宋_GBK"/>
                <w:b/>
                <w:color w:val="auto"/>
                <w:kern w:val="0"/>
                <w:sz w:val="24"/>
                <w:highlight w:val="none"/>
              </w:rPr>
              <w:t>微型</w:t>
            </w:r>
          </w:p>
        </w:tc>
      </w:tr>
      <w:tr w14:paraId="3679C4B5">
        <w:tblPrEx>
          <w:tblCellMar>
            <w:top w:w="0" w:type="dxa"/>
            <w:left w:w="108" w:type="dxa"/>
            <w:bottom w:w="0" w:type="dxa"/>
            <w:right w:w="108" w:type="dxa"/>
          </w:tblCellMar>
        </w:tblPrEx>
        <w:trPr>
          <w:trHeight w:val="199" w:hRule="atLeast"/>
          <w:jc w:val="center"/>
        </w:trPr>
        <w:tc>
          <w:tcPr>
            <w:tcW w:w="1570" w:type="dxa"/>
            <w:tcBorders>
              <w:top w:val="nil"/>
              <w:left w:val="single" w:color="auto" w:sz="4" w:space="0"/>
              <w:bottom w:val="single" w:color="auto" w:sz="4" w:space="0"/>
              <w:right w:val="single" w:color="auto" w:sz="4" w:space="0"/>
            </w:tcBorders>
            <w:noWrap w:val="0"/>
            <w:vAlign w:val="center"/>
          </w:tcPr>
          <w:p w14:paraId="486E25FF">
            <w:pPr>
              <w:keepNext w:val="0"/>
              <w:keepLines w:val="0"/>
              <w:widowControl/>
              <w:suppressLineNumbers w:val="0"/>
              <w:snapToGrid w:val="0"/>
              <w:spacing w:before="0" w:beforeAutospacing="0" w:after="0" w:afterAutospacing="0"/>
              <w:ind w:left="0" w:right="0"/>
              <w:contextualSpacing/>
              <w:jc w:val="center"/>
              <w:rPr>
                <w:rFonts w:hint="eastAsia" w:ascii="方正仿宋_GBK" w:hAnsi="方正仿宋_GBK" w:eastAsia="方正仿宋_GBK" w:cs="方正仿宋_GBK"/>
                <w:b/>
                <w:bCs/>
                <w:color w:val="auto"/>
                <w:kern w:val="0"/>
                <w:sz w:val="24"/>
                <w:highlight w:val="none"/>
              </w:rPr>
            </w:pPr>
            <w:r>
              <w:rPr>
                <w:rFonts w:hint="eastAsia" w:ascii="方正仿宋_GBK" w:hAnsi="方正仿宋_GBK" w:eastAsia="方正仿宋_GBK" w:cs="方正仿宋_GBK"/>
                <w:b/>
                <w:bCs/>
                <w:color w:val="auto"/>
                <w:kern w:val="0"/>
                <w:sz w:val="24"/>
                <w:highlight w:val="none"/>
              </w:rPr>
              <w:t>农、林、牧、渔</w:t>
            </w:r>
          </w:p>
        </w:tc>
        <w:tc>
          <w:tcPr>
            <w:tcW w:w="1660" w:type="dxa"/>
            <w:tcBorders>
              <w:top w:val="nil"/>
              <w:left w:val="nil"/>
              <w:bottom w:val="single" w:color="auto" w:sz="4" w:space="0"/>
              <w:right w:val="single" w:color="auto" w:sz="4" w:space="0"/>
            </w:tcBorders>
            <w:noWrap w:val="0"/>
            <w:vAlign w:val="center"/>
          </w:tcPr>
          <w:p w14:paraId="70E2B09D">
            <w:pPr>
              <w:keepNext w:val="0"/>
              <w:keepLines w:val="0"/>
              <w:widowControl/>
              <w:suppressLineNumbers w:val="0"/>
              <w:snapToGrid w:val="0"/>
              <w:spacing w:before="0" w:beforeAutospacing="0" w:after="0" w:afterAutospacing="0"/>
              <w:ind w:left="0" w:right="0"/>
              <w:contextualSpacing/>
              <w:jc w:val="center"/>
              <w:rPr>
                <w:rFonts w:hint="eastAsia" w:ascii="方正仿宋_GBK" w:hAnsi="方正仿宋_GBK" w:eastAsia="方正仿宋_GBK" w:cs="方正仿宋_GBK"/>
                <w:color w:val="auto"/>
                <w:kern w:val="0"/>
                <w:sz w:val="24"/>
                <w:highlight w:val="none"/>
              </w:rPr>
            </w:pPr>
            <w:r>
              <w:rPr>
                <w:rFonts w:hint="eastAsia" w:ascii="方正仿宋_GBK" w:hAnsi="方正仿宋_GBK" w:eastAsia="方正仿宋_GBK" w:cs="方正仿宋_GBK"/>
                <w:color w:val="auto"/>
                <w:kern w:val="0"/>
                <w:sz w:val="24"/>
                <w:highlight w:val="none"/>
              </w:rPr>
              <w:t>营业收入（Y）</w:t>
            </w:r>
          </w:p>
        </w:tc>
        <w:tc>
          <w:tcPr>
            <w:tcW w:w="1466" w:type="dxa"/>
            <w:tcBorders>
              <w:top w:val="nil"/>
              <w:left w:val="nil"/>
              <w:bottom w:val="single" w:color="auto" w:sz="4" w:space="0"/>
              <w:right w:val="single" w:color="auto" w:sz="4" w:space="0"/>
            </w:tcBorders>
            <w:noWrap w:val="0"/>
            <w:vAlign w:val="center"/>
          </w:tcPr>
          <w:p w14:paraId="6F4E73CB">
            <w:pPr>
              <w:keepNext w:val="0"/>
              <w:keepLines w:val="0"/>
              <w:widowControl/>
              <w:suppressLineNumbers w:val="0"/>
              <w:snapToGrid w:val="0"/>
              <w:spacing w:before="0" w:beforeAutospacing="0" w:after="0" w:afterAutospacing="0"/>
              <w:ind w:left="0" w:right="0"/>
              <w:contextualSpacing/>
              <w:jc w:val="center"/>
              <w:rPr>
                <w:rFonts w:hint="eastAsia" w:ascii="方正仿宋_GBK" w:hAnsi="方正仿宋_GBK" w:eastAsia="方正仿宋_GBK" w:cs="方正仿宋_GBK"/>
                <w:color w:val="auto"/>
                <w:kern w:val="0"/>
                <w:sz w:val="24"/>
                <w:highlight w:val="none"/>
              </w:rPr>
            </w:pPr>
            <w:r>
              <w:rPr>
                <w:rFonts w:hint="eastAsia" w:ascii="方正仿宋_GBK" w:hAnsi="方正仿宋_GBK" w:eastAsia="方正仿宋_GBK" w:cs="方正仿宋_GBK"/>
                <w:color w:val="auto"/>
                <w:kern w:val="0"/>
                <w:sz w:val="24"/>
                <w:highlight w:val="none"/>
              </w:rPr>
              <w:t>万元</w:t>
            </w:r>
          </w:p>
        </w:tc>
        <w:tc>
          <w:tcPr>
            <w:tcW w:w="1903" w:type="dxa"/>
            <w:tcBorders>
              <w:top w:val="nil"/>
              <w:left w:val="nil"/>
              <w:bottom w:val="single" w:color="auto" w:sz="4" w:space="0"/>
              <w:right w:val="single" w:color="auto" w:sz="4" w:space="0"/>
            </w:tcBorders>
            <w:noWrap w:val="0"/>
            <w:vAlign w:val="center"/>
          </w:tcPr>
          <w:p w14:paraId="6D5C5A8A">
            <w:pPr>
              <w:keepNext w:val="0"/>
              <w:keepLines w:val="0"/>
              <w:widowControl/>
              <w:suppressLineNumbers w:val="0"/>
              <w:snapToGrid w:val="0"/>
              <w:spacing w:before="0" w:beforeAutospacing="0" w:after="0" w:afterAutospacing="0"/>
              <w:ind w:left="0" w:right="0"/>
              <w:contextualSpacing/>
              <w:jc w:val="center"/>
              <w:rPr>
                <w:rFonts w:hint="eastAsia" w:ascii="方正仿宋_GBK" w:hAnsi="方正仿宋_GBK" w:eastAsia="方正仿宋_GBK" w:cs="方正仿宋_GBK"/>
                <w:color w:val="auto"/>
                <w:kern w:val="0"/>
                <w:sz w:val="24"/>
                <w:highlight w:val="none"/>
              </w:rPr>
            </w:pPr>
            <w:r>
              <w:rPr>
                <w:rFonts w:hint="eastAsia" w:ascii="方正仿宋_GBK" w:hAnsi="方正仿宋_GBK" w:eastAsia="方正仿宋_GBK" w:cs="方正仿宋_GBK"/>
                <w:color w:val="auto"/>
                <w:kern w:val="0"/>
                <w:sz w:val="24"/>
                <w:highlight w:val="none"/>
              </w:rPr>
              <w:t>500≤Y＜20000</w:t>
            </w:r>
          </w:p>
        </w:tc>
        <w:tc>
          <w:tcPr>
            <w:tcW w:w="1692" w:type="dxa"/>
            <w:tcBorders>
              <w:top w:val="nil"/>
              <w:left w:val="nil"/>
              <w:bottom w:val="single" w:color="auto" w:sz="4" w:space="0"/>
              <w:right w:val="single" w:color="auto" w:sz="4" w:space="0"/>
            </w:tcBorders>
            <w:noWrap w:val="0"/>
            <w:vAlign w:val="center"/>
          </w:tcPr>
          <w:p w14:paraId="15964430">
            <w:pPr>
              <w:keepNext w:val="0"/>
              <w:keepLines w:val="0"/>
              <w:widowControl/>
              <w:suppressLineNumbers w:val="0"/>
              <w:snapToGrid w:val="0"/>
              <w:spacing w:before="0" w:beforeAutospacing="0" w:after="0" w:afterAutospacing="0"/>
              <w:ind w:left="0" w:right="0"/>
              <w:contextualSpacing/>
              <w:jc w:val="center"/>
              <w:rPr>
                <w:rFonts w:hint="eastAsia" w:ascii="方正仿宋_GBK" w:hAnsi="方正仿宋_GBK" w:eastAsia="方正仿宋_GBK" w:cs="方正仿宋_GBK"/>
                <w:color w:val="auto"/>
                <w:kern w:val="0"/>
                <w:sz w:val="24"/>
                <w:highlight w:val="none"/>
              </w:rPr>
            </w:pPr>
            <w:r>
              <w:rPr>
                <w:rFonts w:hint="eastAsia" w:ascii="方正仿宋_GBK" w:hAnsi="方正仿宋_GBK" w:eastAsia="方正仿宋_GBK" w:cs="方正仿宋_GBK"/>
                <w:color w:val="auto"/>
                <w:kern w:val="0"/>
                <w:sz w:val="24"/>
                <w:highlight w:val="none"/>
              </w:rPr>
              <w:t>50≤Y＜500</w:t>
            </w:r>
          </w:p>
        </w:tc>
        <w:tc>
          <w:tcPr>
            <w:tcW w:w="1087" w:type="dxa"/>
            <w:tcBorders>
              <w:top w:val="nil"/>
              <w:left w:val="nil"/>
              <w:bottom w:val="single" w:color="auto" w:sz="4" w:space="0"/>
              <w:right w:val="single" w:color="auto" w:sz="4" w:space="0"/>
            </w:tcBorders>
            <w:noWrap w:val="0"/>
            <w:vAlign w:val="center"/>
          </w:tcPr>
          <w:p w14:paraId="52140822">
            <w:pPr>
              <w:keepNext w:val="0"/>
              <w:keepLines w:val="0"/>
              <w:widowControl/>
              <w:suppressLineNumbers w:val="0"/>
              <w:snapToGrid w:val="0"/>
              <w:spacing w:before="0" w:beforeAutospacing="0" w:after="0" w:afterAutospacing="0"/>
              <w:ind w:left="0" w:right="0"/>
              <w:contextualSpacing/>
              <w:jc w:val="center"/>
              <w:rPr>
                <w:rFonts w:hint="eastAsia" w:ascii="方正仿宋_GBK" w:hAnsi="方正仿宋_GBK" w:eastAsia="方正仿宋_GBK" w:cs="方正仿宋_GBK"/>
                <w:color w:val="auto"/>
                <w:kern w:val="0"/>
                <w:sz w:val="24"/>
                <w:highlight w:val="none"/>
              </w:rPr>
            </w:pPr>
            <w:r>
              <w:rPr>
                <w:rFonts w:hint="eastAsia" w:ascii="方正仿宋_GBK" w:hAnsi="方正仿宋_GBK" w:eastAsia="方正仿宋_GBK" w:cs="方正仿宋_GBK"/>
                <w:color w:val="auto"/>
                <w:kern w:val="0"/>
                <w:sz w:val="24"/>
                <w:highlight w:val="none"/>
              </w:rPr>
              <w:t>Y＜50</w:t>
            </w:r>
          </w:p>
        </w:tc>
      </w:tr>
      <w:tr w14:paraId="49F5171D">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14:paraId="76D29B53">
            <w:pPr>
              <w:keepNext w:val="0"/>
              <w:keepLines w:val="0"/>
              <w:widowControl/>
              <w:suppressLineNumbers w:val="0"/>
              <w:snapToGrid w:val="0"/>
              <w:spacing w:before="0" w:beforeAutospacing="0" w:after="0" w:afterAutospacing="0"/>
              <w:ind w:left="0" w:right="0"/>
              <w:contextualSpacing/>
              <w:jc w:val="center"/>
              <w:rPr>
                <w:rFonts w:hint="eastAsia" w:ascii="方正仿宋_GBK" w:hAnsi="方正仿宋_GBK" w:eastAsia="方正仿宋_GBK" w:cs="方正仿宋_GBK"/>
                <w:b/>
                <w:bCs/>
                <w:color w:val="auto"/>
                <w:kern w:val="0"/>
                <w:sz w:val="24"/>
                <w:highlight w:val="none"/>
              </w:rPr>
            </w:pPr>
            <w:r>
              <w:rPr>
                <w:rFonts w:hint="eastAsia" w:ascii="方正仿宋_GBK" w:hAnsi="方正仿宋_GBK" w:eastAsia="方正仿宋_GBK" w:cs="方正仿宋_GBK"/>
                <w:b/>
                <w:bCs/>
                <w:color w:val="auto"/>
                <w:kern w:val="0"/>
                <w:sz w:val="24"/>
                <w:highlight w:val="none"/>
              </w:rPr>
              <w:t>工业</w:t>
            </w:r>
          </w:p>
        </w:tc>
        <w:tc>
          <w:tcPr>
            <w:tcW w:w="1660" w:type="dxa"/>
            <w:tcBorders>
              <w:top w:val="nil"/>
              <w:left w:val="nil"/>
              <w:bottom w:val="single" w:color="auto" w:sz="4" w:space="0"/>
              <w:right w:val="single" w:color="auto" w:sz="4" w:space="0"/>
            </w:tcBorders>
            <w:noWrap w:val="0"/>
            <w:vAlign w:val="center"/>
          </w:tcPr>
          <w:p w14:paraId="540846E1">
            <w:pPr>
              <w:keepNext w:val="0"/>
              <w:keepLines w:val="0"/>
              <w:widowControl/>
              <w:suppressLineNumbers w:val="0"/>
              <w:snapToGrid w:val="0"/>
              <w:spacing w:before="0" w:beforeAutospacing="0" w:after="0" w:afterAutospacing="0"/>
              <w:ind w:left="0" w:right="0"/>
              <w:contextualSpacing/>
              <w:jc w:val="center"/>
              <w:rPr>
                <w:rFonts w:hint="eastAsia" w:ascii="方正仿宋_GBK" w:hAnsi="方正仿宋_GBK" w:eastAsia="方正仿宋_GBK" w:cs="方正仿宋_GBK"/>
                <w:color w:val="auto"/>
                <w:kern w:val="0"/>
                <w:sz w:val="24"/>
                <w:highlight w:val="none"/>
              </w:rPr>
            </w:pPr>
            <w:r>
              <w:rPr>
                <w:rFonts w:hint="eastAsia" w:ascii="方正仿宋_GBK" w:hAnsi="方正仿宋_GBK" w:eastAsia="方正仿宋_GBK" w:cs="方正仿宋_GBK"/>
                <w:color w:val="auto"/>
                <w:kern w:val="0"/>
                <w:sz w:val="24"/>
                <w:highlight w:val="none"/>
              </w:rPr>
              <w:t>从业人员（X）</w:t>
            </w:r>
          </w:p>
        </w:tc>
        <w:tc>
          <w:tcPr>
            <w:tcW w:w="1466" w:type="dxa"/>
            <w:tcBorders>
              <w:top w:val="nil"/>
              <w:left w:val="nil"/>
              <w:bottom w:val="single" w:color="auto" w:sz="4" w:space="0"/>
              <w:right w:val="single" w:color="auto" w:sz="4" w:space="0"/>
            </w:tcBorders>
            <w:noWrap w:val="0"/>
            <w:vAlign w:val="center"/>
          </w:tcPr>
          <w:p w14:paraId="7A2BBCC3">
            <w:pPr>
              <w:keepNext w:val="0"/>
              <w:keepLines w:val="0"/>
              <w:widowControl/>
              <w:suppressLineNumbers w:val="0"/>
              <w:snapToGrid w:val="0"/>
              <w:spacing w:before="0" w:beforeAutospacing="0" w:after="0" w:afterAutospacing="0"/>
              <w:ind w:left="0" w:right="0"/>
              <w:contextualSpacing/>
              <w:jc w:val="center"/>
              <w:rPr>
                <w:rFonts w:hint="eastAsia" w:ascii="方正仿宋_GBK" w:hAnsi="方正仿宋_GBK" w:eastAsia="方正仿宋_GBK" w:cs="方正仿宋_GBK"/>
                <w:color w:val="auto"/>
                <w:kern w:val="0"/>
                <w:sz w:val="24"/>
                <w:highlight w:val="none"/>
              </w:rPr>
            </w:pPr>
            <w:r>
              <w:rPr>
                <w:rFonts w:hint="eastAsia" w:ascii="方正仿宋_GBK" w:hAnsi="方正仿宋_GBK" w:eastAsia="方正仿宋_GBK" w:cs="方正仿宋_GBK"/>
                <w:color w:val="auto"/>
                <w:kern w:val="0"/>
                <w:sz w:val="24"/>
                <w:highlight w:val="none"/>
              </w:rPr>
              <w:t>人</w:t>
            </w:r>
          </w:p>
        </w:tc>
        <w:tc>
          <w:tcPr>
            <w:tcW w:w="1903" w:type="dxa"/>
            <w:tcBorders>
              <w:top w:val="nil"/>
              <w:left w:val="nil"/>
              <w:bottom w:val="single" w:color="auto" w:sz="4" w:space="0"/>
              <w:right w:val="single" w:color="auto" w:sz="4" w:space="0"/>
            </w:tcBorders>
            <w:noWrap w:val="0"/>
            <w:vAlign w:val="center"/>
          </w:tcPr>
          <w:p w14:paraId="18448FDF">
            <w:pPr>
              <w:keepNext w:val="0"/>
              <w:keepLines w:val="0"/>
              <w:widowControl/>
              <w:suppressLineNumbers w:val="0"/>
              <w:snapToGrid w:val="0"/>
              <w:spacing w:before="0" w:beforeAutospacing="0" w:after="0" w:afterAutospacing="0"/>
              <w:ind w:left="0" w:right="0"/>
              <w:contextualSpacing/>
              <w:jc w:val="center"/>
              <w:rPr>
                <w:rFonts w:hint="eastAsia" w:ascii="方正仿宋_GBK" w:hAnsi="方正仿宋_GBK" w:eastAsia="方正仿宋_GBK" w:cs="方正仿宋_GBK"/>
                <w:color w:val="auto"/>
                <w:kern w:val="0"/>
                <w:sz w:val="24"/>
                <w:highlight w:val="none"/>
              </w:rPr>
            </w:pPr>
            <w:r>
              <w:rPr>
                <w:rFonts w:hint="eastAsia" w:ascii="方正仿宋_GBK" w:hAnsi="方正仿宋_GBK" w:eastAsia="方正仿宋_GBK" w:cs="方正仿宋_GBK"/>
                <w:color w:val="auto"/>
                <w:kern w:val="0"/>
                <w:sz w:val="24"/>
                <w:highlight w:val="none"/>
              </w:rPr>
              <w:t>300≤X＜1000</w:t>
            </w:r>
          </w:p>
        </w:tc>
        <w:tc>
          <w:tcPr>
            <w:tcW w:w="1692" w:type="dxa"/>
            <w:tcBorders>
              <w:top w:val="nil"/>
              <w:left w:val="nil"/>
              <w:bottom w:val="single" w:color="auto" w:sz="4" w:space="0"/>
              <w:right w:val="single" w:color="auto" w:sz="4" w:space="0"/>
            </w:tcBorders>
            <w:noWrap w:val="0"/>
            <w:vAlign w:val="center"/>
          </w:tcPr>
          <w:p w14:paraId="0CF0183D">
            <w:pPr>
              <w:keepNext w:val="0"/>
              <w:keepLines w:val="0"/>
              <w:widowControl/>
              <w:suppressLineNumbers w:val="0"/>
              <w:snapToGrid w:val="0"/>
              <w:spacing w:before="0" w:beforeAutospacing="0" w:after="0" w:afterAutospacing="0"/>
              <w:ind w:left="0" w:right="0"/>
              <w:contextualSpacing/>
              <w:jc w:val="center"/>
              <w:rPr>
                <w:rFonts w:hint="eastAsia" w:ascii="方正仿宋_GBK" w:hAnsi="方正仿宋_GBK" w:eastAsia="方正仿宋_GBK" w:cs="方正仿宋_GBK"/>
                <w:color w:val="auto"/>
                <w:kern w:val="0"/>
                <w:sz w:val="24"/>
                <w:highlight w:val="none"/>
              </w:rPr>
            </w:pPr>
            <w:r>
              <w:rPr>
                <w:rFonts w:hint="eastAsia" w:ascii="方正仿宋_GBK" w:hAnsi="方正仿宋_GBK" w:eastAsia="方正仿宋_GBK" w:cs="方正仿宋_GBK"/>
                <w:color w:val="auto"/>
                <w:kern w:val="0"/>
                <w:sz w:val="24"/>
                <w:highlight w:val="none"/>
              </w:rPr>
              <w:t>20≤X＜300</w:t>
            </w:r>
          </w:p>
        </w:tc>
        <w:tc>
          <w:tcPr>
            <w:tcW w:w="1087" w:type="dxa"/>
            <w:tcBorders>
              <w:top w:val="nil"/>
              <w:left w:val="nil"/>
              <w:bottom w:val="single" w:color="auto" w:sz="4" w:space="0"/>
              <w:right w:val="single" w:color="auto" w:sz="4" w:space="0"/>
            </w:tcBorders>
            <w:noWrap w:val="0"/>
            <w:vAlign w:val="center"/>
          </w:tcPr>
          <w:p w14:paraId="34FFA35D">
            <w:pPr>
              <w:keepNext w:val="0"/>
              <w:keepLines w:val="0"/>
              <w:widowControl/>
              <w:suppressLineNumbers w:val="0"/>
              <w:snapToGrid w:val="0"/>
              <w:spacing w:before="0" w:beforeAutospacing="0" w:after="0" w:afterAutospacing="0"/>
              <w:ind w:left="0" w:right="0"/>
              <w:contextualSpacing/>
              <w:jc w:val="center"/>
              <w:rPr>
                <w:rFonts w:hint="eastAsia" w:ascii="方正仿宋_GBK" w:hAnsi="方正仿宋_GBK" w:eastAsia="方正仿宋_GBK" w:cs="方正仿宋_GBK"/>
                <w:color w:val="auto"/>
                <w:kern w:val="0"/>
                <w:sz w:val="24"/>
                <w:highlight w:val="none"/>
              </w:rPr>
            </w:pPr>
            <w:r>
              <w:rPr>
                <w:rFonts w:hint="eastAsia" w:ascii="方正仿宋_GBK" w:hAnsi="方正仿宋_GBK" w:eastAsia="方正仿宋_GBK" w:cs="方正仿宋_GBK"/>
                <w:color w:val="auto"/>
                <w:kern w:val="0"/>
                <w:sz w:val="24"/>
                <w:highlight w:val="none"/>
              </w:rPr>
              <w:t>X＜20</w:t>
            </w:r>
          </w:p>
        </w:tc>
      </w:tr>
      <w:tr w14:paraId="3D4BAAE1">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14:paraId="3F7D425B">
            <w:pPr>
              <w:keepNext w:val="0"/>
              <w:keepLines w:val="0"/>
              <w:widowControl/>
              <w:suppressLineNumbers w:val="0"/>
              <w:snapToGrid w:val="0"/>
              <w:spacing w:before="0" w:beforeAutospacing="0" w:after="0" w:afterAutospacing="0"/>
              <w:ind w:left="0" w:right="0"/>
              <w:contextualSpacing/>
              <w:jc w:val="center"/>
              <w:rPr>
                <w:rFonts w:hint="eastAsia" w:ascii="方正仿宋_GBK" w:hAnsi="方正仿宋_GBK" w:eastAsia="方正仿宋_GBK" w:cs="方正仿宋_GBK"/>
                <w:b/>
                <w:bCs/>
                <w:color w:val="auto"/>
                <w:kern w:val="0"/>
                <w:sz w:val="24"/>
                <w:highlight w:val="none"/>
              </w:rPr>
            </w:pPr>
          </w:p>
        </w:tc>
        <w:tc>
          <w:tcPr>
            <w:tcW w:w="1660" w:type="dxa"/>
            <w:tcBorders>
              <w:top w:val="nil"/>
              <w:left w:val="nil"/>
              <w:bottom w:val="single" w:color="auto" w:sz="4" w:space="0"/>
              <w:right w:val="single" w:color="auto" w:sz="4" w:space="0"/>
            </w:tcBorders>
            <w:noWrap w:val="0"/>
            <w:vAlign w:val="center"/>
          </w:tcPr>
          <w:p w14:paraId="333F1852">
            <w:pPr>
              <w:keepNext w:val="0"/>
              <w:keepLines w:val="0"/>
              <w:widowControl/>
              <w:suppressLineNumbers w:val="0"/>
              <w:snapToGrid w:val="0"/>
              <w:spacing w:before="0" w:beforeAutospacing="0" w:after="0" w:afterAutospacing="0"/>
              <w:ind w:left="0" w:right="0"/>
              <w:contextualSpacing/>
              <w:jc w:val="center"/>
              <w:rPr>
                <w:rFonts w:hint="eastAsia" w:ascii="方正仿宋_GBK" w:hAnsi="方正仿宋_GBK" w:eastAsia="方正仿宋_GBK" w:cs="方正仿宋_GBK"/>
                <w:color w:val="auto"/>
                <w:kern w:val="0"/>
                <w:sz w:val="24"/>
                <w:highlight w:val="none"/>
              </w:rPr>
            </w:pPr>
            <w:r>
              <w:rPr>
                <w:rFonts w:hint="eastAsia" w:ascii="方正仿宋_GBK" w:hAnsi="方正仿宋_GBK" w:eastAsia="方正仿宋_GBK" w:cs="方正仿宋_GBK"/>
                <w:color w:val="auto"/>
                <w:kern w:val="0"/>
                <w:sz w:val="24"/>
                <w:highlight w:val="none"/>
              </w:rPr>
              <w:t>营业收入（Y）</w:t>
            </w:r>
          </w:p>
        </w:tc>
        <w:tc>
          <w:tcPr>
            <w:tcW w:w="1466" w:type="dxa"/>
            <w:tcBorders>
              <w:top w:val="nil"/>
              <w:left w:val="nil"/>
              <w:bottom w:val="single" w:color="auto" w:sz="4" w:space="0"/>
              <w:right w:val="single" w:color="auto" w:sz="4" w:space="0"/>
            </w:tcBorders>
            <w:noWrap w:val="0"/>
            <w:vAlign w:val="center"/>
          </w:tcPr>
          <w:p w14:paraId="75FA4A3D">
            <w:pPr>
              <w:keepNext w:val="0"/>
              <w:keepLines w:val="0"/>
              <w:widowControl/>
              <w:suppressLineNumbers w:val="0"/>
              <w:snapToGrid w:val="0"/>
              <w:spacing w:before="0" w:beforeAutospacing="0" w:after="0" w:afterAutospacing="0"/>
              <w:ind w:left="0" w:right="0"/>
              <w:contextualSpacing/>
              <w:jc w:val="center"/>
              <w:rPr>
                <w:rFonts w:hint="eastAsia" w:ascii="方正仿宋_GBK" w:hAnsi="方正仿宋_GBK" w:eastAsia="方正仿宋_GBK" w:cs="方正仿宋_GBK"/>
                <w:color w:val="auto"/>
                <w:kern w:val="0"/>
                <w:sz w:val="24"/>
                <w:highlight w:val="none"/>
              </w:rPr>
            </w:pPr>
            <w:r>
              <w:rPr>
                <w:rFonts w:hint="eastAsia" w:ascii="方正仿宋_GBK" w:hAnsi="方正仿宋_GBK" w:eastAsia="方正仿宋_GBK" w:cs="方正仿宋_GBK"/>
                <w:color w:val="auto"/>
                <w:kern w:val="0"/>
                <w:sz w:val="24"/>
                <w:highlight w:val="none"/>
              </w:rPr>
              <w:t>万元</w:t>
            </w:r>
          </w:p>
        </w:tc>
        <w:tc>
          <w:tcPr>
            <w:tcW w:w="1903" w:type="dxa"/>
            <w:tcBorders>
              <w:top w:val="nil"/>
              <w:left w:val="nil"/>
              <w:bottom w:val="single" w:color="auto" w:sz="4" w:space="0"/>
              <w:right w:val="single" w:color="auto" w:sz="4" w:space="0"/>
            </w:tcBorders>
            <w:noWrap w:val="0"/>
            <w:vAlign w:val="center"/>
          </w:tcPr>
          <w:p w14:paraId="38758095">
            <w:pPr>
              <w:keepNext w:val="0"/>
              <w:keepLines w:val="0"/>
              <w:widowControl/>
              <w:suppressLineNumbers w:val="0"/>
              <w:snapToGrid w:val="0"/>
              <w:spacing w:before="0" w:beforeAutospacing="0" w:after="0" w:afterAutospacing="0"/>
              <w:ind w:left="0" w:right="0"/>
              <w:contextualSpacing/>
              <w:jc w:val="center"/>
              <w:rPr>
                <w:rFonts w:hint="eastAsia" w:ascii="方正仿宋_GBK" w:hAnsi="方正仿宋_GBK" w:eastAsia="方正仿宋_GBK" w:cs="方正仿宋_GBK"/>
                <w:color w:val="auto"/>
                <w:kern w:val="0"/>
                <w:sz w:val="24"/>
                <w:highlight w:val="none"/>
              </w:rPr>
            </w:pPr>
            <w:r>
              <w:rPr>
                <w:rFonts w:hint="eastAsia" w:ascii="方正仿宋_GBK" w:hAnsi="方正仿宋_GBK" w:eastAsia="方正仿宋_GBK" w:cs="方正仿宋_GBK"/>
                <w:color w:val="auto"/>
                <w:kern w:val="0"/>
                <w:sz w:val="24"/>
                <w:highlight w:val="none"/>
              </w:rPr>
              <w:t>2000≤Y＜40000</w:t>
            </w:r>
          </w:p>
        </w:tc>
        <w:tc>
          <w:tcPr>
            <w:tcW w:w="1692" w:type="dxa"/>
            <w:tcBorders>
              <w:top w:val="nil"/>
              <w:left w:val="nil"/>
              <w:bottom w:val="single" w:color="auto" w:sz="4" w:space="0"/>
              <w:right w:val="single" w:color="auto" w:sz="4" w:space="0"/>
            </w:tcBorders>
            <w:noWrap w:val="0"/>
            <w:vAlign w:val="center"/>
          </w:tcPr>
          <w:p w14:paraId="46230147">
            <w:pPr>
              <w:keepNext w:val="0"/>
              <w:keepLines w:val="0"/>
              <w:widowControl/>
              <w:suppressLineNumbers w:val="0"/>
              <w:snapToGrid w:val="0"/>
              <w:spacing w:before="0" w:beforeAutospacing="0" w:after="0" w:afterAutospacing="0"/>
              <w:ind w:left="0" w:right="0"/>
              <w:contextualSpacing/>
              <w:jc w:val="center"/>
              <w:rPr>
                <w:rFonts w:hint="eastAsia" w:ascii="方正仿宋_GBK" w:hAnsi="方正仿宋_GBK" w:eastAsia="方正仿宋_GBK" w:cs="方正仿宋_GBK"/>
                <w:color w:val="auto"/>
                <w:kern w:val="0"/>
                <w:sz w:val="24"/>
                <w:highlight w:val="none"/>
              </w:rPr>
            </w:pPr>
            <w:r>
              <w:rPr>
                <w:rFonts w:hint="eastAsia" w:ascii="方正仿宋_GBK" w:hAnsi="方正仿宋_GBK" w:eastAsia="方正仿宋_GBK" w:cs="方正仿宋_GBK"/>
                <w:color w:val="auto"/>
                <w:kern w:val="0"/>
                <w:sz w:val="24"/>
                <w:highlight w:val="none"/>
              </w:rPr>
              <w:t>300≤Y＜2000</w:t>
            </w:r>
          </w:p>
        </w:tc>
        <w:tc>
          <w:tcPr>
            <w:tcW w:w="1087" w:type="dxa"/>
            <w:tcBorders>
              <w:top w:val="nil"/>
              <w:left w:val="nil"/>
              <w:bottom w:val="single" w:color="auto" w:sz="4" w:space="0"/>
              <w:right w:val="single" w:color="auto" w:sz="4" w:space="0"/>
            </w:tcBorders>
            <w:noWrap w:val="0"/>
            <w:vAlign w:val="center"/>
          </w:tcPr>
          <w:p w14:paraId="1510050B">
            <w:pPr>
              <w:keepNext w:val="0"/>
              <w:keepLines w:val="0"/>
              <w:widowControl/>
              <w:suppressLineNumbers w:val="0"/>
              <w:snapToGrid w:val="0"/>
              <w:spacing w:before="0" w:beforeAutospacing="0" w:after="0" w:afterAutospacing="0"/>
              <w:ind w:left="0" w:right="0"/>
              <w:contextualSpacing/>
              <w:jc w:val="center"/>
              <w:rPr>
                <w:rFonts w:hint="eastAsia" w:ascii="方正仿宋_GBK" w:hAnsi="方正仿宋_GBK" w:eastAsia="方正仿宋_GBK" w:cs="方正仿宋_GBK"/>
                <w:color w:val="auto"/>
                <w:kern w:val="0"/>
                <w:sz w:val="24"/>
                <w:highlight w:val="none"/>
              </w:rPr>
            </w:pPr>
            <w:r>
              <w:rPr>
                <w:rFonts w:hint="eastAsia" w:ascii="方正仿宋_GBK" w:hAnsi="方正仿宋_GBK" w:eastAsia="方正仿宋_GBK" w:cs="方正仿宋_GBK"/>
                <w:color w:val="auto"/>
                <w:kern w:val="0"/>
                <w:sz w:val="24"/>
                <w:highlight w:val="none"/>
              </w:rPr>
              <w:t>Y＜300</w:t>
            </w:r>
          </w:p>
        </w:tc>
      </w:tr>
      <w:tr w14:paraId="4A96A357">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14:paraId="27B7C28A">
            <w:pPr>
              <w:keepNext w:val="0"/>
              <w:keepLines w:val="0"/>
              <w:widowControl/>
              <w:suppressLineNumbers w:val="0"/>
              <w:snapToGrid w:val="0"/>
              <w:spacing w:before="0" w:beforeAutospacing="0" w:after="0" w:afterAutospacing="0"/>
              <w:ind w:left="0" w:right="0"/>
              <w:contextualSpacing/>
              <w:jc w:val="center"/>
              <w:rPr>
                <w:rFonts w:hint="eastAsia" w:ascii="方正仿宋_GBK" w:hAnsi="方正仿宋_GBK" w:eastAsia="方正仿宋_GBK" w:cs="方正仿宋_GBK"/>
                <w:b/>
                <w:bCs/>
                <w:color w:val="auto"/>
                <w:kern w:val="0"/>
                <w:sz w:val="24"/>
                <w:highlight w:val="none"/>
              </w:rPr>
            </w:pPr>
            <w:r>
              <w:rPr>
                <w:rFonts w:hint="eastAsia" w:ascii="方正仿宋_GBK" w:hAnsi="方正仿宋_GBK" w:eastAsia="方正仿宋_GBK" w:cs="方正仿宋_GBK"/>
                <w:b/>
                <w:bCs/>
                <w:color w:val="auto"/>
                <w:kern w:val="0"/>
                <w:sz w:val="24"/>
                <w:highlight w:val="none"/>
              </w:rPr>
              <w:t>建筑业</w:t>
            </w:r>
          </w:p>
        </w:tc>
        <w:tc>
          <w:tcPr>
            <w:tcW w:w="1660" w:type="dxa"/>
            <w:tcBorders>
              <w:top w:val="nil"/>
              <w:left w:val="nil"/>
              <w:bottom w:val="single" w:color="auto" w:sz="4" w:space="0"/>
              <w:right w:val="single" w:color="auto" w:sz="4" w:space="0"/>
            </w:tcBorders>
            <w:noWrap w:val="0"/>
            <w:vAlign w:val="center"/>
          </w:tcPr>
          <w:p w14:paraId="4A0AEC30">
            <w:pPr>
              <w:keepNext w:val="0"/>
              <w:keepLines w:val="0"/>
              <w:widowControl/>
              <w:suppressLineNumbers w:val="0"/>
              <w:snapToGrid w:val="0"/>
              <w:spacing w:before="0" w:beforeAutospacing="0" w:after="0" w:afterAutospacing="0"/>
              <w:ind w:left="0" w:right="0"/>
              <w:contextualSpacing/>
              <w:jc w:val="center"/>
              <w:rPr>
                <w:rFonts w:hint="eastAsia" w:ascii="方正仿宋_GBK" w:hAnsi="方正仿宋_GBK" w:eastAsia="方正仿宋_GBK" w:cs="方正仿宋_GBK"/>
                <w:color w:val="auto"/>
                <w:kern w:val="0"/>
                <w:sz w:val="24"/>
                <w:highlight w:val="none"/>
              </w:rPr>
            </w:pPr>
            <w:r>
              <w:rPr>
                <w:rFonts w:hint="eastAsia" w:ascii="方正仿宋_GBK" w:hAnsi="方正仿宋_GBK" w:eastAsia="方正仿宋_GBK" w:cs="方正仿宋_GBK"/>
                <w:color w:val="auto"/>
                <w:kern w:val="0"/>
                <w:sz w:val="24"/>
                <w:highlight w:val="none"/>
              </w:rPr>
              <w:t>营业收入（Y）</w:t>
            </w:r>
          </w:p>
        </w:tc>
        <w:tc>
          <w:tcPr>
            <w:tcW w:w="1466" w:type="dxa"/>
            <w:tcBorders>
              <w:top w:val="nil"/>
              <w:left w:val="nil"/>
              <w:bottom w:val="single" w:color="auto" w:sz="4" w:space="0"/>
              <w:right w:val="single" w:color="auto" w:sz="4" w:space="0"/>
            </w:tcBorders>
            <w:noWrap w:val="0"/>
            <w:vAlign w:val="center"/>
          </w:tcPr>
          <w:p w14:paraId="4C18A5D8">
            <w:pPr>
              <w:keepNext w:val="0"/>
              <w:keepLines w:val="0"/>
              <w:widowControl/>
              <w:suppressLineNumbers w:val="0"/>
              <w:snapToGrid w:val="0"/>
              <w:spacing w:before="0" w:beforeAutospacing="0" w:after="0" w:afterAutospacing="0"/>
              <w:ind w:left="0" w:right="0"/>
              <w:contextualSpacing/>
              <w:jc w:val="center"/>
              <w:rPr>
                <w:rFonts w:hint="eastAsia" w:ascii="方正仿宋_GBK" w:hAnsi="方正仿宋_GBK" w:eastAsia="方正仿宋_GBK" w:cs="方正仿宋_GBK"/>
                <w:color w:val="auto"/>
                <w:kern w:val="0"/>
                <w:sz w:val="24"/>
                <w:highlight w:val="none"/>
              </w:rPr>
            </w:pPr>
            <w:r>
              <w:rPr>
                <w:rFonts w:hint="eastAsia" w:ascii="方正仿宋_GBK" w:hAnsi="方正仿宋_GBK" w:eastAsia="方正仿宋_GBK" w:cs="方正仿宋_GBK"/>
                <w:color w:val="auto"/>
                <w:kern w:val="0"/>
                <w:sz w:val="24"/>
                <w:highlight w:val="none"/>
              </w:rPr>
              <w:t>万元</w:t>
            </w:r>
          </w:p>
        </w:tc>
        <w:tc>
          <w:tcPr>
            <w:tcW w:w="1903" w:type="dxa"/>
            <w:tcBorders>
              <w:top w:val="nil"/>
              <w:left w:val="nil"/>
              <w:bottom w:val="single" w:color="auto" w:sz="4" w:space="0"/>
              <w:right w:val="single" w:color="auto" w:sz="4" w:space="0"/>
            </w:tcBorders>
            <w:noWrap w:val="0"/>
            <w:vAlign w:val="center"/>
          </w:tcPr>
          <w:p w14:paraId="2D7DBD20">
            <w:pPr>
              <w:keepNext w:val="0"/>
              <w:keepLines w:val="0"/>
              <w:widowControl/>
              <w:suppressLineNumbers w:val="0"/>
              <w:snapToGrid w:val="0"/>
              <w:spacing w:before="0" w:beforeAutospacing="0" w:after="0" w:afterAutospacing="0"/>
              <w:ind w:left="0" w:right="0"/>
              <w:contextualSpacing/>
              <w:jc w:val="center"/>
              <w:rPr>
                <w:rFonts w:hint="eastAsia" w:ascii="方正仿宋_GBK" w:hAnsi="方正仿宋_GBK" w:eastAsia="方正仿宋_GBK" w:cs="方正仿宋_GBK"/>
                <w:color w:val="auto"/>
                <w:kern w:val="0"/>
                <w:sz w:val="24"/>
                <w:highlight w:val="none"/>
              </w:rPr>
            </w:pPr>
            <w:r>
              <w:rPr>
                <w:rFonts w:hint="eastAsia" w:ascii="方正仿宋_GBK" w:hAnsi="方正仿宋_GBK" w:eastAsia="方正仿宋_GBK" w:cs="方正仿宋_GBK"/>
                <w:color w:val="auto"/>
                <w:kern w:val="0"/>
                <w:sz w:val="24"/>
                <w:highlight w:val="none"/>
              </w:rPr>
              <w:t>6000≤Y＜80000</w:t>
            </w:r>
          </w:p>
        </w:tc>
        <w:tc>
          <w:tcPr>
            <w:tcW w:w="1692" w:type="dxa"/>
            <w:tcBorders>
              <w:top w:val="nil"/>
              <w:left w:val="nil"/>
              <w:bottom w:val="single" w:color="auto" w:sz="4" w:space="0"/>
              <w:right w:val="single" w:color="auto" w:sz="4" w:space="0"/>
            </w:tcBorders>
            <w:noWrap w:val="0"/>
            <w:vAlign w:val="center"/>
          </w:tcPr>
          <w:p w14:paraId="48B768D5">
            <w:pPr>
              <w:keepNext w:val="0"/>
              <w:keepLines w:val="0"/>
              <w:widowControl/>
              <w:suppressLineNumbers w:val="0"/>
              <w:snapToGrid w:val="0"/>
              <w:spacing w:before="0" w:beforeAutospacing="0" w:after="0" w:afterAutospacing="0"/>
              <w:ind w:left="0" w:right="0"/>
              <w:contextualSpacing/>
              <w:jc w:val="center"/>
              <w:rPr>
                <w:rFonts w:hint="eastAsia" w:ascii="方正仿宋_GBK" w:hAnsi="方正仿宋_GBK" w:eastAsia="方正仿宋_GBK" w:cs="方正仿宋_GBK"/>
                <w:color w:val="auto"/>
                <w:kern w:val="0"/>
                <w:sz w:val="24"/>
                <w:highlight w:val="none"/>
              </w:rPr>
            </w:pPr>
            <w:r>
              <w:rPr>
                <w:rFonts w:hint="eastAsia" w:ascii="方正仿宋_GBK" w:hAnsi="方正仿宋_GBK" w:eastAsia="方正仿宋_GBK" w:cs="方正仿宋_GBK"/>
                <w:color w:val="auto"/>
                <w:kern w:val="0"/>
                <w:sz w:val="24"/>
                <w:highlight w:val="none"/>
              </w:rPr>
              <w:t>300≤Y＜6000</w:t>
            </w:r>
          </w:p>
        </w:tc>
        <w:tc>
          <w:tcPr>
            <w:tcW w:w="1087" w:type="dxa"/>
            <w:tcBorders>
              <w:top w:val="nil"/>
              <w:left w:val="nil"/>
              <w:bottom w:val="single" w:color="auto" w:sz="4" w:space="0"/>
              <w:right w:val="single" w:color="auto" w:sz="4" w:space="0"/>
            </w:tcBorders>
            <w:noWrap w:val="0"/>
            <w:vAlign w:val="center"/>
          </w:tcPr>
          <w:p w14:paraId="68A73698">
            <w:pPr>
              <w:keepNext w:val="0"/>
              <w:keepLines w:val="0"/>
              <w:widowControl/>
              <w:suppressLineNumbers w:val="0"/>
              <w:snapToGrid w:val="0"/>
              <w:spacing w:before="0" w:beforeAutospacing="0" w:after="0" w:afterAutospacing="0"/>
              <w:ind w:left="0" w:right="0"/>
              <w:contextualSpacing/>
              <w:jc w:val="center"/>
              <w:rPr>
                <w:rFonts w:hint="eastAsia" w:ascii="方正仿宋_GBK" w:hAnsi="方正仿宋_GBK" w:eastAsia="方正仿宋_GBK" w:cs="方正仿宋_GBK"/>
                <w:color w:val="auto"/>
                <w:kern w:val="0"/>
                <w:sz w:val="24"/>
                <w:highlight w:val="none"/>
              </w:rPr>
            </w:pPr>
            <w:r>
              <w:rPr>
                <w:rFonts w:hint="eastAsia" w:ascii="方正仿宋_GBK" w:hAnsi="方正仿宋_GBK" w:eastAsia="方正仿宋_GBK" w:cs="方正仿宋_GBK"/>
                <w:color w:val="auto"/>
                <w:kern w:val="0"/>
                <w:sz w:val="24"/>
                <w:highlight w:val="none"/>
              </w:rPr>
              <w:t>Y＜300</w:t>
            </w:r>
          </w:p>
        </w:tc>
      </w:tr>
      <w:tr w14:paraId="4C634BD0">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14:paraId="156CCCDE">
            <w:pPr>
              <w:keepNext w:val="0"/>
              <w:keepLines w:val="0"/>
              <w:widowControl/>
              <w:suppressLineNumbers w:val="0"/>
              <w:snapToGrid w:val="0"/>
              <w:spacing w:before="0" w:beforeAutospacing="0" w:after="0" w:afterAutospacing="0"/>
              <w:ind w:left="0" w:right="0"/>
              <w:contextualSpacing/>
              <w:jc w:val="center"/>
              <w:rPr>
                <w:rFonts w:hint="eastAsia" w:ascii="方正仿宋_GBK" w:hAnsi="方正仿宋_GBK" w:eastAsia="方正仿宋_GBK" w:cs="方正仿宋_GBK"/>
                <w:b/>
                <w:bCs/>
                <w:color w:val="auto"/>
                <w:kern w:val="0"/>
                <w:sz w:val="24"/>
                <w:highlight w:val="none"/>
              </w:rPr>
            </w:pPr>
          </w:p>
        </w:tc>
        <w:tc>
          <w:tcPr>
            <w:tcW w:w="1660" w:type="dxa"/>
            <w:tcBorders>
              <w:top w:val="nil"/>
              <w:left w:val="nil"/>
              <w:bottom w:val="single" w:color="auto" w:sz="4" w:space="0"/>
              <w:right w:val="single" w:color="auto" w:sz="4" w:space="0"/>
            </w:tcBorders>
            <w:noWrap w:val="0"/>
            <w:vAlign w:val="center"/>
          </w:tcPr>
          <w:p w14:paraId="017667F1">
            <w:pPr>
              <w:keepNext w:val="0"/>
              <w:keepLines w:val="0"/>
              <w:widowControl/>
              <w:suppressLineNumbers w:val="0"/>
              <w:snapToGrid w:val="0"/>
              <w:spacing w:before="0" w:beforeAutospacing="0" w:after="0" w:afterAutospacing="0"/>
              <w:ind w:left="0" w:right="0"/>
              <w:contextualSpacing/>
              <w:jc w:val="center"/>
              <w:rPr>
                <w:rFonts w:hint="eastAsia" w:ascii="方正仿宋_GBK" w:hAnsi="方正仿宋_GBK" w:eastAsia="方正仿宋_GBK" w:cs="方正仿宋_GBK"/>
                <w:color w:val="auto"/>
                <w:kern w:val="0"/>
                <w:sz w:val="24"/>
                <w:highlight w:val="none"/>
              </w:rPr>
            </w:pPr>
            <w:r>
              <w:rPr>
                <w:rFonts w:hint="eastAsia" w:ascii="方正仿宋_GBK" w:hAnsi="方正仿宋_GBK" w:eastAsia="方正仿宋_GBK" w:cs="方正仿宋_GBK"/>
                <w:color w:val="auto"/>
                <w:kern w:val="0"/>
                <w:sz w:val="24"/>
                <w:highlight w:val="none"/>
              </w:rPr>
              <w:t>资产总额（Z）</w:t>
            </w:r>
          </w:p>
        </w:tc>
        <w:tc>
          <w:tcPr>
            <w:tcW w:w="1466" w:type="dxa"/>
            <w:tcBorders>
              <w:top w:val="nil"/>
              <w:left w:val="nil"/>
              <w:bottom w:val="single" w:color="auto" w:sz="4" w:space="0"/>
              <w:right w:val="single" w:color="auto" w:sz="4" w:space="0"/>
            </w:tcBorders>
            <w:noWrap w:val="0"/>
            <w:vAlign w:val="center"/>
          </w:tcPr>
          <w:p w14:paraId="7D2026B8">
            <w:pPr>
              <w:keepNext w:val="0"/>
              <w:keepLines w:val="0"/>
              <w:widowControl/>
              <w:suppressLineNumbers w:val="0"/>
              <w:snapToGrid w:val="0"/>
              <w:spacing w:before="0" w:beforeAutospacing="0" w:after="0" w:afterAutospacing="0"/>
              <w:ind w:left="0" w:right="0"/>
              <w:contextualSpacing/>
              <w:jc w:val="center"/>
              <w:rPr>
                <w:rFonts w:hint="eastAsia" w:ascii="方正仿宋_GBK" w:hAnsi="方正仿宋_GBK" w:eastAsia="方正仿宋_GBK" w:cs="方正仿宋_GBK"/>
                <w:color w:val="auto"/>
                <w:kern w:val="0"/>
                <w:sz w:val="24"/>
                <w:highlight w:val="none"/>
              </w:rPr>
            </w:pPr>
            <w:r>
              <w:rPr>
                <w:rFonts w:hint="eastAsia" w:ascii="方正仿宋_GBK" w:hAnsi="方正仿宋_GBK" w:eastAsia="方正仿宋_GBK" w:cs="方正仿宋_GBK"/>
                <w:color w:val="auto"/>
                <w:kern w:val="0"/>
                <w:sz w:val="24"/>
                <w:highlight w:val="none"/>
              </w:rPr>
              <w:t>万元</w:t>
            </w:r>
          </w:p>
        </w:tc>
        <w:tc>
          <w:tcPr>
            <w:tcW w:w="1903" w:type="dxa"/>
            <w:tcBorders>
              <w:top w:val="nil"/>
              <w:left w:val="nil"/>
              <w:bottom w:val="single" w:color="auto" w:sz="4" w:space="0"/>
              <w:right w:val="single" w:color="auto" w:sz="4" w:space="0"/>
            </w:tcBorders>
            <w:noWrap w:val="0"/>
            <w:vAlign w:val="center"/>
          </w:tcPr>
          <w:p w14:paraId="15F63CFE">
            <w:pPr>
              <w:keepNext w:val="0"/>
              <w:keepLines w:val="0"/>
              <w:widowControl/>
              <w:suppressLineNumbers w:val="0"/>
              <w:snapToGrid w:val="0"/>
              <w:spacing w:before="0" w:beforeAutospacing="0" w:after="0" w:afterAutospacing="0"/>
              <w:ind w:left="0" w:right="0"/>
              <w:contextualSpacing/>
              <w:jc w:val="center"/>
              <w:rPr>
                <w:rFonts w:hint="eastAsia" w:ascii="方正仿宋_GBK" w:hAnsi="方正仿宋_GBK" w:eastAsia="方正仿宋_GBK" w:cs="方正仿宋_GBK"/>
                <w:color w:val="auto"/>
                <w:kern w:val="0"/>
                <w:sz w:val="24"/>
                <w:highlight w:val="none"/>
              </w:rPr>
            </w:pPr>
            <w:r>
              <w:rPr>
                <w:rFonts w:hint="eastAsia" w:ascii="方正仿宋_GBK" w:hAnsi="方正仿宋_GBK" w:eastAsia="方正仿宋_GBK" w:cs="方正仿宋_GBK"/>
                <w:color w:val="auto"/>
                <w:kern w:val="0"/>
                <w:sz w:val="24"/>
                <w:highlight w:val="none"/>
              </w:rPr>
              <w:t>5000≤Z＜80000</w:t>
            </w:r>
          </w:p>
        </w:tc>
        <w:tc>
          <w:tcPr>
            <w:tcW w:w="1692" w:type="dxa"/>
            <w:tcBorders>
              <w:top w:val="nil"/>
              <w:left w:val="nil"/>
              <w:bottom w:val="single" w:color="auto" w:sz="4" w:space="0"/>
              <w:right w:val="single" w:color="auto" w:sz="4" w:space="0"/>
            </w:tcBorders>
            <w:noWrap w:val="0"/>
            <w:vAlign w:val="center"/>
          </w:tcPr>
          <w:p w14:paraId="0E97E511">
            <w:pPr>
              <w:keepNext w:val="0"/>
              <w:keepLines w:val="0"/>
              <w:widowControl/>
              <w:suppressLineNumbers w:val="0"/>
              <w:snapToGrid w:val="0"/>
              <w:spacing w:before="0" w:beforeAutospacing="0" w:after="0" w:afterAutospacing="0"/>
              <w:ind w:left="0" w:right="0"/>
              <w:contextualSpacing/>
              <w:jc w:val="center"/>
              <w:rPr>
                <w:rFonts w:hint="eastAsia" w:ascii="方正仿宋_GBK" w:hAnsi="方正仿宋_GBK" w:eastAsia="方正仿宋_GBK" w:cs="方正仿宋_GBK"/>
                <w:color w:val="auto"/>
                <w:kern w:val="0"/>
                <w:sz w:val="24"/>
                <w:highlight w:val="none"/>
              </w:rPr>
            </w:pPr>
            <w:r>
              <w:rPr>
                <w:rFonts w:hint="eastAsia" w:ascii="方正仿宋_GBK" w:hAnsi="方正仿宋_GBK" w:eastAsia="方正仿宋_GBK" w:cs="方正仿宋_GBK"/>
                <w:color w:val="auto"/>
                <w:kern w:val="0"/>
                <w:sz w:val="24"/>
                <w:highlight w:val="none"/>
              </w:rPr>
              <w:t>300≤Z＜5000</w:t>
            </w:r>
          </w:p>
        </w:tc>
        <w:tc>
          <w:tcPr>
            <w:tcW w:w="1087" w:type="dxa"/>
            <w:tcBorders>
              <w:top w:val="nil"/>
              <w:left w:val="nil"/>
              <w:bottom w:val="single" w:color="auto" w:sz="4" w:space="0"/>
              <w:right w:val="single" w:color="auto" w:sz="4" w:space="0"/>
            </w:tcBorders>
            <w:noWrap w:val="0"/>
            <w:vAlign w:val="center"/>
          </w:tcPr>
          <w:p w14:paraId="748BB9A1">
            <w:pPr>
              <w:keepNext w:val="0"/>
              <w:keepLines w:val="0"/>
              <w:widowControl/>
              <w:suppressLineNumbers w:val="0"/>
              <w:snapToGrid w:val="0"/>
              <w:spacing w:before="0" w:beforeAutospacing="0" w:after="0" w:afterAutospacing="0"/>
              <w:ind w:left="0" w:right="0"/>
              <w:contextualSpacing/>
              <w:jc w:val="center"/>
              <w:rPr>
                <w:rFonts w:hint="eastAsia" w:ascii="方正仿宋_GBK" w:hAnsi="方正仿宋_GBK" w:eastAsia="方正仿宋_GBK" w:cs="方正仿宋_GBK"/>
                <w:color w:val="auto"/>
                <w:kern w:val="0"/>
                <w:sz w:val="24"/>
                <w:highlight w:val="none"/>
              </w:rPr>
            </w:pPr>
            <w:r>
              <w:rPr>
                <w:rFonts w:hint="eastAsia" w:ascii="方正仿宋_GBK" w:hAnsi="方正仿宋_GBK" w:eastAsia="方正仿宋_GBK" w:cs="方正仿宋_GBK"/>
                <w:color w:val="auto"/>
                <w:kern w:val="0"/>
                <w:sz w:val="24"/>
                <w:highlight w:val="none"/>
              </w:rPr>
              <w:t>Z＜300</w:t>
            </w:r>
          </w:p>
        </w:tc>
      </w:tr>
      <w:tr w14:paraId="1A526B82">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14:paraId="2C139275">
            <w:pPr>
              <w:keepNext w:val="0"/>
              <w:keepLines w:val="0"/>
              <w:widowControl/>
              <w:suppressLineNumbers w:val="0"/>
              <w:snapToGrid w:val="0"/>
              <w:spacing w:before="0" w:beforeAutospacing="0" w:after="0" w:afterAutospacing="0"/>
              <w:ind w:left="0" w:right="0"/>
              <w:contextualSpacing/>
              <w:jc w:val="center"/>
              <w:rPr>
                <w:rFonts w:hint="eastAsia" w:ascii="方正仿宋_GBK" w:hAnsi="方正仿宋_GBK" w:eastAsia="方正仿宋_GBK" w:cs="方正仿宋_GBK"/>
                <w:b/>
                <w:bCs/>
                <w:color w:val="auto"/>
                <w:kern w:val="0"/>
                <w:sz w:val="24"/>
                <w:highlight w:val="none"/>
              </w:rPr>
            </w:pPr>
            <w:r>
              <w:rPr>
                <w:rFonts w:hint="eastAsia" w:ascii="方正仿宋_GBK" w:hAnsi="方正仿宋_GBK" w:eastAsia="方正仿宋_GBK" w:cs="方正仿宋_GBK"/>
                <w:b/>
                <w:bCs/>
                <w:color w:val="auto"/>
                <w:kern w:val="0"/>
                <w:sz w:val="24"/>
                <w:highlight w:val="none"/>
              </w:rPr>
              <w:t>批发业</w:t>
            </w:r>
          </w:p>
        </w:tc>
        <w:tc>
          <w:tcPr>
            <w:tcW w:w="1660" w:type="dxa"/>
            <w:tcBorders>
              <w:top w:val="nil"/>
              <w:left w:val="nil"/>
              <w:bottom w:val="single" w:color="auto" w:sz="4" w:space="0"/>
              <w:right w:val="single" w:color="auto" w:sz="4" w:space="0"/>
            </w:tcBorders>
            <w:noWrap w:val="0"/>
            <w:vAlign w:val="center"/>
          </w:tcPr>
          <w:p w14:paraId="5088E56B">
            <w:pPr>
              <w:keepNext w:val="0"/>
              <w:keepLines w:val="0"/>
              <w:widowControl/>
              <w:suppressLineNumbers w:val="0"/>
              <w:snapToGrid w:val="0"/>
              <w:spacing w:before="0" w:beforeAutospacing="0" w:after="0" w:afterAutospacing="0"/>
              <w:ind w:left="0" w:right="0"/>
              <w:contextualSpacing/>
              <w:jc w:val="center"/>
              <w:rPr>
                <w:rFonts w:hint="eastAsia" w:ascii="方正仿宋_GBK" w:hAnsi="方正仿宋_GBK" w:eastAsia="方正仿宋_GBK" w:cs="方正仿宋_GBK"/>
                <w:color w:val="auto"/>
                <w:kern w:val="0"/>
                <w:sz w:val="24"/>
                <w:highlight w:val="none"/>
              </w:rPr>
            </w:pPr>
            <w:r>
              <w:rPr>
                <w:rFonts w:hint="eastAsia" w:ascii="方正仿宋_GBK" w:hAnsi="方正仿宋_GBK" w:eastAsia="方正仿宋_GBK" w:cs="方正仿宋_GBK"/>
                <w:color w:val="auto"/>
                <w:kern w:val="0"/>
                <w:sz w:val="24"/>
                <w:highlight w:val="none"/>
              </w:rPr>
              <w:t>从业人员（X）</w:t>
            </w:r>
          </w:p>
        </w:tc>
        <w:tc>
          <w:tcPr>
            <w:tcW w:w="1466" w:type="dxa"/>
            <w:tcBorders>
              <w:top w:val="nil"/>
              <w:left w:val="nil"/>
              <w:bottom w:val="single" w:color="auto" w:sz="4" w:space="0"/>
              <w:right w:val="single" w:color="auto" w:sz="4" w:space="0"/>
            </w:tcBorders>
            <w:noWrap w:val="0"/>
            <w:vAlign w:val="center"/>
          </w:tcPr>
          <w:p w14:paraId="7E0F4B5F">
            <w:pPr>
              <w:keepNext w:val="0"/>
              <w:keepLines w:val="0"/>
              <w:widowControl/>
              <w:suppressLineNumbers w:val="0"/>
              <w:snapToGrid w:val="0"/>
              <w:spacing w:before="0" w:beforeAutospacing="0" w:after="0" w:afterAutospacing="0"/>
              <w:ind w:left="0" w:right="0"/>
              <w:contextualSpacing/>
              <w:jc w:val="center"/>
              <w:rPr>
                <w:rFonts w:hint="eastAsia" w:ascii="方正仿宋_GBK" w:hAnsi="方正仿宋_GBK" w:eastAsia="方正仿宋_GBK" w:cs="方正仿宋_GBK"/>
                <w:color w:val="auto"/>
                <w:kern w:val="0"/>
                <w:sz w:val="24"/>
                <w:highlight w:val="none"/>
              </w:rPr>
            </w:pPr>
            <w:r>
              <w:rPr>
                <w:rFonts w:hint="eastAsia" w:ascii="方正仿宋_GBK" w:hAnsi="方正仿宋_GBK" w:eastAsia="方正仿宋_GBK" w:cs="方正仿宋_GBK"/>
                <w:color w:val="auto"/>
                <w:kern w:val="0"/>
                <w:sz w:val="24"/>
                <w:highlight w:val="none"/>
              </w:rPr>
              <w:t>人</w:t>
            </w:r>
          </w:p>
        </w:tc>
        <w:tc>
          <w:tcPr>
            <w:tcW w:w="1903" w:type="dxa"/>
            <w:tcBorders>
              <w:top w:val="nil"/>
              <w:left w:val="nil"/>
              <w:bottom w:val="single" w:color="auto" w:sz="4" w:space="0"/>
              <w:right w:val="single" w:color="auto" w:sz="4" w:space="0"/>
            </w:tcBorders>
            <w:noWrap w:val="0"/>
            <w:vAlign w:val="center"/>
          </w:tcPr>
          <w:p w14:paraId="76E520D8">
            <w:pPr>
              <w:keepNext w:val="0"/>
              <w:keepLines w:val="0"/>
              <w:widowControl/>
              <w:suppressLineNumbers w:val="0"/>
              <w:snapToGrid w:val="0"/>
              <w:spacing w:before="0" w:beforeAutospacing="0" w:after="0" w:afterAutospacing="0"/>
              <w:ind w:left="0" w:right="0"/>
              <w:contextualSpacing/>
              <w:jc w:val="center"/>
              <w:rPr>
                <w:rFonts w:hint="eastAsia" w:ascii="方正仿宋_GBK" w:hAnsi="方正仿宋_GBK" w:eastAsia="方正仿宋_GBK" w:cs="方正仿宋_GBK"/>
                <w:color w:val="auto"/>
                <w:kern w:val="0"/>
                <w:sz w:val="24"/>
                <w:highlight w:val="none"/>
              </w:rPr>
            </w:pPr>
            <w:r>
              <w:rPr>
                <w:rFonts w:hint="eastAsia" w:ascii="方正仿宋_GBK" w:hAnsi="方正仿宋_GBK" w:eastAsia="方正仿宋_GBK" w:cs="方正仿宋_GBK"/>
                <w:color w:val="auto"/>
                <w:kern w:val="0"/>
                <w:sz w:val="24"/>
                <w:highlight w:val="none"/>
              </w:rPr>
              <w:t>20≤X＜200</w:t>
            </w:r>
          </w:p>
        </w:tc>
        <w:tc>
          <w:tcPr>
            <w:tcW w:w="1692" w:type="dxa"/>
            <w:tcBorders>
              <w:top w:val="nil"/>
              <w:left w:val="nil"/>
              <w:bottom w:val="single" w:color="auto" w:sz="4" w:space="0"/>
              <w:right w:val="single" w:color="auto" w:sz="4" w:space="0"/>
            </w:tcBorders>
            <w:noWrap w:val="0"/>
            <w:vAlign w:val="center"/>
          </w:tcPr>
          <w:p w14:paraId="4D20507A">
            <w:pPr>
              <w:keepNext w:val="0"/>
              <w:keepLines w:val="0"/>
              <w:widowControl/>
              <w:suppressLineNumbers w:val="0"/>
              <w:snapToGrid w:val="0"/>
              <w:spacing w:before="0" w:beforeAutospacing="0" w:after="0" w:afterAutospacing="0"/>
              <w:ind w:left="0" w:right="0"/>
              <w:contextualSpacing/>
              <w:jc w:val="center"/>
              <w:rPr>
                <w:rFonts w:hint="eastAsia" w:ascii="方正仿宋_GBK" w:hAnsi="方正仿宋_GBK" w:eastAsia="方正仿宋_GBK" w:cs="方正仿宋_GBK"/>
                <w:color w:val="auto"/>
                <w:kern w:val="0"/>
                <w:sz w:val="24"/>
                <w:highlight w:val="none"/>
              </w:rPr>
            </w:pPr>
            <w:r>
              <w:rPr>
                <w:rFonts w:hint="eastAsia" w:ascii="方正仿宋_GBK" w:hAnsi="方正仿宋_GBK" w:eastAsia="方正仿宋_GBK" w:cs="方正仿宋_GBK"/>
                <w:color w:val="auto"/>
                <w:kern w:val="0"/>
                <w:sz w:val="24"/>
                <w:highlight w:val="none"/>
              </w:rPr>
              <w:t>5≤X＜20</w:t>
            </w:r>
          </w:p>
        </w:tc>
        <w:tc>
          <w:tcPr>
            <w:tcW w:w="1087" w:type="dxa"/>
            <w:tcBorders>
              <w:top w:val="nil"/>
              <w:left w:val="nil"/>
              <w:bottom w:val="single" w:color="auto" w:sz="4" w:space="0"/>
              <w:right w:val="single" w:color="auto" w:sz="4" w:space="0"/>
            </w:tcBorders>
            <w:noWrap w:val="0"/>
            <w:vAlign w:val="center"/>
          </w:tcPr>
          <w:p w14:paraId="71F895A6">
            <w:pPr>
              <w:keepNext w:val="0"/>
              <w:keepLines w:val="0"/>
              <w:widowControl/>
              <w:suppressLineNumbers w:val="0"/>
              <w:snapToGrid w:val="0"/>
              <w:spacing w:before="0" w:beforeAutospacing="0" w:after="0" w:afterAutospacing="0"/>
              <w:ind w:left="0" w:right="0"/>
              <w:contextualSpacing/>
              <w:jc w:val="center"/>
              <w:rPr>
                <w:rFonts w:hint="eastAsia" w:ascii="方正仿宋_GBK" w:hAnsi="方正仿宋_GBK" w:eastAsia="方正仿宋_GBK" w:cs="方正仿宋_GBK"/>
                <w:color w:val="auto"/>
                <w:kern w:val="0"/>
                <w:sz w:val="24"/>
                <w:highlight w:val="none"/>
              </w:rPr>
            </w:pPr>
            <w:r>
              <w:rPr>
                <w:rFonts w:hint="eastAsia" w:ascii="方正仿宋_GBK" w:hAnsi="方正仿宋_GBK" w:eastAsia="方正仿宋_GBK" w:cs="方正仿宋_GBK"/>
                <w:color w:val="auto"/>
                <w:kern w:val="0"/>
                <w:sz w:val="24"/>
                <w:highlight w:val="none"/>
              </w:rPr>
              <w:t>X＜5</w:t>
            </w:r>
          </w:p>
        </w:tc>
      </w:tr>
      <w:tr w14:paraId="369F802A">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14:paraId="6A16293A">
            <w:pPr>
              <w:keepNext w:val="0"/>
              <w:keepLines w:val="0"/>
              <w:widowControl/>
              <w:suppressLineNumbers w:val="0"/>
              <w:snapToGrid w:val="0"/>
              <w:spacing w:before="0" w:beforeAutospacing="0" w:after="0" w:afterAutospacing="0"/>
              <w:ind w:left="0" w:right="0"/>
              <w:contextualSpacing/>
              <w:jc w:val="center"/>
              <w:rPr>
                <w:rFonts w:hint="eastAsia" w:ascii="方正仿宋_GBK" w:hAnsi="方正仿宋_GBK" w:eastAsia="方正仿宋_GBK" w:cs="方正仿宋_GBK"/>
                <w:b/>
                <w:bCs/>
                <w:color w:val="auto"/>
                <w:kern w:val="0"/>
                <w:sz w:val="24"/>
                <w:highlight w:val="none"/>
              </w:rPr>
            </w:pPr>
          </w:p>
        </w:tc>
        <w:tc>
          <w:tcPr>
            <w:tcW w:w="1660" w:type="dxa"/>
            <w:tcBorders>
              <w:top w:val="nil"/>
              <w:left w:val="nil"/>
              <w:bottom w:val="single" w:color="auto" w:sz="4" w:space="0"/>
              <w:right w:val="single" w:color="auto" w:sz="4" w:space="0"/>
            </w:tcBorders>
            <w:noWrap w:val="0"/>
            <w:vAlign w:val="center"/>
          </w:tcPr>
          <w:p w14:paraId="201930D5">
            <w:pPr>
              <w:keepNext w:val="0"/>
              <w:keepLines w:val="0"/>
              <w:widowControl/>
              <w:suppressLineNumbers w:val="0"/>
              <w:snapToGrid w:val="0"/>
              <w:spacing w:before="0" w:beforeAutospacing="0" w:after="0" w:afterAutospacing="0"/>
              <w:ind w:left="0" w:right="0"/>
              <w:contextualSpacing/>
              <w:jc w:val="center"/>
              <w:rPr>
                <w:rFonts w:hint="eastAsia" w:ascii="方正仿宋_GBK" w:hAnsi="方正仿宋_GBK" w:eastAsia="方正仿宋_GBK" w:cs="方正仿宋_GBK"/>
                <w:color w:val="auto"/>
                <w:kern w:val="0"/>
                <w:sz w:val="24"/>
                <w:highlight w:val="none"/>
              </w:rPr>
            </w:pPr>
            <w:r>
              <w:rPr>
                <w:rFonts w:hint="eastAsia" w:ascii="方正仿宋_GBK" w:hAnsi="方正仿宋_GBK" w:eastAsia="方正仿宋_GBK" w:cs="方正仿宋_GBK"/>
                <w:color w:val="auto"/>
                <w:kern w:val="0"/>
                <w:sz w:val="24"/>
                <w:highlight w:val="none"/>
              </w:rPr>
              <w:t>营业收入（Y）</w:t>
            </w:r>
          </w:p>
        </w:tc>
        <w:tc>
          <w:tcPr>
            <w:tcW w:w="1466" w:type="dxa"/>
            <w:tcBorders>
              <w:top w:val="nil"/>
              <w:left w:val="nil"/>
              <w:bottom w:val="single" w:color="auto" w:sz="4" w:space="0"/>
              <w:right w:val="single" w:color="auto" w:sz="4" w:space="0"/>
            </w:tcBorders>
            <w:noWrap w:val="0"/>
            <w:vAlign w:val="center"/>
          </w:tcPr>
          <w:p w14:paraId="315C0115">
            <w:pPr>
              <w:keepNext w:val="0"/>
              <w:keepLines w:val="0"/>
              <w:widowControl/>
              <w:suppressLineNumbers w:val="0"/>
              <w:snapToGrid w:val="0"/>
              <w:spacing w:before="0" w:beforeAutospacing="0" w:after="0" w:afterAutospacing="0"/>
              <w:ind w:left="0" w:right="0"/>
              <w:contextualSpacing/>
              <w:jc w:val="center"/>
              <w:rPr>
                <w:rFonts w:hint="eastAsia" w:ascii="方正仿宋_GBK" w:hAnsi="方正仿宋_GBK" w:eastAsia="方正仿宋_GBK" w:cs="方正仿宋_GBK"/>
                <w:color w:val="auto"/>
                <w:kern w:val="0"/>
                <w:sz w:val="24"/>
                <w:highlight w:val="none"/>
              </w:rPr>
            </w:pPr>
            <w:r>
              <w:rPr>
                <w:rFonts w:hint="eastAsia" w:ascii="方正仿宋_GBK" w:hAnsi="方正仿宋_GBK" w:eastAsia="方正仿宋_GBK" w:cs="方正仿宋_GBK"/>
                <w:color w:val="auto"/>
                <w:kern w:val="0"/>
                <w:sz w:val="24"/>
                <w:highlight w:val="none"/>
              </w:rPr>
              <w:t>万元</w:t>
            </w:r>
          </w:p>
        </w:tc>
        <w:tc>
          <w:tcPr>
            <w:tcW w:w="1903" w:type="dxa"/>
            <w:tcBorders>
              <w:top w:val="nil"/>
              <w:left w:val="nil"/>
              <w:bottom w:val="single" w:color="auto" w:sz="4" w:space="0"/>
              <w:right w:val="single" w:color="auto" w:sz="4" w:space="0"/>
            </w:tcBorders>
            <w:noWrap w:val="0"/>
            <w:vAlign w:val="center"/>
          </w:tcPr>
          <w:p w14:paraId="20981BEB">
            <w:pPr>
              <w:keepNext w:val="0"/>
              <w:keepLines w:val="0"/>
              <w:widowControl/>
              <w:suppressLineNumbers w:val="0"/>
              <w:snapToGrid w:val="0"/>
              <w:spacing w:before="0" w:beforeAutospacing="0" w:after="0" w:afterAutospacing="0"/>
              <w:ind w:left="0" w:right="0"/>
              <w:contextualSpacing/>
              <w:jc w:val="center"/>
              <w:rPr>
                <w:rFonts w:hint="eastAsia" w:ascii="方正仿宋_GBK" w:hAnsi="方正仿宋_GBK" w:eastAsia="方正仿宋_GBK" w:cs="方正仿宋_GBK"/>
                <w:color w:val="auto"/>
                <w:kern w:val="0"/>
                <w:sz w:val="24"/>
                <w:highlight w:val="none"/>
              </w:rPr>
            </w:pPr>
            <w:r>
              <w:rPr>
                <w:rFonts w:hint="eastAsia" w:ascii="方正仿宋_GBK" w:hAnsi="方正仿宋_GBK" w:eastAsia="方正仿宋_GBK" w:cs="方正仿宋_GBK"/>
                <w:color w:val="auto"/>
                <w:kern w:val="0"/>
                <w:sz w:val="24"/>
                <w:highlight w:val="none"/>
              </w:rPr>
              <w:t>5000≤Y＜40000</w:t>
            </w:r>
          </w:p>
        </w:tc>
        <w:tc>
          <w:tcPr>
            <w:tcW w:w="1692" w:type="dxa"/>
            <w:tcBorders>
              <w:top w:val="nil"/>
              <w:left w:val="nil"/>
              <w:bottom w:val="single" w:color="auto" w:sz="4" w:space="0"/>
              <w:right w:val="single" w:color="auto" w:sz="4" w:space="0"/>
            </w:tcBorders>
            <w:noWrap w:val="0"/>
            <w:vAlign w:val="center"/>
          </w:tcPr>
          <w:p w14:paraId="1B1DF3BE">
            <w:pPr>
              <w:keepNext w:val="0"/>
              <w:keepLines w:val="0"/>
              <w:widowControl/>
              <w:suppressLineNumbers w:val="0"/>
              <w:snapToGrid w:val="0"/>
              <w:spacing w:before="0" w:beforeAutospacing="0" w:after="0" w:afterAutospacing="0"/>
              <w:ind w:left="0" w:right="0"/>
              <w:contextualSpacing/>
              <w:jc w:val="center"/>
              <w:rPr>
                <w:rFonts w:hint="eastAsia" w:ascii="方正仿宋_GBK" w:hAnsi="方正仿宋_GBK" w:eastAsia="方正仿宋_GBK" w:cs="方正仿宋_GBK"/>
                <w:color w:val="auto"/>
                <w:kern w:val="0"/>
                <w:sz w:val="24"/>
                <w:highlight w:val="none"/>
              </w:rPr>
            </w:pPr>
            <w:r>
              <w:rPr>
                <w:rFonts w:hint="eastAsia" w:ascii="方正仿宋_GBK" w:hAnsi="方正仿宋_GBK" w:eastAsia="方正仿宋_GBK" w:cs="方正仿宋_GBK"/>
                <w:color w:val="auto"/>
                <w:kern w:val="0"/>
                <w:sz w:val="24"/>
                <w:highlight w:val="none"/>
              </w:rPr>
              <w:t>1000≤Y＜5000</w:t>
            </w:r>
          </w:p>
        </w:tc>
        <w:tc>
          <w:tcPr>
            <w:tcW w:w="1087" w:type="dxa"/>
            <w:tcBorders>
              <w:top w:val="nil"/>
              <w:left w:val="nil"/>
              <w:bottom w:val="single" w:color="auto" w:sz="4" w:space="0"/>
              <w:right w:val="single" w:color="auto" w:sz="4" w:space="0"/>
            </w:tcBorders>
            <w:noWrap w:val="0"/>
            <w:vAlign w:val="center"/>
          </w:tcPr>
          <w:p w14:paraId="6D4A60CD">
            <w:pPr>
              <w:keepNext w:val="0"/>
              <w:keepLines w:val="0"/>
              <w:widowControl/>
              <w:suppressLineNumbers w:val="0"/>
              <w:snapToGrid w:val="0"/>
              <w:spacing w:before="0" w:beforeAutospacing="0" w:after="0" w:afterAutospacing="0"/>
              <w:ind w:left="0" w:right="0"/>
              <w:contextualSpacing/>
              <w:jc w:val="center"/>
              <w:rPr>
                <w:rFonts w:hint="eastAsia" w:ascii="方正仿宋_GBK" w:hAnsi="方正仿宋_GBK" w:eastAsia="方正仿宋_GBK" w:cs="方正仿宋_GBK"/>
                <w:color w:val="auto"/>
                <w:kern w:val="0"/>
                <w:sz w:val="24"/>
                <w:highlight w:val="none"/>
              </w:rPr>
            </w:pPr>
            <w:r>
              <w:rPr>
                <w:rFonts w:hint="eastAsia" w:ascii="方正仿宋_GBK" w:hAnsi="方正仿宋_GBK" w:eastAsia="方正仿宋_GBK" w:cs="方正仿宋_GBK"/>
                <w:color w:val="auto"/>
                <w:kern w:val="0"/>
                <w:sz w:val="24"/>
                <w:highlight w:val="none"/>
              </w:rPr>
              <w:t>Y＜1000</w:t>
            </w:r>
          </w:p>
        </w:tc>
      </w:tr>
      <w:tr w14:paraId="5139B653">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14:paraId="0D62B74E">
            <w:pPr>
              <w:keepNext w:val="0"/>
              <w:keepLines w:val="0"/>
              <w:widowControl/>
              <w:suppressLineNumbers w:val="0"/>
              <w:snapToGrid w:val="0"/>
              <w:spacing w:before="0" w:beforeAutospacing="0" w:after="0" w:afterAutospacing="0"/>
              <w:ind w:left="0" w:right="0"/>
              <w:contextualSpacing/>
              <w:jc w:val="center"/>
              <w:rPr>
                <w:rFonts w:hint="eastAsia" w:ascii="方正仿宋_GBK" w:hAnsi="方正仿宋_GBK" w:eastAsia="方正仿宋_GBK" w:cs="方正仿宋_GBK"/>
                <w:b/>
                <w:bCs/>
                <w:color w:val="auto"/>
                <w:kern w:val="0"/>
                <w:sz w:val="24"/>
                <w:highlight w:val="none"/>
              </w:rPr>
            </w:pPr>
            <w:r>
              <w:rPr>
                <w:rFonts w:hint="eastAsia" w:ascii="方正仿宋_GBK" w:hAnsi="方正仿宋_GBK" w:eastAsia="方正仿宋_GBK" w:cs="方正仿宋_GBK"/>
                <w:b/>
                <w:bCs/>
                <w:color w:val="auto"/>
                <w:kern w:val="0"/>
                <w:sz w:val="24"/>
                <w:highlight w:val="none"/>
              </w:rPr>
              <w:t>零售业</w:t>
            </w:r>
          </w:p>
        </w:tc>
        <w:tc>
          <w:tcPr>
            <w:tcW w:w="1660" w:type="dxa"/>
            <w:tcBorders>
              <w:top w:val="nil"/>
              <w:left w:val="nil"/>
              <w:bottom w:val="single" w:color="auto" w:sz="4" w:space="0"/>
              <w:right w:val="single" w:color="auto" w:sz="4" w:space="0"/>
            </w:tcBorders>
            <w:noWrap w:val="0"/>
            <w:vAlign w:val="center"/>
          </w:tcPr>
          <w:p w14:paraId="04ECB6B9">
            <w:pPr>
              <w:keepNext w:val="0"/>
              <w:keepLines w:val="0"/>
              <w:widowControl/>
              <w:suppressLineNumbers w:val="0"/>
              <w:snapToGrid w:val="0"/>
              <w:spacing w:before="0" w:beforeAutospacing="0" w:after="0" w:afterAutospacing="0"/>
              <w:ind w:left="0" w:right="0"/>
              <w:contextualSpacing/>
              <w:jc w:val="center"/>
              <w:rPr>
                <w:rFonts w:hint="eastAsia" w:ascii="方正仿宋_GBK" w:hAnsi="方正仿宋_GBK" w:eastAsia="方正仿宋_GBK" w:cs="方正仿宋_GBK"/>
                <w:color w:val="auto"/>
                <w:kern w:val="0"/>
                <w:sz w:val="24"/>
                <w:highlight w:val="none"/>
              </w:rPr>
            </w:pPr>
            <w:r>
              <w:rPr>
                <w:rFonts w:hint="eastAsia" w:ascii="方正仿宋_GBK" w:hAnsi="方正仿宋_GBK" w:eastAsia="方正仿宋_GBK" w:cs="方正仿宋_GBK"/>
                <w:color w:val="auto"/>
                <w:kern w:val="0"/>
                <w:sz w:val="24"/>
                <w:highlight w:val="none"/>
              </w:rPr>
              <w:t>从业人员（X）</w:t>
            </w:r>
          </w:p>
        </w:tc>
        <w:tc>
          <w:tcPr>
            <w:tcW w:w="1466" w:type="dxa"/>
            <w:tcBorders>
              <w:top w:val="nil"/>
              <w:left w:val="nil"/>
              <w:bottom w:val="single" w:color="auto" w:sz="4" w:space="0"/>
              <w:right w:val="single" w:color="auto" w:sz="4" w:space="0"/>
            </w:tcBorders>
            <w:noWrap w:val="0"/>
            <w:vAlign w:val="center"/>
          </w:tcPr>
          <w:p w14:paraId="56C5CC47">
            <w:pPr>
              <w:keepNext w:val="0"/>
              <w:keepLines w:val="0"/>
              <w:widowControl/>
              <w:suppressLineNumbers w:val="0"/>
              <w:snapToGrid w:val="0"/>
              <w:spacing w:before="0" w:beforeAutospacing="0" w:after="0" w:afterAutospacing="0"/>
              <w:ind w:left="0" w:right="0"/>
              <w:contextualSpacing/>
              <w:jc w:val="center"/>
              <w:rPr>
                <w:rFonts w:hint="eastAsia" w:ascii="方正仿宋_GBK" w:hAnsi="方正仿宋_GBK" w:eastAsia="方正仿宋_GBK" w:cs="方正仿宋_GBK"/>
                <w:color w:val="auto"/>
                <w:kern w:val="0"/>
                <w:sz w:val="24"/>
                <w:highlight w:val="none"/>
              </w:rPr>
            </w:pPr>
            <w:r>
              <w:rPr>
                <w:rFonts w:hint="eastAsia" w:ascii="方正仿宋_GBK" w:hAnsi="方正仿宋_GBK" w:eastAsia="方正仿宋_GBK" w:cs="方正仿宋_GBK"/>
                <w:color w:val="auto"/>
                <w:kern w:val="0"/>
                <w:sz w:val="24"/>
                <w:highlight w:val="none"/>
              </w:rPr>
              <w:t>人</w:t>
            </w:r>
          </w:p>
        </w:tc>
        <w:tc>
          <w:tcPr>
            <w:tcW w:w="1903" w:type="dxa"/>
            <w:tcBorders>
              <w:top w:val="nil"/>
              <w:left w:val="nil"/>
              <w:bottom w:val="single" w:color="auto" w:sz="4" w:space="0"/>
              <w:right w:val="single" w:color="auto" w:sz="4" w:space="0"/>
            </w:tcBorders>
            <w:noWrap w:val="0"/>
            <w:vAlign w:val="center"/>
          </w:tcPr>
          <w:p w14:paraId="502DE3A8">
            <w:pPr>
              <w:keepNext w:val="0"/>
              <w:keepLines w:val="0"/>
              <w:widowControl/>
              <w:suppressLineNumbers w:val="0"/>
              <w:snapToGrid w:val="0"/>
              <w:spacing w:before="0" w:beforeAutospacing="0" w:after="0" w:afterAutospacing="0"/>
              <w:ind w:left="0" w:right="0"/>
              <w:contextualSpacing/>
              <w:jc w:val="center"/>
              <w:rPr>
                <w:rFonts w:hint="eastAsia" w:ascii="方正仿宋_GBK" w:hAnsi="方正仿宋_GBK" w:eastAsia="方正仿宋_GBK" w:cs="方正仿宋_GBK"/>
                <w:color w:val="auto"/>
                <w:kern w:val="0"/>
                <w:sz w:val="24"/>
                <w:highlight w:val="none"/>
              </w:rPr>
            </w:pPr>
            <w:r>
              <w:rPr>
                <w:rFonts w:hint="eastAsia" w:ascii="方正仿宋_GBK" w:hAnsi="方正仿宋_GBK" w:eastAsia="方正仿宋_GBK" w:cs="方正仿宋_GBK"/>
                <w:color w:val="auto"/>
                <w:kern w:val="0"/>
                <w:sz w:val="24"/>
                <w:highlight w:val="none"/>
              </w:rPr>
              <w:t>50≤X＜300</w:t>
            </w:r>
          </w:p>
        </w:tc>
        <w:tc>
          <w:tcPr>
            <w:tcW w:w="1692" w:type="dxa"/>
            <w:tcBorders>
              <w:top w:val="nil"/>
              <w:left w:val="nil"/>
              <w:bottom w:val="single" w:color="auto" w:sz="4" w:space="0"/>
              <w:right w:val="single" w:color="auto" w:sz="4" w:space="0"/>
            </w:tcBorders>
            <w:noWrap w:val="0"/>
            <w:vAlign w:val="center"/>
          </w:tcPr>
          <w:p w14:paraId="75917486">
            <w:pPr>
              <w:keepNext w:val="0"/>
              <w:keepLines w:val="0"/>
              <w:widowControl/>
              <w:suppressLineNumbers w:val="0"/>
              <w:snapToGrid w:val="0"/>
              <w:spacing w:before="0" w:beforeAutospacing="0" w:after="0" w:afterAutospacing="0"/>
              <w:ind w:left="0" w:right="0"/>
              <w:contextualSpacing/>
              <w:jc w:val="center"/>
              <w:rPr>
                <w:rFonts w:hint="eastAsia" w:ascii="方正仿宋_GBK" w:hAnsi="方正仿宋_GBK" w:eastAsia="方正仿宋_GBK" w:cs="方正仿宋_GBK"/>
                <w:color w:val="auto"/>
                <w:kern w:val="0"/>
                <w:sz w:val="24"/>
                <w:highlight w:val="none"/>
              </w:rPr>
            </w:pPr>
            <w:r>
              <w:rPr>
                <w:rFonts w:hint="eastAsia" w:ascii="方正仿宋_GBK" w:hAnsi="方正仿宋_GBK" w:eastAsia="方正仿宋_GBK" w:cs="方正仿宋_GBK"/>
                <w:color w:val="auto"/>
                <w:kern w:val="0"/>
                <w:sz w:val="24"/>
                <w:highlight w:val="none"/>
              </w:rPr>
              <w:t>10≤X＜50</w:t>
            </w:r>
          </w:p>
        </w:tc>
        <w:tc>
          <w:tcPr>
            <w:tcW w:w="1087" w:type="dxa"/>
            <w:tcBorders>
              <w:top w:val="nil"/>
              <w:left w:val="nil"/>
              <w:bottom w:val="single" w:color="auto" w:sz="4" w:space="0"/>
              <w:right w:val="single" w:color="auto" w:sz="4" w:space="0"/>
            </w:tcBorders>
            <w:noWrap w:val="0"/>
            <w:vAlign w:val="center"/>
          </w:tcPr>
          <w:p w14:paraId="2CA28D97">
            <w:pPr>
              <w:keepNext w:val="0"/>
              <w:keepLines w:val="0"/>
              <w:widowControl/>
              <w:suppressLineNumbers w:val="0"/>
              <w:snapToGrid w:val="0"/>
              <w:spacing w:before="0" w:beforeAutospacing="0" w:after="0" w:afterAutospacing="0"/>
              <w:ind w:left="0" w:right="0"/>
              <w:contextualSpacing/>
              <w:jc w:val="center"/>
              <w:rPr>
                <w:rFonts w:hint="eastAsia" w:ascii="方正仿宋_GBK" w:hAnsi="方正仿宋_GBK" w:eastAsia="方正仿宋_GBK" w:cs="方正仿宋_GBK"/>
                <w:color w:val="auto"/>
                <w:kern w:val="0"/>
                <w:sz w:val="24"/>
                <w:highlight w:val="none"/>
              </w:rPr>
            </w:pPr>
            <w:r>
              <w:rPr>
                <w:rFonts w:hint="eastAsia" w:ascii="方正仿宋_GBK" w:hAnsi="方正仿宋_GBK" w:eastAsia="方正仿宋_GBK" w:cs="方正仿宋_GBK"/>
                <w:color w:val="auto"/>
                <w:kern w:val="0"/>
                <w:sz w:val="24"/>
                <w:highlight w:val="none"/>
              </w:rPr>
              <w:t>X＜10</w:t>
            </w:r>
          </w:p>
        </w:tc>
      </w:tr>
      <w:tr w14:paraId="28CF1B2B">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14:paraId="29E07417">
            <w:pPr>
              <w:keepNext w:val="0"/>
              <w:keepLines w:val="0"/>
              <w:widowControl/>
              <w:suppressLineNumbers w:val="0"/>
              <w:snapToGrid w:val="0"/>
              <w:spacing w:before="0" w:beforeAutospacing="0" w:after="0" w:afterAutospacing="0"/>
              <w:ind w:left="0" w:right="0"/>
              <w:contextualSpacing/>
              <w:jc w:val="center"/>
              <w:rPr>
                <w:rFonts w:hint="eastAsia" w:ascii="方正仿宋_GBK" w:hAnsi="方正仿宋_GBK" w:eastAsia="方正仿宋_GBK" w:cs="方正仿宋_GBK"/>
                <w:b/>
                <w:bCs/>
                <w:color w:val="auto"/>
                <w:kern w:val="0"/>
                <w:sz w:val="24"/>
                <w:highlight w:val="none"/>
              </w:rPr>
            </w:pPr>
          </w:p>
        </w:tc>
        <w:tc>
          <w:tcPr>
            <w:tcW w:w="1660" w:type="dxa"/>
            <w:tcBorders>
              <w:top w:val="nil"/>
              <w:left w:val="nil"/>
              <w:bottom w:val="single" w:color="auto" w:sz="4" w:space="0"/>
              <w:right w:val="single" w:color="auto" w:sz="4" w:space="0"/>
            </w:tcBorders>
            <w:noWrap w:val="0"/>
            <w:vAlign w:val="center"/>
          </w:tcPr>
          <w:p w14:paraId="7FF4C847">
            <w:pPr>
              <w:keepNext w:val="0"/>
              <w:keepLines w:val="0"/>
              <w:widowControl/>
              <w:suppressLineNumbers w:val="0"/>
              <w:snapToGrid w:val="0"/>
              <w:spacing w:before="0" w:beforeAutospacing="0" w:after="0" w:afterAutospacing="0"/>
              <w:ind w:left="0" w:right="0"/>
              <w:contextualSpacing/>
              <w:jc w:val="center"/>
              <w:rPr>
                <w:rFonts w:hint="eastAsia" w:ascii="方正仿宋_GBK" w:hAnsi="方正仿宋_GBK" w:eastAsia="方正仿宋_GBK" w:cs="方正仿宋_GBK"/>
                <w:color w:val="auto"/>
                <w:kern w:val="0"/>
                <w:sz w:val="24"/>
                <w:highlight w:val="none"/>
              </w:rPr>
            </w:pPr>
            <w:r>
              <w:rPr>
                <w:rFonts w:hint="eastAsia" w:ascii="方正仿宋_GBK" w:hAnsi="方正仿宋_GBK" w:eastAsia="方正仿宋_GBK" w:cs="方正仿宋_GBK"/>
                <w:color w:val="auto"/>
                <w:kern w:val="0"/>
                <w:sz w:val="24"/>
                <w:highlight w:val="none"/>
              </w:rPr>
              <w:t>营业收入（Y）</w:t>
            </w:r>
          </w:p>
        </w:tc>
        <w:tc>
          <w:tcPr>
            <w:tcW w:w="1466" w:type="dxa"/>
            <w:tcBorders>
              <w:top w:val="nil"/>
              <w:left w:val="nil"/>
              <w:bottom w:val="single" w:color="auto" w:sz="4" w:space="0"/>
              <w:right w:val="single" w:color="auto" w:sz="4" w:space="0"/>
            </w:tcBorders>
            <w:noWrap w:val="0"/>
            <w:vAlign w:val="center"/>
          </w:tcPr>
          <w:p w14:paraId="4735C18B">
            <w:pPr>
              <w:keepNext w:val="0"/>
              <w:keepLines w:val="0"/>
              <w:widowControl/>
              <w:suppressLineNumbers w:val="0"/>
              <w:snapToGrid w:val="0"/>
              <w:spacing w:before="0" w:beforeAutospacing="0" w:after="0" w:afterAutospacing="0"/>
              <w:ind w:left="0" w:right="0"/>
              <w:contextualSpacing/>
              <w:jc w:val="center"/>
              <w:rPr>
                <w:rFonts w:hint="eastAsia" w:ascii="方正仿宋_GBK" w:hAnsi="方正仿宋_GBK" w:eastAsia="方正仿宋_GBK" w:cs="方正仿宋_GBK"/>
                <w:color w:val="auto"/>
                <w:kern w:val="0"/>
                <w:sz w:val="24"/>
                <w:highlight w:val="none"/>
              </w:rPr>
            </w:pPr>
            <w:r>
              <w:rPr>
                <w:rFonts w:hint="eastAsia" w:ascii="方正仿宋_GBK" w:hAnsi="方正仿宋_GBK" w:eastAsia="方正仿宋_GBK" w:cs="方正仿宋_GBK"/>
                <w:color w:val="auto"/>
                <w:kern w:val="0"/>
                <w:sz w:val="24"/>
                <w:highlight w:val="none"/>
              </w:rPr>
              <w:t>万元</w:t>
            </w:r>
          </w:p>
        </w:tc>
        <w:tc>
          <w:tcPr>
            <w:tcW w:w="1903" w:type="dxa"/>
            <w:tcBorders>
              <w:top w:val="nil"/>
              <w:left w:val="nil"/>
              <w:bottom w:val="single" w:color="auto" w:sz="4" w:space="0"/>
              <w:right w:val="single" w:color="auto" w:sz="4" w:space="0"/>
            </w:tcBorders>
            <w:noWrap w:val="0"/>
            <w:vAlign w:val="center"/>
          </w:tcPr>
          <w:p w14:paraId="61E69EDB">
            <w:pPr>
              <w:keepNext w:val="0"/>
              <w:keepLines w:val="0"/>
              <w:widowControl/>
              <w:suppressLineNumbers w:val="0"/>
              <w:snapToGrid w:val="0"/>
              <w:spacing w:before="0" w:beforeAutospacing="0" w:after="0" w:afterAutospacing="0"/>
              <w:ind w:left="0" w:right="0"/>
              <w:contextualSpacing/>
              <w:jc w:val="center"/>
              <w:rPr>
                <w:rFonts w:hint="eastAsia" w:ascii="方正仿宋_GBK" w:hAnsi="方正仿宋_GBK" w:eastAsia="方正仿宋_GBK" w:cs="方正仿宋_GBK"/>
                <w:color w:val="auto"/>
                <w:kern w:val="0"/>
                <w:sz w:val="24"/>
                <w:highlight w:val="none"/>
              </w:rPr>
            </w:pPr>
            <w:r>
              <w:rPr>
                <w:rFonts w:hint="eastAsia" w:ascii="方正仿宋_GBK" w:hAnsi="方正仿宋_GBK" w:eastAsia="方正仿宋_GBK" w:cs="方正仿宋_GBK"/>
                <w:color w:val="auto"/>
                <w:kern w:val="0"/>
                <w:sz w:val="24"/>
                <w:highlight w:val="none"/>
              </w:rPr>
              <w:t>500≤Y＜20000</w:t>
            </w:r>
          </w:p>
        </w:tc>
        <w:tc>
          <w:tcPr>
            <w:tcW w:w="1692" w:type="dxa"/>
            <w:tcBorders>
              <w:top w:val="nil"/>
              <w:left w:val="nil"/>
              <w:bottom w:val="single" w:color="auto" w:sz="4" w:space="0"/>
              <w:right w:val="single" w:color="auto" w:sz="4" w:space="0"/>
            </w:tcBorders>
            <w:noWrap w:val="0"/>
            <w:vAlign w:val="center"/>
          </w:tcPr>
          <w:p w14:paraId="052E50AA">
            <w:pPr>
              <w:keepNext w:val="0"/>
              <w:keepLines w:val="0"/>
              <w:widowControl/>
              <w:suppressLineNumbers w:val="0"/>
              <w:snapToGrid w:val="0"/>
              <w:spacing w:before="0" w:beforeAutospacing="0" w:after="0" w:afterAutospacing="0"/>
              <w:ind w:left="0" w:right="0"/>
              <w:contextualSpacing/>
              <w:jc w:val="center"/>
              <w:rPr>
                <w:rFonts w:hint="eastAsia" w:ascii="方正仿宋_GBK" w:hAnsi="方正仿宋_GBK" w:eastAsia="方正仿宋_GBK" w:cs="方正仿宋_GBK"/>
                <w:color w:val="auto"/>
                <w:kern w:val="0"/>
                <w:sz w:val="24"/>
                <w:highlight w:val="none"/>
              </w:rPr>
            </w:pPr>
            <w:r>
              <w:rPr>
                <w:rFonts w:hint="eastAsia" w:ascii="方正仿宋_GBK" w:hAnsi="方正仿宋_GBK" w:eastAsia="方正仿宋_GBK" w:cs="方正仿宋_GBK"/>
                <w:color w:val="auto"/>
                <w:kern w:val="0"/>
                <w:sz w:val="24"/>
                <w:highlight w:val="none"/>
              </w:rPr>
              <w:t>100≤Y＜500</w:t>
            </w:r>
          </w:p>
        </w:tc>
        <w:tc>
          <w:tcPr>
            <w:tcW w:w="1087" w:type="dxa"/>
            <w:tcBorders>
              <w:top w:val="nil"/>
              <w:left w:val="nil"/>
              <w:bottom w:val="single" w:color="auto" w:sz="4" w:space="0"/>
              <w:right w:val="single" w:color="auto" w:sz="4" w:space="0"/>
            </w:tcBorders>
            <w:noWrap w:val="0"/>
            <w:vAlign w:val="center"/>
          </w:tcPr>
          <w:p w14:paraId="64FA33C6">
            <w:pPr>
              <w:keepNext w:val="0"/>
              <w:keepLines w:val="0"/>
              <w:widowControl/>
              <w:suppressLineNumbers w:val="0"/>
              <w:snapToGrid w:val="0"/>
              <w:spacing w:before="0" w:beforeAutospacing="0" w:after="0" w:afterAutospacing="0"/>
              <w:ind w:left="0" w:right="0"/>
              <w:contextualSpacing/>
              <w:jc w:val="center"/>
              <w:rPr>
                <w:rFonts w:hint="eastAsia" w:ascii="方正仿宋_GBK" w:hAnsi="方正仿宋_GBK" w:eastAsia="方正仿宋_GBK" w:cs="方正仿宋_GBK"/>
                <w:color w:val="auto"/>
                <w:kern w:val="0"/>
                <w:sz w:val="24"/>
                <w:highlight w:val="none"/>
              </w:rPr>
            </w:pPr>
            <w:r>
              <w:rPr>
                <w:rFonts w:hint="eastAsia" w:ascii="方正仿宋_GBK" w:hAnsi="方正仿宋_GBK" w:eastAsia="方正仿宋_GBK" w:cs="方正仿宋_GBK"/>
                <w:color w:val="auto"/>
                <w:kern w:val="0"/>
                <w:sz w:val="24"/>
                <w:highlight w:val="none"/>
              </w:rPr>
              <w:t>Y＜100</w:t>
            </w:r>
          </w:p>
        </w:tc>
      </w:tr>
      <w:tr w14:paraId="1FDBA1C8">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14:paraId="2F5B9889">
            <w:pPr>
              <w:keepNext w:val="0"/>
              <w:keepLines w:val="0"/>
              <w:widowControl/>
              <w:suppressLineNumbers w:val="0"/>
              <w:snapToGrid w:val="0"/>
              <w:spacing w:before="0" w:beforeAutospacing="0" w:after="0" w:afterAutospacing="0"/>
              <w:ind w:left="0" w:right="0"/>
              <w:contextualSpacing/>
              <w:jc w:val="center"/>
              <w:rPr>
                <w:rFonts w:hint="eastAsia" w:ascii="方正仿宋_GBK" w:hAnsi="方正仿宋_GBK" w:eastAsia="方正仿宋_GBK" w:cs="方正仿宋_GBK"/>
                <w:b/>
                <w:bCs/>
                <w:color w:val="auto"/>
                <w:kern w:val="0"/>
                <w:sz w:val="24"/>
                <w:highlight w:val="none"/>
              </w:rPr>
            </w:pPr>
            <w:r>
              <w:rPr>
                <w:rFonts w:hint="eastAsia" w:ascii="方正仿宋_GBK" w:hAnsi="方正仿宋_GBK" w:eastAsia="方正仿宋_GBK" w:cs="方正仿宋_GBK"/>
                <w:b/>
                <w:bCs/>
                <w:color w:val="auto"/>
                <w:kern w:val="0"/>
                <w:sz w:val="24"/>
                <w:highlight w:val="none"/>
              </w:rPr>
              <w:t>交通运输业</w:t>
            </w:r>
          </w:p>
        </w:tc>
        <w:tc>
          <w:tcPr>
            <w:tcW w:w="1660" w:type="dxa"/>
            <w:tcBorders>
              <w:top w:val="nil"/>
              <w:left w:val="nil"/>
              <w:bottom w:val="single" w:color="auto" w:sz="4" w:space="0"/>
              <w:right w:val="single" w:color="auto" w:sz="4" w:space="0"/>
            </w:tcBorders>
            <w:noWrap w:val="0"/>
            <w:vAlign w:val="center"/>
          </w:tcPr>
          <w:p w14:paraId="734AB697">
            <w:pPr>
              <w:keepNext w:val="0"/>
              <w:keepLines w:val="0"/>
              <w:widowControl/>
              <w:suppressLineNumbers w:val="0"/>
              <w:snapToGrid w:val="0"/>
              <w:spacing w:before="0" w:beforeAutospacing="0" w:after="0" w:afterAutospacing="0"/>
              <w:ind w:left="0" w:right="0"/>
              <w:contextualSpacing/>
              <w:jc w:val="center"/>
              <w:rPr>
                <w:rFonts w:hint="eastAsia" w:ascii="方正仿宋_GBK" w:hAnsi="方正仿宋_GBK" w:eastAsia="方正仿宋_GBK" w:cs="方正仿宋_GBK"/>
                <w:color w:val="auto"/>
                <w:kern w:val="0"/>
                <w:sz w:val="24"/>
                <w:highlight w:val="none"/>
              </w:rPr>
            </w:pPr>
            <w:r>
              <w:rPr>
                <w:rFonts w:hint="eastAsia" w:ascii="方正仿宋_GBK" w:hAnsi="方正仿宋_GBK" w:eastAsia="方正仿宋_GBK" w:cs="方正仿宋_GBK"/>
                <w:color w:val="auto"/>
                <w:kern w:val="0"/>
                <w:sz w:val="24"/>
                <w:highlight w:val="none"/>
              </w:rPr>
              <w:t>从业人员（X）</w:t>
            </w:r>
          </w:p>
        </w:tc>
        <w:tc>
          <w:tcPr>
            <w:tcW w:w="1466" w:type="dxa"/>
            <w:tcBorders>
              <w:top w:val="nil"/>
              <w:left w:val="nil"/>
              <w:bottom w:val="single" w:color="auto" w:sz="4" w:space="0"/>
              <w:right w:val="single" w:color="auto" w:sz="4" w:space="0"/>
            </w:tcBorders>
            <w:noWrap w:val="0"/>
            <w:vAlign w:val="center"/>
          </w:tcPr>
          <w:p w14:paraId="58D2C16E">
            <w:pPr>
              <w:keepNext w:val="0"/>
              <w:keepLines w:val="0"/>
              <w:widowControl/>
              <w:suppressLineNumbers w:val="0"/>
              <w:snapToGrid w:val="0"/>
              <w:spacing w:before="0" w:beforeAutospacing="0" w:after="0" w:afterAutospacing="0"/>
              <w:ind w:left="0" w:right="0"/>
              <w:contextualSpacing/>
              <w:jc w:val="center"/>
              <w:rPr>
                <w:rFonts w:hint="eastAsia" w:ascii="方正仿宋_GBK" w:hAnsi="方正仿宋_GBK" w:eastAsia="方正仿宋_GBK" w:cs="方正仿宋_GBK"/>
                <w:color w:val="auto"/>
                <w:kern w:val="0"/>
                <w:sz w:val="24"/>
                <w:highlight w:val="none"/>
              </w:rPr>
            </w:pPr>
            <w:r>
              <w:rPr>
                <w:rFonts w:hint="eastAsia" w:ascii="方正仿宋_GBK" w:hAnsi="方正仿宋_GBK" w:eastAsia="方正仿宋_GBK" w:cs="方正仿宋_GBK"/>
                <w:color w:val="auto"/>
                <w:kern w:val="0"/>
                <w:sz w:val="24"/>
                <w:highlight w:val="none"/>
              </w:rPr>
              <w:t>人</w:t>
            </w:r>
          </w:p>
        </w:tc>
        <w:tc>
          <w:tcPr>
            <w:tcW w:w="1903" w:type="dxa"/>
            <w:tcBorders>
              <w:top w:val="nil"/>
              <w:left w:val="nil"/>
              <w:bottom w:val="single" w:color="auto" w:sz="4" w:space="0"/>
              <w:right w:val="single" w:color="auto" w:sz="4" w:space="0"/>
            </w:tcBorders>
            <w:noWrap w:val="0"/>
            <w:vAlign w:val="center"/>
          </w:tcPr>
          <w:p w14:paraId="4751CED2">
            <w:pPr>
              <w:keepNext w:val="0"/>
              <w:keepLines w:val="0"/>
              <w:widowControl/>
              <w:suppressLineNumbers w:val="0"/>
              <w:snapToGrid w:val="0"/>
              <w:spacing w:before="0" w:beforeAutospacing="0" w:after="0" w:afterAutospacing="0"/>
              <w:ind w:left="0" w:right="0"/>
              <w:contextualSpacing/>
              <w:jc w:val="center"/>
              <w:rPr>
                <w:rFonts w:hint="eastAsia" w:ascii="方正仿宋_GBK" w:hAnsi="方正仿宋_GBK" w:eastAsia="方正仿宋_GBK" w:cs="方正仿宋_GBK"/>
                <w:color w:val="auto"/>
                <w:kern w:val="0"/>
                <w:sz w:val="24"/>
                <w:highlight w:val="none"/>
              </w:rPr>
            </w:pPr>
            <w:r>
              <w:rPr>
                <w:rFonts w:hint="eastAsia" w:ascii="方正仿宋_GBK" w:hAnsi="方正仿宋_GBK" w:eastAsia="方正仿宋_GBK" w:cs="方正仿宋_GBK"/>
                <w:color w:val="auto"/>
                <w:kern w:val="0"/>
                <w:sz w:val="24"/>
                <w:highlight w:val="none"/>
              </w:rPr>
              <w:t>300≤X＜1000</w:t>
            </w:r>
          </w:p>
        </w:tc>
        <w:tc>
          <w:tcPr>
            <w:tcW w:w="1692" w:type="dxa"/>
            <w:tcBorders>
              <w:top w:val="nil"/>
              <w:left w:val="nil"/>
              <w:bottom w:val="single" w:color="auto" w:sz="4" w:space="0"/>
              <w:right w:val="single" w:color="auto" w:sz="4" w:space="0"/>
            </w:tcBorders>
            <w:noWrap w:val="0"/>
            <w:vAlign w:val="center"/>
          </w:tcPr>
          <w:p w14:paraId="5768EE17">
            <w:pPr>
              <w:keepNext w:val="0"/>
              <w:keepLines w:val="0"/>
              <w:widowControl/>
              <w:suppressLineNumbers w:val="0"/>
              <w:snapToGrid w:val="0"/>
              <w:spacing w:before="0" w:beforeAutospacing="0" w:after="0" w:afterAutospacing="0"/>
              <w:ind w:left="0" w:right="0"/>
              <w:contextualSpacing/>
              <w:jc w:val="center"/>
              <w:rPr>
                <w:rFonts w:hint="eastAsia" w:ascii="方正仿宋_GBK" w:hAnsi="方正仿宋_GBK" w:eastAsia="方正仿宋_GBK" w:cs="方正仿宋_GBK"/>
                <w:color w:val="auto"/>
                <w:kern w:val="0"/>
                <w:sz w:val="24"/>
                <w:highlight w:val="none"/>
              </w:rPr>
            </w:pPr>
            <w:r>
              <w:rPr>
                <w:rFonts w:hint="eastAsia" w:ascii="方正仿宋_GBK" w:hAnsi="方正仿宋_GBK" w:eastAsia="方正仿宋_GBK" w:cs="方正仿宋_GBK"/>
                <w:color w:val="auto"/>
                <w:kern w:val="0"/>
                <w:sz w:val="24"/>
                <w:highlight w:val="none"/>
              </w:rPr>
              <w:t>20≤X＜300</w:t>
            </w:r>
          </w:p>
        </w:tc>
        <w:tc>
          <w:tcPr>
            <w:tcW w:w="1087" w:type="dxa"/>
            <w:tcBorders>
              <w:top w:val="nil"/>
              <w:left w:val="nil"/>
              <w:bottom w:val="single" w:color="auto" w:sz="4" w:space="0"/>
              <w:right w:val="single" w:color="auto" w:sz="4" w:space="0"/>
            </w:tcBorders>
            <w:noWrap w:val="0"/>
            <w:vAlign w:val="center"/>
          </w:tcPr>
          <w:p w14:paraId="63474BB8">
            <w:pPr>
              <w:keepNext w:val="0"/>
              <w:keepLines w:val="0"/>
              <w:widowControl/>
              <w:suppressLineNumbers w:val="0"/>
              <w:snapToGrid w:val="0"/>
              <w:spacing w:before="0" w:beforeAutospacing="0" w:after="0" w:afterAutospacing="0"/>
              <w:ind w:left="0" w:right="0"/>
              <w:contextualSpacing/>
              <w:jc w:val="center"/>
              <w:rPr>
                <w:rFonts w:hint="eastAsia" w:ascii="方正仿宋_GBK" w:hAnsi="方正仿宋_GBK" w:eastAsia="方正仿宋_GBK" w:cs="方正仿宋_GBK"/>
                <w:color w:val="auto"/>
                <w:kern w:val="0"/>
                <w:sz w:val="24"/>
                <w:highlight w:val="none"/>
              </w:rPr>
            </w:pPr>
            <w:r>
              <w:rPr>
                <w:rFonts w:hint="eastAsia" w:ascii="方正仿宋_GBK" w:hAnsi="方正仿宋_GBK" w:eastAsia="方正仿宋_GBK" w:cs="方正仿宋_GBK"/>
                <w:color w:val="auto"/>
                <w:kern w:val="0"/>
                <w:sz w:val="24"/>
                <w:highlight w:val="none"/>
              </w:rPr>
              <w:t>X＜20</w:t>
            </w:r>
          </w:p>
        </w:tc>
      </w:tr>
      <w:tr w14:paraId="2C3323A5">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14:paraId="1481F094">
            <w:pPr>
              <w:keepNext w:val="0"/>
              <w:keepLines w:val="0"/>
              <w:widowControl/>
              <w:suppressLineNumbers w:val="0"/>
              <w:snapToGrid w:val="0"/>
              <w:spacing w:before="0" w:beforeAutospacing="0" w:after="0" w:afterAutospacing="0"/>
              <w:ind w:left="0" w:right="0"/>
              <w:contextualSpacing/>
              <w:jc w:val="center"/>
              <w:rPr>
                <w:rFonts w:hint="eastAsia" w:ascii="方正仿宋_GBK" w:hAnsi="方正仿宋_GBK" w:eastAsia="方正仿宋_GBK" w:cs="方正仿宋_GBK"/>
                <w:b/>
                <w:bCs/>
                <w:color w:val="auto"/>
                <w:kern w:val="0"/>
                <w:sz w:val="24"/>
                <w:highlight w:val="none"/>
              </w:rPr>
            </w:pPr>
          </w:p>
        </w:tc>
        <w:tc>
          <w:tcPr>
            <w:tcW w:w="1660" w:type="dxa"/>
            <w:tcBorders>
              <w:top w:val="nil"/>
              <w:left w:val="nil"/>
              <w:bottom w:val="single" w:color="auto" w:sz="4" w:space="0"/>
              <w:right w:val="single" w:color="auto" w:sz="4" w:space="0"/>
            </w:tcBorders>
            <w:noWrap w:val="0"/>
            <w:vAlign w:val="center"/>
          </w:tcPr>
          <w:p w14:paraId="29D58414">
            <w:pPr>
              <w:keepNext w:val="0"/>
              <w:keepLines w:val="0"/>
              <w:widowControl/>
              <w:suppressLineNumbers w:val="0"/>
              <w:snapToGrid w:val="0"/>
              <w:spacing w:before="0" w:beforeAutospacing="0" w:after="0" w:afterAutospacing="0"/>
              <w:ind w:left="0" w:right="0"/>
              <w:contextualSpacing/>
              <w:jc w:val="center"/>
              <w:rPr>
                <w:rFonts w:hint="eastAsia" w:ascii="方正仿宋_GBK" w:hAnsi="方正仿宋_GBK" w:eastAsia="方正仿宋_GBK" w:cs="方正仿宋_GBK"/>
                <w:color w:val="auto"/>
                <w:kern w:val="0"/>
                <w:sz w:val="24"/>
                <w:highlight w:val="none"/>
              </w:rPr>
            </w:pPr>
            <w:r>
              <w:rPr>
                <w:rFonts w:hint="eastAsia" w:ascii="方正仿宋_GBK" w:hAnsi="方正仿宋_GBK" w:eastAsia="方正仿宋_GBK" w:cs="方正仿宋_GBK"/>
                <w:color w:val="auto"/>
                <w:kern w:val="0"/>
                <w:sz w:val="24"/>
                <w:highlight w:val="none"/>
              </w:rPr>
              <w:t>营业收入（Y）</w:t>
            </w:r>
          </w:p>
        </w:tc>
        <w:tc>
          <w:tcPr>
            <w:tcW w:w="1466" w:type="dxa"/>
            <w:tcBorders>
              <w:top w:val="nil"/>
              <w:left w:val="nil"/>
              <w:bottom w:val="single" w:color="auto" w:sz="4" w:space="0"/>
              <w:right w:val="single" w:color="auto" w:sz="4" w:space="0"/>
            </w:tcBorders>
            <w:noWrap w:val="0"/>
            <w:vAlign w:val="center"/>
          </w:tcPr>
          <w:p w14:paraId="61F7DDEC">
            <w:pPr>
              <w:keepNext w:val="0"/>
              <w:keepLines w:val="0"/>
              <w:widowControl/>
              <w:suppressLineNumbers w:val="0"/>
              <w:snapToGrid w:val="0"/>
              <w:spacing w:before="0" w:beforeAutospacing="0" w:after="0" w:afterAutospacing="0"/>
              <w:ind w:left="0" w:right="0"/>
              <w:contextualSpacing/>
              <w:jc w:val="center"/>
              <w:rPr>
                <w:rFonts w:hint="eastAsia" w:ascii="方正仿宋_GBK" w:hAnsi="方正仿宋_GBK" w:eastAsia="方正仿宋_GBK" w:cs="方正仿宋_GBK"/>
                <w:color w:val="auto"/>
                <w:kern w:val="0"/>
                <w:sz w:val="24"/>
                <w:highlight w:val="none"/>
              </w:rPr>
            </w:pPr>
            <w:r>
              <w:rPr>
                <w:rFonts w:hint="eastAsia" w:ascii="方正仿宋_GBK" w:hAnsi="方正仿宋_GBK" w:eastAsia="方正仿宋_GBK" w:cs="方正仿宋_GBK"/>
                <w:color w:val="auto"/>
                <w:kern w:val="0"/>
                <w:sz w:val="24"/>
                <w:highlight w:val="none"/>
              </w:rPr>
              <w:t>万元</w:t>
            </w:r>
          </w:p>
        </w:tc>
        <w:tc>
          <w:tcPr>
            <w:tcW w:w="1903" w:type="dxa"/>
            <w:tcBorders>
              <w:top w:val="nil"/>
              <w:left w:val="nil"/>
              <w:bottom w:val="single" w:color="auto" w:sz="4" w:space="0"/>
              <w:right w:val="single" w:color="auto" w:sz="4" w:space="0"/>
            </w:tcBorders>
            <w:noWrap w:val="0"/>
            <w:vAlign w:val="center"/>
          </w:tcPr>
          <w:p w14:paraId="5DD0067B">
            <w:pPr>
              <w:keepNext w:val="0"/>
              <w:keepLines w:val="0"/>
              <w:widowControl/>
              <w:suppressLineNumbers w:val="0"/>
              <w:snapToGrid w:val="0"/>
              <w:spacing w:before="0" w:beforeAutospacing="0" w:after="0" w:afterAutospacing="0"/>
              <w:ind w:left="0" w:right="0"/>
              <w:contextualSpacing/>
              <w:jc w:val="center"/>
              <w:rPr>
                <w:rFonts w:hint="eastAsia" w:ascii="方正仿宋_GBK" w:hAnsi="方正仿宋_GBK" w:eastAsia="方正仿宋_GBK" w:cs="方正仿宋_GBK"/>
                <w:color w:val="auto"/>
                <w:kern w:val="0"/>
                <w:sz w:val="24"/>
                <w:highlight w:val="none"/>
              </w:rPr>
            </w:pPr>
            <w:r>
              <w:rPr>
                <w:rFonts w:hint="eastAsia" w:ascii="方正仿宋_GBK" w:hAnsi="方正仿宋_GBK" w:eastAsia="方正仿宋_GBK" w:cs="方正仿宋_GBK"/>
                <w:color w:val="auto"/>
                <w:kern w:val="0"/>
                <w:sz w:val="24"/>
                <w:highlight w:val="none"/>
              </w:rPr>
              <w:t>3000≤Y＜30000</w:t>
            </w:r>
          </w:p>
        </w:tc>
        <w:tc>
          <w:tcPr>
            <w:tcW w:w="1692" w:type="dxa"/>
            <w:tcBorders>
              <w:top w:val="nil"/>
              <w:left w:val="nil"/>
              <w:bottom w:val="single" w:color="auto" w:sz="4" w:space="0"/>
              <w:right w:val="single" w:color="auto" w:sz="4" w:space="0"/>
            </w:tcBorders>
            <w:noWrap w:val="0"/>
            <w:vAlign w:val="center"/>
          </w:tcPr>
          <w:p w14:paraId="18FFB82C">
            <w:pPr>
              <w:keepNext w:val="0"/>
              <w:keepLines w:val="0"/>
              <w:widowControl/>
              <w:suppressLineNumbers w:val="0"/>
              <w:snapToGrid w:val="0"/>
              <w:spacing w:before="0" w:beforeAutospacing="0" w:after="0" w:afterAutospacing="0"/>
              <w:ind w:left="0" w:right="0"/>
              <w:contextualSpacing/>
              <w:jc w:val="center"/>
              <w:rPr>
                <w:rFonts w:hint="eastAsia" w:ascii="方正仿宋_GBK" w:hAnsi="方正仿宋_GBK" w:eastAsia="方正仿宋_GBK" w:cs="方正仿宋_GBK"/>
                <w:color w:val="auto"/>
                <w:kern w:val="0"/>
                <w:sz w:val="24"/>
                <w:highlight w:val="none"/>
              </w:rPr>
            </w:pPr>
            <w:r>
              <w:rPr>
                <w:rFonts w:hint="eastAsia" w:ascii="方正仿宋_GBK" w:hAnsi="方正仿宋_GBK" w:eastAsia="方正仿宋_GBK" w:cs="方正仿宋_GBK"/>
                <w:color w:val="auto"/>
                <w:kern w:val="0"/>
                <w:sz w:val="24"/>
                <w:highlight w:val="none"/>
              </w:rPr>
              <w:t>200≤Y＜3000</w:t>
            </w:r>
          </w:p>
        </w:tc>
        <w:tc>
          <w:tcPr>
            <w:tcW w:w="1087" w:type="dxa"/>
            <w:tcBorders>
              <w:top w:val="nil"/>
              <w:left w:val="nil"/>
              <w:bottom w:val="single" w:color="auto" w:sz="4" w:space="0"/>
              <w:right w:val="single" w:color="auto" w:sz="4" w:space="0"/>
            </w:tcBorders>
            <w:noWrap w:val="0"/>
            <w:vAlign w:val="center"/>
          </w:tcPr>
          <w:p w14:paraId="1FE07EA6">
            <w:pPr>
              <w:keepNext w:val="0"/>
              <w:keepLines w:val="0"/>
              <w:widowControl/>
              <w:suppressLineNumbers w:val="0"/>
              <w:snapToGrid w:val="0"/>
              <w:spacing w:before="0" w:beforeAutospacing="0" w:after="0" w:afterAutospacing="0"/>
              <w:ind w:left="0" w:right="0"/>
              <w:contextualSpacing/>
              <w:jc w:val="center"/>
              <w:rPr>
                <w:rFonts w:hint="eastAsia" w:ascii="方正仿宋_GBK" w:hAnsi="方正仿宋_GBK" w:eastAsia="方正仿宋_GBK" w:cs="方正仿宋_GBK"/>
                <w:color w:val="auto"/>
                <w:kern w:val="0"/>
                <w:sz w:val="24"/>
                <w:highlight w:val="none"/>
              </w:rPr>
            </w:pPr>
            <w:r>
              <w:rPr>
                <w:rFonts w:hint="eastAsia" w:ascii="方正仿宋_GBK" w:hAnsi="方正仿宋_GBK" w:eastAsia="方正仿宋_GBK" w:cs="方正仿宋_GBK"/>
                <w:color w:val="auto"/>
                <w:kern w:val="0"/>
                <w:sz w:val="24"/>
                <w:highlight w:val="none"/>
              </w:rPr>
              <w:t>Y＜200</w:t>
            </w:r>
          </w:p>
        </w:tc>
      </w:tr>
      <w:tr w14:paraId="7D183062">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14:paraId="40593856">
            <w:pPr>
              <w:keepNext w:val="0"/>
              <w:keepLines w:val="0"/>
              <w:widowControl/>
              <w:suppressLineNumbers w:val="0"/>
              <w:snapToGrid w:val="0"/>
              <w:spacing w:before="0" w:beforeAutospacing="0" w:after="0" w:afterAutospacing="0"/>
              <w:ind w:left="0" w:right="0"/>
              <w:contextualSpacing/>
              <w:jc w:val="center"/>
              <w:rPr>
                <w:rFonts w:hint="eastAsia" w:ascii="方正仿宋_GBK" w:hAnsi="方正仿宋_GBK" w:eastAsia="方正仿宋_GBK" w:cs="方正仿宋_GBK"/>
                <w:b/>
                <w:bCs/>
                <w:color w:val="auto"/>
                <w:kern w:val="0"/>
                <w:sz w:val="24"/>
                <w:highlight w:val="none"/>
              </w:rPr>
            </w:pPr>
            <w:r>
              <w:rPr>
                <w:rFonts w:hint="eastAsia" w:ascii="方正仿宋_GBK" w:hAnsi="方正仿宋_GBK" w:eastAsia="方正仿宋_GBK" w:cs="方正仿宋_GBK"/>
                <w:b/>
                <w:bCs/>
                <w:color w:val="auto"/>
                <w:kern w:val="0"/>
                <w:sz w:val="24"/>
                <w:highlight w:val="none"/>
              </w:rPr>
              <w:t>仓储业</w:t>
            </w:r>
          </w:p>
        </w:tc>
        <w:tc>
          <w:tcPr>
            <w:tcW w:w="1660" w:type="dxa"/>
            <w:tcBorders>
              <w:top w:val="nil"/>
              <w:left w:val="nil"/>
              <w:bottom w:val="single" w:color="auto" w:sz="4" w:space="0"/>
              <w:right w:val="single" w:color="auto" w:sz="4" w:space="0"/>
            </w:tcBorders>
            <w:noWrap w:val="0"/>
            <w:vAlign w:val="center"/>
          </w:tcPr>
          <w:p w14:paraId="1B38659C">
            <w:pPr>
              <w:keepNext w:val="0"/>
              <w:keepLines w:val="0"/>
              <w:widowControl/>
              <w:suppressLineNumbers w:val="0"/>
              <w:snapToGrid w:val="0"/>
              <w:spacing w:before="0" w:beforeAutospacing="0" w:after="0" w:afterAutospacing="0"/>
              <w:ind w:left="0" w:right="0"/>
              <w:contextualSpacing/>
              <w:jc w:val="center"/>
              <w:rPr>
                <w:rFonts w:hint="eastAsia" w:ascii="方正仿宋_GBK" w:hAnsi="方正仿宋_GBK" w:eastAsia="方正仿宋_GBK" w:cs="方正仿宋_GBK"/>
                <w:color w:val="auto"/>
                <w:kern w:val="0"/>
                <w:sz w:val="24"/>
                <w:highlight w:val="none"/>
              </w:rPr>
            </w:pPr>
            <w:r>
              <w:rPr>
                <w:rFonts w:hint="eastAsia" w:ascii="方正仿宋_GBK" w:hAnsi="方正仿宋_GBK" w:eastAsia="方正仿宋_GBK" w:cs="方正仿宋_GBK"/>
                <w:color w:val="auto"/>
                <w:kern w:val="0"/>
                <w:sz w:val="24"/>
                <w:highlight w:val="none"/>
              </w:rPr>
              <w:t>从业人员（X）</w:t>
            </w:r>
          </w:p>
        </w:tc>
        <w:tc>
          <w:tcPr>
            <w:tcW w:w="1466" w:type="dxa"/>
            <w:tcBorders>
              <w:top w:val="nil"/>
              <w:left w:val="nil"/>
              <w:bottom w:val="single" w:color="auto" w:sz="4" w:space="0"/>
              <w:right w:val="single" w:color="auto" w:sz="4" w:space="0"/>
            </w:tcBorders>
            <w:noWrap w:val="0"/>
            <w:vAlign w:val="center"/>
          </w:tcPr>
          <w:p w14:paraId="50BE55BC">
            <w:pPr>
              <w:keepNext w:val="0"/>
              <w:keepLines w:val="0"/>
              <w:widowControl/>
              <w:suppressLineNumbers w:val="0"/>
              <w:snapToGrid w:val="0"/>
              <w:spacing w:before="0" w:beforeAutospacing="0" w:after="0" w:afterAutospacing="0"/>
              <w:ind w:left="0" w:right="0"/>
              <w:contextualSpacing/>
              <w:jc w:val="center"/>
              <w:rPr>
                <w:rFonts w:hint="eastAsia" w:ascii="方正仿宋_GBK" w:hAnsi="方正仿宋_GBK" w:eastAsia="方正仿宋_GBK" w:cs="方正仿宋_GBK"/>
                <w:color w:val="auto"/>
                <w:kern w:val="0"/>
                <w:sz w:val="24"/>
                <w:highlight w:val="none"/>
              </w:rPr>
            </w:pPr>
            <w:r>
              <w:rPr>
                <w:rFonts w:hint="eastAsia" w:ascii="方正仿宋_GBK" w:hAnsi="方正仿宋_GBK" w:eastAsia="方正仿宋_GBK" w:cs="方正仿宋_GBK"/>
                <w:color w:val="auto"/>
                <w:kern w:val="0"/>
                <w:sz w:val="24"/>
                <w:highlight w:val="none"/>
              </w:rPr>
              <w:t>人</w:t>
            </w:r>
          </w:p>
        </w:tc>
        <w:tc>
          <w:tcPr>
            <w:tcW w:w="1903" w:type="dxa"/>
            <w:tcBorders>
              <w:top w:val="nil"/>
              <w:left w:val="nil"/>
              <w:bottom w:val="single" w:color="auto" w:sz="4" w:space="0"/>
              <w:right w:val="single" w:color="auto" w:sz="4" w:space="0"/>
            </w:tcBorders>
            <w:noWrap w:val="0"/>
            <w:vAlign w:val="center"/>
          </w:tcPr>
          <w:p w14:paraId="72F9879F">
            <w:pPr>
              <w:keepNext w:val="0"/>
              <w:keepLines w:val="0"/>
              <w:widowControl/>
              <w:suppressLineNumbers w:val="0"/>
              <w:snapToGrid w:val="0"/>
              <w:spacing w:before="0" w:beforeAutospacing="0" w:after="0" w:afterAutospacing="0"/>
              <w:ind w:left="0" w:right="0"/>
              <w:contextualSpacing/>
              <w:jc w:val="center"/>
              <w:rPr>
                <w:rFonts w:hint="eastAsia" w:ascii="方正仿宋_GBK" w:hAnsi="方正仿宋_GBK" w:eastAsia="方正仿宋_GBK" w:cs="方正仿宋_GBK"/>
                <w:color w:val="auto"/>
                <w:kern w:val="0"/>
                <w:sz w:val="24"/>
                <w:highlight w:val="none"/>
              </w:rPr>
            </w:pPr>
            <w:r>
              <w:rPr>
                <w:rFonts w:hint="eastAsia" w:ascii="方正仿宋_GBK" w:hAnsi="方正仿宋_GBK" w:eastAsia="方正仿宋_GBK" w:cs="方正仿宋_GBK"/>
                <w:color w:val="auto"/>
                <w:kern w:val="0"/>
                <w:sz w:val="24"/>
                <w:highlight w:val="none"/>
              </w:rPr>
              <w:t>100≤X＜200</w:t>
            </w:r>
          </w:p>
        </w:tc>
        <w:tc>
          <w:tcPr>
            <w:tcW w:w="1692" w:type="dxa"/>
            <w:tcBorders>
              <w:top w:val="nil"/>
              <w:left w:val="nil"/>
              <w:bottom w:val="single" w:color="auto" w:sz="4" w:space="0"/>
              <w:right w:val="single" w:color="auto" w:sz="4" w:space="0"/>
            </w:tcBorders>
            <w:noWrap w:val="0"/>
            <w:vAlign w:val="center"/>
          </w:tcPr>
          <w:p w14:paraId="63F719A1">
            <w:pPr>
              <w:keepNext w:val="0"/>
              <w:keepLines w:val="0"/>
              <w:widowControl/>
              <w:suppressLineNumbers w:val="0"/>
              <w:snapToGrid w:val="0"/>
              <w:spacing w:before="0" w:beforeAutospacing="0" w:after="0" w:afterAutospacing="0"/>
              <w:ind w:left="0" w:right="0"/>
              <w:contextualSpacing/>
              <w:jc w:val="center"/>
              <w:rPr>
                <w:rFonts w:hint="eastAsia" w:ascii="方正仿宋_GBK" w:hAnsi="方正仿宋_GBK" w:eastAsia="方正仿宋_GBK" w:cs="方正仿宋_GBK"/>
                <w:color w:val="auto"/>
                <w:kern w:val="0"/>
                <w:sz w:val="24"/>
                <w:highlight w:val="none"/>
              </w:rPr>
            </w:pPr>
            <w:r>
              <w:rPr>
                <w:rFonts w:hint="eastAsia" w:ascii="方正仿宋_GBK" w:hAnsi="方正仿宋_GBK" w:eastAsia="方正仿宋_GBK" w:cs="方正仿宋_GBK"/>
                <w:color w:val="auto"/>
                <w:kern w:val="0"/>
                <w:sz w:val="24"/>
                <w:highlight w:val="none"/>
              </w:rPr>
              <w:t>20≤X＜100</w:t>
            </w:r>
          </w:p>
        </w:tc>
        <w:tc>
          <w:tcPr>
            <w:tcW w:w="1087" w:type="dxa"/>
            <w:tcBorders>
              <w:top w:val="nil"/>
              <w:left w:val="nil"/>
              <w:bottom w:val="single" w:color="auto" w:sz="4" w:space="0"/>
              <w:right w:val="single" w:color="auto" w:sz="4" w:space="0"/>
            </w:tcBorders>
            <w:noWrap w:val="0"/>
            <w:vAlign w:val="center"/>
          </w:tcPr>
          <w:p w14:paraId="4892CAB8">
            <w:pPr>
              <w:keepNext w:val="0"/>
              <w:keepLines w:val="0"/>
              <w:widowControl/>
              <w:suppressLineNumbers w:val="0"/>
              <w:snapToGrid w:val="0"/>
              <w:spacing w:before="0" w:beforeAutospacing="0" w:after="0" w:afterAutospacing="0"/>
              <w:ind w:left="0" w:right="0"/>
              <w:contextualSpacing/>
              <w:jc w:val="center"/>
              <w:rPr>
                <w:rFonts w:hint="eastAsia" w:ascii="方正仿宋_GBK" w:hAnsi="方正仿宋_GBK" w:eastAsia="方正仿宋_GBK" w:cs="方正仿宋_GBK"/>
                <w:color w:val="auto"/>
                <w:kern w:val="0"/>
                <w:sz w:val="24"/>
                <w:highlight w:val="none"/>
              </w:rPr>
            </w:pPr>
            <w:r>
              <w:rPr>
                <w:rFonts w:hint="eastAsia" w:ascii="方正仿宋_GBK" w:hAnsi="方正仿宋_GBK" w:eastAsia="方正仿宋_GBK" w:cs="方正仿宋_GBK"/>
                <w:color w:val="auto"/>
                <w:kern w:val="0"/>
                <w:sz w:val="24"/>
                <w:highlight w:val="none"/>
              </w:rPr>
              <w:t>X＜20</w:t>
            </w:r>
          </w:p>
        </w:tc>
      </w:tr>
      <w:tr w14:paraId="7376744D">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14:paraId="254586F0">
            <w:pPr>
              <w:keepNext w:val="0"/>
              <w:keepLines w:val="0"/>
              <w:widowControl/>
              <w:suppressLineNumbers w:val="0"/>
              <w:snapToGrid w:val="0"/>
              <w:spacing w:before="0" w:beforeAutospacing="0" w:after="0" w:afterAutospacing="0"/>
              <w:ind w:left="0" w:right="0"/>
              <w:contextualSpacing/>
              <w:jc w:val="center"/>
              <w:rPr>
                <w:rFonts w:hint="eastAsia" w:ascii="方正仿宋_GBK" w:hAnsi="方正仿宋_GBK" w:eastAsia="方正仿宋_GBK" w:cs="方正仿宋_GBK"/>
                <w:b/>
                <w:bCs/>
                <w:color w:val="auto"/>
                <w:kern w:val="0"/>
                <w:sz w:val="24"/>
                <w:highlight w:val="none"/>
              </w:rPr>
            </w:pPr>
          </w:p>
        </w:tc>
        <w:tc>
          <w:tcPr>
            <w:tcW w:w="1660" w:type="dxa"/>
            <w:tcBorders>
              <w:top w:val="nil"/>
              <w:left w:val="nil"/>
              <w:bottom w:val="single" w:color="auto" w:sz="4" w:space="0"/>
              <w:right w:val="single" w:color="auto" w:sz="4" w:space="0"/>
            </w:tcBorders>
            <w:noWrap w:val="0"/>
            <w:vAlign w:val="center"/>
          </w:tcPr>
          <w:p w14:paraId="3E04E6C8">
            <w:pPr>
              <w:keepNext w:val="0"/>
              <w:keepLines w:val="0"/>
              <w:widowControl/>
              <w:suppressLineNumbers w:val="0"/>
              <w:snapToGrid w:val="0"/>
              <w:spacing w:before="0" w:beforeAutospacing="0" w:after="0" w:afterAutospacing="0"/>
              <w:ind w:left="0" w:right="0"/>
              <w:contextualSpacing/>
              <w:jc w:val="center"/>
              <w:rPr>
                <w:rFonts w:hint="eastAsia" w:ascii="方正仿宋_GBK" w:hAnsi="方正仿宋_GBK" w:eastAsia="方正仿宋_GBK" w:cs="方正仿宋_GBK"/>
                <w:color w:val="auto"/>
                <w:kern w:val="0"/>
                <w:sz w:val="24"/>
                <w:highlight w:val="none"/>
              </w:rPr>
            </w:pPr>
            <w:r>
              <w:rPr>
                <w:rFonts w:hint="eastAsia" w:ascii="方正仿宋_GBK" w:hAnsi="方正仿宋_GBK" w:eastAsia="方正仿宋_GBK" w:cs="方正仿宋_GBK"/>
                <w:color w:val="auto"/>
                <w:kern w:val="0"/>
                <w:sz w:val="24"/>
                <w:highlight w:val="none"/>
              </w:rPr>
              <w:t>营业收入（Y）</w:t>
            </w:r>
          </w:p>
        </w:tc>
        <w:tc>
          <w:tcPr>
            <w:tcW w:w="1466" w:type="dxa"/>
            <w:tcBorders>
              <w:top w:val="nil"/>
              <w:left w:val="nil"/>
              <w:bottom w:val="single" w:color="auto" w:sz="4" w:space="0"/>
              <w:right w:val="single" w:color="auto" w:sz="4" w:space="0"/>
            </w:tcBorders>
            <w:noWrap w:val="0"/>
            <w:vAlign w:val="center"/>
          </w:tcPr>
          <w:p w14:paraId="5306DF5D">
            <w:pPr>
              <w:keepNext w:val="0"/>
              <w:keepLines w:val="0"/>
              <w:widowControl/>
              <w:suppressLineNumbers w:val="0"/>
              <w:snapToGrid w:val="0"/>
              <w:spacing w:before="0" w:beforeAutospacing="0" w:after="0" w:afterAutospacing="0"/>
              <w:ind w:left="0" w:right="0"/>
              <w:contextualSpacing/>
              <w:jc w:val="center"/>
              <w:rPr>
                <w:rFonts w:hint="eastAsia" w:ascii="方正仿宋_GBK" w:hAnsi="方正仿宋_GBK" w:eastAsia="方正仿宋_GBK" w:cs="方正仿宋_GBK"/>
                <w:color w:val="auto"/>
                <w:kern w:val="0"/>
                <w:sz w:val="24"/>
                <w:highlight w:val="none"/>
              </w:rPr>
            </w:pPr>
            <w:r>
              <w:rPr>
                <w:rFonts w:hint="eastAsia" w:ascii="方正仿宋_GBK" w:hAnsi="方正仿宋_GBK" w:eastAsia="方正仿宋_GBK" w:cs="方正仿宋_GBK"/>
                <w:color w:val="auto"/>
                <w:kern w:val="0"/>
                <w:sz w:val="24"/>
                <w:highlight w:val="none"/>
              </w:rPr>
              <w:t>万元</w:t>
            </w:r>
          </w:p>
        </w:tc>
        <w:tc>
          <w:tcPr>
            <w:tcW w:w="1903" w:type="dxa"/>
            <w:tcBorders>
              <w:top w:val="nil"/>
              <w:left w:val="nil"/>
              <w:bottom w:val="single" w:color="auto" w:sz="4" w:space="0"/>
              <w:right w:val="single" w:color="auto" w:sz="4" w:space="0"/>
            </w:tcBorders>
            <w:noWrap w:val="0"/>
            <w:vAlign w:val="center"/>
          </w:tcPr>
          <w:p w14:paraId="50F700F1">
            <w:pPr>
              <w:keepNext w:val="0"/>
              <w:keepLines w:val="0"/>
              <w:widowControl/>
              <w:suppressLineNumbers w:val="0"/>
              <w:snapToGrid w:val="0"/>
              <w:spacing w:before="0" w:beforeAutospacing="0" w:after="0" w:afterAutospacing="0"/>
              <w:ind w:left="0" w:right="0"/>
              <w:contextualSpacing/>
              <w:jc w:val="center"/>
              <w:rPr>
                <w:rFonts w:hint="eastAsia" w:ascii="方正仿宋_GBK" w:hAnsi="方正仿宋_GBK" w:eastAsia="方正仿宋_GBK" w:cs="方正仿宋_GBK"/>
                <w:color w:val="auto"/>
                <w:kern w:val="0"/>
                <w:sz w:val="24"/>
                <w:highlight w:val="none"/>
              </w:rPr>
            </w:pPr>
            <w:r>
              <w:rPr>
                <w:rFonts w:hint="eastAsia" w:ascii="方正仿宋_GBK" w:hAnsi="方正仿宋_GBK" w:eastAsia="方正仿宋_GBK" w:cs="方正仿宋_GBK"/>
                <w:color w:val="auto"/>
                <w:kern w:val="0"/>
                <w:sz w:val="24"/>
                <w:highlight w:val="none"/>
              </w:rPr>
              <w:t>1000≤Y＜30000</w:t>
            </w:r>
          </w:p>
        </w:tc>
        <w:tc>
          <w:tcPr>
            <w:tcW w:w="1692" w:type="dxa"/>
            <w:tcBorders>
              <w:top w:val="nil"/>
              <w:left w:val="nil"/>
              <w:bottom w:val="single" w:color="auto" w:sz="4" w:space="0"/>
              <w:right w:val="single" w:color="auto" w:sz="4" w:space="0"/>
            </w:tcBorders>
            <w:noWrap w:val="0"/>
            <w:vAlign w:val="center"/>
          </w:tcPr>
          <w:p w14:paraId="7CF6407E">
            <w:pPr>
              <w:keepNext w:val="0"/>
              <w:keepLines w:val="0"/>
              <w:widowControl/>
              <w:suppressLineNumbers w:val="0"/>
              <w:snapToGrid w:val="0"/>
              <w:spacing w:before="0" w:beforeAutospacing="0" w:after="0" w:afterAutospacing="0"/>
              <w:ind w:left="0" w:right="0"/>
              <w:contextualSpacing/>
              <w:jc w:val="center"/>
              <w:rPr>
                <w:rFonts w:hint="eastAsia" w:ascii="方正仿宋_GBK" w:hAnsi="方正仿宋_GBK" w:eastAsia="方正仿宋_GBK" w:cs="方正仿宋_GBK"/>
                <w:color w:val="auto"/>
                <w:kern w:val="0"/>
                <w:sz w:val="24"/>
                <w:highlight w:val="none"/>
              </w:rPr>
            </w:pPr>
            <w:r>
              <w:rPr>
                <w:rFonts w:hint="eastAsia" w:ascii="方正仿宋_GBK" w:hAnsi="方正仿宋_GBK" w:eastAsia="方正仿宋_GBK" w:cs="方正仿宋_GBK"/>
                <w:color w:val="auto"/>
                <w:kern w:val="0"/>
                <w:sz w:val="24"/>
                <w:highlight w:val="none"/>
              </w:rPr>
              <w:t>100≤Y＜1000</w:t>
            </w:r>
          </w:p>
        </w:tc>
        <w:tc>
          <w:tcPr>
            <w:tcW w:w="1087" w:type="dxa"/>
            <w:tcBorders>
              <w:top w:val="nil"/>
              <w:left w:val="nil"/>
              <w:bottom w:val="single" w:color="auto" w:sz="4" w:space="0"/>
              <w:right w:val="single" w:color="auto" w:sz="4" w:space="0"/>
            </w:tcBorders>
            <w:noWrap w:val="0"/>
            <w:vAlign w:val="center"/>
          </w:tcPr>
          <w:p w14:paraId="1819620F">
            <w:pPr>
              <w:keepNext w:val="0"/>
              <w:keepLines w:val="0"/>
              <w:widowControl/>
              <w:suppressLineNumbers w:val="0"/>
              <w:snapToGrid w:val="0"/>
              <w:spacing w:before="0" w:beforeAutospacing="0" w:after="0" w:afterAutospacing="0"/>
              <w:ind w:left="0" w:right="0"/>
              <w:contextualSpacing/>
              <w:jc w:val="center"/>
              <w:rPr>
                <w:rFonts w:hint="eastAsia" w:ascii="方正仿宋_GBK" w:hAnsi="方正仿宋_GBK" w:eastAsia="方正仿宋_GBK" w:cs="方正仿宋_GBK"/>
                <w:color w:val="auto"/>
                <w:kern w:val="0"/>
                <w:sz w:val="24"/>
                <w:highlight w:val="none"/>
              </w:rPr>
            </w:pPr>
            <w:r>
              <w:rPr>
                <w:rFonts w:hint="eastAsia" w:ascii="方正仿宋_GBK" w:hAnsi="方正仿宋_GBK" w:eastAsia="方正仿宋_GBK" w:cs="方正仿宋_GBK"/>
                <w:color w:val="auto"/>
                <w:kern w:val="0"/>
                <w:sz w:val="24"/>
                <w:highlight w:val="none"/>
              </w:rPr>
              <w:t>Y＜100</w:t>
            </w:r>
          </w:p>
        </w:tc>
      </w:tr>
      <w:tr w14:paraId="21E768A4">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14:paraId="4CF28A91">
            <w:pPr>
              <w:keepNext w:val="0"/>
              <w:keepLines w:val="0"/>
              <w:widowControl/>
              <w:suppressLineNumbers w:val="0"/>
              <w:snapToGrid w:val="0"/>
              <w:spacing w:before="0" w:beforeAutospacing="0" w:after="0" w:afterAutospacing="0"/>
              <w:ind w:left="0" w:right="0"/>
              <w:contextualSpacing/>
              <w:jc w:val="center"/>
              <w:rPr>
                <w:rFonts w:hint="eastAsia" w:ascii="方正仿宋_GBK" w:hAnsi="方正仿宋_GBK" w:eastAsia="方正仿宋_GBK" w:cs="方正仿宋_GBK"/>
                <w:b/>
                <w:bCs/>
                <w:color w:val="auto"/>
                <w:kern w:val="0"/>
                <w:sz w:val="24"/>
                <w:highlight w:val="none"/>
              </w:rPr>
            </w:pPr>
            <w:r>
              <w:rPr>
                <w:rFonts w:hint="eastAsia" w:ascii="方正仿宋_GBK" w:hAnsi="方正仿宋_GBK" w:eastAsia="方正仿宋_GBK" w:cs="方正仿宋_GBK"/>
                <w:b/>
                <w:bCs/>
                <w:color w:val="auto"/>
                <w:kern w:val="0"/>
                <w:sz w:val="24"/>
                <w:highlight w:val="none"/>
              </w:rPr>
              <w:t>邮政业</w:t>
            </w:r>
          </w:p>
        </w:tc>
        <w:tc>
          <w:tcPr>
            <w:tcW w:w="1660" w:type="dxa"/>
            <w:tcBorders>
              <w:top w:val="nil"/>
              <w:left w:val="nil"/>
              <w:bottom w:val="single" w:color="auto" w:sz="4" w:space="0"/>
              <w:right w:val="single" w:color="auto" w:sz="4" w:space="0"/>
            </w:tcBorders>
            <w:noWrap w:val="0"/>
            <w:vAlign w:val="center"/>
          </w:tcPr>
          <w:p w14:paraId="17197581">
            <w:pPr>
              <w:keepNext w:val="0"/>
              <w:keepLines w:val="0"/>
              <w:widowControl/>
              <w:suppressLineNumbers w:val="0"/>
              <w:snapToGrid w:val="0"/>
              <w:spacing w:before="0" w:beforeAutospacing="0" w:after="0" w:afterAutospacing="0"/>
              <w:ind w:left="0" w:right="0"/>
              <w:contextualSpacing/>
              <w:jc w:val="center"/>
              <w:rPr>
                <w:rFonts w:hint="eastAsia" w:ascii="方正仿宋_GBK" w:hAnsi="方正仿宋_GBK" w:eastAsia="方正仿宋_GBK" w:cs="方正仿宋_GBK"/>
                <w:color w:val="auto"/>
                <w:kern w:val="0"/>
                <w:sz w:val="24"/>
                <w:highlight w:val="none"/>
              </w:rPr>
            </w:pPr>
            <w:r>
              <w:rPr>
                <w:rFonts w:hint="eastAsia" w:ascii="方正仿宋_GBK" w:hAnsi="方正仿宋_GBK" w:eastAsia="方正仿宋_GBK" w:cs="方正仿宋_GBK"/>
                <w:color w:val="auto"/>
                <w:kern w:val="0"/>
                <w:sz w:val="24"/>
                <w:highlight w:val="none"/>
              </w:rPr>
              <w:t>从业人员（X）</w:t>
            </w:r>
          </w:p>
        </w:tc>
        <w:tc>
          <w:tcPr>
            <w:tcW w:w="1466" w:type="dxa"/>
            <w:tcBorders>
              <w:top w:val="nil"/>
              <w:left w:val="nil"/>
              <w:bottom w:val="single" w:color="auto" w:sz="4" w:space="0"/>
              <w:right w:val="single" w:color="auto" w:sz="4" w:space="0"/>
            </w:tcBorders>
            <w:noWrap w:val="0"/>
            <w:vAlign w:val="center"/>
          </w:tcPr>
          <w:p w14:paraId="5AA794E3">
            <w:pPr>
              <w:keepNext w:val="0"/>
              <w:keepLines w:val="0"/>
              <w:widowControl/>
              <w:suppressLineNumbers w:val="0"/>
              <w:snapToGrid w:val="0"/>
              <w:spacing w:before="0" w:beforeAutospacing="0" w:after="0" w:afterAutospacing="0"/>
              <w:ind w:left="0" w:right="0"/>
              <w:contextualSpacing/>
              <w:jc w:val="center"/>
              <w:rPr>
                <w:rFonts w:hint="eastAsia" w:ascii="方正仿宋_GBK" w:hAnsi="方正仿宋_GBK" w:eastAsia="方正仿宋_GBK" w:cs="方正仿宋_GBK"/>
                <w:color w:val="auto"/>
                <w:kern w:val="0"/>
                <w:sz w:val="24"/>
                <w:highlight w:val="none"/>
              </w:rPr>
            </w:pPr>
            <w:r>
              <w:rPr>
                <w:rFonts w:hint="eastAsia" w:ascii="方正仿宋_GBK" w:hAnsi="方正仿宋_GBK" w:eastAsia="方正仿宋_GBK" w:cs="方正仿宋_GBK"/>
                <w:color w:val="auto"/>
                <w:kern w:val="0"/>
                <w:sz w:val="24"/>
                <w:highlight w:val="none"/>
              </w:rPr>
              <w:t>人</w:t>
            </w:r>
          </w:p>
        </w:tc>
        <w:tc>
          <w:tcPr>
            <w:tcW w:w="1903" w:type="dxa"/>
            <w:tcBorders>
              <w:top w:val="nil"/>
              <w:left w:val="nil"/>
              <w:bottom w:val="single" w:color="auto" w:sz="4" w:space="0"/>
              <w:right w:val="single" w:color="auto" w:sz="4" w:space="0"/>
            </w:tcBorders>
            <w:noWrap w:val="0"/>
            <w:vAlign w:val="center"/>
          </w:tcPr>
          <w:p w14:paraId="108FDB17">
            <w:pPr>
              <w:keepNext w:val="0"/>
              <w:keepLines w:val="0"/>
              <w:widowControl/>
              <w:suppressLineNumbers w:val="0"/>
              <w:snapToGrid w:val="0"/>
              <w:spacing w:before="0" w:beforeAutospacing="0" w:after="0" w:afterAutospacing="0"/>
              <w:ind w:left="0" w:right="0"/>
              <w:contextualSpacing/>
              <w:jc w:val="center"/>
              <w:rPr>
                <w:rFonts w:hint="eastAsia" w:ascii="方正仿宋_GBK" w:hAnsi="方正仿宋_GBK" w:eastAsia="方正仿宋_GBK" w:cs="方正仿宋_GBK"/>
                <w:color w:val="auto"/>
                <w:kern w:val="0"/>
                <w:sz w:val="24"/>
                <w:highlight w:val="none"/>
              </w:rPr>
            </w:pPr>
            <w:r>
              <w:rPr>
                <w:rFonts w:hint="eastAsia" w:ascii="方正仿宋_GBK" w:hAnsi="方正仿宋_GBK" w:eastAsia="方正仿宋_GBK" w:cs="方正仿宋_GBK"/>
                <w:color w:val="auto"/>
                <w:kern w:val="0"/>
                <w:sz w:val="24"/>
                <w:highlight w:val="none"/>
              </w:rPr>
              <w:t>300≤X＜1000</w:t>
            </w:r>
          </w:p>
        </w:tc>
        <w:tc>
          <w:tcPr>
            <w:tcW w:w="1692" w:type="dxa"/>
            <w:tcBorders>
              <w:top w:val="nil"/>
              <w:left w:val="nil"/>
              <w:bottom w:val="single" w:color="auto" w:sz="4" w:space="0"/>
              <w:right w:val="single" w:color="auto" w:sz="4" w:space="0"/>
            </w:tcBorders>
            <w:noWrap w:val="0"/>
            <w:vAlign w:val="center"/>
          </w:tcPr>
          <w:p w14:paraId="2A429920">
            <w:pPr>
              <w:keepNext w:val="0"/>
              <w:keepLines w:val="0"/>
              <w:widowControl/>
              <w:suppressLineNumbers w:val="0"/>
              <w:snapToGrid w:val="0"/>
              <w:spacing w:before="0" w:beforeAutospacing="0" w:after="0" w:afterAutospacing="0"/>
              <w:ind w:left="0" w:right="0"/>
              <w:contextualSpacing/>
              <w:jc w:val="center"/>
              <w:rPr>
                <w:rFonts w:hint="eastAsia" w:ascii="方正仿宋_GBK" w:hAnsi="方正仿宋_GBK" w:eastAsia="方正仿宋_GBK" w:cs="方正仿宋_GBK"/>
                <w:color w:val="auto"/>
                <w:kern w:val="0"/>
                <w:sz w:val="24"/>
                <w:highlight w:val="none"/>
              </w:rPr>
            </w:pPr>
            <w:r>
              <w:rPr>
                <w:rFonts w:hint="eastAsia" w:ascii="方正仿宋_GBK" w:hAnsi="方正仿宋_GBK" w:eastAsia="方正仿宋_GBK" w:cs="方正仿宋_GBK"/>
                <w:color w:val="auto"/>
                <w:kern w:val="0"/>
                <w:sz w:val="24"/>
                <w:highlight w:val="none"/>
              </w:rPr>
              <w:t>20≤X＜300</w:t>
            </w:r>
          </w:p>
        </w:tc>
        <w:tc>
          <w:tcPr>
            <w:tcW w:w="1087" w:type="dxa"/>
            <w:tcBorders>
              <w:top w:val="nil"/>
              <w:left w:val="nil"/>
              <w:bottom w:val="single" w:color="auto" w:sz="4" w:space="0"/>
              <w:right w:val="single" w:color="auto" w:sz="4" w:space="0"/>
            </w:tcBorders>
            <w:noWrap w:val="0"/>
            <w:vAlign w:val="center"/>
          </w:tcPr>
          <w:p w14:paraId="7D128B99">
            <w:pPr>
              <w:keepNext w:val="0"/>
              <w:keepLines w:val="0"/>
              <w:widowControl/>
              <w:suppressLineNumbers w:val="0"/>
              <w:snapToGrid w:val="0"/>
              <w:spacing w:before="0" w:beforeAutospacing="0" w:after="0" w:afterAutospacing="0"/>
              <w:ind w:left="0" w:right="0"/>
              <w:contextualSpacing/>
              <w:jc w:val="center"/>
              <w:rPr>
                <w:rFonts w:hint="eastAsia" w:ascii="方正仿宋_GBK" w:hAnsi="方正仿宋_GBK" w:eastAsia="方正仿宋_GBK" w:cs="方正仿宋_GBK"/>
                <w:color w:val="auto"/>
                <w:kern w:val="0"/>
                <w:sz w:val="24"/>
                <w:highlight w:val="none"/>
              </w:rPr>
            </w:pPr>
            <w:r>
              <w:rPr>
                <w:rFonts w:hint="eastAsia" w:ascii="方正仿宋_GBK" w:hAnsi="方正仿宋_GBK" w:eastAsia="方正仿宋_GBK" w:cs="方正仿宋_GBK"/>
                <w:color w:val="auto"/>
                <w:kern w:val="0"/>
                <w:sz w:val="24"/>
                <w:highlight w:val="none"/>
              </w:rPr>
              <w:t>X＜20</w:t>
            </w:r>
          </w:p>
        </w:tc>
      </w:tr>
      <w:tr w14:paraId="5A780433">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14:paraId="379CF36D">
            <w:pPr>
              <w:keepNext w:val="0"/>
              <w:keepLines w:val="0"/>
              <w:widowControl/>
              <w:suppressLineNumbers w:val="0"/>
              <w:snapToGrid w:val="0"/>
              <w:spacing w:before="0" w:beforeAutospacing="0" w:after="0" w:afterAutospacing="0"/>
              <w:ind w:left="0" w:right="0"/>
              <w:contextualSpacing/>
              <w:jc w:val="center"/>
              <w:rPr>
                <w:rFonts w:hint="eastAsia" w:ascii="方正仿宋_GBK" w:hAnsi="方正仿宋_GBK" w:eastAsia="方正仿宋_GBK" w:cs="方正仿宋_GBK"/>
                <w:b/>
                <w:bCs/>
                <w:color w:val="auto"/>
                <w:kern w:val="0"/>
                <w:sz w:val="24"/>
                <w:highlight w:val="none"/>
              </w:rPr>
            </w:pPr>
          </w:p>
        </w:tc>
        <w:tc>
          <w:tcPr>
            <w:tcW w:w="1660" w:type="dxa"/>
            <w:tcBorders>
              <w:top w:val="nil"/>
              <w:left w:val="nil"/>
              <w:bottom w:val="single" w:color="auto" w:sz="4" w:space="0"/>
              <w:right w:val="single" w:color="auto" w:sz="4" w:space="0"/>
            </w:tcBorders>
            <w:noWrap w:val="0"/>
            <w:vAlign w:val="center"/>
          </w:tcPr>
          <w:p w14:paraId="1B7A4E61">
            <w:pPr>
              <w:keepNext w:val="0"/>
              <w:keepLines w:val="0"/>
              <w:widowControl/>
              <w:suppressLineNumbers w:val="0"/>
              <w:snapToGrid w:val="0"/>
              <w:spacing w:before="0" w:beforeAutospacing="0" w:after="0" w:afterAutospacing="0"/>
              <w:ind w:left="0" w:right="0"/>
              <w:contextualSpacing/>
              <w:jc w:val="center"/>
              <w:rPr>
                <w:rFonts w:hint="eastAsia" w:ascii="方正仿宋_GBK" w:hAnsi="方正仿宋_GBK" w:eastAsia="方正仿宋_GBK" w:cs="方正仿宋_GBK"/>
                <w:color w:val="auto"/>
                <w:kern w:val="0"/>
                <w:sz w:val="24"/>
                <w:highlight w:val="none"/>
              </w:rPr>
            </w:pPr>
            <w:r>
              <w:rPr>
                <w:rFonts w:hint="eastAsia" w:ascii="方正仿宋_GBK" w:hAnsi="方正仿宋_GBK" w:eastAsia="方正仿宋_GBK" w:cs="方正仿宋_GBK"/>
                <w:color w:val="auto"/>
                <w:kern w:val="0"/>
                <w:sz w:val="24"/>
                <w:highlight w:val="none"/>
              </w:rPr>
              <w:t>营业收入（Y）</w:t>
            </w:r>
          </w:p>
        </w:tc>
        <w:tc>
          <w:tcPr>
            <w:tcW w:w="1466" w:type="dxa"/>
            <w:tcBorders>
              <w:top w:val="nil"/>
              <w:left w:val="nil"/>
              <w:bottom w:val="single" w:color="auto" w:sz="4" w:space="0"/>
              <w:right w:val="single" w:color="auto" w:sz="4" w:space="0"/>
            </w:tcBorders>
            <w:noWrap w:val="0"/>
            <w:vAlign w:val="center"/>
          </w:tcPr>
          <w:p w14:paraId="2050F8AE">
            <w:pPr>
              <w:keepNext w:val="0"/>
              <w:keepLines w:val="0"/>
              <w:widowControl/>
              <w:suppressLineNumbers w:val="0"/>
              <w:snapToGrid w:val="0"/>
              <w:spacing w:before="0" w:beforeAutospacing="0" w:after="0" w:afterAutospacing="0"/>
              <w:ind w:left="0" w:right="0"/>
              <w:contextualSpacing/>
              <w:jc w:val="center"/>
              <w:rPr>
                <w:rFonts w:hint="eastAsia" w:ascii="方正仿宋_GBK" w:hAnsi="方正仿宋_GBK" w:eastAsia="方正仿宋_GBK" w:cs="方正仿宋_GBK"/>
                <w:color w:val="auto"/>
                <w:kern w:val="0"/>
                <w:sz w:val="24"/>
                <w:highlight w:val="none"/>
              </w:rPr>
            </w:pPr>
            <w:r>
              <w:rPr>
                <w:rFonts w:hint="eastAsia" w:ascii="方正仿宋_GBK" w:hAnsi="方正仿宋_GBK" w:eastAsia="方正仿宋_GBK" w:cs="方正仿宋_GBK"/>
                <w:color w:val="auto"/>
                <w:kern w:val="0"/>
                <w:sz w:val="24"/>
                <w:highlight w:val="none"/>
              </w:rPr>
              <w:t>万元</w:t>
            </w:r>
          </w:p>
        </w:tc>
        <w:tc>
          <w:tcPr>
            <w:tcW w:w="1903" w:type="dxa"/>
            <w:tcBorders>
              <w:top w:val="nil"/>
              <w:left w:val="nil"/>
              <w:bottom w:val="single" w:color="auto" w:sz="4" w:space="0"/>
              <w:right w:val="single" w:color="auto" w:sz="4" w:space="0"/>
            </w:tcBorders>
            <w:noWrap w:val="0"/>
            <w:vAlign w:val="center"/>
          </w:tcPr>
          <w:p w14:paraId="6CA8B8F4">
            <w:pPr>
              <w:keepNext w:val="0"/>
              <w:keepLines w:val="0"/>
              <w:widowControl/>
              <w:suppressLineNumbers w:val="0"/>
              <w:snapToGrid w:val="0"/>
              <w:spacing w:before="0" w:beforeAutospacing="0" w:after="0" w:afterAutospacing="0"/>
              <w:ind w:left="0" w:right="0"/>
              <w:contextualSpacing/>
              <w:jc w:val="center"/>
              <w:rPr>
                <w:rFonts w:hint="eastAsia" w:ascii="方正仿宋_GBK" w:hAnsi="方正仿宋_GBK" w:eastAsia="方正仿宋_GBK" w:cs="方正仿宋_GBK"/>
                <w:color w:val="auto"/>
                <w:kern w:val="0"/>
                <w:sz w:val="24"/>
                <w:highlight w:val="none"/>
              </w:rPr>
            </w:pPr>
            <w:r>
              <w:rPr>
                <w:rFonts w:hint="eastAsia" w:ascii="方正仿宋_GBK" w:hAnsi="方正仿宋_GBK" w:eastAsia="方正仿宋_GBK" w:cs="方正仿宋_GBK"/>
                <w:color w:val="auto"/>
                <w:kern w:val="0"/>
                <w:sz w:val="24"/>
                <w:highlight w:val="none"/>
              </w:rPr>
              <w:t>2000≤Y＜30000</w:t>
            </w:r>
          </w:p>
        </w:tc>
        <w:tc>
          <w:tcPr>
            <w:tcW w:w="1692" w:type="dxa"/>
            <w:tcBorders>
              <w:top w:val="nil"/>
              <w:left w:val="nil"/>
              <w:bottom w:val="single" w:color="auto" w:sz="4" w:space="0"/>
              <w:right w:val="single" w:color="auto" w:sz="4" w:space="0"/>
            </w:tcBorders>
            <w:noWrap w:val="0"/>
            <w:vAlign w:val="center"/>
          </w:tcPr>
          <w:p w14:paraId="42A5E903">
            <w:pPr>
              <w:keepNext w:val="0"/>
              <w:keepLines w:val="0"/>
              <w:widowControl/>
              <w:suppressLineNumbers w:val="0"/>
              <w:snapToGrid w:val="0"/>
              <w:spacing w:before="0" w:beforeAutospacing="0" w:after="0" w:afterAutospacing="0"/>
              <w:ind w:left="0" w:right="0"/>
              <w:contextualSpacing/>
              <w:jc w:val="center"/>
              <w:rPr>
                <w:rFonts w:hint="eastAsia" w:ascii="方正仿宋_GBK" w:hAnsi="方正仿宋_GBK" w:eastAsia="方正仿宋_GBK" w:cs="方正仿宋_GBK"/>
                <w:color w:val="auto"/>
                <w:kern w:val="0"/>
                <w:sz w:val="24"/>
                <w:highlight w:val="none"/>
              </w:rPr>
            </w:pPr>
            <w:r>
              <w:rPr>
                <w:rFonts w:hint="eastAsia" w:ascii="方正仿宋_GBK" w:hAnsi="方正仿宋_GBK" w:eastAsia="方正仿宋_GBK" w:cs="方正仿宋_GBK"/>
                <w:color w:val="auto"/>
                <w:kern w:val="0"/>
                <w:sz w:val="24"/>
                <w:highlight w:val="none"/>
              </w:rPr>
              <w:t>100≤Y＜2000</w:t>
            </w:r>
          </w:p>
        </w:tc>
        <w:tc>
          <w:tcPr>
            <w:tcW w:w="1087" w:type="dxa"/>
            <w:tcBorders>
              <w:top w:val="nil"/>
              <w:left w:val="nil"/>
              <w:bottom w:val="single" w:color="auto" w:sz="4" w:space="0"/>
              <w:right w:val="single" w:color="auto" w:sz="4" w:space="0"/>
            </w:tcBorders>
            <w:noWrap w:val="0"/>
            <w:vAlign w:val="center"/>
          </w:tcPr>
          <w:p w14:paraId="36EF7E2E">
            <w:pPr>
              <w:keepNext w:val="0"/>
              <w:keepLines w:val="0"/>
              <w:widowControl/>
              <w:suppressLineNumbers w:val="0"/>
              <w:snapToGrid w:val="0"/>
              <w:spacing w:before="0" w:beforeAutospacing="0" w:after="0" w:afterAutospacing="0"/>
              <w:ind w:left="0" w:right="0"/>
              <w:contextualSpacing/>
              <w:jc w:val="center"/>
              <w:rPr>
                <w:rFonts w:hint="eastAsia" w:ascii="方正仿宋_GBK" w:hAnsi="方正仿宋_GBK" w:eastAsia="方正仿宋_GBK" w:cs="方正仿宋_GBK"/>
                <w:color w:val="auto"/>
                <w:kern w:val="0"/>
                <w:sz w:val="24"/>
                <w:highlight w:val="none"/>
              </w:rPr>
            </w:pPr>
            <w:r>
              <w:rPr>
                <w:rFonts w:hint="eastAsia" w:ascii="方正仿宋_GBK" w:hAnsi="方正仿宋_GBK" w:eastAsia="方正仿宋_GBK" w:cs="方正仿宋_GBK"/>
                <w:color w:val="auto"/>
                <w:kern w:val="0"/>
                <w:sz w:val="24"/>
                <w:highlight w:val="none"/>
              </w:rPr>
              <w:t>Y＜100</w:t>
            </w:r>
          </w:p>
        </w:tc>
      </w:tr>
      <w:tr w14:paraId="012D464A">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14:paraId="695AD642">
            <w:pPr>
              <w:keepNext w:val="0"/>
              <w:keepLines w:val="0"/>
              <w:widowControl/>
              <w:suppressLineNumbers w:val="0"/>
              <w:snapToGrid w:val="0"/>
              <w:spacing w:before="0" w:beforeAutospacing="0" w:after="0" w:afterAutospacing="0"/>
              <w:ind w:left="0" w:right="0"/>
              <w:contextualSpacing/>
              <w:jc w:val="center"/>
              <w:rPr>
                <w:rFonts w:hint="eastAsia" w:ascii="方正仿宋_GBK" w:hAnsi="方正仿宋_GBK" w:eastAsia="方正仿宋_GBK" w:cs="方正仿宋_GBK"/>
                <w:b/>
                <w:bCs/>
                <w:color w:val="auto"/>
                <w:kern w:val="0"/>
                <w:sz w:val="24"/>
                <w:highlight w:val="none"/>
              </w:rPr>
            </w:pPr>
            <w:r>
              <w:rPr>
                <w:rFonts w:hint="eastAsia" w:ascii="方正仿宋_GBK" w:hAnsi="方正仿宋_GBK" w:eastAsia="方正仿宋_GBK" w:cs="方正仿宋_GBK"/>
                <w:b/>
                <w:bCs/>
                <w:color w:val="auto"/>
                <w:kern w:val="0"/>
                <w:sz w:val="24"/>
                <w:highlight w:val="none"/>
              </w:rPr>
              <w:t>住宿业</w:t>
            </w:r>
          </w:p>
        </w:tc>
        <w:tc>
          <w:tcPr>
            <w:tcW w:w="1660" w:type="dxa"/>
            <w:tcBorders>
              <w:top w:val="nil"/>
              <w:left w:val="nil"/>
              <w:bottom w:val="single" w:color="auto" w:sz="4" w:space="0"/>
              <w:right w:val="single" w:color="auto" w:sz="4" w:space="0"/>
            </w:tcBorders>
            <w:noWrap w:val="0"/>
            <w:vAlign w:val="center"/>
          </w:tcPr>
          <w:p w14:paraId="15FD2C1A">
            <w:pPr>
              <w:keepNext w:val="0"/>
              <w:keepLines w:val="0"/>
              <w:widowControl/>
              <w:suppressLineNumbers w:val="0"/>
              <w:snapToGrid w:val="0"/>
              <w:spacing w:before="0" w:beforeAutospacing="0" w:after="0" w:afterAutospacing="0"/>
              <w:ind w:left="0" w:right="0"/>
              <w:contextualSpacing/>
              <w:jc w:val="center"/>
              <w:rPr>
                <w:rFonts w:hint="eastAsia" w:ascii="方正仿宋_GBK" w:hAnsi="方正仿宋_GBK" w:eastAsia="方正仿宋_GBK" w:cs="方正仿宋_GBK"/>
                <w:color w:val="auto"/>
                <w:kern w:val="0"/>
                <w:sz w:val="24"/>
                <w:highlight w:val="none"/>
              </w:rPr>
            </w:pPr>
            <w:r>
              <w:rPr>
                <w:rFonts w:hint="eastAsia" w:ascii="方正仿宋_GBK" w:hAnsi="方正仿宋_GBK" w:eastAsia="方正仿宋_GBK" w:cs="方正仿宋_GBK"/>
                <w:color w:val="auto"/>
                <w:kern w:val="0"/>
                <w:sz w:val="24"/>
                <w:highlight w:val="none"/>
              </w:rPr>
              <w:t>从业人员（X）</w:t>
            </w:r>
          </w:p>
        </w:tc>
        <w:tc>
          <w:tcPr>
            <w:tcW w:w="1466" w:type="dxa"/>
            <w:tcBorders>
              <w:top w:val="nil"/>
              <w:left w:val="nil"/>
              <w:bottom w:val="single" w:color="auto" w:sz="4" w:space="0"/>
              <w:right w:val="single" w:color="auto" w:sz="4" w:space="0"/>
            </w:tcBorders>
            <w:noWrap w:val="0"/>
            <w:vAlign w:val="center"/>
          </w:tcPr>
          <w:p w14:paraId="40B4859E">
            <w:pPr>
              <w:keepNext w:val="0"/>
              <w:keepLines w:val="0"/>
              <w:widowControl/>
              <w:suppressLineNumbers w:val="0"/>
              <w:snapToGrid w:val="0"/>
              <w:spacing w:before="0" w:beforeAutospacing="0" w:after="0" w:afterAutospacing="0"/>
              <w:ind w:left="0" w:right="0"/>
              <w:contextualSpacing/>
              <w:jc w:val="center"/>
              <w:rPr>
                <w:rFonts w:hint="eastAsia" w:ascii="方正仿宋_GBK" w:hAnsi="方正仿宋_GBK" w:eastAsia="方正仿宋_GBK" w:cs="方正仿宋_GBK"/>
                <w:color w:val="auto"/>
                <w:kern w:val="0"/>
                <w:sz w:val="24"/>
                <w:highlight w:val="none"/>
              </w:rPr>
            </w:pPr>
            <w:r>
              <w:rPr>
                <w:rFonts w:hint="eastAsia" w:ascii="方正仿宋_GBK" w:hAnsi="方正仿宋_GBK" w:eastAsia="方正仿宋_GBK" w:cs="方正仿宋_GBK"/>
                <w:color w:val="auto"/>
                <w:kern w:val="0"/>
                <w:sz w:val="24"/>
                <w:highlight w:val="none"/>
              </w:rPr>
              <w:t>人</w:t>
            </w:r>
          </w:p>
        </w:tc>
        <w:tc>
          <w:tcPr>
            <w:tcW w:w="1903" w:type="dxa"/>
            <w:tcBorders>
              <w:top w:val="nil"/>
              <w:left w:val="nil"/>
              <w:bottom w:val="single" w:color="auto" w:sz="4" w:space="0"/>
              <w:right w:val="single" w:color="auto" w:sz="4" w:space="0"/>
            </w:tcBorders>
            <w:noWrap w:val="0"/>
            <w:vAlign w:val="center"/>
          </w:tcPr>
          <w:p w14:paraId="62FC09E3">
            <w:pPr>
              <w:keepNext w:val="0"/>
              <w:keepLines w:val="0"/>
              <w:widowControl/>
              <w:suppressLineNumbers w:val="0"/>
              <w:snapToGrid w:val="0"/>
              <w:spacing w:before="0" w:beforeAutospacing="0" w:after="0" w:afterAutospacing="0"/>
              <w:ind w:left="0" w:right="0"/>
              <w:contextualSpacing/>
              <w:jc w:val="center"/>
              <w:rPr>
                <w:rFonts w:hint="eastAsia" w:ascii="方正仿宋_GBK" w:hAnsi="方正仿宋_GBK" w:eastAsia="方正仿宋_GBK" w:cs="方正仿宋_GBK"/>
                <w:color w:val="auto"/>
                <w:kern w:val="0"/>
                <w:sz w:val="24"/>
                <w:highlight w:val="none"/>
              </w:rPr>
            </w:pPr>
            <w:r>
              <w:rPr>
                <w:rFonts w:hint="eastAsia" w:ascii="方正仿宋_GBK" w:hAnsi="方正仿宋_GBK" w:eastAsia="方正仿宋_GBK" w:cs="方正仿宋_GBK"/>
                <w:color w:val="auto"/>
                <w:kern w:val="0"/>
                <w:sz w:val="24"/>
                <w:highlight w:val="none"/>
              </w:rPr>
              <w:t>100≤X＜300</w:t>
            </w:r>
          </w:p>
        </w:tc>
        <w:tc>
          <w:tcPr>
            <w:tcW w:w="1692" w:type="dxa"/>
            <w:tcBorders>
              <w:top w:val="nil"/>
              <w:left w:val="nil"/>
              <w:bottom w:val="single" w:color="auto" w:sz="4" w:space="0"/>
              <w:right w:val="single" w:color="auto" w:sz="4" w:space="0"/>
            </w:tcBorders>
            <w:noWrap w:val="0"/>
            <w:vAlign w:val="center"/>
          </w:tcPr>
          <w:p w14:paraId="63C54328">
            <w:pPr>
              <w:keepNext w:val="0"/>
              <w:keepLines w:val="0"/>
              <w:widowControl/>
              <w:suppressLineNumbers w:val="0"/>
              <w:snapToGrid w:val="0"/>
              <w:spacing w:before="0" w:beforeAutospacing="0" w:after="0" w:afterAutospacing="0"/>
              <w:ind w:left="0" w:right="0"/>
              <w:contextualSpacing/>
              <w:jc w:val="center"/>
              <w:rPr>
                <w:rFonts w:hint="eastAsia" w:ascii="方正仿宋_GBK" w:hAnsi="方正仿宋_GBK" w:eastAsia="方正仿宋_GBK" w:cs="方正仿宋_GBK"/>
                <w:color w:val="auto"/>
                <w:kern w:val="0"/>
                <w:sz w:val="24"/>
                <w:highlight w:val="none"/>
              </w:rPr>
            </w:pPr>
            <w:r>
              <w:rPr>
                <w:rFonts w:hint="eastAsia" w:ascii="方正仿宋_GBK" w:hAnsi="方正仿宋_GBK" w:eastAsia="方正仿宋_GBK" w:cs="方正仿宋_GBK"/>
                <w:color w:val="auto"/>
                <w:kern w:val="0"/>
                <w:sz w:val="24"/>
                <w:highlight w:val="none"/>
              </w:rPr>
              <w:t>10≤X＜100</w:t>
            </w:r>
          </w:p>
        </w:tc>
        <w:tc>
          <w:tcPr>
            <w:tcW w:w="1087" w:type="dxa"/>
            <w:tcBorders>
              <w:top w:val="nil"/>
              <w:left w:val="nil"/>
              <w:bottom w:val="single" w:color="auto" w:sz="4" w:space="0"/>
              <w:right w:val="single" w:color="auto" w:sz="4" w:space="0"/>
            </w:tcBorders>
            <w:noWrap w:val="0"/>
            <w:vAlign w:val="center"/>
          </w:tcPr>
          <w:p w14:paraId="4794FC58">
            <w:pPr>
              <w:keepNext w:val="0"/>
              <w:keepLines w:val="0"/>
              <w:widowControl/>
              <w:suppressLineNumbers w:val="0"/>
              <w:snapToGrid w:val="0"/>
              <w:spacing w:before="0" w:beforeAutospacing="0" w:after="0" w:afterAutospacing="0"/>
              <w:ind w:left="0" w:right="0"/>
              <w:contextualSpacing/>
              <w:jc w:val="center"/>
              <w:rPr>
                <w:rFonts w:hint="eastAsia" w:ascii="方正仿宋_GBK" w:hAnsi="方正仿宋_GBK" w:eastAsia="方正仿宋_GBK" w:cs="方正仿宋_GBK"/>
                <w:color w:val="auto"/>
                <w:kern w:val="0"/>
                <w:sz w:val="24"/>
                <w:highlight w:val="none"/>
              </w:rPr>
            </w:pPr>
            <w:r>
              <w:rPr>
                <w:rFonts w:hint="eastAsia" w:ascii="方正仿宋_GBK" w:hAnsi="方正仿宋_GBK" w:eastAsia="方正仿宋_GBK" w:cs="方正仿宋_GBK"/>
                <w:color w:val="auto"/>
                <w:kern w:val="0"/>
                <w:sz w:val="24"/>
                <w:highlight w:val="none"/>
              </w:rPr>
              <w:t>X＜10</w:t>
            </w:r>
          </w:p>
        </w:tc>
      </w:tr>
      <w:tr w14:paraId="409B7526">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14:paraId="0B7ACF59">
            <w:pPr>
              <w:keepNext w:val="0"/>
              <w:keepLines w:val="0"/>
              <w:widowControl/>
              <w:suppressLineNumbers w:val="0"/>
              <w:snapToGrid w:val="0"/>
              <w:spacing w:before="0" w:beforeAutospacing="0" w:after="0" w:afterAutospacing="0"/>
              <w:ind w:left="0" w:right="0"/>
              <w:contextualSpacing/>
              <w:jc w:val="center"/>
              <w:rPr>
                <w:rFonts w:hint="eastAsia" w:ascii="方正仿宋_GBK" w:hAnsi="方正仿宋_GBK" w:eastAsia="方正仿宋_GBK" w:cs="方正仿宋_GBK"/>
                <w:b/>
                <w:bCs/>
                <w:color w:val="auto"/>
                <w:kern w:val="0"/>
                <w:sz w:val="24"/>
                <w:highlight w:val="none"/>
              </w:rPr>
            </w:pPr>
          </w:p>
        </w:tc>
        <w:tc>
          <w:tcPr>
            <w:tcW w:w="1660" w:type="dxa"/>
            <w:tcBorders>
              <w:top w:val="nil"/>
              <w:left w:val="nil"/>
              <w:bottom w:val="single" w:color="auto" w:sz="4" w:space="0"/>
              <w:right w:val="single" w:color="auto" w:sz="4" w:space="0"/>
            </w:tcBorders>
            <w:noWrap w:val="0"/>
            <w:vAlign w:val="center"/>
          </w:tcPr>
          <w:p w14:paraId="067E415F">
            <w:pPr>
              <w:keepNext w:val="0"/>
              <w:keepLines w:val="0"/>
              <w:widowControl/>
              <w:suppressLineNumbers w:val="0"/>
              <w:snapToGrid w:val="0"/>
              <w:spacing w:before="0" w:beforeAutospacing="0" w:after="0" w:afterAutospacing="0"/>
              <w:ind w:left="0" w:right="0"/>
              <w:contextualSpacing/>
              <w:jc w:val="center"/>
              <w:rPr>
                <w:rFonts w:hint="eastAsia" w:ascii="方正仿宋_GBK" w:hAnsi="方正仿宋_GBK" w:eastAsia="方正仿宋_GBK" w:cs="方正仿宋_GBK"/>
                <w:color w:val="auto"/>
                <w:kern w:val="0"/>
                <w:sz w:val="24"/>
                <w:highlight w:val="none"/>
              </w:rPr>
            </w:pPr>
            <w:r>
              <w:rPr>
                <w:rFonts w:hint="eastAsia" w:ascii="方正仿宋_GBK" w:hAnsi="方正仿宋_GBK" w:eastAsia="方正仿宋_GBK" w:cs="方正仿宋_GBK"/>
                <w:color w:val="auto"/>
                <w:kern w:val="0"/>
                <w:sz w:val="24"/>
                <w:highlight w:val="none"/>
              </w:rPr>
              <w:t>营业收入（Y）</w:t>
            </w:r>
          </w:p>
        </w:tc>
        <w:tc>
          <w:tcPr>
            <w:tcW w:w="1466" w:type="dxa"/>
            <w:tcBorders>
              <w:top w:val="nil"/>
              <w:left w:val="nil"/>
              <w:bottom w:val="single" w:color="auto" w:sz="4" w:space="0"/>
              <w:right w:val="single" w:color="auto" w:sz="4" w:space="0"/>
            </w:tcBorders>
            <w:noWrap w:val="0"/>
            <w:vAlign w:val="center"/>
          </w:tcPr>
          <w:p w14:paraId="5D1FDF13">
            <w:pPr>
              <w:keepNext w:val="0"/>
              <w:keepLines w:val="0"/>
              <w:widowControl/>
              <w:suppressLineNumbers w:val="0"/>
              <w:snapToGrid w:val="0"/>
              <w:spacing w:before="0" w:beforeAutospacing="0" w:after="0" w:afterAutospacing="0"/>
              <w:ind w:left="0" w:right="0"/>
              <w:contextualSpacing/>
              <w:jc w:val="center"/>
              <w:rPr>
                <w:rFonts w:hint="eastAsia" w:ascii="方正仿宋_GBK" w:hAnsi="方正仿宋_GBK" w:eastAsia="方正仿宋_GBK" w:cs="方正仿宋_GBK"/>
                <w:color w:val="auto"/>
                <w:kern w:val="0"/>
                <w:sz w:val="24"/>
                <w:highlight w:val="none"/>
              </w:rPr>
            </w:pPr>
            <w:r>
              <w:rPr>
                <w:rFonts w:hint="eastAsia" w:ascii="方正仿宋_GBK" w:hAnsi="方正仿宋_GBK" w:eastAsia="方正仿宋_GBK" w:cs="方正仿宋_GBK"/>
                <w:color w:val="auto"/>
                <w:kern w:val="0"/>
                <w:sz w:val="24"/>
                <w:highlight w:val="none"/>
              </w:rPr>
              <w:t>万元</w:t>
            </w:r>
          </w:p>
        </w:tc>
        <w:tc>
          <w:tcPr>
            <w:tcW w:w="1903" w:type="dxa"/>
            <w:tcBorders>
              <w:top w:val="nil"/>
              <w:left w:val="nil"/>
              <w:bottom w:val="single" w:color="auto" w:sz="4" w:space="0"/>
              <w:right w:val="single" w:color="auto" w:sz="4" w:space="0"/>
            </w:tcBorders>
            <w:noWrap w:val="0"/>
            <w:vAlign w:val="center"/>
          </w:tcPr>
          <w:p w14:paraId="144B5CEA">
            <w:pPr>
              <w:keepNext w:val="0"/>
              <w:keepLines w:val="0"/>
              <w:widowControl/>
              <w:suppressLineNumbers w:val="0"/>
              <w:snapToGrid w:val="0"/>
              <w:spacing w:before="0" w:beforeAutospacing="0" w:after="0" w:afterAutospacing="0"/>
              <w:ind w:left="0" w:right="0"/>
              <w:contextualSpacing/>
              <w:jc w:val="center"/>
              <w:rPr>
                <w:rFonts w:hint="eastAsia" w:ascii="方正仿宋_GBK" w:hAnsi="方正仿宋_GBK" w:eastAsia="方正仿宋_GBK" w:cs="方正仿宋_GBK"/>
                <w:color w:val="auto"/>
                <w:kern w:val="0"/>
                <w:sz w:val="24"/>
                <w:highlight w:val="none"/>
              </w:rPr>
            </w:pPr>
            <w:r>
              <w:rPr>
                <w:rFonts w:hint="eastAsia" w:ascii="方正仿宋_GBK" w:hAnsi="方正仿宋_GBK" w:eastAsia="方正仿宋_GBK" w:cs="方正仿宋_GBK"/>
                <w:color w:val="auto"/>
                <w:kern w:val="0"/>
                <w:sz w:val="24"/>
                <w:highlight w:val="none"/>
              </w:rPr>
              <w:t>2000≤Y＜10000</w:t>
            </w:r>
          </w:p>
        </w:tc>
        <w:tc>
          <w:tcPr>
            <w:tcW w:w="1692" w:type="dxa"/>
            <w:tcBorders>
              <w:top w:val="nil"/>
              <w:left w:val="nil"/>
              <w:bottom w:val="single" w:color="auto" w:sz="4" w:space="0"/>
              <w:right w:val="single" w:color="auto" w:sz="4" w:space="0"/>
            </w:tcBorders>
            <w:noWrap w:val="0"/>
            <w:vAlign w:val="center"/>
          </w:tcPr>
          <w:p w14:paraId="37D1DEB4">
            <w:pPr>
              <w:keepNext w:val="0"/>
              <w:keepLines w:val="0"/>
              <w:widowControl/>
              <w:suppressLineNumbers w:val="0"/>
              <w:snapToGrid w:val="0"/>
              <w:spacing w:before="0" w:beforeAutospacing="0" w:after="0" w:afterAutospacing="0"/>
              <w:ind w:left="0" w:right="0"/>
              <w:contextualSpacing/>
              <w:jc w:val="center"/>
              <w:rPr>
                <w:rFonts w:hint="eastAsia" w:ascii="方正仿宋_GBK" w:hAnsi="方正仿宋_GBK" w:eastAsia="方正仿宋_GBK" w:cs="方正仿宋_GBK"/>
                <w:color w:val="auto"/>
                <w:kern w:val="0"/>
                <w:sz w:val="24"/>
                <w:highlight w:val="none"/>
              </w:rPr>
            </w:pPr>
            <w:r>
              <w:rPr>
                <w:rFonts w:hint="eastAsia" w:ascii="方正仿宋_GBK" w:hAnsi="方正仿宋_GBK" w:eastAsia="方正仿宋_GBK" w:cs="方正仿宋_GBK"/>
                <w:color w:val="auto"/>
                <w:kern w:val="0"/>
                <w:sz w:val="24"/>
                <w:highlight w:val="none"/>
              </w:rPr>
              <w:t>100≤Y＜2000</w:t>
            </w:r>
          </w:p>
        </w:tc>
        <w:tc>
          <w:tcPr>
            <w:tcW w:w="1087" w:type="dxa"/>
            <w:tcBorders>
              <w:top w:val="nil"/>
              <w:left w:val="nil"/>
              <w:bottom w:val="single" w:color="auto" w:sz="4" w:space="0"/>
              <w:right w:val="single" w:color="auto" w:sz="4" w:space="0"/>
            </w:tcBorders>
            <w:noWrap w:val="0"/>
            <w:vAlign w:val="center"/>
          </w:tcPr>
          <w:p w14:paraId="5E2EE9BA">
            <w:pPr>
              <w:keepNext w:val="0"/>
              <w:keepLines w:val="0"/>
              <w:widowControl/>
              <w:suppressLineNumbers w:val="0"/>
              <w:snapToGrid w:val="0"/>
              <w:spacing w:before="0" w:beforeAutospacing="0" w:after="0" w:afterAutospacing="0"/>
              <w:ind w:left="0" w:right="0"/>
              <w:contextualSpacing/>
              <w:jc w:val="center"/>
              <w:rPr>
                <w:rFonts w:hint="eastAsia" w:ascii="方正仿宋_GBK" w:hAnsi="方正仿宋_GBK" w:eastAsia="方正仿宋_GBK" w:cs="方正仿宋_GBK"/>
                <w:color w:val="auto"/>
                <w:kern w:val="0"/>
                <w:sz w:val="24"/>
                <w:highlight w:val="none"/>
              </w:rPr>
            </w:pPr>
            <w:r>
              <w:rPr>
                <w:rFonts w:hint="eastAsia" w:ascii="方正仿宋_GBK" w:hAnsi="方正仿宋_GBK" w:eastAsia="方正仿宋_GBK" w:cs="方正仿宋_GBK"/>
                <w:color w:val="auto"/>
                <w:kern w:val="0"/>
                <w:sz w:val="24"/>
                <w:highlight w:val="none"/>
              </w:rPr>
              <w:t>Y＜100</w:t>
            </w:r>
          </w:p>
        </w:tc>
      </w:tr>
      <w:tr w14:paraId="539B61C0">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14:paraId="796A92A7">
            <w:pPr>
              <w:keepNext w:val="0"/>
              <w:keepLines w:val="0"/>
              <w:widowControl/>
              <w:suppressLineNumbers w:val="0"/>
              <w:snapToGrid w:val="0"/>
              <w:spacing w:before="0" w:beforeAutospacing="0" w:after="0" w:afterAutospacing="0"/>
              <w:ind w:left="0" w:right="0"/>
              <w:contextualSpacing/>
              <w:jc w:val="center"/>
              <w:rPr>
                <w:rFonts w:hint="eastAsia" w:ascii="方正仿宋_GBK" w:hAnsi="方正仿宋_GBK" w:eastAsia="方正仿宋_GBK" w:cs="方正仿宋_GBK"/>
                <w:b/>
                <w:bCs/>
                <w:color w:val="auto"/>
                <w:kern w:val="0"/>
                <w:sz w:val="24"/>
                <w:highlight w:val="none"/>
              </w:rPr>
            </w:pPr>
            <w:r>
              <w:rPr>
                <w:rFonts w:hint="eastAsia" w:ascii="方正仿宋_GBK" w:hAnsi="方正仿宋_GBK" w:eastAsia="方正仿宋_GBK" w:cs="方正仿宋_GBK"/>
                <w:b/>
                <w:bCs/>
                <w:color w:val="auto"/>
                <w:kern w:val="0"/>
                <w:sz w:val="24"/>
                <w:highlight w:val="none"/>
              </w:rPr>
              <w:t>餐饮业</w:t>
            </w:r>
          </w:p>
        </w:tc>
        <w:tc>
          <w:tcPr>
            <w:tcW w:w="1660" w:type="dxa"/>
            <w:tcBorders>
              <w:top w:val="nil"/>
              <w:left w:val="nil"/>
              <w:bottom w:val="single" w:color="auto" w:sz="4" w:space="0"/>
              <w:right w:val="single" w:color="auto" w:sz="4" w:space="0"/>
            </w:tcBorders>
            <w:noWrap w:val="0"/>
            <w:vAlign w:val="center"/>
          </w:tcPr>
          <w:p w14:paraId="67563426">
            <w:pPr>
              <w:keepNext w:val="0"/>
              <w:keepLines w:val="0"/>
              <w:widowControl/>
              <w:suppressLineNumbers w:val="0"/>
              <w:snapToGrid w:val="0"/>
              <w:spacing w:before="0" w:beforeAutospacing="0" w:after="0" w:afterAutospacing="0"/>
              <w:ind w:left="0" w:right="0"/>
              <w:contextualSpacing/>
              <w:jc w:val="center"/>
              <w:rPr>
                <w:rFonts w:hint="eastAsia" w:ascii="方正仿宋_GBK" w:hAnsi="方正仿宋_GBK" w:eastAsia="方正仿宋_GBK" w:cs="方正仿宋_GBK"/>
                <w:color w:val="auto"/>
                <w:kern w:val="0"/>
                <w:sz w:val="24"/>
                <w:highlight w:val="none"/>
              </w:rPr>
            </w:pPr>
            <w:r>
              <w:rPr>
                <w:rFonts w:hint="eastAsia" w:ascii="方正仿宋_GBK" w:hAnsi="方正仿宋_GBK" w:eastAsia="方正仿宋_GBK" w:cs="方正仿宋_GBK"/>
                <w:color w:val="auto"/>
                <w:kern w:val="0"/>
                <w:sz w:val="24"/>
                <w:highlight w:val="none"/>
              </w:rPr>
              <w:t>从业人员（X）</w:t>
            </w:r>
          </w:p>
        </w:tc>
        <w:tc>
          <w:tcPr>
            <w:tcW w:w="1466" w:type="dxa"/>
            <w:tcBorders>
              <w:top w:val="nil"/>
              <w:left w:val="nil"/>
              <w:bottom w:val="single" w:color="auto" w:sz="4" w:space="0"/>
              <w:right w:val="single" w:color="auto" w:sz="4" w:space="0"/>
            </w:tcBorders>
            <w:noWrap w:val="0"/>
            <w:vAlign w:val="center"/>
          </w:tcPr>
          <w:p w14:paraId="373D4B0A">
            <w:pPr>
              <w:keepNext w:val="0"/>
              <w:keepLines w:val="0"/>
              <w:widowControl/>
              <w:suppressLineNumbers w:val="0"/>
              <w:snapToGrid w:val="0"/>
              <w:spacing w:before="0" w:beforeAutospacing="0" w:after="0" w:afterAutospacing="0"/>
              <w:ind w:left="0" w:right="0"/>
              <w:contextualSpacing/>
              <w:jc w:val="center"/>
              <w:rPr>
                <w:rFonts w:hint="eastAsia" w:ascii="方正仿宋_GBK" w:hAnsi="方正仿宋_GBK" w:eastAsia="方正仿宋_GBK" w:cs="方正仿宋_GBK"/>
                <w:color w:val="auto"/>
                <w:kern w:val="0"/>
                <w:sz w:val="24"/>
                <w:highlight w:val="none"/>
              </w:rPr>
            </w:pPr>
            <w:r>
              <w:rPr>
                <w:rFonts w:hint="eastAsia" w:ascii="方正仿宋_GBK" w:hAnsi="方正仿宋_GBK" w:eastAsia="方正仿宋_GBK" w:cs="方正仿宋_GBK"/>
                <w:color w:val="auto"/>
                <w:kern w:val="0"/>
                <w:sz w:val="24"/>
                <w:highlight w:val="none"/>
              </w:rPr>
              <w:t>人</w:t>
            </w:r>
          </w:p>
        </w:tc>
        <w:tc>
          <w:tcPr>
            <w:tcW w:w="1903" w:type="dxa"/>
            <w:tcBorders>
              <w:top w:val="nil"/>
              <w:left w:val="nil"/>
              <w:bottom w:val="single" w:color="auto" w:sz="4" w:space="0"/>
              <w:right w:val="single" w:color="auto" w:sz="4" w:space="0"/>
            </w:tcBorders>
            <w:noWrap w:val="0"/>
            <w:vAlign w:val="center"/>
          </w:tcPr>
          <w:p w14:paraId="0542DF4A">
            <w:pPr>
              <w:keepNext w:val="0"/>
              <w:keepLines w:val="0"/>
              <w:widowControl/>
              <w:suppressLineNumbers w:val="0"/>
              <w:snapToGrid w:val="0"/>
              <w:spacing w:before="0" w:beforeAutospacing="0" w:after="0" w:afterAutospacing="0"/>
              <w:ind w:left="0" w:right="0"/>
              <w:contextualSpacing/>
              <w:jc w:val="center"/>
              <w:rPr>
                <w:rFonts w:hint="eastAsia" w:ascii="方正仿宋_GBK" w:hAnsi="方正仿宋_GBK" w:eastAsia="方正仿宋_GBK" w:cs="方正仿宋_GBK"/>
                <w:color w:val="auto"/>
                <w:kern w:val="0"/>
                <w:sz w:val="24"/>
                <w:highlight w:val="none"/>
              </w:rPr>
            </w:pPr>
            <w:r>
              <w:rPr>
                <w:rFonts w:hint="eastAsia" w:ascii="方正仿宋_GBK" w:hAnsi="方正仿宋_GBK" w:eastAsia="方正仿宋_GBK" w:cs="方正仿宋_GBK"/>
                <w:color w:val="auto"/>
                <w:kern w:val="0"/>
                <w:sz w:val="24"/>
                <w:highlight w:val="none"/>
              </w:rPr>
              <w:t>100≤X＜300</w:t>
            </w:r>
          </w:p>
        </w:tc>
        <w:tc>
          <w:tcPr>
            <w:tcW w:w="1692" w:type="dxa"/>
            <w:tcBorders>
              <w:top w:val="nil"/>
              <w:left w:val="nil"/>
              <w:bottom w:val="single" w:color="auto" w:sz="4" w:space="0"/>
              <w:right w:val="single" w:color="auto" w:sz="4" w:space="0"/>
            </w:tcBorders>
            <w:noWrap w:val="0"/>
            <w:vAlign w:val="center"/>
          </w:tcPr>
          <w:p w14:paraId="0C8D9B1A">
            <w:pPr>
              <w:keepNext w:val="0"/>
              <w:keepLines w:val="0"/>
              <w:widowControl/>
              <w:suppressLineNumbers w:val="0"/>
              <w:snapToGrid w:val="0"/>
              <w:spacing w:before="0" w:beforeAutospacing="0" w:after="0" w:afterAutospacing="0"/>
              <w:ind w:left="0" w:right="0"/>
              <w:contextualSpacing/>
              <w:jc w:val="center"/>
              <w:rPr>
                <w:rFonts w:hint="eastAsia" w:ascii="方正仿宋_GBK" w:hAnsi="方正仿宋_GBK" w:eastAsia="方正仿宋_GBK" w:cs="方正仿宋_GBK"/>
                <w:color w:val="auto"/>
                <w:kern w:val="0"/>
                <w:sz w:val="24"/>
                <w:highlight w:val="none"/>
              </w:rPr>
            </w:pPr>
            <w:r>
              <w:rPr>
                <w:rFonts w:hint="eastAsia" w:ascii="方正仿宋_GBK" w:hAnsi="方正仿宋_GBK" w:eastAsia="方正仿宋_GBK" w:cs="方正仿宋_GBK"/>
                <w:color w:val="auto"/>
                <w:kern w:val="0"/>
                <w:sz w:val="24"/>
                <w:highlight w:val="none"/>
              </w:rPr>
              <w:t>10≤X＜100</w:t>
            </w:r>
          </w:p>
        </w:tc>
        <w:tc>
          <w:tcPr>
            <w:tcW w:w="1087" w:type="dxa"/>
            <w:tcBorders>
              <w:top w:val="nil"/>
              <w:left w:val="nil"/>
              <w:bottom w:val="single" w:color="auto" w:sz="4" w:space="0"/>
              <w:right w:val="single" w:color="auto" w:sz="4" w:space="0"/>
            </w:tcBorders>
            <w:noWrap w:val="0"/>
            <w:vAlign w:val="center"/>
          </w:tcPr>
          <w:p w14:paraId="7B1C56D1">
            <w:pPr>
              <w:keepNext w:val="0"/>
              <w:keepLines w:val="0"/>
              <w:widowControl/>
              <w:suppressLineNumbers w:val="0"/>
              <w:snapToGrid w:val="0"/>
              <w:spacing w:before="0" w:beforeAutospacing="0" w:after="0" w:afterAutospacing="0"/>
              <w:ind w:left="0" w:right="0"/>
              <w:contextualSpacing/>
              <w:jc w:val="center"/>
              <w:rPr>
                <w:rFonts w:hint="eastAsia" w:ascii="方正仿宋_GBK" w:hAnsi="方正仿宋_GBK" w:eastAsia="方正仿宋_GBK" w:cs="方正仿宋_GBK"/>
                <w:color w:val="auto"/>
                <w:kern w:val="0"/>
                <w:sz w:val="24"/>
                <w:highlight w:val="none"/>
              </w:rPr>
            </w:pPr>
            <w:r>
              <w:rPr>
                <w:rFonts w:hint="eastAsia" w:ascii="方正仿宋_GBK" w:hAnsi="方正仿宋_GBK" w:eastAsia="方正仿宋_GBK" w:cs="方正仿宋_GBK"/>
                <w:color w:val="auto"/>
                <w:kern w:val="0"/>
                <w:sz w:val="24"/>
                <w:highlight w:val="none"/>
              </w:rPr>
              <w:t>X＜10</w:t>
            </w:r>
          </w:p>
        </w:tc>
      </w:tr>
      <w:tr w14:paraId="024A021A">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14:paraId="750E3977">
            <w:pPr>
              <w:keepNext w:val="0"/>
              <w:keepLines w:val="0"/>
              <w:widowControl/>
              <w:suppressLineNumbers w:val="0"/>
              <w:snapToGrid w:val="0"/>
              <w:spacing w:before="0" w:beforeAutospacing="0" w:after="0" w:afterAutospacing="0"/>
              <w:ind w:left="0" w:right="0"/>
              <w:contextualSpacing/>
              <w:jc w:val="center"/>
              <w:rPr>
                <w:rFonts w:hint="eastAsia" w:ascii="方正仿宋_GBK" w:hAnsi="方正仿宋_GBK" w:eastAsia="方正仿宋_GBK" w:cs="方正仿宋_GBK"/>
                <w:b/>
                <w:bCs/>
                <w:color w:val="auto"/>
                <w:kern w:val="0"/>
                <w:sz w:val="24"/>
                <w:highlight w:val="none"/>
              </w:rPr>
            </w:pPr>
          </w:p>
        </w:tc>
        <w:tc>
          <w:tcPr>
            <w:tcW w:w="1660" w:type="dxa"/>
            <w:tcBorders>
              <w:top w:val="nil"/>
              <w:left w:val="nil"/>
              <w:bottom w:val="single" w:color="auto" w:sz="4" w:space="0"/>
              <w:right w:val="single" w:color="auto" w:sz="4" w:space="0"/>
            </w:tcBorders>
            <w:noWrap w:val="0"/>
            <w:vAlign w:val="center"/>
          </w:tcPr>
          <w:p w14:paraId="01DD5EE3">
            <w:pPr>
              <w:keepNext w:val="0"/>
              <w:keepLines w:val="0"/>
              <w:widowControl/>
              <w:suppressLineNumbers w:val="0"/>
              <w:snapToGrid w:val="0"/>
              <w:spacing w:before="0" w:beforeAutospacing="0" w:after="0" w:afterAutospacing="0"/>
              <w:ind w:left="0" w:right="0"/>
              <w:contextualSpacing/>
              <w:jc w:val="center"/>
              <w:rPr>
                <w:rFonts w:hint="eastAsia" w:ascii="方正仿宋_GBK" w:hAnsi="方正仿宋_GBK" w:eastAsia="方正仿宋_GBK" w:cs="方正仿宋_GBK"/>
                <w:color w:val="auto"/>
                <w:kern w:val="0"/>
                <w:sz w:val="24"/>
                <w:highlight w:val="none"/>
              </w:rPr>
            </w:pPr>
            <w:r>
              <w:rPr>
                <w:rFonts w:hint="eastAsia" w:ascii="方正仿宋_GBK" w:hAnsi="方正仿宋_GBK" w:eastAsia="方正仿宋_GBK" w:cs="方正仿宋_GBK"/>
                <w:color w:val="auto"/>
                <w:kern w:val="0"/>
                <w:sz w:val="24"/>
                <w:highlight w:val="none"/>
              </w:rPr>
              <w:t>营业收入（Y）</w:t>
            </w:r>
          </w:p>
        </w:tc>
        <w:tc>
          <w:tcPr>
            <w:tcW w:w="1466" w:type="dxa"/>
            <w:tcBorders>
              <w:top w:val="nil"/>
              <w:left w:val="nil"/>
              <w:bottom w:val="single" w:color="auto" w:sz="4" w:space="0"/>
              <w:right w:val="single" w:color="auto" w:sz="4" w:space="0"/>
            </w:tcBorders>
            <w:noWrap w:val="0"/>
            <w:vAlign w:val="center"/>
          </w:tcPr>
          <w:p w14:paraId="26D4E84C">
            <w:pPr>
              <w:keepNext w:val="0"/>
              <w:keepLines w:val="0"/>
              <w:widowControl/>
              <w:suppressLineNumbers w:val="0"/>
              <w:snapToGrid w:val="0"/>
              <w:spacing w:before="0" w:beforeAutospacing="0" w:after="0" w:afterAutospacing="0"/>
              <w:ind w:left="0" w:right="0"/>
              <w:contextualSpacing/>
              <w:jc w:val="center"/>
              <w:rPr>
                <w:rFonts w:hint="eastAsia" w:ascii="方正仿宋_GBK" w:hAnsi="方正仿宋_GBK" w:eastAsia="方正仿宋_GBK" w:cs="方正仿宋_GBK"/>
                <w:color w:val="auto"/>
                <w:kern w:val="0"/>
                <w:sz w:val="24"/>
                <w:highlight w:val="none"/>
              </w:rPr>
            </w:pPr>
            <w:r>
              <w:rPr>
                <w:rFonts w:hint="eastAsia" w:ascii="方正仿宋_GBK" w:hAnsi="方正仿宋_GBK" w:eastAsia="方正仿宋_GBK" w:cs="方正仿宋_GBK"/>
                <w:color w:val="auto"/>
                <w:kern w:val="0"/>
                <w:sz w:val="24"/>
                <w:highlight w:val="none"/>
              </w:rPr>
              <w:t>万元</w:t>
            </w:r>
          </w:p>
        </w:tc>
        <w:tc>
          <w:tcPr>
            <w:tcW w:w="1903" w:type="dxa"/>
            <w:tcBorders>
              <w:top w:val="nil"/>
              <w:left w:val="nil"/>
              <w:bottom w:val="single" w:color="auto" w:sz="4" w:space="0"/>
              <w:right w:val="single" w:color="auto" w:sz="4" w:space="0"/>
            </w:tcBorders>
            <w:noWrap w:val="0"/>
            <w:vAlign w:val="center"/>
          </w:tcPr>
          <w:p w14:paraId="280680E5">
            <w:pPr>
              <w:keepNext w:val="0"/>
              <w:keepLines w:val="0"/>
              <w:widowControl/>
              <w:suppressLineNumbers w:val="0"/>
              <w:snapToGrid w:val="0"/>
              <w:spacing w:before="0" w:beforeAutospacing="0" w:after="0" w:afterAutospacing="0"/>
              <w:ind w:left="0" w:right="0"/>
              <w:contextualSpacing/>
              <w:jc w:val="center"/>
              <w:rPr>
                <w:rFonts w:hint="eastAsia" w:ascii="方正仿宋_GBK" w:hAnsi="方正仿宋_GBK" w:eastAsia="方正仿宋_GBK" w:cs="方正仿宋_GBK"/>
                <w:color w:val="auto"/>
                <w:kern w:val="0"/>
                <w:sz w:val="24"/>
                <w:highlight w:val="none"/>
              </w:rPr>
            </w:pPr>
            <w:r>
              <w:rPr>
                <w:rFonts w:hint="eastAsia" w:ascii="方正仿宋_GBK" w:hAnsi="方正仿宋_GBK" w:eastAsia="方正仿宋_GBK" w:cs="方正仿宋_GBK"/>
                <w:color w:val="auto"/>
                <w:kern w:val="0"/>
                <w:sz w:val="24"/>
                <w:highlight w:val="none"/>
              </w:rPr>
              <w:t>2000≤Y＜10000</w:t>
            </w:r>
          </w:p>
        </w:tc>
        <w:tc>
          <w:tcPr>
            <w:tcW w:w="1692" w:type="dxa"/>
            <w:tcBorders>
              <w:top w:val="nil"/>
              <w:left w:val="nil"/>
              <w:bottom w:val="single" w:color="auto" w:sz="4" w:space="0"/>
              <w:right w:val="single" w:color="auto" w:sz="4" w:space="0"/>
            </w:tcBorders>
            <w:noWrap w:val="0"/>
            <w:vAlign w:val="center"/>
          </w:tcPr>
          <w:p w14:paraId="6655C05D">
            <w:pPr>
              <w:keepNext w:val="0"/>
              <w:keepLines w:val="0"/>
              <w:widowControl/>
              <w:suppressLineNumbers w:val="0"/>
              <w:snapToGrid w:val="0"/>
              <w:spacing w:before="0" w:beforeAutospacing="0" w:after="0" w:afterAutospacing="0"/>
              <w:ind w:left="0" w:right="0"/>
              <w:contextualSpacing/>
              <w:jc w:val="center"/>
              <w:rPr>
                <w:rFonts w:hint="eastAsia" w:ascii="方正仿宋_GBK" w:hAnsi="方正仿宋_GBK" w:eastAsia="方正仿宋_GBK" w:cs="方正仿宋_GBK"/>
                <w:color w:val="auto"/>
                <w:kern w:val="0"/>
                <w:sz w:val="24"/>
                <w:highlight w:val="none"/>
              </w:rPr>
            </w:pPr>
            <w:r>
              <w:rPr>
                <w:rFonts w:hint="eastAsia" w:ascii="方正仿宋_GBK" w:hAnsi="方正仿宋_GBK" w:eastAsia="方正仿宋_GBK" w:cs="方正仿宋_GBK"/>
                <w:color w:val="auto"/>
                <w:kern w:val="0"/>
                <w:sz w:val="24"/>
                <w:highlight w:val="none"/>
              </w:rPr>
              <w:t>100≤Y＜2000</w:t>
            </w:r>
          </w:p>
        </w:tc>
        <w:tc>
          <w:tcPr>
            <w:tcW w:w="1087" w:type="dxa"/>
            <w:tcBorders>
              <w:top w:val="nil"/>
              <w:left w:val="nil"/>
              <w:bottom w:val="single" w:color="auto" w:sz="4" w:space="0"/>
              <w:right w:val="single" w:color="auto" w:sz="4" w:space="0"/>
            </w:tcBorders>
            <w:noWrap w:val="0"/>
            <w:vAlign w:val="center"/>
          </w:tcPr>
          <w:p w14:paraId="2D07E75A">
            <w:pPr>
              <w:keepNext w:val="0"/>
              <w:keepLines w:val="0"/>
              <w:widowControl/>
              <w:suppressLineNumbers w:val="0"/>
              <w:snapToGrid w:val="0"/>
              <w:spacing w:before="0" w:beforeAutospacing="0" w:after="0" w:afterAutospacing="0"/>
              <w:ind w:left="0" w:right="0"/>
              <w:contextualSpacing/>
              <w:jc w:val="center"/>
              <w:rPr>
                <w:rFonts w:hint="eastAsia" w:ascii="方正仿宋_GBK" w:hAnsi="方正仿宋_GBK" w:eastAsia="方正仿宋_GBK" w:cs="方正仿宋_GBK"/>
                <w:color w:val="auto"/>
                <w:kern w:val="0"/>
                <w:sz w:val="24"/>
                <w:highlight w:val="none"/>
              </w:rPr>
            </w:pPr>
            <w:r>
              <w:rPr>
                <w:rFonts w:hint="eastAsia" w:ascii="方正仿宋_GBK" w:hAnsi="方正仿宋_GBK" w:eastAsia="方正仿宋_GBK" w:cs="方正仿宋_GBK"/>
                <w:color w:val="auto"/>
                <w:kern w:val="0"/>
                <w:sz w:val="24"/>
                <w:highlight w:val="none"/>
              </w:rPr>
              <w:t>Y＜100</w:t>
            </w:r>
          </w:p>
        </w:tc>
      </w:tr>
      <w:tr w14:paraId="005D377C">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14:paraId="7F486C69">
            <w:pPr>
              <w:keepNext w:val="0"/>
              <w:keepLines w:val="0"/>
              <w:widowControl/>
              <w:suppressLineNumbers w:val="0"/>
              <w:snapToGrid w:val="0"/>
              <w:spacing w:before="0" w:beforeAutospacing="0" w:after="0" w:afterAutospacing="0"/>
              <w:ind w:left="0" w:right="0"/>
              <w:contextualSpacing/>
              <w:jc w:val="center"/>
              <w:rPr>
                <w:rFonts w:hint="eastAsia" w:ascii="方正仿宋_GBK" w:hAnsi="方正仿宋_GBK" w:eastAsia="方正仿宋_GBK" w:cs="方正仿宋_GBK"/>
                <w:b/>
                <w:bCs/>
                <w:color w:val="auto"/>
                <w:kern w:val="0"/>
                <w:sz w:val="24"/>
                <w:highlight w:val="none"/>
              </w:rPr>
            </w:pPr>
            <w:r>
              <w:rPr>
                <w:rFonts w:hint="eastAsia" w:ascii="方正仿宋_GBK" w:hAnsi="方正仿宋_GBK" w:eastAsia="方正仿宋_GBK" w:cs="方正仿宋_GBK"/>
                <w:b/>
                <w:bCs/>
                <w:color w:val="auto"/>
                <w:kern w:val="0"/>
                <w:sz w:val="24"/>
                <w:highlight w:val="none"/>
              </w:rPr>
              <w:t>信息传输业</w:t>
            </w:r>
          </w:p>
        </w:tc>
        <w:tc>
          <w:tcPr>
            <w:tcW w:w="1660" w:type="dxa"/>
            <w:tcBorders>
              <w:top w:val="nil"/>
              <w:left w:val="nil"/>
              <w:bottom w:val="single" w:color="auto" w:sz="4" w:space="0"/>
              <w:right w:val="single" w:color="auto" w:sz="4" w:space="0"/>
            </w:tcBorders>
            <w:noWrap w:val="0"/>
            <w:vAlign w:val="center"/>
          </w:tcPr>
          <w:p w14:paraId="5A7C042C">
            <w:pPr>
              <w:keepNext w:val="0"/>
              <w:keepLines w:val="0"/>
              <w:widowControl/>
              <w:suppressLineNumbers w:val="0"/>
              <w:snapToGrid w:val="0"/>
              <w:spacing w:before="0" w:beforeAutospacing="0" w:after="0" w:afterAutospacing="0"/>
              <w:ind w:left="0" w:right="0"/>
              <w:contextualSpacing/>
              <w:jc w:val="center"/>
              <w:rPr>
                <w:rFonts w:hint="eastAsia" w:ascii="方正仿宋_GBK" w:hAnsi="方正仿宋_GBK" w:eastAsia="方正仿宋_GBK" w:cs="方正仿宋_GBK"/>
                <w:color w:val="auto"/>
                <w:kern w:val="0"/>
                <w:sz w:val="24"/>
                <w:highlight w:val="none"/>
              </w:rPr>
            </w:pPr>
            <w:r>
              <w:rPr>
                <w:rFonts w:hint="eastAsia" w:ascii="方正仿宋_GBK" w:hAnsi="方正仿宋_GBK" w:eastAsia="方正仿宋_GBK" w:cs="方正仿宋_GBK"/>
                <w:color w:val="auto"/>
                <w:kern w:val="0"/>
                <w:sz w:val="24"/>
                <w:highlight w:val="none"/>
              </w:rPr>
              <w:t>从业人员（X）</w:t>
            </w:r>
          </w:p>
        </w:tc>
        <w:tc>
          <w:tcPr>
            <w:tcW w:w="1466" w:type="dxa"/>
            <w:tcBorders>
              <w:top w:val="nil"/>
              <w:left w:val="nil"/>
              <w:bottom w:val="single" w:color="auto" w:sz="4" w:space="0"/>
              <w:right w:val="single" w:color="auto" w:sz="4" w:space="0"/>
            </w:tcBorders>
            <w:noWrap w:val="0"/>
            <w:vAlign w:val="center"/>
          </w:tcPr>
          <w:p w14:paraId="3366A387">
            <w:pPr>
              <w:keepNext w:val="0"/>
              <w:keepLines w:val="0"/>
              <w:widowControl/>
              <w:suppressLineNumbers w:val="0"/>
              <w:snapToGrid w:val="0"/>
              <w:spacing w:before="0" w:beforeAutospacing="0" w:after="0" w:afterAutospacing="0"/>
              <w:ind w:left="0" w:right="0"/>
              <w:contextualSpacing/>
              <w:jc w:val="center"/>
              <w:rPr>
                <w:rFonts w:hint="eastAsia" w:ascii="方正仿宋_GBK" w:hAnsi="方正仿宋_GBK" w:eastAsia="方正仿宋_GBK" w:cs="方正仿宋_GBK"/>
                <w:color w:val="auto"/>
                <w:kern w:val="0"/>
                <w:sz w:val="24"/>
                <w:highlight w:val="none"/>
              </w:rPr>
            </w:pPr>
            <w:r>
              <w:rPr>
                <w:rFonts w:hint="eastAsia" w:ascii="方正仿宋_GBK" w:hAnsi="方正仿宋_GBK" w:eastAsia="方正仿宋_GBK" w:cs="方正仿宋_GBK"/>
                <w:color w:val="auto"/>
                <w:kern w:val="0"/>
                <w:sz w:val="24"/>
                <w:highlight w:val="none"/>
              </w:rPr>
              <w:t>人</w:t>
            </w:r>
          </w:p>
        </w:tc>
        <w:tc>
          <w:tcPr>
            <w:tcW w:w="1903" w:type="dxa"/>
            <w:tcBorders>
              <w:top w:val="nil"/>
              <w:left w:val="nil"/>
              <w:bottom w:val="single" w:color="auto" w:sz="4" w:space="0"/>
              <w:right w:val="single" w:color="auto" w:sz="4" w:space="0"/>
            </w:tcBorders>
            <w:noWrap w:val="0"/>
            <w:vAlign w:val="center"/>
          </w:tcPr>
          <w:p w14:paraId="0C95FCF9">
            <w:pPr>
              <w:keepNext w:val="0"/>
              <w:keepLines w:val="0"/>
              <w:widowControl/>
              <w:suppressLineNumbers w:val="0"/>
              <w:snapToGrid w:val="0"/>
              <w:spacing w:before="0" w:beforeAutospacing="0" w:after="0" w:afterAutospacing="0"/>
              <w:ind w:left="0" w:right="0"/>
              <w:contextualSpacing/>
              <w:jc w:val="center"/>
              <w:rPr>
                <w:rFonts w:hint="eastAsia" w:ascii="方正仿宋_GBK" w:hAnsi="方正仿宋_GBK" w:eastAsia="方正仿宋_GBK" w:cs="方正仿宋_GBK"/>
                <w:color w:val="auto"/>
                <w:kern w:val="0"/>
                <w:sz w:val="24"/>
                <w:highlight w:val="none"/>
              </w:rPr>
            </w:pPr>
            <w:r>
              <w:rPr>
                <w:rFonts w:hint="eastAsia" w:ascii="方正仿宋_GBK" w:hAnsi="方正仿宋_GBK" w:eastAsia="方正仿宋_GBK" w:cs="方正仿宋_GBK"/>
                <w:color w:val="auto"/>
                <w:kern w:val="0"/>
                <w:sz w:val="24"/>
                <w:highlight w:val="none"/>
              </w:rPr>
              <w:t>100≤X＜2000</w:t>
            </w:r>
          </w:p>
        </w:tc>
        <w:tc>
          <w:tcPr>
            <w:tcW w:w="1692" w:type="dxa"/>
            <w:tcBorders>
              <w:top w:val="nil"/>
              <w:left w:val="nil"/>
              <w:bottom w:val="single" w:color="auto" w:sz="4" w:space="0"/>
              <w:right w:val="single" w:color="auto" w:sz="4" w:space="0"/>
            </w:tcBorders>
            <w:noWrap w:val="0"/>
            <w:vAlign w:val="center"/>
          </w:tcPr>
          <w:p w14:paraId="244A2360">
            <w:pPr>
              <w:keepNext w:val="0"/>
              <w:keepLines w:val="0"/>
              <w:widowControl/>
              <w:suppressLineNumbers w:val="0"/>
              <w:snapToGrid w:val="0"/>
              <w:spacing w:before="0" w:beforeAutospacing="0" w:after="0" w:afterAutospacing="0"/>
              <w:ind w:left="0" w:right="0"/>
              <w:contextualSpacing/>
              <w:jc w:val="center"/>
              <w:rPr>
                <w:rFonts w:hint="eastAsia" w:ascii="方正仿宋_GBK" w:hAnsi="方正仿宋_GBK" w:eastAsia="方正仿宋_GBK" w:cs="方正仿宋_GBK"/>
                <w:color w:val="auto"/>
                <w:kern w:val="0"/>
                <w:sz w:val="24"/>
                <w:highlight w:val="none"/>
              </w:rPr>
            </w:pPr>
            <w:r>
              <w:rPr>
                <w:rFonts w:hint="eastAsia" w:ascii="方正仿宋_GBK" w:hAnsi="方正仿宋_GBK" w:eastAsia="方正仿宋_GBK" w:cs="方正仿宋_GBK"/>
                <w:color w:val="auto"/>
                <w:kern w:val="0"/>
                <w:sz w:val="24"/>
                <w:highlight w:val="none"/>
              </w:rPr>
              <w:t>10≤X＜100</w:t>
            </w:r>
          </w:p>
        </w:tc>
        <w:tc>
          <w:tcPr>
            <w:tcW w:w="1087" w:type="dxa"/>
            <w:tcBorders>
              <w:top w:val="nil"/>
              <w:left w:val="nil"/>
              <w:bottom w:val="single" w:color="auto" w:sz="4" w:space="0"/>
              <w:right w:val="single" w:color="auto" w:sz="4" w:space="0"/>
            </w:tcBorders>
            <w:noWrap w:val="0"/>
            <w:vAlign w:val="center"/>
          </w:tcPr>
          <w:p w14:paraId="079F8587">
            <w:pPr>
              <w:keepNext w:val="0"/>
              <w:keepLines w:val="0"/>
              <w:widowControl/>
              <w:suppressLineNumbers w:val="0"/>
              <w:snapToGrid w:val="0"/>
              <w:spacing w:before="0" w:beforeAutospacing="0" w:after="0" w:afterAutospacing="0"/>
              <w:ind w:left="0" w:right="0"/>
              <w:contextualSpacing/>
              <w:jc w:val="center"/>
              <w:rPr>
                <w:rFonts w:hint="eastAsia" w:ascii="方正仿宋_GBK" w:hAnsi="方正仿宋_GBK" w:eastAsia="方正仿宋_GBK" w:cs="方正仿宋_GBK"/>
                <w:color w:val="auto"/>
                <w:kern w:val="0"/>
                <w:sz w:val="24"/>
                <w:highlight w:val="none"/>
              </w:rPr>
            </w:pPr>
            <w:r>
              <w:rPr>
                <w:rFonts w:hint="eastAsia" w:ascii="方正仿宋_GBK" w:hAnsi="方正仿宋_GBK" w:eastAsia="方正仿宋_GBK" w:cs="方正仿宋_GBK"/>
                <w:color w:val="auto"/>
                <w:kern w:val="0"/>
                <w:sz w:val="24"/>
                <w:highlight w:val="none"/>
              </w:rPr>
              <w:t>X＜10</w:t>
            </w:r>
          </w:p>
        </w:tc>
      </w:tr>
      <w:tr w14:paraId="6404C233">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14:paraId="7E25C2D1">
            <w:pPr>
              <w:keepNext w:val="0"/>
              <w:keepLines w:val="0"/>
              <w:widowControl/>
              <w:suppressLineNumbers w:val="0"/>
              <w:snapToGrid w:val="0"/>
              <w:spacing w:before="0" w:beforeAutospacing="0" w:after="0" w:afterAutospacing="0"/>
              <w:ind w:left="0" w:right="0"/>
              <w:contextualSpacing/>
              <w:jc w:val="center"/>
              <w:rPr>
                <w:rFonts w:hint="eastAsia" w:ascii="方正仿宋_GBK" w:hAnsi="方正仿宋_GBK" w:eastAsia="方正仿宋_GBK" w:cs="方正仿宋_GBK"/>
                <w:b/>
                <w:bCs/>
                <w:color w:val="auto"/>
                <w:kern w:val="0"/>
                <w:sz w:val="24"/>
                <w:highlight w:val="none"/>
              </w:rPr>
            </w:pPr>
          </w:p>
        </w:tc>
        <w:tc>
          <w:tcPr>
            <w:tcW w:w="1660" w:type="dxa"/>
            <w:tcBorders>
              <w:top w:val="nil"/>
              <w:left w:val="nil"/>
              <w:bottom w:val="single" w:color="auto" w:sz="4" w:space="0"/>
              <w:right w:val="single" w:color="auto" w:sz="4" w:space="0"/>
            </w:tcBorders>
            <w:noWrap w:val="0"/>
            <w:vAlign w:val="center"/>
          </w:tcPr>
          <w:p w14:paraId="604FF235">
            <w:pPr>
              <w:keepNext w:val="0"/>
              <w:keepLines w:val="0"/>
              <w:widowControl/>
              <w:suppressLineNumbers w:val="0"/>
              <w:snapToGrid w:val="0"/>
              <w:spacing w:before="0" w:beforeAutospacing="0" w:after="0" w:afterAutospacing="0"/>
              <w:ind w:left="0" w:right="0"/>
              <w:contextualSpacing/>
              <w:jc w:val="center"/>
              <w:rPr>
                <w:rFonts w:hint="eastAsia" w:ascii="方正仿宋_GBK" w:hAnsi="方正仿宋_GBK" w:eastAsia="方正仿宋_GBK" w:cs="方正仿宋_GBK"/>
                <w:color w:val="auto"/>
                <w:kern w:val="0"/>
                <w:sz w:val="24"/>
                <w:highlight w:val="none"/>
              </w:rPr>
            </w:pPr>
            <w:r>
              <w:rPr>
                <w:rFonts w:hint="eastAsia" w:ascii="方正仿宋_GBK" w:hAnsi="方正仿宋_GBK" w:eastAsia="方正仿宋_GBK" w:cs="方正仿宋_GBK"/>
                <w:color w:val="auto"/>
                <w:kern w:val="0"/>
                <w:sz w:val="24"/>
                <w:highlight w:val="none"/>
              </w:rPr>
              <w:t>营业收入（Y）</w:t>
            </w:r>
          </w:p>
        </w:tc>
        <w:tc>
          <w:tcPr>
            <w:tcW w:w="1466" w:type="dxa"/>
            <w:tcBorders>
              <w:top w:val="nil"/>
              <w:left w:val="nil"/>
              <w:bottom w:val="single" w:color="auto" w:sz="4" w:space="0"/>
              <w:right w:val="single" w:color="auto" w:sz="4" w:space="0"/>
            </w:tcBorders>
            <w:noWrap w:val="0"/>
            <w:vAlign w:val="center"/>
          </w:tcPr>
          <w:p w14:paraId="21B04391">
            <w:pPr>
              <w:keepNext w:val="0"/>
              <w:keepLines w:val="0"/>
              <w:widowControl/>
              <w:suppressLineNumbers w:val="0"/>
              <w:snapToGrid w:val="0"/>
              <w:spacing w:before="0" w:beforeAutospacing="0" w:after="0" w:afterAutospacing="0"/>
              <w:ind w:left="0" w:right="0"/>
              <w:contextualSpacing/>
              <w:jc w:val="center"/>
              <w:rPr>
                <w:rFonts w:hint="eastAsia" w:ascii="方正仿宋_GBK" w:hAnsi="方正仿宋_GBK" w:eastAsia="方正仿宋_GBK" w:cs="方正仿宋_GBK"/>
                <w:color w:val="auto"/>
                <w:kern w:val="0"/>
                <w:sz w:val="24"/>
                <w:highlight w:val="none"/>
              </w:rPr>
            </w:pPr>
            <w:r>
              <w:rPr>
                <w:rFonts w:hint="eastAsia" w:ascii="方正仿宋_GBK" w:hAnsi="方正仿宋_GBK" w:eastAsia="方正仿宋_GBK" w:cs="方正仿宋_GBK"/>
                <w:color w:val="auto"/>
                <w:kern w:val="0"/>
                <w:sz w:val="24"/>
                <w:highlight w:val="none"/>
              </w:rPr>
              <w:t>万元</w:t>
            </w:r>
          </w:p>
        </w:tc>
        <w:tc>
          <w:tcPr>
            <w:tcW w:w="1903" w:type="dxa"/>
            <w:tcBorders>
              <w:top w:val="nil"/>
              <w:left w:val="nil"/>
              <w:bottom w:val="single" w:color="auto" w:sz="4" w:space="0"/>
              <w:right w:val="single" w:color="auto" w:sz="4" w:space="0"/>
            </w:tcBorders>
            <w:noWrap w:val="0"/>
            <w:vAlign w:val="center"/>
          </w:tcPr>
          <w:p w14:paraId="3E2CD9A9">
            <w:pPr>
              <w:keepNext w:val="0"/>
              <w:keepLines w:val="0"/>
              <w:widowControl/>
              <w:suppressLineNumbers w:val="0"/>
              <w:snapToGrid w:val="0"/>
              <w:spacing w:before="0" w:beforeAutospacing="0" w:after="0" w:afterAutospacing="0"/>
              <w:ind w:left="0" w:right="0"/>
              <w:contextualSpacing/>
              <w:jc w:val="center"/>
              <w:rPr>
                <w:rFonts w:hint="eastAsia" w:ascii="方正仿宋_GBK" w:hAnsi="方正仿宋_GBK" w:eastAsia="方正仿宋_GBK" w:cs="方正仿宋_GBK"/>
                <w:color w:val="auto"/>
                <w:kern w:val="0"/>
                <w:sz w:val="24"/>
                <w:highlight w:val="none"/>
              </w:rPr>
            </w:pPr>
            <w:r>
              <w:rPr>
                <w:rFonts w:hint="eastAsia" w:ascii="方正仿宋_GBK" w:hAnsi="方正仿宋_GBK" w:eastAsia="方正仿宋_GBK" w:cs="方正仿宋_GBK"/>
                <w:color w:val="auto"/>
                <w:kern w:val="0"/>
                <w:sz w:val="24"/>
                <w:highlight w:val="none"/>
              </w:rPr>
              <w:t>1000≤Y＜100000</w:t>
            </w:r>
          </w:p>
        </w:tc>
        <w:tc>
          <w:tcPr>
            <w:tcW w:w="1692" w:type="dxa"/>
            <w:tcBorders>
              <w:top w:val="nil"/>
              <w:left w:val="nil"/>
              <w:bottom w:val="single" w:color="auto" w:sz="4" w:space="0"/>
              <w:right w:val="single" w:color="auto" w:sz="4" w:space="0"/>
            </w:tcBorders>
            <w:noWrap w:val="0"/>
            <w:vAlign w:val="center"/>
          </w:tcPr>
          <w:p w14:paraId="11E46E9D">
            <w:pPr>
              <w:keepNext w:val="0"/>
              <w:keepLines w:val="0"/>
              <w:widowControl/>
              <w:suppressLineNumbers w:val="0"/>
              <w:snapToGrid w:val="0"/>
              <w:spacing w:before="0" w:beforeAutospacing="0" w:after="0" w:afterAutospacing="0"/>
              <w:ind w:left="0" w:right="0"/>
              <w:contextualSpacing/>
              <w:jc w:val="center"/>
              <w:rPr>
                <w:rFonts w:hint="eastAsia" w:ascii="方正仿宋_GBK" w:hAnsi="方正仿宋_GBK" w:eastAsia="方正仿宋_GBK" w:cs="方正仿宋_GBK"/>
                <w:color w:val="auto"/>
                <w:kern w:val="0"/>
                <w:sz w:val="24"/>
                <w:highlight w:val="none"/>
              </w:rPr>
            </w:pPr>
            <w:r>
              <w:rPr>
                <w:rFonts w:hint="eastAsia" w:ascii="方正仿宋_GBK" w:hAnsi="方正仿宋_GBK" w:eastAsia="方正仿宋_GBK" w:cs="方正仿宋_GBK"/>
                <w:color w:val="auto"/>
                <w:kern w:val="0"/>
                <w:sz w:val="24"/>
                <w:highlight w:val="none"/>
              </w:rPr>
              <w:t>100≤Y＜1000</w:t>
            </w:r>
          </w:p>
        </w:tc>
        <w:tc>
          <w:tcPr>
            <w:tcW w:w="1087" w:type="dxa"/>
            <w:tcBorders>
              <w:top w:val="nil"/>
              <w:left w:val="nil"/>
              <w:bottom w:val="single" w:color="auto" w:sz="4" w:space="0"/>
              <w:right w:val="single" w:color="auto" w:sz="4" w:space="0"/>
            </w:tcBorders>
            <w:noWrap w:val="0"/>
            <w:vAlign w:val="center"/>
          </w:tcPr>
          <w:p w14:paraId="4017C123">
            <w:pPr>
              <w:keepNext w:val="0"/>
              <w:keepLines w:val="0"/>
              <w:widowControl/>
              <w:suppressLineNumbers w:val="0"/>
              <w:snapToGrid w:val="0"/>
              <w:spacing w:before="0" w:beforeAutospacing="0" w:after="0" w:afterAutospacing="0"/>
              <w:ind w:left="0" w:right="0"/>
              <w:contextualSpacing/>
              <w:jc w:val="center"/>
              <w:rPr>
                <w:rFonts w:hint="eastAsia" w:ascii="方正仿宋_GBK" w:hAnsi="方正仿宋_GBK" w:eastAsia="方正仿宋_GBK" w:cs="方正仿宋_GBK"/>
                <w:color w:val="auto"/>
                <w:kern w:val="0"/>
                <w:sz w:val="24"/>
                <w:highlight w:val="none"/>
              </w:rPr>
            </w:pPr>
            <w:r>
              <w:rPr>
                <w:rFonts w:hint="eastAsia" w:ascii="方正仿宋_GBK" w:hAnsi="方正仿宋_GBK" w:eastAsia="方正仿宋_GBK" w:cs="方正仿宋_GBK"/>
                <w:color w:val="auto"/>
                <w:kern w:val="0"/>
                <w:sz w:val="24"/>
                <w:highlight w:val="none"/>
              </w:rPr>
              <w:t>Y＜100</w:t>
            </w:r>
          </w:p>
        </w:tc>
      </w:tr>
      <w:tr w14:paraId="3F0A40A6">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14:paraId="2E091560">
            <w:pPr>
              <w:keepNext w:val="0"/>
              <w:keepLines w:val="0"/>
              <w:widowControl/>
              <w:suppressLineNumbers w:val="0"/>
              <w:snapToGrid w:val="0"/>
              <w:spacing w:before="0" w:beforeAutospacing="0" w:after="0" w:afterAutospacing="0"/>
              <w:ind w:left="0" w:right="0"/>
              <w:contextualSpacing/>
              <w:jc w:val="center"/>
              <w:rPr>
                <w:rFonts w:hint="eastAsia" w:ascii="方正仿宋_GBK" w:hAnsi="方正仿宋_GBK" w:eastAsia="方正仿宋_GBK" w:cs="方正仿宋_GBK"/>
                <w:b/>
                <w:bCs/>
                <w:color w:val="auto"/>
                <w:kern w:val="0"/>
                <w:sz w:val="24"/>
                <w:highlight w:val="none"/>
              </w:rPr>
            </w:pPr>
            <w:r>
              <w:rPr>
                <w:rFonts w:hint="eastAsia" w:ascii="方正仿宋_GBK" w:hAnsi="方正仿宋_GBK" w:eastAsia="方正仿宋_GBK" w:cs="方正仿宋_GBK"/>
                <w:b/>
                <w:bCs/>
                <w:color w:val="auto"/>
                <w:kern w:val="0"/>
                <w:sz w:val="24"/>
                <w:highlight w:val="none"/>
              </w:rPr>
              <w:t>软件和信息技术服务业</w:t>
            </w:r>
          </w:p>
        </w:tc>
        <w:tc>
          <w:tcPr>
            <w:tcW w:w="1660" w:type="dxa"/>
            <w:tcBorders>
              <w:top w:val="nil"/>
              <w:left w:val="nil"/>
              <w:bottom w:val="single" w:color="auto" w:sz="4" w:space="0"/>
              <w:right w:val="single" w:color="auto" w:sz="4" w:space="0"/>
            </w:tcBorders>
            <w:noWrap w:val="0"/>
            <w:vAlign w:val="center"/>
          </w:tcPr>
          <w:p w14:paraId="750AC72B">
            <w:pPr>
              <w:keepNext w:val="0"/>
              <w:keepLines w:val="0"/>
              <w:widowControl/>
              <w:suppressLineNumbers w:val="0"/>
              <w:snapToGrid w:val="0"/>
              <w:spacing w:before="0" w:beforeAutospacing="0" w:after="0" w:afterAutospacing="0"/>
              <w:ind w:left="0" w:right="0"/>
              <w:contextualSpacing/>
              <w:jc w:val="center"/>
              <w:rPr>
                <w:rFonts w:hint="eastAsia" w:ascii="方正仿宋_GBK" w:hAnsi="方正仿宋_GBK" w:eastAsia="方正仿宋_GBK" w:cs="方正仿宋_GBK"/>
                <w:color w:val="auto"/>
                <w:kern w:val="0"/>
                <w:sz w:val="24"/>
                <w:highlight w:val="none"/>
              </w:rPr>
            </w:pPr>
            <w:r>
              <w:rPr>
                <w:rFonts w:hint="eastAsia" w:ascii="方正仿宋_GBK" w:hAnsi="方正仿宋_GBK" w:eastAsia="方正仿宋_GBK" w:cs="方正仿宋_GBK"/>
                <w:color w:val="auto"/>
                <w:kern w:val="0"/>
                <w:sz w:val="24"/>
                <w:highlight w:val="none"/>
              </w:rPr>
              <w:t>从业人员（X）</w:t>
            </w:r>
          </w:p>
        </w:tc>
        <w:tc>
          <w:tcPr>
            <w:tcW w:w="1466" w:type="dxa"/>
            <w:tcBorders>
              <w:top w:val="nil"/>
              <w:left w:val="nil"/>
              <w:bottom w:val="single" w:color="auto" w:sz="4" w:space="0"/>
              <w:right w:val="single" w:color="auto" w:sz="4" w:space="0"/>
            </w:tcBorders>
            <w:noWrap w:val="0"/>
            <w:vAlign w:val="center"/>
          </w:tcPr>
          <w:p w14:paraId="5755A619">
            <w:pPr>
              <w:keepNext w:val="0"/>
              <w:keepLines w:val="0"/>
              <w:widowControl/>
              <w:suppressLineNumbers w:val="0"/>
              <w:snapToGrid w:val="0"/>
              <w:spacing w:before="0" w:beforeAutospacing="0" w:after="0" w:afterAutospacing="0"/>
              <w:ind w:left="0" w:right="0"/>
              <w:contextualSpacing/>
              <w:jc w:val="center"/>
              <w:rPr>
                <w:rFonts w:hint="eastAsia" w:ascii="方正仿宋_GBK" w:hAnsi="方正仿宋_GBK" w:eastAsia="方正仿宋_GBK" w:cs="方正仿宋_GBK"/>
                <w:color w:val="auto"/>
                <w:kern w:val="0"/>
                <w:sz w:val="24"/>
                <w:highlight w:val="none"/>
              </w:rPr>
            </w:pPr>
            <w:r>
              <w:rPr>
                <w:rFonts w:hint="eastAsia" w:ascii="方正仿宋_GBK" w:hAnsi="方正仿宋_GBK" w:eastAsia="方正仿宋_GBK" w:cs="方正仿宋_GBK"/>
                <w:color w:val="auto"/>
                <w:kern w:val="0"/>
                <w:sz w:val="24"/>
                <w:highlight w:val="none"/>
              </w:rPr>
              <w:t>人</w:t>
            </w:r>
          </w:p>
        </w:tc>
        <w:tc>
          <w:tcPr>
            <w:tcW w:w="1903" w:type="dxa"/>
            <w:tcBorders>
              <w:top w:val="nil"/>
              <w:left w:val="nil"/>
              <w:bottom w:val="single" w:color="auto" w:sz="4" w:space="0"/>
              <w:right w:val="single" w:color="auto" w:sz="4" w:space="0"/>
            </w:tcBorders>
            <w:noWrap w:val="0"/>
            <w:vAlign w:val="center"/>
          </w:tcPr>
          <w:p w14:paraId="584827B6">
            <w:pPr>
              <w:keepNext w:val="0"/>
              <w:keepLines w:val="0"/>
              <w:widowControl/>
              <w:suppressLineNumbers w:val="0"/>
              <w:snapToGrid w:val="0"/>
              <w:spacing w:before="0" w:beforeAutospacing="0" w:after="0" w:afterAutospacing="0"/>
              <w:ind w:left="0" w:right="0"/>
              <w:contextualSpacing/>
              <w:jc w:val="center"/>
              <w:rPr>
                <w:rFonts w:hint="eastAsia" w:ascii="方正仿宋_GBK" w:hAnsi="方正仿宋_GBK" w:eastAsia="方正仿宋_GBK" w:cs="方正仿宋_GBK"/>
                <w:color w:val="auto"/>
                <w:kern w:val="0"/>
                <w:sz w:val="24"/>
                <w:highlight w:val="none"/>
              </w:rPr>
            </w:pPr>
            <w:r>
              <w:rPr>
                <w:rFonts w:hint="eastAsia" w:ascii="方正仿宋_GBK" w:hAnsi="方正仿宋_GBK" w:eastAsia="方正仿宋_GBK" w:cs="方正仿宋_GBK"/>
                <w:color w:val="auto"/>
                <w:kern w:val="0"/>
                <w:sz w:val="24"/>
                <w:highlight w:val="none"/>
              </w:rPr>
              <w:t>100≤X＜300</w:t>
            </w:r>
          </w:p>
        </w:tc>
        <w:tc>
          <w:tcPr>
            <w:tcW w:w="1692" w:type="dxa"/>
            <w:tcBorders>
              <w:top w:val="nil"/>
              <w:left w:val="nil"/>
              <w:bottom w:val="single" w:color="auto" w:sz="4" w:space="0"/>
              <w:right w:val="single" w:color="auto" w:sz="4" w:space="0"/>
            </w:tcBorders>
            <w:noWrap w:val="0"/>
            <w:vAlign w:val="center"/>
          </w:tcPr>
          <w:p w14:paraId="6A8BF802">
            <w:pPr>
              <w:keepNext w:val="0"/>
              <w:keepLines w:val="0"/>
              <w:widowControl/>
              <w:suppressLineNumbers w:val="0"/>
              <w:snapToGrid w:val="0"/>
              <w:spacing w:before="0" w:beforeAutospacing="0" w:after="0" w:afterAutospacing="0"/>
              <w:ind w:left="0" w:right="0"/>
              <w:contextualSpacing/>
              <w:jc w:val="center"/>
              <w:rPr>
                <w:rFonts w:hint="eastAsia" w:ascii="方正仿宋_GBK" w:hAnsi="方正仿宋_GBK" w:eastAsia="方正仿宋_GBK" w:cs="方正仿宋_GBK"/>
                <w:color w:val="auto"/>
                <w:kern w:val="0"/>
                <w:sz w:val="24"/>
                <w:highlight w:val="none"/>
              </w:rPr>
            </w:pPr>
            <w:r>
              <w:rPr>
                <w:rFonts w:hint="eastAsia" w:ascii="方正仿宋_GBK" w:hAnsi="方正仿宋_GBK" w:eastAsia="方正仿宋_GBK" w:cs="方正仿宋_GBK"/>
                <w:color w:val="auto"/>
                <w:kern w:val="0"/>
                <w:sz w:val="24"/>
                <w:highlight w:val="none"/>
              </w:rPr>
              <w:t>10≤X＜100</w:t>
            </w:r>
          </w:p>
        </w:tc>
        <w:tc>
          <w:tcPr>
            <w:tcW w:w="1087" w:type="dxa"/>
            <w:tcBorders>
              <w:top w:val="nil"/>
              <w:left w:val="nil"/>
              <w:bottom w:val="single" w:color="auto" w:sz="4" w:space="0"/>
              <w:right w:val="single" w:color="auto" w:sz="4" w:space="0"/>
            </w:tcBorders>
            <w:noWrap w:val="0"/>
            <w:vAlign w:val="center"/>
          </w:tcPr>
          <w:p w14:paraId="67DFD073">
            <w:pPr>
              <w:keepNext w:val="0"/>
              <w:keepLines w:val="0"/>
              <w:widowControl/>
              <w:suppressLineNumbers w:val="0"/>
              <w:snapToGrid w:val="0"/>
              <w:spacing w:before="0" w:beforeAutospacing="0" w:after="0" w:afterAutospacing="0"/>
              <w:ind w:left="0" w:right="0"/>
              <w:contextualSpacing/>
              <w:jc w:val="center"/>
              <w:rPr>
                <w:rFonts w:hint="eastAsia" w:ascii="方正仿宋_GBK" w:hAnsi="方正仿宋_GBK" w:eastAsia="方正仿宋_GBK" w:cs="方正仿宋_GBK"/>
                <w:color w:val="auto"/>
                <w:kern w:val="0"/>
                <w:sz w:val="24"/>
                <w:highlight w:val="none"/>
              </w:rPr>
            </w:pPr>
            <w:r>
              <w:rPr>
                <w:rFonts w:hint="eastAsia" w:ascii="方正仿宋_GBK" w:hAnsi="方正仿宋_GBK" w:eastAsia="方正仿宋_GBK" w:cs="方正仿宋_GBK"/>
                <w:color w:val="auto"/>
                <w:kern w:val="0"/>
                <w:sz w:val="24"/>
                <w:highlight w:val="none"/>
              </w:rPr>
              <w:t>X＜10</w:t>
            </w:r>
          </w:p>
        </w:tc>
      </w:tr>
      <w:tr w14:paraId="0F066FE6">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14:paraId="5ACAC959">
            <w:pPr>
              <w:keepNext w:val="0"/>
              <w:keepLines w:val="0"/>
              <w:widowControl/>
              <w:suppressLineNumbers w:val="0"/>
              <w:snapToGrid w:val="0"/>
              <w:spacing w:before="0" w:beforeAutospacing="0" w:after="0" w:afterAutospacing="0"/>
              <w:ind w:left="0" w:right="0"/>
              <w:contextualSpacing/>
              <w:jc w:val="center"/>
              <w:rPr>
                <w:rFonts w:hint="eastAsia" w:ascii="方正仿宋_GBK" w:hAnsi="方正仿宋_GBK" w:eastAsia="方正仿宋_GBK" w:cs="方正仿宋_GBK"/>
                <w:b/>
                <w:bCs/>
                <w:color w:val="auto"/>
                <w:kern w:val="0"/>
                <w:sz w:val="24"/>
                <w:highlight w:val="none"/>
              </w:rPr>
            </w:pPr>
          </w:p>
        </w:tc>
        <w:tc>
          <w:tcPr>
            <w:tcW w:w="1660" w:type="dxa"/>
            <w:tcBorders>
              <w:top w:val="nil"/>
              <w:left w:val="nil"/>
              <w:bottom w:val="single" w:color="auto" w:sz="4" w:space="0"/>
              <w:right w:val="single" w:color="auto" w:sz="4" w:space="0"/>
            </w:tcBorders>
            <w:noWrap w:val="0"/>
            <w:vAlign w:val="center"/>
          </w:tcPr>
          <w:p w14:paraId="33C45A5C">
            <w:pPr>
              <w:keepNext w:val="0"/>
              <w:keepLines w:val="0"/>
              <w:widowControl/>
              <w:suppressLineNumbers w:val="0"/>
              <w:snapToGrid w:val="0"/>
              <w:spacing w:before="0" w:beforeAutospacing="0" w:after="0" w:afterAutospacing="0"/>
              <w:ind w:left="0" w:right="0"/>
              <w:contextualSpacing/>
              <w:jc w:val="center"/>
              <w:rPr>
                <w:rFonts w:hint="eastAsia" w:ascii="方正仿宋_GBK" w:hAnsi="方正仿宋_GBK" w:eastAsia="方正仿宋_GBK" w:cs="方正仿宋_GBK"/>
                <w:color w:val="auto"/>
                <w:kern w:val="0"/>
                <w:sz w:val="24"/>
                <w:highlight w:val="none"/>
              </w:rPr>
            </w:pPr>
            <w:r>
              <w:rPr>
                <w:rFonts w:hint="eastAsia" w:ascii="方正仿宋_GBK" w:hAnsi="方正仿宋_GBK" w:eastAsia="方正仿宋_GBK" w:cs="方正仿宋_GBK"/>
                <w:color w:val="auto"/>
                <w:kern w:val="0"/>
                <w:sz w:val="24"/>
                <w:highlight w:val="none"/>
              </w:rPr>
              <w:t>营业收入（Y）</w:t>
            </w:r>
          </w:p>
        </w:tc>
        <w:tc>
          <w:tcPr>
            <w:tcW w:w="1466" w:type="dxa"/>
            <w:tcBorders>
              <w:top w:val="nil"/>
              <w:left w:val="nil"/>
              <w:bottom w:val="single" w:color="auto" w:sz="4" w:space="0"/>
              <w:right w:val="single" w:color="auto" w:sz="4" w:space="0"/>
            </w:tcBorders>
            <w:noWrap w:val="0"/>
            <w:vAlign w:val="center"/>
          </w:tcPr>
          <w:p w14:paraId="7130362E">
            <w:pPr>
              <w:keepNext w:val="0"/>
              <w:keepLines w:val="0"/>
              <w:widowControl/>
              <w:suppressLineNumbers w:val="0"/>
              <w:snapToGrid w:val="0"/>
              <w:spacing w:before="0" w:beforeAutospacing="0" w:after="0" w:afterAutospacing="0"/>
              <w:ind w:left="0" w:right="0"/>
              <w:contextualSpacing/>
              <w:jc w:val="center"/>
              <w:rPr>
                <w:rFonts w:hint="eastAsia" w:ascii="方正仿宋_GBK" w:hAnsi="方正仿宋_GBK" w:eastAsia="方正仿宋_GBK" w:cs="方正仿宋_GBK"/>
                <w:color w:val="auto"/>
                <w:kern w:val="0"/>
                <w:sz w:val="24"/>
                <w:highlight w:val="none"/>
              </w:rPr>
            </w:pPr>
            <w:r>
              <w:rPr>
                <w:rFonts w:hint="eastAsia" w:ascii="方正仿宋_GBK" w:hAnsi="方正仿宋_GBK" w:eastAsia="方正仿宋_GBK" w:cs="方正仿宋_GBK"/>
                <w:color w:val="auto"/>
                <w:kern w:val="0"/>
                <w:sz w:val="24"/>
                <w:highlight w:val="none"/>
              </w:rPr>
              <w:t>万元</w:t>
            </w:r>
          </w:p>
        </w:tc>
        <w:tc>
          <w:tcPr>
            <w:tcW w:w="1903" w:type="dxa"/>
            <w:tcBorders>
              <w:top w:val="nil"/>
              <w:left w:val="nil"/>
              <w:bottom w:val="single" w:color="auto" w:sz="4" w:space="0"/>
              <w:right w:val="single" w:color="auto" w:sz="4" w:space="0"/>
            </w:tcBorders>
            <w:noWrap w:val="0"/>
            <w:vAlign w:val="center"/>
          </w:tcPr>
          <w:p w14:paraId="7B02BFF8">
            <w:pPr>
              <w:keepNext w:val="0"/>
              <w:keepLines w:val="0"/>
              <w:widowControl/>
              <w:suppressLineNumbers w:val="0"/>
              <w:snapToGrid w:val="0"/>
              <w:spacing w:before="0" w:beforeAutospacing="0" w:after="0" w:afterAutospacing="0"/>
              <w:ind w:left="0" w:right="0"/>
              <w:contextualSpacing/>
              <w:jc w:val="center"/>
              <w:rPr>
                <w:rFonts w:hint="eastAsia" w:ascii="方正仿宋_GBK" w:hAnsi="方正仿宋_GBK" w:eastAsia="方正仿宋_GBK" w:cs="方正仿宋_GBK"/>
                <w:color w:val="auto"/>
                <w:kern w:val="0"/>
                <w:sz w:val="24"/>
                <w:highlight w:val="none"/>
              </w:rPr>
            </w:pPr>
            <w:r>
              <w:rPr>
                <w:rFonts w:hint="eastAsia" w:ascii="方正仿宋_GBK" w:hAnsi="方正仿宋_GBK" w:eastAsia="方正仿宋_GBK" w:cs="方正仿宋_GBK"/>
                <w:color w:val="auto"/>
                <w:kern w:val="0"/>
                <w:sz w:val="24"/>
                <w:highlight w:val="none"/>
              </w:rPr>
              <w:t>1000≤Y＜10000</w:t>
            </w:r>
          </w:p>
        </w:tc>
        <w:tc>
          <w:tcPr>
            <w:tcW w:w="1692" w:type="dxa"/>
            <w:tcBorders>
              <w:top w:val="nil"/>
              <w:left w:val="nil"/>
              <w:bottom w:val="single" w:color="auto" w:sz="4" w:space="0"/>
              <w:right w:val="single" w:color="auto" w:sz="4" w:space="0"/>
            </w:tcBorders>
            <w:noWrap w:val="0"/>
            <w:vAlign w:val="center"/>
          </w:tcPr>
          <w:p w14:paraId="64EFE9D8">
            <w:pPr>
              <w:keepNext w:val="0"/>
              <w:keepLines w:val="0"/>
              <w:widowControl/>
              <w:suppressLineNumbers w:val="0"/>
              <w:snapToGrid w:val="0"/>
              <w:spacing w:before="0" w:beforeAutospacing="0" w:after="0" w:afterAutospacing="0"/>
              <w:ind w:left="0" w:right="0"/>
              <w:contextualSpacing/>
              <w:jc w:val="center"/>
              <w:rPr>
                <w:rFonts w:hint="eastAsia" w:ascii="方正仿宋_GBK" w:hAnsi="方正仿宋_GBK" w:eastAsia="方正仿宋_GBK" w:cs="方正仿宋_GBK"/>
                <w:color w:val="auto"/>
                <w:kern w:val="0"/>
                <w:sz w:val="24"/>
                <w:highlight w:val="none"/>
              </w:rPr>
            </w:pPr>
            <w:r>
              <w:rPr>
                <w:rFonts w:hint="eastAsia" w:ascii="方正仿宋_GBK" w:hAnsi="方正仿宋_GBK" w:eastAsia="方正仿宋_GBK" w:cs="方正仿宋_GBK"/>
                <w:color w:val="auto"/>
                <w:kern w:val="0"/>
                <w:sz w:val="24"/>
                <w:highlight w:val="none"/>
              </w:rPr>
              <w:t>50≤Y＜1000</w:t>
            </w:r>
          </w:p>
        </w:tc>
        <w:tc>
          <w:tcPr>
            <w:tcW w:w="1087" w:type="dxa"/>
            <w:tcBorders>
              <w:top w:val="nil"/>
              <w:left w:val="nil"/>
              <w:bottom w:val="single" w:color="auto" w:sz="4" w:space="0"/>
              <w:right w:val="single" w:color="auto" w:sz="4" w:space="0"/>
            </w:tcBorders>
            <w:noWrap w:val="0"/>
            <w:vAlign w:val="center"/>
          </w:tcPr>
          <w:p w14:paraId="1E06D2EF">
            <w:pPr>
              <w:keepNext w:val="0"/>
              <w:keepLines w:val="0"/>
              <w:widowControl/>
              <w:suppressLineNumbers w:val="0"/>
              <w:snapToGrid w:val="0"/>
              <w:spacing w:before="0" w:beforeAutospacing="0" w:after="0" w:afterAutospacing="0"/>
              <w:ind w:left="0" w:right="0"/>
              <w:contextualSpacing/>
              <w:jc w:val="center"/>
              <w:rPr>
                <w:rFonts w:hint="eastAsia" w:ascii="方正仿宋_GBK" w:hAnsi="方正仿宋_GBK" w:eastAsia="方正仿宋_GBK" w:cs="方正仿宋_GBK"/>
                <w:color w:val="auto"/>
                <w:kern w:val="0"/>
                <w:sz w:val="24"/>
                <w:highlight w:val="none"/>
              </w:rPr>
            </w:pPr>
            <w:r>
              <w:rPr>
                <w:rFonts w:hint="eastAsia" w:ascii="方正仿宋_GBK" w:hAnsi="方正仿宋_GBK" w:eastAsia="方正仿宋_GBK" w:cs="方正仿宋_GBK"/>
                <w:color w:val="auto"/>
                <w:kern w:val="0"/>
                <w:sz w:val="24"/>
                <w:highlight w:val="none"/>
              </w:rPr>
              <w:t>Y＜50</w:t>
            </w:r>
          </w:p>
        </w:tc>
      </w:tr>
      <w:tr w14:paraId="2970CE8E">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14:paraId="0ED95CD9">
            <w:pPr>
              <w:keepNext w:val="0"/>
              <w:keepLines w:val="0"/>
              <w:widowControl/>
              <w:suppressLineNumbers w:val="0"/>
              <w:snapToGrid w:val="0"/>
              <w:spacing w:before="0" w:beforeAutospacing="0" w:after="0" w:afterAutospacing="0"/>
              <w:ind w:left="0" w:right="0"/>
              <w:contextualSpacing/>
              <w:jc w:val="center"/>
              <w:rPr>
                <w:rFonts w:hint="eastAsia" w:ascii="方正仿宋_GBK" w:hAnsi="方正仿宋_GBK" w:eastAsia="方正仿宋_GBK" w:cs="方正仿宋_GBK"/>
                <w:b/>
                <w:bCs/>
                <w:color w:val="auto"/>
                <w:kern w:val="0"/>
                <w:sz w:val="24"/>
                <w:highlight w:val="none"/>
              </w:rPr>
            </w:pPr>
            <w:r>
              <w:rPr>
                <w:rFonts w:hint="eastAsia" w:ascii="方正仿宋_GBK" w:hAnsi="方正仿宋_GBK" w:eastAsia="方正仿宋_GBK" w:cs="方正仿宋_GBK"/>
                <w:b/>
                <w:bCs/>
                <w:color w:val="auto"/>
                <w:kern w:val="0"/>
                <w:sz w:val="24"/>
                <w:highlight w:val="none"/>
              </w:rPr>
              <w:t>房地产开发经营</w:t>
            </w:r>
          </w:p>
        </w:tc>
        <w:tc>
          <w:tcPr>
            <w:tcW w:w="1660" w:type="dxa"/>
            <w:tcBorders>
              <w:top w:val="nil"/>
              <w:left w:val="nil"/>
              <w:bottom w:val="single" w:color="auto" w:sz="4" w:space="0"/>
              <w:right w:val="single" w:color="auto" w:sz="4" w:space="0"/>
            </w:tcBorders>
            <w:noWrap w:val="0"/>
            <w:vAlign w:val="center"/>
          </w:tcPr>
          <w:p w14:paraId="202839D3">
            <w:pPr>
              <w:keepNext w:val="0"/>
              <w:keepLines w:val="0"/>
              <w:widowControl/>
              <w:suppressLineNumbers w:val="0"/>
              <w:snapToGrid w:val="0"/>
              <w:spacing w:before="0" w:beforeAutospacing="0" w:after="0" w:afterAutospacing="0"/>
              <w:ind w:left="0" w:right="0"/>
              <w:contextualSpacing/>
              <w:jc w:val="center"/>
              <w:rPr>
                <w:rFonts w:hint="eastAsia" w:ascii="方正仿宋_GBK" w:hAnsi="方正仿宋_GBK" w:eastAsia="方正仿宋_GBK" w:cs="方正仿宋_GBK"/>
                <w:color w:val="auto"/>
                <w:kern w:val="0"/>
                <w:sz w:val="24"/>
                <w:highlight w:val="none"/>
              </w:rPr>
            </w:pPr>
            <w:r>
              <w:rPr>
                <w:rFonts w:hint="eastAsia" w:ascii="方正仿宋_GBK" w:hAnsi="方正仿宋_GBK" w:eastAsia="方正仿宋_GBK" w:cs="方正仿宋_GBK"/>
                <w:color w:val="auto"/>
                <w:kern w:val="0"/>
                <w:sz w:val="24"/>
                <w:highlight w:val="none"/>
              </w:rPr>
              <w:t>营业收入（Y）</w:t>
            </w:r>
          </w:p>
        </w:tc>
        <w:tc>
          <w:tcPr>
            <w:tcW w:w="1466" w:type="dxa"/>
            <w:tcBorders>
              <w:top w:val="nil"/>
              <w:left w:val="nil"/>
              <w:bottom w:val="single" w:color="auto" w:sz="4" w:space="0"/>
              <w:right w:val="single" w:color="auto" w:sz="4" w:space="0"/>
            </w:tcBorders>
            <w:noWrap w:val="0"/>
            <w:vAlign w:val="center"/>
          </w:tcPr>
          <w:p w14:paraId="2E913F25">
            <w:pPr>
              <w:keepNext w:val="0"/>
              <w:keepLines w:val="0"/>
              <w:widowControl/>
              <w:suppressLineNumbers w:val="0"/>
              <w:snapToGrid w:val="0"/>
              <w:spacing w:before="0" w:beforeAutospacing="0" w:after="0" w:afterAutospacing="0"/>
              <w:ind w:left="0" w:right="0"/>
              <w:contextualSpacing/>
              <w:jc w:val="center"/>
              <w:rPr>
                <w:rFonts w:hint="eastAsia" w:ascii="方正仿宋_GBK" w:hAnsi="方正仿宋_GBK" w:eastAsia="方正仿宋_GBK" w:cs="方正仿宋_GBK"/>
                <w:color w:val="auto"/>
                <w:kern w:val="0"/>
                <w:sz w:val="24"/>
                <w:highlight w:val="none"/>
              </w:rPr>
            </w:pPr>
            <w:r>
              <w:rPr>
                <w:rFonts w:hint="eastAsia" w:ascii="方正仿宋_GBK" w:hAnsi="方正仿宋_GBK" w:eastAsia="方正仿宋_GBK" w:cs="方正仿宋_GBK"/>
                <w:color w:val="auto"/>
                <w:kern w:val="0"/>
                <w:sz w:val="24"/>
                <w:highlight w:val="none"/>
              </w:rPr>
              <w:t>万元</w:t>
            </w:r>
          </w:p>
        </w:tc>
        <w:tc>
          <w:tcPr>
            <w:tcW w:w="1903" w:type="dxa"/>
            <w:tcBorders>
              <w:top w:val="nil"/>
              <w:left w:val="nil"/>
              <w:bottom w:val="single" w:color="auto" w:sz="4" w:space="0"/>
              <w:right w:val="single" w:color="auto" w:sz="4" w:space="0"/>
            </w:tcBorders>
            <w:noWrap w:val="0"/>
            <w:vAlign w:val="center"/>
          </w:tcPr>
          <w:p w14:paraId="002E8DFE">
            <w:pPr>
              <w:keepNext w:val="0"/>
              <w:keepLines w:val="0"/>
              <w:widowControl/>
              <w:suppressLineNumbers w:val="0"/>
              <w:snapToGrid w:val="0"/>
              <w:spacing w:before="0" w:beforeAutospacing="0" w:after="0" w:afterAutospacing="0"/>
              <w:ind w:left="0" w:right="0"/>
              <w:contextualSpacing/>
              <w:jc w:val="center"/>
              <w:rPr>
                <w:rFonts w:hint="eastAsia" w:ascii="方正仿宋_GBK" w:hAnsi="方正仿宋_GBK" w:eastAsia="方正仿宋_GBK" w:cs="方正仿宋_GBK"/>
                <w:color w:val="auto"/>
                <w:kern w:val="0"/>
                <w:sz w:val="24"/>
                <w:highlight w:val="none"/>
              </w:rPr>
            </w:pPr>
            <w:r>
              <w:rPr>
                <w:rFonts w:hint="eastAsia" w:ascii="方正仿宋_GBK" w:hAnsi="方正仿宋_GBK" w:eastAsia="方正仿宋_GBK" w:cs="方正仿宋_GBK"/>
                <w:color w:val="auto"/>
                <w:kern w:val="0"/>
                <w:sz w:val="24"/>
                <w:highlight w:val="none"/>
              </w:rPr>
              <w:t>1000≤Y＜200000</w:t>
            </w:r>
          </w:p>
        </w:tc>
        <w:tc>
          <w:tcPr>
            <w:tcW w:w="1692" w:type="dxa"/>
            <w:tcBorders>
              <w:top w:val="nil"/>
              <w:left w:val="nil"/>
              <w:bottom w:val="single" w:color="auto" w:sz="4" w:space="0"/>
              <w:right w:val="single" w:color="auto" w:sz="4" w:space="0"/>
            </w:tcBorders>
            <w:noWrap w:val="0"/>
            <w:vAlign w:val="center"/>
          </w:tcPr>
          <w:p w14:paraId="033DAD08">
            <w:pPr>
              <w:keepNext w:val="0"/>
              <w:keepLines w:val="0"/>
              <w:widowControl/>
              <w:suppressLineNumbers w:val="0"/>
              <w:snapToGrid w:val="0"/>
              <w:spacing w:before="0" w:beforeAutospacing="0" w:after="0" w:afterAutospacing="0"/>
              <w:ind w:left="0" w:right="0"/>
              <w:contextualSpacing/>
              <w:jc w:val="center"/>
              <w:rPr>
                <w:rFonts w:hint="eastAsia" w:ascii="方正仿宋_GBK" w:hAnsi="方正仿宋_GBK" w:eastAsia="方正仿宋_GBK" w:cs="方正仿宋_GBK"/>
                <w:color w:val="auto"/>
                <w:kern w:val="0"/>
                <w:sz w:val="24"/>
                <w:highlight w:val="none"/>
              </w:rPr>
            </w:pPr>
            <w:r>
              <w:rPr>
                <w:rFonts w:hint="eastAsia" w:ascii="方正仿宋_GBK" w:hAnsi="方正仿宋_GBK" w:eastAsia="方正仿宋_GBK" w:cs="方正仿宋_GBK"/>
                <w:color w:val="auto"/>
                <w:kern w:val="0"/>
                <w:sz w:val="24"/>
                <w:highlight w:val="none"/>
              </w:rPr>
              <w:t>100≤X＜1000</w:t>
            </w:r>
          </w:p>
        </w:tc>
        <w:tc>
          <w:tcPr>
            <w:tcW w:w="1087" w:type="dxa"/>
            <w:tcBorders>
              <w:top w:val="nil"/>
              <w:left w:val="nil"/>
              <w:bottom w:val="single" w:color="auto" w:sz="4" w:space="0"/>
              <w:right w:val="single" w:color="auto" w:sz="4" w:space="0"/>
            </w:tcBorders>
            <w:noWrap w:val="0"/>
            <w:vAlign w:val="center"/>
          </w:tcPr>
          <w:p w14:paraId="7588EF3C">
            <w:pPr>
              <w:keepNext w:val="0"/>
              <w:keepLines w:val="0"/>
              <w:widowControl/>
              <w:suppressLineNumbers w:val="0"/>
              <w:snapToGrid w:val="0"/>
              <w:spacing w:before="0" w:beforeAutospacing="0" w:after="0" w:afterAutospacing="0"/>
              <w:ind w:left="0" w:right="0"/>
              <w:contextualSpacing/>
              <w:jc w:val="center"/>
              <w:rPr>
                <w:rFonts w:hint="eastAsia" w:ascii="方正仿宋_GBK" w:hAnsi="方正仿宋_GBK" w:eastAsia="方正仿宋_GBK" w:cs="方正仿宋_GBK"/>
                <w:color w:val="auto"/>
                <w:kern w:val="0"/>
                <w:sz w:val="24"/>
                <w:highlight w:val="none"/>
              </w:rPr>
            </w:pPr>
            <w:r>
              <w:rPr>
                <w:rFonts w:hint="eastAsia" w:ascii="方正仿宋_GBK" w:hAnsi="方正仿宋_GBK" w:eastAsia="方正仿宋_GBK" w:cs="方正仿宋_GBK"/>
                <w:color w:val="auto"/>
                <w:kern w:val="0"/>
                <w:sz w:val="24"/>
                <w:highlight w:val="none"/>
              </w:rPr>
              <w:t>X＜100</w:t>
            </w:r>
          </w:p>
        </w:tc>
      </w:tr>
      <w:tr w14:paraId="58DED7B5">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14:paraId="55172512">
            <w:pPr>
              <w:keepNext w:val="0"/>
              <w:keepLines w:val="0"/>
              <w:widowControl/>
              <w:suppressLineNumbers w:val="0"/>
              <w:snapToGrid w:val="0"/>
              <w:spacing w:before="0" w:beforeAutospacing="0" w:after="0" w:afterAutospacing="0"/>
              <w:ind w:left="0" w:right="0"/>
              <w:contextualSpacing/>
              <w:jc w:val="center"/>
              <w:rPr>
                <w:rFonts w:hint="eastAsia" w:ascii="方正仿宋_GBK" w:hAnsi="方正仿宋_GBK" w:eastAsia="方正仿宋_GBK" w:cs="方正仿宋_GBK"/>
                <w:b/>
                <w:bCs/>
                <w:color w:val="auto"/>
                <w:kern w:val="0"/>
                <w:sz w:val="24"/>
                <w:highlight w:val="none"/>
              </w:rPr>
            </w:pPr>
          </w:p>
        </w:tc>
        <w:tc>
          <w:tcPr>
            <w:tcW w:w="1660" w:type="dxa"/>
            <w:tcBorders>
              <w:top w:val="nil"/>
              <w:left w:val="nil"/>
              <w:bottom w:val="single" w:color="auto" w:sz="4" w:space="0"/>
              <w:right w:val="single" w:color="auto" w:sz="4" w:space="0"/>
            </w:tcBorders>
            <w:noWrap w:val="0"/>
            <w:vAlign w:val="center"/>
          </w:tcPr>
          <w:p w14:paraId="767FF6B2">
            <w:pPr>
              <w:keepNext w:val="0"/>
              <w:keepLines w:val="0"/>
              <w:widowControl/>
              <w:suppressLineNumbers w:val="0"/>
              <w:snapToGrid w:val="0"/>
              <w:spacing w:before="0" w:beforeAutospacing="0" w:after="0" w:afterAutospacing="0"/>
              <w:ind w:left="0" w:right="0"/>
              <w:contextualSpacing/>
              <w:jc w:val="center"/>
              <w:rPr>
                <w:rFonts w:hint="eastAsia" w:ascii="方正仿宋_GBK" w:hAnsi="方正仿宋_GBK" w:eastAsia="方正仿宋_GBK" w:cs="方正仿宋_GBK"/>
                <w:color w:val="auto"/>
                <w:kern w:val="0"/>
                <w:sz w:val="24"/>
                <w:highlight w:val="none"/>
              </w:rPr>
            </w:pPr>
            <w:r>
              <w:rPr>
                <w:rFonts w:hint="eastAsia" w:ascii="方正仿宋_GBK" w:hAnsi="方正仿宋_GBK" w:eastAsia="方正仿宋_GBK" w:cs="方正仿宋_GBK"/>
                <w:color w:val="auto"/>
                <w:kern w:val="0"/>
                <w:sz w:val="24"/>
                <w:highlight w:val="none"/>
              </w:rPr>
              <w:t>资产总额（Z）</w:t>
            </w:r>
          </w:p>
        </w:tc>
        <w:tc>
          <w:tcPr>
            <w:tcW w:w="1466" w:type="dxa"/>
            <w:tcBorders>
              <w:top w:val="nil"/>
              <w:left w:val="nil"/>
              <w:bottom w:val="single" w:color="auto" w:sz="4" w:space="0"/>
              <w:right w:val="single" w:color="auto" w:sz="4" w:space="0"/>
            </w:tcBorders>
            <w:noWrap w:val="0"/>
            <w:vAlign w:val="center"/>
          </w:tcPr>
          <w:p w14:paraId="4AC7552D">
            <w:pPr>
              <w:keepNext w:val="0"/>
              <w:keepLines w:val="0"/>
              <w:widowControl/>
              <w:suppressLineNumbers w:val="0"/>
              <w:snapToGrid w:val="0"/>
              <w:spacing w:before="0" w:beforeAutospacing="0" w:after="0" w:afterAutospacing="0"/>
              <w:ind w:left="0" w:right="0"/>
              <w:contextualSpacing/>
              <w:jc w:val="center"/>
              <w:rPr>
                <w:rFonts w:hint="eastAsia" w:ascii="方正仿宋_GBK" w:hAnsi="方正仿宋_GBK" w:eastAsia="方正仿宋_GBK" w:cs="方正仿宋_GBK"/>
                <w:color w:val="auto"/>
                <w:kern w:val="0"/>
                <w:sz w:val="24"/>
                <w:highlight w:val="none"/>
              </w:rPr>
            </w:pPr>
            <w:r>
              <w:rPr>
                <w:rFonts w:hint="eastAsia" w:ascii="方正仿宋_GBK" w:hAnsi="方正仿宋_GBK" w:eastAsia="方正仿宋_GBK" w:cs="方正仿宋_GBK"/>
                <w:color w:val="auto"/>
                <w:kern w:val="0"/>
                <w:sz w:val="24"/>
                <w:highlight w:val="none"/>
              </w:rPr>
              <w:t>万元</w:t>
            </w:r>
          </w:p>
        </w:tc>
        <w:tc>
          <w:tcPr>
            <w:tcW w:w="1903" w:type="dxa"/>
            <w:tcBorders>
              <w:top w:val="nil"/>
              <w:left w:val="nil"/>
              <w:bottom w:val="single" w:color="auto" w:sz="4" w:space="0"/>
              <w:right w:val="single" w:color="auto" w:sz="4" w:space="0"/>
            </w:tcBorders>
            <w:noWrap w:val="0"/>
            <w:vAlign w:val="center"/>
          </w:tcPr>
          <w:p w14:paraId="19FDFCF5">
            <w:pPr>
              <w:keepNext w:val="0"/>
              <w:keepLines w:val="0"/>
              <w:widowControl/>
              <w:suppressLineNumbers w:val="0"/>
              <w:snapToGrid w:val="0"/>
              <w:spacing w:before="0" w:beforeAutospacing="0" w:after="0" w:afterAutospacing="0"/>
              <w:ind w:left="0" w:right="0"/>
              <w:contextualSpacing/>
              <w:jc w:val="center"/>
              <w:rPr>
                <w:rFonts w:hint="eastAsia" w:ascii="方正仿宋_GBK" w:hAnsi="方正仿宋_GBK" w:eastAsia="方正仿宋_GBK" w:cs="方正仿宋_GBK"/>
                <w:color w:val="auto"/>
                <w:kern w:val="0"/>
                <w:sz w:val="24"/>
                <w:highlight w:val="none"/>
              </w:rPr>
            </w:pPr>
            <w:r>
              <w:rPr>
                <w:rFonts w:hint="eastAsia" w:ascii="方正仿宋_GBK" w:hAnsi="方正仿宋_GBK" w:eastAsia="方正仿宋_GBK" w:cs="方正仿宋_GBK"/>
                <w:color w:val="auto"/>
                <w:kern w:val="0"/>
                <w:sz w:val="24"/>
                <w:highlight w:val="none"/>
              </w:rPr>
              <w:t>5000≤Z＜10000</w:t>
            </w:r>
          </w:p>
        </w:tc>
        <w:tc>
          <w:tcPr>
            <w:tcW w:w="1692" w:type="dxa"/>
            <w:tcBorders>
              <w:top w:val="nil"/>
              <w:left w:val="nil"/>
              <w:bottom w:val="single" w:color="auto" w:sz="4" w:space="0"/>
              <w:right w:val="single" w:color="auto" w:sz="4" w:space="0"/>
            </w:tcBorders>
            <w:noWrap w:val="0"/>
            <w:vAlign w:val="center"/>
          </w:tcPr>
          <w:p w14:paraId="5607BAE4">
            <w:pPr>
              <w:keepNext w:val="0"/>
              <w:keepLines w:val="0"/>
              <w:widowControl/>
              <w:suppressLineNumbers w:val="0"/>
              <w:snapToGrid w:val="0"/>
              <w:spacing w:before="0" w:beforeAutospacing="0" w:after="0" w:afterAutospacing="0"/>
              <w:ind w:left="0" w:right="0"/>
              <w:contextualSpacing/>
              <w:jc w:val="center"/>
              <w:rPr>
                <w:rFonts w:hint="eastAsia" w:ascii="方正仿宋_GBK" w:hAnsi="方正仿宋_GBK" w:eastAsia="方正仿宋_GBK" w:cs="方正仿宋_GBK"/>
                <w:color w:val="auto"/>
                <w:kern w:val="0"/>
                <w:sz w:val="24"/>
                <w:highlight w:val="none"/>
              </w:rPr>
            </w:pPr>
            <w:r>
              <w:rPr>
                <w:rFonts w:hint="eastAsia" w:ascii="方正仿宋_GBK" w:hAnsi="方正仿宋_GBK" w:eastAsia="方正仿宋_GBK" w:cs="方正仿宋_GBK"/>
                <w:color w:val="auto"/>
                <w:kern w:val="0"/>
                <w:sz w:val="24"/>
                <w:highlight w:val="none"/>
              </w:rPr>
              <w:t>2000≤Y＜5000</w:t>
            </w:r>
          </w:p>
        </w:tc>
        <w:tc>
          <w:tcPr>
            <w:tcW w:w="1087" w:type="dxa"/>
            <w:tcBorders>
              <w:top w:val="nil"/>
              <w:left w:val="nil"/>
              <w:bottom w:val="single" w:color="auto" w:sz="4" w:space="0"/>
              <w:right w:val="single" w:color="auto" w:sz="4" w:space="0"/>
            </w:tcBorders>
            <w:noWrap w:val="0"/>
            <w:vAlign w:val="center"/>
          </w:tcPr>
          <w:p w14:paraId="71E554BE">
            <w:pPr>
              <w:keepNext w:val="0"/>
              <w:keepLines w:val="0"/>
              <w:widowControl/>
              <w:suppressLineNumbers w:val="0"/>
              <w:snapToGrid w:val="0"/>
              <w:spacing w:before="0" w:beforeAutospacing="0" w:after="0" w:afterAutospacing="0"/>
              <w:ind w:left="0" w:right="0"/>
              <w:contextualSpacing/>
              <w:jc w:val="center"/>
              <w:rPr>
                <w:rFonts w:hint="eastAsia" w:ascii="方正仿宋_GBK" w:hAnsi="方正仿宋_GBK" w:eastAsia="方正仿宋_GBK" w:cs="方正仿宋_GBK"/>
                <w:color w:val="auto"/>
                <w:kern w:val="0"/>
                <w:sz w:val="24"/>
                <w:highlight w:val="none"/>
              </w:rPr>
            </w:pPr>
            <w:r>
              <w:rPr>
                <w:rFonts w:hint="eastAsia" w:ascii="方正仿宋_GBK" w:hAnsi="方正仿宋_GBK" w:eastAsia="方正仿宋_GBK" w:cs="方正仿宋_GBK"/>
                <w:color w:val="auto"/>
                <w:kern w:val="0"/>
                <w:sz w:val="24"/>
                <w:highlight w:val="none"/>
              </w:rPr>
              <w:t>Y＜2000</w:t>
            </w:r>
          </w:p>
        </w:tc>
      </w:tr>
      <w:tr w14:paraId="23D7AA91">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14:paraId="04FDBC76">
            <w:pPr>
              <w:keepNext w:val="0"/>
              <w:keepLines w:val="0"/>
              <w:widowControl/>
              <w:suppressLineNumbers w:val="0"/>
              <w:snapToGrid w:val="0"/>
              <w:spacing w:before="0" w:beforeAutospacing="0" w:after="0" w:afterAutospacing="0"/>
              <w:ind w:left="0" w:right="0"/>
              <w:contextualSpacing/>
              <w:jc w:val="center"/>
              <w:rPr>
                <w:rFonts w:hint="eastAsia" w:ascii="方正仿宋_GBK" w:hAnsi="方正仿宋_GBK" w:eastAsia="方正仿宋_GBK" w:cs="方正仿宋_GBK"/>
                <w:b/>
                <w:bCs/>
                <w:color w:val="auto"/>
                <w:kern w:val="0"/>
                <w:sz w:val="24"/>
                <w:highlight w:val="none"/>
              </w:rPr>
            </w:pPr>
            <w:r>
              <w:rPr>
                <w:rFonts w:hint="eastAsia" w:ascii="方正仿宋_GBK" w:hAnsi="方正仿宋_GBK" w:eastAsia="方正仿宋_GBK" w:cs="方正仿宋_GBK"/>
                <w:b/>
                <w:bCs/>
                <w:color w:val="auto"/>
                <w:kern w:val="0"/>
                <w:sz w:val="24"/>
                <w:highlight w:val="none"/>
              </w:rPr>
              <w:t>物业管理</w:t>
            </w:r>
          </w:p>
        </w:tc>
        <w:tc>
          <w:tcPr>
            <w:tcW w:w="1660" w:type="dxa"/>
            <w:tcBorders>
              <w:top w:val="nil"/>
              <w:left w:val="nil"/>
              <w:bottom w:val="single" w:color="auto" w:sz="4" w:space="0"/>
              <w:right w:val="single" w:color="auto" w:sz="4" w:space="0"/>
            </w:tcBorders>
            <w:noWrap w:val="0"/>
            <w:vAlign w:val="center"/>
          </w:tcPr>
          <w:p w14:paraId="772A589C">
            <w:pPr>
              <w:keepNext w:val="0"/>
              <w:keepLines w:val="0"/>
              <w:widowControl/>
              <w:suppressLineNumbers w:val="0"/>
              <w:snapToGrid w:val="0"/>
              <w:spacing w:before="0" w:beforeAutospacing="0" w:after="0" w:afterAutospacing="0"/>
              <w:ind w:left="0" w:right="0"/>
              <w:contextualSpacing/>
              <w:jc w:val="center"/>
              <w:rPr>
                <w:rFonts w:hint="eastAsia" w:ascii="方正仿宋_GBK" w:hAnsi="方正仿宋_GBK" w:eastAsia="方正仿宋_GBK" w:cs="方正仿宋_GBK"/>
                <w:color w:val="auto"/>
                <w:kern w:val="0"/>
                <w:sz w:val="24"/>
                <w:highlight w:val="none"/>
              </w:rPr>
            </w:pPr>
            <w:r>
              <w:rPr>
                <w:rFonts w:hint="eastAsia" w:ascii="方正仿宋_GBK" w:hAnsi="方正仿宋_GBK" w:eastAsia="方正仿宋_GBK" w:cs="方正仿宋_GBK"/>
                <w:color w:val="auto"/>
                <w:kern w:val="0"/>
                <w:sz w:val="24"/>
                <w:highlight w:val="none"/>
              </w:rPr>
              <w:t>从业人员（X）</w:t>
            </w:r>
          </w:p>
        </w:tc>
        <w:tc>
          <w:tcPr>
            <w:tcW w:w="1466" w:type="dxa"/>
            <w:tcBorders>
              <w:top w:val="nil"/>
              <w:left w:val="nil"/>
              <w:bottom w:val="single" w:color="auto" w:sz="4" w:space="0"/>
              <w:right w:val="single" w:color="auto" w:sz="4" w:space="0"/>
            </w:tcBorders>
            <w:noWrap w:val="0"/>
            <w:vAlign w:val="center"/>
          </w:tcPr>
          <w:p w14:paraId="6DDD51C1">
            <w:pPr>
              <w:keepNext w:val="0"/>
              <w:keepLines w:val="0"/>
              <w:widowControl/>
              <w:suppressLineNumbers w:val="0"/>
              <w:snapToGrid w:val="0"/>
              <w:spacing w:before="0" w:beforeAutospacing="0" w:after="0" w:afterAutospacing="0"/>
              <w:ind w:left="0" w:right="0"/>
              <w:contextualSpacing/>
              <w:jc w:val="center"/>
              <w:rPr>
                <w:rFonts w:hint="eastAsia" w:ascii="方正仿宋_GBK" w:hAnsi="方正仿宋_GBK" w:eastAsia="方正仿宋_GBK" w:cs="方正仿宋_GBK"/>
                <w:color w:val="auto"/>
                <w:kern w:val="0"/>
                <w:sz w:val="24"/>
                <w:highlight w:val="none"/>
              </w:rPr>
            </w:pPr>
            <w:r>
              <w:rPr>
                <w:rFonts w:hint="eastAsia" w:ascii="方正仿宋_GBK" w:hAnsi="方正仿宋_GBK" w:eastAsia="方正仿宋_GBK" w:cs="方正仿宋_GBK"/>
                <w:color w:val="auto"/>
                <w:kern w:val="0"/>
                <w:sz w:val="24"/>
                <w:highlight w:val="none"/>
              </w:rPr>
              <w:t>人</w:t>
            </w:r>
          </w:p>
        </w:tc>
        <w:tc>
          <w:tcPr>
            <w:tcW w:w="1903" w:type="dxa"/>
            <w:tcBorders>
              <w:top w:val="nil"/>
              <w:left w:val="nil"/>
              <w:bottom w:val="single" w:color="auto" w:sz="4" w:space="0"/>
              <w:right w:val="single" w:color="auto" w:sz="4" w:space="0"/>
            </w:tcBorders>
            <w:noWrap w:val="0"/>
            <w:vAlign w:val="center"/>
          </w:tcPr>
          <w:p w14:paraId="30E9C050">
            <w:pPr>
              <w:keepNext w:val="0"/>
              <w:keepLines w:val="0"/>
              <w:widowControl/>
              <w:suppressLineNumbers w:val="0"/>
              <w:snapToGrid w:val="0"/>
              <w:spacing w:before="0" w:beforeAutospacing="0" w:after="0" w:afterAutospacing="0"/>
              <w:ind w:left="0" w:right="0"/>
              <w:contextualSpacing/>
              <w:jc w:val="center"/>
              <w:rPr>
                <w:rFonts w:hint="eastAsia" w:ascii="方正仿宋_GBK" w:hAnsi="方正仿宋_GBK" w:eastAsia="方正仿宋_GBK" w:cs="方正仿宋_GBK"/>
                <w:color w:val="auto"/>
                <w:kern w:val="0"/>
                <w:sz w:val="24"/>
                <w:highlight w:val="none"/>
              </w:rPr>
            </w:pPr>
            <w:r>
              <w:rPr>
                <w:rFonts w:hint="eastAsia" w:ascii="方正仿宋_GBK" w:hAnsi="方正仿宋_GBK" w:eastAsia="方正仿宋_GBK" w:cs="方正仿宋_GBK"/>
                <w:color w:val="auto"/>
                <w:kern w:val="0"/>
                <w:sz w:val="24"/>
                <w:highlight w:val="none"/>
              </w:rPr>
              <w:t>300≤X＜1000</w:t>
            </w:r>
          </w:p>
        </w:tc>
        <w:tc>
          <w:tcPr>
            <w:tcW w:w="1692" w:type="dxa"/>
            <w:tcBorders>
              <w:top w:val="nil"/>
              <w:left w:val="nil"/>
              <w:bottom w:val="single" w:color="auto" w:sz="4" w:space="0"/>
              <w:right w:val="single" w:color="auto" w:sz="4" w:space="0"/>
            </w:tcBorders>
            <w:noWrap w:val="0"/>
            <w:vAlign w:val="center"/>
          </w:tcPr>
          <w:p w14:paraId="7164AE8A">
            <w:pPr>
              <w:keepNext w:val="0"/>
              <w:keepLines w:val="0"/>
              <w:widowControl/>
              <w:suppressLineNumbers w:val="0"/>
              <w:snapToGrid w:val="0"/>
              <w:spacing w:before="0" w:beforeAutospacing="0" w:after="0" w:afterAutospacing="0"/>
              <w:ind w:left="0" w:right="0"/>
              <w:contextualSpacing/>
              <w:jc w:val="center"/>
              <w:rPr>
                <w:rFonts w:hint="eastAsia" w:ascii="方正仿宋_GBK" w:hAnsi="方正仿宋_GBK" w:eastAsia="方正仿宋_GBK" w:cs="方正仿宋_GBK"/>
                <w:color w:val="auto"/>
                <w:kern w:val="0"/>
                <w:sz w:val="24"/>
                <w:highlight w:val="none"/>
              </w:rPr>
            </w:pPr>
            <w:r>
              <w:rPr>
                <w:rFonts w:hint="eastAsia" w:ascii="方正仿宋_GBK" w:hAnsi="方正仿宋_GBK" w:eastAsia="方正仿宋_GBK" w:cs="方正仿宋_GBK"/>
                <w:color w:val="auto"/>
                <w:kern w:val="0"/>
                <w:sz w:val="24"/>
                <w:highlight w:val="none"/>
              </w:rPr>
              <w:t>100≤X＜300</w:t>
            </w:r>
          </w:p>
        </w:tc>
        <w:tc>
          <w:tcPr>
            <w:tcW w:w="1087" w:type="dxa"/>
            <w:tcBorders>
              <w:top w:val="nil"/>
              <w:left w:val="nil"/>
              <w:bottom w:val="single" w:color="auto" w:sz="4" w:space="0"/>
              <w:right w:val="single" w:color="auto" w:sz="4" w:space="0"/>
            </w:tcBorders>
            <w:noWrap w:val="0"/>
            <w:vAlign w:val="center"/>
          </w:tcPr>
          <w:p w14:paraId="09FE77F9">
            <w:pPr>
              <w:keepNext w:val="0"/>
              <w:keepLines w:val="0"/>
              <w:widowControl/>
              <w:suppressLineNumbers w:val="0"/>
              <w:snapToGrid w:val="0"/>
              <w:spacing w:before="0" w:beforeAutospacing="0" w:after="0" w:afterAutospacing="0"/>
              <w:ind w:left="0" w:right="0"/>
              <w:contextualSpacing/>
              <w:jc w:val="center"/>
              <w:rPr>
                <w:rFonts w:hint="eastAsia" w:ascii="方正仿宋_GBK" w:hAnsi="方正仿宋_GBK" w:eastAsia="方正仿宋_GBK" w:cs="方正仿宋_GBK"/>
                <w:color w:val="auto"/>
                <w:kern w:val="0"/>
                <w:sz w:val="24"/>
                <w:highlight w:val="none"/>
              </w:rPr>
            </w:pPr>
            <w:r>
              <w:rPr>
                <w:rFonts w:hint="eastAsia" w:ascii="方正仿宋_GBK" w:hAnsi="方正仿宋_GBK" w:eastAsia="方正仿宋_GBK" w:cs="方正仿宋_GBK"/>
                <w:color w:val="auto"/>
                <w:kern w:val="0"/>
                <w:sz w:val="24"/>
                <w:highlight w:val="none"/>
              </w:rPr>
              <w:t>X＜100</w:t>
            </w:r>
          </w:p>
        </w:tc>
      </w:tr>
      <w:tr w14:paraId="634321BF">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14:paraId="133ED69E">
            <w:pPr>
              <w:keepNext w:val="0"/>
              <w:keepLines w:val="0"/>
              <w:widowControl/>
              <w:suppressLineNumbers w:val="0"/>
              <w:snapToGrid w:val="0"/>
              <w:spacing w:before="0" w:beforeAutospacing="0" w:after="0" w:afterAutospacing="0"/>
              <w:ind w:left="0" w:right="0"/>
              <w:contextualSpacing/>
              <w:jc w:val="center"/>
              <w:rPr>
                <w:rFonts w:hint="eastAsia" w:ascii="方正仿宋_GBK" w:hAnsi="方正仿宋_GBK" w:eastAsia="方正仿宋_GBK" w:cs="方正仿宋_GBK"/>
                <w:b/>
                <w:bCs/>
                <w:color w:val="auto"/>
                <w:kern w:val="0"/>
                <w:sz w:val="24"/>
                <w:highlight w:val="none"/>
              </w:rPr>
            </w:pPr>
          </w:p>
        </w:tc>
        <w:tc>
          <w:tcPr>
            <w:tcW w:w="1660" w:type="dxa"/>
            <w:tcBorders>
              <w:top w:val="nil"/>
              <w:left w:val="nil"/>
              <w:bottom w:val="single" w:color="auto" w:sz="4" w:space="0"/>
              <w:right w:val="single" w:color="auto" w:sz="4" w:space="0"/>
            </w:tcBorders>
            <w:noWrap w:val="0"/>
            <w:vAlign w:val="center"/>
          </w:tcPr>
          <w:p w14:paraId="1DB2506D">
            <w:pPr>
              <w:keepNext w:val="0"/>
              <w:keepLines w:val="0"/>
              <w:widowControl/>
              <w:suppressLineNumbers w:val="0"/>
              <w:snapToGrid w:val="0"/>
              <w:spacing w:before="0" w:beforeAutospacing="0" w:after="0" w:afterAutospacing="0"/>
              <w:ind w:left="0" w:right="0"/>
              <w:contextualSpacing/>
              <w:jc w:val="center"/>
              <w:rPr>
                <w:rFonts w:hint="eastAsia" w:ascii="方正仿宋_GBK" w:hAnsi="方正仿宋_GBK" w:eastAsia="方正仿宋_GBK" w:cs="方正仿宋_GBK"/>
                <w:color w:val="auto"/>
                <w:kern w:val="0"/>
                <w:sz w:val="24"/>
                <w:highlight w:val="none"/>
              </w:rPr>
            </w:pPr>
            <w:r>
              <w:rPr>
                <w:rFonts w:hint="eastAsia" w:ascii="方正仿宋_GBK" w:hAnsi="方正仿宋_GBK" w:eastAsia="方正仿宋_GBK" w:cs="方正仿宋_GBK"/>
                <w:color w:val="auto"/>
                <w:kern w:val="0"/>
                <w:sz w:val="24"/>
                <w:highlight w:val="none"/>
              </w:rPr>
              <w:t>营业收入（Y）</w:t>
            </w:r>
          </w:p>
        </w:tc>
        <w:tc>
          <w:tcPr>
            <w:tcW w:w="1466" w:type="dxa"/>
            <w:tcBorders>
              <w:top w:val="nil"/>
              <w:left w:val="nil"/>
              <w:bottom w:val="single" w:color="auto" w:sz="4" w:space="0"/>
              <w:right w:val="single" w:color="auto" w:sz="4" w:space="0"/>
            </w:tcBorders>
            <w:noWrap w:val="0"/>
            <w:vAlign w:val="center"/>
          </w:tcPr>
          <w:p w14:paraId="6B7DBFD8">
            <w:pPr>
              <w:keepNext w:val="0"/>
              <w:keepLines w:val="0"/>
              <w:widowControl/>
              <w:suppressLineNumbers w:val="0"/>
              <w:snapToGrid w:val="0"/>
              <w:spacing w:before="0" w:beforeAutospacing="0" w:after="0" w:afterAutospacing="0"/>
              <w:ind w:left="0" w:right="0"/>
              <w:contextualSpacing/>
              <w:jc w:val="center"/>
              <w:rPr>
                <w:rFonts w:hint="eastAsia" w:ascii="方正仿宋_GBK" w:hAnsi="方正仿宋_GBK" w:eastAsia="方正仿宋_GBK" w:cs="方正仿宋_GBK"/>
                <w:color w:val="auto"/>
                <w:kern w:val="0"/>
                <w:sz w:val="24"/>
                <w:highlight w:val="none"/>
              </w:rPr>
            </w:pPr>
            <w:r>
              <w:rPr>
                <w:rFonts w:hint="eastAsia" w:ascii="方正仿宋_GBK" w:hAnsi="方正仿宋_GBK" w:eastAsia="方正仿宋_GBK" w:cs="方正仿宋_GBK"/>
                <w:color w:val="auto"/>
                <w:kern w:val="0"/>
                <w:sz w:val="24"/>
                <w:highlight w:val="none"/>
              </w:rPr>
              <w:t>万元</w:t>
            </w:r>
          </w:p>
        </w:tc>
        <w:tc>
          <w:tcPr>
            <w:tcW w:w="1903" w:type="dxa"/>
            <w:tcBorders>
              <w:top w:val="nil"/>
              <w:left w:val="nil"/>
              <w:bottom w:val="single" w:color="auto" w:sz="4" w:space="0"/>
              <w:right w:val="single" w:color="auto" w:sz="4" w:space="0"/>
            </w:tcBorders>
            <w:noWrap w:val="0"/>
            <w:vAlign w:val="center"/>
          </w:tcPr>
          <w:p w14:paraId="5E666279">
            <w:pPr>
              <w:keepNext w:val="0"/>
              <w:keepLines w:val="0"/>
              <w:widowControl/>
              <w:suppressLineNumbers w:val="0"/>
              <w:snapToGrid w:val="0"/>
              <w:spacing w:before="0" w:beforeAutospacing="0" w:after="0" w:afterAutospacing="0"/>
              <w:ind w:left="0" w:right="0"/>
              <w:contextualSpacing/>
              <w:jc w:val="center"/>
              <w:rPr>
                <w:rFonts w:hint="eastAsia" w:ascii="方正仿宋_GBK" w:hAnsi="方正仿宋_GBK" w:eastAsia="方正仿宋_GBK" w:cs="方正仿宋_GBK"/>
                <w:color w:val="auto"/>
                <w:kern w:val="0"/>
                <w:sz w:val="24"/>
                <w:highlight w:val="none"/>
              </w:rPr>
            </w:pPr>
            <w:r>
              <w:rPr>
                <w:rFonts w:hint="eastAsia" w:ascii="方正仿宋_GBK" w:hAnsi="方正仿宋_GBK" w:eastAsia="方正仿宋_GBK" w:cs="方正仿宋_GBK"/>
                <w:color w:val="auto"/>
                <w:kern w:val="0"/>
                <w:sz w:val="24"/>
                <w:highlight w:val="none"/>
              </w:rPr>
              <w:t>1000≤Y＜5000</w:t>
            </w:r>
          </w:p>
        </w:tc>
        <w:tc>
          <w:tcPr>
            <w:tcW w:w="1692" w:type="dxa"/>
            <w:tcBorders>
              <w:top w:val="nil"/>
              <w:left w:val="nil"/>
              <w:bottom w:val="single" w:color="auto" w:sz="4" w:space="0"/>
              <w:right w:val="single" w:color="auto" w:sz="4" w:space="0"/>
            </w:tcBorders>
            <w:noWrap w:val="0"/>
            <w:vAlign w:val="center"/>
          </w:tcPr>
          <w:p w14:paraId="688BF3E3">
            <w:pPr>
              <w:keepNext w:val="0"/>
              <w:keepLines w:val="0"/>
              <w:widowControl/>
              <w:suppressLineNumbers w:val="0"/>
              <w:snapToGrid w:val="0"/>
              <w:spacing w:before="0" w:beforeAutospacing="0" w:after="0" w:afterAutospacing="0"/>
              <w:ind w:left="0" w:right="0"/>
              <w:contextualSpacing/>
              <w:jc w:val="center"/>
              <w:rPr>
                <w:rFonts w:hint="eastAsia" w:ascii="方正仿宋_GBK" w:hAnsi="方正仿宋_GBK" w:eastAsia="方正仿宋_GBK" w:cs="方正仿宋_GBK"/>
                <w:color w:val="auto"/>
                <w:kern w:val="0"/>
                <w:sz w:val="24"/>
                <w:highlight w:val="none"/>
              </w:rPr>
            </w:pPr>
            <w:r>
              <w:rPr>
                <w:rFonts w:hint="eastAsia" w:ascii="方正仿宋_GBK" w:hAnsi="方正仿宋_GBK" w:eastAsia="方正仿宋_GBK" w:cs="方正仿宋_GBK"/>
                <w:color w:val="auto"/>
                <w:kern w:val="0"/>
                <w:sz w:val="24"/>
                <w:highlight w:val="none"/>
              </w:rPr>
              <w:t>500≤Y＜1000</w:t>
            </w:r>
          </w:p>
        </w:tc>
        <w:tc>
          <w:tcPr>
            <w:tcW w:w="1087" w:type="dxa"/>
            <w:tcBorders>
              <w:top w:val="nil"/>
              <w:left w:val="nil"/>
              <w:bottom w:val="single" w:color="auto" w:sz="4" w:space="0"/>
              <w:right w:val="single" w:color="auto" w:sz="4" w:space="0"/>
            </w:tcBorders>
            <w:noWrap w:val="0"/>
            <w:vAlign w:val="center"/>
          </w:tcPr>
          <w:p w14:paraId="01A67393">
            <w:pPr>
              <w:keepNext w:val="0"/>
              <w:keepLines w:val="0"/>
              <w:widowControl/>
              <w:suppressLineNumbers w:val="0"/>
              <w:snapToGrid w:val="0"/>
              <w:spacing w:before="0" w:beforeAutospacing="0" w:after="0" w:afterAutospacing="0"/>
              <w:ind w:left="0" w:right="0"/>
              <w:contextualSpacing/>
              <w:jc w:val="center"/>
              <w:rPr>
                <w:rFonts w:hint="eastAsia" w:ascii="方正仿宋_GBK" w:hAnsi="方正仿宋_GBK" w:eastAsia="方正仿宋_GBK" w:cs="方正仿宋_GBK"/>
                <w:color w:val="auto"/>
                <w:kern w:val="0"/>
                <w:sz w:val="24"/>
                <w:highlight w:val="none"/>
              </w:rPr>
            </w:pPr>
            <w:r>
              <w:rPr>
                <w:rFonts w:hint="eastAsia" w:ascii="方正仿宋_GBK" w:hAnsi="方正仿宋_GBK" w:eastAsia="方正仿宋_GBK" w:cs="方正仿宋_GBK"/>
                <w:color w:val="auto"/>
                <w:kern w:val="0"/>
                <w:sz w:val="24"/>
                <w:highlight w:val="none"/>
              </w:rPr>
              <w:t>Y＜500</w:t>
            </w:r>
          </w:p>
        </w:tc>
      </w:tr>
      <w:tr w14:paraId="60471D01">
        <w:tblPrEx>
          <w:tblCellMar>
            <w:top w:w="0" w:type="dxa"/>
            <w:left w:w="108" w:type="dxa"/>
            <w:bottom w:w="0" w:type="dxa"/>
            <w:right w:w="108" w:type="dxa"/>
          </w:tblCellMar>
        </w:tblPrEx>
        <w:trPr>
          <w:trHeight w:val="242"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14:paraId="1338E7D2">
            <w:pPr>
              <w:keepNext w:val="0"/>
              <w:keepLines w:val="0"/>
              <w:widowControl/>
              <w:suppressLineNumbers w:val="0"/>
              <w:snapToGrid w:val="0"/>
              <w:spacing w:before="0" w:beforeAutospacing="0" w:after="0" w:afterAutospacing="0"/>
              <w:ind w:left="0" w:right="0"/>
              <w:contextualSpacing/>
              <w:jc w:val="center"/>
              <w:rPr>
                <w:rFonts w:hint="eastAsia" w:ascii="方正仿宋_GBK" w:hAnsi="方正仿宋_GBK" w:eastAsia="方正仿宋_GBK" w:cs="方正仿宋_GBK"/>
                <w:b/>
                <w:bCs/>
                <w:color w:val="auto"/>
                <w:kern w:val="0"/>
                <w:sz w:val="24"/>
                <w:highlight w:val="none"/>
              </w:rPr>
            </w:pPr>
            <w:r>
              <w:rPr>
                <w:rFonts w:hint="eastAsia" w:ascii="方正仿宋_GBK" w:hAnsi="方正仿宋_GBK" w:eastAsia="方正仿宋_GBK" w:cs="方正仿宋_GBK"/>
                <w:b/>
                <w:bCs/>
                <w:color w:val="auto"/>
                <w:kern w:val="0"/>
                <w:sz w:val="24"/>
                <w:highlight w:val="none"/>
              </w:rPr>
              <w:t>租赁和商务服务业</w:t>
            </w:r>
          </w:p>
        </w:tc>
        <w:tc>
          <w:tcPr>
            <w:tcW w:w="1660" w:type="dxa"/>
            <w:tcBorders>
              <w:top w:val="nil"/>
              <w:left w:val="nil"/>
              <w:bottom w:val="single" w:color="auto" w:sz="4" w:space="0"/>
              <w:right w:val="single" w:color="auto" w:sz="4" w:space="0"/>
            </w:tcBorders>
            <w:noWrap w:val="0"/>
            <w:vAlign w:val="center"/>
          </w:tcPr>
          <w:p w14:paraId="0165DAFB">
            <w:pPr>
              <w:keepNext w:val="0"/>
              <w:keepLines w:val="0"/>
              <w:widowControl/>
              <w:suppressLineNumbers w:val="0"/>
              <w:snapToGrid w:val="0"/>
              <w:spacing w:before="0" w:beforeAutospacing="0" w:after="0" w:afterAutospacing="0"/>
              <w:ind w:left="0" w:right="0"/>
              <w:contextualSpacing/>
              <w:jc w:val="center"/>
              <w:rPr>
                <w:rFonts w:hint="eastAsia" w:ascii="方正仿宋_GBK" w:hAnsi="方正仿宋_GBK" w:eastAsia="方正仿宋_GBK" w:cs="方正仿宋_GBK"/>
                <w:color w:val="auto"/>
                <w:kern w:val="0"/>
                <w:sz w:val="24"/>
                <w:highlight w:val="none"/>
              </w:rPr>
            </w:pPr>
            <w:r>
              <w:rPr>
                <w:rFonts w:hint="eastAsia" w:ascii="方正仿宋_GBK" w:hAnsi="方正仿宋_GBK" w:eastAsia="方正仿宋_GBK" w:cs="方正仿宋_GBK"/>
                <w:color w:val="auto"/>
                <w:kern w:val="0"/>
                <w:sz w:val="24"/>
                <w:highlight w:val="none"/>
              </w:rPr>
              <w:t>从业人员（X）</w:t>
            </w:r>
          </w:p>
        </w:tc>
        <w:tc>
          <w:tcPr>
            <w:tcW w:w="1466" w:type="dxa"/>
            <w:tcBorders>
              <w:top w:val="nil"/>
              <w:left w:val="nil"/>
              <w:bottom w:val="single" w:color="auto" w:sz="4" w:space="0"/>
              <w:right w:val="single" w:color="auto" w:sz="4" w:space="0"/>
            </w:tcBorders>
            <w:noWrap w:val="0"/>
            <w:vAlign w:val="center"/>
          </w:tcPr>
          <w:p w14:paraId="5590368B">
            <w:pPr>
              <w:keepNext w:val="0"/>
              <w:keepLines w:val="0"/>
              <w:widowControl/>
              <w:suppressLineNumbers w:val="0"/>
              <w:snapToGrid w:val="0"/>
              <w:spacing w:before="0" w:beforeAutospacing="0" w:after="0" w:afterAutospacing="0"/>
              <w:ind w:left="0" w:right="0"/>
              <w:contextualSpacing/>
              <w:jc w:val="center"/>
              <w:rPr>
                <w:rFonts w:hint="eastAsia" w:ascii="方正仿宋_GBK" w:hAnsi="方正仿宋_GBK" w:eastAsia="方正仿宋_GBK" w:cs="方正仿宋_GBK"/>
                <w:color w:val="auto"/>
                <w:kern w:val="0"/>
                <w:sz w:val="24"/>
                <w:highlight w:val="none"/>
              </w:rPr>
            </w:pPr>
            <w:r>
              <w:rPr>
                <w:rFonts w:hint="eastAsia" w:ascii="方正仿宋_GBK" w:hAnsi="方正仿宋_GBK" w:eastAsia="方正仿宋_GBK" w:cs="方正仿宋_GBK"/>
                <w:color w:val="auto"/>
                <w:kern w:val="0"/>
                <w:sz w:val="24"/>
                <w:highlight w:val="none"/>
              </w:rPr>
              <w:t>人</w:t>
            </w:r>
          </w:p>
        </w:tc>
        <w:tc>
          <w:tcPr>
            <w:tcW w:w="1903" w:type="dxa"/>
            <w:tcBorders>
              <w:top w:val="nil"/>
              <w:left w:val="nil"/>
              <w:bottom w:val="single" w:color="auto" w:sz="4" w:space="0"/>
              <w:right w:val="single" w:color="auto" w:sz="4" w:space="0"/>
            </w:tcBorders>
            <w:noWrap w:val="0"/>
            <w:vAlign w:val="center"/>
          </w:tcPr>
          <w:p w14:paraId="49804C64">
            <w:pPr>
              <w:keepNext w:val="0"/>
              <w:keepLines w:val="0"/>
              <w:widowControl/>
              <w:suppressLineNumbers w:val="0"/>
              <w:snapToGrid w:val="0"/>
              <w:spacing w:before="0" w:beforeAutospacing="0" w:after="0" w:afterAutospacing="0"/>
              <w:ind w:left="0" w:right="0"/>
              <w:contextualSpacing/>
              <w:jc w:val="center"/>
              <w:rPr>
                <w:rFonts w:hint="eastAsia" w:ascii="方正仿宋_GBK" w:hAnsi="方正仿宋_GBK" w:eastAsia="方正仿宋_GBK" w:cs="方正仿宋_GBK"/>
                <w:color w:val="auto"/>
                <w:kern w:val="0"/>
                <w:sz w:val="24"/>
                <w:highlight w:val="none"/>
              </w:rPr>
            </w:pPr>
            <w:r>
              <w:rPr>
                <w:rFonts w:hint="eastAsia" w:ascii="方正仿宋_GBK" w:hAnsi="方正仿宋_GBK" w:eastAsia="方正仿宋_GBK" w:cs="方正仿宋_GBK"/>
                <w:color w:val="auto"/>
                <w:kern w:val="0"/>
                <w:sz w:val="24"/>
                <w:highlight w:val="none"/>
              </w:rPr>
              <w:t>100≤X＜300</w:t>
            </w:r>
          </w:p>
        </w:tc>
        <w:tc>
          <w:tcPr>
            <w:tcW w:w="1692" w:type="dxa"/>
            <w:tcBorders>
              <w:top w:val="nil"/>
              <w:left w:val="nil"/>
              <w:bottom w:val="single" w:color="auto" w:sz="4" w:space="0"/>
              <w:right w:val="single" w:color="auto" w:sz="4" w:space="0"/>
            </w:tcBorders>
            <w:noWrap w:val="0"/>
            <w:vAlign w:val="center"/>
          </w:tcPr>
          <w:p w14:paraId="1E3EAE27">
            <w:pPr>
              <w:keepNext w:val="0"/>
              <w:keepLines w:val="0"/>
              <w:widowControl/>
              <w:suppressLineNumbers w:val="0"/>
              <w:snapToGrid w:val="0"/>
              <w:spacing w:before="0" w:beforeAutospacing="0" w:after="0" w:afterAutospacing="0"/>
              <w:ind w:left="0" w:right="0"/>
              <w:contextualSpacing/>
              <w:jc w:val="center"/>
              <w:rPr>
                <w:rFonts w:hint="eastAsia" w:ascii="方正仿宋_GBK" w:hAnsi="方正仿宋_GBK" w:eastAsia="方正仿宋_GBK" w:cs="方正仿宋_GBK"/>
                <w:color w:val="auto"/>
                <w:kern w:val="0"/>
                <w:sz w:val="24"/>
                <w:highlight w:val="none"/>
              </w:rPr>
            </w:pPr>
            <w:r>
              <w:rPr>
                <w:rFonts w:hint="eastAsia" w:ascii="方正仿宋_GBK" w:hAnsi="方正仿宋_GBK" w:eastAsia="方正仿宋_GBK" w:cs="方正仿宋_GBK"/>
                <w:color w:val="auto"/>
                <w:kern w:val="0"/>
                <w:sz w:val="24"/>
                <w:highlight w:val="none"/>
              </w:rPr>
              <w:t>10≤X＜100</w:t>
            </w:r>
          </w:p>
        </w:tc>
        <w:tc>
          <w:tcPr>
            <w:tcW w:w="1087" w:type="dxa"/>
            <w:tcBorders>
              <w:top w:val="nil"/>
              <w:left w:val="nil"/>
              <w:bottom w:val="single" w:color="auto" w:sz="4" w:space="0"/>
              <w:right w:val="single" w:color="auto" w:sz="4" w:space="0"/>
            </w:tcBorders>
            <w:noWrap w:val="0"/>
            <w:vAlign w:val="center"/>
          </w:tcPr>
          <w:p w14:paraId="2956254B">
            <w:pPr>
              <w:keepNext w:val="0"/>
              <w:keepLines w:val="0"/>
              <w:widowControl/>
              <w:suppressLineNumbers w:val="0"/>
              <w:snapToGrid w:val="0"/>
              <w:spacing w:before="0" w:beforeAutospacing="0" w:after="0" w:afterAutospacing="0"/>
              <w:ind w:left="0" w:right="0"/>
              <w:contextualSpacing/>
              <w:jc w:val="center"/>
              <w:rPr>
                <w:rFonts w:hint="eastAsia" w:ascii="方正仿宋_GBK" w:hAnsi="方正仿宋_GBK" w:eastAsia="方正仿宋_GBK" w:cs="方正仿宋_GBK"/>
                <w:color w:val="auto"/>
                <w:kern w:val="0"/>
                <w:sz w:val="24"/>
                <w:highlight w:val="none"/>
              </w:rPr>
            </w:pPr>
            <w:r>
              <w:rPr>
                <w:rFonts w:hint="eastAsia" w:ascii="方正仿宋_GBK" w:hAnsi="方正仿宋_GBK" w:eastAsia="方正仿宋_GBK" w:cs="方正仿宋_GBK"/>
                <w:color w:val="auto"/>
                <w:kern w:val="0"/>
                <w:sz w:val="24"/>
                <w:highlight w:val="none"/>
              </w:rPr>
              <w:t>X＜10</w:t>
            </w:r>
          </w:p>
        </w:tc>
      </w:tr>
      <w:tr w14:paraId="63B47EE1">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14:paraId="40966C2A">
            <w:pPr>
              <w:keepNext w:val="0"/>
              <w:keepLines w:val="0"/>
              <w:widowControl/>
              <w:suppressLineNumbers w:val="0"/>
              <w:snapToGrid w:val="0"/>
              <w:spacing w:before="0" w:beforeAutospacing="0" w:after="0" w:afterAutospacing="0"/>
              <w:ind w:left="0" w:right="0"/>
              <w:contextualSpacing/>
              <w:jc w:val="center"/>
              <w:rPr>
                <w:rFonts w:hint="eastAsia" w:ascii="方正仿宋_GBK" w:hAnsi="方正仿宋_GBK" w:eastAsia="方正仿宋_GBK" w:cs="方正仿宋_GBK"/>
                <w:b/>
                <w:bCs/>
                <w:color w:val="auto"/>
                <w:kern w:val="0"/>
                <w:sz w:val="24"/>
                <w:highlight w:val="none"/>
              </w:rPr>
            </w:pPr>
          </w:p>
        </w:tc>
        <w:tc>
          <w:tcPr>
            <w:tcW w:w="1660" w:type="dxa"/>
            <w:tcBorders>
              <w:top w:val="nil"/>
              <w:left w:val="nil"/>
              <w:bottom w:val="single" w:color="auto" w:sz="4" w:space="0"/>
              <w:right w:val="single" w:color="auto" w:sz="4" w:space="0"/>
            </w:tcBorders>
            <w:noWrap w:val="0"/>
            <w:vAlign w:val="center"/>
          </w:tcPr>
          <w:p w14:paraId="4E86E8D3">
            <w:pPr>
              <w:keepNext w:val="0"/>
              <w:keepLines w:val="0"/>
              <w:widowControl/>
              <w:suppressLineNumbers w:val="0"/>
              <w:snapToGrid w:val="0"/>
              <w:spacing w:before="0" w:beforeAutospacing="0" w:after="0" w:afterAutospacing="0"/>
              <w:ind w:left="0" w:right="0"/>
              <w:contextualSpacing/>
              <w:jc w:val="center"/>
              <w:rPr>
                <w:rFonts w:hint="eastAsia" w:ascii="方正仿宋_GBK" w:hAnsi="方正仿宋_GBK" w:eastAsia="方正仿宋_GBK" w:cs="方正仿宋_GBK"/>
                <w:color w:val="auto"/>
                <w:kern w:val="0"/>
                <w:sz w:val="24"/>
                <w:highlight w:val="none"/>
              </w:rPr>
            </w:pPr>
            <w:r>
              <w:rPr>
                <w:rFonts w:hint="eastAsia" w:ascii="方正仿宋_GBK" w:hAnsi="方正仿宋_GBK" w:eastAsia="方正仿宋_GBK" w:cs="方正仿宋_GBK"/>
                <w:color w:val="auto"/>
                <w:kern w:val="0"/>
                <w:sz w:val="24"/>
                <w:highlight w:val="none"/>
              </w:rPr>
              <w:t>资产总额（Z）</w:t>
            </w:r>
          </w:p>
        </w:tc>
        <w:tc>
          <w:tcPr>
            <w:tcW w:w="1466" w:type="dxa"/>
            <w:tcBorders>
              <w:top w:val="nil"/>
              <w:left w:val="nil"/>
              <w:bottom w:val="single" w:color="auto" w:sz="4" w:space="0"/>
              <w:right w:val="single" w:color="auto" w:sz="4" w:space="0"/>
            </w:tcBorders>
            <w:noWrap w:val="0"/>
            <w:vAlign w:val="center"/>
          </w:tcPr>
          <w:p w14:paraId="09321EC5">
            <w:pPr>
              <w:keepNext w:val="0"/>
              <w:keepLines w:val="0"/>
              <w:widowControl/>
              <w:suppressLineNumbers w:val="0"/>
              <w:snapToGrid w:val="0"/>
              <w:spacing w:before="0" w:beforeAutospacing="0" w:after="0" w:afterAutospacing="0"/>
              <w:ind w:left="0" w:right="0"/>
              <w:contextualSpacing/>
              <w:jc w:val="center"/>
              <w:rPr>
                <w:rFonts w:hint="eastAsia" w:ascii="方正仿宋_GBK" w:hAnsi="方正仿宋_GBK" w:eastAsia="方正仿宋_GBK" w:cs="方正仿宋_GBK"/>
                <w:color w:val="auto"/>
                <w:kern w:val="0"/>
                <w:sz w:val="24"/>
                <w:highlight w:val="none"/>
              </w:rPr>
            </w:pPr>
            <w:r>
              <w:rPr>
                <w:rFonts w:hint="eastAsia" w:ascii="方正仿宋_GBK" w:hAnsi="方正仿宋_GBK" w:eastAsia="方正仿宋_GBK" w:cs="方正仿宋_GBK"/>
                <w:color w:val="auto"/>
                <w:kern w:val="0"/>
                <w:sz w:val="24"/>
                <w:highlight w:val="none"/>
              </w:rPr>
              <w:t>万元</w:t>
            </w:r>
          </w:p>
        </w:tc>
        <w:tc>
          <w:tcPr>
            <w:tcW w:w="1903" w:type="dxa"/>
            <w:tcBorders>
              <w:top w:val="nil"/>
              <w:left w:val="nil"/>
              <w:bottom w:val="single" w:color="auto" w:sz="4" w:space="0"/>
              <w:right w:val="single" w:color="auto" w:sz="4" w:space="0"/>
            </w:tcBorders>
            <w:noWrap w:val="0"/>
            <w:vAlign w:val="center"/>
          </w:tcPr>
          <w:p w14:paraId="24635824">
            <w:pPr>
              <w:keepNext w:val="0"/>
              <w:keepLines w:val="0"/>
              <w:widowControl/>
              <w:suppressLineNumbers w:val="0"/>
              <w:snapToGrid w:val="0"/>
              <w:spacing w:before="0" w:beforeAutospacing="0" w:after="0" w:afterAutospacing="0"/>
              <w:ind w:left="0" w:right="0"/>
              <w:contextualSpacing/>
              <w:jc w:val="center"/>
              <w:rPr>
                <w:rFonts w:hint="eastAsia" w:ascii="方正仿宋_GBK" w:hAnsi="方正仿宋_GBK" w:eastAsia="方正仿宋_GBK" w:cs="方正仿宋_GBK"/>
                <w:color w:val="auto"/>
                <w:kern w:val="0"/>
                <w:sz w:val="24"/>
                <w:highlight w:val="none"/>
              </w:rPr>
            </w:pPr>
            <w:r>
              <w:rPr>
                <w:rFonts w:hint="eastAsia" w:ascii="方正仿宋_GBK" w:hAnsi="方正仿宋_GBK" w:eastAsia="方正仿宋_GBK" w:cs="方正仿宋_GBK"/>
                <w:color w:val="auto"/>
                <w:kern w:val="0"/>
                <w:sz w:val="24"/>
                <w:highlight w:val="none"/>
              </w:rPr>
              <w:t>8000≤Z＜120000</w:t>
            </w:r>
          </w:p>
        </w:tc>
        <w:tc>
          <w:tcPr>
            <w:tcW w:w="1692" w:type="dxa"/>
            <w:tcBorders>
              <w:top w:val="nil"/>
              <w:left w:val="nil"/>
              <w:bottom w:val="single" w:color="auto" w:sz="4" w:space="0"/>
              <w:right w:val="single" w:color="auto" w:sz="4" w:space="0"/>
            </w:tcBorders>
            <w:noWrap w:val="0"/>
            <w:vAlign w:val="center"/>
          </w:tcPr>
          <w:p w14:paraId="0AF20C03">
            <w:pPr>
              <w:keepNext w:val="0"/>
              <w:keepLines w:val="0"/>
              <w:widowControl/>
              <w:suppressLineNumbers w:val="0"/>
              <w:snapToGrid w:val="0"/>
              <w:spacing w:before="0" w:beforeAutospacing="0" w:after="0" w:afterAutospacing="0"/>
              <w:ind w:left="0" w:right="0"/>
              <w:contextualSpacing/>
              <w:jc w:val="center"/>
              <w:rPr>
                <w:rFonts w:hint="eastAsia" w:ascii="方正仿宋_GBK" w:hAnsi="方正仿宋_GBK" w:eastAsia="方正仿宋_GBK" w:cs="方正仿宋_GBK"/>
                <w:color w:val="auto"/>
                <w:kern w:val="0"/>
                <w:sz w:val="24"/>
                <w:highlight w:val="none"/>
              </w:rPr>
            </w:pPr>
            <w:r>
              <w:rPr>
                <w:rFonts w:hint="eastAsia" w:ascii="方正仿宋_GBK" w:hAnsi="方正仿宋_GBK" w:eastAsia="方正仿宋_GBK" w:cs="方正仿宋_GBK"/>
                <w:color w:val="auto"/>
                <w:kern w:val="0"/>
                <w:sz w:val="24"/>
                <w:highlight w:val="none"/>
              </w:rPr>
              <w:t>100≤Z＜8000</w:t>
            </w:r>
          </w:p>
        </w:tc>
        <w:tc>
          <w:tcPr>
            <w:tcW w:w="1087" w:type="dxa"/>
            <w:tcBorders>
              <w:top w:val="nil"/>
              <w:left w:val="nil"/>
              <w:bottom w:val="single" w:color="auto" w:sz="4" w:space="0"/>
              <w:right w:val="single" w:color="auto" w:sz="4" w:space="0"/>
            </w:tcBorders>
            <w:noWrap w:val="0"/>
            <w:vAlign w:val="center"/>
          </w:tcPr>
          <w:p w14:paraId="00C6AB4E">
            <w:pPr>
              <w:keepNext w:val="0"/>
              <w:keepLines w:val="0"/>
              <w:widowControl/>
              <w:suppressLineNumbers w:val="0"/>
              <w:snapToGrid w:val="0"/>
              <w:spacing w:before="0" w:beforeAutospacing="0" w:after="0" w:afterAutospacing="0"/>
              <w:ind w:left="0" w:right="0"/>
              <w:contextualSpacing/>
              <w:jc w:val="center"/>
              <w:rPr>
                <w:rFonts w:hint="eastAsia" w:ascii="方正仿宋_GBK" w:hAnsi="方正仿宋_GBK" w:eastAsia="方正仿宋_GBK" w:cs="方正仿宋_GBK"/>
                <w:color w:val="auto"/>
                <w:kern w:val="0"/>
                <w:sz w:val="24"/>
                <w:highlight w:val="none"/>
              </w:rPr>
            </w:pPr>
            <w:r>
              <w:rPr>
                <w:rFonts w:hint="eastAsia" w:ascii="方正仿宋_GBK" w:hAnsi="方正仿宋_GBK" w:eastAsia="方正仿宋_GBK" w:cs="方正仿宋_GBK"/>
                <w:color w:val="auto"/>
                <w:kern w:val="0"/>
                <w:sz w:val="24"/>
                <w:highlight w:val="none"/>
              </w:rPr>
              <w:t>Y＜100</w:t>
            </w:r>
          </w:p>
        </w:tc>
      </w:tr>
      <w:tr w14:paraId="0A4E712B">
        <w:tblPrEx>
          <w:tblCellMar>
            <w:top w:w="0" w:type="dxa"/>
            <w:left w:w="108" w:type="dxa"/>
            <w:bottom w:w="0" w:type="dxa"/>
            <w:right w:w="108" w:type="dxa"/>
          </w:tblCellMar>
        </w:tblPrEx>
        <w:trPr>
          <w:trHeight w:val="199" w:hRule="atLeast"/>
          <w:jc w:val="center"/>
        </w:trPr>
        <w:tc>
          <w:tcPr>
            <w:tcW w:w="1570" w:type="dxa"/>
            <w:tcBorders>
              <w:top w:val="nil"/>
              <w:left w:val="single" w:color="auto" w:sz="4" w:space="0"/>
              <w:bottom w:val="single" w:color="auto" w:sz="4" w:space="0"/>
              <w:right w:val="single" w:color="auto" w:sz="4" w:space="0"/>
            </w:tcBorders>
            <w:noWrap w:val="0"/>
            <w:vAlign w:val="center"/>
          </w:tcPr>
          <w:p w14:paraId="2C3A1469">
            <w:pPr>
              <w:keepNext w:val="0"/>
              <w:keepLines w:val="0"/>
              <w:widowControl/>
              <w:suppressLineNumbers w:val="0"/>
              <w:snapToGrid w:val="0"/>
              <w:spacing w:before="0" w:beforeAutospacing="0" w:after="0" w:afterAutospacing="0"/>
              <w:ind w:left="0" w:right="0"/>
              <w:contextualSpacing/>
              <w:jc w:val="center"/>
              <w:rPr>
                <w:rFonts w:hint="eastAsia" w:ascii="方正仿宋_GBK" w:hAnsi="方正仿宋_GBK" w:eastAsia="方正仿宋_GBK" w:cs="方正仿宋_GBK"/>
                <w:b/>
                <w:bCs/>
                <w:color w:val="auto"/>
                <w:kern w:val="0"/>
                <w:sz w:val="24"/>
                <w:highlight w:val="none"/>
              </w:rPr>
            </w:pPr>
            <w:r>
              <w:rPr>
                <w:rFonts w:hint="eastAsia" w:ascii="方正仿宋_GBK" w:hAnsi="方正仿宋_GBK" w:eastAsia="方正仿宋_GBK" w:cs="方正仿宋_GBK"/>
                <w:b/>
                <w:bCs/>
                <w:color w:val="auto"/>
                <w:kern w:val="0"/>
                <w:sz w:val="24"/>
                <w:highlight w:val="none"/>
              </w:rPr>
              <w:t>其他未列明行业</w:t>
            </w:r>
          </w:p>
        </w:tc>
        <w:tc>
          <w:tcPr>
            <w:tcW w:w="1660" w:type="dxa"/>
            <w:tcBorders>
              <w:top w:val="nil"/>
              <w:left w:val="nil"/>
              <w:bottom w:val="single" w:color="auto" w:sz="4" w:space="0"/>
              <w:right w:val="single" w:color="auto" w:sz="4" w:space="0"/>
            </w:tcBorders>
            <w:noWrap w:val="0"/>
            <w:vAlign w:val="center"/>
          </w:tcPr>
          <w:p w14:paraId="01CD85B2">
            <w:pPr>
              <w:keepNext w:val="0"/>
              <w:keepLines w:val="0"/>
              <w:widowControl/>
              <w:suppressLineNumbers w:val="0"/>
              <w:snapToGrid w:val="0"/>
              <w:spacing w:before="0" w:beforeAutospacing="0" w:after="0" w:afterAutospacing="0"/>
              <w:ind w:left="0" w:right="0"/>
              <w:contextualSpacing/>
              <w:jc w:val="center"/>
              <w:rPr>
                <w:rFonts w:hint="eastAsia" w:ascii="方正仿宋_GBK" w:hAnsi="方正仿宋_GBK" w:eastAsia="方正仿宋_GBK" w:cs="方正仿宋_GBK"/>
                <w:color w:val="auto"/>
                <w:kern w:val="0"/>
                <w:sz w:val="24"/>
                <w:highlight w:val="none"/>
              </w:rPr>
            </w:pPr>
            <w:r>
              <w:rPr>
                <w:rFonts w:hint="eastAsia" w:ascii="方正仿宋_GBK" w:hAnsi="方正仿宋_GBK" w:eastAsia="方正仿宋_GBK" w:cs="方正仿宋_GBK"/>
                <w:color w:val="auto"/>
                <w:kern w:val="0"/>
                <w:sz w:val="24"/>
                <w:highlight w:val="none"/>
              </w:rPr>
              <w:t>从业人员（X）</w:t>
            </w:r>
          </w:p>
        </w:tc>
        <w:tc>
          <w:tcPr>
            <w:tcW w:w="1466" w:type="dxa"/>
            <w:tcBorders>
              <w:top w:val="nil"/>
              <w:left w:val="nil"/>
              <w:bottom w:val="single" w:color="auto" w:sz="4" w:space="0"/>
              <w:right w:val="single" w:color="auto" w:sz="4" w:space="0"/>
            </w:tcBorders>
            <w:noWrap w:val="0"/>
            <w:vAlign w:val="center"/>
          </w:tcPr>
          <w:p w14:paraId="636AF38A">
            <w:pPr>
              <w:keepNext w:val="0"/>
              <w:keepLines w:val="0"/>
              <w:widowControl/>
              <w:suppressLineNumbers w:val="0"/>
              <w:snapToGrid w:val="0"/>
              <w:spacing w:before="0" w:beforeAutospacing="0" w:after="0" w:afterAutospacing="0"/>
              <w:ind w:left="0" w:right="0"/>
              <w:contextualSpacing/>
              <w:jc w:val="center"/>
              <w:rPr>
                <w:rFonts w:hint="eastAsia" w:ascii="方正仿宋_GBK" w:hAnsi="方正仿宋_GBK" w:eastAsia="方正仿宋_GBK" w:cs="方正仿宋_GBK"/>
                <w:color w:val="auto"/>
                <w:kern w:val="0"/>
                <w:sz w:val="24"/>
                <w:highlight w:val="none"/>
              </w:rPr>
            </w:pPr>
            <w:r>
              <w:rPr>
                <w:rFonts w:hint="eastAsia" w:ascii="方正仿宋_GBK" w:hAnsi="方正仿宋_GBK" w:eastAsia="方正仿宋_GBK" w:cs="方正仿宋_GBK"/>
                <w:color w:val="auto"/>
                <w:kern w:val="0"/>
                <w:sz w:val="24"/>
                <w:highlight w:val="none"/>
              </w:rPr>
              <w:t>人</w:t>
            </w:r>
          </w:p>
        </w:tc>
        <w:tc>
          <w:tcPr>
            <w:tcW w:w="1903" w:type="dxa"/>
            <w:tcBorders>
              <w:top w:val="nil"/>
              <w:left w:val="nil"/>
              <w:bottom w:val="single" w:color="auto" w:sz="4" w:space="0"/>
              <w:right w:val="single" w:color="auto" w:sz="4" w:space="0"/>
            </w:tcBorders>
            <w:noWrap w:val="0"/>
            <w:vAlign w:val="center"/>
          </w:tcPr>
          <w:p w14:paraId="743DEF1D">
            <w:pPr>
              <w:keepNext w:val="0"/>
              <w:keepLines w:val="0"/>
              <w:widowControl/>
              <w:suppressLineNumbers w:val="0"/>
              <w:snapToGrid w:val="0"/>
              <w:spacing w:before="0" w:beforeAutospacing="0" w:after="0" w:afterAutospacing="0"/>
              <w:ind w:left="0" w:right="0"/>
              <w:contextualSpacing/>
              <w:jc w:val="center"/>
              <w:rPr>
                <w:rFonts w:hint="eastAsia" w:ascii="方正仿宋_GBK" w:hAnsi="方正仿宋_GBK" w:eastAsia="方正仿宋_GBK" w:cs="方正仿宋_GBK"/>
                <w:color w:val="auto"/>
                <w:kern w:val="0"/>
                <w:sz w:val="24"/>
                <w:highlight w:val="none"/>
              </w:rPr>
            </w:pPr>
            <w:r>
              <w:rPr>
                <w:rFonts w:hint="eastAsia" w:ascii="方正仿宋_GBK" w:hAnsi="方正仿宋_GBK" w:eastAsia="方正仿宋_GBK" w:cs="方正仿宋_GBK"/>
                <w:color w:val="auto"/>
                <w:kern w:val="0"/>
                <w:sz w:val="24"/>
                <w:highlight w:val="none"/>
              </w:rPr>
              <w:t>100≤X＜300</w:t>
            </w:r>
          </w:p>
        </w:tc>
        <w:tc>
          <w:tcPr>
            <w:tcW w:w="1692" w:type="dxa"/>
            <w:tcBorders>
              <w:top w:val="nil"/>
              <w:left w:val="nil"/>
              <w:bottom w:val="single" w:color="auto" w:sz="4" w:space="0"/>
              <w:right w:val="single" w:color="auto" w:sz="4" w:space="0"/>
            </w:tcBorders>
            <w:noWrap w:val="0"/>
            <w:vAlign w:val="center"/>
          </w:tcPr>
          <w:p w14:paraId="21C2994B">
            <w:pPr>
              <w:keepNext w:val="0"/>
              <w:keepLines w:val="0"/>
              <w:widowControl/>
              <w:suppressLineNumbers w:val="0"/>
              <w:snapToGrid w:val="0"/>
              <w:spacing w:before="0" w:beforeAutospacing="0" w:after="0" w:afterAutospacing="0"/>
              <w:ind w:left="0" w:right="0"/>
              <w:contextualSpacing/>
              <w:jc w:val="center"/>
              <w:rPr>
                <w:rFonts w:hint="eastAsia" w:ascii="方正仿宋_GBK" w:hAnsi="方正仿宋_GBK" w:eastAsia="方正仿宋_GBK" w:cs="方正仿宋_GBK"/>
                <w:color w:val="auto"/>
                <w:kern w:val="0"/>
                <w:sz w:val="24"/>
                <w:highlight w:val="none"/>
              </w:rPr>
            </w:pPr>
            <w:r>
              <w:rPr>
                <w:rFonts w:hint="eastAsia" w:ascii="方正仿宋_GBK" w:hAnsi="方正仿宋_GBK" w:eastAsia="方正仿宋_GBK" w:cs="方正仿宋_GBK"/>
                <w:color w:val="auto"/>
                <w:kern w:val="0"/>
                <w:sz w:val="24"/>
                <w:highlight w:val="none"/>
              </w:rPr>
              <w:t>10≤X＜100</w:t>
            </w:r>
          </w:p>
        </w:tc>
        <w:tc>
          <w:tcPr>
            <w:tcW w:w="1087" w:type="dxa"/>
            <w:tcBorders>
              <w:top w:val="nil"/>
              <w:left w:val="nil"/>
              <w:bottom w:val="single" w:color="auto" w:sz="4" w:space="0"/>
              <w:right w:val="single" w:color="auto" w:sz="4" w:space="0"/>
            </w:tcBorders>
            <w:noWrap w:val="0"/>
            <w:vAlign w:val="center"/>
          </w:tcPr>
          <w:p w14:paraId="56779EB8">
            <w:pPr>
              <w:keepNext w:val="0"/>
              <w:keepLines w:val="0"/>
              <w:widowControl/>
              <w:suppressLineNumbers w:val="0"/>
              <w:snapToGrid w:val="0"/>
              <w:spacing w:before="0" w:beforeAutospacing="0" w:after="0" w:afterAutospacing="0"/>
              <w:ind w:left="0" w:right="0"/>
              <w:contextualSpacing/>
              <w:jc w:val="center"/>
              <w:rPr>
                <w:rFonts w:hint="eastAsia" w:ascii="方正仿宋_GBK" w:hAnsi="方正仿宋_GBK" w:eastAsia="方正仿宋_GBK" w:cs="方正仿宋_GBK"/>
                <w:color w:val="auto"/>
                <w:kern w:val="0"/>
                <w:sz w:val="24"/>
                <w:highlight w:val="none"/>
              </w:rPr>
            </w:pPr>
            <w:r>
              <w:rPr>
                <w:rFonts w:hint="eastAsia" w:ascii="方正仿宋_GBK" w:hAnsi="方正仿宋_GBK" w:eastAsia="方正仿宋_GBK" w:cs="方正仿宋_GBK"/>
                <w:color w:val="auto"/>
                <w:kern w:val="0"/>
                <w:sz w:val="24"/>
                <w:highlight w:val="none"/>
              </w:rPr>
              <w:t>X＜10</w:t>
            </w:r>
          </w:p>
        </w:tc>
      </w:tr>
    </w:tbl>
    <w:p w14:paraId="62A7C87B">
      <w:pPr>
        <w:keepNext w:val="0"/>
        <w:keepLines w:val="0"/>
        <w:pageBreakBefore w:val="0"/>
        <w:widowControl/>
        <w:suppressLineNumbers w:val="0"/>
        <w:shd w:val="clear" w:color="auto" w:fill="auto"/>
        <w:kinsoku/>
        <w:wordWrap/>
        <w:overflowPunct/>
        <w:topLinePunct w:val="0"/>
        <w:autoSpaceDE/>
        <w:autoSpaceDN/>
        <w:bidi w:val="0"/>
        <w:adjustRightInd/>
        <w:snapToGrid/>
        <w:spacing w:before="0" w:beforeAutospacing="0" w:after="0" w:afterAutospacing="0" w:line="460" w:lineRule="exact"/>
        <w:ind w:left="0" w:right="0" w:firstLine="480" w:firstLineChars="200"/>
        <w:jc w:val="left"/>
        <w:textAlignment w:val="auto"/>
        <w:rPr>
          <w:rFonts w:hint="eastAsia" w:ascii="方正仿宋_GBK" w:hAnsi="方正仿宋_GBK" w:eastAsia="方正仿宋_GBK" w:cs="方正仿宋_GBK"/>
          <w:i w:val="0"/>
          <w:iCs w:val="0"/>
          <w:caps w:val="0"/>
          <w:color w:val="auto"/>
          <w:spacing w:val="0"/>
          <w:kern w:val="0"/>
          <w:sz w:val="24"/>
          <w:szCs w:val="24"/>
          <w:highlight w:val="none"/>
          <w:shd w:val="clear" w:color="auto" w:fill="FFFFFF"/>
          <w:lang w:val="en-US" w:eastAsia="zh-CN"/>
        </w:rPr>
      </w:pPr>
      <w:r>
        <w:rPr>
          <w:rFonts w:hint="eastAsia" w:ascii="方正仿宋_GBK" w:hAnsi="方正仿宋_GBK" w:eastAsia="方正仿宋_GBK" w:cs="方正仿宋_GBK"/>
          <w:b/>
          <w:bCs/>
          <w:i w:val="0"/>
          <w:iCs w:val="0"/>
          <w:caps w:val="0"/>
          <w:color w:val="auto"/>
          <w:spacing w:val="0"/>
          <w:kern w:val="0"/>
          <w:sz w:val="24"/>
          <w:szCs w:val="24"/>
          <w:highlight w:val="none"/>
          <w:shd w:val="clear" w:color="auto" w:fill="FFFFFF"/>
          <w:lang w:val="en-US" w:eastAsia="zh-CN"/>
        </w:rPr>
        <w:t>说明：</w:t>
      </w:r>
      <w:r>
        <w:rPr>
          <w:rFonts w:hint="eastAsia" w:ascii="方正仿宋_GBK" w:hAnsi="方正仿宋_GBK" w:eastAsia="方正仿宋_GBK" w:cs="方正仿宋_GBK"/>
          <w:i w:val="0"/>
          <w:iCs w:val="0"/>
          <w:caps w:val="0"/>
          <w:color w:val="auto"/>
          <w:spacing w:val="0"/>
          <w:kern w:val="0"/>
          <w:sz w:val="24"/>
          <w:szCs w:val="24"/>
          <w:highlight w:val="none"/>
          <w:shd w:val="clear" w:color="auto" w:fill="FFFFFF"/>
          <w:lang w:val="en-US" w:eastAsia="zh-CN"/>
        </w:rPr>
        <w:t>上述标准参照《关于印发中小企业划型标准规定的通知》（工信部联企业[2011]300号），大型、中型和小型企业须同时满足所列指标的下限，否则下划一档；微型企业只须满足所列指标中的一项即可。</w:t>
      </w:r>
    </w:p>
    <w:p w14:paraId="3ED76912">
      <w:pPr>
        <w:keepNext w:val="0"/>
        <w:keepLines w:val="0"/>
        <w:pageBreakBefore w:val="0"/>
        <w:widowControl/>
        <w:suppressLineNumbers w:val="0"/>
        <w:shd w:val="clear" w:color="auto" w:fill="auto"/>
        <w:kinsoku/>
        <w:wordWrap/>
        <w:overflowPunct/>
        <w:topLinePunct w:val="0"/>
        <w:autoSpaceDE/>
        <w:autoSpaceDN/>
        <w:bidi w:val="0"/>
        <w:adjustRightInd/>
        <w:snapToGrid/>
        <w:spacing w:before="0" w:beforeAutospacing="0" w:after="0" w:afterAutospacing="0" w:line="460" w:lineRule="exact"/>
        <w:ind w:left="0" w:right="0" w:firstLine="480" w:firstLineChars="200"/>
        <w:jc w:val="left"/>
        <w:textAlignment w:val="auto"/>
        <w:rPr>
          <w:rFonts w:hint="eastAsia" w:ascii="方正仿宋_GBK" w:hAnsi="方正仿宋_GBK" w:eastAsia="方正仿宋_GBK" w:cs="方正仿宋_GBK"/>
          <w:i w:val="0"/>
          <w:iCs w:val="0"/>
          <w:caps w:val="0"/>
          <w:color w:val="auto"/>
          <w:spacing w:val="0"/>
          <w:kern w:val="0"/>
          <w:sz w:val="24"/>
          <w:szCs w:val="24"/>
          <w:highlight w:val="none"/>
          <w:shd w:val="clear" w:color="auto" w:fill="FFFFFF"/>
          <w:lang w:val="en-US" w:eastAsia="zh-CN"/>
        </w:rPr>
      </w:pPr>
      <w:r>
        <w:rPr>
          <w:rFonts w:hint="eastAsia" w:ascii="方正仿宋_GBK" w:hAnsi="方正仿宋_GBK" w:eastAsia="方正仿宋_GBK" w:cs="方正仿宋_GBK"/>
          <w:i w:val="0"/>
          <w:iCs w:val="0"/>
          <w:caps w:val="0"/>
          <w:color w:val="auto"/>
          <w:spacing w:val="0"/>
          <w:kern w:val="0"/>
          <w:sz w:val="24"/>
          <w:szCs w:val="24"/>
          <w:highlight w:val="none"/>
          <w:shd w:val="clear" w:color="auto" w:fill="FFFFFF"/>
          <w:lang w:val="en-US" w:eastAsia="zh-CN"/>
        </w:rPr>
        <w:t>本招标文件所称中小企业，是指在中华人民共和国境内依法设立，依据国务院批准的</w:t>
      </w:r>
    </w:p>
    <w:p w14:paraId="214FF353">
      <w:pPr>
        <w:keepNext w:val="0"/>
        <w:keepLines w:val="0"/>
        <w:pageBreakBefore w:val="0"/>
        <w:widowControl/>
        <w:suppressLineNumbers w:val="0"/>
        <w:shd w:val="clear" w:color="auto" w:fill="auto"/>
        <w:kinsoku/>
        <w:wordWrap/>
        <w:overflowPunct/>
        <w:topLinePunct w:val="0"/>
        <w:autoSpaceDE/>
        <w:autoSpaceDN/>
        <w:bidi w:val="0"/>
        <w:adjustRightInd/>
        <w:snapToGrid/>
        <w:spacing w:before="0" w:beforeAutospacing="0" w:after="0" w:afterAutospacing="0" w:line="460" w:lineRule="exact"/>
        <w:ind w:left="0" w:right="0" w:firstLine="480" w:firstLineChars="200"/>
        <w:jc w:val="left"/>
        <w:textAlignment w:val="auto"/>
        <w:rPr>
          <w:rFonts w:hint="eastAsia" w:ascii="方正仿宋_GBK" w:hAnsi="方正仿宋_GBK" w:eastAsia="方正仿宋_GBK" w:cs="方正仿宋_GBK"/>
          <w:i w:val="0"/>
          <w:iCs w:val="0"/>
          <w:caps w:val="0"/>
          <w:color w:val="auto"/>
          <w:spacing w:val="0"/>
          <w:kern w:val="0"/>
          <w:sz w:val="24"/>
          <w:szCs w:val="24"/>
          <w:highlight w:val="none"/>
          <w:shd w:val="clear" w:color="auto" w:fill="FFFFFF"/>
          <w:lang w:val="en-US" w:eastAsia="zh-CN"/>
        </w:rPr>
      </w:pPr>
      <w:r>
        <w:rPr>
          <w:rFonts w:hint="eastAsia" w:ascii="方正仿宋_GBK" w:hAnsi="方正仿宋_GBK" w:eastAsia="方正仿宋_GBK" w:cs="方正仿宋_GBK"/>
          <w:i w:val="0"/>
          <w:iCs w:val="0"/>
          <w:caps w:val="0"/>
          <w:color w:val="auto"/>
          <w:spacing w:val="0"/>
          <w:kern w:val="0"/>
          <w:sz w:val="24"/>
          <w:szCs w:val="24"/>
          <w:highlight w:val="none"/>
          <w:shd w:val="clear" w:color="auto" w:fill="FFFFFF"/>
          <w:lang w:val="en-US" w:eastAsia="zh-CN"/>
        </w:rPr>
        <w:t>中小企业划分标准确定的中型企业、小型企业和微型企业，但与大企业的负责人为同一人，或者与大企业存在直接控股、管理关系的除外。符合中小企业划分标准的个体工商户，在政府采购活动中视同中小企业。在政府采购活动中，供应商提供的货物、工程或者服务符合下列情形的，享受本招标文件规定的中小企业扶持政策：</w:t>
      </w:r>
    </w:p>
    <w:p w14:paraId="6A5CA9A3">
      <w:pPr>
        <w:keepNext w:val="0"/>
        <w:keepLines w:val="0"/>
        <w:pageBreakBefore w:val="0"/>
        <w:widowControl/>
        <w:suppressLineNumbers w:val="0"/>
        <w:shd w:val="clear" w:color="auto" w:fill="auto"/>
        <w:kinsoku/>
        <w:wordWrap/>
        <w:overflowPunct/>
        <w:topLinePunct w:val="0"/>
        <w:autoSpaceDE/>
        <w:autoSpaceDN/>
        <w:bidi w:val="0"/>
        <w:adjustRightInd/>
        <w:snapToGrid/>
        <w:spacing w:before="0" w:beforeAutospacing="0" w:after="0" w:afterAutospacing="0" w:line="460" w:lineRule="exact"/>
        <w:ind w:left="0" w:right="0" w:firstLine="480" w:firstLineChars="200"/>
        <w:jc w:val="left"/>
        <w:textAlignment w:val="auto"/>
        <w:rPr>
          <w:rFonts w:hint="eastAsia" w:ascii="方正仿宋_GBK" w:hAnsi="方正仿宋_GBK" w:eastAsia="方正仿宋_GBK" w:cs="方正仿宋_GBK"/>
          <w:i w:val="0"/>
          <w:iCs w:val="0"/>
          <w:caps w:val="0"/>
          <w:color w:val="auto"/>
          <w:spacing w:val="0"/>
          <w:kern w:val="0"/>
          <w:sz w:val="24"/>
          <w:szCs w:val="24"/>
          <w:highlight w:val="none"/>
          <w:shd w:val="clear" w:color="auto" w:fill="FFFFFF"/>
          <w:lang w:val="en-US" w:eastAsia="zh-CN"/>
        </w:rPr>
      </w:pPr>
      <w:r>
        <w:rPr>
          <w:rFonts w:hint="eastAsia" w:ascii="方正仿宋_GBK" w:hAnsi="方正仿宋_GBK" w:eastAsia="方正仿宋_GBK" w:cs="方正仿宋_GBK"/>
          <w:i w:val="0"/>
          <w:iCs w:val="0"/>
          <w:caps w:val="0"/>
          <w:color w:val="auto"/>
          <w:spacing w:val="0"/>
          <w:kern w:val="0"/>
          <w:sz w:val="24"/>
          <w:szCs w:val="24"/>
          <w:highlight w:val="none"/>
          <w:shd w:val="clear" w:color="auto" w:fill="FFFFFF"/>
          <w:lang w:val="en-US" w:eastAsia="zh-CN"/>
        </w:rPr>
        <w:t>（1）在货物采购项目中，货物由中小企业制造，即货物由中小企业生产且使用该中小企业商号或者注册商标，不对其中涉及的工程承建商和服务的承接商作出要求；</w:t>
      </w:r>
    </w:p>
    <w:p w14:paraId="328F0DF1">
      <w:pPr>
        <w:keepNext w:val="0"/>
        <w:keepLines w:val="0"/>
        <w:pageBreakBefore w:val="0"/>
        <w:widowControl/>
        <w:suppressLineNumbers w:val="0"/>
        <w:shd w:val="clear" w:color="auto" w:fill="auto"/>
        <w:kinsoku/>
        <w:wordWrap/>
        <w:overflowPunct/>
        <w:topLinePunct w:val="0"/>
        <w:autoSpaceDE/>
        <w:autoSpaceDN/>
        <w:bidi w:val="0"/>
        <w:adjustRightInd/>
        <w:snapToGrid/>
        <w:spacing w:before="0" w:beforeAutospacing="0" w:after="0" w:afterAutospacing="0" w:line="460" w:lineRule="exact"/>
        <w:ind w:left="0" w:right="0" w:firstLine="480" w:firstLineChars="200"/>
        <w:jc w:val="left"/>
        <w:textAlignment w:val="auto"/>
        <w:rPr>
          <w:rFonts w:hint="eastAsia" w:ascii="方正仿宋_GBK" w:hAnsi="方正仿宋_GBK" w:eastAsia="方正仿宋_GBK" w:cs="方正仿宋_GBK"/>
          <w:i w:val="0"/>
          <w:iCs w:val="0"/>
          <w:caps w:val="0"/>
          <w:color w:val="auto"/>
          <w:spacing w:val="0"/>
          <w:kern w:val="0"/>
          <w:sz w:val="24"/>
          <w:szCs w:val="24"/>
          <w:highlight w:val="none"/>
          <w:shd w:val="clear" w:color="auto" w:fill="FFFFFF"/>
          <w:lang w:val="en-US" w:eastAsia="zh-CN"/>
        </w:rPr>
      </w:pPr>
      <w:r>
        <w:rPr>
          <w:rFonts w:hint="eastAsia" w:ascii="方正仿宋_GBK" w:hAnsi="方正仿宋_GBK" w:eastAsia="方正仿宋_GBK" w:cs="方正仿宋_GBK"/>
          <w:i w:val="0"/>
          <w:iCs w:val="0"/>
          <w:caps w:val="0"/>
          <w:color w:val="auto"/>
          <w:spacing w:val="0"/>
          <w:kern w:val="0"/>
          <w:sz w:val="24"/>
          <w:szCs w:val="24"/>
          <w:highlight w:val="none"/>
          <w:shd w:val="clear" w:color="auto" w:fill="FFFFFF"/>
          <w:lang w:val="en-US" w:eastAsia="zh-CN"/>
        </w:rPr>
        <w:t>（2）在工程采购项目中，工程由中小企业承建，即工程施工单位为中小企业，不对其中涉及的货物的制造商和服务的承接商作出要求；</w:t>
      </w:r>
    </w:p>
    <w:p w14:paraId="3D5D6A7F">
      <w:pPr>
        <w:keepNext w:val="0"/>
        <w:keepLines w:val="0"/>
        <w:pageBreakBefore w:val="0"/>
        <w:widowControl/>
        <w:suppressLineNumbers w:val="0"/>
        <w:shd w:val="clear" w:color="auto" w:fill="auto"/>
        <w:kinsoku/>
        <w:wordWrap/>
        <w:overflowPunct/>
        <w:topLinePunct w:val="0"/>
        <w:autoSpaceDE/>
        <w:autoSpaceDN/>
        <w:bidi w:val="0"/>
        <w:adjustRightInd/>
        <w:snapToGrid/>
        <w:spacing w:before="0" w:beforeAutospacing="0" w:after="0" w:afterAutospacing="0" w:line="460" w:lineRule="exact"/>
        <w:ind w:left="0" w:right="0" w:firstLine="480" w:firstLineChars="200"/>
        <w:jc w:val="left"/>
        <w:textAlignment w:val="auto"/>
        <w:rPr>
          <w:rFonts w:hint="eastAsia" w:ascii="方正仿宋_GBK" w:hAnsi="方正仿宋_GBK" w:eastAsia="方正仿宋_GBK" w:cs="方正仿宋_GBK"/>
          <w:i w:val="0"/>
          <w:iCs w:val="0"/>
          <w:caps w:val="0"/>
          <w:color w:val="auto"/>
          <w:spacing w:val="0"/>
          <w:kern w:val="0"/>
          <w:sz w:val="24"/>
          <w:szCs w:val="24"/>
          <w:highlight w:val="none"/>
          <w:shd w:val="clear" w:color="auto" w:fill="FFFFFF"/>
          <w:lang w:val="en-US" w:eastAsia="zh-CN"/>
        </w:rPr>
      </w:pPr>
      <w:r>
        <w:rPr>
          <w:rFonts w:hint="eastAsia" w:ascii="方正仿宋_GBK" w:hAnsi="方正仿宋_GBK" w:eastAsia="方正仿宋_GBK" w:cs="方正仿宋_GBK"/>
          <w:i w:val="0"/>
          <w:iCs w:val="0"/>
          <w:caps w:val="0"/>
          <w:color w:val="auto"/>
          <w:spacing w:val="0"/>
          <w:kern w:val="0"/>
          <w:sz w:val="24"/>
          <w:szCs w:val="24"/>
          <w:highlight w:val="none"/>
          <w:shd w:val="clear" w:color="auto" w:fill="FFFFFF"/>
          <w:lang w:val="en-US" w:eastAsia="zh-CN"/>
        </w:rPr>
        <w:t>（3）在服务采购项目中，服务由中小企业承接，即提供服务的人员为中小企业依照《中华人民共和国劳动合同法》订立劳动合同的从业人员，不对其中涉及的货物的制造商和工程承建商作出要求。</w:t>
      </w:r>
    </w:p>
    <w:p w14:paraId="7EB4360B">
      <w:pPr>
        <w:keepNext w:val="0"/>
        <w:keepLines w:val="0"/>
        <w:pageBreakBefore w:val="0"/>
        <w:widowControl/>
        <w:suppressLineNumbers w:val="0"/>
        <w:shd w:val="clear" w:color="auto" w:fill="auto"/>
        <w:kinsoku/>
        <w:wordWrap/>
        <w:overflowPunct/>
        <w:topLinePunct w:val="0"/>
        <w:autoSpaceDE/>
        <w:autoSpaceDN/>
        <w:bidi w:val="0"/>
        <w:adjustRightInd/>
        <w:snapToGrid/>
        <w:spacing w:before="0" w:beforeAutospacing="0" w:after="0" w:afterAutospacing="0" w:line="460" w:lineRule="exact"/>
        <w:ind w:left="0" w:right="0" w:firstLine="480" w:firstLineChars="200"/>
        <w:jc w:val="left"/>
        <w:textAlignment w:val="auto"/>
        <w:rPr>
          <w:rFonts w:hint="eastAsia" w:ascii="方正仿宋_GBK" w:hAnsi="方正仿宋_GBK" w:eastAsia="方正仿宋_GBK" w:cs="方正仿宋_GBK"/>
          <w:i w:val="0"/>
          <w:iCs w:val="0"/>
          <w:caps w:val="0"/>
          <w:color w:val="auto"/>
          <w:spacing w:val="0"/>
          <w:kern w:val="0"/>
          <w:sz w:val="24"/>
          <w:szCs w:val="24"/>
          <w:highlight w:val="none"/>
          <w:shd w:val="clear" w:color="auto" w:fill="FFFFFF"/>
          <w:lang w:val="en-US" w:eastAsia="zh-CN"/>
        </w:rPr>
      </w:pPr>
      <w:r>
        <w:rPr>
          <w:rFonts w:hint="eastAsia" w:ascii="方正仿宋_GBK" w:hAnsi="方正仿宋_GBK" w:eastAsia="方正仿宋_GBK" w:cs="方正仿宋_GBK"/>
          <w:i w:val="0"/>
          <w:iCs w:val="0"/>
          <w:caps w:val="0"/>
          <w:color w:val="auto"/>
          <w:spacing w:val="0"/>
          <w:kern w:val="0"/>
          <w:sz w:val="24"/>
          <w:szCs w:val="24"/>
          <w:highlight w:val="none"/>
          <w:shd w:val="clear" w:color="auto" w:fill="FFFFFF"/>
          <w:lang w:val="en-US" w:eastAsia="zh-CN"/>
        </w:rPr>
        <w:t>在货物采购项目中，供应商提供的货物既有中小企业制造货物，也有大型企业制造货物的，不享受本招标文件规定的中小企业扶持政策。以联合体形式参加政府采购活动，联合体各方均为中小企业的，联合体视同中小企业。其中，联合体各方均为小微企业的，联合体视同小微企业。</w:t>
      </w:r>
    </w:p>
    <w:p w14:paraId="1ADD5C0C">
      <w:pPr>
        <w:keepNext w:val="0"/>
        <w:keepLines w:val="0"/>
        <w:pageBreakBefore w:val="0"/>
        <w:widowControl/>
        <w:suppressLineNumbers w:val="0"/>
        <w:shd w:val="clear" w:color="auto" w:fill="auto"/>
        <w:kinsoku/>
        <w:wordWrap/>
        <w:overflowPunct/>
        <w:topLinePunct w:val="0"/>
        <w:autoSpaceDE/>
        <w:autoSpaceDN/>
        <w:bidi w:val="0"/>
        <w:adjustRightInd/>
        <w:snapToGrid/>
        <w:spacing w:before="0" w:beforeAutospacing="0" w:after="0" w:afterAutospacing="0" w:line="460" w:lineRule="exact"/>
        <w:ind w:left="0" w:right="0" w:firstLine="480" w:firstLineChars="200"/>
        <w:jc w:val="left"/>
        <w:textAlignment w:val="auto"/>
        <w:rPr>
          <w:rFonts w:hint="eastAsia" w:ascii="方正仿宋_GBK" w:hAnsi="方正仿宋_GBK" w:eastAsia="方正仿宋_GBK" w:cs="方正仿宋_GBK"/>
          <w:i w:val="0"/>
          <w:iCs w:val="0"/>
          <w:caps w:val="0"/>
          <w:color w:val="auto"/>
          <w:spacing w:val="0"/>
          <w:kern w:val="0"/>
          <w:sz w:val="24"/>
          <w:szCs w:val="24"/>
          <w:highlight w:val="none"/>
          <w:shd w:val="clear" w:color="auto" w:fill="FFFFFF"/>
          <w:lang w:val="en-US" w:eastAsia="zh-CN"/>
        </w:rPr>
      </w:pPr>
      <w:r>
        <w:rPr>
          <w:rFonts w:hint="eastAsia" w:ascii="方正仿宋_GBK" w:hAnsi="方正仿宋_GBK" w:eastAsia="方正仿宋_GBK" w:cs="方正仿宋_GBK"/>
          <w:i w:val="0"/>
          <w:iCs w:val="0"/>
          <w:caps w:val="0"/>
          <w:color w:val="auto"/>
          <w:spacing w:val="0"/>
          <w:kern w:val="0"/>
          <w:sz w:val="24"/>
          <w:szCs w:val="24"/>
          <w:highlight w:val="none"/>
          <w:shd w:val="clear" w:color="auto" w:fill="FFFFFF"/>
          <w:lang w:val="en-US" w:eastAsia="zh-CN"/>
        </w:rPr>
        <w:t>依据本招标文件规定享受扶持政策获得政府采购合同的，小微企业不得将合同分包给大中型企业，中型企业不得将合同分包给大型企业。</w:t>
      </w:r>
    </w:p>
    <w:p w14:paraId="7B153239">
      <w:pPr>
        <w:rPr>
          <w:rFonts w:hint="eastAsia"/>
          <w:lang w:val="en-US" w:eastAsia="zh-CN"/>
        </w:rPr>
      </w:pPr>
      <w:bookmarkStart w:id="1398" w:name="_Toc25363"/>
      <w:bookmarkStart w:id="1399" w:name="_Toc27168"/>
      <w:bookmarkStart w:id="1400" w:name="_Toc27811"/>
    </w:p>
    <w:p w14:paraId="6FFA8382">
      <w:pPr>
        <w:pStyle w:val="17"/>
        <w:ind w:left="0" w:leftChars="0" w:firstLine="0" w:firstLineChars="0"/>
        <w:rPr>
          <w:rFonts w:hint="eastAsia" w:ascii="仿宋_GB2312" w:hAnsi="仿宋_GB2312" w:eastAsia="仿宋_GB2312" w:cs="仿宋_GB2312"/>
          <w:b/>
          <w:i w:val="0"/>
          <w:caps w:val="0"/>
          <w:spacing w:val="0"/>
          <w:w w:val="100"/>
          <w:sz w:val="24"/>
          <w:u w:val="none"/>
          <w:lang w:val="en-US" w:eastAsia="zh-CN"/>
        </w:rPr>
      </w:pPr>
    </w:p>
    <w:p w14:paraId="56296620">
      <w:pPr>
        <w:rPr>
          <w:rFonts w:hint="eastAsia" w:ascii="仿宋_GB2312" w:hAnsi="仿宋_GB2312" w:eastAsia="仿宋_GB2312" w:cs="仿宋_GB2312"/>
          <w:b/>
          <w:i w:val="0"/>
          <w:caps w:val="0"/>
          <w:spacing w:val="0"/>
          <w:w w:val="100"/>
          <w:sz w:val="24"/>
          <w:u w:val="none"/>
          <w:lang w:val="en-US" w:eastAsia="zh-CN"/>
        </w:rPr>
      </w:pPr>
    </w:p>
    <w:p w14:paraId="3C094DAC">
      <w:pPr>
        <w:pStyle w:val="2"/>
        <w:keepNext/>
        <w:keepLines/>
        <w:pageBreakBefore w:val="0"/>
        <w:widowControl/>
        <w:kinsoku/>
        <w:wordWrap/>
        <w:overflowPunct/>
        <w:topLinePunct w:val="0"/>
        <w:autoSpaceDE w:val="0"/>
        <w:autoSpaceDN w:val="0"/>
        <w:bidi w:val="0"/>
        <w:adjustRightInd w:val="0"/>
        <w:snapToGrid/>
        <w:spacing w:before="0" w:beforeAutospacing="0" w:after="0" w:afterAutospacing="0" w:line="288" w:lineRule="auto"/>
        <w:ind w:firstLine="2650" w:firstLineChars="1100"/>
        <w:jc w:val="both"/>
        <w:textAlignment w:val="baseline"/>
        <w:outlineLvl w:val="1"/>
        <w:rPr>
          <w:rFonts w:hint="eastAsia" w:ascii="仿宋_GB2312" w:hAnsi="仿宋_GB2312" w:eastAsia="仿宋_GB2312" w:cs="仿宋_GB2312"/>
          <w:b/>
          <w:i w:val="0"/>
          <w:caps w:val="0"/>
          <w:spacing w:val="0"/>
          <w:w w:val="100"/>
          <w:sz w:val="24"/>
          <w:u w:val="none"/>
          <w:lang w:val="en-US" w:eastAsia="zh-CN"/>
        </w:rPr>
      </w:pPr>
      <w:bookmarkStart w:id="1401" w:name="_Toc28053"/>
      <w:bookmarkStart w:id="1402" w:name="_Toc20888"/>
      <w:bookmarkStart w:id="1403" w:name="_Toc3353"/>
      <w:bookmarkStart w:id="1404" w:name="_Toc21616"/>
      <w:bookmarkStart w:id="1405" w:name="_Toc19707"/>
      <w:bookmarkStart w:id="1406" w:name="_Toc24756"/>
    </w:p>
    <w:p w14:paraId="26D13306">
      <w:pPr>
        <w:pStyle w:val="2"/>
        <w:keepNext/>
        <w:keepLines/>
        <w:pageBreakBefore w:val="0"/>
        <w:widowControl/>
        <w:kinsoku/>
        <w:wordWrap/>
        <w:overflowPunct/>
        <w:topLinePunct w:val="0"/>
        <w:autoSpaceDE w:val="0"/>
        <w:autoSpaceDN w:val="0"/>
        <w:bidi w:val="0"/>
        <w:adjustRightInd w:val="0"/>
        <w:snapToGrid/>
        <w:spacing w:before="0" w:beforeAutospacing="0" w:after="0" w:afterAutospacing="0" w:line="288" w:lineRule="auto"/>
        <w:ind w:firstLine="2650" w:firstLineChars="1100"/>
        <w:jc w:val="both"/>
        <w:textAlignment w:val="baseline"/>
        <w:outlineLvl w:val="1"/>
        <w:rPr>
          <w:rFonts w:hint="eastAsia" w:ascii="仿宋" w:hAnsi="仿宋" w:eastAsia="仿宋" w:cs="仿宋"/>
          <w:i w:val="0"/>
          <w:iCs w:val="0"/>
          <w:caps w:val="0"/>
          <w:color w:val="000000"/>
          <w:spacing w:val="0"/>
          <w:kern w:val="0"/>
          <w:sz w:val="24"/>
          <w:szCs w:val="24"/>
          <w:lang w:val="en-US" w:eastAsia="zh-CN" w:bidi="ar-SA"/>
        </w:rPr>
      </w:pPr>
      <w:r>
        <w:rPr>
          <w:rFonts w:hint="eastAsia" w:ascii="仿宋_GB2312" w:hAnsi="仿宋_GB2312" w:eastAsia="仿宋_GB2312" w:cs="仿宋_GB2312"/>
          <w:b/>
          <w:i w:val="0"/>
          <w:caps w:val="0"/>
          <w:spacing w:val="0"/>
          <w:w w:val="100"/>
          <w:sz w:val="24"/>
          <w:u w:val="none"/>
          <w:lang w:val="en-US" w:eastAsia="zh-CN"/>
        </w:rPr>
        <w:t>6-2   残疾人福利性单位声明函</w:t>
      </w:r>
      <w:bookmarkEnd w:id="1397"/>
      <w:bookmarkEnd w:id="1398"/>
      <w:bookmarkEnd w:id="1399"/>
      <w:bookmarkEnd w:id="1400"/>
      <w:bookmarkEnd w:id="1401"/>
      <w:bookmarkEnd w:id="1402"/>
      <w:bookmarkEnd w:id="1403"/>
      <w:bookmarkEnd w:id="1404"/>
      <w:bookmarkEnd w:id="1405"/>
      <w:bookmarkEnd w:id="1406"/>
    </w:p>
    <w:p w14:paraId="6FB78371">
      <w:pPr>
        <w:keepNext w:val="0"/>
        <w:keepLines w:val="0"/>
        <w:pageBreakBefore w:val="0"/>
        <w:widowControl w:val="0"/>
        <w:kinsoku/>
        <w:wordWrap/>
        <w:overflowPunct/>
        <w:topLinePunct w:val="0"/>
        <w:autoSpaceDE/>
        <w:autoSpaceDN/>
        <w:bidi w:val="0"/>
        <w:adjustRightInd/>
        <w:snapToGrid/>
        <w:spacing w:after="60" w:afterLines="25" w:line="300" w:lineRule="auto"/>
        <w:ind w:firstLine="480" w:firstLineChars="200"/>
        <w:textAlignment w:val="auto"/>
        <w:rPr>
          <w:rFonts w:hint="eastAsia" w:ascii="仿宋" w:hAnsi="仿宋" w:eastAsia="仿宋" w:cs="仿宋"/>
          <w:i w:val="0"/>
          <w:iCs w:val="0"/>
          <w:caps w:val="0"/>
          <w:color w:val="000000"/>
          <w:spacing w:val="0"/>
          <w:kern w:val="0"/>
          <w:sz w:val="24"/>
          <w:szCs w:val="24"/>
          <w:lang w:val="en-US" w:eastAsia="zh-CN" w:bidi="ar-SA"/>
        </w:rPr>
      </w:pPr>
      <w:r>
        <w:rPr>
          <w:rFonts w:hint="eastAsia" w:ascii="仿宋" w:hAnsi="仿宋" w:eastAsia="仿宋" w:cs="仿宋"/>
          <w:i w:val="0"/>
          <w:iCs w:val="0"/>
          <w:caps w:val="0"/>
          <w:color w:val="000000"/>
          <w:spacing w:val="0"/>
          <w:kern w:val="0"/>
          <w:sz w:val="24"/>
          <w:szCs w:val="24"/>
          <w:lang w:val="en-US" w:eastAsia="zh-CN" w:bidi="ar-SA"/>
        </w:rPr>
        <w:t>本投标人郑重声明，根据《财政部民政部中国残疾人联合会关于促进残疾人就业政府采购政策的通知》（财库〔2017〕141 号）的规定，本投标人参加（采购人名称）的（项目名称）采购活动，提供的货物全部由符合政策要求的残疾人福利性单位制造。相关残疾人福利性单位的具体情况如下：</w:t>
      </w:r>
    </w:p>
    <w:p w14:paraId="08DE9F31">
      <w:pPr>
        <w:keepNext w:val="0"/>
        <w:keepLines w:val="0"/>
        <w:pageBreakBefore w:val="0"/>
        <w:widowControl w:val="0"/>
        <w:kinsoku/>
        <w:wordWrap/>
        <w:overflowPunct/>
        <w:topLinePunct w:val="0"/>
        <w:autoSpaceDE/>
        <w:autoSpaceDN/>
        <w:bidi w:val="0"/>
        <w:adjustRightInd/>
        <w:snapToGrid/>
        <w:spacing w:after="60" w:afterLines="25" w:line="300" w:lineRule="auto"/>
        <w:ind w:firstLine="480" w:firstLineChars="200"/>
        <w:textAlignment w:val="auto"/>
        <w:rPr>
          <w:rFonts w:hint="eastAsia" w:ascii="仿宋" w:hAnsi="仿宋" w:eastAsia="仿宋" w:cs="仿宋"/>
          <w:i w:val="0"/>
          <w:iCs w:val="0"/>
          <w:caps w:val="0"/>
          <w:color w:val="000000"/>
          <w:spacing w:val="0"/>
          <w:kern w:val="0"/>
          <w:sz w:val="24"/>
          <w:szCs w:val="24"/>
          <w:lang w:val="en-US" w:eastAsia="zh-CN" w:bidi="ar-SA"/>
        </w:rPr>
      </w:pPr>
      <w:r>
        <w:rPr>
          <w:rFonts w:hint="eastAsia" w:ascii="仿宋" w:hAnsi="仿宋" w:eastAsia="仿宋" w:cs="仿宋"/>
          <w:i w:val="0"/>
          <w:iCs w:val="0"/>
          <w:caps w:val="0"/>
          <w:color w:val="000000"/>
          <w:spacing w:val="0"/>
          <w:kern w:val="0"/>
          <w:sz w:val="24"/>
          <w:szCs w:val="24"/>
          <w:lang w:val="en-US" w:eastAsia="zh-CN" w:bidi="ar-SA"/>
        </w:rPr>
        <w:t>1. （标的名称），制造商为（单位名称），属于残疾人福利性单位；</w:t>
      </w:r>
    </w:p>
    <w:p w14:paraId="0EF2A036">
      <w:pPr>
        <w:keepNext w:val="0"/>
        <w:keepLines w:val="0"/>
        <w:pageBreakBefore w:val="0"/>
        <w:widowControl w:val="0"/>
        <w:kinsoku/>
        <w:wordWrap/>
        <w:overflowPunct/>
        <w:topLinePunct w:val="0"/>
        <w:autoSpaceDE/>
        <w:autoSpaceDN/>
        <w:bidi w:val="0"/>
        <w:adjustRightInd/>
        <w:snapToGrid/>
        <w:spacing w:after="60" w:afterLines="25" w:line="300" w:lineRule="auto"/>
        <w:ind w:firstLine="480" w:firstLineChars="200"/>
        <w:textAlignment w:val="auto"/>
        <w:rPr>
          <w:rFonts w:hint="eastAsia" w:ascii="仿宋" w:hAnsi="仿宋" w:eastAsia="仿宋" w:cs="仿宋"/>
          <w:i w:val="0"/>
          <w:iCs w:val="0"/>
          <w:caps w:val="0"/>
          <w:color w:val="000000"/>
          <w:spacing w:val="0"/>
          <w:kern w:val="0"/>
          <w:sz w:val="24"/>
          <w:szCs w:val="24"/>
          <w:lang w:val="en-US" w:eastAsia="zh-CN" w:bidi="ar-SA"/>
        </w:rPr>
      </w:pPr>
      <w:r>
        <w:rPr>
          <w:rFonts w:hint="eastAsia" w:ascii="仿宋" w:hAnsi="仿宋" w:eastAsia="仿宋" w:cs="仿宋"/>
          <w:i w:val="0"/>
          <w:iCs w:val="0"/>
          <w:caps w:val="0"/>
          <w:color w:val="000000"/>
          <w:spacing w:val="0"/>
          <w:kern w:val="0"/>
          <w:sz w:val="24"/>
          <w:szCs w:val="24"/>
          <w:lang w:val="en-US" w:eastAsia="zh-CN" w:bidi="ar-SA"/>
        </w:rPr>
        <w:t>2. （标的名称），制造商为（单位名称），属于残疾人福利性单位。</w:t>
      </w:r>
    </w:p>
    <w:p w14:paraId="7F1CDBBD">
      <w:pPr>
        <w:keepNext w:val="0"/>
        <w:keepLines w:val="0"/>
        <w:pageBreakBefore w:val="0"/>
        <w:widowControl w:val="0"/>
        <w:kinsoku/>
        <w:wordWrap/>
        <w:overflowPunct/>
        <w:topLinePunct w:val="0"/>
        <w:autoSpaceDE/>
        <w:autoSpaceDN/>
        <w:bidi w:val="0"/>
        <w:adjustRightInd/>
        <w:snapToGrid/>
        <w:spacing w:after="60" w:afterLines="25" w:line="300" w:lineRule="auto"/>
        <w:ind w:firstLine="480" w:firstLineChars="200"/>
        <w:textAlignment w:val="auto"/>
        <w:rPr>
          <w:rFonts w:hint="eastAsia" w:ascii="仿宋" w:hAnsi="仿宋" w:eastAsia="仿宋" w:cs="仿宋"/>
          <w:i w:val="0"/>
          <w:iCs w:val="0"/>
          <w:caps w:val="0"/>
          <w:color w:val="000000"/>
          <w:spacing w:val="0"/>
          <w:kern w:val="0"/>
          <w:sz w:val="24"/>
          <w:szCs w:val="24"/>
          <w:lang w:val="en-US" w:eastAsia="zh-CN" w:bidi="ar-SA"/>
        </w:rPr>
      </w:pPr>
      <w:r>
        <w:rPr>
          <w:rFonts w:hint="eastAsia" w:ascii="仿宋" w:hAnsi="仿宋" w:eastAsia="仿宋" w:cs="仿宋"/>
          <w:i w:val="0"/>
          <w:iCs w:val="0"/>
          <w:caps w:val="0"/>
          <w:color w:val="000000"/>
          <w:spacing w:val="0"/>
          <w:kern w:val="0"/>
          <w:sz w:val="24"/>
          <w:szCs w:val="24"/>
          <w:lang w:val="en-US" w:eastAsia="zh-CN" w:bidi="ar-SA"/>
        </w:rPr>
        <w:t xml:space="preserve">…… </w:t>
      </w:r>
    </w:p>
    <w:p w14:paraId="5DCDAD8F">
      <w:pPr>
        <w:keepNext w:val="0"/>
        <w:keepLines w:val="0"/>
        <w:pageBreakBefore w:val="0"/>
        <w:widowControl w:val="0"/>
        <w:kinsoku/>
        <w:wordWrap/>
        <w:overflowPunct/>
        <w:topLinePunct w:val="0"/>
        <w:autoSpaceDE/>
        <w:autoSpaceDN/>
        <w:bidi w:val="0"/>
        <w:adjustRightInd/>
        <w:snapToGrid/>
        <w:spacing w:after="60" w:afterLines="25" w:line="300" w:lineRule="auto"/>
        <w:ind w:firstLine="480" w:firstLineChars="200"/>
        <w:textAlignment w:val="auto"/>
        <w:rPr>
          <w:rFonts w:hint="eastAsia" w:ascii="仿宋" w:hAnsi="仿宋" w:eastAsia="仿宋" w:cs="仿宋"/>
          <w:i w:val="0"/>
          <w:iCs w:val="0"/>
          <w:caps w:val="0"/>
          <w:color w:val="000000"/>
          <w:spacing w:val="0"/>
          <w:kern w:val="0"/>
          <w:sz w:val="24"/>
          <w:szCs w:val="24"/>
          <w:lang w:val="en-US" w:eastAsia="zh-CN" w:bidi="ar-SA"/>
        </w:rPr>
      </w:pPr>
      <w:bookmarkStart w:id="1407" w:name="_Hlk73562331"/>
      <w:r>
        <w:rPr>
          <w:rFonts w:hint="eastAsia" w:ascii="仿宋" w:hAnsi="仿宋" w:eastAsia="仿宋" w:cs="仿宋"/>
          <w:i w:val="0"/>
          <w:iCs w:val="0"/>
          <w:caps w:val="0"/>
          <w:color w:val="000000"/>
          <w:spacing w:val="0"/>
          <w:kern w:val="0"/>
          <w:sz w:val="24"/>
          <w:szCs w:val="24"/>
          <w:lang w:val="en-US" w:eastAsia="zh-CN" w:bidi="ar-SA"/>
        </w:rPr>
        <w:t>本投标人已知悉《财政部民政部中国残疾人联合会关于促进残疾人就业政府采购政策的通知》（财库〔2017〕141 号）的规定，承诺提供的声明函内容是真实的，如提供声明函内容不实，则依法追究相关法律责任。</w:t>
      </w:r>
      <w:bookmarkEnd w:id="1407"/>
    </w:p>
    <w:p w14:paraId="1B000E03">
      <w:pPr>
        <w:keepNext w:val="0"/>
        <w:keepLines w:val="0"/>
        <w:pageBreakBefore w:val="0"/>
        <w:widowControl w:val="0"/>
        <w:kinsoku/>
        <w:wordWrap/>
        <w:overflowPunct/>
        <w:topLinePunct w:val="0"/>
        <w:autoSpaceDE/>
        <w:autoSpaceDN/>
        <w:bidi w:val="0"/>
        <w:adjustRightInd/>
        <w:snapToGrid/>
        <w:spacing w:after="60" w:afterLines="25" w:line="300" w:lineRule="auto"/>
        <w:ind w:right="420" w:firstLine="5040" w:firstLineChars="2100"/>
        <w:textAlignment w:val="auto"/>
        <w:rPr>
          <w:rFonts w:hint="eastAsia" w:ascii="仿宋" w:hAnsi="仿宋" w:eastAsia="仿宋" w:cs="仿宋"/>
          <w:i w:val="0"/>
          <w:iCs w:val="0"/>
          <w:caps w:val="0"/>
          <w:color w:val="000000"/>
          <w:spacing w:val="0"/>
          <w:kern w:val="0"/>
          <w:sz w:val="24"/>
          <w:szCs w:val="24"/>
          <w:lang w:val="en-US" w:eastAsia="zh-CN" w:bidi="ar-SA"/>
        </w:rPr>
      </w:pPr>
      <w:r>
        <w:rPr>
          <w:rFonts w:hint="eastAsia" w:ascii="仿宋" w:hAnsi="仿宋" w:eastAsia="仿宋" w:cs="仿宋"/>
          <w:i w:val="0"/>
          <w:iCs w:val="0"/>
          <w:caps w:val="0"/>
          <w:color w:val="000000"/>
          <w:spacing w:val="0"/>
          <w:kern w:val="0"/>
          <w:sz w:val="24"/>
          <w:szCs w:val="24"/>
          <w:lang w:val="en-US" w:eastAsia="zh-CN" w:bidi="ar-SA"/>
        </w:rPr>
        <w:t>投标人（投标单位）：</w:t>
      </w:r>
    </w:p>
    <w:p w14:paraId="1DC89D12">
      <w:pPr>
        <w:keepNext w:val="0"/>
        <w:keepLines w:val="0"/>
        <w:pageBreakBefore w:val="0"/>
        <w:widowControl w:val="0"/>
        <w:kinsoku/>
        <w:wordWrap/>
        <w:overflowPunct/>
        <w:topLinePunct w:val="0"/>
        <w:autoSpaceDE/>
        <w:autoSpaceDN/>
        <w:bidi w:val="0"/>
        <w:adjustRightInd/>
        <w:snapToGrid/>
        <w:spacing w:after="60" w:afterLines="25" w:line="300" w:lineRule="auto"/>
        <w:ind w:right="420" w:firstLine="6600" w:firstLineChars="2750"/>
        <w:textAlignment w:val="auto"/>
        <w:rPr>
          <w:rFonts w:hint="eastAsia" w:ascii="仿宋_GB2312" w:hAnsi="仿宋_GB2312" w:eastAsia="仿宋_GB2312" w:cs="仿宋_GB2312"/>
          <w:b/>
          <w:i w:val="0"/>
          <w:caps w:val="0"/>
          <w:spacing w:val="0"/>
          <w:w w:val="100"/>
          <w:sz w:val="24"/>
          <w:u w:val="none"/>
          <w:lang w:val="en-US" w:eastAsia="zh-CN"/>
        </w:rPr>
      </w:pPr>
      <w:r>
        <w:rPr>
          <w:rFonts w:hint="eastAsia" w:ascii="仿宋" w:hAnsi="仿宋" w:eastAsia="仿宋" w:cs="仿宋"/>
          <w:i w:val="0"/>
          <w:iCs w:val="0"/>
          <w:caps w:val="0"/>
          <w:color w:val="000000"/>
          <w:spacing w:val="0"/>
          <w:kern w:val="0"/>
          <w:sz w:val="24"/>
          <w:szCs w:val="24"/>
          <w:lang w:val="en-US" w:eastAsia="zh-CN" w:bidi="ar-SA"/>
        </w:rPr>
        <w:t>日期：</w:t>
      </w:r>
      <w:bookmarkStart w:id="1408" w:name="_Toc28310"/>
      <w:bookmarkStart w:id="1409" w:name="_Toc17181"/>
      <w:bookmarkStart w:id="1410" w:name="_Toc13378"/>
      <w:bookmarkStart w:id="1411" w:name="_Toc19006"/>
      <w:bookmarkStart w:id="1412" w:name="_Toc16783"/>
      <w:bookmarkStart w:id="1413" w:name="_Toc7440"/>
      <w:bookmarkStart w:id="1414" w:name="_Toc2813"/>
      <w:bookmarkStart w:id="1415" w:name="_Toc8498"/>
      <w:bookmarkStart w:id="1416" w:name="_Toc12073"/>
      <w:bookmarkStart w:id="1417" w:name="_Toc9078"/>
      <w:bookmarkStart w:id="1418" w:name="_Toc5731"/>
      <w:bookmarkStart w:id="1419" w:name="_Toc17299"/>
      <w:bookmarkStart w:id="1420" w:name="_Toc19677"/>
      <w:bookmarkStart w:id="1421" w:name="_Toc11271"/>
      <w:bookmarkStart w:id="1422" w:name="_Toc9071"/>
    </w:p>
    <w:p w14:paraId="50019AC7">
      <w:pPr>
        <w:pStyle w:val="2"/>
        <w:keepNext/>
        <w:keepLines/>
        <w:pageBreakBefore w:val="0"/>
        <w:widowControl/>
        <w:kinsoku/>
        <w:wordWrap/>
        <w:overflowPunct/>
        <w:topLinePunct w:val="0"/>
        <w:autoSpaceDE w:val="0"/>
        <w:autoSpaceDN w:val="0"/>
        <w:bidi w:val="0"/>
        <w:adjustRightInd w:val="0"/>
        <w:snapToGrid/>
        <w:spacing w:before="0" w:beforeAutospacing="0" w:after="0" w:afterAutospacing="0" w:line="288" w:lineRule="auto"/>
        <w:ind w:left="1258" w:leftChars="599" w:firstLine="1311" w:firstLineChars="544"/>
        <w:jc w:val="both"/>
        <w:textAlignment w:val="baseline"/>
        <w:outlineLvl w:val="1"/>
        <w:rPr>
          <w:rFonts w:hint="eastAsia" w:ascii="仿宋_GB2312" w:hAnsi="仿宋_GB2312" w:eastAsia="仿宋_GB2312" w:cs="仿宋_GB2312"/>
          <w:b/>
          <w:i w:val="0"/>
          <w:caps w:val="0"/>
          <w:spacing w:val="0"/>
          <w:w w:val="100"/>
          <w:sz w:val="24"/>
          <w:u w:val="none"/>
          <w:lang w:val="en-US" w:eastAsia="zh-CN"/>
        </w:rPr>
      </w:pPr>
    </w:p>
    <w:p w14:paraId="4C159DE9">
      <w:pPr>
        <w:pStyle w:val="2"/>
        <w:keepNext/>
        <w:keepLines/>
        <w:pageBreakBefore w:val="0"/>
        <w:widowControl/>
        <w:kinsoku/>
        <w:wordWrap/>
        <w:overflowPunct/>
        <w:topLinePunct w:val="0"/>
        <w:autoSpaceDE w:val="0"/>
        <w:autoSpaceDN w:val="0"/>
        <w:bidi w:val="0"/>
        <w:adjustRightInd w:val="0"/>
        <w:snapToGrid/>
        <w:spacing w:before="0" w:beforeAutospacing="0" w:after="0" w:afterAutospacing="0" w:line="288" w:lineRule="auto"/>
        <w:ind w:left="1258" w:leftChars="599" w:firstLine="1793" w:firstLineChars="744"/>
        <w:jc w:val="both"/>
        <w:textAlignment w:val="baseline"/>
        <w:outlineLvl w:val="1"/>
        <w:rPr>
          <w:rFonts w:hint="eastAsia" w:ascii="仿宋" w:hAnsi="仿宋" w:eastAsia="仿宋" w:cs="仿宋"/>
          <w:i w:val="0"/>
          <w:iCs w:val="0"/>
          <w:caps w:val="0"/>
          <w:color w:val="000000"/>
          <w:spacing w:val="0"/>
          <w:sz w:val="24"/>
          <w:szCs w:val="24"/>
        </w:rPr>
      </w:pPr>
      <w:bookmarkStart w:id="1423" w:name="_Toc2807"/>
      <w:bookmarkStart w:id="1424" w:name="_Toc31935"/>
      <w:bookmarkStart w:id="1425" w:name="_Toc6778"/>
      <w:bookmarkStart w:id="1426" w:name="_Toc31069"/>
      <w:bookmarkStart w:id="1427" w:name="_Toc15753"/>
      <w:bookmarkStart w:id="1428" w:name="_Toc25632"/>
      <w:r>
        <w:rPr>
          <w:rFonts w:hint="eastAsia" w:ascii="仿宋_GB2312" w:hAnsi="仿宋_GB2312" w:eastAsia="仿宋_GB2312" w:cs="仿宋_GB2312"/>
          <w:b/>
          <w:i w:val="0"/>
          <w:caps w:val="0"/>
          <w:spacing w:val="0"/>
          <w:w w:val="100"/>
          <w:sz w:val="24"/>
          <w:u w:val="none"/>
          <w:lang w:val="en-US" w:eastAsia="zh-CN"/>
        </w:rPr>
        <w:t xml:space="preserve">6-3 </w:t>
      </w:r>
      <w:bookmarkEnd w:id="1408"/>
      <w:bookmarkEnd w:id="1409"/>
      <w:bookmarkEnd w:id="1410"/>
      <w:bookmarkEnd w:id="1411"/>
      <w:bookmarkEnd w:id="1412"/>
      <w:bookmarkEnd w:id="1413"/>
      <w:bookmarkEnd w:id="1414"/>
      <w:r>
        <w:rPr>
          <w:rFonts w:hint="eastAsia" w:ascii="仿宋_GB2312" w:hAnsi="仿宋_GB2312" w:eastAsia="仿宋_GB2312" w:cs="仿宋_GB2312"/>
          <w:b/>
          <w:i w:val="0"/>
          <w:caps w:val="0"/>
          <w:spacing w:val="0"/>
          <w:w w:val="100"/>
          <w:sz w:val="24"/>
          <w:u w:val="none"/>
          <w:lang w:val="en-US" w:eastAsia="zh-CN"/>
        </w:rPr>
        <w:t>监狱企业</w:t>
      </w:r>
      <w:bookmarkEnd w:id="1415"/>
      <w:r>
        <w:rPr>
          <w:rFonts w:hint="eastAsia" w:ascii="仿宋_GB2312" w:hAnsi="仿宋_GB2312" w:eastAsia="仿宋_GB2312" w:cs="仿宋_GB2312"/>
          <w:b/>
          <w:i w:val="0"/>
          <w:caps w:val="0"/>
          <w:spacing w:val="0"/>
          <w:w w:val="100"/>
          <w:sz w:val="24"/>
          <w:u w:val="none"/>
          <w:lang w:val="en-US" w:eastAsia="zh-CN"/>
        </w:rPr>
        <w:t>声明函</w:t>
      </w:r>
      <w:bookmarkEnd w:id="1416"/>
      <w:bookmarkEnd w:id="1417"/>
      <w:bookmarkEnd w:id="1418"/>
      <w:bookmarkEnd w:id="1419"/>
      <w:bookmarkEnd w:id="1420"/>
      <w:bookmarkEnd w:id="1421"/>
      <w:bookmarkEnd w:id="1422"/>
      <w:bookmarkEnd w:id="1423"/>
      <w:bookmarkEnd w:id="1424"/>
      <w:bookmarkEnd w:id="1425"/>
      <w:bookmarkEnd w:id="1426"/>
      <w:bookmarkEnd w:id="1427"/>
      <w:bookmarkEnd w:id="1428"/>
    </w:p>
    <w:p w14:paraId="1172DC44">
      <w:pPr>
        <w:pStyle w:val="32"/>
        <w:keepNext w:val="0"/>
        <w:keepLines w:val="0"/>
        <w:widowControl/>
        <w:suppressLineNumbers w:val="0"/>
        <w:spacing w:before="75" w:beforeAutospacing="0" w:after="75" w:afterAutospacing="0" w:line="420" w:lineRule="atLeast"/>
        <w:ind w:left="0" w:right="0" w:firstLine="480" w:firstLineChars="200"/>
        <w:jc w:val="left"/>
        <w:rPr>
          <w:rFonts w:hint="eastAsia" w:ascii="仿宋" w:hAnsi="仿宋" w:eastAsia="仿宋" w:cs="仿宋"/>
          <w:i w:val="0"/>
          <w:iCs w:val="0"/>
          <w:caps w:val="0"/>
          <w:color w:val="000000"/>
          <w:spacing w:val="0"/>
          <w:sz w:val="24"/>
          <w:szCs w:val="24"/>
        </w:rPr>
      </w:pPr>
      <w:r>
        <w:rPr>
          <w:rFonts w:hint="eastAsia" w:ascii="仿宋" w:hAnsi="仿宋" w:eastAsia="仿宋" w:cs="仿宋"/>
          <w:i w:val="0"/>
          <w:iCs w:val="0"/>
          <w:caps w:val="0"/>
          <w:color w:val="000000"/>
          <w:spacing w:val="0"/>
          <w:sz w:val="24"/>
          <w:szCs w:val="24"/>
        </w:rPr>
        <w:t>本公司郑重声明，根据《关于政府采购支持监狱企业发展有关问题的通知》（财库[2014]68号）的规定，本公司为监狱企业。</w:t>
      </w:r>
    </w:p>
    <w:p w14:paraId="7CD5C534">
      <w:pPr>
        <w:pStyle w:val="32"/>
        <w:keepNext w:val="0"/>
        <w:keepLines w:val="0"/>
        <w:widowControl/>
        <w:suppressLineNumbers w:val="0"/>
        <w:spacing w:before="75" w:beforeAutospacing="0" w:after="75" w:afterAutospacing="0" w:line="420" w:lineRule="atLeast"/>
        <w:ind w:left="0" w:right="0" w:firstLine="0"/>
        <w:jc w:val="left"/>
        <w:rPr>
          <w:rFonts w:hint="eastAsia" w:ascii="仿宋" w:hAnsi="仿宋" w:eastAsia="仿宋" w:cs="仿宋"/>
          <w:i w:val="0"/>
          <w:iCs w:val="0"/>
          <w:caps w:val="0"/>
          <w:color w:val="000000"/>
          <w:spacing w:val="0"/>
          <w:sz w:val="24"/>
          <w:szCs w:val="24"/>
        </w:rPr>
      </w:pPr>
      <w:r>
        <w:rPr>
          <w:rFonts w:hint="eastAsia" w:ascii="仿宋" w:hAnsi="仿宋" w:eastAsia="仿宋" w:cs="仿宋"/>
          <w:i w:val="0"/>
          <w:iCs w:val="0"/>
          <w:caps w:val="0"/>
          <w:color w:val="000000"/>
          <w:spacing w:val="0"/>
          <w:sz w:val="24"/>
          <w:szCs w:val="24"/>
        </w:rPr>
        <w:t>本公司参加______单位的______项目采购活动，采购活动提供本企业（填写制造的货物，由本企业承担工程、提供服务）。</w:t>
      </w:r>
    </w:p>
    <w:p w14:paraId="5F81BC04">
      <w:pPr>
        <w:pStyle w:val="32"/>
        <w:keepNext w:val="0"/>
        <w:keepLines w:val="0"/>
        <w:widowControl/>
        <w:suppressLineNumbers w:val="0"/>
        <w:spacing w:before="75" w:beforeAutospacing="0" w:after="75" w:afterAutospacing="0" w:line="420" w:lineRule="atLeast"/>
        <w:ind w:left="0" w:right="0" w:firstLine="0"/>
        <w:jc w:val="left"/>
        <w:rPr>
          <w:rFonts w:hint="eastAsia" w:ascii="仿宋" w:hAnsi="仿宋" w:eastAsia="仿宋" w:cs="仿宋"/>
          <w:i w:val="0"/>
          <w:iCs w:val="0"/>
          <w:caps w:val="0"/>
          <w:color w:val="000000"/>
          <w:spacing w:val="0"/>
          <w:sz w:val="24"/>
          <w:szCs w:val="24"/>
        </w:rPr>
      </w:pPr>
      <w:r>
        <w:rPr>
          <w:rFonts w:hint="eastAsia" w:ascii="仿宋" w:hAnsi="仿宋" w:eastAsia="仿宋" w:cs="仿宋"/>
          <w:i w:val="0"/>
          <w:iCs w:val="0"/>
          <w:caps w:val="0"/>
          <w:color w:val="000000"/>
          <w:spacing w:val="0"/>
          <w:sz w:val="24"/>
          <w:szCs w:val="24"/>
        </w:rPr>
        <w:t>本条所称货物不包括使用大型企业注册商标的货物和服务。</w:t>
      </w:r>
    </w:p>
    <w:p w14:paraId="2A890DC6">
      <w:pPr>
        <w:pStyle w:val="32"/>
        <w:keepNext w:val="0"/>
        <w:keepLines w:val="0"/>
        <w:widowControl/>
        <w:suppressLineNumbers w:val="0"/>
        <w:spacing w:before="75" w:beforeAutospacing="0" w:after="75" w:afterAutospacing="0" w:line="420" w:lineRule="atLeast"/>
        <w:ind w:left="0" w:right="0" w:firstLine="0"/>
        <w:jc w:val="left"/>
        <w:rPr>
          <w:rFonts w:hint="eastAsia" w:ascii="仿宋" w:hAnsi="仿宋" w:eastAsia="仿宋" w:cs="仿宋"/>
          <w:i w:val="0"/>
          <w:iCs w:val="0"/>
          <w:caps w:val="0"/>
          <w:color w:val="000000"/>
          <w:spacing w:val="0"/>
          <w:sz w:val="24"/>
          <w:szCs w:val="24"/>
        </w:rPr>
      </w:pPr>
      <w:r>
        <w:rPr>
          <w:rFonts w:hint="eastAsia" w:ascii="仿宋" w:hAnsi="仿宋" w:eastAsia="仿宋" w:cs="仿宋"/>
          <w:i w:val="0"/>
          <w:iCs w:val="0"/>
          <w:caps w:val="0"/>
          <w:color w:val="000000"/>
          <w:spacing w:val="0"/>
          <w:sz w:val="24"/>
          <w:szCs w:val="24"/>
        </w:rPr>
        <w:t>本公司对上述声明的真实性负责。如有虚假，将依法承担相应责任。</w:t>
      </w:r>
    </w:p>
    <w:p w14:paraId="4E1AB2DB">
      <w:pPr>
        <w:pStyle w:val="32"/>
        <w:keepNext w:val="0"/>
        <w:keepLines w:val="0"/>
        <w:widowControl/>
        <w:suppressLineNumbers w:val="0"/>
        <w:spacing w:before="75" w:beforeAutospacing="0" w:after="75" w:afterAutospacing="0" w:line="420" w:lineRule="atLeast"/>
        <w:ind w:left="0" w:right="0" w:firstLine="0"/>
        <w:jc w:val="left"/>
        <w:rPr>
          <w:rFonts w:hint="eastAsia" w:ascii="仿宋" w:hAnsi="仿宋" w:eastAsia="仿宋" w:cs="仿宋"/>
          <w:i w:val="0"/>
          <w:iCs w:val="0"/>
          <w:caps w:val="0"/>
          <w:color w:val="000000"/>
          <w:spacing w:val="0"/>
          <w:sz w:val="24"/>
          <w:szCs w:val="24"/>
        </w:rPr>
      </w:pPr>
    </w:p>
    <w:p w14:paraId="2923FB33">
      <w:pPr>
        <w:pStyle w:val="32"/>
        <w:keepNext w:val="0"/>
        <w:keepLines w:val="0"/>
        <w:widowControl/>
        <w:suppressLineNumbers w:val="0"/>
        <w:spacing w:before="75" w:beforeAutospacing="0" w:after="75" w:afterAutospacing="0" w:line="420" w:lineRule="atLeast"/>
        <w:ind w:left="0" w:right="0" w:firstLine="0"/>
        <w:jc w:val="left"/>
        <w:rPr>
          <w:rFonts w:hint="eastAsia" w:ascii="仿宋" w:hAnsi="仿宋" w:eastAsia="仿宋" w:cs="仿宋"/>
          <w:i w:val="0"/>
          <w:iCs w:val="0"/>
          <w:caps w:val="0"/>
          <w:color w:val="000000"/>
          <w:spacing w:val="0"/>
          <w:sz w:val="24"/>
          <w:szCs w:val="24"/>
        </w:rPr>
      </w:pPr>
      <w:r>
        <w:rPr>
          <w:rFonts w:hint="eastAsia" w:ascii="仿宋" w:hAnsi="仿宋" w:eastAsia="仿宋" w:cs="仿宋"/>
          <w:i w:val="0"/>
          <w:iCs w:val="0"/>
          <w:caps w:val="0"/>
          <w:color w:val="000000"/>
          <w:spacing w:val="0"/>
          <w:sz w:val="24"/>
          <w:szCs w:val="24"/>
        </w:rPr>
        <w:t>企业名称（加盖公章）：</w:t>
      </w:r>
    </w:p>
    <w:p w14:paraId="0A64F5DB">
      <w:pPr>
        <w:pStyle w:val="32"/>
        <w:keepNext w:val="0"/>
        <w:keepLines w:val="0"/>
        <w:widowControl/>
        <w:suppressLineNumbers w:val="0"/>
        <w:spacing w:before="75" w:beforeAutospacing="0" w:after="75" w:afterAutospacing="0" w:line="420" w:lineRule="atLeast"/>
        <w:ind w:left="0" w:right="0" w:firstLine="0"/>
        <w:jc w:val="left"/>
        <w:rPr>
          <w:rFonts w:hint="eastAsia" w:ascii="仿宋" w:hAnsi="仿宋" w:eastAsia="仿宋" w:cs="仿宋"/>
          <w:i w:val="0"/>
          <w:iCs w:val="0"/>
          <w:caps w:val="0"/>
          <w:color w:val="000000"/>
          <w:spacing w:val="0"/>
          <w:sz w:val="24"/>
          <w:szCs w:val="24"/>
        </w:rPr>
      </w:pPr>
      <w:r>
        <w:rPr>
          <w:rFonts w:hint="eastAsia" w:ascii="仿宋" w:hAnsi="仿宋" w:eastAsia="仿宋" w:cs="仿宋"/>
          <w:i w:val="0"/>
          <w:iCs w:val="0"/>
          <w:caps w:val="0"/>
          <w:color w:val="000000"/>
          <w:spacing w:val="0"/>
          <w:sz w:val="24"/>
          <w:szCs w:val="24"/>
        </w:rPr>
        <w:t>法定代表人（负责人）或其授权代表(签字</w:t>
      </w:r>
      <w:r>
        <w:rPr>
          <w:rFonts w:hint="eastAsia" w:ascii="仿宋_GB2312" w:hAnsi="仿宋_GB2312" w:eastAsia="仿宋_GB2312" w:cs="仿宋_GB2312"/>
          <w:b w:val="0"/>
          <w:i w:val="0"/>
          <w:caps w:val="0"/>
          <w:spacing w:val="0"/>
          <w:w w:val="100"/>
          <w:sz w:val="24"/>
          <w:lang w:val="en-US" w:eastAsia="zh-CN"/>
        </w:rPr>
        <w:t>或签章</w:t>
      </w:r>
      <w:r>
        <w:rPr>
          <w:rFonts w:hint="eastAsia" w:ascii="仿宋" w:hAnsi="仿宋" w:eastAsia="仿宋" w:cs="仿宋"/>
          <w:i w:val="0"/>
          <w:iCs w:val="0"/>
          <w:caps w:val="0"/>
          <w:color w:val="000000"/>
          <w:spacing w:val="0"/>
          <w:sz w:val="24"/>
          <w:szCs w:val="24"/>
        </w:rPr>
        <w:t>)：</w:t>
      </w:r>
    </w:p>
    <w:p w14:paraId="2F3AB02E">
      <w:pPr>
        <w:pStyle w:val="32"/>
        <w:keepNext w:val="0"/>
        <w:keepLines w:val="0"/>
        <w:widowControl/>
        <w:suppressLineNumbers w:val="0"/>
        <w:spacing w:before="75" w:beforeAutospacing="0" w:after="75" w:afterAutospacing="0" w:line="420" w:lineRule="atLeast"/>
        <w:ind w:left="0" w:right="0" w:firstLine="0"/>
        <w:jc w:val="left"/>
        <w:rPr>
          <w:rFonts w:hint="eastAsia" w:ascii="仿宋" w:hAnsi="仿宋" w:eastAsia="仿宋" w:cs="仿宋"/>
          <w:i w:val="0"/>
          <w:iCs w:val="0"/>
          <w:caps w:val="0"/>
          <w:color w:val="000000"/>
          <w:spacing w:val="0"/>
          <w:sz w:val="24"/>
          <w:szCs w:val="24"/>
          <w:lang w:eastAsia="zh-CN"/>
        </w:rPr>
      </w:pPr>
      <w:r>
        <w:rPr>
          <w:rFonts w:hint="eastAsia" w:ascii="仿宋" w:hAnsi="仿宋" w:eastAsia="仿宋" w:cs="仿宋"/>
          <w:i w:val="0"/>
          <w:iCs w:val="0"/>
          <w:caps w:val="0"/>
          <w:color w:val="000000"/>
          <w:spacing w:val="0"/>
          <w:sz w:val="24"/>
          <w:szCs w:val="24"/>
        </w:rPr>
        <w:t>日期：</w:t>
      </w:r>
    </w:p>
    <w:p w14:paraId="5CED1FEF">
      <w:pPr>
        <w:rPr>
          <w:rFonts w:hint="eastAsia"/>
        </w:rPr>
      </w:pPr>
      <w:bookmarkStart w:id="1429" w:name="_Toc22178"/>
      <w:bookmarkStart w:id="1430" w:name="_Toc21571"/>
      <w:bookmarkStart w:id="1431" w:name="_Toc4354"/>
      <w:bookmarkStart w:id="1432" w:name="_Toc2485"/>
      <w:bookmarkStart w:id="1433" w:name="_Toc5785"/>
    </w:p>
    <w:p w14:paraId="419CFD09">
      <w:pPr>
        <w:pStyle w:val="17"/>
        <w:rPr>
          <w:rFonts w:hint="eastAsia"/>
        </w:rPr>
      </w:pPr>
    </w:p>
    <w:p w14:paraId="7B511050">
      <w:pPr>
        <w:pStyle w:val="4"/>
        <w:keepNext/>
        <w:keepLines/>
        <w:pageBreakBefore w:val="0"/>
        <w:widowControl/>
        <w:kinsoku/>
        <w:wordWrap/>
        <w:overflowPunct/>
        <w:topLinePunct w:val="0"/>
        <w:autoSpaceDE w:val="0"/>
        <w:autoSpaceDN w:val="0"/>
        <w:bidi w:val="0"/>
        <w:adjustRightInd w:val="0"/>
        <w:snapToGrid/>
        <w:spacing w:before="0" w:beforeAutospacing="0" w:after="0" w:afterAutospacing="0" w:line="288" w:lineRule="auto"/>
        <w:ind w:left="1079" w:leftChars="257" w:hanging="539"/>
        <w:jc w:val="center"/>
        <w:textAlignment w:val="baseline"/>
        <w:outlineLvl w:val="2"/>
        <w:rPr>
          <w:rFonts w:hint="eastAsia" w:ascii="仿宋_GB2312" w:hAnsi="仿宋_GB2312" w:eastAsia="仿宋_GB2312" w:cs="仿宋_GB2312"/>
          <w:b/>
          <w:i w:val="0"/>
          <w:caps w:val="0"/>
          <w:spacing w:val="0"/>
          <w:w w:val="100"/>
          <w:sz w:val="24"/>
          <w:u w:val="none"/>
        </w:rPr>
      </w:pPr>
    </w:p>
    <w:p w14:paraId="71657431">
      <w:pPr>
        <w:pStyle w:val="4"/>
        <w:keepNext/>
        <w:keepLines/>
        <w:pageBreakBefore w:val="0"/>
        <w:widowControl/>
        <w:kinsoku/>
        <w:wordWrap/>
        <w:overflowPunct/>
        <w:topLinePunct w:val="0"/>
        <w:autoSpaceDE w:val="0"/>
        <w:autoSpaceDN w:val="0"/>
        <w:bidi w:val="0"/>
        <w:adjustRightInd w:val="0"/>
        <w:snapToGrid/>
        <w:spacing w:before="0" w:beforeAutospacing="0" w:after="0" w:afterAutospacing="0" w:line="288" w:lineRule="auto"/>
        <w:ind w:left="1079" w:leftChars="257" w:hanging="539"/>
        <w:jc w:val="center"/>
        <w:textAlignment w:val="baseline"/>
        <w:outlineLvl w:val="2"/>
        <w:rPr>
          <w:rFonts w:ascii="Arial" w:hAnsi="Arial" w:eastAsia="黑体"/>
          <w:b/>
          <w:i w:val="0"/>
          <w:caps w:val="0"/>
          <w:spacing w:val="0"/>
          <w:w w:val="100"/>
          <w:sz w:val="30"/>
        </w:rPr>
      </w:pPr>
      <w:bookmarkStart w:id="1434" w:name="_Toc32424"/>
      <w:bookmarkStart w:id="1435" w:name="_Toc12127"/>
      <w:bookmarkStart w:id="1436" w:name="_Toc3264"/>
      <w:bookmarkStart w:id="1437" w:name="_Toc25051"/>
      <w:bookmarkStart w:id="1438" w:name="_Toc10312"/>
      <w:bookmarkStart w:id="1439" w:name="_Toc14368"/>
      <w:r>
        <w:rPr>
          <w:rFonts w:hint="eastAsia" w:ascii="仿宋_GB2312" w:hAnsi="仿宋_GB2312" w:eastAsia="仿宋_GB2312" w:cs="仿宋_GB2312"/>
          <w:b/>
          <w:i w:val="0"/>
          <w:caps w:val="0"/>
          <w:spacing w:val="0"/>
          <w:w w:val="100"/>
          <w:sz w:val="24"/>
          <w:u w:val="none"/>
        </w:rPr>
        <w:t>7  投标文件还应包括第五章、综合评分表的所有技术文件</w:t>
      </w:r>
      <w:bookmarkEnd w:id="1383"/>
      <w:bookmarkEnd w:id="1429"/>
      <w:bookmarkEnd w:id="1430"/>
      <w:bookmarkEnd w:id="1431"/>
      <w:bookmarkEnd w:id="1432"/>
      <w:bookmarkEnd w:id="1433"/>
      <w:bookmarkEnd w:id="1434"/>
      <w:bookmarkEnd w:id="1435"/>
      <w:bookmarkEnd w:id="1436"/>
      <w:bookmarkEnd w:id="1437"/>
      <w:bookmarkEnd w:id="1438"/>
      <w:bookmarkEnd w:id="1439"/>
    </w:p>
    <w:p w14:paraId="68274E8A">
      <w:pPr>
        <w:pStyle w:val="36"/>
        <w:ind w:left="0" w:leftChars="0" w:firstLine="0" w:firstLineChars="0"/>
      </w:pPr>
      <w:bookmarkStart w:id="1440" w:name="_Toc30795"/>
      <w:bookmarkStart w:id="1441" w:name="_Toc515647827"/>
      <w:bookmarkStart w:id="1442" w:name="_Toc28099"/>
      <w:bookmarkStart w:id="1443" w:name="_Toc10002"/>
    </w:p>
    <w:p w14:paraId="682A6410">
      <w:pPr>
        <w:pStyle w:val="4"/>
        <w:keepNext/>
        <w:keepLines/>
        <w:pageBreakBefore w:val="0"/>
        <w:widowControl/>
        <w:kinsoku/>
        <w:wordWrap/>
        <w:overflowPunct/>
        <w:topLinePunct w:val="0"/>
        <w:autoSpaceDE w:val="0"/>
        <w:autoSpaceDN w:val="0"/>
        <w:bidi w:val="0"/>
        <w:adjustRightInd w:val="0"/>
        <w:snapToGrid/>
        <w:spacing w:before="0" w:beforeAutospacing="0" w:after="0" w:afterAutospacing="0" w:line="288" w:lineRule="auto"/>
        <w:ind w:left="1079" w:leftChars="257" w:hanging="539"/>
        <w:jc w:val="center"/>
        <w:textAlignment w:val="baseline"/>
        <w:outlineLvl w:val="2"/>
        <w:rPr>
          <w:rFonts w:hint="eastAsia" w:ascii="仿宋_GB2312" w:hAnsi="仿宋_GB2312" w:eastAsia="仿宋_GB2312" w:cs="仿宋_GB2312"/>
          <w:b/>
          <w:i w:val="0"/>
          <w:caps w:val="0"/>
          <w:spacing w:val="0"/>
          <w:w w:val="100"/>
          <w:sz w:val="24"/>
          <w:u w:val="none"/>
        </w:rPr>
      </w:pPr>
      <w:bookmarkStart w:id="1444" w:name="_Toc14100"/>
      <w:bookmarkStart w:id="1445" w:name="_Toc7250"/>
      <w:bookmarkStart w:id="1446" w:name="_Toc15893"/>
      <w:bookmarkStart w:id="1447" w:name="_Toc8302"/>
      <w:bookmarkStart w:id="1448" w:name="_Toc6646"/>
      <w:bookmarkStart w:id="1449" w:name="_Toc16449"/>
      <w:bookmarkStart w:id="1450" w:name="_Toc24363"/>
      <w:bookmarkStart w:id="1451" w:name="_Toc15187"/>
      <w:bookmarkStart w:id="1452" w:name="_Toc6272"/>
      <w:bookmarkStart w:id="1453" w:name="_Toc12381"/>
      <w:bookmarkStart w:id="1454" w:name="_Toc15185"/>
      <w:bookmarkStart w:id="1455" w:name="_Toc26500"/>
      <w:bookmarkStart w:id="1456" w:name="_Toc8592"/>
    </w:p>
    <w:p w14:paraId="1B5D3EF9">
      <w:pPr>
        <w:pStyle w:val="4"/>
        <w:keepNext/>
        <w:keepLines/>
        <w:pageBreakBefore w:val="0"/>
        <w:widowControl/>
        <w:kinsoku/>
        <w:wordWrap/>
        <w:overflowPunct/>
        <w:topLinePunct w:val="0"/>
        <w:autoSpaceDE w:val="0"/>
        <w:autoSpaceDN w:val="0"/>
        <w:bidi w:val="0"/>
        <w:adjustRightInd w:val="0"/>
        <w:snapToGrid/>
        <w:spacing w:before="0" w:beforeAutospacing="0" w:after="0" w:afterAutospacing="0" w:line="288" w:lineRule="auto"/>
        <w:ind w:left="1079" w:leftChars="257" w:hanging="539"/>
        <w:jc w:val="center"/>
        <w:textAlignment w:val="baseline"/>
        <w:outlineLvl w:val="2"/>
        <w:rPr>
          <w:rFonts w:hint="eastAsia" w:ascii="仿宋_GB2312" w:hAnsi="仿宋_GB2312" w:eastAsia="仿宋_GB2312" w:cs="仿宋_GB2312"/>
          <w:b/>
          <w:i w:val="0"/>
          <w:caps w:val="0"/>
          <w:spacing w:val="0"/>
          <w:w w:val="100"/>
          <w:sz w:val="24"/>
          <w:u w:val="none"/>
        </w:rPr>
      </w:pPr>
      <w:bookmarkStart w:id="1457" w:name="_Toc6007"/>
      <w:bookmarkStart w:id="1458" w:name="_Toc2885"/>
      <w:bookmarkStart w:id="1459" w:name="_Toc8798"/>
      <w:bookmarkStart w:id="1460" w:name="_Toc2342"/>
      <w:bookmarkStart w:id="1461" w:name="_Toc12023"/>
      <w:bookmarkStart w:id="1462" w:name="_Toc15813"/>
      <w:r>
        <w:rPr>
          <w:rFonts w:hint="eastAsia" w:ascii="仿宋_GB2312" w:hAnsi="仿宋_GB2312" w:eastAsia="仿宋_GB2312" w:cs="仿宋_GB2312"/>
          <w:b/>
          <w:i w:val="0"/>
          <w:caps w:val="0"/>
          <w:spacing w:val="0"/>
          <w:w w:val="100"/>
          <w:sz w:val="24"/>
          <w:u w:val="none"/>
        </w:rPr>
        <w:t>8   投标人关联单位的说明</w:t>
      </w:r>
      <w:bookmarkEnd w:id="1440"/>
      <w:bookmarkEnd w:id="1441"/>
      <w:bookmarkEnd w:id="1442"/>
      <w:bookmarkEnd w:id="1443"/>
      <w:bookmarkEnd w:id="1444"/>
      <w:bookmarkEnd w:id="1445"/>
      <w:bookmarkEnd w:id="1446"/>
      <w:bookmarkEnd w:id="1447"/>
      <w:bookmarkEnd w:id="1448"/>
      <w:bookmarkEnd w:id="1449"/>
      <w:bookmarkEnd w:id="1450"/>
      <w:bookmarkEnd w:id="1451"/>
      <w:bookmarkEnd w:id="1452"/>
      <w:bookmarkEnd w:id="1453"/>
      <w:bookmarkEnd w:id="1454"/>
      <w:bookmarkEnd w:id="1455"/>
      <w:bookmarkEnd w:id="1456"/>
      <w:bookmarkEnd w:id="1457"/>
      <w:bookmarkEnd w:id="1458"/>
      <w:bookmarkEnd w:id="1459"/>
      <w:bookmarkEnd w:id="1460"/>
      <w:bookmarkEnd w:id="1461"/>
      <w:bookmarkEnd w:id="1462"/>
    </w:p>
    <w:p w14:paraId="30CF89C3">
      <w:pPr>
        <w:pStyle w:val="9"/>
        <w:snapToGrid w:val="0"/>
        <w:spacing w:before="0" w:beforeAutospacing="0" w:after="0" w:afterAutospacing="0" w:line="240" w:lineRule="auto"/>
        <w:ind w:firstLine="420"/>
        <w:jc w:val="center"/>
        <w:textAlignment w:val="baseline"/>
        <w:rPr>
          <w:rFonts w:ascii="仿宋_GB2312" w:hAnsi="仿宋_GB2312" w:eastAsia="仿宋_GB2312" w:cs="仿宋_GB2312"/>
          <w:b w:val="0"/>
          <w:i w:val="0"/>
          <w:caps w:val="0"/>
          <w:spacing w:val="0"/>
          <w:w w:val="100"/>
          <w:sz w:val="24"/>
        </w:rPr>
      </w:pPr>
    </w:p>
    <w:p w14:paraId="29931F43">
      <w:pPr>
        <w:pStyle w:val="9"/>
        <w:snapToGrid w:val="0"/>
        <w:spacing w:before="0" w:beforeAutospacing="0" w:after="0" w:afterAutospacing="0" w:line="240" w:lineRule="auto"/>
        <w:ind w:firstLine="480" w:firstLineChars="200"/>
        <w:jc w:val="left"/>
        <w:textAlignment w:val="baseline"/>
        <w:rPr>
          <w:rFonts w:ascii="仿宋_GB2312" w:hAnsi="仿宋_GB2312" w:eastAsia="仿宋_GB2312" w:cs="仿宋_GB2312"/>
          <w:b w:val="0"/>
          <w:i w:val="0"/>
          <w:caps w:val="0"/>
          <w:spacing w:val="0"/>
          <w:w w:val="100"/>
          <w:sz w:val="24"/>
        </w:rPr>
      </w:pPr>
      <w:r>
        <w:rPr>
          <w:rFonts w:hint="eastAsia" w:ascii="仿宋_GB2312" w:hAnsi="仿宋_GB2312" w:eastAsia="仿宋_GB2312" w:cs="仿宋_GB2312"/>
          <w:b w:val="0"/>
          <w:i w:val="0"/>
          <w:caps w:val="0"/>
          <w:spacing w:val="0"/>
          <w:w w:val="100"/>
          <w:sz w:val="24"/>
        </w:rPr>
        <w:t>说明：投标人应当如实披露与本单位存在下列关联关系的单位名称：</w:t>
      </w:r>
    </w:p>
    <w:p w14:paraId="60899FA2">
      <w:pPr>
        <w:pStyle w:val="9"/>
        <w:snapToGrid w:val="0"/>
        <w:spacing w:before="0" w:beforeAutospacing="0" w:after="0" w:afterAutospacing="0" w:line="240" w:lineRule="auto"/>
        <w:ind w:firstLine="480" w:firstLineChars="200"/>
        <w:jc w:val="left"/>
        <w:textAlignment w:val="baseline"/>
        <w:rPr>
          <w:rFonts w:ascii="仿宋_GB2312" w:hAnsi="仿宋_GB2312" w:eastAsia="仿宋_GB2312" w:cs="仿宋_GB2312"/>
          <w:b w:val="0"/>
          <w:i w:val="0"/>
          <w:caps w:val="0"/>
          <w:spacing w:val="0"/>
          <w:w w:val="100"/>
          <w:sz w:val="24"/>
        </w:rPr>
      </w:pPr>
      <w:r>
        <w:rPr>
          <w:rFonts w:hint="eastAsia" w:ascii="仿宋_GB2312" w:hAnsi="仿宋_GB2312" w:eastAsia="仿宋_GB2312" w:cs="仿宋_GB2312"/>
          <w:b w:val="0"/>
          <w:i w:val="0"/>
          <w:caps w:val="0"/>
          <w:spacing w:val="0"/>
          <w:w w:val="100"/>
          <w:sz w:val="24"/>
        </w:rPr>
        <w:t>（1）与投标人单位负责人为同一人的其他单位；</w:t>
      </w:r>
    </w:p>
    <w:p w14:paraId="359CEC67">
      <w:pPr>
        <w:pStyle w:val="9"/>
        <w:snapToGrid w:val="0"/>
        <w:spacing w:before="0" w:beforeAutospacing="0" w:after="0" w:afterAutospacing="0" w:line="240" w:lineRule="auto"/>
        <w:ind w:firstLine="480" w:firstLineChars="200"/>
        <w:jc w:val="left"/>
        <w:textAlignment w:val="baseline"/>
        <w:rPr>
          <w:rFonts w:ascii="仿宋_GB2312" w:hAnsi="仿宋_GB2312" w:eastAsia="仿宋_GB2312" w:cs="仿宋_GB2312"/>
          <w:b w:val="0"/>
          <w:i w:val="0"/>
          <w:caps w:val="0"/>
          <w:spacing w:val="0"/>
          <w:w w:val="100"/>
          <w:sz w:val="24"/>
        </w:rPr>
      </w:pPr>
      <w:r>
        <w:rPr>
          <w:rFonts w:hint="eastAsia" w:ascii="仿宋_GB2312" w:hAnsi="仿宋_GB2312" w:eastAsia="仿宋_GB2312" w:cs="仿宋_GB2312"/>
          <w:b w:val="0"/>
          <w:i w:val="0"/>
          <w:caps w:val="0"/>
          <w:spacing w:val="0"/>
          <w:w w:val="100"/>
          <w:sz w:val="24"/>
        </w:rPr>
        <w:t>（2）与投标人存在直接控股、管理关系的其他单位。</w:t>
      </w:r>
    </w:p>
    <w:p w14:paraId="6CA7C869">
      <w:pPr>
        <w:pStyle w:val="27"/>
        <w:snapToGrid w:val="0"/>
        <w:spacing w:before="0" w:beforeAutospacing="0" w:after="0" w:afterAutospacing="0" w:line="240" w:lineRule="auto"/>
        <w:jc w:val="left"/>
        <w:textAlignment w:val="baseline"/>
        <w:rPr>
          <w:rFonts w:ascii="仿宋_GB2312" w:hAnsi="仿宋_GB2312" w:eastAsia="仿宋_GB2312" w:cs="仿宋_GB2312"/>
          <w:b/>
          <w:i w:val="0"/>
          <w:caps w:val="0"/>
          <w:spacing w:val="0"/>
          <w:w w:val="100"/>
          <w:kern w:val="0"/>
          <w:sz w:val="24"/>
          <w:szCs w:val="20"/>
        </w:rPr>
      </w:pPr>
    </w:p>
    <w:p w14:paraId="6D412C88">
      <w:pPr>
        <w:pStyle w:val="14"/>
      </w:pPr>
    </w:p>
    <w:p w14:paraId="41433F2D">
      <w:pPr>
        <w:pStyle w:val="4"/>
        <w:keepNext/>
        <w:keepLines/>
        <w:pageBreakBefore w:val="0"/>
        <w:widowControl/>
        <w:kinsoku/>
        <w:wordWrap/>
        <w:overflowPunct/>
        <w:topLinePunct w:val="0"/>
        <w:autoSpaceDE w:val="0"/>
        <w:autoSpaceDN w:val="0"/>
        <w:bidi w:val="0"/>
        <w:adjustRightInd w:val="0"/>
        <w:snapToGrid/>
        <w:spacing w:before="0" w:beforeAutospacing="0" w:after="0" w:afterAutospacing="0" w:line="288" w:lineRule="auto"/>
        <w:ind w:left="1079" w:leftChars="257" w:hanging="539"/>
        <w:jc w:val="center"/>
        <w:textAlignment w:val="baseline"/>
        <w:outlineLvl w:val="2"/>
        <w:rPr>
          <w:rFonts w:hint="eastAsia" w:ascii="仿宋_GB2312" w:hAnsi="仿宋_GB2312" w:eastAsia="仿宋_GB2312" w:cs="仿宋_GB2312"/>
          <w:b/>
          <w:i w:val="0"/>
          <w:caps w:val="0"/>
          <w:spacing w:val="0"/>
          <w:w w:val="100"/>
          <w:sz w:val="24"/>
          <w:u w:val="none"/>
        </w:rPr>
      </w:pPr>
      <w:bookmarkStart w:id="1463" w:name="_Toc16143"/>
      <w:bookmarkStart w:id="1464" w:name="_Toc17479"/>
      <w:bookmarkStart w:id="1465" w:name="_Toc28623"/>
      <w:bookmarkStart w:id="1466" w:name="_Toc11350"/>
      <w:bookmarkStart w:id="1467" w:name="_Toc20966"/>
      <w:bookmarkStart w:id="1468" w:name="_Toc26379"/>
      <w:bookmarkStart w:id="1469" w:name="_Toc14859"/>
      <w:bookmarkStart w:id="1470" w:name="_Toc17362"/>
      <w:bookmarkStart w:id="1471" w:name="_Toc793"/>
      <w:bookmarkStart w:id="1472" w:name="_Toc30965"/>
      <w:bookmarkStart w:id="1473" w:name="_Toc1348"/>
      <w:bookmarkStart w:id="1474" w:name="_Toc25797"/>
      <w:r>
        <w:rPr>
          <w:rFonts w:hint="eastAsia" w:ascii="仿宋_GB2312" w:hAnsi="仿宋_GB2312" w:eastAsia="仿宋_GB2312" w:cs="仿宋_GB2312"/>
          <w:b/>
          <w:i w:val="0"/>
          <w:caps w:val="0"/>
          <w:spacing w:val="0"/>
          <w:w w:val="100"/>
          <w:sz w:val="24"/>
          <w:u w:val="none"/>
        </w:rPr>
        <w:t>9 其他有利于投标人的文件或证明材料</w:t>
      </w:r>
      <w:bookmarkEnd w:id="1463"/>
      <w:bookmarkEnd w:id="1464"/>
      <w:bookmarkEnd w:id="1465"/>
      <w:bookmarkEnd w:id="1466"/>
      <w:bookmarkEnd w:id="1467"/>
      <w:bookmarkEnd w:id="1468"/>
      <w:bookmarkEnd w:id="1469"/>
      <w:bookmarkEnd w:id="1470"/>
      <w:bookmarkEnd w:id="1471"/>
      <w:bookmarkEnd w:id="1472"/>
      <w:bookmarkEnd w:id="1473"/>
      <w:bookmarkEnd w:id="1474"/>
    </w:p>
    <w:p w14:paraId="4C86DDF5">
      <w:pPr>
        <w:pStyle w:val="27"/>
        <w:snapToGrid w:val="0"/>
        <w:spacing w:before="0" w:beforeAutospacing="0" w:after="0" w:afterAutospacing="0" w:line="240" w:lineRule="auto"/>
        <w:ind w:hangingChars="200"/>
        <w:jc w:val="left"/>
        <w:textAlignment w:val="baseline"/>
        <w:rPr>
          <w:rFonts w:hint="eastAsia" w:ascii="仿宋" w:hAnsi="仿宋" w:eastAsia="仿宋" w:cs="仿宋"/>
          <w:b w:val="0"/>
          <w:i w:val="0"/>
          <w:caps w:val="0"/>
          <w:color w:val="000000"/>
          <w:spacing w:val="0"/>
          <w:w w:val="100"/>
          <w:sz w:val="24"/>
        </w:rPr>
      </w:pPr>
    </w:p>
    <w:p w14:paraId="1D9A3654">
      <w:pPr>
        <w:pStyle w:val="27"/>
        <w:snapToGrid w:val="0"/>
        <w:spacing w:before="0" w:beforeAutospacing="0" w:after="0" w:afterAutospacing="0" w:line="240" w:lineRule="auto"/>
        <w:ind w:left="479" w:leftChars="228" w:firstLine="720" w:firstLineChars="300"/>
        <w:jc w:val="left"/>
        <w:textAlignment w:val="baseline"/>
        <w:rPr>
          <w:rFonts w:hint="eastAsia" w:ascii="仿宋" w:hAnsi="仿宋" w:eastAsia="仿宋" w:cs="仿宋"/>
          <w:b w:val="0"/>
          <w:i w:val="0"/>
          <w:caps w:val="0"/>
          <w:color w:val="000000"/>
          <w:spacing w:val="0"/>
          <w:w w:val="100"/>
          <w:sz w:val="24"/>
        </w:rPr>
      </w:pPr>
      <w:r>
        <w:rPr>
          <w:rFonts w:hint="eastAsia" w:ascii="仿宋" w:hAnsi="仿宋" w:eastAsia="仿宋" w:cs="仿宋"/>
          <w:b w:val="0"/>
          <w:i w:val="0"/>
          <w:caps w:val="0"/>
          <w:color w:val="000000"/>
          <w:spacing w:val="0"/>
          <w:w w:val="100"/>
          <w:sz w:val="24"/>
        </w:rPr>
        <w:t>提供有利于投标人的其他证明文件或</w:t>
      </w:r>
      <w:r>
        <w:rPr>
          <w:rFonts w:hint="eastAsia" w:ascii="仿宋" w:hAnsi="仿宋" w:eastAsia="仿宋" w:cs="仿宋"/>
          <w:b w:val="0"/>
          <w:i w:val="0"/>
          <w:caps w:val="0"/>
          <w:color w:val="000000"/>
          <w:spacing w:val="0"/>
          <w:w w:val="100"/>
          <w:sz w:val="24"/>
          <w:lang w:val="en-US" w:eastAsia="zh-CN"/>
        </w:rPr>
        <w:t>材料</w:t>
      </w:r>
      <w:r>
        <w:rPr>
          <w:rFonts w:hint="eastAsia" w:ascii="仿宋" w:hAnsi="仿宋" w:eastAsia="仿宋" w:cs="仿宋"/>
          <w:b w:val="0"/>
          <w:i w:val="0"/>
          <w:caps w:val="0"/>
          <w:color w:val="000000"/>
          <w:spacing w:val="0"/>
          <w:w w:val="100"/>
          <w:sz w:val="24"/>
        </w:rPr>
        <w:t>（格式自拟）</w:t>
      </w:r>
    </w:p>
    <w:p w14:paraId="57F62B66">
      <w:pPr>
        <w:pStyle w:val="4"/>
        <w:keepNext/>
        <w:keepLines/>
        <w:pageBreakBefore w:val="0"/>
        <w:widowControl/>
        <w:kinsoku/>
        <w:wordWrap/>
        <w:overflowPunct/>
        <w:topLinePunct w:val="0"/>
        <w:autoSpaceDE w:val="0"/>
        <w:autoSpaceDN w:val="0"/>
        <w:bidi w:val="0"/>
        <w:adjustRightInd w:val="0"/>
        <w:snapToGrid/>
        <w:spacing w:before="0" w:beforeAutospacing="0" w:after="0" w:afterAutospacing="0" w:line="288" w:lineRule="auto"/>
        <w:ind w:left="1079" w:leftChars="257" w:hanging="539"/>
        <w:jc w:val="center"/>
        <w:textAlignment w:val="baseline"/>
        <w:outlineLvl w:val="2"/>
        <w:rPr>
          <w:rFonts w:hint="eastAsia" w:ascii="仿宋_GB2312" w:hAnsi="仿宋_GB2312" w:eastAsia="仿宋_GB2312" w:cs="仿宋_GB2312"/>
          <w:b/>
          <w:i w:val="0"/>
          <w:caps w:val="0"/>
          <w:spacing w:val="0"/>
          <w:w w:val="100"/>
          <w:sz w:val="24"/>
          <w:u w:val="none"/>
        </w:rPr>
      </w:pPr>
      <w:bookmarkStart w:id="1475" w:name="_Toc22391"/>
      <w:bookmarkStart w:id="1476" w:name="_Toc283"/>
      <w:bookmarkStart w:id="1477" w:name="_Toc15737"/>
      <w:bookmarkStart w:id="1478" w:name="_Toc26225"/>
      <w:bookmarkStart w:id="1479" w:name="_Toc9667"/>
      <w:bookmarkStart w:id="1480" w:name="_Toc31553"/>
      <w:bookmarkStart w:id="1481" w:name="_Toc9043"/>
    </w:p>
    <w:p w14:paraId="49CC023E">
      <w:pPr>
        <w:pStyle w:val="4"/>
        <w:keepNext/>
        <w:keepLines/>
        <w:pageBreakBefore w:val="0"/>
        <w:widowControl/>
        <w:kinsoku/>
        <w:wordWrap/>
        <w:overflowPunct/>
        <w:topLinePunct w:val="0"/>
        <w:autoSpaceDE w:val="0"/>
        <w:autoSpaceDN w:val="0"/>
        <w:bidi w:val="0"/>
        <w:adjustRightInd w:val="0"/>
        <w:snapToGrid/>
        <w:spacing w:before="0" w:beforeAutospacing="0" w:after="0" w:afterAutospacing="0" w:line="288" w:lineRule="auto"/>
        <w:jc w:val="both"/>
        <w:textAlignment w:val="baseline"/>
        <w:outlineLvl w:val="2"/>
        <w:rPr>
          <w:rFonts w:hint="eastAsia" w:ascii="仿宋_GB2312" w:hAnsi="仿宋_GB2312" w:eastAsia="仿宋_GB2312" w:cs="仿宋_GB2312"/>
          <w:b/>
          <w:i w:val="0"/>
          <w:caps w:val="0"/>
          <w:spacing w:val="0"/>
          <w:w w:val="100"/>
          <w:sz w:val="24"/>
          <w:u w:val="none"/>
        </w:rPr>
      </w:pPr>
      <w:bookmarkStart w:id="1482" w:name="_Toc22724"/>
      <w:bookmarkStart w:id="1483" w:name="_Toc26615"/>
      <w:bookmarkStart w:id="1484" w:name="_Toc21278"/>
      <w:bookmarkStart w:id="1485" w:name="_Toc3765"/>
      <w:bookmarkStart w:id="1486" w:name="_Toc21986"/>
      <w:bookmarkStart w:id="1487" w:name="_Toc30537"/>
    </w:p>
    <w:p w14:paraId="15A2CAD8">
      <w:pPr>
        <w:pStyle w:val="4"/>
        <w:keepNext/>
        <w:keepLines/>
        <w:pageBreakBefore w:val="0"/>
        <w:widowControl/>
        <w:kinsoku/>
        <w:wordWrap/>
        <w:overflowPunct/>
        <w:topLinePunct w:val="0"/>
        <w:autoSpaceDE w:val="0"/>
        <w:autoSpaceDN w:val="0"/>
        <w:bidi w:val="0"/>
        <w:adjustRightInd w:val="0"/>
        <w:snapToGrid/>
        <w:spacing w:before="0" w:beforeAutospacing="0" w:after="0" w:afterAutospacing="0" w:line="288" w:lineRule="auto"/>
        <w:ind w:left="1079" w:leftChars="257" w:hanging="539"/>
        <w:jc w:val="center"/>
        <w:textAlignment w:val="baseline"/>
        <w:outlineLvl w:val="2"/>
        <w:rPr>
          <w:rFonts w:hint="eastAsia" w:ascii="仿宋_GB2312" w:hAnsi="仿宋_GB2312" w:eastAsia="仿宋_GB2312" w:cs="仿宋_GB2312"/>
          <w:b/>
          <w:i w:val="0"/>
          <w:caps w:val="0"/>
          <w:spacing w:val="0"/>
          <w:w w:val="100"/>
          <w:sz w:val="24"/>
          <w:u w:val="none"/>
        </w:rPr>
      </w:pPr>
    </w:p>
    <w:p w14:paraId="6B689CEA">
      <w:pPr>
        <w:pStyle w:val="4"/>
        <w:keepNext/>
        <w:keepLines/>
        <w:pageBreakBefore w:val="0"/>
        <w:widowControl/>
        <w:kinsoku/>
        <w:wordWrap/>
        <w:overflowPunct/>
        <w:topLinePunct w:val="0"/>
        <w:autoSpaceDE w:val="0"/>
        <w:autoSpaceDN w:val="0"/>
        <w:bidi w:val="0"/>
        <w:adjustRightInd w:val="0"/>
        <w:snapToGrid/>
        <w:spacing w:before="0" w:beforeAutospacing="0" w:after="0" w:afterAutospacing="0" w:line="288" w:lineRule="auto"/>
        <w:ind w:left="1079" w:leftChars="257" w:hanging="539"/>
        <w:jc w:val="center"/>
        <w:textAlignment w:val="baseline"/>
        <w:outlineLvl w:val="2"/>
        <w:rPr>
          <w:rFonts w:hint="eastAsia" w:ascii="仿宋_GB2312" w:hAnsi="仿宋_GB2312" w:eastAsia="仿宋_GB2312" w:cs="仿宋_GB2312"/>
          <w:b/>
          <w:i w:val="0"/>
          <w:caps w:val="0"/>
          <w:spacing w:val="0"/>
          <w:w w:val="100"/>
          <w:sz w:val="24"/>
          <w:u w:val="none"/>
        </w:rPr>
      </w:pPr>
      <w:bookmarkStart w:id="1488" w:name="_Toc28847"/>
      <w:bookmarkStart w:id="1489" w:name="_Toc21518"/>
      <w:bookmarkStart w:id="1490" w:name="_Toc14073"/>
      <w:bookmarkStart w:id="1491" w:name="_Toc9670"/>
      <w:bookmarkStart w:id="1492" w:name="_Toc18451"/>
      <w:r>
        <w:rPr>
          <w:rFonts w:hint="eastAsia" w:ascii="仿宋_GB2312" w:hAnsi="仿宋_GB2312" w:eastAsia="仿宋_GB2312" w:cs="仿宋_GB2312"/>
          <w:b/>
          <w:i w:val="0"/>
          <w:caps w:val="0"/>
          <w:spacing w:val="0"/>
          <w:w w:val="100"/>
          <w:sz w:val="24"/>
          <w:u w:val="none"/>
        </w:rPr>
        <w:t>10 对本项目投标文件（响应文件）中资料真实性的承诺</w:t>
      </w:r>
      <w:bookmarkEnd w:id="1475"/>
      <w:bookmarkEnd w:id="1476"/>
      <w:bookmarkEnd w:id="1477"/>
      <w:bookmarkEnd w:id="1478"/>
      <w:bookmarkEnd w:id="1479"/>
      <w:bookmarkEnd w:id="1480"/>
      <w:bookmarkEnd w:id="1481"/>
      <w:bookmarkEnd w:id="1482"/>
      <w:bookmarkEnd w:id="1483"/>
      <w:bookmarkEnd w:id="1484"/>
      <w:bookmarkEnd w:id="1485"/>
      <w:bookmarkEnd w:id="1486"/>
      <w:bookmarkEnd w:id="1487"/>
      <w:bookmarkEnd w:id="1488"/>
      <w:bookmarkEnd w:id="1489"/>
      <w:bookmarkEnd w:id="1490"/>
      <w:bookmarkEnd w:id="1491"/>
      <w:bookmarkEnd w:id="1492"/>
    </w:p>
    <w:p w14:paraId="2AD4ECA9">
      <w:pPr>
        <w:snapToGrid w:val="0"/>
        <w:spacing w:before="0" w:beforeAutospacing="0" w:after="0" w:afterAutospacing="0" w:line="240" w:lineRule="auto"/>
        <w:jc w:val="both"/>
        <w:textAlignment w:val="baseline"/>
        <w:rPr>
          <w:rFonts w:ascii="Tahoma" w:hAnsi="Tahoma" w:cs="Tahoma"/>
          <w:b/>
          <w:i w:val="0"/>
          <w:caps w:val="0"/>
          <w:spacing w:val="0"/>
          <w:w w:val="100"/>
          <w:sz w:val="28"/>
          <w:szCs w:val="28"/>
        </w:rPr>
      </w:pPr>
    </w:p>
    <w:p w14:paraId="6D17E82C">
      <w:pPr>
        <w:snapToGrid w:val="0"/>
        <w:spacing w:before="0" w:beforeAutospacing="0" w:after="0" w:afterAutospacing="0" w:line="360" w:lineRule="auto"/>
        <w:jc w:val="left"/>
        <w:textAlignment w:val="baseline"/>
        <w:rPr>
          <w:rFonts w:ascii="Tahoma" w:hAnsi="Tahoma" w:eastAsia="仿宋_GB2312" w:cs="Tahoma"/>
          <w:b/>
          <w:i w:val="0"/>
          <w:caps w:val="0"/>
          <w:spacing w:val="0"/>
          <w:w w:val="100"/>
          <w:sz w:val="24"/>
        </w:rPr>
      </w:pPr>
      <w:r>
        <w:rPr>
          <w:rFonts w:hint="eastAsia" w:ascii="Tahoma" w:hAnsi="Tahoma" w:eastAsia="仿宋_GB2312" w:cs="Tahoma"/>
          <w:b/>
          <w:i w:val="0"/>
          <w:caps w:val="0"/>
          <w:spacing w:val="0"/>
          <w:w w:val="100"/>
          <w:sz w:val="24"/>
          <w:lang w:val="en-US" w:eastAsia="zh-CN"/>
        </w:rPr>
        <w:t>疏附县</w:t>
      </w:r>
      <w:r>
        <w:rPr>
          <w:rFonts w:hint="eastAsia" w:ascii="Tahoma" w:hAnsi="Tahoma" w:eastAsia="仿宋_GB2312" w:cs="Tahoma"/>
          <w:b/>
          <w:i w:val="0"/>
          <w:caps w:val="0"/>
          <w:spacing w:val="0"/>
          <w:w w:val="100"/>
          <w:sz w:val="24"/>
        </w:rPr>
        <w:t>****项目评标委员会：</w:t>
      </w:r>
    </w:p>
    <w:p w14:paraId="5B6E2F00">
      <w:pPr>
        <w:snapToGrid w:val="0"/>
        <w:spacing w:before="0" w:beforeAutospacing="0" w:after="0" w:afterAutospacing="0" w:line="360" w:lineRule="auto"/>
        <w:ind w:firstLine="480" w:firstLineChars="200"/>
        <w:jc w:val="both"/>
        <w:textAlignment w:val="baseline"/>
        <w:rPr>
          <w:rFonts w:ascii="仿宋" w:hAnsi="仿宋" w:eastAsia="仿宋" w:cs="仿宋"/>
          <w:b w:val="0"/>
          <w:i w:val="0"/>
          <w:caps w:val="0"/>
          <w:spacing w:val="0"/>
          <w:w w:val="100"/>
          <w:sz w:val="24"/>
        </w:rPr>
      </w:pPr>
      <w:r>
        <w:rPr>
          <w:rFonts w:hint="eastAsia" w:ascii="仿宋_GB2312" w:hAnsi="宋体" w:eastAsia="仿宋_GB2312"/>
          <w:b w:val="0"/>
          <w:i w:val="0"/>
          <w:caps w:val="0"/>
          <w:spacing w:val="0"/>
          <w:w w:val="100"/>
          <w:kern w:val="0"/>
          <w:sz w:val="24"/>
          <w:szCs w:val="20"/>
        </w:rPr>
        <w:t>根据《中华人民共和国政府采购法》、《中华人民共和国政府采购法实施</w:t>
      </w:r>
      <w:r>
        <w:rPr>
          <w:rFonts w:hint="eastAsia" w:ascii="仿宋" w:hAnsi="仿宋" w:eastAsia="仿宋" w:cs="仿宋"/>
          <w:b w:val="0"/>
          <w:i w:val="0"/>
          <w:caps w:val="0"/>
          <w:spacing w:val="0"/>
          <w:w w:val="100"/>
          <w:sz w:val="24"/>
        </w:rPr>
        <w:t>条例》等有关法律、法规的规定和</w:t>
      </w:r>
      <w:r>
        <w:rPr>
          <w:rFonts w:hint="eastAsia" w:ascii="仿宋" w:hAnsi="仿宋" w:eastAsia="仿宋" w:cs="仿宋"/>
          <w:b w:val="0"/>
          <w:i w:val="0"/>
          <w:caps w:val="0"/>
          <w:spacing w:val="0"/>
          <w:w w:val="100"/>
          <w:sz w:val="24"/>
          <w:u w:val="single" w:color="000000"/>
        </w:rPr>
        <w:t>    ***项目项目编号***、第**标段  </w:t>
      </w:r>
      <w:r>
        <w:rPr>
          <w:rFonts w:hint="eastAsia" w:ascii="仿宋" w:hAnsi="仿宋" w:eastAsia="仿宋" w:cs="仿宋"/>
          <w:b w:val="0"/>
          <w:i w:val="0"/>
          <w:caps w:val="0"/>
          <w:spacing w:val="0"/>
          <w:w w:val="100"/>
          <w:sz w:val="24"/>
        </w:rPr>
        <w:t>的招标文件（或竞争性谈判文件）的要求，我公司在参加</w:t>
      </w:r>
      <w:r>
        <w:rPr>
          <w:rFonts w:hint="eastAsia" w:ascii="仿宋" w:hAnsi="仿宋" w:eastAsia="仿宋" w:cs="仿宋"/>
          <w:b w:val="0"/>
          <w:i w:val="0"/>
          <w:caps w:val="0"/>
          <w:spacing w:val="0"/>
          <w:w w:val="100"/>
          <w:sz w:val="24"/>
          <w:u w:val="single" w:color="000000"/>
        </w:rPr>
        <w:t xml:space="preserve"> ***项目项目编号***、第**标段 </w:t>
      </w:r>
      <w:r>
        <w:rPr>
          <w:rFonts w:hint="eastAsia" w:ascii="仿宋" w:hAnsi="仿宋" w:eastAsia="仿宋" w:cs="仿宋"/>
          <w:b w:val="0"/>
          <w:i w:val="0"/>
          <w:caps w:val="0"/>
          <w:spacing w:val="0"/>
          <w:w w:val="100"/>
          <w:sz w:val="24"/>
        </w:rPr>
        <w:t>投标文件（响应文件）中所提供资料真实性作如下承诺：</w:t>
      </w:r>
    </w:p>
    <w:p w14:paraId="1F151121">
      <w:pPr>
        <w:snapToGrid w:val="0"/>
        <w:spacing w:before="0" w:beforeAutospacing="0" w:after="0" w:afterAutospacing="0" w:line="360" w:lineRule="auto"/>
        <w:ind w:firstLine="480" w:firstLineChars="200"/>
        <w:jc w:val="both"/>
        <w:textAlignment w:val="baseline"/>
        <w:rPr>
          <w:rFonts w:ascii="仿宋" w:hAnsi="仿宋" w:eastAsia="仿宋" w:cs="仿宋"/>
          <w:b w:val="0"/>
          <w:i w:val="0"/>
          <w:caps w:val="0"/>
          <w:spacing w:val="0"/>
          <w:w w:val="100"/>
          <w:sz w:val="24"/>
        </w:rPr>
      </w:pPr>
      <w:r>
        <w:rPr>
          <w:rFonts w:hint="eastAsia" w:ascii="仿宋" w:hAnsi="仿宋" w:eastAsia="仿宋" w:cs="仿宋"/>
          <w:b w:val="0"/>
          <w:i w:val="0"/>
          <w:caps w:val="0"/>
          <w:spacing w:val="0"/>
          <w:w w:val="100"/>
          <w:sz w:val="24"/>
        </w:rPr>
        <w:t>我公司将严格按招标文件</w:t>
      </w:r>
      <w:bookmarkStart w:id="1493" w:name="_Hlk5982690"/>
      <w:r>
        <w:rPr>
          <w:rFonts w:hint="eastAsia" w:ascii="仿宋" w:hAnsi="仿宋" w:eastAsia="仿宋" w:cs="仿宋"/>
          <w:b w:val="0"/>
          <w:i w:val="0"/>
          <w:caps w:val="0"/>
          <w:spacing w:val="0"/>
          <w:w w:val="100"/>
          <w:sz w:val="24"/>
        </w:rPr>
        <w:t>（或竞争性谈判）</w:t>
      </w:r>
      <w:bookmarkEnd w:id="1493"/>
      <w:r>
        <w:rPr>
          <w:rFonts w:hint="eastAsia" w:ascii="仿宋" w:hAnsi="仿宋" w:eastAsia="仿宋" w:cs="仿宋"/>
          <w:b w:val="0"/>
          <w:i w:val="0"/>
          <w:caps w:val="0"/>
          <w:spacing w:val="0"/>
          <w:w w:val="100"/>
          <w:sz w:val="24"/>
        </w:rPr>
        <w:t xml:space="preserve">要求，在编制本投标文件（响应文件）时，对投标文件中所提供的资料全部真实和正确，并对提供的所有资料（资格、其他材料等）的真实性负责！ </w:t>
      </w:r>
    </w:p>
    <w:p w14:paraId="2CD1DF31">
      <w:pPr>
        <w:snapToGrid w:val="0"/>
        <w:spacing w:before="0" w:beforeAutospacing="0" w:after="0" w:afterAutospacing="0" w:line="360" w:lineRule="auto"/>
        <w:ind w:firstLine="480" w:firstLineChars="200"/>
        <w:jc w:val="both"/>
        <w:textAlignment w:val="baseline"/>
        <w:rPr>
          <w:rFonts w:ascii="仿宋" w:hAnsi="仿宋" w:eastAsia="仿宋" w:cs="仿宋"/>
          <w:b w:val="0"/>
          <w:i w:val="0"/>
          <w:caps w:val="0"/>
          <w:spacing w:val="0"/>
          <w:w w:val="100"/>
          <w:sz w:val="24"/>
        </w:rPr>
      </w:pPr>
      <w:r>
        <w:rPr>
          <w:rFonts w:hint="eastAsia" w:ascii="仿宋" w:hAnsi="仿宋" w:eastAsia="仿宋" w:cs="仿宋"/>
          <w:b w:val="0"/>
          <w:i w:val="0"/>
          <w:caps w:val="0"/>
          <w:spacing w:val="0"/>
          <w:w w:val="100"/>
          <w:sz w:val="24"/>
        </w:rPr>
        <w:t>对提供的全部资料中有存在不真实（伪造或租借等虚假资料）情形，将无条件接受任何处罚，自行承担由此引起的一切责任！</w:t>
      </w:r>
    </w:p>
    <w:p w14:paraId="172C3A87">
      <w:pPr>
        <w:snapToGrid w:val="0"/>
        <w:spacing w:before="0" w:beforeAutospacing="0" w:after="0" w:afterAutospacing="0" w:line="360" w:lineRule="auto"/>
        <w:ind w:firstLine="720" w:firstLineChars="300"/>
        <w:jc w:val="both"/>
        <w:textAlignment w:val="baseline"/>
        <w:rPr>
          <w:rFonts w:ascii="仿宋" w:hAnsi="仿宋" w:eastAsia="仿宋" w:cs="仿宋"/>
          <w:b w:val="0"/>
          <w:i w:val="0"/>
          <w:caps w:val="0"/>
          <w:spacing w:val="0"/>
          <w:w w:val="100"/>
          <w:sz w:val="24"/>
        </w:rPr>
      </w:pPr>
      <w:r>
        <w:rPr>
          <w:rFonts w:hint="eastAsia" w:ascii="仿宋" w:hAnsi="仿宋" w:eastAsia="仿宋" w:cs="仿宋"/>
          <w:b w:val="0"/>
          <w:i w:val="0"/>
          <w:caps w:val="0"/>
          <w:spacing w:val="0"/>
          <w:w w:val="100"/>
          <w:sz w:val="24"/>
        </w:rPr>
        <w:t>特此承诺</w:t>
      </w:r>
    </w:p>
    <w:p w14:paraId="72AE020A">
      <w:pPr>
        <w:snapToGrid w:val="0"/>
        <w:spacing w:before="0" w:beforeAutospacing="0" w:after="0" w:afterAutospacing="0" w:line="360" w:lineRule="auto"/>
        <w:ind w:firstLine="4080" w:firstLineChars="1700"/>
        <w:jc w:val="both"/>
        <w:textAlignment w:val="baseline"/>
        <w:rPr>
          <w:rFonts w:ascii="仿宋" w:hAnsi="仿宋" w:eastAsia="仿宋" w:cs="仿宋"/>
          <w:b w:val="0"/>
          <w:i w:val="0"/>
          <w:caps w:val="0"/>
          <w:spacing w:val="0"/>
          <w:w w:val="100"/>
          <w:sz w:val="24"/>
        </w:rPr>
      </w:pPr>
      <w:r>
        <w:rPr>
          <w:rFonts w:hint="eastAsia" w:ascii="仿宋" w:hAnsi="仿宋" w:eastAsia="仿宋" w:cs="仿宋"/>
          <w:b w:val="0"/>
          <w:i w:val="0"/>
          <w:caps w:val="0"/>
          <w:spacing w:val="0"/>
          <w:w w:val="100"/>
          <w:sz w:val="24"/>
        </w:rPr>
        <w:t>供应商名称（加盖</w:t>
      </w:r>
      <w:r>
        <w:rPr>
          <w:rFonts w:hint="eastAsia" w:ascii="仿宋" w:hAnsi="仿宋" w:eastAsia="仿宋" w:cs="仿宋"/>
          <w:b w:val="0"/>
          <w:i w:val="0"/>
          <w:caps w:val="0"/>
          <w:spacing w:val="0"/>
          <w:w w:val="100"/>
          <w:sz w:val="24"/>
          <w:lang w:val="en-US" w:eastAsia="zh-CN"/>
        </w:rPr>
        <w:t>公</w:t>
      </w:r>
      <w:r>
        <w:rPr>
          <w:rFonts w:hint="eastAsia" w:ascii="仿宋" w:hAnsi="仿宋" w:eastAsia="仿宋" w:cs="仿宋"/>
          <w:b w:val="0"/>
          <w:i w:val="0"/>
          <w:caps w:val="0"/>
          <w:spacing w:val="0"/>
          <w:w w:val="100"/>
          <w:sz w:val="24"/>
        </w:rPr>
        <w:t xml:space="preserve">章）：                        </w:t>
      </w:r>
    </w:p>
    <w:p w14:paraId="700BEE78">
      <w:pPr>
        <w:snapToGrid w:val="0"/>
        <w:spacing w:before="0" w:beforeAutospacing="0" w:after="0" w:afterAutospacing="0" w:line="360" w:lineRule="auto"/>
        <w:ind w:firstLine="4080" w:firstLineChars="1700"/>
        <w:jc w:val="both"/>
        <w:textAlignment w:val="baseline"/>
        <w:rPr>
          <w:rFonts w:ascii="仿宋" w:hAnsi="仿宋" w:eastAsia="仿宋" w:cs="仿宋"/>
          <w:b w:val="0"/>
          <w:i w:val="0"/>
          <w:caps w:val="0"/>
          <w:spacing w:val="0"/>
          <w:w w:val="100"/>
          <w:sz w:val="24"/>
        </w:rPr>
      </w:pPr>
      <w:r>
        <w:rPr>
          <w:rFonts w:hint="eastAsia" w:ascii="仿宋" w:hAnsi="仿宋" w:eastAsia="仿宋" w:cs="仿宋"/>
          <w:b w:val="0"/>
          <w:i w:val="0"/>
          <w:caps w:val="0"/>
          <w:spacing w:val="0"/>
          <w:w w:val="100"/>
          <w:sz w:val="24"/>
        </w:rPr>
        <w:t>法定代表人（签字</w:t>
      </w:r>
      <w:r>
        <w:rPr>
          <w:rFonts w:hint="eastAsia" w:ascii="仿宋_GB2312" w:hAnsi="仿宋_GB2312" w:eastAsia="仿宋_GB2312" w:cs="仿宋_GB2312"/>
          <w:b w:val="0"/>
          <w:i w:val="0"/>
          <w:caps w:val="0"/>
          <w:spacing w:val="0"/>
          <w:w w:val="100"/>
          <w:sz w:val="24"/>
          <w:lang w:val="en-US" w:eastAsia="zh-CN"/>
        </w:rPr>
        <w:t>或签章</w:t>
      </w:r>
      <w:r>
        <w:rPr>
          <w:rFonts w:hint="eastAsia" w:ascii="仿宋" w:hAnsi="仿宋" w:eastAsia="仿宋" w:cs="仿宋"/>
          <w:b w:val="0"/>
          <w:i w:val="0"/>
          <w:caps w:val="0"/>
          <w:spacing w:val="0"/>
          <w:w w:val="100"/>
          <w:sz w:val="24"/>
        </w:rPr>
        <w:t>）：</w:t>
      </w:r>
    </w:p>
    <w:p w14:paraId="278D1480">
      <w:pPr>
        <w:snapToGrid w:val="0"/>
        <w:spacing w:before="0" w:beforeAutospacing="0" w:after="0" w:afterAutospacing="0" w:line="360" w:lineRule="auto"/>
        <w:ind w:firstLine="720" w:firstLineChars="300"/>
        <w:jc w:val="both"/>
        <w:textAlignment w:val="baseline"/>
        <w:rPr>
          <w:rFonts w:ascii="仿宋" w:hAnsi="仿宋" w:eastAsia="仿宋" w:cs="仿宋"/>
          <w:b w:val="0"/>
          <w:i w:val="0"/>
          <w:caps w:val="0"/>
          <w:spacing w:val="0"/>
          <w:w w:val="100"/>
          <w:sz w:val="24"/>
        </w:rPr>
      </w:pPr>
      <w:r>
        <w:rPr>
          <w:rFonts w:hint="eastAsia" w:ascii="仿宋" w:hAnsi="仿宋" w:eastAsia="仿宋" w:cs="仿宋"/>
          <w:b w:val="0"/>
          <w:i w:val="0"/>
          <w:caps w:val="0"/>
          <w:spacing w:val="0"/>
          <w:w w:val="100"/>
          <w:sz w:val="24"/>
        </w:rPr>
        <w:t xml:space="preserve">                            联系方式：                         </w:t>
      </w:r>
    </w:p>
    <w:p w14:paraId="13FBEE14">
      <w:pPr>
        <w:snapToGrid w:val="0"/>
        <w:spacing w:before="0" w:beforeAutospacing="0" w:after="0" w:afterAutospacing="0" w:line="360" w:lineRule="auto"/>
        <w:ind w:firstLine="4560" w:firstLineChars="1900"/>
        <w:jc w:val="both"/>
        <w:textAlignment w:val="baseline"/>
        <w:rPr>
          <w:rFonts w:ascii="仿宋" w:hAnsi="仿宋" w:eastAsia="仿宋" w:cs="仿宋"/>
          <w:b w:val="0"/>
          <w:i w:val="0"/>
          <w:caps w:val="0"/>
          <w:spacing w:val="0"/>
          <w:w w:val="100"/>
          <w:sz w:val="24"/>
        </w:rPr>
      </w:pPr>
      <w:r>
        <w:rPr>
          <w:rFonts w:hint="eastAsia" w:ascii="仿宋" w:hAnsi="仿宋" w:eastAsia="仿宋" w:cs="仿宋"/>
          <w:b w:val="0"/>
          <w:i w:val="0"/>
          <w:caps w:val="0"/>
          <w:spacing w:val="0"/>
          <w:w w:val="100"/>
          <w:sz w:val="24"/>
        </w:rPr>
        <w:t>年      月       日</w:t>
      </w:r>
    </w:p>
    <w:p w14:paraId="4C8DC5FE">
      <w:pPr>
        <w:spacing w:line="240" w:lineRule="atLeast"/>
        <w:jc w:val="both"/>
        <w:rPr>
          <w:rFonts w:hint="eastAsia" w:ascii="仿宋_GB2312" w:hAnsi="仿宋_GB2312" w:eastAsia="仿宋_GB2312" w:cs="仿宋_GB2312"/>
          <w:b/>
          <w:sz w:val="52"/>
          <w:szCs w:val="52"/>
        </w:rPr>
      </w:pPr>
    </w:p>
    <w:p w14:paraId="5D5881E0">
      <w:pPr>
        <w:spacing w:line="240" w:lineRule="atLeast"/>
        <w:jc w:val="center"/>
        <w:rPr>
          <w:rFonts w:hint="eastAsia" w:ascii="仿宋_GB2312" w:hAnsi="仿宋_GB2312" w:eastAsia="仿宋_GB2312" w:cs="仿宋_GB2312"/>
          <w:b/>
          <w:sz w:val="52"/>
          <w:szCs w:val="52"/>
        </w:rPr>
      </w:pPr>
    </w:p>
    <w:p w14:paraId="4DE21736">
      <w:pPr>
        <w:spacing w:line="240" w:lineRule="atLeast"/>
        <w:jc w:val="center"/>
        <w:rPr>
          <w:rFonts w:hint="eastAsia" w:ascii="仿宋_GB2312" w:hAnsi="仿宋_GB2312" w:eastAsia="仿宋_GB2312" w:cs="仿宋_GB2312"/>
          <w:b/>
          <w:sz w:val="52"/>
          <w:szCs w:val="52"/>
        </w:rPr>
      </w:pPr>
    </w:p>
    <w:p w14:paraId="0388067C">
      <w:pPr>
        <w:spacing w:line="240" w:lineRule="atLeast"/>
        <w:jc w:val="center"/>
        <w:rPr>
          <w:rFonts w:hint="eastAsia" w:ascii="仿宋_GB2312" w:hAnsi="仿宋_GB2312" w:eastAsia="仿宋_GB2312" w:cs="仿宋_GB2312"/>
          <w:b/>
          <w:sz w:val="52"/>
          <w:szCs w:val="52"/>
        </w:rPr>
      </w:pPr>
    </w:p>
    <w:p w14:paraId="1A2CA783">
      <w:pPr>
        <w:spacing w:line="240" w:lineRule="atLeast"/>
        <w:jc w:val="center"/>
        <w:rPr>
          <w:rFonts w:hint="eastAsia" w:ascii="仿宋_GB2312" w:hAnsi="仿宋_GB2312" w:eastAsia="仿宋_GB2312" w:cs="仿宋_GB2312"/>
          <w:b/>
          <w:sz w:val="52"/>
          <w:szCs w:val="52"/>
        </w:rPr>
      </w:pPr>
    </w:p>
    <w:p w14:paraId="604B8F3E">
      <w:pPr>
        <w:spacing w:line="240" w:lineRule="atLeast"/>
        <w:jc w:val="center"/>
        <w:rPr>
          <w:rFonts w:hint="eastAsia" w:ascii="仿宋_GB2312" w:hAnsi="仿宋_GB2312" w:eastAsia="仿宋_GB2312" w:cs="仿宋_GB2312"/>
          <w:b/>
          <w:sz w:val="52"/>
          <w:szCs w:val="52"/>
        </w:rPr>
      </w:pPr>
      <w:r>
        <w:rPr>
          <w:rFonts w:hint="eastAsia" w:ascii="仿宋_GB2312" w:hAnsi="仿宋_GB2312" w:eastAsia="仿宋_GB2312" w:cs="仿宋_GB2312"/>
          <w:b/>
          <w:sz w:val="52"/>
          <w:szCs w:val="52"/>
        </w:rPr>
        <w:t>货物类</w:t>
      </w:r>
    </w:p>
    <w:p w14:paraId="12C77B6A">
      <w:pPr>
        <w:pStyle w:val="27"/>
        <w:rPr>
          <w:rFonts w:hint="eastAsia" w:ascii="仿宋_GB2312" w:hAnsi="仿宋_GB2312" w:eastAsia="仿宋_GB2312" w:cs="仿宋_GB2312"/>
          <w:b/>
          <w:sz w:val="52"/>
          <w:szCs w:val="52"/>
        </w:rPr>
      </w:pPr>
    </w:p>
    <w:p w14:paraId="0691B2D4">
      <w:pPr>
        <w:pStyle w:val="27"/>
        <w:rPr>
          <w:rFonts w:hint="eastAsia" w:ascii="仿宋_GB2312" w:hAnsi="仿宋_GB2312" w:eastAsia="仿宋_GB2312" w:cs="仿宋_GB2312"/>
          <w:b/>
          <w:sz w:val="52"/>
          <w:szCs w:val="52"/>
        </w:rPr>
      </w:pPr>
    </w:p>
    <w:p w14:paraId="43EF4150">
      <w:pPr>
        <w:pStyle w:val="11"/>
        <w:rPr>
          <w:rFonts w:hint="eastAsia"/>
        </w:rPr>
      </w:pPr>
    </w:p>
    <w:p w14:paraId="70196ED0">
      <w:pPr>
        <w:spacing w:line="240" w:lineRule="atLeast"/>
        <w:ind w:left="1080" w:leftChars="257" w:hanging="540"/>
        <w:jc w:val="center"/>
        <w:rPr>
          <w:rFonts w:hint="eastAsia" w:ascii="仿宋_GB2312" w:hAnsi="仿宋_GB2312" w:eastAsia="仿宋_GB2312" w:cs="仿宋_GB2312"/>
          <w:b/>
          <w:sz w:val="52"/>
          <w:szCs w:val="52"/>
        </w:rPr>
      </w:pPr>
      <w:r>
        <w:rPr>
          <w:rFonts w:hint="eastAsia" w:ascii="仿宋_GB2312" w:hAnsi="仿宋_GB2312" w:eastAsia="仿宋_GB2312" w:cs="仿宋_GB2312"/>
          <w:b/>
          <w:sz w:val="52"/>
          <w:szCs w:val="52"/>
        </w:rPr>
        <w:t>政府采购公开招标文件</w:t>
      </w:r>
    </w:p>
    <w:p w14:paraId="3B3D65BF">
      <w:pPr>
        <w:pStyle w:val="27"/>
        <w:rPr>
          <w:rFonts w:hint="eastAsia"/>
        </w:rPr>
      </w:pPr>
    </w:p>
    <w:p w14:paraId="232C73A2">
      <w:pPr>
        <w:spacing w:line="240" w:lineRule="atLeast"/>
        <w:ind w:left="1080" w:leftChars="257" w:hanging="540"/>
        <w:rPr>
          <w:rFonts w:hint="eastAsia" w:ascii="仿宋_GB2312" w:hAnsi="仿宋_GB2312" w:eastAsia="仿宋_GB2312" w:cs="仿宋_GB2312"/>
          <w:b/>
          <w:sz w:val="28"/>
        </w:rPr>
      </w:pPr>
    </w:p>
    <w:p w14:paraId="1ADAFE90">
      <w:pPr>
        <w:pStyle w:val="27"/>
        <w:rPr>
          <w:rFonts w:hint="eastAsia" w:ascii="仿宋_GB2312" w:hAnsi="仿宋_GB2312" w:eastAsia="仿宋_GB2312" w:cs="仿宋_GB2312"/>
          <w:b/>
          <w:sz w:val="28"/>
        </w:rPr>
      </w:pPr>
    </w:p>
    <w:p w14:paraId="540C5CF2">
      <w:pPr>
        <w:pStyle w:val="14"/>
        <w:rPr>
          <w:rFonts w:hint="eastAsia"/>
        </w:rPr>
      </w:pPr>
    </w:p>
    <w:p w14:paraId="2B00DF60">
      <w:pPr>
        <w:pStyle w:val="27"/>
        <w:rPr>
          <w:rFonts w:hint="eastAsia"/>
        </w:rPr>
      </w:pPr>
    </w:p>
    <w:p w14:paraId="5F8D00AF">
      <w:pPr>
        <w:spacing w:line="240" w:lineRule="atLeast"/>
        <w:ind w:left="1080" w:leftChars="257" w:hanging="540"/>
        <w:jc w:val="center"/>
        <w:rPr>
          <w:rFonts w:hint="eastAsia" w:ascii="仿宋_GB2312" w:hAnsi="仿宋_GB2312" w:eastAsia="仿宋_GB2312" w:cs="仿宋_GB2312"/>
          <w:b/>
          <w:sz w:val="48"/>
          <w:szCs w:val="48"/>
        </w:rPr>
      </w:pPr>
      <w:r>
        <w:rPr>
          <w:rFonts w:hint="eastAsia" w:ascii="仿宋_GB2312" w:hAnsi="仿宋_GB2312" w:eastAsia="仿宋_GB2312" w:cs="仿宋_GB2312"/>
          <w:b/>
          <w:sz w:val="48"/>
          <w:szCs w:val="48"/>
        </w:rPr>
        <w:t>第二册</w:t>
      </w:r>
    </w:p>
    <w:p w14:paraId="72F1EEE8">
      <w:pPr>
        <w:spacing w:line="240" w:lineRule="atLeast"/>
        <w:ind w:left="1080" w:leftChars="257" w:hanging="540"/>
        <w:rPr>
          <w:rFonts w:hint="eastAsia" w:ascii="仿宋_GB2312" w:hAnsi="仿宋_GB2312" w:eastAsia="仿宋_GB2312" w:cs="仿宋_GB2312"/>
          <w:b/>
          <w:sz w:val="28"/>
        </w:rPr>
      </w:pPr>
    </w:p>
    <w:p w14:paraId="0682B4DA">
      <w:pPr>
        <w:spacing w:line="240" w:lineRule="atLeast"/>
        <w:ind w:left="1080" w:leftChars="257" w:hanging="540"/>
        <w:rPr>
          <w:rFonts w:hint="eastAsia" w:ascii="仿宋_GB2312" w:hAnsi="仿宋_GB2312" w:eastAsia="仿宋_GB2312" w:cs="仿宋_GB2312"/>
          <w:b/>
          <w:sz w:val="28"/>
        </w:rPr>
      </w:pPr>
    </w:p>
    <w:p w14:paraId="1B1BB4E2">
      <w:pPr>
        <w:spacing w:line="240" w:lineRule="atLeast"/>
        <w:ind w:left="1080" w:leftChars="257" w:hanging="540"/>
        <w:rPr>
          <w:rFonts w:hint="eastAsia" w:ascii="仿宋_GB2312" w:hAnsi="仿宋_GB2312" w:eastAsia="仿宋_GB2312" w:cs="仿宋_GB2312"/>
          <w:b/>
          <w:sz w:val="28"/>
        </w:rPr>
      </w:pPr>
    </w:p>
    <w:p w14:paraId="540D2D3F">
      <w:pPr>
        <w:spacing w:line="240" w:lineRule="atLeast"/>
        <w:ind w:left="1080" w:leftChars="257" w:hanging="540"/>
        <w:rPr>
          <w:rFonts w:hint="eastAsia" w:ascii="仿宋_GB2312" w:hAnsi="仿宋_GB2312" w:eastAsia="仿宋_GB2312" w:cs="仿宋_GB2312"/>
          <w:b/>
          <w:sz w:val="28"/>
        </w:rPr>
      </w:pPr>
    </w:p>
    <w:p w14:paraId="322A1A34">
      <w:pPr>
        <w:spacing w:line="240" w:lineRule="atLeast"/>
        <w:ind w:left="1080" w:leftChars="257" w:hanging="540"/>
        <w:jc w:val="center"/>
        <w:rPr>
          <w:rFonts w:hint="eastAsia" w:ascii="仿宋_GB2312" w:hAnsi="仿宋_GB2312" w:eastAsia="仿宋_GB2312" w:cs="仿宋_GB2312"/>
          <w:b/>
          <w:sz w:val="52"/>
        </w:rPr>
      </w:pPr>
    </w:p>
    <w:p w14:paraId="69C4CB21">
      <w:pPr>
        <w:spacing w:line="240" w:lineRule="atLeast"/>
        <w:ind w:left="1080" w:leftChars="257" w:hanging="540"/>
        <w:jc w:val="center"/>
        <w:rPr>
          <w:rFonts w:hint="eastAsia" w:ascii="仿宋_GB2312" w:hAnsi="仿宋_GB2312" w:eastAsia="仿宋_GB2312" w:cs="仿宋_GB2312"/>
          <w:b/>
          <w:sz w:val="52"/>
        </w:rPr>
      </w:pPr>
    </w:p>
    <w:p w14:paraId="0AB6ECEA">
      <w:pPr>
        <w:spacing w:line="240" w:lineRule="atLeast"/>
        <w:ind w:left="1080" w:leftChars="257" w:hanging="540"/>
        <w:jc w:val="center"/>
        <w:rPr>
          <w:rFonts w:hint="eastAsia" w:ascii="仿宋_GB2312" w:hAnsi="仿宋_GB2312" w:eastAsia="仿宋_GB2312" w:cs="仿宋_GB2312"/>
          <w:b/>
          <w:sz w:val="52"/>
        </w:rPr>
      </w:pPr>
    </w:p>
    <w:p w14:paraId="2123D084">
      <w:pPr>
        <w:pStyle w:val="13"/>
        <w:rPr>
          <w:rFonts w:hint="eastAsia" w:ascii="仿宋_GB2312" w:hAnsi="仿宋_GB2312" w:eastAsia="仿宋_GB2312" w:cs="仿宋_GB2312"/>
          <w:b/>
          <w:sz w:val="52"/>
        </w:rPr>
      </w:pPr>
    </w:p>
    <w:p w14:paraId="2F8DD75E">
      <w:pPr>
        <w:rPr>
          <w:rFonts w:hint="eastAsia"/>
        </w:rPr>
      </w:pPr>
    </w:p>
    <w:p w14:paraId="5C682949">
      <w:pPr>
        <w:pStyle w:val="27"/>
        <w:rPr>
          <w:rFonts w:hint="eastAsia" w:ascii="仿宋_GB2312" w:hAnsi="仿宋_GB2312" w:eastAsia="仿宋_GB2312" w:cs="仿宋_GB2312"/>
          <w:b/>
          <w:sz w:val="52"/>
        </w:rPr>
      </w:pPr>
    </w:p>
    <w:p w14:paraId="7E8F7FFD">
      <w:pPr>
        <w:pStyle w:val="3"/>
        <w:tabs>
          <w:tab w:val="left" w:pos="0"/>
        </w:tabs>
        <w:spacing w:before="0" w:after="0" w:line="240" w:lineRule="atLeast"/>
        <w:ind w:firstLine="2650" w:firstLineChars="600"/>
        <w:jc w:val="both"/>
        <w:rPr>
          <w:rFonts w:hint="eastAsia" w:ascii="仿宋_GB2312" w:hAnsi="仿宋_GB2312" w:eastAsia="仿宋_GB2312" w:cs="仿宋_GB2312"/>
          <w:sz w:val="44"/>
          <w:szCs w:val="44"/>
        </w:rPr>
      </w:pPr>
      <w:bookmarkStart w:id="1494" w:name="_Toc14756"/>
      <w:bookmarkStart w:id="1495" w:name="_Toc9982"/>
      <w:bookmarkStart w:id="1496" w:name="_Toc24285"/>
      <w:bookmarkStart w:id="1497" w:name="_Toc11758"/>
      <w:bookmarkStart w:id="1498" w:name="_Toc11084"/>
      <w:bookmarkStart w:id="1499" w:name="_Toc6756"/>
      <w:bookmarkStart w:id="1500" w:name="_Toc16520"/>
      <w:bookmarkStart w:id="1501" w:name="_Toc32685"/>
      <w:r>
        <w:rPr>
          <w:rFonts w:hint="eastAsia" w:ascii="仿宋_GB2312" w:hAnsi="仿宋_GB2312" w:eastAsia="仿宋_GB2312" w:cs="仿宋_GB2312"/>
          <w:sz w:val="44"/>
          <w:szCs w:val="44"/>
        </w:rPr>
        <w:t>第三章 投标邀请</w:t>
      </w:r>
      <w:bookmarkEnd w:id="998"/>
      <w:bookmarkEnd w:id="1494"/>
      <w:bookmarkEnd w:id="1495"/>
      <w:bookmarkEnd w:id="1496"/>
      <w:bookmarkEnd w:id="1497"/>
      <w:bookmarkEnd w:id="1498"/>
      <w:bookmarkEnd w:id="1499"/>
      <w:bookmarkEnd w:id="1500"/>
      <w:bookmarkEnd w:id="1501"/>
    </w:p>
    <w:tbl>
      <w:tblPr>
        <w:tblStyle w:val="3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528"/>
      </w:tblGrid>
      <w:tr w14:paraId="104AD8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11" w:hRule="atLeast"/>
        </w:trPr>
        <w:tc>
          <w:tcPr>
            <w:tcW w:w="8860" w:type="dxa"/>
          </w:tcPr>
          <w:p w14:paraId="2D1E2F41">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00" w:lineRule="exact"/>
              <w:ind w:left="0" w:right="0"/>
              <w:textAlignment w:val="auto"/>
              <w:rPr>
                <w:rFonts w:hint="eastAsia" w:ascii="宋体" w:hAnsi="宋体" w:eastAsia="宋体" w:cs="宋体"/>
                <w:b/>
                <w:bCs/>
                <w:sz w:val="24"/>
                <w:szCs w:val="24"/>
                <w:highlight w:val="none"/>
                <w:lang w:val="en-US" w:eastAsia="zh-CN"/>
              </w:rPr>
            </w:pPr>
            <w:bookmarkStart w:id="1502" w:name="_Toc3146"/>
            <w:bookmarkStart w:id="1503" w:name="_Toc3024"/>
            <w:bookmarkStart w:id="1504" w:name="_Toc16763"/>
            <w:bookmarkStart w:id="1505" w:name="_Toc17677"/>
            <w:bookmarkStart w:id="1506" w:name="_Toc13358"/>
            <w:bookmarkStart w:id="1507" w:name="_Toc26661"/>
            <w:r>
              <w:rPr>
                <w:rFonts w:hint="eastAsia" w:ascii="宋体" w:hAnsi="宋体" w:eastAsia="宋体" w:cs="宋体"/>
                <w:b/>
                <w:bCs/>
                <w:sz w:val="24"/>
                <w:szCs w:val="24"/>
                <w:highlight w:val="none"/>
                <w:lang w:val="en-US" w:eastAsia="zh-CN"/>
              </w:rPr>
              <w:t>项目概况</w:t>
            </w:r>
          </w:p>
          <w:p w14:paraId="7C9D8419">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00" w:lineRule="exact"/>
              <w:ind w:left="0" w:right="0" w:firstLine="480" w:firstLineChars="200"/>
              <w:textAlignment w:val="auto"/>
              <w:rPr>
                <w:rFonts w:hint="eastAsia" w:ascii="宋体" w:hAnsi="宋体" w:eastAsia="宋体" w:cs="宋体"/>
                <w:highlight w:val="none"/>
                <w:lang w:val="en-US" w:eastAsia="zh-CN"/>
              </w:rPr>
            </w:pPr>
            <w:r>
              <w:rPr>
                <w:rFonts w:hint="eastAsia" w:ascii="宋体" w:hAnsi="宋体" w:cs="宋体"/>
                <w:b w:val="0"/>
                <w:color w:val="00B0F0"/>
                <w:kern w:val="2"/>
                <w:sz w:val="24"/>
                <w:szCs w:val="24"/>
                <w:highlight w:val="none"/>
                <w:u w:val="single"/>
                <w:lang w:val="en-US" w:eastAsia="zh-CN" w:bidi="ar-SA"/>
              </w:rPr>
              <w:t>疏附县2025年精准补齐教育信息化设备项目</w:t>
            </w:r>
            <w:r>
              <w:rPr>
                <w:rFonts w:hint="eastAsia" w:ascii="宋体" w:hAnsi="宋体" w:eastAsia="宋体" w:cs="宋体"/>
                <w:b w:val="0"/>
                <w:kern w:val="2"/>
                <w:sz w:val="24"/>
                <w:szCs w:val="24"/>
                <w:highlight w:val="none"/>
                <w:lang w:val="en-US" w:eastAsia="zh-CN" w:bidi="ar-SA"/>
              </w:rPr>
              <w:t>的潜在供应商应在</w:t>
            </w:r>
            <w:r>
              <w:rPr>
                <w:rFonts w:hint="eastAsia" w:ascii="宋体" w:hAnsi="宋体" w:eastAsia="宋体" w:cs="宋体"/>
                <w:b w:val="0"/>
                <w:kern w:val="2"/>
                <w:sz w:val="24"/>
                <w:szCs w:val="24"/>
                <w:highlight w:val="none"/>
                <w:u w:val="single"/>
                <w:lang w:val="en-US" w:eastAsia="zh-CN" w:bidi="ar-SA"/>
              </w:rPr>
              <w:t>政采云平台（https://login.zcygov.cn/user-login/#/login）</w:t>
            </w:r>
            <w:r>
              <w:rPr>
                <w:rFonts w:hint="eastAsia" w:ascii="宋体" w:hAnsi="宋体" w:eastAsia="宋体" w:cs="宋体"/>
                <w:b w:val="0"/>
                <w:kern w:val="2"/>
                <w:sz w:val="24"/>
                <w:szCs w:val="24"/>
                <w:highlight w:val="none"/>
                <w:lang w:val="en-US" w:eastAsia="zh-CN" w:bidi="ar-SA"/>
              </w:rPr>
              <w:t>获取招标文件，并</w:t>
            </w:r>
            <w:r>
              <w:rPr>
                <w:rFonts w:hint="eastAsia" w:ascii="宋体" w:hAnsi="宋体" w:eastAsia="宋体" w:cs="宋体"/>
                <w:b w:val="0"/>
                <w:kern w:val="2"/>
                <w:sz w:val="24"/>
                <w:szCs w:val="24"/>
                <w:highlight w:val="none"/>
                <w:u w:val="none"/>
                <w:lang w:val="en-US" w:eastAsia="zh-CN" w:bidi="ar-SA"/>
              </w:rPr>
              <w:t>于</w:t>
            </w:r>
            <w:r>
              <w:rPr>
                <w:rFonts w:hint="eastAsia" w:ascii="宋体" w:hAnsi="宋体" w:cs="宋体"/>
                <w:b w:val="0"/>
                <w:color w:val="00B0F0"/>
                <w:kern w:val="2"/>
                <w:sz w:val="24"/>
                <w:szCs w:val="24"/>
                <w:highlight w:val="none"/>
                <w:u w:val="single"/>
                <w:lang w:val="en-US" w:eastAsia="zh-CN" w:bidi="ar-SA"/>
              </w:rPr>
              <w:t>2025年5月14日11：00</w:t>
            </w:r>
            <w:r>
              <w:rPr>
                <w:rFonts w:hint="eastAsia" w:ascii="宋体" w:hAnsi="宋体" w:eastAsia="宋体" w:cs="宋体"/>
                <w:b w:val="0"/>
                <w:kern w:val="2"/>
                <w:sz w:val="24"/>
                <w:szCs w:val="24"/>
                <w:highlight w:val="none"/>
                <w:u w:val="single"/>
                <w:lang w:val="en-US" w:eastAsia="zh-CN" w:bidi="ar-SA"/>
              </w:rPr>
              <w:t>（北京时间）</w:t>
            </w:r>
            <w:r>
              <w:rPr>
                <w:rFonts w:hint="eastAsia" w:ascii="宋体" w:hAnsi="宋体" w:eastAsia="宋体" w:cs="宋体"/>
                <w:b w:val="0"/>
                <w:kern w:val="2"/>
                <w:sz w:val="24"/>
                <w:szCs w:val="24"/>
                <w:highlight w:val="none"/>
                <w:lang w:val="en-US" w:eastAsia="zh-CN" w:bidi="ar-SA"/>
              </w:rPr>
              <w:t>前上传投标文件。</w:t>
            </w:r>
          </w:p>
        </w:tc>
      </w:tr>
    </w:tbl>
    <w:p w14:paraId="536F85EB">
      <w:pPr>
        <w:pStyle w:val="32"/>
        <w:keepNext w:val="0"/>
        <w:keepLines w:val="0"/>
        <w:pageBreakBefore w:val="0"/>
        <w:kinsoku/>
        <w:wordWrap/>
        <w:overflowPunct/>
        <w:topLinePunct w:val="0"/>
        <w:autoSpaceDE/>
        <w:autoSpaceDN/>
        <w:bidi w:val="0"/>
        <w:adjustRightInd/>
        <w:snapToGrid/>
        <w:spacing w:before="0" w:beforeAutospacing="0" w:after="0" w:afterAutospacing="0" w:line="400" w:lineRule="exact"/>
        <w:jc w:val="both"/>
        <w:textAlignment w:val="auto"/>
        <w:rPr>
          <w:rFonts w:hint="eastAsia" w:ascii="仿宋" w:hAnsi="仿宋" w:eastAsia="仿宋" w:cs="仿宋"/>
          <w:color w:val="000000" w:themeColor="text1"/>
          <w:sz w:val="28"/>
          <w:szCs w:val="24"/>
          <w14:textFill>
            <w14:solidFill>
              <w14:schemeClr w14:val="tx1"/>
            </w14:solidFill>
          </w14:textFill>
        </w:rPr>
      </w:pPr>
      <w:r>
        <w:rPr>
          <w:rFonts w:hint="eastAsia" w:ascii="仿宋" w:hAnsi="仿宋" w:eastAsia="仿宋" w:cs="仿宋"/>
          <w:b/>
          <w:bCs/>
          <w:color w:val="000000" w:themeColor="text1"/>
          <w:sz w:val="28"/>
          <w:szCs w:val="24"/>
          <w14:textFill>
            <w14:solidFill>
              <w14:schemeClr w14:val="tx1"/>
            </w14:solidFill>
          </w14:textFill>
        </w:rPr>
        <w:t>一、项目基本情况</w:t>
      </w:r>
    </w:p>
    <w:p w14:paraId="13B31A9C">
      <w:pPr>
        <w:keepNext w:val="0"/>
        <w:keepLines w:val="0"/>
        <w:pageBreakBefore w:val="0"/>
        <w:kinsoku/>
        <w:wordWrap/>
        <w:overflowPunct/>
        <w:topLinePunct w:val="0"/>
        <w:autoSpaceDE/>
        <w:autoSpaceDN/>
        <w:bidi w:val="0"/>
        <w:adjustRightInd/>
        <w:snapToGrid/>
        <w:spacing w:beforeAutospacing="0" w:afterAutospacing="0" w:line="400" w:lineRule="exact"/>
        <w:ind w:firstLine="240" w:firstLineChars="100"/>
        <w:jc w:val="both"/>
        <w:textAlignment w:val="auto"/>
        <w:rPr>
          <w:rFonts w:hint="eastAsia" w:ascii="宋体" w:hAnsi="宋体" w:eastAsia="宋体" w:cs="宋体"/>
          <w:b w:val="0"/>
          <w:bCs w:val="0"/>
          <w:sz w:val="24"/>
          <w:highlight w:val="none"/>
          <w:lang w:val="en-US" w:eastAsia="zh-CN"/>
        </w:rPr>
      </w:pPr>
      <w:r>
        <w:rPr>
          <w:rFonts w:hint="eastAsia" w:ascii="宋体" w:hAnsi="宋体" w:eastAsia="宋体" w:cs="宋体"/>
          <w:b w:val="0"/>
          <w:bCs w:val="0"/>
          <w:sz w:val="24"/>
          <w:highlight w:val="none"/>
          <w:lang w:val="en-US" w:eastAsia="zh-CN"/>
        </w:rPr>
        <w:t>1.项目编号：</w:t>
      </w:r>
      <w:r>
        <w:rPr>
          <w:rFonts w:hint="eastAsia" w:ascii="宋体" w:hAnsi="宋体" w:cs="宋体"/>
          <w:b w:val="0"/>
          <w:bCs w:val="0"/>
          <w:color w:val="00B0F0"/>
          <w:sz w:val="24"/>
          <w:highlight w:val="none"/>
          <w:lang w:val="en-US" w:eastAsia="zh-CN"/>
        </w:rPr>
        <w:t>KSSFX(GK)2025-15号</w:t>
      </w:r>
      <w:r>
        <w:rPr>
          <w:rFonts w:hint="eastAsia" w:ascii="宋体" w:hAnsi="宋体" w:eastAsia="宋体" w:cs="宋体"/>
          <w:b w:val="0"/>
          <w:bCs w:val="0"/>
          <w:sz w:val="24"/>
          <w:highlight w:val="none"/>
          <w:lang w:val="en-US" w:eastAsia="zh-CN"/>
        </w:rPr>
        <w:t xml:space="preserve"> </w:t>
      </w:r>
    </w:p>
    <w:p w14:paraId="33E081CA">
      <w:pPr>
        <w:keepNext w:val="0"/>
        <w:keepLines w:val="0"/>
        <w:pageBreakBefore w:val="0"/>
        <w:kinsoku/>
        <w:wordWrap/>
        <w:overflowPunct/>
        <w:topLinePunct w:val="0"/>
        <w:autoSpaceDE/>
        <w:autoSpaceDN/>
        <w:bidi w:val="0"/>
        <w:adjustRightInd/>
        <w:snapToGrid/>
        <w:spacing w:beforeAutospacing="0" w:afterAutospacing="0" w:line="400" w:lineRule="exact"/>
        <w:ind w:firstLine="240" w:firstLineChars="100"/>
        <w:jc w:val="both"/>
        <w:textAlignment w:val="auto"/>
        <w:rPr>
          <w:rFonts w:hint="eastAsia" w:ascii="宋体" w:hAnsi="宋体" w:cs="宋体"/>
          <w:b w:val="0"/>
          <w:color w:val="00B0F0"/>
          <w:kern w:val="2"/>
          <w:sz w:val="24"/>
          <w:szCs w:val="24"/>
          <w:highlight w:val="none"/>
          <w:u w:val="none"/>
          <w:lang w:val="en-US" w:eastAsia="zh-CN" w:bidi="ar-SA"/>
        </w:rPr>
      </w:pPr>
      <w:r>
        <w:rPr>
          <w:rFonts w:hint="eastAsia" w:ascii="宋体" w:hAnsi="宋体" w:eastAsia="宋体" w:cs="宋体"/>
          <w:b w:val="0"/>
          <w:bCs w:val="0"/>
          <w:sz w:val="24"/>
          <w:highlight w:val="none"/>
          <w:lang w:val="en-US" w:eastAsia="zh-CN"/>
        </w:rPr>
        <w:t>2.项目名称：</w:t>
      </w:r>
      <w:r>
        <w:rPr>
          <w:rFonts w:hint="eastAsia" w:ascii="宋体" w:hAnsi="宋体" w:eastAsia="宋体" w:cs="宋体"/>
          <w:b w:val="0"/>
          <w:bCs w:val="0"/>
          <w:color w:val="00B0F0"/>
          <w:sz w:val="24"/>
          <w:highlight w:val="none"/>
          <w:lang w:val="en-US" w:eastAsia="zh-CN"/>
        </w:rPr>
        <w:t>疏附县2025年精准补齐教育信息化设备项目</w:t>
      </w:r>
    </w:p>
    <w:p w14:paraId="07984FB2">
      <w:pPr>
        <w:keepNext w:val="0"/>
        <w:keepLines w:val="0"/>
        <w:pageBreakBefore w:val="0"/>
        <w:kinsoku/>
        <w:wordWrap/>
        <w:overflowPunct/>
        <w:topLinePunct w:val="0"/>
        <w:autoSpaceDE/>
        <w:autoSpaceDN/>
        <w:bidi w:val="0"/>
        <w:adjustRightInd/>
        <w:snapToGrid/>
        <w:spacing w:beforeAutospacing="0" w:afterAutospacing="0" w:line="400" w:lineRule="exact"/>
        <w:ind w:firstLine="240" w:firstLineChars="100"/>
        <w:jc w:val="both"/>
        <w:textAlignment w:val="auto"/>
        <w:rPr>
          <w:rFonts w:hint="eastAsia" w:ascii="宋体" w:hAnsi="宋体" w:eastAsia="宋体" w:cs="宋体"/>
          <w:b w:val="0"/>
          <w:bCs w:val="0"/>
          <w:sz w:val="24"/>
          <w:highlight w:val="none"/>
          <w:lang w:val="en-US" w:eastAsia="zh-CN"/>
        </w:rPr>
      </w:pPr>
      <w:r>
        <w:rPr>
          <w:rFonts w:hint="eastAsia" w:ascii="宋体" w:hAnsi="宋体" w:eastAsia="宋体" w:cs="宋体"/>
          <w:b w:val="0"/>
          <w:bCs w:val="0"/>
          <w:sz w:val="24"/>
          <w:highlight w:val="none"/>
          <w:lang w:val="en-US" w:eastAsia="zh-CN"/>
        </w:rPr>
        <w:t>3.采购方式：</w:t>
      </w:r>
      <w:r>
        <w:rPr>
          <w:rFonts w:hint="eastAsia" w:ascii="宋体" w:hAnsi="宋体" w:eastAsia="宋体" w:cs="宋体"/>
          <w:b w:val="0"/>
          <w:bCs w:val="0"/>
          <w:color w:val="00B0F0"/>
          <w:sz w:val="24"/>
          <w:highlight w:val="none"/>
          <w:lang w:val="en-US" w:eastAsia="zh-CN"/>
        </w:rPr>
        <w:t>公开招标</w:t>
      </w:r>
    </w:p>
    <w:p w14:paraId="357B7C50">
      <w:pPr>
        <w:pStyle w:val="37"/>
        <w:keepNext w:val="0"/>
        <w:keepLines w:val="0"/>
        <w:pageBreakBefore w:val="0"/>
        <w:kinsoku/>
        <w:wordWrap/>
        <w:overflowPunct/>
        <w:topLinePunct w:val="0"/>
        <w:autoSpaceDE/>
        <w:autoSpaceDN/>
        <w:bidi w:val="0"/>
        <w:adjustRightInd/>
        <w:snapToGrid/>
        <w:spacing w:beforeAutospacing="0" w:afterAutospacing="0" w:line="400" w:lineRule="exact"/>
        <w:ind w:left="0" w:leftChars="0" w:firstLine="240" w:firstLineChars="100"/>
        <w:textAlignment w:val="auto"/>
        <w:rPr>
          <w:rFonts w:hint="default" w:ascii="宋体" w:hAnsi="宋体" w:eastAsia="宋体" w:cs="宋体"/>
          <w:b w:val="0"/>
          <w:bCs w:val="0"/>
          <w:color w:val="00B0F0"/>
          <w:kern w:val="2"/>
          <w:sz w:val="24"/>
          <w:szCs w:val="22"/>
          <w:highlight w:val="none"/>
          <w:lang w:val="en-US" w:eastAsia="zh-CN" w:bidi="ar-SA"/>
        </w:rPr>
      </w:pPr>
      <w:r>
        <w:rPr>
          <w:rFonts w:hint="eastAsia" w:ascii="宋体" w:hAnsi="宋体" w:cs="宋体"/>
          <w:b w:val="0"/>
          <w:bCs w:val="0"/>
          <w:sz w:val="24"/>
          <w:highlight w:val="none"/>
          <w:lang w:val="en-US" w:eastAsia="zh-CN"/>
        </w:rPr>
        <w:t>4.预算价：</w:t>
      </w:r>
      <w:r>
        <w:rPr>
          <w:rFonts w:hint="eastAsia" w:ascii="宋体" w:hAnsi="宋体" w:cs="宋体"/>
          <w:b w:val="0"/>
          <w:bCs w:val="0"/>
          <w:color w:val="00B0F0"/>
          <w:kern w:val="2"/>
          <w:sz w:val="24"/>
          <w:szCs w:val="22"/>
          <w:highlight w:val="none"/>
          <w:lang w:val="en-US" w:eastAsia="zh-CN" w:bidi="ar-SA"/>
        </w:rPr>
        <w:t>441</w:t>
      </w:r>
      <w:r>
        <w:rPr>
          <w:rFonts w:hint="eastAsia" w:ascii="宋体" w:hAnsi="宋体" w:eastAsia="宋体" w:cs="宋体"/>
          <w:b w:val="0"/>
          <w:bCs w:val="0"/>
          <w:color w:val="00B0F0"/>
          <w:kern w:val="2"/>
          <w:sz w:val="24"/>
          <w:szCs w:val="22"/>
          <w:highlight w:val="none"/>
          <w:lang w:val="en-US" w:eastAsia="zh-CN" w:bidi="ar-SA"/>
        </w:rPr>
        <w:t>万元；</w:t>
      </w:r>
    </w:p>
    <w:p w14:paraId="3B2C33F7">
      <w:pPr>
        <w:pStyle w:val="37"/>
        <w:keepNext w:val="0"/>
        <w:keepLines w:val="0"/>
        <w:pageBreakBefore w:val="0"/>
        <w:kinsoku/>
        <w:wordWrap/>
        <w:overflowPunct/>
        <w:topLinePunct w:val="0"/>
        <w:autoSpaceDE/>
        <w:autoSpaceDN/>
        <w:bidi w:val="0"/>
        <w:adjustRightInd/>
        <w:snapToGrid/>
        <w:spacing w:beforeAutospacing="0" w:afterAutospacing="0" w:line="400" w:lineRule="exact"/>
        <w:ind w:left="0" w:leftChars="0" w:firstLine="240" w:firstLineChars="100"/>
        <w:textAlignment w:val="auto"/>
        <w:rPr>
          <w:rFonts w:hint="default" w:ascii="宋体" w:hAnsi="宋体" w:cs="宋体"/>
          <w:b w:val="0"/>
          <w:bCs w:val="0"/>
          <w:color w:val="00B0F0"/>
          <w:kern w:val="2"/>
          <w:sz w:val="24"/>
          <w:szCs w:val="22"/>
          <w:highlight w:val="none"/>
          <w:lang w:val="en-US" w:eastAsia="zh-CN" w:bidi="ar-SA"/>
        </w:rPr>
      </w:pPr>
      <w:r>
        <w:rPr>
          <w:rFonts w:hint="eastAsia" w:ascii="宋体" w:hAnsi="宋体" w:cs="宋体"/>
          <w:b w:val="0"/>
          <w:bCs w:val="0"/>
          <w:sz w:val="24"/>
          <w:highlight w:val="none"/>
          <w:lang w:val="en-US" w:eastAsia="zh-CN"/>
        </w:rPr>
        <w:t>5</w:t>
      </w:r>
      <w:r>
        <w:rPr>
          <w:rFonts w:hint="eastAsia" w:ascii="宋体" w:hAnsi="宋体" w:eastAsia="宋体" w:cs="宋体"/>
          <w:b w:val="0"/>
          <w:bCs w:val="0"/>
          <w:sz w:val="24"/>
          <w:highlight w:val="none"/>
          <w:lang w:val="en-US" w:eastAsia="zh-CN"/>
        </w:rPr>
        <w:t>.最高限价：</w:t>
      </w:r>
      <w:r>
        <w:rPr>
          <w:rFonts w:hint="eastAsia" w:ascii="宋体" w:hAnsi="宋体" w:cs="宋体"/>
          <w:b w:val="0"/>
          <w:bCs w:val="0"/>
          <w:color w:val="00B0F0"/>
          <w:kern w:val="2"/>
          <w:sz w:val="24"/>
          <w:szCs w:val="22"/>
          <w:highlight w:val="none"/>
          <w:lang w:val="en-US" w:eastAsia="zh-CN" w:bidi="ar-SA"/>
        </w:rPr>
        <w:t>441</w:t>
      </w:r>
      <w:r>
        <w:rPr>
          <w:rFonts w:hint="eastAsia" w:ascii="宋体" w:hAnsi="宋体" w:eastAsia="宋体" w:cs="宋体"/>
          <w:b w:val="0"/>
          <w:bCs w:val="0"/>
          <w:color w:val="00B0F0"/>
          <w:kern w:val="2"/>
          <w:sz w:val="24"/>
          <w:szCs w:val="22"/>
          <w:highlight w:val="none"/>
          <w:lang w:val="en-US" w:eastAsia="zh-CN" w:bidi="ar-SA"/>
        </w:rPr>
        <w:t>万元；</w:t>
      </w:r>
    </w:p>
    <w:p w14:paraId="6F62DFA1">
      <w:pPr>
        <w:keepNext w:val="0"/>
        <w:keepLines w:val="0"/>
        <w:pageBreakBefore w:val="0"/>
        <w:kinsoku/>
        <w:wordWrap/>
        <w:overflowPunct/>
        <w:topLinePunct w:val="0"/>
        <w:autoSpaceDE/>
        <w:autoSpaceDN/>
        <w:bidi w:val="0"/>
        <w:adjustRightInd/>
        <w:snapToGrid/>
        <w:spacing w:beforeAutospacing="0" w:afterAutospacing="0" w:line="400" w:lineRule="exact"/>
        <w:ind w:firstLine="240" w:firstLineChars="100"/>
        <w:jc w:val="both"/>
        <w:textAlignment w:val="auto"/>
        <w:rPr>
          <w:rFonts w:hint="eastAsia" w:ascii="宋体" w:hAnsi="宋体" w:eastAsia="宋体" w:cs="宋体"/>
          <w:b w:val="0"/>
          <w:bCs w:val="0"/>
          <w:color w:val="00B0F0"/>
          <w:kern w:val="2"/>
          <w:sz w:val="24"/>
          <w:szCs w:val="22"/>
          <w:highlight w:val="none"/>
          <w:lang w:val="en-US" w:eastAsia="zh-CN" w:bidi="ar-SA"/>
        </w:rPr>
      </w:pPr>
      <w:r>
        <w:rPr>
          <w:rFonts w:hint="eastAsia" w:ascii="宋体" w:hAnsi="宋体" w:cs="宋体"/>
          <w:b w:val="0"/>
          <w:bCs w:val="0"/>
          <w:sz w:val="24"/>
          <w:highlight w:val="none"/>
          <w:lang w:val="en-US" w:eastAsia="zh-CN"/>
        </w:rPr>
        <w:t>6</w:t>
      </w:r>
      <w:r>
        <w:rPr>
          <w:rFonts w:hint="eastAsia" w:ascii="宋体" w:hAnsi="宋体" w:eastAsia="宋体" w:cs="宋体"/>
          <w:b w:val="0"/>
          <w:bCs w:val="0"/>
          <w:sz w:val="24"/>
          <w:highlight w:val="none"/>
          <w:lang w:val="en-US" w:eastAsia="zh-CN"/>
        </w:rPr>
        <w:t>.采购需求：</w:t>
      </w:r>
    </w:p>
    <w:p w14:paraId="3A7BFB79">
      <w:pPr>
        <w:pStyle w:val="37"/>
        <w:keepNext w:val="0"/>
        <w:keepLines w:val="0"/>
        <w:pageBreakBefore w:val="0"/>
        <w:kinsoku/>
        <w:wordWrap/>
        <w:overflowPunct/>
        <w:topLinePunct w:val="0"/>
        <w:autoSpaceDE/>
        <w:autoSpaceDN/>
        <w:bidi w:val="0"/>
        <w:adjustRightInd/>
        <w:snapToGrid/>
        <w:spacing w:beforeAutospacing="0" w:afterAutospacing="0" w:line="400" w:lineRule="exact"/>
        <w:ind w:left="0" w:leftChars="0" w:firstLine="480" w:firstLineChars="200"/>
        <w:textAlignment w:val="auto"/>
        <w:rPr>
          <w:rFonts w:hint="default"/>
          <w:highlight w:val="none"/>
          <w:lang w:val="en-US" w:eastAsia="zh-CN"/>
        </w:rPr>
      </w:pPr>
      <w:r>
        <w:rPr>
          <w:rFonts w:hint="eastAsia" w:ascii="宋体" w:hAnsi="宋体" w:eastAsia="宋体" w:cs="宋体"/>
          <w:b w:val="0"/>
          <w:bCs w:val="0"/>
          <w:color w:val="00B0F0"/>
          <w:kern w:val="2"/>
          <w:sz w:val="24"/>
          <w:szCs w:val="22"/>
          <w:highlight w:val="none"/>
          <w:lang w:val="en-US" w:eastAsia="zh-CN" w:bidi="ar-SA"/>
        </w:rPr>
        <w:t>采购智慧记忆黑板90套、视频展台90套、无线麦克风90套和扩声音响90对等一批，预算金额：</w:t>
      </w:r>
      <w:r>
        <w:rPr>
          <w:rFonts w:hint="eastAsia" w:ascii="宋体" w:hAnsi="宋体" w:cs="宋体"/>
          <w:b w:val="0"/>
          <w:bCs w:val="0"/>
          <w:color w:val="00B0F0"/>
          <w:kern w:val="2"/>
          <w:sz w:val="24"/>
          <w:szCs w:val="22"/>
          <w:highlight w:val="none"/>
          <w:lang w:val="en-US" w:eastAsia="zh-CN" w:bidi="ar-SA"/>
        </w:rPr>
        <w:t>441</w:t>
      </w:r>
      <w:r>
        <w:rPr>
          <w:rFonts w:hint="eastAsia" w:ascii="宋体" w:hAnsi="宋体" w:eastAsia="宋体" w:cs="宋体"/>
          <w:b w:val="0"/>
          <w:bCs w:val="0"/>
          <w:color w:val="00B0F0"/>
          <w:kern w:val="2"/>
          <w:sz w:val="24"/>
          <w:szCs w:val="22"/>
          <w:highlight w:val="none"/>
          <w:lang w:val="en-US" w:eastAsia="zh-CN" w:bidi="ar-SA"/>
        </w:rPr>
        <w:t>万元</w:t>
      </w:r>
      <w:r>
        <w:rPr>
          <w:rFonts w:hint="eastAsia" w:ascii="宋体" w:hAnsi="宋体" w:cs="宋体"/>
          <w:b w:val="0"/>
          <w:bCs w:val="0"/>
          <w:color w:val="00B0F0"/>
          <w:kern w:val="2"/>
          <w:sz w:val="24"/>
          <w:szCs w:val="22"/>
          <w:highlight w:val="none"/>
          <w:lang w:val="en-US" w:eastAsia="zh-CN" w:bidi="ar-SA"/>
        </w:rPr>
        <w:t>。</w:t>
      </w:r>
    </w:p>
    <w:p w14:paraId="55FADB55">
      <w:pPr>
        <w:pStyle w:val="37"/>
        <w:keepNext w:val="0"/>
        <w:keepLines w:val="0"/>
        <w:pageBreakBefore w:val="0"/>
        <w:kinsoku/>
        <w:wordWrap/>
        <w:overflowPunct/>
        <w:topLinePunct w:val="0"/>
        <w:autoSpaceDE/>
        <w:autoSpaceDN/>
        <w:bidi w:val="0"/>
        <w:adjustRightInd/>
        <w:snapToGrid/>
        <w:spacing w:beforeAutospacing="0" w:afterAutospacing="0" w:line="400" w:lineRule="exact"/>
        <w:ind w:left="0" w:leftChars="0" w:firstLine="240" w:firstLineChars="100"/>
        <w:textAlignment w:val="auto"/>
        <w:rPr>
          <w:rFonts w:hint="eastAsia" w:ascii="宋体" w:hAnsi="宋体" w:eastAsia="宋体" w:cs="宋体"/>
          <w:b w:val="0"/>
          <w:bCs w:val="0"/>
          <w:sz w:val="24"/>
          <w:highlight w:val="none"/>
          <w:lang w:val="en-US" w:eastAsia="zh-CN"/>
        </w:rPr>
      </w:pPr>
      <w:r>
        <w:rPr>
          <w:rFonts w:hint="eastAsia" w:ascii="宋体" w:hAnsi="宋体" w:cs="宋体"/>
          <w:b w:val="0"/>
          <w:bCs w:val="0"/>
          <w:kern w:val="2"/>
          <w:sz w:val="24"/>
          <w:szCs w:val="22"/>
          <w:highlight w:val="none"/>
          <w:lang w:val="en-US" w:eastAsia="zh-CN" w:bidi="ar-SA"/>
        </w:rPr>
        <w:t>（</w:t>
      </w:r>
      <w:r>
        <w:rPr>
          <w:rFonts w:hint="eastAsia" w:cs="宋体"/>
          <w:kern w:val="0"/>
          <w:sz w:val="24"/>
          <w:lang w:val="en-US" w:eastAsia="zh-CN"/>
        </w:rPr>
        <w:t>内容</w:t>
      </w:r>
      <w:r>
        <w:rPr>
          <w:rFonts w:hint="eastAsia" w:cs="宋体"/>
          <w:kern w:val="0"/>
          <w:sz w:val="24"/>
        </w:rPr>
        <w:t>及要求详见招标文件</w:t>
      </w:r>
      <w:r>
        <w:rPr>
          <w:rFonts w:hint="eastAsia" w:cs="宋体"/>
          <w:kern w:val="0"/>
          <w:sz w:val="24"/>
          <w:lang w:eastAsia="zh-CN"/>
        </w:rPr>
        <w:t>）</w:t>
      </w:r>
    </w:p>
    <w:p w14:paraId="4CDC0C92">
      <w:pPr>
        <w:keepNext w:val="0"/>
        <w:keepLines w:val="0"/>
        <w:pageBreakBefore w:val="0"/>
        <w:numPr>
          <w:ilvl w:val="0"/>
          <w:numId w:val="0"/>
        </w:numPr>
        <w:kinsoku/>
        <w:wordWrap/>
        <w:overflowPunct/>
        <w:topLinePunct w:val="0"/>
        <w:autoSpaceDE/>
        <w:autoSpaceDN/>
        <w:bidi w:val="0"/>
        <w:adjustRightInd/>
        <w:snapToGrid/>
        <w:spacing w:beforeAutospacing="0" w:afterAutospacing="0" w:line="400" w:lineRule="exact"/>
        <w:ind w:firstLine="240" w:firstLineChars="100"/>
        <w:jc w:val="both"/>
        <w:textAlignment w:val="auto"/>
        <w:rPr>
          <w:rFonts w:hint="eastAsia" w:ascii="方正仿宋_GBK" w:hAnsi="方正仿宋_GBK" w:eastAsia="方正仿宋_GBK" w:cs="方正仿宋_GBK"/>
          <w:color w:val="000000"/>
          <w:sz w:val="28"/>
          <w:szCs w:val="28"/>
          <w:highlight w:val="none"/>
          <w:shd w:val="clear" w:color="auto" w:fill="auto"/>
          <w:lang w:val="en-US" w:eastAsia="zh-CN"/>
        </w:rPr>
      </w:pPr>
      <w:r>
        <w:rPr>
          <w:rFonts w:hint="eastAsia" w:ascii="宋体" w:hAnsi="宋体" w:cs="宋体"/>
          <w:b w:val="0"/>
          <w:bCs w:val="0"/>
          <w:sz w:val="24"/>
          <w:highlight w:val="none"/>
          <w:lang w:val="en-US" w:eastAsia="zh-CN"/>
        </w:rPr>
        <w:t>7.</w:t>
      </w:r>
      <w:r>
        <w:rPr>
          <w:rFonts w:hint="eastAsia" w:ascii="宋体" w:hAnsi="宋体" w:eastAsia="宋体" w:cs="宋体"/>
          <w:b w:val="0"/>
          <w:bCs w:val="0"/>
          <w:sz w:val="24"/>
          <w:highlight w:val="none"/>
          <w:lang w:val="en-US" w:eastAsia="zh-CN"/>
        </w:rPr>
        <w:t>资金来源：</w:t>
      </w:r>
      <w:r>
        <w:rPr>
          <w:rFonts w:hint="eastAsia" w:ascii="宋体" w:hAnsi="宋体" w:eastAsia="宋体" w:cs="宋体"/>
          <w:b w:val="0"/>
          <w:bCs w:val="0"/>
          <w:color w:val="00B0F0"/>
          <w:kern w:val="2"/>
          <w:sz w:val="24"/>
          <w:szCs w:val="22"/>
          <w:highlight w:val="none"/>
          <w:lang w:val="en-US" w:eastAsia="zh-CN" w:bidi="ar-SA"/>
        </w:rPr>
        <w:t>援疆资金。</w:t>
      </w:r>
    </w:p>
    <w:p w14:paraId="6BF41FD7">
      <w:pPr>
        <w:keepNext w:val="0"/>
        <w:keepLines w:val="0"/>
        <w:pageBreakBefore w:val="0"/>
        <w:numPr>
          <w:ilvl w:val="0"/>
          <w:numId w:val="0"/>
        </w:numPr>
        <w:kinsoku/>
        <w:wordWrap/>
        <w:overflowPunct/>
        <w:topLinePunct w:val="0"/>
        <w:autoSpaceDE/>
        <w:autoSpaceDN/>
        <w:bidi w:val="0"/>
        <w:adjustRightInd/>
        <w:snapToGrid/>
        <w:spacing w:beforeAutospacing="0" w:afterAutospacing="0" w:line="400" w:lineRule="exact"/>
        <w:ind w:firstLine="240" w:firstLineChars="100"/>
        <w:jc w:val="both"/>
        <w:textAlignment w:val="auto"/>
        <w:rPr>
          <w:rFonts w:hint="eastAsia" w:ascii="宋体" w:hAnsi="宋体" w:eastAsia="宋体" w:cs="宋体"/>
          <w:b w:val="0"/>
          <w:bCs w:val="0"/>
          <w:sz w:val="24"/>
          <w:highlight w:val="none"/>
          <w:lang w:val="en-US" w:eastAsia="zh-CN"/>
        </w:rPr>
      </w:pPr>
      <w:r>
        <w:rPr>
          <w:rFonts w:hint="eastAsia" w:ascii="宋体" w:hAnsi="宋体" w:eastAsia="宋体" w:cs="宋体"/>
          <w:b w:val="0"/>
          <w:bCs w:val="0"/>
          <w:sz w:val="24"/>
          <w:highlight w:val="none"/>
          <w:lang w:val="en-US" w:eastAsia="zh-CN"/>
        </w:rPr>
        <w:t>8.本项目不接受联合体投标。</w:t>
      </w:r>
    </w:p>
    <w:p w14:paraId="4B97961B">
      <w:pPr>
        <w:keepNext w:val="0"/>
        <w:keepLines w:val="0"/>
        <w:pageBreakBefore w:val="0"/>
        <w:kinsoku/>
        <w:wordWrap/>
        <w:overflowPunct/>
        <w:topLinePunct w:val="0"/>
        <w:autoSpaceDE/>
        <w:autoSpaceDN/>
        <w:bidi w:val="0"/>
        <w:adjustRightInd/>
        <w:snapToGrid/>
        <w:spacing w:beforeAutospacing="0" w:afterAutospacing="0" w:line="400" w:lineRule="exact"/>
        <w:ind w:firstLine="240" w:firstLineChars="100"/>
        <w:jc w:val="both"/>
        <w:textAlignment w:val="auto"/>
        <w:rPr>
          <w:rFonts w:hint="default" w:ascii="宋体" w:hAnsi="宋体" w:eastAsia="宋体" w:cs="宋体"/>
          <w:b w:val="0"/>
          <w:bCs w:val="0"/>
          <w:sz w:val="24"/>
          <w:highlight w:val="none"/>
          <w:lang w:val="en-US" w:eastAsia="zh-CN"/>
        </w:rPr>
      </w:pPr>
      <w:r>
        <w:rPr>
          <w:rFonts w:hint="eastAsia" w:ascii="宋体" w:hAnsi="宋体" w:cs="宋体"/>
          <w:b w:val="0"/>
          <w:bCs w:val="0"/>
          <w:sz w:val="24"/>
          <w:highlight w:val="none"/>
          <w:lang w:val="en-US" w:eastAsia="zh-CN"/>
        </w:rPr>
        <w:t>9.</w:t>
      </w:r>
      <w:r>
        <w:rPr>
          <w:rFonts w:hint="eastAsia" w:ascii="宋体" w:hAnsi="宋体" w:eastAsia="宋体" w:cs="宋体"/>
          <w:b w:val="0"/>
          <w:bCs w:val="0"/>
          <w:sz w:val="24"/>
          <w:highlight w:val="none"/>
          <w:lang w:val="en-US" w:eastAsia="zh-CN"/>
        </w:rPr>
        <w:t>本项目不专门面向中小企业采</w:t>
      </w:r>
      <w:r>
        <w:rPr>
          <w:rFonts w:hint="eastAsia" w:ascii="宋体" w:hAnsi="宋体" w:cs="宋体"/>
          <w:b w:val="0"/>
          <w:bCs w:val="0"/>
          <w:sz w:val="24"/>
          <w:highlight w:val="none"/>
          <w:lang w:val="en-US" w:eastAsia="zh-CN"/>
        </w:rPr>
        <w:t>购。</w:t>
      </w:r>
    </w:p>
    <w:p w14:paraId="0B82AED9">
      <w:pPr>
        <w:pStyle w:val="32"/>
        <w:keepNext w:val="0"/>
        <w:keepLines w:val="0"/>
        <w:pageBreakBefore w:val="0"/>
        <w:kinsoku/>
        <w:wordWrap/>
        <w:overflowPunct/>
        <w:topLinePunct w:val="0"/>
        <w:autoSpaceDE/>
        <w:autoSpaceDN/>
        <w:bidi w:val="0"/>
        <w:adjustRightInd/>
        <w:snapToGrid/>
        <w:spacing w:before="0" w:beforeAutospacing="0" w:after="0" w:afterAutospacing="0" w:line="400" w:lineRule="exact"/>
        <w:jc w:val="both"/>
        <w:textAlignment w:val="auto"/>
        <w:rPr>
          <w:rFonts w:hint="eastAsia" w:ascii="仿宋" w:hAnsi="仿宋" w:eastAsia="仿宋" w:cs="仿宋"/>
          <w:color w:val="000000"/>
          <w:sz w:val="28"/>
          <w:szCs w:val="24"/>
        </w:rPr>
      </w:pPr>
      <w:bookmarkStart w:id="1508" w:name="_Toc35393630"/>
      <w:bookmarkStart w:id="1509" w:name="_Toc28359090"/>
      <w:bookmarkStart w:id="1510" w:name="_Toc28359013"/>
      <w:bookmarkStart w:id="1511" w:name="_Toc35393799"/>
      <w:r>
        <w:rPr>
          <w:rFonts w:hint="eastAsia" w:ascii="仿宋" w:hAnsi="仿宋" w:eastAsia="仿宋" w:cs="仿宋"/>
          <w:b/>
          <w:bCs/>
          <w:color w:val="000000"/>
          <w:sz w:val="28"/>
          <w:szCs w:val="24"/>
        </w:rPr>
        <w:t>二、投标供应商资格要求：</w:t>
      </w:r>
      <w:bookmarkEnd w:id="1508"/>
      <w:bookmarkEnd w:id="1509"/>
      <w:bookmarkEnd w:id="1510"/>
      <w:bookmarkEnd w:id="1511"/>
    </w:p>
    <w:p w14:paraId="1B17184C">
      <w:pPr>
        <w:keepNext w:val="0"/>
        <w:keepLines w:val="0"/>
        <w:pageBreakBefore w:val="0"/>
        <w:kinsoku/>
        <w:wordWrap/>
        <w:overflowPunct/>
        <w:topLinePunct w:val="0"/>
        <w:autoSpaceDE/>
        <w:autoSpaceDN/>
        <w:bidi w:val="0"/>
        <w:adjustRightInd/>
        <w:snapToGrid/>
        <w:spacing w:beforeAutospacing="0" w:afterAutospacing="0" w:line="400" w:lineRule="exact"/>
        <w:ind w:firstLine="480" w:firstLineChars="200"/>
        <w:textAlignment w:val="auto"/>
        <w:rPr>
          <w:rFonts w:hint="eastAsia" w:ascii="宋体" w:hAnsi="宋体" w:eastAsia="宋体" w:cs="宋体"/>
          <w:sz w:val="24"/>
          <w:highlight w:val="none"/>
          <w:lang w:val="en-US" w:eastAsia="zh-CN"/>
        </w:rPr>
      </w:pPr>
      <w:r>
        <w:rPr>
          <w:rFonts w:hint="eastAsia" w:ascii="宋体" w:hAnsi="宋体" w:eastAsia="宋体" w:cs="宋体"/>
          <w:sz w:val="24"/>
          <w:highlight w:val="none"/>
          <w:lang w:val="en-US" w:eastAsia="zh-CN"/>
        </w:rPr>
        <w:t>1.满足《中华人民共和国政府采购法》第二十二条规定；</w:t>
      </w:r>
    </w:p>
    <w:p w14:paraId="678914EE">
      <w:pPr>
        <w:keepNext w:val="0"/>
        <w:keepLines w:val="0"/>
        <w:pageBreakBefore w:val="0"/>
        <w:kinsoku/>
        <w:wordWrap/>
        <w:overflowPunct/>
        <w:topLinePunct w:val="0"/>
        <w:autoSpaceDE/>
        <w:autoSpaceDN/>
        <w:bidi w:val="0"/>
        <w:adjustRightInd/>
        <w:snapToGrid/>
        <w:spacing w:beforeAutospacing="0" w:afterAutospacing="0" w:line="400" w:lineRule="exact"/>
        <w:ind w:firstLine="480" w:firstLineChars="200"/>
        <w:textAlignment w:val="auto"/>
        <w:rPr>
          <w:rFonts w:hint="eastAsia" w:ascii="宋体" w:hAnsi="宋体" w:eastAsia="宋体" w:cs="宋体"/>
          <w:b w:val="0"/>
          <w:bCs w:val="0"/>
          <w:sz w:val="24"/>
          <w:highlight w:val="none"/>
          <w:lang w:val="en-US" w:eastAsia="zh-CN"/>
        </w:rPr>
      </w:pPr>
      <w:r>
        <w:rPr>
          <w:rFonts w:hint="eastAsia" w:ascii="宋体" w:hAnsi="宋体" w:eastAsia="宋体" w:cs="宋体"/>
          <w:b w:val="0"/>
          <w:bCs w:val="0"/>
          <w:sz w:val="24"/>
          <w:highlight w:val="none"/>
          <w:lang w:val="en-US" w:eastAsia="zh-CN"/>
        </w:rPr>
        <w:t>（1）提供有效期内且年检合格的营业执照；</w:t>
      </w:r>
    </w:p>
    <w:p w14:paraId="401A45A9">
      <w:pPr>
        <w:keepNext w:val="0"/>
        <w:keepLines w:val="0"/>
        <w:pageBreakBefore w:val="0"/>
        <w:kinsoku/>
        <w:wordWrap/>
        <w:overflowPunct/>
        <w:topLinePunct w:val="0"/>
        <w:autoSpaceDE/>
        <w:autoSpaceDN/>
        <w:bidi w:val="0"/>
        <w:adjustRightInd/>
        <w:snapToGrid/>
        <w:spacing w:beforeAutospacing="0" w:afterAutospacing="0" w:line="400" w:lineRule="exact"/>
        <w:ind w:firstLine="480" w:firstLineChars="200"/>
        <w:textAlignment w:val="auto"/>
        <w:rPr>
          <w:rFonts w:hint="eastAsia" w:ascii="宋体" w:hAnsi="宋体" w:eastAsia="宋体" w:cs="宋体"/>
          <w:b w:val="0"/>
          <w:bCs w:val="0"/>
          <w:sz w:val="24"/>
          <w:highlight w:val="none"/>
          <w:lang w:val="en-US" w:eastAsia="zh-CN"/>
        </w:rPr>
      </w:pPr>
      <w:r>
        <w:rPr>
          <w:rFonts w:hint="eastAsia" w:ascii="宋体" w:hAnsi="宋体" w:eastAsia="宋体" w:cs="宋体"/>
          <w:b w:val="0"/>
          <w:bCs w:val="0"/>
          <w:sz w:val="24"/>
          <w:highlight w:val="none"/>
          <w:lang w:val="en-US" w:eastAsia="zh-CN"/>
        </w:rPr>
        <w:t>（2）法定代表人资格证明及授权书、被授权人身份证(法定代表人投标需提供法定代表人身份证)；</w:t>
      </w:r>
    </w:p>
    <w:p w14:paraId="761A372F">
      <w:pPr>
        <w:keepNext w:val="0"/>
        <w:keepLines w:val="0"/>
        <w:pageBreakBefore w:val="0"/>
        <w:kinsoku/>
        <w:wordWrap/>
        <w:overflowPunct/>
        <w:topLinePunct w:val="0"/>
        <w:autoSpaceDE/>
        <w:autoSpaceDN/>
        <w:bidi w:val="0"/>
        <w:adjustRightInd/>
        <w:snapToGrid/>
        <w:spacing w:beforeAutospacing="0" w:afterAutospacing="0" w:line="400" w:lineRule="exact"/>
        <w:ind w:firstLine="480" w:firstLineChars="200"/>
        <w:textAlignment w:val="auto"/>
        <w:rPr>
          <w:rFonts w:hint="eastAsia" w:ascii="宋体" w:hAnsi="宋体" w:eastAsia="宋体" w:cs="宋体"/>
          <w:b w:val="0"/>
          <w:bCs w:val="0"/>
          <w:sz w:val="24"/>
          <w:highlight w:val="none"/>
          <w:lang w:val="en-US" w:eastAsia="zh-CN"/>
        </w:rPr>
      </w:pPr>
      <w:r>
        <w:rPr>
          <w:rFonts w:hint="eastAsia" w:ascii="宋体" w:hAnsi="宋体" w:eastAsia="宋体" w:cs="宋体"/>
          <w:b w:val="0"/>
          <w:bCs w:val="0"/>
          <w:sz w:val="24"/>
          <w:highlight w:val="none"/>
          <w:lang w:val="en-US" w:eastAsia="zh-CN"/>
        </w:rPr>
        <w:t>（3）提供近两年内任意一年的财务审计报告（新成立的公司可</w:t>
      </w:r>
      <w:r>
        <w:rPr>
          <w:rFonts w:hint="eastAsia" w:ascii="宋体" w:hAnsi="宋体" w:cs="宋体"/>
          <w:b w:val="0"/>
          <w:bCs w:val="0"/>
          <w:sz w:val="24"/>
          <w:highlight w:val="none"/>
          <w:lang w:val="en-US" w:eastAsia="zh-CN"/>
        </w:rPr>
        <w:t>提供近一个月的银行资信证明</w:t>
      </w:r>
      <w:r>
        <w:rPr>
          <w:rFonts w:hint="eastAsia" w:ascii="宋体" w:hAnsi="宋体" w:eastAsia="宋体" w:cs="宋体"/>
          <w:b w:val="0"/>
          <w:bCs w:val="0"/>
          <w:sz w:val="24"/>
          <w:highlight w:val="none"/>
          <w:lang w:val="en-US" w:eastAsia="zh-CN"/>
        </w:rPr>
        <w:t>）；</w:t>
      </w:r>
    </w:p>
    <w:p w14:paraId="66362293">
      <w:pPr>
        <w:keepNext w:val="0"/>
        <w:keepLines w:val="0"/>
        <w:pageBreakBefore w:val="0"/>
        <w:widowControl w:val="0"/>
        <w:tabs>
          <w:tab w:val="left" w:pos="5580"/>
        </w:tabs>
        <w:kinsoku/>
        <w:wordWrap/>
        <w:overflowPunct/>
        <w:topLinePunct w:val="0"/>
        <w:autoSpaceDE/>
        <w:autoSpaceDN/>
        <w:bidi w:val="0"/>
        <w:adjustRightInd/>
        <w:snapToGrid/>
        <w:spacing w:beforeAutospacing="0" w:afterAutospacing="0" w:line="400" w:lineRule="exact"/>
        <w:ind w:firstLine="480" w:firstLineChars="200"/>
        <w:textAlignment w:val="auto"/>
        <w:rPr>
          <w:rFonts w:hint="eastAsia" w:ascii="宋体" w:hAnsi="宋体" w:eastAsia="宋体" w:cs="宋体"/>
          <w:color w:val="auto"/>
          <w:sz w:val="24"/>
          <w:lang w:val="en-US" w:eastAsia="zh-CN"/>
        </w:rPr>
      </w:pPr>
      <w:r>
        <w:rPr>
          <w:rFonts w:hint="eastAsia" w:ascii="宋体" w:hAnsi="宋体" w:eastAsia="宋体" w:cs="宋体"/>
          <w:b w:val="0"/>
          <w:bCs w:val="0"/>
          <w:sz w:val="24"/>
          <w:highlight w:val="none"/>
          <w:lang w:val="en-US" w:eastAsia="zh-CN"/>
        </w:rPr>
        <w:t>（4）</w:t>
      </w:r>
      <w:r>
        <w:rPr>
          <w:rFonts w:hint="eastAsia" w:ascii="宋体" w:hAnsi="宋体" w:eastAsia="宋体" w:cs="宋体"/>
          <w:b w:val="0"/>
          <w:bCs w:val="0"/>
          <w:kern w:val="2"/>
          <w:sz w:val="24"/>
          <w:szCs w:val="22"/>
          <w:highlight w:val="none"/>
          <w:lang w:val="en-US" w:eastAsia="zh-CN" w:bidi="ar-SA"/>
        </w:rPr>
        <w:t>投标企业依法缴纳近 3个月</w:t>
      </w:r>
      <w:r>
        <w:rPr>
          <w:rFonts w:hint="eastAsia" w:ascii="宋体" w:hAnsi="宋体" w:cs="宋体"/>
          <w:b w:val="0"/>
          <w:bCs w:val="0"/>
          <w:kern w:val="2"/>
          <w:sz w:val="24"/>
          <w:szCs w:val="22"/>
          <w:highlight w:val="none"/>
          <w:lang w:val="en-US" w:eastAsia="zh-CN" w:bidi="ar-SA"/>
        </w:rPr>
        <w:t>内其中任意1个月</w:t>
      </w:r>
      <w:r>
        <w:rPr>
          <w:rFonts w:hint="eastAsia" w:ascii="宋体" w:hAnsi="宋体" w:eastAsia="宋体" w:cs="宋体"/>
          <w:b w:val="0"/>
          <w:bCs w:val="0"/>
          <w:kern w:val="2"/>
          <w:sz w:val="24"/>
          <w:szCs w:val="22"/>
          <w:highlight w:val="none"/>
          <w:lang w:val="en-US" w:eastAsia="zh-CN" w:bidi="ar-SA"/>
        </w:rPr>
        <w:t>的社会保险凭据；</w:t>
      </w:r>
    </w:p>
    <w:p w14:paraId="6C424FB1">
      <w:pPr>
        <w:keepNext w:val="0"/>
        <w:keepLines w:val="0"/>
        <w:pageBreakBefore w:val="0"/>
        <w:kinsoku/>
        <w:wordWrap/>
        <w:overflowPunct/>
        <w:topLinePunct w:val="0"/>
        <w:autoSpaceDE/>
        <w:autoSpaceDN/>
        <w:bidi w:val="0"/>
        <w:adjustRightInd/>
        <w:snapToGrid/>
        <w:spacing w:beforeAutospacing="0" w:afterAutospacing="0" w:line="400" w:lineRule="exact"/>
        <w:ind w:firstLine="480" w:firstLineChars="200"/>
        <w:textAlignment w:val="auto"/>
        <w:rPr>
          <w:rFonts w:hint="eastAsia" w:ascii="宋体" w:hAnsi="宋体" w:eastAsia="宋体" w:cs="宋体"/>
          <w:b w:val="0"/>
          <w:bCs w:val="0"/>
          <w:kern w:val="2"/>
          <w:sz w:val="24"/>
          <w:szCs w:val="22"/>
          <w:highlight w:val="none"/>
          <w:lang w:val="en-US" w:eastAsia="zh-CN" w:bidi="ar-SA"/>
        </w:rPr>
      </w:pPr>
      <w:r>
        <w:rPr>
          <w:rFonts w:hint="eastAsia" w:ascii="宋体" w:hAnsi="宋体" w:cs="宋体"/>
          <w:color w:val="auto"/>
          <w:sz w:val="24"/>
          <w:lang w:val="en-US" w:eastAsia="zh-CN"/>
        </w:rPr>
        <w:t>（5）</w:t>
      </w:r>
      <w:r>
        <w:rPr>
          <w:rFonts w:hint="eastAsia" w:ascii="宋体" w:hAnsi="宋体" w:eastAsia="宋体" w:cs="宋体"/>
          <w:b w:val="0"/>
          <w:bCs w:val="0"/>
          <w:kern w:val="2"/>
          <w:sz w:val="24"/>
          <w:szCs w:val="22"/>
          <w:highlight w:val="none"/>
          <w:lang w:val="en-US" w:eastAsia="zh-CN" w:bidi="ar-SA"/>
        </w:rPr>
        <w:t>投标企业提供税务部门出具的近3个月</w:t>
      </w:r>
      <w:r>
        <w:rPr>
          <w:rFonts w:hint="eastAsia" w:ascii="宋体" w:hAnsi="宋体" w:cs="宋体"/>
          <w:b w:val="0"/>
          <w:bCs w:val="0"/>
          <w:kern w:val="2"/>
          <w:sz w:val="24"/>
          <w:szCs w:val="22"/>
          <w:highlight w:val="none"/>
          <w:lang w:val="en-US" w:eastAsia="zh-CN" w:bidi="ar-SA"/>
        </w:rPr>
        <w:t>内其中任意1个月</w:t>
      </w:r>
      <w:r>
        <w:rPr>
          <w:rFonts w:hint="eastAsia" w:ascii="宋体" w:hAnsi="宋体" w:eastAsia="宋体" w:cs="宋体"/>
          <w:b w:val="0"/>
          <w:bCs w:val="0"/>
          <w:kern w:val="2"/>
          <w:sz w:val="24"/>
          <w:szCs w:val="22"/>
          <w:highlight w:val="none"/>
          <w:lang w:val="en-US" w:eastAsia="zh-CN" w:bidi="ar-SA"/>
        </w:rPr>
        <w:t>的完税证明</w:t>
      </w:r>
      <w:r>
        <w:rPr>
          <w:rFonts w:hint="eastAsia" w:ascii="宋体" w:hAnsi="宋体" w:eastAsia="宋体" w:cs="Times New Roman"/>
          <w:color w:val="000000"/>
          <w:sz w:val="24"/>
          <w:szCs w:val="21"/>
          <w:lang w:val="en-US" w:eastAsia="zh-CN"/>
        </w:rPr>
        <w:t>（零申报需加盖税务机关鲜章）</w:t>
      </w:r>
      <w:r>
        <w:rPr>
          <w:rFonts w:hint="eastAsia" w:ascii="宋体" w:hAnsi="宋体" w:cs="Times New Roman"/>
          <w:color w:val="000000"/>
          <w:sz w:val="24"/>
          <w:szCs w:val="21"/>
          <w:lang w:val="en-US" w:eastAsia="zh-CN"/>
        </w:rPr>
        <w:t>，</w:t>
      </w:r>
      <w:r>
        <w:rPr>
          <w:rFonts w:hint="eastAsia" w:ascii="宋体" w:hAnsi="宋体" w:eastAsia="宋体" w:cs="宋体"/>
          <w:b w:val="0"/>
          <w:bCs w:val="0"/>
          <w:kern w:val="2"/>
          <w:sz w:val="24"/>
          <w:szCs w:val="22"/>
          <w:highlight w:val="none"/>
          <w:lang w:val="en-US" w:eastAsia="zh-CN" w:bidi="ar-SA"/>
        </w:rPr>
        <w:t>非社会保险类；</w:t>
      </w:r>
    </w:p>
    <w:p w14:paraId="53B1EAE3">
      <w:pPr>
        <w:keepNext w:val="0"/>
        <w:keepLines w:val="0"/>
        <w:pageBreakBefore w:val="0"/>
        <w:kinsoku/>
        <w:wordWrap/>
        <w:overflowPunct/>
        <w:topLinePunct w:val="0"/>
        <w:autoSpaceDE/>
        <w:autoSpaceDN/>
        <w:bidi w:val="0"/>
        <w:adjustRightInd/>
        <w:snapToGrid/>
        <w:spacing w:beforeAutospacing="0" w:afterAutospacing="0" w:line="400" w:lineRule="exact"/>
        <w:ind w:firstLine="480" w:firstLineChars="200"/>
        <w:textAlignment w:val="auto"/>
        <w:rPr>
          <w:rFonts w:hint="eastAsia" w:ascii="宋体" w:hAnsi="宋体" w:eastAsia="宋体" w:cs="宋体"/>
          <w:sz w:val="24"/>
          <w:highlight w:val="none"/>
          <w:lang w:val="en-US" w:eastAsia="zh-CN"/>
        </w:rPr>
      </w:pPr>
      <w:r>
        <w:rPr>
          <w:rFonts w:hint="eastAsia" w:ascii="宋体" w:hAnsi="宋体" w:eastAsia="宋体" w:cs="宋体"/>
          <w:sz w:val="24"/>
          <w:highlight w:val="none"/>
          <w:lang w:val="en-US" w:eastAsia="zh-CN"/>
        </w:rPr>
        <w:t>（6）根据《财政部关于在政府采购活动中查询及使用信用记录有关问题的通知》（财库﹝2016﹞125号）的要求，凡拟参加本次招标项目的供应商，如在“信用中国”网站（ www.creditchina.gov.cn） 被列入失信被执行人、重大税收违法失信主体名单(信用服务-重点领域严重失信主体名单查询-搜索栏输入单位全称)、中国政府采购网（http://www.ccgp.gov.cn/search/cr/）严重违法失信行为信息记录名单的（尚在处罚期内的），“国家企业信用信息公示系统（http://www.gsxt.gov.cn）”列入严重违法失信名单（黑名单）信息；将拒绝其参加本次招标活动；</w:t>
      </w:r>
    </w:p>
    <w:p w14:paraId="2B436913">
      <w:pPr>
        <w:keepNext w:val="0"/>
        <w:keepLines w:val="0"/>
        <w:pageBreakBefore w:val="0"/>
        <w:kinsoku/>
        <w:wordWrap/>
        <w:overflowPunct/>
        <w:topLinePunct w:val="0"/>
        <w:autoSpaceDE/>
        <w:autoSpaceDN/>
        <w:bidi w:val="0"/>
        <w:adjustRightInd/>
        <w:snapToGrid/>
        <w:spacing w:beforeAutospacing="0" w:afterAutospacing="0" w:line="400" w:lineRule="exact"/>
        <w:ind w:firstLine="480" w:firstLineChars="200"/>
        <w:textAlignment w:val="auto"/>
        <w:rPr>
          <w:rFonts w:hint="eastAsia" w:ascii="宋体" w:hAnsi="宋体" w:eastAsia="宋体" w:cs="宋体"/>
          <w:sz w:val="24"/>
          <w:highlight w:val="none"/>
          <w:lang w:val="en-US" w:eastAsia="zh-CN"/>
        </w:rPr>
      </w:pPr>
      <w:r>
        <w:rPr>
          <w:rFonts w:hint="eastAsia" w:ascii="宋体" w:hAnsi="宋体" w:eastAsia="宋体" w:cs="宋体"/>
          <w:sz w:val="24"/>
          <w:highlight w:val="none"/>
          <w:lang w:val="en-US" w:eastAsia="zh-CN"/>
        </w:rPr>
        <w:t>（7）参与政府采购活动前3年内未被列入失信、重大税收违法案件、财政部门禁止参加政府采购活动的承诺书；</w:t>
      </w:r>
    </w:p>
    <w:p w14:paraId="30E894F8">
      <w:pPr>
        <w:keepNext w:val="0"/>
        <w:keepLines w:val="0"/>
        <w:pageBreakBefore w:val="0"/>
        <w:kinsoku/>
        <w:wordWrap/>
        <w:overflowPunct/>
        <w:topLinePunct w:val="0"/>
        <w:autoSpaceDE/>
        <w:autoSpaceDN/>
        <w:bidi w:val="0"/>
        <w:adjustRightInd/>
        <w:snapToGrid/>
        <w:spacing w:beforeAutospacing="0" w:afterAutospacing="0" w:line="400" w:lineRule="exact"/>
        <w:ind w:firstLine="480" w:firstLineChars="200"/>
        <w:textAlignment w:val="auto"/>
        <w:rPr>
          <w:rFonts w:hint="eastAsia" w:ascii="宋体" w:hAnsi="宋体" w:eastAsia="宋体" w:cs="宋体"/>
          <w:sz w:val="24"/>
          <w:highlight w:val="none"/>
          <w:lang w:val="en-US" w:eastAsia="zh-CN"/>
        </w:rPr>
      </w:pPr>
      <w:r>
        <w:rPr>
          <w:rFonts w:hint="eastAsia" w:ascii="宋体" w:hAnsi="宋体" w:eastAsia="宋体" w:cs="宋体"/>
          <w:sz w:val="24"/>
          <w:highlight w:val="none"/>
          <w:lang w:val="en-US" w:eastAsia="zh-CN"/>
        </w:rPr>
        <w:t>（8）提供针对本次项目《反商业贿赂承诺书》；</w:t>
      </w:r>
    </w:p>
    <w:p w14:paraId="4F4293F4">
      <w:pPr>
        <w:keepNext w:val="0"/>
        <w:keepLines w:val="0"/>
        <w:pageBreakBefore w:val="0"/>
        <w:kinsoku/>
        <w:wordWrap/>
        <w:overflowPunct/>
        <w:topLinePunct w:val="0"/>
        <w:autoSpaceDE/>
        <w:autoSpaceDN/>
        <w:bidi w:val="0"/>
        <w:adjustRightInd/>
        <w:snapToGrid/>
        <w:spacing w:beforeAutospacing="0" w:afterAutospacing="0" w:line="400" w:lineRule="exact"/>
        <w:ind w:firstLine="480" w:firstLineChars="200"/>
        <w:textAlignment w:val="auto"/>
        <w:rPr>
          <w:rFonts w:hint="eastAsia" w:ascii="宋体" w:hAnsi="宋体" w:cs="宋体"/>
          <w:sz w:val="24"/>
          <w:highlight w:val="none"/>
          <w:lang w:val="en-US" w:eastAsia="zh-CN"/>
        </w:rPr>
      </w:pPr>
      <w:r>
        <w:rPr>
          <w:rFonts w:hint="eastAsia" w:ascii="宋体" w:hAnsi="宋体" w:eastAsia="宋体" w:cs="宋体"/>
          <w:sz w:val="24"/>
          <w:highlight w:val="none"/>
          <w:lang w:val="en-US" w:eastAsia="zh-CN"/>
        </w:rPr>
        <w:t>（9）提供投标单位按招标文件要求缴纳投标保证金的缴款凭证或金融机构、担保机构出具的保函</w:t>
      </w:r>
      <w:r>
        <w:rPr>
          <w:rFonts w:hint="eastAsia" w:ascii="宋体" w:hAnsi="宋体" w:cs="宋体"/>
          <w:sz w:val="24"/>
          <w:highlight w:val="none"/>
          <w:lang w:val="en-US" w:eastAsia="zh-CN"/>
        </w:rPr>
        <w:t>；</w:t>
      </w:r>
    </w:p>
    <w:p w14:paraId="2471E70D">
      <w:pPr>
        <w:pStyle w:val="32"/>
        <w:keepNext w:val="0"/>
        <w:keepLines w:val="0"/>
        <w:pageBreakBefore w:val="0"/>
        <w:kinsoku/>
        <w:wordWrap/>
        <w:overflowPunct/>
        <w:topLinePunct w:val="0"/>
        <w:autoSpaceDE/>
        <w:autoSpaceDN/>
        <w:bidi w:val="0"/>
        <w:adjustRightInd/>
        <w:snapToGrid/>
        <w:spacing w:before="0" w:beforeAutospacing="0" w:after="0" w:afterAutospacing="0" w:line="400" w:lineRule="exact"/>
        <w:jc w:val="both"/>
        <w:textAlignment w:val="auto"/>
        <w:rPr>
          <w:rFonts w:hint="eastAsia" w:ascii="仿宋" w:hAnsi="仿宋" w:eastAsia="仿宋" w:cs="仿宋"/>
          <w:b/>
          <w:bCs/>
          <w:color w:val="000000"/>
          <w:sz w:val="28"/>
          <w:szCs w:val="24"/>
        </w:rPr>
      </w:pPr>
      <w:r>
        <w:rPr>
          <w:rFonts w:hint="eastAsia" w:ascii="仿宋" w:hAnsi="仿宋" w:eastAsia="仿宋" w:cs="仿宋"/>
          <w:b/>
          <w:bCs/>
          <w:color w:val="000000"/>
          <w:sz w:val="28"/>
          <w:szCs w:val="24"/>
        </w:rPr>
        <w:t>三、获取采购文件</w:t>
      </w:r>
    </w:p>
    <w:p w14:paraId="7C1110FB">
      <w:pPr>
        <w:keepNext w:val="0"/>
        <w:keepLines w:val="0"/>
        <w:pageBreakBefore w:val="0"/>
        <w:kinsoku/>
        <w:wordWrap/>
        <w:overflowPunct/>
        <w:topLinePunct w:val="0"/>
        <w:autoSpaceDE/>
        <w:autoSpaceDN/>
        <w:bidi w:val="0"/>
        <w:adjustRightInd/>
        <w:snapToGrid/>
        <w:spacing w:beforeAutospacing="0" w:afterAutospacing="0" w:line="400" w:lineRule="exact"/>
        <w:ind w:firstLine="480" w:firstLineChars="200"/>
        <w:jc w:val="both"/>
        <w:textAlignment w:val="auto"/>
        <w:rPr>
          <w:rFonts w:hint="eastAsia" w:ascii="宋体" w:hAnsi="宋体" w:eastAsia="宋体" w:cs="宋体"/>
          <w:b w:val="0"/>
          <w:bCs w:val="0"/>
          <w:kern w:val="2"/>
          <w:sz w:val="24"/>
          <w:szCs w:val="22"/>
          <w:highlight w:val="none"/>
          <w:lang w:val="en-US" w:eastAsia="zh-CN" w:bidi="ar-SA"/>
        </w:rPr>
      </w:pPr>
      <w:r>
        <w:rPr>
          <w:rFonts w:hint="eastAsia" w:ascii="宋体" w:hAnsi="宋体" w:eastAsia="宋体" w:cs="宋体"/>
          <w:b w:val="0"/>
          <w:bCs w:val="0"/>
          <w:kern w:val="2"/>
          <w:sz w:val="24"/>
          <w:szCs w:val="22"/>
          <w:highlight w:val="none"/>
          <w:lang w:val="en-US" w:eastAsia="zh-CN" w:bidi="ar-SA"/>
        </w:rPr>
        <w:t>获取时间：</w:t>
      </w:r>
      <w:r>
        <w:rPr>
          <w:rFonts w:hint="eastAsia" w:ascii="宋体" w:hAnsi="宋体" w:eastAsia="宋体" w:cs="宋体"/>
          <w:b w:val="0"/>
          <w:bCs w:val="0"/>
          <w:color w:val="00B0F0"/>
          <w:kern w:val="2"/>
          <w:sz w:val="24"/>
          <w:szCs w:val="22"/>
          <w:highlight w:val="none"/>
          <w:lang w:val="en-US" w:eastAsia="zh-CN" w:bidi="ar-SA"/>
        </w:rPr>
        <w:t>202</w:t>
      </w:r>
      <w:r>
        <w:rPr>
          <w:rFonts w:hint="eastAsia" w:ascii="宋体" w:hAnsi="宋体" w:cs="宋体"/>
          <w:b w:val="0"/>
          <w:bCs w:val="0"/>
          <w:color w:val="00B0F0"/>
          <w:kern w:val="2"/>
          <w:sz w:val="24"/>
          <w:szCs w:val="22"/>
          <w:highlight w:val="none"/>
          <w:lang w:val="en-US" w:eastAsia="zh-CN" w:bidi="ar-SA"/>
        </w:rPr>
        <w:t>5</w:t>
      </w:r>
      <w:r>
        <w:rPr>
          <w:rFonts w:hint="eastAsia" w:ascii="宋体" w:hAnsi="宋体" w:eastAsia="宋体" w:cs="宋体"/>
          <w:b w:val="0"/>
          <w:bCs w:val="0"/>
          <w:color w:val="00B0F0"/>
          <w:kern w:val="2"/>
          <w:sz w:val="24"/>
          <w:szCs w:val="22"/>
          <w:highlight w:val="none"/>
          <w:lang w:val="en-US" w:eastAsia="zh-CN" w:bidi="ar-SA"/>
        </w:rPr>
        <w:t>年</w:t>
      </w:r>
      <w:r>
        <w:rPr>
          <w:rFonts w:hint="eastAsia" w:ascii="宋体" w:hAnsi="宋体" w:cs="宋体"/>
          <w:b w:val="0"/>
          <w:bCs w:val="0"/>
          <w:color w:val="00B0F0"/>
          <w:kern w:val="2"/>
          <w:sz w:val="24"/>
          <w:szCs w:val="22"/>
          <w:highlight w:val="none"/>
          <w:lang w:val="en-US" w:eastAsia="zh-CN" w:bidi="ar-SA"/>
        </w:rPr>
        <w:t>4</w:t>
      </w:r>
      <w:r>
        <w:rPr>
          <w:rFonts w:hint="eastAsia" w:ascii="宋体" w:hAnsi="宋体" w:eastAsia="宋体" w:cs="宋体"/>
          <w:b w:val="0"/>
          <w:bCs w:val="0"/>
          <w:color w:val="00B0F0"/>
          <w:kern w:val="2"/>
          <w:sz w:val="24"/>
          <w:szCs w:val="22"/>
          <w:highlight w:val="none"/>
          <w:lang w:val="en-US" w:eastAsia="zh-CN" w:bidi="ar-SA"/>
        </w:rPr>
        <w:t>月</w:t>
      </w:r>
      <w:r>
        <w:rPr>
          <w:rFonts w:hint="eastAsia" w:ascii="宋体" w:hAnsi="宋体" w:cs="宋体"/>
          <w:b w:val="0"/>
          <w:bCs w:val="0"/>
          <w:color w:val="00B0F0"/>
          <w:kern w:val="2"/>
          <w:sz w:val="24"/>
          <w:szCs w:val="22"/>
          <w:highlight w:val="none"/>
          <w:lang w:val="en-US" w:eastAsia="zh-CN" w:bidi="ar-SA"/>
        </w:rPr>
        <w:t>22</w:t>
      </w:r>
      <w:r>
        <w:rPr>
          <w:rFonts w:hint="eastAsia" w:ascii="宋体" w:hAnsi="宋体" w:eastAsia="宋体" w:cs="宋体"/>
          <w:b w:val="0"/>
          <w:bCs w:val="0"/>
          <w:color w:val="00B0F0"/>
          <w:kern w:val="2"/>
          <w:sz w:val="24"/>
          <w:szCs w:val="22"/>
          <w:highlight w:val="none"/>
          <w:lang w:val="en-US" w:eastAsia="zh-CN" w:bidi="ar-SA"/>
        </w:rPr>
        <w:t>日至202</w:t>
      </w:r>
      <w:r>
        <w:rPr>
          <w:rFonts w:hint="eastAsia" w:ascii="宋体" w:hAnsi="宋体" w:cs="宋体"/>
          <w:b w:val="0"/>
          <w:bCs w:val="0"/>
          <w:color w:val="00B0F0"/>
          <w:kern w:val="2"/>
          <w:sz w:val="24"/>
          <w:szCs w:val="22"/>
          <w:highlight w:val="none"/>
          <w:lang w:val="en-US" w:eastAsia="zh-CN" w:bidi="ar-SA"/>
        </w:rPr>
        <w:t>5</w:t>
      </w:r>
      <w:r>
        <w:rPr>
          <w:rFonts w:hint="eastAsia" w:ascii="宋体" w:hAnsi="宋体" w:eastAsia="宋体" w:cs="宋体"/>
          <w:b w:val="0"/>
          <w:bCs w:val="0"/>
          <w:color w:val="00B0F0"/>
          <w:kern w:val="2"/>
          <w:sz w:val="24"/>
          <w:szCs w:val="22"/>
          <w:highlight w:val="none"/>
          <w:lang w:val="en-US" w:eastAsia="zh-CN" w:bidi="ar-SA"/>
        </w:rPr>
        <w:t>年</w:t>
      </w:r>
      <w:r>
        <w:rPr>
          <w:rFonts w:hint="eastAsia" w:ascii="宋体" w:hAnsi="宋体" w:cs="宋体"/>
          <w:b w:val="0"/>
          <w:bCs w:val="0"/>
          <w:color w:val="00B0F0"/>
          <w:kern w:val="2"/>
          <w:sz w:val="24"/>
          <w:szCs w:val="22"/>
          <w:highlight w:val="none"/>
          <w:lang w:val="en-US" w:eastAsia="zh-CN" w:bidi="ar-SA"/>
        </w:rPr>
        <w:t>5</w:t>
      </w:r>
      <w:r>
        <w:rPr>
          <w:rFonts w:hint="eastAsia" w:ascii="宋体" w:hAnsi="宋体" w:eastAsia="宋体" w:cs="宋体"/>
          <w:b w:val="0"/>
          <w:bCs w:val="0"/>
          <w:color w:val="00B0F0"/>
          <w:kern w:val="2"/>
          <w:sz w:val="24"/>
          <w:szCs w:val="22"/>
          <w:highlight w:val="none"/>
          <w:lang w:val="en-US" w:eastAsia="zh-CN" w:bidi="ar-SA"/>
        </w:rPr>
        <w:t>月</w:t>
      </w:r>
      <w:r>
        <w:rPr>
          <w:rFonts w:hint="eastAsia" w:ascii="宋体" w:hAnsi="宋体" w:cs="宋体"/>
          <w:b w:val="0"/>
          <w:bCs w:val="0"/>
          <w:color w:val="00B0F0"/>
          <w:kern w:val="2"/>
          <w:sz w:val="24"/>
          <w:szCs w:val="22"/>
          <w:highlight w:val="none"/>
          <w:lang w:val="en-US" w:eastAsia="zh-CN" w:bidi="ar-SA"/>
        </w:rPr>
        <w:t>13</w:t>
      </w:r>
      <w:r>
        <w:rPr>
          <w:rFonts w:hint="eastAsia" w:ascii="宋体" w:hAnsi="宋体" w:eastAsia="宋体" w:cs="宋体"/>
          <w:b w:val="0"/>
          <w:bCs w:val="0"/>
          <w:color w:val="00B0F0"/>
          <w:kern w:val="2"/>
          <w:sz w:val="24"/>
          <w:szCs w:val="22"/>
          <w:highlight w:val="none"/>
          <w:lang w:val="en-US" w:eastAsia="zh-CN" w:bidi="ar-SA"/>
        </w:rPr>
        <w:t>日</w:t>
      </w:r>
    </w:p>
    <w:p w14:paraId="052ED45B">
      <w:pPr>
        <w:keepNext w:val="0"/>
        <w:keepLines w:val="0"/>
        <w:pageBreakBefore w:val="0"/>
        <w:kinsoku/>
        <w:wordWrap/>
        <w:overflowPunct/>
        <w:topLinePunct w:val="0"/>
        <w:autoSpaceDE/>
        <w:autoSpaceDN/>
        <w:bidi w:val="0"/>
        <w:adjustRightInd/>
        <w:snapToGrid/>
        <w:spacing w:beforeAutospacing="0" w:afterAutospacing="0" w:line="400" w:lineRule="exact"/>
        <w:ind w:firstLine="480" w:firstLineChars="200"/>
        <w:jc w:val="both"/>
        <w:textAlignment w:val="auto"/>
        <w:rPr>
          <w:rFonts w:hint="eastAsia" w:ascii="宋体" w:hAnsi="宋体" w:eastAsia="宋体" w:cs="宋体"/>
          <w:b w:val="0"/>
          <w:bCs w:val="0"/>
          <w:kern w:val="2"/>
          <w:sz w:val="24"/>
          <w:szCs w:val="22"/>
          <w:highlight w:val="none"/>
          <w:lang w:val="en-US" w:eastAsia="zh-CN" w:bidi="ar-SA"/>
        </w:rPr>
      </w:pPr>
      <w:r>
        <w:rPr>
          <w:rFonts w:hint="eastAsia" w:ascii="宋体" w:hAnsi="宋体" w:eastAsia="宋体" w:cs="宋体"/>
          <w:b w:val="0"/>
          <w:bCs w:val="0"/>
          <w:kern w:val="2"/>
          <w:sz w:val="24"/>
          <w:szCs w:val="22"/>
          <w:highlight w:val="none"/>
          <w:lang w:val="en-US" w:eastAsia="zh-CN" w:bidi="ar-SA"/>
        </w:rPr>
        <w:t>获取方式：供应商登陆新疆政府采购网 (ccgp-xinjiang.gov.cn)下载。</w:t>
      </w:r>
    </w:p>
    <w:p w14:paraId="7D71028C">
      <w:pPr>
        <w:keepNext w:val="0"/>
        <w:keepLines w:val="0"/>
        <w:pageBreakBefore w:val="0"/>
        <w:kinsoku/>
        <w:wordWrap/>
        <w:overflowPunct/>
        <w:topLinePunct w:val="0"/>
        <w:autoSpaceDE/>
        <w:autoSpaceDN/>
        <w:bidi w:val="0"/>
        <w:adjustRightInd/>
        <w:snapToGrid/>
        <w:spacing w:beforeAutospacing="0" w:afterAutospacing="0" w:line="400" w:lineRule="exact"/>
        <w:ind w:firstLine="480" w:firstLineChars="200"/>
        <w:jc w:val="both"/>
        <w:textAlignment w:val="auto"/>
        <w:rPr>
          <w:rFonts w:hint="eastAsia" w:ascii="宋体" w:hAnsi="宋体" w:eastAsia="宋体" w:cs="宋体"/>
          <w:b w:val="0"/>
          <w:bCs w:val="0"/>
          <w:kern w:val="2"/>
          <w:sz w:val="24"/>
          <w:szCs w:val="22"/>
          <w:highlight w:val="none"/>
          <w:lang w:val="en-US" w:eastAsia="zh-CN" w:bidi="ar-SA"/>
        </w:rPr>
      </w:pPr>
      <w:r>
        <w:rPr>
          <w:rFonts w:hint="eastAsia" w:ascii="宋体" w:hAnsi="宋体" w:eastAsia="宋体" w:cs="宋体"/>
          <w:b w:val="0"/>
          <w:bCs w:val="0"/>
          <w:kern w:val="2"/>
          <w:sz w:val="24"/>
          <w:szCs w:val="22"/>
          <w:highlight w:val="none"/>
          <w:lang w:val="en-US" w:eastAsia="zh-CN" w:bidi="ar-SA"/>
        </w:rPr>
        <w:t>获取地点：供应商登陆新疆政府采购网 (ccgp-xinjiang.gov.cn)下载。</w:t>
      </w:r>
    </w:p>
    <w:p w14:paraId="724A1863">
      <w:pPr>
        <w:keepNext w:val="0"/>
        <w:keepLines w:val="0"/>
        <w:pageBreakBefore w:val="0"/>
        <w:kinsoku/>
        <w:wordWrap/>
        <w:overflowPunct/>
        <w:topLinePunct w:val="0"/>
        <w:autoSpaceDE/>
        <w:autoSpaceDN/>
        <w:bidi w:val="0"/>
        <w:adjustRightInd/>
        <w:snapToGrid/>
        <w:spacing w:beforeAutospacing="0" w:afterAutospacing="0" w:line="400" w:lineRule="exact"/>
        <w:jc w:val="both"/>
        <w:textAlignment w:val="auto"/>
        <w:rPr>
          <w:rFonts w:hint="eastAsia" w:ascii="仿宋" w:hAnsi="仿宋" w:eastAsia="仿宋" w:cs="仿宋"/>
          <w:b/>
          <w:sz w:val="28"/>
          <w:szCs w:val="24"/>
        </w:rPr>
      </w:pPr>
      <w:bookmarkStart w:id="1512" w:name="_Toc28359082"/>
      <w:bookmarkStart w:id="1513" w:name="_Toc28359005"/>
      <w:bookmarkStart w:id="1514" w:name="_Toc2532"/>
      <w:bookmarkStart w:id="1515" w:name="_Toc9047"/>
      <w:bookmarkStart w:id="1516" w:name="_Toc35393793"/>
      <w:bookmarkStart w:id="1517" w:name="_Toc952"/>
      <w:bookmarkStart w:id="1518" w:name="_Toc2422"/>
      <w:bookmarkStart w:id="1519" w:name="_Toc35393624"/>
      <w:r>
        <w:rPr>
          <w:rFonts w:hint="eastAsia" w:ascii="仿宋" w:hAnsi="仿宋" w:eastAsia="仿宋" w:cs="仿宋"/>
          <w:b/>
          <w:sz w:val="28"/>
          <w:szCs w:val="24"/>
        </w:rPr>
        <w:t>四、提交投标文件</w:t>
      </w:r>
      <w:bookmarkEnd w:id="1512"/>
      <w:bookmarkEnd w:id="1513"/>
      <w:r>
        <w:rPr>
          <w:rFonts w:hint="eastAsia" w:ascii="仿宋" w:hAnsi="仿宋" w:eastAsia="仿宋" w:cs="仿宋"/>
          <w:b/>
          <w:sz w:val="28"/>
          <w:szCs w:val="24"/>
        </w:rPr>
        <w:t>截止时间、开标时间和地点</w:t>
      </w:r>
      <w:bookmarkEnd w:id="1514"/>
      <w:bookmarkEnd w:id="1515"/>
      <w:bookmarkEnd w:id="1516"/>
      <w:bookmarkEnd w:id="1517"/>
      <w:bookmarkEnd w:id="1518"/>
      <w:bookmarkEnd w:id="1519"/>
    </w:p>
    <w:p w14:paraId="1BE023F2">
      <w:pPr>
        <w:keepNext w:val="0"/>
        <w:keepLines w:val="0"/>
        <w:pageBreakBefore w:val="0"/>
        <w:kinsoku/>
        <w:wordWrap/>
        <w:overflowPunct/>
        <w:topLinePunct w:val="0"/>
        <w:autoSpaceDE/>
        <w:autoSpaceDN/>
        <w:bidi w:val="0"/>
        <w:adjustRightInd/>
        <w:snapToGrid/>
        <w:spacing w:beforeAutospacing="0" w:afterAutospacing="0" w:line="400" w:lineRule="exact"/>
        <w:ind w:firstLine="480" w:firstLineChars="200"/>
        <w:jc w:val="both"/>
        <w:textAlignment w:val="auto"/>
        <w:rPr>
          <w:rFonts w:hint="eastAsia" w:ascii="宋体" w:hAnsi="宋体" w:eastAsia="宋体" w:cs="宋体"/>
          <w:b w:val="0"/>
          <w:bCs w:val="0"/>
          <w:kern w:val="2"/>
          <w:sz w:val="24"/>
          <w:szCs w:val="22"/>
          <w:highlight w:val="none"/>
          <w:lang w:val="en-US" w:eastAsia="zh-CN" w:bidi="ar-SA"/>
        </w:rPr>
      </w:pPr>
      <w:r>
        <w:rPr>
          <w:rFonts w:hint="eastAsia" w:ascii="宋体" w:hAnsi="宋体" w:eastAsia="宋体" w:cs="宋体"/>
          <w:b w:val="0"/>
          <w:bCs w:val="0"/>
          <w:kern w:val="2"/>
          <w:sz w:val="24"/>
          <w:szCs w:val="22"/>
          <w:highlight w:val="none"/>
          <w:lang w:val="en-US" w:eastAsia="zh-CN" w:bidi="ar-SA"/>
        </w:rPr>
        <w:t>提交投标文件截止时间：</w:t>
      </w:r>
      <w:bookmarkStart w:id="1520" w:name="_Toc35393625"/>
      <w:bookmarkStart w:id="1521" w:name="_Toc28359084"/>
      <w:bookmarkStart w:id="1522" w:name="_Toc28359007"/>
      <w:bookmarkStart w:id="1523" w:name="_Toc35393794"/>
      <w:r>
        <w:rPr>
          <w:rFonts w:hint="eastAsia" w:ascii="宋体" w:hAnsi="宋体" w:eastAsia="宋体" w:cs="宋体"/>
          <w:b w:val="0"/>
          <w:bCs w:val="0"/>
          <w:color w:val="00B0F0"/>
          <w:kern w:val="2"/>
          <w:sz w:val="24"/>
          <w:szCs w:val="22"/>
          <w:highlight w:val="none"/>
          <w:lang w:val="en-US" w:eastAsia="zh-CN" w:bidi="ar-SA"/>
        </w:rPr>
        <w:t>202</w:t>
      </w:r>
      <w:r>
        <w:rPr>
          <w:rFonts w:hint="eastAsia" w:ascii="宋体" w:hAnsi="宋体" w:cs="宋体"/>
          <w:b w:val="0"/>
          <w:bCs w:val="0"/>
          <w:color w:val="00B0F0"/>
          <w:kern w:val="2"/>
          <w:sz w:val="24"/>
          <w:szCs w:val="22"/>
          <w:highlight w:val="none"/>
          <w:lang w:val="en-US" w:eastAsia="zh-CN" w:bidi="ar-SA"/>
        </w:rPr>
        <w:t>5</w:t>
      </w:r>
      <w:r>
        <w:rPr>
          <w:rFonts w:hint="eastAsia" w:ascii="宋体" w:hAnsi="宋体" w:eastAsia="宋体" w:cs="宋体"/>
          <w:b w:val="0"/>
          <w:bCs w:val="0"/>
          <w:color w:val="00B0F0"/>
          <w:kern w:val="2"/>
          <w:sz w:val="24"/>
          <w:szCs w:val="22"/>
          <w:highlight w:val="none"/>
          <w:lang w:val="en-US" w:eastAsia="zh-CN" w:bidi="ar-SA"/>
        </w:rPr>
        <w:t>年</w:t>
      </w:r>
      <w:r>
        <w:rPr>
          <w:rFonts w:hint="eastAsia" w:ascii="宋体" w:hAnsi="宋体" w:cs="宋体"/>
          <w:b w:val="0"/>
          <w:bCs w:val="0"/>
          <w:color w:val="00B0F0"/>
          <w:kern w:val="2"/>
          <w:sz w:val="24"/>
          <w:szCs w:val="22"/>
          <w:highlight w:val="none"/>
          <w:lang w:val="en-US" w:eastAsia="zh-CN" w:bidi="ar-SA"/>
        </w:rPr>
        <w:t>5</w:t>
      </w:r>
      <w:r>
        <w:rPr>
          <w:rFonts w:hint="eastAsia" w:ascii="宋体" w:hAnsi="宋体" w:eastAsia="宋体" w:cs="宋体"/>
          <w:b w:val="0"/>
          <w:bCs w:val="0"/>
          <w:color w:val="00B0F0"/>
          <w:kern w:val="2"/>
          <w:sz w:val="24"/>
          <w:szCs w:val="22"/>
          <w:highlight w:val="none"/>
          <w:lang w:val="en-US" w:eastAsia="zh-CN" w:bidi="ar-SA"/>
        </w:rPr>
        <w:t>月</w:t>
      </w:r>
      <w:r>
        <w:rPr>
          <w:rFonts w:hint="eastAsia" w:ascii="宋体" w:hAnsi="宋体" w:cs="宋体"/>
          <w:b w:val="0"/>
          <w:bCs w:val="0"/>
          <w:color w:val="00B0F0"/>
          <w:kern w:val="2"/>
          <w:sz w:val="24"/>
          <w:szCs w:val="22"/>
          <w:highlight w:val="none"/>
          <w:lang w:val="en-US" w:eastAsia="zh-CN" w:bidi="ar-SA"/>
        </w:rPr>
        <w:t>14</w:t>
      </w:r>
      <w:r>
        <w:rPr>
          <w:rFonts w:hint="eastAsia" w:ascii="宋体" w:hAnsi="宋体" w:eastAsia="宋体" w:cs="宋体"/>
          <w:b w:val="0"/>
          <w:bCs w:val="0"/>
          <w:color w:val="00B0F0"/>
          <w:kern w:val="2"/>
          <w:sz w:val="24"/>
          <w:szCs w:val="22"/>
          <w:highlight w:val="none"/>
          <w:lang w:val="en-US" w:eastAsia="zh-CN" w:bidi="ar-SA"/>
        </w:rPr>
        <w:t>日</w:t>
      </w:r>
      <w:r>
        <w:rPr>
          <w:rFonts w:hint="eastAsia" w:ascii="宋体" w:hAnsi="宋体" w:cs="宋体"/>
          <w:b w:val="0"/>
          <w:bCs w:val="0"/>
          <w:color w:val="00B0F0"/>
          <w:kern w:val="2"/>
          <w:sz w:val="24"/>
          <w:szCs w:val="22"/>
          <w:highlight w:val="none"/>
          <w:lang w:val="en-US" w:eastAsia="zh-CN" w:bidi="ar-SA"/>
        </w:rPr>
        <w:t>11：</w:t>
      </w:r>
      <w:r>
        <w:rPr>
          <w:rFonts w:hint="eastAsia" w:ascii="宋体" w:hAnsi="宋体" w:eastAsia="宋体" w:cs="宋体"/>
          <w:b w:val="0"/>
          <w:bCs w:val="0"/>
          <w:color w:val="00B0F0"/>
          <w:kern w:val="2"/>
          <w:sz w:val="24"/>
          <w:szCs w:val="22"/>
          <w:highlight w:val="none"/>
          <w:lang w:val="en-US" w:eastAsia="zh-CN" w:bidi="ar-SA"/>
        </w:rPr>
        <w:t>00分（</w:t>
      </w:r>
      <w:r>
        <w:rPr>
          <w:rFonts w:hint="eastAsia" w:ascii="宋体" w:hAnsi="宋体" w:eastAsia="宋体" w:cs="宋体"/>
          <w:b w:val="0"/>
          <w:bCs w:val="0"/>
          <w:kern w:val="2"/>
          <w:sz w:val="24"/>
          <w:szCs w:val="22"/>
          <w:highlight w:val="none"/>
          <w:lang w:val="en-US" w:eastAsia="zh-CN" w:bidi="ar-SA"/>
        </w:rPr>
        <w:t>北京时间）</w:t>
      </w:r>
    </w:p>
    <w:p w14:paraId="4F73D83A">
      <w:pPr>
        <w:keepNext w:val="0"/>
        <w:keepLines w:val="0"/>
        <w:pageBreakBefore w:val="0"/>
        <w:kinsoku/>
        <w:wordWrap/>
        <w:overflowPunct/>
        <w:topLinePunct w:val="0"/>
        <w:autoSpaceDE/>
        <w:autoSpaceDN/>
        <w:bidi w:val="0"/>
        <w:adjustRightInd/>
        <w:snapToGrid/>
        <w:spacing w:beforeAutospacing="0" w:afterAutospacing="0" w:line="400" w:lineRule="exact"/>
        <w:ind w:firstLine="480" w:firstLineChars="200"/>
        <w:jc w:val="both"/>
        <w:textAlignment w:val="auto"/>
        <w:rPr>
          <w:rFonts w:hint="eastAsia" w:ascii="宋体" w:hAnsi="宋体" w:eastAsia="宋体" w:cs="宋体"/>
          <w:b w:val="0"/>
          <w:bCs w:val="0"/>
          <w:kern w:val="2"/>
          <w:sz w:val="24"/>
          <w:szCs w:val="22"/>
          <w:highlight w:val="none"/>
          <w:lang w:val="en-US" w:eastAsia="zh-CN" w:bidi="ar-SA"/>
        </w:rPr>
      </w:pPr>
      <w:r>
        <w:rPr>
          <w:rFonts w:hint="eastAsia" w:ascii="宋体" w:hAnsi="宋体" w:eastAsia="宋体" w:cs="宋体"/>
          <w:b w:val="0"/>
          <w:bCs w:val="0"/>
          <w:kern w:val="2"/>
          <w:sz w:val="24"/>
          <w:szCs w:val="22"/>
          <w:highlight w:val="none"/>
          <w:lang w:val="en-US" w:eastAsia="zh-CN" w:bidi="ar-SA"/>
        </w:rPr>
        <w:t>投标地点：政采云平台（https://login.zcygov.cn/user-login/#/login）</w:t>
      </w:r>
    </w:p>
    <w:p w14:paraId="29E1B034">
      <w:pPr>
        <w:keepNext w:val="0"/>
        <w:keepLines w:val="0"/>
        <w:pageBreakBefore w:val="0"/>
        <w:kinsoku/>
        <w:wordWrap/>
        <w:overflowPunct/>
        <w:topLinePunct w:val="0"/>
        <w:autoSpaceDE/>
        <w:autoSpaceDN/>
        <w:bidi w:val="0"/>
        <w:adjustRightInd/>
        <w:snapToGrid/>
        <w:spacing w:beforeAutospacing="0" w:afterAutospacing="0" w:line="400" w:lineRule="exact"/>
        <w:ind w:firstLine="480" w:firstLineChars="200"/>
        <w:jc w:val="both"/>
        <w:textAlignment w:val="auto"/>
        <w:rPr>
          <w:rFonts w:hint="eastAsia" w:ascii="宋体" w:hAnsi="宋体" w:eastAsia="宋体" w:cs="宋体"/>
          <w:b w:val="0"/>
          <w:bCs w:val="0"/>
          <w:kern w:val="2"/>
          <w:sz w:val="24"/>
          <w:szCs w:val="22"/>
          <w:highlight w:val="none"/>
          <w:lang w:val="en-US" w:eastAsia="zh-CN" w:bidi="ar-SA"/>
        </w:rPr>
      </w:pPr>
      <w:r>
        <w:rPr>
          <w:rFonts w:hint="eastAsia" w:ascii="宋体" w:hAnsi="宋体" w:eastAsia="宋体" w:cs="宋体"/>
          <w:b w:val="0"/>
          <w:bCs w:val="0"/>
          <w:kern w:val="2"/>
          <w:sz w:val="24"/>
          <w:szCs w:val="22"/>
          <w:highlight w:val="none"/>
          <w:lang w:val="en-US" w:eastAsia="zh-CN" w:bidi="ar-SA"/>
        </w:rPr>
        <w:t>开标时间：</w:t>
      </w:r>
      <w:r>
        <w:rPr>
          <w:rFonts w:hint="eastAsia" w:ascii="宋体" w:hAnsi="宋体" w:eastAsia="宋体" w:cs="宋体"/>
          <w:b w:val="0"/>
          <w:bCs w:val="0"/>
          <w:color w:val="00B0F0"/>
          <w:kern w:val="2"/>
          <w:sz w:val="24"/>
          <w:szCs w:val="22"/>
          <w:highlight w:val="none"/>
          <w:lang w:val="en-US" w:eastAsia="zh-CN" w:bidi="ar-SA"/>
        </w:rPr>
        <w:t>202</w:t>
      </w:r>
      <w:r>
        <w:rPr>
          <w:rFonts w:hint="eastAsia" w:ascii="宋体" w:hAnsi="宋体" w:cs="宋体"/>
          <w:b w:val="0"/>
          <w:bCs w:val="0"/>
          <w:color w:val="00B0F0"/>
          <w:kern w:val="2"/>
          <w:sz w:val="24"/>
          <w:szCs w:val="22"/>
          <w:highlight w:val="none"/>
          <w:lang w:val="en-US" w:eastAsia="zh-CN" w:bidi="ar-SA"/>
        </w:rPr>
        <w:t>5</w:t>
      </w:r>
      <w:r>
        <w:rPr>
          <w:rFonts w:hint="eastAsia" w:ascii="宋体" w:hAnsi="宋体" w:eastAsia="宋体" w:cs="宋体"/>
          <w:b w:val="0"/>
          <w:bCs w:val="0"/>
          <w:color w:val="00B0F0"/>
          <w:kern w:val="2"/>
          <w:sz w:val="24"/>
          <w:szCs w:val="22"/>
          <w:highlight w:val="none"/>
          <w:lang w:val="en-US" w:eastAsia="zh-CN" w:bidi="ar-SA"/>
        </w:rPr>
        <w:t>年</w:t>
      </w:r>
      <w:r>
        <w:rPr>
          <w:rFonts w:hint="eastAsia" w:ascii="宋体" w:hAnsi="宋体" w:cs="宋体"/>
          <w:b w:val="0"/>
          <w:bCs w:val="0"/>
          <w:color w:val="00B0F0"/>
          <w:kern w:val="2"/>
          <w:sz w:val="24"/>
          <w:szCs w:val="22"/>
          <w:highlight w:val="none"/>
          <w:lang w:val="en-US" w:eastAsia="zh-CN" w:bidi="ar-SA"/>
        </w:rPr>
        <w:t>5</w:t>
      </w:r>
      <w:r>
        <w:rPr>
          <w:rFonts w:hint="eastAsia" w:ascii="宋体" w:hAnsi="宋体" w:eastAsia="宋体" w:cs="宋体"/>
          <w:b w:val="0"/>
          <w:bCs w:val="0"/>
          <w:color w:val="00B0F0"/>
          <w:kern w:val="2"/>
          <w:sz w:val="24"/>
          <w:szCs w:val="22"/>
          <w:highlight w:val="none"/>
          <w:lang w:val="en-US" w:eastAsia="zh-CN" w:bidi="ar-SA"/>
        </w:rPr>
        <w:t>月</w:t>
      </w:r>
      <w:r>
        <w:rPr>
          <w:rFonts w:hint="eastAsia" w:ascii="宋体" w:hAnsi="宋体" w:cs="宋体"/>
          <w:b w:val="0"/>
          <w:bCs w:val="0"/>
          <w:color w:val="00B0F0"/>
          <w:kern w:val="2"/>
          <w:sz w:val="24"/>
          <w:szCs w:val="22"/>
          <w:highlight w:val="none"/>
          <w:lang w:val="en-US" w:eastAsia="zh-CN" w:bidi="ar-SA"/>
        </w:rPr>
        <w:t>14</w:t>
      </w:r>
      <w:r>
        <w:rPr>
          <w:rFonts w:hint="eastAsia" w:ascii="宋体" w:hAnsi="宋体" w:eastAsia="宋体" w:cs="宋体"/>
          <w:b w:val="0"/>
          <w:bCs w:val="0"/>
          <w:color w:val="00B0F0"/>
          <w:kern w:val="2"/>
          <w:sz w:val="24"/>
          <w:szCs w:val="22"/>
          <w:highlight w:val="none"/>
          <w:lang w:val="en-US" w:eastAsia="zh-CN" w:bidi="ar-SA"/>
        </w:rPr>
        <w:t>日</w:t>
      </w:r>
      <w:r>
        <w:rPr>
          <w:rFonts w:hint="eastAsia" w:ascii="宋体" w:hAnsi="宋体" w:cs="宋体"/>
          <w:b w:val="0"/>
          <w:bCs w:val="0"/>
          <w:color w:val="00B0F0"/>
          <w:kern w:val="2"/>
          <w:sz w:val="24"/>
          <w:szCs w:val="22"/>
          <w:highlight w:val="none"/>
          <w:lang w:val="en-US" w:eastAsia="zh-CN" w:bidi="ar-SA"/>
        </w:rPr>
        <w:t>11：</w:t>
      </w:r>
      <w:r>
        <w:rPr>
          <w:rFonts w:hint="eastAsia" w:ascii="宋体" w:hAnsi="宋体" w:eastAsia="宋体" w:cs="宋体"/>
          <w:b w:val="0"/>
          <w:bCs w:val="0"/>
          <w:color w:val="00B0F0"/>
          <w:kern w:val="2"/>
          <w:sz w:val="24"/>
          <w:szCs w:val="22"/>
          <w:highlight w:val="none"/>
          <w:lang w:val="en-US" w:eastAsia="zh-CN" w:bidi="ar-SA"/>
        </w:rPr>
        <w:t>00分</w:t>
      </w:r>
      <w:r>
        <w:rPr>
          <w:rFonts w:hint="eastAsia" w:ascii="宋体" w:hAnsi="宋体" w:eastAsia="宋体" w:cs="宋体"/>
          <w:b w:val="0"/>
          <w:bCs w:val="0"/>
          <w:kern w:val="2"/>
          <w:sz w:val="24"/>
          <w:szCs w:val="22"/>
          <w:highlight w:val="none"/>
          <w:lang w:val="en-US" w:eastAsia="zh-CN" w:bidi="ar-SA"/>
        </w:rPr>
        <w:t>（北京时间）</w:t>
      </w:r>
    </w:p>
    <w:p w14:paraId="66101688">
      <w:pPr>
        <w:keepNext w:val="0"/>
        <w:keepLines w:val="0"/>
        <w:pageBreakBefore w:val="0"/>
        <w:kinsoku/>
        <w:wordWrap/>
        <w:overflowPunct/>
        <w:topLinePunct w:val="0"/>
        <w:autoSpaceDE/>
        <w:autoSpaceDN/>
        <w:bidi w:val="0"/>
        <w:adjustRightInd/>
        <w:snapToGrid/>
        <w:spacing w:beforeAutospacing="0" w:afterAutospacing="0" w:line="400" w:lineRule="exact"/>
        <w:ind w:firstLine="480" w:firstLineChars="200"/>
        <w:jc w:val="both"/>
        <w:textAlignment w:val="auto"/>
        <w:rPr>
          <w:rFonts w:hint="eastAsia" w:ascii="宋体" w:hAnsi="宋体" w:eastAsia="宋体" w:cs="宋体"/>
          <w:b w:val="0"/>
          <w:bCs w:val="0"/>
          <w:kern w:val="2"/>
          <w:sz w:val="24"/>
          <w:szCs w:val="22"/>
          <w:highlight w:val="none"/>
          <w:lang w:val="en-US" w:eastAsia="zh-CN" w:bidi="ar-SA"/>
        </w:rPr>
      </w:pPr>
      <w:r>
        <w:rPr>
          <w:rFonts w:hint="eastAsia" w:ascii="宋体" w:hAnsi="宋体" w:eastAsia="宋体" w:cs="宋体"/>
          <w:b w:val="0"/>
          <w:bCs w:val="0"/>
          <w:kern w:val="2"/>
          <w:sz w:val="24"/>
          <w:szCs w:val="22"/>
          <w:highlight w:val="none"/>
          <w:lang w:val="en-US" w:eastAsia="zh-CN" w:bidi="ar-SA"/>
        </w:rPr>
        <w:t>开标地点：</w:t>
      </w:r>
      <w:bookmarkStart w:id="1524" w:name="_Toc20863"/>
      <w:bookmarkStart w:id="1525" w:name="_Toc23672"/>
      <w:bookmarkStart w:id="1526" w:name="_Toc30400"/>
      <w:r>
        <w:rPr>
          <w:rFonts w:hint="eastAsia" w:ascii="宋体" w:hAnsi="宋体" w:eastAsia="宋体" w:cs="宋体"/>
          <w:b w:val="0"/>
          <w:bCs w:val="0"/>
          <w:kern w:val="2"/>
          <w:sz w:val="24"/>
          <w:szCs w:val="22"/>
          <w:highlight w:val="none"/>
          <w:lang w:val="en-US" w:eastAsia="zh-CN" w:bidi="ar-SA"/>
        </w:rPr>
        <w:t>政采云平台（https://login.zcygov.cn/user-login/#/login）</w:t>
      </w:r>
    </w:p>
    <w:p w14:paraId="5392D58D">
      <w:pPr>
        <w:keepNext w:val="0"/>
        <w:keepLines w:val="0"/>
        <w:pageBreakBefore w:val="0"/>
        <w:kinsoku/>
        <w:wordWrap/>
        <w:overflowPunct/>
        <w:topLinePunct w:val="0"/>
        <w:autoSpaceDE/>
        <w:autoSpaceDN/>
        <w:bidi w:val="0"/>
        <w:adjustRightInd/>
        <w:snapToGrid/>
        <w:spacing w:beforeAutospacing="0" w:afterAutospacing="0" w:line="400" w:lineRule="exact"/>
        <w:jc w:val="both"/>
        <w:textAlignment w:val="auto"/>
        <w:rPr>
          <w:rFonts w:hint="eastAsia" w:ascii="仿宋" w:hAnsi="仿宋" w:eastAsia="仿宋" w:cs="仿宋"/>
          <w:b/>
          <w:sz w:val="28"/>
          <w:szCs w:val="24"/>
        </w:rPr>
      </w:pPr>
      <w:r>
        <w:rPr>
          <w:rFonts w:hint="eastAsia" w:ascii="仿宋" w:hAnsi="仿宋" w:eastAsia="仿宋" w:cs="仿宋"/>
          <w:b/>
          <w:sz w:val="28"/>
          <w:szCs w:val="24"/>
        </w:rPr>
        <w:t>五、公告期限</w:t>
      </w:r>
      <w:bookmarkEnd w:id="1520"/>
      <w:bookmarkEnd w:id="1521"/>
      <w:bookmarkEnd w:id="1522"/>
      <w:bookmarkEnd w:id="1523"/>
      <w:bookmarkEnd w:id="1524"/>
      <w:bookmarkEnd w:id="1525"/>
      <w:bookmarkEnd w:id="1526"/>
    </w:p>
    <w:p w14:paraId="7D9C3F2A">
      <w:pPr>
        <w:keepNext w:val="0"/>
        <w:keepLines w:val="0"/>
        <w:pageBreakBefore w:val="0"/>
        <w:kinsoku/>
        <w:wordWrap/>
        <w:overflowPunct/>
        <w:topLinePunct w:val="0"/>
        <w:autoSpaceDE/>
        <w:autoSpaceDN/>
        <w:bidi w:val="0"/>
        <w:adjustRightInd/>
        <w:snapToGrid/>
        <w:spacing w:beforeAutospacing="0" w:afterAutospacing="0" w:line="400" w:lineRule="exact"/>
        <w:ind w:firstLine="480" w:firstLineChars="200"/>
        <w:jc w:val="both"/>
        <w:textAlignment w:val="auto"/>
        <w:rPr>
          <w:rFonts w:hint="eastAsia" w:ascii="宋体" w:hAnsi="宋体" w:eastAsia="宋体" w:cs="宋体"/>
          <w:b w:val="0"/>
          <w:bCs w:val="0"/>
          <w:kern w:val="2"/>
          <w:sz w:val="24"/>
          <w:szCs w:val="22"/>
          <w:highlight w:val="none"/>
          <w:lang w:val="en-US" w:eastAsia="zh-CN" w:bidi="ar-SA"/>
        </w:rPr>
      </w:pPr>
      <w:r>
        <w:rPr>
          <w:rFonts w:hint="eastAsia" w:ascii="宋体" w:hAnsi="宋体" w:eastAsia="宋体" w:cs="宋体"/>
          <w:b w:val="0"/>
          <w:bCs w:val="0"/>
          <w:kern w:val="2"/>
          <w:sz w:val="24"/>
          <w:szCs w:val="22"/>
          <w:highlight w:val="none"/>
          <w:lang w:val="en-US" w:eastAsia="zh-CN" w:bidi="ar-SA"/>
        </w:rPr>
        <w:t>自本公告发布之日起5个工作日。</w:t>
      </w:r>
    </w:p>
    <w:p w14:paraId="590744C8">
      <w:pPr>
        <w:keepNext w:val="0"/>
        <w:keepLines w:val="0"/>
        <w:pageBreakBefore w:val="0"/>
        <w:kinsoku/>
        <w:wordWrap/>
        <w:overflowPunct/>
        <w:topLinePunct w:val="0"/>
        <w:autoSpaceDE/>
        <w:autoSpaceDN/>
        <w:bidi w:val="0"/>
        <w:adjustRightInd/>
        <w:snapToGrid/>
        <w:spacing w:beforeAutospacing="0" w:afterAutospacing="0" w:line="400" w:lineRule="exact"/>
        <w:jc w:val="both"/>
        <w:textAlignment w:val="auto"/>
        <w:rPr>
          <w:rFonts w:hint="eastAsia" w:ascii="仿宋" w:hAnsi="仿宋" w:eastAsia="仿宋" w:cs="仿宋"/>
          <w:b/>
          <w:sz w:val="28"/>
          <w:szCs w:val="24"/>
        </w:rPr>
      </w:pPr>
      <w:r>
        <w:rPr>
          <w:rFonts w:hint="eastAsia" w:ascii="仿宋" w:hAnsi="仿宋" w:eastAsia="仿宋" w:cs="仿宋"/>
          <w:b/>
          <w:sz w:val="28"/>
          <w:szCs w:val="24"/>
        </w:rPr>
        <w:t>六、其它补充事宜</w:t>
      </w:r>
    </w:p>
    <w:p w14:paraId="7865A629">
      <w:pPr>
        <w:keepNext w:val="0"/>
        <w:keepLines w:val="0"/>
        <w:pageBreakBefore w:val="0"/>
        <w:kinsoku/>
        <w:wordWrap/>
        <w:overflowPunct/>
        <w:topLinePunct w:val="0"/>
        <w:autoSpaceDE/>
        <w:autoSpaceDN/>
        <w:bidi w:val="0"/>
        <w:adjustRightInd/>
        <w:snapToGrid/>
        <w:spacing w:beforeAutospacing="0" w:afterAutospacing="0" w:line="400" w:lineRule="exact"/>
        <w:ind w:firstLine="480" w:firstLineChars="200"/>
        <w:jc w:val="both"/>
        <w:textAlignment w:val="auto"/>
        <w:rPr>
          <w:rFonts w:hint="eastAsia" w:ascii="宋体" w:hAnsi="宋体" w:eastAsia="宋体" w:cs="宋体"/>
          <w:b w:val="0"/>
          <w:bCs w:val="0"/>
          <w:kern w:val="2"/>
          <w:sz w:val="24"/>
          <w:szCs w:val="22"/>
          <w:highlight w:val="none"/>
          <w:lang w:val="en-US" w:eastAsia="zh-CN" w:bidi="ar-SA"/>
        </w:rPr>
      </w:pPr>
      <w:bookmarkStart w:id="1527" w:name="_Toc35393634"/>
      <w:bookmarkStart w:id="1528" w:name="_Toc35393803"/>
      <w:bookmarkStart w:id="1529" w:name="_Toc28359094"/>
      <w:bookmarkStart w:id="1530" w:name="_Toc28359017"/>
      <w:r>
        <w:rPr>
          <w:rFonts w:hint="eastAsia" w:ascii="宋体" w:hAnsi="宋体" w:eastAsia="宋体" w:cs="宋体"/>
          <w:b w:val="0"/>
          <w:bCs w:val="0"/>
          <w:kern w:val="2"/>
          <w:sz w:val="24"/>
          <w:szCs w:val="22"/>
          <w:highlight w:val="none"/>
          <w:lang w:val="en-US" w:eastAsia="zh-CN" w:bidi="ar-SA"/>
        </w:rPr>
        <w:t>1.本项目为电子招投标，供应商需要使用CA加密设备，凡参加本项目必须可自主通过新疆CA申领渠道“新疆政务通”申请政采云平台可使用的CA设备，如原有兵团或公共资源使用的CA，可与新疆CA联系，申请增加电子证书即可，无需重复申领。如需咨询，请联系新疆CA服务热线0991-2819290（喀什办理地点喀什东城喀什市行政审批局一楼企业服务专区数字证书窗口，联系电话15001465669）</w:t>
      </w:r>
    </w:p>
    <w:p w14:paraId="1CED25D0">
      <w:pPr>
        <w:keepNext w:val="0"/>
        <w:keepLines w:val="0"/>
        <w:pageBreakBefore w:val="0"/>
        <w:kinsoku/>
        <w:wordWrap/>
        <w:overflowPunct/>
        <w:topLinePunct w:val="0"/>
        <w:autoSpaceDE/>
        <w:autoSpaceDN/>
        <w:bidi w:val="0"/>
        <w:adjustRightInd/>
        <w:snapToGrid/>
        <w:spacing w:beforeAutospacing="0" w:afterAutospacing="0" w:line="400" w:lineRule="exact"/>
        <w:ind w:firstLine="480" w:firstLineChars="200"/>
        <w:jc w:val="both"/>
        <w:textAlignment w:val="auto"/>
        <w:rPr>
          <w:rFonts w:hint="eastAsia" w:ascii="宋体" w:hAnsi="宋体" w:eastAsia="宋体" w:cs="宋体"/>
          <w:b w:val="0"/>
          <w:bCs w:val="0"/>
          <w:kern w:val="2"/>
          <w:sz w:val="24"/>
          <w:szCs w:val="22"/>
          <w:highlight w:val="none"/>
          <w:lang w:val="en-US" w:eastAsia="zh-CN" w:bidi="ar-SA"/>
        </w:rPr>
      </w:pPr>
      <w:r>
        <w:rPr>
          <w:rFonts w:hint="eastAsia" w:ascii="宋体" w:hAnsi="宋体" w:eastAsia="宋体" w:cs="宋体"/>
          <w:b w:val="0"/>
          <w:bCs w:val="0"/>
          <w:kern w:val="2"/>
          <w:sz w:val="24"/>
          <w:szCs w:val="22"/>
          <w:highlight w:val="none"/>
          <w:lang w:val="en-US" w:eastAsia="zh-CN" w:bidi="ar-SA"/>
        </w:rPr>
        <w:t>2.本项目实行网上投标，采用电子投标文件(供应商须使用CA加密设备通过政采云电子投标客户端制作投标文件)。若供应商参与投标，自行承担投标一切费用。</w:t>
      </w:r>
    </w:p>
    <w:p w14:paraId="619CD557">
      <w:pPr>
        <w:keepNext w:val="0"/>
        <w:keepLines w:val="0"/>
        <w:pageBreakBefore w:val="0"/>
        <w:kinsoku/>
        <w:wordWrap/>
        <w:overflowPunct/>
        <w:topLinePunct w:val="0"/>
        <w:autoSpaceDE/>
        <w:autoSpaceDN/>
        <w:bidi w:val="0"/>
        <w:adjustRightInd/>
        <w:snapToGrid/>
        <w:spacing w:beforeAutospacing="0" w:afterAutospacing="0" w:line="400" w:lineRule="exact"/>
        <w:ind w:firstLine="480" w:firstLineChars="200"/>
        <w:jc w:val="both"/>
        <w:textAlignment w:val="auto"/>
        <w:rPr>
          <w:rFonts w:hint="eastAsia" w:ascii="宋体" w:hAnsi="宋体" w:eastAsia="宋体" w:cs="宋体"/>
          <w:b w:val="0"/>
          <w:bCs w:val="0"/>
          <w:kern w:val="2"/>
          <w:sz w:val="24"/>
          <w:szCs w:val="22"/>
          <w:highlight w:val="none"/>
          <w:lang w:val="en-US" w:eastAsia="zh-CN" w:bidi="ar-SA"/>
        </w:rPr>
      </w:pPr>
      <w:r>
        <w:rPr>
          <w:rFonts w:hint="eastAsia" w:ascii="宋体" w:hAnsi="宋体" w:eastAsia="宋体" w:cs="宋体"/>
          <w:b w:val="0"/>
          <w:bCs w:val="0"/>
          <w:kern w:val="2"/>
          <w:sz w:val="24"/>
          <w:szCs w:val="22"/>
          <w:highlight w:val="none"/>
          <w:lang w:val="en-US" w:eastAsia="zh-CN" w:bidi="ar-SA"/>
        </w:rPr>
        <w:t>3.各供应商应在开标前应确保成为新疆政府采购网正式注册入库供应商，并完成CA数字证书申领。因未注册入库、未办理CA数字证书等原因造成无法投标或投标失败等后果由供应商自行承担。</w:t>
      </w:r>
    </w:p>
    <w:p w14:paraId="7066B407">
      <w:pPr>
        <w:keepNext w:val="0"/>
        <w:keepLines w:val="0"/>
        <w:pageBreakBefore w:val="0"/>
        <w:kinsoku/>
        <w:wordWrap/>
        <w:overflowPunct/>
        <w:topLinePunct w:val="0"/>
        <w:autoSpaceDE/>
        <w:autoSpaceDN/>
        <w:bidi w:val="0"/>
        <w:adjustRightInd/>
        <w:snapToGrid/>
        <w:spacing w:beforeAutospacing="0" w:afterAutospacing="0" w:line="400" w:lineRule="exact"/>
        <w:ind w:firstLine="480" w:firstLineChars="200"/>
        <w:jc w:val="both"/>
        <w:textAlignment w:val="auto"/>
        <w:rPr>
          <w:rFonts w:hint="eastAsia" w:ascii="宋体" w:hAnsi="宋体" w:eastAsia="宋体" w:cs="宋体"/>
          <w:b w:val="0"/>
          <w:bCs w:val="0"/>
          <w:kern w:val="2"/>
          <w:sz w:val="24"/>
          <w:szCs w:val="22"/>
          <w:highlight w:val="none"/>
          <w:lang w:val="en-US" w:eastAsia="zh-CN" w:bidi="ar-SA"/>
        </w:rPr>
      </w:pPr>
      <w:r>
        <w:rPr>
          <w:rFonts w:hint="eastAsia" w:ascii="宋体" w:hAnsi="宋体" w:eastAsia="宋体" w:cs="宋体"/>
          <w:b w:val="0"/>
          <w:bCs w:val="0"/>
          <w:kern w:val="2"/>
          <w:sz w:val="24"/>
          <w:szCs w:val="22"/>
          <w:highlight w:val="none"/>
          <w:lang w:val="en-US" w:eastAsia="zh-CN" w:bidi="ar-SA"/>
        </w:rPr>
        <w:t>4.供应商将政采云电子交易客户端下载、安装完成后，可通过账号密码或CA登录客户端进行投标文件制作。在使用政采云投标客户端时，建议使用WIN7及以上操作系统。客户端请至新疆政府采购网（http://www.ccgp-xinjiang.gov.cn/）下载专区查看，如有问题可拨打政采云客户服务热线95763进行咨询。</w:t>
      </w:r>
    </w:p>
    <w:p w14:paraId="1BB43B87">
      <w:pPr>
        <w:keepNext w:val="0"/>
        <w:keepLines w:val="0"/>
        <w:pageBreakBefore w:val="0"/>
        <w:kinsoku/>
        <w:wordWrap/>
        <w:overflowPunct/>
        <w:topLinePunct w:val="0"/>
        <w:autoSpaceDE/>
        <w:autoSpaceDN/>
        <w:bidi w:val="0"/>
        <w:adjustRightInd/>
        <w:snapToGrid/>
        <w:spacing w:beforeAutospacing="0" w:afterAutospacing="0" w:line="400" w:lineRule="exact"/>
        <w:ind w:firstLine="480" w:firstLineChars="200"/>
        <w:jc w:val="both"/>
        <w:textAlignment w:val="auto"/>
        <w:rPr>
          <w:rFonts w:hint="eastAsia" w:ascii="宋体" w:hAnsi="宋体" w:eastAsia="宋体" w:cs="宋体"/>
          <w:b w:val="0"/>
          <w:bCs w:val="0"/>
          <w:kern w:val="2"/>
          <w:sz w:val="24"/>
          <w:szCs w:val="22"/>
          <w:highlight w:val="none"/>
          <w:lang w:val="en-US" w:eastAsia="zh-CN" w:bidi="ar-SA"/>
        </w:rPr>
      </w:pPr>
      <w:r>
        <w:rPr>
          <w:rFonts w:hint="eastAsia" w:ascii="宋体" w:hAnsi="宋体" w:eastAsia="宋体" w:cs="宋体"/>
          <w:b w:val="0"/>
          <w:bCs w:val="0"/>
          <w:kern w:val="2"/>
          <w:sz w:val="24"/>
          <w:szCs w:val="22"/>
          <w:highlight w:val="none"/>
          <w:lang w:val="en-US" w:eastAsia="zh-CN" w:bidi="ar-SA"/>
        </w:rPr>
        <w:t>5.供应商在开标时须使用制作加密电子投标文件所使用的CA锁及电脑，电脑须提前配置好浏览器（建议使用360浏览器或谷歌浏览器），以便开标时解锁。</w:t>
      </w:r>
    </w:p>
    <w:p w14:paraId="73CA8949">
      <w:pPr>
        <w:keepNext w:val="0"/>
        <w:keepLines w:val="0"/>
        <w:pageBreakBefore w:val="0"/>
        <w:kinsoku/>
        <w:wordWrap/>
        <w:overflowPunct/>
        <w:topLinePunct w:val="0"/>
        <w:autoSpaceDE/>
        <w:autoSpaceDN/>
        <w:bidi w:val="0"/>
        <w:adjustRightInd/>
        <w:snapToGrid/>
        <w:spacing w:beforeAutospacing="0" w:afterAutospacing="0" w:line="400" w:lineRule="exact"/>
        <w:ind w:firstLine="480" w:firstLineChars="200"/>
        <w:jc w:val="both"/>
        <w:textAlignment w:val="auto"/>
        <w:rPr>
          <w:rFonts w:hint="eastAsia" w:ascii="宋体" w:hAnsi="宋体" w:eastAsia="宋体" w:cs="宋体"/>
          <w:b w:val="0"/>
          <w:bCs w:val="0"/>
          <w:kern w:val="2"/>
          <w:sz w:val="24"/>
          <w:szCs w:val="22"/>
          <w:highlight w:val="none"/>
          <w:lang w:val="en-US" w:eastAsia="zh-CN" w:bidi="ar-SA"/>
        </w:rPr>
      </w:pPr>
      <w:r>
        <w:rPr>
          <w:rFonts w:hint="eastAsia" w:ascii="宋体" w:hAnsi="宋体" w:eastAsia="宋体" w:cs="宋体"/>
          <w:b w:val="0"/>
          <w:bCs w:val="0"/>
          <w:kern w:val="2"/>
          <w:sz w:val="24"/>
          <w:szCs w:val="22"/>
          <w:highlight w:val="none"/>
          <w:lang w:val="en-US" w:eastAsia="zh-CN" w:bidi="ar-SA"/>
        </w:rPr>
        <w:t>6.供应商对不见面开评标系统的技术操作咨询，可通过https://edu.zcygov.cn/luban/xinjiang-e-biding自助查询，也可在政采云帮助中心常见问题解答和操作流程讲解视频中自助查询，网址为：https://service.zcygov.cn/#/help，“项目采购”—“操作流程-电子招投标”—“政府采购项目电子交易管理操作指南-供应商”版面获取操作指南，同时对自助查询无法解决的问题可通过钉钉群及政采云在线客服获取服务支持。供应商钉钉群号：政采云新疆网超供应商服务二十群：35547618（如已加入1-19群，无需重复加入），钉钉工具软件具有回放功能，直播培训结束后可在钉钉群中回放观看学习。</w:t>
      </w:r>
      <w:bookmarkEnd w:id="1527"/>
      <w:bookmarkEnd w:id="1528"/>
      <w:bookmarkEnd w:id="1529"/>
      <w:bookmarkEnd w:id="1530"/>
    </w:p>
    <w:p w14:paraId="5F05A3BC">
      <w:pPr>
        <w:keepNext w:val="0"/>
        <w:keepLines w:val="0"/>
        <w:pageBreakBefore w:val="0"/>
        <w:kinsoku/>
        <w:wordWrap/>
        <w:overflowPunct/>
        <w:topLinePunct w:val="0"/>
        <w:autoSpaceDE/>
        <w:autoSpaceDN/>
        <w:bidi w:val="0"/>
        <w:adjustRightInd/>
        <w:snapToGrid/>
        <w:spacing w:beforeAutospacing="0" w:afterAutospacing="0" w:line="400" w:lineRule="exact"/>
        <w:ind w:firstLine="480" w:firstLineChars="200"/>
        <w:jc w:val="both"/>
        <w:textAlignment w:val="auto"/>
        <w:rPr>
          <w:rFonts w:hint="eastAsia" w:ascii="宋体" w:hAnsi="宋体" w:eastAsia="宋体" w:cs="宋体"/>
          <w:b w:val="0"/>
          <w:bCs w:val="0"/>
          <w:kern w:val="2"/>
          <w:sz w:val="24"/>
          <w:szCs w:val="22"/>
          <w:highlight w:val="none"/>
          <w:lang w:val="en-US" w:eastAsia="zh-CN" w:bidi="ar-SA"/>
        </w:rPr>
      </w:pPr>
      <w:r>
        <w:rPr>
          <w:rFonts w:hint="eastAsia" w:ascii="宋体" w:hAnsi="宋体" w:eastAsia="宋体" w:cs="宋体"/>
          <w:b w:val="0"/>
          <w:bCs w:val="0"/>
          <w:kern w:val="2"/>
          <w:sz w:val="24"/>
          <w:szCs w:val="22"/>
          <w:highlight w:val="none"/>
          <w:lang w:val="en-US" w:eastAsia="zh-CN" w:bidi="ar-SA"/>
        </w:rPr>
        <w:t>7</w:t>
      </w:r>
      <w:r>
        <w:rPr>
          <w:rFonts w:hint="eastAsia" w:ascii="仿宋" w:hAnsi="仿宋" w:eastAsia="仿宋" w:cs="仿宋"/>
          <w:i w:val="0"/>
          <w:iCs w:val="0"/>
          <w:caps w:val="0"/>
          <w:color w:val="000000"/>
          <w:spacing w:val="0"/>
          <w:sz w:val="27"/>
          <w:szCs w:val="27"/>
          <w:lang w:val="en-US" w:eastAsia="zh-CN"/>
        </w:rPr>
        <w:t>.</w:t>
      </w:r>
      <w:r>
        <w:rPr>
          <w:rFonts w:hint="eastAsia" w:ascii="宋体" w:hAnsi="宋体" w:eastAsia="宋体" w:cs="宋体"/>
          <w:b w:val="0"/>
          <w:bCs w:val="0"/>
          <w:kern w:val="2"/>
          <w:sz w:val="24"/>
          <w:szCs w:val="22"/>
          <w:highlight w:val="none"/>
          <w:lang w:val="en-US" w:eastAsia="zh-CN" w:bidi="ar-SA"/>
        </w:rPr>
        <w:t>本项目响应文件解密时间为30分钟，如因</w:t>
      </w:r>
      <w:r>
        <w:rPr>
          <w:rFonts w:hint="eastAsia" w:ascii="宋体" w:hAnsi="宋体" w:cs="宋体"/>
          <w:b w:val="0"/>
          <w:bCs w:val="0"/>
          <w:kern w:val="2"/>
          <w:sz w:val="24"/>
          <w:szCs w:val="22"/>
          <w:highlight w:val="none"/>
          <w:lang w:val="en-US" w:eastAsia="zh-CN" w:bidi="ar-SA"/>
        </w:rPr>
        <w:t>供应商</w:t>
      </w:r>
      <w:r>
        <w:rPr>
          <w:rFonts w:hint="eastAsia" w:ascii="宋体" w:hAnsi="宋体" w:eastAsia="宋体" w:cs="宋体"/>
          <w:b w:val="0"/>
          <w:bCs w:val="0"/>
          <w:kern w:val="2"/>
          <w:sz w:val="24"/>
          <w:szCs w:val="22"/>
          <w:highlight w:val="none"/>
          <w:lang w:val="en-US" w:eastAsia="zh-CN" w:bidi="ar-SA"/>
        </w:rPr>
        <w:t>自身原因导致无法正常解密，后果由供应商自行承担。</w:t>
      </w:r>
    </w:p>
    <w:p w14:paraId="501DE71A">
      <w:pPr>
        <w:keepNext w:val="0"/>
        <w:keepLines w:val="0"/>
        <w:pageBreakBefore w:val="0"/>
        <w:widowControl/>
        <w:kinsoku/>
        <w:wordWrap/>
        <w:overflowPunct/>
        <w:topLinePunct w:val="0"/>
        <w:autoSpaceDE/>
        <w:autoSpaceDN/>
        <w:bidi w:val="0"/>
        <w:adjustRightInd/>
        <w:snapToGrid/>
        <w:spacing w:beforeAutospacing="0" w:afterAutospacing="0" w:line="400" w:lineRule="exact"/>
        <w:jc w:val="both"/>
        <w:textAlignment w:val="auto"/>
        <w:rPr>
          <w:rFonts w:eastAsia="仿宋"/>
          <w:color w:val="000000"/>
        </w:rPr>
      </w:pPr>
      <w:bookmarkStart w:id="1531" w:name="_Hlk21311295"/>
      <w:r>
        <w:rPr>
          <w:rFonts w:hint="eastAsia" w:ascii="仿宋" w:hAnsi="仿宋" w:eastAsia="仿宋" w:cs="仿宋"/>
          <w:b/>
          <w:sz w:val="28"/>
          <w:szCs w:val="24"/>
        </w:rPr>
        <w:t>七、</w:t>
      </w:r>
      <w:bookmarkStart w:id="1532" w:name="_Toc35393636"/>
      <w:bookmarkStart w:id="1533" w:name="_Toc28359018"/>
      <w:bookmarkStart w:id="1534" w:name="_Toc28359095"/>
      <w:bookmarkStart w:id="1535" w:name="_Toc35393805"/>
      <w:r>
        <w:rPr>
          <w:rFonts w:hint="eastAsia" w:ascii="仿宋" w:hAnsi="仿宋" w:eastAsia="仿宋" w:cs="仿宋"/>
          <w:b/>
          <w:sz w:val="28"/>
          <w:szCs w:val="24"/>
        </w:rPr>
        <w:t>凡对本次采购提出询问，请按以下方式联系。</w:t>
      </w:r>
      <w:bookmarkEnd w:id="1532"/>
      <w:bookmarkEnd w:id="1533"/>
      <w:bookmarkEnd w:id="1534"/>
      <w:bookmarkEnd w:id="1535"/>
      <w:r>
        <w:rPr>
          <w:rFonts w:hint="eastAsia" w:ascii="仿宋" w:hAnsi="仿宋" w:eastAsia="仿宋" w:cs="仿宋"/>
          <w:b/>
          <w:sz w:val="28"/>
          <w:szCs w:val="24"/>
        </w:rPr>
        <w:t xml:space="preserve">  </w:t>
      </w:r>
      <w:r>
        <w:rPr>
          <w:rFonts w:eastAsia="仿宋"/>
          <w:color w:val="000000"/>
        </w:rPr>
        <w:t xml:space="preserve">  </w:t>
      </w:r>
    </w:p>
    <w:bookmarkEnd w:id="1531"/>
    <w:p w14:paraId="39968F8B">
      <w:pPr>
        <w:keepNext w:val="0"/>
        <w:keepLines w:val="0"/>
        <w:pageBreakBefore w:val="0"/>
        <w:kinsoku/>
        <w:wordWrap/>
        <w:overflowPunct/>
        <w:topLinePunct w:val="0"/>
        <w:autoSpaceDE/>
        <w:autoSpaceDN/>
        <w:bidi w:val="0"/>
        <w:adjustRightInd/>
        <w:snapToGrid/>
        <w:spacing w:beforeAutospacing="0" w:afterAutospacing="0" w:line="400" w:lineRule="exact"/>
        <w:jc w:val="both"/>
        <w:textAlignment w:val="auto"/>
        <w:rPr>
          <w:rFonts w:hint="eastAsia" w:ascii="宋体" w:hAnsi="宋体" w:eastAsia="宋体" w:cs="宋体"/>
          <w:b/>
          <w:bCs/>
          <w:kern w:val="2"/>
          <w:sz w:val="24"/>
          <w:szCs w:val="22"/>
          <w:highlight w:val="none"/>
          <w:lang w:val="en-US" w:eastAsia="zh-CN" w:bidi="ar-SA"/>
        </w:rPr>
      </w:pPr>
      <w:r>
        <w:rPr>
          <w:rFonts w:hint="eastAsia" w:ascii="宋体" w:hAnsi="宋体" w:eastAsia="宋体" w:cs="宋体"/>
          <w:b/>
          <w:bCs/>
          <w:kern w:val="2"/>
          <w:sz w:val="24"/>
          <w:szCs w:val="22"/>
          <w:highlight w:val="none"/>
          <w:lang w:val="en-US" w:eastAsia="zh-CN" w:bidi="ar-SA"/>
        </w:rPr>
        <w:t>1.采购人信息</w:t>
      </w:r>
    </w:p>
    <w:p w14:paraId="3A397487">
      <w:pPr>
        <w:keepNext w:val="0"/>
        <w:keepLines w:val="0"/>
        <w:pageBreakBefore w:val="0"/>
        <w:kinsoku/>
        <w:wordWrap/>
        <w:overflowPunct/>
        <w:topLinePunct w:val="0"/>
        <w:autoSpaceDE/>
        <w:autoSpaceDN/>
        <w:bidi w:val="0"/>
        <w:adjustRightInd/>
        <w:snapToGrid/>
        <w:spacing w:beforeAutospacing="0" w:afterAutospacing="0" w:line="400" w:lineRule="exact"/>
        <w:ind w:firstLine="480" w:firstLineChars="200"/>
        <w:jc w:val="both"/>
        <w:textAlignment w:val="auto"/>
        <w:rPr>
          <w:rFonts w:hint="default" w:ascii="宋体" w:hAnsi="宋体" w:eastAsia="宋体" w:cs="宋体"/>
          <w:b w:val="0"/>
          <w:bCs w:val="0"/>
          <w:kern w:val="2"/>
          <w:sz w:val="24"/>
          <w:szCs w:val="22"/>
          <w:highlight w:val="none"/>
          <w:lang w:val="en-US" w:eastAsia="zh-CN" w:bidi="ar-SA"/>
        </w:rPr>
      </w:pPr>
      <w:r>
        <w:rPr>
          <w:rFonts w:hint="eastAsia" w:ascii="宋体" w:hAnsi="宋体" w:eastAsia="宋体" w:cs="宋体"/>
          <w:b w:val="0"/>
          <w:bCs w:val="0"/>
          <w:kern w:val="2"/>
          <w:sz w:val="24"/>
          <w:szCs w:val="22"/>
          <w:highlight w:val="none"/>
          <w:lang w:val="en-US" w:eastAsia="zh-CN" w:bidi="ar-SA"/>
        </w:rPr>
        <w:t>名 称：疏附县</w:t>
      </w:r>
      <w:r>
        <w:rPr>
          <w:rFonts w:hint="eastAsia" w:ascii="宋体" w:hAnsi="宋体" w:cs="宋体"/>
          <w:b w:val="0"/>
          <w:bCs w:val="0"/>
          <w:kern w:val="2"/>
          <w:sz w:val="24"/>
          <w:szCs w:val="22"/>
          <w:highlight w:val="none"/>
          <w:lang w:val="en-US" w:eastAsia="zh-CN" w:bidi="ar-SA"/>
        </w:rPr>
        <w:t>教育局</w:t>
      </w:r>
    </w:p>
    <w:p w14:paraId="5CC0BF5E">
      <w:pPr>
        <w:keepNext w:val="0"/>
        <w:keepLines w:val="0"/>
        <w:pageBreakBefore w:val="0"/>
        <w:kinsoku/>
        <w:wordWrap/>
        <w:overflowPunct/>
        <w:topLinePunct w:val="0"/>
        <w:autoSpaceDE/>
        <w:autoSpaceDN/>
        <w:bidi w:val="0"/>
        <w:adjustRightInd/>
        <w:snapToGrid/>
        <w:spacing w:beforeAutospacing="0" w:afterAutospacing="0" w:line="400" w:lineRule="exact"/>
        <w:ind w:firstLine="480" w:firstLineChars="200"/>
        <w:jc w:val="both"/>
        <w:textAlignment w:val="auto"/>
        <w:rPr>
          <w:rFonts w:hint="eastAsia" w:ascii="宋体" w:hAnsi="宋体" w:eastAsia="宋体" w:cs="宋体"/>
          <w:b w:val="0"/>
          <w:bCs w:val="0"/>
          <w:kern w:val="2"/>
          <w:sz w:val="24"/>
          <w:szCs w:val="22"/>
          <w:highlight w:val="none"/>
          <w:lang w:val="en-US" w:eastAsia="zh-CN" w:bidi="ar-SA"/>
        </w:rPr>
      </w:pPr>
      <w:r>
        <w:rPr>
          <w:rFonts w:hint="eastAsia" w:ascii="宋体" w:hAnsi="宋体" w:eastAsia="宋体" w:cs="宋体"/>
          <w:b w:val="0"/>
          <w:bCs w:val="0"/>
          <w:kern w:val="2"/>
          <w:sz w:val="24"/>
          <w:szCs w:val="22"/>
          <w:highlight w:val="none"/>
          <w:lang w:val="en-US" w:eastAsia="zh-CN" w:bidi="ar-SA"/>
        </w:rPr>
        <w:t>地 址：疏附县</w:t>
      </w:r>
      <w:r>
        <w:rPr>
          <w:rFonts w:hint="eastAsia" w:ascii="宋体" w:hAnsi="宋体" w:cs="宋体"/>
          <w:b w:val="0"/>
          <w:bCs w:val="0"/>
          <w:kern w:val="2"/>
          <w:sz w:val="24"/>
          <w:szCs w:val="22"/>
          <w:highlight w:val="none"/>
          <w:lang w:val="en-US" w:eastAsia="zh-CN" w:bidi="ar-SA"/>
        </w:rPr>
        <w:t>教育局</w:t>
      </w:r>
    </w:p>
    <w:p w14:paraId="5089A19D">
      <w:pPr>
        <w:keepNext w:val="0"/>
        <w:keepLines w:val="0"/>
        <w:pageBreakBefore w:val="0"/>
        <w:kinsoku/>
        <w:wordWrap/>
        <w:overflowPunct/>
        <w:topLinePunct w:val="0"/>
        <w:autoSpaceDE/>
        <w:autoSpaceDN/>
        <w:bidi w:val="0"/>
        <w:adjustRightInd/>
        <w:snapToGrid/>
        <w:spacing w:beforeAutospacing="0" w:afterAutospacing="0" w:line="400" w:lineRule="exact"/>
        <w:ind w:firstLine="480" w:firstLineChars="200"/>
        <w:jc w:val="both"/>
        <w:textAlignment w:val="auto"/>
        <w:rPr>
          <w:rFonts w:hint="default" w:ascii="宋体" w:hAnsi="宋体" w:eastAsia="宋体" w:cs="宋体"/>
          <w:b w:val="0"/>
          <w:bCs w:val="0"/>
          <w:kern w:val="2"/>
          <w:sz w:val="24"/>
          <w:szCs w:val="22"/>
          <w:highlight w:val="none"/>
          <w:lang w:val="en-US" w:eastAsia="zh-CN" w:bidi="ar-SA"/>
        </w:rPr>
      </w:pPr>
      <w:r>
        <w:rPr>
          <w:rFonts w:hint="eastAsia" w:ascii="宋体" w:hAnsi="宋体" w:eastAsia="宋体" w:cs="宋体"/>
          <w:b w:val="0"/>
          <w:bCs w:val="0"/>
          <w:kern w:val="2"/>
          <w:sz w:val="24"/>
          <w:szCs w:val="22"/>
          <w:highlight w:val="none"/>
          <w:lang w:val="en-US" w:eastAsia="zh-CN" w:bidi="ar-SA"/>
        </w:rPr>
        <w:t>联系人及方式：</w:t>
      </w:r>
      <w:bookmarkStart w:id="1536" w:name="_Toc27055"/>
      <w:bookmarkStart w:id="1537" w:name="_Toc28359009"/>
      <w:bookmarkStart w:id="1538" w:name="_Toc28359086"/>
      <w:r>
        <w:rPr>
          <w:rFonts w:hint="eastAsia" w:ascii="宋体" w:hAnsi="宋体" w:cs="宋体"/>
          <w:b w:val="0"/>
          <w:bCs w:val="0"/>
          <w:kern w:val="2"/>
          <w:sz w:val="24"/>
          <w:szCs w:val="22"/>
          <w:highlight w:val="none"/>
          <w:lang w:val="en-US" w:eastAsia="zh-CN" w:bidi="ar-SA"/>
        </w:rPr>
        <w:t>范宏令</w:t>
      </w:r>
      <w:r>
        <w:rPr>
          <w:rFonts w:hint="eastAsia" w:ascii="宋体" w:hAnsi="宋体" w:eastAsia="宋体" w:cs="宋体"/>
          <w:b w:val="0"/>
          <w:bCs w:val="0"/>
          <w:kern w:val="2"/>
          <w:sz w:val="24"/>
          <w:szCs w:val="22"/>
          <w:highlight w:val="none"/>
          <w:lang w:val="en-US" w:eastAsia="zh-CN" w:bidi="ar-SA"/>
        </w:rPr>
        <w:t xml:space="preserve"> </w:t>
      </w:r>
      <w:r>
        <w:rPr>
          <w:rFonts w:hint="eastAsia" w:ascii="宋体" w:hAnsi="宋体" w:cs="宋体"/>
          <w:b w:val="0"/>
          <w:bCs w:val="0"/>
          <w:kern w:val="2"/>
          <w:sz w:val="24"/>
          <w:szCs w:val="22"/>
          <w:highlight w:val="none"/>
          <w:lang w:val="en-US" w:eastAsia="zh-CN" w:bidi="ar-SA"/>
        </w:rPr>
        <w:t xml:space="preserve">  15199845618</w:t>
      </w:r>
    </w:p>
    <w:p w14:paraId="3FF66BD9">
      <w:pPr>
        <w:keepNext w:val="0"/>
        <w:keepLines w:val="0"/>
        <w:pageBreakBefore w:val="0"/>
        <w:kinsoku/>
        <w:wordWrap/>
        <w:overflowPunct/>
        <w:topLinePunct w:val="0"/>
        <w:autoSpaceDE/>
        <w:autoSpaceDN/>
        <w:bidi w:val="0"/>
        <w:adjustRightInd/>
        <w:snapToGrid/>
        <w:spacing w:beforeAutospacing="0" w:afterAutospacing="0" w:line="400" w:lineRule="exact"/>
        <w:jc w:val="both"/>
        <w:textAlignment w:val="auto"/>
        <w:rPr>
          <w:rFonts w:hint="eastAsia" w:ascii="宋体" w:hAnsi="宋体" w:eastAsia="宋体" w:cs="宋体"/>
          <w:b/>
          <w:bCs/>
          <w:kern w:val="2"/>
          <w:sz w:val="24"/>
          <w:szCs w:val="22"/>
          <w:highlight w:val="none"/>
          <w:lang w:val="en-US" w:eastAsia="zh-CN" w:bidi="ar-SA"/>
        </w:rPr>
      </w:pPr>
      <w:r>
        <w:rPr>
          <w:rFonts w:hint="eastAsia" w:ascii="宋体" w:hAnsi="宋体" w:eastAsia="宋体" w:cs="宋体"/>
          <w:b/>
          <w:bCs/>
          <w:kern w:val="2"/>
          <w:sz w:val="24"/>
          <w:szCs w:val="22"/>
          <w:highlight w:val="none"/>
          <w:lang w:val="en-US" w:eastAsia="zh-CN" w:bidi="ar-SA"/>
        </w:rPr>
        <w:t>2.采购代理机构信息</w:t>
      </w:r>
      <w:bookmarkEnd w:id="1536"/>
      <w:bookmarkEnd w:id="1537"/>
      <w:bookmarkEnd w:id="1538"/>
      <w:r>
        <w:rPr>
          <w:rFonts w:hint="eastAsia" w:ascii="宋体" w:hAnsi="宋体" w:eastAsia="宋体" w:cs="宋体"/>
          <w:b/>
          <w:bCs/>
          <w:kern w:val="2"/>
          <w:sz w:val="24"/>
          <w:szCs w:val="22"/>
          <w:highlight w:val="none"/>
          <w:lang w:val="en-US" w:eastAsia="zh-CN" w:bidi="ar-SA"/>
        </w:rPr>
        <w:t xml:space="preserve"> </w:t>
      </w:r>
    </w:p>
    <w:p w14:paraId="02F7BDFD">
      <w:pPr>
        <w:keepNext w:val="0"/>
        <w:keepLines w:val="0"/>
        <w:pageBreakBefore w:val="0"/>
        <w:kinsoku/>
        <w:wordWrap/>
        <w:overflowPunct/>
        <w:topLinePunct w:val="0"/>
        <w:autoSpaceDE/>
        <w:autoSpaceDN/>
        <w:bidi w:val="0"/>
        <w:adjustRightInd/>
        <w:snapToGrid/>
        <w:spacing w:beforeAutospacing="0" w:afterAutospacing="0" w:line="400" w:lineRule="exact"/>
        <w:ind w:firstLine="480" w:firstLineChars="200"/>
        <w:jc w:val="both"/>
        <w:textAlignment w:val="auto"/>
        <w:rPr>
          <w:rFonts w:hint="eastAsia" w:ascii="宋体" w:hAnsi="宋体" w:eastAsia="宋体" w:cs="宋体"/>
          <w:b w:val="0"/>
          <w:bCs w:val="0"/>
          <w:kern w:val="2"/>
          <w:sz w:val="24"/>
          <w:szCs w:val="22"/>
          <w:highlight w:val="none"/>
          <w:lang w:val="en-US" w:eastAsia="zh-CN" w:bidi="ar-SA"/>
        </w:rPr>
      </w:pPr>
      <w:r>
        <w:rPr>
          <w:rFonts w:hint="eastAsia" w:ascii="宋体" w:hAnsi="宋体" w:eastAsia="宋体" w:cs="宋体"/>
          <w:b w:val="0"/>
          <w:bCs w:val="0"/>
          <w:kern w:val="2"/>
          <w:sz w:val="24"/>
          <w:szCs w:val="22"/>
          <w:highlight w:val="none"/>
          <w:lang w:val="en-US" w:eastAsia="zh-CN" w:bidi="ar-SA"/>
        </w:rPr>
        <w:t>名 称：疏附县政府采购中心</w:t>
      </w:r>
    </w:p>
    <w:p w14:paraId="50999F33">
      <w:pPr>
        <w:keepNext w:val="0"/>
        <w:keepLines w:val="0"/>
        <w:pageBreakBefore w:val="0"/>
        <w:kinsoku/>
        <w:wordWrap/>
        <w:overflowPunct/>
        <w:topLinePunct w:val="0"/>
        <w:autoSpaceDE/>
        <w:autoSpaceDN/>
        <w:bidi w:val="0"/>
        <w:adjustRightInd/>
        <w:snapToGrid/>
        <w:spacing w:beforeAutospacing="0" w:afterAutospacing="0" w:line="400" w:lineRule="exact"/>
        <w:ind w:firstLine="480" w:firstLineChars="200"/>
        <w:jc w:val="both"/>
        <w:textAlignment w:val="auto"/>
        <w:rPr>
          <w:rFonts w:hint="default" w:ascii="宋体" w:hAnsi="宋体" w:eastAsia="宋体" w:cs="宋体"/>
          <w:b w:val="0"/>
          <w:bCs w:val="0"/>
          <w:kern w:val="2"/>
          <w:sz w:val="24"/>
          <w:szCs w:val="22"/>
          <w:highlight w:val="none"/>
          <w:lang w:val="en-US" w:eastAsia="zh-CN" w:bidi="ar-SA"/>
        </w:rPr>
      </w:pPr>
      <w:r>
        <w:rPr>
          <w:rFonts w:hint="eastAsia" w:ascii="宋体" w:hAnsi="宋体" w:eastAsia="宋体" w:cs="宋体"/>
          <w:b w:val="0"/>
          <w:bCs w:val="0"/>
          <w:kern w:val="2"/>
          <w:sz w:val="24"/>
          <w:szCs w:val="22"/>
          <w:highlight w:val="none"/>
          <w:lang w:val="en-US" w:eastAsia="zh-CN" w:bidi="ar-SA"/>
        </w:rPr>
        <w:t>地　址：疏附县财政局一楼</w:t>
      </w:r>
    </w:p>
    <w:p w14:paraId="2FDE5361">
      <w:pPr>
        <w:keepNext w:val="0"/>
        <w:keepLines w:val="0"/>
        <w:pageBreakBefore w:val="0"/>
        <w:kinsoku/>
        <w:wordWrap/>
        <w:overflowPunct/>
        <w:topLinePunct w:val="0"/>
        <w:autoSpaceDE/>
        <w:autoSpaceDN/>
        <w:bidi w:val="0"/>
        <w:adjustRightInd/>
        <w:snapToGrid/>
        <w:spacing w:beforeAutospacing="0" w:afterAutospacing="0" w:line="400" w:lineRule="exact"/>
        <w:ind w:firstLine="480" w:firstLineChars="200"/>
        <w:jc w:val="both"/>
        <w:textAlignment w:val="auto"/>
        <w:rPr>
          <w:rFonts w:hint="default" w:ascii="宋体" w:hAnsi="宋体" w:eastAsia="宋体" w:cs="宋体"/>
          <w:b w:val="0"/>
          <w:bCs w:val="0"/>
          <w:kern w:val="2"/>
          <w:sz w:val="24"/>
          <w:szCs w:val="22"/>
          <w:highlight w:val="none"/>
          <w:lang w:val="en-US" w:eastAsia="zh-CN" w:bidi="ar-SA"/>
        </w:rPr>
      </w:pPr>
      <w:r>
        <w:rPr>
          <w:rFonts w:hint="eastAsia" w:ascii="宋体" w:hAnsi="宋体" w:eastAsia="宋体" w:cs="宋体"/>
          <w:b w:val="0"/>
          <w:bCs w:val="0"/>
          <w:kern w:val="2"/>
          <w:sz w:val="24"/>
          <w:szCs w:val="22"/>
          <w:highlight w:val="none"/>
          <w:lang w:val="en-US" w:eastAsia="zh-CN" w:bidi="ar-SA"/>
        </w:rPr>
        <w:t>联系方式：0998-3256769</w:t>
      </w:r>
    </w:p>
    <w:p w14:paraId="0E9E2E30">
      <w:pPr>
        <w:keepNext w:val="0"/>
        <w:keepLines w:val="0"/>
        <w:pageBreakBefore w:val="0"/>
        <w:kinsoku/>
        <w:wordWrap/>
        <w:overflowPunct/>
        <w:topLinePunct w:val="0"/>
        <w:autoSpaceDE/>
        <w:autoSpaceDN/>
        <w:bidi w:val="0"/>
        <w:adjustRightInd/>
        <w:snapToGrid/>
        <w:spacing w:beforeAutospacing="0" w:afterAutospacing="0" w:line="400" w:lineRule="exact"/>
        <w:jc w:val="both"/>
        <w:textAlignment w:val="auto"/>
        <w:rPr>
          <w:rFonts w:hint="eastAsia" w:ascii="宋体" w:hAnsi="宋体" w:eastAsia="宋体" w:cs="宋体"/>
          <w:b w:val="0"/>
          <w:bCs w:val="0"/>
          <w:kern w:val="2"/>
          <w:sz w:val="24"/>
          <w:szCs w:val="22"/>
          <w:highlight w:val="none"/>
          <w:lang w:val="en-US" w:eastAsia="zh-CN" w:bidi="ar-SA"/>
        </w:rPr>
      </w:pPr>
      <w:r>
        <w:rPr>
          <w:rFonts w:hint="eastAsia" w:ascii="宋体" w:hAnsi="宋体" w:eastAsia="宋体" w:cs="宋体"/>
          <w:b w:val="0"/>
          <w:bCs w:val="0"/>
          <w:kern w:val="2"/>
          <w:sz w:val="24"/>
          <w:szCs w:val="22"/>
          <w:highlight w:val="none"/>
          <w:lang w:val="en-US" w:eastAsia="zh-CN" w:bidi="ar-SA"/>
        </w:rPr>
        <w:t>3.采购监督部门：疏附县财政局采购办</w:t>
      </w:r>
    </w:p>
    <w:p w14:paraId="38FBCB60">
      <w:pPr>
        <w:keepNext w:val="0"/>
        <w:keepLines w:val="0"/>
        <w:pageBreakBefore w:val="0"/>
        <w:kinsoku/>
        <w:wordWrap/>
        <w:overflowPunct/>
        <w:topLinePunct w:val="0"/>
        <w:autoSpaceDE/>
        <w:autoSpaceDN/>
        <w:bidi w:val="0"/>
        <w:adjustRightInd/>
        <w:snapToGrid/>
        <w:spacing w:beforeAutospacing="0" w:afterAutospacing="0" w:line="400" w:lineRule="exact"/>
        <w:ind w:firstLine="480" w:firstLineChars="200"/>
        <w:jc w:val="both"/>
        <w:textAlignment w:val="auto"/>
        <w:rPr>
          <w:rFonts w:hint="default" w:ascii="宋体" w:hAnsi="宋体" w:eastAsia="宋体" w:cs="宋体"/>
          <w:b w:val="0"/>
          <w:bCs w:val="0"/>
          <w:kern w:val="2"/>
          <w:sz w:val="24"/>
          <w:szCs w:val="22"/>
          <w:highlight w:val="none"/>
          <w:lang w:val="en-US" w:eastAsia="zh-CN" w:bidi="ar-SA"/>
        </w:rPr>
      </w:pPr>
      <w:r>
        <w:rPr>
          <w:rFonts w:hint="eastAsia" w:ascii="宋体" w:hAnsi="宋体" w:eastAsia="宋体" w:cs="宋体"/>
          <w:b w:val="0"/>
          <w:bCs w:val="0"/>
          <w:kern w:val="2"/>
          <w:sz w:val="24"/>
          <w:szCs w:val="22"/>
          <w:highlight w:val="none"/>
          <w:lang w:val="en-US" w:eastAsia="zh-CN" w:bidi="ar-SA"/>
        </w:rPr>
        <w:t>联系人：</w:t>
      </w:r>
      <w:r>
        <w:rPr>
          <w:rFonts w:hint="eastAsia" w:ascii="宋体" w:hAnsi="宋体" w:cs="宋体"/>
          <w:b w:val="0"/>
          <w:bCs w:val="0"/>
          <w:kern w:val="2"/>
          <w:sz w:val="24"/>
          <w:szCs w:val="22"/>
          <w:highlight w:val="none"/>
          <w:lang w:val="en-US" w:eastAsia="zh-CN" w:bidi="ar-SA"/>
        </w:rPr>
        <w:t>努尔阿力木</w:t>
      </w:r>
    </w:p>
    <w:p w14:paraId="112F55E9">
      <w:pPr>
        <w:keepNext w:val="0"/>
        <w:keepLines w:val="0"/>
        <w:pageBreakBefore w:val="0"/>
        <w:kinsoku/>
        <w:wordWrap/>
        <w:overflowPunct/>
        <w:topLinePunct w:val="0"/>
        <w:autoSpaceDE/>
        <w:autoSpaceDN/>
        <w:bidi w:val="0"/>
        <w:adjustRightInd/>
        <w:snapToGrid/>
        <w:spacing w:beforeAutospacing="0" w:afterAutospacing="0" w:line="400" w:lineRule="exact"/>
        <w:ind w:firstLine="480" w:firstLineChars="200"/>
        <w:jc w:val="both"/>
        <w:textAlignment w:val="auto"/>
        <w:rPr>
          <w:rFonts w:hint="eastAsia" w:ascii="宋体" w:hAnsi="宋体" w:eastAsia="宋体" w:cs="宋体"/>
          <w:b w:val="0"/>
          <w:bCs w:val="0"/>
          <w:kern w:val="2"/>
          <w:sz w:val="24"/>
          <w:szCs w:val="22"/>
          <w:highlight w:val="none"/>
          <w:lang w:val="en-US" w:eastAsia="zh-CN" w:bidi="ar-SA"/>
        </w:rPr>
      </w:pPr>
      <w:r>
        <w:rPr>
          <w:rFonts w:hint="eastAsia" w:ascii="宋体" w:hAnsi="宋体" w:eastAsia="宋体" w:cs="宋体"/>
          <w:b w:val="0"/>
          <w:bCs w:val="0"/>
          <w:kern w:val="2"/>
          <w:sz w:val="24"/>
          <w:szCs w:val="22"/>
          <w:highlight w:val="none"/>
          <w:lang w:val="en-US" w:eastAsia="zh-CN" w:bidi="ar-SA"/>
        </w:rPr>
        <w:t>监督电话：0998-3256562</w:t>
      </w:r>
    </w:p>
    <w:p w14:paraId="4E3E3B27">
      <w:pPr>
        <w:keepNext w:val="0"/>
        <w:keepLines w:val="0"/>
        <w:pageBreakBefore w:val="0"/>
        <w:kinsoku/>
        <w:wordWrap/>
        <w:overflowPunct/>
        <w:topLinePunct w:val="0"/>
        <w:autoSpaceDE/>
        <w:autoSpaceDN/>
        <w:bidi w:val="0"/>
        <w:adjustRightInd/>
        <w:snapToGrid/>
        <w:spacing w:beforeAutospacing="0" w:afterAutospacing="0" w:line="400" w:lineRule="exact"/>
        <w:ind w:firstLine="480" w:firstLineChars="200"/>
        <w:jc w:val="both"/>
        <w:textAlignment w:val="auto"/>
        <w:rPr>
          <w:rFonts w:hint="eastAsia" w:ascii="宋体" w:hAnsi="宋体" w:eastAsia="宋体" w:cs="宋体"/>
          <w:b w:val="0"/>
          <w:bCs w:val="0"/>
          <w:kern w:val="2"/>
          <w:sz w:val="24"/>
          <w:szCs w:val="22"/>
          <w:highlight w:val="none"/>
          <w:lang w:val="en-US" w:eastAsia="zh-CN" w:bidi="ar-SA"/>
        </w:rPr>
      </w:pPr>
      <w:r>
        <w:rPr>
          <w:rFonts w:hint="eastAsia" w:ascii="宋体" w:hAnsi="宋体" w:eastAsia="宋体" w:cs="宋体"/>
          <w:b w:val="0"/>
          <w:bCs w:val="0"/>
          <w:kern w:val="2"/>
          <w:sz w:val="24"/>
          <w:szCs w:val="22"/>
          <w:highlight w:val="none"/>
          <w:lang w:val="en-US" w:eastAsia="zh-CN" w:bidi="ar-SA"/>
        </w:rPr>
        <w:t>采购监督部门地址：疏附县财政局</w:t>
      </w:r>
      <w:bookmarkStart w:id="1539" w:name="_Toc25880"/>
      <w:bookmarkStart w:id="1540" w:name="_Toc22664"/>
      <w:bookmarkStart w:id="1541" w:name="_Toc22624"/>
    </w:p>
    <w:p w14:paraId="1EBEE59D">
      <w:pPr>
        <w:pStyle w:val="13"/>
        <w:rPr>
          <w:rFonts w:hint="eastAsia"/>
        </w:rPr>
      </w:pPr>
    </w:p>
    <w:p w14:paraId="40012FEF">
      <w:pPr>
        <w:pStyle w:val="3"/>
        <w:bidi w:val="0"/>
        <w:rPr>
          <w:rFonts w:hint="eastAsia" w:ascii="仿宋_GB2312" w:hAnsi="仿宋_GB2312" w:eastAsia="仿宋_GB2312" w:cs="仿宋_GB2312"/>
          <w:b/>
          <w:sz w:val="36"/>
          <w:szCs w:val="36"/>
        </w:rPr>
      </w:pPr>
    </w:p>
    <w:p w14:paraId="7898C31F">
      <w:pPr>
        <w:rPr>
          <w:rFonts w:hint="eastAsia"/>
        </w:rPr>
      </w:pPr>
    </w:p>
    <w:p w14:paraId="5F3658EA">
      <w:pPr>
        <w:pStyle w:val="3"/>
        <w:bidi w:val="0"/>
        <w:rPr>
          <w:rFonts w:hint="eastAsia"/>
          <w:sz w:val="22"/>
          <w:szCs w:val="15"/>
        </w:rPr>
      </w:pPr>
      <w:r>
        <w:rPr>
          <w:rFonts w:hint="eastAsia" w:ascii="仿宋_GB2312" w:hAnsi="仿宋_GB2312" w:eastAsia="仿宋_GB2312" w:cs="仿宋_GB2312"/>
          <w:b/>
          <w:sz w:val="32"/>
          <w:szCs w:val="32"/>
        </w:rPr>
        <w:t>第四章  投标人须知资料表</w:t>
      </w:r>
      <w:bookmarkEnd w:id="999"/>
      <w:bookmarkEnd w:id="1000"/>
      <w:bookmarkEnd w:id="1001"/>
      <w:bookmarkEnd w:id="1002"/>
      <w:bookmarkEnd w:id="1003"/>
      <w:bookmarkEnd w:id="1004"/>
      <w:bookmarkEnd w:id="1005"/>
      <w:bookmarkEnd w:id="1502"/>
      <w:bookmarkEnd w:id="1503"/>
      <w:bookmarkEnd w:id="1504"/>
      <w:bookmarkEnd w:id="1505"/>
      <w:bookmarkEnd w:id="1506"/>
      <w:bookmarkEnd w:id="1507"/>
      <w:bookmarkEnd w:id="1539"/>
      <w:bookmarkEnd w:id="1540"/>
      <w:bookmarkEnd w:id="1541"/>
    </w:p>
    <w:p w14:paraId="5CC2FBFA">
      <w:pPr>
        <w:spacing w:line="240" w:lineRule="atLeast"/>
        <w:ind w:firstLine="480" w:firstLineChars="200"/>
        <w:rPr>
          <w:rFonts w:hint="eastAsia" w:ascii="仿宋_GB2312" w:hAnsi="仿宋_GB2312" w:eastAsia="仿宋_GB2312" w:cs="仿宋_GB2312"/>
          <w:sz w:val="24"/>
        </w:rPr>
      </w:pPr>
      <w:r>
        <w:rPr>
          <w:rFonts w:hint="eastAsia" w:ascii="仿宋_GB2312" w:hAnsi="仿宋_GB2312" w:eastAsia="仿宋_GB2312" w:cs="仿宋_GB2312"/>
          <w:sz w:val="24"/>
        </w:rPr>
        <w:t>本表是本招标项目的具体资料，是对投标人须知的具体补充和修改，如有矛盾，应以本资料表为准。</w:t>
      </w:r>
    </w:p>
    <w:tbl>
      <w:tblPr>
        <w:tblStyle w:val="38"/>
        <w:tblW w:w="8490" w:type="dxa"/>
        <w:tblInd w:w="-11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919"/>
        <w:gridCol w:w="7571"/>
      </w:tblGrid>
      <w:tr w14:paraId="18FC5C3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27" w:hRule="atLeast"/>
        </w:trPr>
        <w:tc>
          <w:tcPr>
            <w:tcW w:w="919" w:type="dxa"/>
            <w:noWrap w:val="0"/>
            <w:vAlign w:val="center"/>
          </w:tcPr>
          <w:p w14:paraId="2F70FD78">
            <w:pPr>
              <w:keepNext w:val="0"/>
              <w:keepLines w:val="0"/>
              <w:suppressLineNumbers w:val="0"/>
              <w:spacing w:before="0" w:beforeAutospacing="0" w:after="0" w:afterAutospacing="0" w:line="240" w:lineRule="atLeast"/>
              <w:ind w:left="0" w:right="0"/>
              <w:jc w:val="center"/>
              <w:rPr>
                <w:rFonts w:hint="eastAsia" w:ascii="仿宋_GB2312" w:hAnsi="仿宋_GB2312" w:eastAsia="仿宋_GB2312" w:cs="仿宋_GB2312"/>
                <w:sz w:val="24"/>
              </w:rPr>
            </w:pPr>
            <w:r>
              <w:rPr>
                <w:rFonts w:hint="eastAsia" w:ascii="仿宋_GB2312" w:hAnsi="仿宋_GB2312" w:eastAsia="仿宋_GB2312" w:cs="仿宋_GB2312"/>
                <w:sz w:val="24"/>
              </w:rPr>
              <w:t>条款号</w:t>
            </w:r>
          </w:p>
        </w:tc>
        <w:tc>
          <w:tcPr>
            <w:tcW w:w="7571" w:type="dxa"/>
            <w:noWrap w:val="0"/>
            <w:vAlign w:val="center"/>
          </w:tcPr>
          <w:p w14:paraId="0CC26D8E">
            <w:pPr>
              <w:keepNext w:val="0"/>
              <w:keepLines w:val="0"/>
              <w:suppressLineNumbers w:val="0"/>
              <w:spacing w:before="0" w:beforeAutospacing="0" w:after="0" w:afterAutospacing="0" w:line="240" w:lineRule="atLeast"/>
              <w:ind w:left="1080" w:leftChars="257" w:right="0" w:hanging="540"/>
              <w:jc w:val="center"/>
              <w:rPr>
                <w:rFonts w:hint="eastAsia" w:ascii="仿宋_GB2312" w:hAnsi="仿宋_GB2312" w:eastAsia="仿宋_GB2312" w:cs="仿宋_GB2312"/>
                <w:b/>
                <w:color w:val="000000"/>
                <w:sz w:val="24"/>
              </w:rPr>
            </w:pPr>
            <w:r>
              <w:rPr>
                <w:rFonts w:hint="eastAsia" w:ascii="仿宋_GB2312" w:hAnsi="仿宋_GB2312" w:eastAsia="仿宋_GB2312" w:cs="仿宋_GB2312"/>
                <w:b/>
                <w:color w:val="000000"/>
                <w:sz w:val="24"/>
              </w:rPr>
              <w:t>内      容</w:t>
            </w:r>
          </w:p>
        </w:tc>
      </w:tr>
      <w:tr w14:paraId="2F7B1FD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05" w:hRule="atLeast"/>
        </w:trPr>
        <w:tc>
          <w:tcPr>
            <w:tcW w:w="919" w:type="dxa"/>
            <w:noWrap w:val="0"/>
            <w:vAlign w:val="center"/>
          </w:tcPr>
          <w:p w14:paraId="39775D0C">
            <w:pPr>
              <w:keepNext w:val="0"/>
              <w:keepLines w:val="0"/>
              <w:suppressLineNumbers w:val="0"/>
              <w:spacing w:before="0" w:beforeAutospacing="0" w:after="0" w:afterAutospacing="0" w:line="240" w:lineRule="atLeast"/>
              <w:ind w:left="0" w:right="0"/>
              <w:jc w:val="center"/>
              <w:rPr>
                <w:rFonts w:hint="eastAsia" w:ascii="仿宋_GB2312" w:hAnsi="仿宋_GB2312" w:eastAsia="仿宋_GB2312" w:cs="仿宋_GB2312"/>
                <w:sz w:val="24"/>
              </w:rPr>
            </w:pPr>
            <w:r>
              <w:rPr>
                <w:rFonts w:hint="eastAsia" w:ascii="仿宋_GB2312" w:hAnsi="仿宋_GB2312" w:eastAsia="仿宋_GB2312" w:cs="仿宋_GB2312"/>
                <w:sz w:val="24"/>
              </w:rPr>
              <w:t>1.1</w:t>
            </w:r>
          </w:p>
        </w:tc>
        <w:tc>
          <w:tcPr>
            <w:tcW w:w="7571" w:type="dxa"/>
            <w:noWrap w:val="0"/>
            <w:vAlign w:val="center"/>
          </w:tcPr>
          <w:p w14:paraId="75F3E7D0">
            <w:pPr>
              <w:keepNext w:val="0"/>
              <w:keepLines w:val="0"/>
              <w:suppressLineNumbers w:val="0"/>
              <w:spacing w:before="0" w:beforeAutospacing="0" w:after="0" w:afterAutospacing="0" w:line="240" w:lineRule="atLeast"/>
              <w:ind w:left="0" w:right="0"/>
              <w:rPr>
                <w:rFonts w:hint="default" w:ascii="仿宋_GB2312" w:hAnsi="仿宋_GB2312" w:eastAsia="仿宋_GB2312" w:cs="仿宋_GB2312"/>
                <w:sz w:val="24"/>
                <w:u w:val="single"/>
                <w:lang w:val="en-US" w:eastAsia="zh-CN"/>
              </w:rPr>
            </w:pPr>
            <w:r>
              <w:rPr>
                <w:rFonts w:hint="eastAsia" w:ascii="仿宋_GB2312" w:hAnsi="仿宋_GB2312" w:eastAsia="仿宋_GB2312" w:cs="仿宋_GB2312"/>
                <w:sz w:val="24"/>
              </w:rPr>
              <w:t>采购人：</w:t>
            </w:r>
            <w:r>
              <w:rPr>
                <w:rFonts w:hint="eastAsia" w:ascii="仿宋_GB2312" w:hAnsi="仿宋_GB2312" w:eastAsia="仿宋_GB2312" w:cs="仿宋_GB2312"/>
                <w:sz w:val="24"/>
                <w:u w:val="single"/>
                <w:lang w:val="en-US" w:eastAsia="zh-CN"/>
              </w:rPr>
              <w:t>疏附县教育局</w:t>
            </w:r>
          </w:p>
          <w:p w14:paraId="588244F4">
            <w:pPr>
              <w:keepNext w:val="0"/>
              <w:keepLines w:val="0"/>
              <w:suppressLineNumbers w:val="0"/>
              <w:spacing w:before="0" w:beforeAutospacing="0" w:after="0" w:afterAutospacing="0" w:line="240" w:lineRule="atLeast"/>
              <w:ind w:left="0" w:right="0"/>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sz w:val="24"/>
              </w:rPr>
              <w:t>联系人：</w:t>
            </w:r>
            <w:r>
              <w:rPr>
                <w:rFonts w:hint="eastAsia" w:ascii="仿宋_GB2312" w:hAnsi="仿宋_GB2312" w:eastAsia="仿宋_GB2312" w:cs="仿宋_GB2312"/>
                <w:sz w:val="24"/>
                <w:u w:val="single"/>
                <w:lang w:val="en-US" w:eastAsia="zh-CN"/>
              </w:rPr>
              <w:t xml:space="preserve">范宏令  </w:t>
            </w:r>
            <w:r>
              <w:rPr>
                <w:rFonts w:hint="eastAsia" w:ascii="仿宋_GB2312" w:hAnsi="仿宋_GB2312" w:eastAsia="仿宋_GB2312" w:cs="仿宋_GB2312"/>
                <w:sz w:val="24"/>
                <w:lang w:val="en-US" w:eastAsia="zh-CN"/>
              </w:rPr>
              <w:t xml:space="preserve"> </w:t>
            </w:r>
            <w:r>
              <w:rPr>
                <w:rFonts w:hint="eastAsia" w:ascii="仿宋_GB2312" w:hAnsi="仿宋_GB2312" w:eastAsia="仿宋_GB2312" w:cs="仿宋_GB2312"/>
                <w:sz w:val="24"/>
              </w:rPr>
              <w:t xml:space="preserve"> 联系电话：</w:t>
            </w:r>
            <w:r>
              <w:rPr>
                <w:rFonts w:hint="eastAsia" w:ascii="仿宋_GB2312" w:hAnsi="仿宋_GB2312" w:eastAsia="仿宋_GB2312" w:cs="仿宋_GB2312"/>
                <w:sz w:val="24"/>
                <w:u w:val="single"/>
                <w:lang w:val="en-US" w:eastAsia="zh-CN"/>
              </w:rPr>
              <w:t>15199845618</w:t>
            </w:r>
          </w:p>
        </w:tc>
      </w:tr>
      <w:tr w14:paraId="5ACAA0C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38" w:hRule="atLeast"/>
        </w:trPr>
        <w:tc>
          <w:tcPr>
            <w:tcW w:w="919" w:type="dxa"/>
            <w:noWrap w:val="0"/>
            <w:vAlign w:val="center"/>
          </w:tcPr>
          <w:p w14:paraId="2F17A061">
            <w:pPr>
              <w:keepNext w:val="0"/>
              <w:keepLines w:val="0"/>
              <w:suppressLineNumbers w:val="0"/>
              <w:spacing w:before="0" w:beforeAutospacing="0" w:after="0" w:afterAutospacing="0" w:line="240" w:lineRule="atLeast"/>
              <w:ind w:left="0" w:right="0"/>
              <w:jc w:val="center"/>
              <w:rPr>
                <w:rFonts w:hint="eastAsia" w:ascii="仿宋_GB2312" w:hAnsi="仿宋_GB2312" w:eastAsia="仿宋_GB2312" w:cs="仿宋_GB2312"/>
                <w:sz w:val="24"/>
              </w:rPr>
            </w:pPr>
            <w:r>
              <w:rPr>
                <w:rFonts w:hint="eastAsia" w:ascii="仿宋_GB2312" w:hAnsi="仿宋_GB2312" w:eastAsia="仿宋_GB2312" w:cs="仿宋_GB2312"/>
                <w:sz w:val="24"/>
              </w:rPr>
              <w:t>1.2</w:t>
            </w:r>
          </w:p>
        </w:tc>
        <w:tc>
          <w:tcPr>
            <w:tcW w:w="7571" w:type="dxa"/>
            <w:noWrap w:val="0"/>
            <w:vAlign w:val="center"/>
          </w:tcPr>
          <w:p w14:paraId="1BEF5B12">
            <w:pPr>
              <w:keepNext w:val="0"/>
              <w:keepLines w:val="0"/>
              <w:suppressLineNumbers w:val="0"/>
              <w:spacing w:before="0" w:beforeAutospacing="0" w:after="0" w:afterAutospacing="0" w:line="240" w:lineRule="atLeast"/>
              <w:ind w:left="0" w:right="0"/>
              <w:rPr>
                <w:rFonts w:hint="eastAsia" w:ascii="仿宋_GB2312" w:hAnsi="仿宋_GB2312" w:eastAsia="仿宋_GB2312" w:cs="仿宋_GB2312"/>
                <w:sz w:val="24"/>
                <w:u w:val="single"/>
              </w:rPr>
            </w:pPr>
            <w:r>
              <w:rPr>
                <w:rFonts w:hint="eastAsia" w:ascii="仿宋_GB2312" w:hAnsi="仿宋_GB2312" w:eastAsia="仿宋_GB2312" w:cs="仿宋_GB2312"/>
                <w:sz w:val="24"/>
              </w:rPr>
              <w:t>采购代理机构：</w:t>
            </w:r>
            <w:r>
              <w:rPr>
                <w:rFonts w:hint="eastAsia" w:ascii="仿宋_GB2312" w:hAnsi="仿宋_GB2312" w:eastAsia="仿宋_GB2312" w:cs="仿宋_GB2312"/>
                <w:sz w:val="24"/>
                <w:u w:val="single"/>
                <w:lang w:val="en-US" w:eastAsia="zh-CN"/>
              </w:rPr>
              <w:t>疏附</w:t>
            </w:r>
            <w:r>
              <w:rPr>
                <w:rFonts w:hint="eastAsia" w:ascii="仿宋_GB2312" w:hAnsi="仿宋_GB2312" w:eastAsia="仿宋_GB2312" w:cs="仿宋_GB2312"/>
                <w:sz w:val="24"/>
                <w:u w:val="single"/>
              </w:rPr>
              <w:t>县政府采购中心</w:t>
            </w:r>
          </w:p>
          <w:p w14:paraId="271356AC">
            <w:pPr>
              <w:keepNext w:val="0"/>
              <w:keepLines w:val="0"/>
              <w:widowControl/>
              <w:suppressLineNumbers w:val="0"/>
              <w:spacing w:before="0" w:beforeAutospacing="0" w:after="0" w:afterAutospacing="0" w:line="330" w:lineRule="exact"/>
              <w:ind w:left="0" w:right="0"/>
              <w:jc w:val="left"/>
              <w:rPr>
                <w:rFonts w:hint="eastAsia" w:ascii="仿宋_GB2312" w:hAnsi="仿宋_GB2312" w:eastAsia="仿宋_GB2312" w:cs="仿宋_GB2312"/>
                <w:sz w:val="24"/>
                <w:u w:val="single"/>
              </w:rPr>
            </w:pPr>
            <w:r>
              <w:rPr>
                <w:rFonts w:hint="eastAsia" w:ascii="仿宋_GB2312" w:hAnsi="仿宋_GB2312" w:eastAsia="仿宋_GB2312" w:cs="仿宋_GB2312"/>
                <w:sz w:val="24"/>
              </w:rPr>
              <w:t>地址：</w:t>
            </w:r>
            <w:r>
              <w:rPr>
                <w:rFonts w:hint="eastAsia" w:ascii="仿宋_GB2312" w:hAnsi="仿宋_GB2312" w:eastAsia="仿宋_GB2312" w:cs="仿宋_GB2312"/>
                <w:sz w:val="24"/>
                <w:u w:val="single"/>
              </w:rPr>
              <w:t>疏附县团结北路6号</w:t>
            </w:r>
          </w:p>
          <w:p w14:paraId="037E5C58">
            <w:pPr>
              <w:keepNext w:val="0"/>
              <w:keepLines w:val="0"/>
              <w:suppressLineNumbers w:val="0"/>
              <w:spacing w:before="0" w:beforeAutospacing="0" w:after="0" w:afterAutospacing="0" w:line="240" w:lineRule="atLeast"/>
              <w:ind w:left="0" w:right="0"/>
              <w:rPr>
                <w:rFonts w:hint="default" w:ascii="仿宋_GB2312" w:hAnsi="仿宋_GB2312" w:eastAsia="仿宋_GB2312" w:cs="仿宋_GB2312"/>
                <w:sz w:val="24"/>
              </w:rPr>
            </w:pPr>
            <w:r>
              <w:rPr>
                <w:rFonts w:hint="eastAsia" w:ascii="仿宋_GB2312" w:hAnsi="仿宋_GB2312" w:eastAsia="仿宋_GB2312" w:cs="仿宋_GB2312"/>
                <w:sz w:val="24"/>
              </w:rPr>
              <w:t>业务联系人：</w:t>
            </w:r>
            <w:r>
              <w:rPr>
                <w:rFonts w:hint="eastAsia" w:ascii="仿宋_GB2312" w:hAnsi="仿宋_GB2312" w:eastAsia="仿宋_GB2312" w:cs="仿宋_GB2312"/>
                <w:sz w:val="24"/>
                <w:u w:val="single"/>
                <w:lang w:val="en-US" w:eastAsia="zh-CN"/>
              </w:rPr>
              <w:t>黄妍</w:t>
            </w:r>
            <w:r>
              <w:rPr>
                <w:rFonts w:hint="eastAsia" w:ascii="仿宋_GB2312" w:hAnsi="仿宋_GB2312" w:eastAsia="仿宋_GB2312" w:cs="仿宋_GB2312"/>
                <w:sz w:val="24"/>
              </w:rPr>
              <w:t xml:space="preserve">   电话：</w:t>
            </w:r>
            <w:r>
              <w:rPr>
                <w:rFonts w:hint="eastAsia" w:ascii="仿宋_GB2312" w:hAnsi="仿宋_GB2312" w:eastAsia="仿宋_GB2312" w:cs="仿宋_GB2312"/>
                <w:sz w:val="24"/>
                <w:u w:val="single"/>
              </w:rPr>
              <w:t xml:space="preserve">0998-3256769  </w:t>
            </w:r>
          </w:p>
        </w:tc>
      </w:tr>
      <w:tr w14:paraId="4E2D061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 w:hRule="atLeast"/>
        </w:trPr>
        <w:tc>
          <w:tcPr>
            <w:tcW w:w="919" w:type="dxa"/>
            <w:noWrap w:val="0"/>
            <w:vAlign w:val="center"/>
          </w:tcPr>
          <w:p w14:paraId="7CF2E1E8">
            <w:pPr>
              <w:keepNext w:val="0"/>
              <w:keepLines w:val="0"/>
              <w:suppressLineNumbers w:val="0"/>
              <w:spacing w:before="0" w:beforeAutospacing="0" w:after="0" w:afterAutospacing="0" w:line="240" w:lineRule="atLeast"/>
              <w:ind w:left="0" w:right="0"/>
              <w:jc w:val="center"/>
              <w:rPr>
                <w:rFonts w:hint="default" w:ascii="仿宋_GB2312" w:hAnsi="仿宋_GB2312" w:eastAsia="仿宋_GB2312" w:cs="仿宋_GB2312"/>
                <w:sz w:val="24"/>
              </w:rPr>
            </w:pPr>
            <w:r>
              <w:rPr>
                <w:rFonts w:hint="eastAsia" w:ascii="仿宋_GB2312" w:hAnsi="仿宋_GB2312" w:eastAsia="仿宋_GB2312" w:cs="仿宋_GB2312"/>
                <w:sz w:val="24"/>
              </w:rPr>
              <w:t>1.3.1</w:t>
            </w:r>
          </w:p>
        </w:tc>
        <w:tc>
          <w:tcPr>
            <w:tcW w:w="7571" w:type="dxa"/>
            <w:noWrap w:val="0"/>
            <w:vAlign w:val="center"/>
          </w:tcPr>
          <w:p w14:paraId="260A6D8E">
            <w:pPr>
              <w:keepNext w:val="0"/>
              <w:keepLines w:val="0"/>
              <w:pageBreakBefore w:val="0"/>
              <w:suppressLineNumbers w:val="0"/>
              <w:kinsoku/>
              <w:wordWrap/>
              <w:overflowPunct/>
              <w:topLinePunct w:val="0"/>
              <w:autoSpaceDE/>
              <w:autoSpaceDN/>
              <w:bidi w:val="0"/>
              <w:adjustRightInd/>
              <w:snapToGrid/>
              <w:spacing w:before="0" w:beforeAutospacing="0" w:after="0" w:afterAutospacing="0" w:line="420" w:lineRule="exact"/>
              <w:ind w:left="0" w:right="0"/>
              <w:jc w:val="left"/>
              <w:textAlignment w:val="auto"/>
              <w:rPr>
                <w:rFonts w:hint="eastAsia" w:ascii="宋体" w:hAnsi="宋体" w:eastAsia="宋体" w:cs="宋体"/>
                <w:sz w:val="24"/>
                <w:highlight w:val="none"/>
                <w:lang w:val="en-US" w:eastAsia="zh-CN"/>
              </w:rPr>
            </w:pPr>
            <w:r>
              <w:rPr>
                <w:rFonts w:hint="eastAsia" w:ascii="宋体" w:hAnsi="宋体" w:eastAsia="宋体" w:cs="宋体"/>
                <w:sz w:val="24"/>
                <w:highlight w:val="none"/>
                <w:lang w:val="en-US" w:eastAsia="zh-CN"/>
              </w:rPr>
              <w:t>合格投标人开标时需提供的资格证明文件：</w:t>
            </w:r>
          </w:p>
          <w:p w14:paraId="1509C555">
            <w:pPr>
              <w:keepNext w:val="0"/>
              <w:keepLines w:val="0"/>
              <w:pageBreakBefore w:val="0"/>
              <w:numPr>
                <w:ilvl w:val="0"/>
                <w:numId w:val="10"/>
              </w:numPr>
              <w:suppressLineNumbers w:val="0"/>
              <w:kinsoku/>
              <w:wordWrap/>
              <w:overflowPunct/>
              <w:topLinePunct w:val="0"/>
              <w:autoSpaceDE/>
              <w:autoSpaceDN/>
              <w:bidi w:val="0"/>
              <w:adjustRightInd/>
              <w:snapToGrid/>
              <w:spacing w:before="0" w:beforeAutospacing="0" w:after="0" w:afterAutospacing="0" w:line="420" w:lineRule="exact"/>
              <w:ind w:left="0" w:right="0"/>
              <w:jc w:val="left"/>
              <w:textAlignment w:val="auto"/>
              <w:rPr>
                <w:rFonts w:hint="eastAsia" w:ascii="宋体" w:hAnsi="宋体" w:eastAsia="宋体" w:cs="宋体"/>
                <w:sz w:val="24"/>
                <w:highlight w:val="none"/>
                <w:lang w:val="en-US" w:eastAsia="zh-CN"/>
              </w:rPr>
            </w:pPr>
            <w:r>
              <w:rPr>
                <w:rFonts w:hint="eastAsia" w:ascii="宋体" w:hAnsi="宋体" w:eastAsia="宋体" w:cs="宋体"/>
                <w:sz w:val="24"/>
                <w:highlight w:val="none"/>
                <w:lang w:val="en-US" w:eastAsia="zh-CN"/>
              </w:rPr>
              <w:t>满足《中华人民共和国政府采购法》第二十二条规定；</w:t>
            </w:r>
          </w:p>
          <w:p w14:paraId="284D38A2">
            <w:pPr>
              <w:keepNext w:val="0"/>
              <w:keepLines w:val="0"/>
              <w:pageBreakBefore w:val="0"/>
              <w:numPr>
                <w:ilvl w:val="0"/>
                <w:numId w:val="0"/>
              </w:numPr>
              <w:suppressLineNumbers w:val="0"/>
              <w:kinsoku/>
              <w:wordWrap/>
              <w:overflowPunct/>
              <w:topLinePunct w:val="0"/>
              <w:autoSpaceDE/>
              <w:autoSpaceDN/>
              <w:bidi w:val="0"/>
              <w:adjustRightInd/>
              <w:snapToGrid/>
              <w:spacing w:before="0" w:beforeAutospacing="0" w:after="0" w:afterAutospacing="0" w:line="420" w:lineRule="exact"/>
              <w:ind w:left="0" w:right="0"/>
              <w:jc w:val="left"/>
              <w:textAlignment w:val="auto"/>
              <w:rPr>
                <w:rFonts w:hint="eastAsia" w:ascii="宋体" w:hAnsi="宋体" w:eastAsia="宋体" w:cs="宋体"/>
                <w:b w:val="0"/>
                <w:bCs w:val="0"/>
                <w:sz w:val="24"/>
                <w:highlight w:val="none"/>
                <w:lang w:val="en-US" w:eastAsia="zh-CN"/>
              </w:rPr>
            </w:pPr>
            <w:r>
              <w:rPr>
                <w:rFonts w:hint="eastAsia" w:ascii="宋体" w:hAnsi="宋体" w:eastAsia="宋体" w:cs="宋体"/>
                <w:b w:val="0"/>
                <w:bCs w:val="0"/>
                <w:sz w:val="24"/>
                <w:highlight w:val="none"/>
                <w:lang w:val="en-US" w:eastAsia="zh-CN"/>
              </w:rPr>
              <w:t>（1）提供有效期内且年检合格的营业执照；</w:t>
            </w:r>
          </w:p>
          <w:p w14:paraId="1DFA0192">
            <w:pPr>
              <w:keepNext w:val="0"/>
              <w:keepLines w:val="0"/>
              <w:pageBreakBefore w:val="0"/>
              <w:suppressLineNumbers w:val="0"/>
              <w:kinsoku/>
              <w:wordWrap/>
              <w:overflowPunct/>
              <w:topLinePunct w:val="0"/>
              <w:autoSpaceDE/>
              <w:autoSpaceDN/>
              <w:bidi w:val="0"/>
              <w:adjustRightInd/>
              <w:snapToGrid/>
              <w:spacing w:before="0" w:beforeAutospacing="0" w:after="0" w:afterAutospacing="0" w:line="420" w:lineRule="exact"/>
              <w:ind w:left="0" w:right="0"/>
              <w:jc w:val="left"/>
              <w:textAlignment w:val="auto"/>
              <w:rPr>
                <w:rFonts w:hint="eastAsia" w:ascii="宋体" w:hAnsi="宋体" w:eastAsia="宋体" w:cs="宋体"/>
                <w:b w:val="0"/>
                <w:bCs w:val="0"/>
                <w:sz w:val="24"/>
                <w:highlight w:val="none"/>
                <w:lang w:val="en-US" w:eastAsia="zh-CN"/>
              </w:rPr>
            </w:pPr>
            <w:r>
              <w:rPr>
                <w:rFonts w:hint="eastAsia" w:ascii="宋体" w:hAnsi="宋体" w:eastAsia="宋体" w:cs="宋体"/>
                <w:b w:val="0"/>
                <w:bCs w:val="0"/>
                <w:sz w:val="24"/>
                <w:highlight w:val="none"/>
                <w:lang w:val="en-US" w:eastAsia="zh-CN"/>
              </w:rPr>
              <w:t>（2）法定代表人资格证明及授权书、被授权人身份证(法定代表人投标需提供法定代表人身份证)；</w:t>
            </w:r>
          </w:p>
          <w:p w14:paraId="0E8C3147">
            <w:pPr>
              <w:keepNext w:val="0"/>
              <w:keepLines w:val="0"/>
              <w:pageBreakBefore w:val="0"/>
              <w:suppressLineNumbers w:val="0"/>
              <w:kinsoku/>
              <w:wordWrap/>
              <w:overflowPunct/>
              <w:topLinePunct w:val="0"/>
              <w:autoSpaceDE/>
              <w:autoSpaceDN/>
              <w:bidi w:val="0"/>
              <w:adjustRightInd/>
              <w:snapToGrid/>
              <w:spacing w:before="0" w:beforeAutospacing="0" w:after="0" w:afterAutospacing="0" w:line="420" w:lineRule="exact"/>
              <w:ind w:left="0" w:right="0"/>
              <w:jc w:val="left"/>
              <w:textAlignment w:val="auto"/>
              <w:rPr>
                <w:rFonts w:hint="eastAsia" w:ascii="宋体" w:hAnsi="宋体" w:eastAsia="宋体" w:cs="宋体"/>
                <w:b w:val="0"/>
                <w:bCs w:val="0"/>
                <w:sz w:val="24"/>
                <w:highlight w:val="none"/>
                <w:lang w:val="en-US" w:eastAsia="zh-CN"/>
              </w:rPr>
            </w:pPr>
            <w:r>
              <w:rPr>
                <w:rFonts w:hint="eastAsia" w:ascii="宋体" w:hAnsi="宋体" w:eastAsia="宋体" w:cs="宋体"/>
                <w:b w:val="0"/>
                <w:bCs w:val="0"/>
                <w:sz w:val="24"/>
                <w:highlight w:val="none"/>
                <w:lang w:val="en-US" w:eastAsia="zh-CN"/>
              </w:rPr>
              <w:t>（3）提供近两年内任意一年的财务审计报告（新成立的公司可</w:t>
            </w:r>
            <w:r>
              <w:rPr>
                <w:rFonts w:hint="eastAsia" w:ascii="宋体" w:hAnsi="宋体" w:cs="宋体"/>
                <w:b w:val="0"/>
                <w:bCs w:val="0"/>
                <w:sz w:val="24"/>
                <w:highlight w:val="none"/>
                <w:lang w:val="en-US" w:eastAsia="zh-CN"/>
              </w:rPr>
              <w:t>提供近一个月的银行资信证明</w:t>
            </w:r>
            <w:r>
              <w:rPr>
                <w:rFonts w:hint="eastAsia" w:ascii="宋体" w:hAnsi="宋体" w:eastAsia="宋体" w:cs="宋体"/>
                <w:b w:val="0"/>
                <w:bCs w:val="0"/>
                <w:sz w:val="24"/>
                <w:highlight w:val="none"/>
                <w:lang w:val="en-US" w:eastAsia="zh-CN"/>
              </w:rPr>
              <w:t>）；</w:t>
            </w:r>
          </w:p>
          <w:p w14:paraId="798AF72A">
            <w:pPr>
              <w:keepNext w:val="0"/>
              <w:keepLines w:val="0"/>
              <w:pageBreakBefore w:val="0"/>
              <w:widowControl w:val="0"/>
              <w:suppressLineNumbers w:val="0"/>
              <w:tabs>
                <w:tab w:val="left" w:pos="5580"/>
              </w:tabs>
              <w:kinsoku/>
              <w:wordWrap/>
              <w:overflowPunct/>
              <w:topLinePunct w:val="0"/>
              <w:autoSpaceDE/>
              <w:autoSpaceDN/>
              <w:bidi w:val="0"/>
              <w:adjustRightInd/>
              <w:snapToGrid/>
              <w:spacing w:before="0" w:beforeAutospacing="0" w:after="0" w:afterAutospacing="0" w:line="420" w:lineRule="exact"/>
              <w:ind w:left="0" w:right="0"/>
              <w:jc w:val="left"/>
              <w:textAlignment w:val="auto"/>
              <w:rPr>
                <w:rFonts w:hint="eastAsia" w:ascii="宋体" w:hAnsi="宋体" w:eastAsia="宋体" w:cs="宋体"/>
                <w:color w:val="auto"/>
                <w:sz w:val="24"/>
                <w:lang w:val="en-US" w:eastAsia="zh-CN"/>
              </w:rPr>
            </w:pPr>
            <w:r>
              <w:rPr>
                <w:rFonts w:hint="eastAsia" w:ascii="宋体" w:hAnsi="宋体" w:eastAsia="宋体" w:cs="宋体"/>
                <w:b w:val="0"/>
                <w:bCs w:val="0"/>
                <w:sz w:val="24"/>
                <w:highlight w:val="none"/>
                <w:lang w:val="en-US" w:eastAsia="zh-CN"/>
              </w:rPr>
              <w:t>（4）</w:t>
            </w:r>
            <w:r>
              <w:rPr>
                <w:rFonts w:hint="eastAsia" w:ascii="宋体" w:hAnsi="宋体" w:eastAsia="宋体" w:cs="宋体"/>
                <w:b w:val="0"/>
                <w:bCs w:val="0"/>
                <w:kern w:val="2"/>
                <w:sz w:val="24"/>
                <w:szCs w:val="22"/>
                <w:highlight w:val="none"/>
                <w:lang w:val="en-US" w:eastAsia="zh-CN" w:bidi="ar-SA"/>
              </w:rPr>
              <w:t>投标企业依法缴纳近 3个月</w:t>
            </w:r>
            <w:r>
              <w:rPr>
                <w:rFonts w:hint="eastAsia" w:ascii="宋体" w:hAnsi="宋体" w:cs="宋体"/>
                <w:b w:val="0"/>
                <w:bCs w:val="0"/>
                <w:kern w:val="2"/>
                <w:sz w:val="24"/>
                <w:szCs w:val="22"/>
                <w:highlight w:val="none"/>
                <w:lang w:val="en-US" w:eastAsia="zh-CN" w:bidi="ar-SA"/>
              </w:rPr>
              <w:t>内其中任意1个月</w:t>
            </w:r>
            <w:r>
              <w:rPr>
                <w:rFonts w:hint="eastAsia" w:ascii="宋体" w:hAnsi="宋体" w:eastAsia="宋体" w:cs="宋体"/>
                <w:b w:val="0"/>
                <w:bCs w:val="0"/>
                <w:kern w:val="2"/>
                <w:sz w:val="24"/>
                <w:szCs w:val="22"/>
                <w:highlight w:val="none"/>
                <w:lang w:val="en-US" w:eastAsia="zh-CN" w:bidi="ar-SA"/>
              </w:rPr>
              <w:t>的社会保险凭据；</w:t>
            </w:r>
          </w:p>
          <w:p w14:paraId="119F03DC">
            <w:pPr>
              <w:keepNext w:val="0"/>
              <w:keepLines w:val="0"/>
              <w:pageBreakBefore w:val="0"/>
              <w:suppressLineNumbers w:val="0"/>
              <w:kinsoku/>
              <w:wordWrap/>
              <w:overflowPunct/>
              <w:topLinePunct w:val="0"/>
              <w:autoSpaceDE/>
              <w:autoSpaceDN/>
              <w:bidi w:val="0"/>
              <w:adjustRightInd/>
              <w:snapToGrid/>
              <w:spacing w:before="0" w:beforeAutospacing="0" w:after="0" w:afterAutospacing="0" w:line="420" w:lineRule="exact"/>
              <w:ind w:left="0" w:right="0"/>
              <w:jc w:val="left"/>
              <w:textAlignment w:val="auto"/>
              <w:rPr>
                <w:rFonts w:hint="eastAsia" w:ascii="宋体" w:hAnsi="宋体" w:eastAsia="宋体" w:cs="宋体"/>
                <w:b w:val="0"/>
                <w:bCs w:val="0"/>
                <w:kern w:val="2"/>
                <w:sz w:val="24"/>
                <w:szCs w:val="22"/>
                <w:highlight w:val="none"/>
                <w:lang w:val="en-US" w:eastAsia="zh-CN" w:bidi="ar-SA"/>
              </w:rPr>
            </w:pPr>
            <w:r>
              <w:rPr>
                <w:rFonts w:hint="eastAsia" w:ascii="宋体" w:hAnsi="宋体" w:cs="宋体"/>
                <w:color w:val="auto"/>
                <w:sz w:val="24"/>
                <w:lang w:val="en-US" w:eastAsia="zh-CN"/>
              </w:rPr>
              <w:t>（5）</w:t>
            </w:r>
            <w:r>
              <w:rPr>
                <w:rFonts w:hint="eastAsia" w:ascii="宋体" w:hAnsi="宋体" w:eastAsia="宋体" w:cs="宋体"/>
                <w:b w:val="0"/>
                <w:bCs w:val="0"/>
                <w:kern w:val="2"/>
                <w:sz w:val="24"/>
                <w:szCs w:val="22"/>
                <w:highlight w:val="none"/>
                <w:lang w:val="en-US" w:eastAsia="zh-CN" w:bidi="ar-SA"/>
              </w:rPr>
              <w:t>投标企业提供税务部门出具的近3个月</w:t>
            </w:r>
            <w:r>
              <w:rPr>
                <w:rFonts w:hint="eastAsia" w:ascii="宋体" w:hAnsi="宋体" w:cs="宋体"/>
                <w:b w:val="0"/>
                <w:bCs w:val="0"/>
                <w:kern w:val="2"/>
                <w:sz w:val="24"/>
                <w:szCs w:val="22"/>
                <w:highlight w:val="none"/>
                <w:lang w:val="en-US" w:eastAsia="zh-CN" w:bidi="ar-SA"/>
              </w:rPr>
              <w:t>内其中任意1个月</w:t>
            </w:r>
            <w:r>
              <w:rPr>
                <w:rFonts w:hint="eastAsia" w:ascii="宋体" w:hAnsi="宋体" w:eastAsia="宋体" w:cs="宋体"/>
                <w:b w:val="0"/>
                <w:bCs w:val="0"/>
                <w:kern w:val="2"/>
                <w:sz w:val="24"/>
                <w:szCs w:val="22"/>
                <w:highlight w:val="none"/>
                <w:lang w:val="en-US" w:eastAsia="zh-CN" w:bidi="ar-SA"/>
              </w:rPr>
              <w:t>的完税证明</w:t>
            </w:r>
            <w:r>
              <w:rPr>
                <w:rFonts w:hint="eastAsia" w:ascii="宋体" w:hAnsi="宋体" w:eastAsia="宋体" w:cs="Times New Roman"/>
                <w:color w:val="000000"/>
                <w:sz w:val="24"/>
                <w:szCs w:val="21"/>
                <w:lang w:val="en-US" w:eastAsia="zh-CN"/>
              </w:rPr>
              <w:t>（零申报需加盖税务机关鲜章）</w:t>
            </w:r>
            <w:r>
              <w:rPr>
                <w:rFonts w:hint="eastAsia" w:ascii="宋体" w:hAnsi="宋体" w:cs="Times New Roman"/>
                <w:color w:val="000000"/>
                <w:sz w:val="24"/>
                <w:szCs w:val="21"/>
                <w:lang w:val="en-US" w:eastAsia="zh-CN"/>
              </w:rPr>
              <w:t>，</w:t>
            </w:r>
            <w:r>
              <w:rPr>
                <w:rFonts w:hint="eastAsia" w:ascii="宋体" w:hAnsi="宋体" w:eastAsia="宋体" w:cs="宋体"/>
                <w:b w:val="0"/>
                <w:bCs w:val="0"/>
                <w:kern w:val="2"/>
                <w:sz w:val="24"/>
                <w:szCs w:val="22"/>
                <w:highlight w:val="none"/>
                <w:lang w:val="en-US" w:eastAsia="zh-CN" w:bidi="ar-SA"/>
              </w:rPr>
              <w:t>非社会保险类；</w:t>
            </w:r>
          </w:p>
          <w:p w14:paraId="4F86697F">
            <w:pPr>
              <w:keepNext w:val="0"/>
              <w:keepLines w:val="0"/>
              <w:pageBreakBefore w:val="0"/>
              <w:suppressLineNumbers w:val="0"/>
              <w:kinsoku/>
              <w:wordWrap/>
              <w:overflowPunct/>
              <w:topLinePunct w:val="0"/>
              <w:autoSpaceDE/>
              <w:autoSpaceDN/>
              <w:bidi w:val="0"/>
              <w:adjustRightInd/>
              <w:snapToGrid/>
              <w:spacing w:before="0" w:beforeAutospacing="0" w:after="0" w:afterAutospacing="0" w:line="420" w:lineRule="exact"/>
              <w:ind w:left="0" w:right="0"/>
              <w:jc w:val="left"/>
              <w:textAlignment w:val="auto"/>
              <w:rPr>
                <w:rFonts w:hint="eastAsia" w:ascii="宋体" w:hAnsi="宋体" w:eastAsia="宋体" w:cs="宋体"/>
                <w:sz w:val="24"/>
                <w:highlight w:val="none"/>
                <w:lang w:val="en-US" w:eastAsia="zh-CN"/>
              </w:rPr>
            </w:pPr>
            <w:r>
              <w:rPr>
                <w:rFonts w:hint="eastAsia" w:ascii="宋体" w:hAnsi="宋体" w:eastAsia="宋体" w:cs="宋体"/>
                <w:sz w:val="24"/>
                <w:highlight w:val="none"/>
                <w:lang w:val="en-US" w:eastAsia="zh-CN"/>
              </w:rPr>
              <w:t>（6）根据《财政部关于在政府采购活动中查询及使用信用记录有关问题的通知》（财库﹝2016﹞125号）的要求，凡拟参加本次招标项目的供应商，如在“信用中国”网站（ www.creditchina.gov.cn） 被列入失信被执行人、重大税收违法失信主体名单(信用服务-重点领域严重失信主体名单查询-搜索栏输入单位全称)、中国政府采购网（http://www.ccgp.gov.cn/search/cr/）严重违法失信行为信息记录名单的（尚在处罚期内的），“国家企业信用信息公示系统（http://www.gsxt.gov.cn）”列入严重违法失信名单（黑名单）信息；将拒绝其参加本次招标活动；</w:t>
            </w:r>
          </w:p>
          <w:p w14:paraId="4D5E9697">
            <w:pPr>
              <w:keepNext w:val="0"/>
              <w:keepLines w:val="0"/>
              <w:pageBreakBefore w:val="0"/>
              <w:suppressLineNumbers w:val="0"/>
              <w:kinsoku/>
              <w:wordWrap/>
              <w:overflowPunct/>
              <w:topLinePunct w:val="0"/>
              <w:autoSpaceDE/>
              <w:autoSpaceDN/>
              <w:bidi w:val="0"/>
              <w:adjustRightInd/>
              <w:snapToGrid/>
              <w:spacing w:before="0" w:beforeAutospacing="0" w:after="0" w:afterAutospacing="0" w:line="420" w:lineRule="exact"/>
              <w:ind w:left="0" w:right="0"/>
              <w:jc w:val="left"/>
              <w:textAlignment w:val="auto"/>
              <w:rPr>
                <w:rFonts w:hint="eastAsia" w:ascii="宋体" w:hAnsi="宋体" w:eastAsia="宋体" w:cs="宋体"/>
                <w:sz w:val="24"/>
                <w:highlight w:val="none"/>
                <w:lang w:val="en-US" w:eastAsia="zh-CN"/>
              </w:rPr>
            </w:pPr>
            <w:r>
              <w:rPr>
                <w:rFonts w:hint="eastAsia" w:ascii="宋体" w:hAnsi="宋体" w:eastAsia="宋体" w:cs="宋体"/>
                <w:sz w:val="24"/>
                <w:highlight w:val="none"/>
                <w:lang w:val="en-US" w:eastAsia="zh-CN"/>
              </w:rPr>
              <w:t>（7）参与政府采购活动前3年内未被列入失信、重大税收违法案件、财政部门禁止参加政府采购活动的承诺书；</w:t>
            </w:r>
          </w:p>
          <w:p w14:paraId="5F809B84">
            <w:pPr>
              <w:keepNext w:val="0"/>
              <w:keepLines w:val="0"/>
              <w:pageBreakBefore w:val="0"/>
              <w:suppressLineNumbers w:val="0"/>
              <w:kinsoku/>
              <w:wordWrap/>
              <w:overflowPunct/>
              <w:topLinePunct w:val="0"/>
              <w:autoSpaceDE/>
              <w:autoSpaceDN/>
              <w:bidi w:val="0"/>
              <w:adjustRightInd/>
              <w:snapToGrid/>
              <w:spacing w:before="0" w:beforeAutospacing="0" w:after="0" w:afterAutospacing="0" w:line="420" w:lineRule="exact"/>
              <w:ind w:left="0" w:right="0"/>
              <w:jc w:val="left"/>
              <w:textAlignment w:val="auto"/>
              <w:rPr>
                <w:rFonts w:hint="eastAsia" w:ascii="宋体" w:hAnsi="宋体" w:eastAsia="宋体" w:cs="宋体"/>
                <w:sz w:val="24"/>
                <w:highlight w:val="none"/>
                <w:lang w:val="en-US" w:eastAsia="zh-CN"/>
              </w:rPr>
            </w:pPr>
            <w:r>
              <w:rPr>
                <w:rFonts w:hint="eastAsia" w:ascii="宋体" w:hAnsi="宋体" w:eastAsia="宋体" w:cs="宋体"/>
                <w:sz w:val="24"/>
                <w:highlight w:val="none"/>
                <w:lang w:val="en-US" w:eastAsia="zh-CN"/>
              </w:rPr>
              <w:t>（8）提供针对本次项目《反商业贿赂承诺书》；</w:t>
            </w:r>
          </w:p>
          <w:p w14:paraId="76552E50">
            <w:pPr>
              <w:keepNext w:val="0"/>
              <w:keepLines w:val="0"/>
              <w:pageBreakBefore w:val="0"/>
              <w:suppressLineNumbers w:val="0"/>
              <w:kinsoku/>
              <w:wordWrap/>
              <w:overflowPunct/>
              <w:topLinePunct w:val="0"/>
              <w:autoSpaceDE/>
              <w:autoSpaceDN/>
              <w:bidi w:val="0"/>
              <w:adjustRightInd/>
              <w:snapToGrid/>
              <w:spacing w:before="0" w:beforeAutospacing="0" w:after="0" w:afterAutospacing="0" w:line="420" w:lineRule="exact"/>
              <w:ind w:left="0" w:right="0"/>
              <w:jc w:val="left"/>
              <w:textAlignment w:val="auto"/>
              <w:rPr>
                <w:rFonts w:hint="eastAsia" w:ascii="宋体" w:hAnsi="宋体" w:cs="宋体"/>
                <w:sz w:val="24"/>
                <w:highlight w:val="none"/>
                <w:lang w:val="en-US" w:eastAsia="zh-CN"/>
              </w:rPr>
            </w:pPr>
            <w:r>
              <w:rPr>
                <w:rFonts w:hint="eastAsia" w:ascii="宋体" w:hAnsi="宋体" w:eastAsia="宋体" w:cs="宋体"/>
                <w:sz w:val="24"/>
                <w:highlight w:val="none"/>
                <w:lang w:val="en-US" w:eastAsia="zh-CN"/>
              </w:rPr>
              <w:t>（9）提供投标单位按招标文件要求缴纳投标保证金的缴款凭证或金融机构、担保机构出具的保函</w:t>
            </w:r>
            <w:r>
              <w:rPr>
                <w:rFonts w:hint="eastAsia" w:ascii="宋体" w:hAnsi="宋体" w:cs="宋体"/>
                <w:sz w:val="24"/>
                <w:highlight w:val="none"/>
                <w:lang w:val="en-US" w:eastAsia="zh-CN"/>
              </w:rPr>
              <w:t>；</w:t>
            </w:r>
          </w:p>
          <w:p w14:paraId="769460AF">
            <w:pPr>
              <w:keepNext w:val="0"/>
              <w:keepLines w:val="0"/>
              <w:suppressLineNumbers w:val="0"/>
              <w:spacing w:before="0" w:beforeAutospacing="0" w:after="0" w:afterAutospacing="0" w:line="240" w:lineRule="atLeast"/>
              <w:ind w:left="0" w:right="0" w:firstLine="480" w:firstLineChars="200"/>
              <w:jc w:val="left"/>
              <w:rPr>
                <w:rFonts w:hint="eastAsia" w:ascii="仿宋_GB2312" w:hAnsi="仿宋_GB2312" w:eastAsia="仿宋_GB2312" w:cs="仿宋_GB2312"/>
                <w:sz w:val="24"/>
                <w:lang w:val="en-US" w:eastAsia="zh-CN"/>
              </w:rPr>
            </w:pPr>
            <w:r>
              <w:rPr>
                <w:rFonts w:hint="eastAsia" w:ascii="仿宋_GB2312" w:hAnsi="仿宋_GB2312" w:eastAsia="仿宋_GB2312" w:cs="仿宋_GB2312"/>
                <w:sz w:val="24"/>
                <w:lang w:val="en-US" w:eastAsia="zh-CN"/>
              </w:rPr>
              <w:t>本项目不接受联合体投标。</w:t>
            </w:r>
          </w:p>
          <w:p w14:paraId="226F46A4">
            <w:pPr>
              <w:pStyle w:val="27"/>
              <w:keepNext w:val="0"/>
              <w:keepLines w:val="0"/>
              <w:suppressLineNumbers w:val="0"/>
              <w:spacing w:before="0" w:beforeAutospacing="0" w:after="0" w:afterAutospacing="0"/>
              <w:ind w:left="0" w:right="0"/>
              <w:jc w:val="left"/>
              <w:rPr>
                <w:rFonts w:hint="eastAsia" w:ascii="Times New Roman" w:hAnsi="Times New Roman" w:cs="Times New Roman"/>
              </w:rPr>
            </w:pPr>
            <w:r>
              <w:rPr>
                <w:rFonts w:hint="default" w:ascii="宋体" w:hAnsi="宋体" w:eastAsia="宋体" w:cs="宋体"/>
                <w:b w:val="0"/>
                <w:bCs w:val="0"/>
                <w:sz w:val="24"/>
                <w:szCs w:val="24"/>
              </w:rPr>
              <w:t>注：1、“提供税务部门出具的完税证明”：①若供应商某月税收为零申报，须提供当月加盖税务局公章的无欠税证明或“国家税务总局电子税务局12366.chinatax.gov.cn/bsfw/onlinetaxation/main）”的申报结果查询截图 ②完税证明中“税种”非养老保险、医疗保险、失业保险、工伤保险和生育保险。请各供应商注意！</w:t>
            </w:r>
          </w:p>
        </w:tc>
      </w:tr>
      <w:tr w14:paraId="57913CA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24" w:hRule="atLeast"/>
        </w:trPr>
        <w:tc>
          <w:tcPr>
            <w:tcW w:w="919" w:type="dxa"/>
            <w:noWrap w:val="0"/>
            <w:vAlign w:val="center"/>
          </w:tcPr>
          <w:p w14:paraId="52DA47B0">
            <w:pPr>
              <w:keepNext w:val="0"/>
              <w:keepLines w:val="0"/>
              <w:suppressLineNumbers w:val="0"/>
              <w:spacing w:before="0" w:beforeAutospacing="0" w:after="0" w:afterAutospacing="0" w:line="240" w:lineRule="atLeast"/>
              <w:ind w:left="0" w:right="0"/>
              <w:jc w:val="center"/>
              <w:rPr>
                <w:rFonts w:hint="eastAsia" w:ascii="仿宋_GB2312" w:hAnsi="仿宋_GB2312" w:eastAsia="仿宋_GB2312" w:cs="仿宋_GB2312"/>
                <w:sz w:val="24"/>
              </w:rPr>
            </w:pPr>
            <w:r>
              <w:rPr>
                <w:rFonts w:hint="eastAsia" w:ascii="仿宋_GB2312" w:hAnsi="仿宋_GB2312" w:eastAsia="仿宋_GB2312" w:cs="仿宋_GB2312"/>
                <w:sz w:val="24"/>
              </w:rPr>
              <w:t>1.3.2</w:t>
            </w:r>
          </w:p>
        </w:tc>
        <w:tc>
          <w:tcPr>
            <w:tcW w:w="7571" w:type="dxa"/>
            <w:noWrap w:val="0"/>
            <w:vAlign w:val="center"/>
          </w:tcPr>
          <w:p w14:paraId="1548D293">
            <w:pPr>
              <w:keepNext w:val="0"/>
              <w:keepLines w:val="0"/>
              <w:suppressLineNumbers w:val="0"/>
              <w:spacing w:before="0" w:beforeAutospacing="0" w:after="0" w:afterAutospacing="0" w:line="240" w:lineRule="atLeast"/>
              <w:ind w:left="0" w:right="0"/>
              <w:rPr>
                <w:rFonts w:hint="eastAsia" w:ascii="仿宋_GB2312" w:hAnsi="仿宋_GB2312" w:eastAsia="仿宋_GB2312" w:cs="仿宋_GB2312"/>
                <w:sz w:val="24"/>
                <w:lang w:eastAsia="zh-CN"/>
              </w:rPr>
            </w:pPr>
            <w:r>
              <w:rPr>
                <w:rFonts w:hint="eastAsia" w:ascii="仿宋_GB2312" w:hAnsi="仿宋_GB2312" w:eastAsia="仿宋_GB2312" w:cs="仿宋_GB2312"/>
                <w:sz w:val="24"/>
              </w:rPr>
              <w:t>是否允许采购进口产品：</w:t>
            </w:r>
            <w:r>
              <w:rPr>
                <w:rFonts w:hint="eastAsia" w:ascii="仿宋_GB2312" w:hAnsi="仿宋_GB2312" w:eastAsia="仿宋_GB2312" w:cs="仿宋_GB2312"/>
                <w:sz w:val="24"/>
                <w:lang w:eastAsia="zh-CN"/>
              </w:rPr>
              <w:t>否</w:t>
            </w:r>
          </w:p>
        </w:tc>
      </w:tr>
      <w:tr w14:paraId="2A274F0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34" w:hRule="atLeast"/>
        </w:trPr>
        <w:tc>
          <w:tcPr>
            <w:tcW w:w="919" w:type="dxa"/>
            <w:noWrap w:val="0"/>
            <w:vAlign w:val="center"/>
          </w:tcPr>
          <w:p w14:paraId="45CF210E">
            <w:pPr>
              <w:keepNext w:val="0"/>
              <w:keepLines w:val="0"/>
              <w:suppressLineNumbers w:val="0"/>
              <w:spacing w:before="0" w:beforeAutospacing="0" w:after="0" w:afterAutospacing="0" w:line="240" w:lineRule="atLeast"/>
              <w:ind w:left="0" w:right="0"/>
              <w:jc w:val="center"/>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1.3.3</w:t>
            </w:r>
          </w:p>
        </w:tc>
        <w:tc>
          <w:tcPr>
            <w:tcW w:w="7571" w:type="dxa"/>
            <w:noWrap w:val="0"/>
            <w:vAlign w:val="center"/>
          </w:tcPr>
          <w:p w14:paraId="09F17A66">
            <w:pPr>
              <w:keepNext w:val="0"/>
              <w:keepLines w:val="0"/>
              <w:suppressLineNumbers w:val="0"/>
              <w:spacing w:before="0" w:beforeAutospacing="0" w:after="0" w:afterAutospacing="0" w:line="240" w:lineRule="atLeast"/>
              <w:ind w:left="0" w:right="0"/>
              <w:rPr>
                <w:rFonts w:hint="default" w:ascii="仿宋_GB2312" w:hAnsi="仿宋_GB2312" w:eastAsia="仿宋_GB2312" w:cs="仿宋_GB2312"/>
                <w:sz w:val="24"/>
                <w:highlight w:val="none"/>
                <w:lang w:val="en-US" w:eastAsia="zh-CN"/>
              </w:rPr>
            </w:pPr>
            <w:r>
              <w:rPr>
                <w:rFonts w:hint="eastAsia" w:ascii="仿宋_GB2312" w:hAnsi="仿宋_GB2312" w:eastAsia="仿宋_GB2312" w:cs="仿宋_GB2312"/>
                <w:sz w:val="24"/>
                <w:highlight w:val="none"/>
              </w:rPr>
              <w:t>是否为专门面向中小企业采购：</w:t>
            </w:r>
            <w:r>
              <w:rPr>
                <w:rFonts w:hint="eastAsia" w:ascii="仿宋_GB2312" w:hAnsi="仿宋_GB2312" w:eastAsia="仿宋_GB2312" w:cs="仿宋_GB2312"/>
                <w:color w:val="00B0F0"/>
                <w:sz w:val="24"/>
                <w:highlight w:val="none"/>
                <w:u w:val="single"/>
                <w:lang w:val="en-US" w:eastAsia="zh-CN"/>
              </w:rPr>
              <w:t xml:space="preserve">否 </w:t>
            </w:r>
          </w:p>
        </w:tc>
      </w:tr>
      <w:tr w14:paraId="7932EDA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16" w:hRule="atLeast"/>
        </w:trPr>
        <w:tc>
          <w:tcPr>
            <w:tcW w:w="919" w:type="dxa"/>
            <w:noWrap w:val="0"/>
            <w:vAlign w:val="center"/>
          </w:tcPr>
          <w:p w14:paraId="7D49406C">
            <w:pPr>
              <w:keepNext w:val="0"/>
              <w:keepLines w:val="0"/>
              <w:suppressLineNumbers w:val="0"/>
              <w:spacing w:before="0" w:beforeAutospacing="0" w:after="0" w:afterAutospacing="0" w:line="240" w:lineRule="atLeast"/>
              <w:ind w:left="0" w:right="0"/>
              <w:jc w:val="center"/>
              <w:rPr>
                <w:rFonts w:hint="default" w:ascii="仿宋_GB2312" w:hAnsi="仿宋_GB2312" w:eastAsia="仿宋_GB2312" w:cs="仿宋_GB2312"/>
                <w:sz w:val="24"/>
              </w:rPr>
            </w:pPr>
            <w:r>
              <w:rPr>
                <w:rFonts w:hint="eastAsia" w:ascii="仿宋_GB2312" w:hAnsi="仿宋_GB2312" w:eastAsia="仿宋_GB2312" w:cs="仿宋_GB2312"/>
                <w:sz w:val="24"/>
              </w:rPr>
              <w:t>1.4.1</w:t>
            </w:r>
          </w:p>
        </w:tc>
        <w:tc>
          <w:tcPr>
            <w:tcW w:w="7571" w:type="dxa"/>
            <w:noWrap w:val="0"/>
            <w:vAlign w:val="center"/>
          </w:tcPr>
          <w:p w14:paraId="442B05F3">
            <w:pPr>
              <w:keepNext w:val="0"/>
              <w:keepLines w:val="0"/>
              <w:suppressLineNumbers w:val="0"/>
              <w:spacing w:before="0" w:beforeAutospacing="0" w:after="0" w:afterAutospacing="0" w:line="240" w:lineRule="atLeast"/>
              <w:ind w:left="0" w:right="0"/>
              <w:rPr>
                <w:rFonts w:hint="eastAsia" w:ascii="仿宋_GB2312" w:hAnsi="仿宋_GB2312" w:eastAsia="仿宋_GB2312" w:cs="仿宋_GB2312"/>
                <w:sz w:val="24"/>
              </w:rPr>
            </w:pPr>
            <w:r>
              <w:rPr>
                <w:rFonts w:hint="eastAsia" w:ascii="仿宋_GB2312" w:hAnsi="仿宋_GB2312" w:eastAsia="仿宋_GB2312" w:cs="仿宋_GB2312"/>
                <w:sz w:val="24"/>
              </w:rPr>
              <w:t>是否允许联合体投标：</w:t>
            </w:r>
            <w:r>
              <w:rPr>
                <w:rFonts w:hint="eastAsia" w:ascii="仿宋_GB2312" w:hAnsi="仿宋_GB2312" w:eastAsia="仿宋_GB2312" w:cs="仿宋_GB2312"/>
                <w:sz w:val="24"/>
                <w:u w:val="single"/>
              </w:rPr>
              <w:t>否</w:t>
            </w:r>
          </w:p>
        </w:tc>
      </w:tr>
      <w:tr w14:paraId="3D5051A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199" w:hRule="atLeast"/>
        </w:trPr>
        <w:tc>
          <w:tcPr>
            <w:tcW w:w="919" w:type="dxa"/>
            <w:noWrap w:val="0"/>
            <w:vAlign w:val="center"/>
          </w:tcPr>
          <w:p w14:paraId="4B7830A9">
            <w:pPr>
              <w:keepNext w:val="0"/>
              <w:keepLines w:val="0"/>
              <w:suppressLineNumbers w:val="0"/>
              <w:spacing w:before="0" w:beforeAutospacing="0" w:after="0" w:afterAutospacing="0" w:line="240" w:lineRule="atLeast"/>
              <w:ind w:left="0" w:right="0"/>
              <w:jc w:val="center"/>
              <w:rPr>
                <w:rFonts w:hint="eastAsia" w:ascii="仿宋_GB2312" w:hAnsi="仿宋_GB2312" w:eastAsia="仿宋_GB2312" w:cs="仿宋_GB2312"/>
                <w:sz w:val="24"/>
              </w:rPr>
            </w:pPr>
            <w:bookmarkStart w:id="1542" w:name="_Toc101951258"/>
            <w:bookmarkStart w:id="1543" w:name="_Toc175644389"/>
            <w:bookmarkStart w:id="1544" w:name="_Toc216582826"/>
            <w:bookmarkStart w:id="1545" w:name="_Toc203274616"/>
            <w:bookmarkStart w:id="1546" w:name="_Toc218935355"/>
            <w:bookmarkStart w:id="1547" w:name="_Toc219175639"/>
            <w:r>
              <w:rPr>
                <w:rFonts w:hint="eastAsia" w:ascii="仿宋_GB2312" w:hAnsi="仿宋_GB2312" w:eastAsia="仿宋_GB2312" w:cs="仿宋_GB2312"/>
                <w:sz w:val="24"/>
              </w:rPr>
              <w:t>1.4.2</w:t>
            </w:r>
          </w:p>
        </w:tc>
        <w:tc>
          <w:tcPr>
            <w:tcW w:w="7571" w:type="dxa"/>
            <w:noWrap w:val="0"/>
            <w:vAlign w:val="center"/>
          </w:tcPr>
          <w:p w14:paraId="1BD98649">
            <w:pPr>
              <w:keepNext w:val="0"/>
              <w:keepLines w:val="0"/>
              <w:suppressLineNumbers w:val="0"/>
              <w:spacing w:before="0" w:beforeAutospacing="0" w:after="0" w:afterAutospacing="0" w:line="240" w:lineRule="atLeast"/>
              <w:ind w:left="0" w:right="0"/>
              <w:rPr>
                <w:rFonts w:hint="eastAsia" w:ascii="仿宋_GB2312" w:hAnsi="仿宋_GB2312" w:eastAsia="仿宋_GB2312" w:cs="仿宋_GB2312"/>
                <w:sz w:val="24"/>
              </w:rPr>
            </w:pPr>
            <w:r>
              <w:rPr>
                <w:rFonts w:hint="eastAsia" w:ascii="仿宋_GB2312" w:hAnsi="仿宋_GB2312" w:eastAsia="仿宋_GB2312" w:cs="仿宋_GB2312"/>
                <w:sz w:val="24"/>
              </w:rPr>
              <w:t>联合体的其他资格要求：</w:t>
            </w:r>
            <w:r>
              <w:rPr>
                <w:rFonts w:hint="eastAsia" w:ascii="仿宋_GB2312" w:hAnsi="Times New Roman" w:eastAsia="仿宋_GB2312" w:cs="Times New Roman"/>
                <w:sz w:val="24"/>
                <w:u w:val="single"/>
              </w:rPr>
              <w:t>本项目不接受联合体投标</w:t>
            </w:r>
          </w:p>
        </w:tc>
      </w:tr>
      <w:tr w14:paraId="7B55DB5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83" w:hRule="atLeast"/>
        </w:trPr>
        <w:tc>
          <w:tcPr>
            <w:tcW w:w="919" w:type="dxa"/>
            <w:noWrap w:val="0"/>
            <w:vAlign w:val="center"/>
          </w:tcPr>
          <w:p w14:paraId="67292F02">
            <w:pPr>
              <w:keepNext w:val="0"/>
              <w:keepLines w:val="0"/>
              <w:suppressLineNumbers w:val="0"/>
              <w:spacing w:before="0" w:beforeAutospacing="0" w:after="0" w:afterAutospacing="0" w:line="240" w:lineRule="atLeast"/>
              <w:ind w:left="0" w:right="0"/>
              <w:jc w:val="center"/>
              <w:rPr>
                <w:rFonts w:hint="eastAsia" w:ascii="仿宋_GB2312" w:hAnsi="仿宋_GB2312" w:eastAsia="仿宋_GB2312" w:cs="仿宋_GB2312"/>
                <w:sz w:val="24"/>
              </w:rPr>
            </w:pPr>
            <w:r>
              <w:rPr>
                <w:rFonts w:hint="eastAsia" w:ascii="仿宋_GB2312" w:hAnsi="仿宋_GB2312" w:eastAsia="仿宋_GB2312" w:cs="仿宋_GB2312"/>
                <w:sz w:val="24"/>
              </w:rPr>
              <w:t>2.1</w:t>
            </w:r>
          </w:p>
        </w:tc>
        <w:tc>
          <w:tcPr>
            <w:tcW w:w="7571" w:type="dxa"/>
            <w:noWrap w:val="0"/>
            <w:vAlign w:val="center"/>
          </w:tcPr>
          <w:p w14:paraId="4FC5DAE3">
            <w:pPr>
              <w:keepNext w:val="0"/>
              <w:keepLines w:val="0"/>
              <w:widowControl/>
              <w:suppressLineNumbers w:val="0"/>
              <w:spacing w:before="0" w:beforeAutospacing="0" w:after="0" w:afterAutospacing="0"/>
              <w:ind w:left="0" w:right="0"/>
              <w:jc w:val="left"/>
              <w:rPr>
                <w:rFonts w:hint="eastAsia" w:ascii="仿宋" w:hAnsi="仿宋" w:eastAsia="仿宋" w:cs="仿宋"/>
                <w:color w:val="auto"/>
                <w:sz w:val="24"/>
              </w:rPr>
            </w:pPr>
            <w:r>
              <w:rPr>
                <w:rFonts w:hint="eastAsia" w:ascii="仿宋_GB2312" w:hAnsi="仿宋_GB2312" w:eastAsia="仿宋_GB2312" w:cs="仿宋_GB2312"/>
                <w:color w:val="auto"/>
                <w:sz w:val="24"/>
                <w:lang w:val="en-US" w:eastAsia="zh-CN"/>
              </w:rPr>
              <w:t>采</w:t>
            </w:r>
            <w:r>
              <w:rPr>
                <w:rFonts w:hint="eastAsia" w:ascii="仿宋_GB2312" w:hAnsi="仿宋_GB2312" w:eastAsia="仿宋_GB2312" w:cs="仿宋_GB2312"/>
                <w:sz w:val="24"/>
                <w:highlight w:val="none"/>
                <w:lang w:val="en-US" w:eastAsia="zh-CN"/>
              </w:rPr>
              <w:t>购预算：</w:t>
            </w:r>
            <w:r>
              <w:rPr>
                <w:rFonts w:hint="eastAsia" w:ascii="宋体" w:hAnsi="宋体" w:cs="宋体"/>
                <w:b w:val="0"/>
                <w:bCs w:val="0"/>
                <w:color w:val="00B0F0"/>
                <w:kern w:val="2"/>
                <w:sz w:val="24"/>
                <w:szCs w:val="22"/>
                <w:highlight w:val="none"/>
                <w:lang w:val="en-US" w:eastAsia="zh-CN" w:bidi="ar-SA"/>
              </w:rPr>
              <w:t>441</w:t>
            </w:r>
            <w:r>
              <w:rPr>
                <w:rFonts w:hint="eastAsia" w:ascii="宋体" w:hAnsi="宋体" w:eastAsia="宋体" w:cs="宋体"/>
                <w:b w:val="0"/>
                <w:bCs w:val="0"/>
                <w:color w:val="00B0F0"/>
                <w:kern w:val="2"/>
                <w:sz w:val="24"/>
                <w:szCs w:val="22"/>
                <w:highlight w:val="none"/>
                <w:lang w:val="en-US" w:eastAsia="zh-CN" w:bidi="ar-SA"/>
              </w:rPr>
              <w:t>万元；</w:t>
            </w:r>
            <w:r>
              <w:rPr>
                <w:rFonts w:hint="eastAsia" w:ascii="仿宋_GB2312" w:hAnsi="仿宋_GB2312" w:eastAsia="仿宋_GB2312" w:cs="仿宋_GB2312"/>
                <w:color w:val="auto"/>
                <w:sz w:val="24"/>
                <w:u w:val="none"/>
                <w:lang w:val="en-US" w:eastAsia="zh-CN"/>
              </w:rPr>
              <w:t>最高限价：</w:t>
            </w:r>
            <w:r>
              <w:rPr>
                <w:rFonts w:hint="eastAsia" w:ascii="宋体" w:hAnsi="宋体" w:cs="宋体"/>
                <w:b w:val="0"/>
                <w:bCs w:val="0"/>
                <w:color w:val="00B0F0"/>
                <w:kern w:val="2"/>
                <w:sz w:val="24"/>
                <w:szCs w:val="22"/>
                <w:highlight w:val="none"/>
                <w:lang w:val="en-US" w:eastAsia="zh-CN" w:bidi="ar-SA"/>
              </w:rPr>
              <w:t>441</w:t>
            </w:r>
            <w:r>
              <w:rPr>
                <w:rFonts w:hint="eastAsia" w:ascii="宋体" w:hAnsi="宋体" w:eastAsia="宋体" w:cs="宋体"/>
                <w:b w:val="0"/>
                <w:bCs w:val="0"/>
                <w:color w:val="00B0F0"/>
                <w:kern w:val="2"/>
                <w:sz w:val="24"/>
                <w:szCs w:val="22"/>
                <w:highlight w:val="none"/>
                <w:lang w:val="en-US" w:eastAsia="zh-CN" w:bidi="ar-SA"/>
              </w:rPr>
              <w:t>万元；</w:t>
            </w:r>
            <w:r>
              <w:rPr>
                <w:rFonts w:hint="eastAsia" w:ascii="仿宋_GB2312" w:hAnsi="仿宋_GB2312" w:eastAsia="仿宋_GB2312" w:cs="仿宋_GB2312"/>
                <w:sz w:val="24"/>
                <w:highlight w:val="none"/>
                <w:lang w:val="zh-CN"/>
              </w:rPr>
              <w:t>（超过最高限价的投标无效）</w:t>
            </w:r>
            <w:r>
              <w:rPr>
                <w:rFonts w:hint="eastAsia" w:ascii="仿宋_GB2312" w:hAnsi="仿宋_GB2312" w:eastAsia="仿宋_GB2312" w:cs="仿宋_GB2312"/>
                <w:sz w:val="24"/>
                <w:highlight w:val="none"/>
              </w:rPr>
              <w:t xml:space="preserve">       </w:t>
            </w:r>
          </w:p>
        </w:tc>
      </w:tr>
      <w:tr w14:paraId="6A82DEB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479" w:hRule="atLeast"/>
        </w:trPr>
        <w:tc>
          <w:tcPr>
            <w:tcW w:w="919" w:type="dxa"/>
            <w:noWrap w:val="0"/>
            <w:vAlign w:val="center"/>
          </w:tcPr>
          <w:p w14:paraId="1954418F">
            <w:pPr>
              <w:keepNext w:val="0"/>
              <w:keepLines w:val="0"/>
              <w:suppressLineNumbers w:val="0"/>
              <w:spacing w:before="0" w:beforeAutospacing="0" w:after="0" w:afterAutospacing="0" w:line="240" w:lineRule="atLeast"/>
              <w:ind w:left="0" w:right="0"/>
              <w:jc w:val="center"/>
              <w:rPr>
                <w:rFonts w:hint="eastAsia" w:ascii="仿宋_GB2312" w:hAnsi="仿宋_GB2312" w:eastAsia="仿宋_GB2312" w:cs="仿宋_GB2312"/>
                <w:sz w:val="24"/>
              </w:rPr>
            </w:pPr>
            <w:r>
              <w:rPr>
                <w:rFonts w:hint="eastAsia" w:ascii="仿宋_GB2312" w:hAnsi="仿宋_GB2312" w:eastAsia="仿宋_GB2312" w:cs="仿宋_GB2312"/>
                <w:sz w:val="24"/>
              </w:rPr>
              <w:t>12.1</w:t>
            </w:r>
          </w:p>
        </w:tc>
        <w:tc>
          <w:tcPr>
            <w:tcW w:w="7571" w:type="dxa"/>
            <w:noWrap w:val="0"/>
            <w:vAlign w:val="center"/>
          </w:tcPr>
          <w:p w14:paraId="5EFA4829">
            <w:pPr>
              <w:keepNext w:val="0"/>
              <w:keepLines w:val="0"/>
              <w:pageBreakBefore w:val="0"/>
              <w:suppressLineNumbers w:val="0"/>
              <w:kinsoku/>
              <w:wordWrap/>
              <w:overflowPunct/>
              <w:topLinePunct w:val="0"/>
              <w:bidi w:val="0"/>
              <w:spacing w:before="0" w:beforeAutospacing="0" w:after="0" w:afterAutospacing="0"/>
              <w:ind w:left="0" w:right="0"/>
              <w:outlineLvl w:val="9"/>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投标保证金形式：</w:t>
            </w:r>
            <w:r>
              <w:rPr>
                <w:rFonts w:hint="eastAsia" w:ascii="仿宋" w:hAnsi="仿宋" w:eastAsia="仿宋" w:cs="仿宋"/>
                <w:sz w:val="24"/>
                <w:u w:val="single"/>
                <w:lang w:eastAsia="zh-CN"/>
              </w:rPr>
              <w:t>☑</w:t>
            </w:r>
            <w:r>
              <w:rPr>
                <w:rFonts w:hint="eastAsia" w:ascii="仿宋" w:hAnsi="仿宋" w:eastAsia="仿宋" w:cs="仿宋"/>
                <w:sz w:val="24"/>
                <w:u w:val="single"/>
              </w:rPr>
              <w:t xml:space="preserve">保函  </w:t>
            </w:r>
            <w:r>
              <w:rPr>
                <w:rFonts w:hint="eastAsia" w:ascii="仿宋" w:hAnsi="仿宋" w:eastAsia="仿宋" w:cs="仿宋"/>
                <w:sz w:val="24"/>
                <w:u w:val="single"/>
                <w:lang w:eastAsia="zh-CN"/>
              </w:rPr>
              <w:t>☑</w:t>
            </w:r>
            <w:r>
              <w:rPr>
                <w:rFonts w:hint="eastAsia" w:ascii="仿宋" w:hAnsi="仿宋" w:eastAsia="仿宋" w:cs="仿宋"/>
                <w:sz w:val="24"/>
                <w:u w:val="single"/>
              </w:rPr>
              <w:t xml:space="preserve">电汇  </w:t>
            </w:r>
            <w:r>
              <w:rPr>
                <w:rFonts w:hint="eastAsia" w:ascii="仿宋" w:hAnsi="仿宋" w:eastAsia="仿宋" w:cs="仿宋"/>
                <w:sz w:val="24"/>
                <w:u w:val="single"/>
              </w:rPr>
              <w:sym w:font="Wingdings 2" w:char="0052"/>
            </w:r>
            <w:r>
              <w:rPr>
                <w:rFonts w:hint="eastAsia" w:ascii="仿宋" w:hAnsi="仿宋" w:eastAsia="仿宋" w:cs="仿宋"/>
                <w:sz w:val="24"/>
                <w:u w:val="single"/>
              </w:rPr>
              <w:t>支票  ☑对公转账 （本项目允许的其他形式）</w:t>
            </w:r>
          </w:p>
          <w:p w14:paraId="35965092">
            <w:pPr>
              <w:pStyle w:val="27"/>
              <w:keepNext w:val="0"/>
              <w:keepLines w:val="0"/>
              <w:suppressLineNumbers w:val="0"/>
              <w:spacing w:before="0" w:beforeAutospacing="0" w:after="0" w:afterAutospacing="0"/>
              <w:ind w:left="0" w:right="0"/>
              <w:rPr>
                <w:rFonts w:hint="default" w:ascii="仿宋_GB2312" w:hAnsi="仿宋_GB2312" w:eastAsia="仿宋_GB2312" w:cs="仿宋_GB2312"/>
                <w:color w:val="00B0F0"/>
                <w:kern w:val="2"/>
                <w:sz w:val="24"/>
                <w:szCs w:val="24"/>
                <w:u w:val="single"/>
                <w:lang w:val="en-US" w:eastAsia="zh-CN" w:bidi="ar-SA"/>
              </w:rPr>
            </w:pPr>
            <w:r>
              <w:rPr>
                <w:rFonts w:hint="eastAsia" w:ascii="仿宋_GB2312" w:hAnsi="仿宋_GB2312" w:eastAsia="仿宋_GB2312" w:cs="仿宋_GB2312"/>
                <w:b/>
                <w:bCs/>
                <w:color w:val="auto"/>
                <w:sz w:val="24"/>
                <w:highlight w:val="none"/>
              </w:rPr>
              <w:t>投标保证金数额:</w:t>
            </w:r>
            <w:r>
              <w:rPr>
                <w:rFonts w:hint="eastAsia" w:ascii="宋体" w:hAnsi="宋体" w:cs="宋体"/>
                <w:b w:val="0"/>
                <w:bCs w:val="0"/>
                <w:color w:val="00B0F0"/>
                <w:kern w:val="2"/>
                <w:sz w:val="24"/>
                <w:szCs w:val="22"/>
                <w:highlight w:val="none"/>
                <w:lang w:val="en-US" w:eastAsia="zh-CN" w:bidi="ar-SA"/>
              </w:rPr>
              <w:t>44100.00元；</w:t>
            </w:r>
          </w:p>
          <w:p w14:paraId="20AB8E2A">
            <w:pPr>
              <w:keepNext w:val="0"/>
              <w:keepLines w:val="0"/>
              <w:suppressLineNumbers w:val="0"/>
              <w:spacing w:before="0" w:beforeAutospacing="0" w:after="0" w:afterAutospacing="0" w:line="340" w:lineRule="exact"/>
              <w:ind w:left="0" w:right="0"/>
              <w:rPr>
                <w:rFonts w:hint="eastAsia" w:ascii="宋体" w:hAnsi="宋体" w:eastAsia="宋体" w:cs="宋体"/>
                <w:b w:val="0"/>
                <w:bCs w:val="0"/>
                <w:color w:val="00B0F0"/>
                <w:kern w:val="2"/>
                <w:sz w:val="24"/>
                <w:szCs w:val="22"/>
                <w:highlight w:val="none"/>
                <w:lang w:val="en-US" w:eastAsia="zh-CN" w:bidi="ar-SA"/>
              </w:rPr>
            </w:pPr>
            <w:r>
              <w:rPr>
                <w:rFonts w:hint="eastAsia" w:ascii="仿宋_GB2312" w:hAnsi="仿宋_GB2312" w:eastAsia="仿宋_GB2312" w:cs="仿宋_GB2312"/>
                <w:b/>
                <w:bCs/>
                <w:color w:val="auto"/>
                <w:kern w:val="2"/>
                <w:sz w:val="24"/>
                <w:szCs w:val="24"/>
                <w:highlight w:val="none"/>
                <w:lang w:val="en-US" w:eastAsia="zh-CN" w:bidi="ar-SA"/>
              </w:rPr>
              <w:t>投标保证金缴纳账户</w:t>
            </w:r>
            <w:r>
              <w:rPr>
                <w:rFonts w:hint="eastAsia" w:ascii="仿宋" w:hAnsi="仿宋" w:eastAsia="仿宋" w:cs="仿宋"/>
                <w:color w:val="000000"/>
                <w:kern w:val="0"/>
                <w:sz w:val="24"/>
                <w:szCs w:val="24"/>
                <w:lang w:val="en-US" w:eastAsia="zh-CN" w:bidi="ar"/>
              </w:rPr>
              <w:t>：</w:t>
            </w:r>
            <w:r>
              <w:rPr>
                <w:rFonts w:hint="eastAsia" w:ascii="宋体" w:hAnsi="宋体" w:eastAsia="宋体" w:cs="宋体"/>
                <w:b w:val="0"/>
                <w:bCs w:val="0"/>
                <w:color w:val="00B0F0"/>
                <w:kern w:val="2"/>
                <w:sz w:val="24"/>
                <w:szCs w:val="22"/>
                <w:highlight w:val="none"/>
                <w:lang w:val="en-US" w:eastAsia="zh-CN" w:bidi="ar-SA"/>
              </w:rPr>
              <w:t>疏附县政府采购中心</w:t>
            </w:r>
          </w:p>
          <w:p w14:paraId="68C986A9">
            <w:pPr>
              <w:keepNext w:val="0"/>
              <w:keepLines w:val="0"/>
              <w:suppressLineNumbers w:val="0"/>
              <w:spacing w:before="0" w:beforeAutospacing="0" w:after="0" w:afterAutospacing="0" w:line="240" w:lineRule="atLeast"/>
              <w:ind w:left="0" w:right="0"/>
              <w:rPr>
                <w:rFonts w:hint="default" w:ascii="仿宋" w:hAnsi="仿宋" w:eastAsia="仿宋" w:cs="仿宋"/>
                <w:color w:val="000000"/>
                <w:kern w:val="0"/>
                <w:sz w:val="24"/>
                <w:szCs w:val="24"/>
                <w:lang w:val="en-US" w:eastAsia="zh-CN" w:bidi="ar"/>
              </w:rPr>
            </w:pPr>
            <w:r>
              <w:rPr>
                <w:rFonts w:hint="eastAsia" w:ascii="仿宋_GB2312" w:hAnsi="仿宋_GB2312" w:eastAsia="仿宋_GB2312" w:cs="仿宋_GB2312"/>
                <w:b/>
                <w:bCs/>
                <w:color w:val="auto"/>
                <w:kern w:val="2"/>
                <w:sz w:val="24"/>
                <w:szCs w:val="24"/>
                <w:highlight w:val="none"/>
                <w:lang w:val="en-US" w:eastAsia="zh-CN" w:bidi="ar-SA"/>
              </w:rPr>
              <w:t>银行账号：</w:t>
            </w:r>
            <w:r>
              <w:rPr>
                <w:rFonts w:hint="default" w:ascii="宋体" w:hAnsi="宋体" w:eastAsia="宋体" w:cs="宋体"/>
                <w:b w:val="0"/>
                <w:bCs w:val="0"/>
                <w:color w:val="00B0F0"/>
                <w:kern w:val="2"/>
                <w:sz w:val="24"/>
                <w:szCs w:val="22"/>
                <w:highlight w:val="none"/>
                <w:lang w:val="en-US" w:eastAsia="zh-CN" w:bidi="ar-SA"/>
              </w:rPr>
              <w:t>862010012010108610027</w:t>
            </w:r>
            <w:r>
              <w:rPr>
                <w:rFonts w:hint="eastAsia" w:ascii="宋体" w:hAnsi="宋体" w:eastAsia="宋体" w:cs="宋体"/>
                <w:b w:val="0"/>
                <w:bCs w:val="0"/>
                <w:color w:val="00B0F0"/>
                <w:kern w:val="2"/>
                <w:sz w:val="24"/>
                <w:szCs w:val="22"/>
                <w:highlight w:val="none"/>
                <w:lang w:val="en-US" w:eastAsia="zh-CN" w:bidi="ar-SA"/>
              </w:rPr>
              <w:t xml:space="preserve">  </w:t>
            </w:r>
          </w:p>
          <w:p w14:paraId="66F42651">
            <w:pPr>
              <w:keepNext w:val="0"/>
              <w:keepLines w:val="0"/>
              <w:widowControl/>
              <w:suppressLineNumbers w:val="0"/>
              <w:spacing w:before="0" w:beforeAutospacing="0" w:after="0" w:afterAutospacing="0"/>
              <w:ind w:left="0" w:right="0"/>
              <w:jc w:val="left"/>
              <w:rPr>
                <w:rFonts w:hint="default" w:ascii="仿宋_GB2312" w:hAnsi="仿宋_GB2312" w:eastAsia="仿宋_GB2312" w:cs="仿宋_GB2312"/>
                <w:sz w:val="24"/>
                <w:highlight w:val="none"/>
                <w:lang w:val="en-US" w:eastAsia="zh-CN"/>
              </w:rPr>
            </w:pPr>
            <w:r>
              <w:rPr>
                <w:rFonts w:hint="eastAsia" w:ascii="仿宋_GB2312" w:hAnsi="仿宋_GB2312" w:eastAsia="仿宋_GB2312" w:cs="仿宋_GB2312"/>
                <w:b/>
                <w:bCs/>
                <w:color w:val="auto"/>
                <w:kern w:val="2"/>
                <w:sz w:val="24"/>
                <w:szCs w:val="24"/>
                <w:highlight w:val="none"/>
                <w:lang w:val="en-US" w:eastAsia="zh-CN" w:bidi="ar-SA"/>
              </w:rPr>
              <w:t>开 户 行：</w:t>
            </w:r>
            <w:r>
              <w:rPr>
                <w:rFonts w:hint="eastAsia" w:ascii="宋体" w:hAnsi="宋体" w:eastAsia="宋体" w:cs="宋体"/>
                <w:b w:val="0"/>
                <w:bCs w:val="0"/>
                <w:color w:val="00B0F0"/>
                <w:kern w:val="2"/>
                <w:sz w:val="24"/>
                <w:szCs w:val="22"/>
                <w:highlight w:val="none"/>
                <w:lang w:val="en-US" w:eastAsia="zh-CN" w:bidi="ar-SA"/>
              </w:rPr>
              <w:t>疏附县农村信用合作联社</w:t>
            </w:r>
            <w:r>
              <w:rPr>
                <w:rFonts w:hint="eastAsia" w:ascii="仿宋_GB2312" w:hAnsi="仿宋_GB2312" w:eastAsia="仿宋_GB2312" w:cs="仿宋_GB2312"/>
                <w:sz w:val="24"/>
                <w:highlight w:val="none"/>
                <w:lang w:val="en-US" w:eastAsia="zh-CN"/>
              </w:rPr>
              <w:t xml:space="preserve">                                                                                                                                                                                                                                                                                                                                                                                                                                                                                                                                                                                                                                                                                                                                                                                                                                                                                                                                                                                                                                                                                                                                                                                                                                                                             </w:t>
            </w:r>
          </w:p>
          <w:p w14:paraId="641EEB76">
            <w:pPr>
              <w:keepNext w:val="0"/>
              <w:keepLines w:val="0"/>
              <w:widowControl/>
              <w:suppressLineNumbers w:val="0"/>
              <w:spacing w:before="0" w:beforeAutospacing="0" w:after="0" w:afterAutospacing="0"/>
              <w:ind w:left="0" w:right="0"/>
              <w:jc w:val="left"/>
              <w:rPr>
                <w:rFonts w:hint="eastAsia" w:ascii="Times New Roman" w:hAnsi="Times New Roman" w:cs="Times New Roman"/>
                <w:lang w:eastAsia="zh-CN"/>
              </w:rPr>
            </w:pPr>
            <w:r>
              <w:rPr>
                <w:rFonts w:hint="eastAsia" w:ascii="宋体" w:hAnsi="Times New Roman" w:cs="Times New Roman"/>
                <w:bCs/>
                <w:sz w:val="24"/>
              </w:rPr>
              <w:t>1.打款时必须注明投标保证金项目名称或项目编号（否则视为无效打款）。到账截止时间：投标截止时间（以到账时间为准）。 2.本项目不需要换取收据，银行汇款凭证用于投标保证金证明。如因投标人自身原因打款不成功的，代理机构不承担任何责任。 3.中标人应在与采购人签订合同之日起 5 个工作日内，保证金收受机构根据中标人提供的打款凭证及时办理投标保证金无息退还手续。 4.未中标投标人的投标保证金将在中标通知书发出之日起 5 个工作日内无息退还，保证金收受机构根据未中标人提供的打款凭证及时办理退还投标保证金手续。</w:t>
            </w:r>
          </w:p>
        </w:tc>
      </w:tr>
      <w:tr w14:paraId="0E5919A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33" w:hRule="atLeast"/>
        </w:trPr>
        <w:tc>
          <w:tcPr>
            <w:tcW w:w="919" w:type="dxa"/>
            <w:noWrap w:val="0"/>
            <w:vAlign w:val="center"/>
          </w:tcPr>
          <w:p w14:paraId="1455E3EA">
            <w:pPr>
              <w:keepNext w:val="0"/>
              <w:keepLines w:val="0"/>
              <w:suppressLineNumbers w:val="0"/>
              <w:spacing w:before="0" w:beforeAutospacing="0" w:after="0" w:afterAutospacing="0" w:line="240" w:lineRule="atLeast"/>
              <w:ind w:left="0" w:right="0"/>
              <w:jc w:val="center"/>
              <w:rPr>
                <w:rFonts w:hint="eastAsia" w:ascii="仿宋_GB2312" w:hAnsi="仿宋_GB2312" w:eastAsia="仿宋_GB2312" w:cs="仿宋_GB2312"/>
                <w:sz w:val="24"/>
              </w:rPr>
            </w:pPr>
            <w:r>
              <w:rPr>
                <w:rFonts w:hint="eastAsia" w:ascii="仿宋_GB2312" w:hAnsi="仿宋_GB2312" w:eastAsia="仿宋_GB2312" w:cs="仿宋_GB2312"/>
                <w:sz w:val="24"/>
              </w:rPr>
              <w:t>13.1</w:t>
            </w:r>
          </w:p>
        </w:tc>
        <w:tc>
          <w:tcPr>
            <w:tcW w:w="7571" w:type="dxa"/>
            <w:noWrap w:val="0"/>
            <w:vAlign w:val="center"/>
          </w:tcPr>
          <w:p w14:paraId="6B666B9B">
            <w:pPr>
              <w:keepNext w:val="0"/>
              <w:keepLines w:val="0"/>
              <w:suppressLineNumbers w:val="0"/>
              <w:spacing w:before="0" w:beforeAutospacing="0" w:after="0" w:afterAutospacing="0" w:line="240" w:lineRule="atLeast"/>
              <w:ind w:left="0" w:right="0"/>
              <w:rPr>
                <w:rFonts w:hint="eastAsia" w:ascii="仿宋_GB2312" w:hAnsi="仿宋_GB2312" w:eastAsia="仿宋_GB2312" w:cs="仿宋_GB2312"/>
                <w:color w:val="auto"/>
                <w:sz w:val="24"/>
                <w:u w:val="single"/>
              </w:rPr>
            </w:pPr>
            <w:r>
              <w:rPr>
                <w:rFonts w:hint="eastAsia" w:ascii="仿宋_GB2312" w:hAnsi="仿宋_GB2312" w:eastAsia="仿宋_GB2312" w:cs="仿宋_GB2312"/>
                <w:color w:val="auto"/>
                <w:sz w:val="24"/>
              </w:rPr>
              <w:t>投标有效期</w:t>
            </w:r>
            <w:r>
              <w:rPr>
                <w:rFonts w:hint="eastAsia" w:ascii="仿宋_GB2312" w:hAnsi="仿宋_GB2312" w:eastAsia="仿宋_GB2312" w:cs="仿宋_GB2312"/>
                <w:color w:val="FF0000"/>
                <w:sz w:val="24"/>
              </w:rPr>
              <w:t>：</w:t>
            </w:r>
            <w:r>
              <w:rPr>
                <w:rFonts w:hint="eastAsia" w:ascii="仿宋_GB2312" w:hAnsi="仿宋_GB2312" w:eastAsia="仿宋_GB2312" w:cs="仿宋_GB2312"/>
                <w:color w:val="FF0000"/>
                <w:sz w:val="24"/>
                <w:u w:val="single"/>
              </w:rPr>
              <w:t>90</w:t>
            </w:r>
            <w:r>
              <w:rPr>
                <w:rFonts w:hint="eastAsia" w:ascii="仿宋_GB2312" w:hAnsi="仿宋_GB2312" w:eastAsia="仿宋_GB2312" w:cs="仿宋_GB2312"/>
                <w:color w:val="auto"/>
                <w:sz w:val="24"/>
              </w:rPr>
              <w:t>日历日</w:t>
            </w:r>
          </w:p>
        </w:tc>
      </w:tr>
      <w:tr w14:paraId="7089302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38" w:hRule="atLeast"/>
        </w:trPr>
        <w:tc>
          <w:tcPr>
            <w:tcW w:w="919" w:type="dxa"/>
            <w:noWrap w:val="0"/>
            <w:vAlign w:val="center"/>
          </w:tcPr>
          <w:p w14:paraId="43B33F03">
            <w:pPr>
              <w:keepNext w:val="0"/>
              <w:keepLines w:val="0"/>
              <w:suppressLineNumbers w:val="0"/>
              <w:spacing w:before="0" w:beforeAutospacing="0" w:after="0" w:afterAutospacing="0"/>
              <w:ind w:left="0" w:right="0"/>
              <w:jc w:val="center"/>
              <w:rPr>
                <w:rFonts w:hint="eastAsia" w:ascii="仿宋_GB2312" w:hAnsi="仿宋_GB2312" w:eastAsia="仿宋_GB2312" w:cs="仿宋_GB2312"/>
                <w:sz w:val="24"/>
              </w:rPr>
            </w:pPr>
            <w:r>
              <w:rPr>
                <w:rFonts w:hint="eastAsia" w:ascii="仿宋_GB2312" w:hAnsi="仿宋_GB2312" w:eastAsia="仿宋_GB2312" w:cs="仿宋_GB2312"/>
                <w:sz w:val="24"/>
              </w:rPr>
              <w:t>14.1</w:t>
            </w:r>
          </w:p>
        </w:tc>
        <w:tc>
          <w:tcPr>
            <w:tcW w:w="7571" w:type="dxa"/>
            <w:noWrap w:val="0"/>
            <w:vAlign w:val="center"/>
          </w:tcPr>
          <w:p w14:paraId="028EC0B9">
            <w:pPr>
              <w:keepNext w:val="0"/>
              <w:keepLines w:val="0"/>
              <w:widowControl/>
              <w:suppressLineNumbers w:val="0"/>
              <w:spacing w:before="0" w:beforeAutospacing="0" w:after="0" w:afterAutospacing="0"/>
              <w:ind w:left="0" w:right="0"/>
              <w:jc w:val="left"/>
              <w:rPr>
                <w:rFonts w:hint="default" w:ascii="Times New Roman" w:hAnsi="Times New Roman" w:cs="Times New Roman"/>
              </w:rPr>
            </w:pPr>
            <w:r>
              <w:rPr>
                <w:rFonts w:hint="default" w:ascii="仿宋" w:hAnsi="仿宋" w:eastAsia="仿宋" w:cs="仿宋"/>
                <w:color w:val="000000"/>
                <w:kern w:val="0"/>
                <w:sz w:val="24"/>
                <w:szCs w:val="24"/>
                <w:lang w:val="en-US" w:eastAsia="zh-CN" w:bidi="ar"/>
              </w:rPr>
              <w:t>1.本项目为电子招投标，供应商需要使用 CA 加密设备，凡参加本项</w:t>
            </w:r>
            <w:r>
              <w:rPr>
                <w:rFonts w:hint="eastAsia" w:ascii="仿宋" w:hAnsi="仿宋" w:eastAsia="仿宋" w:cs="仿宋"/>
                <w:color w:val="000000"/>
                <w:kern w:val="0"/>
                <w:sz w:val="24"/>
                <w:szCs w:val="24"/>
                <w:lang w:val="en-US" w:eastAsia="zh-CN" w:bidi="ar"/>
              </w:rPr>
              <w:t xml:space="preserve">目必须可自主通过新疆 CA 申领渠道“新疆政务通”申请政采云平台可使用的 CA 设备，如原有兵团或公共资源使用的 CA，可与新疆 CA 联系，申请增加电子证书即可，无需重复申领。 </w:t>
            </w:r>
          </w:p>
          <w:p w14:paraId="2C534456">
            <w:pPr>
              <w:keepNext w:val="0"/>
              <w:keepLines w:val="0"/>
              <w:widowControl/>
              <w:suppressLineNumbers w:val="0"/>
              <w:spacing w:before="0" w:beforeAutospacing="0" w:after="0" w:afterAutospacing="0"/>
              <w:ind w:left="0" w:right="0"/>
              <w:jc w:val="left"/>
              <w:rPr>
                <w:rFonts w:hint="default" w:ascii="Times New Roman" w:hAnsi="Times New Roman" w:cs="Times New Roman"/>
              </w:rPr>
            </w:pPr>
            <w:r>
              <w:rPr>
                <w:rFonts w:hint="eastAsia" w:ascii="仿宋" w:hAnsi="仿宋" w:eastAsia="仿宋" w:cs="仿宋"/>
                <w:color w:val="000000"/>
                <w:kern w:val="0"/>
                <w:sz w:val="24"/>
                <w:szCs w:val="24"/>
                <w:lang w:val="en-US" w:eastAsia="zh-CN" w:bidi="ar"/>
              </w:rPr>
              <w:t xml:space="preserve">2.本项目实行网上投标，采用电子投标文件(供应商须使用 CA 加密设备通过政采云电子投标客户端制作投标文件)。若供应商参与投标，自行承担投标一切费用。 </w:t>
            </w:r>
          </w:p>
          <w:p w14:paraId="468652DC">
            <w:pPr>
              <w:keepNext w:val="0"/>
              <w:keepLines w:val="0"/>
              <w:widowControl/>
              <w:suppressLineNumbers w:val="0"/>
              <w:spacing w:before="0" w:beforeAutospacing="0" w:after="0" w:afterAutospacing="0"/>
              <w:ind w:left="0" w:right="0"/>
              <w:jc w:val="left"/>
              <w:rPr>
                <w:rFonts w:hint="default" w:ascii="Times New Roman" w:hAnsi="Times New Roman" w:cs="Times New Roman"/>
              </w:rPr>
            </w:pPr>
            <w:r>
              <w:rPr>
                <w:rFonts w:hint="eastAsia" w:ascii="仿宋" w:hAnsi="仿宋" w:eastAsia="仿宋" w:cs="仿宋"/>
                <w:color w:val="000000"/>
                <w:kern w:val="0"/>
                <w:sz w:val="24"/>
                <w:szCs w:val="24"/>
                <w:lang w:val="en-US" w:eastAsia="zh-CN" w:bidi="ar"/>
              </w:rPr>
              <w:t xml:space="preserve">3.各供应商应在开标前应确保成为新疆政府采购网正式注册入库供应商，并完成 CA 数字证书申领。因未注册入库、未办理 CA 数字证书等原因造成无法投标或投标失败等后果由供应商自行承担。 </w:t>
            </w:r>
          </w:p>
          <w:p w14:paraId="6E15DC03">
            <w:pPr>
              <w:keepNext w:val="0"/>
              <w:keepLines w:val="0"/>
              <w:widowControl/>
              <w:suppressLineNumbers w:val="0"/>
              <w:spacing w:before="0" w:beforeAutospacing="0" w:after="0" w:afterAutospacing="0"/>
              <w:ind w:left="0" w:right="0"/>
              <w:jc w:val="left"/>
              <w:rPr>
                <w:rFonts w:hint="default" w:ascii="Times New Roman" w:hAnsi="Times New Roman" w:cs="Times New Roman"/>
              </w:rPr>
            </w:pPr>
            <w:r>
              <w:rPr>
                <w:rFonts w:hint="eastAsia" w:ascii="仿宋" w:hAnsi="仿宋" w:eastAsia="仿宋" w:cs="仿宋"/>
                <w:color w:val="000000"/>
                <w:kern w:val="0"/>
                <w:sz w:val="24"/>
                <w:szCs w:val="24"/>
                <w:lang w:val="en-US" w:eastAsia="zh-CN" w:bidi="ar"/>
              </w:rPr>
              <w:t xml:space="preserve">4.供应商将政采云电子交易客户端下载、安装完成后，可通过账号密码或 CA 登录客户端进行投标文件制作。在使用政采云投标客户端时，建议使用WIN7及以上操作系统。客户端请至新疆政府采购网（http://www.ccgp-xinjiang.gov.cn/）下载专区查看，如有问题可拨打政采云客户服务热线 400-881-7190 进行咨询。 </w:t>
            </w:r>
          </w:p>
          <w:p w14:paraId="58150254">
            <w:pPr>
              <w:keepNext w:val="0"/>
              <w:keepLines w:val="0"/>
              <w:widowControl/>
              <w:suppressLineNumbers w:val="0"/>
              <w:spacing w:before="0" w:beforeAutospacing="0" w:after="0" w:afterAutospacing="0"/>
              <w:ind w:left="0" w:right="0"/>
              <w:jc w:val="left"/>
              <w:rPr>
                <w:rFonts w:hint="default" w:ascii="Times New Roman" w:hAnsi="Times New Roman" w:cs="Times New Roman"/>
              </w:rPr>
            </w:pPr>
            <w:r>
              <w:rPr>
                <w:rFonts w:hint="eastAsia" w:ascii="仿宋" w:hAnsi="仿宋" w:eastAsia="仿宋" w:cs="仿宋"/>
                <w:color w:val="000000"/>
                <w:kern w:val="0"/>
                <w:sz w:val="24"/>
                <w:szCs w:val="24"/>
                <w:lang w:val="en-US" w:eastAsia="zh-CN" w:bidi="ar"/>
              </w:rPr>
              <w:t>5.供应商在开标时须使用制作加密电子投标文件所使用的 CA 锁及电脑，电脑须提前配置好浏览器（建议使用谷歌极速浏览器），以便开标时解锁。</w:t>
            </w:r>
          </w:p>
          <w:p w14:paraId="2B7E15E9">
            <w:pPr>
              <w:keepNext w:val="0"/>
              <w:keepLines w:val="0"/>
              <w:widowControl/>
              <w:suppressLineNumbers w:val="0"/>
              <w:spacing w:before="0" w:beforeAutospacing="0" w:after="0" w:afterAutospacing="0"/>
              <w:ind w:left="0" w:right="0"/>
              <w:jc w:val="left"/>
              <w:rPr>
                <w:rFonts w:hint="eastAsia" w:ascii="仿宋" w:hAnsi="仿宋" w:eastAsia="仿宋" w:cs="仿宋"/>
                <w:color w:val="000000"/>
                <w:kern w:val="0"/>
                <w:sz w:val="24"/>
                <w:szCs w:val="24"/>
                <w:lang w:val="en-US" w:eastAsia="zh-CN" w:bidi="ar"/>
              </w:rPr>
            </w:pPr>
            <w:r>
              <w:rPr>
                <w:rFonts w:hint="eastAsia" w:ascii="仿宋" w:hAnsi="仿宋" w:eastAsia="仿宋" w:cs="仿宋"/>
                <w:color w:val="000000"/>
                <w:kern w:val="0"/>
                <w:sz w:val="24"/>
                <w:szCs w:val="24"/>
                <w:lang w:val="en-US" w:eastAsia="zh-CN" w:bidi="ar"/>
              </w:rPr>
              <w:t xml:space="preserve">6.投标保证金缴纳及确认时间：凡拟参加本次招标项目的供应商，必须在开标前将投标保证金汇入指定账户。投标保证金汇款凭证上用途栏应注明:招标项目名称+标项号+投标保证金。否则，届时其投标将被拒绝。 </w:t>
            </w:r>
          </w:p>
          <w:p w14:paraId="470883A1">
            <w:pPr>
              <w:keepNext w:val="0"/>
              <w:keepLines w:val="0"/>
              <w:widowControl/>
              <w:suppressLineNumbers w:val="0"/>
              <w:spacing w:before="0" w:beforeAutospacing="0" w:after="0" w:afterAutospacing="0"/>
              <w:ind w:left="0" w:right="0"/>
              <w:jc w:val="left"/>
              <w:rPr>
                <w:rFonts w:hint="default" w:ascii="Times New Roman" w:hAnsi="Times New Roman" w:cs="Times New Roman"/>
              </w:rPr>
            </w:pPr>
            <w:r>
              <w:rPr>
                <w:rFonts w:hint="eastAsia" w:ascii="仿宋" w:hAnsi="仿宋" w:eastAsia="仿宋" w:cs="仿宋"/>
                <w:color w:val="000000"/>
                <w:kern w:val="0"/>
                <w:sz w:val="24"/>
                <w:szCs w:val="24"/>
                <w:lang w:val="en-US" w:eastAsia="zh-CN" w:bidi="ar"/>
              </w:rPr>
              <w:t xml:space="preserve">7. 供应商对不见面开评标系统的技术操作咨询，可通过https://edu.zcygov.cn/luban/xinjiang-e-biding 自助查询，也可在政采云帮助中心常见问题解答和操作流程讲解视频中自助查询，网址为：https://service.zcygov.cn/#/help，“项目采购”—“操作流程-电子招投标”—“政府采购项目电子交易管理操作指南-供应商”版面获取操作指南，同时对自助查询无法解决的问题可通过钉钉群及政采云在线客服获取服务支持。 </w:t>
            </w:r>
          </w:p>
          <w:p w14:paraId="19C86147">
            <w:pPr>
              <w:keepNext w:val="0"/>
              <w:keepLines w:val="0"/>
              <w:widowControl/>
              <w:suppressLineNumbers w:val="0"/>
              <w:spacing w:before="0" w:beforeAutospacing="0" w:after="0" w:afterAutospacing="0"/>
              <w:ind w:left="0" w:right="0"/>
              <w:jc w:val="left"/>
              <w:rPr>
                <w:rFonts w:hint="default" w:ascii="Times New Roman" w:hAnsi="Times New Roman" w:cs="Times New Roman"/>
              </w:rPr>
            </w:pPr>
            <w:r>
              <w:rPr>
                <w:rFonts w:hint="eastAsia" w:ascii="仿宋" w:hAnsi="仿宋" w:eastAsia="仿宋" w:cs="仿宋"/>
                <w:color w:val="000000"/>
                <w:kern w:val="0"/>
                <w:sz w:val="24"/>
                <w:szCs w:val="24"/>
                <w:lang w:val="en-US" w:eastAsia="zh-CN" w:bidi="ar"/>
              </w:rPr>
              <w:t xml:space="preserve">8.各供应商须在投标截止时间前完成在系统上递交电子投标文件。 </w:t>
            </w:r>
          </w:p>
          <w:p w14:paraId="5E583BF4">
            <w:pPr>
              <w:keepNext w:val="0"/>
              <w:keepLines w:val="0"/>
              <w:widowControl/>
              <w:suppressLineNumbers w:val="0"/>
              <w:spacing w:before="0" w:beforeAutospacing="0" w:after="0" w:afterAutospacing="0"/>
              <w:ind w:left="0" w:right="0"/>
              <w:jc w:val="left"/>
              <w:rPr>
                <w:rFonts w:hint="default" w:ascii="Times New Roman" w:hAnsi="Times New Roman" w:cs="Times New Roman"/>
              </w:rPr>
            </w:pPr>
            <w:r>
              <w:rPr>
                <w:rFonts w:hint="eastAsia" w:ascii="仿宋" w:hAnsi="仿宋" w:eastAsia="仿宋" w:cs="仿宋"/>
                <w:color w:val="000000"/>
                <w:kern w:val="0"/>
                <w:sz w:val="24"/>
                <w:szCs w:val="24"/>
                <w:lang w:val="en-US" w:eastAsia="zh-CN" w:bidi="ar"/>
              </w:rPr>
              <w:t>供应商的电子投标文件是经过 CA 证书加密后上传提交的，任何单位或个人均无法在投标截止时间(即开标时间)之前查看或篡改，不存在泄密风险。（严格按照政采云电子投标流程制作并上传电子投标文件） 。</w:t>
            </w:r>
          </w:p>
          <w:p w14:paraId="71B0B455">
            <w:pPr>
              <w:keepNext w:val="0"/>
              <w:keepLines w:val="0"/>
              <w:widowControl/>
              <w:suppressLineNumbers w:val="0"/>
              <w:spacing w:before="0" w:beforeAutospacing="0" w:after="0" w:afterAutospacing="0"/>
              <w:ind w:left="0" w:right="0"/>
              <w:jc w:val="left"/>
              <w:rPr>
                <w:rFonts w:hint="default" w:ascii="Times New Roman" w:hAnsi="Times New Roman" w:cs="Times New Roman"/>
              </w:rPr>
            </w:pPr>
            <w:r>
              <w:rPr>
                <w:rFonts w:hint="eastAsia" w:ascii="仿宋" w:hAnsi="仿宋" w:eastAsia="仿宋" w:cs="仿宋"/>
                <w:color w:val="000000"/>
                <w:kern w:val="0"/>
                <w:sz w:val="24"/>
                <w:szCs w:val="24"/>
                <w:lang w:val="en-US" w:eastAsia="zh-CN" w:bidi="ar"/>
              </w:rPr>
              <w:t xml:space="preserve">9.各供应商在投标截止时间前将“投标文件”上传至政采云平台。 </w:t>
            </w:r>
          </w:p>
          <w:p w14:paraId="22C29A69">
            <w:pPr>
              <w:keepNext w:val="0"/>
              <w:keepLines w:val="0"/>
              <w:widowControl/>
              <w:suppressLineNumbers w:val="0"/>
              <w:spacing w:before="0" w:beforeAutospacing="0" w:after="0" w:afterAutospacing="0"/>
              <w:ind w:left="0" w:right="0"/>
              <w:jc w:val="left"/>
              <w:rPr>
                <w:rFonts w:hint="default" w:ascii="Times New Roman" w:hAnsi="Times New Roman" w:cs="Times New Roman"/>
              </w:rPr>
            </w:pPr>
            <w:r>
              <w:rPr>
                <w:rFonts w:hint="eastAsia" w:ascii="仿宋" w:hAnsi="仿宋" w:eastAsia="仿宋" w:cs="仿宋"/>
                <w:color w:val="000000"/>
                <w:kern w:val="0"/>
                <w:sz w:val="24"/>
                <w:szCs w:val="24"/>
                <w:lang w:val="en-US" w:eastAsia="zh-CN" w:bidi="ar"/>
              </w:rPr>
              <w:t xml:space="preserve">响应文件包括“报价一览表及资格证明文件”与“商务及技术文件” </w:t>
            </w:r>
          </w:p>
          <w:p w14:paraId="40B8FBAD">
            <w:pPr>
              <w:keepNext w:val="0"/>
              <w:keepLines w:val="0"/>
              <w:widowControl/>
              <w:suppressLineNumbers w:val="0"/>
              <w:spacing w:before="0" w:beforeAutospacing="0" w:after="0" w:afterAutospacing="0"/>
              <w:ind w:left="0" w:right="0"/>
              <w:jc w:val="left"/>
              <w:rPr>
                <w:rFonts w:hint="default" w:ascii="Times New Roman" w:hAnsi="Times New Roman" w:cs="Times New Roman"/>
              </w:rPr>
            </w:pPr>
            <w:r>
              <w:rPr>
                <w:rFonts w:hint="eastAsia" w:ascii="仿宋" w:hAnsi="仿宋" w:eastAsia="仿宋" w:cs="仿宋"/>
                <w:color w:val="000000"/>
                <w:kern w:val="0"/>
                <w:sz w:val="24"/>
                <w:szCs w:val="24"/>
                <w:lang w:val="en-US" w:eastAsia="zh-CN" w:bidi="ar"/>
              </w:rPr>
              <w:t xml:space="preserve">两部分合并成一册。响应文件应按照招标文件规定的格式填写、签署和盖章，并以.jmbs 格式上传至政采云开评标平台。 </w:t>
            </w:r>
          </w:p>
          <w:p w14:paraId="0E679BDC">
            <w:pPr>
              <w:keepNext w:val="0"/>
              <w:keepLines w:val="0"/>
              <w:widowControl/>
              <w:suppressLineNumbers w:val="0"/>
              <w:spacing w:before="0" w:beforeAutospacing="0" w:after="0" w:afterAutospacing="0"/>
              <w:ind w:left="0" w:right="0"/>
              <w:jc w:val="left"/>
              <w:rPr>
                <w:rFonts w:hint="default" w:ascii="仿宋_GB2312" w:hAnsi="仿宋_GB2312" w:eastAsia="仿宋_GB2312" w:cs="仿宋_GB2312"/>
                <w:color w:val="auto"/>
                <w:sz w:val="24"/>
              </w:rPr>
            </w:pPr>
            <w:r>
              <w:rPr>
                <w:rFonts w:hint="eastAsia" w:ascii="仿宋" w:hAnsi="仿宋" w:eastAsia="仿宋" w:cs="仿宋"/>
                <w:color w:val="000000"/>
                <w:kern w:val="0"/>
                <w:sz w:val="24"/>
                <w:szCs w:val="24"/>
                <w:lang w:val="en-US" w:eastAsia="zh-CN" w:bidi="ar"/>
              </w:rPr>
              <w:t xml:space="preserve">10.解密时长为 30 分钟。 </w:t>
            </w:r>
          </w:p>
        </w:tc>
      </w:tr>
      <w:tr w14:paraId="0AFF2A5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98" w:hRule="atLeast"/>
        </w:trPr>
        <w:tc>
          <w:tcPr>
            <w:tcW w:w="919" w:type="dxa"/>
            <w:noWrap w:val="0"/>
            <w:vAlign w:val="center"/>
          </w:tcPr>
          <w:p w14:paraId="39C93D10">
            <w:pPr>
              <w:keepNext w:val="0"/>
              <w:keepLines w:val="0"/>
              <w:suppressLineNumbers w:val="0"/>
              <w:spacing w:before="0" w:beforeAutospacing="0" w:after="0" w:afterAutospacing="0" w:line="240" w:lineRule="atLeast"/>
              <w:ind w:left="0" w:right="0"/>
              <w:jc w:val="center"/>
              <w:rPr>
                <w:rFonts w:hint="eastAsia" w:ascii="仿宋_GB2312" w:hAnsi="仿宋_GB2312" w:eastAsia="仿宋_GB2312" w:cs="仿宋_GB2312"/>
                <w:sz w:val="24"/>
              </w:rPr>
            </w:pPr>
            <w:r>
              <w:rPr>
                <w:rFonts w:hint="eastAsia" w:ascii="仿宋_GB2312" w:hAnsi="仿宋_GB2312" w:eastAsia="仿宋_GB2312" w:cs="仿宋_GB2312"/>
                <w:sz w:val="24"/>
                <w:lang w:val="en-US" w:eastAsia="zh-CN"/>
              </w:rPr>
              <w:t>14.2</w:t>
            </w:r>
          </w:p>
        </w:tc>
        <w:tc>
          <w:tcPr>
            <w:tcW w:w="7571" w:type="dxa"/>
            <w:noWrap w:val="0"/>
            <w:vAlign w:val="center"/>
          </w:tcPr>
          <w:p w14:paraId="3CF78FA3">
            <w:pPr>
              <w:keepNext w:val="0"/>
              <w:keepLines w:val="0"/>
              <w:suppressLineNumbers w:val="0"/>
              <w:spacing w:before="0" w:beforeAutospacing="0" w:after="0" w:afterAutospacing="0" w:line="240" w:lineRule="atLeast"/>
              <w:ind w:left="0" w:right="0"/>
              <w:jc w:val="both"/>
              <w:rPr>
                <w:rFonts w:hint="eastAsia" w:ascii="仿宋_GB2312" w:hAnsi="仿宋_GB2312" w:eastAsia="仿宋_GB2312" w:cs="仿宋_GB2312"/>
                <w:sz w:val="24"/>
              </w:rPr>
            </w:pPr>
            <w:r>
              <w:rPr>
                <w:rFonts w:hint="eastAsia" w:ascii="仿宋_GB2312" w:hAnsi="仿宋_GB2312" w:eastAsia="仿宋_GB2312" w:cs="仿宋_GB2312"/>
                <w:b/>
                <w:bCs/>
                <w:color w:val="FF0000"/>
                <w:sz w:val="24"/>
                <w:lang w:val="en-US" w:eastAsia="zh-CN"/>
              </w:rPr>
              <w:t>中标供应商应在中标公告公示期结束后5个工作日内将上传的投标文件完整打印两份加盖鲜公章，一份提交给代理机构备案，一份提交给采购单位备案。</w:t>
            </w:r>
          </w:p>
        </w:tc>
      </w:tr>
      <w:tr w14:paraId="3BD4DB2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71" w:hRule="atLeast"/>
        </w:trPr>
        <w:tc>
          <w:tcPr>
            <w:tcW w:w="919" w:type="dxa"/>
            <w:noWrap w:val="0"/>
            <w:vAlign w:val="center"/>
          </w:tcPr>
          <w:p w14:paraId="382E5E20">
            <w:pPr>
              <w:keepNext w:val="0"/>
              <w:keepLines w:val="0"/>
              <w:suppressLineNumbers w:val="0"/>
              <w:spacing w:before="0" w:beforeAutospacing="0" w:after="0" w:afterAutospacing="0" w:line="240" w:lineRule="atLeast"/>
              <w:ind w:left="0" w:right="0"/>
              <w:jc w:val="center"/>
              <w:rPr>
                <w:rFonts w:hint="eastAsia" w:ascii="仿宋_GB2312" w:hAnsi="仿宋_GB2312" w:eastAsia="仿宋_GB2312" w:cs="仿宋_GB2312"/>
                <w:sz w:val="24"/>
              </w:rPr>
            </w:pPr>
            <w:r>
              <w:rPr>
                <w:rFonts w:hint="eastAsia" w:ascii="仿宋_GB2312" w:hAnsi="仿宋_GB2312" w:eastAsia="仿宋_GB2312" w:cs="仿宋_GB2312"/>
                <w:sz w:val="24"/>
              </w:rPr>
              <w:t>16.1</w:t>
            </w:r>
          </w:p>
        </w:tc>
        <w:tc>
          <w:tcPr>
            <w:tcW w:w="7571" w:type="dxa"/>
            <w:noWrap w:val="0"/>
            <w:vAlign w:val="center"/>
          </w:tcPr>
          <w:p w14:paraId="7FE71657">
            <w:pPr>
              <w:keepNext w:val="0"/>
              <w:keepLines w:val="0"/>
              <w:suppressLineNumbers w:val="0"/>
              <w:spacing w:before="0" w:beforeAutospacing="0" w:after="0" w:afterAutospacing="0" w:line="240" w:lineRule="atLeast"/>
              <w:ind w:left="0" w:right="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投标截止时间：</w:t>
            </w:r>
            <w:r>
              <w:rPr>
                <w:rFonts w:hint="eastAsia" w:ascii="宋体" w:hAnsi="宋体" w:eastAsia="宋体" w:cs="宋体"/>
                <w:b w:val="0"/>
                <w:bCs w:val="0"/>
                <w:color w:val="00B0F0"/>
                <w:kern w:val="2"/>
                <w:sz w:val="24"/>
                <w:szCs w:val="22"/>
                <w:highlight w:val="none"/>
                <w:lang w:val="en-US" w:eastAsia="zh-CN" w:bidi="ar-SA"/>
              </w:rPr>
              <w:t>202</w:t>
            </w:r>
            <w:r>
              <w:rPr>
                <w:rFonts w:hint="eastAsia" w:ascii="宋体" w:hAnsi="宋体" w:cs="宋体"/>
                <w:b w:val="0"/>
                <w:bCs w:val="0"/>
                <w:color w:val="00B0F0"/>
                <w:kern w:val="2"/>
                <w:sz w:val="24"/>
                <w:szCs w:val="22"/>
                <w:highlight w:val="none"/>
                <w:lang w:val="en-US" w:eastAsia="zh-CN" w:bidi="ar-SA"/>
              </w:rPr>
              <w:t>5</w:t>
            </w:r>
            <w:r>
              <w:rPr>
                <w:rFonts w:hint="eastAsia" w:ascii="宋体" w:hAnsi="宋体" w:eastAsia="宋体" w:cs="宋体"/>
                <w:b w:val="0"/>
                <w:bCs w:val="0"/>
                <w:color w:val="00B0F0"/>
                <w:kern w:val="2"/>
                <w:sz w:val="24"/>
                <w:szCs w:val="22"/>
                <w:highlight w:val="none"/>
                <w:lang w:val="en-US" w:eastAsia="zh-CN" w:bidi="ar-SA"/>
              </w:rPr>
              <w:t>年</w:t>
            </w:r>
            <w:r>
              <w:rPr>
                <w:rFonts w:hint="eastAsia" w:ascii="宋体" w:hAnsi="宋体" w:cs="宋体"/>
                <w:b w:val="0"/>
                <w:bCs w:val="0"/>
                <w:color w:val="00B0F0"/>
                <w:kern w:val="2"/>
                <w:sz w:val="24"/>
                <w:szCs w:val="22"/>
                <w:highlight w:val="none"/>
                <w:lang w:val="en-US" w:eastAsia="zh-CN" w:bidi="ar-SA"/>
              </w:rPr>
              <w:t>5</w:t>
            </w:r>
            <w:r>
              <w:rPr>
                <w:rFonts w:hint="eastAsia" w:ascii="宋体" w:hAnsi="宋体" w:eastAsia="宋体" w:cs="宋体"/>
                <w:b w:val="0"/>
                <w:bCs w:val="0"/>
                <w:color w:val="00B0F0"/>
                <w:kern w:val="2"/>
                <w:sz w:val="24"/>
                <w:szCs w:val="22"/>
                <w:highlight w:val="none"/>
                <w:lang w:val="en-US" w:eastAsia="zh-CN" w:bidi="ar-SA"/>
              </w:rPr>
              <w:t>月</w:t>
            </w:r>
            <w:r>
              <w:rPr>
                <w:rFonts w:hint="eastAsia" w:ascii="宋体" w:hAnsi="宋体" w:cs="宋体"/>
                <w:b w:val="0"/>
                <w:bCs w:val="0"/>
                <w:color w:val="00B0F0"/>
                <w:kern w:val="2"/>
                <w:sz w:val="24"/>
                <w:szCs w:val="22"/>
                <w:highlight w:val="none"/>
                <w:lang w:val="en-US" w:eastAsia="zh-CN" w:bidi="ar-SA"/>
              </w:rPr>
              <w:t>14</w:t>
            </w:r>
            <w:r>
              <w:rPr>
                <w:rFonts w:hint="eastAsia" w:ascii="宋体" w:hAnsi="宋体" w:eastAsia="宋体" w:cs="宋体"/>
                <w:b w:val="0"/>
                <w:bCs w:val="0"/>
                <w:color w:val="00B0F0"/>
                <w:kern w:val="2"/>
                <w:sz w:val="24"/>
                <w:szCs w:val="22"/>
                <w:highlight w:val="none"/>
                <w:lang w:val="en-US" w:eastAsia="zh-CN" w:bidi="ar-SA"/>
              </w:rPr>
              <w:t>日</w:t>
            </w:r>
            <w:r>
              <w:rPr>
                <w:rFonts w:hint="eastAsia" w:ascii="宋体" w:hAnsi="宋体" w:cs="宋体"/>
                <w:b w:val="0"/>
                <w:bCs w:val="0"/>
                <w:color w:val="00B0F0"/>
                <w:kern w:val="2"/>
                <w:sz w:val="24"/>
                <w:szCs w:val="22"/>
                <w:highlight w:val="none"/>
                <w:lang w:val="en-US" w:eastAsia="zh-CN" w:bidi="ar-SA"/>
              </w:rPr>
              <w:t>11：0</w:t>
            </w:r>
            <w:r>
              <w:rPr>
                <w:rFonts w:hint="eastAsia" w:ascii="宋体" w:hAnsi="宋体" w:eastAsia="宋体" w:cs="宋体"/>
                <w:b w:val="0"/>
                <w:bCs w:val="0"/>
                <w:color w:val="00B0F0"/>
                <w:kern w:val="2"/>
                <w:sz w:val="24"/>
                <w:szCs w:val="22"/>
                <w:highlight w:val="none"/>
                <w:lang w:val="en-US" w:eastAsia="zh-CN" w:bidi="ar-SA"/>
              </w:rPr>
              <w:t>0</w:t>
            </w:r>
            <w:r>
              <w:rPr>
                <w:rFonts w:hint="eastAsia" w:ascii="仿宋_GB2312" w:hAnsi="仿宋_GB2312" w:eastAsia="仿宋_GB2312" w:cs="仿宋_GB2312"/>
                <w:color w:val="auto"/>
                <w:sz w:val="24"/>
                <w:highlight w:val="none"/>
              </w:rPr>
              <w:t>（北京时间</w:t>
            </w:r>
            <w:r>
              <w:rPr>
                <w:rFonts w:hint="eastAsia" w:ascii="宋体" w:hAnsi="宋体" w:cs="宋体"/>
                <w:color w:val="auto"/>
                <w:kern w:val="0"/>
                <w:sz w:val="24"/>
                <w:highlight w:val="none"/>
              </w:rPr>
              <w:t>）</w:t>
            </w:r>
          </w:p>
        </w:tc>
      </w:tr>
      <w:tr w14:paraId="4D1AC79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63" w:hRule="atLeast"/>
        </w:trPr>
        <w:tc>
          <w:tcPr>
            <w:tcW w:w="919" w:type="dxa"/>
            <w:noWrap w:val="0"/>
            <w:vAlign w:val="center"/>
          </w:tcPr>
          <w:p w14:paraId="44B6F94A">
            <w:pPr>
              <w:keepNext w:val="0"/>
              <w:keepLines w:val="0"/>
              <w:suppressLineNumbers w:val="0"/>
              <w:spacing w:before="0" w:beforeAutospacing="0" w:after="0" w:afterAutospacing="0" w:line="240" w:lineRule="atLeast"/>
              <w:ind w:left="0" w:right="0"/>
              <w:jc w:val="center"/>
              <w:rPr>
                <w:rFonts w:hint="eastAsia" w:ascii="仿宋_GB2312" w:hAnsi="仿宋_GB2312" w:eastAsia="仿宋_GB2312" w:cs="仿宋_GB2312"/>
                <w:sz w:val="24"/>
              </w:rPr>
            </w:pPr>
            <w:r>
              <w:rPr>
                <w:rFonts w:hint="eastAsia" w:ascii="仿宋_GB2312" w:hAnsi="仿宋_GB2312" w:eastAsia="仿宋_GB2312" w:cs="仿宋_GB2312"/>
                <w:sz w:val="24"/>
              </w:rPr>
              <w:t>18.1</w:t>
            </w:r>
          </w:p>
        </w:tc>
        <w:tc>
          <w:tcPr>
            <w:tcW w:w="7571" w:type="dxa"/>
            <w:noWrap w:val="0"/>
            <w:vAlign w:val="center"/>
          </w:tcPr>
          <w:p w14:paraId="5EEA7D1E">
            <w:pPr>
              <w:keepNext w:val="0"/>
              <w:keepLines w:val="0"/>
              <w:suppressLineNumbers w:val="0"/>
              <w:spacing w:before="0" w:beforeAutospacing="0" w:after="0" w:afterAutospacing="0" w:line="240" w:lineRule="atLeast"/>
              <w:ind w:left="0" w:right="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开标时间：</w:t>
            </w:r>
            <w:r>
              <w:rPr>
                <w:rFonts w:hint="eastAsia" w:ascii="宋体" w:hAnsi="宋体" w:eastAsia="宋体" w:cs="宋体"/>
                <w:b w:val="0"/>
                <w:bCs w:val="0"/>
                <w:color w:val="00B0F0"/>
                <w:kern w:val="2"/>
                <w:sz w:val="24"/>
                <w:szCs w:val="22"/>
                <w:highlight w:val="none"/>
                <w:lang w:val="en-US" w:eastAsia="zh-CN" w:bidi="ar-SA"/>
              </w:rPr>
              <w:t>202</w:t>
            </w:r>
            <w:r>
              <w:rPr>
                <w:rFonts w:hint="eastAsia" w:ascii="宋体" w:hAnsi="宋体" w:cs="宋体"/>
                <w:b w:val="0"/>
                <w:bCs w:val="0"/>
                <w:color w:val="00B0F0"/>
                <w:kern w:val="2"/>
                <w:sz w:val="24"/>
                <w:szCs w:val="22"/>
                <w:highlight w:val="none"/>
                <w:lang w:val="en-US" w:eastAsia="zh-CN" w:bidi="ar-SA"/>
              </w:rPr>
              <w:t>5</w:t>
            </w:r>
            <w:r>
              <w:rPr>
                <w:rFonts w:hint="eastAsia" w:ascii="宋体" w:hAnsi="宋体" w:eastAsia="宋体" w:cs="宋体"/>
                <w:b w:val="0"/>
                <w:bCs w:val="0"/>
                <w:color w:val="00B0F0"/>
                <w:kern w:val="2"/>
                <w:sz w:val="24"/>
                <w:szCs w:val="22"/>
                <w:highlight w:val="none"/>
                <w:lang w:val="en-US" w:eastAsia="zh-CN" w:bidi="ar-SA"/>
              </w:rPr>
              <w:t>年</w:t>
            </w:r>
            <w:r>
              <w:rPr>
                <w:rFonts w:hint="eastAsia" w:ascii="宋体" w:hAnsi="宋体" w:cs="宋体"/>
                <w:b w:val="0"/>
                <w:bCs w:val="0"/>
                <w:color w:val="00B0F0"/>
                <w:kern w:val="2"/>
                <w:sz w:val="24"/>
                <w:szCs w:val="22"/>
                <w:highlight w:val="none"/>
                <w:lang w:val="en-US" w:eastAsia="zh-CN" w:bidi="ar-SA"/>
              </w:rPr>
              <w:t>5</w:t>
            </w:r>
            <w:r>
              <w:rPr>
                <w:rFonts w:hint="eastAsia" w:ascii="宋体" w:hAnsi="宋体" w:eastAsia="宋体" w:cs="宋体"/>
                <w:b w:val="0"/>
                <w:bCs w:val="0"/>
                <w:color w:val="00B0F0"/>
                <w:kern w:val="2"/>
                <w:sz w:val="24"/>
                <w:szCs w:val="22"/>
                <w:highlight w:val="none"/>
                <w:lang w:val="en-US" w:eastAsia="zh-CN" w:bidi="ar-SA"/>
              </w:rPr>
              <w:t>月</w:t>
            </w:r>
            <w:r>
              <w:rPr>
                <w:rFonts w:hint="eastAsia" w:ascii="宋体" w:hAnsi="宋体" w:cs="宋体"/>
                <w:b w:val="0"/>
                <w:bCs w:val="0"/>
                <w:color w:val="00B0F0"/>
                <w:kern w:val="2"/>
                <w:sz w:val="24"/>
                <w:szCs w:val="22"/>
                <w:highlight w:val="none"/>
                <w:lang w:val="en-US" w:eastAsia="zh-CN" w:bidi="ar-SA"/>
              </w:rPr>
              <w:t>14</w:t>
            </w:r>
            <w:r>
              <w:rPr>
                <w:rFonts w:hint="eastAsia" w:ascii="宋体" w:hAnsi="宋体" w:eastAsia="宋体" w:cs="宋体"/>
                <w:b w:val="0"/>
                <w:bCs w:val="0"/>
                <w:color w:val="00B0F0"/>
                <w:kern w:val="2"/>
                <w:sz w:val="24"/>
                <w:szCs w:val="22"/>
                <w:highlight w:val="none"/>
                <w:lang w:val="en-US" w:eastAsia="zh-CN" w:bidi="ar-SA"/>
              </w:rPr>
              <w:t>日</w:t>
            </w:r>
            <w:r>
              <w:rPr>
                <w:rFonts w:hint="eastAsia" w:ascii="宋体" w:hAnsi="宋体" w:cs="宋体"/>
                <w:b w:val="0"/>
                <w:bCs w:val="0"/>
                <w:color w:val="00B0F0"/>
                <w:kern w:val="2"/>
                <w:sz w:val="24"/>
                <w:szCs w:val="22"/>
                <w:highlight w:val="none"/>
                <w:lang w:val="en-US" w:eastAsia="zh-CN" w:bidi="ar-SA"/>
              </w:rPr>
              <w:t>11：0</w:t>
            </w:r>
            <w:r>
              <w:rPr>
                <w:rFonts w:hint="eastAsia" w:ascii="宋体" w:hAnsi="宋体" w:eastAsia="宋体" w:cs="宋体"/>
                <w:b w:val="0"/>
                <w:bCs w:val="0"/>
                <w:color w:val="00B0F0"/>
                <w:kern w:val="2"/>
                <w:sz w:val="24"/>
                <w:szCs w:val="22"/>
                <w:highlight w:val="none"/>
                <w:lang w:val="en-US" w:eastAsia="zh-CN" w:bidi="ar-SA"/>
              </w:rPr>
              <w:t>0</w:t>
            </w:r>
            <w:r>
              <w:rPr>
                <w:rFonts w:hint="eastAsia" w:ascii="仿宋_GB2312" w:hAnsi="仿宋_GB2312" w:eastAsia="仿宋_GB2312" w:cs="仿宋_GB2312"/>
                <w:color w:val="auto"/>
                <w:sz w:val="24"/>
                <w:highlight w:val="none"/>
              </w:rPr>
              <w:t>（北京时间）</w:t>
            </w:r>
          </w:p>
          <w:p w14:paraId="136BB782">
            <w:pPr>
              <w:keepNext w:val="0"/>
              <w:keepLines w:val="0"/>
              <w:widowControl/>
              <w:suppressLineNumbers w:val="0"/>
              <w:spacing w:before="0" w:beforeAutospacing="0" w:after="0" w:afterAutospacing="0"/>
              <w:ind w:left="0" w:right="0"/>
              <w:jc w:val="left"/>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开标地点：</w:t>
            </w:r>
            <w:r>
              <w:rPr>
                <w:rFonts w:hint="eastAsia" w:ascii="仿宋_GB2312" w:hAnsi="仿宋_GB2312" w:eastAsia="仿宋_GB2312" w:cs="仿宋_GB2312"/>
                <w:color w:val="auto"/>
                <w:sz w:val="24"/>
                <w:highlight w:val="none"/>
                <w:lang w:val="en-US" w:eastAsia="zh-CN"/>
              </w:rPr>
              <w:t>（https://login.zcygov.cn/user-login/#/login）</w:t>
            </w:r>
          </w:p>
        </w:tc>
      </w:tr>
      <w:tr w14:paraId="79F1E6F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78" w:hRule="atLeast"/>
        </w:trPr>
        <w:tc>
          <w:tcPr>
            <w:tcW w:w="919" w:type="dxa"/>
            <w:noWrap w:val="0"/>
            <w:vAlign w:val="center"/>
          </w:tcPr>
          <w:p w14:paraId="2BE74DCB">
            <w:pPr>
              <w:keepNext w:val="0"/>
              <w:keepLines w:val="0"/>
              <w:suppressLineNumbers w:val="0"/>
              <w:spacing w:before="0" w:beforeAutospacing="0" w:after="0" w:afterAutospacing="0" w:line="240" w:lineRule="atLeast"/>
              <w:ind w:left="0" w:right="0"/>
              <w:jc w:val="center"/>
              <w:rPr>
                <w:rFonts w:hint="default" w:ascii="仿宋_GB2312" w:hAnsi="仿宋_GB2312" w:eastAsia="仿宋_GB2312" w:cs="仿宋_GB2312"/>
                <w:sz w:val="24"/>
                <w:lang w:val="en-US" w:eastAsia="zh-CN"/>
              </w:rPr>
            </w:pPr>
            <w:r>
              <w:rPr>
                <w:rFonts w:hint="eastAsia" w:ascii="仿宋_GB2312" w:hAnsi="仿宋_GB2312" w:eastAsia="仿宋_GB2312" w:cs="仿宋_GB2312"/>
                <w:sz w:val="24"/>
                <w:lang w:val="en-US" w:eastAsia="zh-CN"/>
              </w:rPr>
              <w:t>20.1</w:t>
            </w:r>
          </w:p>
        </w:tc>
        <w:tc>
          <w:tcPr>
            <w:tcW w:w="7571" w:type="dxa"/>
            <w:noWrap w:val="0"/>
            <w:vAlign w:val="center"/>
          </w:tcPr>
          <w:p w14:paraId="3587CB2E">
            <w:pPr>
              <w:keepNext w:val="0"/>
              <w:keepLines w:val="0"/>
              <w:widowControl/>
              <w:suppressLineNumbers w:val="0"/>
              <w:spacing w:before="0" w:beforeAutospacing="0" w:after="0" w:afterAutospacing="0"/>
              <w:ind w:left="0" w:right="0"/>
              <w:jc w:val="left"/>
              <w:rPr>
                <w:rFonts w:hint="default" w:ascii="Times New Roman" w:hAnsi="Times New Roman" w:eastAsia="仿宋" w:cs="Times New Roman"/>
                <w:lang w:val="en-US" w:eastAsia="zh-CN"/>
              </w:rPr>
            </w:pPr>
            <w:r>
              <w:rPr>
                <w:rFonts w:hint="eastAsia" w:ascii="仿宋" w:hAnsi="仿宋" w:eastAsia="仿宋" w:cs="仿宋"/>
                <w:color w:val="000000"/>
                <w:kern w:val="0"/>
                <w:sz w:val="24"/>
                <w:szCs w:val="24"/>
                <w:lang w:val="en-US" w:eastAsia="zh-CN" w:bidi="ar"/>
              </w:rPr>
              <w:t>核心产品</w:t>
            </w:r>
            <w:r>
              <w:rPr>
                <w:rFonts w:hint="eastAsia" w:ascii="仿宋" w:hAnsi="仿宋" w:eastAsia="仿宋" w:cs="仿宋"/>
                <w:b/>
                <w:bCs/>
                <w:color w:val="000000"/>
                <w:kern w:val="0"/>
                <w:sz w:val="24"/>
                <w:szCs w:val="24"/>
                <w:lang w:val="en-US" w:eastAsia="zh-CN" w:bidi="ar"/>
              </w:rPr>
              <w:t>：互动录播主机</w:t>
            </w:r>
            <w:r>
              <w:rPr>
                <w:rFonts w:hint="eastAsia" w:ascii="宋体" w:hAnsi="宋体" w:eastAsia="宋体" w:cs="宋体"/>
                <w:b w:val="0"/>
                <w:bCs w:val="0"/>
                <w:color w:val="00B0F0"/>
                <w:kern w:val="2"/>
                <w:sz w:val="24"/>
                <w:szCs w:val="22"/>
                <w:highlight w:val="none"/>
                <w:lang w:val="en-US" w:eastAsia="zh-CN" w:bidi="ar-SA"/>
              </w:rPr>
              <w:t>。</w:t>
            </w:r>
          </w:p>
        </w:tc>
      </w:tr>
      <w:tr w14:paraId="2027321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168" w:hRule="atLeast"/>
        </w:trPr>
        <w:tc>
          <w:tcPr>
            <w:tcW w:w="919" w:type="dxa"/>
            <w:noWrap w:val="0"/>
            <w:vAlign w:val="center"/>
          </w:tcPr>
          <w:p w14:paraId="6203F87D">
            <w:pPr>
              <w:keepNext w:val="0"/>
              <w:keepLines w:val="0"/>
              <w:suppressLineNumbers w:val="0"/>
              <w:spacing w:before="0" w:beforeAutospacing="0" w:after="0" w:afterAutospacing="0" w:line="240" w:lineRule="atLeast"/>
              <w:ind w:left="0" w:right="0"/>
              <w:jc w:val="center"/>
              <w:rPr>
                <w:rFonts w:hint="eastAsia" w:ascii="仿宋_GB2312" w:hAnsi="仿宋_GB2312" w:eastAsia="仿宋_GB2312" w:cs="仿宋_GB2312"/>
                <w:sz w:val="24"/>
              </w:rPr>
            </w:pPr>
            <w:r>
              <w:rPr>
                <w:rFonts w:hint="eastAsia" w:ascii="仿宋_GB2312" w:hAnsi="仿宋_GB2312" w:eastAsia="仿宋_GB2312" w:cs="仿宋_GB2312"/>
                <w:sz w:val="24"/>
              </w:rPr>
              <w:t>23.2</w:t>
            </w:r>
          </w:p>
        </w:tc>
        <w:tc>
          <w:tcPr>
            <w:tcW w:w="7571" w:type="dxa"/>
            <w:noWrap w:val="0"/>
            <w:vAlign w:val="center"/>
          </w:tcPr>
          <w:p w14:paraId="5692D682">
            <w:pPr>
              <w:keepNext w:val="0"/>
              <w:keepLines w:val="0"/>
              <w:suppressLineNumbers w:val="0"/>
              <w:spacing w:before="0" w:beforeAutospacing="0" w:after="0" w:afterAutospacing="0" w:line="240" w:lineRule="atLeast"/>
              <w:ind w:left="0" w:right="0"/>
              <w:rPr>
                <w:rFonts w:hint="eastAsia" w:ascii="仿宋_GB2312" w:hAnsi="仿宋_GB2312" w:eastAsia="仿宋_GB2312" w:cs="仿宋_GB2312"/>
                <w:i/>
                <w:color w:val="auto"/>
                <w:sz w:val="24"/>
              </w:rPr>
            </w:pPr>
            <w:r>
              <w:rPr>
                <w:rFonts w:hint="eastAsia" w:ascii="仿宋_GB2312" w:hAnsi="仿宋_GB2312" w:eastAsia="仿宋_GB2312" w:cs="仿宋_GB2312"/>
                <w:color w:val="auto"/>
                <w:sz w:val="24"/>
              </w:rPr>
              <w:t>本项目评标方法：</w:t>
            </w:r>
            <w:r>
              <w:rPr>
                <w:rFonts w:hint="eastAsia" w:ascii="宋体" w:hAnsi="宋体" w:eastAsia="宋体" w:cs="宋体"/>
                <w:b w:val="0"/>
                <w:bCs w:val="0"/>
                <w:color w:val="00B0F0"/>
                <w:kern w:val="2"/>
                <w:sz w:val="24"/>
                <w:szCs w:val="22"/>
                <w:highlight w:val="none"/>
                <w:lang w:val="en-US" w:eastAsia="zh-CN" w:bidi="ar-SA"/>
              </w:rPr>
              <w:t>适用综合评分法　</w:t>
            </w:r>
            <w:r>
              <w:rPr>
                <w:rFonts w:hint="eastAsia" w:ascii="仿宋_GB2312" w:hAnsi="仿宋_GB2312" w:eastAsia="仿宋_GB2312" w:cs="仿宋_GB2312"/>
                <w:color w:val="auto"/>
                <w:sz w:val="24"/>
              </w:rPr>
              <w:t>　　　　</w:t>
            </w:r>
          </w:p>
        </w:tc>
      </w:tr>
      <w:tr w14:paraId="7B756E4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3" w:hRule="atLeast"/>
        </w:trPr>
        <w:tc>
          <w:tcPr>
            <w:tcW w:w="919" w:type="dxa"/>
            <w:noWrap w:val="0"/>
            <w:vAlign w:val="center"/>
          </w:tcPr>
          <w:p w14:paraId="2E8FD7C2">
            <w:pPr>
              <w:keepNext w:val="0"/>
              <w:keepLines w:val="0"/>
              <w:suppressLineNumbers w:val="0"/>
              <w:spacing w:before="0" w:beforeAutospacing="0" w:after="0" w:afterAutospacing="0" w:line="240" w:lineRule="atLeast"/>
              <w:ind w:left="0" w:right="0"/>
              <w:jc w:val="center"/>
              <w:rPr>
                <w:rFonts w:hint="eastAsia" w:ascii="仿宋_GB2312" w:hAnsi="仿宋_GB2312" w:eastAsia="仿宋_GB2312" w:cs="仿宋_GB2312"/>
                <w:sz w:val="24"/>
              </w:rPr>
            </w:pPr>
            <w:r>
              <w:rPr>
                <w:rFonts w:hint="eastAsia" w:ascii="仿宋_GB2312" w:hAnsi="仿宋_GB2312" w:eastAsia="仿宋_GB2312" w:cs="仿宋_GB2312"/>
                <w:sz w:val="24"/>
              </w:rPr>
              <w:t>27</w:t>
            </w:r>
          </w:p>
        </w:tc>
        <w:tc>
          <w:tcPr>
            <w:tcW w:w="7571" w:type="dxa"/>
            <w:noWrap w:val="0"/>
            <w:vAlign w:val="center"/>
          </w:tcPr>
          <w:p w14:paraId="0DA9EC5F">
            <w:pPr>
              <w:keepNext w:val="0"/>
              <w:keepLines w:val="0"/>
              <w:suppressLineNumbers w:val="0"/>
              <w:spacing w:before="0" w:beforeAutospacing="0" w:after="0" w:afterAutospacing="0" w:line="240" w:lineRule="atLeast"/>
              <w:ind w:left="0" w:right="0"/>
              <w:rPr>
                <w:rFonts w:hint="eastAsia" w:ascii="仿宋_GB2312" w:hAnsi="仿宋_GB2312" w:eastAsia="仿宋_GB2312" w:cs="仿宋_GB2312"/>
                <w:color w:val="auto"/>
                <w:sz w:val="24"/>
              </w:rPr>
            </w:pPr>
            <w:r>
              <w:rPr>
                <w:rFonts w:hint="eastAsia" w:ascii="仿宋" w:hAnsi="仿宋" w:eastAsia="仿宋" w:cs="仿宋"/>
                <w:sz w:val="24"/>
              </w:rPr>
              <w:t>推荐中标候选供应商的数量：每个标段</w:t>
            </w:r>
            <w:r>
              <w:rPr>
                <w:rFonts w:hint="eastAsia" w:ascii="仿宋" w:hAnsi="仿宋" w:eastAsia="仿宋" w:cs="仿宋"/>
                <w:color w:val="FF0000"/>
                <w:sz w:val="24"/>
                <w:u w:val="single"/>
              </w:rPr>
              <w:t>3个</w:t>
            </w:r>
            <w:r>
              <w:rPr>
                <w:rFonts w:hint="eastAsia" w:ascii="仿宋" w:hAnsi="仿宋" w:eastAsia="仿宋" w:cs="仿宋"/>
                <w:sz w:val="24"/>
                <w:u w:val="single"/>
              </w:rPr>
              <w:t xml:space="preserve"> </w:t>
            </w:r>
          </w:p>
        </w:tc>
      </w:tr>
      <w:tr w14:paraId="6D0B618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1018" w:hRule="atLeast"/>
        </w:trPr>
        <w:tc>
          <w:tcPr>
            <w:tcW w:w="919" w:type="dxa"/>
            <w:noWrap w:val="0"/>
            <w:vAlign w:val="center"/>
          </w:tcPr>
          <w:p w14:paraId="7B62CA9A">
            <w:pPr>
              <w:keepNext w:val="0"/>
              <w:keepLines w:val="0"/>
              <w:suppressLineNumbers w:val="0"/>
              <w:spacing w:before="0" w:beforeAutospacing="0" w:after="0" w:afterAutospacing="0" w:line="240" w:lineRule="atLeast"/>
              <w:ind w:left="0" w:right="0"/>
              <w:jc w:val="center"/>
              <w:rPr>
                <w:rFonts w:hint="eastAsia" w:ascii="仿宋_GB2312" w:hAnsi="仿宋_GB2312" w:eastAsia="仿宋_GB2312" w:cs="仿宋_GB2312"/>
                <w:sz w:val="24"/>
              </w:rPr>
            </w:pPr>
            <w:r>
              <w:rPr>
                <w:rFonts w:hint="eastAsia" w:ascii="仿宋_GB2312" w:hAnsi="仿宋_GB2312" w:eastAsia="仿宋_GB2312" w:cs="仿宋_GB2312"/>
                <w:sz w:val="24"/>
              </w:rPr>
              <w:t>31.1</w:t>
            </w:r>
          </w:p>
        </w:tc>
        <w:tc>
          <w:tcPr>
            <w:tcW w:w="7571" w:type="dxa"/>
            <w:noWrap w:val="0"/>
            <w:vAlign w:val="center"/>
          </w:tcPr>
          <w:p w14:paraId="69E5A633">
            <w:pPr>
              <w:keepNext w:val="0"/>
              <w:keepLines w:val="0"/>
              <w:suppressLineNumbers w:val="0"/>
              <w:spacing w:before="0" w:beforeAutospacing="0" w:after="0" w:afterAutospacing="0" w:line="240" w:lineRule="atLeast"/>
              <w:ind w:left="0" w:right="0"/>
              <w:rPr>
                <w:rFonts w:hint="eastAsia" w:ascii="仿宋_GB2312" w:hAnsi="仿宋_GB2312" w:eastAsia="仿宋_GB2312" w:cs="仿宋_GB2312"/>
                <w:color w:val="00B0F0"/>
                <w:sz w:val="24"/>
                <w:highlight w:val="none"/>
                <w:u w:val="single"/>
                <w:lang w:val="en-US" w:eastAsia="zh-CN"/>
              </w:rPr>
            </w:pPr>
            <w:r>
              <w:rPr>
                <w:rFonts w:hint="eastAsia" w:ascii="仿宋_GB2312" w:hAnsi="仿宋_GB2312" w:eastAsia="仿宋_GB2312" w:cs="仿宋_GB2312"/>
                <w:sz w:val="24"/>
              </w:rPr>
              <w:t>履约保证金金额：合同总价金额的</w:t>
            </w:r>
            <w:r>
              <w:rPr>
                <w:rFonts w:hint="eastAsia" w:ascii="仿宋_GB2312" w:hAnsi="仿宋_GB2312" w:eastAsia="仿宋_GB2312" w:cs="仿宋_GB2312"/>
                <w:color w:val="00B0F0"/>
                <w:sz w:val="24"/>
                <w:highlight w:val="none"/>
                <w:u w:val="single"/>
                <w:lang w:val="en-US" w:eastAsia="zh-CN"/>
              </w:rPr>
              <w:t>5%；</w:t>
            </w:r>
            <w:bookmarkStart w:id="1623" w:name="_GoBack"/>
            <w:bookmarkEnd w:id="1623"/>
          </w:p>
          <w:p w14:paraId="26648D5C">
            <w:pPr>
              <w:keepNext w:val="0"/>
              <w:keepLines w:val="0"/>
              <w:suppressLineNumbers w:val="0"/>
              <w:spacing w:before="0" w:beforeAutospacing="0" w:after="0" w:afterAutospacing="0" w:line="240" w:lineRule="atLeast"/>
              <w:ind w:left="0" w:right="0"/>
              <w:rPr>
                <w:rFonts w:hint="default" w:ascii="仿宋_GB2312" w:hAnsi="仿宋_GB2312" w:eastAsia="仿宋_GB2312" w:cs="仿宋_GB2312"/>
                <w:color w:val="00B0F0"/>
                <w:sz w:val="24"/>
                <w:highlight w:val="none"/>
                <w:u w:val="single"/>
                <w:lang w:val="en-US" w:eastAsia="zh-CN"/>
              </w:rPr>
            </w:pPr>
            <w:r>
              <w:rPr>
                <w:rFonts w:hint="eastAsia" w:ascii="仿宋_GB2312" w:hAnsi="仿宋_GB2312" w:eastAsia="仿宋_GB2312" w:cs="仿宋_GB2312"/>
                <w:sz w:val="24"/>
              </w:rPr>
              <w:t>履约保证金形式：</w:t>
            </w:r>
            <w:r>
              <w:rPr>
                <w:rFonts w:hint="eastAsia" w:ascii="仿宋_GB2312" w:hAnsi="仿宋_GB2312" w:eastAsia="仿宋_GB2312" w:cs="仿宋_GB2312"/>
                <w:color w:val="00B0F0"/>
                <w:sz w:val="24"/>
                <w:highlight w:val="none"/>
                <w:u w:val="single"/>
                <w:lang w:val="en-US" w:eastAsia="zh-CN"/>
              </w:rPr>
              <w:t>公对公转账或保函；</w:t>
            </w:r>
          </w:p>
          <w:p w14:paraId="1E1C1F90">
            <w:pPr>
              <w:keepNext w:val="0"/>
              <w:keepLines w:val="0"/>
              <w:suppressLineNumbers w:val="0"/>
              <w:spacing w:before="0" w:beforeAutospacing="0" w:after="0" w:afterAutospacing="0" w:line="240" w:lineRule="atLeast"/>
              <w:ind w:left="0" w:right="0"/>
              <w:rPr>
                <w:rFonts w:hint="eastAsia" w:ascii="仿宋_GB2312" w:hAnsi="仿宋_GB2312" w:eastAsia="仿宋_GB2312" w:cs="仿宋_GB2312"/>
                <w:sz w:val="24"/>
                <w:u w:val="single"/>
              </w:rPr>
            </w:pPr>
            <w:r>
              <w:rPr>
                <w:rFonts w:hint="eastAsia" w:ascii="仿宋_GB2312" w:hAnsi="仿宋_GB2312" w:eastAsia="仿宋_GB2312" w:cs="仿宋_GB2312"/>
                <w:sz w:val="24"/>
              </w:rPr>
              <w:t>提交履约保证金的时间：</w:t>
            </w:r>
            <w:r>
              <w:rPr>
                <w:rFonts w:hint="eastAsia" w:ascii="仿宋_GB2312" w:hAnsi="仿宋_GB2312" w:eastAsia="仿宋_GB2312" w:cs="仿宋_GB2312"/>
                <w:color w:val="00B0F0"/>
                <w:sz w:val="24"/>
                <w:highlight w:val="none"/>
                <w:u w:val="single"/>
                <w:lang w:val="en-US" w:eastAsia="zh-CN"/>
              </w:rPr>
              <w:t>中标人应在与采购人签订合同前 3 个工作日</w:t>
            </w:r>
          </w:p>
        </w:tc>
      </w:tr>
      <w:tr w14:paraId="093765C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165" w:hRule="atLeast"/>
        </w:trPr>
        <w:tc>
          <w:tcPr>
            <w:tcW w:w="919" w:type="dxa"/>
            <w:noWrap w:val="0"/>
            <w:vAlign w:val="center"/>
          </w:tcPr>
          <w:p w14:paraId="01636A57">
            <w:pPr>
              <w:keepNext w:val="0"/>
              <w:keepLines w:val="0"/>
              <w:suppressLineNumbers w:val="0"/>
              <w:spacing w:before="0" w:beforeAutospacing="0" w:after="0" w:afterAutospacing="0" w:line="240" w:lineRule="atLeast"/>
              <w:ind w:left="0" w:right="0"/>
              <w:jc w:val="center"/>
              <w:rPr>
                <w:rFonts w:hint="eastAsia" w:ascii="仿宋_GB2312" w:hAnsi="仿宋_GB2312" w:eastAsia="仿宋_GB2312" w:cs="仿宋_GB2312"/>
                <w:sz w:val="24"/>
              </w:rPr>
            </w:pPr>
            <w:r>
              <w:rPr>
                <w:rFonts w:hint="eastAsia" w:ascii="仿宋_GB2312" w:hAnsi="仿宋_GB2312" w:eastAsia="仿宋_GB2312" w:cs="仿宋_GB2312"/>
                <w:sz w:val="24"/>
              </w:rPr>
              <w:t>32</w:t>
            </w:r>
          </w:p>
        </w:tc>
        <w:tc>
          <w:tcPr>
            <w:tcW w:w="7571" w:type="dxa"/>
            <w:noWrap w:val="0"/>
            <w:vAlign w:val="center"/>
          </w:tcPr>
          <w:p w14:paraId="40FF08A3">
            <w:pPr>
              <w:keepNext w:val="0"/>
              <w:keepLines w:val="0"/>
              <w:suppressLineNumbers w:val="0"/>
              <w:spacing w:before="0" w:beforeAutospacing="0" w:after="0" w:afterAutospacing="0" w:line="240" w:lineRule="atLeast"/>
              <w:ind w:left="0" w:right="0"/>
              <w:rPr>
                <w:rFonts w:hint="eastAsia" w:ascii="仿宋_GB2312" w:hAnsi="仿宋_GB2312" w:eastAsia="仿宋_GB2312" w:cs="仿宋_GB2312"/>
                <w:sz w:val="24"/>
              </w:rPr>
            </w:pPr>
            <w:r>
              <w:rPr>
                <w:rFonts w:hint="eastAsia" w:ascii="仿宋_GB2312" w:hAnsi="仿宋_GB2312" w:eastAsia="仿宋_GB2312" w:cs="仿宋_GB2312"/>
                <w:sz w:val="24"/>
              </w:rPr>
              <w:t>中标服务费：</w:t>
            </w:r>
            <w:r>
              <w:rPr>
                <w:rFonts w:hint="eastAsia" w:ascii="仿宋_GB2312" w:hAnsi="仿宋_GB2312" w:eastAsia="仿宋_GB2312" w:cs="仿宋_GB2312"/>
                <w:color w:val="000000" w:themeColor="text1"/>
                <w:sz w:val="24"/>
                <w14:textFill>
                  <w14:solidFill>
                    <w14:schemeClr w14:val="tx1"/>
                  </w14:solidFill>
                </w14:textFill>
              </w:rPr>
              <w:t>本项目不收取中标服务费</w:t>
            </w:r>
          </w:p>
        </w:tc>
      </w:tr>
      <w:tr w14:paraId="1432DEA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139" w:hRule="atLeast"/>
        </w:trPr>
        <w:tc>
          <w:tcPr>
            <w:tcW w:w="919" w:type="dxa"/>
            <w:noWrap w:val="0"/>
            <w:vAlign w:val="center"/>
          </w:tcPr>
          <w:p w14:paraId="4BD68D0A">
            <w:pPr>
              <w:keepNext w:val="0"/>
              <w:keepLines w:val="0"/>
              <w:suppressLineNumbers w:val="0"/>
              <w:spacing w:before="0" w:beforeAutospacing="0" w:after="0" w:afterAutospacing="0" w:line="240" w:lineRule="atLeast"/>
              <w:ind w:left="0" w:right="0"/>
              <w:jc w:val="center"/>
              <w:rPr>
                <w:rFonts w:hint="eastAsia" w:ascii="仿宋_GB2312" w:hAnsi="仿宋_GB2312" w:eastAsia="仿宋_GB2312" w:cs="仿宋_GB2312"/>
                <w:sz w:val="24"/>
              </w:rPr>
            </w:pPr>
            <w:r>
              <w:rPr>
                <w:rFonts w:hint="eastAsia" w:ascii="仿宋_GB2312" w:hAnsi="仿宋_GB2312" w:eastAsia="仿宋_GB2312" w:cs="仿宋_GB2312"/>
                <w:sz w:val="24"/>
              </w:rPr>
              <w:t>33.1</w:t>
            </w:r>
          </w:p>
        </w:tc>
        <w:tc>
          <w:tcPr>
            <w:tcW w:w="7571" w:type="dxa"/>
            <w:noWrap w:val="0"/>
            <w:vAlign w:val="center"/>
          </w:tcPr>
          <w:p w14:paraId="40F097C2">
            <w:pPr>
              <w:keepNext w:val="0"/>
              <w:keepLines w:val="0"/>
              <w:suppressLineNumbers w:val="0"/>
              <w:spacing w:before="0" w:beforeAutospacing="0" w:after="0" w:afterAutospacing="0" w:line="240" w:lineRule="atLeast"/>
              <w:ind w:left="0" w:right="0"/>
              <w:rPr>
                <w:rFonts w:hint="eastAsia" w:ascii="仿宋_GB2312" w:hAnsi="仿宋_GB2312" w:eastAsia="仿宋_GB2312" w:cs="仿宋_GB2312"/>
                <w:sz w:val="24"/>
              </w:rPr>
            </w:pPr>
            <w:r>
              <w:rPr>
                <w:rFonts w:hint="eastAsia" w:ascii="仿宋_GB2312" w:hAnsi="仿宋_GB2312" w:eastAsia="仿宋_GB2312" w:cs="仿宋_GB2312"/>
                <w:sz w:val="24"/>
              </w:rPr>
              <w:t xml:space="preserve">本项目是否属于信用担保试点范围：否 </w:t>
            </w:r>
          </w:p>
        </w:tc>
      </w:tr>
      <w:tr w14:paraId="4ED0C6E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35" w:hRule="atLeast"/>
        </w:trPr>
        <w:tc>
          <w:tcPr>
            <w:tcW w:w="919" w:type="dxa"/>
            <w:noWrap w:val="0"/>
            <w:vAlign w:val="center"/>
          </w:tcPr>
          <w:p w14:paraId="0DFFEDFD">
            <w:pPr>
              <w:keepNext w:val="0"/>
              <w:keepLines w:val="0"/>
              <w:suppressLineNumbers w:val="0"/>
              <w:spacing w:before="0" w:beforeAutospacing="0" w:after="0" w:afterAutospacing="0" w:line="240" w:lineRule="atLeast"/>
              <w:ind w:left="0" w:right="0"/>
              <w:jc w:val="center"/>
              <w:rPr>
                <w:rFonts w:hint="eastAsia" w:ascii="仿宋_GB2312" w:hAnsi="仿宋_GB2312" w:eastAsia="仿宋_GB2312" w:cs="仿宋_GB2312"/>
                <w:sz w:val="24"/>
              </w:rPr>
            </w:pPr>
            <w:r>
              <w:rPr>
                <w:rFonts w:hint="eastAsia" w:ascii="仿宋_GB2312" w:hAnsi="仿宋_GB2312" w:eastAsia="仿宋_GB2312" w:cs="仿宋_GB2312"/>
                <w:sz w:val="24"/>
              </w:rPr>
              <w:t>33.2</w:t>
            </w:r>
          </w:p>
        </w:tc>
        <w:tc>
          <w:tcPr>
            <w:tcW w:w="7571" w:type="dxa"/>
            <w:noWrap w:val="0"/>
            <w:vAlign w:val="center"/>
          </w:tcPr>
          <w:p w14:paraId="6ED28B0C">
            <w:pPr>
              <w:keepNext w:val="0"/>
              <w:keepLines w:val="0"/>
              <w:suppressLineNumbers w:val="0"/>
              <w:spacing w:before="0" w:beforeAutospacing="0" w:after="0" w:afterAutospacing="0" w:line="240" w:lineRule="atLeast"/>
              <w:ind w:left="0" w:right="0"/>
              <w:rPr>
                <w:rFonts w:hint="eastAsia" w:ascii="仿宋_GB2312" w:hAnsi="仿宋_GB2312" w:eastAsia="仿宋_GB2312" w:cs="仿宋_GB2312"/>
                <w:sz w:val="24"/>
              </w:rPr>
            </w:pPr>
            <w:r>
              <w:rPr>
                <w:rFonts w:hint="eastAsia" w:ascii="仿宋_GB2312" w:hAnsi="仿宋_GB2312" w:eastAsia="仿宋_GB2312" w:cs="仿宋_GB2312"/>
                <w:sz w:val="24"/>
              </w:rPr>
              <w:t>政府采购专业担保机构：无</w:t>
            </w:r>
          </w:p>
          <w:p w14:paraId="7A7A202E">
            <w:pPr>
              <w:keepNext w:val="0"/>
              <w:keepLines w:val="0"/>
              <w:suppressLineNumbers w:val="0"/>
              <w:spacing w:before="0" w:beforeAutospacing="0" w:after="0" w:afterAutospacing="0" w:line="240" w:lineRule="atLeast"/>
              <w:ind w:left="-48" w:leftChars="-23" w:right="0" w:firstLine="48" w:firstLineChars="20"/>
              <w:rPr>
                <w:rFonts w:hint="eastAsia" w:ascii="仿宋_GB2312" w:hAnsi="仿宋_GB2312" w:eastAsia="仿宋_GB2312" w:cs="仿宋_GB2312"/>
                <w:sz w:val="24"/>
              </w:rPr>
            </w:pPr>
            <w:r>
              <w:rPr>
                <w:rFonts w:hint="eastAsia" w:ascii="仿宋_GB2312" w:hAnsi="仿宋_GB2312" w:eastAsia="仿宋_GB2312" w:cs="仿宋_GB2312"/>
                <w:sz w:val="24"/>
              </w:rPr>
              <w:t>本项目采购人本级和上级财政部门政府采购有关规定增加的担保机构：无</w:t>
            </w:r>
          </w:p>
        </w:tc>
      </w:tr>
      <w:tr w14:paraId="4240FA2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17" w:hRule="atLeast"/>
        </w:trPr>
        <w:tc>
          <w:tcPr>
            <w:tcW w:w="919" w:type="dxa"/>
            <w:noWrap w:val="0"/>
            <w:vAlign w:val="center"/>
          </w:tcPr>
          <w:p w14:paraId="52BEA2D1">
            <w:pPr>
              <w:keepNext w:val="0"/>
              <w:keepLines w:val="0"/>
              <w:suppressLineNumbers w:val="0"/>
              <w:spacing w:before="0" w:beforeAutospacing="0" w:after="0" w:afterAutospacing="0" w:line="240" w:lineRule="atLeast"/>
              <w:ind w:left="0" w:right="0"/>
              <w:jc w:val="center"/>
              <w:rPr>
                <w:rFonts w:hint="eastAsia" w:ascii="仿宋_GB2312" w:hAnsi="仿宋_GB2312" w:eastAsia="仿宋_GB2312" w:cs="仿宋_GB2312"/>
                <w:sz w:val="24"/>
              </w:rPr>
            </w:pPr>
            <w:r>
              <w:rPr>
                <w:rFonts w:hint="eastAsia" w:ascii="仿宋_GB2312" w:hAnsi="仿宋_GB2312" w:eastAsia="仿宋_GB2312" w:cs="仿宋_GB2312"/>
                <w:sz w:val="24"/>
              </w:rPr>
              <w:t>34.3</w:t>
            </w:r>
          </w:p>
        </w:tc>
        <w:tc>
          <w:tcPr>
            <w:tcW w:w="7571" w:type="dxa"/>
            <w:noWrap w:val="0"/>
            <w:vAlign w:val="center"/>
          </w:tcPr>
          <w:p w14:paraId="1437047E">
            <w:pPr>
              <w:keepNext w:val="0"/>
              <w:keepLines w:val="0"/>
              <w:suppressLineNumbers w:val="0"/>
              <w:spacing w:before="0" w:beforeAutospacing="0" w:after="0" w:afterAutospacing="0" w:line="240" w:lineRule="atLeast"/>
              <w:ind w:left="710" w:leftChars="-23" w:right="0" w:hanging="758" w:hangingChars="316"/>
              <w:rPr>
                <w:rFonts w:hint="eastAsia" w:ascii="仿宋_GB2312" w:hAnsi="仿宋_GB2312" w:eastAsia="仿宋_GB2312" w:cs="仿宋_GB2312"/>
                <w:sz w:val="24"/>
              </w:rPr>
            </w:pPr>
            <w:r>
              <w:rPr>
                <w:rFonts w:hint="eastAsia" w:ascii="仿宋_GB2312" w:hAnsi="仿宋_GB2312" w:eastAsia="仿宋_GB2312" w:cs="仿宋_GB2312"/>
                <w:sz w:val="24"/>
              </w:rPr>
              <w:t>反腐倡廉监督电话/邮箱：</w:t>
            </w:r>
            <w:r>
              <w:rPr>
                <w:rFonts w:hint="eastAsia" w:ascii="仿宋_GB2312" w:hAnsi="仿宋_GB2312" w:eastAsia="仿宋_GB2312" w:cs="仿宋_GB2312"/>
                <w:sz w:val="24"/>
                <w:u w:val="single"/>
              </w:rPr>
              <w:t>0998-325665</w:t>
            </w:r>
            <w:r>
              <w:rPr>
                <w:rFonts w:hint="eastAsia" w:ascii="仿宋_GB2312" w:hAnsi="仿宋_GB2312" w:eastAsia="仿宋_GB2312" w:cs="仿宋_GB2312"/>
                <w:sz w:val="24"/>
                <w:u w:val="single"/>
                <w:lang w:val="en-US" w:eastAsia="zh-CN"/>
              </w:rPr>
              <w:t>3</w:t>
            </w:r>
          </w:p>
        </w:tc>
      </w:tr>
      <w:tr w14:paraId="7EBFDBA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1205" w:hRule="atLeast"/>
        </w:trPr>
        <w:tc>
          <w:tcPr>
            <w:tcW w:w="919" w:type="dxa"/>
            <w:noWrap w:val="0"/>
            <w:vAlign w:val="center"/>
          </w:tcPr>
          <w:p w14:paraId="363486F6">
            <w:pPr>
              <w:keepNext w:val="0"/>
              <w:keepLines w:val="0"/>
              <w:suppressLineNumbers w:val="0"/>
              <w:spacing w:before="0" w:beforeAutospacing="0" w:after="0" w:afterAutospacing="0" w:line="240" w:lineRule="atLeast"/>
              <w:ind w:left="0" w:right="0"/>
              <w:jc w:val="center"/>
              <w:rPr>
                <w:rFonts w:hint="eastAsia" w:ascii="仿宋_GB2312" w:hAnsi="仿宋_GB2312" w:eastAsia="仿宋_GB2312" w:cs="仿宋_GB2312"/>
                <w:sz w:val="24"/>
              </w:rPr>
            </w:pPr>
            <w:r>
              <w:rPr>
                <w:rFonts w:hint="eastAsia" w:ascii="仿宋_GB2312" w:hAnsi="仿宋_GB2312" w:eastAsia="仿宋_GB2312" w:cs="仿宋_GB2312"/>
                <w:sz w:val="24"/>
              </w:rPr>
              <w:t>36.3</w:t>
            </w:r>
          </w:p>
        </w:tc>
        <w:tc>
          <w:tcPr>
            <w:tcW w:w="7571" w:type="dxa"/>
            <w:noWrap w:val="0"/>
            <w:vAlign w:val="center"/>
          </w:tcPr>
          <w:p w14:paraId="0A6F0E1C">
            <w:pPr>
              <w:keepNext w:val="0"/>
              <w:keepLines w:val="0"/>
              <w:suppressLineNumbers w:val="0"/>
              <w:spacing w:before="0" w:beforeAutospacing="0" w:after="0" w:afterAutospacing="0" w:line="240" w:lineRule="atLeast"/>
              <w:ind w:left="0" w:right="0"/>
              <w:rPr>
                <w:rFonts w:hint="eastAsia" w:ascii="仿宋_GB2312" w:hAnsi="仿宋_GB2312" w:eastAsia="仿宋_GB2312" w:cs="仿宋_GB2312"/>
                <w:sz w:val="24"/>
                <w:u w:val="single"/>
              </w:rPr>
            </w:pPr>
            <w:r>
              <w:rPr>
                <w:rFonts w:hint="eastAsia" w:ascii="仿宋_GB2312" w:hAnsi="仿宋_GB2312" w:eastAsia="仿宋_GB2312" w:cs="仿宋_GB2312"/>
                <w:sz w:val="24"/>
                <w:u w:val="single"/>
              </w:rPr>
              <w:t>接收部门：疏附县财政局采购办</w:t>
            </w:r>
          </w:p>
          <w:p w14:paraId="1A48F4AF">
            <w:pPr>
              <w:keepNext w:val="0"/>
              <w:keepLines w:val="0"/>
              <w:suppressLineNumbers w:val="0"/>
              <w:spacing w:before="0" w:beforeAutospacing="0" w:after="0" w:afterAutospacing="0" w:line="240" w:lineRule="atLeast"/>
              <w:ind w:left="0" w:right="0"/>
              <w:rPr>
                <w:rFonts w:hint="eastAsia" w:ascii="仿宋_GB2312" w:hAnsi="仿宋_GB2312" w:eastAsia="仿宋_GB2312" w:cs="仿宋_GB2312"/>
                <w:sz w:val="24"/>
                <w:u w:val="single"/>
              </w:rPr>
            </w:pPr>
            <w:r>
              <w:rPr>
                <w:rFonts w:hint="eastAsia" w:ascii="仿宋_GB2312" w:hAnsi="仿宋_GB2312" w:eastAsia="仿宋_GB2312" w:cs="仿宋_GB2312"/>
                <w:sz w:val="24"/>
                <w:u w:val="single"/>
              </w:rPr>
              <w:t>联系电话：0998-3256562</w:t>
            </w:r>
          </w:p>
          <w:p w14:paraId="5658101F">
            <w:pPr>
              <w:keepNext w:val="0"/>
              <w:keepLines w:val="0"/>
              <w:suppressLineNumbers w:val="0"/>
              <w:spacing w:before="0" w:beforeAutospacing="0" w:after="0" w:afterAutospacing="0" w:line="240" w:lineRule="atLeast"/>
              <w:ind w:left="710" w:leftChars="-23" w:right="0" w:hanging="758" w:hangingChars="316"/>
              <w:rPr>
                <w:rFonts w:hint="eastAsia" w:ascii="仿宋_GB2312" w:hAnsi="仿宋_GB2312" w:eastAsia="仿宋_GB2312" w:cs="仿宋_GB2312"/>
                <w:sz w:val="24"/>
              </w:rPr>
            </w:pPr>
            <w:r>
              <w:rPr>
                <w:rFonts w:hint="eastAsia" w:ascii="仿宋_GB2312" w:hAnsi="仿宋_GB2312" w:eastAsia="仿宋_GB2312" w:cs="仿宋_GB2312"/>
                <w:sz w:val="24"/>
                <w:u w:val="single"/>
              </w:rPr>
              <w:t xml:space="preserve">通讯地址：疏附县财政局 </w:t>
            </w:r>
          </w:p>
        </w:tc>
      </w:tr>
    </w:tbl>
    <w:p w14:paraId="4DAEFD6A">
      <w:pPr>
        <w:spacing w:line="240" w:lineRule="atLeast"/>
        <w:rPr>
          <w:rFonts w:hint="eastAsia" w:ascii="仿宋_GB2312" w:hAnsi="仿宋_GB2312" w:eastAsia="仿宋_GB2312" w:cs="仿宋_GB2312"/>
          <w:sz w:val="24"/>
        </w:rPr>
        <w:sectPr>
          <w:headerReference r:id="rId11" w:type="default"/>
          <w:footerReference r:id="rId13" w:type="default"/>
          <w:headerReference r:id="rId12" w:type="even"/>
          <w:footerReference r:id="rId14" w:type="even"/>
          <w:pgSz w:w="11906" w:h="16838"/>
          <w:pgMar w:top="1440" w:right="1797" w:bottom="1440" w:left="1797" w:header="851" w:footer="992" w:gutter="0"/>
          <w:pgBorders>
            <w:top w:val="none" w:sz="0" w:space="0"/>
            <w:left w:val="none" w:sz="0" w:space="0"/>
            <w:bottom w:val="none" w:sz="0" w:space="0"/>
            <w:right w:val="none" w:sz="0" w:space="0"/>
          </w:pgBorders>
          <w:pgNumType w:fmt="decimal"/>
          <w:cols w:space="720" w:num="1"/>
          <w:docGrid w:linePitch="312" w:charSpace="0"/>
        </w:sectPr>
      </w:pPr>
    </w:p>
    <w:p w14:paraId="5C0A0D2B">
      <w:pPr>
        <w:pStyle w:val="3"/>
        <w:numPr>
          <w:ilvl w:val="0"/>
          <w:numId w:val="11"/>
        </w:numPr>
        <w:tabs>
          <w:tab w:val="left" w:pos="0"/>
        </w:tabs>
        <w:spacing w:before="0" w:after="0" w:line="240" w:lineRule="atLeast"/>
        <w:jc w:val="center"/>
        <w:rPr>
          <w:rFonts w:hint="eastAsia" w:ascii="仿宋_GB2312" w:hAnsi="仿宋_GB2312" w:eastAsia="仿宋_GB2312" w:cs="仿宋_GB2312"/>
          <w:color w:val="auto"/>
          <w:sz w:val="32"/>
          <w:szCs w:val="32"/>
          <w:highlight w:val="none"/>
        </w:rPr>
      </w:pPr>
      <w:bookmarkStart w:id="1548" w:name="_Toc21045"/>
      <w:bookmarkStart w:id="1549" w:name="_Toc3367"/>
      <w:bookmarkStart w:id="1550" w:name="_Toc20589"/>
      <w:bookmarkStart w:id="1551" w:name="_Toc22779"/>
      <w:bookmarkStart w:id="1552" w:name="_Toc9887"/>
      <w:bookmarkStart w:id="1553" w:name="_Toc19481"/>
      <w:bookmarkStart w:id="1554" w:name="_Toc6978"/>
      <w:bookmarkStart w:id="1555" w:name="_Toc17004"/>
      <w:bookmarkStart w:id="1556" w:name="_Toc9032"/>
      <w:bookmarkStart w:id="1557" w:name="_Toc515647831"/>
      <w:bookmarkStart w:id="1558" w:name="_Toc219175638"/>
      <w:bookmarkStart w:id="1559" w:name="_Toc507399906"/>
      <w:bookmarkStart w:id="1560" w:name="_Toc2786"/>
      <w:bookmarkStart w:id="1561" w:name="_Toc216582825"/>
      <w:bookmarkStart w:id="1562" w:name="_Toc218935354"/>
      <w:bookmarkStart w:id="1563" w:name="_Toc512937852"/>
      <w:bookmarkStart w:id="1564" w:name="_Toc27290"/>
      <w:bookmarkStart w:id="1565" w:name="_Toc12881"/>
      <w:r>
        <w:rPr>
          <w:rFonts w:hint="eastAsia" w:ascii="仿宋_GB2312" w:hAnsi="仿宋_GB2312" w:eastAsia="仿宋_GB2312" w:cs="仿宋_GB2312"/>
          <w:color w:val="auto"/>
          <w:sz w:val="32"/>
          <w:szCs w:val="32"/>
          <w:highlight w:val="none"/>
          <w:lang w:val="en-US" w:eastAsia="zh-CN"/>
        </w:rPr>
        <w:t xml:space="preserve"> </w:t>
      </w:r>
      <w:r>
        <w:rPr>
          <w:rFonts w:hint="eastAsia" w:ascii="仿宋_GB2312" w:hAnsi="仿宋_GB2312" w:eastAsia="仿宋_GB2312" w:cs="仿宋_GB2312"/>
          <w:color w:val="auto"/>
          <w:sz w:val="32"/>
          <w:szCs w:val="32"/>
          <w:highlight w:val="none"/>
        </w:rPr>
        <w:t>货物需求一览表及技术规格</w:t>
      </w:r>
      <w:bookmarkEnd w:id="1542"/>
      <w:bookmarkEnd w:id="1543"/>
      <w:bookmarkEnd w:id="1544"/>
      <w:bookmarkEnd w:id="1545"/>
      <w:bookmarkEnd w:id="1546"/>
      <w:bookmarkEnd w:id="1547"/>
      <w:bookmarkEnd w:id="1548"/>
      <w:bookmarkEnd w:id="1549"/>
      <w:bookmarkEnd w:id="1550"/>
      <w:bookmarkEnd w:id="1551"/>
      <w:bookmarkEnd w:id="1552"/>
      <w:bookmarkEnd w:id="1553"/>
      <w:bookmarkEnd w:id="1554"/>
      <w:bookmarkEnd w:id="1555"/>
      <w:bookmarkEnd w:id="1556"/>
      <w:bookmarkEnd w:id="1557"/>
      <w:bookmarkEnd w:id="1558"/>
      <w:bookmarkEnd w:id="1559"/>
      <w:bookmarkEnd w:id="1560"/>
      <w:bookmarkEnd w:id="1561"/>
      <w:bookmarkEnd w:id="1562"/>
      <w:bookmarkEnd w:id="1563"/>
      <w:bookmarkEnd w:id="1564"/>
      <w:bookmarkEnd w:id="1565"/>
      <w:bookmarkStart w:id="1566" w:name="_Toc8003"/>
      <w:bookmarkStart w:id="1567" w:name="_Toc12446"/>
      <w:bookmarkStart w:id="1568" w:name="_Toc18166"/>
      <w:bookmarkStart w:id="1569" w:name="_Toc4621"/>
      <w:bookmarkStart w:id="1570" w:name="_Toc6403"/>
      <w:bookmarkStart w:id="1571" w:name="_Toc22092"/>
      <w:bookmarkStart w:id="1572" w:name="_Toc21382"/>
      <w:bookmarkStart w:id="1573" w:name="_Toc4555"/>
    </w:p>
    <w:tbl>
      <w:tblPr>
        <w:tblStyle w:val="38"/>
        <w:tblW w:w="9258"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480"/>
        <w:gridCol w:w="619"/>
        <w:gridCol w:w="7247"/>
        <w:gridCol w:w="459"/>
        <w:gridCol w:w="453"/>
      </w:tblGrid>
      <w:tr w14:paraId="5A38F36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7" w:hRule="atLeast"/>
        </w:trPr>
        <w:tc>
          <w:tcPr>
            <w:tcW w:w="4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4F3246">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方正仿宋_GBK" w:cs="Times New Roman"/>
                <w:b/>
                <w:bCs/>
                <w:i w:val="0"/>
                <w:iCs w:val="0"/>
                <w:color w:val="000000"/>
                <w:sz w:val="18"/>
                <w:szCs w:val="18"/>
                <w:u w:val="none"/>
              </w:rPr>
            </w:pPr>
            <w:r>
              <w:rPr>
                <w:rFonts w:hint="default" w:ascii="Times New Roman" w:hAnsi="Times New Roman" w:eastAsia="方正仿宋_GBK" w:cs="Times New Roman"/>
                <w:b/>
                <w:bCs/>
                <w:i w:val="0"/>
                <w:iCs w:val="0"/>
                <w:snapToGrid w:val="0"/>
                <w:color w:val="000000"/>
                <w:kern w:val="0"/>
                <w:sz w:val="18"/>
                <w:szCs w:val="18"/>
                <w:u w:val="none"/>
                <w:lang w:val="en-US" w:eastAsia="zh-CN" w:bidi="ar"/>
              </w:rPr>
              <w:t>序号</w:t>
            </w:r>
          </w:p>
        </w:tc>
        <w:tc>
          <w:tcPr>
            <w:tcW w:w="6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E84870">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方正仿宋_GBK" w:cs="Times New Roman"/>
                <w:b/>
                <w:bCs/>
                <w:i w:val="0"/>
                <w:iCs w:val="0"/>
                <w:color w:val="000000"/>
                <w:sz w:val="18"/>
                <w:szCs w:val="18"/>
                <w:u w:val="none"/>
              </w:rPr>
            </w:pPr>
            <w:r>
              <w:rPr>
                <w:rFonts w:hint="default" w:ascii="Times New Roman" w:hAnsi="Times New Roman" w:eastAsia="方正仿宋_GBK" w:cs="Times New Roman"/>
                <w:b/>
                <w:bCs/>
                <w:i w:val="0"/>
                <w:iCs w:val="0"/>
                <w:snapToGrid w:val="0"/>
                <w:color w:val="000000"/>
                <w:kern w:val="0"/>
                <w:sz w:val="18"/>
                <w:szCs w:val="18"/>
                <w:u w:val="none"/>
                <w:lang w:val="en-US" w:eastAsia="zh-CN" w:bidi="ar"/>
              </w:rPr>
              <w:t>名称</w:t>
            </w:r>
          </w:p>
        </w:tc>
        <w:tc>
          <w:tcPr>
            <w:tcW w:w="72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889D5C">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方正仿宋_GBK" w:cs="Times New Roman"/>
                <w:b/>
                <w:bCs/>
                <w:i w:val="0"/>
                <w:iCs w:val="0"/>
                <w:color w:val="000000"/>
                <w:sz w:val="18"/>
                <w:szCs w:val="18"/>
                <w:u w:val="none"/>
              </w:rPr>
            </w:pPr>
            <w:r>
              <w:rPr>
                <w:rFonts w:hint="default" w:ascii="Times New Roman" w:hAnsi="Times New Roman" w:eastAsia="方正仿宋_GBK" w:cs="Times New Roman"/>
                <w:b/>
                <w:bCs/>
                <w:i w:val="0"/>
                <w:iCs w:val="0"/>
                <w:snapToGrid w:val="0"/>
                <w:color w:val="000000"/>
                <w:kern w:val="0"/>
                <w:sz w:val="18"/>
                <w:szCs w:val="18"/>
                <w:u w:val="none"/>
                <w:lang w:val="en-US" w:eastAsia="zh-CN" w:bidi="ar"/>
              </w:rPr>
              <w:t>技术参数</w:t>
            </w:r>
          </w:p>
        </w:tc>
        <w:tc>
          <w:tcPr>
            <w:tcW w:w="4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CAD21A">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方正仿宋_GBK" w:cs="Times New Roman"/>
                <w:b/>
                <w:bCs/>
                <w:i w:val="0"/>
                <w:iCs w:val="0"/>
                <w:color w:val="000000"/>
                <w:sz w:val="18"/>
                <w:szCs w:val="18"/>
                <w:u w:val="none"/>
              </w:rPr>
            </w:pPr>
            <w:r>
              <w:rPr>
                <w:rFonts w:hint="default" w:ascii="Times New Roman" w:hAnsi="Times New Roman" w:eastAsia="方正仿宋_GBK" w:cs="Times New Roman"/>
                <w:b/>
                <w:bCs/>
                <w:i w:val="0"/>
                <w:iCs w:val="0"/>
                <w:snapToGrid w:val="0"/>
                <w:color w:val="000000"/>
                <w:kern w:val="0"/>
                <w:sz w:val="18"/>
                <w:szCs w:val="18"/>
                <w:u w:val="none"/>
                <w:lang w:val="en-US" w:eastAsia="zh-CN" w:bidi="ar"/>
              </w:rPr>
              <w:t>数量</w:t>
            </w:r>
          </w:p>
        </w:tc>
        <w:tc>
          <w:tcPr>
            <w:tcW w:w="45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97F6A2">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方正仿宋_GBK" w:cs="Times New Roman"/>
                <w:b/>
                <w:bCs/>
                <w:i w:val="0"/>
                <w:iCs w:val="0"/>
                <w:color w:val="000000"/>
                <w:sz w:val="18"/>
                <w:szCs w:val="18"/>
                <w:u w:val="none"/>
              </w:rPr>
            </w:pPr>
            <w:r>
              <w:rPr>
                <w:rFonts w:hint="default" w:ascii="Times New Roman" w:hAnsi="Times New Roman" w:eastAsia="方正仿宋_GBK" w:cs="Times New Roman"/>
                <w:b/>
                <w:bCs/>
                <w:i w:val="0"/>
                <w:iCs w:val="0"/>
                <w:snapToGrid w:val="0"/>
                <w:color w:val="000000"/>
                <w:kern w:val="0"/>
                <w:sz w:val="18"/>
                <w:szCs w:val="18"/>
                <w:u w:val="none"/>
                <w:lang w:val="en-US" w:eastAsia="zh-CN" w:bidi="ar"/>
              </w:rPr>
              <w:t>单位</w:t>
            </w:r>
          </w:p>
        </w:tc>
      </w:tr>
      <w:tr w14:paraId="572E3A0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53" w:hRule="atLeast"/>
        </w:trPr>
        <w:tc>
          <w:tcPr>
            <w:tcW w:w="8346"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2095DC">
            <w:pPr>
              <w:keepNext w:val="0"/>
              <w:keepLines w:val="0"/>
              <w:widowControl/>
              <w:suppressLineNumbers w:val="0"/>
              <w:spacing w:before="0" w:beforeAutospacing="0" w:after="0" w:afterAutospacing="0"/>
              <w:ind w:left="0" w:right="0"/>
              <w:jc w:val="left"/>
              <w:textAlignment w:val="center"/>
              <w:rPr>
                <w:rFonts w:hint="default" w:ascii="Times New Roman" w:hAnsi="Times New Roman" w:eastAsia="方正仿宋_GBK" w:cs="Times New Roman"/>
                <w:b/>
                <w:bCs/>
                <w:i w:val="0"/>
                <w:iCs w:val="0"/>
                <w:color w:val="000000"/>
                <w:sz w:val="18"/>
                <w:szCs w:val="18"/>
                <w:u w:val="none"/>
              </w:rPr>
            </w:pPr>
            <w:r>
              <w:rPr>
                <w:rFonts w:hint="default" w:ascii="Times New Roman" w:hAnsi="Times New Roman" w:eastAsia="方正仿宋_GBK" w:cs="Times New Roman"/>
                <w:b/>
                <w:bCs/>
                <w:i w:val="0"/>
                <w:iCs w:val="0"/>
                <w:snapToGrid w:val="0"/>
                <w:color w:val="000000"/>
                <w:kern w:val="0"/>
                <w:sz w:val="18"/>
                <w:szCs w:val="18"/>
                <w:u w:val="none"/>
                <w:lang w:val="en-US" w:eastAsia="zh-CN" w:bidi="ar"/>
              </w:rPr>
              <w:t>一、智慧教学终端</w:t>
            </w:r>
          </w:p>
        </w:tc>
        <w:tc>
          <w:tcPr>
            <w:tcW w:w="4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8569DD">
            <w:pPr>
              <w:keepNext w:val="0"/>
              <w:keepLines w:val="0"/>
              <w:suppressLineNumbers w:val="0"/>
              <w:spacing w:before="0" w:beforeAutospacing="0" w:after="0" w:afterAutospacing="0"/>
              <w:ind w:left="0" w:right="0"/>
              <w:rPr>
                <w:rFonts w:hint="default" w:ascii="Times New Roman" w:hAnsi="Times New Roman" w:eastAsia="方正仿宋_GBK" w:cs="Times New Roman"/>
                <w:b/>
                <w:bCs/>
                <w:i w:val="0"/>
                <w:iCs w:val="0"/>
                <w:color w:val="000000"/>
                <w:sz w:val="18"/>
                <w:szCs w:val="18"/>
                <w:u w:val="none"/>
              </w:rPr>
            </w:pPr>
          </w:p>
        </w:tc>
        <w:tc>
          <w:tcPr>
            <w:tcW w:w="45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C29694">
            <w:pPr>
              <w:keepNext w:val="0"/>
              <w:keepLines w:val="0"/>
              <w:suppressLineNumbers w:val="0"/>
              <w:spacing w:before="0" w:beforeAutospacing="0" w:after="0" w:afterAutospacing="0"/>
              <w:ind w:left="0" w:right="0"/>
              <w:rPr>
                <w:rFonts w:hint="default" w:ascii="Times New Roman" w:hAnsi="Times New Roman" w:eastAsia="方正仿宋_GBK" w:cs="Times New Roman"/>
                <w:b/>
                <w:bCs/>
                <w:i w:val="0"/>
                <w:iCs w:val="0"/>
                <w:color w:val="000000"/>
                <w:sz w:val="18"/>
                <w:szCs w:val="18"/>
                <w:u w:val="none"/>
              </w:rPr>
            </w:pPr>
          </w:p>
        </w:tc>
      </w:tr>
      <w:tr w14:paraId="688121D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66" w:hRule="atLeast"/>
        </w:trPr>
        <w:tc>
          <w:tcPr>
            <w:tcW w:w="4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81DA45">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方正仿宋_GBK" w:cs="Times New Roman"/>
                <w:i w:val="0"/>
                <w:iCs w:val="0"/>
                <w:color w:val="000000"/>
                <w:sz w:val="18"/>
                <w:szCs w:val="18"/>
                <w:u w:val="none"/>
              </w:rPr>
            </w:pPr>
            <w:r>
              <w:rPr>
                <w:rFonts w:hint="default" w:ascii="Times New Roman" w:hAnsi="Times New Roman" w:eastAsia="方正仿宋_GBK" w:cs="Times New Roman"/>
                <w:i w:val="0"/>
                <w:iCs w:val="0"/>
                <w:snapToGrid w:val="0"/>
                <w:color w:val="000000"/>
                <w:kern w:val="0"/>
                <w:sz w:val="18"/>
                <w:szCs w:val="18"/>
                <w:u w:val="none"/>
                <w:lang w:val="en-US" w:eastAsia="zh-CN" w:bidi="ar"/>
              </w:rPr>
              <w:t>1</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1EB04F">
            <w:pPr>
              <w:keepNext w:val="0"/>
              <w:keepLines w:val="0"/>
              <w:widowControl/>
              <w:suppressLineNumbers w:val="0"/>
              <w:spacing w:before="0" w:beforeAutospacing="0" w:after="0" w:afterAutospacing="0"/>
              <w:ind w:left="0" w:right="0"/>
              <w:jc w:val="left"/>
              <w:textAlignment w:val="center"/>
              <w:rPr>
                <w:rFonts w:hint="default" w:ascii="Times New Roman" w:hAnsi="Times New Roman" w:eastAsia="方正仿宋_GBK" w:cs="Times New Roman"/>
                <w:i w:val="0"/>
                <w:iCs w:val="0"/>
                <w:color w:val="000000"/>
                <w:sz w:val="18"/>
                <w:szCs w:val="18"/>
                <w:u w:val="none"/>
              </w:rPr>
            </w:pPr>
            <w:r>
              <w:rPr>
                <w:rFonts w:hint="default" w:ascii="Times New Roman" w:hAnsi="Times New Roman" w:eastAsia="方正仿宋_GBK" w:cs="Times New Roman"/>
                <w:i w:val="0"/>
                <w:iCs w:val="0"/>
                <w:snapToGrid w:val="0"/>
                <w:color w:val="000000"/>
                <w:kern w:val="0"/>
                <w:sz w:val="18"/>
                <w:szCs w:val="18"/>
                <w:u w:val="none"/>
                <w:lang w:val="en-US" w:eastAsia="zh-CN" w:bidi="ar"/>
              </w:rPr>
              <w:t>智慧记忆黑板</w:t>
            </w:r>
          </w:p>
        </w:tc>
        <w:tc>
          <w:tcPr>
            <w:tcW w:w="72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40C25F">
            <w:pPr>
              <w:keepNext w:val="0"/>
              <w:keepLines w:val="0"/>
              <w:widowControl/>
              <w:numPr>
                <w:ilvl w:val="0"/>
                <w:numId w:val="12"/>
              </w:numPr>
              <w:suppressLineNumbers w:val="0"/>
              <w:spacing w:before="0" w:beforeAutospacing="0" w:after="0" w:afterAutospacing="0"/>
              <w:ind w:left="0" w:right="0"/>
              <w:jc w:val="left"/>
              <w:textAlignment w:val="center"/>
              <w:rPr>
                <w:rFonts w:hint="default" w:ascii="Times New Roman" w:hAnsi="Times New Roman" w:eastAsia="方正仿宋_GBK" w:cs="Times New Roman"/>
                <w:i w:val="0"/>
                <w:iCs w:val="0"/>
                <w:snapToGrid w:val="0"/>
                <w:color w:val="000000"/>
                <w:kern w:val="0"/>
                <w:sz w:val="18"/>
                <w:szCs w:val="18"/>
                <w:u w:val="none"/>
                <w:lang w:val="en-US" w:eastAsia="zh-CN" w:bidi="ar"/>
              </w:rPr>
            </w:pPr>
            <w:r>
              <w:rPr>
                <w:rFonts w:hint="default" w:ascii="Times New Roman" w:hAnsi="Times New Roman" w:eastAsia="方正仿宋_GBK" w:cs="Times New Roman"/>
                <w:i w:val="0"/>
                <w:iCs w:val="0"/>
                <w:snapToGrid w:val="0"/>
                <w:color w:val="000000"/>
                <w:kern w:val="0"/>
                <w:sz w:val="18"/>
                <w:szCs w:val="18"/>
                <w:u w:val="none"/>
                <w:lang w:val="en-US" w:eastAsia="zh-CN" w:bidi="ar"/>
              </w:rPr>
              <w:t>整机采用全金属外壳，三拼接平面一体化设计，中间主屏幕整机采用86英寸液晶显示器，分辨率不低于3840×2160。整机背板采用金属材质。无推拉式结构，外部无任何可见内部功能模块连接线。</w:t>
            </w:r>
            <w:r>
              <w:rPr>
                <w:rFonts w:hint="default" w:ascii="Times New Roman" w:hAnsi="Times New Roman" w:eastAsia="方正仿宋_GBK" w:cs="Times New Roman"/>
                <w:i w:val="0"/>
                <w:iCs w:val="0"/>
                <w:snapToGrid w:val="0"/>
                <w:color w:val="000000"/>
                <w:kern w:val="0"/>
                <w:sz w:val="18"/>
                <w:szCs w:val="18"/>
                <w:u w:val="none"/>
                <w:lang w:val="en-US" w:eastAsia="zh-CN" w:bidi="ar"/>
              </w:rPr>
              <w:br w:type="textWrapping"/>
            </w:r>
            <w:r>
              <w:rPr>
                <w:rFonts w:hint="default" w:ascii="Times New Roman" w:hAnsi="Times New Roman" w:eastAsia="方正仿宋_GBK" w:cs="Times New Roman"/>
                <w:i w:val="0"/>
                <w:iCs w:val="0"/>
                <w:snapToGrid w:val="0"/>
                <w:color w:val="000000"/>
                <w:kern w:val="0"/>
                <w:sz w:val="18"/>
                <w:szCs w:val="18"/>
                <w:u w:val="none"/>
                <w:lang w:val="en-US" w:eastAsia="zh-CN" w:bidi="ar"/>
              </w:rPr>
              <w:t>★2.嵌入式系统版本不低于Android 14，主频≥1.8GHz，内存≥2GB，存储空间≥8GB，嵌入式芯片内置2TOPS AI算力，可用于AI图像、音频处理。（须提供国家认可的第三方检测机构出具的CNAS和CMA标识的检测报告）</w:t>
            </w:r>
            <w:r>
              <w:rPr>
                <w:rFonts w:hint="default" w:ascii="Times New Roman" w:hAnsi="Times New Roman" w:eastAsia="方正仿宋_GBK" w:cs="Times New Roman"/>
                <w:i w:val="0"/>
                <w:iCs w:val="0"/>
                <w:snapToGrid w:val="0"/>
                <w:color w:val="000000"/>
                <w:kern w:val="0"/>
                <w:sz w:val="18"/>
                <w:szCs w:val="18"/>
                <w:u w:val="none"/>
                <w:lang w:val="en-US" w:eastAsia="zh-CN" w:bidi="ar"/>
              </w:rPr>
              <w:br w:type="textWrapping"/>
            </w:r>
            <w:r>
              <w:rPr>
                <w:rFonts w:hint="default" w:ascii="Times New Roman" w:hAnsi="Times New Roman" w:eastAsia="方正仿宋_GBK" w:cs="Times New Roman"/>
                <w:i w:val="0"/>
                <w:iCs w:val="0"/>
                <w:snapToGrid w:val="0"/>
                <w:color w:val="000000"/>
                <w:kern w:val="0"/>
                <w:sz w:val="18"/>
                <w:szCs w:val="18"/>
                <w:u w:val="none"/>
                <w:lang w:val="en-US" w:eastAsia="zh-CN" w:bidi="ar"/>
              </w:rPr>
              <w:t>3.整机设备副屏支持磁吸附功能，可以满足带有磁吸的板擦等教具进行吸附在副屏上。</w:t>
            </w:r>
            <w:r>
              <w:rPr>
                <w:rFonts w:hint="default" w:ascii="Times New Roman" w:hAnsi="Times New Roman" w:eastAsia="方正仿宋_GBK" w:cs="Times New Roman"/>
                <w:i w:val="0"/>
                <w:iCs w:val="0"/>
                <w:snapToGrid w:val="0"/>
                <w:color w:val="000000"/>
                <w:kern w:val="0"/>
                <w:sz w:val="18"/>
                <w:szCs w:val="18"/>
                <w:u w:val="none"/>
                <w:lang w:val="en-US" w:eastAsia="zh-CN" w:bidi="ar"/>
              </w:rPr>
              <w:br w:type="textWrapping"/>
            </w:r>
            <w:r>
              <w:rPr>
                <w:rFonts w:hint="default" w:ascii="Times New Roman" w:hAnsi="Times New Roman" w:eastAsia="方正仿宋_GBK" w:cs="Times New Roman"/>
                <w:i w:val="0"/>
                <w:iCs w:val="0"/>
                <w:snapToGrid w:val="0"/>
                <w:color w:val="000000"/>
                <w:kern w:val="0"/>
                <w:sz w:val="18"/>
                <w:szCs w:val="18"/>
                <w:u w:val="none"/>
                <w:lang w:val="en-US" w:eastAsia="zh-CN" w:bidi="ar"/>
              </w:rPr>
              <w:t>4.采用红外触控方式，支持Windows、Android系统30点或以上触控书写。</w:t>
            </w:r>
            <w:r>
              <w:rPr>
                <w:rFonts w:hint="default" w:ascii="Times New Roman" w:hAnsi="Times New Roman" w:eastAsia="方正仿宋_GBK" w:cs="Times New Roman"/>
                <w:i w:val="0"/>
                <w:iCs w:val="0"/>
                <w:snapToGrid w:val="0"/>
                <w:color w:val="000000"/>
                <w:kern w:val="0"/>
                <w:sz w:val="18"/>
                <w:szCs w:val="18"/>
                <w:u w:val="none"/>
                <w:lang w:val="en-US" w:eastAsia="zh-CN" w:bidi="ar"/>
              </w:rPr>
              <w:br w:type="textWrapping"/>
            </w:r>
            <w:r>
              <w:rPr>
                <w:rFonts w:hint="default" w:ascii="Times New Roman" w:hAnsi="Times New Roman" w:eastAsia="方正仿宋_GBK" w:cs="Times New Roman"/>
                <w:i w:val="0"/>
                <w:iCs w:val="0"/>
                <w:snapToGrid w:val="0"/>
                <w:color w:val="000000"/>
                <w:kern w:val="0"/>
                <w:sz w:val="18"/>
                <w:szCs w:val="18"/>
                <w:u w:val="none"/>
                <w:lang w:val="en-US" w:eastAsia="zh-CN" w:bidi="ar"/>
              </w:rPr>
              <w:t>5.整机支持色彩空间可选，包含标准模式和sRGB模式，在sRGB模式下可做到高色准△E≤1。</w:t>
            </w:r>
            <w:r>
              <w:rPr>
                <w:rFonts w:hint="default" w:ascii="Times New Roman" w:hAnsi="Times New Roman" w:eastAsia="方正仿宋_GBK" w:cs="Times New Roman"/>
                <w:i w:val="0"/>
                <w:iCs w:val="0"/>
                <w:snapToGrid w:val="0"/>
                <w:color w:val="000000"/>
                <w:kern w:val="0"/>
                <w:sz w:val="18"/>
                <w:szCs w:val="18"/>
                <w:u w:val="none"/>
                <w:lang w:val="en-US" w:eastAsia="zh-CN" w:bidi="ar"/>
              </w:rPr>
              <w:br w:type="textWrapping"/>
            </w:r>
            <w:r>
              <w:rPr>
                <w:rFonts w:hint="default" w:ascii="Times New Roman" w:hAnsi="Times New Roman" w:eastAsia="方正仿宋_GBK" w:cs="Times New Roman"/>
                <w:i w:val="0"/>
                <w:iCs w:val="0"/>
                <w:snapToGrid w:val="0"/>
                <w:color w:val="000000"/>
                <w:kern w:val="0"/>
                <w:sz w:val="18"/>
                <w:szCs w:val="18"/>
                <w:u w:val="none"/>
                <w:lang w:val="en-US" w:eastAsia="zh-CN" w:bidi="ar"/>
              </w:rPr>
              <w:t>6.支持标准、多媒体和节能三种图像模式调节。支持可自定义图像设置，可对对比度、屏幕色温、图像亮度、亮度范围、色彩空间等进行更进一步调节设置。</w:t>
            </w:r>
            <w:r>
              <w:rPr>
                <w:rFonts w:hint="default" w:ascii="Times New Roman" w:hAnsi="Times New Roman" w:eastAsia="方正仿宋_GBK" w:cs="Times New Roman"/>
                <w:i w:val="0"/>
                <w:iCs w:val="0"/>
                <w:snapToGrid w:val="0"/>
                <w:color w:val="000000"/>
                <w:kern w:val="0"/>
                <w:sz w:val="18"/>
                <w:szCs w:val="18"/>
                <w:u w:val="none"/>
                <w:lang w:val="en-US" w:eastAsia="zh-CN" w:bidi="ar"/>
              </w:rPr>
              <w:br w:type="textWrapping"/>
            </w:r>
            <w:r>
              <w:rPr>
                <w:rFonts w:hint="default" w:ascii="Times New Roman" w:hAnsi="Times New Roman" w:eastAsia="方正仿宋_GBK" w:cs="Times New Roman"/>
                <w:i w:val="0"/>
                <w:iCs w:val="0"/>
                <w:snapToGrid w:val="0"/>
                <w:color w:val="000000"/>
                <w:kern w:val="0"/>
                <w:sz w:val="18"/>
                <w:szCs w:val="18"/>
                <w:u w:val="none"/>
                <w:lang w:val="en-US" w:eastAsia="zh-CN" w:bidi="ar"/>
              </w:rPr>
              <w:t>7.设备支持自定义前置“设置"按键，可通过自定义设置实现前置面板功能按键一键启用任一全局小工具或某功能快捷开关。</w:t>
            </w:r>
            <w:r>
              <w:rPr>
                <w:rFonts w:hint="default" w:ascii="Times New Roman" w:hAnsi="Times New Roman" w:eastAsia="方正仿宋_GBK" w:cs="Times New Roman"/>
                <w:i w:val="0"/>
                <w:iCs w:val="0"/>
                <w:snapToGrid w:val="0"/>
                <w:color w:val="000000"/>
                <w:kern w:val="0"/>
                <w:sz w:val="18"/>
                <w:szCs w:val="18"/>
                <w:u w:val="none"/>
                <w:lang w:val="en-US" w:eastAsia="zh-CN" w:bidi="ar"/>
              </w:rPr>
              <w:br w:type="textWrapping"/>
            </w:r>
            <w:r>
              <w:rPr>
                <w:rFonts w:hint="default" w:ascii="Times New Roman" w:hAnsi="Times New Roman" w:eastAsia="方正仿宋_GBK" w:cs="Times New Roman"/>
                <w:i w:val="0"/>
                <w:iCs w:val="0"/>
                <w:snapToGrid w:val="0"/>
                <w:color w:val="000000"/>
                <w:kern w:val="0"/>
                <w:sz w:val="18"/>
                <w:szCs w:val="18"/>
                <w:u w:val="none"/>
                <w:lang w:val="en-US" w:eastAsia="zh-CN" w:bidi="ar"/>
              </w:rPr>
              <w:t>8.整机支持纸质护眼模式，可以在任意通道任意画</w:t>
            </w:r>
            <w:r>
              <w:rPr>
                <w:rFonts w:hint="eastAsia" w:ascii="Times New Roman" w:hAnsi="Times New Roman" w:eastAsia="方正仿宋_GBK" w:cs="Times New Roman"/>
                <w:i w:val="0"/>
                <w:iCs w:val="0"/>
                <w:snapToGrid w:val="0"/>
                <w:color w:val="000000"/>
                <w:kern w:val="0"/>
                <w:sz w:val="18"/>
                <w:szCs w:val="18"/>
                <w:u w:val="none"/>
                <w:lang w:val="en-US" w:eastAsia="zh-CN" w:bidi="ar"/>
              </w:rPr>
              <w:t>面和</w:t>
            </w:r>
            <w:r>
              <w:rPr>
                <w:rFonts w:hint="default" w:ascii="Times New Roman" w:hAnsi="Times New Roman" w:eastAsia="方正仿宋_GBK" w:cs="Times New Roman"/>
                <w:i w:val="0"/>
                <w:iCs w:val="0"/>
                <w:snapToGrid w:val="0"/>
                <w:color w:val="000000"/>
                <w:kern w:val="0"/>
                <w:sz w:val="18"/>
                <w:szCs w:val="18"/>
                <w:u w:val="none"/>
                <w:lang w:val="en-US" w:eastAsia="zh-CN" w:bidi="ar"/>
              </w:rPr>
              <w:t>任意软件所有显示内容下实现画面纹理的实时调整；支持透明度调节；支持色温调节。</w:t>
            </w:r>
            <w:r>
              <w:rPr>
                <w:rFonts w:hint="default" w:ascii="Times New Roman" w:hAnsi="Times New Roman" w:eastAsia="方正仿宋_GBK" w:cs="Times New Roman"/>
                <w:i w:val="0"/>
                <w:iCs w:val="0"/>
                <w:snapToGrid w:val="0"/>
                <w:color w:val="000000"/>
                <w:kern w:val="0"/>
                <w:sz w:val="18"/>
                <w:szCs w:val="18"/>
                <w:u w:val="none"/>
                <w:lang w:val="en-US" w:eastAsia="zh-CN" w:bidi="ar"/>
              </w:rPr>
              <w:br w:type="textWrapping"/>
            </w:r>
            <w:r>
              <w:rPr>
                <w:rFonts w:hint="default" w:ascii="Times New Roman" w:hAnsi="Times New Roman" w:eastAsia="方正仿宋_GBK" w:cs="Times New Roman"/>
                <w:i w:val="0"/>
                <w:iCs w:val="0"/>
                <w:snapToGrid w:val="0"/>
                <w:color w:val="000000"/>
                <w:kern w:val="0"/>
                <w:sz w:val="18"/>
                <w:szCs w:val="18"/>
                <w:u w:val="none"/>
                <w:lang w:val="en-US" w:eastAsia="zh-CN" w:bidi="ar"/>
              </w:rPr>
              <w:t>9.整机侧边栏内置朗读工具，通过整机麦克风内置音频检测算法监测教室中学生的朗读情况，以游戏化界面呈现朗读积极性，调动学生朗读兴趣。</w:t>
            </w:r>
            <w:r>
              <w:rPr>
                <w:rFonts w:hint="default" w:ascii="Times New Roman" w:hAnsi="Times New Roman" w:eastAsia="方正仿宋_GBK" w:cs="Times New Roman"/>
                <w:i w:val="0"/>
                <w:iCs w:val="0"/>
                <w:snapToGrid w:val="0"/>
                <w:color w:val="000000"/>
                <w:kern w:val="0"/>
                <w:sz w:val="18"/>
                <w:szCs w:val="18"/>
                <w:u w:val="none"/>
                <w:lang w:val="en-US" w:eastAsia="zh-CN" w:bidi="ar"/>
              </w:rPr>
              <w:br w:type="textWrapping"/>
            </w:r>
            <w:r>
              <w:rPr>
                <w:rFonts w:hint="default" w:ascii="Times New Roman" w:hAnsi="Times New Roman" w:eastAsia="方正仿宋_GBK" w:cs="Times New Roman"/>
                <w:i w:val="0"/>
                <w:iCs w:val="0"/>
                <w:snapToGrid w:val="0"/>
                <w:color w:val="000000"/>
                <w:kern w:val="0"/>
                <w:sz w:val="18"/>
                <w:szCs w:val="18"/>
                <w:u w:val="none"/>
                <w:lang w:val="en-US" w:eastAsia="zh-CN" w:bidi="ar"/>
              </w:rPr>
              <w:t>10.整机内置的阵列麦支持在无任何外部设备的情况下，实时录制用户朗读内容，识别用户声纹并进行统一身份登录操作，登录后自动获取个人云端教学课件列表，打开教学白板软件时可跳过软件自带登录步骤。</w:t>
            </w:r>
            <w:r>
              <w:rPr>
                <w:rFonts w:hint="default" w:ascii="Times New Roman" w:hAnsi="Times New Roman" w:eastAsia="方正仿宋_GBK" w:cs="Times New Roman"/>
                <w:i w:val="0"/>
                <w:iCs w:val="0"/>
                <w:snapToGrid w:val="0"/>
                <w:color w:val="000000"/>
                <w:kern w:val="0"/>
                <w:sz w:val="18"/>
                <w:szCs w:val="18"/>
                <w:u w:val="none"/>
                <w:lang w:val="en-US" w:eastAsia="zh-CN" w:bidi="ar"/>
              </w:rPr>
              <w:br w:type="textWrapping"/>
            </w:r>
            <w:r>
              <w:rPr>
                <w:rFonts w:hint="default" w:ascii="Times New Roman" w:hAnsi="Times New Roman" w:eastAsia="方正仿宋_GBK" w:cs="Times New Roman"/>
                <w:i w:val="0"/>
                <w:iCs w:val="0"/>
                <w:snapToGrid w:val="0"/>
                <w:color w:val="000000"/>
                <w:kern w:val="0"/>
                <w:sz w:val="18"/>
                <w:szCs w:val="18"/>
                <w:u w:val="none"/>
                <w:lang w:val="en-US" w:eastAsia="zh-CN" w:bidi="ar"/>
              </w:rPr>
              <w:t>11.支持云端在线系统固件升级。</w:t>
            </w:r>
            <w:r>
              <w:rPr>
                <w:rFonts w:hint="default" w:ascii="Times New Roman" w:hAnsi="Times New Roman" w:eastAsia="方正仿宋_GBK" w:cs="Times New Roman"/>
                <w:i w:val="0"/>
                <w:iCs w:val="0"/>
                <w:snapToGrid w:val="0"/>
                <w:color w:val="000000"/>
                <w:kern w:val="0"/>
                <w:sz w:val="18"/>
                <w:szCs w:val="18"/>
                <w:u w:val="none"/>
                <w:lang w:val="en-US" w:eastAsia="zh-CN" w:bidi="ar"/>
              </w:rPr>
              <w:br w:type="textWrapping"/>
            </w:r>
            <w:r>
              <w:rPr>
                <w:rFonts w:hint="default" w:ascii="Times New Roman" w:hAnsi="Times New Roman" w:eastAsia="方正仿宋_GBK" w:cs="Times New Roman"/>
                <w:i w:val="0"/>
                <w:iCs w:val="0"/>
                <w:snapToGrid w:val="0"/>
                <w:color w:val="000000"/>
                <w:kern w:val="0"/>
                <w:sz w:val="18"/>
                <w:szCs w:val="18"/>
                <w:u w:val="none"/>
                <w:lang w:val="en-US" w:eastAsia="zh-CN" w:bidi="ar"/>
              </w:rPr>
              <w:t>12.整机内置不低于2.2声道扬声器，具备多方向扬声器，额定总功率不低于60W，全部扬声器均采用模块化设计，无需打开背板即可单独拆卸，便于维护。</w:t>
            </w:r>
            <w:r>
              <w:rPr>
                <w:rFonts w:hint="default" w:ascii="Times New Roman" w:hAnsi="Times New Roman" w:eastAsia="方正仿宋_GBK" w:cs="Times New Roman"/>
                <w:i w:val="0"/>
                <w:iCs w:val="0"/>
                <w:snapToGrid w:val="0"/>
                <w:color w:val="000000"/>
                <w:kern w:val="0"/>
                <w:sz w:val="18"/>
                <w:szCs w:val="18"/>
                <w:u w:val="none"/>
                <w:lang w:val="en-US" w:eastAsia="zh-CN" w:bidi="ar"/>
              </w:rPr>
              <w:br w:type="textWrapping"/>
            </w:r>
            <w:r>
              <w:rPr>
                <w:rFonts w:hint="default" w:ascii="Times New Roman" w:hAnsi="Times New Roman" w:eastAsia="方正仿宋_GBK" w:cs="Times New Roman"/>
                <w:i w:val="0"/>
                <w:iCs w:val="0"/>
                <w:snapToGrid w:val="0"/>
                <w:color w:val="000000"/>
                <w:kern w:val="0"/>
                <w:sz w:val="18"/>
                <w:szCs w:val="18"/>
                <w:u w:val="none"/>
                <w:lang w:val="en-US" w:eastAsia="zh-CN" w:bidi="ar"/>
              </w:rPr>
              <w:t>13.整机内置非独立外扩展的8阵列麦克风，拾音角度≥180°，拾音距离≥12m。</w:t>
            </w:r>
            <w:r>
              <w:rPr>
                <w:rFonts w:hint="default" w:ascii="Times New Roman" w:hAnsi="Times New Roman" w:eastAsia="方正仿宋_GBK" w:cs="Times New Roman"/>
                <w:i w:val="0"/>
                <w:iCs w:val="0"/>
                <w:snapToGrid w:val="0"/>
                <w:color w:val="000000"/>
                <w:kern w:val="0"/>
                <w:sz w:val="18"/>
                <w:szCs w:val="18"/>
                <w:u w:val="none"/>
                <w:lang w:val="en-US" w:eastAsia="zh-CN" w:bidi="ar"/>
              </w:rPr>
              <w:br w:type="textWrapping"/>
            </w:r>
            <w:r>
              <w:rPr>
                <w:rFonts w:hint="default" w:ascii="Times New Roman" w:hAnsi="Times New Roman" w:eastAsia="方正仿宋_GBK" w:cs="Times New Roman"/>
                <w:i w:val="0"/>
                <w:iCs w:val="0"/>
                <w:snapToGrid w:val="0"/>
                <w:color w:val="000000"/>
                <w:kern w:val="0"/>
                <w:sz w:val="18"/>
                <w:szCs w:val="18"/>
                <w:u w:val="none"/>
                <w:lang w:val="en-US" w:eastAsia="zh-CN" w:bidi="ar"/>
              </w:rPr>
              <w:t>★14.整机内置≥4800万摄像头，视场角≥120度。可用于远程巡课，整机摄像头支持大于等于10米距离时实现AI识别人像。具备人脸识别、快速点人数、随机抽人；识别所有学生，显示标记功能。（须提供国家认可的第三方检测机构出具的CNAS和CMA标识的检测报告）</w:t>
            </w:r>
            <w:r>
              <w:rPr>
                <w:rFonts w:hint="default" w:ascii="Times New Roman" w:hAnsi="Times New Roman" w:eastAsia="方正仿宋_GBK" w:cs="Times New Roman"/>
                <w:i w:val="0"/>
                <w:iCs w:val="0"/>
                <w:snapToGrid w:val="0"/>
                <w:color w:val="000000"/>
                <w:kern w:val="0"/>
                <w:sz w:val="18"/>
                <w:szCs w:val="18"/>
                <w:u w:val="none"/>
                <w:lang w:val="en-US" w:eastAsia="zh-CN" w:bidi="ar"/>
              </w:rPr>
              <w:br w:type="textWrapping"/>
            </w:r>
            <w:r>
              <w:rPr>
                <w:rFonts w:hint="default" w:ascii="Times New Roman" w:hAnsi="Times New Roman" w:eastAsia="方正仿宋_GBK" w:cs="Times New Roman"/>
                <w:i w:val="0"/>
                <w:iCs w:val="0"/>
                <w:snapToGrid w:val="0"/>
                <w:color w:val="000000"/>
                <w:kern w:val="0"/>
                <w:sz w:val="18"/>
                <w:szCs w:val="18"/>
                <w:u w:val="none"/>
                <w:lang w:val="en-US" w:eastAsia="zh-CN" w:bidi="ar"/>
              </w:rPr>
              <w:t>★15.主屏内置浮动窗口，在副屏书写时，主屏能实时同步显示书写轨迹。（须提供国家认可的第三方检测机构出具的CNAS和CMA标识的检测报告）</w:t>
            </w:r>
            <w:r>
              <w:rPr>
                <w:rFonts w:hint="default" w:ascii="Times New Roman" w:hAnsi="Times New Roman" w:eastAsia="方正仿宋_GBK" w:cs="Times New Roman"/>
                <w:i w:val="0"/>
                <w:iCs w:val="0"/>
                <w:snapToGrid w:val="0"/>
                <w:color w:val="000000"/>
                <w:kern w:val="0"/>
                <w:sz w:val="18"/>
                <w:szCs w:val="18"/>
                <w:u w:val="none"/>
                <w:lang w:val="en-US" w:eastAsia="zh-CN" w:bidi="ar"/>
              </w:rPr>
              <w:br w:type="textWrapping"/>
            </w:r>
            <w:r>
              <w:rPr>
                <w:rFonts w:hint="default" w:ascii="Times New Roman" w:hAnsi="Times New Roman" w:eastAsia="方正仿宋_GBK" w:cs="Times New Roman"/>
                <w:i w:val="0"/>
                <w:iCs w:val="0"/>
                <w:snapToGrid w:val="0"/>
                <w:color w:val="000000"/>
                <w:kern w:val="0"/>
                <w:sz w:val="18"/>
                <w:szCs w:val="18"/>
                <w:u w:val="none"/>
                <w:lang w:val="en-US" w:eastAsia="zh-CN" w:bidi="ar"/>
              </w:rPr>
              <w:t>16.副屏支持使用手掌、板擦擦除并在主屏板书软件中同步显示。</w:t>
            </w:r>
            <w:r>
              <w:rPr>
                <w:rFonts w:hint="default" w:ascii="Times New Roman" w:hAnsi="Times New Roman" w:eastAsia="方正仿宋_GBK" w:cs="Times New Roman"/>
                <w:i w:val="0"/>
                <w:iCs w:val="0"/>
                <w:snapToGrid w:val="0"/>
                <w:color w:val="000000"/>
                <w:kern w:val="0"/>
                <w:sz w:val="18"/>
                <w:szCs w:val="18"/>
                <w:u w:val="none"/>
                <w:lang w:val="en-US" w:eastAsia="zh-CN" w:bidi="ar"/>
              </w:rPr>
              <w:br w:type="textWrapping"/>
            </w:r>
            <w:r>
              <w:rPr>
                <w:rFonts w:hint="default" w:ascii="Times New Roman" w:hAnsi="Times New Roman" w:eastAsia="方正仿宋_GBK" w:cs="Times New Roman"/>
                <w:i w:val="0"/>
                <w:iCs w:val="0"/>
                <w:snapToGrid w:val="0"/>
                <w:color w:val="000000"/>
                <w:kern w:val="0"/>
                <w:sz w:val="18"/>
                <w:szCs w:val="18"/>
                <w:u w:val="none"/>
                <w:lang w:val="en-US" w:eastAsia="zh-CN" w:bidi="ar"/>
              </w:rPr>
              <w:t>17.整机设备只用一路电源进行供电，无需针对副屏电子化功能再增加电源进行单独供电。</w:t>
            </w:r>
            <w:r>
              <w:rPr>
                <w:rFonts w:hint="default" w:ascii="Times New Roman" w:hAnsi="Times New Roman" w:eastAsia="方正仿宋_GBK" w:cs="Times New Roman"/>
                <w:i w:val="0"/>
                <w:iCs w:val="0"/>
                <w:snapToGrid w:val="0"/>
                <w:color w:val="000000"/>
                <w:kern w:val="0"/>
                <w:sz w:val="18"/>
                <w:szCs w:val="18"/>
                <w:u w:val="none"/>
                <w:lang w:val="en-US" w:eastAsia="zh-CN" w:bidi="ar"/>
              </w:rPr>
              <w:br w:type="textWrapping"/>
            </w:r>
            <w:r>
              <w:rPr>
                <w:rFonts w:hint="default" w:ascii="Times New Roman" w:hAnsi="Times New Roman" w:eastAsia="方正仿宋_GBK" w:cs="Times New Roman"/>
                <w:i w:val="0"/>
                <w:iCs w:val="0"/>
                <w:snapToGrid w:val="0"/>
                <w:color w:val="000000"/>
                <w:kern w:val="0"/>
                <w:sz w:val="18"/>
                <w:szCs w:val="18"/>
                <w:u w:val="none"/>
                <w:lang w:val="en-US" w:eastAsia="zh-CN" w:bidi="ar"/>
              </w:rPr>
              <w:t>★18.处理器：处理器核数≥8核，主频≥2.0GHz，内存：8G ，硬盘≥256G SSD 固态硬盘，采用抽拉内置式模块化电脑，抽拉内置式，PC模块可插入整机，可实现无单独接线的插拔。（须提供国家认可的第三方检测机构出具的CNAS和CMA标识的检测报告）</w:t>
            </w:r>
            <w:r>
              <w:rPr>
                <w:rFonts w:hint="default" w:ascii="Times New Roman" w:hAnsi="Times New Roman" w:eastAsia="方正仿宋_GBK" w:cs="Times New Roman"/>
                <w:i w:val="0"/>
                <w:iCs w:val="0"/>
                <w:snapToGrid w:val="0"/>
                <w:color w:val="000000"/>
                <w:kern w:val="0"/>
                <w:sz w:val="18"/>
                <w:szCs w:val="18"/>
                <w:u w:val="none"/>
                <w:lang w:val="en-US" w:eastAsia="zh-CN" w:bidi="ar"/>
              </w:rPr>
              <w:br w:type="textWrapping"/>
            </w:r>
            <w:r>
              <w:rPr>
                <w:rFonts w:hint="default" w:ascii="Times New Roman" w:hAnsi="Times New Roman" w:eastAsia="方正仿宋_GBK" w:cs="Times New Roman"/>
                <w:i w:val="0"/>
                <w:iCs w:val="0"/>
                <w:snapToGrid w:val="0"/>
                <w:color w:val="000000"/>
                <w:kern w:val="0"/>
                <w:sz w:val="18"/>
                <w:szCs w:val="18"/>
                <w:u w:val="none"/>
                <w:lang w:val="en-US" w:eastAsia="zh-CN" w:bidi="ar"/>
              </w:rPr>
              <w:t>19.具有独立非外拓展的视频输出接口：≥1 路 HDMI。具有独立非外拓展的电脑 USB 接口：至少具备 3个USB3.0 接口。</w:t>
            </w:r>
            <w:r>
              <w:rPr>
                <w:rFonts w:hint="default" w:ascii="Times New Roman" w:hAnsi="Times New Roman" w:eastAsia="方正仿宋_GBK" w:cs="Times New Roman"/>
                <w:i w:val="0"/>
                <w:iCs w:val="0"/>
                <w:snapToGrid w:val="0"/>
                <w:color w:val="000000"/>
                <w:kern w:val="0"/>
                <w:sz w:val="18"/>
                <w:szCs w:val="18"/>
                <w:u w:val="none"/>
                <w:lang w:val="en-US" w:eastAsia="zh-CN" w:bidi="ar"/>
              </w:rPr>
              <w:br w:type="textWrapping"/>
            </w:r>
            <w:r>
              <w:rPr>
                <w:rFonts w:hint="default" w:ascii="Times New Roman" w:hAnsi="Times New Roman" w:eastAsia="方正仿宋_GBK" w:cs="Times New Roman"/>
                <w:i w:val="0"/>
                <w:iCs w:val="0"/>
                <w:snapToGrid w:val="0"/>
                <w:color w:val="000000"/>
                <w:kern w:val="0"/>
                <w:sz w:val="18"/>
                <w:szCs w:val="18"/>
                <w:u w:val="none"/>
                <w:lang w:val="en-US" w:eastAsia="zh-CN" w:bidi="ar"/>
              </w:rPr>
              <w:t>20.为保证设备使用稳定性及兼容性，需考虑班班通与OPS模块的兼容性。</w:t>
            </w:r>
            <w:r>
              <w:rPr>
                <w:rFonts w:hint="default" w:ascii="Times New Roman" w:hAnsi="Times New Roman" w:eastAsia="方正仿宋_GBK" w:cs="Times New Roman"/>
                <w:i w:val="0"/>
                <w:iCs w:val="0"/>
                <w:snapToGrid w:val="0"/>
                <w:color w:val="000000"/>
                <w:kern w:val="0"/>
                <w:sz w:val="18"/>
                <w:szCs w:val="18"/>
                <w:u w:val="none"/>
                <w:lang w:val="en-US" w:eastAsia="zh-CN" w:bidi="ar"/>
              </w:rPr>
              <w:br w:type="textWrapping"/>
            </w:r>
            <w:r>
              <w:rPr>
                <w:rFonts w:hint="default" w:ascii="Times New Roman" w:hAnsi="Times New Roman" w:eastAsia="方正仿宋_GBK" w:cs="Times New Roman"/>
                <w:i w:val="0"/>
                <w:iCs w:val="0"/>
                <w:snapToGrid w:val="0"/>
                <w:color w:val="000000"/>
                <w:kern w:val="0"/>
                <w:sz w:val="18"/>
                <w:szCs w:val="18"/>
                <w:u w:val="none"/>
                <w:lang w:val="en-US" w:eastAsia="zh-CN" w:bidi="ar"/>
              </w:rPr>
              <w:t>21.能够为教师提供云存储空间，教师可在个人云空间中上传存储互动课件、云教案和其他教学资源。</w:t>
            </w:r>
            <w:r>
              <w:rPr>
                <w:rFonts w:hint="default" w:ascii="Times New Roman" w:hAnsi="Times New Roman" w:eastAsia="方正仿宋_GBK" w:cs="Times New Roman"/>
                <w:i w:val="0"/>
                <w:iCs w:val="0"/>
                <w:snapToGrid w:val="0"/>
                <w:color w:val="000000"/>
                <w:kern w:val="0"/>
                <w:sz w:val="18"/>
                <w:szCs w:val="18"/>
                <w:u w:val="none"/>
                <w:lang w:val="en-US" w:eastAsia="zh-CN" w:bidi="ar"/>
              </w:rPr>
              <w:br w:type="textWrapping"/>
            </w:r>
            <w:r>
              <w:rPr>
                <w:rFonts w:hint="default" w:ascii="Times New Roman" w:hAnsi="Times New Roman" w:eastAsia="方正仿宋_GBK" w:cs="Times New Roman"/>
                <w:i w:val="0"/>
                <w:iCs w:val="0"/>
                <w:snapToGrid w:val="0"/>
                <w:color w:val="000000"/>
                <w:kern w:val="0"/>
                <w:sz w:val="18"/>
                <w:szCs w:val="18"/>
                <w:u w:val="none"/>
                <w:lang w:val="en-US" w:eastAsia="zh-CN" w:bidi="ar"/>
              </w:rPr>
              <w:t>22.具有互动式海量教学课件资源，包含学科教育各学段各地区教材版本。互动式教学课件资源，包含学科教育各学段教材版本全部教学章节、专题教育多个主题教育、特殊教育不少于3 大分类的 100000 份的互动课件。课件支持教师在线评分。</w:t>
            </w:r>
            <w:r>
              <w:rPr>
                <w:rFonts w:hint="eastAsia" w:ascii="Times New Roman" w:hAnsi="Times New Roman" w:eastAsia="方正仿宋_GBK" w:cs="Times New Roman"/>
                <w:i w:val="0"/>
                <w:iCs w:val="0"/>
                <w:snapToGrid w:val="0"/>
                <w:color w:val="000000"/>
                <w:kern w:val="0"/>
                <w:sz w:val="18"/>
                <w:szCs w:val="18"/>
                <w:u w:val="none"/>
                <w:lang w:val="en-US" w:eastAsia="zh-CN" w:bidi="ar"/>
              </w:rPr>
              <w:t>（此项</w:t>
            </w:r>
            <w:r>
              <w:rPr>
                <w:rFonts w:hint="default" w:ascii="Times New Roman" w:hAnsi="Times New Roman" w:eastAsia="方正仿宋_GBK" w:cs="Times New Roman"/>
                <w:i w:val="0"/>
                <w:iCs w:val="0"/>
                <w:snapToGrid w:val="0"/>
                <w:color w:val="000000"/>
                <w:kern w:val="0"/>
                <w:sz w:val="18"/>
                <w:szCs w:val="18"/>
                <w:u w:val="none"/>
                <w:lang w:val="en-US" w:eastAsia="zh-CN" w:bidi="ar"/>
              </w:rPr>
              <w:t>免费使用</w:t>
            </w:r>
            <w:r>
              <w:rPr>
                <w:rFonts w:hint="eastAsia" w:ascii="Times New Roman" w:hAnsi="Times New Roman" w:eastAsia="方正仿宋_GBK" w:cs="Times New Roman"/>
                <w:i w:val="0"/>
                <w:iCs w:val="0"/>
                <w:snapToGrid w:val="0"/>
                <w:color w:val="000000"/>
                <w:kern w:val="0"/>
                <w:sz w:val="18"/>
                <w:szCs w:val="18"/>
                <w:u w:val="none"/>
                <w:lang w:val="en-US" w:eastAsia="zh-CN" w:bidi="ar"/>
              </w:rPr>
              <w:t>）</w:t>
            </w:r>
          </w:p>
          <w:p w14:paraId="6CB99586">
            <w:pPr>
              <w:keepNext w:val="0"/>
              <w:keepLines w:val="0"/>
              <w:widowControl/>
              <w:numPr>
                <w:ilvl w:val="0"/>
                <w:numId w:val="0"/>
              </w:numPr>
              <w:suppressLineNumbers w:val="0"/>
              <w:spacing w:before="0" w:beforeAutospacing="0" w:after="0" w:afterAutospacing="0"/>
              <w:ind w:left="0" w:right="0"/>
              <w:jc w:val="left"/>
              <w:textAlignment w:val="center"/>
              <w:rPr>
                <w:rFonts w:hint="default" w:ascii="Times New Roman" w:hAnsi="Times New Roman" w:eastAsia="方正仿宋_GBK" w:cs="Times New Roman"/>
                <w:i w:val="0"/>
                <w:iCs w:val="0"/>
                <w:snapToGrid w:val="0"/>
                <w:color w:val="000000"/>
                <w:kern w:val="0"/>
                <w:sz w:val="18"/>
                <w:szCs w:val="18"/>
                <w:u w:val="none"/>
                <w:lang w:val="en-US" w:eastAsia="zh-CN" w:bidi="ar"/>
              </w:rPr>
            </w:pPr>
            <w:r>
              <w:rPr>
                <w:rFonts w:hint="default" w:ascii="Times New Roman" w:hAnsi="Times New Roman" w:eastAsia="方正仿宋_GBK" w:cs="Times New Roman"/>
                <w:i w:val="0"/>
                <w:iCs w:val="0"/>
                <w:snapToGrid w:val="0"/>
                <w:color w:val="000000"/>
                <w:kern w:val="0"/>
                <w:sz w:val="18"/>
                <w:szCs w:val="18"/>
                <w:u w:val="none"/>
                <w:lang w:val="en-US" w:eastAsia="zh-CN" w:bidi="ar"/>
              </w:rPr>
              <w:t>★23.支持课堂教学现场进行实况直播，实现异地听课、评课，直播听评课结束后生成直播回放。（须提供国家认可的第三方检测机构出具的CNAS和CMA标识的检测报告）</w:t>
            </w:r>
            <w:r>
              <w:rPr>
                <w:rFonts w:hint="default" w:ascii="Times New Roman" w:hAnsi="Times New Roman" w:eastAsia="方正仿宋_GBK" w:cs="Times New Roman"/>
                <w:i w:val="0"/>
                <w:iCs w:val="0"/>
                <w:snapToGrid w:val="0"/>
                <w:color w:val="000000"/>
                <w:kern w:val="0"/>
                <w:sz w:val="18"/>
                <w:szCs w:val="18"/>
                <w:u w:val="none"/>
                <w:lang w:val="en-US" w:eastAsia="zh-CN" w:bidi="ar"/>
              </w:rPr>
              <w:br w:type="textWrapping"/>
            </w:r>
            <w:r>
              <w:rPr>
                <w:rFonts w:hint="default" w:ascii="Times New Roman" w:hAnsi="Times New Roman" w:eastAsia="方正仿宋_GBK" w:cs="Times New Roman"/>
                <w:i w:val="0"/>
                <w:iCs w:val="0"/>
                <w:snapToGrid w:val="0"/>
                <w:color w:val="000000"/>
                <w:kern w:val="0"/>
                <w:sz w:val="18"/>
                <w:szCs w:val="18"/>
                <w:u w:val="none"/>
                <w:lang w:val="en-US" w:eastAsia="zh-CN" w:bidi="ar"/>
              </w:rPr>
              <w:t>★24.支持在线发起多人音视频研讨在线讨论，研讨内容自动形成音视频记录。（须提供国家认可的第三方检测机构出具的CNAS和CMA标识的检测报告）</w:t>
            </w:r>
          </w:p>
          <w:p w14:paraId="44F53363">
            <w:pPr>
              <w:keepNext w:val="0"/>
              <w:keepLines w:val="0"/>
              <w:widowControl/>
              <w:numPr>
                <w:ilvl w:val="0"/>
                <w:numId w:val="0"/>
              </w:numPr>
              <w:suppressLineNumbers w:val="0"/>
              <w:spacing w:before="0" w:beforeAutospacing="0" w:after="0" w:afterAutospacing="0"/>
              <w:ind w:left="0" w:right="0"/>
              <w:jc w:val="left"/>
              <w:textAlignment w:val="center"/>
              <w:rPr>
                <w:rFonts w:hint="default" w:ascii="Times New Roman" w:hAnsi="Times New Roman" w:eastAsia="方正仿宋_GBK" w:cs="Times New Roman"/>
                <w:i w:val="0"/>
                <w:iCs w:val="0"/>
                <w:color w:val="000000"/>
                <w:sz w:val="18"/>
                <w:szCs w:val="18"/>
                <w:u w:val="none"/>
              </w:rPr>
            </w:pPr>
            <w:r>
              <w:rPr>
                <w:rFonts w:hint="default" w:ascii="Times New Roman" w:hAnsi="Times New Roman" w:eastAsia="方正仿宋_GBK" w:cs="Times New Roman"/>
                <w:i w:val="0"/>
                <w:iCs w:val="0"/>
                <w:snapToGrid w:val="0"/>
                <w:color w:val="000000"/>
                <w:kern w:val="0"/>
                <w:sz w:val="18"/>
                <w:szCs w:val="18"/>
                <w:u w:val="none"/>
                <w:lang w:val="en-US" w:eastAsia="zh-CN" w:bidi="ar"/>
              </w:rPr>
              <w:t>注：产品自带统一管控软件，需与学校、教育局现有设备集中管理平台实现无缝对接，统一账号，无需单独注册。原有平台为开放平台，支持不同品牌设备对接，不再进行单独付费。</w:t>
            </w:r>
          </w:p>
        </w:tc>
        <w:tc>
          <w:tcPr>
            <w:tcW w:w="4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A5E41F">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方正仿宋_GBK" w:cs="Times New Roman"/>
                <w:i w:val="0"/>
                <w:iCs w:val="0"/>
                <w:color w:val="000000"/>
                <w:sz w:val="18"/>
                <w:szCs w:val="18"/>
                <w:u w:val="none"/>
              </w:rPr>
            </w:pPr>
            <w:r>
              <w:rPr>
                <w:rFonts w:hint="default" w:ascii="Times New Roman" w:hAnsi="Times New Roman" w:eastAsia="方正仿宋_GBK" w:cs="Times New Roman"/>
                <w:i w:val="0"/>
                <w:iCs w:val="0"/>
                <w:snapToGrid w:val="0"/>
                <w:color w:val="000000"/>
                <w:kern w:val="0"/>
                <w:sz w:val="18"/>
                <w:szCs w:val="18"/>
                <w:u w:val="none"/>
                <w:lang w:val="en-US" w:eastAsia="zh-CN" w:bidi="ar"/>
              </w:rPr>
              <w:t>90</w:t>
            </w:r>
          </w:p>
        </w:tc>
        <w:tc>
          <w:tcPr>
            <w:tcW w:w="4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DDCB1B">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方正仿宋_GBK" w:cs="Times New Roman"/>
                <w:i w:val="0"/>
                <w:iCs w:val="0"/>
                <w:color w:val="000000"/>
                <w:sz w:val="18"/>
                <w:szCs w:val="18"/>
                <w:u w:val="none"/>
              </w:rPr>
            </w:pPr>
            <w:r>
              <w:rPr>
                <w:rFonts w:hint="default" w:ascii="Times New Roman" w:hAnsi="Times New Roman" w:eastAsia="方正仿宋_GBK" w:cs="Times New Roman"/>
                <w:i w:val="0"/>
                <w:iCs w:val="0"/>
                <w:snapToGrid w:val="0"/>
                <w:color w:val="000000"/>
                <w:kern w:val="0"/>
                <w:sz w:val="18"/>
                <w:szCs w:val="18"/>
                <w:u w:val="none"/>
                <w:lang w:val="en-US" w:eastAsia="zh-CN" w:bidi="ar"/>
              </w:rPr>
              <w:t>套</w:t>
            </w:r>
          </w:p>
        </w:tc>
      </w:tr>
      <w:tr w14:paraId="396D311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934" w:hRule="atLeast"/>
        </w:trPr>
        <w:tc>
          <w:tcPr>
            <w:tcW w:w="4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DE05E6">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方正仿宋_GBK" w:cs="Times New Roman"/>
                <w:i w:val="0"/>
                <w:iCs w:val="0"/>
                <w:color w:val="000000"/>
                <w:sz w:val="18"/>
                <w:szCs w:val="18"/>
                <w:u w:val="none"/>
              </w:rPr>
            </w:pPr>
            <w:r>
              <w:rPr>
                <w:rFonts w:hint="default" w:ascii="Times New Roman" w:hAnsi="Times New Roman" w:eastAsia="方正仿宋_GBK" w:cs="Times New Roman"/>
                <w:i w:val="0"/>
                <w:iCs w:val="0"/>
                <w:snapToGrid w:val="0"/>
                <w:color w:val="000000"/>
                <w:kern w:val="0"/>
                <w:sz w:val="18"/>
                <w:szCs w:val="18"/>
                <w:u w:val="none"/>
                <w:lang w:val="en-US" w:eastAsia="zh-CN" w:bidi="ar"/>
              </w:rPr>
              <w:t>2</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ECD56E">
            <w:pPr>
              <w:keepNext w:val="0"/>
              <w:keepLines w:val="0"/>
              <w:widowControl/>
              <w:suppressLineNumbers w:val="0"/>
              <w:spacing w:before="0" w:beforeAutospacing="0" w:after="0" w:afterAutospacing="0"/>
              <w:ind w:left="0" w:right="0"/>
              <w:jc w:val="left"/>
              <w:textAlignment w:val="center"/>
              <w:rPr>
                <w:rFonts w:hint="default" w:ascii="Times New Roman" w:hAnsi="Times New Roman" w:eastAsia="方正仿宋_GBK" w:cs="Times New Roman"/>
                <w:i w:val="0"/>
                <w:iCs w:val="0"/>
                <w:color w:val="000000"/>
                <w:sz w:val="18"/>
                <w:szCs w:val="18"/>
                <w:u w:val="none"/>
              </w:rPr>
            </w:pPr>
            <w:r>
              <w:rPr>
                <w:rFonts w:hint="default" w:ascii="Times New Roman" w:hAnsi="Times New Roman" w:eastAsia="方正仿宋_GBK" w:cs="Times New Roman"/>
                <w:i w:val="0"/>
                <w:iCs w:val="0"/>
                <w:snapToGrid w:val="0"/>
                <w:color w:val="000000"/>
                <w:kern w:val="0"/>
                <w:sz w:val="18"/>
                <w:szCs w:val="18"/>
                <w:u w:val="none"/>
                <w:lang w:val="en-US" w:eastAsia="zh-CN" w:bidi="ar"/>
              </w:rPr>
              <w:t>视频展台</w:t>
            </w:r>
          </w:p>
        </w:tc>
        <w:tc>
          <w:tcPr>
            <w:tcW w:w="72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4BF562">
            <w:pPr>
              <w:keepNext w:val="0"/>
              <w:keepLines w:val="0"/>
              <w:widowControl/>
              <w:suppressLineNumbers w:val="0"/>
              <w:spacing w:before="0" w:beforeAutospacing="0" w:after="0" w:afterAutospacing="0"/>
              <w:ind w:left="0" w:right="0"/>
              <w:jc w:val="left"/>
              <w:textAlignment w:val="center"/>
              <w:rPr>
                <w:rFonts w:hint="default" w:ascii="Times New Roman" w:hAnsi="Times New Roman" w:eastAsia="方正仿宋_GBK" w:cs="Times New Roman"/>
                <w:i w:val="0"/>
                <w:iCs w:val="0"/>
                <w:color w:val="000000"/>
                <w:sz w:val="18"/>
                <w:szCs w:val="18"/>
                <w:u w:val="none"/>
              </w:rPr>
            </w:pPr>
            <w:r>
              <w:rPr>
                <w:rFonts w:hint="default" w:ascii="Times New Roman" w:hAnsi="Times New Roman" w:eastAsia="方正仿宋_GBK" w:cs="Times New Roman"/>
                <w:i w:val="0"/>
                <w:iCs w:val="0"/>
                <w:snapToGrid w:val="0"/>
                <w:color w:val="000000"/>
                <w:kern w:val="0"/>
                <w:sz w:val="18"/>
                <w:szCs w:val="18"/>
                <w:u w:val="none"/>
                <w:lang w:val="en-US" w:eastAsia="zh-CN" w:bidi="ar"/>
              </w:rPr>
              <w:t>1.≥800万像素摄像头；USB五伏电源直接供电，无需额外配置电源适配器，环保无辐射；箱内USB连线采用隐藏式设计。</w:t>
            </w:r>
            <w:r>
              <w:rPr>
                <w:rFonts w:hint="default" w:ascii="Times New Roman" w:hAnsi="Times New Roman" w:eastAsia="方正仿宋_GBK" w:cs="Times New Roman"/>
                <w:i w:val="0"/>
                <w:iCs w:val="0"/>
                <w:snapToGrid w:val="0"/>
                <w:color w:val="000000"/>
                <w:kern w:val="0"/>
                <w:sz w:val="18"/>
                <w:szCs w:val="18"/>
                <w:u w:val="none"/>
                <w:lang w:val="en-US" w:eastAsia="zh-CN" w:bidi="ar"/>
              </w:rPr>
              <w:br w:type="textWrapping"/>
            </w:r>
            <w:r>
              <w:rPr>
                <w:rFonts w:hint="default" w:ascii="Times New Roman" w:hAnsi="Times New Roman" w:eastAsia="方正仿宋_GBK" w:cs="Times New Roman"/>
                <w:i w:val="0"/>
                <w:iCs w:val="0"/>
                <w:snapToGrid w:val="0"/>
                <w:color w:val="000000"/>
                <w:kern w:val="0"/>
                <w:sz w:val="18"/>
                <w:szCs w:val="18"/>
                <w:u w:val="none"/>
                <w:lang w:val="en-US" w:eastAsia="zh-CN" w:bidi="ar"/>
              </w:rPr>
              <w:t>2.A4拍摄幅面，1080P动态视频预览达到30帧/秒；托板及挂墙部分采用金属加强，托板可承重3kg，整机壁挂式安装。</w:t>
            </w:r>
            <w:r>
              <w:rPr>
                <w:rFonts w:hint="default" w:ascii="Times New Roman" w:hAnsi="Times New Roman" w:eastAsia="方正仿宋_GBK" w:cs="Times New Roman"/>
                <w:i w:val="0"/>
                <w:iCs w:val="0"/>
                <w:snapToGrid w:val="0"/>
                <w:color w:val="000000"/>
                <w:kern w:val="0"/>
                <w:sz w:val="18"/>
                <w:szCs w:val="18"/>
                <w:u w:val="none"/>
                <w:lang w:val="en-US" w:eastAsia="zh-CN" w:bidi="ar"/>
              </w:rPr>
              <w:br w:type="textWrapping"/>
            </w:r>
            <w:r>
              <w:rPr>
                <w:rFonts w:hint="default" w:ascii="Times New Roman" w:hAnsi="Times New Roman" w:eastAsia="方正仿宋_GBK" w:cs="Times New Roman"/>
                <w:i w:val="0"/>
                <w:iCs w:val="0"/>
                <w:snapToGrid w:val="0"/>
                <w:color w:val="000000"/>
                <w:kern w:val="0"/>
                <w:sz w:val="18"/>
                <w:szCs w:val="18"/>
                <w:u w:val="none"/>
                <w:lang w:val="en-US" w:eastAsia="zh-CN" w:bidi="ar"/>
              </w:rPr>
              <w:t>3.支持展台成像画面实时批注，预设多种</w:t>
            </w:r>
            <w:r>
              <w:rPr>
                <w:rFonts w:hint="eastAsia" w:ascii="Times New Roman" w:hAnsi="Times New Roman" w:eastAsia="方正仿宋_GBK" w:cs="Times New Roman"/>
                <w:i w:val="0"/>
                <w:iCs w:val="0"/>
                <w:snapToGrid w:val="0"/>
                <w:color w:val="000000"/>
                <w:kern w:val="0"/>
                <w:sz w:val="18"/>
                <w:szCs w:val="18"/>
                <w:u w:val="none"/>
                <w:lang w:val="en-US" w:eastAsia="zh-CN" w:bidi="ar"/>
              </w:rPr>
              <w:t>笔画</w:t>
            </w:r>
            <w:r>
              <w:rPr>
                <w:rFonts w:hint="default" w:ascii="Times New Roman" w:hAnsi="Times New Roman" w:eastAsia="方正仿宋_GBK" w:cs="Times New Roman"/>
                <w:i w:val="0"/>
                <w:iCs w:val="0"/>
                <w:snapToGrid w:val="0"/>
                <w:color w:val="000000"/>
                <w:kern w:val="0"/>
                <w:sz w:val="18"/>
                <w:szCs w:val="18"/>
                <w:u w:val="none"/>
                <w:lang w:val="en-US" w:eastAsia="zh-CN" w:bidi="ar"/>
              </w:rPr>
              <w:t>粗细及颜色供选择，且支持对展台成像画面</w:t>
            </w:r>
            <w:r>
              <w:rPr>
                <w:rFonts w:hint="eastAsia" w:ascii="Times New Roman" w:hAnsi="Times New Roman" w:eastAsia="方正仿宋_GBK" w:cs="Times New Roman"/>
                <w:i w:val="0"/>
                <w:iCs w:val="0"/>
                <w:snapToGrid w:val="0"/>
                <w:color w:val="000000"/>
                <w:kern w:val="0"/>
                <w:sz w:val="18"/>
                <w:szCs w:val="18"/>
                <w:u w:val="none"/>
                <w:lang w:val="en-US" w:eastAsia="zh-CN" w:bidi="ar"/>
              </w:rPr>
              <w:t>连同</w:t>
            </w:r>
            <w:r>
              <w:rPr>
                <w:rFonts w:hint="default" w:ascii="Times New Roman" w:hAnsi="Times New Roman" w:eastAsia="方正仿宋_GBK" w:cs="Times New Roman"/>
                <w:i w:val="0"/>
                <w:iCs w:val="0"/>
                <w:snapToGrid w:val="0"/>
                <w:color w:val="000000"/>
                <w:kern w:val="0"/>
                <w:sz w:val="18"/>
                <w:szCs w:val="18"/>
                <w:u w:val="none"/>
                <w:lang w:val="en-US" w:eastAsia="zh-CN" w:bidi="ar"/>
              </w:rPr>
              <w:t>批注内容进行同步缩放、移动。</w:t>
            </w:r>
            <w:r>
              <w:rPr>
                <w:rFonts w:hint="default" w:ascii="Times New Roman" w:hAnsi="Times New Roman" w:eastAsia="方正仿宋_GBK" w:cs="Times New Roman"/>
                <w:i w:val="0"/>
                <w:iCs w:val="0"/>
                <w:snapToGrid w:val="0"/>
                <w:color w:val="000000"/>
                <w:kern w:val="0"/>
                <w:sz w:val="18"/>
                <w:szCs w:val="18"/>
                <w:u w:val="none"/>
                <w:lang w:val="en-US" w:eastAsia="zh-CN" w:bidi="ar"/>
              </w:rPr>
              <w:br w:type="textWrapping"/>
            </w:r>
            <w:r>
              <w:rPr>
                <w:rFonts w:hint="default" w:ascii="Times New Roman" w:hAnsi="Times New Roman" w:eastAsia="方正仿宋_GBK" w:cs="Times New Roman"/>
                <w:i w:val="0"/>
                <w:iCs w:val="0"/>
                <w:snapToGrid w:val="0"/>
                <w:color w:val="000000"/>
                <w:kern w:val="0"/>
                <w:sz w:val="18"/>
                <w:szCs w:val="18"/>
                <w:u w:val="none"/>
                <w:lang w:val="en-US" w:eastAsia="zh-CN" w:bidi="ar"/>
              </w:rPr>
              <w:t>4.整机采用圆弧式设计，无锐角；同时托板采用磁吸吸附式机构，防止托板打落，方便打开及固定，避免机械式锁具故障率高的问题。</w:t>
            </w:r>
            <w:r>
              <w:rPr>
                <w:rFonts w:hint="default" w:ascii="Times New Roman" w:hAnsi="Times New Roman" w:eastAsia="方正仿宋_GBK" w:cs="Times New Roman"/>
                <w:i w:val="0"/>
                <w:iCs w:val="0"/>
                <w:snapToGrid w:val="0"/>
                <w:color w:val="000000"/>
                <w:kern w:val="0"/>
                <w:sz w:val="18"/>
                <w:szCs w:val="18"/>
                <w:u w:val="none"/>
                <w:lang w:val="en-US" w:eastAsia="zh-CN" w:bidi="ar"/>
              </w:rPr>
              <w:br w:type="textWrapping"/>
            </w:r>
            <w:r>
              <w:rPr>
                <w:rFonts w:hint="default" w:ascii="Times New Roman" w:hAnsi="Times New Roman" w:eastAsia="方正仿宋_GBK" w:cs="Times New Roman"/>
                <w:i w:val="0"/>
                <w:iCs w:val="0"/>
                <w:snapToGrid w:val="0"/>
                <w:color w:val="000000"/>
                <w:kern w:val="0"/>
                <w:sz w:val="18"/>
                <w:szCs w:val="18"/>
                <w:u w:val="none"/>
                <w:lang w:val="en-US" w:eastAsia="zh-CN" w:bidi="ar"/>
              </w:rPr>
              <w:t>5.展示托板正上方具备LED补光灯，补光灯开关采用触摸按键设计，同时可通过交互智能平板中的软件直接控制开关。</w:t>
            </w:r>
            <w:r>
              <w:rPr>
                <w:rFonts w:hint="default" w:ascii="Times New Roman" w:hAnsi="Times New Roman" w:eastAsia="方正仿宋_GBK" w:cs="Times New Roman"/>
                <w:i w:val="0"/>
                <w:iCs w:val="0"/>
                <w:snapToGrid w:val="0"/>
                <w:color w:val="000000"/>
                <w:kern w:val="0"/>
                <w:sz w:val="18"/>
                <w:szCs w:val="18"/>
                <w:u w:val="none"/>
                <w:lang w:val="en-US" w:eastAsia="zh-CN" w:bidi="ar"/>
              </w:rPr>
              <w:br w:type="textWrapping"/>
            </w:r>
            <w:r>
              <w:rPr>
                <w:rFonts w:hint="default" w:ascii="Times New Roman" w:hAnsi="Times New Roman" w:eastAsia="方正仿宋_GBK" w:cs="Times New Roman"/>
                <w:i w:val="0"/>
                <w:iCs w:val="0"/>
                <w:snapToGrid w:val="0"/>
                <w:color w:val="000000"/>
                <w:kern w:val="0"/>
                <w:sz w:val="18"/>
                <w:szCs w:val="18"/>
                <w:u w:val="none"/>
                <w:lang w:val="en-US" w:eastAsia="zh-CN" w:bidi="ar"/>
              </w:rPr>
              <w:t>6.带自动对焦摄像头；外壳在摄像头部分带保护镜片密封，防止灰尘沾染摄像头。</w:t>
            </w:r>
          </w:p>
        </w:tc>
        <w:tc>
          <w:tcPr>
            <w:tcW w:w="4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A294D1">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方正仿宋_GBK" w:cs="Times New Roman"/>
                <w:i w:val="0"/>
                <w:iCs w:val="0"/>
                <w:color w:val="000000"/>
                <w:sz w:val="18"/>
                <w:szCs w:val="18"/>
                <w:u w:val="none"/>
              </w:rPr>
            </w:pPr>
            <w:r>
              <w:rPr>
                <w:rFonts w:hint="default" w:ascii="Times New Roman" w:hAnsi="Times New Roman" w:eastAsia="方正仿宋_GBK" w:cs="Times New Roman"/>
                <w:i w:val="0"/>
                <w:iCs w:val="0"/>
                <w:snapToGrid w:val="0"/>
                <w:color w:val="000000"/>
                <w:kern w:val="0"/>
                <w:sz w:val="18"/>
                <w:szCs w:val="18"/>
                <w:u w:val="none"/>
                <w:lang w:val="en-US" w:eastAsia="zh-CN" w:bidi="ar"/>
              </w:rPr>
              <w:t>90</w:t>
            </w:r>
          </w:p>
        </w:tc>
        <w:tc>
          <w:tcPr>
            <w:tcW w:w="4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F4CFEB">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方正仿宋_GBK" w:cs="Times New Roman"/>
                <w:i w:val="0"/>
                <w:iCs w:val="0"/>
                <w:color w:val="000000"/>
                <w:sz w:val="18"/>
                <w:szCs w:val="18"/>
                <w:u w:val="none"/>
              </w:rPr>
            </w:pPr>
            <w:r>
              <w:rPr>
                <w:rFonts w:hint="default" w:ascii="Times New Roman" w:hAnsi="Times New Roman" w:eastAsia="方正仿宋_GBK" w:cs="Times New Roman"/>
                <w:i w:val="0"/>
                <w:iCs w:val="0"/>
                <w:snapToGrid w:val="0"/>
                <w:color w:val="000000"/>
                <w:kern w:val="0"/>
                <w:sz w:val="18"/>
                <w:szCs w:val="18"/>
                <w:u w:val="none"/>
                <w:lang w:val="en-US" w:eastAsia="zh-CN" w:bidi="ar"/>
              </w:rPr>
              <w:t>套</w:t>
            </w:r>
          </w:p>
        </w:tc>
      </w:tr>
      <w:tr w14:paraId="1FEA0E8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 w:hRule="atLeast"/>
        </w:trPr>
        <w:tc>
          <w:tcPr>
            <w:tcW w:w="4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1BC6CE">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方正仿宋_GBK" w:cs="Times New Roman"/>
                <w:i w:val="0"/>
                <w:iCs w:val="0"/>
                <w:color w:val="000000"/>
                <w:sz w:val="18"/>
                <w:szCs w:val="18"/>
                <w:u w:val="none"/>
              </w:rPr>
            </w:pPr>
            <w:r>
              <w:rPr>
                <w:rFonts w:hint="default" w:ascii="Times New Roman" w:hAnsi="Times New Roman" w:eastAsia="方正仿宋_GBK" w:cs="Times New Roman"/>
                <w:i w:val="0"/>
                <w:iCs w:val="0"/>
                <w:snapToGrid w:val="0"/>
                <w:color w:val="000000"/>
                <w:kern w:val="0"/>
                <w:sz w:val="18"/>
                <w:szCs w:val="18"/>
                <w:u w:val="none"/>
                <w:lang w:val="en-US" w:eastAsia="zh-CN" w:bidi="ar"/>
              </w:rPr>
              <w:t>3</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55D3DA">
            <w:pPr>
              <w:keepNext w:val="0"/>
              <w:keepLines w:val="0"/>
              <w:widowControl/>
              <w:suppressLineNumbers w:val="0"/>
              <w:spacing w:before="0" w:beforeAutospacing="0" w:after="0" w:afterAutospacing="0"/>
              <w:ind w:left="0" w:right="0"/>
              <w:jc w:val="left"/>
              <w:textAlignment w:val="center"/>
              <w:rPr>
                <w:rFonts w:hint="default" w:ascii="Times New Roman" w:hAnsi="Times New Roman" w:eastAsia="方正仿宋_GBK" w:cs="Times New Roman"/>
                <w:i w:val="0"/>
                <w:iCs w:val="0"/>
                <w:color w:val="000000"/>
                <w:sz w:val="18"/>
                <w:szCs w:val="18"/>
                <w:u w:val="none"/>
              </w:rPr>
            </w:pPr>
            <w:r>
              <w:rPr>
                <w:rFonts w:hint="default" w:ascii="Times New Roman" w:hAnsi="Times New Roman" w:eastAsia="方正仿宋_GBK" w:cs="Times New Roman"/>
                <w:i w:val="0"/>
                <w:iCs w:val="0"/>
                <w:snapToGrid w:val="0"/>
                <w:color w:val="000000"/>
                <w:kern w:val="0"/>
                <w:sz w:val="18"/>
                <w:szCs w:val="18"/>
                <w:u w:val="none"/>
                <w:lang w:val="en-US" w:eastAsia="zh-CN" w:bidi="ar"/>
              </w:rPr>
              <w:t>无线麦克风</w:t>
            </w:r>
          </w:p>
        </w:tc>
        <w:tc>
          <w:tcPr>
            <w:tcW w:w="72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0ED541">
            <w:pPr>
              <w:keepNext w:val="0"/>
              <w:keepLines w:val="0"/>
              <w:widowControl/>
              <w:suppressLineNumbers w:val="0"/>
              <w:spacing w:before="0" w:beforeAutospacing="0" w:after="0" w:afterAutospacing="0"/>
              <w:ind w:left="0" w:right="0"/>
              <w:jc w:val="left"/>
              <w:textAlignment w:val="center"/>
              <w:rPr>
                <w:rFonts w:hint="default" w:ascii="Times New Roman" w:hAnsi="Times New Roman" w:eastAsia="方正仿宋_GBK" w:cs="Times New Roman"/>
                <w:i w:val="0"/>
                <w:iCs w:val="0"/>
                <w:color w:val="000000"/>
                <w:sz w:val="18"/>
                <w:szCs w:val="18"/>
                <w:u w:val="none"/>
              </w:rPr>
            </w:pPr>
            <w:r>
              <w:rPr>
                <w:rFonts w:hint="default" w:ascii="Times New Roman" w:hAnsi="Times New Roman" w:eastAsia="方正仿宋_GBK" w:cs="Times New Roman"/>
                <w:i w:val="0"/>
                <w:iCs w:val="0"/>
                <w:snapToGrid w:val="0"/>
                <w:color w:val="000000"/>
                <w:kern w:val="0"/>
                <w:sz w:val="18"/>
                <w:szCs w:val="18"/>
                <w:u w:val="none"/>
                <w:lang w:val="en-US" w:eastAsia="zh-CN" w:bidi="ar"/>
              </w:rPr>
              <w:t>1.麦克风支持≥1个3.5mm音频接口，可输入头戴麦音频信号，输出幅值≥2V（RMS）。整机3.5mm音频接口≥2个。</w:t>
            </w:r>
            <w:r>
              <w:rPr>
                <w:rFonts w:hint="default" w:ascii="Times New Roman" w:hAnsi="Times New Roman" w:eastAsia="方正仿宋_GBK" w:cs="Times New Roman"/>
                <w:i w:val="0"/>
                <w:iCs w:val="0"/>
                <w:snapToGrid w:val="0"/>
                <w:color w:val="000000"/>
                <w:kern w:val="0"/>
                <w:sz w:val="18"/>
                <w:szCs w:val="18"/>
                <w:u w:val="none"/>
                <w:lang w:val="en-US" w:eastAsia="zh-CN" w:bidi="ar"/>
              </w:rPr>
              <w:br w:type="textWrapping"/>
            </w:r>
            <w:r>
              <w:rPr>
                <w:rFonts w:hint="default" w:ascii="Times New Roman" w:hAnsi="Times New Roman" w:eastAsia="方正仿宋_GBK" w:cs="Times New Roman"/>
                <w:i w:val="0"/>
                <w:iCs w:val="0"/>
                <w:snapToGrid w:val="0"/>
                <w:color w:val="000000"/>
                <w:kern w:val="0"/>
                <w:sz w:val="18"/>
                <w:szCs w:val="18"/>
                <w:u w:val="none"/>
                <w:lang w:val="en-US" w:eastAsia="zh-CN" w:bidi="ar"/>
              </w:rPr>
              <w:t>2.麦克风整机≥1个USB Type-C接口。</w:t>
            </w:r>
            <w:r>
              <w:rPr>
                <w:rFonts w:hint="default" w:ascii="Times New Roman" w:hAnsi="Times New Roman" w:eastAsia="方正仿宋_GBK" w:cs="Times New Roman"/>
                <w:i w:val="0"/>
                <w:iCs w:val="0"/>
                <w:snapToGrid w:val="0"/>
                <w:color w:val="000000"/>
                <w:kern w:val="0"/>
                <w:sz w:val="18"/>
                <w:szCs w:val="18"/>
                <w:u w:val="none"/>
                <w:lang w:val="en-US" w:eastAsia="zh-CN" w:bidi="ar"/>
              </w:rPr>
              <w:br w:type="textWrapping"/>
            </w:r>
            <w:r>
              <w:rPr>
                <w:rFonts w:hint="default" w:ascii="Times New Roman" w:hAnsi="Times New Roman" w:eastAsia="方正仿宋_GBK" w:cs="Times New Roman"/>
                <w:i w:val="0"/>
                <w:iCs w:val="0"/>
                <w:snapToGrid w:val="0"/>
                <w:color w:val="000000"/>
                <w:kern w:val="0"/>
                <w:sz w:val="18"/>
                <w:szCs w:val="18"/>
                <w:u w:val="none"/>
                <w:lang w:val="en-US" w:eastAsia="zh-CN" w:bidi="ar"/>
              </w:rPr>
              <w:t>3.麦克风支持≥1个Pogo pin接口，支持通过Pogo pin接口进行充电。整机Pogo pin接口≥2个。</w:t>
            </w:r>
            <w:r>
              <w:rPr>
                <w:rFonts w:hint="default" w:ascii="Times New Roman" w:hAnsi="Times New Roman" w:eastAsia="方正仿宋_GBK" w:cs="Times New Roman"/>
                <w:i w:val="0"/>
                <w:iCs w:val="0"/>
                <w:snapToGrid w:val="0"/>
                <w:color w:val="000000"/>
                <w:kern w:val="0"/>
                <w:sz w:val="18"/>
                <w:szCs w:val="18"/>
                <w:u w:val="none"/>
                <w:lang w:val="en-US" w:eastAsia="zh-CN" w:bidi="ar"/>
              </w:rPr>
              <w:br w:type="textWrapping"/>
            </w:r>
            <w:r>
              <w:rPr>
                <w:rFonts w:hint="default" w:ascii="Times New Roman" w:hAnsi="Times New Roman" w:eastAsia="方正仿宋_GBK" w:cs="Times New Roman"/>
                <w:i w:val="0"/>
                <w:iCs w:val="0"/>
                <w:snapToGrid w:val="0"/>
                <w:color w:val="000000"/>
                <w:kern w:val="0"/>
                <w:sz w:val="18"/>
                <w:szCs w:val="18"/>
                <w:u w:val="none"/>
                <w:lang w:val="en-US" w:eastAsia="zh-CN" w:bidi="ar"/>
              </w:rPr>
              <w:t>4.麦克风支持≥1个三合一按键，可控制麦克风的开关机、静音和配对。</w:t>
            </w:r>
            <w:r>
              <w:rPr>
                <w:rFonts w:hint="default" w:ascii="Times New Roman" w:hAnsi="Times New Roman" w:eastAsia="方正仿宋_GBK" w:cs="Times New Roman"/>
                <w:i w:val="0"/>
                <w:iCs w:val="0"/>
                <w:snapToGrid w:val="0"/>
                <w:color w:val="000000"/>
                <w:kern w:val="0"/>
                <w:sz w:val="18"/>
                <w:szCs w:val="18"/>
                <w:u w:val="none"/>
                <w:lang w:val="en-US" w:eastAsia="zh-CN" w:bidi="ar"/>
              </w:rPr>
              <w:br w:type="textWrapping"/>
            </w:r>
            <w:r>
              <w:rPr>
                <w:rFonts w:hint="default" w:ascii="Times New Roman" w:hAnsi="Times New Roman" w:eastAsia="方正仿宋_GBK" w:cs="Times New Roman"/>
                <w:i w:val="0"/>
                <w:iCs w:val="0"/>
                <w:snapToGrid w:val="0"/>
                <w:color w:val="000000"/>
                <w:kern w:val="0"/>
                <w:sz w:val="18"/>
                <w:szCs w:val="18"/>
                <w:u w:val="none"/>
                <w:lang w:val="en-US" w:eastAsia="zh-CN" w:bidi="ar"/>
              </w:rPr>
              <w:t>5.麦克风支持≥2个音量控制按钮，可通过音量“+”“—”按钮控制麦克风输出音量。</w:t>
            </w:r>
            <w:r>
              <w:rPr>
                <w:rFonts w:hint="default" w:ascii="Times New Roman" w:hAnsi="Times New Roman" w:eastAsia="方正仿宋_GBK" w:cs="Times New Roman"/>
                <w:i w:val="0"/>
                <w:iCs w:val="0"/>
                <w:snapToGrid w:val="0"/>
                <w:color w:val="000000"/>
                <w:kern w:val="0"/>
                <w:sz w:val="18"/>
                <w:szCs w:val="18"/>
                <w:u w:val="none"/>
                <w:lang w:val="en-US" w:eastAsia="zh-CN" w:bidi="ar"/>
              </w:rPr>
              <w:br w:type="textWrapping"/>
            </w:r>
            <w:r>
              <w:rPr>
                <w:rFonts w:hint="default" w:ascii="Times New Roman" w:hAnsi="Times New Roman" w:eastAsia="方正仿宋_GBK" w:cs="Times New Roman"/>
                <w:i w:val="0"/>
                <w:iCs w:val="0"/>
                <w:snapToGrid w:val="0"/>
                <w:color w:val="000000"/>
                <w:kern w:val="0"/>
                <w:sz w:val="18"/>
                <w:szCs w:val="18"/>
                <w:u w:val="none"/>
                <w:lang w:val="en-US" w:eastAsia="zh-CN" w:bidi="ar"/>
              </w:rPr>
              <w:t>6.麦克风单体重量≤30g。</w:t>
            </w:r>
            <w:r>
              <w:rPr>
                <w:rFonts w:hint="default" w:ascii="Times New Roman" w:hAnsi="Times New Roman" w:eastAsia="方正仿宋_GBK" w:cs="Times New Roman"/>
                <w:i w:val="0"/>
                <w:iCs w:val="0"/>
                <w:snapToGrid w:val="0"/>
                <w:color w:val="000000"/>
                <w:kern w:val="0"/>
                <w:sz w:val="18"/>
                <w:szCs w:val="18"/>
                <w:u w:val="none"/>
                <w:lang w:val="en-US" w:eastAsia="zh-CN" w:bidi="ar"/>
              </w:rPr>
              <w:br w:type="textWrapping"/>
            </w:r>
            <w:r>
              <w:rPr>
                <w:rFonts w:hint="default" w:ascii="Times New Roman" w:hAnsi="Times New Roman" w:eastAsia="方正仿宋_GBK" w:cs="Times New Roman"/>
                <w:i w:val="0"/>
                <w:iCs w:val="0"/>
                <w:snapToGrid w:val="0"/>
                <w:color w:val="000000"/>
                <w:kern w:val="0"/>
                <w:sz w:val="18"/>
                <w:szCs w:val="18"/>
                <w:u w:val="none"/>
                <w:lang w:val="en-US" w:eastAsia="zh-CN" w:bidi="ar"/>
              </w:rPr>
              <w:t>7.麦克风标配充电仓，方便快速充电及收纳。</w:t>
            </w:r>
          </w:p>
        </w:tc>
        <w:tc>
          <w:tcPr>
            <w:tcW w:w="4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96B08D">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方正仿宋_GBK" w:cs="Times New Roman"/>
                <w:i w:val="0"/>
                <w:iCs w:val="0"/>
                <w:color w:val="000000"/>
                <w:sz w:val="18"/>
                <w:szCs w:val="18"/>
                <w:u w:val="none"/>
              </w:rPr>
            </w:pPr>
            <w:r>
              <w:rPr>
                <w:rFonts w:hint="default" w:ascii="Times New Roman" w:hAnsi="Times New Roman" w:eastAsia="方正仿宋_GBK" w:cs="Times New Roman"/>
                <w:i w:val="0"/>
                <w:iCs w:val="0"/>
                <w:snapToGrid w:val="0"/>
                <w:color w:val="000000"/>
                <w:kern w:val="0"/>
                <w:sz w:val="18"/>
                <w:szCs w:val="18"/>
                <w:u w:val="none"/>
                <w:lang w:val="en-US" w:eastAsia="zh-CN" w:bidi="ar"/>
              </w:rPr>
              <w:t>90</w:t>
            </w:r>
          </w:p>
        </w:tc>
        <w:tc>
          <w:tcPr>
            <w:tcW w:w="4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2D046A">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方正仿宋_GBK" w:cs="Times New Roman"/>
                <w:i w:val="0"/>
                <w:iCs w:val="0"/>
                <w:color w:val="000000"/>
                <w:sz w:val="18"/>
                <w:szCs w:val="18"/>
                <w:u w:val="none"/>
              </w:rPr>
            </w:pPr>
            <w:r>
              <w:rPr>
                <w:rFonts w:hint="default" w:ascii="Times New Roman" w:hAnsi="Times New Roman" w:eastAsia="方正仿宋_GBK" w:cs="Times New Roman"/>
                <w:i w:val="0"/>
                <w:iCs w:val="0"/>
                <w:snapToGrid w:val="0"/>
                <w:color w:val="000000"/>
                <w:kern w:val="0"/>
                <w:sz w:val="18"/>
                <w:szCs w:val="18"/>
                <w:u w:val="none"/>
                <w:lang w:val="en-US" w:eastAsia="zh-CN" w:bidi="ar"/>
              </w:rPr>
              <w:t>套</w:t>
            </w:r>
          </w:p>
        </w:tc>
      </w:tr>
      <w:tr w14:paraId="6E7A0B4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26" w:hRule="atLeast"/>
        </w:trPr>
        <w:tc>
          <w:tcPr>
            <w:tcW w:w="4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68D220">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方正仿宋_GBK" w:cs="Times New Roman"/>
                <w:i w:val="0"/>
                <w:iCs w:val="0"/>
                <w:color w:val="000000"/>
                <w:sz w:val="18"/>
                <w:szCs w:val="18"/>
                <w:u w:val="none"/>
              </w:rPr>
            </w:pPr>
            <w:r>
              <w:rPr>
                <w:rFonts w:hint="default" w:ascii="Times New Roman" w:hAnsi="Times New Roman" w:eastAsia="方正仿宋_GBK" w:cs="Times New Roman"/>
                <w:i w:val="0"/>
                <w:iCs w:val="0"/>
                <w:snapToGrid w:val="0"/>
                <w:color w:val="000000"/>
                <w:kern w:val="0"/>
                <w:sz w:val="18"/>
                <w:szCs w:val="18"/>
                <w:u w:val="none"/>
                <w:lang w:val="en-US" w:eastAsia="zh-CN" w:bidi="ar"/>
              </w:rPr>
              <w:t>4</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B04FAB">
            <w:pPr>
              <w:keepNext w:val="0"/>
              <w:keepLines w:val="0"/>
              <w:widowControl/>
              <w:suppressLineNumbers w:val="0"/>
              <w:spacing w:before="0" w:beforeAutospacing="0" w:after="0" w:afterAutospacing="0"/>
              <w:ind w:left="0" w:right="0"/>
              <w:jc w:val="left"/>
              <w:textAlignment w:val="center"/>
              <w:rPr>
                <w:rFonts w:hint="default" w:ascii="Times New Roman" w:hAnsi="Times New Roman" w:eastAsia="方正仿宋_GBK" w:cs="Times New Roman"/>
                <w:i w:val="0"/>
                <w:iCs w:val="0"/>
                <w:color w:val="000000"/>
                <w:sz w:val="18"/>
                <w:szCs w:val="18"/>
                <w:u w:val="none"/>
              </w:rPr>
            </w:pPr>
            <w:r>
              <w:rPr>
                <w:rFonts w:hint="default" w:ascii="Times New Roman" w:hAnsi="Times New Roman" w:eastAsia="方正仿宋_GBK" w:cs="Times New Roman"/>
                <w:i w:val="0"/>
                <w:iCs w:val="0"/>
                <w:snapToGrid w:val="0"/>
                <w:color w:val="000000"/>
                <w:kern w:val="0"/>
                <w:sz w:val="18"/>
                <w:szCs w:val="18"/>
                <w:u w:val="none"/>
                <w:lang w:val="en-US" w:eastAsia="zh-CN" w:bidi="ar"/>
              </w:rPr>
              <w:t>扩声音响</w:t>
            </w:r>
          </w:p>
        </w:tc>
        <w:tc>
          <w:tcPr>
            <w:tcW w:w="72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028257">
            <w:pPr>
              <w:keepNext w:val="0"/>
              <w:keepLines w:val="0"/>
              <w:widowControl/>
              <w:suppressLineNumbers w:val="0"/>
              <w:spacing w:before="0" w:beforeAutospacing="0" w:after="0" w:afterAutospacing="0"/>
              <w:ind w:left="0" w:right="0"/>
              <w:jc w:val="left"/>
              <w:textAlignment w:val="center"/>
              <w:rPr>
                <w:rFonts w:hint="default" w:ascii="Times New Roman" w:hAnsi="Times New Roman" w:eastAsia="方正仿宋_GBK" w:cs="Times New Roman"/>
                <w:i w:val="0"/>
                <w:iCs w:val="0"/>
                <w:color w:val="000000"/>
                <w:sz w:val="18"/>
                <w:szCs w:val="18"/>
                <w:u w:val="none"/>
              </w:rPr>
            </w:pPr>
            <w:r>
              <w:rPr>
                <w:rFonts w:hint="default" w:ascii="Times New Roman" w:hAnsi="Times New Roman" w:eastAsia="方正仿宋_GBK" w:cs="Times New Roman"/>
                <w:i w:val="0"/>
                <w:iCs w:val="0"/>
                <w:snapToGrid w:val="0"/>
                <w:color w:val="000000"/>
                <w:kern w:val="0"/>
                <w:sz w:val="18"/>
                <w:szCs w:val="18"/>
                <w:u w:val="none"/>
                <w:lang w:val="en-US" w:eastAsia="zh-CN" w:bidi="ar"/>
              </w:rPr>
              <w:t>1.采用功放与有源音箱一体化设计，实现观摩室扩声功能。</w:t>
            </w:r>
            <w:r>
              <w:rPr>
                <w:rFonts w:hint="default" w:ascii="Times New Roman" w:hAnsi="Times New Roman" w:eastAsia="方正仿宋_GBK" w:cs="Times New Roman"/>
                <w:i w:val="0"/>
                <w:iCs w:val="0"/>
                <w:snapToGrid w:val="0"/>
                <w:color w:val="000000"/>
                <w:kern w:val="0"/>
                <w:sz w:val="18"/>
                <w:szCs w:val="18"/>
                <w:u w:val="none"/>
                <w:lang w:val="en-US" w:eastAsia="zh-CN" w:bidi="ar"/>
              </w:rPr>
              <w:br w:type="textWrapping"/>
            </w:r>
            <w:r>
              <w:rPr>
                <w:rFonts w:hint="default" w:ascii="Times New Roman" w:hAnsi="Times New Roman" w:eastAsia="方正仿宋_GBK" w:cs="Times New Roman"/>
                <w:i w:val="0"/>
                <w:iCs w:val="0"/>
                <w:snapToGrid w:val="0"/>
                <w:color w:val="000000"/>
                <w:kern w:val="0"/>
                <w:sz w:val="18"/>
                <w:szCs w:val="18"/>
                <w:u w:val="none"/>
                <w:lang w:val="en-US" w:eastAsia="zh-CN" w:bidi="ar"/>
              </w:rPr>
              <w:t>2.双音箱有线连接，机箱采用塑胶材质，保护设备免受环境影响。</w:t>
            </w:r>
            <w:r>
              <w:rPr>
                <w:rFonts w:hint="default" w:ascii="Times New Roman" w:hAnsi="Times New Roman" w:eastAsia="方正仿宋_GBK" w:cs="Times New Roman"/>
                <w:i w:val="0"/>
                <w:iCs w:val="0"/>
                <w:snapToGrid w:val="0"/>
                <w:color w:val="000000"/>
                <w:kern w:val="0"/>
                <w:sz w:val="18"/>
                <w:szCs w:val="18"/>
                <w:u w:val="none"/>
                <w:lang w:val="en-US" w:eastAsia="zh-CN" w:bidi="ar"/>
              </w:rPr>
              <w:br w:type="textWrapping"/>
            </w:r>
            <w:r>
              <w:rPr>
                <w:rFonts w:hint="default" w:ascii="Times New Roman" w:hAnsi="Times New Roman" w:eastAsia="方正仿宋_GBK" w:cs="Times New Roman"/>
                <w:i w:val="0"/>
                <w:iCs w:val="0"/>
                <w:snapToGrid w:val="0"/>
                <w:color w:val="000000"/>
                <w:kern w:val="0"/>
                <w:sz w:val="18"/>
                <w:szCs w:val="18"/>
                <w:u w:val="none"/>
                <w:lang w:val="en-US" w:eastAsia="zh-CN" w:bidi="ar"/>
              </w:rPr>
              <w:t>3.输出额定功率： 2*15W。</w:t>
            </w:r>
          </w:p>
        </w:tc>
        <w:tc>
          <w:tcPr>
            <w:tcW w:w="4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1563E4">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方正仿宋_GBK" w:cs="Times New Roman"/>
                <w:i w:val="0"/>
                <w:iCs w:val="0"/>
                <w:color w:val="000000"/>
                <w:sz w:val="18"/>
                <w:szCs w:val="18"/>
                <w:u w:val="none"/>
              </w:rPr>
            </w:pPr>
            <w:r>
              <w:rPr>
                <w:rFonts w:hint="default" w:ascii="Times New Roman" w:hAnsi="Times New Roman" w:eastAsia="方正仿宋_GBK" w:cs="Times New Roman"/>
                <w:i w:val="0"/>
                <w:iCs w:val="0"/>
                <w:snapToGrid w:val="0"/>
                <w:color w:val="000000"/>
                <w:kern w:val="0"/>
                <w:sz w:val="18"/>
                <w:szCs w:val="18"/>
                <w:u w:val="none"/>
                <w:lang w:val="en-US" w:eastAsia="zh-CN" w:bidi="ar"/>
              </w:rPr>
              <w:t>90</w:t>
            </w:r>
          </w:p>
        </w:tc>
        <w:tc>
          <w:tcPr>
            <w:tcW w:w="4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87C652">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方正仿宋_GBK" w:cs="Times New Roman"/>
                <w:i w:val="0"/>
                <w:iCs w:val="0"/>
                <w:color w:val="000000"/>
                <w:sz w:val="18"/>
                <w:szCs w:val="18"/>
                <w:u w:val="none"/>
              </w:rPr>
            </w:pPr>
            <w:r>
              <w:rPr>
                <w:rFonts w:hint="default" w:ascii="Times New Roman" w:hAnsi="Times New Roman" w:eastAsia="方正仿宋_GBK" w:cs="Times New Roman"/>
                <w:i w:val="0"/>
                <w:iCs w:val="0"/>
                <w:snapToGrid w:val="0"/>
                <w:color w:val="000000"/>
                <w:kern w:val="0"/>
                <w:sz w:val="18"/>
                <w:szCs w:val="18"/>
                <w:u w:val="none"/>
                <w:lang w:val="en-US" w:eastAsia="zh-CN" w:bidi="ar"/>
              </w:rPr>
              <w:t>对</w:t>
            </w:r>
          </w:p>
        </w:tc>
      </w:tr>
      <w:tr w14:paraId="31706E4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507" w:hRule="atLeast"/>
        </w:trPr>
        <w:tc>
          <w:tcPr>
            <w:tcW w:w="4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4B3BF6">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方正仿宋_GBK" w:cs="Times New Roman"/>
                <w:i w:val="0"/>
                <w:iCs w:val="0"/>
                <w:color w:val="000000"/>
                <w:sz w:val="18"/>
                <w:szCs w:val="18"/>
                <w:u w:val="none"/>
              </w:rPr>
            </w:pPr>
            <w:r>
              <w:rPr>
                <w:rFonts w:hint="default" w:ascii="Times New Roman" w:hAnsi="Times New Roman" w:eastAsia="方正仿宋_GBK" w:cs="Times New Roman"/>
                <w:i w:val="0"/>
                <w:iCs w:val="0"/>
                <w:snapToGrid w:val="0"/>
                <w:color w:val="000000"/>
                <w:kern w:val="0"/>
                <w:sz w:val="18"/>
                <w:szCs w:val="18"/>
                <w:u w:val="none"/>
                <w:lang w:val="en-US" w:eastAsia="zh-CN" w:bidi="ar"/>
              </w:rPr>
              <w:t>5</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A7D583">
            <w:pPr>
              <w:keepNext w:val="0"/>
              <w:keepLines w:val="0"/>
              <w:widowControl/>
              <w:suppressLineNumbers w:val="0"/>
              <w:spacing w:before="0" w:beforeAutospacing="0" w:after="0" w:afterAutospacing="0"/>
              <w:ind w:left="0" w:right="0"/>
              <w:jc w:val="left"/>
              <w:textAlignment w:val="center"/>
              <w:rPr>
                <w:rFonts w:hint="default" w:ascii="Times New Roman" w:hAnsi="Times New Roman" w:eastAsia="方正仿宋_GBK" w:cs="Times New Roman"/>
                <w:i w:val="0"/>
                <w:iCs w:val="0"/>
                <w:color w:val="000000"/>
                <w:sz w:val="18"/>
                <w:szCs w:val="18"/>
                <w:u w:val="none"/>
              </w:rPr>
            </w:pPr>
            <w:r>
              <w:rPr>
                <w:rFonts w:hint="default" w:ascii="Times New Roman" w:hAnsi="Times New Roman" w:eastAsia="方正仿宋_GBK" w:cs="Times New Roman"/>
                <w:i w:val="0"/>
                <w:iCs w:val="0"/>
                <w:snapToGrid w:val="0"/>
                <w:color w:val="000000"/>
                <w:kern w:val="0"/>
                <w:sz w:val="18"/>
                <w:szCs w:val="18"/>
                <w:u w:val="none"/>
                <w:lang w:val="en-US" w:eastAsia="zh-CN" w:bidi="ar"/>
              </w:rPr>
              <w:t>网络安全管理系统</w:t>
            </w:r>
          </w:p>
        </w:tc>
        <w:tc>
          <w:tcPr>
            <w:tcW w:w="72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059C20">
            <w:pPr>
              <w:keepNext w:val="0"/>
              <w:keepLines w:val="0"/>
              <w:widowControl/>
              <w:suppressLineNumbers w:val="0"/>
              <w:spacing w:before="0" w:beforeAutospacing="0" w:after="0" w:afterAutospacing="0"/>
              <w:ind w:left="0" w:right="0"/>
              <w:jc w:val="left"/>
              <w:textAlignment w:val="center"/>
              <w:rPr>
                <w:rFonts w:hint="default" w:ascii="Times New Roman" w:hAnsi="Times New Roman" w:eastAsia="方正仿宋_GBK" w:cs="Times New Roman"/>
                <w:i w:val="0"/>
                <w:iCs w:val="0"/>
                <w:color w:val="000000"/>
                <w:sz w:val="18"/>
                <w:szCs w:val="18"/>
                <w:u w:val="none"/>
              </w:rPr>
            </w:pPr>
            <w:r>
              <w:rPr>
                <w:rFonts w:hint="default" w:ascii="Times New Roman" w:hAnsi="Times New Roman" w:eastAsia="方正仿宋_GBK" w:cs="Times New Roman"/>
                <w:i w:val="0"/>
                <w:iCs w:val="0"/>
                <w:snapToGrid w:val="0"/>
                <w:color w:val="000000"/>
                <w:kern w:val="0"/>
                <w:sz w:val="18"/>
                <w:szCs w:val="18"/>
                <w:u w:val="none"/>
                <w:lang w:val="en-US" w:eastAsia="zh-CN" w:bidi="ar"/>
              </w:rPr>
              <w:t>1.支持导出设备使用风险报告，整体分析设备网络安全状况，快速了解网络安全风险，提供安全规划建设建议。</w:t>
            </w:r>
            <w:r>
              <w:rPr>
                <w:rFonts w:hint="default" w:ascii="Times New Roman" w:hAnsi="Times New Roman" w:eastAsia="方正仿宋_GBK" w:cs="Times New Roman"/>
                <w:i w:val="0"/>
                <w:iCs w:val="0"/>
                <w:snapToGrid w:val="0"/>
                <w:color w:val="000000"/>
                <w:kern w:val="0"/>
                <w:sz w:val="18"/>
                <w:szCs w:val="18"/>
                <w:u w:val="none"/>
                <w:lang w:val="en-US" w:eastAsia="zh-CN" w:bidi="ar"/>
              </w:rPr>
              <w:br w:type="textWrapping"/>
            </w:r>
            <w:r>
              <w:rPr>
                <w:rFonts w:hint="default" w:ascii="Times New Roman" w:hAnsi="Times New Roman" w:eastAsia="方正仿宋_GBK" w:cs="Times New Roman"/>
                <w:i w:val="0"/>
                <w:iCs w:val="0"/>
                <w:snapToGrid w:val="0"/>
                <w:color w:val="000000"/>
                <w:kern w:val="0"/>
                <w:sz w:val="18"/>
                <w:szCs w:val="18"/>
                <w:u w:val="none"/>
                <w:lang w:val="en-US" w:eastAsia="zh-CN" w:bidi="ar"/>
              </w:rPr>
              <w:t>2.构建文件</w:t>
            </w:r>
            <w:r>
              <w:rPr>
                <w:rFonts w:hint="eastAsia" w:ascii="Times New Roman" w:hAnsi="Times New Roman" w:eastAsia="方正仿宋_GBK" w:cs="Times New Roman"/>
                <w:i w:val="0"/>
                <w:iCs w:val="0"/>
                <w:snapToGrid w:val="0"/>
                <w:color w:val="000000"/>
                <w:kern w:val="0"/>
                <w:sz w:val="18"/>
                <w:szCs w:val="18"/>
                <w:u w:val="none"/>
                <w:lang w:val="en-US" w:eastAsia="zh-CN" w:bidi="ar"/>
              </w:rPr>
              <w:t>信息库</w:t>
            </w:r>
            <w:r>
              <w:rPr>
                <w:rFonts w:hint="default" w:ascii="Times New Roman" w:hAnsi="Times New Roman" w:eastAsia="方正仿宋_GBK" w:cs="Times New Roman"/>
                <w:i w:val="0"/>
                <w:iCs w:val="0"/>
                <w:snapToGrid w:val="0"/>
                <w:color w:val="000000"/>
                <w:kern w:val="0"/>
                <w:sz w:val="18"/>
                <w:szCs w:val="18"/>
                <w:u w:val="none"/>
                <w:lang w:val="en-US" w:eastAsia="zh-CN" w:bidi="ar"/>
              </w:rPr>
              <w:t>，当一台设备发现病毒文件，全网可感知并查杀，支持选择处置病毒时是否在其他终端上同步处置。</w:t>
            </w:r>
            <w:r>
              <w:rPr>
                <w:rFonts w:hint="default" w:ascii="Times New Roman" w:hAnsi="Times New Roman" w:eastAsia="方正仿宋_GBK" w:cs="Times New Roman"/>
                <w:i w:val="0"/>
                <w:iCs w:val="0"/>
                <w:snapToGrid w:val="0"/>
                <w:color w:val="000000"/>
                <w:kern w:val="0"/>
                <w:sz w:val="18"/>
                <w:szCs w:val="18"/>
                <w:u w:val="none"/>
                <w:lang w:val="en-US" w:eastAsia="zh-CN" w:bidi="ar"/>
              </w:rPr>
              <w:br w:type="textWrapping"/>
            </w:r>
            <w:r>
              <w:rPr>
                <w:rFonts w:hint="default" w:ascii="Times New Roman" w:hAnsi="Times New Roman" w:eastAsia="方正仿宋_GBK" w:cs="Times New Roman"/>
                <w:i w:val="0"/>
                <w:iCs w:val="0"/>
                <w:snapToGrid w:val="0"/>
                <w:color w:val="000000"/>
                <w:kern w:val="0"/>
                <w:sz w:val="18"/>
                <w:szCs w:val="18"/>
                <w:u w:val="none"/>
                <w:lang w:val="en-US" w:eastAsia="zh-CN" w:bidi="ar"/>
              </w:rPr>
              <w:t>3.支持对设备的漏洞情况进行扫描，查看漏洞具体情况及KB号，并显示具体修复情况。</w:t>
            </w:r>
            <w:r>
              <w:rPr>
                <w:rFonts w:hint="default" w:ascii="Times New Roman" w:hAnsi="Times New Roman" w:eastAsia="方正仿宋_GBK" w:cs="Times New Roman"/>
                <w:i w:val="0"/>
                <w:iCs w:val="0"/>
                <w:snapToGrid w:val="0"/>
                <w:color w:val="000000"/>
                <w:kern w:val="0"/>
                <w:sz w:val="18"/>
                <w:szCs w:val="18"/>
                <w:u w:val="none"/>
                <w:lang w:val="en-US" w:eastAsia="zh-CN" w:bidi="ar"/>
              </w:rPr>
              <w:br w:type="textWrapping"/>
            </w:r>
            <w:r>
              <w:rPr>
                <w:rFonts w:hint="default" w:ascii="Times New Roman" w:hAnsi="Times New Roman" w:eastAsia="方正仿宋_GBK" w:cs="Times New Roman"/>
                <w:i w:val="0"/>
                <w:iCs w:val="0"/>
                <w:snapToGrid w:val="0"/>
                <w:color w:val="000000"/>
                <w:kern w:val="0"/>
                <w:sz w:val="18"/>
                <w:szCs w:val="18"/>
                <w:u w:val="none"/>
                <w:lang w:val="en-US" w:eastAsia="zh-CN" w:bidi="ar"/>
              </w:rPr>
              <w:t>4.支持展示流量分布排行、业务流量排行（发送，接收）、业务访问趋势（发送流速、接收流速和用户数）；服务器详情支持展示服务器的资源状态（CPU占有率、内存占有率和磁盘率）、流量分布排行、该服务器开放的服务；支持基于威胁情报的病毒特征值和域名全网终端搜索，可定位出全网该病毒的感染情况。</w:t>
            </w:r>
          </w:p>
        </w:tc>
        <w:tc>
          <w:tcPr>
            <w:tcW w:w="4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7959E9">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方正仿宋_GBK" w:cs="Times New Roman"/>
                <w:i w:val="0"/>
                <w:iCs w:val="0"/>
                <w:color w:val="000000"/>
                <w:sz w:val="18"/>
                <w:szCs w:val="18"/>
                <w:u w:val="none"/>
              </w:rPr>
            </w:pPr>
            <w:r>
              <w:rPr>
                <w:rFonts w:hint="default" w:ascii="Times New Roman" w:hAnsi="Times New Roman" w:eastAsia="方正仿宋_GBK" w:cs="Times New Roman"/>
                <w:i w:val="0"/>
                <w:iCs w:val="0"/>
                <w:snapToGrid w:val="0"/>
                <w:color w:val="000000"/>
                <w:kern w:val="0"/>
                <w:sz w:val="18"/>
                <w:szCs w:val="18"/>
                <w:u w:val="none"/>
                <w:lang w:val="en-US" w:eastAsia="zh-CN" w:bidi="ar"/>
              </w:rPr>
              <w:t>90</w:t>
            </w:r>
          </w:p>
        </w:tc>
        <w:tc>
          <w:tcPr>
            <w:tcW w:w="4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88DA17">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方正仿宋_GBK" w:cs="Times New Roman"/>
                <w:i w:val="0"/>
                <w:iCs w:val="0"/>
                <w:color w:val="000000"/>
                <w:sz w:val="18"/>
                <w:szCs w:val="18"/>
                <w:u w:val="none"/>
              </w:rPr>
            </w:pPr>
            <w:r>
              <w:rPr>
                <w:rFonts w:hint="default" w:ascii="Times New Roman" w:hAnsi="Times New Roman" w:eastAsia="方正仿宋_GBK" w:cs="Times New Roman"/>
                <w:i w:val="0"/>
                <w:iCs w:val="0"/>
                <w:snapToGrid w:val="0"/>
                <w:color w:val="000000"/>
                <w:kern w:val="0"/>
                <w:sz w:val="18"/>
                <w:szCs w:val="18"/>
                <w:u w:val="none"/>
                <w:lang w:val="en-US" w:eastAsia="zh-CN" w:bidi="ar"/>
              </w:rPr>
              <w:t>套</w:t>
            </w:r>
          </w:p>
        </w:tc>
      </w:tr>
      <w:tr w14:paraId="113C1A8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6" w:hRule="atLeast"/>
        </w:trPr>
        <w:tc>
          <w:tcPr>
            <w:tcW w:w="8346"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B36AE6">
            <w:pPr>
              <w:keepNext w:val="0"/>
              <w:keepLines w:val="0"/>
              <w:widowControl/>
              <w:suppressLineNumbers w:val="0"/>
              <w:spacing w:before="0" w:beforeAutospacing="0" w:after="0" w:afterAutospacing="0"/>
              <w:ind w:left="0" w:right="0"/>
              <w:jc w:val="left"/>
              <w:textAlignment w:val="center"/>
              <w:rPr>
                <w:rFonts w:hint="default" w:ascii="Times New Roman" w:hAnsi="Times New Roman" w:eastAsia="方正仿宋_GBK" w:cs="Times New Roman"/>
                <w:b/>
                <w:bCs/>
                <w:i w:val="0"/>
                <w:iCs w:val="0"/>
                <w:color w:val="000000"/>
                <w:sz w:val="18"/>
                <w:szCs w:val="18"/>
                <w:u w:val="none"/>
              </w:rPr>
            </w:pPr>
            <w:r>
              <w:rPr>
                <w:rFonts w:hint="default" w:ascii="Times New Roman" w:hAnsi="Times New Roman" w:eastAsia="方正仿宋_GBK" w:cs="Times New Roman"/>
                <w:b/>
                <w:bCs/>
                <w:i w:val="0"/>
                <w:iCs w:val="0"/>
                <w:snapToGrid w:val="0"/>
                <w:color w:val="000000"/>
                <w:kern w:val="0"/>
                <w:sz w:val="18"/>
                <w:szCs w:val="18"/>
                <w:u w:val="none"/>
                <w:lang w:val="en-US" w:eastAsia="zh-CN" w:bidi="ar"/>
              </w:rPr>
              <w:t>二、常态课堂分析反馈系统</w:t>
            </w:r>
          </w:p>
        </w:tc>
        <w:tc>
          <w:tcPr>
            <w:tcW w:w="4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4C84D5">
            <w:pPr>
              <w:keepNext w:val="0"/>
              <w:keepLines w:val="0"/>
              <w:suppressLineNumbers w:val="0"/>
              <w:spacing w:before="0" w:beforeAutospacing="0" w:after="0" w:afterAutospacing="0"/>
              <w:ind w:left="0" w:right="0"/>
              <w:rPr>
                <w:rFonts w:hint="default" w:ascii="Times New Roman" w:hAnsi="Times New Roman" w:eastAsia="方正仿宋_GBK" w:cs="Times New Roman"/>
                <w:b/>
                <w:bCs/>
                <w:i w:val="0"/>
                <w:iCs w:val="0"/>
                <w:color w:val="000000"/>
                <w:sz w:val="18"/>
                <w:szCs w:val="18"/>
                <w:u w:val="none"/>
              </w:rPr>
            </w:pPr>
          </w:p>
        </w:tc>
        <w:tc>
          <w:tcPr>
            <w:tcW w:w="45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24E135">
            <w:pPr>
              <w:keepNext w:val="0"/>
              <w:keepLines w:val="0"/>
              <w:suppressLineNumbers w:val="0"/>
              <w:spacing w:before="0" w:beforeAutospacing="0" w:after="0" w:afterAutospacing="0"/>
              <w:ind w:left="0" w:right="0"/>
              <w:rPr>
                <w:rFonts w:hint="default" w:ascii="Times New Roman" w:hAnsi="Times New Roman" w:eastAsia="方正仿宋_GBK" w:cs="Times New Roman"/>
                <w:b/>
                <w:bCs/>
                <w:i w:val="0"/>
                <w:iCs w:val="0"/>
                <w:color w:val="000000"/>
                <w:sz w:val="18"/>
                <w:szCs w:val="18"/>
                <w:u w:val="none"/>
              </w:rPr>
            </w:pPr>
          </w:p>
        </w:tc>
      </w:tr>
      <w:tr w14:paraId="2330437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609" w:hRule="atLeast"/>
        </w:trPr>
        <w:tc>
          <w:tcPr>
            <w:tcW w:w="4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BB2684">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方正仿宋_GBK" w:cs="Times New Roman"/>
                <w:i w:val="0"/>
                <w:iCs w:val="0"/>
                <w:color w:val="000000"/>
                <w:sz w:val="18"/>
                <w:szCs w:val="18"/>
                <w:u w:val="none"/>
              </w:rPr>
            </w:pPr>
            <w:r>
              <w:rPr>
                <w:rFonts w:hint="default" w:ascii="Times New Roman" w:hAnsi="Times New Roman" w:eastAsia="方正仿宋_GBK" w:cs="Times New Roman"/>
                <w:i w:val="0"/>
                <w:iCs w:val="0"/>
                <w:snapToGrid w:val="0"/>
                <w:color w:val="000000"/>
                <w:kern w:val="0"/>
                <w:sz w:val="18"/>
                <w:szCs w:val="18"/>
                <w:u w:val="none"/>
                <w:lang w:val="en-US" w:eastAsia="zh-CN" w:bidi="ar"/>
              </w:rPr>
              <w:t>1</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A30621">
            <w:pPr>
              <w:keepNext w:val="0"/>
              <w:keepLines w:val="0"/>
              <w:widowControl/>
              <w:suppressLineNumbers w:val="0"/>
              <w:spacing w:before="0" w:beforeAutospacing="0" w:after="0" w:afterAutospacing="0"/>
              <w:ind w:left="0" w:right="0"/>
              <w:jc w:val="left"/>
              <w:textAlignment w:val="center"/>
              <w:rPr>
                <w:rFonts w:hint="default" w:ascii="Times New Roman" w:hAnsi="Times New Roman" w:eastAsia="方正仿宋_GBK" w:cs="Times New Roman"/>
                <w:i w:val="0"/>
                <w:iCs w:val="0"/>
                <w:color w:val="000000"/>
                <w:sz w:val="18"/>
                <w:szCs w:val="18"/>
                <w:u w:val="none"/>
              </w:rPr>
            </w:pPr>
            <w:r>
              <w:rPr>
                <w:rFonts w:hint="default" w:ascii="Times New Roman" w:hAnsi="Times New Roman" w:eastAsia="方正仿宋_GBK" w:cs="Times New Roman"/>
                <w:i w:val="0"/>
                <w:iCs w:val="0"/>
                <w:snapToGrid w:val="0"/>
                <w:color w:val="000000"/>
                <w:kern w:val="0"/>
                <w:sz w:val="18"/>
                <w:szCs w:val="18"/>
                <w:u w:val="none"/>
                <w:lang w:val="en-US" w:eastAsia="zh-CN" w:bidi="ar"/>
              </w:rPr>
              <w:t>互动录播主机</w:t>
            </w:r>
          </w:p>
        </w:tc>
        <w:tc>
          <w:tcPr>
            <w:tcW w:w="72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18B115">
            <w:pPr>
              <w:keepNext w:val="0"/>
              <w:keepLines w:val="0"/>
              <w:widowControl/>
              <w:numPr>
                <w:ilvl w:val="0"/>
                <w:numId w:val="13"/>
              </w:numPr>
              <w:suppressLineNumbers w:val="0"/>
              <w:spacing w:before="0" w:beforeAutospacing="0" w:after="0" w:afterAutospacing="0"/>
              <w:ind w:left="0" w:right="0"/>
              <w:jc w:val="left"/>
              <w:textAlignment w:val="center"/>
              <w:rPr>
                <w:rFonts w:hint="default" w:ascii="Times New Roman" w:hAnsi="Times New Roman" w:eastAsia="方正仿宋_GBK" w:cs="Times New Roman"/>
                <w:i w:val="0"/>
                <w:iCs w:val="0"/>
                <w:snapToGrid w:val="0"/>
                <w:color w:val="000000"/>
                <w:kern w:val="0"/>
                <w:sz w:val="18"/>
                <w:szCs w:val="18"/>
                <w:u w:val="none"/>
                <w:lang w:val="en-US" w:eastAsia="zh-CN" w:bidi="ar"/>
              </w:rPr>
            </w:pPr>
            <w:r>
              <w:rPr>
                <w:rFonts w:hint="default" w:ascii="Times New Roman" w:hAnsi="Times New Roman" w:eastAsia="方正仿宋_GBK" w:cs="Times New Roman"/>
                <w:i w:val="0"/>
                <w:iCs w:val="0"/>
                <w:snapToGrid w:val="0"/>
                <w:color w:val="000000"/>
                <w:kern w:val="0"/>
                <w:sz w:val="18"/>
                <w:szCs w:val="18"/>
                <w:u w:val="none"/>
                <w:lang w:val="en-US" w:eastAsia="zh-CN" w:bidi="ar"/>
              </w:rPr>
              <w:t>主机需采用ARM架构处理器，采用Linux深度定制操作系统，存储容量不低于1TB。</w:t>
            </w:r>
            <w:r>
              <w:rPr>
                <w:rFonts w:hint="default" w:ascii="Times New Roman" w:hAnsi="Times New Roman" w:eastAsia="方正仿宋_GBK" w:cs="Times New Roman"/>
                <w:i w:val="0"/>
                <w:iCs w:val="0"/>
                <w:snapToGrid w:val="0"/>
                <w:color w:val="000000"/>
                <w:kern w:val="0"/>
                <w:sz w:val="18"/>
                <w:szCs w:val="18"/>
                <w:u w:val="none"/>
                <w:lang w:val="en-US" w:eastAsia="zh-CN" w:bidi="ar"/>
              </w:rPr>
              <w:br w:type="textWrapping"/>
            </w:r>
            <w:r>
              <w:rPr>
                <w:rFonts w:hint="default" w:ascii="Times New Roman" w:hAnsi="Times New Roman" w:eastAsia="方正仿宋_GBK" w:cs="Times New Roman"/>
                <w:i w:val="0"/>
                <w:iCs w:val="0"/>
                <w:snapToGrid w:val="0"/>
                <w:color w:val="000000"/>
                <w:kern w:val="0"/>
                <w:sz w:val="18"/>
                <w:szCs w:val="18"/>
                <w:u w:val="none"/>
                <w:lang w:val="en-US" w:eastAsia="zh-CN" w:bidi="ar"/>
              </w:rPr>
              <w:t>2.主机采用高度集成化设计，能够独立完成视频采集、音频采集、音视频编码、音视频处理、直播、录制、互动、导播、远程运维参数设置功能。</w:t>
            </w:r>
            <w:r>
              <w:rPr>
                <w:rFonts w:hint="default" w:ascii="Times New Roman" w:hAnsi="Times New Roman" w:eastAsia="方正仿宋_GBK" w:cs="Times New Roman"/>
                <w:i w:val="0"/>
                <w:iCs w:val="0"/>
                <w:snapToGrid w:val="0"/>
                <w:color w:val="000000"/>
                <w:kern w:val="0"/>
                <w:sz w:val="18"/>
                <w:szCs w:val="18"/>
                <w:u w:val="none"/>
                <w:lang w:val="en-US" w:eastAsia="zh-CN" w:bidi="ar"/>
              </w:rPr>
              <w:br w:type="textWrapping"/>
            </w:r>
            <w:r>
              <w:rPr>
                <w:rFonts w:hint="default" w:ascii="Times New Roman" w:hAnsi="Times New Roman" w:eastAsia="方正仿宋_GBK" w:cs="Times New Roman"/>
                <w:i w:val="0"/>
                <w:iCs w:val="0"/>
                <w:snapToGrid w:val="0"/>
                <w:color w:val="000000"/>
                <w:kern w:val="0"/>
                <w:sz w:val="18"/>
                <w:szCs w:val="18"/>
                <w:u w:val="none"/>
                <w:lang w:val="en-US" w:eastAsia="zh-CN" w:bidi="ar"/>
              </w:rPr>
              <w:t>★3.支持不小于3路摄像机输入接口、支持≥2路HDMI输入接口；≥3路HDMI接口视频输出。（须提供国家认可的第三方检测机构出具的CNAS和CMA标识的检测报告）</w:t>
            </w:r>
            <w:r>
              <w:rPr>
                <w:rFonts w:hint="default" w:ascii="Times New Roman" w:hAnsi="Times New Roman" w:eastAsia="方正仿宋_GBK" w:cs="Times New Roman"/>
                <w:i w:val="0"/>
                <w:iCs w:val="0"/>
                <w:snapToGrid w:val="0"/>
                <w:color w:val="000000"/>
                <w:kern w:val="0"/>
                <w:sz w:val="18"/>
                <w:szCs w:val="18"/>
                <w:u w:val="none"/>
                <w:lang w:val="en-US" w:eastAsia="zh-CN" w:bidi="ar"/>
              </w:rPr>
              <w:br w:type="textWrapping"/>
            </w:r>
            <w:r>
              <w:rPr>
                <w:rFonts w:hint="default" w:ascii="Times New Roman" w:hAnsi="Times New Roman" w:eastAsia="方正仿宋_GBK" w:cs="Times New Roman"/>
                <w:i w:val="0"/>
                <w:iCs w:val="0"/>
                <w:snapToGrid w:val="0"/>
                <w:color w:val="000000"/>
                <w:kern w:val="0"/>
                <w:sz w:val="18"/>
                <w:szCs w:val="18"/>
                <w:u w:val="none"/>
                <w:lang w:val="en-US" w:eastAsia="zh-CN" w:bidi="ar"/>
              </w:rPr>
              <w:t>4.录播主机支持本地导播功能，支持自动、半自动、手动三种导播模式。</w:t>
            </w:r>
            <w:r>
              <w:rPr>
                <w:rFonts w:hint="default" w:ascii="Times New Roman" w:hAnsi="Times New Roman" w:eastAsia="方正仿宋_GBK" w:cs="Times New Roman"/>
                <w:i w:val="0"/>
                <w:iCs w:val="0"/>
                <w:snapToGrid w:val="0"/>
                <w:color w:val="000000"/>
                <w:kern w:val="0"/>
                <w:sz w:val="18"/>
                <w:szCs w:val="18"/>
                <w:u w:val="none"/>
                <w:lang w:val="en-US" w:eastAsia="zh-CN" w:bidi="ar"/>
              </w:rPr>
              <w:br w:type="textWrapping"/>
            </w:r>
            <w:r>
              <w:rPr>
                <w:rFonts w:hint="default" w:ascii="Times New Roman" w:hAnsi="Times New Roman" w:eastAsia="方正仿宋_GBK" w:cs="Times New Roman"/>
                <w:i w:val="0"/>
                <w:iCs w:val="0"/>
                <w:snapToGrid w:val="0"/>
                <w:color w:val="000000"/>
                <w:kern w:val="0"/>
                <w:sz w:val="18"/>
                <w:szCs w:val="18"/>
                <w:u w:val="none"/>
                <w:lang w:val="en-US" w:eastAsia="zh-CN" w:bidi="ar"/>
              </w:rPr>
              <w:t>5.主机具备POE接口，通过一根网线即可完成对音频信号的采集以及麦克风供电。</w:t>
            </w:r>
            <w:r>
              <w:rPr>
                <w:rFonts w:hint="default" w:ascii="Times New Roman" w:hAnsi="Times New Roman" w:eastAsia="方正仿宋_GBK" w:cs="Times New Roman"/>
                <w:i w:val="0"/>
                <w:iCs w:val="0"/>
                <w:snapToGrid w:val="0"/>
                <w:color w:val="000000"/>
                <w:kern w:val="0"/>
                <w:sz w:val="18"/>
                <w:szCs w:val="18"/>
                <w:u w:val="none"/>
                <w:lang w:val="en-US" w:eastAsia="zh-CN" w:bidi="ar"/>
              </w:rPr>
              <w:br w:type="textWrapping"/>
            </w:r>
            <w:r>
              <w:rPr>
                <w:rFonts w:hint="default" w:ascii="Times New Roman" w:hAnsi="Times New Roman" w:eastAsia="方正仿宋_GBK" w:cs="Times New Roman"/>
                <w:i w:val="0"/>
                <w:iCs w:val="0"/>
                <w:snapToGrid w:val="0"/>
                <w:color w:val="000000"/>
                <w:kern w:val="0"/>
                <w:sz w:val="18"/>
                <w:szCs w:val="18"/>
                <w:u w:val="none"/>
                <w:lang w:val="en-US" w:eastAsia="zh-CN" w:bidi="ar"/>
              </w:rPr>
              <w:t>6.录播主机支持不小于1路千兆RJ45网络接口。</w:t>
            </w:r>
            <w:r>
              <w:rPr>
                <w:rFonts w:hint="default" w:ascii="Times New Roman" w:hAnsi="Times New Roman" w:eastAsia="方正仿宋_GBK" w:cs="Times New Roman"/>
                <w:i w:val="0"/>
                <w:iCs w:val="0"/>
                <w:snapToGrid w:val="0"/>
                <w:color w:val="000000"/>
                <w:kern w:val="0"/>
                <w:sz w:val="18"/>
                <w:szCs w:val="18"/>
                <w:u w:val="none"/>
                <w:lang w:val="en-US" w:eastAsia="zh-CN" w:bidi="ar"/>
              </w:rPr>
              <w:br w:type="textWrapping"/>
            </w:r>
            <w:r>
              <w:rPr>
                <w:rFonts w:hint="default" w:ascii="Times New Roman" w:hAnsi="Times New Roman" w:eastAsia="方正仿宋_GBK" w:cs="Times New Roman"/>
                <w:i w:val="0"/>
                <w:iCs w:val="0"/>
                <w:snapToGrid w:val="0"/>
                <w:color w:val="000000"/>
                <w:kern w:val="0"/>
                <w:sz w:val="18"/>
                <w:szCs w:val="18"/>
                <w:u w:val="none"/>
                <w:lang w:val="en-US" w:eastAsia="zh-CN" w:bidi="ar"/>
              </w:rPr>
              <w:t>7.主机需支持Wi-Fi、蓝牙等无线物联模块，支持拓展后续物联使用需求。</w:t>
            </w:r>
          </w:p>
          <w:p w14:paraId="21FAB0C2">
            <w:pPr>
              <w:keepNext w:val="0"/>
              <w:keepLines w:val="0"/>
              <w:widowControl/>
              <w:numPr>
                <w:ilvl w:val="0"/>
                <w:numId w:val="0"/>
              </w:numPr>
              <w:suppressLineNumbers w:val="0"/>
              <w:spacing w:before="0" w:beforeAutospacing="0" w:after="0" w:afterAutospacing="0"/>
              <w:ind w:left="0" w:right="0"/>
              <w:jc w:val="left"/>
              <w:textAlignment w:val="center"/>
              <w:rPr>
                <w:rFonts w:hint="default" w:ascii="Times New Roman" w:hAnsi="Times New Roman" w:eastAsia="方正仿宋_GBK" w:cs="Times New Roman"/>
                <w:i w:val="0"/>
                <w:iCs w:val="0"/>
                <w:color w:val="000000"/>
                <w:sz w:val="18"/>
                <w:szCs w:val="18"/>
                <w:u w:val="none"/>
              </w:rPr>
            </w:pPr>
            <w:r>
              <w:rPr>
                <w:rFonts w:hint="default" w:ascii="Times New Roman" w:hAnsi="Times New Roman" w:eastAsia="方正仿宋_GBK" w:cs="Times New Roman"/>
                <w:i w:val="0"/>
                <w:iCs w:val="0"/>
                <w:snapToGrid w:val="0"/>
                <w:color w:val="000000"/>
                <w:kern w:val="0"/>
                <w:sz w:val="18"/>
                <w:szCs w:val="18"/>
                <w:u w:val="none"/>
                <w:lang w:val="en-US" w:eastAsia="zh-CN" w:bidi="ar"/>
              </w:rPr>
              <w:t>8.主机支持多功能电源按键，可通过一个按钮实现开机、关机、熄屏功能。</w:t>
            </w:r>
            <w:r>
              <w:rPr>
                <w:rFonts w:hint="default" w:ascii="Times New Roman" w:hAnsi="Times New Roman" w:eastAsia="方正仿宋_GBK" w:cs="Times New Roman"/>
                <w:i w:val="0"/>
                <w:iCs w:val="0"/>
                <w:snapToGrid w:val="0"/>
                <w:color w:val="000000"/>
                <w:kern w:val="0"/>
                <w:sz w:val="18"/>
                <w:szCs w:val="18"/>
                <w:u w:val="none"/>
                <w:lang w:val="en-US" w:eastAsia="zh-CN" w:bidi="ar"/>
              </w:rPr>
              <w:br w:type="textWrapping"/>
            </w:r>
            <w:r>
              <w:rPr>
                <w:rFonts w:hint="default" w:ascii="Times New Roman" w:hAnsi="Times New Roman" w:eastAsia="方正仿宋_GBK" w:cs="Times New Roman"/>
                <w:i w:val="0"/>
                <w:iCs w:val="0"/>
                <w:snapToGrid w:val="0"/>
                <w:color w:val="000000"/>
                <w:kern w:val="0"/>
                <w:sz w:val="18"/>
                <w:szCs w:val="18"/>
                <w:u w:val="none"/>
                <w:lang w:val="en-US" w:eastAsia="zh-CN" w:bidi="ar"/>
              </w:rPr>
              <w:t>★9.主机具备一体化触摸屏，支持显示主机版本、IP地址等信息，实时清晰管理设备操控，为确保清晰显示，屏幕尺寸不小于13寸。（须提供国家认可的第三方检测机构出具的CNAS和CMA标识的检测报告）</w:t>
            </w:r>
            <w:r>
              <w:rPr>
                <w:rFonts w:hint="default" w:ascii="Times New Roman" w:hAnsi="Times New Roman" w:eastAsia="方正仿宋_GBK" w:cs="Times New Roman"/>
                <w:i w:val="0"/>
                <w:iCs w:val="0"/>
                <w:snapToGrid w:val="0"/>
                <w:color w:val="000000"/>
                <w:kern w:val="0"/>
                <w:sz w:val="18"/>
                <w:szCs w:val="18"/>
                <w:u w:val="none"/>
                <w:lang w:val="en-US" w:eastAsia="zh-CN" w:bidi="ar"/>
              </w:rPr>
              <w:br w:type="textWrapping"/>
            </w:r>
            <w:r>
              <w:rPr>
                <w:rFonts w:hint="default" w:ascii="Times New Roman" w:hAnsi="Times New Roman" w:eastAsia="方正仿宋_GBK" w:cs="Times New Roman"/>
                <w:i w:val="0"/>
                <w:iCs w:val="0"/>
                <w:snapToGrid w:val="0"/>
                <w:color w:val="000000"/>
                <w:kern w:val="0"/>
                <w:sz w:val="18"/>
                <w:szCs w:val="18"/>
                <w:u w:val="none"/>
                <w:lang w:val="en-US" w:eastAsia="zh-CN" w:bidi="ar"/>
              </w:rPr>
              <w:t>10.控制接口不小于1路，支持对接中控协议。</w:t>
            </w:r>
            <w:r>
              <w:rPr>
                <w:rFonts w:hint="default" w:ascii="Times New Roman" w:hAnsi="Times New Roman" w:eastAsia="方正仿宋_GBK" w:cs="Times New Roman"/>
                <w:i w:val="0"/>
                <w:iCs w:val="0"/>
                <w:snapToGrid w:val="0"/>
                <w:color w:val="000000"/>
                <w:kern w:val="0"/>
                <w:sz w:val="18"/>
                <w:szCs w:val="18"/>
                <w:u w:val="none"/>
                <w:lang w:val="en-US" w:eastAsia="zh-CN" w:bidi="ar"/>
              </w:rPr>
              <w:br w:type="textWrapping"/>
            </w:r>
            <w:r>
              <w:rPr>
                <w:rFonts w:hint="default" w:ascii="Times New Roman" w:hAnsi="Times New Roman" w:eastAsia="方正仿宋_GBK" w:cs="Times New Roman"/>
                <w:i w:val="0"/>
                <w:iCs w:val="0"/>
                <w:snapToGrid w:val="0"/>
                <w:color w:val="000000"/>
                <w:kern w:val="0"/>
                <w:sz w:val="18"/>
                <w:szCs w:val="18"/>
                <w:u w:val="none"/>
                <w:lang w:val="en-US" w:eastAsia="zh-CN" w:bidi="ar"/>
              </w:rPr>
              <w:t>11.支持≥4个USB类型接口，其中USB-A接口≥3个，Type-C接口≥1个。</w:t>
            </w:r>
            <w:r>
              <w:rPr>
                <w:rFonts w:hint="default" w:ascii="Times New Roman" w:hAnsi="Times New Roman" w:eastAsia="方正仿宋_GBK" w:cs="Times New Roman"/>
                <w:i w:val="0"/>
                <w:iCs w:val="0"/>
                <w:snapToGrid w:val="0"/>
                <w:color w:val="000000"/>
                <w:kern w:val="0"/>
                <w:sz w:val="18"/>
                <w:szCs w:val="18"/>
                <w:u w:val="none"/>
                <w:lang w:val="en-US" w:eastAsia="zh-CN" w:bidi="ar"/>
              </w:rPr>
              <w:br w:type="textWrapping"/>
            </w:r>
            <w:r>
              <w:rPr>
                <w:rFonts w:hint="default" w:ascii="Times New Roman" w:hAnsi="Times New Roman" w:eastAsia="方正仿宋_GBK" w:cs="Times New Roman"/>
                <w:i w:val="0"/>
                <w:iCs w:val="0"/>
                <w:snapToGrid w:val="0"/>
                <w:color w:val="000000"/>
                <w:kern w:val="0"/>
                <w:sz w:val="18"/>
                <w:szCs w:val="18"/>
                <w:u w:val="none"/>
                <w:lang w:val="en-US" w:eastAsia="zh-CN" w:bidi="ar"/>
              </w:rPr>
              <w:t>12.支持自定义录制分辨率，码率和帧率，支持至少三档录制资源质量调整，支持编码率与定码率两种编码模式。</w:t>
            </w:r>
            <w:r>
              <w:rPr>
                <w:rFonts w:hint="default" w:ascii="Times New Roman" w:hAnsi="Times New Roman" w:eastAsia="方正仿宋_GBK" w:cs="Times New Roman"/>
                <w:i w:val="0"/>
                <w:iCs w:val="0"/>
                <w:snapToGrid w:val="0"/>
                <w:color w:val="000000"/>
                <w:kern w:val="0"/>
                <w:sz w:val="18"/>
                <w:szCs w:val="18"/>
                <w:u w:val="none"/>
                <w:lang w:val="en-US" w:eastAsia="zh-CN" w:bidi="ar"/>
              </w:rPr>
              <w:br w:type="textWrapping"/>
            </w:r>
            <w:r>
              <w:rPr>
                <w:rFonts w:hint="default" w:ascii="Times New Roman" w:hAnsi="Times New Roman" w:eastAsia="方正仿宋_GBK" w:cs="Times New Roman"/>
                <w:i w:val="0"/>
                <w:iCs w:val="0"/>
                <w:snapToGrid w:val="0"/>
                <w:color w:val="000000"/>
                <w:kern w:val="0"/>
                <w:sz w:val="18"/>
                <w:szCs w:val="18"/>
                <w:u w:val="none"/>
                <w:lang w:val="en-US" w:eastAsia="zh-CN" w:bidi="ar"/>
              </w:rPr>
              <w:t>13.主机需支持通过互联网/局域网，实现对设备的远程配置，支持关机、重启、参数配置操作。</w:t>
            </w:r>
            <w:r>
              <w:rPr>
                <w:rFonts w:hint="default" w:ascii="Times New Roman" w:hAnsi="Times New Roman" w:eastAsia="方正仿宋_GBK" w:cs="Times New Roman"/>
                <w:i w:val="0"/>
                <w:iCs w:val="0"/>
                <w:snapToGrid w:val="0"/>
                <w:color w:val="000000"/>
                <w:kern w:val="0"/>
                <w:sz w:val="18"/>
                <w:szCs w:val="18"/>
                <w:u w:val="none"/>
                <w:lang w:val="en-US" w:eastAsia="zh-CN" w:bidi="ar"/>
              </w:rPr>
              <w:br w:type="textWrapping"/>
            </w:r>
            <w:r>
              <w:rPr>
                <w:rFonts w:hint="default" w:ascii="Times New Roman" w:hAnsi="Times New Roman" w:eastAsia="方正仿宋_GBK" w:cs="Times New Roman"/>
                <w:i w:val="0"/>
                <w:iCs w:val="0"/>
                <w:snapToGrid w:val="0"/>
                <w:color w:val="000000"/>
                <w:kern w:val="0"/>
                <w:sz w:val="18"/>
                <w:szCs w:val="18"/>
                <w:u w:val="none"/>
                <w:lang w:val="en-US" w:eastAsia="zh-CN" w:bidi="ar"/>
              </w:rPr>
              <w:t>★14.支持主机完全断电的情况下，从主机线性音频通道上输入的音频可以从主机输出通道输出。（须提供国家认可的第三方检测机构出具的CNAS和CMA标识的检测报告）</w:t>
            </w:r>
            <w:r>
              <w:rPr>
                <w:rFonts w:hint="default" w:ascii="Times New Roman" w:hAnsi="Times New Roman" w:eastAsia="方正仿宋_GBK" w:cs="Times New Roman"/>
                <w:i w:val="0"/>
                <w:iCs w:val="0"/>
                <w:snapToGrid w:val="0"/>
                <w:color w:val="000000"/>
                <w:kern w:val="0"/>
                <w:sz w:val="18"/>
                <w:szCs w:val="18"/>
                <w:u w:val="none"/>
                <w:lang w:val="en-US" w:eastAsia="zh-CN" w:bidi="ar"/>
              </w:rPr>
              <w:br w:type="textWrapping"/>
            </w:r>
            <w:r>
              <w:rPr>
                <w:rFonts w:hint="default" w:ascii="Times New Roman" w:hAnsi="Times New Roman" w:eastAsia="方正仿宋_GBK" w:cs="Times New Roman"/>
                <w:i w:val="0"/>
                <w:iCs w:val="0"/>
                <w:snapToGrid w:val="0"/>
                <w:color w:val="000000"/>
                <w:kern w:val="0"/>
                <w:sz w:val="18"/>
                <w:szCs w:val="18"/>
                <w:u w:val="none"/>
                <w:lang w:val="en-US" w:eastAsia="zh-CN" w:bidi="ar"/>
              </w:rPr>
              <w:t>★15.要求录播主机支持大规模高并发的直播活动。（须提供国家认可的第三方检测机构出具的CNAS和CMA标识的检测报告）</w:t>
            </w:r>
          </w:p>
        </w:tc>
        <w:tc>
          <w:tcPr>
            <w:tcW w:w="4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387B7D">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方正仿宋_GBK" w:cs="Times New Roman"/>
                <w:i w:val="0"/>
                <w:iCs w:val="0"/>
                <w:color w:val="000000"/>
                <w:sz w:val="18"/>
                <w:szCs w:val="18"/>
                <w:u w:val="none"/>
              </w:rPr>
            </w:pPr>
            <w:r>
              <w:rPr>
                <w:rFonts w:hint="default" w:ascii="Times New Roman" w:hAnsi="Times New Roman" w:eastAsia="方正仿宋_GBK" w:cs="Times New Roman"/>
                <w:i w:val="0"/>
                <w:iCs w:val="0"/>
                <w:snapToGrid w:val="0"/>
                <w:color w:val="000000"/>
                <w:kern w:val="0"/>
                <w:sz w:val="18"/>
                <w:szCs w:val="18"/>
                <w:u w:val="none"/>
                <w:lang w:val="en-US" w:eastAsia="zh-CN" w:bidi="ar"/>
              </w:rPr>
              <w:t>90</w:t>
            </w:r>
          </w:p>
        </w:tc>
        <w:tc>
          <w:tcPr>
            <w:tcW w:w="4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2CEA0D">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方正仿宋_GBK" w:cs="Times New Roman"/>
                <w:i w:val="0"/>
                <w:iCs w:val="0"/>
                <w:color w:val="000000"/>
                <w:sz w:val="18"/>
                <w:szCs w:val="18"/>
                <w:u w:val="none"/>
              </w:rPr>
            </w:pPr>
            <w:r>
              <w:rPr>
                <w:rFonts w:hint="default" w:ascii="Times New Roman" w:hAnsi="Times New Roman" w:eastAsia="方正仿宋_GBK" w:cs="Times New Roman"/>
                <w:i w:val="0"/>
                <w:iCs w:val="0"/>
                <w:snapToGrid w:val="0"/>
                <w:color w:val="000000"/>
                <w:kern w:val="0"/>
                <w:sz w:val="18"/>
                <w:szCs w:val="18"/>
                <w:u w:val="none"/>
                <w:lang w:val="en-US" w:eastAsia="zh-CN" w:bidi="ar"/>
              </w:rPr>
              <w:t>台</w:t>
            </w:r>
          </w:p>
        </w:tc>
      </w:tr>
      <w:tr w14:paraId="3CA7969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11" w:hRule="atLeast"/>
        </w:trPr>
        <w:tc>
          <w:tcPr>
            <w:tcW w:w="4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A893CF">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方正仿宋_GBK" w:cs="Times New Roman"/>
                <w:i w:val="0"/>
                <w:iCs w:val="0"/>
                <w:color w:val="000000"/>
                <w:sz w:val="18"/>
                <w:szCs w:val="18"/>
                <w:u w:val="none"/>
              </w:rPr>
            </w:pPr>
            <w:r>
              <w:rPr>
                <w:rFonts w:hint="default" w:ascii="Times New Roman" w:hAnsi="Times New Roman" w:eastAsia="方正仿宋_GBK" w:cs="Times New Roman"/>
                <w:i w:val="0"/>
                <w:iCs w:val="0"/>
                <w:snapToGrid w:val="0"/>
                <w:color w:val="000000"/>
                <w:kern w:val="0"/>
                <w:sz w:val="18"/>
                <w:szCs w:val="18"/>
                <w:u w:val="none"/>
                <w:lang w:val="en-US" w:eastAsia="zh-CN" w:bidi="ar"/>
              </w:rPr>
              <w:t>2</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4347B6">
            <w:pPr>
              <w:keepNext w:val="0"/>
              <w:keepLines w:val="0"/>
              <w:widowControl/>
              <w:suppressLineNumbers w:val="0"/>
              <w:spacing w:before="0" w:beforeAutospacing="0" w:after="0" w:afterAutospacing="0"/>
              <w:ind w:left="0" w:right="0"/>
              <w:jc w:val="left"/>
              <w:textAlignment w:val="center"/>
              <w:rPr>
                <w:rFonts w:hint="default" w:ascii="Times New Roman" w:hAnsi="Times New Roman" w:eastAsia="方正仿宋_GBK" w:cs="Times New Roman"/>
                <w:i w:val="0"/>
                <w:iCs w:val="0"/>
                <w:color w:val="000000"/>
                <w:sz w:val="18"/>
                <w:szCs w:val="18"/>
                <w:u w:val="none"/>
              </w:rPr>
            </w:pPr>
            <w:r>
              <w:rPr>
                <w:rFonts w:hint="default" w:ascii="Times New Roman" w:hAnsi="Times New Roman" w:eastAsia="方正仿宋_GBK" w:cs="Times New Roman"/>
                <w:i w:val="0"/>
                <w:iCs w:val="0"/>
                <w:snapToGrid w:val="0"/>
                <w:color w:val="000000"/>
                <w:kern w:val="0"/>
                <w:sz w:val="18"/>
                <w:szCs w:val="18"/>
                <w:u w:val="none"/>
                <w:lang w:val="en-US" w:eastAsia="zh-CN" w:bidi="ar"/>
              </w:rPr>
              <w:t>主机导播系统</w:t>
            </w:r>
          </w:p>
        </w:tc>
        <w:tc>
          <w:tcPr>
            <w:tcW w:w="72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F7379A">
            <w:pPr>
              <w:keepNext w:val="0"/>
              <w:keepLines w:val="0"/>
              <w:widowControl/>
              <w:suppressLineNumbers w:val="0"/>
              <w:spacing w:before="0" w:beforeAutospacing="0" w:after="0" w:afterAutospacing="0"/>
              <w:ind w:left="0" w:right="0"/>
              <w:jc w:val="left"/>
              <w:textAlignment w:val="center"/>
              <w:rPr>
                <w:rFonts w:hint="default" w:ascii="Times New Roman" w:hAnsi="Times New Roman" w:eastAsia="方正仿宋_GBK" w:cs="Times New Roman"/>
                <w:i w:val="0"/>
                <w:iCs w:val="0"/>
                <w:color w:val="000000"/>
                <w:sz w:val="18"/>
                <w:szCs w:val="18"/>
                <w:u w:val="none"/>
              </w:rPr>
            </w:pPr>
            <w:r>
              <w:rPr>
                <w:rFonts w:hint="default" w:ascii="Times New Roman" w:hAnsi="Times New Roman" w:eastAsia="方正仿宋_GBK" w:cs="Times New Roman"/>
                <w:i w:val="0"/>
                <w:iCs w:val="0"/>
                <w:snapToGrid w:val="0"/>
                <w:color w:val="000000"/>
                <w:kern w:val="0"/>
                <w:sz w:val="18"/>
                <w:szCs w:val="18"/>
                <w:u w:val="none"/>
                <w:lang w:val="en-US" w:eastAsia="zh-CN" w:bidi="ar"/>
              </w:rPr>
              <w:t>1.自动导播默认画面支持自定义设定，支持选择自动导播画面，可根据需要选择自动导播的画面，可设置自动导播画面的保护时间和保持时间。</w:t>
            </w:r>
            <w:r>
              <w:rPr>
                <w:rFonts w:hint="default" w:ascii="Times New Roman" w:hAnsi="Times New Roman" w:eastAsia="方正仿宋_GBK" w:cs="Times New Roman"/>
                <w:i w:val="0"/>
                <w:iCs w:val="0"/>
                <w:snapToGrid w:val="0"/>
                <w:color w:val="000000"/>
                <w:kern w:val="0"/>
                <w:sz w:val="18"/>
                <w:szCs w:val="18"/>
                <w:u w:val="none"/>
                <w:lang w:val="en-US" w:eastAsia="zh-CN" w:bidi="ar"/>
              </w:rPr>
              <w:br w:type="textWrapping"/>
            </w:r>
            <w:r>
              <w:rPr>
                <w:rFonts w:hint="default" w:ascii="Times New Roman" w:hAnsi="Times New Roman" w:eastAsia="方正仿宋_GBK" w:cs="Times New Roman"/>
                <w:i w:val="0"/>
                <w:iCs w:val="0"/>
                <w:snapToGrid w:val="0"/>
                <w:color w:val="000000"/>
                <w:kern w:val="0"/>
                <w:sz w:val="18"/>
                <w:szCs w:val="18"/>
                <w:u w:val="none"/>
                <w:lang w:val="en-US" w:eastAsia="zh-CN" w:bidi="ar"/>
              </w:rPr>
              <w:t>2.支持多种画面模式，支持单画面、画中画、左右等分、三画面、四画面多种画面合成模式，支持自动导播、手动导播，可通过互动录播电脑主机一体化触控屏实现模式选择。</w:t>
            </w:r>
            <w:r>
              <w:rPr>
                <w:rFonts w:hint="default" w:ascii="Times New Roman" w:hAnsi="Times New Roman" w:eastAsia="方正仿宋_GBK" w:cs="Times New Roman"/>
                <w:i w:val="0"/>
                <w:iCs w:val="0"/>
                <w:snapToGrid w:val="0"/>
                <w:color w:val="000000"/>
                <w:kern w:val="0"/>
                <w:sz w:val="18"/>
                <w:szCs w:val="18"/>
                <w:u w:val="none"/>
                <w:lang w:val="en-US" w:eastAsia="zh-CN" w:bidi="ar"/>
              </w:rPr>
              <w:br w:type="textWrapping"/>
            </w:r>
            <w:r>
              <w:rPr>
                <w:rFonts w:hint="default" w:ascii="Times New Roman" w:hAnsi="Times New Roman" w:eastAsia="方正仿宋_GBK" w:cs="Times New Roman"/>
                <w:i w:val="0"/>
                <w:iCs w:val="0"/>
                <w:snapToGrid w:val="0"/>
                <w:color w:val="000000"/>
                <w:kern w:val="0"/>
                <w:sz w:val="18"/>
                <w:szCs w:val="18"/>
                <w:u w:val="none"/>
                <w:lang w:val="en-US" w:eastAsia="zh-CN" w:bidi="ar"/>
              </w:rPr>
              <w:t>3.导播优先级可自定义设定，支持定时切换设置，可自由选择切换时间和切换画面，支持根据学员、主持人行为状态实现画面智能切换。</w:t>
            </w:r>
            <w:r>
              <w:rPr>
                <w:rFonts w:hint="default" w:ascii="Times New Roman" w:hAnsi="Times New Roman" w:eastAsia="方正仿宋_GBK" w:cs="Times New Roman"/>
                <w:i w:val="0"/>
                <w:iCs w:val="0"/>
                <w:snapToGrid w:val="0"/>
                <w:color w:val="000000"/>
                <w:kern w:val="0"/>
                <w:sz w:val="18"/>
                <w:szCs w:val="18"/>
                <w:u w:val="none"/>
                <w:lang w:val="en-US" w:eastAsia="zh-CN" w:bidi="ar"/>
              </w:rPr>
              <w:br w:type="textWrapping"/>
            </w:r>
            <w:r>
              <w:rPr>
                <w:rFonts w:hint="default" w:ascii="Times New Roman" w:hAnsi="Times New Roman" w:eastAsia="方正仿宋_GBK" w:cs="Times New Roman"/>
                <w:i w:val="0"/>
                <w:iCs w:val="0"/>
                <w:snapToGrid w:val="0"/>
                <w:color w:val="000000"/>
                <w:kern w:val="0"/>
                <w:sz w:val="18"/>
                <w:szCs w:val="18"/>
                <w:u w:val="none"/>
                <w:lang w:val="en-US" w:eastAsia="zh-CN" w:bidi="ar"/>
              </w:rPr>
              <w:t>4.支持本地导播、远程导播，本地导播可通过互动录播电脑主机一体化触控屏实现本地导播控制；也可通过触控回传实现画面导播，无需外接键鼠设备，通过交互智能平板实现对互动录播电脑主机的导播控制，远程导播可通过网络实现远程导播控制。</w:t>
            </w:r>
            <w:r>
              <w:rPr>
                <w:rFonts w:hint="default" w:ascii="Times New Roman" w:hAnsi="Times New Roman" w:eastAsia="方正仿宋_GBK" w:cs="Times New Roman"/>
                <w:i w:val="0"/>
                <w:iCs w:val="0"/>
                <w:snapToGrid w:val="0"/>
                <w:color w:val="000000"/>
                <w:kern w:val="0"/>
                <w:sz w:val="18"/>
                <w:szCs w:val="18"/>
                <w:u w:val="none"/>
                <w:lang w:val="en-US" w:eastAsia="zh-CN" w:bidi="ar"/>
              </w:rPr>
              <w:br w:type="textWrapping"/>
            </w:r>
            <w:r>
              <w:rPr>
                <w:rFonts w:hint="default" w:ascii="Times New Roman" w:hAnsi="Times New Roman" w:eastAsia="方正仿宋_GBK" w:cs="Times New Roman"/>
                <w:i w:val="0"/>
                <w:iCs w:val="0"/>
                <w:snapToGrid w:val="0"/>
                <w:color w:val="000000"/>
                <w:kern w:val="0"/>
                <w:sz w:val="18"/>
                <w:szCs w:val="18"/>
                <w:u w:val="none"/>
                <w:lang w:val="en-US" w:eastAsia="zh-CN" w:bidi="ar"/>
              </w:rPr>
              <w:t>5.支持课件画面自动检测，可设置检测灵敏度；支持课件画面检测区域设定，可屏蔽电脑弹窗区域。</w:t>
            </w:r>
            <w:r>
              <w:rPr>
                <w:rFonts w:hint="default" w:ascii="Times New Roman" w:hAnsi="Times New Roman" w:eastAsia="方正仿宋_GBK" w:cs="Times New Roman"/>
                <w:i w:val="0"/>
                <w:iCs w:val="0"/>
                <w:snapToGrid w:val="0"/>
                <w:color w:val="000000"/>
                <w:kern w:val="0"/>
                <w:sz w:val="18"/>
                <w:szCs w:val="18"/>
                <w:u w:val="none"/>
                <w:lang w:val="en-US" w:eastAsia="zh-CN" w:bidi="ar"/>
              </w:rPr>
              <w:br w:type="textWrapping"/>
            </w:r>
            <w:r>
              <w:rPr>
                <w:rFonts w:hint="default" w:ascii="Times New Roman" w:hAnsi="Times New Roman" w:eastAsia="方正仿宋_GBK" w:cs="Times New Roman"/>
                <w:i w:val="0"/>
                <w:iCs w:val="0"/>
                <w:snapToGrid w:val="0"/>
                <w:color w:val="000000"/>
                <w:kern w:val="0"/>
                <w:sz w:val="18"/>
                <w:szCs w:val="18"/>
                <w:u w:val="none"/>
                <w:lang w:val="en-US" w:eastAsia="zh-CN" w:bidi="ar"/>
              </w:rPr>
              <w:t>6.支持导入与导出互动录播主机配置文件，进行升级和调试。</w:t>
            </w:r>
          </w:p>
        </w:tc>
        <w:tc>
          <w:tcPr>
            <w:tcW w:w="4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D0F986">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方正仿宋_GBK" w:cs="Times New Roman"/>
                <w:i w:val="0"/>
                <w:iCs w:val="0"/>
                <w:color w:val="000000"/>
                <w:sz w:val="18"/>
                <w:szCs w:val="18"/>
                <w:u w:val="none"/>
              </w:rPr>
            </w:pPr>
            <w:r>
              <w:rPr>
                <w:rFonts w:hint="default" w:ascii="Times New Roman" w:hAnsi="Times New Roman" w:eastAsia="方正仿宋_GBK" w:cs="Times New Roman"/>
                <w:i w:val="0"/>
                <w:iCs w:val="0"/>
                <w:snapToGrid w:val="0"/>
                <w:color w:val="000000"/>
                <w:kern w:val="0"/>
                <w:sz w:val="18"/>
                <w:szCs w:val="18"/>
                <w:u w:val="none"/>
                <w:lang w:val="en-US" w:eastAsia="zh-CN" w:bidi="ar"/>
              </w:rPr>
              <w:t>90</w:t>
            </w:r>
          </w:p>
        </w:tc>
        <w:tc>
          <w:tcPr>
            <w:tcW w:w="4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693D7B">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方正仿宋_GBK" w:cs="Times New Roman"/>
                <w:i w:val="0"/>
                <w:iCs w:val="0"/>
                <w:color w:val="000000"/>
                <w:sz w:val="18"/>
                <w:szCs w:val="18"/>
                <w:u w:val="none"/>
              </w:rPr>
            </w:pPr>
            <w:r>
              <w:rPr>
                <w:rFonts w:hint="default" w:ascii="Times New Roman" w:hAnsi="Times New Roman" w:eastAsia="方正仿宋_GBK" w:cs="Times New Roman"/>
                <w:i w:val="0"/>
                <w:iCs w:val="0"/>
                <w:snapToGrid w:val="0"/>
                <w:color w:val="000000"/>
                <w:kern w:val="0"/>
                <w:sz w:val="18"/>
                <w:szCs w:val="18"/>
                <w:u w:val="none"/>
                <w:lang w:val="en-US" w:eastAsia="zh-CN" w:bidi="ar"/>
              </w:rPr>
              <w:t>套</w:t>
            </w:r>
          </w:p>
        </w:tc>
      </w:tr>
      <w:tr w14:paraId="61AC606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75" w:hRule="atLeast"/>
        </w:trPr>
        <w:tc>
          <w:tcPr>
            <w:tcW w:w="4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D82CDF">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方正仿宋_GBK" w:cs="Times New Roman"/>
                <w:i w:val="0"/>
                <w:iCs w:val="0"/>
                <w:color w:val="000000"/>
                <w:sz w:val="18"/>
                <w:szCs w:val="18"/>
                <w:u w:val="none"/>
              </w:rPr>
            </w:pPr>
            <w:r>
              <w:rPr>
                <w:rFonts w:hint="default" w:ascii="Times New Roman" w:hAnsi="Times New Roman" w:eastAsia="方正仿宋_GBK" w:cs="Times New Roman"/>
                <w:i w:val="0"/>
                <w:iCs w:val="0"/>
                <w:snapToGrid w:val="0"/>
                <w:color w:val="000000"/>
                <w:kern w:val="0"/>
                <w:sz w:val="18"/>
                <w:szCs w:val="18"/>
                <w:u w:val="none"/>
                <w:lang w:val="en-US" w:eastAsia="zh-CN" w:bidi="ar"/>
              </w:rPr>
              <w:t>3</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468572">
            <w:pPr>
              <w:keepNext w:val="0"/>
              <w:keepLines w:val="0"/>
              <w:widowControl/>
              <w:suppressLineNumbers w:val="0"/>
              <w:spacing w:before="0" w:beforeAutospacing="0" w:after="0" w:afterAutospacing="0"/>
              <w:ind w:left="0" w:right="0"/>
              <w:jc w:val="left"/>
              <w:textAlignment w:val="center"/>
              <w:rPr>
                <w:rFonts w:hint="default" w:ascii="Times New Roman" w:hAnsi="Times New Roman" w:eastAsia="方正仿宋_GBK" w:cs="Times New Roman"/>
                <w:i w:val="0"/>
                <w:iCs w:val="0"/>
                <w:color w:val="000000"/>
                <w:sz w:val="18"/>
                <w:szCs w:val="18"/>
                <w:u w:val="none"/>
              </w:rPr>
            </w:pPr>
            <w:r>
              <w:rPr>
                <w:rFonts w:hint="default" w:ascii="Times New Roman" w:hAnsi="Times New Roman" w:eastAsia="方正仿宋_GBK" w:cs="Times New Roman"/>
                <w:i w:val="0"/>
                <w:iCs w:val="0"/>
                <w:snapToGrid w:val="0"/>
                <w:color w:val="000000"/>
                <w:kern w:val="0"/>
                <w:sz w:val="18"/>
                <w:szCs w:val="18"/>
                <w:u w:val="none"/>
                <w:lang w:val="en-US" w:eastAsia="zh-CN" w:bidi="ar"/>
              </w:rPr>
              <w:t>主机互动系统</w:t>
            </w:r>
          </w:p>
        </w:tc>
        <w:tc>
          <w:tcPr>
            <w:tcW w:w="72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97D684">
            <w:pPr>
              <w:keepNext w:val="0"/>
              <w:keepLines w:val="0"/>
              <w:widowControl/>
              <w:suppressLineNumbers w:val="0"/>
              <w:spacing w:before="0" w:beforeAutospacing="0" w:after="0" w:afterAutospacing="0"/>
              <w:ind w:left="0" w:right="0"/>
              <w:jc w:val="left"/>
              <w:textAlignment w:val="center"/>
              <w:rPr>
                <w:rFonts w:hint="default" w:ascii="Times New Roman" w:hAnsi="Times New Roman" w:eastAsia="方正仿宋_GBK" w:cs="Times New Roman"/>
                <w:i w:val="0"/>
                <w:iCs w:val="0"/>
                <w:color w:val="000000"/>
                <w:sz w:val="18"/>
                <w:szCs w:val="18"/>
                <w:u w:val="none"/>
              </w:rPr>
            </w:pPr>
            <w:r>
              <w:rPr>
                <w:rFonts w:hint="default" w:ascii="Times New Roman" w:hAnsi="Times New Roman" w:eastAsia="方正仿宋_GBK" w:cs="Times New Roman"/>
                <w:i w:val="0"/>
                <w:iCs w:val="0"/>
                <w:snapToGrid w:val="0"/>
                <w:color w:val="000000"/>
                <w:kern w:val="0"/>
                <w:sz w:val="18"/>
                <w:szCs w:val="18"/>
                <w:u w:val="none"/>
                <w:lang w:val="en-US" w:eastAsia="zh-CN" w:bidi="ar"/>
              </w:rPr>
              <w:t>1.支持标准 SIP 互动协议，支持与标准 SIP 终端实现音视频互动，支持 1080p@30fps 高清视频互动。</w:t>
            </w:r>
            <w:r>
              <w:rPr>
                <w:rFonts w:hint="default" w:ascii="Times New Roman" w:hAnsi="Times New Roman" w:eastAsia="方正仿宋_GBK" w:cs="Times New Roman"/>
                <w:i w:val="0"/>
                <w:iCs w:val="0"/>
                <w:snapToGrid w:val="0"/>
                <w:color w:val="000000"/>
                <w:kern w:val="0"/>
                <w:sz w:val="18"/>
                <w:szCs w:val="18"/>
                <w:u w:val="none"/>
                <w:lang w:val="en-US" w:eastAsia="zh-CN" w:bidi="ar"/>
              </w:rPr>
              <w:br w:type="textWrapping"/>
            </w:r>
            <w:r>
              <w:rPr>
                <w:rFonts w:hint="default" w:ascii="Times New Roman" w:hAnsi="Times New Roman" w:eastAsia="方正仿宋_GBK" w:cs="Times New Roman"/>
                <w:i w:val="0"/>
                <w:iCs w:val="0"/>
                <w:snapToGrid w:val="0"/>
                <w:color w:val="000000"/>
                <w:kern w:val="0"/>
                <w:sz w:val="18"/>
                <w:szCs w:val="18"/>
                <w:u w:val="none"/>
                <w:lang w:val="en-US" w:eastAsia="zh-CN" w:bidi="ar"/>
              </w:rPr>
              <w:t>2.互动系统具备回声消除功能，保证双方语音清晰，双方体验良好。</w:t>
            </w:r>
            <w:r>
              <w:rPr>
                <w:rFonts w:hint="default" w:ascii="Times New Roman" w:hAnsi="Times New Roman" w:eastAsia="方正仿宋_GBK" w:cs="Times New Roman"/>
                <w:i w:val="0"/>
                <w:iCs w:val="0"/>
                <w:snapToGrid w:val="0"/>
                <w:color w:val="000000"/>
                <w:kern w:val="0"/>
                <w:sz w:val="18"/>
                <w:szCs w:val="18"/>
                <w:u w:val="none"/>
                <w:lang w:val="en-US" w:eastAsia="zh-CN" w:bidi="ar"/>
              </w:rPr>
              <w:br w:type="textWrapping"/>
            </w:r>
            <w:r>
              <w:rPr>
                <w:rFonts w:hint="default" w:ascii="Times New Roman" w:hAnsi="Times New Roman" w:eastAsia="方正仿宋_GBK" w:cs="Times New Roman"/>
                <w:i w:val="0"/>
                <w:iCs w:val="0"/>
                <w:snapToGrid w:val="0"/>
                <w:color w:val="000000"/>
                <w:kern w:val="0"/>
                <w:sz w:val="18"/>
                <w:szCs w:val="18"/>
                <w:u w:val="none"/>
                <w:lang w:val="en-US" w:eastAsia="zh-CN" w:bidi="ar"/>
              </w:rPr>
              <w:t>3.支持互动清晰度设置：支持 1080p@30fps，分辨率可选择 1080p、720p、VGA、QVGA，帧率可选择 30fps、25fps。互动画质可选择好、一般、流畅三个等级。</w:t>
            </w:r>
            <w:r>
              <w:rPr>
                <w:rFonts w:hint="default" w:ascii="Times New Roman" w:hAnsi="Times New Roman" w:eastAsia="方正仿宋_GBK" w:cs="Times New Roman"/>
                <w:i w:val="0"/>
                <w:iCs w:val="0"/>
                <w:snapToGrid w:val="0"/>
                <w:color w:val="000000"/>
                <w:kern w:val="0"/>
                <w:sz w:val="18"/>
                <w:szCs w:val="18"/>
                <w:u w:val="none"/>
                <w:lang w:val="en-US" w:eastAsia="zh-CN" w:bidi="ar"/>
              </w:rPr>
              <w:br w:type="textWrapping"/>
            </w:r>
            <w:r>
              <w:rPr>
                <w:rFonts w:hint="default" w:ascii="Times New Roman" w:hAnsi="Times New Roman" w:eastAsia="方正仿宋_GBK" w:cs="Times New Roman"/>
                <w:i w:val="0"/>
                <w:iCs w:val="0"/>
                <w:snapToGrid w:val="0"/>
                <w:color w:val="000000"/>
                <w:kern w:val="0"/>
                <w:sz w:val="18"/>
                <w:szCs w:val="18"/>
                <w:u w:val="none"/>
                <w:lang w:val="en-US" w:eastAsia="zh-CN" w:bidi="ar"/>
              </w:rPr>
              <w:t>4.支持双流自动发送，设置自动发送后，建立呼叫，主端教室自动发送双流。</w:t>
            </w:r>
            <w:r>
              <w:rPr>
                <w:rFonts w:hint="default" w:ascii="Times New Roman" w:hAnsi="Times New Roman" w:eastAsia="方正仿宋_GBK" w:cs="Times New Roman"/>
                <w:i w:val="0"/>
                <w:iCs w:val="0"/>
                <w:snapToGrid w:val="0"/>
                <w:color w:val="000000"/>
                <w:kern w:val="0"/>
                <w:sz w:val="18"/>
                <w:szCs w:val="18"/>
                <w:u w:val="none"/>
                <w:lang w:val="en-US" w:eastAsia="zh-CN" w:bidi="ar"/>
              </w:rPr>
              <w:br w:type="textWrapping"/>
            </w:r>
            <w:r>
              <w:rPr>
                <w:rFonts w:hint="default" w:ascii="Times New Roman" w:hAnsi="Times New Roman" w:eastAsia="方正仿宋_GBK" w:cs="Times New Roman"/>
                <w:i w:val="0"/>
                <w:iCs w:val="0"/>
                <w:snapToGrid w:val="0"/>
                <w:color w:val="000000"/>
                <w:kern w:val="0"/>
                <w:sz w:val="18"/>
                <w:szCs w:val="18"/>
                <w:u w:val="none"/>
                <w:lang w:val="en-US" w:eastAsia="zh-CN" w:bidi="ar"/>
              </w:rPr>
              <w:t>5.支持手动切换发给远端的画面。支持通过互动录播电脑主机一体化触控屏实现音量大小调整、静音。支持互动过程中一键全屏，全屏放大主画面，隐藏所有图标。支持开启和关闭桌面共享功能。</w:t>
            </w:r>
            <w:r>
              <w:rPr>
                <w:rFonts w:hint="default" w:ascii="Times New Roman" w:hAnsi="Times New Roman" w:eastAsia="方正仿宋_GBK" w:cs="Times New Roman"/>
                <w:i w:val="0"/>
                <w:iCs w:val="0"/>
                <w:snapToGrid w:val="0"/>
                <w:color w:val="000000"/>
                <w:kern w:val="0"/>
                <w:sz w:val="18"/>
                <w:szCs w:val="18"/>
                <w:u w:val="none"/>
                <w:lang w:val="en-US" w:eastAsia="zh-CN" w:bidi="ar"/>
              </w:rPr>
              <w:br w:type="textWrapping"/>
            </w:r>
            <w:r>
              <w:rPr>
                <w:rFonts w:hint="default" w:ascii="Times New Roman" w:hAnsi="Times New Roman" w:eastAsia="方正仿宋_GBK" w:cs="Times New Roman"/>
                <w:i w:val="0"/>
                <w:iCs w:val="0"/>
                <w:snapToGrid w:val="0"/>
                <w:color w:val="000000"/>
                <w:kern w:val="0"/>
                <w:sz w:val="18"/>
                <w:szCs w:val="18"/>
                <w:u w:val="none"/>
                <w:lang w:val="en-US" w:eastAsia="zh-CN" w:bidi="ar"/>
              </w:rPr>
              <w:t>6.支持一键结束互动，用户通过互动录播电脑主机一体化触控屏一键结束互动。</w:t>
            </w:r>
            <w:r>
              <w:rPr>
                <w:rFonts w:hint="default" w:ascii="Times New Roman" w:hAnsi="Times New Roman" w:eastAsia="方正仿宋_GBK" w:cs="Times New Roman"/>
                <w:i w:val="0"/>
                <w:iCs w:val="0"/>
                <w:snapToGrid w:val="0"/>
                <w:color w:val="000000"/>
                <w:kern w:val="0"/>
                <w:sz w:val="18"/>
                <w:szCs w:val="18"/>
                <w:u w:val="none"/>
                <w:lang w:val="en-US" w:eastAsia="zh-CN" w:bidi="ar"/>
              </w:rPr>
              <w:br w:type="textWrapping"/>
            </w:r>
            <w:r>
              <w:rPr>
                <w:rFonts w:hint="default" w:ascii="Times New Roman" w:hAnsi="Times New Roman" w:eastAsia="方正仿宋_GBK" w:cs="Times New Roman"/>
                <w:i w:val="0"/>
                <w:iCs w:val="0"/>
                <w:snapToGrid w:val="0"/>
                <w:color w:val="000000"/>
                <w:kern w:val="0"/>
                <w:sz w:val="18"/>
                <w:szCs w:val="18"/>
                <w:u w:val="none"/>
                <w:lang w:val="en-US" w:eastAsia="zh-CN" w:bidi="ar"/>
              </w:rPr>
              <w:t>7.支持通过互动录播电脑主机一体化触控屏实现导播控制，过程中可选择自动导播/手动导播；支持通过 PC 客户端软件进行远程导播控制。</w:t>
            </w:r>
            <w:r>
              <w:rPr>
                <w:rFonts w:hint="default" w:ascii="Times New Roman" w:hAnsi="Times New Roman" w:eastAsia="方正仿宋_GBK" w:cs="Times New Roman"/>
                <w:i w:val="0"/>
                <w:iCs w:val="0"/>
                <w:snapToGrid w:val="0"/>
                <w:color w:val="000000"/>
                <w:kern w:val="0"/>
                <w:sz w:val="18"/>
                <w:szCs w:val="18"/>
                <w:u w:val="none"/>
                <w:lang w:val="en-US" w:eastAsia="zh-CN" w:bidi="ar"/>
              </w:rPr>
              <w:br w:type="textWrapping"/>
            </w:r>
            <w:r>
              <w:rPr>
                <w:rFonts w:hint="default" w:ascii="Times New Roman" w:hAnsi="Times New Roman" w:eastAsia="方正仿宋_GBK" w:cs="Times New Roman"/>
                <w:i w:val="0"/>
                <w:iCs w:val="0"/>
                <w:snapToGrid w:val="0"/>
                <w:color w:val="000000"/>
                <w:kern w:val="0"/>
                <w:sz w:val="18"/>
                <w:szCs w:val="18"/>
                <w:u w:val="none"/>
                <w:lang w:val="en-US" w:eastAsia="zh-CN" w:bidi="ar"/>
              </w:rPr>
              <w:t>8.PC 客户端软件支持进行互动听课端列表查看、发言管理功能。</w:t>
            </w:r>
          </w:p>
        </w:tc>
        <w:tc>
          <w:tcPr>
            <w:tcW w:w="4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F4F26E">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方正仿宋_GBK" w:cs="Times New Roman"/>
                <w:i w:val="0"/>
                <w:iCs w:val="0"/>
                <w:color w:val="000000"/>
                <w:sz w:val="18"/>
                <w:szCs w:val="18"/>
                <w:u w:val="none"/>
              </w:rPr>
            </w:pPr>
            <w:r>
              <w:rPr>
                <w:rFonts w:hint="default" w:ascii="Times New Roman" w:hAnsi="Times New Roman" w:eastAsia="方正仿宋_GBK" w:cs="Times New Roman"/>
                <w:i w:val="0"/>
                <w:iCs w:val="0"/>
                <w:snapToGrid w:val="0"/>
                <w:color w:val="000000"/>
                <w:kern w:val="0"/>
                <w:sz w:val="18"/>
                <w:szCs w:val="18"/>
                <w:u w:val="none"/>
                <w:lang w:val="en-US" w:eastAsia="zh-CN" w:bidi="ar"/>
              </w:rPr>
              <w:t>90</w:t>
            </w:r>
          </w:p>
        </w:tc>
        <w:tc>
          <w:tcPr>
            <w:tcW w:w="4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6E9141">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方正仿宋_GBK" w:cs="Times New Roman"/>
                <w:i w:val="0"/>
                <w:iCs w:val="0"/>
                <w:color w:val="000000"/>
                <w:sz w:val="18"/>
                <w:szCs w:val="18"/>
                <w:u w:val="none"/>
              </w:rPr>
            </w:pPr>
            <w:r>
              <w:rPr>
                <w:rFonts w:hint="default" w:ascii="Times New Roman" w:hAnsi="Times New Roman" w:eastAsia="方正仿宋_GBK" w:cs="Times New Roman"/>
                <w:i w:val="0"/>
                <w:iCs w:val="0"/>
                <w:snapToGrid w:val="0"/>
                <w:color w:val="000000"/>
                <w:kern w:val="0"/>
                <w:sz w:val="18"/>
                <w:szCs w:val="18"/>
                <w:u w:val="none"/>
                <w:lang w:val="en-US" w:eastAsia="zh-CN" w:bidi="ar"/>
              </w:rPr>
              <w:t>套</w:t>
            </w:r>
          </w:p>
        </w:tc>
      </w:tr>
      <w:tr w14:paraId="51109C5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228" w:hRule="atLeast"/>
        </w:trPr>
        <w:tc>
          <w:tcPr>
            <w:tcW w:w="4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5BC42B">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方正仿宋_GBK" w:cs="Times New Roman"/>
                <w:i w:val="0"/>
                <w:iCs w:val="0"/>
                <w:color w:val="000000"/>
                <w:sz w:val="18"/>
                <w:szCs w:val="18"/>
                <w:u w:val="none"/>
              </w:rPr>
            </w:pPr>
            <w:r>
              <w:rPr>
                <w:rFonts w:hint="default" w:ascii="Times New Roman" w:hAnsi="Times New Roman" w:eastAsia="方正仿宋_GBK" w:cs="Times New Roman"/>
                <w:i w:val="0"/>
                <w:iCs w:val="0"/>
                <w:snapToGrid w:val="0"/>
                <w:color w:val="000000"/>
                <w:kern w:val="0"/>
                <w:sz w:val="18"/>
                <w:szCs w:val="18"/>
                <w:u w:val="none"/>
                <w:lang w:val="en-US" w:eastAsia="zh-CN" w:bidi="ar"/>
              </w:rPr>
              <w:t>4</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896A19">
            <w:pPr>
              <w:keepNext w:val="0"/>
              <w:keepLines w:val="0"/>
              <w:widowControl/>
              <w:suppressLineNumbers w:val="0"/>
              <w:spacing w:before="0" w:beforeAutospacing="0" w:after="0" w:afterAutospacing="0"/>
              <w:ind w:left="0" w:right="0"/>
              <w:jc w:val="left"/>
              <w:textAlignment w:val="center"/>
              <w:rPr>
                <w:rFonts w:hint="default" w:ascii="Times New Roman" w:hAnsi="Times New Roman" w:eastAsia="方正仿宋_GBK" w:cs="Times New Roman"/>
                <w:i w:val="0"/>
                <w:iCs w:val="0"/>
                <w:color w:val="000000"/>
                <w:sz w:val="18"/>
                <w:szCs w:val="18"/>
                <w:u w:val="none"/>
              </w:rPr>
            </w:pPr>
            <w:r>
              <w:rPr>
                <w:rFonts w:hint="default" w:ascii="Times New Roman" w:hAnsi="Times New Roman" w:eastAsia="方正仿宋_GBK" w:cs="Times New Roman"/>
                <w:i w:val="0"/>
                <w:iCs w:val="0"/>
                <w:snapToGrid w:val="0"/>
                <w:color w:val="000000"/>
                <w:kern w:val="0"/>
                <w:sz w:val="18"/>
                <w:szCs w:val="18"/>
                <w:u w:val="none"/>
                <w:lang w:val="en-US" w:eastAsia="zh-CN" w:bidi="ar"/>
              </w:rPr>
              <w:t>主机视频处理系统</w:t>
            </w:r>
          </w:p>
        </w:tc>
        <w:tc>
          <w:tcPr>
            <w:tcW w:w="72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FC71D7">
            <w:pPr>
              <w:keepNext w:val="0"/>
              <w:keepLines w:val="0"/>
              <w:widowControl/>
              <w:suppressLineNumbers w:val="0"/>
              <w:spacing w:before="0" w:beforeAutospacing="0" w:after="0" w:afterAutospacing="0"/>
              <w:ind w:left="0" w:right="0"/>
              <w:jc w:val="left"/>
              <w:textAlignment w:val="center"/>
              <w:rPr>
                <w:rFonts w:hint="default" w:ascii="Times New Roman" w:hAnsi="Times New Roman" w:eastAsia="方正仿宋_GBK" w:cs="Times New Roman"/>
                <w:i w:val="0"/>
                <w:iCs w:val="0"/>
                <w:color w:val="000000"/>
                <w:sz w:val="18"/>
                <w:szCs w:val="18"/>
                <w:u w:val="none"/>
              </w:rPr>
            </w:pPr>
            <w:r>
              <w:rPr>
                <w:rFonts w:hint="default" w:ascii="Times New Roman" w:hAnsi="Times New Roman" w:eastAsia="方正仿宋_GBK" w:cs="Times New Roman"/>
                <w:i w:val="0"/>
                <w:iCs w:val="0"/>
                <w:snapToGrid w:val="0"/>
                <w:color w:val="000000"/>
                <w:kern w:val="0"/>
                <w:sz w:val="18"/>
                <w:szCs w:val="18"/>
                <w:u w:val="none"/>
                <w:lang w:val="en-US" w:eastAsia="zh-CN" w:bidi="ar"/>
              </w:rPr>
              <w:t>1.支持合成1080P的PGM画面，包含导播画面、全景画面、特写画面。</w:t>
            </w:r>
            <w:r>
              <w:rPr>
                <w:rFonts w:hint="default" w:ascii="Times New Roman" w:hAnsi="Times New Roman" w:eastAsia="方正仿宋_GBK" w:cs="Times New Roman"/>
                <w:i w:val="0"/>
                <w:iCs w:val="0"/>
                <w:snapToGrid w:val="0"/>
                <w:color w:val="000000"/>
                <w:kern w:val="0"/>
                <w:sz w:val="18"/>
                <w:szCs w:val="18"/>
                <w:u w:val="none"/>
                <w:lang w:val="en-US" w:eastAsia="zh-CN" w:bidi="ar"/>
              </w:rPr>
              <w:br w:type="textWrapping"/>
            </w:r>
            <w:r>
              <w:rPr>
                <w:rFonts w:hint="default" w:ascii="Times New Roman" w:hAnsi="Times New Roman" w:eastAsia="方正仿宋_GBK" w:cs="Times New Roman"/>
                <w:i w:val="0"/>
                <w:iCs w:val="0"/>
                <w:snapToGrid w:val="0"/>
                <w:color w:val="000000"/>
                <w:kern w:val="0"/>
                <w:sz w:val="18"/>
                <w:szCs w:val="18"/>
                <w:u w:val="none"/>
                <w:lang w:val="en-US" w:eastAsia="zh-CN" w:bidi="ar"/>
              </w:rPr>
              <w:t>2.支持多种类型视频信号接入，支持标准网络视频信号接入、高速数字信号接入。</w:t>
            </w:r>
            <w:r>
              <w:rPr>
                <w:rFonts w:hint="default" w:ascii="Times New Roman" w:hAnsi="Times New Roman" w:eastAsia="方正仿宋_GBK" w:cs="Times New Roman"/>
                <w:i w:val="0"/>
                <w:iCs w:val="0"/>
                <w:snapToGrid w:val="0"/>
                <w:color w:val="000000"/>
                <w:kern w:val="0"/>
                <w:sz w:val="18"/>
                <w:szCs w:val="18"/>
                <w:u w:val="none"/>
                <w:lang w:val="en-US" w:eastAsia="zh-CN" w:bidi="ar"/>
              </w:rPr>
              <w:br w:type="textWrapping"/>
            </w:r>
            <w:r>
              <w:rPr>
                <w:rFonts w:hint="default" w:ascii="Times New Roman" w:hAnsi="Times New Roman" w:eastAsia="方正仿宋_GBK" w:cs="Times New Roman"/>
                <w:i w:val="0"/>
                <w:iCs w:val="0"/>
                <w:snapToGrid w:val="0"/>
                <w:color w:val="000000"/>
                <w:kern w:val="0"/>
                <w:sz w:val="18"/>
                <w:szCs w:val="18"/>
                <w:u w:val="none"/>
                <w:lang w:val="en-US" w:eastAsia="zh-CN" w:bidi="ar"/>
              </w:rPr>
              <w:t>3.支持通过rtsp协议接入第三方摄像机视频流。</w:t>
            </w:r>
            <w:r>
              <w:rPr>
                <w:rFonts w:hint="default" w:ascii="Times New Roman" w:hAnsi="Times New Roman" w:eastAsia="方正仿宋_GBK" w:cs="Times New Roman"/>
                <w:i w:val="0"/>
                <w:iCs w:val="0"/>
                <w:snapToGrid w:val="0"/>
                <w:color w:val="000000"/>
                <w:kern w:val="0"/>
                <w:sz w:val="18"/>
                <w:szCs w:val="18"/>
                <w:u w:val="none"/>
                <w:lang w:val="en-US" w:eastAsia="zh-CN" w:bidi="ar"/>
              </w:rPr>
              <w:br w:type="textWrapping"/>
            </w:r>
            <w:r>
              <w:rPr>
                <w:rFonts w:hint="default" w:ascii="Times New Roman" w:hAnsi="Times New Roman" w:eastAsia="方正仿宋_GBK" w:cs="Times New Roman"/>
                <w:i w:val="0"/>
                <w:iCs w:val="0"/>
                <w:snapToGrid w:val="0"/>
                <w:color w:val="000000"/>
                <w:kern w:val="0"/>
                <w:sz w:val="18"/>
                <w:szCs w:val="18"/>
                <w:u w:val="none"/>
                <w:lang w:val="en-US" w:eastAsia="zh-CN" w:bidi="ar"/>
              </w:rPr>
              <w:t>4.支持不少于3种编码复杂度，支持Baseline Profile、Main profile、High profile。</w:t>
            </w:r>
            <w:r>
              <w:rPr>
                <w:rFonts w:hint="default" w:ascii="Times New Roman" w:hAnsi="Times New Roman" w:eastAsia="方正仿宋_GBK" w:cs="Times New Roman"/>
                <w:i w:val="0"/>
                <w:iCs w:val="0"/>
                <w:snapToGrid w:val="0"/>
                <w:color w:val="000000"/>
                <w:kern w:val="0"/>
                <w:sz w:val="18"/>
                <w:szCs w:val="18"/>
                <w:u w:val="none"/>
                <w:lang w:val="en-US" w:eastAsia="zh-CN" w:bidi="ar"/>
              </w:rPr>
              <w:br w:type="textWrapping"/>
            </w:r>
            <w:r>
              <w:rPr>
                <w:rFonts w:hint="default" w:ascii="Times New Roman" w:hAnsi="Times New Roman" w:eastAsia="方正仿宋_GBK" w:cs="Times New Roman"/>
                <w:i w:val="0"/>
                <w:iCs w:val="0"/>
                <w:snapToGrid w:val="0"/>
                <w:color w:val="000000"/>
                <w:kern w:val="0"/>
                <w:sz w:val="18"/>
                <w:szCs w:val="18"/>
                <w:u w:val="none"/>
                <w:lang w:val="en-US" w:eastAsia="zh-CN" w:bidi="ar"/>
              </w:rPr>
              <w:t>5.支持不少于两种码率控制方式，支持CBR（Constant Bit Rate）、VBR（Variable Bit Rate）。</w:t>
            </w:r>
          </w:p>
        </w:tc>
        <w:tc>
          <w:tcPr>
            <w:tcW w:w="4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C027EC">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方正仿宋_GBK" w:cs="Times New Roman"/>
                <w:i w:val="0"/>
                <w:iCs w:val="0"/>
                <w:color w:val="000000"/>
                <w:sz w:val="18"/>
                <w:szCs w:val="18"/>
                <w:u w:val="none"/>
              </w:rPr>
            </w:pPr>
            <w:r>
              <w:rPr>
                <w:rFonts w:hint="default" w:ascii="Times New Roman" w:hAnsi="Times New Roman" w:eastAsia="方正仿宋_GBK" w:cs="Times New Roman"/>
                <w:i w:val="0"/>
                <w:iCs w:val="0"/>
                <w:snapToGrid w:val="0"/>
                <w:color w:val="000000"/>
                <w:kern w:val="0"/>
                <w:sz w:val="18"/>
                <w:szCs w:val="18"/>
                <w:u w:val="none"/>
                <w:lang w:val="en-US" w:eastAsia="zh-CN" w:bidi="ar"/>
              </w:rPr>
              <w:t>90</w:t>
            </w:r>
          </w:p>
        </w:tc>
        <w:tc>
          <w:tcPr>
            <w:tcW w:w="4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05FEEB">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方正仿宋_GBK" w:cs="Times New Roman"/>
                <w:i w:val="0"/>
                <w:iCs w:val="0"/>
                <w:color w:val="000000"/>
                <w:sz w:val="18"/>
                <w:szCs w:val="18"/>
                <w:u w:val="none"/>
              </w:rPr>
            </w:pPr>
            <w:r>
              <w:rPr>
                <w:rFonts w:hint="default" w:ascii="Times New Roman" w:hAnsi="Times New Roman" w:eastAsia="方正仿宋_GBK" w:cs="Times New Roman"/>
                <w:i w:val="0"/>
                <w:iCs w:val="0"/>
                <w:snapToGrid w:val="0"/>
                <w:color w:val="000000"/>
                <w:kern w:val="0"/>
                <w:sz w:val="18"/>
                <w:szCs w:val="18"/>
                <w:u w:val="none"/>
                <w:lang w:val="en-US" w:eastAsia="zh-CN" w:bidi="ar"/>
              </w:rPr>
              <w:t>套</w:t>
            </w:r>
          </w:p>
        </w:tc>
      </w:tr>
      <w:tr w14:paraId="1FCE528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 w:hRule="atLeast"/>
        </w:trPr>
        <w:tc>
          <w:tcPr>
            <w:tcW w:w="4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09A8A2">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方正仿宋_GBK" w:cs="Times New Roman"/>
                <w:i w:val="0"/>
                <w:iCs w:val="0"/>
                <w:color w:val="000000"/>
                <w:sz w:val="18"/>
                <w:szCs w:val="18"/>
                <w:u w:val="none"/>
              </w:rPr>
            </w:pPr>
            <w:r>
              <w:rPr>
                <w:rFonts w:hint="default" w:ascii="Times New Roman" w:hAnsi="Times New Roman" w:eastAsia="方正仿宋_GBK" w:cs="Times New Roman"/>
                <w:i w:val="0"/>
                <w:iCs w:val="0"/>
                <w:snapToGrid w:val="0"/>
                <w:color w:val="000000"/>
                <w:kern w:val="0"/>
                <w:sz w:val="18"/>
                <w:szCs w:val="18"/>
                <w:u w:val="none"/>
                <w:lang w:val="en-US" w:eastAsia="zh-CN" w:bidi="ar"/>
              </w:rPr>
              <w:t>5</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ABA217">
            <w:pPr>
              <w:keepNext w:val="0"/>
              <w:keepLines w:val="0"/>
              <w:widowControl/>
              <w:suppressLineNumbers w:val="0"/>
              <w:spacing w:before="0" w:beforeAutospacing="0" w:after="0" w:afterAutospacing="0"/>
              <w:ind w:left="0" w:right="0"/>
              <w:jc w:val="left"/>
              <w:textAlignment w:val="center"/>
              <w:rPr>
                <w:rFonts w:hint="default" w:ascii="Times New Roman" w:hAnsi="Times New Roman" w:eastAsia="方正仿宋_GBK" w:cs="Times New Roman"/>
                <w:i w:val="0"/>
                <w:iCs w:val="0"/>
                <w:color w:val="000000"/>
                <w:sz w:val="18"/>
                <w:szCs w:val="18"/>
                <w:u w:val="none"/>
              </w:rPr>
            </w:pPr>
            <w:r>
              <w:rPr>
                <w:rFonts w:hint="default" w:ascii="Times New Roman" w:hAnsi="Times New Roman" w:eastAsia="方正仿宋_GBK" w:cs="Times New Roman"/>
                <w:i w:val="0"/>
                <w:iCs w:val="0"/>
                <w:snapToGrid w:val="0"/>
                <w:color w:val="000000"/>
                <w:kern w:val="0"/>
                <w:sz w:val="18"/>
                <w:szCs w:val="18"/>
                <w:u w:val="none"/>
                <w:lang w:val="en-US" w:eastAsia="zh-CN" w:bidi="ar"/>
              </w:rPr>
              <w:t>主机Ai课堂分析系统</w:t>
            </w:r>
          </w:p>
        </w:tc>
        <w:tc>
          <w:tcPr>
            <w:tcW w:w="72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7CEE0F">
            <w:pPr>
              <w:keepNext w:val="0"/>
              <w:keepLines w:val="0"/>
              <w:widowControl/>
              <w:suppressLineNumbers w:val="0"/>
              <w:spacing w:before="0" w:beforeAutospacing="0" w:after="0" w:afterAutospacing="0"/>
              <w:ind w:left="0" w:right="0"/>
              <w:jc w:val="left"/>
              <w:textAlignment w:val="center"/>
              <w:rPr>
                <w:rFonts w:hint="default" w:ascii="Times New Roman" w:hAnsi="Times New Roman" w:eastAsia="方正仿宋_GBK" w:cs="Times New Roman"/>
                <w:i w:val="0"/>
                <w:iCs w:val="0"/>
                <w:color w:val="000000"/>
                <w:sz w:val="18"/>
                <w:szCs w:val="18"/>
                <w:u w:val="none"/>
              </w:rPr>
            </w:pPr>
            <w:r>
              <w:rPr>
                <w:rFonts w:hint="default" w:ascii="Times New Roman" w:hAnsi="Times New Roman" w:eastAsia="方正仿宋_GBK" w:cs="Times New Roman"/>
                <w:i w:val="0"/>
                <w:iCs w:val="0"/>
                <w:snapToGrid w:val="0"/>
                <w:color w:val="000000"/>
                <w:kern w:val="0"/>
                <w:sz w:val="18"/>
                <w:szCs w:val="18"/>
                <w:u w:val="none"/>
                <w:lang w:val="en-US" w:eastAsia="zh-CN" w:bidi="ar"/>
              </w:rPr>
              <w:t>1.系统支持对教室环境的3D还原重建，形成桌椅、讲台、一体机的真实环境建模，采集到的师生互动行为自动对应到具体课桌位置；支持正前方、左前方、右前方、左后方、右后方5种视角转换。</w:t>
            </w:r>
            <w:r>
              <w:rPr>
                <w:rFonts w:hint="default" w:ascii="Times New Roman" w:hAnsi="Times New Roman" w:eastAsia="方正仿宋_GBK" w:cs="Times New Roman"/>
                <w:i w:val="0"/>
                <w:iCs w:val="0"/>
                <w:snapToGrid w:val="0"/>
                <w:color w:val="000000"/>
                <w:kern w:val="0"/>
                <w:sz w:val="18"/>
                <w:szCs w:val="18"/>
                <w:u w:val="none"/>
                <w:lang w:val="en-US" w:eastAsia="zh-CN" w:bidi="ar"/>
              </w:rPr>
              <w:br w:type="textWrapping"/>
            </w:r>
            <w:r>
              <w:rPr>
                <w:rFonts w:hint="default" w:ascii="Times New Roman" w:hAnsi="Times New Roman" w:eastAsia="方正仿宋_GBK" w:cs="Times New Roman"/>
                <w:i w:val="0"/>
                <w:iCs w:val="0"/>
                <w:snapToGrid w:val="0"/>
                <w:color w:val="000000"/>
                <w:kern w:val="0"/>
                <w:sz w:val="18"/>
                <w:szCs w:val="18"/>
                <w:u w:val="none"/>
                <w:lang w:val="en-US" w:eastAsia="zh-CN" w:bidi="ar"/>
              </w:rPr>
              <w:t>2.在3D课堂孪生界面中，通过课桌的颜色深浅表示学生参与互动的活跃程度，基于学生上台次数、举手次数、问答次数计算学生活跃程度，颜色变化代表活跃度变化。</w:t>
            </w:r>
            <w:r>
              <w:rPr>
                <w:rFonts w:hint="default" w:ascii="Times New Roman" w:hAnsi="Times New Roman" w:eastAsia="方正仿宋_GBK" w:cs="Times New Roman"/>
                <w:i w:val="0"/>
                <w:iCs w:val="0"/>
                <w:snapToGrid w:val="0"/>
                <w:color w:val="000000"/>
                <w:kern w:val="0"/>
                <w:sz w:val="18"/>
                <w:szCs w:val="18"/>
                <w:u w:val="none"/>
                <w:lang w:val="en-US" w:eastAsia="zh-CN" w:bidi="ar"/>
              </w:rPr>
              <w:br w:type="textWrapping"/>
            </w:r>
            <w:r>
              <w:rPr>
                <w:rFonts w:hint="default" w:ascii="Times New Roman" w:hAnsi="Times New Roman" w:eastAsia="方正仿宋_GBK" w:cs="Times New Roman"/>
                <w:i w:val="0"/>
                <w:iCs w:val="0"/>
                <w:snapToGrid w:val="0"/>
                <w:color w:val="000000"/>
                <w:kern w:val="0"/>
                <w:sz w:val="18"/>
                <w:szCs w:val="18"/>
                <w:u w:val="none"/>
                <w:lang w:val="en-US" w:eastAsia="zh-CN" w:bidi="ar"/>
              </w:rPr>
              <w:t>3.在3D课堂孪生界面中，支持点击课堂活跃热力图中的学生头像，查看该学生的师生互动视频片段，统计该学生在本节课的上台互动、举手次数、问答次数。</w:t>
            </w:r>
            <w:r>
              <w:rPr>
                <w:rFonts w:hint="default" w:ascii="Times New Roman" w:hAnsi="Times New Roman" w:eastAsia="方正仿宋_GBK" w:cs="Times New Roman"/>
                <w:i w:val="0"/>
                <w:iCs w:val="0"/>
                <w:snapToGrid w:val="0"/>
                <w:color w:val="000000"/>
                <w:kern w:val="0"/>
                <w:sz w:val="18"/>
                <w:szCs w:val="18"/>
                <w:u w:val="none"/>
                <w:lang w:val="en-US" w:eastAsia="zh-CN" w:bidi="ar"/>
              </w:rPr>
              <w:br w:type="textWrapping"/>
            </w:r>
            <w:r>
              <w:rPr>
                <w:rFonts w:hint="default" w:ascii="Times New Roman" w:hAnsi="Times New Roman" w:eastAsia="方正仿宋_GBK" w:cs="Times New Roman"/>
                <w:i w:val="0"/>
                <w:iCs w:val="0"/>
                <w:snapToGrid w:val="0"/>
                <w:color w:val="000000"/>
                <w:kern w:val="0"/>
                <w:sz w:val="18"/>
                <w:szCs w:val="18"/>
                <w:u w:val="none"/>
                <w:lang w:val="en-US" w:eastAsia="zh-CN" w:bidi="ar"/>
              </w:rPr>
              <w:t>4.在3D课堂孪生界面中，支持在地面上显示教师的巡堂轨迹，颜色不同代表停留时间不同。</w:t>
            </w:r>
            <w:r>
              <w:rPr>
                <w:rFonts w:hint="default" w:ascii="Times New Roman" w:hAnsi="Times New Roman" w:eastAsia="方正仿宋_GBK" w:cs="Times New Roman"/>
                <w:i w:val="0"/>
                <w:iCs w:val="0"/>
                <w:snapToGrid w:val="0"/>
                <w:color w:val="000000"/>
                <w:kern w:val="0"/>
                <w:sz w:val="18"/>
                <w:szCs w:val="18"/>
                <w:u w:val="none"/>
                <w:lang w:val="en-US" w:eastAsia="zh-CN" w:bidi="ar"/>
              </w:rPr>
              <w:br w:type="textWrapping"/>
            </w:r>
            <w:r>
              <w:rPr>
                <w:rFonts w:hint="default" w:ascii="Times New Roman" w:hAnsi="Times New Roman" w:eastAsia="方正仿宋_GBK" w:cs="Times New Roman"/>
                <w:i w:val="0"/>
                <w:iCs w:val="0"/>
                <w:snapToGrid w:val="0"/>
                <w:color w:val="000000"/>
                <w:kern w:val="0"/>
                <w:sz w:val="18"/>
                <w:szCs w:val="18"/>
                <w:u w:val="none"/>
                <w:lang w:val="en-US" w:eastAsia="zh-CN" w:bidi="ar"/>
              </w:rPr>
              <w:t>5.系统支持通过教学大语言模型，生成教学建议，教学大模型具备至少70亿参数量，2200亿训练语料，支持至少16Ktoken输入；教学大模型已通过网信办备案。</w:t>
            </w:r>
            <w:r>
              <w:rPr>
                <w:rFonts w:hint="default" w:ascii="Times New Roman" w:hAnsi="Times New Roman" w:eastAsia="方正仿宋_GBK" w:cs="Times New Roman"/>
                <w:i w:val="0"/>
                <w:iCs w:val="0"/>
                <w:snapToGrid w:val="0"/>
                <w:color w:val="000000"/>
                <w:kern w:val="0"/>
                <w:sz w:val="18"/>
                <w:szCs w:val="18"/>
                <w:u w:val="none"/>
                <w:lang w:val="en-US" w:eastAsia="zh-CN" w:bidi="ar"/>
              </w:rPr>
              <w:br w:type="textWrapping"/>
            </w:r>
            <w:r>
              <w:rPr>
                <w:rFonts w:hint="default" w:ascii="Times New Roman" w:hAnsi="Times New Roman" w:eastAsia="方正仿宋_GBK" w:cs="Times New Roman"/>
                <w:i w:val="0"/>
                <w:iCs w:val="0"/>
                <w:snapToGrid w:val="0"/>
                <w:color w:val="000000"/>
                <w:kern w:val="0"/>
                <w:sz w:val="18"/>
                <w:szCs w:val="18"/>
                <w:u w:val="none"/>
                <w:lang w:val="en-US" w:eastAsia="zh-CN" w:bidi="ar"/>
              </w:rPr>
              <w:t>6.系统通过教学大语言模型，根据教学内容自动生成师生问答、课堂互动、新课标落实三个维度的课堂反馈建议，可查看全部提问、符合知识性目标的提问、不合适的提问、提问优化建议、课堂互动建议、基于新课标的亮点和改进建议。</w:t>
            </w:r>
            <w:r>
              <w:rPr>
                <w:rFonts w:hint="default" w:ascii="Times New Roman" w:hAnsi="Times New Roman" w:eastAsia="方正仿宋_GBK" w:cs="Times New Roman"/>
                <w:i w:val="0"/>
                <w:iCs w:val="0"/>
                <w:snapToGrid w:val="0"/>
                <w:color w:val="000000"/>
                <w:kern w:val="0"/>
                <w:sz w:val="18"/>
                <w:szCs w:val="18"/>
                <w:u w:val="none"/>
                <w:lang w:val="en-US" w:eastAsia="zh-CN" w:bidi="ar"/>
              </w:rPr>
              <w:br w:type="textWrapping"/>
            </w:r>
            <w:r>
              <w:rPr>
                <w:rFonts w:hint="default" w:ascii="Times New Roman" w:hAnsi="Times New Roman" w:eastAsia="方正仿宋_GBK" w:cs="Times New Roman"/>
                <w:i w:val="0"/>
                <w:iCs w:val="0"/>
                <w:snapToGrid w:val="0"/>
                <w:color w:val="000000"/>
                <w:kern w:val="0"/>
                <w:sz w:val="18"/>
                <w:szCs w:val="18"/>
                <w:u w:val="none"/>
                <w:lang w:val="en-US" w:eastAsia="zh-CN" w:bidi="ar"/>
              </w:rPr>
              <w:t>7.系统支持统计课程时长、课堂中教师讲授时长、教师讲授字数、教师授课平均语速。</w:t>
            </w:r>
            <w:r>
              <w:rPr>
                <w:rFonts w:hint="default" w:ascii="Times New Roman" w:hAnsi="Times New Roman" w:eastAsia="方正仿宋_GBK" w:cs="Times New Roman"/>
                <w:i w:val="0"/>
                <w:iCs w:val="0"/>
                <w:snapToGrid w:val="0"/>
                <w:color w:val="000000"/>
                <w:kern w:val="0"/>
                <w:sz w:val="18"/>
                <w:szCs w:val="18"/>
                <w:u w:val="none"/>
                <w:lang w:val="en-US" w:eastAsia="zh-CN" w:bidi="ar"/>
              </w:rPr>
              <w:br w:type="textWrapping"/>
            </w:r>
            <w:r>
              <w:rPr>
                <w:rFonts w:hint="default" w:ascii="Times New Roman" w:hAnsi="Times New Roman" w:eastAsia="方正仿宋_GBK" w:cs="Times New Roman"/>
                <w:i w:val="0"/>
                <w:iCs w:val="0"/>
                <w:snapToGrid w:val="0"/>
                <w:color w:val="000000"/>
                <w:kern w:val="0"/>
                <w:sz w:val="18"/>
                <w:szCs w:val="18"/>
                <w:u w:val="none"/>
                <w:lang w:val="en-US" w:eastAsia="zh-CN" w:bidi="ar"/>
              </w:rPr>
              <w:t>8.系统自动统计教师授课、师生互动、小组讨论、课堂练习的时间分布情况，支持图形可视化展示不同课堂行为的整体时间占比。</w:t>
            </w:r>
            <w:r>
              <w:rPr>
                <w:rFonts w:hint="default" w:ascii="Times New Roman" w:hAnsi="Times New Roman" w:eastAsia="方正仿宋_GBK" w:cs="Times New Roman"/>
                <w:i w:val="0"/>
                <w:iCs w:val="0"/>
                <w:snapToGrid w:val="0"/>
                <w:color w:val="000000"/>
                <w:kern w:val="0"/>
                <w:sz w:val="18"/>
                <w:szCs w:val="18"/>
                <w:u w:val="none"/>
                <w:lang w:val="en-US" w:eastAsia="zh-CN" w:bidi="ar"/>
              </w:rPr>
              <w:br w:type="textWrapping"/>
            </w:r>
            <w:r>
              <w:rPr>
                <w:rFonts w:hint="default" w:ascii="Times New Roman" w:hAnsi="Times New Roman" w:eastAsia="方正仿宋_GBK" w:cs="Times New Roman"/>
                <w:i w:val="0"/>
                <w:iCs w:val="0"/>
                <w:snapToGrid w:val="0"/>
                <w:color w:val="000000"/>
                <w:kern w:val="0"/>
                <w:sz w:val="18"/>
                <w:szCs w:val="18"/>
                <w:u w:val="none"/>
                <w:lang w:val="en-US" w:eastAsia="zh-CN" w:bidi="ar"/>
              </w:rPr>
              <w:t>9.系统自动统计教师授课、师生互动、小组讨论、课堂练习的时间分布情况，支持按照时序图样式展示，展示不同课堂行为发生的顺序、时长。</w:t>
            </w:r>
            <w:r>
              <w:rPr>
                <w:rFonts w:hint="default" w:ascii="Times New Roman" w:hAnsi="Times New Roman" w:eastAsia="方正仿宋_GBK" w:cs="Times New Roman"/>
                <w:i w:val="0"/>
                <w:iCs w:val="0"/>
                <w:snapToGrid w:val="0"/>
                <w:color w:val="000000"/>
                <w:kern w:val="0"/>
                <w:sz w:val="18"/>
                <w:szCs w:val="18"/>
                <w:u w:val="none"/>
                <w:lang w:val="en-US" w:eastAsia="zh-CN" w:bidi="ar"/>
              </w:rPr>
              <w:br w:type="textWrapping"/>
            </w:r>
            <w:r>
              <w:rPr>
                <w:rFonts w:hint="default" w:ascii="Times New Roman" w:hAnsi="Times New Roman" w:eastAsia="方正仿宋_GBK" w:cs="Times New Roman"/>
                <w:i w:val="0"/>
                <w:iCs w:val="0"/>
                <w:snapToGrid w:val="0"/>
                <w:color w:val="000000"/>
                <w:kern w:val="0"/>
                <w:sz w:val="18"/>
                <w:szCs w:val="18"/>
                <w:u w:val="none"/>
                <w:lang w:val="en-US" w:eastAsia="zh-CN" w:bidi="ar"/>
              </w:rPr>
              <w:t>10.系统通过语音识别技术、自然语言处理，将课堂中老师和学生的声音转写为文字，按照前后文逻辑关系自动切割为不同的片段；片段支持展开查看详细文字，支持跳转到文字段落对应的视频片段。</w:t>
            </w:r>
            <w:r>
              <w:rPr>
                <w:rFonts w:hint="default" w:ascii="Times New Roman" w:hAnsi="Times New Roman" w:eastAsia="方正仿宋_GBK" w:cs="Times New Roman"/>
                <w:i w:val="0"/>
                <w:iCs w:val="0"/>
                <w:snapToGrid w:val="0"/>
                <w:color w:val="000000"/>
                <w:kern w:val="0"/>
                <w:sz w:val="18"/>
                <w:szCs w:val="18"/>
                <w:u w:val="none"/>
                <w:lang w:val="en-US" w:eastAsia="zh-CN" w:bidi="ar"/>
              </w:rPr>
              <w:br w:type="textWrapping"/>
            </w:r>
            <w:r>
              <w:rPr>
                <w:rFonts w:hint="default" w:ascii="Times New Roman" w:hAnsi="Times New Roman" w:eastAsia="方正仿宋_GBK" w:cs="Times New Roman"/>
                <w:i w:val="0"/>
                <w:iCs w:val="0"/>
                <w:snapToGrid w:val="0"/>
                <w:color w:val="000000"/>
                <w:kern w:val="0"/>
                <w:sz w:val="18"/>
                <w:szCs w:val="18"/>
                <w:u w:val="none"/>
                <w:lang w:val="en-US" w:eastAsia="zh-CN" w:bidi="ar"/>
              </w:rPr>
              <w:t>11.系统支持对语音转写中的师生问答进行自动识别，将提问内容自动高亮显示，支持将识别出的问答实录一键导出为云文档。</w:t>
            </w:r>
            <w:r>
              <w:rPr>
                <w:rFonts w:hint="default" w:ascii="Times New Roman" w:hAnsi="Times New Roman" w:eastAsia="方正仿宋_GBK" w:cs="Times New Roman"/>
                <w:i w:val="0"/>
                <w:iCs w:val="0"/>
                <w:snapToGrid w:val="0"/>
                <w:color w:val="000000"/>
                <w:kern w:val="0"/>
                <w:sz w:val="18"/>
                <w:szCs w:val="18"/>
                <w:u w:val="none"/>
                <w:lang w:val="en-US" w:eastAsia="zh-CN" w:bidi="ar"/>
              </w:rPr>
              <w:br w:type="textWrapping"/>
            </w:r>
            <w:r>
              <w:rPr>
                <w:rFonts w:hint="default" w:ascii="Times New Roman" w:hAnsi="Times New Roman" w:eastAsia="方正仿宋_GBK" w:cs="Times New Roman"/>
                <w:i w:val="0"/>
                <w:iCs w:val="0"/>
                <w:snapToGrid w:val="0"/>
                <w:color w:val="000000"/>
                <w:kern w:val="0"/>
                <w:sz w:val="18"/>
                <w:szCs w:val="18"/>
                <w:u w:val="none"/>
                <w:lang w:val="en-US" w:eastAsia="zh-CN" w:bidi="ar"/>
              </w:rPr>
              <w:t>12.系统支持对识别出的文字进行手动校准，支持对识别出的问答片段标注是否有效，被标注有效的问答片段，在播放器时间轴对应的时间点上会高亮显示。</w:t>
            </w:r>
            <w:r>
              <w:rPr>
                <w:rFonts w:hint="default" w:ascii="Times New Roman" w:hAnsi="Times New Roman" w:eastAsia="方正仿宋_GBK" w:cs="Times New Roman"/>
                <w:i w:val="0"/>
                <w:iCs w:val="0"/>
                <w:snapToGrid w:val="0"/>
                <w:color w:val="000000"/>
                <w:kern w:val="0"/>
                <w:sz w:val="18"/>
                <w:szCs w:val="18"/>
                <w:u w:val="none"/>
                <w:lang w:val="en-US" w:eastAsia="zh-CN" w:bidi="ar"/>
              </w:rPr>
              <w:br w:type="textWrapping"/>
            </w:r>
            <w:r>
              <w:rPr>
                <w:rFonts w:hint="default" w:ascii="Times New Roman" w:hAnsi="Times New Roman" w:eastAsia="方正仿宋_GBK" w:cs="Times New Roman"/>
                <w:i w:val="0"/>
                <w:iCs w:val="0"/>
                <w:snapToGrid w:val="0"/>
                <w:color w:val="000000"/>
                <w:kern w:val="0"/>
                <w:sz w:val="18"/>
                <w:szCs w:val="18"/>
                <w:u w:val="none"/>
                <w:lang w:val="en-US" w:eastAsia="zh-CN" w:bidi="ar"/>
              </w:rPr>
              <w:t>13.系统支持自动识别问答模式分类，按简单型、追问型、思考再答型、自问自答、无响应进行分类统计，通过柱状图表呈现。</w:t>
            </w:r>
            <w:r>
              <w:rPr>
                <w:rFonts w:hint="default" w:ascii="Times New Roman" w:hAnsi="Times New Roman" w:eastAsia="方正仿宋_GBK" w:cs="Times New Roman"/>
                <w:i w:val="0"/>
                <w:iCs w:val="0"/>
                <w:snapToGrid w:val="0"/>
                <w:color w:val="000000"/>
                <w:kern w:val="0"/>
                <w:sz w:val="18"/>
                <w:szCs w:val="18"/>
                <w:u w:val="none"/>
                <w:lang w:val="en-US" w:eastAsia="zh-CN" w:bidi="ar"/>
              </w:rPr>
              <w:br w:type="textWrapping"/>
            </w:r>
            <w:r>
              <w:rPr>
                <w:rFonts w:hint="default" w:ascii="Times New Roman" w:hAnsi="Times New Roman" w:eastAsia="方正仿宋_GBK" w:cs="Times New Roman"/>
                <w:i w:val="0"/>
                <w:iCs w:val="0"/>
                <w:snapToGrid w:val="0"/>
                <w:color w:val="000000"/>
                <w:kern w:val="0"/>
                <w:sz w:val="18"/>
                <w:szCs w:val="18"/>
                <w:u w:val="none"/>
                <w:lang w:val="en-US" w:eastAsia="zh-CN" w:bidi="ar"/>
              </w:rPr>
              <w:t>14.系统支持点击问答模式柱状图对该类型的提问进行筛选，问答实录中显示对应文字明细，支持按师生角色区分，并自动进行分段分句，支持跳转到文字段落对应的视频片段。</w:t>
            </w:r>
            <w:r>
              <w:rPr>
                <w:rFonts w:hint="default" w:ascii="Times New Roman" w:hAnsi="Times New Roman" w:eastAsia="方正仿宋_GBK" w:cs="Times New Roman"/>
                <w:i w:val="0"/>
                <w:iCs w:val="0"/>
                <w:snapToGrid w:val="0"/>
                <w:color w:val="000000"/>
                <w:kern w:val="0"/>
                <w:sz w:val="18"/>
                <w:szCs w:val="18"/>
                <w:u w:val="none"/>
                <w:lang w:val="en-US" w:eastAsia="zh-CN" w:bidi="ar"/>
              </w:rPr>
              <w:br w:type="textWrapping"/>
            </w:r>
            <w:r>
              <w:rPr>
                <w:rFonts w:hint="default" w:ascii="Times New Roman" w:hAnsi="Times New Roman" w:eastAsia="方正仿宋_GBK" w:cs="Times New Roman"/>
                <w:i w:val="0"/>
                <w:iCs w:val="0"/>
                <w:snapToGrid w:val="0"/>
                <w:color w:val="000000"/>
                <w:kern w:val="0"/>
                <w:sz w:val="18"/>
                <w:szCs w:val="18"/>
                <w:u w:val="none"/>
                <w:lang w:val="en-US" w:eastAsia="zh-CN" w:bidi="ar"/>
              </w:rPr>
              <w:t>15.系统支持通过编码规则对课堂数据进行每秒1次的打点，自动计算出启发/指导比（I/D）、学生稳态比（PSSR）、教学内容比（CCR）、学生发言比（PIR）、教师提问比（TQR）、教学/调控比（TRR）的指标数值，通过雷达图呈现。</w:t>
            </w:r>
            <w:r>
              <w:rPr>
                <w:rFonts w:hint="default" w:ascii="Times New Roman" w:hAnsi="Times New Roman" w:eastAsia="方正仿宋_GBK" w:cs="Times New Roman"/>
                <w:i w:val="0"/>
                <w:iCs w:val="0"/>
                <w:snapToGrid w:val="0"/>
                <w:color w:val="000000"/>
                <w:kern w:val="0"/>
                <w:sz w:val="18"/>
                <w:szCs w:val="18"/>
                <w:u w:val="none"/>
                <w:lang w:val="en-US" w:eastAsia="zh-CN" w:bidi="ar"/>
              </w:rPr>
              <w:br w:type="textWrapping"/>
            </w:r>
            <w:r>
              <w:rPr>
                <w:rFonts w:hint="default" w:ascii="Times New Roman" w:hAnsi="Times New Roman" w:eastAsia="方正仿宋_GBK" w:cs="Times New Roman"/>
                <w:i w:val="0"/>
                <w:iCs w:val="0"/>
                <w:snapToGrid w:val="0"/>
                <w:color w:val="000000"/>
                <w:kern w:val="0"/>
                <w:sz w:val="18"/>
                <w:szCs w:val="18"/>
                <w:u w:val="none"/>
                <w:lang w:val="en-US" w:eastAsia="zh-CN" w:bidi="ar"/>
              </w:rPr>
              <w:t>16.系统支持将本堂课的编码数值和标准数值进行对比，通过上下箭头呈现高于或低于标准数值；可查看矩阵编码打点信息，点击打点信息可播放对应视频片段。</w:t>
            </w:r>
            <w:r>
              <w:rPr>
                <w:rFonts w:hint="default" w:ascii="Times New Roman" w:hAnsi="Times New Roman" w:eastAsia="方正仿宋_GBK" w:cs="Times New Roman"/>
                <w:i w:val="0"/>
                <w:iCs w:val="0"/>
                <w:snapToGrid w:val="0"/>
                <w:color w:val="000000"/>
                <w:kern w:val="0"/>
                <w:sz w:val="18"/>
                <w:szCs w:val="18"/>
                <w:u w:val="none"/>
                <w:lang w:val="en-US" w:eastAsia="zh-CN" w:bidi="ar"/>
              </w:rPr>
              <w:br w:type="textWrapping"/>
            </w:r>
            <w:r>
              <w:rPr>
                <w:rFonts w:hint="default" w:ascii="Times New Roman" w:hAnsi="Times New Roman" w:eastAsia="方正仿宋_GBK" w:cs="Times New Roman"/>
                <w:i w:val="0"/>
                <w:iCs w:val="0"/>
                <w:snapToGrid w:val="0"/>
                <w:color w:val="000000"/>
                <w:kern w:val="0"/>
                <w:sz w:val="18"/>
                <w:szCs w:val="18"/>
                <w:u w:val="none"/>
                <w:lang w:val="en-US" w:eastAsia="zh-CN" w:bidi="ar"/>
              </w:rPr>
              <w:t>17.系统支持教师画面、学生画面双窗口显示，小窗口可自由拖动位置和自由切换；支持根据课件翻页将教学视频进行虚拟切片，点击互动课件缩略图，可跳转至对应视频片段。</w:t>
            </w:r>
            <w:r>
              <w:rPr>
                <w:rFonts w:hint="default" w:ascii="Times New Roman" w:hAnsi="Times New Roman" w:eastAsia="方正仿宋_GBK" w:cs="Times New Roman"/>
                <w:i w:val="0"/>
                <w:iCs w:val="0"/>
                <w:snapToGrid w:val="0"/>
                <w:color w:val="000000"/>
                <w:kern w:val="0"/>
                <w:sz w:val="18"/>
                <w:szCs w:val="18"/>
                <w:u w:val="none"/>
                <w:lang w:val="en-US" w:eastAsia="zh-CN" w:bidi="ar"/>
              </w:rPr>
              <w:br w:type="textWrapping"/>
            </w:r>
            <w:r>
              <w:rPr>
                <w:rFonts w:hint="default" w:ascii="Times New Roman" w:hAnsi="Times New Roman" w:eastAsia="方正仿宋_GBK" w:cs="Times New Roman"/>
                <w:i w:val="0"/>
                <w:iCs w:val="0"/>
                <w:snapToGrid w:val="0"/>
                <w:color w:val="000000"/>
                <w:kern w:val="0"/>
                <w:sz w:val="18"/>
                <w:szCs w:val="18"/>
                <w:u w:val="none"/>
                <w:lang w:val="en-US" w:eastAsia="zh-CN" w:bidi="ar"/>
              </w:rPr>
              <w:t>18.系统使用基于计算机视觉算法、语音识别技术、自然语言处理的多模态算法整体判断课堂行为，并通过有限状态机进行校正；根据课堂行为对教学视频进行打点，片段打点信息包含提问、回答、举手、起立、上台、齐读、讨论的教学事件，播放进度条支持显示事件类型、快速定位播放功能。</w:t>
            </w:r>
            <w:r>
              <w:rPr>
                <w:rFonts w:hint="default" w:ascii="Times New Roman" w:hAnsi="Times New Roman" w:eastAsia="方正仿宋_GBK" w:cs="Times New Roman"/>
                <w:i w:val="0"/>
                <w:iCs w:val="0"/>
                <w:snapToGrid w:val="0"/>
                <w:color w:val="000000"/>
                <w:kern w:val="0"/>
                <w:sz w:val="18"/>
                <w:szCs w:val="18"/>
                <w:u w:val="none"/>
                <w:lang w:val="en-US" w:eastAsia="zh-CN" w:bidi="ar"/>
              </w:rPr>
              <w:br w:type="textWrapping"/>
            </w:r>
            <w:r>
              <w:rPr>
                <w:rFonts w:hint="default" w:ascii="Times New Roman" w:hAnsi="Times New Roman" w:eastAsia="方正仿宋_GBK" w:cs="Times New Roman"/>
                <w:i w:val="0"/>
                <w:iCs w:val="0"/>
                <w:snapToGrid w:val="0"/>
                <w:color w:val="000000"/>
                <w:kern w:val="0"/>
                <w:sz w:val="18"/>
                <w:szCs w:val="18"/>
                <w:u w:val="none"/>
                <w:lang w:val="en-US" w:eastAsia="zh-CN" w:bidi="ar"/>
              </w:rPr>
              <w:t>19.系统支持关键片段、问答模式、完整模式三种播放模式，可任意切换。</w:t>
            </w:r>
            <w:r>
              <w:rPr>
                <w:rFonts w:hint="default" w:ascii="Times New Roman" w:hAnsi="Times New Roman" w:eastAsia="方正仿宋_GBK" w:cs="Times New Roman"/>
                <w:i w:val="0"/>
                <w:iCs w:val="0"/>
                <w:snapToGrid w:val="0"/>
                <w:color w:val="000000"/>
                <w:kern w:val="0"/>
                <w:sz w:val="18"/>
                <w:szCs w:val="18"/>
                <w:u w:val="none"/>
                <w:lang w:val="en-US" w:eastAsia="zh-CN" w:bidi="ar"/>
              </w:rPr>
              <w:br w:type="textWrapping"/>
            </w:r>
            <w:r>
              <w:rPr>
                <w:rFonts w:hint="default" w:ascii="Times New Roman" w:hAnsi="Times New Roman" w:eastAsia="方正仿宋_GBK" w:cs="Times New Roman"/>
                <w:i w:val="0"/>
                <w:iCs w:val="0"/>
                <w:snapToGrid w:val="0"/>
                <w:color w:val="000000"/>
                <w:kern w:val="0"/>
                <w:sz w:val="18"/>
                <w:szCs w:val="18"/>
                <w:u w:val="none"/>
                <w:lang w:val="en-US" w:eastAsia="zh-CN" w:bidi="ar"/>
              </w:rPr>
              <w:t>20.系统支持将报告下载至本地，报告中包含基础数据、教学时间分配、讲学环节时间轴、编码图、S-T/Rt-Ch教学分析图、高频词语分析、提问数据统计、提问详情列表。</w:t>
            </w:r>
            <w:r>
              <w:rPr>
                <w:rFonts w:hint="default" w:ascii="Times New Roman" w:hAnsi="Times New Roman" w:eastAsia="方正仿宋_GBK" w:cs="Times New Roman"/>
                <w:i w:val="0"/>
                <w:iCs w:val="0"/>
                <w:snapToGrid w:val="0"/>
                <w:color w:val="000000"/>
                <w:kern w:val="0"/>
                <w:sz w:val="18"/>
                <w:szCs w:val="18"/>
                <w:u w:val="none"/>
                <w:lang w:val="en-US" w:eastAsia="zh-CN" w:bidi="ar"/>
              </w:rPr>
              <w:br w:type="textWrapping"/>
            </w:r>
            <w:r>
              <w:rPr>
                <w:rFonts w:hint="default" w:ascii="Times New Roman" w:hAnsi="Times New Roman" w:eastAsia="方正仿宋_GBK" w:cs="Times New Roman"/>
                <w:i w:val="0"/>
                <w:iCs w:val="0"/>
                <w:snapToGrid w:val="0"/>
                <w:color w:val="000000"/>
                <w:kern w:val="0"/>
                <w:sz w:val="18"/>
                <w:szCs w:val="18"/>
                <w:u w:val="none"/>
                <w:lang w:val="en-US" w:eastAsia="zh-CN" w:bidi="ar"/>
              </w:rPr>
              <w:t>21.系统支持通过对S-T编码序列的深度分析，计算本节课的教师行为占有率Rt、师生行为转换率Ch，基于本节课的Rt值、Ch值得出本节课的教学模式，教学模式包含：混合型、练习型、讲授型、对话型。</w:t>
            </w:r>
            <w:r>
              <w:rPr>
                <w:rFonts w:hint="default" w:ascii="Times New Roman" w:hAnsi="Times New Roman" w:eastAsia="方正仿宋_GBK" w:cs="Times New Roman"/>
                <w:i w:val="0"/>
                <w:iCs w:val="0"/>
                <w:snapToGrid w:val="0"/>
                <w:color w:val="000000"/>
                <w:kern w:val="0"/>
                <w:sz w:val="18"/>
                <w:szCs w:val="18"/>
                <w:u w:val="none"/>
                <w:lang w:val="en-US" w:eastAsia="zh-CN" w:bidi="ar"/>
              </w:rPr>
              <w:br w:type="textWrapping"/>
            </w:r>
            <w:r>
              <w:rPr>
                <w:rFonts w:hint="default" w:ascii="Times New Roman" w:hAnsi="Times New Roman" w:eastAsia="方正仿宋_GBK" w:cs="Times New Roman"/>
                <w:i w:val="0"/>
                <w:iCs w:val="0"/>
                <w:snapToGrid w:val="0"/>
                <w:color w:val="000000"/>
                <w:kern w:val="0"/>
                <w:sz w:val="18"/>
                <w:szCs w:val="18"/>
                <w:u w:val="none"/>
                <w:lang w:val="en-US" w:eastAsia="zh-CN" w:bidi="ar"/>
              </w:rPr>
              <w:t>22.系统支持以海报、二维码、链接的方式分享给他人。</w:t>
            </w:r>
          </w:p>
        </w:tc>
        <w:tc>
          <w:tcPr>
            <w:tcW w:w="4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33638A">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方正仿宋_GBK" w:cs="Times New Roman"/>
                <w:i w:val="0"/>
                <w:iCs w:val="0"/>
                <w:color w:val="000000"/>
                <w:sz w:val="18"/>
                <w:szCs w:val="18"/>
                <w:u w:val="none"/>
              </w:rPr>
            </w:pPr>
            <w:r>
              <w:rPr>
                <w:rFonts w:hint="default" w:ascii="Times New Roman" w:hAnsi="Times New Roman" w:eastAsia="方正仿宋_GBK" w:cs="Times New Roman"/>
                <w:i w:val="0"/>
                <w:iCs w:val="0"/>
                <w:snapToGrid w:val="0"/>
                <w:color w:val="000000"/>
                <w:kern w:val="0"/>
                <w:sz w:val="18"/>
                <w:szCs w:val="18"/>
                <w:u w:val="none"/>
                <w:lang w:val="en-US" w:eastAsia="zh-CN" w:bidi="ar"/>
              </w:rPr>
              <w:t>90</w:t>
            </w:r>
          </w:p>
        </w:tc>
        <w:tc>
          <w:tcPr>
            <w:tcW w:w="4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C85786">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方正仿宋_GBK" w:cs="Times New Roman"/>
                <w:i w:val="0"/>
                <w:iCs w:val="0"/>
                <w:color w:val="000000"/>
                <w:sz w:val="18"/>
                <w:szCs w:val="18"/>
                <w:u w:val="none"/>
              </w:rPr>
            </w:pPr>
            <w:r>
              <w:rPr>
                <w:rFonts w:hint="default" w:ascii="Times New Roman" w:hAnsi="Times New Roman" w:eastAsia="方正仿宋_GBK" w:cs="Times New Roman"/>
                <w:i w:val="0"/>
                <w:iCs w:val="0"/>
                <w:snapToGrid w:val="0"/>
                <w:color w:val="000000"/>
                <w:kern w:val="0"/>
                <w:sz w:val="18"/>
                <w:szCs w:val="18"/>
                <w:u w:val="none"/>
                <w:lang w:val="en-US" w:eastAsia="zh-CN" w:bidi="ar"/>
              </w:rPr>
              <w:t>套</w:t>
            </w:r>
          </w:p>
        </w:tc>
      </w:tr>
      <w:tr w14:paraId="3E33EB6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 w:hRule="atLeast"/>
        </w:trPr>
        <w:tc>
          <w:tcPr>
            <w:tcW w:w="4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C78ED2">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方正仿宋_GBK" w:cs="Times New Roman"/>
                <w:i w:val="0"/>
                <w:iCs w:val="0"/>
                <w:color w:val="000000"/>
                <w:sz w:val="18"/>
                <w:szCs w:val="18"/>
                <w:u w:val="none"/>
              </w:rPr>
            </w:pPr>
            <w:r>
              <w:rPr>
                <w:rFonts w:hint="default" w:ascii="Times New Roman" w:hAnsi="Times New Roman" w:eastAsia="方正仿宋_GBK" w:cs="Times New Roman"/>
                <w:i w:val="0"/>
                <w:iCs w:val="0"/>
                <w:snapToGrid w:val="0"/>
                <w:color w:val="000000"/>
                <w:kern w:val="0"/>
                <w:sz w:val="18"/>
                <w:szCs w:val="18"/>
                <w:u w:val="none"/>
                <w:lang w:val="en-US" w:eastAsia="zh-CN" w:bidi="ar"/>
              </w:rPr>
              <w:t>6</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0CB7E9">
            <w:pPr>
              <w:keepNext w:val="0"/>
              <w:keepLines w:val="0"/>
              <w:widowControl/>
              <w:suppressLineNumbers w:val="0"/>
              <w:spacing w:before="0" w:beforeAutospacing="0" w:after="0" w:afterAutospacing="0"/>
              <w:ind w:left="0" w:right="0"/>
              <w:jc w:val="left"/>
              <w:textAlignment w:val="center"/>
              <w:rPr>
                <w:rFonts w:hint="default" w:ascii="Times New Roman" w:hAnsi="Times New Roman" w:eastAsia="方正仿宋_GBK" w:cs="Times New Roman"/>
                <w:i w:val="0"/>
                <w:iCs w:val="0"/>
                <w:color w:val="000000"/>
                <w:sz w:val="18"/>
                <w:szCs w:val="18"/>
                <w:u w:val="none"/>
              </w:rPr>
            </w:pPr>
            <w:r>
              <w:rPr>
                <w:rFonts w:hint="default" w:ascii="Times New Roman" w:hAnsi="Times New Roman" w:eastAsia="方正仿宋_GBK" w:cs="Times New Roman"/>
                <w:i w:val="0"/>
                <w:iCs w:val="0"/>
                <w:snapToGrid w:val="0"/>
                <w:color w:val="000000"/>
                <w:kern w:val="0"/>
                <w:sz w:val="18"/>
                <w:szCs w:val="18"/>
                <w:u w:val="none"/>
                <w:lang w:val="en-US" w:eastAsia="zh-CN" w:bidi="ar"/>
              </w:rPr>
              <w:t>双目4K前置摄像机</w:t>
            </w:r>
          </w:p>
        </w:tc>
        <w:tc>
          <w:tcPr>
            <w:tcW w:w="72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C926FB">
            <w:pPr>
              <w:keepNext w:val="0"/>
              <w:keepLines w:val="0"/>
              <w:widowControl/>
              <w:suppressLineNumbers w:val="0"/>
              <w:spacing w:before="0" w:beforeAutospacing="0" w:after="0" w:afterAutospacing="0"/>
              <w:ind w:left="0" w:right="0"/>
              <w:jc w:val="left"/>
              <w:textAlignment w:val="center"/>
              <w:rPr>
                <w:rFonts w:hint="default" w:ascii="Times New Roman" w:hAnsi="Times New Roman" w:eastAsia="方正仿宋_GBK" w:cs="Times New Roman"/>
                <w:i w:val="0"/>
                <w:iCs w:val="0"/>
                <w:color w:val="000000"/>
                <w:sz w:val="18"/>
                <w:szCs w:val="18"/>
                <w:u w:val="none"/>
              </w:rPr>
            </w:pPr>
            <w:r>
              <w:rPr>
                <w:rFonts w:hint="default" w:ascii="Times New Roman" w:hAnsi="Times New Roman" w:eastAsia="方正仿宋_GBK" w:cs="Times New Roman"/>
                <w:i w:val="0"/>
                <w:iCs w:val="0"/>
                <w:snapToGrid w:val="0"/>
                <w:color w:val="000000"/>
                <w:kern w:val="0"/>
                <w:sz w:val="18"/>
                <w:szCs w:val="18"/>
                <w:u w:val="none"/>
                <w:lang w:val="en-US" w:eastAsia="zh-CN" w:bidi="ar"/>
              </w:rPr>
              <w:t>1.★采用全景特写双镜头，全景镜头水平视场角≥40°，特写镜头水平视场角≥20°。（须提供国家认可的第三方检测机构出具的CNAS和CMA标识的检测报告）</w:t>
            </w:r>
            <w:r>
              <w:rPr>
                <w:rFonts w:hint="default" w:ascii="Times New Roman" w:hAnsi="Times New Roman" w:eastAsia="方正仿宋_GBK" w:cs="Times New Roman"/>
                <w:i w:val="0"/>
                <w:iCs w:val="0"/>
                <w:snapToGrid w:val="0"/>
                <w:color w:val="000000"/>
                <w:kern w:val="0"/>
                <w:sz w:val="18"/>
                <w:szCs w:val="18"/>
                <w:u w:val="none"/>
                <w:lang w:val="en-US" w:eastAsia="zh-CN" w:bidi="ar"/>
              </w:rPr>
              <w:br w:type="textWrapping"/>
            </w:r>
            <w:r>
              <w:rPr>
                <w:rFonts w:hint="default" w:ascii="Times New Roman" w:hAnsi="Times New Roman" w:eastAsia="方正仿宋_GBK" w:cs="Times New Roman"/>
                <w:i w:val="0"/>
                <w:iCs w:val="0"/>
                <w:snapToGrid w:val="0"/>
                <w:color w:val="000000"/>
                <w:kern w:val="0"/>
                <w:sz w:val="18"/>
                <w:szCs w:val="18"/>
                <w:u w:val="none"/>
                <w:lang w:val="en-US" w:eastAsia="zh-CN" w:bidi="ar"/>
              </w:rPr>
              <w:t>2.摄像机采用一体化集成设计，支持超高清。</w:t>
            </w:r>
            <w:r>
              <w:rPr>
                <w:rFonts w:hint="default" w:ascii="Times New Roman" w:hAnsi="Times New Roman" w:eastAsia="方正仿宋_GBK" w:cs="Times New Roman"/>
                <w:i w:val="0"/>
                <w:iCs w:val="0"/>
                <w:snapToGrid w:val="0"/>
                <w:color w:val="000000"/>
                <w:kern w:val="0"/>
                <w:sz w:val="18"/>
                <w:szCs w:val="18"/>
                <w:u w:val="none"/>
                <w:lang w:val="en-US" w:eastAsia="zh-CN" w:bidi="ar"/>
              </w:rPr>
              <w:br w:type="textWrapping"/>
            </w:r>
            <w:r>
              <w:rPr>
                <w:rFonts w:hint="default" w:ascii="Times New Roman" w:hAnsi="Times New Roman" w:eastAsia="方正仿宋_GBK" w:cs="Times New Roman"/>
                <w:i w:val="0"/>
                <w:iCs w:val="0"/>
                <w:snapToGrid w:val="0"/>
                <w:color w:val="000000"/>
                <w:kern w:val="0"/>
                <w:sz w:val="18"/>
                <w:szCs w:val="18"/>
                <w:u w:val="none"/>
                <w:lang w:val="en-US" w:eastAsia="zh-CN" w:bidi="ar"/>
              </w:rPr>
              <w:t>3.★内置图像识别跟踪算法，搭配隐藏式微型云台，保证清晰度的同时，也减小对课堂的干扰。（须提供国家认可的第三方检测机构出具的CNAS和CMA标识的检测报告）</w:t>
            </w:r>
            <w:r>
              <w:rPr>
                <w:rFonts w:hint="default" w:ascii="Times New Roman" w:hAnsi="Times New Roman" w:eastAsia="方正仿宋_GBK" w:cs="Times New Roman"/>
                <w:i w:val="0"/>
                <w:iCs w:val="0"/>
                <w:snapToGrid w:val="0"/>
                <w:color w:val="000000"/>
                <w:kern w:val="0"/>
                <w:sz w:val="18"/>
                <w:szCs w:val="18"/>
                <w:u w:val="none"/>
                <w:lang w:val="en-US" w:eastAsia="zh-CN" w:bidi="ar"/>
              </w:rPr>
              <w:br w:type="textWrapping"/>
            </w:r>
            <w:r>
              <w:rPr>
                <w:rFonts w:hint="default" w:ascii="Times New Roman" w:hAnsi="Times New Roman" w:eastAsia="方正仿宋_GBK" w:cs="Times New Roman"/>
                <w:i w:val="0"/>
                <w:iCs w:val="0"/>
                <w:snapToGrid w:val="0"/>
                <w:color w:val="000000"/>
                <w:kern w:val="0"/>
                <w:sz w:val="18"/>
                <w:szCs w:val="18"/>
                <w:u w:val="none"/>
                <w:lang w:val="en-US" w:eastAsia="zh-CN" w:bidi="ar"/>
              </w:rPr>
              <w:t>4.镜头采用无畸变设计，保证拍摄画面无畸变。</w:t>
            </w:r>
            <w:r>
              <w:rPr>
                <w:rFonts w:hint="default" w:ascii="Times New Roman" w:hAnsi="Times New Roman" w:eastAsia="方正仿宋_GBK" w:cs="Times New Roman"/>
                <w:i w:val="0"/>
                <w:iCs w:val="0"/>
                <w:snapToGrid w:val="0"/>
                <w:color w:val="000000"/>
                <w:kern w:val="0"/>
                <w:sz w:val="18"/>
                <w:szCs w:val="18"/>
                <w:u w:val="none"/>
                <w:lang w:val="en-US" w:eastAsia="zh-CN" w:bidi="ar"/>
              </w:rPr>
              <w:br w:type="textWrapping"/>
            </w:r>
            <w:r>
              <w:rPr>
                <w:rFonts w:hint="default" w:ascii="Times New Roman" w:hAnsi="Times New Roman" w:eastAsia="方正仿宋_GBK" w:cs="Times New Roman"/>
                <w:i w:val="0"/>
                <w:iCs w:val="0"/>
                <w:snapToGrid w:val="0"/>
                <w:color w:val="000000"/>
                <w:kern w:val="0"/>
                <w:sz w:val="18"/>
                <w:szCs w:val="18"/>
                <w:u w:val="none"/>
                <w:lang w:val="en-US" w:eastAsia="zh-CN" w:bidi="ar"/>
              </w:rPr>
              <w:t>5.为保证画质，全景画面与特写画面采用同系列图像传感器和图像处理器，确保两者图像输出亮度、颜色、风格等保持一致。</w:t>
            </w:r>
            <w:r>
              <w:rPr>
                <w:rFonts w:hint="default" w:ascii="Times New Roman" w:hAnsi="Times New Roman" w:eastAsia="方正仿宋_GBK" w:cs="Times New Roman"/>
                <w:i w:val="0"/>
                <w:iCs w:val="0"/>
                <w:snapToGrid w:val="0"/>
                <w:color w:val="000000"/>
                <w:kern w:val="0"/>
                <w:sz w:val="18"/>
                <w:szCs w:val="18"/>
                <w:u w:val="none"/>
                <w:lang w:val="en-US" w:eastAsia="zh-CN" w:bidi="ar"/>
              </w:rPr>
              <w:br w:type="textWrapping"/>
            </w:r>
            <w:r>
              <w:rPr>
                <w:rFonts w:hint="default" w:ascii="Times New Roman" w:hAnsi="Times New Roman" w:eastAsia="方正仿宋_GBK" w:cs="Times New Roman"/>
                <w:i w:val="0"/>
                <w:iCs w:val="0"/>
                <w:snapToGrid w:val="0"/>
                <w:color w:val="000000"/>
                <w:kern w:val="0"/>
                <w:sz w:val="18"/>
                <w:szCs w:val="18"/>
                <w:u w:val="none"/>
                <w:lang w:val="en-US" w:eastAsia="zh-CN" w:bidi="ar"/>
              </w:rPr>
              <w:t>6.★全景图像传感器有效像素≥400万，特写图像传感器有效像素≥800万。（须提供国家认可的第三方检测机构出具的CNAS和CMA标识的检测报告</w:t>
            </w:r>
            <w:r>
              <w:rPr>
                <w:rFonts w:hint="eastAsia" w:ascii="Times New Roman" w:hAnsi="Times New Roman" w:eastAsia="方正仿宋_GBK" w:cs="Times New Roman"/>
                <w:i w:val="0"/>
                <w:iCs w:val="0"/>
                <w:snapToGrid w:val="0"/>
                <w:color w:val="000000"/>
                <w:kern w:val="0"/>
                <w:sz w:val="18"/>
                <w:szCs w:val="18"/>
                <w:u w:val="none"/>
                <w:lang w:val="en-US" w:eastAsia="zh-CN" w:bidi="ar"/>
              </w:rPr>
              <w:t>）</w:t>
            </w:r>
            <w:r>
              <w:rPr>
                <w:rFonts w:hint="default" w:ascii="Times New Roman" w:hAnsi="Times New Roman" w:eastAsia="方正仿宋_GBK" w:cs="Times New Roman"/>
                <w:i w:val="0"/>
                <w:iCs w:val="0"/>
                <w:snapToGrid w:val="0"/>
                <w:color w:val="000000"/>
                <w:kern w:val="0"/>
                <w:sz w:val="18"/>
                <w:szCs w:val="18"/>
                <w:u w:val="none"/>
                <w:lang w:val="en-US" w:eastAsia="zh-CN" w:bidi="ar"/>
              </w:rPr>
              <w:br w:type="textWrapping"/>
            </w:r>
            <w:r>
              <w:rPr>
                <w:rFonts w:hint="default" w:ascii="Times New Roman" w:hAnsi="Times New Roman" w:eastAsia="方正仿宋_GBK" w:cs="Times New Roman"/>
                <w:i w:val="0"/>
                <w:iCs w:val="0"/>
                <w:snapToGrid w:val="0"/>
                <w:color w:val="000000"/>
                <w:kern w:val="0"/>
                <w:sz w:val="18"/>
                <w:szCs w:val="18"/>
                <w:u w:val="none"/>
                <w:lang w:val="en-US" w:eastAsia="zh-CN" w:bidi="ar"/>
              </w:rPr>
              <w:t>7.摄像机采用逐行扫描方式。</w:t>
            </w:r>
          </w:p>
        </w:tc>
        <w:tc>
          <w:tcPr>
            <w:tcW w:w="4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8CBBC8">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方正仿宋_GBK" w:cs="Times New Roman"/>
                <w:i w:val="0"/>
                <w:iCs w:val="0"/>
                <w:color w:val="000000"/>
                <w:sz w:val="18"/>
                <w:szCs w:val="18"/>
                <w:u w:val="none"/>
              </w:rPr>
            </w:pPr>
            <w:r>
              <w:rPr>
                <w:rFonts w:hint="default" w:ascii="Times New Roman" w:hAnsi="Times New Roman" w:eastAsia="方正仿宋_GBK" w:cs="Times New Roman"/>
                <w:i w:val="0"/>
                <w:iCs w:val="0"/>
                <w:snapToGrid w:val="0"/>
                <w:color w:val="000000"/>
                <w:kern w:val="0"/>
                <w:sz w:val="18"/>
                <w:szCs w:val="18"/>
                <w:u w:val="none"/>
                <w:lang w:val="en-US" w:eastAsia="zh-CN" w:bidi="ar"/>
              </w:rPr>
              <w:t>90</w:t>
            </w:r>
          </w:p>
        </w:tc>
        <w:tc>
          <w:tcPr>
            <w:tcW w:w="4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0C5B28">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方正仿宋_GBK" w:cs="Times New Roman"/>
                <w:i w:val="0"/>
                <w:iCs w:val="0"/>
                <w:color w:val="000000"/>
                <w:sz w:val="18"/>
                <w:szCs w:val="18"/>
                <w:u w:val="none"/>
              </w:rPr>
            </w:pPr>
            <w:r>
              <w:rPr>
                <w:rFonts w:hint="default" w:ascii="Times New Roman" w:hAnsi="Times New Roman" w:eastAsia="方正仿宋_GBK" w:cs="Times New Roman"/>
                <w:i w:val="0"/>
                <w:iCs w:val="0"/>
                <w:snapToGrid w:val="0"/>
                <w:color w:val="000000"/>
                <w:kern w:val="0"/>
                <w:sz w:val="18"/>
                <w:szCs w:val="18"/>
                <w:u w:val="none"/>
                <w:lang w:val="en-US" w:eastAsia="zh-CN" w:bidi="ar"/>
              </w:rPr>
              <w:t>台</w:t>
            </w:r>
          </w:p>
        </w:tc>
      </w:tr>
      <w:tr w14:paraId="5FD5C59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38" w:hRule="atLeast"/>
        </w:trPr>
        <w:tc>
          <w:tcPr>
            <w:tcW w:w="4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563691">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方正仿宋_GBK" w:cs="Times New Roman"/>
                <w:i w:val="0"/>
                <w:iCs w:val="0"/>
                <w:color w:val="000000"/>
                <w:sz w:val="18"/>
                <w:szCs w:val="18"/>
                <w:u w:val="none"/>
              </w:rPr>
            </w:pPr>
            <w:r>
              <w:rPr>
                <w:rFonts w:hint="default" w:ascii="Times New Roman" w:hAnsi="Times New Roman" w:eastAsia="方正仿宋_GBK" w:cs="Times New Roman"/>
                <w:i w:val="0"/>
                <w:iCs w:val="0"/>
                <w:snapToGrid w:val="0"/>
                <w:color w:val="000000"/>
                <w:kern w:val="0"/>
                <w:sz w:val="18"/>
                <w:szCs w:val="18"/>
                <w:u w:val="none"/>
                <w:lang w:val="en-US" w:eastAsia="zh-CN" w:bidi="ar"/>
              </w:rPr>
              <w:t>7</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A02481">
            <w:pPr>
              <w:keepNext w:val="0"/>
              <w:keepLines w:val="0"/>
              <w:widowControl/>
              <w:suppressLineNumbers w:val="0"/>
              <w:spacing w:before="0" w:beforeAutospacing="0" w:after="0" w:afterAutospacing="0"/>
              <w:ind w:left="0" w:right="0"/>
              <w:jc w:val="left"/>
              <w:textAlignment w:val="center"/>
              <w:rPr>
                <w:rFonts w:hint="default" w:ascii="Times New Roman" w:hAnsi="Times New Roman" w:eastAsia="方正仿宋_GBK" w:cs="Times New Roman"/>
                <w:i w:val="0"/>
                <w:iCs w:val="0"/>
                <w:color w:val="000000"/>
                <w:sz w:val="18"/>
                <w:szCs w:val="18"/>
                <w:u w:val="none"/>
              </w:rPr>
            </w:pPr>
            <w:r>
              <w:rPr>
                <w:rFonts w:hint="default" w:ascii="Times New Roman" w:hAnsi="Times New Roman" w:eastAsia="方正仿宋_GBK" w:cs="Times New Roman"/>
                <w:i w:val="0"/>
                <w:iCs w:val="0"/>
                <w:snapToGrid w:val="0"/>
                <w:color w:val="000000"/>
                <w:kern w:val="0"/>
                <w:sz w:val="18"/>
                <w:szCs w:val="18"/>
                <w:u w:val="none"/>
                <w:lang w:val="en-US" w:eastAsia="zh-CN" w:bidi="ar"/>
              </w:rPr>
              <w:t>前置摄像机图像处理系统</w:t>
            </w:r>
          </w:p>
        </w:tc>
        <w:tc>
          <w:tcPr>
            <w:tcW w:w="72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F13D18">
            <w:pPr>
              <w:keepNext w:val="0"/>
              <w:keepLines w:val="0"/>
              <w:widowControl/>
              <w:suppressLineNumbers w:val="0"/>
              <w:spacing w:before="0" w:beforeAutospacing="0" w:after="0" w:afterAutospacing="0"/>
              <w:ind w:left="0" w:right="0"/>
              <w:jc w:val="left"/>
              <w:textAlignment w:val="center"/>
              <w:rPr>
                <w:rFonts w:hint="default" w:ascii="Times New Roman" w:hAnsi="Times New Roman" w:eastAsia="方正仿宋_GBK" w:cs="Times New Roman"/>
                <w:i w:val="0"/>
                <w:iCs w:val="0"/>
                <w:color w:val="000000"/>
                <w:sz w:val="18"/>
                <w:szCs w:val="18"/>
                <w:u w:val="none"/>
              </w:rPr>
            </w:pPr>
            <w:r>
              <w:rPr>
                <w:rFonts w:hint="default" w:ascii="Times New Roman" w:hAnsi="Times New Roman" w:eastAsia="方正仿宋_GBK" w:cs="Times New Roman"/>
                <w:i w:val="0"/>
                <w:iCs w:val="0"/>
                <w:snapToGrid w:val="0"/>
                <w:color w:val="000000"/>
                <w:kern w:val="0"/>
                <w:sz w:val="18"/>
                <w:szCs w:val="18"/>
                <w:u w:val="none"/>
                <w:lang w:val="en-US" w:eastAsia="zh-CN" w:bidi="ar"/>
              </w:rPr>
              <w:t>1.摄像机内嵌智能跟踪算法，无需单独安装定位跟踪主机及其他任何辅助拍摄设备，即可实现跟踪定位控制功能。</w:t>
            </w:r>
            <w:r>
              <w:rPr>
                <w:rFonts w:hint="default" w:ascii="Times New Roman" w:hAnsi="Times New Roman" w:eastAsia="方正仿宋_GBK" w:cs="Times New Roman"/>
                <w:i w:val="0"/>
                <w:iCs w:val="0"/>
                <w:snapToGrid w:val="0"/>
                <w:color w:val="000000"/>
                <w:kern w:val="0"/>
                <w:sz w:val="18"/>
                <w:szCs w:val="18"/>
                <w:u w:val="none"/>
                <w:lang w:val="en-US" w:eastAsia="zh-CN" w:bidi="ar"/>
              </w:rPr>
              <w:br w:type="textWrapping"/>
            </w:r>
            <w:r>
              <w:rPr>
                <w:rFonts w:hint="default" w:ascii="Times New Roman" w:hAnsi="Times New Roman" w:eastAsia="方正仿宋_GBK" w:cs="Times New Roman"/>
                <w:i w:val="0"/>
                <w:iCs w:val="0"/>
                <w:snapToGrid w:val="0"/>
                <w:color w:val="000000"/>
                <w:kern w:val="0"/>
                <w:sz w:val="18"/>
                <w:szCs w:val="18"/>
                <w:u w:val="none"/>
                <w:lang w:val="en-US" w:eastAsia="zh-CN" w:bidi="ar"/>
              </w:rPr>
              <w:t>2.系统应采用智能图像识别算法，高清摄像机同时输出2路场景画面并分析计算，实现1台摄像机的2景位拍摄，通过导播跟踪系统，实现所有画面的自动导播切换：当主持人在讲台区域站立授课时，自动切换为特写，当在讲台区域进行走动时，自动切换到全景；当切换多媒体授课时，自动切换为多媒体特写画面。</w:t>
            </w:r>
            <w:r>
              <w:rPr>
                <w:rFonts w:hint="default" w:ascii="Times New Roman" w:hAnsi="Times New Roman" w:eastAsia="方正仿宋_GBK" w:cs="Times New Roman"/>
                <w:i w:val="0"/>
                <w:iCs w:val="0"/>
                <w:snapToGrid w:val="0"/>
                <w:color w:val="000000"/>
                <w:kern w:val="0"/>
                <w:sz w:val="18"/>
                <w:szCs w:val="18"/>
                <w:u w:val="none"/>
                <w:lang w:val="en-US" w:eastAsia="zh-CN" w:bidi="ar"/>
              </w:rPr>
              <w:br w:type="textWrapping"/>
            </w:r>
            <w:r>
              <w:rPr>
                <w:rFonts w:hint="default" w:ascii="Times New Roman" w:hAnsi="Times New Roman" w:eastAsia="方正仿宋_GBK" w:cs="Times New Roman"/>
                <w:i w:val="0"/>
                <w:iCs w:val="0"/>
                <w:snapToGrid w:val="0"/>
                <w:color w:val="000000"/>
                <w:kern w:val="0"/>
                <w:sz w:val="18"/>
                <w:szCs w:val="18"/>
                <w:u w:val="none"/>
                <w:lang w:val="en-US" w:eastAsia="zh-CN" w:bidi="ar"/>
              </w:rPr>
              <w:t>3.支持设置摄像机分辨率、帧率、码率。</w:t>
            </w:r>
            <w:r>
              <w:rPr>
                <w:rFonts w:hint="default" w:ascii="Times New Roman" w:hAnsi="Times New Roman" w:eastAsia="方正仿宋_GBK" w:cs="Times New Roman"/>
                <w:i w:val="0"/>
                <w:iCs w:val="0"/>
                <w:snapToGrid w:val="0"/>
                <w:color w:val="000000"/>
                <w:kern w:val="0"/>
                <w:sz w:val="18"/>
                <w:szCs w:val="18"/>
                <w:u w:val="none"/>
                <w:lang w:val="en-US" w:eastAsia="zh-CN" w:bidi="ar"/>
              </w:rPr>
              <w:br w:type="textWrapping"/>
            </w:r>
            <w:r>
              <w:rPr>
                <w:rFonts w:hint="default" w:ascii="Times New Roman" w:hAnsi="Times New Roman" w:eastAsia="方正仿宋_GBK" w:cs="Times New Roman"/>
                <w:i w:val="0"/>
                <w:iCs w:val="0"/>
                <w:snapToGrid w:val="0"/>
                <w:color w:val="000000"/>
                <w:kern w:val="0"/>
                <w:sz w:val="18"/>
                <w:szCs w:val="18"/>
                <w:u w:val="none"/>
                <w:lang w:val="en-US" w:eastAsia="zh-CN" w:bidi="ar"/>
              </w:rPr>
              <w:t>4.支持设置摄像机亮度、饱和度、对比度、锐度、色度、快门速度。</w:t>
            </w:r>
          </w:p>
        </w:tc>
        <w:tc>
          <w:tcPr>
            <w:tcW w:w="4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82CCC1">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方正仿宋_GBK" w:cs="Times New Roman"/>
                <w:i w:val="0"/>
                <w:iCs w:val="0"/>
                <w:color w:val="000000"/>
                <w:sz w:val="18"/>
                <w:szCs w:val="18"/>
                <w:u w:val="none"/>
              </w:rPr>
            </w:pPr>
            <w:r>
              <w:rPr>
                <w:rFonts w:hint="default" w:ascii="Times New Roman" w:hAnsi="Times New Roman" w:eastAsia="方正仿宋_GBK" w:cs="Times New Roman"/>
                <w:i w:val="0"/>
                <w:iCs w:val="0"/>
                <w:snapToGrid w:val="0"/>
                <w:color w:val="000000"/>
                <w:kern w:val="0"/>
                <w:sz w:val="18"/>
                <w:szCs w:val="18"/>
                <w:u w:val="none"/>
                <w:lang w:val="en-US" w:eastAsia="zh-CN" w:bidi="ar"/>
              </w:rPr>
              <w:t>90</w:t>
            </w:r>
          </w:p>
        </w:tc>
        <w:tc>
          <w:tcPr>
            <w:tcW w:w="4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736A0F">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方正仿宋_GBK" w:cs="Times New Roman"/>
                <w:i w:val="0"/>
                <w:iCs w:val="0"/>
                <w:color w:val="000000"/>
                <w:sz w:val="18"/>
                <w:szCs w:val="18"/>
                <w:u w:val="none"/>
              </w:rPr>
            </w:pPr>
            <w:r>
              <w:rPr>
                <w:rFonts w:hint="default" w:ascii="Times New Roman" w:hAnsi="Times New Roman" w:eastAsia="方正仿宋_GBK" w:cs="Times New Roman"/>
                <w:i w:val="0"/>
                <w:iCs w:val="0"/>
                <w:snapToGrid w:val="0"/>
                <w:color w:val="000000"/>
                <w:kern w:val="0"/>
                <w:sz w:val="18"/>
                <w:szCs w:val="18"/>
                <w:u w:val="none"/>
                <w:lang w:val="en-US" w:eastAsia="zh-CN" w:bidi="ar"/>
              </w:rPr>
              <w:t>套</w:t>
            </w:r>
          </w:p>
        </w:tc>
      </w:tr>
      <w:tr w14:paraId="267D70C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71" w:hRule="atLeast"/>
        </w:trPr>
        <w:tc>
          <w:tcPr>
            <w:tcW w:w="4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B5029E">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方正仿宋_GBK" w:cs="Times New Roman"/>
                <w:i w:val="0"/>
                <w:iCs w:val="0"/>
                <w:color w:val="000000"/>
                <w:sz w:val="18"/>
                <w:szCs w:val="18"/>
                <w:u w:val="none"/>
              </w:rPr>
            </w:pPr>
            <w:r>
              <w:rPr>
                <w:rFonts w:hint="default" w:ascii="Times New Roman" w:hAnsi="Times New Roman" w:eastAsia="方正仿宋_GBK" w:cs="Times New Roman"/>
                <w:i w:val="0"/>
                <w:iCs w:val="0"/>
                <w:snapToGrid w:val="0"/>
                <w:color w:val="000000"/>
                <w:kern w:val="0"/>
                <w:sz w:val="18"/>
                <w:szCs w:val="18"/>
                <w:u w:val="none"/>
                <w:lang w:val="en-US" w:eastAsia="zh-CN" w:bidi="ar"/>
              </w:rPr>
              <w:t>8</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65877A">
            <w:pPr>
              <w:keepNext w:val="0"/>
              <w:keepLines w:val="0"/>
              <w:widowControl/>
              <w:suppressLineNumbers w:val="0"/>
              <w:spacing w:before="0" w:beforeAutospacing="0" w:after="0" w:afterAutospacing="0"/>
              <w:ind w:left="0" w:right="0"/>
              <w:jc w:val="left"/>
              <w:textAlignment w:val="center"/>
              <w:rPr>
                <w:rFonts w:hint="default" w:ascii="Times New Roman" w:hAnsi="Times New Roman" w:eastAsia="方正仿宋_GBK" w:cs="Times New Roman"/>
                <w:i w:val="0"/>
                <w:iCs w:val="0"/>
                <w:color w:val="000000"/>
                <w:sz w:val="18"/>
                <w:szCs w:val="18"/>
                <w:u w:val="none"/>
              </w:rPr>
            </w:pPr>
            <w:r>
              <w:rPr>
                <w:rFonts w:hint="default" w:ascii="Times New Roman" w:hAnsi="Times New Roman" w:eastAsia="方正仿宋_GBK" w:cs="Times New Roman"/>
                <w:i w:val="0"/>
                <w:iCs w:val="0"/>
                <w:snapToGrid w:val="0"/>
                <w:color w:val="000000"/>
                <w:kern w:val="0"/>
                <w:sz w:val="18"/>
                <w:szCs w:val="18"/>
                <w:u w:val="none"/>
                <w:lang w:val="en-US" w:eastAsia="zh-CN" w:bidi="ar"/>
              </w:rPr>
              <w:t>双目4K后置摄像机</w:t>
            </w:r>
          </w:p>
        </w:tc>
        <w:tc>
          <w:tcPr>
            <w:tcW w:w="72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D24AF3">
            <w:pPr>
              <w:keepNext w:val="0"/>
              <w:keepLines w:val="0"/>
              <w:widowControl/>
              <w:suppressLineNumbers w:val="0"/>
              <w:spacing w:before="0" w:beforeAutospacing="0" w:after="0" w:afterAutospacing="0"/>
              <w:ind w:left="0" w:right="0"/>
              <w:jc w:val="left"/>
              <w:textAlignment w:val="center"/>
              <w:rPr>
                <w:rFonts w:hint="default" w:ascii="Times New Roman" w:hAnsi="Times New Roman" w:eastAsia="方正仿宋_GBK" w:cs="Times New Roman"/>
                <w:i w:val="0"/>
                <w:iCs w:val="0"/>
                <w:color w:val="000000"/>
                <w:sz w:val="18"/>
                <w:szCs w:val="18"/>
                <w:u w:val="none"/>
              </w:rPr>
            </w:pPr>
            <w:r>
              <w:rPr>
                <w:rFonts w:hint="default" w:ascii="Times New Roman" w:hAnsi="Times New Roman" w:eastAsia="方正仿宋_GBK" w:cs="Times New Roman"/>
                <w:i w:val="0"/>
                <w:iCs w:val="0"/>
                <w:snapToGrid w:val="0"/>
                <w:color w:val="000000"/>
                <w:kern w:val="0"/>
                <w:sz w:val="18"/>
                <w:szCs w:val="18"/>
                <w:u w:val="none"/>
                <w:lang w:val="en-US" w:eastAsia="zh-CN" w:bidi="ar"/>
              </w:rPr>
              <w:t>1.★采用全景特写双镜头，全景镜头水平视场角≥110°，特写镜头水平视场角≥40°。（须提供国家认可的第三方检测机构出具的CNAS和CMA标识的检测报告）</w:t>
            </w:r>
            <w:r>
              <w:rPr>
                <w:rFonts w:hint="default" w:ascii="Times New Roman" w:hAnsi="Times New Roman" w:eastAsia="方正仿宋_GBK" w:cs="Times New Roman"/>
                <w:i w:val="0"/>
                <w:iCs w:val="0"/>
                <w:snapToGrid w:val="0"/>
                <w:color w:val="000000"/>
                <w:kern w:val="0"/>
                <w:sz w:val="18"/>
                <w:szCs w:val="18"/>
                <w:u w:val="none"/>
                <w:lang w:val="en-US" w:eastAsia="zh-CN" w:bidi="ar"/>
              </w:rPr>
              <w:br w:type="textWrapping"/>
            </w:r>
            <w:r>
              <w:rPr>
                <w:rFonts w:hint="default" w:ascii="Times New Roman" w:hAnsi="Times New Roman" w:eastAsia="方正仿宋_GBK" w:cs="Times New Roman"/>
                <w:i w:val="0"/>
                <w:iCs w:val="0"/>
                <w:snapToGrid w:val="0"/>
                <w:color w:val="000000"/>
                <w:kern w:val="0"/>
                <w:sz w:val="18"/>
                <w:szCs w:val="18"/>
                <w:u w:val="none"/>
                <w:lang w:val="en-US" w:eastAsia="zh-CN" w:bidi="ar"/>
              </w:rPr>
              <w:t>2.摄像机采用一体化集成设计，支持4K超高清，最大可提供4K图像编码输出，同时向下兼容1080p，720p分辨率。</w:t>
            </w:r>
            <w:r>
              <w:rPr>
                <w:rFonts w:hint="default" w:ascii="Times New Roman" w:hAnsi="Times New Roman" w:eastAsia="方正仿宋_GBK" w:cs="Times New Roman"/>
                <w:i w:val="0"/>
                <w:iCs w:val="0"/>
                <w:snapToGrid w:val="0"/>
                <w:color w:val="000000"/>
                <w:kern w:val="0"/>
                <w:sz w:val="18"/>
                <w:szCs w:val="18"/>
                <w:u w:val="none"/>
                <w:lang w:val="en-US" w:eastAsia="zh-CN" w:bidi="ar"/>
              </w:rPr>
              <w:br w:type="textWrapping"/>
            </w:r>
            <w:r>
              <w:rPr>
                <w:rFonts w:hint="default" w:ascii="Times New Roman" w:hAnsi="Times New Roman" w:eastAsia="方正仿宋_GBK" w:cs="Times New Roman"/>
                <w:i w:val="0"/>
                <w:iCs w:val="0"/>
                <w:snapToGrid w:val="0"/>
                <w:color w:val="000000"/>
                <w:kern w:val="0"/>
                <w:sz w:val="18"/>
                <w:szCs w:val="18"/>
                <w:u w:val="none"/>
                <w:lang w:val="en-US" w:eastAsia="zh-CN" w:bidi="ar"/>
              </w:rPr>
              <w:t>3.★内置图像识别跟踪算法，搭配隐藏式微型云台，保证清晰度的同时，也减小对课堂的干扰。（须提供国家认可的第三方检测机构出具的CNAS和CMA标识的检测报告）</w:t>
            </w:r>
            <w:r>
              <w:rPr>
                <w:rFonts w:hint="default" w:ascii="Times New Roman" w:hAnsi="Times New Roman" w:eastAsia="方正仿宋_GBK" w:cs="Times New Roman"/>
                <w:i w:val="0"/>
                <w:iCs w:val="0"/>
                <w:snapToGrid w:val="0"/>
                <w:color w:val="000000"/>
                <w:kern w:val="0"/>
                <w:sz w:val="18"/>
                <w:szCs w:val="18"/>
                <w:u w:val="none"/>
                <w:lang w:val="en-US" w:eastAsia="zh-CN" w:bidi="ar"/>
              </w:rPr>
              <w:br w:type="textWrapping"/>
            </w:r>
            <w:r>
              <w:rPr>
                <w:rFonts w:hint="default" w:ascii="Times New Roman" w:hAnsi="Times New Roman" w:eastAsia="方正仿宋_GBK" w:cs="Times New Roman"/>
                <w:i w:val="0"/>
                <w:iCs w:val="0"/>
                <w:snapToGrid w:val="0"/>
                <w:color w:val="000000"/>
                <w:kern w:val="0"/>
                <w:sz w:val="18"/>
                <w:szCs w:val="18"/>
                <w:u w:val="none"/>
                <w:lang w:val="en-US" w:eastAsia="zh-CN" w:bidi="ar"/>
              </w:rPr>
              <w:t>4.镜头采用无畸变设计，保证拍摄画面无畸变，减少畸变校正造成的图像质量损失。</w:t>
            </w:r>
            <w:r>
              <w:rPr>
                <w:rFonts w:hint="default" w:ascii="Times New Roman" w:hAnsi="Times New Roman" w:eastAsia="方正仿宋_GBK" w:cs="Times New Roman"/>
                <w:i w:val="0"/>
                <w:iCs w:val="0"/>
                <w:snapToGrid w:val="0"/>
                <w:color w:val="000000"/>
                <w:kern w:val="0"/>
                <w:sz w:val="18"/>
                <w:szCs w:val="18"/>
                <w:u w:val="none"/>
                <w:lang w:val="en-US" w:eastAsia="zh-CN" w:bidi="ar"/>
              </w:rPr>
              <w:br w:type="textWrapping"/>
            </w:r>
            <w:r>
              <w:rPr>
                <w:rFonts w:hint="default" w:ascii="Times New Roman" w:hAnsi="Times New Roman" w:eastAsia="方正仿宋_GBK" w:cs="Times New Roman"/>
                <w:i w:val="0"/>
                <w:iCs w:val="0"/>
                <w:snapToGrid w:val="0"/>
                <w:color w:val="000000"/>
                <w:kern w:val="0"/>
                <w:sz w:val="18"/>
                <w:szCs w:val="18"/>
                <w:u w:val="none"/>
                <w:lang w:val="en-US" w:eastAsia="zh-CN" w:bidi="ar"/>
              </w:rPr>
              <w:t>5.为保证画质，全景画面与特写画面采用同系列图像传感器和图像处理器，确保两者图像输出亮度、颜色、风格等保持一致。</w:t>
            </w:r>
            <w:r>
              <w:rPr>
                <w:rFonts w:hint="default" w:ascii="Times New Roman" w:hAnsi="Times New Roman" w:eastAsia="方正仿宋_GBK" w:cs="Times New Roman"/>
                <w:i w:val="0"/>
                <w:iCs w:val="0"/>
                <w:snapToGrid w:val="0"/>
                <w:color w:val="000000"/>
                <w:kern w:val="0"/>
                <w:sz w:val="18"/>
                <w:szCs w:val="18"/>
                <w:u w:val="none"/>
                <w:lang w:val="en-US" w:eastAsia="zh-CN" w:bidi="ar"/>
              </w:rPr>
              <w:br w:type="textWrapping"/>
            </w:r>
            <w:r>
              <w:rPr>
                <w:rFonts w:hint="default" w:ascii="Times New Roman" w:hAnsi="Times New Roman" w:eastAsia="方正仿宋_GBK" w:cs="Times New Roman"/>
                <w:i w:val="0"/>
                <w:iCs w:val="0"/>
                <w:snapToGrid w:val="0"/>
                <w:color w:val="000000"/>
                <w:kern w:val="0"/>
                <w:sz w:val="18"/>
                <w:szCs w:val="18"/>
                <w:u w:val="none"/>
                <w:lang w:val="en-US" w:eastAsia="zh-CN" w:bidi="ar"/>
              </w:rPr>
              <w:t>6.摄像机接口支持RJ45≥1路，Type-C≥1路，Line in接口≥1路。</w:t>
            </w:r>
            <w:r>
              <w:rPr>
                <w:rFonts w:hint="default" w:ascii="Times New Roman" w:hAnsi="Times New Roman" w:eastAsia="方正仿宋_GBK" w:cs="Times New Roman"/>
                <w:i w:val="0"/>
                <w:iCs w:val="0"/>
                <w:snapToGrid w:val="0"/>
                <w:color w:val="000000"/>
                <w:kern w:val="0"/>
                <w:sz w:val="18"/>
                <w:szCs w:val="18"/>
                <w:u w:val="none"/>
                <w:lang w:val="en-US" w:eastAsia="zh-CN" w:bidi="ar"/>
              </w:rPr>
              <w:br w:type="textWrapping"/>
            </w:r>
            <w:r>
              <w:rPr>
                <w:rFonts w:hint="default" w:ascii="Times New Roman" w:hAnsi="Times New Roman" w:eastAsia="方正仿宋_GBK" w:cs="Times New Roman"/>
                <w:i w:val="0"/>
                <w:iCs w:val="0"/>
                <w:snapToGrid w:val="0"/>
                <w:color w:val="000000"/>
                <w:kern w:val="0"/>
                <w:sz w:val="18"/>
                <w:szCs w:val="18"/>
                <w:u w:val="none"/>
                <w:lang w:val="en-US" w:eastAsia="zh-CN" w:bidi="ar"/>
              </w:rPr>
              <w:t>7.支持POE有线网络供电，只需要1路网线，即可实现供电及信号传输，支持同时输出特写和全景等多路画面。</w:t>
            </w:r>
            <w:r>
              <w:rPr>
                <w:rFonts w:hint="default" w:ascii="Times New Roman" w:hAnsi="Times New Roman" w:eastAsia="方正仿宋_GBK" w:cs="Times New Roman"/>
                <w:i w:val="0"/>
                <w:iCs w:val="0"/>
                <w:snapToGrid w:val="0"/>
                <w:color w:val="000000"/>
                <w:kern w:val="0"/>
                <w:sz w:val="18"/>
                <w:szCs w:val="18"/>
                <w:u w:val="none"/>
                <w:lang w:val="en-US" w:eastAsia="zh-CN" w:bidi="ar"/>
              </w:rPr>
              <w:br w:type="textWrapping"/>
            </w:r>
            <w:r>
              <w:rPr>
                <w:rFonts w:hint="default" w:ascii="Times New Roman" w:hAnsi="Times New Roman" w:eastAsia="方正仿宋_GBK" w:cs="Times New Roman"/>
                <w:i w:val="0"/>
                <w:iCs w:val="0"/>
                <w:snapToGrid w:val="0"/>
                <w:color w:val="000000"/>
                <w:kern w:val="0"/>
                <w:sz w:val="18"/>
                <w:szCs w:val="18"/>
                <w:u w:val="none"/>
                <w:lang w:val="en-US" w:eastAsia="zh-CN" w:bidi="ar"/>
              </w:rPr>
              <w:t>8.传感器尺寸 CMOS ≥ 1/2.8英寸。</w:t>
            </w:r>
            <w:r>
              <w:rPr>
                <w:rFonts w:hint="default" w:ascii="Times New Roman" w:hAnsi="Times New Roman" w:eastAsia="方正仿宋_GBK" w:cs="Times New Roman"/>
                <w:i w:val="0"/>
                <w:iCs w:val="0"/>
                <w:snapToGrid w:val="0"/>
                <w:color w:val="000000"/>
                <w:kern w:val="0"/>
                <w:sz w:val="18"/>
                <w:szCs w:val="18"/>
                <w:u w:val="none"/>
                <w:lang w:val="en-US" w:eastAsia="zh-CN" w:bidi="ar"/>
              </w:rPr>
              <w:br w:type="textWrapping"/>
            </w:r>
            <w:r>
              <w:rPr>
                <w:rFonts w:hint="default" w:ascii="Times New Roman" w:hAnsi="Times New Roman" w:eastAsia="方正仿宋_GBK" w:cs="Times New Roman"/>
                <w:i w:val="0"/>
                <w:iCs w:val="0"/>
                <w:snapToGrid w:val="0"/>
                <w:color w:val="000000"/>
                <w:kern w:val="0"/>
                <w:sz w:val="18"/>
                <w:szCs w:val="18"/>
                <w:u w:val="none"/>
                <w:lang w:val="en-US" w:eastAsia="zh-CN" w:bidi="ar"/>
              </w:rPr>
              <w:t>9.★全景图像传感器有效像素≥400万，特写图像传感器有效像素≥800万。（须提供国家认可的第三方检测机构出具的CNAS和CMA标识的检测报告）</w:t>
            </w:r>
          </w:p>
        </w:tc>
        <w:tc>
          <w:tcPr>
            <w:tcW w:w="4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766268">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方正仿宋_GBK" w:cs="Times New Roman"/>
                <w:i w:val="0"/>
                <w:iCs w:val="0"/>
                <w:color w:val="000000"/>
                <w:sz w:val="18"/>
                <w:szCs w:val="18"/>
                <w:u w:val="none"/>
              </w:rPr>
            </w:pPr>
            <w:r>
              <w:rPr>
                <w:rFonts w:hint="default" w:ascii="Times New Roman" w:hAnsi="Times New Roman" w:eastAsia="方正仿宋_GBK" w:cs="Times New Roman"/>
                <w:i w:val="0"/>
                <w:iCs w:val="0"/>
                <w:snapToGrid w:val="0"/>
                <w:color w:val="000000"/>
                <w:kern w:val="0"/>
                <w:sz w:val="18"/>
                <w:szCs w:val="18"/>
                <w:u w:val="none"/>
                <w:lang w:val="en-US" w:eastAsia="zh-CN" w:bidi="ar"/>
              </w:rPr>
              <w:t>90</w:t>
            </w:r>
          </w:p>
        </w:tc>
        <w:tc>
          <w:tcPr>
            <w:tcW w:w="4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BA9D80">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方正仿宋_GBK" w:cs="Times New Roman"/>
                <w:i w:val="0"/>
                <w:iCs w:val="0"/>
                <w:color w:val="000000"/>
                <w:sz w:val="18"/>
                <w:szCs w:val="18"/>
                <w:u w:val="none"/>
              </w:rPr>
            </w:pPr>
            <w:r>
              <w:rPr>
                <w:rFonts w:hint="default" w:ascii="Times New Roman" w:hAnsi="Times New Roman" w:eastAsia="方正仿宋_GBK" w:cs="Times New Roman"/>
                <w:i w:val="0"/>
                <w:iCs w:val="0"/>
                <w:snapToGrid w:val="0"/>
                <w:color w:val="000000"/>
                <w:kern w:val="0"/>
                <w:sz w:val="18"/>
                <w:szCs w:val="18"/>
                <w:u w:val="none"/>
                <w:lang w:val="en-US" w:eastAsia="zh-CN" w:bidi="ar"/>
              </w:rPr>
              <w:t>台</w:t>
            </w:r>
          </w:p>
        </w:tc>
      </w:tr>
      <w:tr w14:paraId="06ECC3A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 w:hRule="atLeast"/>
        </w:trPr>
        <w:tc>
          <w:tcPr>
            <w:tcW w:w="4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C20FEF">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方正仿宋_GBK" w:cs="Times New Roman"/>
                <w:i w:val="0"/>
                <w:iCs w:val="0"/>
                <w:color w:val="000000"/>
                <w:sz w:val="18"/>
                <w:szCs w:val="18"/>
                <w:u w:val="none"/>
              </w:rPr>
            </w:pPr>
            <w:r>
              <w:rPr>
                <w:rFonts w:hint="default" w:ascii="Times New Roman" w:hAnsi="Times New Roman" w:eastAsia="方正仿宋_GBK" w:cs="Times New Roman"/>
                <w:i w:val="0"/>
                <w:iCs w:val="0"/>
                <w:snapToGrid w:val="0"/>
                <w:color w:val="000000"/>
                <w:kern w:val="0"/>
                <w:sz w:val="18"/>
                <w:szCs w:val="18"/>
                <w:u w:val="none"/>
                <w:lang w:val="en-US" w:eastAsia="zh-CN" w:bidi="ar"/>
              </w:rPr>
              <w:t>9</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BB3DB2">
            <w:pPr>
              <w:keepNext w:val="0"/>
              <w:keepLines w:val="0"/>
              <w:widowControl/>
              <w:suppressLineNumbers w:val="0"/>
              <w:spacing w:before="0" w:beforeAutospacing="0" w:after="0" w:afterAutospacing="0"/>
              <w:ind w:left="0" w:right="0"/>
              <w:jc w:val="left"/>
              <w:textAlignment w:val="center"/>
              <w:rPr>
                <w:rFonts w:hint="default" w:ascii="Times New Roman" w:hAnsi="Times New Roman" w:eastAsia="方正仿宋_GBK" w:cs="Times New Roman"/>
                <w:i w:val="0"/>
                <w:iCs w:val="0"/>
                <w:color w:val="000000"/>
                <w:sz w:val="18"/>
                <w:szCs w:val="18"/>
                <w:u w:val="none"/>
              </w:rPr>
            </w:pPr>
            <w:r>
              <w:rPr>
                <w:rFonts w:hint="default" w:ascii="Times New Roman" w:hAnsi="Times New Roman" w:eastAsia="方正仿宋_GBK" w:cs="Times New Roman"/>
                <w:i w:val="0"/>
                <w:iCs w:val="0"/>
                <w:snapToGrid w:val="0"/>
                <w:color w:val="000000"/>
                <w:kern w:val="0"/>
                <w:sz w:val="18"/>
                <w:szCs w:val="18"/>
                <w:u w:val="none"/>
                <w:lang w:val="en-US" w:eastAsia="zh-CN" w:bidi="ar"/>
              </w:rPr>
              <w:t>后置摄像机图像处理系统</w:t>
            </w:r>
          </w:p>
        </w:tc>
        <w:tc>
          <w:tcPr>
            <w:tcW w:w="72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4C7D1C">
            <w:pPr>
              <w:keepNext w:val="0"/>
              <w:keepLines w:val="0"/>
              <w:widowControl/>
              <w:suppressLineNumbers w:val="0"/>
              <w:spacing w:before="0" w:beforeAutospacing="0" w:after="0" w:afterAutospacing="0"/>
              <w:ind w:left="0" w:right="0"/>
              <w:jc w:val="left"/>
              <w:textAlignment w:val="center"/>
              <w:rPr>
                <w:rFonts w:hint="default" w:ascii="Times New Roman" w:hAnsi="Times New Roman" w:eastAsia="方正仿宋_GBK" w:cs="Times New Roman"/>
                <w:i w:val="0"/>
                <w:iCs w:val="0"/>
                <w:color w:val="000000"/>
                <w:sz w:val="18"/>
                <w:szCs w:val="18"/>
                <w:u w:val="none"/>
              </w:rPr>
            </w:pPr>
            <w:r>
              <w:rPr>
                <w:rFonts w:hint="default" w:ascii="Times New Roman" w:hAnsi="Times New Roman" w:eastAsia="方正仿宋_GBK" w:cs="Times New Roman"/>
                <w:i w:val="0"/>
                <w:iCs w:val="0"/>
                <w:snapToGrid w:val="0"/>
                <w:color w:val="000000"/>
                <w:kern w:val="0"/>
                <w:sz w:val="18"/>
                <w:szCs w:val="18"/>
                <w:u w:val="none"/>
                <w:lang w:val="en-US" w:eastAsia="zh-CN" w:bidi="ar"/>
              </w:rPr>
              <w:t>1.摄像机内嵌智能跟踪算法，无需单独安装定位跟踪主机及其他任何辅助拍摄设备，即可实现跟踪定位控制功能。</w:t>
            </w:r>
            <w:r>
              <w:rPr>
                <w:rFonts w:hint="default" w:ascii="Times New Roman" w:hAnsi="Times New Roman" w:eastAsia="方正仿宋_GBK" w:cs="Times New Roman"/>
                <w:i w:val="0"/>
                <w:iCs w:val="0"/>
                <w:snapToGrid w:val="0"/>
                <w:color w:val="000000"/>
                <w:kern w:val="0"/>
                <w:sz w:val="18"/>
                <w:szCs w:val="18"/>
                <w:u w:val="none"/>
                <w:lang w:val="en-US" w:eastAsia="zh-CN" w:bidi="ar"/>
              </w:rPr>
              <w:br w:type="textWrapping"/>
            </w:r>
            <w:r>
              <w:rPr>
                <w:rFonts w:hint="default" w:ascii="Times New Roman" w:hAnsi="Times New Roman" w:eastAsia="方正仿宋_GBK" w:cs="Times New Roman"/>
                <w:i w:val="0"/>
                <w:iCs w:val="0"/>
                <w:snapToGrid w:val="0"/>
                <w:color w:val="000000"/>
                <w:kern w:val="0"/>
                <w:sz w:val="18"/>
                <w:szCs w:val="18"/>
                <w:u w:val="none"/>
                <w:lang w:val="en-US" w:eastAsia="zh-CN" w:bidi="ar"/>
              </w:rPr>
              <w:t>2.系统应采用智能图像识别算法，高清摄像机同时输出2路场景画面并分析计算，实现1台摄像机的2景位拍摄，通过导播跟踪系统，实现所有画面的自动导播切换：起立发言时，首先切换为人物全景，再过渡为发言人员的特写画面，当多名发言人站立时，自动切换到全景；跟踪具备人脸检测辅助识别功能。</w:t>
            </w:r>
            <w:r>
              <w:rPr>
                <w:rFonts w:hint="default" w:ascii="Times New Roman" w:hAnsi="Times New Roman" w:eastAsia="方正仿宋_GBK" w:cs="Times New Roman"/>
                <w:i w:val="0"/>
                <w:iCs w:val="0"/>
                <w:snapToGrid w:val="0"/>
                <w:color w:val="000000"/>
                <w:kern w:val="0"/>
                <w:sz w:val="18"/>
                <w:szCs w:val="18"/>
                <w:u w:val="none"/>
                <w:lang w:val="en-US" w:eastAsia="zh-CN" w:bidi="ar"/>
              </w:rPr>
              <w:br w:type="textWrapping"/>
            </w:r>
            <w:r>
              <w:rPr>
                <w:rFonts w:hint="default" w:ascii="Times New Roman" w:hAnsi="Times New Roman" w:eastAsia="方正仿宋_GBK" w:cs="Times New Roman"/>
                <w:i w:val="0"/>
                <w:iCs w:val="0"/>
                <w:snapToGrid w:val="0"/>
                <w:color w:val="000000"/>
                <w:kern w:val="0"/>
                <w:sz w:val="18"/>
                <w:szCs w:val="18"/>
                <w:u w:val="none"/>
                <w:lang w:val="en-US" w:eastAsia="zh-CN" w:bidi="ar"/>
              </w:rPr>
              <w:t>3.支持设置摄像机分辨率、帧率、码率。</w:t>
            </w:r>
            <w:r>
              <w:rPr>
                <w:rFonts w:hint="default" w:ascii="Times New Roman" w:hAnsi="Times New Roman" w:eastAsia="方正仿宋_GBK" w:cs="Times New Roman"/>
                <w:i w:val="0"/>
                <w:iCs w:val="0"/>
                <w:snapToGrid w:val="0"/>
                <w:color w:val="000000"/>
                <w:kern w:val="0"/>
                <w:sz w:val="18"/>
                <w:szCs w:val="18"/>
                <w:u w:val="none"/>
                <w:lang w:val="en-US" w:eastAsia="zh-CN" w:bidi="ar"/>
              </w:rPr>
              <w:br w:type="textWrapping"/>
            </w:r>
            <w:r>
              <w:rPr>
                <w:rFonts w:hint="default" w:ascii="Times New Roman" w:hAnsi="Times New Roman" w:eastAsia="方正仿宋_GBK" w:cs="Times New Roman"/>
                <w:i w:val="0"/>
                <w:iCs w:val="0"/>
                <w:snapToGrid w:val="0"/>
                <w:color w:val="000000"/>
                <w:kern w:val="0"/>
                <w:sz w:val="18"/>
                <w:szCs w:val="18"/>
                <w:u w:val="none"/>
                <w:lang w:val="en-US" w:eastAsia="zh-CN" w:bidi="ar"/>
              </w:rPr>
              <w:t>4.支持设置摄像机亮度、饱和度、对比度、锐度、色度、快门速度。</w:t>
            </w:r>
          </w:p>
        </w:tc>
        <w:tc>
          <w:tcPr>
            <w:tcW w:w="4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25C27A">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方正仿宋_GBK" w:cs="Times New Roman"/>
                <w:i w:val="0"/>
                <w:iCs w:val="0"/>
                <w:color w:val="000000"/>
                <w:sz w:val="18"/>
                <w:szCs w:val="18"/>
                <w:u w:val="none"/>
              </w:rPr>
            </w:pPr>
            <w:r>
              <w:rPr>
                <w:rFonts w:hint="default" w:ascii="Times New Roman" w:hAnsi="Times New Roman" w:eastAsia="方正仿宋_GBK" w:cs="Times New Roman"/>
                <w:i w:val="0"/>
                <w:iCs w:val="0"/>
                <w:snapToGrid w:val="0"/>
                <w:color w:val="000000"/>
                <w:kern w:val="0"/>
                <w:sz w:val="18"/>
                <w:szCs w:val="18"/>
                <w:u w:val="none"/>
                <w:lang w:val="en-US" w:eastAsia="zh-CN" w:bidi="ar"/>
              </w:rPr>
              <w:t>90</w:t>
            </w:r>
          </w:p>
        </w:tc>
        <w:tc>
          <w:tcPr>
            <w:tcW w:w="4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E1F0CA">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方正仿宋_GBK" w:cs="Times New Roman"/>
                <w:i w:val="0"/>
                <w:iCs w:val="0"/>
                <w:color w:val="000000"/>
                <w:sz w:val="18"/>
                <w:szCs w:val="18"/>
                <w:u w:val="none"/>
              </w:rPr>
            </w:pPr>
            <w:r>
              <w:rPr>
                <w:rFonts w:hint="default" w:ascii="Times New Roman" w:hAnsi="Times New Roman" w:eastAsia="方正仿宋_GBK" w:cs="Times New Roman"/>
                <w:i w:val="0"/>
                <w:iCs w:val="0"/>
                <w:snapToGrid w:val="0"/>
                <w:color w:val="000000"/>
                <w:kern w:val="0"/>
                <w:sz w:val="18"/>
                <w:szCs w:val="18"/>
                <w:u w:val="none"/>
                <w:lang w:val="en-US" w:eastAsia="zh-CN" w:bidi="ar"/>
              </w:rPr>
              <w:t>套</w:t>
            </w:r>
          </w:p>
        </w:tc>
      </w:tr>
      <w:tr w14:paraId="28B6CA2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549" w:hRule="atLeast"/>
        </w:trPr>
        <w:tc>
          <w:tcPr>
            <w:tcW w:w="4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6EDA04">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方正仿宋_GBK" w:cs="Times New Roman"/>
                <w:i w:val="0"/>
                <w:iCs w:val="0"/>
                <w:color w:val="000000"/>
                <w:sz w:val="18"/>
                <w:szCs w:val="18"/>
                <w:u w:val="none"/>
              </w:rPr>
            </w:pPr>
            <w:r>
              <w:rPr>
                <w:rFonts w:hint="default" w:ascii="Times New Roman" w:hAnsi="Times New Roman" w:eastAsia="方正仿宋_GBK" w:cs="Times New Roman"/>
                <w:i w:val="0"/>
                <w:iCs w:val="0"/>
                <w:snapToGrid w:val="0"/>
                <w:color w:val="000000"/>
                <w:kern w:val="0"/>
                <w:sz w:val="18"/>
                <w:szCs w:val="18"/>
                <w:u w:val="none"/>
                <w:lang w:val="en-US" w:eastAsia="zh-CN" w:bidi="ar"/>
              </w:rPr>
              <w:t>10</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928055">
            <w:pPr>
              <w:keepNext w:val="0"/>
              <w:keepLines w:val="0"/>
              <w:widowControl/>
              <w:suppressLineNumbers w:val="0"/>
              <w:spacing w:before="0" w:beforeAutospacing="0" w:after="0" w:afterAutospacing="0"/>
              <w:ind w:left="0" w:right="0"/>
              <w:jc w:val="left"/>
              <w:textAlignment w:val="center"/>
              <w:rPr>
                <w:rFonts w:hint="default" w:ascii="Times New Roman" w:hAnsi="Times New Roman" w:eastAsia="方正仿宋_GBK" w:cs="Times New Roman"/>
                <w:i w:val="0"/>
                <w:iCs w:val="0"/>
                <w:color w:val="000000"/>
                <w:sz w:val="18"/>
                <w:szCs w:val="18"/>
                <w:u w:val="none"/>
              </w:rPr>
            </w:pPr>
            <w:r>
              <w:rPr>
                <w:rFonts w:hint="default" w:ascii="Times New Roman" w:hAnsi="Times New Roman" w:eastAsia="方正仿宋_GBK" w:cs="Times New Roman"/>
                <w:i w:val="0"/>
                <w:iCs w:val="0"/>
                <w:snapToGrid w:val="0"/>
                <w:color w:val="000000"/>
                <w:kern w:val="0"/>
                <w:sz w:val="18"/>
                <w:szCs w:val="18"/>
                <w:u w:val="none"/>
                <w:lang w:val="en-US" w:eastAsia="zh-CN" w:bidi="ar"/>
              </w:rPr>
              <w:t>阵列麦克风</w:t>
            </w:r>
          </w:p>
        </w:tc>
        <w:tc>
          <w:tcPr>
            <w:tcW w:w="72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0EAF11">
            <w:pPr>
              <w:keepNext w:val="0"/>
              <w:keepLines w:val="0"/>
              <w:widowControl/>
              <w:suppressLineNumbers w:val="0"/>
              <w:spacing w:before="0" w:beforeAutospacing="0" w:after="0" w:afterAutospacing="0"/>
              <w:ind w:left="0" w:right="0"/>
              <w:jc w:val="left"/>
              <w:textAlignment w:val="center"/>
              <w:rPr>
                <w:rFonts w:hint="default" w:ascii="Times New Roman" w:hAnsi="Times New Roman" w:eastAsia="方正仿宋_GBK" w:cs="Times New Roman"/>
                <w:i w:val="0"/>
                <w:iCs w:val="0"/>
                <w:color w:val="000000"/>
                <w:sz w:val="18"/>
                <w:szCs w:val="18"/>
                <w:u w:val="none"/>
              </w:rPr>
            </w:pPr>
            <w:r>
              <w:rPr>
                <w:rFonts w:hint="default" w:ascii="Times New Roman" w:hAnsi="Times New Roman" w:eastAsia="方正仿宋_GBK" w:cs="Times New Roman"/>
                <w:i w:val="0"/>
                <w:iCs w:val="0"/>
                <w:snapToGrid w:val="0"/>
                <w:color w:val="000000"/>
                <w:kern w:val="0"/>
                <w:sz w:val="18"/>
                <w:szCs w:val="18"/>
                <w:u w:val="none"/>
                <w:lang w:val="en-US" w:eastAsia="zh-CN" w:bidi="ar"/>
              </w:rPr>
              <w:t>1.麦克风采用≥4核音频芯片。</w:t>
            </w:r>
            <w:r>
              <w:rPr>
                <w:rFonts w:hint="default" w:ascii="Times New Roman" w:hAnsi="Times New Roman" w:eastAsia="方正仿宋_GBK" w:cs="Times New Roman"/>
                <w:i w:val="0"/>
                <w:iCs w:val="0"/>
                <w:snapToGrid w:val="0"/>
                <w:color w:val="000000"/>
                <w:kern w:val="0"/>
                <w:sz w:val="18"/>
                <w:szCs w:val="18"/>
                <w:u w:val="none"/>
                <w:lang w:val="en-US" w:eastAsia="zh-CN" w:bidi="ar"/>
              </w:rPr>
              <w:br w:type="textWrapping"/>
            </w:r>
            <w:r>
              <w:rPr>
                <w:rFonts w:hint="default" w:ascii="Times New Roman" w:hAnsi="Times New Roman" w:eastAsia="方正仿宋_GBK" w:cs="Times New Roman"/>
                <w:i w:val="0"/>
                <w:iCs w:val="0"/>
                <w:snapToGrid w:val="0"/>
                <w:color w:val="000000"/>
                <w:kern w:val="0"/>
                <w:sz w:val="18"/>
                <w:szCs w:val="18"/>
                <w:u w:val="none"/>
                <w:lang w:val="en-US" w:eastAsia="zh-CN" w:bidi="ar"/>
              </w:rPr>
              <w:t>2.麦克风频率响应范围不低于50Hz~16KHz。</w:t>
            </w:r>
            <w:r>
              <w:rPr>
                <w:rFonts w:hint="default" w:ascii="Times New Roman" w:hAnsi="Times New Roman" w:eastAsia="方正仿宋_GBK" w:cs="Times New Roman"/>
                <w:i w:val="0"/>
                <w:iCs w:val="0"/>
                <w:snapToGrid w:val="0"/>
                <w:color w:val="000000"/>
                <w:kern w:val="0"/>
                <w:sz w:val="18"/>
                <w:szCs w:val="18"/>
                <w:u w:val="none"/>
                <w:lang w:val="en-US" w:eastAsia="zh-CN" w:bidi="ar"/>
              </w:rPr>
              <w:br w:type="textWrapping"/>
            </w:r>
            <w:r>
              <w:rPr>
                <w:rFonts w:hint="default" w:ascii="Times New Roman" w:hAnsi="Times New Roman" w:eastAsia="方正仿宋_GBK" w:cs="Times New Roman"/>
                <w:i w:val="0"/>
                <w:iCs w:val="0"/>
                <w:snapToGrid w:val="0"/>
                <w:color w:val="000000"/>
                <w:kern w:val="0"/>
                <w:sz w:val="18"/>
                <w:szCs w:val="18"/>
                <w:u w:val="none"/>
                <w:lang w:val="en-US" w:eastAsia="zh-CN" w:bidi="ar"/>
              </w:rPr>
              <w:t>3.麦克风拾音半径≥8m。</w:t>
            </w:r>
            <w:r>
              <w:rPr>
                <w:rFonts w:hint="default" w:ascii="Times New Roman" w:hAnsi="Times New Roman" w:eastAsia="方正仿宋_GBK" w:cs="Times New Roman"/>
                <w:i w:val="0"/>
                <w:iCs w:val="0"/>
                <w:snapToGrid w:val="0"/>
                <w:color w:val="000000"/>
                <w:kern w:val="0"/>
                <w:sz w:val="18"/>
                <w:szCs w:val="18"/>
                <w:u w:val="none"/>
                <w:lang w:val="en-US" w:eastAsia="zh-CN" w:bidi="ar"/>
              </w:rPr>
              <w:br w:type="textWrapping"/>
            </w:r>
            <w:r>
              <w:rPr>
                <w:rFonts w:hint="default" w:ascii="Times New Roman" w:hAnsi="Times New Roman" w:eastAsia="方正仿宋_GBK" w:cs="Times New Roman"/>
                <w:i w:val="0"/>
                <w:iCs w:val="0"/>
                <w:snapToGrid w:val="0"/>
                <w:color w:val="000000"/>
                <w:kern w:val="0"/>
                <w:sz w:val="18"/>
                <w:szCs w:val="18"/>
                <w:u w:val="none"/>
                <w:lang w:val="en-US" w:eastAsia="zh-CN" w:bidi="ar"/>
              </w:rPr>
              <w:t>4.麦克风信噪比≥68dB。</w:t>
            </w:r>
            <w:r>
              <w:rPr>
                <w:rFonts w:hint="default" w:ascii="Times New Roman" w:hAnsi="Times New Roman" w:eastAsia="方正仿宋_GBK" w:cs="Times New Roman"/>
                <w:i w:val="0"/>
                <w:iCs w:val="0"/>
                <w:snapToGrid w:val="0"/>
                <w:color w:val="000000"/>
                <w:kern w:val="0"/>
                <w:sz w:val="18"/>
                <w:szCs w:val="18"/>
                <w:u w:val="none"/>
                <w:lang w:val="en-US" w:eastAsia="zh-CN" w:bidi="ar"/>
              </w:rPr>
              <w:br w:type="textWrapping"/>
            </w:r>
            <w:r>
              <w:rPr>
                <w:rFonts w:hint="default" w:ascii="Times New Roman" w:hAnsi="Times New Roman" w:eastAsia="方正仿宋_GBK" w:cs="Times New Roman"/>
                <w:i w:val="0"/>
                <w:iCs w:val="0"/>
                <w:snapToGrid w:val="0"/>
                <w:color w:val="000000"/>
                <w:kern w:val="0"/>
                <w:sz w:val="18"/>
                <w:szCs w:val="18"/>
                <w:u w:val="none"/>
                <w:lang w:val="en-US" w:eastAsia="zh-CN" w:bidi="ar"/>
              </w:rPr>
              <w:t>5.麦克风声压级≥130dBSPL，10%THD@1 KHz。</w:t>
            </w:r>
            <w:r>
              <w:rPr>
                <w:rFonts w:hint="default" w:ascii="Times New Roman" w:hAnsi="Times New Roman" w:eastAsia="方正仿宋_GBK" w:cs="Times New Roman"/>
                <w:i w:val="0"/>
                <w:iCs w:val="0"/>
                <w:snapToGrid w:val="0"/>
                <w:color w:val="000000"/>
                <w:kern w:val="0"/>
                <w:sz w:val="18"/>
                <w:szCs w:val="18"/>
                <w:u w:val="none"/>
                <w:lang w:val="en-US" w:eastAsia="zh-CN" w:bidi="ar"/>
              </w:rPr>
              <w:br w:type="textWrapping"/>
            </w:r>
            <w:r>
              <w:rPr>
                <w:rFonts w:hint="default" w:ascii="Times New Roman" w:hAnsi="Times New Roman" w:eastAsia="方正仿宋_GBK" w:cs="Times New Roman"/>
                <w:i w:val="0"/>
                <w:iCs w:val="0"/>
                <w:snapToGrid w:val="0"/>
                <w:color w:val="000000"/>
                <w:kern w:val="0"/>
                <w:sz w:val="18"/>
                <w:szCs w:val="18"/>
                <w:u w:val="none"/>
                <w:lang w:val="en-US" w:eastAsia="zh-CN" w:bidi="ar"/>
              </w:rPr>
              <w:t>6.麦克风无需额外适配器供电，能够通过网线实现麦克风供电、音频信号传输、参数调整。</w:t>
            </w:r>
          </w:p>
        </w:tc>
        <w:tc>
          <w:tcPr>
            <w:tcW w:w="4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0A1441">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方正仿宋_GBK" w:cs="Times New Roman"/>
                <w:i w:val="0"/>
                <w:iCs w:val="0"/>
                <w:color w:val="000000"/>
                <w:sz w:val="18"/>
                <w:szCs w:val="18"/>
                <w:u w:val="none"/>
              </w:rPr>
            </w:pPr>
            <w:r>
              <w:rPr>
                <w:rFonts w:hint="default" w:ascii="Times New Roman" w:hAnsi="Times New Roman" w:eastAsia="方正仿宋_GBK" w:cs="Times New Roman"/>
                <w:i w:val="0"/>
                <w:iCs w:val="0"/>
                <w:snapToGrid w:val="0"/>
                <w:color w:val="000000"/>
                <w:kern w:val="0"/>
                <w:sz w:val="18"/>
                <w:szCs w:val="18"/>
                <w:u w:val="none"/>
                <w:lang w:val="en-US" w:eastAsia="zh-CN" w:bidi="ar"/>
              </w:rPr>
              <w:t>90</w:t>
            </w:r>
          </w:p>
        </w:tc>
        <w:tc>
          <w:tcPr>
            <w:tcW w:w="4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7EA358">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方正仿宋_GBK" w:cs="Times New Roman"/>
                <w:i w:val="0"/>
                <w:iCs w:val="0"/>
                <w:color w:val="000000"/>
                <w:sz w:val="18"/>
                <w:szCs w:val="18"/>
                <w:u w:val="none"/>
              </w:rPr>
            </w:pPr>
            <w:r>
              <w:rPr>
                <w:rFonts w:hint="default" w:ascii="Times New Roman" w:hAnsi="Times New Roman" w:eastAsia="方正仿宋_GBK" w:cs="Times New Roman"/>
                <w:i w:val="0"/>
                <w:iCs w:val="0"/>
                <w:snapToGrid w:val="0"/>
                <w:color w:val="000000"/>
                <w:kern w:val="0"/>
                <w:sz w:val="18"/>
                <w:szCs w:val="18"/>
                <w:u w:val="none"/>
                <w:lang w:val="en-US" w:eastAsia="zh-CN" w:bidi="ar"/>
              </w:rPr>
              <w:t>套</w:t>
            </w:r>
          </w:p>
        </w:tc>
      </w:tr>
      <w:tr w14:paraId="1E6922A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 w:hRule="atLeast"/>
        </w:trPr>
        <w:tc>
          <w:tcPr>
            <w:tcW w:w="4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80FBF9">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方正仿宋_GBK" w:cs="Times New Roman"/>
                <w:i w:val="0"/>
                <w:iCs w:val="0"/>
                <w:color w:val="000000"/>
                <w:sz w:val="18"/>
                <w:szCs w:val="18"/>
                <w:u w:val="none"/>
              </w:rPr>
            </w:pPr>
            <w:r>
              <w:rPr>
                <w:rFonts w:hint="default" w:ascii="Times New Roman" w:hAnsi="Times New Roman" w:eastAsia="方正仿宋_GBK" w:cs="Times New Roman"/>
                <w:i w:val="0"/>
                <w:iCs w:val="0"/>
                <w:snapToGrid w:val="0"/>
                <w:color w:val="000000"/>
                <w:kern w:val="0"/>
                <w:sz w:val="18"/>
                <w:szCs w:val="18"/>
                <w:u w:val="none"/>
                <w:lang w:val="en-US" w:eastAsia="zh-CN" w:bidi="ar"/>
              </w:rPr>
              <w:t>11</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9037F2">
            <w:pPr>
              <w:keepNext w:val="0"/>
              <w:keepLines w:val="0"/>
              <w:widowControl/>
              <w:suppressLineNumbers w:val="0"/>
              <w:spacing w:before="0" w:beforeAutospacing="0" w:after="0" w:afterAutospacing="0"/>
              <w:ind w:left="0" w:right="0"/>
              <w:jc w:val="left"/>
              <w:textAlignment w:val="center"/>
              <w:rPr>
                <w:rFonts w:hint="default" w:ascii="Times New Roman" w:hAnsi="Times New Roman" w:eastAsia="方正仿宋_GBK" w:cs="Times New Roman"/>
                <w:i w:val="0"/>
                <w:iCs w:val="0"/>
                <w:color w:val="000000"/>
                <w:sz w:val="18"/>
                <w:szCs w:val="18"/>
                <w:u w:val="none"/>
              </w:rPr>
            </w:pPr>
            <w:r>
              <w:rPr>
                <w:rFonts w:hint="default" w:ascii="Times New Roman" w:hAnsi="Times New Roman" w:eastAsia="方正仿宋_GBK" w:cs="Times New Roman"/>
                <w:i w:val="0"/>
                <w:iCs w:val="0"/>
                <w:snapToGrid w:val="0"/>
                <w:color w:val="000000"/>
                <w:kern w:val="0"/>
                <w:sz w:val="18"/>
                <w:szCs w:val="18"/>
                <w:u w:val="none"/>
                <w:lang w:val="en-US" w:eastAsia="zh-CN" w:bidi="ar"/>
              </w:rPr>
              <w:t>阵列麦克风音频处理系统</w:t>
            </w:r>
          </w:p>
        </w:tc>
        <w:tc>
          <w:tcPr>
            <w:tcW w:w="72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5060F4">
            <w:pPr>
              <w:keepNext w:val="0"/>
              <w:keepLines w:val="0"/>
              <w:widowControl/>
              <w:suppressLineNumbers w:val="0"/>
              <w:spacing w:before="0" w:beforeAutospacing="0" w:after="0" w:afterAutospacing="0"/>
              <w:ind w:left="0" w:right="0"/>
              <w:jc w:val="left"/>
              <w:textAlignment w:val="center"/>
              <w:rPr>
                <w:rFonts w:hint="default" w:ascii="Times New Roman" w:hAnsi="Times New Roman" w:eastAsia="方正仿宋_GBK" w:cs="Times New Roman"/>
                <w:i w:val="0"/>
                <w:iCs w:val="0"/>
                <w:color w:val="000000"/>
                <w:sz w:val="18"/>
                <w:szCs w:val="18"/>
                <w:u w:val="none"/>
              </w:rPr>
            </w:pPr>
            <w:r>
              <w:rPr>
                <w:rFonts w:hint="default" w:ascii="Times New Roman" w:hAnsi="Times New Roman" w:eastAsia="方正仿宋_GBK" w:cs="Times New Roman"/>
                <w:i w:val="0"/>
                <w:iCs w:val="0"/>
                <w:snapToGrid w:val="0"/>
                <w:color w:val="000000"/>
                <w:kern w:val="0"/>
                <w:sz w:val="18"/>
                <w:szCs w:val="18"/>
                <w:u w:val="none"/>
                <w:lang w:val="en-US" w:eastAsia="zh-CN" w:bidi="ar"/>
              </w:rPr>
              <w:t>1.支持全频带全双工自适应回声消除算法。</w:t>
            </w:r>
            <w:r>
              <w:rPr>
                <w:rFonts w:hint="default" w:ascii="Times New Roman" w:hAnsi="Times New Roman" w:eastAsia="方正仿宋_GBK" w:cs="Times New Roman"/>
                <w:i w:val="0"/>
                <w:iCs w:val="0"/>
                <w:snapToGrid w:val="0"/>
                <w:color w:val="000000"/>
                <w:kern w:val="0"/>
                <w:sz w:val="18"/>
                <w:szCs w:val="18"/>
                <w:u w:val="none"/>
                <w:lang w:val="en-US" w:eastAsia="zh-CN" w:bidi="ar"/>
              </w:rPr>
              <w:br w:type="textWrapping"/>
            </w:r>
            <w:r>
              <w:rPr>
                <w:rFonts w:hint="default" w:ascii="Times New Roman" w:hAnsi="Times New Roman" w:eastAsia="方正仿宋_GBK" w:cs="Times New Roman"/>
                <w:i w:val="0"/>
                <w:iCs w:val="0"/>
                <w:snapToGrid w:val="0"/>
                <w:color w:val="000000"/>
                <w:kern w:val="0"/>
                <w:sz w:val="18"/>
                <w:szCs w:val="18"/>
                <w:u w:val="none"/>
                <w:lang w:val="en-US" w:eastAsia="zh-CN" w:bidi="ar"/>
              </w:rPr>
              <w:t>2.支持全频自适应AI降噪技术，降噪电平≥24dB。</w:t>
            </w:r>
            <w:r>
              <w:rPr>
                <w:rFonts w:hint="default" w:ascii="Times New Roman" w:hAnsi="Times New Roman" w:eastAsia="方正仿宋_GBK" w:cs="Times New Roman"/>
                <w:i w:val="0"/>
                <w:iCs w:val="0"/>
                <w:snapToGrid w:val="0"/>
                <w:color w:val="000000"/>
                <w:kern w:val="0"/>
                <w:sz w:val="18"/>
                <w:szCs w:val="18"/>
                <w:u w:val="none"/>
                <w:lang w:val="en-US" w:eastAsia="zh-CN" w:bidi="ar"/>
              </w:rPr>
              <w:br w:type="textWrapping"/>
            </w:r>
            <w:r>
              <w:rPr>
                <w:rFonts w:hint="default" w:ascii="Times New Roman" w:hAnsi="Times New Roman" w:eastAsia="方正仿宋_GBK" w:cs="Times New Roman"/>
                <w:i w:val="0"/>
                <w:iCs w:val="0"/>
                <w:snapToGrid w:val="0"/>
                <w:color w:val="000000"/>
                <w:kern w:val="0"/>
                <w:sz w:val="18"/>
                <w:szCs w:val="18"/>
                <w:u w:val="none"/>
                <w:lang w:val="en-US" w:eastAsia="zh-CN" w:bidi="ar"/>
              </w:rPr>
              <w:t>3.支持自动增益控制。</w:t>
            </w:r>
            <w:r>
              <w:rPr>
                <w:rFonts w:hint="default" w:ascii="Times New Roman" w:hAnsi="Times New Roman" w:eastAsia="方正仿宋_GBK" w:cs="Times New Roman"/>
                <w:i w:val="0"/>
                <w:iCs w:val="0"/>
                <w:snapToGrid w:val="0"/>
                <w:color w:val="000000"/>
                <w:kern w:val="0"/>
                <w:sz w:val="18"/>
                <w:szCs w:val="18"/>
                <w:u w:val="none"/>
                <w:lang w:val="en-US" w:eastAsia="zh-CN" w:bidi="ar"/>
              </w:rPr>
              <w:br w:type="textWrapping"/>
            </w:r>
            <w:r>
              <w:rPr>
                <w:rFonts w:hint="default" w:ascii="Times New Roman" w:hAnsi="Times New Roman" w:eastAsia="方正仿宋_GBK" w:cs="Times New Roman"/>
                <w:i w:val="0"/>
                <w:iCs w:val="0"/>
                <w:snapToGrid w:val="0"/>
                <w:color w:val="000000"/>
                <w:kern w:val="0"/>
                <w:sz w:val="18"/>
                <w:szCs w:val="18"/>
                <w:u w:val="none"/>
                <w:lang w:val="en-US" w:eastAsia="zh-CN" w:bidi="ar"/>
              </w:rPr>
              <w:t>4.支持啸叫抑制。</w:t>
            </w:r>
            <w:r>
              <w:rPr>
                <w:rFonts w:hint="default" w:ascii="Times New Roman" w:hAnsi="Times New Roman" w:eastAsia="方正仿宋_GBK" w:cs="Times New Roman"/>
                <w:i w:val="0"/>
                <w:iCs w:val="0"/>
                <w:snapToGrid w:val="0"/>
                <w:color w:val="000000"/>
                <w:kern w:val="0"/>
                <w:sz w:val="18"/>
                <w:szCs w:val="18"/>
                <w:u w:val="none"/>
                <w:lang w:val="en-US" w:eastAsia="zh-CN" w:bidi="ar"/>
              </w:rPr>
              <w:br w:type="textWrapping"/>
            </w:r>
            <w:r>
              <w:rPr>
                <w:rFonts w:hint="default" w:ascii="Times New Roman" w:hAnsi="Times New Roman" w:eastAsia="方正仿宋_GBK" w:cs="Times New Roman"/>
                <w:i w:val="0"/>
                <w:iCs w:val="0"/>
                <w:snapToGrid w:val="0"/>
                <w:color w:val="000000"/>
                <w:kern w:val="0"/>
                <w:sz w:val="18"/>
                <w:szCs w:val="18"/>
                <w:u w:val="none"/>
                <w:lang w:val="en-US" w:eastAsia="zh-CN" w:bidi="ar"/>
              </w:rPr>
              <w:t>5.支持智能混音，可智能选择最佳麦克风采集音频。</w:t>
            </w:r>
            <w:r>
              <w:rPr>
                <w:rFonts w:hint="default" w:ascii="Times New Roman" w:hAnsi="Times New Roman" w:eastAsia="方正仿宋_GBK" w:cs="Times New Roman"/>
                <w:i w:val="0"/>
                <w:iCs w:val="0"/>
                <w:snapToGrid w:val="0"/>
                <w:color w:val="000000"/>
                <w:kern w:val="0"/>
                <w:sz w:val="18"/>
                <w:szCs w:val="18"/>
                <w:u w:val="none"/>
                <w:lang w:val="en-US" w:eastAsia="zh-CN" w:bidi="ar"/>
              </w:rPr>
              <w:br w:type="textWrapping"/>
            </w:r>
            <w:r>
              <w:rPr>
                <w:rFonts w:hint="default" w:ascii="Times New Roman" w:hAnsi="Times New Roman" w:eastAsia="方正仿宋_GBK" w:cs="Times New Roman"/>
                <w:i w:val="0"/>
                <w:iCs w:val="0"/>
                <w:snapToGrid w:val="0"/>
                <w:color w:val="000000"/>
                <w:kern w:val="0"/>
                <w:sz w:val="18"/>
                <w:szCs w:val="18"/>
                <w:u w:val="none"/>
                <w:lang w:val="en-US" w:eastAsia="zh-CN" w:bidi="ar"/>
              </w:rPr>
              <w:t>6.支持多通道音频矩阵，可根据场景需求进行相应设置。</w:t>
            </w:r>
          </w:p>
        </w:tc>
        <w:tc>
          <w:tcPr>
            <w:tcW w:w="4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C7A4A7">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方正仿宋_GBK" w:cs="Times New Roman"/>
                <w:i w:val="0"/>
                <w:iCs w:val="0"/>
                <w:color w:val="000000"/>
                <w:sz w:val="18"/>
                <w:szCs w:val="18"/>
                <w:u w:val="none"/>
              </w:rPr>
            </w:pPr>
            <w:r>
              <w:rPr>
                <w:rFonts w:hint="default" w:ascii="Times New Roman" w:hAnsi="Times New Roman" w:eastAsia="方正仿宋_GBK" w:cs="Times New Roman"/>
                <w:i w:val="0"/>
                <w:iCs w:val="0"/>
                <w:snapToGrid w:val="0"/>
                <w:color w:val="000000"/>
                <w:kern w:val="0"/>
                <w:sz w:val="18"/>
                <w:szCs w:val="18"/>
                <w:u w:val="none"/>
                <w:lang w:val="en-US" w:eastAsia="zh-CN" w:bidi="ar"/>
              </w:rPr>
              <w:t>90</w:t>
            </w:r>
          </w:p>
        </w:tc>
        <w:tc>
          <w:tcPr>
            <w:tcW w:w="4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898CB5">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方正仿宋_GBK" w:cs="Times New Roman"/>
                <w:i w:val="0"/>
                <w:iCs w:val="0"/>
                <w:color w:val="000000"/>
                <w:sz w:val="18"/>
                <w:szCs w:val="18"/>
                <w:u w:val="none"/>
              </w:rPr>
            </w:pPr>
            <w:r>
              <w:rPr>
                <w:rFonts w:hint="default" w:ascii="Times New Roman" w:hAnsi="Times New Roman" w:eastAsia="方正仿宋_GBK" w:cs="Times New Roman"/>
                <w:i w:val="0"/>
                <w:iCs w:val="0"/>
                <w:snapToGrid w:val="0"/>
                <w:color w:val="000000"/>
                <w:kern w:val="0"/>
                <w:sz w:val="18"/>
                <w:szCs w:val="18"/>
                <w:u w:val="none"/>
                <w:lang w:val="en-US" w:eastAsia="zh-CN" w:bidi="ar"/>
              </w:rPr>
              <w:t>套</w:t>
            </w:r>
          </w:p>
        </w:tc>
      </w:tr>
      <w:tr w14:paraId="6D44E2B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 w:hRule="atLeast"/>
        </w:trPr>
        <w:tc>
          <w:tcPr>
            <w:tcW w:w="4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B46B16">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方正仿宋_GBK" w:cs="Times New Roman"/>
                <w:i w:val="0"/>
                <w:iCs w:val="0"/>
                <w:color w:val="000000"/>
                <w:sz w:val="18"/>
                <w:szCs w:val="18"/>
                <w:u w:val="none"/>
              </w:rPr>
            </w:pPr>
            <w:r>
              <w:rPr>
                <w:rFonts w:hint="default" w:ascii="Times New Roman" w:hAnsi="Times New Roman" w:eastAsia="方正仿宋_GBK" w:cs="Times New Roman"/>
                <w:i w:val="0"/>
                <w:iCs w:val="0"/>
                <w:snapToGrid w:val="0"/>
                <w:color w:val="000000"/>
                <w:kern w:val="0"/>
                <w:sz w:val="18"/>
                <w:szCs w:val="18"/>
                <w:u w:val="none"/>
                <w:lang w:val="en-US" w:eastAsia="zh-CN" w:bidi="ar"/>
              </w:rPr>
              <w:t>12</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C664E7">
            <w:pPr>
              <w:keepNext w:val="0"/>
              <w:keepLines w:val="0"/>
              <w:widowControl/>
              <w:suppressLineNumbers w:val="0"/>
              <w:spacing w:before="0" w:beforeAutospacing="0" w:after="0" w:afterAutospacing="0"/>
              <w:ind w:left="0" w:right="0"/>
              <w:jc w:val="left"/>
              <w:textAlignment w:val="center"/>
              <w:rPr>
                <w:rFonts w:hint="default" w:ascii="Times New Roman" w:hAnsi="Times New Roman" w:eastAsia="方正仿宋_GBK" w:cs="Times New Roman"/>
                <w:i w:val="0"/>
                <w:iCs w:val="0"/>
                <w:color w:val="000000"/>
                <w:sz w:val="18"/>
                <w:szCs w:val="18"/>
                <w:u w:val="none"/>
              </w:rPr>
            </w:pPr>
            <w:r>
              <w:rPr>
                <w:rFonts w:hint="default" w:ascii="Times New Roman" w:hAnsi="Times New Roman" w:eastAsia="方正仿宋_GBK" w:cs="Times New Roman"/>
                <w:i w:val="0"/>
                <w:iCs w:val="0"/>
                <w:snapToGrid w:val="0"/>
                <w:color w:val="000000"/>
                <w:kern w:val="0"/>
                <w:sz w:val="18"/>
                <w:szCs w:val="18"/>
                <w:u w:val="none"/>
                <w:lang w:val="en-US" w:eastAsia="zh-CN" w:bidi="ar"/>
              </w:rPr>
              <w:t>资源管理平台</w:t>
            </w:r>
          </w:p>
        </w:tc>
        <w:tc>
          <w:tcPr>
            <w:tcW w:w="72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4E3678">
            <w:pPr>
              <w:keepNext w:val="0"/>
              <w:keepLines w:val="0"/>
              <w:widowControl/>
              <w:suppressLineNumbers w:val="0"/>
              <w:spacing w:before="0" w:beforeAutospacing="0" w:after="0" w:afterAutospacing="0"/>
              <w:ind w:left="0" w:right="0"/>
              <w:jc w:val="left"/>
              <w:textAlignment w:val="center"/>
              <w:rPr>
                <w:rFonts w:hint="default" w:ascii="Times New Roman" w:hAnsi="Times New Roman" w:eastAsia="方正仿宋_GBK" w:cs="Times New Roman"/>
                <w:i w:val="0"/>
                <w:iCs w:val="0"/>
                <w:color w:val="000000"/>
                <w:sz w:val="18"/>
                <w:szCs w:val="18"/>
                <w:u w:val="none"/>
              </w:rPr>
            </w:pPr>
            <w:r>
              <w:rPr>
                <w:rFonts w:hint="default" w:ascii="Times New Roman" w:hAnsi="Times New Roman" w:eastAsia="方正仿宋_GBK" w:cs="Times New Roman"/>
                <w:i w:val="0"/>
                <w:iCs w:val="0"/>
                <w:snapToGrid w:val="0"/>
                <w:color w:val="000000"/>
                <w:kern w:val="0"/>
                <w:sz w:val="18"/>
                <w:szCs w:val="18"/>
                <w:u w:val="none"/>
                <w:lang w:val="en-US" w:eastAsia="zh-CN" w:bidi="ar"/>
              </w:rPr>
              <w:t>1.可实现数据看板、专递课堂、名校网络课堂、直播活动、用户管理等功能。</w:t>
            </w:r>
            <w:r>
              <w:rPr>
                <w:rFonts w:hint="default" w:ascii="Times New Roman" w:hAnsi="Times New Roman" w:eastAsia="方正仿宋_GBK" w:cs="Times New Roman"/>
                <w:i w:val="0"/>
                <w:iCs w:val="0"/>
                <w:snapToGrid w:val="0"/>
                <w:color w:val="000000"/>
                <w:kern w:val="0"/>
                <w:sz w:val="18"/>
                <w:szCs w:val="18"/>
                <w:u w:val="none"/>
                <w:lang w:val="en-US" w:eastAsia="zh-CN" w:bidi="ar"/>
              </w:rPr>
              <w:br w:type="textWrapping"/>
            </w:r>
            <w:r>
              <w:rPr>
                <w:rFonts w:hint="default" w:ascii="Times New Roman" w:hAnsi="Times New Roman" w:eastAsia="方正仿宋_GBK" w:cs="Times New Roman"/>
                <w:i w:val="0"/>
                <w:iCs w:val="0"/>
                <w:snapToGrid w:val="0"/>
                <w:color w:val="000000"/>
                <w:kern w:val="0"/>
                <w:sz w:val="18"/>
                <w:szCs w:val="18"/>
                <w:u w:val="none"/>
                <w:lang w:val="en-US" w:eastAsia="zh-CN" w:bidi="ar"/>
              </w:rPr>
              <w:t>2.角色自定义：支持管理员根据不同教师的工作需求创建角色，自定义该角色的名称和可使用的功能权限；并可查看各角色的人数，方便管理。</w:t>
            </w:r>
            <w:r>
              <w:rPr>
                <w:rFonts w:hint="default" w:ascii="Times New Roman" w:hAnsi="Times New Roman" w:eastAsia="方正仿宋_GBK" w:cs="Times New Roman"/>
                <w:i w:val="0"/>
                <w:iCs w:val="0"/>
                <w:snapToGrid w:val="0"/>
                <w:color w:val="000000"/>
                <w:kern w:val="0"/>
                <w:sz w:val="18"/>
                <w:szCs w:val="18"/>
                <w:u w:val="none"/>
                <w:lang w:val="en-US" w:eastAsia="zh-CN" w:bidi="ar"/>
              </w:rPr>
              <w:br w:type="textWrapping"/>
            </w:r>
            <w:r>
              <w:rPr>
                <w:rFonts w:hint="default" w:ascii="Times New Roman" w:hAnsi="Times New Roman" w:eastAsia="方正仿宋_GBK" w:cs="Times New Roman"/>
                <w:i w:val="0"/>
                <w:iCs w:val="0"/>
                <w:snapToGrid w:val="0"/>
                <w:color w:val="000000"/>
                <w:kern w:val="0"/>
                <w:sz w:val="18"/>
                <w:szCs w:val="18"/>
                <w:u w:val="none"/>
                <w:lang w:val="en-US" w:eastAsia="zh-CN" w:bidi="ar"/>
              </w:rPr>
              <w:t>3.教师可以通过自主账号登录平台，根据教师个人学习需求对全校的视频课程进行筛选、点播观看、在线学习。</w:t>
            </w:r>
            <w:r>
              <w:rPr>
                <w:rFonts w:hint="default" w:ascii="Times New Roman" w:hAnsi="Times New Roman" w:eastAsia="方正仿宋_GBK" w:cs="Times New Roman"/>
                <w:i w:val="0"/>
                <w:iCs w:val="0"/>
                <w:snapToGrid w:val="0"/>
                <w:color w:val="000000"/>
                <w:kern w:val="0"/>
                <w:sz w:val="18"/>
                <w:szCs w:val="18"/>
                <w:u w:val="none"/>
                <w:lang w:val="en-US" w:eastAsia="zh-CN" w:bidi="ar"/>
              </w:rPr>
              <w:br w:type="textWrapping"/>
            </w:r>
            <w:r>
              <w:rPr>
                <w:rFonts w:hint="default" w:ascii="Times New Roman" w:hAnsi="Times New Roman" w:eastAsia="方正仿宋_GBK" w:cs="Times New Roman"/>
                <w:i w:val="0"/>
                <w:iCs w:val="0"/>
                <w:snapToGrid w:val="0"/>
                <w:color w:val="000000"/>
                <w:kern w:val="0"/>
                <w:sz w:val="18"/>
                <w:szCs w:val="18"/>
                <w:u w:val="none"/>
                <w:lang w:val="en-US" w:eastAsia="zh-CN" w:bidi="ar"/>
              </w:rPr>
              <w:t>4.视频管理：录播主机录制的视频自动上传至平台，支持本校教师或管理员对视频进行名称编辑、学科学段编辑、下载、删除、发布课程等操作。</w:t>
            </w:r>
            <w:r>
              <w:rPr>
                <w:rFonts w:hint="default" w:ascii="Times New Roman" w:hAnsi="Times New Roman" w:eastAsia="方正仿宋_GBK" w:cs="Times New Roman"/>
                <w:i w:val="0"/>
                <w:iCs w:val="0"/>
                <w:snapToGrid w:val="0"/>
                <w:color w:val="000000"/>
                <w:kern w:val="0"/>
                <w:sz w:val="18"/>
                <w:szCs w:val="18"/>
                <w:u w:val="none"/>
                <w:lang w:val="en-US" w:eastAsia="zh-CN" w:bidi="ar"/>
              </w:rPr>
              <w:br w:type="textWrapping"/>
            </w:r>
            <w:r>
              <w:rPr>
                <w:rFonts w:hint="default" w:ascii="Times New Roman" w:hAnsi="Times New Roman" w:eastAsia="方正仿宋_GBK" w:cs="Times New Roman"/>
                <w:i w:val="0"/>
                <w:iCs w:val="0"/>
                <w:snapToGrid w:val="0"/>
                <w:color w:val="000000"/>
                <w:kern w:val="0"/>
                <w:sz w:val="18"/>
                <w:szCs w:val="18"/>
                <w:u w:val="none"/>
                <w:lang w:val="en-US" w:eastAsia="zh-CN" w:bidi="ar"/>
              </w:rPr>
              <w:t>5.上传附件：平台支持用户在发布课程时上传相关资料；所上传资料可支持不少于5种文件格式；课程发布后，观众观看课程时下载相关资料，进行深入学习。</w:t>
            </w:r>
            <w:r>
              <w:rPr>
                <w:rFonts w:hint="default" w:ascii="Times New Roman" w:hAnsi="Times New Roman" w:eastAsia="方正仿宋_GBK" w:cs="Times New Roman"/>
                <w:i w:val="0"/>
                <w:iCs w:val="0"/>
                <w:snapToGrid w:val="0"/>
                <w:color w:val="000000"/>
                <w:kern w:val="0"/>
                <w:sz w:val="18"/>
                <w:szCs w:val="18"/>
                <w:u w:val="none"/>
                <w:lang w:val="en-US" w:eastAsia="zh-CN" w:bidi="ar"/>
              </w:rPr>
              <w:br w:type="textWrapping"/>
            </w:r>
            <w:r>
              <w:rPr>
                <w:rFonts w:hint="default" w:ascii="Times New Roman" w:hAnsi="Times New Roman" w:eastAsia="方正仿宋_GBK" w:cs="Times New Roman"/>
                <w:i w:val="0"/>
                <w:iCs w:val="0"/>
                <w:snapToGrid w:val="0"/>
                <w:color w:val="000000"/>
                <w:kern w:val="0"/>
                <w:sz w:val="18"/>
                <w:szCs w:val="18"/>
                <w:u w:val="none"/>
                <w:lang w:val="en-US" w:eastAsia="zh-CN" w:bidi="ar"/>
              </w:rPr>
              <w:t>6.课程发布：课程发布时，可选择对应的学段、学科、发布模块、示范课分类等，方便用户按不同维度查找课程。</w:t>
            </w:r>
            <w:r>
              <w:rPr>
                <w:rFonts w:hint="default" w:ascii="Times New Roman" w:hAnsi="Times New Roman" w:eastAsia="方正仿宋_GBK" w:cs="Times New Roman"/>
                <w:i w:val="0"/>
                <w:iCs w:val="0"/>
                <w:snapToGrid w:val="0"/>
                <w:color w:val="000000"/>
                <w:kern w:val="0"/>
                <w:sz w:val="18"/>
                <w:szCs w:val="18"/>
                <w:u w:val="none"/>
                <w:lang w:val="en-US" w:eastAsia="zh-CN" w:bidi="ar"/>
              </w:rPr>
              <w:br w:type="textWrapping"/>
            </w:r>
            <w:r>
              <w:rPr>
                <w:rFonts w:hint="default" w:ascii="Times New Roman" w:hAnsi="Times New Roman" w:eastAsia="方正仿宋_GBK" w:cs="Times New Roman"/>
                <w:i w:val="0"/>
                <w:iCs w:val="0"/>
                <w:snapToGrid w:val="0"/>
                <w:color w:val="000000"/>
                <w:kern w:val="0"/>
                <w:sz w:val="18"/>
                <w:szCs w:val="18"/>
                <w:u w:val="none"/>
                <w:lang w:val="en-US" w:eastAsia="zh-CN" w:bidi="ar"/>
              </w:rPr>
              <w:t>7.课程审核：支持学校管理员对本校教师申请发布的课程进行审核，监控公开课程资源的质量。</w:t>
            </w:r>
            <w:r>
              <w:rPr>
                <w:rFonts w:hint="default" w:ascii="Times New Roman" w:hAnsi="Times New Roman" w:eastAsia="方正仿宋_GBK" w:cs="Times New Roman"/>
                <w:i w:val="0"/>
                <w:iCs w:val="0"/>
                <w:snapToGrid w:val="0"/>
                <w:color w:val="000000"/>
                <w:kern w:val="0"/>
                <w:sz w:val="18"/>
                <w:szCs w:val="18"/>
                <w:u w:val="none"/>
                <w:lang w:val="en-US" w:eastAsia="zh-CN" w:bidi="ar"/>
              </w:rPr>
              <w:br w:type="textWrapping"/>
            </w:r>
            <w:r>
              <w:rPr>
                <w:rFonts w:hint="default" w:ascii="Times New Roman" w:hAnsi="Times New Roman" w:eastAsia="方正仿宋_GBK" w:cs="Times New Roman"/>
                <w:i w:val="0"/>
                <w:iCs w:val="0"/>
                <w:snapToGrid w:val="0"/>
                <w:color w:val="000000"/>
                <w:kern w:val="0"/>
                <w:sz w:val="18"/>
                <w:szCs w:val="18"/>
                <w:u w:val="none"/>
                <w:lang w:val="en-US" w:eastAsia="zh-CN" w:bidi="ar"/>
              </w:rPr>
              <w:t>8.课程评论：支持用户对已发布视频进行视频打点并插入课堂评价，所评论内容需关联视频对应时间点。平台支持用户在线发表视频评论，所评论内容支持</w:t>
            </w:r>
            <w:r>
              <w:rPr>
                <w:rFonts w:hint="eastAsia" w:ascii="Times New Roman" w:hAnsi="Times New Roman" w:eastAsia="方正仿宋_GBK" w:cs="Times New Roman"/>
                <w:i w:val="0"/>
                <w:iCs w:val="0"/>
                <w:snapToGrid w:val="0"/>
                <w:color w:val="000000"/>
                <w:kern w:val="0"/>
                <w:sz w:val="18"/>
                <w:szCs w:val="18"/>
                <w:u w:val="none"/>
                <w:lang w:val="en-US" w:eastAsia="zh-CN" w:bidi="ar"/>
              </w:rPr>
              <w:t>以</w:t>
            </w:r>
            <w:r>
              <w:rPr>
                <w:rFonts w:hint="default" w:ascii="Times New Roman" w:hAnsi="Times New Roman" w:eastAsia="方正仿宋_GBK" w:cs="Times New Roman"/>
                <w:i w:val="0"/>
                <w:iCs w:val="0"/>
                <w:snapToGrid w:val="0"/>
                <w:color w:val="000000"/>
                <w:kern w:val="0"/>
                <w:sz w:val="18"/>
                <w:szCs w:val="18"/>
                <w:u w:val="none"/>
                <w:lang w:val="en-US" w:eastAsia="zh-CN" w:bidi="ar"/>
              </w:rPr>
              <w:t>消息提示方式自动提醒授课教师。支持管理员对用户评论进行信息管理，可选择性删除评论内容，管控评论秩序。</w:t>
            </w:r>
            <w:r>
              <w:rPr>
                <w:rFonts w:hint="default" w:ascii="Times New Roman" w:hAnsi="Times New Roman" w:eastAsia="方正仿宋_GBK" w:cs="Times New Roman"/>
                <w:i w:val="0"/>
                <w:iCs w:val="0"/>
                <w:snapToGrid w:val="0"/>
                <w:color w:val="000000"/>
                <w:kern w:val="0"/>
                <w:sz w:val="18"/>
                <w:szCs w:val="18"/>
                <w:u w:val="none"/>
                <w:lang w:val="en-US" w:eastAsia="zh-CN" w:bidi="ar"/>
              </w:rPr>
              <w:br w:type="textWrapping"/>
            </w:r>
            <w:r>
              <w:rPr>
                <w:rFonts w:hint="default" w:ascii="Times New Roman" w:hAnsi="Times New Roman" w:eastAsia="方正仿宋_GBK" w:cs="Times New Roman"/>
                <w:i w:val="0"/>
                <w:iCs w:val="0"/>
                <w:snapToGrid w:val="0"/>
                <w:color w:val="000000"/>
                <w:kern w:val="0"/>
                <w:sz w:val="18"/>
                <w:szCs w:val="18"/>
                <w:u w:val="none"/>
                <w:lang w:val="en-US" w:eastAsia="zh-CN" w:bidi="ar"/>
              </w:rPr>
              <w:t>9.公网直播：学校管理员可设置录播设备的直播模式为公网直播，自由发起公网直播活动，方便举办公开课、校园培训等活动。</w:t>
            </w:r>
            <w:r>
              <w:rPr>
                <w:rFonts w:hint="default" w:ascii="Times New Roman" w:hAnsi="Times New Roman" w:eastAsia="方正仿宋_GBK" w:cs="Times New Roman"/>
                <w:i w:val="0"/>
                <w:iCs w:val="0"/>
                <w:snapToGrid w:val="0"/>
                <w:color w:val="000000"/>
                <w:kern w:val="0"/>
                <w:sz w:val="18"/>
                <w:szCs w:val="18"/>
                <w:u w:val="none"/>
                <w:lang w:val="en-US" w:eastAsia="zh-CN" w:bidi="ar"/>
              </w:rPr>
              <w:br w:type="textWrapping"/>
            </w:r>
            <w:r>
              <w:rPr>
                <w:rFonts w:hint="default" w:ascii="Times New Roman" w:hAnsi="Times New Roman" w:eastAsia="方正仿宋_GBK" w:cs="Times New Roman"/>
                <w:i w:val="0"/>
                <w:iCs w:val="0"/>
                <w:snapToGrid w:val="0"/>
                <w:color w:val="000000"/>
                <w:kern w:val="0"/>
                <w:sz w:val="18"/>
                <w:szCs w:val="18"/>
                <w:u w:val="none"/>
                <w:lang w:val="en-US" w:eastAsia="zh-CN" w:bidi="ar"/>
              </w:rPr>
              <w:t>10.全局调度系统：实时收集节点负载、网络质量，并根据终端用户的 IP，将用户请求引导至最优的节点，以降低时延，提升流畅率。</w:t>
            </w:r>
            <w:r>
              <w:rPr>
                <w:rFonts w:hint="default" w:ascii="Times New Roman" w:hAnsi="Times New Roman" w:eastAsia="方正仿宋_GBK" w:cs="Times New Roman"/>
                <w:i w:val="0"/>
                <w:iCs w:val="0"/>
                <w:snapToGrid w:val="0"/>
                <w:color w:val="000000"/>
                <w:kern w:val="0"/>
                <w:sz w:val="18"/>
                <w:szCs w:val="18"/>
                <w:u w:val="none"/>
                <w:lang w:val="en-US" w:eastAsia="zh-CN" w:bidi="ar"/>
              </w:rPr>
              <w:br w:type="textWrapping"/>
            </w:r>
            <w:r>
              <w:rPr>
                <w:rFonts w:hint="default" w:ascii="Times New Roman" w:hAnsi="Times New Roman" w:eastAsia="方正仿宋_GBK" w:cs="Times New Roman"/>
                <w:i w:val="0"/>
                <w:iCs w:val="0"/>
                <w:snapToGrid w:val="0"/>
                <w:color w:val="000000"/>
                <w:kern w:val="0"/>
                <w:sz w:val="18"/>
                <w:szCs w:val="18"/>
                <w:u w:val="none"/>
                <w:lang w:val="en-US" w:eastAsia="zh-CN" w:bidi="ar"/>
              </w:rPr>
              <w:t>11.冗余带宽：云服务器具备T级的带宽储备和百万级并发承载能力，可应对突发增量的用户访问。</w:t>
            </w:r>
            <w:r>
              <w:rPr>
                <w:rFonts w:hint="default" w:ascii="Times New Roman" w:hAnsi="Times New Roman" w:eastAsia="方正仿宋_GBK" w:cs="Times New Roman"/>
                <w:i w:val="0"/>
                <w:iCs w:val="0"/>
                <w:snapToGrid w:val="0"/>
                <w:color w:val="000000"/>
                <w:kern w:val="0"/>
                <w:sz w:val="18"/>
                <w:szCs w:val="18"/>
                <w:u w:val="none"/>
                <w:lang w:val="en-US" w:eastAsia="zh-CN" w:bidi="ar"/>
              </w:rPr>
              <w:br w:type="textWrapping"/>
            </w:r>
            <w:r>
              <w:rPr>
                <w:rFonts w:hint="default" w:ascii="Times New Roman" w:hAnsi="Times New Roman" w:eastAsia="方正仿宋_GBK" w:cs="Times New Roman"/>
                <w:i w:val="0"/>
                <w:iCs w:val="0"/>
                <w:snapToGrid w:val="0"/>
                <w:color w:val="000000"/>
                <w:kern w:val="0"/>
                <w:sz w:val="18"/>
                <w:szCs w:val="18"/>
                <w:u w:val="none"/>
                <w:lang w:val="en-US" w:eastAsia="zh-CN" w:bidi="ar"/>
              </w:rPr>
              <w:t>12.直播活动：支持用户创建直播，提前设置预约直播信息，并获取直播地址及二维码海报，方便提前发布直播信息。</w:t>
            </w:r>
            <w:r>
              <w:rPr>
                <w:rFonts w:hint="default" w:ascii="Times New Roman" w:hAnsi="Times New Roman" w:eastAsia="方正仿宋_GBK" w:cs="Times New Roman"/>
                <w:i w:val="0"/>
                <w:iCs w:val="0"/>
                <w:snapToGrid w:val="0"/>
                <w:color w:val="000000"/>
                <w:kern w:val="0"/>
                <w:sz w:val="18"/>
                <w:szCs w:val="18"/>
                <w:u w:val="none"/>
                <w:lang w:val="en-US" w:eastAsia="zh-CN" w:bidi="ar"/>
              </w:rPr>
              <w:br w:type="textWrapping"/>
            </w:r>
            <w:r>
              <w:rPr>
                <w:rFonts w:hint="default" w:ascii="Times New Roman" w:hAnsi="Times New Roman" w:eastAsia="方正仿宋_GBK" w:cs="Times New Roman"/>
                <w:i w:val="0"/>
                <w:iCs w:val="0"/>
                <w:snapToGrid w:val="0"/>
                <w:color w:val="000000"/>
                <w:kern w:val="0"/>
                <w:sz w:val="18"/>
                <w:szCs w:val="18"/>
                <w:u w:val="none"/>
                <w:lang w:val="en-US" w:eastAsia="zh-CN" w:bidi="ar"/>
              </w:rPr>
              <w:t>13.直播工作台：创建直播时支持添加直播助教；助教进入工作台可进行直播间秩序维护，具体功能包括：</w:t>
            </w:r>
            <w:r>
              <w:rPr>
                <w:rFonts w:hint="default" w:ascii="Times New Roman" w:hAnsi="Times New Roman" w:eastAsia="方正仿宋_GBK" w:cs="Times New Roman"/>
                <w:i w:val="0"/>
                <w:iCs w:val="0"/>
                <w:snapToGrid w:val="0"/>
                <w:color w:val="000000"/>
                <w:kern w:val="0"/>
                <w:sz w:val="18"/>
                <w:szCs w:val="18"/>
                <w:u w:val="none"/>
                <w:lang w:val="en-US" w:eastAsia="zh-CN" w:bidi="ar"/>
              </w:rPr>
              <w:br w:type="textWrapping"/>
            </w:r>
            <w:r>
              <w:rPr>
                <w:rFonts w:hint="default" w:ascii="Times New Roman" w:hAnsi="Times New Roman" w:eastAsia="方正仿宋_GBK" w:cs="Times New Roman"/>
                <w:i w:val="0"/>
                <w:iCs w:val="0"/>
                <w:snapToGrid w:val="0"/>
                <w:color w:val="000000"/>
                <w:kern w:val="0"/>
                <w:sz w:val="18"/>
                <w:szCs w:val="18"/>
                <w:u w:val="none"/>
                <w:lang w:val="en-US" w:eastAsia="zh-CN" w:bidi="ar"/>
              </w:rPr>
              <w:t>14.删除留言：支持对观众聊天互动的发言记录进行单个/批量删除，保障教师间互动交流的友好秩序；</w:t>
            </w:r>
            <w:r>
              <w:rPr>
                <w:rFonts w:hint="default" w:ascii="Times New Roman" w:hAnsi="Times New Roman" w:eastAsia="方正仿宋_GBK" w:cs="Times New Roman"/>
                <w:i w:val="0"/>
                <w:iCs w:val="0"/>
                <w:snapToGrid w:val="0"/>
                <w:color w:val="000000"/>
                <w:kern w:val="0"/>
                <w:sz w:val="18"/>
                <w:szCs w:val="18"/>
                <w:u w:val="none"/>
                <w:lang w:val="en-US" w:eastAsia="zh-CN" w:bidi="ar"/>
              </w:rPr>
              <w:br w:type="textWrapping"/>
            </w:r>
            <w:r>
              <w:rPr>
                <w:rFonts w:hint="default" w:ascii="Times New Roman" w:hAnsi="Times New Roman" w:eastAsia="方正仿宋_GBK" w:cs="Times New Roman"/>
                <w:i w:val="0"/>
                <w:iCs w:val="0"/>
                <w:snapToGrid w:val="0"/>
                <w:color w:val="000000"/>
                <w:kern w:val="0"/>
                <w:sz w:val="18"/>
                <w:szCs w:val="18"/>
                <w:u w:val="none"/>
                <w:lang w:val="en-US" w:eastAsia="zh-CN" w:bidi="ar"/>
              </w:rPr>
              <w:t>15.禁言观众：支持对观众进行单个/批量的禁言，禁言后观众将不能在直播互动中发表言论，避免不法人员在公众场合捣乱。</w:t>
            </w:r>
            <w:r>
              <w:rPr>
                <w:rFonts w:hint="default" w:ascii="Times New Roman" w:hAnsi="Times New Roman" w:eastAsia="方正仿宋_GBK" w:cs="Times New Roman"/>
                <w:i w:val="0"/>
                <w:iCs w:val="0"/>
                <w:snapToGrid w:val="0"/>
                <w:color w:val="000000"/>
                <w:kern w:val="0"/>
                <w:sz w:val="18"/>
                <w:szCs w:val="18"/>
                <w:u w:val="none"/>
                <w:lang w:val="en-US" w:eastAsia="zh-CN" w:bidi="ar"/>
              </w:rPr>
              <w:br w:type="textWrapping"/>
            </w:r>
            <w:r>
              <w:rPr>
                <w:rFonts w:hint="default" w:ascii="Times New Roman" w:hAnsi="Times New Roman" w:eastAsia="方正仿宋_GBK" w:cs="Times New Roman"/>
                <w:i w:val="0"/>
                <w:iCs w:val="0"/>
                <w:snapToGrid w:val="0"/>
                <w:color w:val="000000"/>
                <w:kern w:val="0"/>
                <w:sz w:val="18"/>
                <w:szCs w:val="18"/>
                <w:u w:val="none"/>
                <w:lang w:val="en-US" w:eastAsia="zh-CN" w:bidi="ar"/>
              </w:rPr>
              <w:t>16.直播分享：用户可一键生成链接并进行分享，其他用户通过打开链接的方式，可登录观看直播视频。</w:t>
            </w:r>
            <w:r>
              <w:rPr>
                <w:rFonts w:hint="default" w:ascii="Times New Roman" w:hAnsi="Times New Roman" w:eastAsia="方正仿宋_GBK" w:cs="Times New Roman"/>
                <w:i w:val="0"/>
                <w:iCs w:val="0"/>
                <w:snapToGrid w:val="0"/>
                <w:color w:val="000000"/>
                <w:kern w:val="0"/>
                <w:sz w:val="18"/>
                <w:szCs w:val="18"/>
                <w:u w:val="none"/>
                <w:lang w:val="en-US" w:eastAsia="zh-CN" w:bidi="ar"/>
              </w:rPr>
              <w:br w:type="textWrapping"/>
            </w:r>
            <w:r>
              <w:rPr>
                <w:rFonts w:hint="default" w:ascii="Times New Roman" w:hAnsi="Times New Roman" w:eastAsia="方正仿宋_GBK" w:cs="Times New Roman"/>
                <w:i w:val="0"/>
                <w:iCs w:val="0"/>
                <w:snapToGrid w:val="0"/>
                <w:color w:val="000000"/>
                <w:kern w:val="0"/>
                <w:sz w:val="18"/>
                <w:szCs w:val="18"/>
                <w:u w:val="none"/>
                <w:lang w:val="en-US" w:eastAsia="zh-CN" w:bidi="ar"/>
              </w:rPr>
              <w:t>17.活动预告：支持PC端、移动端通过分享链接地址，查看直播活动的相关信息，包括封面、活动名称、学校名称、活动开始时间、简介、预览课件等；在预览课件时，用户可在课件上进行书写、擦除、移动图片素材等操作，且操作不影响原课件内容，方便评课老师在直播开始前，预览主讲老师的课件。</w:t>
            </w:r>
            <w:r>
              <w:rPr>
                <w:rFonts w:hint="default" w:ascii="Times New Roman" w:hAnsi="Times New Roman" w:eastAsia="方正仿宋_GBK" w:cs="Times New Roman"/>
                <w:i w:val="0"/>
                <w:iCs w:val="0"/>
                <w:snapToGrid w:val="0"/>
                <w:color w:val="000000"/>
                <w:kern w:val="0"/>
                <w:sz w:val="18"/>
                <w:szCs w:val="18"/>
                <w:u w:val="none"/>
                <w:lang w:val="en-US" w:eastAsia="zh-CN" w:bidi="ar"/>
              </w:rPr>
              <w:br w:type="textWrapping"/>
            </w:r>
            <w:r>
              <w:rPr>
                <w:rFonts w:hint="default" w:ascii="Times New Roman" w:hAnsi="Times New Roman" w:eastAsia="方正仿宋_GBK" w:cs="Times New Roman"/>
                <w:i w:val="0"/>
                <w:iCs w:val="0"/>
                <w:snapToGrid w:val="0"/>
                <w:color w:val="000000"/>
                <w:kern w:val="0"/>
                <w:sz w:val="18"/>
                <w:szCs w:val="18"/>
                <w:u w:val="none"/>
                <w:lang w:val="en-US" w:eastAsia="zh-CN" w:bidi="ar"/>
              </w:rPr>
              <w:t>18.禁言要求：直播开始前和直播过程中，支持用户修改观众聊天互动的权限；可设置为观众禁言，仅允许管理员进行发言，把控直播活动的纪律。</w:t>
            </w:r>
            <w:r>
              <w:rPr>
                <w:rFonts w:hint="default" w:ascii="Times New Roman" w:hAnsi="Times New Roman" w:eastAsia="方正仿宋_GBK" w:cs="Times New Roman"/>
                <w:i w:val="0"/>
                <w:iCs w:val="0"/>
                <w:snapToGrid w:val="0"/>
                <w:color w:val="000000"/>
                <w:kern w:val="0"/>
                <w:sz w:val="18"/>
                <w:szCs w:val="18"/>
                <w:u w:val="none"/>
                <w:lang w:val="en-US" w:eastAsia="zh-CN" w:bidi="ar"/>
              </w:rPr>
              <w:br w:type="textWrapping"/>
            </w:r>
            <w:r>
              <w:rPr>
                <w:rFonts w:hint="default" w:ascii="Times New Roman" w:hAnsi="Times New Roman" w:eastAsia="方正仿宋_GBK" w:cs="Times New Roman"/>
                <w:i w:val="0"/>
                <w:iCs w:val="0"/>
                <w:snapToGrid w:val="0"/>
                <w:color w:val="000000"/>
                <w:kern w:val="0"/>
                <w:sz w:val="18"/>
                <w:szCs w:val="18"/>
                <w:u w:val="none"/>
                <w:lang w:val="en-US" w:eastAsia="zh-CN" w:bidi="ar"/>
              </w:rPr>
              <w:t>19.签到设置：支持在直播活动开始前，设置签到规则；可选择观众首次进入直播进行签到，或直播开始后15分钟开始签到，适应不同的直播场景。</w:t>
            </w:r>
            <w:r>
              <w:rPr>
                <w:rFonts w:hint="default" w:ascii="Times New Roman" w:hAnsi="Times New Roman" w:eastAsia="方正仿宋_GBK" w:cs="Times New Roman"/>
                <w:i w:val="0"/>
                <w:iCs w:val="0"/>
                <w:snapToGrid w:val="0"/>
                <w:color w:val="000000"/>
                <w:kern w:val="0"/>
                <w:sz w:val="18"/>
                <w:szCs w:val="18"/>
                <w:u w:val="none"/>
                <w:lang w:val="en-US" w:eastAsia="zh-CN" w:bidi="ar"/>
              </w:rPr>
              <w:br w:type="textWrapping"/>
            </w:r>
            <w:r>
              <w:rPr>
                <w:rFonts w:hint="default" w:ascii="Times New Roman" w:hAnsi="Times New Roman" w:eastAsia="方正仿宋_GBK" w:cs="Times New Roman"/>
                <w:i w:val="0"/>
                <w:iCs w:val="0"/>
                <w:snapToGrid w:val="0"/>
                <w:color w:val="000000"/>
                <w:kern w:val="0"/>
                <w:sz w:val="18"/>
                <w:szCs w:val="18"/>
                <w:u w:val="none"/>
                <w:lang w:val="en-US" w:eastAsia="zh-CN" w:bidi="ar"/>
              </w:rPr>
              <w:t>20.直播数据：直播开始后，支持查看直播的人气峰值、观看人次、累计点赞、观众发言次数、签到人数等数据，随时掌握直播情况。</w:t>
            </w:r>
            <w:r>
              <w:rPr>
                <w:rFonts w:hint="default" w:ascii="Times New Roman" w:hAnsi="Times New Roman" w:eastAsia="方正仿宋_GBK" w:cs="Times New Roman"/>
                <w:i w:val="0"/>
                <w:iCs w:val="0"/>
                <w:snapToGrid w:val="0"/>
                <w:color w:val="000000"/>
                <w:kern w:val="0"/>
                <w:sz w:val="18"/>
                <w:szCs w:val="18"/>
                <w:u w:val="none"/>
                <w:lang w:val="en-US" w:eastAsia="zh-CN" w:bidi="ar"/>
              </w:rPr>
              <w:br w:type="textWrapping"/>
            </w:r>
            <w:r>
              <w:rPr>
                <w:rFonts w:hint="default" w:ascii="Times New Roman" w:hAnsi="Times New Roman" w:eastAsia="方正仿宋_GBK" w:cs="Times New Roman"/>
                <w:i w:val="0"/>
                <w:iCs w:val="0"/>
                <w:snapToGrid w:val="0"/>
                <w:color w:val="000000"/>
                <w:kern w:val="0"/>
                <w:sz w:val="18"/>
                <w:szCs w:val="18"/>
                <w:u w:val="none"/>
                <w:lang w:val="en-US" w:eastAsia="zh-CN" w:bidi="ar"/>
              </w:rPr>
              <w:t>21.管理直播回放：教师可选择直播中各时段生成的回放视频，删除不必要的回放片段，或选择发布至专递示范课/名校网络课堂/名师示范课，方便其他师生观看。</w:t>
            </w:r>
          </w:p>
        </w:tc>
        <w:tc>
          <w:tcPr>
            <w:tcW w:w="4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B89296">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方正仿宋_GBK" w:cs="Times New Roman"/>
                <w:i w:val="0"/>
                <w:iCs w:val="0"/>
                <w:color w:val="000000"/>
                <w:sz w:val="18"/>
                <w:szCs w:val="18"/>
                <w:u w:val="none"/>
              </w:rPr>
            </w:pPr>
            <w:r>
              <w:rPr>
                <w:rFonts w:hint="default" w:ascii="Times New Roman" w:hAnsi="Times New Roman" w:eastAsia="方正仿宋_GBK" w:cs="Times New Roman"/>
                <w:i w:val="0"/>
                <w:iCs w:val="0"/>
                <w:snapToGrid w:val="0"/>
                <w:color w:val="000000"/>
                <w:kern w:val="0"/>
                <w:sz w:val="18"/>
                <w:szCs w:val="18"/>
                <w:u w:val="none"/>
                <w:lang w:val="en-US" w:eastAsia="zh-CN" w:bidi="ar"/>
              </w:rPr>
              <w:t>1</w:t>
            </w:r>
          </w:p>
        </w:tc>
        <w:tc>
          <w:tcPr>
            <w:tcW w:w="4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38DCCC">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方正仿宋_GBK" w:cs="Times New Roman"/>
                <w:i w:val="0"/>
                <w:iCs w:val="0"/>
                <w:color w:val="000000"/>
                <w:sz w:val="18"/>
                <w:szCs w:val="18"/>
                <w:u w:val="none"/>
              </w:rPr>
            </w:pPr>
            <w:r>
              <w:rPr>
                <w:rFonts w:hint="default" w:ascii="Times New Roman" w:hAnsi="Times New Roman" w:eastAsia="方正仿宋_GBK" w:cs="Times New Roman"/>
                <w:i w:val="0"/>
                <w:iCs w:val="0"/>
                <w:snapToGrid w:val="0"/>
                <w:color w:val="000000"/>
                <w:kern w:val="0"/>
                <w:sz w:val="18"/>
                <w:szCs w:val="18"/>
                <w:u w:val="none"/>
                <w:lang w:val="en-US" w:eastAsia="zh-CN" w:bidi="ar"/>
              </w:rPr>
              <w:t>套</w:t>
            </w:r>
          </w:p>
        </w:tc>
      </w:tr>
      <w:tr w14:paraId="4AA25F6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273" w:hRule="atLeast"/>
        </w:trPr>
        <w:tc>
          <w:tcPr>
            <w:tcW w:w="4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3DFD77">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方正仿宋_GBK" w:cs="Times New Roman"/>
                <w:i w:val="0"/>
                <w:iCs w:val="0"/>
                <w:color w:val="000000"/>
                <w:sz w:val="18"/>
                <w:szCs w:val="18"/>
                <w:u w:val="none"/>
              </w:rPr>
            </w:pPr>
            <w:r>
              <w:rPr>
                <w:rFonts w:hint="default" w:ascii="Times New Roman" w:hAnsi="Times New Roman" w:eastAsia="方正仿宋_GBK" w:cs="Times New Roman"/>
                <w:i w:val="0"/>
                <w:iCs w:val="0"/>
                <w:snapToGrid w:val="0"/>
                <w:color w:val="000000"/>
                <w:kern w:val="0"/>
                <w:sz w:val="18"/>
                <w:szCs w:val="18"/>
                <w:u w:val="none"/>
                <w:lang w:val="en-US" w:eastAsia="zh-CN" w:bidi="ar"/>
              </w:rPr>
              <w:t>13</w:t>
            </w:r>
          </w:p>
        </w:tc>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7B2731">
            <w:pPr>
              <w:keepNext w:val="0"/>
              <w:keepLines w:val="0"/>
              <w:widowControl/>
              <w:suppressLineNumbers w:val="0"/>
              <w:spacing w:before="0" w:beforeAutospacing="0" w:after="0" w:afterAutospacing="0"/>
              <w:ind w:left="0" w:right="0"/>
              <w:jc w:val="left"/>
              <w:textAlignment w:val="center"/>
              <w:rPr>
                <w:rFonts w:hint="default" w:ascii="Times New Roman" w:hAnsi="Times New Roman" w:eastAsia="方正仿宋_GBK" w:cs="Times New Roman"/>
                <w:i w:val="0"/>
                <w:iCs w:val="0"/>
                <w:color w:val="000000"/>
                <w:sz w:val="18"/>
                <w:szCs w:val="18"/>
                <w:u w:val="none"/>
              </w:rPr>
            </w:pPr>
            <w:r>
              <w:rPr>
                <w:rFonts w:hint="default" w:ascii="Times New Roman" w:hAnsi="Times New Roman" w:eastAsia="方正仿宋_GBK" w:cs="Times New Roman"/>
                <w:i w:val="0"/>
                <w:iCs w:val="0"/>
                <w:snapToGrid w:val="0"/>
                <w:color w:val="000000"/>
                <w:kern w:val="0"/>
                <w:sz w:val="18"/>
                <w:szCs w:val="18"/>
                <w:u w:val="none"/>
                <w:lang w:val="en-US" w:eastAsia="zh-CN" w:bidi="ar"/>
              </w:rPr>
              <w:t>课堂分析服务器</w:t>
            </w:r>
          </w:p>
        </w:tc>
        <w:tc>
          <w:tcPr>
            <w:tcW w:w="72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46439F">
            <w:pPr>
              <w:keepNext w:val="0"/>
              <w:keepLines w:val="0"/>
              <w:widowControl/>
              <w:suppressLineNumbers w:val="0"/>
              <w:spacing w:before="0" w:beforeAutospacing="0" w:after="0" w:afterAutospacing="0"/>
              <w:ind w:left="0" w:right="0"/>
              <w:jc w:val="left"/>
              <w:textAlignment w:val="center"/>
              <w:rPr>
                <w:rFonts w:hint="default" w:ascii="Times New Roman" w:hAnsi="Times New Roman" w:eastAsia="方正仿宋_GBK" w:cs="Times New Roman"/>
                <w:i w:val="0"/>
                <w:iCs w:val="0"/>
                <w:color w:val="000000"/>
                <w:sz w:val="18"/>
                <w:szCs w:val="18"/>
                <w:u w:val="none"/>
              </w:rPr>
            </w:pPr>
            <w:r>
              <w:rPr>
                <w:rFonts w:hint="default" w:ascii="Times New Roman" w:hAnsi="Times New Roman" w:eastAsia="方正仿宋_GBK" w:cs="Times New Roman"/>
                <w:i w:val="0"/>
                <w:iCs w:val="0"/>
                <w:snapToGrid w:val="0"/>
                <w:color w:val="000000"/>
                <w:kern w:val="0"/>
                <w:sz w:val="18"/>
                <w:szCs w:val="18"/>
                <w:u w:val="none"/>
                <w:lang w:val="en-US" w:eastAsia="zh-CN" w:bidi="ar"/>
              </w:rPr>
              <w:t>1.搭载性能≥Intel I7，12代CPU，12核，20线程，最高睿频 4.9GHz。</w:t>
            </w:r>
            <w:r>
              <w:rPr>
                <w:rFonts w:hint="default" w:ascii="Times New Roman" w:hAnsi="Times New Roman" w:eastAsia="方正仿宋_GBK" w:cs="Times New Roman"/>
                <w:i w:val="0"/>
                <w:iCs w:val="0"/>
                <w:snapToGrid w:val="0"/>
                <w:color w:val="000000"/>
                <w:kern w:val="0"/>
                <w:sz w:val="18"/>
                <w:szCs w:val="18"/>
                <w:u w:val="none"/>
                <w:lang w:val="en-US" w:eastAsia="zh-CN" w:bidi="ar"/>
              </w:rPr>
              <w:br w:type="textWrapping"/>
            </w:r>
            <w:r>
              <w:rPr>
                <w:rFonts w:hint="default" w:ascii="Times New Roman" w:hAnsi="Times New Roman" w:eastAsia="方正仿宋_GBK" w:cs="Times New Roman"/>
                <w:i w:val="0"/>
                <w:iCs w:val="0"/>
                <w:snapToGrid w:val="0"/>
                <w:color w:val="000000"/>
                <w:kern w:val="0"/>
                <w:sz w:val="18"/>
                <w:szCs w:val="18"/>
                <w:u w:val="none"/>
                <w:lang w:val="en-US" w:eastAsia="zh-CN" w:bidi="ar"/>
              </w:rPr>
              <w:t>2.内置DDR内存条，总内存≥96GB。</w:t>
            </w:r>
            <w:r>
              <w:rPr>
                <w:rFonts w:hint="default" w:ascii="Times New Roman" w:hAnsi="Times New Roman" w:eastAsia="方正仿宋_GBK" w:cs="Times New Roman"/>
                <w:i w:val="0"/>
                <w:iCs w:val="0"/>
                <w:snapToGrid w:val="0"/>
                <w:color w:val="000000"/>
                <w:kern w:val="0"/>
                <w:sz w:val="18"/>
                <w:szCs w:val="18"/>
                <w:u w:val="none"/>
                <w:lang w:val="en-US" w:eastAsia="zh-CN" w:bidi="ar"/>
              </w:rPr>
              <w:br w:type="textWrapping"/>
            </w:r>
            <w:r>
              <w:rPr>
                <w:rFonts w:hint="default" w:ascii="Times New Roman" w:hAnsi="Times New Roman" w:eastAsia="方正仿宋_GBK" w:cs="Times New Roman"/>
                <w:i w:val="0"/>
                <w:iCs w:val="0"/>
                <w:snapToGrid w:val="0"/>
                <w:color w:val="000000"/>
                <w:kern w:val="0"/>
                <w:sz w:val="18"/>
                <w:szCs w:val="18"/>
                <w:u w:val="none"/>
                <w:lang w:val="en-US" w:eastAsia="zh-CN" w:bidi="ar"/>
              </w:rPr>
              <w:t>3.内置企业级硬盘，系统盘和数据居分盘运行，系统盘采用≥512GB SSD，数据盘采用≥16TB HDD。</w:t>
            </w:r>
            <w:r>
              <w:rPr>
                <w:rFonts w:hint="default" w:ascii="Times New Roman" w:hAnsi="Times New Roman" w:eastAsia="方正仿宋_GBK" w:cs="Times New Roman"/>
                <w:i w:val="0"/>
                <w:iCs w:val="0"/>
                <w:snapToGrid w:val="0"/>
                <w:color w:val="000000"/>
                <w:kern w:val="0"/>
                <w:sz w:val="18"/>
                <w:szCs w:val="18"/>
                <w:u w:val="none"/>
                <w:lang w:val="en-US" w:eastAsia="zh-CN" w:bidi="ar"/>
              </w:rPr>
              <w:br w:type="textWrapping"/>
            </w:r>
            <w:r>
              <w:rPr>
                <w:rFonts w:hint="default" w:ascii="Times New Roman" w:hAnsi="Times New Roman" w:eastAsia="方正仿宋_GBK" w:cs="Times New Roman"/>
                <w:i w:val="0"/>
                <w:iCs w:val="0"/>
                <w:snapToGrid w:val="0"/>
                <w:color w:val="000000"/>
                <w:kern w:val="0"/>
                <w:sz w:val="18"/>
                <w:szCs w:val="18"/>
                <w:u w:val="none"/>
                <w:lang w:val="en-US" w:eastAsia="zh-CN" w:bidi="ar"/>
              </w:rPr>
              <w:t>4.内置 NVIDIA RTX专业显卡，显示内存≥16GB。</w:t>
            </w:r>
            <w:r>
              <w:rPr>
                <w:rFonts w:hint="default" w:ascii="Times New Roman" w:hAnsi="Times New Roman" w:eastAsia="方正仿宋_GBK" w:cs="Times New Roman"/>
                <w:i w:val="0"/>
                <w:iCs w:val="0"/>
                <w:snapToGrid w:val="0"/>
                <w:color w:val="000000"/>
                <w:kern w:val="0"/>
                <w:sz w:val="18"/>
                <w:szCs w:val="18"/>
                <w:u w:val="none"/>
                <w:lang w:val="en-US" w:eastAsia="zh-CN" w:bidi="ar"/>
              </w:rPr>
              <w:br w:type="textWrapping"/>
            </w:r>
            <w:r>
              <w:rPr>
                <w:rFonts w:hint="default" w:ascii="Times New Roman" w:hAnsi="Times New Roman" w:eastAsia="方正仿宋_GBK" w:cs="Times New Roman"/>
                <w:i w:val="0"/>
                <w:iCs w:val="0"/>
                <w:snapToGrid w:val="0"/>
                <w:color w:val="000000"/>
                <w:kern w:val="0"/>
                <w:sz w:val="18"/>
                <w:szCs w:val="18"/>
                <w:u w:val="none"/>
                <w:lang w:val="en-US" w:eastAsia="zh-CN" w:bidi="ar"/>
              </w:rPr>
              <w:t>5.机箱接口：支持≥2个1000M LAN口，≥2个USB，≥3个视频输出接口，可支持HDMI及DP</w:t>
            </w:r>
            <w:r>
              <w:rPr>
                <w:rFonts w:hint="default" w:ascii="Times New Roman" w:hAnsi="Times New Roman" w:eastAsia="方正仿宋_GBK" w:cs="Times New Roman"/>
                <w:i w:val="0"/>
                <w:iCs w:val="0"/>
                <w:snapToGrid w:val="0"/>
                <w:color w:val="000000"/>
                <w:kern w:val="0"/>
                <w:sz w:val="18"/>
                <w:szCs w:val="18"/>
                <w:u w:val="none"/>
                <w:lang w:val="en-US" w:eastAsia="zh-CN" w:bidi="ar"/>
              </w:rPr>
              <w:br w:type="textWrapping"/>
            </w:r>
            <w:r>
              <w:rPr>
                <w:rFonts w:hint="default" w:ascii="Times New Roman" w:hAnsi="Times New Roman" w:eastAsia="方正仿宋_GBK" w:cs="Times New Roman"/>
                <w:i w:val="0"/>
                <w:iCs w:val="0"/>
                <w:snapToGrid w:val="0"/>
                <w:color w:val="000000"/>
                <w:kern w:val="0"/>
                <w:sz w:val="18"/>
                <w:szCs w:val="18"/>
                <w:u w:val="none"/>
                <w:lang w:val="en-US" w:eastAsia="zh-CN" w:bidi="ar"/>
              </w:rPr>
              <w:t>6.内置Ai课堂分析系统。</w:t>
            </w:r>
          </w:p>
        </w:tc>
        <w:tc>
          <w:tcPr>
            <w:tcW w:w="4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F6B24D">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方正仿宋_GBK" w:cs="Times New Roman"/>
                <w:i w:val="0"/>
                <w:iCs w:val="0"/>
                <w:color w:val="000000"/>
                <w:sz w:val="18"/>
                <w:szCs w:val="18"/>
                <w:u w:val="none"/>
              </w:rPr>
            </w:pPr>
            <w:r>
              <w:rPr>
                <w:rFonts w:hint="default" w:ascii="Times New Roman" w:hAnsi="Times New Roman" w:eastAsia="方正仿宋_GBK" w:cs="Times New Roman"/>
                <w:i w:val="0"/>
                <w:iCs w:val="0"/>
                <w:snapToGrid w:val="0"/>
                <w:color w:val="000000"/>
                <w:kern w:val="0"/>
                <w:sz w:val="18"/>
                <w:szCs w:val="18"/>
                <w:u w:val="none"/>
                <w:lang w:val="en-US" w:eastAsia="zh-CN" w:bidi="ar"/>
              </w:rPr>
              <w:t>1</w:t>
            </w:r>
          </w:p>
        </w:tc>
        <w:tc>
          <w:tcPr>
            <w:tcW w:w="4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3A3704">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方正仿宋_GBK" w:cs="Times New Roman"/>
                <w:i w:val="0"/>
                <w:iCs w:val="0"/>
                <w:color w:val="000000"/>
                <w:sz w:val="18"/>
                <w:szCs w:val="18"/>
                <w:u w:val="none"/>
              </w:rPr>
            </w:pPr>
            <w:r>
              <w:rPr>
                <w:rFonts w:hint="default" w:ascii="Times New Roman" w:hAnsi="Times New Roman" w:eastAsia="方正仿宋_GBK" w:cs="Times New Roman"/>
                <w:i w:val="0"/>
                <w:iCs w:val="0"/>
                <w:snapToGrid w:val="0"/>
                <w:color w:val="000000"/>
                <w:kern w:val="0"/>
                <w:sz w:val="18"/>
                <w:szCs w:val="18"/>
                <w:u w:val="none"/>
                <w:lang w:val="en-US" w:eastAsia="zh-CN" w:bidi="ar"/>
              </w:rPr>
              <w:t>台</w:t>
            </w:r>
          </w:p>
        </w:tc>
      </w:tr>
      <w:bookmarkEnd w:id="1566"/>
      <w:bookmarkEnd w:id="1567"/>
      <w:bookmarkEnd w:id="1568"/>
      <w:bookmarkEnd w:id="1569"/>
      <w:bookmarkEnd w:id="1570"/>
      <w:bookmarkEnd w:id="1571"/>
    </w:tbl>
    <w:p w14:paraId="38DFBF5C">
      <w:pPr>
        <w:keepNext w:val="0"/>
        <w:keepLines w:val="0"/>
        <w:pageBreakBefore w:val="0"/>
        <w:widowControl w:val="0"/>
        <w:kinsoku/>
        <w:wordWrap/>
        <w:overflowPunct/>
        <w:topLinePunct w:val="0"/>
        <w:autoSpaceDE/>
        <w:autoSpaceDN/>
        <w:bidi w:val="0"/>
        <w:adjustRightInd/>
        <w:snapToGrid/>
        <w:spacing w:line="420" w:lineRule="atLeast"/>
        <w:ind w:firstLine="482" w:firstLineChars="200"/>
        <w:jc w:val="left"/>
        <w:textAlignment w:val="auto"/>
        <w:rPr>
          <w:rFonts w:ascii="仿宋" w:hAnsi="仿宋" w:eastAsia="仿宋" w:cs="Times New Roman"/>
          <w:b/>
          <w:kern w:val="0"/>
          <w:sz w:val="24"/>
          <w:szCs w:val="24"/>
        </w:rPr>
      </w:pPr>
      <w:bookmarkStart w:id="1574" w:name="_Toc20288"/>
      <w:bookmarkStart w:id="1575" w:name="_Toc29652"/>
      <w:bookmarkStart w:id="1576" w:name="_Toc19509"/>
      <w:bookmarkStart w:id="1577" w:name="_Toc6769"/>
      <w:bookmarkStart w:id="1578" w:name="_Toc5017"/>
      <w:bookmarkStart w:id="1579" w:name="_Toc7796"/>
      <w:bookmarkStart w:id="1580" w:name="_Toc18247"/>
      <w:bookmarkStart w:id="1581" w:name="_Toc27639"/>
      <w:r>
        <w:rPr>
          <w:rFonts w:hint="eastAsia" w:ascii="仿宋" w:hAnsi="仿宋" w:eastAsia="仿宋" w:cs="Times New Roman"/>
          <w:b/>
          <w:kern w:val="0"/>
          <w:sz w:val="24"/>
          <w:szCs w:val="24"/>
        </w:rPr>
        <w:t>一、货物（服务）需求：</w:t>
      </w:r>
    </w:p>
    <w:p w14:paraId="33295B63">
      <w:pPr>
        <w:keepNext w:val="0"/>
        <w:keepLines w:val="0"/>
        <w:pageBreakBefore w:val="0"/>
        <w:widowControl w:val="0"/>
        <w:kinsoku/>
        <w:wordWrap/>
        <w:overflowPunct/>
        <w:topLinePunct w:val="0"/>
        <w:autoSpaceDE/>
        <w:autoSpaceDN/>
        <w:bidi w:val="0"/>
        <w:adjustRightInd/>
        <w:snapToGrid/>
        <w:spacing w:line="420" w:lineRule="atLeast"/>
        <w:ind w:firstLine="480" w:firstLineChars="200"/>
        <w:textAlignment w:val="auto"/>
        <w:rPr>
          <w:rFonts w:ascii="仿宋" w:hAnsi="仿宋" w:eastAsia="仿宋" w:cs="Times New Roman"/>
          <w:kern w:val="0"/>
          <w:sz w:val="24"/>
          <w:szCs w:val="24"/>
        </w:rPr>
      </w:pPr>
      <w:r>
        <w:rPr>
          <w:rFonts w:hint="eastAsia" w:ascii="仿宋" w:hAnsi="仿宋" w:eastAsia="仿宋" w:cs="Times New Roman"/>
          <w:kern w:val="0"/>
          <w:sz w:val="24"/>
          <w:szCs w:val="24"/>
        </w:rPr>
        <w:t>我局对</w:t>
      </w:r>
      <w:r>
        <w:rPr>
          <w:rFonts w:hint="eastAsia" w:ascii="仿宋" w:hAnsi="仿宋" w:eastAsia="仿宋" w:cs="Times New Roman"/>
          <w:kern w:val="0"/>
          <w:sz w:val="24"/>
          <w:szCs w:val="24"/>
          <w:lang w:val="en-US" w:eastAsia="zh-CN"/>
        </w:rPr>
        <w:t>疏附县</w:t>
      </w:r>
      <w:r>
        <w:rPr>
          <w:rFonts w:hint="eastAsia" w:ascii="仿宋" w:hAnsi="仿宋" w:eastAsia="仿宋" w:cs="Times New Roman"/>
          <w:kern w:val="0"/>
          <w:sz w:val="24"/>
          <w:szCs w:val="24"/>
        </w:rPr>
        <w:t>202</w:t>
      </w:r>
      <w:r>
        <w:rPr>
          <w:rFonts w:hint="eastAsia" w:ascii="仿宋" w:hAnsi="仿宋" w:eastAsia="仿宋" w:cs="Times New Roman"/>
          <w:kern w:val="0"/>
          <w:sz w:val="24"/>
          <w:szCs w:val="24"/>
          <w:lang w:val="en-US" w:eastAsia="zh-CN"/>
        </w:rPr>
        <w:t>5</w:t>
      </w:r>
      <w:r>
        <w:rPr>
          <w:rFonts w:hint="eastAsia" w:ascii="仿宋" w:hAnsi="仿宋" w:eastAsia="仿宋" w:cs="Times New Roman"/>
          <w:kern w:val="0"/>
          <w:sz w:val="24"/>
          <w:szCs w:val="24"/>
        </w:rPr>
        <w:t>年</w:t>
      </w:r>
      <w:r>
        <w:rPr>
          <w:rFonts w:hint="eastAsia" w:ascii="仿宋" w:hAnsi="仿宋" w:eastAsia="仿宋" w:cs="Times New Roman"/>
          <w:kern w:val="0"/>
          <w:sz w:val="24"/>
          <w:szCs w:val="24"/>
          <w:lang w:val="en-US" w:eastAsia="zh-CN"/>
        </w:rPr>
        <w:t>精准补齐教育信息化设备</w:t>
      </w:r>
      <w:r>
        <w:rPr>
          <w:rFonts w:hint="eastAsia" w:ascii="仿宋" w:hAnsi="仿宋" w:eastAsia="仿宋" w:cs="Times New Roman"/>
          <w:kern w:val="0"/>
          <w:sz w:val="24"/>
          <w:szCs w:val="24"/>
        </w:rPr>
        <w:t>项目</w:t>
      </w:r>
      <w:r>
        <w:rPr>
          <w:rFonts w:hint="eastAsia" w:ascii="仿宋" w:hAnsi="仿宋" w:eastAsia="仿宋" w:cs="Times New Roman"/>
          <w:kern w:val="0"/>
          <w:sz w:val="24"/>
          <w:szCs w:val="24"/>
          <w:lang w:val="en-US" w:eastAsia="zh-CN"/>
        </w:rPr>
        <w:t>根</w:t>
      </w:r>
      <w:r>
        <w:rPr>
          <w:rFonts w:hint="eastAsia" w:ascii="仿宋" w:hAnsi="仿宋" w:eastAsia="仿宋" w:cs="Times New Roman"/>
          <w:kern w:val="0"/>
          <w:sz w:val="24"/>
          <w:szCs w:val="24"/>
        </w:rPr>
        <w:t>据采购预算进行汇总，采购预算</w:t>
      </w:r>
      <w:r>
        <w:rPr>
          <w:rFonts w:hint="eastAsia" w:ascii="仿宋" w:hAnsi="仿宋" w:eastAsia="仿宋" w:cs="Times New Roman"/>
          <w:kern w:val="0"/>
          <w:sz w:val="24"/>
          <w:szCs w:val="24"/>
          <w:lang w:val="en-US" w:eastAsia="zh-CN"/>
        </w:rPr>
        <w:t>441</w:t>
      </w:r>
      <w:r>
        <w:rPr>
          <w:rFonts w:hint="eastAsia" w:ascii="仿宋" w:hAnsi="仿宋" w:eastAsia="仿宋" w:cs="Times New Roman"/>
          <w:kern w:val="0"/>
          <w:sz w:val="24"/>
          <w:szCs w:val="24"/>
        </w:rPr>
        <w:t>万元（具体采购数量请看采购清单），本项目共分</w:t>
      </w:r>
      <w:r>
        <w:rPr>
          <w:rFonts w:hint="eastAsia" w:ascii="仿宋" w:hAnsi="仿宋" w:eastAsia="仿宋" w:cs="Times New Roman"/>
          <w:kern w:val="0"/>
          <w:sz w:val="24"/>
          <w:szCs w:val="24"/>
          <w:lang w:val="en-US" w:eastAsia="zh-CN"/>
        </w:rPr>
        <w:t>1</w:t>
      </w:r>
      <w:r>
        <w:rPr>
          <w:rFonts w:hint="eastAsia" w:ascii="仿宋" w:hAnsi="仿宋" w:eastAsia="仿宋" w:cs="Times New Roman"/>
          <w:kern w:val="0"/>
          <w:sz w:val="24"/>
          <w:szCs w:val="24"/>
        </w:rPr>
        <w:t>个标段。</w:t>
      </w:r>
    </w:p>
    <w:p w14:paraId="534C1D9F">
      <w:pPr>
        <w:pStyle w:val="89"/>
        <w:keepNext w:val="0"/>
        <w:keepLines w:val="0"/>
        <w:pageBreakBefore w:val="0"/>
        <w:widowControl w:val="0"/>
        <w:kinsoku/>
        <w:wordWrap/>
        <w:overflowPunct/>
        <w:topLinePunct w:val="0"/>
        <w:autoSpaceDE/>
        <w:autoSpaceDN/>
        <w:bidi w:val="0"/>
        <w:adjustRightInd/>
        <w:snapToGrid/>
        <w:spacing w:line="520" w:lineRule="exact"/>
        <w:ind w:firstLine="600"/>
        <w:textAlignment w:val="auto"/>
        <w:rPr>
          <w:rFonts w:ascii="仿宋" w:hAnsi="仿宋" w:eastAsia="仿宋" w:cs="Times New Roman"/>
          <w:kern w:val="0"/>
          <w:sz w:val="24"/>
          <w:szCs w:val="24"/>
          <w:highlight w:val="none"/>
        </w:rPr>
      </w:pPr>
      <w:r>
        <w:rPr>
          <w:rFonts w:hint="eastAsia" w:ascii="仿宋" w:hAnsi="仿宋" w:eastAsia="仿宋" w:cs="Times New Roman"/>
          <w:kern w:val="0"/>
          <w:sz w:val="24"/>
          <w:szCs w:val="24"/>
          <w:lang w:val="en-US" w:eastAsia="zh-CN"/>
        </w:rPr>
        <w:t>采购内容：</w:t>
      </w:r>
      <w:r>
        <w:rPr>
          <w:rFonts w:hint="eastAsia" w:ascii="仿宋" w:hAnsi="仿宋" w:eastAsia="仿宋" w:cs="Times New Roman"/>
          <w:kern w:val="0"/>
          <w:sz w:val="24"/>
          <w:szCs w:val="24"/>
        </w:rPr>
        <w:t>采购</w:t>
      </w:r>
      <w:r>
        <w:rPr>
          <w:rFonts w:hint="eastAsia" w:ascii="仿宋" w:hAnsi="仿宋" w:eastAsia="仿宋" w:cs="Times New Roman"/>
          <w:kern w:val="0"/>
          <w:sz w:val="24"/>
          <w:szCs w:val="24"/>
          <w:lang w:val="en-US" w:eastAsia="zh-CN"/>
        </w:rPr>
        <w:t>智慧记忆黑板90套、视频展台90套、无线麦克风90套、扩声音响90对、网络安全管理系统90套、互动录播主机90台、主机导播系统90套、主机互动系统90套、主机视频处理系统90套、主机Ai课堂分析系统90套、双目4K前置摄像机90台、前置摄像机图像处理系统90套、双目4K后置摄像机90套、后置摄像机图像处理系统90套、阵列麦克风90套、阵列麦克风音频处理系统90套、资源管理平台1套、</w:t>
      </w:r>
      <w:r>
        <w:rPr>
          <w:rFonts w:hint="default" w:ascii="仿宋" w:hAnsi="仿宋" w:eastAsia="仿宋" w:cs="Times New Roman"/>
          <w:kern w:val="0"/>
          <w:sz w:val="24"/>
          <w:szCs w:val="24"/>
          <w:lang w:val="en-US" w:eastAsia="zh-CN"/>
        </w:rPr>
        <w:t>课堂分析服务器</w:t>
      </w:r>
      <w:r>
        <w:rPr>
          <w:rFonts w:hint="eastAsia" w:ascii="仿宋" w:hAnsi="仿宋" w:eastAsia="仿宋" w:cs="Times New Roman"/>
          <w:kern w:val="0"/>
          <w:sz w:val="24"/>
          <w:szCs w:val="24"/>
          <w:lang w:val="en-US" w:eastAsia="zh-CN"/>
        </w:rPr>
        <w:t>1台。 核心产品为互动录播主机。</w:t>
      </w:r>
      <w:r>
        <w:rPr>
          <w:rFonts w:hint="eastAsia" w:ascii="仿宋" w:hAnsi="仿宋" w:eastAsia="仿宋" w:cs="Times New Roman"/>
          <w:bCs/>
          <w:kern w:val="0"/>
          <w:sz w:val="24"/>
          <w:szCs w:val="24"/>
          <w:highlight w:val="none"/>
          <w:lang w:val="en-US" w:eastAsia="zh-CN"/>
        </w:rPr>
        <w:t>预算价</w:t>
      </w:r>
      <w:r>
        <w:rPr>
          <w:rFonts w:hint="eastAsia" w:ascii="仿宋" w:hAnsi="仿宋" w:eastAsia="仿宋" w:cs="Times New Roman"/>
          <w:bCs/>
          <w:kern w:val="0"/>
          <w:sz w:val="24"/>
          <w:szCs w:val="24"/>
          <w:highlight w:val="none"/>
        </w:rPr>
        <w:t>：</w:t>
      </w:r>
      <w:r>
        <w:rPr>
          <w:rFonts w:hint="eastAsia" w:ascii="仿宋" w:hAnsi="仿宋" w:eastAsia="仿宋" w:cs="Times New Roman"/>
          <w:kern w:val="0"/>
          <w:sz w:val="24"/>
          <w:szCs w:val="24"/>
          <w:highlight w:val="none"/>
          <w:lang w:val="en-US" w:eastAsia="zh-CN"/>
        </w:rPr>
        <w:t>441</w:t>
      </w:r>
      <w:r>
        <w:rPr>
          <w:rFonts w:hint="eastAsia" w:ascii="仿宋" w:hAnsi="仿宋" w:eastAsia="仿宋" w:cs="Times New Roman"/>
          <w:kern w:val="0"/>
          <w:sz w:val="24"/>
          <w:szCs w:val="24"/>
          <w:highlight w:val="none"/>
        </w:rPr>
        <w:t>万元。</w:t>
      </w:r>
    </w:p>
    <w:p w14:paraId="2C280F00">
      <w:pPr>
        <w:keepNext w:val="0"/>
        <w:keepLines w:val="0"/>
        <w:pageBreakBefore w:val="0"/>
        <w:widowControl w:val="0"/>
        <w:kinsoku/>
        <w:wordWrap/>
        <w:overflowPunct/>
        <w:topLinePunct w:val="0"/>
        <w:autoSpaceDE/>
        <w:autoSpaceDN/>
        <w:bidi w:val="0"/>
        <w:adjustRightInd/>
        <w:snapToGrid/>
        <w:spacing w:line="420" w:lineRule="atLeast"/>
        <w:ind w:firstLine="241" w:firstLineChars="100"/>
        <w:jc w:val="left"/>
        <w:textAlignment w:val="auto"/>
        <w:rPr>
          <w:rFonts w:ascii="仿宋" w:hAnsi="仿宋" w:eastAsia="仿宋" w:cs="Times New Roman"/>
          <w:kern w:val="0"/>
          <w:sz w:val="24"/>
          <w:szCs w:val="24"/>
        </w:rPr>
      </w:pPr>
      <w:r>
        <w:rPr>
          <w:rFonts w:hint="eastAsia" w:ascii="仿宋" w:hAnsi="仿宋" w:eastAsia="仿宋" w:cs="Times New Roman"/>
          <w:b/>
          <w:kern w:val="0"/>
          <w:sz w:val="24"/>
          <w:szCs w:val="24"/>
        </w:rPr>
        <w:t>二、技术要求：</w:t>
      </w:r>
    </w:p>
    <w:p w14:paraId="75B7551D">
      <w:pPr>
        <w:keepNext w:val="0"/>
        <w:keepLines w:val="0"/>
        <w:pageBreakBefore w:val="0"/>
        <w:widowControl w:val="0"/>
        <w:kinsoku/>
        <w:wordWrap/>
        <w:overflowPunct/>
        <w:topLinePunct w:val="0"/>
        <w:autoSpaceDE/>
        <w:autoSpaceDN/>
        <w:bidi w:val="0"/>
        <w:adjustRightInd/>
        <w:snapToGrid/>
        <w:spacing w:line="420" w:lineRule="atLeast"/>
        <w:ind w:firstLine="480" w:firstLineChars="200"/>
        <w:textAlignment w:val="auto"/>
        <w:rPr>
          <w:rFonts w:ascii="仿宋" w:hAnsi="仿宋" w:eastAsia="仿宋" w:cs="Times New Roman"/>
          <w:kern w:val="0"/>
          <w:sz w:val="24"/>
          <w:szCs w:val="24"/>
        </w:rPr>
      </w:pPr>
      <w:r>
        <w:rPr>
          <w:rFonts w:hint="eastAsia" w:ascii="仿宋" w:hAnsi="仿宋" w:eastAsia="仿宋" w:cs="Times New Roman"/>
          <w:kern w:val="0"/>
          <w:sz w:val="24"/>
          <w:szCs w:val="24"/>
        </w:rPr>
        <w:t>（</w:t>
      </w:r>
      <w:r>
        <w:rPr>
          <w:rFonts w:hint="eastAsia" w:ascii="仿宋" w:hAnsi="仿宋" w:eastAsia="仿宋" w:cs="Times New Roman"/>
          <w:kern w:val="0"/>
          <w:sz w:val="24"/>
          <w:szCs w:val="24"/>
          <w:lang w:val="en-US" w:eastAsia="zh-CN"/>
        </w:rPr>
        <w:t>1</w:t>
      </w:r>
      <w:r>
        <w:rPr>
          <w:rFonts w:hint="eastAsia" w:ascii="仿宋" w:hAnsi="仿宋" w:eastAsia="仿宋" w:cs="Times New Roman"/>
          <w:kern w:val="0"/>
          <w:sz w:val="24"/>
          <w:szCs w:val="24"/>
        </w:rPr>
        <w:t>）各投标企业所投标的产品必须写清货物（服务）名称、品牌型号、技术规格、技术要求等内容。</w:t>
      </w:r>
    </w:p>
    <w:p w14:paraId="2079D247">
      <w:pPr>
        <w:keepNext w:val="0"/>
        <w:keepLines w:val="0"/>
        <w:pageBreakBefore w:val="0"/>
        <w:widowControl w:val="0"/>
        <w:kinsoku/>
        <w:wordWrap/>
        <w:overflowPunct/>
        <w:topLinePunct w:val="0"/>
        <w:autoSpaceDE/>
        <w:autoSpaceDN/>
        <w:bidi w:val="0"/>
        <w:adjustRightInd/>
        <w:snapToGrid/>
        <w:spacing w:line="420" w:lineRule="atLeast"/>
        <w:ind w:firstLine="480" w:firstLineChars="200"/>
        <w:textAlignment w:val="auto"/>
        <w:rPr>
          <w:rFonts w:ascii="仿宋" w:hAnsi="仿宋" w:eastAsia="仿宋" w:cs="Times New Roman"/>
          <w:kern w:val="0"/>
          <w:sz w:val="24"/>
          <w:szCs w:val="24"/>
        </w:rPr>
      </w:pPr>
      <w:r>
        <w:rPr>
          <w:rFonts w:hint="eastAsia" w:ascii="仿宋" w:hAnsi="仿宋" w:eastAsia="仿宋" w:cs="Times New Roman"/>
          <w:kern w:val="0"/>
          <w:sz w:val="24"/>
          <w:szCs w:val="24"/>
        </w:rPr>
        <w:t>（</w:t>
      </w:r>
      <w:r>
        <w:rPr>
          <w:rFonts w:hint="eastAsia" w:ascii="仿宋" w:hAnsi="仿宋" w:eastAsia="仿宋" w:cs="Times New Roman"/>
          <w:kern w:val="0"/>
          <w:sz w:val="24"/>
          <w:szCs w:val="24"/>
          <w:lang w:val="en-US" w:eastAsia="zh-CN"/>
        </w:rPr>
        <w:t>2</w:t>
      </w:r>
      <w:r>
        <w:rPr>
          <w:rFonts w:hint="eastAsia" w:ascii="仿宋" w:hAnsi="仿宋" w:eastAsia="仿宋" w:cs="Times New Roman"/>
          <w:kern w:val="0"/>
          <w:sz w:val="24"/>
          <w:szCs w:val="24"/>
        </w:rPr>
        <w:t>）各投标企业所投产品清单应包含序号、产品（货物）名称、性能及技术指标、计量单位、数量、单价、总价、备注，附件，必要说明等。</w:t>
      </w:r>
    </w:p>
    <w:p w14:paraId="518996A7">
      <w:pPr>
        <w:keepNext w:val="0"/>
        <w:keepLines w:val="0"/>
        <w:pageBreakBefore w:val="0"/>
        <w:widowControl w:val="0"/>
        <w:kinsoku/>
        <w:wordWrap/>
        <w:overflowPunct/>
        <w:topLinePunct w:val="0"/>
        <w:autoSpaceDE/>
        <w:autoSpaceDN/>
        <w:bidi w:val="0"/>
        <w:adjustRightInd/>
        <w:snapToGrid/>
        <w:spacing w:line="420" w:lineRule="atLeast"/>
        <w:ind w:firstLine="480" w:firstLineChars="200"/>
        <w:textAlignment w:val="auto"/>
        <w:rPr>
          <w:rFonts w:hint="eastAsia" w:ascii="仿宋" w:hAnsi="仿宋" w:eastAsia="仿宋" w:cs="Times New Roman"/>
          <w:kern w:val="0"/>
          <w:sz w:val="24"/>
          <w:szCs w:val="24"/>
        </w:rPr>
      </w:pPr>
      <w:r>
        <w:rPr>
          <w:rFonts w:hint="eastAsia" w:ascii="仿宋" w:hAnsi="仿宋" w:eastAsia="仿宋" w:cs="Times New Roman"/>
          <w:kern w:val="0"/>
          <w:sz w:val="24"/>
          <w:szCs w:val="24"/>
        </w:rPr>
        <w:t>（</w:t>
      </w:r>
      <w:r>
        <w:rPr>
          <w:rFonts w:hint="eastAsia" w:ascii="仿宋" w:hAnsi="仿宋" w:eastAsia="仿宋" w:cs="Times New Roman"/>
          <w:kern w:val="0"/>
          <w:sz w:val="24"/>
          <w:szCs w:val="24"/>
          <w:lang w:val="en-US" w:eastAsia="zh-CN"/>
        </w:rPr>
        <w:t>3</w:t>
      </w:r>
      <w:r>
        <w:rPr>
          <w:rFonts w:hint="eastAsia" w:ascii="仿宋" w:hAnsi="仿宋" w:eastAsia="仿宋" w:cs="Times New Roman"/>
          <w:kern w:val="0"/>
          <w:sz w:val="24"/>
          <w:szCs w:val="24"/>
        </w:rPr>
        <w:t>）所提供的产品和材料必须符合国家相关标准；</w:t>
      </w:r>
    </w:p>
    <w:p w14:paraId="4E43D4E4">
      <w:pPr>
        <w:pStyle w:val="37"/>
        <w:keepNext w:val="0"/>
        <w:keepLines w:val="0"/>
        <w:pageBreakBefore w:val="0"/>
        <w:widowControl w:val="0"/>
        <w:kinsoku/>
        <w:wordWrap/>
        <w:overflowPunct/>
        <w:topLinePunct w:val="0"/>
        <w:autoSpaceDE/>
        <w:autoSpaceDN/>
        <w:bidi w:val="0"/>
        <w:adjustRightInd/>
        <w:snapToGrid/>
        <w:spacing w:line="420" w:lineRule="atLeast"/>
        <w:textAlignment w:val="auto"/>
        <w:rPr>
          <w:rFonts w:hint="default" w:eastAsia="仿宋"/>
          <w:sz w:val="21"/>
          <w:szCs w:val="21"/>
          <w:lang w:val="en-US" w:eastAsia="zh-CN"/>
        </w:rPr>
      </w:pPr>
      <w:r>
        <w:rPr>
          <w:rFonts w:hint="eastAsia" w:ascii="仿宋" w:hAnsi="仿宋" w:eastAsia="仿宋" w:cs="Times New Roman"/>
          <w:kern w:val="0"/>
          <w:sz w:val="24"/>
          <w:szCs w:val="24"/>
          <w:highlight w:val="none"/>
          <w:lang w:eastAsia="zh-CN"/>
        </w:rPr>
        <w:t>（</w:t>
      </w:r>
      <w:r>
        <w:rPr>
          <w:rFonts w:hint="eastAsia" w:ascii="仿宋" w:hAnsi="仿宋" w:eastAsia="仿宋" w:cs="Times New Roman"/>
          <w:kern w:val="0"/>
          <w:sz w:val="24"/>
          <w:szCs w:val="24"/>
          <w:highlight w:val="none"/>
          <w:lang w:val="en-US" w:eastAsia="zh-CN"/>
        </w:rPr>
        <w:t>4</w:t>
      </w:r>
      <w:r>
        <w:rPr>
          <w:rFonts w:hint="eastAsia" w:ascii="仿宋" w:hAnsi="仿宋" w:eastAsia="仿宋" w:cs="Times New Roman"/>
          <w:kern w:val="0"/>
          <w:sz w:val="24"/>
          <w:szCs w:val="24"/>
          <w:highlight w:val="none"/>
          <w:lang w:eastAsia="zh-CN"/>
        </w:rPr>
        <w:t>）</w:t>
      </w:r>
      <w:r>
        <w:rPr>
          <w:rFonts w:hint="eastAsia" w:ascii="仿宋" w:hAnsi="仿宋" w:eastAsia="仿宋" w:cs="Times New Roman"/>
          <w:kern w:val="0"/>
          <w:sz w:val="24"/>
          <w:szCs w:val="24"/>
          <w:highlight w:val="none"/>
          <w:lang w:val="en-US" w:eastAsia="zh-CN"/>
        </w:rPr>
        <w:t>本项目不专门面</w:t>
      </w:r>
      <w:r>
        <w:rPr>
          <w:rFonts w:hint="eastAsia" w:ascii="仿宋" w:hAnsi="仿宋" w:eastAsia="仿宋" w:cs="Times New Roman"/>
          <w:kern w:val="0"/>
          <w:sz w:val="24"/>
          <w:szCs w:val="24"/>
          <w:lang w:val="en-US" w:eastAsia="zh-CN"/>
        </w:rPr>
        <w:t>向中小企业采购。</w:t>
      </w:r>
    </w:p>
    <w:p w14:paraId="057C38ED">
      <w:pPr>
        <w:keepNext w:val="0"/>
        <w:keepLines w:val="0"/>
        <w:pageBreakBefore w:val="0"/>
        <w:widowControl w:val="0"/>
        <w:kinsoku/>
        <w:wordWrap/>
        <w:overflowPunct/>
        <w:topLinePunct w:val="0"/>
        <w:autoSpaceDE/>
        <w:autoSpaceDN/>
        <w:bidi w:val="0"/>
        <w:adjustRightInd/>
        <w:snapToGrid/>
        <w:spacing w:line="420" w:lineRule="atLeast"/>
        <w:textAlignment w:val="auto"/>
        <w:rPr>
          <w:rFonts w:ascii="仿宋" w:hAnsi="仿宋" w:eastAsia="仿宋" w:cs="Times New Roman"/>
          <w:b/>
          <w:kern w:val="0"/>
          <w:sz w:val="24"/>
          <w:szCs w:val="24"/>
        </w:rPr>
      </w:pPr>
      <w:r>
        <w:rPr>
          <w:rFonts w:hint="eastAsia" w:ascii="仿宋" w:hAnsi="仿宋" w:eastAsia="仿宋" w:cs="Times New Roman"/>
          <w:b/>
          <w:kern w:val="0"/>
          <w:sz w:val="24"/>
          <w:szCs w:val="24"/>
        </w:rPr>
        <w:t>三、项目需求</w:t>
      </w:r>
    </w:p>
    <w:p w14:paraId="39555247">
      <w:pPr>
        <w:keepNext w:val="0"/>
        <w:keepLines w:val="0"/>
        <w:pageBreakBefore w:val="0"/>
        <w:widowControl w:val="0"/>
        <w:kinsoku/>
        <w:wordWrap/>
        <w:overflowPunct/>
        <w:topLinePunct w:val="0"/>
        <w:autoSpaceDE/>
        <w:autoSpaceDN/>
        <w:bidi w:val="0"/>
        <w:adjustRightInd/>
        <w:snapToGrid/>
        <w:spacing w:line="420" w:lineRule="atLeast"/>
        <w:ind w:firstLine="482" w:firstLineChars="200"/>
        <w:textAlignment w:val="auto"/>
        <w:rPr>
          <w:rFonts w:ascii="仿宋" w:hAnsi="仿宋" w:eastAsia="仿宋" w:cs="Times New Roman"/>
          <w:b/>
          <w:kern w:val="0"/>
          <w:sz w:val="24"/>
          <w:szCs w:val="24"/>
        </w:rPr>
      </w:pPr>
      <w:r>
        <w:rPr>
          <w:rFonts w:hint="eastAsia" w:ascii="仿宋" w:hAnsi="仿宋" w:eastAsia="仿宋" w:cs="Times New Roman"/>
          <w:b/>
          <w:kern w:val="0"/>
          <w:sz w:val="24"/>
          <w:szCs w:val="24"/>
        </w:rPr>
        <w:t>1、项目基本情况：</w:t>
      </w:r>
    </w:p>
    <w:p w14:paraId="57B01AC8">
      <w:pPr>
        <w:keepNext w:val="0"/>
        <w:keepLines w:val="0"/>
        <w:pageBreakBefore w:val="0"/>
        <w:widowControl w:val="0"/>
        <w:kinsoku/>
        <w:wordWrap/>
        <w:overflowPunct/>
        <w:topLinePunct w:val="0"/>
        <w:autoSpaceDE/>
        <w:autoSpaceDN/>
        <w:bidi w:val="0"/>
        <w:adjustRightInd/>
        <w:snapToGrid/>
        <w:spacing w:line="420" w:lineRule="atLeast"/>
        <w:ind w:firstLine="480" w:firstLineChars="200"/>
        <w:textAlignment w:val="auto"/>
        <w:rPr>
          <w:rFonts w:hint="eastAsia" w:ascii="仿宋" w:hAnsi="仿宋" w:eastAsia="仿宋" w:cs="Times New Roman"/>
          <w:kern w:val="0"/>
          <w:sz w:val="24"/>
          <w:szCs w:val="24"/>
        </w:rPr>
      </w:pPr>
      <w:r>
        <w:rPr>
          <w:rFonts w:hint="eastAsia" w:ascii="仿宋" w:hAnsi="仿宋" w:eastAsia="仿宋" w:cs="Times New Roman"/>
          <w:kern w:val="0"/>
          <w:sz w:val="24"/>
          <w:szCs w:val="24"/>
        </w:rPr>
        <w:t>项目概述：</w:t>
      </w:r>
      <w:r>
        <w:rPr>
          <w:rFonts w:hint="eastAsia" w:ascii="仿宋" w:hAnsi="仿宋" w:eastAsia="仿宋" w:cs="Times New Roman"/>
          <w:kern w:val="0"/>
          <w:sz w:val="24"/>
          <w:szCs w:val="24"/>
          <w:lang w:val="en-US" w:eastAsia="zh-CN"/>
        </w:rPr>
        <w:t>为落实《中国教育现代化2035》的战略部署，围绕《教育信息化2.0行动计划》、《关于深化教育教学改革全面提高义务教育质量的意见》以及《关于加强和改进新时代基础教育科研工作的意见》中促进信息技术于教育教学融合应用、探索信息化背景下育人方式和教研模式等重要任务，加快教育信息基础设施建设，推进数字化校园建设，更好的满足学生的学习要求，为广州新城完全中学采购教育信息化设备一批。</w:t>
      </w:r>
      <w:r>
        <w:rPr>
          <w:rFonts w:hint="eastAsia" w:ascii="仿宋" w:hAnsi="仿宋" w:eastAsia="仿宋" w:cs="Times New Roman"/>
          <w:kern w:val="0"/>
          <w:sz w:val="24"/>
          <w:szCs w:val="24"/>
        </w:rPr>
        <w:t>本项目由疏附县教育局具体负责实施，本项目都没有进口产品，资金来源</w:t>
      </w:r>
      <w:r>
        <w:rPr>
          <w:rFonts w:hint="eastAsia" w:ascii="仿宋" w:hAnsi="仿宋" w:eastAsia="仿宋" w:cs="Times New Roman"/>
          <w:kern w:val="0"/>
          <w:sz w:val="24"/>
          <w:szCs w:val="24"/>
          <w:lang w:val="en-US" w:eastAsia="zh-CN"/>
        </w:rPr>
        <w:t>为援疆资金</w:t>
      </w:r>
      <w:r>
        <w:rPr>
          <w:rFonts w:hint="eastAsia" w:ascii="仿宋" w:hAnsi="仿宋" w:eastAsia="仿宋" w:cs="Times New Roman"/>
          <w:kern w:val="0"/>
          <w:sz w:val="24"/>
          <w:szCs w:val="24"/>
        </w:rPr>
        <w:t>。</w:t>
      </w:r>
    </w:p>
    <w:p w14:paraId="3DD1564C">
      <w:pPr>
        <w:keepNext w:val="0"/>
        <w:keepLines w:val="0"/>
        <w:pageBreakBefore w:val="0"/>
        <w:widowControl w:val="0"/>
        <w:kinsoku/>
        <w:wordWrap/>
        <w:overflowPunct/>
        <w:topLinePunct w:val="0"/>
        <w:autoSpaceDE/>
        <w:autoSpaceDN/>
        <w:bidi w:val="0"/>
        <w:adjustRightInd/>
        <w:snapToGrid/>
        <w:spacing w:line="420" w:lineRule="atLeast"/>
        <w:ind w:firstLine="482" w:firstLineChars="200"/>
        <w:textAlignment w:val="auto"/>
        <w:rPr>
          <w:rFonts w:ascii="仿宋" w:hAnsi="仿宋" w:eastAsia="仿宋" w:cs="Times New Roman"/>
          <w:kern w:val="0"/>
          <w:sz w:val="24"/>
          <w:szCs w:val="24"/>
        </w:rPr>
      </w:pPr>
      <w:r>
        <w:rPr>
          <w:rFonts w:hint="eastAsia" w:ascii="仿宋" w:hAnsi="仿宋" w:eastAsia="仿宋" w:cs="Times New Roman"/>
          <w:b/>
          <w:kern w:val="0"/>
          <w:sz w:val="24"/>
          <w:szCs w:val="24"/>
          <w:lang w:val="en-US" w:eastAsia="zh-CN"/>
        </w:rPr>
        <w:t>2</w:t>
      </w:r>
      <w:r>
        <w:rPr>
          <w:rFonts w:hint="eastAsia" w:ascii="仿宋" w:hAnsi="仿宋" w:eastAsia="仿宋" w:cs="Times New Roman"/>
          <w:b/>
          <w:kern w:val="0"/>
          <w:sz w:val="24"/>
          <w:szCs w:val="24"/>
        </w:rPr>
        <w:t>、项目特殊要求(授权情况</w:t>
      </w:r>
      <w:r>
        <w:rPr>
          <w:rFonts w:ascii="仿宋" w:hAnsi="仿宋" w:eastAsia="仿宋" w:cs="Times New Roman"/>
          <w:b/>
          <w:kern w:val="0"/>
          <w:sz w:val="24"/>
          <w:szCs w:val="24"/>
        </w:rPr>
        <w:t>)</w:t>
      </w:r>
      <w:r>
        <w:rPr>
          <w:rFonts w:hint="eastAsia" w:ascii="仿宋" w:hAnsi="仿宋" w:eastAsia="仿宋" w:cs="Times New Roman"/>
          <w:b/>
          <w:kern w:val="0"/>
          <w:sz w:val="24"/>
          <w:szCs w:val="24"/>
        </w:rPr>
        <w:t>：</w:t>
      </w:r>
      <w:r>
        <w:rPr>
          <w:rFonts w:hint="eastAsia" w:ascii="仿宋" w:hAnsi="仿宋" w:eastAsia="仿宋" w:cs="Times New Roman"/>
          <w:kern w:val="0"/>
          <w:sz w:val="24"/>
          <w:szCs w:val="24"/>
        </w:rPr>
        <w:t>根据项目实际和采购货物（或服务）所属行业情况，对投标商没有行业许可要求和特定的项目要求（产品授权等），但所提供的货物必须正规厂家生产，符合国家相关行业标准，品牌型号、使用说明等信息必须清楚，本项目里属于固定资产类的产品，按照教育局的要求由中标商负责装贴固定资产标志。</w:t>
      </w:r>
    </w:p>
    <w:p w14:paraId="674CB0A3">
      <w:pPr>
        <w:keepNext w:val="0"/>
        <w:keepLines w:val="0"/>
        <w:pageBreakBefore w:val="0"/>
        <w:widowControl w:val="0"/>
        <w:kinsoku/>
        <w:wordWrap/>
        <w:overflowPunct/>
        <w:topLinePunct w:val="0"/>
        <w:autoSpaceDE/>
        <w:autoSpaceDN/>
        <w:bidi w:val="0"/>
        <w:adjustRightInd/>
        <w:snapToGrid/>
        <w:spacing w:line="420" w:lineRule="atLeast"/>
        <w:ind w:firstLine="426" w:firstLineChars="177"/>
        <w:textAlignment w:val="auto"/>
        <w:rPr>
          <w:rFonts w:ascii="仿宋_GB2312" w:eastAsia="仿宋_GB2312" w:cs="Times New Roman"/>
          <w:b/>
          <w:kern w:val="0"/>
          <w:sz w:val="24"/>
          <w:szCs w:val="24"/>
        </w:rPr>
      </w:pPr>
      <w:r>
        <w:rPr>
          <w:rFonts w:hint="eastAsia" w:ascii="仿宋_GB2312" w:eastAsia="仿宋_GB2312" w:cs="Times New Roman"/>
          <w:b/>
          <w:kern w:val="0"/>
          <w:sz w:val="24"/>
          <w:szCs w:val="24"/>
          <w:lang w:val="en-US" w:eastAsia="zh-CN"/>
        </w:rPr>
        <w:t>3</w:t>
      </w:r>
      <w:r>
        <w:rPr>
          <w:rFonts w:hint="eastAsia" w:ascii="仿宋_GB2312" w:eastAsia="仿宋_GB2312" w:cs="Times New Roman"/>
          <w:b/>
          <w:kern w:val="0"/>
          <w:sz w:val="24"/>
          <w:szCs w:val="24"/>
        </w:rPr>
        <w:t>、评标和中标要求</w:t>
      </w:r>
    </w:p>
    <w:p w14:paraId="4685489F">
      <w:pPr>
        <w:keepNext w:val="0"/>
        <w:keepLines w:val="0"/>
        <w:pageBreakBefore w:val="0"/>
        <w:widowControl w:val="0"/>
        <w:kinsoku/>
        <w:wordWrap/>
        <w:overflowPunct/>
        <w:topLinePunct w:val="0"/>
        <w:autoSpaceDE/>
        <w:autoSpaceDN/>
        <w:bidi w:val="0"/>
        <w:adjustRightInd/>
        <w:snapToGrid/>
        <w:spacing w:line="420" w:lineRule="atLeast"/>
        <w:ind w:firstLine="480" w:firstLineChars="200"/>
        <w:textAlignment w:val="auto"/>
        <w:rPr>
          <w:rFonts w:hint="eastAsia" w:ascii="仿宋" w:hAnsi="仿宋" w:eastAsia="仿宋" w:cs="Times New Roman"/>
          <w:kern w:val="0"/>
          <w:sz w:val="24"/>
          <w:szCs w:val="24"/>
        </w:rPr>
      </w:pPr>
      <w:r>
        <w:rPr>
          <w:rFonts w:hint="eastAsia" w:ascii="仿宋" w:hAnsi="仿宋" w:eastAsia="仿宋" w:cs="Times New Roman"/>
          <w:kern w:val="0"/>
          <w:sz w:val="24"/>
          <w:szCs w:val="24"/>
        </w:rPr>
        <w:t>本项目的评分标准：价格30分。本项目的评标主要采用综合评标法。</w:t>
      </w:r>
    </w:p>
    <w:p w14:paraId="66B2B2D6">
      <w:pPr>
        <w:keepNext w:val="0"/>
        <w:keepLines w:val="0"/>
        <w:pageBreakBefore w:val="0"/>
        <w:widowControl w:val="0"/>
        <w:numPr>
          <w:ilvl w:val="0"/>
          <w:numId w:val="0"/>
        </w:numPr>
        <w:kinsoku/>
        <w:wordWrap/>
        <w:overflowPunct/>
        <w:topLinePunct w:val="0"/>
        <w:autoSpaceDE/>
        <w:autoSpaceDN/>
        <w:bidi w:val="0"/>
        <w:adjustRightInd/>
        <w:snapToGrid/>
        <w:spacing w:line="420" w:lineRule="atLeast"/>
        <w:ind w:firstLine="482" w:firstLineChars="200"/>
        <w:textAlignment w:val="auto"/>
        <w:rPr>
          <w:rFonts w:ascii="仿宋_GB2312" w:eastAsia="仿宋_GB2312" w:cs="Times New Roman"/>
          <w:b/>
          <w:kern w:val="0"/>
          <w:sz w:val="24"/>
          <w:szCs w:val="24"/>
        </w:rPr>
      </w:pPr>
      <w:r>
        <w:rPr>
          <w:rFonts w:hint="eastAsia" w:ascii="仿宋_GB2312" w:eastAsia="仿宋_GB2312" w:cs="Times New Roman"/>
          <w:b/>
          <w:kern w:val="0"/>
          <w:sz w:val="24"/>
          <w:szCs w:val="24"/>
          <w:lang w:val="en-US" w:eastAsia="zh-CN" w:bidi="ar-SA"/>
        </w:rPr>
        <w:t>4</w:t>
      </w:r>
      <w:r>
        <w:rPr>
          <w:rFonts w:ascii="仿宋_GB2312" w:hAnsi="Calibri" w:eastAsia="仿宋_GB2312" w:cs="Times New Roman"/>
          <w:b/>
          <w:kern w:val="0"/>
          <w:sz w:val="24"/>
          <w:szCs w:val="24"/>
          <w:lang w:val="en-US" w:eastAsia="zh-CN" w:bidi="ar-SA"/>
        </w:rPr>
        <w:t>、</w:t>
      </w:r>
      <w:r>
        <w:rPr>
          <w:rFonts w:hint="eastAsia" w:ascii="仿宋_GB2312" w:eastAsia="仿宋_GB2312" w:cs="Times New Roman"/>
          <w:b/>
          <w:kern w:val="0"/>
          <w:sz w:val="24"/>
          <w:szCs w:val="24"/>
        </w:rPr>
        <w:t>其他要求：</w:t>
      </w:r>
    </w:p>
    <w:p w14:paraId="32A5BF60">
      <w:pPr>
        <w:keepNext w:val="0"/>
        <w:keepLines w:val="0"/>
        <w:pageBreakBefore w:val="0"/>
        <w:widowControl w:val="0"/>
        <w:kinsoku/>
        <w:wordWrap/>
        <w:overflowPunct/>
        <w:topLinePunct w:val="0"/>
        <w:autoSpaceDE/>
        <w:autoSpaceDN/>
        <w:bidi w:val="0"/>
        <w:adjustRightInd/>
        <w:snapToGrid/>
        <w:spacing w:line="420" w:lineRule="atLeast"/>
        <w:ind w:firstLine="480" w:firstLineChars="200"/>
        <w:textAlignment w:val="auto"/>
        <w:rPr>
          <w:rFonts w:hint="eastAsia" w:ascii="仿宋" w:hAnsi="仿宋" w:eastAsia="仿宋" w:cs="Times New Roman"/>
          <w:b w:val="0"/>
          <w:bCs/>
          <w:kern w:val="0"/>
          <w:sz w:val="24"/>
          <w:szCs w:val="24"/>
          <w:lang w:val="en-US" w:eastAsia="zh-CN"/>
        </w:rPr>
      </w:pPr>
      <w:r>
        <w:rPr>
          <w:rFonts w:hint="eastAsia" w:ascii="仿宋" w:hAnsi="仿宋" w:eastAsia="仿宋" w:cs="Times New Roman"/>
          <w:b w:val="0"/>
          <w:bCs/>
          <w:kern w:val="0"/>
          <w:sz w:val="24"/>
          <w:szCs w:val="24"/>
          <w:lang w:val="en-US" w:eastAsia="zh-CN"/>
        </w:rPr>
        <w:t>（1）投标企业应提供所投产品真实参数不得粘贴复制。（否则视为无效）</w:t>
      </w:r>
    </w:p>
    <w:p w14:paraId="6C3FE27C">
      <w:pPr>
        <w:keepNext w:val="0"/>
        <w:keepLines w:val="0"/>
        <w:pageBreakBefore w:val="0"/>
        <w:widowControl w:val="0"/>
        <w:kinsoku/>
        <w:wordWrap/>
        <w:overflowPunct/>
        <w:topLinePunct w:val="0"/>
        <w:autoSpaceDE/>
        <w:autoSpaceDN/>
        <w:bidi w:val="0"/>
        <w:adjustRightInd/>
        <w:snapToGrid/>
        <w:spacing w:line="420" w:lineRule="atLeast"/>
        <w:ind w:firstLine="480" w:firstLineChars="200"/>
        <w:textAlignment w:val="auto"/>
        <w:rPr>
          <w:rFonts w:hint="eastAsia"/>
          <w:sz w:val="18"/>
          <w:szCs w:val="21"/>
          <w:lang w:val="en-US" w:eastAsia="zh-CN"/>
        </w:rPr>
      </w:pPr>
      <w:r>
        <w:rPr>
          <w:rFonts w:hint="eastAsia" w:ascii="仿宋" w:hAnsi="仿宋" w:eastAsia="仿宋" w:cs="Times New Roman"/>
          <w:b w:val="0"/>
          <w:bCs/>
          <w:kern w:val="0"/>
          <w:sz w:val="24"/>
          <w:szCs w:val="24"/>
          <w:lang w:val="en-US" w:eastAsia="zh-CN"/>
        </w:rPr>
        <w:t>（2）对提供虚假材料谋取中标的，评标时发现投标参数与实际参数不符时视为无效标书；对通过虚假材料中标者，货到验收技术参数与招标文件不符时，中标无效，采购方可以拒收货，拒付款，并且供货方必须承担相应的法律责任。</w:t>
      </w:r>
    </w:p>
    <w:p w14:paraId="0EAE92E9">
      <w:pPr>
        <w:keepNext w:val="0"/>
        <w:keepLines w:val="0"/>
        <w:pageBreakBefore w:val="0"/>
        <w:widowControl w:val="0"/>
        <w:kinsoku/>
        <w:wordWrap/>
        <w:overflowPunct/>
        <w:topLinePunct w:val="0"/>
        <w:autoSpaceDE/>
        <w:autoSpaceDN/>
        <w:bidi w:val="0"/>
        <w:adjustRightInd/>
        <w:snapToGrid/>
        <w:spacing w:line="420" w:lineRule="atLeast"/>
        <w:ind w:firstLine="482" w:firstLineChars="200"/>
        <w:textAlignment w:val="auto"/>
        <w:rPr>
          <w:rFonts w:ascii="仿宋" w:hAnsi="仿宋" w:eastAsia="仿宋" w:cs="Times New Roman"/>
          <w:b/>
          <w:kern w:val="0"/>
          <w:sz w:val="24"/>
          <w:szCs w:val="24"/>
        </w:rPr>
      </w:pPr>
      <w:r>
        <w:rPr>
          <w:rFonts w:hint="eastAsia" w:ascii="仿宋" w:hAnsi="仿宋" w:eastAsia="仿宋" w:cs="Times New Roman"/>
          <w:b/>
          <w:kern w:val="0"/>
          <w:sz w:val="24"/>
          <w:szCs w:val="24"/>
          <w:lang w:val="en-US" w:eastAsia="zh-CN"/>
        </w:rPr>
        <w:t>5</w:t>
      </w:r>
      <w:r>
        <w:rPr>
          <w:rFonts w:hint="eastAsia" w:ascii="仿宋" w:hAnsi="仿宋" w:eastAsia="仿宋" w:cs="Times New Roman"/>
          <w:b/>
          <w:kern w:val="0"/>
          <w:sz w:val="24"/>
          <w:szCs w:val="24"/>
        </w:rPr>
        <w:t>、验收标准和方法</w:t>
      </w:r>
    </w:p>
    <w:p w14:paraId="199C74A7">
      <w:pPr>
        <w:keepNext w:val="0"/>
        <w:keepLines w:val="0"/>
        <w:pageBreakBefore w:val="0"/>
        <w:widowControl w:val="0"/>
        <w:kinsoku/>
        <w:wordWrap/>
        <w:overflowPunct/>
        <w:topLinePunct w:val="0"/>
        <w:autoSpaceDE/>
        <w:autoSpaceDN/>
        <w:bidi w:val="0"/>
        <w:adjustRightInd/>
        <w:snapToGrid/>
        <w:spacing w:line="420" w:lineRule="atLeast"/>
        <w:ind w:firstLine="480" w:firstLineChars="200"/>
        <w:jc w:val="left"/>
        <w:textAlignment w:val="auto"/>
        <w:rPr>
          <w:rFonts w:ascii="仿宋" w:hAnsi="仿宋" w:eastAsia="仿宋" w:cs="Times New Roman"/>
          <w:kern w:val="0"/>
          <w:sz w:val="24"/>
          <w:szCs w:val="24"/>
        </w:rPr>
      </w:pPr>
      <w:r>
        <w:rPr>
          <w:rFonts w:hint="eastAsia" w:ascii="仿宋" w:hAnsi="仿宋" w:eastAsia="仿宋" w:cs="Times New Roman"/>
          <w:kern w:val="0"/>
          <w:sz w:val="24"/>
          <w:szCs w:val="24"/>
        </w:rPr>
        <w:t>教育局将抽行业专家和各校园等相关人员组成验收小组，对供应商所供的货物按照合同标准进行质量验收，如发现质量不合格，有权拒收。因拒收造成的损失由供应商自己承担。如出现第二次验收不合格，我单位有权终止供销合同，终止合同后给我单位造成的经济损失由供应商负责。</w:t>
      </w:r>
    </w:p>
    <w:p w14:paraId="1A2DEF0F">
      <w:pPr>
        <w:keepNext w:val="0"/>
        <w:keepLines w:val="0"/>
        <w:pageBreakBefore w:val="0"/>
        <w:widowControl w:val="0"/>
        <w:kinsoku/>
        <w:wordWrap/>
        <w:overflowPunct/>
        <w:topLinePunct w:val="0"/>
        <w:autoSpaceDE/>
        <w:autoSpaceDN/>
        <w:bidi w:val="0"/>
        <w:adjustRightInd/>
        <w:snapToGrid/>
        <w:spacing w:line="420" w:lineRule="atLeast"/>
        <w:ind w:firstLine="482" w:firstLineChars="200"/>
        <w:textAlignment w:val="auto"/>
        <w:rPr>
          <w:rFonts w:ascii="仿宋" w:hAnsi="仿宋" w:eastAsia="仿宋" w:cs="Times New Roman"/>
          <w:kern w:val="0"/>
          <w:sz w:val="24"/>
          <w:szCs w:val="24"/>
        </w:rPr>
      </w:pPr>
      <w:r>
        <w:rPr>
          <w:rFonts w:hint="eastAsia" w:ascii="仿宋" w:hAnsi="仿宋" w:eastAsia="仿宋" w:cs="Times New Roman"/>
          <w:b/>
          <w:kern w:val="0"/>
          <w:sz w:val="24"/>
          <w:szCs w:val="24"/>
          <w:lang w:val="en-US" w:eastAsia="zh-CN"/>
        </w:rPr>
        <w:t>6</w:t>
      </w:r>
      <w:r>
        <w:rPr>
          <w:rFonts w:hint="eastAsia" w:ascii="仿宋" w:hAnsi="仿宋" w:eastAsia="仿宋" w:cs="Times New Roman"/>
          <w:b/>
          <w:kern w:val="0"/>
          <w:sz w:val="24"/>
          <w:szCs w:val="24"/>
        </w:rPr>
        <w:t>、项目交货期及交货地点：</w:t>
      </w:r>
      <w:r>
        <w:rPr>
          <w:rFonts w:hint="eastAsia" w:ascii="仿宋" w:hAnsi="仿宋" w:eastAsia="仿宋" w:cs="Times New Roman"/>
          <w:kern w:val="0"/>
          <w:sz w:val="24"/>
          <w:szCs w:val="24"/>
        </w:rPr>
        <w:t>合同签订后25日内供货、安装、调试，超过采购单位供货期要求的为无效投标。供货地点：疏附县</w:t>
      </w:r>
      <w:r>
        <w:rPr>
          <w:rFonts w:hint="eastAsia" w:ascii="仿宋" w:hAnsi="仿宋" w:eastAsia="仿宋" w:cs="Times New Roman"/>
          <w:kern w:val="0"/>
          <w:sz w:val="24"/>
          <w:szCs w:val="24"/>
          <w:lang w:val="en-US" w:eastAsia="zh-CN"/>
        </w:rPr>
        <w:t>广州新城完全中学</w:t>
      </w:r>
      <w:r>
        <w:rPr>
          <w:rFonts w:hint="eastAsia" w:ascii="仿宋" w:hAnsi="仿宋" w:eastAsia="仿宋" w:cs="Times New Roman"/>
          <w:kern w:val="0"/>
          <w:sz w:val="24"/>
          <w:szCs w:val="24"/>
        </w:rPr>
        <w:t>。</w:t>
      </w:r>
    </w:p>
    <w:p w14:paraId="7D7156B8">
      <w:pPr>
        <w:keepNext w:val="0"/>
        <w:keepLines w:val="0"/>
        <w:pageBreakBefore w:val="0"/>
        <w:widowControl w:val="0"/>
        <w:kinsoku/>
        <w:wordWrap/>
        <w:overflowPunct/>
        <w:topLinePunct w:val="0"/>
        <w:autoSpaceDE/>
        <w:autoSpaceDN/>
        <w:bidi w:val="0"/>
        <w:adjustRightInd/>
        <w:snapToGrid/>
        <w:spacing w:line="420" w:lineRule="atLeast"/>
        <w:ind w:firstLine="482" w:firstLineChars="200"/>
        <w:textAlignment w:val="auto"/>
        <w:rPr>
          <w:rFonts w:ascii="仿宋" w:hAnsi="仿宋" w:eastAsia="仿宋" w:cs="Times New Roman"/>
          <w:kern w:val="0"/>
          <w:sz w:val="24"/>
          <w:szCs w:val="24"/>
        </w:rPr>
      </w:pPr>
      <w:r>
        <w:rPr>
          <w:rFonts w:hint="eastAsia" w:ascii="仿宋" w:hAnsi="仿宋" w:eastAsia="仿宋" w:cs="Times New Roman"/>
          <w:b/>
          <w:kern w:val="0"/>
          <w:sz w:val="24"/>
          <w:szCs w:val="24"/>
          <w:lang w:val="en-US" w:eastAsia="zh-CN"/>
        </w:rPr>
        <w:t>7</w:t>
      </w:r>
      <w:r>
        <w:rPr>
          <w:rFonts w:hint="eastAsia" w:ascii="仿宋" w:hAnsi="仿宋" w:eastAsia="仿宋" w:cs="Times New Roman"/>
          <w:b/>
          <w:kern w:val="0"/>
          <w:sz w:val="24"/>
          <w:szCs w:val="24"/>
        </w:rPr>
        <w:t>、质保期、售后服务及付款方式：</w:t>
      </w:r>
      <w:r>
        <w:rPr>
          <w:rFonts w:hint="eastAsia" w:ascii="仿宋" w:hAnsi="仿宋" w:eastAsia="仿宋" w:cs="Times New Roman"/>
          <w:kern w:val="0"/>
          <w:sz w:val="24"/>
          <w:szCs w:val="24"/>
        </w:rPr>
        <w:t>中标人应在与采购人签订合同前3个工作日，向疏附县教育局提交中标金额5%的履约保证金（中标人按合同规定完成全部供货且验收合格后，如中标人未发生违约行为，采购单位将履约保证金无息退还）。</w:t>
      </w:r>
    </w:p>
    <w:p w14:paraId="077BD61D">
      <w:pPr>
        <w:keepNext w:val="0"/>
        <w:keepLines w:val="0"/>
        <w:pageBreakBefore w:val="0"/>
        <w:widowControl w:val="0"/>
        <w:kinsoku/>
        <w:wordWrap/>
        <w:overflowPunct/>
        <w:topLinePunct w:val="0"/>
        <w:autoSpaceDE/>
        <w:autoSpaceDN/>
        <w:bidi w:val="0"/>
        <w:adjustRightInd/>
        <w:snapToGrid/>
        <w:spacing w:line="420" w:lineRule="atLeast"/>
        <w:ind w:firstLine="480" w:firstLineChars="200"/>
        <w:textAlignment w:val="auto"/>
        <w:rPr>
          <w:rFonts w:hint="eastAsia" w:ascii="方正仿宋_GBK" w:hAnsi="方正仿宋_GBK" w:eastAsia="方正仿宋_GBK" w:cs="方正仿宋_GBK"/>
          <w:kern w:val="0"/>
          <w:sz w:val="22"/>
          <w:szCs w:val="22"/>
          <w:lang w:val="en-US" w:eastAsia="zh-CN" w:bidi="ar-SA"/>
        </w:rPr>
      </w:pPr>
      <w:r>
        <w:rPr>
          <w:rFonts w:hint="eastAsia" w:ascii="仿宋" w:hAnsi="仿宋" w:eastAsia="仿宋" w:cs="Times New Roman"/>
          <w:kern w:val="0"/>
          <w:sz w:val="24"/>
          <w:szCs w:val="24"/>
        </w:rPr>
        <w:t>质量保证3年，售后服务3年，</w:t>
      </w:r>
      <w:r>
        <w:rPr>
          <w:rFonts w:hint="eastAsia" w:ascii="仿宋" w:hAnsi="仿宋" w:eastAsia="仿宋" w:cs="Times New Roman"/>
          <w:kern w:val="0"/>
          <w:sz w:val="24"/>
          <w:szCs w:val="24"/>
          <w:lang w:val="en-US" w:eastAsia="zh-CN"/>
        </w:rPr>
        <w:t>付款方式以合同约定为准，我方按合同约定积极跑批付款手续，具体支付时间以国库集中支付时间为准。</w:t>
      </w:r>
    </w:p>
    <w:p w14:paraId="60860783">
      <w:pPr>
        <w:pStyle w:val="3"/>
        <w:keepNext/>
        <w:keepLines/>
        <w:pageBreakBefore w:val="0"/>
        <w:widowControl/>
        <w:tabs>
          <w:tab w:val="left" w:pos="0"/>
        </w:tabs>
        <w:kinsoku/>
        <w:wordWrap/>
        <w:overflowPunct/>
        <w:topLinePunct w:val="0"/>
        <w:autoSpaceDE w:val="0"/>
        <w:autoSpaceDN w:val="0"/>
        <w:bidi w:val="0"/>
        <w:adjustRightInd w:val="0"/>
        <w:snapToGrid w:val="0"/>
        <w:spacing w:before="0" w:beforeAutospacing="0" w:after="0" w:afterAutospacing="0" w:line="560" w:lineRule="exact"/>
        <w:jc w:val="center"/>
        <w:textAlignment w:val="baseline"/>
        <w:rPr>
          <w:rFonts w:hint="eastAsia" w:ascii="仿宋_GB2312" w:hAnsi="仿宋_GB2312" w:eastAsia="仿宋_GB2312" w:cs="仿宋_GB2312"/>
          <w:b/>
          <w:i w:val="0"/>
          <w:caps w:val="0"/>
          <w:spacing w:val="0"/>
          <w:w w:val="100"/>
          <w:sz w:val="32"/>
          <w:szCs w:val="32"/>
        </w:rPr>
      </w:pPr>
    </w:p>
    <w:p w14:paraId="76C3166A">
      <w:pPr>
        <w:pStyle w:val="3"/>
        <w:keepNext/>
        <w:keepLines/>
        <w:pageBreakBefore w:val="0"/>
        <w:widowControl/>
        <w:tabs>
          <w:tab w:val="left" w:pos="0"/>
        </w:tabs>
        <w:kinsoku/>
        <w:wordWrap/>
        <w:overflowPunct/>
        <w:topLinePunct w:val="0"/>
        <w:autoSpaceDE w:val="0"/>
        <w:autoSpaceDN w:val="0"/>
        <w:bidi w:val="0"/>
        <w:adjustRightInd w:val="0"/>
        <w:snapToGrid w:val="0"/>
        <w:spacing w:before="0" w:beforeAutospacing="0" w:after="0" w:afterAutospacing="0" w:line="560" w:lineRule="exact"/>
        <w:jc w:val="center"/>
        <w:textAlignment w:val="baseline"/>
        <w:rPr>
          <w:rFonts w:ascii="仿宋_GB2312" w:hAnsi="仿宋_GB2312" w:eastAsia="仿宋_GB2312" w:cs="仿宋_GB2312"/>
          <w:b w:val="0"/>
          <w:i w:val="0"/>
          <w:caps w:val="0"/>
          <w:spacing w:val="0"/>
          <w:w w:val="100"/>
          <w:sz w:val="22"/>
          <w:szCs w:val="18"/>
        </w:rPr>
      </w:pPr>
      <w:r>
        <w:rPr>
          <w:rFonts w:hint="eastAsia" w:ascii="仿宋_GB2312" w:hAnsi="仿宋_GB2312" w:eastAsia="仿宋_GB2312" w:cs="仿宋_GB2312"/>
          <w:b/>
          <w:i w:val="0"/>
          <w:caps w:val="0"/>
          <w:spacing w:val="0"/>
          <w:w w:val="100"/>
          <w:sz w:val="32"/>
          <w:szCs w:val="32"/>
        </w:rPr>
        <w:t xml:space="preserve">第六章  </w:t>
      </w:r>
      <w:bookmarkStart w:id="1582" w:name="_Toc515647832"/>
      <w:bookmarkStart w:id="1583" w:name="_Toc32647"/>
      <w:bookmarkStart w:id="1584" w:name="_Toc7971"/>
      <w:bookmarkStart w:id="1585" w:name="_Toc507399907"/>
      <w:bookmarkStart w:id="1586" w:name="_Toc23331"/>
      <w:r>
        <w:rPr>
          <w:rFonts w:hint="eastAsia" w:ascii="仿宋_GB2312" w:hAnsi="仿宋_GB2312" w:eastAsia="仿宋_GB2312" w:cs="仿宋_GB2312"/>
          <w:b/>
          <w:i w:val="0"/>
          <w:caps w:val="0"/>
          <w:spacing w:val="0"/>
          <w:w w:val="100"/>
          <w:sz w:val="32"/>
          <w:szCs w:val="32"/>
        </w:rPr>
        <w:t>评标方法和标准</w:t>
      </w:r>
      <w:bookmarkEnd w:id="1572"/>
      <w:bookmarkEnd w:id="1573"/>
      <w:bookmarkEnd w:id="1574"/>
      <w:bookmarkEnd w:id="1575"/>
      <w:bookmarkEnd w:id="1576"/>
      <w:bookmarkEnd w:id="1577"/>
      <w:bookmarkEnd w:id="1578"/>
      <w:bookmarkEnd w:id="1579"/>
      <w:bookmarkEnd w:id="1580"/>
      <w:bookmarkEnd w:id="1581"/>
      <w:bookmarkEnd w:id="1582"/>
      <w:bookmarkEnd w:id="1583"/>
      <w:bookmarkEnd w:id="1584"/>
      <w:bookmarkEnd w:id="1585"/>
      <w:bookmarkEnd w:id="1586"/>
    </w:p>
    <w:p w14:paraId="3F4CABE9">
      <w:pPr>
        <w:pStyle w:val="14"/>
        <w:keepNext w:val="0"/>
        <w:keepLines w:val="0"/>
        <w:pageBreakBefore w:val="0"/>
        <w:widowControl w:val="0"/>
        <w:kinsoku/>
        <w:wordWrap/>
        <w:overflowPunct/>
        <w:topLinePunct w:val="0"/>
        <w:autoSpaceDE/>
        <w:autoSpaceDN/>
        <w:bidi w:val="0"/>
        <w:adjustRightInd/>
        <w:snapToGrid w:val="0"/>
        <w:spacing w:before="0" w:beforeAutospacing="0" w:after="0" w:afterAutospacing="0" w:line="400" w:lineRule="exact"/>
        <w:ind w:left="-181" w:leftChars="-86" w:firstLine="660" w:firstLineChars="275"/>
        <w:jc w:val="both"/>
        <w:textAlignment w:val="baseline"/>
        <w:rPr>
          <w:rFonts w:ascii="仿宋_GB2312" w:hAnsi="仿宋_GB2312" w:eastAsia="仿宋_GB2312" w:cs="仿宋_GB2312"/>
          <w:b w:val="0"/>
          <w:i w:val="0"/>
          <w:iCs/>
          <w:caps w:val="0"/>
          <w:spacing w:val="0"/>
          <w:w w:val="100"/>
          <w:sz w:val="24"/>
        </w:rPr>
      </w:pPr>
      <w:r>
        <w:rPr>
          <w:rFonts w:hint="eastAsia" w:ascii="仿宋_GB2312" w:hAnsi="仿宋_GB2312" w:eastAsia="仿宋_GB2312" w:cs="仿宋_GB2312"/>
          <w:b w:val="0"/>
          <w:i w:val="0"/>
          <w:iCs/>
          <w:caps w:val="0"/>
          <w:spacing w:val="0"/>
          <w:w w:val="100"/>
          <w:sz w:val="24"/>
        </w:rPr>
        <w:t>1</w:t>
      </w:r>
      <w:r>
        <w:rPr>
          <w:rFonts w:hint="eastAsia" w:ascii="仿宋_GB2312" w:hAnsi="仿宋_GB2312" w:eastAsia="仿宋_GB2312" w:cs="仿宋_GB2312"/>
          <w:b w:val="0"/>
          <w:i w:val="0"/>
          <w:iCs/>
          <w:caps w:val="0"/>
          <w:spacing w:val="0"/>
          <w:w w:val="100"/>
          <w:sz w:val="24"/>
          <w:lang w:eastAsia="zh-CN"/>
        </w:rPr>
        <w:t>、</w:t>
      </w:r>
      <w:r>
        <w:rPr>
          <w:rFonts w:hint="eastAsia" w:ascii="仿宋_GB2312" w:hAnsi="仿宋_GB2312" w:eastAsia="仿宋_GB2312" w:cs="仿宋_GB2312"/>
          <w:b w:val="0"/>
          <w:i w:val="0"/>
          <w:iCs/>
          <w:caps w:val="0"/>
          <w:spacing w:val="0"/>
          <w:w w:val="100"/>
          <w:sz w:val="24"/>
        </w:rPr>
        <w:t xml:space="preserve"> 总则</w:t>
      </w:r>
    </w:p>
    <w:p w14:paraId="46B70622">
      <w:pPr>
        <w:pStyle w:val="14"/>
        <w:keepNext w:val="0"/>
        <w:keepLines w:val="0"/>
        <w:pageBreakBefore w:val="0"/>
        <w:widowControl w:val="0"/>
        <w:kinsoku/>
        <w:wordWrap/>
        <w:overflowPunct/>
        <w:topLinePunct w:val="0"/>
        <w:autoSpaceDE/>
        <w:autoSpaceDN/>
        <w:bidi w:val="0"/>
        <w:adjustRightInd/>
        <w:snapToGrid w:val="0"/>
        <w:spacing w:before="0" w:beforeAutospacing="0" w:after="0" w:afterAutospacing="0" w:line="400" w:lineRule="exact"/>
        <w:ind w:left="-181" w:leftChars="-86" w:firstLine="660" w:firstLineChars="275"/>
        <w:jc w:val="both"/>
        <w:textAlignment w:val="baseline"/>
        <w:rPr>
          <w:rFonts w:ascii="仿宋_GB2312" w:hAnsi="仿宋_GB2312" w:eastAsia="仿宋_GB2312" w:cs="仿宋_GB2312"/>
          <w:b w:val="0"/>
          <w:i w:val="0"/>
          <w:iCs/>
          <w:caps w:val="0"/>
          <w:spacing w:val="0"/>
          <w:w w:val="100"/>
          <w:sz w:val="24"/>
        </w:rPr>
      </w:pPr>
      <w:r>
        <w:rPr>
          <w:rFonts w:hint="eastAsia" w:ascii="仿宋_GB2312" w:hAnsi="仿宋_GB2312" w:eastAsia="仿宋_GB2312" w:cs="仿宋_GB2312"/>
          <w:b w:val="0"/>
          <w:i w:val="0"/>
          <w:iCs/>
          <w:caps w:val="0"/>
          <w:spacing w:val="0"/>
          <w:w w:val="100"/>
          <w:sz w:val="24"/>
        </w:rPr>
        <w:t>1.1 根据《中华人民共和国政府采购法》、《中华人民共和国政府采购法实施条例》、《政府采购货物和服务招标投标管理办法（财政部第87号令）》等法律制度，结合采购项目特点制定本评标办法。</w:t>
      </w:r>
    </w:p>
    <w:p w14:paraId="58FC2BEC">
      <w:pPr>
        <w:pStyle w:val="14"/>
        <w:keepNext w:val="0"/>
        <w:keepLines w:val="0"/>
        <w:pageBreakBefore w:val="0"/>
        <w:widowControl w:val="0"/>
        <w:kinsoku/>
        <w:wordWrap/>
        <w:overflowPunct/>
        <w:topLinePunct w:val="0"/>
        <w:autoSpaceDE/>
        <w:autoSpaceDN/>
        <w:bidi w:val="0"/>
        <w:adjustRightInd/>
        <w:snapToGrid w:val="0"/>
        <w:spacing w:before="0" w:beforeAutospacing="0" w:after="0" w:afterAutospacing="0" w:line="400" w:lineRule="exact"/>
        <w:ind w:left="-181" w:leftChars="-86" w:firstLine="660" w:firstLineChars="275"/>
        <w:jc w:val="both"/>
        <w:textAlignment w:val="baseline"/>
        <w:rPr>
          <w:rFonts w:ascii="仿宋_GB2312" w:hAnsi="仿宋_GB2312" w:eastAsia="仿宋_GB2312" w:cs="仿宋_GB2312"/>
          <w:b w:val="0"/>
          <w:i w:val="0"/>
          <w:iCs/>
          <w:caps w:val="0"/>
          <w:spacing w:val="0"/>
          <w:w w:val="100"/>
          <w:sz w:val="24"/>
        </w:rPr>
      </w:pPr>
      <w:r>
        <w:rPr>
          <w:rFonts w:hint="eastAsia" w:ascii="仿宋_GB2312" w:hAnsi="仿宋_GB2312" w:eastAsia="仿宋_GB2312" w:cs="仿宋_GB2312"/>
          <w:b w:val="0"/>
          <w:i w:val="0"/>
          <w:iCs/>
          <w:caps w:val="0"/>
          <w:spacing w:val="0"/>
          <w:w w:val="100"/>
          <w:sz w:val="24"/>
        </w:rPr>
        <w:t>1.2 评标工作由采购代理机构负责组织，具体评标事务由采购代理机构依法组建的评标委员会负责。评标委员会由采购人代表和有关技术、经济、法律等方面的专家组成。</w:t>
      </w:r>
    </w:p>
    <w:p w14:paraId="1A57362E">
      <w:pPr>
        <w:pStyle w:val="14"/>
        <w:keepNext w:val="0"/>
        <w:keepLines w:val="0"/>
        <w:pageBreakBefore w:val="0"/>
        <w:widowControl w:val="0"/>
        <w:kinsoku/>
        <w:wordWrap/>
        <w:overflowPunct/>
        <w:topLinePunct w:val="0"/>
        <w:autoSpaceDE/>
        <w:autoSpaceDN/>
        <w:bidi w:val="0"/>
        <w:adjustRightInd/>
        <w:snapToGrid w:val="0"/>
        <w:spacing w:before="0" w:beforeAutospacing="0" w:after="0" w:afterAutospacing="0" w:line="400" w:lineRule="exact"/>
        <w:ind w:left="-181" w:leftChars="-86" w:firstLine="660" w:firstLineChars="275"/>
        <w:jc w:val="both"/>
        <w:textAlignment w:val="baseline"/>
        <w:rPr>
          <w:rFonts w:ascii="仿宋_GB2312" w:hAnsi="仿宋_GB2312" w:eastAsia="仿宋_GB2312" w:cs="仿宋_GB2312"/>
          <w:b w:val="0"/>
          <w:i w:val="0"/>
          <w:iCs/>
          <w:caps w:val="0"/>
          <w:spacing w:val="0"/>
          <w:w w:val="100"/>
          <w:sz w:val="24"/>
        </w:rPr>
      </w:pPr>
      <w:r>
        <w:rPr>
          <w:rFonts w:hint="eastAsia" w:ascii="仿宋_GB2312" w:hAnsi="仿宋_GB2312" w:eastAsia="仿宋_GB2312" w:cs="仿宋_GB2312"/>
          <w:b w:val="0"/>
          <w:i w:val="0"/>
          <w:iCs/>
          <w:caps w:val="0"/>
          <w:spacing w:val="0"/>
          <w:w w:val="100"/>
          <w:sz w:val="24"/>
        </w:rPr>
        <w:t>1.3 评标工作应遵循公平、公正、科学及择优的原则，并以相同的评标程序和标准对待所有的投标人。</w:t>
      </w:r>
    </w:p>
    <w:p w14:paraId="4EA1E140">
      <w:pPr>
        <w:pStyle w:val="14"/>
        <w:keepNext w:val="0"/>
        <w:keepLines w:val="0"/>
        <w:pageBreakBefore w:val="0"/>
        <w:widowControl w:val="0"/>
        <w:kinsoku/>
        <w:wordWrap/>
        <w:overflowPunct/>
        <w:topLinePunct w:val="0"/>
        <w:autoSpaceDE/>
        <w:autoSpaceDN/>
        <w:bidi w:val="0"/>
        <w:adjustRightInd/>
        <w:snapToGrid w:val="0"/>
        <w:spacing w:before="0" w:beforeAutospacing="0" w:after="0" w:afterAutospacing="0" w:line="400" w:lineRule="exact"/>
        <w:ind w:left="-181" w:leftChars="-86" w:firstLine="660" w:firstLineChars="275"/>
        <w:jc w:val="both"/>
        <w:textAlignment w:val="baseline"/>
        <w:rPr>
          <w:rFonts w:ascii="仿宋_GB2312" w:hAnsi="仿宋_GB2312" w:eastAsia="仿宋_GB2312" w:cs="仿宋_GB2312"/>
          <w:b w:val="0"/>
          <w:i w:val="0"/>
          <w:iCs/>
          <w:caps w:val="0"/>
          <w:spacing w:val="0"/>
          <w:w w:val="100"/>
          <w:sz w:val="24"/>
        </w:rPr>
      </w:pPr>
      <w:r>
        <w:rPr>
          <w:rFonts w:hint="eastAsia" w:ascii="仿宋_GB2312" w:hAnsi="仿宋_GB2312" w:eastAsia="仿宋_GB2312" w:cs="仿宋_GB2312"/>
          <w:b w:val="0"/>
          <w:i w:val="0"/>
          <w:iCs/>
          <w:caps w:val="0"/>
          <w:spacing w:val="0"/>
          <w:w w:val="100"/>
          <w:sz w:val="24"/>
        </w:rPr>
        <w:t>1.4 评标委员会按照招标文件规定的评标方法和标准进行评标，并独立履行下列职责：</w:t>
      </w:r>
    </w:p>
    <w:p w14:paraId="68FF148E">
      <w:pPr>
        <w:pStyle w:val="14"/>
        <w:keepNext w:val="0"/>
        <w:keepLines w:val="0"/>
        <w:pageBreakBefore w:val="0"/>
        <w:widowControl w:val="0"/>
        <w:kinsoku/>
        <w:wordWrap/>
        <w:overflowPunct/>
        <w:topLinePunct w:val="0"/>
        <w:autoSpaceDE/>
        <w:autoSpaceDN/>
        <w:bidi w:val="0"/>
        <w:adjustRightInd/>
        <w:snapToGrid w:val="0"/>
        <w:spacing w:before="0" w:beforeAutospacing="0" w:after="0" w:afterAutospacing="0" w:line="400" w:lineRule="exact"/>
        <w:jc w:val="both"/>
        <w:textAlignment w:val="baseline"/>
        <w:rPr>
          <w:rFonts w:ascii="仿宋_GB2312" w:hAnsi="仿宋_GB2312" w:eastAsia="仿宋_GB2312" w:cs="仿宋_GB2312"/>
          <w:b w:val="0"/>
          <w:i w:val="0"/>
          <w:iCs/>
          <w:caps w:val="0"/>
          <w:spacing w:val="0"/>
          <w:w w:val="100"/>
          <w:sz w:val="24"/>
        </w:rPr>
      </w:pPr>
      <w:r>
        <w:rPr>
          <w:rFonts w:hint="eastAsia" w:ascii="仿宋_GB2312" w:hAnsi="仿宋_GB2312" w:eastAsia="仿宋_GB2312" w:cs="仿宋_GB2312"/>
          <w:b w:val="0"/>
          <w:i w:val="0"/>
          <w:iCs/>
          <w:caps w:val="0"/>
          <w:spacing w:val="0"/>
          <w:w w:val="100"/>
          <w:sz w:val="24"/>
        </w:rPr>
        <w:t>（一）审查、评价投标文件是否符合招标文件的商务、技术等实质性要求；</w:t>
      </w:r>
    </w:p>
    <w:p w14:paraId="7A3B2E06">
      <w:pPr>
        <w:pStyle w:val="14"/>
        <w:keepNext w:val="0"/>
        <w:keepLines w:val="0"/>
        <w:pageBreakBefore w:val="0"/>
        <w:widowControl w:val="0"/>
        <w:kinsoku/>
        <w:wordWrap/>
        <w:overflowPunct/>
        <w:topLinePunct w:val="0"/>
        <w:autoSpaceDE/>
        <w:autoSpaceDN/>
        <w:bidi w:val="0"/>
        <w:adjustRightInd/>
        <w:snapToGrid w:val="0"/>
        <w:spacing w:before="0" w:beforeAutospacing="0" w:after="0" w:afterAutospacing="0" w:line="400" w:lineRule="exact"/>
        <w:jc w:val="both"/>
        <w:textAlignment w:val="baseline"/>
        <w:rPr>
          <w:rFonts w:ascii="仿宋_GB2312" w:hAnsi="仿宋_GB2312" w:eastAsia="仿宋_GB2312" w:cs="仿宋_GB2312"/>
          <w:b w:val="0"/>
          <w:i w:val="0"/>
          <w:iCs/>
          <w:caps w:val="0"/>
          <w:spacing w:val="0"/>
          <w:w w:val="100"/>
          <w:sz w:val="24"/>
        </w:rPr>
      </w:pPr>
      <w:r>
        <w:rPr>
          <w:rFonts w:hint="eastAsia" w:ascii="仿宋_GB2312" w:hAnsi="仿宋_GB2312" w:eastAsia="仿宋_GB2312" w:cs="仿宋_GB2312"/>
          <w:b w:val="0"/>
          <w:i w:val="0"/>
          <w:iCs/>
          <w:caps w:val="0"/>
          <w:spacing w:val="0"/>
          <w:w w:val="100"/>
          <w:sz w:val="24"/>
        </w:rPr>
        <w:t>（二）要求投标人对投标文件有关事项作出澄清或者说明；</w:t>
      </w:r>
    </w:p>
    <w:p w14:paraId="3573B34A">
      <w:pPr>
        <w:pStyle w:val="14"/>
        <w:keepNext w:val="0"/>
        <w:keepLines w:val="0"/>
        <w:pageBreakBefore w:val="0"/>
        <w:widowControl w:val="0"/>
        <w:kinsoku/>
        <w:wordWrap/>
        <w:overflowPunct/>
        <w:topLinePunct w:val="0"/>
        <w:autoSpaceDE/>
        <w:autoSpaceDN/>
        <w:bidi w:val="0"/>
        <w:adjustRightInd/>
        <w:snapToGrid w:val="0"/>
        <w:spacing w:before="0" w:beforeAutospacing="0" w:after="0" w:afterAutospacing="0" w:line="400" w:lineRule="exact"/>
        <w:jc w:val="both"/>
        <w:textAlignment w:val="baseline"/>
        <w:rPr>
          <w:rFonts w:ascii="仿宋_GB2312" w:hAnsi="仿宋_GB2312" w:eastAsia="仿宋_GB2312" w:cs="仿宋_GB2312"/>
          <w:b w:val="0"/>
          <w:i w:val="0"/>
          <w:iCs/>
          <w:caps w:val="0"/>
          <w:spacing w:val="0"/>
          <w:w w:val="100"/>
          <w:sz w:val="24"/>
        </w:rPr>
      </w:pPr>
      <w:r>
        <w:rPr>
          <w:rFonts w:hint="eastAsia" w:ascii="仿宋_GB2312" w:hAnsi="仿宋_GB2312" w:eastAsia="仿宋_GB2312" w:cs="仿宋_GB2312"/>
          <w:b w:val="0"/>
          <w:i w:val="0"/>
          <w:iCs/>
          <w:caps w:val="0"/>
          <w:spacing w:val="0"/>
          <w:w w:val="100"/>
          <w:sz w:val="24"/>
        </w:rPr>
        <w:t>（三）对投标文件进行比较和评价；</w:t>
      </w:r>
    </w:p>
    <w:p w14:paraId="2C4CFE9F">
      <w:pPr>
        <w:pStyle w:val="14"/>
        <w:keepNext w:val="0"/>
        <w:keepLines w:val="0"/>
        <w:pageBreakBefore w:val="0"/>
        <w:widowControl w:val="0"/>
        <w:kinsoku/>
        <w:wordWrap/>
        <w:overflowPunct/>
        <w:topLinePunct w:val="0"/>
        <w:autoSpaceDE/>
        <w:autoSpaceDN/>
        <w:bidi w:val="0"/>
        <w:adjustRightInd/>
        <w:snapToGrid w:val="0"/>
        <w:spacing w:before="0" w:beforeAutospacing="0" w:after="0" w:afterAutospacing="0" w:line="400" w:lineRule="exact"/>
        <w:jc w:val="both"/>
        <w:textAlignment w:val="baseline"/>
        <w:rPr>
          <w:rFonts w:ascii="仿宋_GB2312" w:hAnsi="仿宋_GB2312" w:eastAsia="仿宋_GB2312" w:cs="仿宋_GB2312"/>
          <w:b w:val="0"/>
          <w:i w:val="0"/>
          <w:iCs/>
          <w:caps w:val="0"/>
          <w:spacing w:val="0"/>
          <w:w w:val="100"/>
          <w:sz w:val="24"/>
        </w:rPr>
      </w:pPr>
      <w:r>
        <w:rPr>
          <w:rFonts w:hint="eastAsia" w:ascii="仿宋_GB2312" w:hAnsi="仿宋_GB2312" w:eastAsia="仿宋_GB2312" w:cs="仿宋_GB2312"/>
          <w:b w:val="0"/>
          <w:i w:val="0"/>
          <w:iCs/>
          <w:caps w:val="0"/>
          <w:spacing w:val="0"/>
          <w:w w:val="100"/>
          <w:sz w:val="24"/>
        </w:rPr>
        <w:t>（四）确定中标候选人名单，以及根据采购人委托直接确定中标人；</w:t>
      </w:r>
    </w:p>
    <w:p w14:paraId="2B25A92B">
      <w:pPr>
        <w:pStyle w:val="14"/>
        <w:keepNext w:val="0"/>
        <w:keepLines w:val="0"/>
        <w:pageBreakBefore w:val="0"/>
        <w:widowControl w:val="0"/>
        <w:kinsoku/>
        <w:wordWrap/>
        <w:overflowPunct/>
        <w:topLinePunct w:val="0"/>
        <w:autoSpaceDE/>
        <w:autoSpaceDN/>
        <w:bidi w:val="0"/>
        <w:adjustRightInd/>
        <w:snapToGrid w:val="0"/>
        <w:spacing w:before="0" w:beforeAutospacing="0" w:after="0" w:afterAutospacing="0" w:line="400" w:lineRule="exact"/>
        <w:jc w:val="both"/>
        <w:textAlignment w:val="baseline"/>
        <w:rPr>
          <w:rFonts w:hint="eastAsia" w:ascii="仿宋_GB2312" w:hAnsi="仿宋_GB2312" w:eastAsia="仿宋_GB2312" w:cs="仿宋_GB2312"/>
          <w:b w:val="0"/>
          <w:i w:val="0"/>
          <w:iCs/>
          <w:caps w:val="0"/>
          <w:spacing w:val="0"/>
          <w:w w:val="100"/>
          <w:sz w:val="24"/>
          <w:lang w:eastAsia="zh-CN"/>
        </w:rPr>
      </w:pPr>
      <w:r>
        <w:rPr>
          <w:rFonts w:hint="eastAsia" w:ascii="仿宋_GB2312" w:hAnsi="仿宋_GB2312" w:eastAsia="仿宋_GB2312" w:cs="仿宋_GB2312"/>
          <w:b w:val="0"/>
          <w:i w:val="0"/>
          <w:iCs/>
          <w:caps w:val="0"/>
          <w:spacing w:val="0"/>
          <w:w w:val="100"/>
          <w:sz w:val="24"/>
        </w:rPr>
        <w:t>（五）向采购人、采购代理机构或者有关部门报告评标中发现的违法行为</w:t>
      </w:r>
      <w:r>
        <w:rPr>
          <w:rFonts w:hint="eastAsia" w:ascii="仿宋_GB2312" w:hAnsi="仿宋_GB2312" w:eastAsia="仿宋_GB2312" w:cs="仿宋_GB2312"/>
          <w:b w:val="0"/>
          <w:i w:val="0"/>
          <w:iCs/>
          <w:caps w:val="0"/>
          <w:spacing w:val="0"/>
          <w:w w:val="100"/>
          <w:sz w:val="24"/>
          <w:lang w:eastAsia="zh-CN"/>
        </w:rPr>
        <w:t>；</w:t>
      </w:r>
    </w:p>
    <w:p w14:paraId="3A5E9C53">
      <w:pPr>
        <w:pStyle w:val="14"/>
        <w:keepNext w:val="0"/>
        <w:keepLines w:val="0"/>
        <w:pageBreakBefore w:val="0"/>
        <w:widowControl w:val="0"/>
        <w:kinsoku/>
        <w:wordWrap/>
        <w:overflowPunct/>
        <w:topLinePunct w:val="0"/>
        <w:autoSpaceDE/>
        <w:autoSpaceDN/>
        <w:bidi w:val="0"/>
        <w:adjustRightInd/>
        <w:snapToGrid w:val="0"/>
        <w:spacing w:before="0" w:beforeAutospacing="0" w:after="0" w:afterAutospacing="0" w:line="400" w:lineRule="exact"/>
        <w:jc w:val="both"/>
        <w:textAlignment w:val="baseline"/>
        <w:rPr>
          <w:rFonts w:ascii="仿宋_GB2312" w:hAnsi="仿宋_GB2312" w:eastAsia="仿宋_GB2312" w:cs="仿宋_GB2312"/>
          <w:b w:val="0"/>
          <w:i w:val="0"/>
          <w:iCs/>
          <w:caps w:val="0"/>
          <w:spacing w:val="0"/>
          <w:w w:val="100"/>
          <w:sz w:val="24"/>
        </w:rPr>
      </w:pPr>
      <w:r>
        <w:rPr>
          <w:rFonts w:hint="eastAsia" w:ascii="仿宋_GB2312" w:hAnsi="仿宋_GB2312" w:eastAsia="仿宋_GB2312" w:cs="仿宋_GB2312"/>
          <w:b w:val="0"/>
          <w:i w:val="0"/>
          <w:iCs/>
          <w:caps w:val="0"/>
          <w:spacing w:val="0"/>
          <w:w w:val="100"/>
          <w:sz w:val="24"/>
        </w:rPr>
        <w:t>（六）法律、法规和规章规定的其他职责。</w:t>
      </w:r>
    </w:p>
    <w:p w14:paraId="48861F40">
      <w:pPr>
        <w:pStyle w:val="14"/>
        <w:keepNext w:val="0"/>
        <w:keepLines w:val="0"/>
        <w:pageBreakBefore w:val="0"/>
        <w:widowControl w:val="0"/>
        <w:kinsoku/>
        <w:wordWrap/>
        <w:overflowPunct/>
        <w:topLinePunct w:val="0"/>
        <w:autoSpaceDE/>
        <w:autoSpaceDN/>
        <w:bidi w:val="0"/>
        <w:adjustRightInd/>
        <w:snapToGrid w:val="0"/>
        <w:spacing w:before="0" w:beforeAutospacing="0" w:after="0" w:afterAutospacing="0" w:line="400" w:lineRule="exact"/>
        <w:ind w:left="-181" w:leftChars="-86" w:firstLine="660" w:firstLineChars="275"/>
        <w:jc w:val="both"/>
        <w:textAlignment w:val="baseline"/>
        <w:rPr>
          <w:rFonts w:ascii="仿宋_GB2312" w:hAnsi="仿宋_GB2312" w:eastAsia="仿宋_GB2312" w:cs="仿宋_GB2312"/>
          <w:b w:val="0"/>
          <w:i w:val="0"/>
          <w:iCs/>
          <w:caps w:val="0"/>
          <w:spacing w:val="0"/>
          <w:w w:val="100"/>
          <w:sz w:val="24"/>
        </w:rPr>
      </w:pPr>
      <w:r>
        <w:rPr>
          <w:rFonts w:hint="eastAsia" w:ascii="仿宋_GB2312" w:hAnsi="仿宋_GB2312" w:eastAsia="仿宋_GB2312" w:cs="仿宋_GB2312"/>
          <w:b w:val="0"/>
          <w:i w:val="0"/>
          <w:iCs/>
          <w:caps w:val="0"/>
          <w:spacing w:val="0"/>
          <w:w w:val="100"/>
          <w:sz w:val="24"/>
        </w:rPr>
        <w:t>1.5 评标过程独立、保密。投标人非法干预评标过程的行为将导致其投标文件作为无效处理。</w:t>
      </w:r>
    </w:p>
    <w:p w14:paraId="22915DFE">
      <w:pPr>
        <w:pStyle w:val="14"/>
        <w:keepNext w:val="0"/>
        <w:keepLines w:val="0"/>
        <w:pageBreakBefore w:val="0"/>
        <w:widowControl w:val="0"/>
        <w:kinsoku/>
        <w:wordWrap/>
        <w:overflowPunct/>
        <w:topLinePunct w:val="0"/>
        <w:autoSpaceDE/>
        <w:autoSpaceDN/>
        <w:bidi w:val="0"/>
        <w:adjustRightInd/>
        <w:snapToGrid w:val="0"/>
        <w:spacing w:before="0" w:beforeAutospacing="0" w:after="0" w:afterAutospacing="0" w:line="400" w:lineRule="exact"/>
        <w:ind w:left="-181" w:leftChars="-86" w:firstLine="660" w:firstLineChars="275"/>
        <w:jc w:val="both"/>
        <w:textAlignment w:val="baseline"/>
        <w:rPr>
          <w:rFonts w:ascii="仿宋_GB2312" w:hAnsi="仿宋_GB2312" w:eastAsia="仿宋_GB2312" w:cs="仿宋_GB2312"/>
          <w:b w:val="0"/>
          <w:i w:val="0"/>
          <w:iCs/>
          <w:caps w:val="0"/>
          <w:spacing w:val="0"/>
          <w:w w:val="100"/>
          <w:sz w:val="24"/>
        </w:rPr>
      </w:pPr>
      <w:r>
        <w:rPr>
          <w:rFonts w:hint="eastAsia" w:ascii="仿宋_GB2312" w:hAnsi="仿宋_GB2312" w:eastAsia="仿宋_GB2312" w:cs="仿宋_GB2312"/>
          <w:b w:val="0"/>
          <w:i w:val="0"/>
          <w:iCs/>
          <w:caps w:val="0"/>
          <w:spacing w:val="0"/>
          <w:w w:val="100"/>
          <w:sz w:val="24"/>
        </w:rPr>
        <w:t>1.6评标委员会评价投标文件的响应性，对于投标人而言，除评标委员会要求其澄清、说明或者更正而提供的资料外，仅依据投标文件本身的内容，不寻求其他外部证据。</w:t>
      </w:r>
    </w:p>
    <w:p w14:paraId="21753902">
      <w:pPr>
        <w:pStyle w:val="14"/>
        <w:keepNext w:val="0"/>
        <w:keepLines w:val="0"/>
        <w:pageBreakBefore w:val="0"/>
        <w:widowControl w:val="0"/>
        <w:kinsoku/>
        <w:wordWrap/>
        <w:overflowPunct/>
        <w:topLinePunct w:val="0"/>
        <w:autoSpaceDE/>
        <w:autoSpaceDN/>
        <w:bidi w:val="0"/>
        <w:adjustRightInd/>
        <w:snapToGrid w:val="0"/>
        <w:spacing w:before="0" w:beforeAutospacing="0" w:after="0" w:afterAutospacing="0" w:line="400" w:lineRule="exact"/>
        <w:ind w:firstLine="240" w:firstLineChars="100"/>
        <w:jc w:val="both"/>
        <w:textAlignment w:val="baseline"/>
        <w:rPr>
          <w:rFonts w:ascii="仿宋_GB2312" w:hAnsi="仿宋_GB2312" w:eastAsia="仿宋_GB2312" w:cs="仿宋_GB2312"/>
          <w:b w:val="0"/>
          <w:i w:val="0"/>
          <w:iCs/>
          <w:caps w:val="0"/>
          <w:spacing w:val="0"/>
          <w:w w:val="100"/>
          <w:sz w:val="24"/>
        </w:rPr>
      </w:pPr>
      <w:r>
        <w:rPr>
          <w:rFonts w:hint="eastAsia" w:ascii="仿宋_GB2312" w:hAnsi="仿宋_GB2312" w:eastAsia="仿宋_GB2312" w:cs="仿宋_GB2312"/>
          <w:b w:val="0"/>
          <w:i w:val="0"/>
          <w:iCs/>
          <w:caps w:val="0"/>
          <w:spacing w:val="0"/>
          <w:w w:val="100"/>
          <w:sz w:val="24"/>
        </w:rPr>
        <w:t xml:space="preserve"> 1.7采购人或者采购代理机构负责组织评标工作，并履行下列职责：</w:t>
      </w:r>
    </w:p>
    <w:p w14:paraId="27DB6382">
      <w:pPr>
        <w:pStyle w:val="14"/>
        <w:keepNext w:val="0"/>
        <w:keepLines w:val="0"/>
        <w:pageBreakBefore w:val="0"/>
        <w:widowControl w:val="0"/>
        <w:kinsoku/>
        <w:wordWrap/>
        <w:overflowPunct/>
        <w:topLinePunct w:val="0"/>
        <w:autoSpaceDE/>
        <w:autoSpaceDN/>
        <w:bidi w:val="0"/>
        <w:adjustRightInd/>
        <w:snapToGrid w:val="0"/>
        <w:spacing w:before="0" w:beforeAutospacing="0" w:after="0" w:afterAutospacing="0" w:line="400" w:lineRule="exact"/>
        <w:ind w:firstLine="240" w:firstLineChars="100"/>
        <w:jc w:val="both"/>
        <w:textAlignment w:val="baseline"/>
        <w:rPr>
          <w:rFonts w:ascii="仿宋_GB2312" w:hAnsi="仿宋_GB2312" w:eastAsia="仿宋_GB2312" w:cs="仿宋_GB2312"/>
          <w:b w:val="0"/>
          <w:i w:val="0"/>
          <w:iCs/>
          <w:caps w:val="0"/>
          <w:spacing w:val="0"/>
          <w:w w:val="100"/>
          <w:sz w:val="24"/>
        </w:rPr>
      </w:pPr>
      <w:r>
        <w:rPr>
          <w:rFonts w:hint="eastAsia" w:ascii="仿宋_GB2312" w:hAnsi="仿宋_GB2312" w:eastAsia="仿宋_GB2312" w:cs="仿宋_GB2312"/>
          <w:b w:val="0"/>
          <w:i w:val="0"/>
          <w:iCs/>
          <w:caps w:val="0"/>
          <w:spacing w:val="0"/>
          <w:w w:val="100"/>
          <w:sz w:val="24"/>
        </w:rPr>
        <w:t>（一）核对评审专家身份和采购人代表信息，对评审专家在政府采购活动中的职责履行情况予以记录，并及时将有关违法违规行为向财政部门报告；</w:t>
      </w:r>
    </w:p>
    <w:p w14:paraId="0E116FC1">
      <w:pPr>
        <w:pStyle w:val="14"/>
        <w:keepNext w:val="0"/>
        <w:keepLines w:val="0"/>
        <w:pageBreakBefore w:val="0"/>
        <w:widowControl w:val="0"/>
        <w:kinsoku/>
        <w:wordWrap/>
        <w:overflowPunct/>
        <w:topLinePunct w:val="0"/>
        <w:autoSpaceDE/>
        <w:autoSpaceDN/>
        <w:bidi w:val="0"/>
        <w:adjustRightInd/>
        <w:snapToGrid w:val="0"/>
        <w:spacing w:before="0" w:beforeAutospacing="0" w:after="0" w:afterAutospacing="0" w:line="400" w:lineRule="exact"/>
        <w:ind w:firstLine="240" w:firstLineChars="100"/>
        <w:jc w:val="both"/>
        <w:textAlignment w:val="baseline"/>
        <w:rPr>
          <w:rFonts w:ascii="仿宋_GB2312" w:hAnsi="仿宋_GB2312" w:eastAsia="仿宋_GB2312" w:cs="仿宋_GB2312"/>
          <w:b w:val="0"/>
          <w:i w:val="0"/>
          <w:iCs/>
          <w:caps w:val="0"/>
          <w:spacing w:val="0"/>
          <w:w w:val="100"/>
          <w:sz w:val="24"/>
        </w:rPr>
      </w:pPr>
      <w:r>
        <w:rPr>
          <w:rFonts w:hint="eastAsia" w:ascii="仿宋_GB2312" w:hAnsi="仿宋_GB2312" w:eastAsia="仿宋_GB2312" w:cs="仿宋_GB2312"/>
          <w:b w:val="0"/>
          <w:i w:val="0"/>
          <w:iCs/>
          <w:caps w:val="0"/>
          <w:spacing w:val="0"/>
          <w:w w:val="100"/>
          <w:sz w:val="24"/>
        </w:rPr>
        <w:t>（二）宣布评标纪律；</w:t>
      </w:r>
    </w:p>
    <w:p w14:paraId="128D2F1A">
      <w:pPr>
        <w:pStyle w:val="14"/>
        <w:keepNext w:val="0"/>
        <w:keepLines w:val="0"/>
        <w:pageBreakBefore w:val="0"/>
        <w:widowControl w:val="0"/>
        <w:kinsoku/>
        <w:wordWrap/>
        <w:overflowPunct/>
        <w:topLinePunct w:val="0"/>
        <w:autoSpaceDE/>
        <w:autoSpaceDN/>
        <w:bidi w:val="0"/>
        <w:adjustRightInd/>
        <w:snapToGrid w:val="0"/>
        <w:spacing w:before="0" w:beforeAutospacing="0" w:after="0" w:afterAutospacing="0" w:line="400" w:lineRule="exact"/>
        <w:ind w:firstLine="240" w:firstLineChars="100"/>
        <w:jc w:val="both"/>
        <w:textAlignment w:val="baseline"/>
        <w:rPr>
          <w:rFonts w:ascii="仿宋_GB2312" w:hAnsi="仿宋_GB2312" w:eastAsia="仿宋_GB2312" w:cs="仿宋_GB2312"/>
          <w:b w:val="0"/>
          <w:i w:val="0"/>
          <w:iCs/>
          <w:caps w:val="0"/>
          <w:spacing w:val="0"/>
          <w:w w:val="100"/>
          <w:sz w:val="24"/>
        </w:rPr>
      </w:pPr>
      <w:r>
        <w:rPr>
          <w:rFonts w:hint="eastAsia" w:ascii="仿宋_GB2312" w:hAnsi="仿宋_GB2312" w:eastAsia="仿宋_GB2312" w:cs="仿宋_GB2312"/>
          <w:b w:val="0"/>
          <w:i w:val="0"/>
          <w:iCs/>
          <w:caps w:val="0"/>
          <w:spacing w:val="0"/>
          <w:w w:val="100"/>
          <w:sz w:val="24"/>
        </w:rPr>
        <w:t>（三）公布投标人名单，告知评审专家应当回避的情形；</w:t>
      </w:r>
    </w:p>
    <w:p w14:paraId="7244940D">
      <w:pPr>
        <w:pStyle w:val="14"/>
        <w:keepNext w:val="0"/>
        <w:keepLines w:val="0"/>
        <w:pageBreakBefore w:val="0"/>
        <w:widowControl w:val="0"/>
        <w:kinsoku/>
        <w:wordWrap/>
        <w:overflowPunct/>
        <w:topLinePunct w:val="0"/>
        <w:autoSpaceDE/>
        <w:autoSpaceDN/>
        <w:bidi w:val="0"/>
        <w:adjustRightInd/>
        <w:snapToGrid w:val="0"/>
        <w:spacing w:before="0" w:beforeAutospacing="0" w:after="0" w:afterAutospacing="0" w:line="400" w:lineRule="exact"/>
        <w:ind w:firstLine="240" w:firstLineChars="100"/>
        <w:jc w:val="both"/>
        <w:textAlignment w:val="baseline"/>
        <w:rPr>
          <w:rFonts w:ascii="仿宋_GB2312" w:hAnsi="仿宋_GB2312" w:eastAsia="仿宋_GB2312" w:cs="仿宋_GB2312"/>
          <w:b w:val="0"/>
          <w:i w:val="0"/>
          <w:iCs/>
          <w:caps w:val="0"/>
          <w:spacing w:val="0"/>
          <w:w w:val="100"/>
          <w:sz w:val="24"/>
        </w:rPr>
      </w:pPr>
      <w:r>
        <w:rPr>
          <w:rFonts w:hint="eastAsia" w:ascii="仿宋_GB2312" w:hAnsi="仿宋_GB2312" w:eastAsia="仿宋_GB2312" w:cs="仿宋_GB2312"/>
          <w:b w:val="0"/>
          <w:i w:val="0"/>
          <w:iCs/>
          <w:caps w:val="0"/>
          <w:spacing w:val="0"/>
          <w:w w:val="100"/>
          <w:sz w:val="24"/>
        </w:rPr>
        <w:t>（四）组织评标委员会推选评标组长，采购人代表不得担任组长；</w:t>
      </w:r>
    </w:p>
    <w:p w14:paraId="4FF08584">
      <w:pPr>
        <w:pStyle w:val="14"/>
        <w:keepNext w:val="0"/>
        <w:keepLines w:val="0"/>
        <w:pageBreakBefore w:val="0"/>
        <w:widowControl w:val="0"/>
        <w:kinsoku/>
        <w:wordWrap/>
        <w:overflowPunct/>
        <w:topLinePunct w:val="0"/>
        <w:autoSpaceDE/>
        <w:autoSpaceDN/>
        <w:bidi w:val="0"/>
        <w:adjustRightInd/>
        <w:snapToGrid w:val="0"/>
        <w:spacing w:before="0" w:beforeAutospacing="0" w:after="0" w:afterAutospacing="0" w:line="400" w:lineRule="exact"/>
        <w:ind w:firstLine="240" w:firstLineChars="100"/>
        <w:jc w:val="both"/>
        <w:textAlignment w:val="baseline"/>
        <w:rPr>
          <w:rFonts w:ascii="仿宋_GB2312" w:hAnsi="仿宋_GB2312" w:eastAsia="仿宋_GB2312" w:cs="仿宋_GB2312"/>
          <w:b w:val="0"/>
          <w:i w:val="0"/>
          <w:iCs/>
          <w:caps w:val="0"/>
          <w:spacing w:val="0"/>
          <w:w w:val="100"/>
          <w:sz w:val="24"/>
        </w:rPr>
      </w:pPr>
      <w:r>
        <w:rPr>
          <w:rFonts w:hint="eastAsia" w:ascii="仿宋_GB2312" w:hAnsi="仿宋_GB2312" w:eastAsia="仿宋_GB2312" w:cs="仿宋_GB2312"/>
          <w:b w:val="0"/>
          <w:i w:val="0"/>
          <w:iCs/>
          <w:caps w:val="0"/>
          <w:spacing w:val="0"/>
          <w:w w:val="100"/>
          <w:sz w:val="24"/>
        </w:rPr>
        <w:t>（五）在评标期间采取必要的通讯管理措施，保证评标活动不受外界干扰；</w:t>
      </w:r>
    </w:p>
    <w:p w14:paraId="55756524">
      <w:pPr>
        <w:pStyle w:val="14"/>
        <w:keepNext w:val="0"/>
        <w:keepLines w:val="0"/>
        <w:pageBreakBefore w:val="0"/>
        <w:widowControl w:val="0"/>
        <w:kinsoku/>
        <w:wordWrap/>
        <w:overflowPunct/>
        <w:topLinePunct w:val="0"/>
        <w:autoSpaceDE/>
        <w:autoSpaceDN/>
        <w:bidi w:val="0"/>
        <w:adjustRightInd/>
        <w:snapToGrid w:val="0"/>
        <w:spacing w:before="0" w:beforeAutospacing="0" w:after="0" w:afterAutospacing="0" w:line="400" w:lineRule="exact"/>
        <w:ind w:firstLine="240" w:firstLineChars="100"/>
        <w:jc w:val="both"/>
        <w:textAlignment w:val="baseline"/>
        <w:rPr>
          <w:rFonts w:ascii="仿宋_GB2312" w:hAnsi="仿宋_GB2312" w:eastAsia="仿宋_GB2312" w:cs="仿宋_GB2312"/>
          <w:b w:val="0"/>
          <w:i w:val="0"/>
          <w:iCs/>
          <w:caps w:val="0"/>
          <w:spacing w:val="0"/>
          <w:w w:val="100"/>
          <w:sz w:val="24"/>
        </w:rPr>
      </w:pPr>
      <w:r>
        <w:rPr>
          <w:rFonts w:hint="eastAsia" w:ascii="仿宋_GB2312" w:hAnsi="仿宋_GB2312" w:eastAsia="仿宋_GB2312" w:cs="仿宋_GB2312"/>
          <w:b w:val="0"/>
          <w:i w:val="0"/>
          <w:iCs/>
          <w:caps w:val="0"/>
          <w:spacing w:val="0"/>
          <w:w w:val="100"/>
          <w:sz w:val="24"/>
        </w:rPr>
        <w:t>（六）根据评标委员会的要求介绍政府采购相关政策法规、招标文件；</w:t>
      </w:r>
    </w:p>
    <w:p w14:paraId="77961F99">
      <w:pPr>
        <w:pStyle w:val="14"/>
        <w:keepNext w:val="0"/>
        <w:keepLines w:val="0"/>
        <w:pageBreakBefore w:val="0"/>
        <w:widowControl w:val="0"/>
        <w:kinsoku/>
        <w:wordWrap/>
        <w:overflowPunct/>
        <w:topLinePunct w:val="0"/>
        <w:autoSpaceDE/>
        <w:autoSpaceDN/>
        <w:bidi w:val="0"/>
        <w:adjustRightInd/>
        <w:snapToGrid w:val="0"/>
        <w:spacing w:before="0" w:beforeAutospacing="0" w:after="0" w:afterAutospacing="0" w:line="400" w:lineRule="exact"/>
        <w:ind w:firstLine="240" w:firstLineChars="100"/>
        <w:jc w:val="both"/>
        <w:textAlignment w:val="baseline"/>
        <w:rPr>
          <w:rFonts w:ascii="仿宋_GB2312" w:hAnsi="仿宋_GB2312" w:eastAsia="仿宋_GB2312" w:cs="仿宋_GB2312"/>
          <w:b w:val="0"/>
          <w:i w:val="0"/>
          <w:iCs/>
          <w:caps w:val="0"/>
          <w:spacing w:val="0"/>
          <w:w w:val="100"/>
          <w:sz w:val="24"/>
        </w:rPr>
      </w:pPr>
      <w:r>
        <w:rPr>
          <w:rFonts w:hint="eastAsia" w:ascii="仿宋_GB2312" w:hAnsi="仿宋_GB2312" w:eastAsia="仿宋_GB2312" w:cs="仿宋_GB2312"/>
          <w:b w:val="0"/>
          <w:i w:val="0"/>
          <w:iCs/>
          <w:caps w:val="0"/>
          <w:spacing w:val="0"/>
          <w:w w:val="100"/>
          <w:sz w:val="24"/>
        </w:rPr>
        <w:t>（七）维护评标秩序，监督评标委员会依照招标文件规定的评标程序、方法和标准进行独立评审，及时制止和纠正采购人代表、评审专家的倾向性言论或者违法违规行为；</w:t>
      </w:r>
    </w:p>
    <w:p w14:paraId="68CFE977">
      <w:pPr>
        <w:pStyle w:val="14"/>
        <w:keepNext w:val="0"/>
        <w:keepLines w:val="0"/>
        <w:pageBreakBefore w:val="0"/>
        <w:widowControl w:val="0"/>
        <w:kinsoku/>
        <w:wordWrap/>
        <w:overflowPunct/>
        <w:topLinePunct w:val="0"/>
        <w:autoSpaceDE/>
        <w:autoSpaceDN/>
        <w:bidi w:val="0"/>
        <w:adjustRightInd/>
        <w:snapToGrid w:val="0"/>
        <w:spacing w:before="0" w:beforeAutospacing="0" w:after="0" w:afterAutospacing="0" w:line="400" w:lineRule="exact"/>
        <w:ind w:firstLine="240" w:firstLineChars="100"/>
        <w:jc w:val="both"/>
        <w:textAlignment w:val="baseline"/>
        <w:rPr>
          <w:rFonts w:ascii="仿宋_GB2312" w:hAnsi="仿宋_GB2312" w:eastAsia="仿宋_GB2312" w:cs="仿宋_GB2312"/>
          <w:b w:val="0"/>
          <w:i w:val="0"/>
          <w:iCs/>
          <w:caps w:val="0"/>
          <w:spacing w:val="0"/>
          <w:w w:val="100"/>
          <w:sz w:val="24"/>
        </w:rPr>
      </w:pPr>
      <w:r>
        <w:rPr>
          <w:rFonts w:hint="eastAsia" w:ascii="仿宋_GB2312" w:hAnsi="仿宋_GB2312" w:eastAsia="仿宋_GB2312" w:cs="仿宋_GB2312"/>
          <w:b w:val="0"/>
          <w:i w:val="0"/>
          <w:iCs/>
          <w:caps w:val="0"/>
          <w:spacing w:val="0"/>
          <w:w w:val="100"/>
          <w:sz w:val="24"/>
        </w:rPr>
        <w:t>（八）核对评标结果，有财政部87号令第六十四条规定情形的，要求评标委员会复核或者书面说明理由，评标委员会拒绝的，应予记录并向本级财政部门报告；</w:t>
      </w:r>
    </w:p>
    <w:p w14:paraId="2AE6BDD0">
      <w:pPr>
        <w:pStyle w:val="14"/>
        <w:keepNext w:val="0"/>
        <w:keepLines w:val="0"/>
        <w:pageBreakBefore w:val="0"/>
        <w:widowControl w:val="0"/>
        <w:kinsoku/>
        <w:wordWrap/>
        <w:overflowPunct/>
        <w:topLinePunct w:val="0"/>
        <w:autoSpaceDE/>
        <w:autoSpaceDN/>
        <w:bidi w:val="0"/>
        <w:adjustRightInd/>
        <w:snapToGrid w:val="0"/>
        <w:spacing w:before="0" w:beforeAutospacing="0" w:after="0" w:afterAutospacing="0" w:line="400" w:lineRule="exact"/>
        <w:jc w:val="both"/>
        <w:textAlignment w:val="baseline"/>
        <w:rPr>
          <w:rFonts w:ascii="仿宋_GB2312" w:hAnsi="仿宋_GB2312" w:eastAsia="仿宋_GB2312" w:cs="仿宋_GB2312"/>
          <w:b w:val="0"/>
          <w:i w:val="0"/>
          <w:iCs/>
          <w:caps w:val="0"/>
          <w:spacing w:val="0"/>
          <w:w w:val="100"/>
          <w:sz w:val="24"/>
        </w:rPr>
      </w:pPr>
      <w:r>
        <w:rPr>
          <w:rFonts w:hint="eastAsia" w:ascii="仿宋_GB2312" w:hAnsi="仿宋_GB2312" w:eastAsia="仿宋_GB2312" w:cs="仿宋_GB2312"/>
          <w:b w:val="0"/>
          <w:i w:val="0"/>
          <w:iCs/>
          <w:caps w:val="0"/>
          <w:spacing w:val="0"/>
          <w:w w:val="100"/>
          <w:sz w:val="24"/>
        </w:rPr>
        <w:t>　（九）处理与评标有关的其他事项。</w:t>
      </w:r>
    </w:p>
    <w:p w14:paraId="39EE83A1">
      <w:pPr>
        <w:pStyle w:val="14"/>
        <w:keepNext w:val="0"/>
        <w:keepLines w:val="0"/>
        <w:pageBreakBefore w:val="0"/>
        <w:widowControl w:val="0"/>
        <w:kinsoku/>
        <w:wordWrap/>
        <w:overflowPunct/>
        <w:topLinePunct w:val="0"/>
        <w:autoSpaceDE/>
        <w:autoSpaceDN/>
        <w:bidi w:val="0"/>
        <w:adjustRightInd/>
        <w:snapToGrid w:val="0"/>
        <w:spacing w:before="0" w:beforeAutospacing="0" w:after="0" w:afterAutospacing="0" w:line="400" w:lineRule="exact"/>
        <w:ind w:left="-181" w:leftChars="-86" w:firstLine="660" w:firstLineChars="275"/>
        <w:jc w:val="both"/>
        <w:textAlignment w:val="baseline"/>
        <w:rPr>
          <w:rFonts w:ascii="仿宋_GB2312" w:hAnsi="仿宋_GB2312" w:eastAsia="仿宋_GB2312" w:cs="仿宋_GB2312"/>
          <w:b w:val="0"/>
          <w:i w:val="0"/>
          <w:iCs/>
          <w:caps w:val="0"/>
          <w:spacing w:val="0"/>
          <w:w w:val="100"/>
          <w:sz w:val="24"/>
        </w:rPr>
      </w:pPr>
      <w:r>
        <w:rPr>
          <w:rFonts w:hint="eastAsia" w:ascii="仿宋_GB2312" w:hAnsi="仿宋_GB2312" w:eastAsia="仿宋_GB2312" w:cs="仿宋_GB2312"/>
          <w:b w:val="0"/>
          <w:i w:val="0"/>
          <w:iCs/>
          <w:caps w:val="0"/>
          <w:spacing w:val="0"/>
          <w:w w:val="100"/>
          <w:sz w:val="24"/>
        </w:rPr>
        <w:t>采购人可以在评标前说明项目背景和采购需求，说明内容不得含有歧视性、倾向性意见，不得超出招标文件所述范围。说明应当提交书面材料，并随采购文件一并存档。</w:t>
      </w:r>
    </w:p>
    <w:p w14:paraId="1AE3445B">
      <w:pPr>
        <w:pStyle w:val="14"/>
        <w:keepNext w:val="0"/>
        <w:keepLines w:val="0"/>
        <w:pageBreakBefore w:val="0"/>
        <w:widowControl w:val="0"/>
        <w:kinsoku/>
        <w:wordWrap/>
        <w:overflowPunct/>
        <w:topLinePunct w:val="0"/>
        <w:autoSpaceDE/>
        <w:autoSpaceDN/>
        <w:bidi w:val="0"/>
        <w:adjustRightInd/>
        <w:snapToGrid w:val="0"/>
        <w:spacing w:before="0" w:beforeAutospacing="0" w:after="0" w:afterAutospacing="0" w:line="400" w:lineRule="exact"/>
        <w:ind w:left="-181" w:leftChars="-86" w:firstLine="660" w:firstLineChars="275"/>
        <w:jc w:val="both"/>
        <w:textAlignment w:val="baseline"/>
        <w:rPr>
          <w:rFonts w:ascii="仿宋_GB2312" w:hAnsi="仿宋_GB2312" w:eastAsia="仿宋_GB2312" w:cs="仿宋_GB2312"/>
          <w:b w:val="0"/>
          <w:i w:val="0"/>
          <w:iCs/>
          <w:caps w:val="0"/>
          <w:spacing w:val="0"/>
          <w:w w:val="100"/>
          <w:sz w:val="24"/>
        </w:rPr>
      </w:pPr>
      <w:r>
        <w:rPr>
          <w:rFonts w:hint="eastAsia" w:ascii="仿宋_GB2312" w:hAnsi="仿宋_GB2312" w:eastAsia="仿宋_GB2312" w:cs="仿宋_GB2312"/>
          <w:b w:val="0"/>
          <w:i w:val="0"/>
          <w:iCs/>
          <w:caps w:val="0"/>
          <w:spacing w:val="0"/>
          <w:w w:val="100"/>
          <w:sz w:val="24"/>
        </w:rPr>
        <w:t>2、评标方法</w:t>
      </w:r>
    </w:p>
    <w:p w14:paraId="46233092">
      <w:pPr>
        <w:pStyle w:val="14"/>
        <w:keepNext w:val="0"/>
        <w:keepLines w:val="0"/>
        <w:pageBreakBefore w:val="0"/>
        <w:widowControl w:val="0"/>
        <w:kinsoku/>
        <w:wordWrap/>
        <w:overflowPunct/>
        <w:topLinePunct w:val="0"/>
        <w:autoSpaceDE/>
        <w:autoSpaceDN/>
        <w:bidi w:val="0"/>
        <w:adjustRightInd/>
        <w:snapToGrid w:val="0"/>
        <w:spacing w:before="0" w:beforeAutospacing="0" w:after="0" w:afterAutospacing="0" w:line="400" w:lineRule="exact"/>
        <w:ind w:left="-181" w:leftChars="-86" w:firstLine="660" w:firstLineChars="275"/>
        <w:jc w:val="both"/>
        <w:textAlignment w:val="baseline"/>
        <w:rPr>
          <w:rFonts w:hint="eastAsia" w:ascii="仿宋_GB2312" w:hAnsi="仿宋_GB2312" w:eastAsia="仿宋_GB2312" w:cs="仿宋_GB2312"/>
          <w:b w:val="0"/>
          <w:i w:val="0"/>
          <w:iCs/>
          <w:caps w:val="0"/>
          <w:spacing w:val="0"/>
          <w:w w:val="100"/>
          <w:sz w:val="24"/>
        </w:rPr>
      </w:pPr>
      <w:r>
        <w:rPr>
          <w:rFonts w:hint="eastAsia" w:ascii="仿宋_GB2312" w:hAnsi="仿宋_GB2312" w:eastAsia="仿宋_GB2312" w:cs="仿宋_GB2312"/>
          <w:b w:val="0"/>
          <w:i w:val="0"/>
          <w:iCs/>
          <w:caps w:val="0"/>
          <w:spacing w:val="0"/>
          <w:w w:val="100"/>
          <w:sz w:val="24"/>
        </w:rPr>
        <w:t>本项目评标方法为：综合评分法。</w:t>
      </w:r>
    </w:p>
    <w:p w14:paraId="16444046">
      <w:pPr>
        <w:pStyle w:val="14"/>
        <w:keepNext w:val="0"/>
        <w:keepLines w:val="0"/>
        <w:pageBreakBefore w:val="0"/>
        <w:widowControl w:val="0"/>
        <w:kinsoku/>
        <w:wordWrap/>
        <w:overflowPunct/>
        <w:topLinePunct w:val="0"/>
        <w:autoSpaceDE/>
        <w:autoSpaceDN/>
        <w:bidi w:val="0"/>
        <w:adjustRightInd/>
        <w:snapToGrid w:val="0"/>
        <w:spacing w:before="0" w:beforeAutospacing="0" w:after="0" w:afterAutospacing="0" w:line="400" w:lineRule="exact"/>
        <w:ind w:firstLine="480" w:firstLineChars="200"/>
        <w:jc w:val="both"/>
        <w:textAlignment w:val="baseline"/>
        <w:rPr>
          <w:rFonts w:ascii="仿宋_GB2312" w:hAnsi="仿宋_GB2312" w:eastAsia="仿宋_GB2312" w:cs="仿宋_GB2312"/>
          <w:b w:val="0"/>
          <w:i w:val="0"/>
          <w:iCs/>
          <w:caps w:val="0"/>
          <w:spacing w:val="0"/>
          <w:w w:val="100"/>
          <w:sz w:val="24"/>
        </w:rPr>
      </w:pPr>
      <w:r>
        <w:rPr>
          <w:rFonts w:hint="eastAsia" w:ascii="仿宋_GB2312" w:hAnsi="仿宋_GB2312" w:eastAsia="仿宋_GB2312" w:cs="仿宋_GB2312"/>
          <w:b w:val="0"/>
          <w:i w:val="0"/>
          <w:iCs/>
          <w:caps w:val="0"/>
          <w:spacing w:val="0"/>
          <w:w w:val="100"/>
          <w:sz w:val="24"/>
        </w:rPr>
        <w:t>3、 评标程序</w:t>
      </w:r>
    </w:p>
    <w:p w14:paraId="497B06E6">
      <w:pPr>
        <w:pStyle w:val="14"/>
        <w:keepNext w:val="0"/>
        <w:keepLines w:val="0"/>
        <w:pageBreakBefore w:val="0"/>
        <w:widowControl w:val="0"/>
        <w:kinsoku/>
        <w:wordWrap/>
        <w:overflowPunct/>
        <w:topLinePunct w:val="0"/>
        <w:autoSpaceDE/>
        <w:autoSpaceDN/>
        <w:bidi w:val="0"/>
        <w:adjustRightInd/>
        <w:snapToGrid w:val="0"/>
        <w:spacing w:before="0" w:beforeAutospacing="0" w:after="0" w:afterAutospacing="0" w:line="400" w:lineRule="exact"/>
        <w:ind w:left="-181" w:leftChars="-86" w:firstLine="660" w:firstLineChars="275"/>
        <w:jc w:val="both"/>
        <w:textAlignment w:val="baseline"/>
        <w:rPr>
          <w:rFonts w:ascii="仿宋_GB2312" w:hAnsi="仿宋_GB2312" w:eastAsia="仿宋_GB2312" w:cs="仿宋_GB2312"/>
          <w:b w:val="0"/>
          <w:i w:val="0"/>
          <w:iCs/>
          <w:caps w:val="0"/>
          <w:spacing w:val="0"/>
          <w:w w:val="100"/>
          <w:sz w:val="24"/>
        </w:rPr>
      </w:pPr>
      <w:r>
        <w:rPr>
          <w:rFonts w:hint="eastAsia" w:ascii="仿宋_GB2312" w:hAnsi="仿宋_GB2312" w:eastAsia="仿宋_GB2312" w:cs="仿宋_GB2312"/>
          <w:b w:val="0"/>
          <w:i w:val="0"/>
          <w:iCs/>
          <w:caps w:val="0"/>
          <w:spacing w:val="0"/>
          <w:w w:val="100"/>
          <w:sz w:val="24"/>
        </w:rPr>
        <w:t>3.1熟悉和理解招标文件和停止评标。</w:t>
      </w:r>
    </w:p>
    <w:p w14:paraId="76F1DD00">
      <w:pPr>
        <w:pStyle w:val="14"/>
        <w:keepNext w:val="0"/>
        <w:keepLines w:val="0"/>
        <w:pageBreakBefore w:val="0"/>
        <w:widowControl w:val="0"/>
        <w:kinsoku/>
        <w:wordWrap/>
        <w:overflowPunct/>
        <w:topLinePunct w:val="0"/>
        <w:autoSpaceDE/>
        <w:autoSpaceDN/>
        <w:bidi w:val="0"/>
        <w:adjustRightInd/>
        <w:snapToGrid w:val="0"/>
        <w:spacing w:before="0" w:beforeAutospacing="0" w:after="0" w:afterAutospacing="0" w:line="400" w:lineRule="exact"/>
        <w:ind w:left="-181" w:leftChars="-86" w:firstLine="660" w:firstLineChars="275"/>
        <w:jc w:val="both"/>
        <w:textAlignment w:val="baseline"/>
        <w:rPr>
          <w:rFonts w:ascii="仿宋_GB2312" w:hAnsi="仿宋_GB2312" w:eastAsia="仿宋_GB2312" w:cs="仿宋_GB2312"/>
          <w:b w:val="0"/>
          <w:i w:val="0"/>
          <w:iCs/>
          <w:caps w:val="0"/>
          <w:spacing w:val="0"/>
          <w:w w:val="100"/>
          <w:sz w:val="24"/>
        </w:rPr>
      </w:pPr>
      <w:r>
        <w:rPr>
          <w:rFonts w:hint="eastAsia" w:ascii="仿宋_GB2312" w:hAnsi="仿宋_GB2312" w:eastAsia="仿宋_GB2312" w:cs="仿宋_GB2312"/>
          <w:b w:val="0"/>
          <w:i w:val="0"/>
          <w:iCs/>
          <w:caps w:val="0"/>
          <w:spacing w:val="0"/>
          <w:w w:val="100"/>
          <w:sz w:val="24"/>
        </w:rPr>
        <w:t>评标委员会正式评标前，应当对招标文件进行熟悉和理解，内容主要包括招标文件中采购项目技术、服务和商务要求、评标方法和标准以及可能涉及签订政府采购合同的内容等。</w:t>
      </w:r>
    </w:p>
    <w:p w14:paraId="02E5DC26">
      <w:pPr>
        <w:pStyle w:val="14"/>
        <w:keepNext w:val="0"/>
        <w:keepLines w:val="0"/>
        <w:pageBreakBefore w:val="0"/>
        <w:widowControl w:val="0"/>
        <w:kinsoku/>
        <w:wordWrap/>
        <w:overflowPunct/>
        <w:topLinePunct w:val="0"/>
        <w:autoSpaceDE/>
        <w:autoSpaceDN/>
        <w:bidi w:val="0"/>
        <w:adjustRightInd/>
        <w:snapToGrid w:val="0"/>
        <w:spacing w:before="0" w:beforeAutospacing="0" w:after="0" w:afterAutospacing="0" w:line="400" w:lineRule="exact"/>
        <w:ind w:left="-199" w:leftChars="-95" w:firstLine="199" w:firstLineChars="83"/>
        <w:jc w:val="both"/>
        <w:textAlignment w:val="baseline"/>
        <w:rPr>
          <w:rFonts w:hint="eastAsia" w:ascii="仿宋_GB2312" w:hAnsi="仿宋_GB2312" w:eastAsia="仿宋_GB2312" w:cs="仿宋_GB2312"/>
          <w:b/>
          <w:bCs/>
          <w:iCs/>
        </w:rPr>
      </w:pPr>
      <w:r>
        <w:rPr>
          <w:rFonts w:hint="eastAsia" w:ascii="仿宋_GB2312" w:hAnsi="仿宋_GB2312" w:eastAsia="仿宋_GB2312" w:cs="仿宋_GB2312"/>
          <w:b w:val="0"/>
          <w:i w:val="0"/>
          <w:iCs/>
          <w:caps w:val="0"/>
          <w:spacing w:val="0"/>
          <w:w w:val="100"/>
          <w:sz w:val="24"/>
        </w:rPr>
        <w:t xml:space="preserve"> 评标委员会发现招标文件存在歧义、重大缺陷导致评标工作无法进行，或者招标文件内容违反国家有关强制性规定的，应当停止评标工作，与采购人或者采购代理机构沟通并作书面记录。采购人或者采购代理机构确认后，应当修改招标文件，重新组织采购活动。</w:t>
      </w:r>
    </w:p>
    <w:p w14:paraId="454A2236">
      <w:pPr>
        <w:pStyle w:val="14"/>
        <w:tabs>
          <w:tab w:val="clear" w:pos="567"/>
        </w:tabs>
        <w:spacing w:before="0" w:line="360" w:lineRule="auto"/>
        <w:ind w:firstLine="482" w:firstLineChars="200"/>
        <w:jc w:val="both"/>
        <w:rPr>
          <w:rFonts w:hint="eastAsia" w:ascii="仿宋_GB2312" w:hAnsi="仿宋_GB2312" w:eastAsia="仿宋_GB2312" w:cs="仿宋_GB2312"/>
          <w:b/>
          <w:bCs/>
          <w:iCs/>
        </w:rPr>
      </w:pPr>
    </w:p>
    <w:p w14:paraId="7E1E3495">
      <w:pPr>
        <w:pStyle w:val="14"/>
        <w:tabs>
          <w:tab w:val="clear" w:pos="567"/>
        </w:tabs>
        <w:spacing w:before="0" w:line="360" w:lineRule="auto"/>
        <w:ind w:firstLine="482" w:firstLineChars="200"/>
        <w:jc w:val="both"/>
        <w:rPr>
          <w:rFonts w:hint="eastAsia" w:ascii="仿宋_GB2312" w:hAnsi="仿宋_GB2312" w:eastAsia="仿宋_GB2312" w:cs="仿宋_GB2312"/>
          <w:b/>
          <w:bCs/>
          <w:iCs/>
        </w:rPr>
      </w:pPr>
    </w:p>
    <w:p w14:paraId="200F44C6">
      <w:pPr>
        <w:pStyle w:val="14"/>
        <w:tabs>
          <w:tab w:val="clear" w:pos="567"/>
        </w:tabs>
        <w:spacing w:before="0" w:line="360" w:lineRule="auto"/>
        <w:ind w:firstLine="482" w:firstLineChars="200"/>
        <w:jc w:val="both"/>
        <w:rPr>
          <w:rFonts w:hint="eastAsia" w:ascii="仿宋_GB2312" w:hAnsi="仿宋_GB2312" w:eastAsia="仿宋_GB2312" w:cs="仿宋_GB2312"/>
          <w:b/>
          <w:bCs/>
          <w:iCs/>
        </w:rPr>
      </w:pPr>
      <w:r>
        <w:rPr>
          <w:rFonts w:hint="eastAsia" w:ascii="仿宋_GB2312" w:hAnsi="仿宋_GB2312" w:eastAsia="仿宋_GB2312" w:cs="仿宋_GB2312"/>
          <w:b/>
          <w:bCs/>
          <w:iCs/>
        </w:rPr>
        <w:t>3.</w:t>
      </w:r>
      <w:r>
        <w:rPr>
          <w:rFonts w:hint="eastAsia" w:ascii="仿宋_GB2312" w:hAnsi="仿宋_GB2312" w:eastAsia="仿宋_GB2312" w:cs="仿宋_GB2312"/>
          <w:b/>
          <w:bCs/>
          <w:iCs/>
          <w:lang w:val="en-US" w:eastAsia="zh-CN"/>
        </w:rPr>
        <w:t>2</w:t>
      </w:r>
      <w:r>
        <w:rPr>
          <w:rFonts w:hint="eastAsia" w:ascii="仿宋_GB2312" w:hAnsi="仿宋_GB2312" w:eastAsia="仿宋_GB2312" w:cs="仿宋_GB2312"/>
          <w:b/>
          <w:bCs/>
          <w:iCs/>
        </w:rPr>
        <w:t>资格性检查</w:t>
      </w:r>
    </w:p>
    <w:tbl>
      <w:tblPr>
        <w:tblStyle w:val="38"/>
        <w:tblW w:w="9118" w:type="dxa"/>
        <w:tblInd w:w="-70" w:type="dxa"/>
        <w:tblLayout w:type="fixed"/>
        <w:tblCellMar>
          <w:top w:w="0" w:type="dxa"/>
          <w:left w:w="108" w:type="dxa"/>
          <w:bottom w:w="0" w:type="dxa"/>
          <w:right w:w="108" w:type="dxa"/>
        </w:tblCellMar>
      </w:tblPr>
      <w:tblGrid>
        <w:gridCol w:w="585"/>
        <w:gridCol w:w="7380"/>
        <w:gridCol w:w="591"/>
        <w:gridCol w:w="562"/>
      </w:tblGrid>
      <w:tr w14:paraId="6FC17A4D">
        <w:tblPrEx>
          <w:tblCellMar>
            <w:top w:w="0" w:type="dxa"/>
            <w:left w:w="108" w:type="dxa"/>
            <w:bottom w:w="0" w:type="dxa"/>
            <w:right w:w="108" w:type="dxa"/>
          </w:tblCellMar>
        </w:tblPrEx>
        <w:trPr>
          <w:trHeight w:val="303" w:hRule="atLeast"/>
        </w:trPr>
        <w:tc>
          <w:tcPr>
            <w:tcW w:w="585" w:type="dxa"/>
            <w:vMerge w:val="restart"/>
            <w:tcBorders>
              <w:top w:val="single" w:color="auto" w:sz="4" w:space="0"/>
              <w:left w:val="single" w:color="auto" w:sz="4" w:space="0"/>
              <w:bottom w:val="single" w:color="000000" w:sz="4" w:space="0"/>
              <w:right w:val="single" w:color="auto" w:sz="4" w:space="0"/>
            </w:tcBorders>
            <w:shd w:val="clear" w:color="auto" w:fill="FFFFFF"/>
            <w:noWrap w:val="0"/>
            <w:vAlign w:val="center"/>
          </w:tcPr>
          <w:p w14:paraId="31E8E661">
            <w:pPr>
              <w:keepNext w:val="0"/>
              <w:keepLines w:val="0"/>
              <w:widowControl/>
              <w:suppressLineNumbers w:val="0"/>
              <w:spacing w:before="0" w:beforeAutospacing="0" w:after="0" w:afterAutospacing="0" w:line="360" w:lineRule="auto"/>
              <w:ind w:left="0" w:right="0"/>
              <w:jc w:val="center"/>
              <w:rPr>
                <w:rFonts w:hint="default" w:ascii="Times New Roman" w:hAnsi="Times New Roman" w:eastAsia="仿宋" w:cs="Times New Roman"/>
                <w:b/>
                <w:bCs/>
                <w:color w:val="000000"/>
                <w:kern w:val="0"/>
                <w:sz w:val="22"/>
                <w:szCs w:val="22"/>
                <w:highlight w:val="none"/>
                <w:shd w:val="clear" w:color="auto" w:fill="auto"/>
              </w:rPr>
            </w:pPr>
            <w:r>
              <w:rPr>
                <w:rFonts w:hint="default" w:ascii="Times New Roman" w:hAnsi="Times New Roman" w:eastAsia="仿宋" w:cs="Times New Roman"/>
                <w:b/>
                <w:bCs/>
                <w:color w:val="000000"/>
                <w:kern w:val="0"/>
                <w:sz w:val="22"/>
                <w:szCs w:val="22"/>
                <w:highlight w:val="none"/>
                <w:shd w:val="clear" w:color="auto" w:fill="auto"/>
              </w:rPr>
              <w:t>序号</w:t>
            </w:r>
          </w:p>
        </w:tc>
        <w:tc>
          <w:tcPr>
            <w:tcW w:w="7380" w:type="dxa"/>
            <w:vMerge w:val="restart"/>
            <w:tcBorders>
              <w:top w:val="single" w:color="auto" w:sz="4" w:space="0"/>
              <w:left w:val="single" w:color="auto" w:sz="4" w:space="0"/>
              <w:bottom w:val="single" w:color="000000" w:sz="4" w:space="0"/>
              <w:right w:val="single" w:color="auto" w:sz="4" w:space="0"/>
            </w:tcBorders>
            <w:shd w:val="clear" w:color="auto" w:fill="FFFFFF"/>
            <w:noWrap w:val="0"/>
            <w:vAlign w:val="center"/>
          </w:tcPr>
          <w:p w14:paraId="34DA83B5">
            <w:pPr>
              <w:keepNext w:val="0"/>
              <w:keepLines w:val="0"/>
              <w:widowControl/>
              <w:suppressLineNumbers w:val="0"/>
              <w:spacing w:before="0" w:beforeAutospacing="0" w:after="0" w:afterAutospacing="0" w:line="360" w:lineRule="auto"/>
              <w:ind w:left="0" w:right="0"/>
              <w:jc w:val="center"/>
              <w:rPr>
                <w:rFonts w:hint="default" w:ascii="Times New Roman" w:hAnsi="Times New Roman" w:eastAsia="仿宋" w:cs="Times New Roman"/>
                <w:b/>
                <w:bCs/>
                <w:color w:val="000000"/>
                <w:kern w:val="0"/>
                <w:sz w:val="22"/>
                <w:szCs w:val="22"/>
                <w:highlight w:val="none"/>
                <w:shd w:val="clear" w:color="auto" w:fill="auto"/>
              </w:rPr>
            </w:pPr>
            <w:r>
              <w:rPr>
                <w:rFonts w:hint="default" w:ascii="Times New Roman" w:hAnsi="Times New Roman" w:eastAsia="仿宋" w:cs="Times New Roman"/>
                <w:b/>
                <w:bCs/>
                <w:color w:val="000000"/>
                <w:kern w:val="0"/>
                <w:sz w:val="22"/>
                <w:szCs w:val="22"/>
                <w:highlight w:val="none"/>
                <w:shd w:val="clear" w:color="auto" w:fill="auto"/>
              </w:rPr>
              <w:t>审核项目</w:t>
            </w:r>
          </w:p>
        </w:tc>
        <w:tc>
          <w:tcPr>
            <w:tcW w:w="1153" w:type="dxa"/>
            <w:gridSpan w:val="2"/>
            <w:tcBorders>
              <w:top w:val="single" w:color="auto" w:sz="4" w:space="0"/>
              <w:left w:val="nil"/>
              <w:bottom w:val="single" w:color="auto" w:sz="4" w:space="0"/>
              <w:right w:val="single" w:color="auto" w:sz="4" w:space="0"/>
            </w:tcBorders>
            <w:shd w:val="clear" w:color="auto" w:fill="FFFFFF"/>
            <w:noWrap w:val="0"/>
            <w:vAlign w:val="center"/>
          </w:tcPr>
          <w:p w14:paraId="2E94573E">
            <w:pPr>
              <w:keepNext w:val="0"/>
              <w:keepLines w:val="0"/>
              <w:widowControl/>
              <w:suppressLineNumbers w:val="0"/>
              <w:spacing w:before="0" w:beforeAutospacing="0" w:after="0" w:afterAutospacing="0" w:line="360" w:lineRule="auto"/>
              <w:ind w:left="0" w:right="0"/>
              <w:jc w:val="center"/>
              <w:rPr>
                <w:rFonts w:hint="default" w:ascii="Times New Roman" w:hAnsi="Times New Roman" w:eastAsia="仿宋" w:cs="Times New Roman"/>
                <w:b/>
                <w:bCs/>
                <w:color w:val="000000"/>
                <w:kern w:val="0"/>
                <w:sz w:val="22"/>
                <w:szCs w:val="22"/>
                <w:highlight w:val="none"/>
                <w:shd w:val="clear" w:color="auto" w:fill="auto"/>
              </w:rPr>
            </w:pPr>
            <w:r>
              <w:rPr>
                <w:rFonts w:hint="default" w:ascii="Times New Roman" w:hAnsi="Times New Roman" w:eastAsia="仿宋" w:cs="Times New Roman"/>
                <w:b/>
                <w:bCs/>
                <w:color w:val="000000"/>
                <w:kern w:val="0"/>
                <w:sz w:val="22"/>
                <w:szCs w:val="22"/>
                <w:highlight w:val="none"/>
                <w:shd w:val="clear" w:color="auto" w:fill="auto"/>
              </w:rPr>
              <w:t>投标人</w:t>
            </w:r>
          </w:p>
        </w:tc>
      </w:tr>
      <w:tr w14:paraId="7AB0AA60">
        <w:tblPrEx>
          <w:tblCellMar>
            <w:top w:w="0" w:type="dxa"/>
            <w:left w:w="108" w:type="dxa"/>
            <w:bottom w:w="0" w:type="dxa"/>
            <w:right w:w="108" w:type="dxa"/>
          </w:tblCellMar>
        </w:tblPrEx>
        <w:trPr>
          <w:trHeight w:val="173" w:hRule="atLeast"/>
        </w:trPr>
        <w:tc>
          <w:tcPr>
            <w:tcW w:w="585" w:type="dxa"/>
            <w:vMerge w:val="continue"/>
            <w:tcBorders>
              <w:top w:val="single" w:color="auto" w:sz="4" w:space="0"/>
              <w:left w:val="single" w:color="auto" w:sz="4" w:space="0"/>
              <w:bottom w:val="single" w:color="000000" w:sz="4" w:space="0"/>
              <w:right w:val="single" w:color="auto" w:sz="4" w:space="0"/>
            </w:tcBorders>
            <w:shd w:val="clear" w:color="auto" w:fill="FFFFFF"/>
            <w:noWrap w:val="0"/>
            <w:vAlign w:val="center"/>
          </w:tcPr>
          <w:p w14:paraId="3AF8BA06">
            <w:pPr>
              <w:keepNext w:val="0"/>
              <w:keepLines w:val="0"/>
              <w:widowControl/>
              <w:suppressLineNumbers w:val="0"/>
              <w:spacing w:before="0" w:beforeAutospacing="0" w:after="0" w:afterAutospacing="0" w:line="360" w:lineRule="auto"/>
              <w:ind w:left="0" w:right="0"/>
              <w:jc w:val="center"/>
              <w:rPr>
                <w:rFonts w:hint="default" w:ascii="Times New Roman" w:hAnsi="Times New Roman" w:eastAsia="仿宋" w:cs="Times New Roman"/>
                <w:b/>
                <w:bCs/>
                <w:color w:val="000000"/>
                <w:kern w:val="0"/>
                <w:sz w:val="22"/>
                <w:szCs w:val="22"/>
                <w:highlight w:val="none"/>
                <w:shd w:val="clear" w:color="auto" w:fill="auto"/>
              </w:rPr>
            </w:pPr>
          </w:p>
        </w:tc>
        <w:tc>
          <w:tcPr>
            <w:tcW w:w="7380" w:type="dxa"/>
            <w:vMerge w:val="continue"/>
            <w:tcBorders>
              <w:top w:val="single" w:color="auto" w:sz="4" w:space="0"/>
              <w:left w:val="single" w:color="auto" w:sz="4" w:space="0"/>
              <w:bottom w:val="single" w:color="000000" w:sz="4" w:space="0"/>
              <w:right w:val="single" w:color="auto" w:sz="4" w:space="0"/>
            </w:tcBorders>
            <w:shd w:val="clear" w:color="auto" w:fill="FFFFFF"/>
            <w:noWrap w:val="0"/>
            <w:vAlign w:val="center"/>
          </w:tcPr>
          <w:p w14:paraId="2ED1E583">
            <w:pPr>
              <w:keepNext w:val="0"/>
              <w:keepLines w:val="0"/>
              <w:widowControl/>
              <w:suppressLineNumbers w:val="0"/>
              <w:spacing w:before="0" w:beforeAutospacing="0" w:after="0" w:afterAutospacing="0" w:line="360" w:lineRule="auto"/>
              <w:ind w:left="0" w:right="0"/>
              <w:jc w:val="left"/>
              <w:rPr>
                <w:rFonts w:hint="default" w:ascii="Times New Roman" w:hAnsi="Times New Roman" w:eastAsia="仿宋" w:cs="Times New Roman"/>
                <w:b/>
                <w:bCs/>
                <w:color w:val="000000"/>
                <w:kern w:val="0"/>
                <w:sz w:val="22"/>
                <w:szCs w:val="22"/>
                <w:highlight w:val="none"/>
                <w:shd w:val="clear" w:color="auto" w:fill="auto"/>
              </w:rPr>
            </w:pPr>
          </w:p>
        </w:tc>
        <w:tc>
          <w:tcPr>
            <w:tcW w:w="591" w:type="dxa"/>
            <w:tcBorders>
              <w:top w:val="nil"/>
              <w:left w:val="nil"/>
              <w:bottom w:val="single" w:color="auto" w:sz="4" w:space="0"/>
              <w:right w:val="single" w:color="auto" w:sz="4" w:space="0"/>
            </w:tcBorders>
            <w:shd w:val="clear" w:color="auto" w:fill="FFFFFF"/>
            <w:noWrap w:val="0"/>
            <w:vAlign w:val="center"/>
          </w:tcPr>
          <w:p w14:paraId="341A848C">
            <w:pPr>
              <w:keepNext w:val="0"/>
              <w:keepLines w:val="0"/>
              <w:widowControl/>
              <w:suppressLineNumbers w:val="0"/>
              <w:spacing w:before="0" w:beforeAutospacing="0" w:after="0" w:afterAutospacing="0" w:line="360" w:lineRule="auto"/>
              <w:ind w:left="0" w:right="0"/>
              <w:jc w:val="center"/>
              <w:rPr>
                <w:rFonts w:hint="default" w:ascii="Times New Roman" w:hAnsi="Times New Roman" w:eastAsia="仿宋" w:cs="Times New Roman"/>
                <w:b/>
                <w:bCs/>
                <w:color w:val="000000"/>
                <w:kern w:val="0"/>
                <w:sz w:val="22"/>
                <w:szCs w:val="22"/>
                <w:highlight w:val="none"/>
                <w:shd w:val="clear" w:color="auto" w:fill="auto"/>
              </w:rPr>
            </w:pPr>
            <w:r>
              <w:rPr>
                <w:rFonts w:hint="default" w:ascii="Times New Roman" w:hAnsi="Times New Roman" w:eastAsia="仿宋" w:cs="Times New Roman"/>
                <w:b/>
                <w:bCs/>
                <w:color w:val="000000"/>
                <w:kern w:val="0"/>
                <w:sz w:val="22"/>
                <w:szCs w:val="22"/>
                <w:highlight w:val="none"/>
                <w:shd w:val="clear" w:color="auto" w:fill="auto"/>
              </w:rPr>
              <w:t>是</w:t>
            </w:r>
          </w:p>
        </w:tc>
        <w:tc>
          <w:tcPr>
            <w:tcW w:w="562" w:type="dxa"/>
            <w:tcBorders>
              <w:top w:val="nil"/>
              <w:left w:val="nil"/>
              <w:bottom w:val="single" w:color="auto" w:sz="4" w:space="0"/>
              <w:right w:val="single" w:color="auto" w:sz="4" w:space="0"/>
            </w:tcBorders>
            <w:shd w:val="clear" w:color="auto" w:fill="FFFFFF"/>
            <w:noWrap w:val="0"/>
            <w:vAlign w:val="center"/>
          </w:tcPr>
          <w:p w14:paraId="4A43D953">
            <w:pPr>
              <w:keepNext w:val="0"/>
              <w:keepLines w:val="0"/>
              <w:widowControl/>
              <w:suppressLineNumbers w:val="0"/>
              <w:spacing w:before="0" w:beforeAutospacing="0" w:after="0" w:afterAutospacing="0" w:line="360" w:lineRule="auto"/>
              <w:ind w:left="0" w:right="0"/>
              <w:jc w:val="center"/>
              <w:rPr>
                <w:rFonts w:hint="default" w:ascii="Times New Roman" w:hAnsi="Times New Roman" w:eastAsia="仿宋" w:cs="Times New Roman"/>
                <w:b/>
                <w:bCs/>
                <w:color w:val="000000"/>
                <w:kern w:val="0"/>
                <w:sz w:val="22"/>
                <w:szCs w:val="22"/>
                <w:highlight w:val="none"/>
                <w:shd w:val="clear" w:color="auto" w:fill="auto"/>
              </w:rPr>
            </w:pPr>
            <w:r>
              <w:rPr>
                <w:rFonts w:hint="default" w:ascii="Times New Roman" w:hAnsi="Times New Roman" w:eastAsia="仿宋" w:cs="Times New Roman"/>
                <w:b/>
                <w:bCs/>
                <w:color w:val="000000"/>
                <w:kern w:val="0"/>
                <w:sz w:val="22"/>
                <w:szCs w:val="22"/>
                <w:highlight w:val="none"/>
                <w:shd w:val="clear" w:color="auto" w:fill="auto"/>
              </w:rPr>
              <w:t>否</w:t>
            </w:r>
          </w:p>
        </w:tc>
      </w:tr>
      <w:tr w14:paraId="63BDBCE8">
        <w:tblPrEx>
          <w:tblCellMar>
            <w:top w:w="0" w:type="dxa"/>
            <w:left w:w="108" w:type="dxa"/>
            <w:bottom w:w="0" w:type="dxa"/>
            <w:right w:w="108" w:type="dxa"/>
          </w:tblCellMar>
        </w:tblPrEx>
        <w:trPr>
          <w:trHeight w:val="90" w:hRule="atLeast"/>
        </w:trPr>
        <w:tc>
          <w:tcPr>
            <w:tcW w:w="585" w:type="dxa"/>
            <w:tcBorders>
              <w:top w:val="nil"/>
              <w:left w:val="single" w:color="auto" w:sz="4" w:space="0"/>
              <w:bottom w:val="single" w:color="auto" w:sz="4" w:space="0"/>
              <w:right w:val="single" w:color="auto" w:sz="4" w:space="0"/>
            </w:tcBorders>
            <w:noWrap w:val="0"/>
            <w:vAlign w:val="center"/>
          </w:tcPr>
          <w:p w14:paraId="425BB19F">
            <w:pPr>
              <w:keepNext w:val="0"/>
              <w:keepLines w:val="0"/>
              <w:widowControl/>
              <w:suppressLineNumbers w:val="0"/>
              <w:spacing w:before="0" w:beforeAutospacing="0" w:after="0" w:afterAutospacing="0" w:line="300" w:lineRule="auto"/>
              <w:ind w:left="0" w:right="0"/>
              <w:jc w:val="center"/>
              <w:textAlignment w:val="center"/>
              <w:rPr>
                <w:rFonts w:hint="eastAsia" w:ascii="仿宋" w:hAnsi="仿宋" w:eastAsia="仿宋" w:cs="宋体"/>
                <w:kern w:val="0"/>
                <w:szCs w:val="21"/>
                <w:lang w:bidi="ar"/>
              </w:rPr>
            </w:pPr>
            <w:r>
              <w:rPr>
                <w:rFonts w:hint="eastAsia" w:ascii="仿宋" w:hAnsi="仿宋" w:eastAsia="仿宋" w:cs="宋体"/>
                <w:kern w:val="0"/>
                <w:szCs w:val="21"/>
                <w:lang w:bidi="ar"/>
              </w:rPr>
              <w:t>1</w:t>
            </w:r>
          </w:p>
        </w:tc>
        <w:tc>
          <w:tcPr>
            <w:tcW w:w="7380" w:type="dxa"/>
            <w:tcBorders>
              <w:top w:val="nil"/>
              <w:left w:val="nil"/>
              <w:bottom w:val="single" w:color="auto" w:sz="4" w:space="0"/>
              <w:right w:val="single" w:color="auto" w:sz="4" w:space="0"/>
            </w:tcBorders>
            <w:noWrap w:val="0"/>
            <w:vAlign w:val="center"/>
          </w:tcPr>
          <w:p w14:paraId="1EFDAB76">
            <w:pPr>
              <w:keepNext w:val="0"/>
              <w:keepLines w:val="0"/>
              <w:widowControl/>
              <w:suppressLineNumbers w:val="0"/>
              <w:spacing w:before="0" w:beforeAutospacing="0" w:after="0" w:afterAutospacing="0" w:line="300" w:lineRule="auto"/>
              <w:ind w:left="0" w:right="0"/>
              <w:jc w:val="left"/>
              <w:textAlignment w:val="center"/>
              <w:rPr>
                <w:rFonts w:hint="eastAsia" w:ascii="仿宋" w:hAnsi="仿宋" w:eastAsia="仿宋" w:cs="宋体"/>
                <w:kern w:val="0"/>
                <w:szCs w:val="21"/>
                <w:lang w:bidi="ar"/>
              </w:rPr>
            </w:pPr>
            <w:r>
              <w:rPr>
                <w:rFonts w:hint="eastAsia" w:ascii="仿宋" w:hAnsi="仿宋" w:eastAsia="仿宋" w:cs="宋体"/>
                <w:kern w:val="0"/>
                <w:szCs w:val="21"/>
                <w:lang w:bidi="ar"/>
              </w:rPr>
              <w:t>提供有效期内且年检合格的营业执照</w:t>
            </w:r>
            <w:r>
              <w:rPr>
                <w:rFonts w:hint="eastAsia" w:ascii="仿宋" w:hAnsi="仿宋" w:eastAsia="仿宋" w:cs="宋体"/>
                <w:kern w:val="0"/>
                <w:szCs w:val="21"/>
                <w:lang w:val="en-US" w:eastAsia="zh-CN" w:bidi="ar"/>
              </w:rPr>
              <w:t>；</w:t>
            </w:r>
          </w:p>
        </w:tc>
        <w:tc>
          <w:tcPr>
            <w:tcW w:w="591" w:type="dxa"/>
            <w:tcBorders>
              <w:top w:val="nil"/>
              <w:left w:val="nil"/>
              <w:bottom w:val="single" w:color="auto" w:sz="4" w:space="0"/>
              <w:right w:val="single" w:color="auto" w:sz="4" w:space="0"/>
            </w:tcBorders>
            <w:noWrap w:val="0"/>
            <w:vAlign w:val="center"/>
          </w:tcPr>
          <w:p w14:paraId="5B762AF5">
            <w:pPr>
              <w:keepNext w:val="0"/>
              <w:keepLines w:val="0"/>
              <w:widowControl/>
              <w:suppressLineNumbers w:val="0"/>
              <w:spacing w:before="0" w:beforeAutospacing="0" w:after="0" w:afterAutospacing="0" w:line="360" w:lineRule="auto"/>
              <w:ind w:left="0" w:right="0"/>
              <w:jc w:val="left"/>
              <w:rPr>
                <w:rFonts w:hint="default" w:ascii="Times New Roman" w:hAnsi="Times New Roman" w:eastAsia="仿宋" w:cs="Times New Roman"/>
                <w:color w:val="000000"/>
                <w:kern w:val="0"/>
                <w:sz w:val="22"/>
                <w:szCs w:val="22"/>
              </w:rPr>
            </w:pPr>
            <w:r>
              <w:rPr>
                <w:rFonts w:hint="default" w:ascii="Times New Roman" w:hAnsi="Times New Roman" w:eastAsia="仿宋" w:cs="Times New Roman"/>
                <w:color w:val="000000"/>
                <w:kern w:val="0"/>
                <w:sz w:val="22"/>
                <w:szCs w:val="22"/>
              </w:rPr>
              <w:t xml:space="preserve">  </w:t>
            </w:r>
          </w:p>
        </w:tc>
        <w:tc>
          <w:tcPr>
            <w:tcW w:w="562" w:type="dxa"/>
            <w:tcBorders>
              <w:top w:val="nil"/>
              <w:left w:val="nil"/>
              <w:bottom w:val="single" w:color="auto" w:sz="4" w:space="0"/>
              <w:right w:val="single" w:color="auto" w:sz="4" w:space="0"/>
            </w:tcBorders>
            <w:noWrap w:val="0"/>
            <w:vAlign w:val="center"/>
          </w:tcPr>
          <w:p w14:paraId="666B6066">
            <w:pPr>
              <w:keepNext w:val="0"/>
              <w:keepLines w:val="0"/>
              <w:widowControl/>
              <w:suppressLineNumbers w:val="0"/>
              <w:spacing w:before="0" w:beforeAutospacing="0" w:after="0" w:afterAutospacing="0" w:line="360" w:lineRule="auto"/>
              <w:ind w:left="0" w:right="0"/>
              <w:jc w:val="left"/>
              <w:rPr>
                <w:rFonts w:hint="default" w:ascii="Times New Roman" w:hAnsi="Times New Roman" w:eastAsia="仿宋" w:cs="Times New Roman"/>
                <w:color w:val="000000"/>
                <w:kern w:val="0"/>
                <w:sz w:val="22"/>
                <w:szCs w:val="22"/>
              </w:rPr>
            </w:pPr>
            <w:r>
              <w:rPr>
                <w:rFonts w:hint="default" w:ascii="Times New Roman" w:hAnsi="Times New Roman" w:eastAsia="仿宋" w:cs="Times New Roman"/>
                <w:color w:val="000000"/>
                <w:kern w:val="0"/>
                <w:sz w:val="22"/>
                <w:szCs w:val="22"/>
              </w:rPr>
              <w:t xml:space="preserve">  </w:t>
            </w:r>
          </w:p>
        </w:tc>
      </w:tr>
      <w:tr w14:paraId="0A16903E">
        <w:tblPrEx>
          <w:tblCellMar>
            <w:top w:w="0" w:type="dxa"/>
            <w:left w:w="108" w:type="dxa"/>
            <w:bottom w:w="0" w:type="dxa"/>
            <w:right w:w="108" w:type="dxa"/>
          </w:tblCellMar>
        </w:tblPrEx>
        <w:trPr>
          <w:trHeight w:val="90" w:hRule="atLeast"/>
        </w:trPr>
        <w:tc>
          <w:tcPr>
            <w:tcW w:w="585" w:type="dxa"/>
            <w:tcBorders>
              <w:top w:val="nil"/>
              <w:left w:val="single" w:color="auto" w:sz="4" w:space="0"/>
              <w:bottom w:val="single" w:color="auto" w:sz="4" w:space="0"/>
              <w:right w:val="single" w:color="auto" w:sz="4" w:space="0"/>
            </w:tcBorders>
            <w:noWrap w:val="0"/>
            <w:vAlign w:val="center"/>
          </w:tcPr>
          <w:p w14:paraId="4133972E">
            <w:pPr>
              <w:keepNext w:val="0"/>
              <w:keepLines w:val="0"/>
              <w:widowControl/>
              <w:suppressLineNumbers w:val="0"/>
              <w:spacing w:before="0" w:beforeAutospacing="0" w:after="0" w:afterAutospacing="0" w:line="300" w:lineRule="auto"/>
              <w:ind w:left="0" w:right="0"/>
              <w:jc w:val="center"/>
              <w:textAlignment w:val="center"/>
              <w:rPr>
                <w:rFonts w:hint="eastAsia" w:ascii="仿宋" w:hAnsi="仿宋" w:eastAsia="仿宋" w:cs="宋体"/>
                <w:kern w:val="0"/>
                <w:szCs w:val="21"/>
                <w:lang w:bidi="ar"/>
              </w:rPr>
            </w:pPr>
            <w:r>
              <w:rPr>
                <w:rFonts w:hint="eastAsia" w:ascii="仿宋" w:hAnsi="仿宋" w:eastAsia="仿宋" w:cs="宋体"/>
                <w:kern w:val="0"/>
                <w:szCs w:val="21"/>
                <w:lang w:bidi="ar"/>
              </w:rPr>
              <w:t>2</w:t>
            </w:r>
          </w:p>
        </w:tc>
        <w:tc>
          <w:tcPr>
            <w:tcW w:w="7380" w:type="dxa"/>
            <w:tcBorders>
              <w:top w:val="nil"/>
              <w:left w:val="nil"/>
              <w:bottom w:val="single" w:color="auto" w:sz="4" w:space="0"/>
              <w:right w:val="single" w:color="auto" w:sz="4" w:space="0"/>
            </w:tcBorders>
            <w:noWrap w:val="0"/>
            <w:vAlign w:val="center"/>
          </w:tcPr>
          <w:p w14:paraId="3D4D91AD">
            <w:pPr>
              <w:keepNext w:val="0"/>
              <w:keepLines w:val="0"/>
              <w:widowControl/>
              <w:suppressLineNumbers w:val="0"/>
              <w:spacing w:before="0" w:beforeAutospacing="0" w:after="0" w:afterAutospacing="0" w:line="300" w:lineRule="auto"/>
              <w:ind w:left="0" w:right="0"/>
              <w:jc w:val="left"/>
              <w:textAlignment w:val="center"/>
              <w:rPr>
                <w:rFonts w:hint="eastAsia" w:ascii="仿宋" w:hAnsi="仿宋" w:eastAsia="仿宋" w:cs="宋体"/>
                <w:kern w:val="0"/>
                <w:szCs w:val="21"/>
                <w:lang w:bidi="ar"/>
              </w:rPr>
            </w:pPr>
            <w:r>
              <w:rPr>
                <w:rFonts w:hint="eastAsia" w:ascii="仿宋" w:hAnsi="仿宋" w:eastAsia="仿宋" w:cs="宋体"/>
                <w:kern w:val="0"/>
                <w:szCs w:val="21"/>
                <w:lang w:val="en-US" w:eastAsia="zh-CN" w:bidi="ar"/>
              </w:rPr>
              <w:t>法定代表人资格证明及授权书、被授权人身份证(法定代表人投标需提供法定代表人身份证)</w:t>
            </w:r>
          </w:p>
        </w:tc>
        <w:tc>
          <w:tcPr>
            <w:tcW w:w="591" w:type="dxa"/>
            <w:tcBorders>
              <w:top w:val="nil"/>
              <w:left w:val="nil"/>
              <w:bottom w:val="single" w:color="auto" w:sz="4" w:space="0"/>
              <w:right w:val="single" w:color="auto" w:sz="4" w:space="0"/>
            </w:tcBorders>
            <w:noWrap w:val="0"/>
            <w:vAlign w:val="center"/>
          </w:tcPr>
          <w:p w14:paraId="742BDE70">
            <w:pPr>
              <w:keepNext w:val="0"/>
              <w:keepLines w:val="0"/>
              <w:widowControl/>
              <w:suppressLineNumbers w:val="0"/>
              <w:spacing w:before="0" w:beforeAutospacing="0" w:after="0" w:afterAutospacing="0" w:line="360" w:lineRule="auto"/>
              <w:ind w:left="0" w:right="0"/>
              <w:jc w:val="left"/>
              <w:rPr>
                <w:rFonts w:hint="default" w:ascii="Times New Roman" w:hAnsi="Times New Roman" w:eastAsia="仿宋" w:cs="Times New Roman"/>
                <w:color w:val="000000"/>
                <w:kern w:val="0"/>
                <w:sz w:val="22"/>
                <w:szCs w:val="22"/>
              </w:rPr>
            </w:pPr>
            <w:r>
              <w:rPr>
                <w:rFonts w:hint="default" w:ascii="Times New Roman" w:hAnsi="Times New Roman" w:eastAsia="仿宋" w:cs="Times New Roman"/>
                <w:color w:val="000000"/>
                <w:kern w:val="0"/>
                <w:sz w:val="22"/>
                <w:szCs w:val="22"/>
              </w:rPr>
              <w:t xml:space="preserve">  </w:t>
            </w:r>
          </w:p>
        </w:tc>
        <w:tc>
          <w:tcPr>
            <w:tcW w:w="562" w:type="dxa"/>
            <w:tcBorders>
              <w:top w:val="nil"/>
              <w:left w:val="nil"/>
              <w:bottom w:val="single" w:color="auto" w:sz="4" w:space="0"/>
              <w:right w:val="single" w:color="auto" w:sz="4" w:space="0"/>
            </w:tcBorders>
            <w:noWrap w:val="0"/>
            <w:vAlign w:val="center"/>
          </w:tcPr>
          <w:p w14:paraId="17B05DA9">
            <w:pPr>
              <w:keepNext w:val="0"/>
              <w:keepLines w:val="0"/>
              <w:widowControl/>
              <w:suppressLineNumbers w:val="0"/>
              <w:spacing w:before="0" w:beforeAutospacing="0" w:after="0" w:afterAutospacing="0" w:line="360" w:lineRule="auto"/>
              <w:ind w:left="0" w:right="0"/>
              <w:jc w:val="left"/>
              <w:rPr>
                <w:rFonts w:hint="default" w:ascii="Times New Roman" w:hAnsi="Times New Roman" w:eastAsia="仿宋" w:cs="Times New Roman"/>
                <w:color w:val="000000"/>
                <w:kern w:val="0"/>
                <w:sz w:val="22"/>
                <w:szCs w:val="22"/>
              </w:rPr>
            </w:pPr>
            <w:r>
              <w:rPr>
                <w:rFonts w:hint="default" w:ascii="Times New Roman" w:hAnsi="Times New Roman" w:eastAsia="仿宋" w:cs="Times New Roman"/>
                <w:color w:val="000000"/>
                <w:kern w:val="0"/>
                <w:sz w:val="22"/>
                <w:szCs w:val="22"/>
              </w:rPr>
              <w:t xml:space="preserve">  </w:t>
            </w:r>
          </w:p>
        </w:tc>
      </w:tr>
      <w:tr w14:paraId="0529871D">
        <w:tblPrEx>
          <w:tblCellMar>
            <w:top w:w="0" w:type="dxa"/>
            <w:left w:w="108" w:type="dxa"/>
            <w:bottom w:w="0" w:type="dxa"/>
            <w:right w:w="108" w:type="dxa"/>
          </w:tblCellMar>
        </w:tblPrEx>
        <w:trPr>
          <w:trHeight w:val="90" w:hRule="atLeast"/>
        </w:trPr>
        <w:tc>
          <w:tcPr>
            <w:tcW w:w="585" w:type="dxa"/>
            <w:tcBorders>
              <w:top w:val="nil"/>
              <w:left w:val="single" w:color="auto" w:sz="4" w:space="0"/>
              <w:bottom w:val="single" w:color="auto" w:sz="4" w:space="0"/>
              <w:right w:val="single" w:color="auto" w:sz="4" w:space="0"/>
            </w:tcBorders>
            <w:noWrap w:val="0"/>
            <w:vAlign w:val="center"/>
          </w:tcPr>
          <w:p w14:paraId="091C1F43">
            <w:pPr>
              <w:keepNext w:val="0"/>
              <w:keepLines w:val="0"/>
              <w:widowControl/>
              <w:suppressLineNumbers w:val="0"/>
              <w:spacing w:before="0" w:beforeAutospacing="0" w:after="0" w:afterAutospacing="0" w:line="300" w:lineRule="auto"/>
              <w:ind w:left="0" w:right="0"/>
              <w:jc w:val="center"/>
              <w:textAlignment w:val="center"/>
              <w:rPr>
                <w:rFonts w:hint="eastAsia" w:ascii="仿宋" w:hAnsi="仿宋" w:eastAsia="仿宋" w:cs="宋体"/>
                <w:kern w:val="0"/>
                <w:szCs w:val="21"/>
                <w:lang w:bidi="ar"/>
              </w:rPr>
            </w:pPr>
            <w:r>
              <w:rPr>
                <w:rFonts w:hint="eastAsia" w:ascii="仿宋" w:hAnsi="仿宋" w:eastAsia="仿宋" w:cs="宋体"/>
                <w:kern w:val="0"/>
                <w:szCs w:val="21"/>
                <w:lang w:bidi="ar"/>
              </w:rPr>
              <w:t>3</w:t>
            </w:r>
          </w:p>
        </w:tc>
        <w:tc>
          <w:tcPr>
            <w:tcW w:w="7380" w:type="dxa"/>
            <w:tcBorders>
              <w:top w:val="nil"/>
              <w:left w:val="nil"/>
              <w:bottom w:val="single" w:color="auto" w:sz="4" w:space="0"/>
              <w:right w:val="single" w:color="auto" w:sz="4" w:space="0"/>
            </w:tcBorders>
            <w:noWrap w:val="0"/>
            <w:vAlign w:val="center"/>
          </w:tcPr>
          <w:p w14:paraId="29A0D46E">
            <w:pPr>
              <w:keepNext w:val="0"/>
              <w:keepLines w:val="0"/>
              <w:widowControl/>
              <w:suppressLineNumbers w:val="0"/>
              <w:spacing w:before="0" w:beforeAutospacing="0" w:after="0" w:afterAutospacing="0" w:line="300" w:lineRule="auto"/>
              <w:ind w:left="0" w:right="0"/>
              <w:jc w:val="left"/>
              <w:textAlignment w:val="center"/>
              <w:rPr>
                <w:rFonts w:hint="eastAsia" w:ascii="仿宋" w:hAnsi="仿宋" w:eastAsia="仿宋" w:cs="宋体"/>
                <w:kern w:val="0"/>
                <w:szCs w:val="21"/>
                <w:lang w:val="en-US" w:eastAsia="zh-CN" w:bidi="ar"/>
              </w:rPr>
            </w:pPr>
            <w:r>
              <w:rPr>
                <w:rFonts w:hint="eastAsia" w:ascii="仿宋" w:hAnsi="仿宋" w:eastAsia="仿宋" w:cs="宋体"/>
                <w:kern w:val="0"/>
                <w:szCs w:val="21"/>
                <w:lang w:val="en-US" w:eastAsia="zh-CN" w:bidi="ar"/>
              </w:rPr>
              <w:t>提供近两年内任意一年的财务审计报告（新成立的公司可提供近一个月的银行资信证明）；</w:t>
            </w:r>
          </w:p>
        </w:tc>
        <w:tc>
          <w:tcPr>
            <w:tcW w:w="591" w:type="dxa"/>
            <w:tcBorders>
              <w:top w:val="nil"/>
              <w:left w:val="nil"/>
              <w:bottom w:val="single" w:color="auto" w:sz="4" w:space="0"/>
              <w:right w:val="single" w:color="auto" w:sz="4" w:space="0"/>
            </w:tcBorders>
            <w:noWrap w:val="0"/>
            <w:vAlign w:val="center"/>
          </w:tcPr>
          <w:p w14:paraId="153E8BDA">
            <w:pPr>
              <w:keepNext w:val="0"/>
              <w:keepLines w:val="0"/>
              <w:widowControl/>
              <w:suppressLineNumbers w:val="0"/>
              <w:spacing w:before="0" w:beforeAutospacing="0" w:after="0" w:afterAutospacing="0" w:line="360" w:lineRule="auto"/>
              <w:ind w:left="0" w:right="0"/>
              <w:jc w:val="left"/>
              <w:rPr>
                <w:rFonts w:hint="default" w:ascii="Times New Roman" w:hAnsi="Times New Roman" w:eastAsia="仿宋" w:cs="Times New Roman"/>
                <w:color w:val="000000"/>
                <w:kern w:val="0"/>
                <w:sz w:val="22"/>
                <w:szCs w:val="22"/>
              </w:rPr>
            </w:pPr>
            <w:r>
              <w:rPr>
                <w:rFonts w:hint="default" w:ascii="Times New Roman" w:hAnsi="Times New Roman" w:eastAsia="仿宋" w:cs="Times New Roman"/>
                <w:color w:val="000000"/>
                <w:kern w:val="0"/>
                <w:sz w:val="22"/>
                <w:szCs w:val="22"/>
              </w:rPr>
              <w:t xml:space="preserve">  </w:t>
            </w:r>
          </w:p>
        </w:tc>
        <w:tc>
          <w:tcPr>
            <w:tcW w:w="562" w:type="dxa"/>
            <w:tcBorders>
              <w:top w:val="nil"/>
              <w:left w:val="nil"/>
              <w:bottom w:val="single" w:color="auto" w:sz="4" w:space="0"/>
              <w:right w:val="single" w:color="auto" w:sz="4" w:space="0"/>
            </w:tcBorders>
            <w:noWrap w:val="0"/>
            <w:vAlign w:val="center"/>
          </w:tcPr>
          <w:p w14:paraId="0E00B34A">
            <w:pPr>
              <w:keepNext w:val="0"/>
              <w:keepLines w:val="0"/>
              <w:widowControl/>
              <w:suppressLineNumbers w:val="0"/>
              <w:spacing w:before="0" w:beforeAutospacing="0" w:after="0" w:afterAutospacing="0" w:line="360" w:lineRule="auto"/>
              <w:ind w:left="0" w:right="0"/>
              <w:jc w:val="left"/>
              <w:rPr>
                <w:rFonts w:hint="default" w:ascii="Times New Roman" w:hAnsi="Times New Roman" w:eastAsia="仿宋" w:cs="Times New Roman"/>
                <w:color w:val="000000"/>
                <w:kern w:val="0"/>
                <w:sz w:val="22"/>
                <w:szCs w:val="22"/>
              </w:rPr>
            </w:pPr>
            <w:r>
              <w:rPr>
                <w:rFonts w:hint="default" w:ascii="Times New Roman" w:hAnsi="Times New Roman" w:eastAsia="仿宋" w:cs="Times New Roman"/>
                <w:color w:val="000000"/>
                <w:kern w:val="0"/>
                <w:sz w:val="22"/>
                <w:szCs w:val="22"/>
              </w:rPr>
              <w:t xml:space="preserve">  </w:t>
            </w:r>
          </w:p>
        </w:tc>
      </w:tr>
      <w:tr w14:paraId="4E482AE6">
        <w:tblPrEx>
          <w:tblCellMar>
            <w:top w:w="0" w:type="dxa"/>
            <w:left w:w="108" w:type="dxa"/>
            <w:bottom w:w="0" w:type="dxa"/>
            <w:right w:w="108" w:type="dxa"/>
          </w:tblCellMar>
        </w:tblPrEx>
        <w:trPr>
          <w:trHeight w:val="90" w:hRule="atLeast"/>
        </w:trPr>
        <w:tc>
          <w:tcPr>
            <w:tcW w:w="585" w:type="dxa"/>
            <w:tcBorders>
              <w:top w:val="nil"/>
              <w:left w:val="single" w:color="auto" w:sz="4" w:space="0"/>
              <w:bottom w:val="single" w:color="auto" w:sz="4" w:space="0"/>
              <w:right w:val="single" w:color="auto" w:sz="4" w:space="0"/>
            </w:tcBorders>
            <w:noWrap w:val="0"/>
            <w:vAlign w:val="center"/>
          </w:tcPr>
          <w:p w14:paraId="587623BF">
            <w:pPr>
              <w:keepNext w:val="0"/>
              <w:keepLines w:val="0"/>
              <w:widowControl/>
              <w:suppressLineNumbers w:val="0"/>
              <w:spacing w:before="0" w:beforeAutospacing="0" w:after="0" w:afterAutospacing="0" w:line="300" w:lineRule="auto"/>
              <w:ind w:left="0" w:right="0"/>
              <w:jc w:val="center"/>
              <w:textAlignment w:val="center"/>
              <w:rPr>
                <w:rFonts w:hint="eastAsia" w:ascii="仿宋" w:hAnsi="仿宋" w:eastAsia="仿宋" w:cs="宋体"/>
                <w:kern w:val="0"/>
                <w:szCs w:val="21"/>
                <w:lang w:bidi="ar"/>
              </w:rPr>
            </w:pPr>
            <w:r>
              <w:rPr>
                <w:rFonts w:hint="eastAsia" w:ascii="仿宋" w:hAnsi="仿宋" w:eastAsia="仿宋" w:cs="宋体"/>
                <w:kern w:val="0"/>
                <w:szCs w:val="21"/>
                <w:lang w:bidi="ar"/>
              </w:rPr>
              <w:t>4</w:t>
            </w:r>
          </w:p>
        </w:tc>
        <w:tc>
          <w:tcPr>
            <w:tcW w:w="7380" w:type="dxa"/>
            <w:tcBorders>
              <w:top w:val="nil"/>
              <w:left w:val="nil"/>
              <w:bottom w:val="single" w:color="auto" w:sz="4" w:space="0"/>
              <w:right w:val="single" w:color="auto" w:sz="4" w:space="0"/>
            </w:tcBorders>
            <w:noWrap w:val="0"/>
            <w:vAlign w:val="center"/>
          </w:tcPr>
          <w:p w14:paraId="499E34D9">
            <w:pPr>
              <w:keepNext w:val="0"/>
              <w:keepLines w:val="0"/>
              <w:widowControl/>
              <w:suppressLineNumbers w:val="0"/>
              <w:spacing w:before="0" w:beforeAutospacing="0" w:after="0" w:afterAutospacing="0" w:line="300" w:lineRule="auto"/>
              <w:ind w:left="0" w:right="0"/>
              <w:jc w:val="left"/>
              <w:textAlignment w:val="center"/>
              <w:rPr>
                <w:rFonts w:hint="eastAsia" w:ascii="仿宋" w:hAnsi="仿宋" w:eastAsia="仿宋" w:cs="宋体"/>
                <w:kern w:val="0"/>
                <w:szCs w:val="21"/>
                <w:lang w:val="en-US" w:eastAsia="zh-CN" w:bidi="ar"/>
              </w:rPr>
            </w:pPr>
            <w:r>
              <w:rPr>
                <w:rFonts w:hint="eastAsia" w:ascii="仿宋" w:hAnsi="仿宋" w:eastAsia="仿宋" w:cs="宋体"/>
                <w:kern w:val="0"/>
                <w:szCs w:val="21"/>
                <w:lang w:val="en-US" w:eastAsia="zh-CN" w:bidi="ar"/>
              </w:rPr>
              <w:t>投标企业依法缴纳近 3个月内其中任意1个月的社会保险凭据；</w:t>
            </w:r>
          </w:p>
        </w:tc>
        <w:tc>
          <w:tcPr>
            <w:tcW w:w="591" w:type="dxa"/>
            <w:tcBorders>
              <w:top w:val="nil"/>
              <w:left w:val="nil"/>
              <w:bottom w:val="single" w:color="auto" w:sz="4" w:space="0"/>
              <w:right w:val="single" w:color="auto" w:sz="4" w:space="0"/>
            </w:tcBorders>
            <w:noWrap w:val="0"/>
            <w:vAlign w:val="center"/>
          </w:tcPr>
          <w:p w14:paraId="187AE0D9">
            <w:pPr>
              <w:keepNext w:val="0"/>
              <w:keepLines w:val="0"/>
              <w:widowControl/>
              <w:suppressLineNumbers w:val="0"/>
              <w:spacing w:before="0" w:beforeAutospacing="0" w:after="0" w:afterAutospacing="0" w:line="360" w:lineRule="auto"/>
              <w:ind w:left="0" w:right="0"/>
              <w:jc w:val="left"/>
              <w:rPr>
                <w:rFonts w:hint="default" w:ascii="Times New Roman" w:hAnsi="Times New Roman" w:eastAsia="仿宋" w:cs="Times New Roman"/>
                <w:color w:val="000000"/>
                <w:kern w:val="0"/>
                <w:sz w:val="22"/>
                <w:szCs w:val="22"/>
              </w:rPr>
            </w:pPr>
            <w:r>
              <w:rPr>
                <w:rFonts w:hint="default" w:ascii="Times New Roman" w:hAnsi="Times New Roman" w:eastAsia="仿宋" w:cs="Times New Roman"/>
                <w:color w:val="000000"/>
                <w:kern w:val="0"/>
                <w:sz w:val="22"/>
                <w:szCs w:val="22"/>
              </w:rPr>
              <w:t xml:space="preserve">  </w:t>
            </w:r>
          </w:p>
        </w:tc>
        <w:tc>
          <w:tcPr>
            <w:tcW w:w="562" w:type="dxa"/>
            <w:tcBorders>
              <w:top w:val="nil"/>
              <w:left w:val="nil"/>
              <w:bottom w:val="single" w:color="auto" w:sz="4" w:space="0"/>
              <w:right w:val="single" w:color="auto" w:sz="4" w:space="0"/>
            </w:tcBorders>
            <w:noWrap w:val="0"/>
            <w:vAlign w:val="center"/>
          </w:tcPr>
          <w:p w14:paraId="1A98F03F">
            <w:pPr>
              <w:keepNext w:val="0"/>
              <w:keepLines w:val="0"/>
              <w:widowControl/>
              <w:suppressLineNumbers w:val="0"/>
              <w:spacing w:before="0" w:beforeAutospacing="0" w:after="0" w:afterAutospacing="0" w:line="360" w:lineRule="auto"/>
              <w:ind w:left="0" w:right="0"/>
              <w:jc w:val="left"/>
              <w:rPr>
                <w:rFonts w:hint="default" w:ascii="Times New Roman" w:hAnsi="Times New Roman" w:eastAsia="仿宋" w:cs="Times New Roman"/>
                <w:color w:val="000000"/>
                <w:kern w:val="0"/>
                <w:sz w:val="22"/>
                <w:szCs w:val="22"/>
              </w:rPr>
            </w:pPr>
            <w:r>
              <w:rPr>
                <w:rFonts w:hint="default" w:ascii="Times New Roman" w:hAnsi="Times New Roman" w:eastAsia="仿宋" w:cs="Times New Roman"/>
                <w:color w:val="000000"/>
                <w:kern w:val="0"/>
                <w:sz w:val="22"/>
                <w:szCs w:val="22"/>
              </w:rPr>
              <w:t xml:space="preserve">  </w:t>
            </w:r>
          </w:p>
        </w:tc>
      </w:tr>
      <w:tr w14:paraId="1BCFAE45">
        <w:tblPrEx>
          <w:tblCellMar>
            <w:top w:w="0" w:type="dxa"/>
            <w:left w:w="108" w:type="dxa"/>
            <w:bottom w:w="0" w:type="dxa"/>
            <w:right w:w="108" w:type="dxa"/>
          </w:tblCellMar>
        </w:tblPrEx>
        <w:trPr>
          <w:trHeight w:val="90" w:hRule="atLeast"/>
        </w:trPr>
        <w:tc>
          <w:tcPr>
            <w:tcW w:w="585" w:type="dxa"/>
            <w:tcBorders>
              <w:top w:val="nil"/>
              <w:left w:val="single" w:color="auto" w:sz="4" w:space="0"/>
              <w:bottom w:val="single" w:color="auto" w:sz="4" w:space="0"/>
              <w:right w:val="single" w:color="auto" w:sz="4" w:space="0"/>
            </w:tcBorders>
            <w:noWrap w:val="0"/>
            <w:vAlign w:val="center"/>
          </w:tcPr>
          <w:p w14:paraId="10D0EC12">
            <w:pPr>
              <w:keepNext w:val="0"/>
              <w:keepLines w:val="0"/>
              <w:widowControl/>
              <w:suppressLineNumbers w:val="0"/>
              <w:spacing w:before="0" w:beforeAutospacing="0" w:after="0" w:afterAutospacing="0" w:line="300" w:lineRule="auto"/>
              <w:ind w:left="0" w:right="0"/>
              <w:jc w:val="center"/>
              <w:textAlignment w:val="center"/>
              <w:rPr>
                <w:rFonts w:hint="eastAsia" w:ascii="仿宋" w:hAnsi="仿宋" w:eastAsia="仿宋" w:cs="宋体"/>
                <w:kern w:val="0"/>
                <w:szCs w:val="21"/>
                <w:lang w:bidi="ar"/>
              </w:rPr>
            </w:pPr>
            <w:r>
              <w:rPr>
                <w:rFonts w:hint="eastAsia" w:ascii="仿宋" w:hAnsi="仿宋" w:eastAsia="仿宋" w:cs="宋体"/>
                <w:kern w:val="0"/>
                <w:szCs w:val="21"/>
                <w:lang w:bidi="ar"/>
              </w:rPr>
              <w:t>5</w:t>
            </w:r>
          </w:p>
        </w:tc>
        <w:tc>
          <w:tcPr>
            <w:tcW w:w="7380" w:type="dxa"/>
            <w:tcBorders>
              <w:top w:val="nil"/>
              <w:left w:val="nil"/>
              <w:bottom w:val="single" w:color="auto" w:sz="4" w:space="0"/>
              <w:right w:val="single" w:color="auto" w:sz="4" w:space="0"/>
            </w:tcBorders>
            <w:noWrap w:val="0"/>
            <w:vAlign w:val="center"/>
          </w:tcPr>
          <w:p w14:paraId="00C60029">
            <w:pPr>
              <w:keepNext w:val="0"/>
              <w:keepLines w:val="0"/>
              <w:widowControl/>
              <w:suppressLineNumbers w:val="0"/>
              <w:spacing w:before="0" w:beforeAutospacing="0" w:after="0" w:afterAutospacing="0" w:line="300" w:lineRule="auto"/>
              <w:ind w:left="0" w:right="0"/>
              <w:jc w:val="left"/>
              <w:textAlignment w:val="center"/>
              <w:rPr>
                <w:rFonts w:hint="eastAsia" w:ascii="仿宋" w:hAnsi="仿宋" w:eastAsia="仿宋" w:cs="宋体"/>
                <w:kern w:val="0"/>
                <w:szCs w:val="21"/>
                <w:lang w:val="en-US" w:eastAsia="zh-CN" w:bidi="ar"/>
              </w:rPr>
            </w:pPr>
            <w:r>
              <w:rPr>
                <w:rFonts w:hint="eastAsia" w:ascii="仿宋" w:hAnsi="仿宋" w:eastAsia="仿宋" w:cs="宋体"/>
                <w:kern w:val="0"/>
                <w:szCs w:val="21"/>
                <w:lang w:val="en-US" w:eastAsia="zh-CN" w:bidi="ar"/>
              </w:rPr>
              <w:t>投标企业提供税务部门出具的近3个月内其中任意1个月的完税证明（零申报需加盖税务机关鲜章），非社会保险类；</w:t>
            </w:r>
          </w:p>
        </w:tc>
        <w:tc>
          <w:tcPr>
            <w:tcW w:w="591" w:type="dxa"/>
            <w:tcBorders>
              <w:top w:val="nil"/>
              <w:left w:val="nil"/>
              <w:bottom w:val="single" w:color="auto" w:sz="4" w:space="0"/>
              <w:right w:val="single" w:color="auto" w:sz="4" w:space="0"/>
            </w:tcBorders>
            <w:noWrap w:val="0"/>
            <w:vAlign w:val="center"/>
          </w:tcPr>
          <w:p w14:paraId="249A322C">
            <w:pPr>
              <w:keepNext w:val="0"/>
              <w:keepLines w:val="0"/>
              <w:widowControl/>
              <w:suppressLineNumbers w:val="0"/>
              <w:spacing w:before="0" w:beforeAutospacing="0" w:after="0" w:afterAutospacing="0" w:line="360" w:lineRule="auto"/>
              <w:ind w:left="0" w:right="0"/>
              <w:jc w:val="left"/>
              <w:rPr>
                <w:rFonts w:hint="default" w:ascii="Times New Roman" w:hAnsi="Times New Roman" w:eastAsia="仿宋" w:cs="Times New Roman"/>
                <w:color w:val="000000"/>
                <w:kern w:val="0"/>
                <w:sz w:val="22"/>
                <w:szCs w:val="22"/>
              </w:rPr>
            </w:pPr>
            <w:r>
              <w:rPr>
                <w:rFonts w:hint="default" w:ascii="Times New Roman" w:hAnsi="Times New Roman" w:eastAsia="仿宋" w:cs="Times New Roman"/>
                <w:color w:val="000000"/>
                <w:kern w:val="0"/>
                <w:sz w:val="22"/>
                <w:szCs w:val="22"/>
              </w:rPr>
              <w:t xml:space="preserve">  </w:t>
            </w:r>
          </w:p>
        </w:tc>
        <w:tc>
          <w:tcPr>
            <w:tcW w:w="562" w:type="dxa"/>
            <w:tcBorders>
              <w:top w:val="nil"/>
              <w:left w:val="nil"/>
              <w:bottom w:val="single" w:color="auto" w:sz="4" w:space="0"/>
              <w:right w:val="single" w:color="auto" w:sz="4" w:space="0"/>
            </w:tcBorders>
            <w:noWrap w:val="0"/>
            <w:vAlign w:val="center"/>
          </w:tcPr>
          <w:p w14:paraId="02A7D1BF">
            <w:pPr>
              <w:keepNext w:val="0"/>
              <w:keepLines w:val="0"/>
              <w:widowControl/>
              <w:suppressLineNumbers w:val="0"/>
              <w:spacing w:before="0" w:beforeAutospacing="0" w:after="0" w:afterAutospacing="0" w:line="360" w:lineRule="auto"/>
              <w:ind w:left="0" w:right="0"/>
              <w:jc w:val="left"/>
              <w:rPr>
                <w:rFonts w:hint="default" w:ascii="Times New Roman" w:hAnsi="Times New Roman" w:eastAsia="仿宋" w:cs="Times New Roman"/>
                <w:color w:val="000000"/>
                <w:kern w:val="0"/>
                <w:sz w:val="22"/>
                <w:szCs w:val="22"/>
              </w:rPr>
            </w:pPr>
            <w:r>
              <w:rPr>
                <w:rFonts w:hint="default" w:ascii="Times New Roman" w:hAnsi="Times New Roman" w:eastAsia="仿宋" w:cs="Times New Roman"/>
                <w:color w:val="000000"/>
                <w:kern w:val="0"/>
                <w:sz w:val="22"/>
                <w:szCs w:val="22"/>
              </w:rPr>
              <w:t xml:space="preserve">  </w:t>
            </w:r>
          </w:p>
        </w:tc>
      </w:tr>
      <w:tr w14:paraId="4D37071D">
        <w:tblPrEx>
          <w:tblCellMar>
            <w:top w:w="0" w:type="dxa"/>
            <w:left w:w="108" w:type="dxa"/>
            <w:bottom w:w="0" w:type="dxa"/>
            <w:right w:w="108" w:type="dxa"/>
          </w:tblCellMar>
        </w:tblPrEx>
        <w:trPr>
          <w:trHeight w:val="90" w:hRule="atLeast"/>
        </w:trPr>
        <w:tc>
          <w:tcPr>
            <w:tcW w:w="585" w:type="dxa"/>
            <w:tcBorders>
              <w:top w:val="nil"/>
              <w:left w:val="single" w:color="auto" w:sz="4" w:space="0"/>
              <w:bottom w:val="single" w:color="auto" w:sz="4" w:space="0"/>
              <w:right w:val="single" w:color="auto" w:sz="4" w:space="0"/>
            </w:tcBorders>
            <w:noWrap w:val="0"/>
            <w:vAlign w:val="center"/>
          </w:tcPr>
          <w:p w14:paraId="72306046">
            <w:pPr>
              <w:keepNext w:val="0"/>
              <w:keepLines w:val="0"/>
              <w:widowControl/>
              <w:suppressLineNumbers w:val="0"/>
              <w:spacing w:before="0" w:beforeAutospacing="0" w:after="0" w:afterAutospacing="0" w:line="300" w:lineRule="auto"/>
              <w:ind w:left="0" w:right="0"/>
              <w:jc w:val="center"/>
              <w:textAlignment w:val="center"/>
              <w:rPr>
                <w:rFonts w:hint="eastAsia" w:ascii="仿宋" w:hAnsi="仿宋" w:eastAsia="仿宋" w:cs="宋体"/>
                <w:kern w:val="0"/>
                <w:szCs w:val="21"/>
                <w:lang w:bidi="ar"/>
              </w:rPr>
            </w:pPr>
            <w:r>
              <w:rPr>
                <w:rFonts w:hint="eastAsia" w:ascii="仿宋" w:hAnsi="仿宋" w:eastAsia="仿宋" w:cs="宋体"/>
                <w:kern w:val="0"/>
                <w:szCs w:val="21"/>
                <w:lang w:bidi="ar"/>
              </w:rPr>
              <w:t>6</w:t>
            </w:r>
          </w:p>
        </w:tc>
        <w:tc>
          <w:tcPr>
            <w:tcW w:w="7380" w:type="dxa"/>
            <w:tcBorders>
              <w:top w:val="nil"/>
              <w:left w:val="nil"/>
              <w:bottom w:val="single" w:color="auto" w:sz="4" w:space="0"/>
              <w:right w:val="single" w:color="auto" w:sz="4" w:space="0"/>
            </w:tcBorders>
            <w:noWrap w:val="0"/>
            <w:vAlign w:val="center"/>
          </w:tcPr>
          <w:p w14:paraId="49D9630D">
            <w:pPr>
              <w:keepNext w:val="0"/>
              <w:keepLines w:val="0"/>
              <w:widowControl/>
              <w:suppressLineNumbers w:val="0"/>
              <w:spacing w:before="0" w:beforeAutospacing="0" w:after="0" w:afterAutospacing="0" w:line="300" w:lineRule="auto"/>
              <w:ind w:left="0" w:right="0"/>
              <w:jc w:val="left"/>
              <w:textAlignment w:val="center"/>
              <w:rPr>
                <w:rFonts w:hint="eastAsia" w:ascii="仿宋" w:hAnsi="仿宋" w:eastAsia="仿宋" w:cs="宋体"/>
                <w:kern w:val="0"/>
                <w:szCs w:val="21"/>
                <w:lang w:val="en-US" w:eastAsia="zh-CN" w:bidi="ar"/>
              </w:rPr>
            </w:pPr>
            <w:r>
              <w:rPr>
                <w:rFonts w:hint="eastAsia" w:ascii="仿宋" w:hAnsi="仿宋" w:eastAsia="仿宋" w:cs="宋体"/>
                <w:kern w:val="0"/>
                <w:szCs w:val="21"/>
                <w:lang w:val="en-US" w:eastAsia="zh-CN" w:bidi="ar"/>
              </w:rPr>
              <w:t>根据《财政部关于在政府采购活动中查询及使用信用记录有关问题的通知》（财库﹝2016﹞125号）的要求，凡拟参加本次招标项目的供应商，如在“信用中国”网站（ www.creditchina.gov.cn） 被列入失信被执行人、重大税收违法失信主体名单(信用服务-重点领域严重失信主体名单查询-搜索栏输入单位全称)、中国政府采购网（http://www.ccgp.gov.cn/search/cr/）严重违法失信行为信息记录名单的（尚在处罚期内的），“国家企业信用信息公示系统（http://www.gsxt.gov.cn）”列入严重违法失信名单（黑名单）信息；将拒绝其参加本次招标活动；</w:t>
            </w:r>
          </w:p>
        </w:tc>
        <w:tc>
          <w:tcPr>
            <w:tcW w:w="591" w:type="dxa"/>
            <w:tcBorders>
              <w:top w:val="nil"/>
              <w:left w:val="nil"/>
              <w:bottom w:val="single" w:color="auto" w:sz="4" w:space="0"/>
              <w:right w:val="single" w:color="auto" w:sz="4" w:space="0"/>
            </w:tcBorders>
            <w:noWrap w:val="0"/>
            <w:vAlign w:val="center"/>
          </w:tcPr>
          <w:p w14:paraId="4D3A2BEC">
            <w:pPr>
              <w:keepNext w:val="0"/>
              <w:keepLines w:val="0"/>
              <w:widowControl/>
              <w:suppressLineNumbers w:val="0"/>
              <w:spacing w:before="0" w:beforeAutospacing="0" w:after="0" w:afterAutospacing="0" w:line="360" w:lineRule="auto"/>
              <w:ind w:left="0" w:right="0"/>
              <w:jc w:val="left"/>
              <w:rPr>
                <w:rFonts w:hint="default" w:ascii="Times New Roman" w:hAnsi="Times New Roman" w:eastAsia="仿宋" w:cs="Times New Roman"/>
                <w:color w:val="000000"/>
                <w:kern w:val="0"/>
                <w:sz w:val="22"/>
                <w:szCs w:val="22"/>
              </w:rPr>
            </w:pPr>
            <w:r>
              <w:rPr>
                <w:rFonts w:hint="default" w:ascii="Times New Roman" w:hAnsi="Times New Roman" w:eastAsia="仿宋" w:cs="Times New Roman"/>
                <w:color w:val="000000"/>
                <w:kern w:val="0"/>
                <w:sz w:val="22"/>
                <w:szCs w:val="22"/>
              </w:rPr>
              <w:t xml:space="preserve">  </w:t>
            </w:r>
          </w:p>
        </w:tc>
        <w:tc>
          <w:tcPr>
            <w:tcW w:w="562" w:type="dxa"/>
            <w:tcBorders>
              <w:top w:val="nil"/>
              <w:left w:val="nil"/>
              <w:bottom w:val="single" w:color="auto" w:sz="4" w:space="0"/>
              <w:right w:val="single" w:color="auto" w:sz="4" w:space="0"/>
            </w:tcBorders>
            <w:noWrap w:val="0"/>
            <w:vAlign w:val="center"/>
          </w:tcPr>
          <w:p w14:paraId="0D53AA3C">
            <w:pPr>
              <w:keepNext w:val="0"/>
              <w:keepLines w:val="0"/>
              <w:widowControl/>
              <w:suppressLineNumbers w:val="0"/>
              <w:spacing w:before="0" w:beforeAutospacing="0" w:after="0" w:afterAutospacing="0" w:line="360" w:lineRule="auto"/>
              <w:ind w:left="0" w:right="0"/>
              <w:jc w:val="left"/>
              <w:rPr>
                <w:rFonts w:hint="default" w:ascii="Times New Roman" w:hAnsi="Times New Roman" w:eastAsia="仿宋" w:cs="Times New Roman"/>
                <w:color w:val="000000"/>
                <w:kern w:val="0"/>
                <w:sz w:val="22"/>
                <w:szCs w:val="22"/>
              </w:rPr>
            </w:pPr>
            <w:r>
              <w:rPr>
                <w:rFonts w:hint="default" w:ascii="Times New Roman" w:hAnsi="Times New Roman" w:eastAsia="仿宋" w:cs="Times New Roman"/>
                <w:color w:val="000000"/>
                <w:kern w:val="0"/>
                <w:sz w:val="22"/>
                <w:szCs w:val="22"/>
              </w:rPr>
              <w:t xml:space="preserve">  </w:t>
            </w:r>
          </w:p>
        </w:tc>
      </w:tr>
      <w:tr w14:paraId="63936D0A">
        <w:tblPrEx>
          <w:tblCellMar>
            <w:top w:w="0" w:type="dxa"/>
            <w:left w:w="108" w:type="dxa"/>
            <w:bottom w:w="0" w:type="dxa"/>
            <w:right w:w="108" w:type="dxa"/>
          </w:tblCellMar>
        </w:tblPrEx>
        <w:trPr>
          <w:trHeight w:val="133" w:hRule="atLeast"/>
        </w:trPr>
        <w:tc>
          <w:tcPr>
            <w:tcW w:w="585" w:type="dxa"/>
            <w:tcBorders>
              <w:top w:val="nil"/>
              <w:left w:val="single" w:color="auto" w:sz="4" w:space="0"/>
              <w:bottom w:val="single" w:color="auto" w:sz="4" w:space="0"/>
              <w:right w:val="single" w:color="auto" w:sz="4" w:space="0"/>
            </w:tcBorders>
            <w:noWrap w:val="0"/>
            <w:vAlign w:val="center"/>
          </w:tcPr>
          <w:p w14:paraId="105C2249">
            <w:pPr>
              <w:keepNext w:val="0"/>
              <w:keepLines w:val="0"/>
              <w:widowControl/>
              <w:suppressLineNumbers w:val="0"/>
              <w:spacing w:before="0" w:beforeAutospacing="0" w:after="0" w:afterAutospacing="0" w:line="300" w:lineRule="auto"/>
              <w:ind w:left="0" w:right="0"/>
              <w:jc w:val="center"/>
              <w:textAlignment w:val="center"/>
              <w:rPr>
                <w:rFonts w:hint="eastAsia" w:ascii="仿宋" w:hAnsi="仿宋" w:eastAsia="仿宋" w:cs="宋体"/>
                <w:kern w:val="0"/>
                <w:szCs w:val="21"/>
                <w:lang w:bidi="ar"/>
              </w:rPr>
            </w:pPr>
            <w:r>
              <w:rPr>
                <w:rFonts w:hint="eastAsia" w:ascii="仿宋" w:hAnsi="仿宋" w:eastAsia="仿宋" w:cs="宋体"/>
                <w:kern w:val="0"/>
                <w:szCs w:val="21"/>
                <w:lang w:bidi="ar"/>
              </w:rPr>
              <w:t>7</w:t>
            </w:r>
          </w:p>
        </w:tc>
        <w:tc>
          <w:tcPr>
            <w:tcW w:w="7380" w:type="dxa"/>
            <w:tcBorders>
              <w:top w:val="nil"/>
              <w:left w:val="nil"/>
              <w:bottom w:val="single" w:color="auto" w:sz="4" w:space="0"/>
              <w:right w:val="single" w:color="auto" w:sz="4" w:space="0"/>
            </w:tcBorders>
            <w:noWrap w:val="0"/>
            <w:vAlign w:val="center"/>
          </w:tcPr>
          <w:p w14:paraId="693EE70C">
            <w:pPr>
              <w:keepNext w:val="0"/>
              <w:keepLines w:val="0"/>
              <w:widowControl/>
              <w:suppressLineNumbers w:val="0"/>
              <w:spacing w:before="0" w:beforeAutospacing="0" w:after="0" w:afterAutospacing="0" w:line="300" w:lineRule="auto"/>
              <w:ind w:left="0" w:right="0"/>
              <w:jc w:val="left"/>
              <w:textAlignment w:val="center"/>
              <w:rPr>
                <w:rFonts w:hint="eastAsia" w:ascii="仿宋" w:hAnsi="仿宋" w:eastAsia="仿宋" w:cs="宋体"/>
                <w:kern w:val="0"/>
                <w:szCs w:val="21"/>
                <w:lang w:val="en-US" w:eastAsia="zh-CN" w:bidi="ar"/>
              </w:rPr>
            </w:pPr>
            <w:r>
              <w:rPr>
                <w:rFonts w:hint="eastAsia" w:ascii="仿宋" w:hAnsi="仿宋" w:eastAsia="仿宋" w:cs="宋体"/>
                <w:kern w:val="0"/>
                <w:szCs w:val="21"/>
                <w:lang w:val="en-US" w:eastAsia="zh-CN" w:bidi="ar"/>
              </w:rPr>
              <w:t>参与政府采购活动前3年内未被列入失信、重大税收违法案件、财政部门禁止参加政府采购活动的承诺书；</w:t>
            </w:r>
          </w:p>
        </w:tc>
        <w:tc>
          <w:tcPr>
            <w:tcW w:w="591" w:type="dxa"/>
            <w:tcBorders>
              <w:top w:val="nil"/>
              <w:left w:val="nil"/>
              <w:bottom w:val="single" w:color="auto" w:sz="4" w:space="0"/>
              <w:right w:val="single" w:color="auto" w:sz="4" w:space="0"/>
            </w:tcBorders>
            <w:noWrap w:val="0"/>
            <w:vAlign w:val="center"/>
          </w:tcPr>
          <w:p w14:paraId="7A301B4F">
            <w:pPr>
              <w:keepNext w:val="0"/>
              <w:keepLines w:val="0"/>
              <w:widowControl/>
              <w:suppressLineNumbers w:val="0"/>
              <w:spacing w:before="0" w:beforeAutospacing="0" w:after="0" w:afterAutospacing="0" w:line="360" w:lineRule="auto"/>
              <w:ind w:left="0" w:right="0"/>
              <w:jc w:val="left"/>
              <w:rPr>
                <w:rFonts w:hint="default" w:ascii="Times New Roman" w:hAnsi="Times New Roman" w:eastAsia="仿宋" w:cs="Times New Roman"/>
                <w:color w:val="000000"/>
                <w:kern w:val="0"/>
                <w:sz w:val="22"/>
                <w:szCs w:val="22"/>
              </w:rPr>
            </w:pPr>
            <w:r>
              <w:rPr>
                <w:rFonts w:hint="default" w:ascii="Times New Roman" w:hAnsi="Times New Roman" w:eastAsia="仿宋" w:cs="Times New Roman"/>
                <w:color w:val="000000"/>
                <w:kern w:val="0"/>
                <w:sz w:val="22"/>
                <w:szCs w:val="22"/>
              </w:rPr>
              <w:t xml:space="preserve">  </w:t>
            </w:r>
          </w:p>
        </w:tc>
        <w:tc>
          <w:tcPr>
            <w:tcW w:w="562" w:type="dxa"/>
            <w:tcBorders>
              <w:top w:val="nil"/>
              <w:left w:val="nil"/>
              <w:bottom w:val="single" w:color="auto" w:sz="4" w:space="0"/>
              <w:right w:val="single" w:color="auto" w:sz="4" w:space="0"/>
            </w:tcBorders>
            <w:noWrap w:val="0"/>
            <w:vAlign w:val="center"/>
          </w:tcPr>
          <w:p w14:paraId="7E527231">
            <w:pPr>
              <w:keepNext w:val="0"/>
              <w:keepLines w:val="0"/>
              <w:widowControl/>
              <w:suppressLineNumbers w:val="0"/>
              <w:spacing w:before="0" w:beforeAutospacing="0" w:after="0" w:afterAutospacing="0" w:line="360" w:lineRule="auto"/>
              <w:ind w:left="0" w:right="0"/>
              <w:jc w:val="left"/>
              <w:rPr>
                <w:rFonts w:hint="default" w:ascii="Times New Roman" w:hAnsi="Times New Roman" w:eastAsia="仿宋" w:cs="Times New Roman"/>
                <w:color w:val="000000"/>
                <w:kern w:val="0"/>
                <w:sz w:val="22"/>
                <w:szCs w:val="22"/>
              </w:rPr>
            </w:pPr>
            <w:r>
              <w:rPr>
                <w:rFonts w:hint="default" w:ascii="Times New Roman" w:hAnsi="Times New Roman" w:eastAsia="仿宋" w:cs="Times New Roman"/>
                <w:color w:val="000000"/>
                <w:kern w:val="0"/>
                <w:sz w:val="22"/>
                <w:szCs w:val="22"/>
              </w:rPr>
              <w:t xml:space="preserve">  </w:t>
            </w:r>
          </w:p>
        </w:tc>
      </w:tr>
      <w:tr w14:paraId="09F72BDB">
        <w:tblPrEx>
          <w:tblCellMar>
            <w:top w:w="0" w:type="dxa"/>
            <w:left w:w="108" w:type="dxa"/>
            <w:bottom w:w="0" w:type="dxa"/>
            <w:right w:w="108" w:type="dxa"/>
          </w:tblCellMar>
        </w:tblPrEx>
        <w:trPr>
          <w:trHeight w:val="90" w:hRule="atLeast"/>
        </w:trPr>
        <w:tc>
          <w:tcPr>
            <w:tcW w:w="585" w:type="dxa"/>
            <w:tcBorders>
              <w:top w:val="nil"/>
              <w:left w:val="single" w:color="auto" w:sz="4" w:space="0"/>
              <w:bottom w:val="single" w:color="auto" w:sz="4" w:space="0"/>
              <w:right w:val="single" w:color="auto" w:sz="4" w:space="0"/>
            </w:tcBorders>
            <w:noWrap w:val="0"/>
            <w:vAlign w:val="center"/>
          </w:tcPr>
          <w:p w14:paraId="0A1B2D19">
            <w:pPr>
              <w:keepNext w:val="0"/>
              <w:keepLines w:val="0"/>
              <w:widowControl/>
              <w:suppressLineNumbers w:val="0"/>
              <w:spacing w:before="0" w:beforeAutospacing="0" w:after="0" w:afterAutospacing="0" w:line="300" w:lineRule="auto"/>
              <w:ind w:left="0" w:right="0"/>
              <w:jc w:val="center"/>
              <w:textAlignment w:val="center"/>
              <w:rPr>
                <w:rFonts w:hint="eastAsia" w:ascii="仿宋" w:hAnsi="仿宋" w:eastAsia="仿宋" w:cs="宋体"/>
                <w:kern w:val="0"/>
                <w:szCs w:val="21"/>
                <w:lang w:bidi="ar"/>
              </w:rPr>
            </w:pPr>
            <w:r>
              <w:rPr>
                <w:rFonts w:hint="eastAsia" w:ascii="仿宋" w:hAnsi="仿宋" w:eastAsia="仿宋" w:cs="宋体"/>
                <w:kern w:val="0"/>
                <w:szCs w:val="21"/>
                <w:lang w:bidi="ar"/>
              </w:rPr>
              <w:t>8</w:t>
            </w:r>
          </w:p>
        </w:tc>
        <w:tc>
          <w:tcPr>
            <w:tcW w:w="7380" w:type="dxa"/>
            <w:tcBorders>
              <w:top w:val="nil"/>
              <w:left w:val="nil"/>
              <w:bottom w:val="single" w:color="auto" w:sz="4" w:space="0"/>
              <w:right w:val="single" w:color="auto" w:sz="4" w:space="0"/>
            </w:tcBorders>
            <w:noWrap w:val="0"/>
            <w:vAlign w:val="center"/>
          </w:tcPr>
          <w:p w14:paraId="486BC434">
            <w:pPr>
              <w:keepNext w:val="0"/>
              <w:keepLines w:val="0"/>
              <w:widowControl/>
              <w:suppressLineNumbers w:val="0"/>
              <w:spacing w:before="0" w:beforeAutospacing="0" w:after="0" w:afterAutospacing="0" w:line="300" w:lineRule="auto"/>
              <w:ind w:left="0" w:right="0"/>
              <w:jc w:val="left"/>
              <w:textAlignment w:val="center"/>
              <w:rPr>
                <w:rFonts w:hint="eastAsia" w:ascii="仿宋" w:hAnsi="仿宋" w:eastAsia="仿宋" w:cs="宋体"/>
                <w:kern w:val="0"/>
                <w:szCs w:val="21"/>
                <w:lang w:val="en-US" w:eastAsia="zh-CN" w:bidi="ar"/>
              </w:rPr>
            </w:pPr>
            <w:r>
              <w:rPr>
                <w:rFonts w:hint="eastAsia" w:ascii="仿宋" w:hAnsi="仿宋" w:eastAsia="仿宋" w:cs="宋体"/>
                <w:kern w:val="0"/>
                <w:szCs w:val="21"/>
                <w:lang w:val="en-US" w:eastAsia="zh-CN" w:bidi="ar"/>
              </w:rPr>
              <w:t>提供针对本次项目《反商业贿赂承诺书》 ；</w:t>
            </w:r>
          </w:p>
        </w:tc>
        <w:tc>
          <w:tcPr>
            <w:tcW w:w="591" w:type="dxa"/>
            <w:tcBorders>
              <w:top w:val="nil"/>
              <w:left w:val="nil"/>
              <w:bottom w:val="single" w:color="auto" w:sz="4" w:space="0"/>
              <w:right w:val="single" w:color="auto" w:sz="4" w:space="0"/>
            </w:tcBorders>
            <w:noWrap w:val="0"/>
            <w:vAlign w:val="center"/>
          </w:tcPr>
          <w:p w14:paraId="03D45745">
            <w:pPr>
              <w:keepNext w:val="0"/>
              <w:keepLines w:val="0"/>
              <w:widowControl/>
              <w:suppressLineNumbers w:val="0"/>
              <w:spacing w:before="0" w:beforeAutospacing="0" w:after="0" w:afterAutospacing="0" w:line="360" w:lineRule="auto"/>
              <w:ind w:left="0" w:right="0"/>
              <w:jc w:val="left"/>
              <w:rPr>
                <w:rFonts w:hint="default" w:ascii="Times New Roman" w:hAnsi="Times New Roman" w:eastAsia="仿宋" w:cs="Times New Roman"/>
                <w:color w:val="000000"/>
                <w:kern w:val="0"/>
                <w:sz w:val="22"/>
                <w:szCs w:val="22"/>
              </w:rPr>
            </w:pPr>
          </w:p>
        </w:tc>
        <w:tc>
          <w:tcPr>
            <w:tcW w:w="562" w:type="dxa"/>
            <w:tcBorders>
              <w:top w:val="nil"/>
              <w:left w:val="nil"/>
              <w:bottom w:val="single" w:color="auto" w:sz="4" w:space="0"/>
              <w:right w:val="single" w:color="auto" w:sz="4" w:space="0"/>
            </w:tcBorders>
            <w:noWrap w:val="0"/>
            <w:vAlign w:val="center"/>
          </w:tcPr>
          <w:p w14:paraId="70682838">
            <w:pPr>
              <w:keepNext w:val="0"/>
              <w:keepLines w:val="0"/>
              <w:widowControl/>
              <w:suppressLineNumbers w:val="0"/>
              <w:spacing w:before="0" w:beforeAutospacing="0" w:after="0" w:afterAutospacing="0" w:line="360" w:lineRule="auto"/>
              <w:ind w:left="0" w:right="0"/>
              <w:jc w:val="left"/>
              <w:rPr>
                <w:rFonts w:hint="default" w:ascii="Times New Roman" w:hAnsi="Times New Roman" w:eastAsia="仿宋" w:cs="Times New Roman"/>
                <w:color w:val="000000"/>
                <w:kern w:val="0"/>
                <w:sz w:val="22"/>
                <w:szCs w:val="22"/>
              </w:rPr>
            </w:pPr>
          </w:p>
        </w:tc>
      </w:tr>
      <w:tr w14:paraId="7027CBD3">
        <w:tblPrEx>
          <w:tblCellMar>
            <w:top w:w="0" w:type="dxa"/>
            <w:left w:w="108" w:type="dxa"/>
            <w:bottom w:w="0" w:type="dxa"/>
            <w:right w:w="108" w:type="dxa"/>
          </w:tblCellMar>
        </w:tblPrEx>
        <w:trPr>
          <w:trHeight w:val="90" w:hRule="atLeast"/>
        </w:trPr>
        <w:tc>
          <w:tcPr>
            <w:tcW w:w="585" w:type="dxa"/>
            <w:tcBorders>
              <w:top w:val="nil"/>
              <w:left w:val="single" w:color="auto" w:sz="4" w:space="0"/>
              <w:bottom w:val="single" w:color="auto" w:sz="4" w:space="0"/>
              <w:right w:val="single" w:color="auto" w:sz="4" w:space="0"/>
            </w:tcBorders>
            <w:noWrap w:val="0"/>
            <w:vAlign w:val="center"/>
          </w:tcPr>
          <w:p w14:paraId="0677296A">
            <w:pPr>
              <w:keepNext w:val="0"/>
              <w:keepLines w:val="0"/>
              <w:widowControl/>
              <w:suppressLineNumbers w:val="0"/>
              <w:spacing w:before="0" w:beforeAutospacing="0" w:after="0" w:afterAutospacing="0" w:line="300" w:lineRule="auto"/>
              <w:ind w:left="0" w:right="0"/>
              <w:jc w:val="center"/>
              <w:textAlignment w:val="center"/>
              <w:rPr>
                <w:rFonts w:hint="default" w:ascii="仿宋" w:hAnsi="仿宋" w:eastAsia="仿宋" w:cs="宋体"/>
                <w:kern w:val="0"/>
                <w:szCs w:val="21"/>
                <w:lang w:val="en-US" w:eastAsia="zh-CN" w:bidi="ar"/>
              </w:rPr>
            </w:pPr>
            <w:r>
              <w:rPr>
                <w:rFonts w:hint="eastAsia" w:ascii="仿宋" w:hAnsi="仿宋" w:eastAsia="仿宋" w:cs="宋体"/>
                <w:kern w:val="0"/>
                <w:szCs w:val="21"/>
                <w:lang w:val="en-US" w:eastAsia="zh-CN" w:bidi="ar"/>
              </w:rPr>
              <w:t>9</w:t>
            </w:r>
          </w:p>
        </w:tc>
        <w:tc>
          <w:tcPr>
            <w:tcW w:w="7380" w:type="dxa"/>
            <w:tcBorders>
              <w:top w:val="nil"/>
              <w:left w:val="nil"/>
              <w:bottom w:val="single" w:color="auto" w:sz="4" w:space="0"/>
              <w:right w:val="single" w:color="auto" w:sz="4" w:space="0"/>
            </w:tcBorders>
            <w:noWrap w:val="0"/>
            <w:vAlign w:val="center"/>
          </w:tcPr>
          <w:p w14:paraId="699D8A88">
            <w:pPr>
              <w:keepNext w:val="0"/>
              <w:keepLines w:val="0"/>
              <w:widowControl/>
              <w:suppressLineNumbers w:val="0"/>
              <w:spacing w:before="0" w:beforeAutospacing="0" w:after="0" w:afterAutospacing="0" w:line="300" w:lineRule="auto"/>
              <w:ind w:left="0" w:right="0"/>
              <w:jc w:val="left"/>
              <w:textAlignment w:val="center"/>
              <w:rPr>
                <w:rFonts w:hint="eastAsia" w:ascii="仿宋" w:hAnsi="仿宋" w:eastAsia="仿宋" w:cs="宋体"/>
                <w:kern w:val="0"/>
                <w:szCs w:val="21"/>
                <w:lang w:val="en-US" w:eastAsia="zh-CN" w:bidi="ar"/>
              </w:rPr>
            </w:pPr>
            <w:r>
              <w:rPr>
                <w:rFonts w:hint="eastAsia" w:ascii="仿宋" w:hAnsi="仿宋" w:eastAsia="仿宋" w:cs="宋体"/>
                <w:kern w:val="0"/>
                <w:szCs w:val="21"/>
                <w:lang w:val="en-US" w:eastAsia="zh-CN" w:bidi="ar"/>
              </w:rPr>
              <w:t>提供投标单位按招标文件要求缴纳投标保证金的缴款凭证或金融机构、担保机构出具的保函；</w:t>
            </w:r>
          </w:p>
        </w:tc>
        <w:tc>
          <w:tcPr>
            <w:tcW w:w="591" w:type="dxa"/>
            <w:tcBorders>
              <w:top w:val="nil"/>
              <w:left w:val="nil"/>
              <w:bottom w:val="single" w:color="auto" w:sz="4" w:space="0"/>
              <w:right w:val="single" w:color="auto" w:sz="4" w:space="0"/>
            </w:tcBorders>
            <w:noWrap w:val="0"/>
            <w:vAlign w:val="center"/>
          </w:tcPr>
          <w:p w14:paraId="5D533BA5">
            <w:pPr>
              <w:keepNext w:val="0"/>
              <w:keepLines w:val="0"/>
              <w:widowControl/>
              <w:suppressLineNumbers w:val="0"/>
              <w:spacing w:before="0" w:beforeAutospacing="0" w:after="0" w:afterAutospacing="0" w:line="360" w:lineRule="auto"/>
              <w:ind w:left="0" w:right="0"/>
              <w:jc w:val="left"/>
              <w:rPr>
                <w:rFonts w:hint="default" w:ascii="Times New Roman" w:hAnsi="Times New Roman" w:eastAsia="仿宋" w:cs="Times New Roman"/>
                <w:color w:val="000000"/>
                <w:kern w:val="0"/>
                <w:sz w:val="22"/>
                <w:szCs w:val="22"/>
              </w:rPr>
            </w:pPr>
            <w:r>
              <w:rPr>
                <w:rFonts w:hint="default" w:ascii="Times New Roman" w:hAnsi="Times New Roman" w:eastAsia="仿宋" w:cs="Times New Roman"/>
                <w:color w:val="000000"/>
                <w:kern w:val="0"/>
                <w:sz w:val="22"/>
                <w:szCs w:val="22"/>
              </w:rPr>
              <w:t xml:space="preserve">  </w:t>
            </w:r>
          </w:p>
        </w:tc>
        <w:tc>
          <w:tcPr>
            <w:tcW w:w="562" w:type="dxa"/>
            <w:tcBorders>
              <w:top w:val="nil"/>
              <w:left w:val="nil"/>
              <w:bottom w:val="single" w:color="auto" w:sz="4" w:space="0"/>
              <w:right w:val="single" w:color="auto" w:sz="4" w:space="0"/>
            </w:tcBorders>
            <w:noWrap w:val="0"/>
            <w:vAlign w:val="center"/>
          </w:tcPr>
          <w:p w14:paraId="7263D706">
            <w:pPr>
              <w:keepNext w:val="0"/>
              <w:keepLines w:val="0"/>
              <w:widowControl/>
              <w:suppressLineNumbers w:val="0"/>
              <w:spacing w:before="0" w:beforeAutospacing="0" w:after="0" w:afterAutospacing="0" w:line="360" w:lineRule="auto"/>
              <w:ind w:left="0" w:right="0"/>
              <w:jc w:val="left"/>
              <w:rPr>
                <w:rFonts w:hint="default" w:ascii="Times New Roman" w:hAnsi="Times New Roman" w:eastAsia="仿宋" w:cs="Times New Roman"/>
                <w:color w:val="000000"/>
                <w:kern w:val="0"/>
                <w:sz w:val="22"/>
                <w:szCs w:val="22"/>
              </w:rPr>
            </w:pPr>
            <w:r>
              <w:rPr>
                <w:rFonts w:hint="default" w:ascii="Times New Roman" w:hAnsi="Times New Roman" w:eastAsia="仿宋" w:cs="Times New Roman"/>
                <w:color w:val="000000"/>
                <w:kern w:val="0"/>
                <w:sz w:val="22"/>
                <w:szCs w:val="22"/>
              </w:rPr>
              <w:t xml:space="preserve">  </w:t>
            </w:r>
          </w:p>
        </w:tc>
      </w:tr>
      <w:tr w14:paraId="0F8616AA">
        <w:tblPrEx>
          <w:tblCellMar>
            <w:top w:w="0" w:type="dxa"/>
            <w:left w:w="108" w:type="dxa"/>
            <w:bottom w:w="0" w:type="dxa"/>
            <w:right w:w="108" w:type="dxa"/>
          </w:tblCellMar>
        </w:tblPrEx>
        <w:trPr>
          <w:trHeight w:val="90" w:hRule="atLeast"/>
        </w:trPr>
        <w:tc>
          <w:tcPr>
            <w:tcW w:w="585" w:type="dxa"/>
            <w:tcBorders>
              <w:top w:val="single" w:color="auto" w:sz="4" w:space="0"/>
              <w:left w:val="single" w:color="auto" w:sz="4" w:space="0"/>
              <w:bottom w:val="single" w:color="auto" w:sz="4" w:space="0"/>
              <w:right w:val="single" w:color="auto" w:sz="4" w:space="0"/>
            </w:tcBorders>
            <w:noWrap w:val="0"/>
            <w:vAlign w:val="center"/>
          </w:tcPr>
          <w:p w14:paraId="753619E9">
            <w:pPr>
              <w:keepNext w:val="0"/>
              <w:keepLines w:val="0"/>
              <w:widowControl/>
              <w:suppressLineNumbers w:val="0"/>
              <w:spacing w:before="0" w:beforeAutospacing="0" w:after="0" w:afterAutospacing="0" w:line="360" w:lineRule="auto"/>
              <w:ind w:left="0" w:right="0"/>
              <w:jc w:val="center"/>
              <w:rPr>
                <w:rFonts w:hint="default" w:ascii="Times New Roman" w:hAnsi="Times New Roman" w:eastAsia="仿宋" w:cs="Times New Roman"/>
                <w:color w:val="000000"/>
                <w:kern w:val="0"/>
                <w:sz w:val="22"/>
                <w:szCs w:val="22"/>
                <w:lang w:val="en-US" w:eastAsia="zh-CN"/>
              </w:rPr>
            </w:pPr>
            <w:r>
              <w:rPr>
                <w:rFonts w:hint="eastAsia" w:eastAsia="仿宋" w:cs="Times New Roman"/>
                <w:color w:val="000000"/>
                <w:kern w:val="0"/>
                <w:sz w:val="22"/>
                <w:szCs w:val="22"/>
                <w:lang w:val="en-US" w:eastAsia="zh-CN"/>
              </w:rPr>
              <w:t>10</w:t>
            </w:r>
          </w:p>
        </w:tc>
        <w:tc>
          <w:tcPr>
            <w:tcW w:w="7380" w:type="dxa"/>
            <w:tcBorders>
              <w:top w:val="single" w:color="auto" w:sz="4" w:space="0"/>
              <w:left w:val="nil"/>
              <w:bottom w:val="single" w:color="auto" w:sz="4" w:space="0"/>
              <w:right w:val="single" w:color="auto" w:sz="4" w:space="0"/>
            </w:tcBorders>
            <w:noWrap w:val="0"/>
            <w:vAlign w:val="center"/>
          </w:tcPr>
          <w:p w14:paraId="0C7017D1">
            <w:pPr>
              <w:keepNext w:val="0"/>
              <w:keepLines w:val="0"/>
              <w:suppressLineNumbers w:val="0"/>
              <w:spacing w:before="0" w:beforeAutospacing="0" w:after="0" w:afterAutospacing="0" w:line="360" w:lineRule="auto"/>
              <w:ind w:left="0" w:right="0"/>
              <w:jc w:val="both"/>
              <w:rPr>
                <w:rFonts w:hint="default" w:ascii="Times New Roman" w:hAnsi="Times New Roman" w:eastAsia="仿宋" w:cs="Times New Roman"/>
                <w:b/>
                <w:bCs/>
                <w:color w:val="000000"/>
                <w:kern w:val="0"/>
                <w:sz w:val="22"/>
                <w:szCs w:val="22"/>
                <w:lang w:val="en-US"/>
              </w:rPr>
            </w:pPr>
            <w:r>
              <w:rPr>
                <w:rFonts w:hint="eastAsia" w:ascii="仿宋" w:hAnsi="仿宋" w:eastAsia="仿宋" w:cs="宋体"/>
                <w:kern w:val="0"/>
                <w:szCs w:val="21"/>
                <w:lang w:val="en-US" w:eastAsia="zh-CN" w:bidi="ar"/>
              </w:rPr>
              <w:t>第二标段各投标企业需提供《出版物经营许可证》。</w:t>
            </w:r>
          </w:p>
        </w:tc>
        <w:tc>
          <w:tcPr>
            <w:tcW w:w="591" w:type="dxa"/>
            <w:tcBorders>
              <w:top w:val="single" w:color="auto" w:sz="4" w:space="0"/>
              <w:left w:val="nil"/>
              <w:bottom w:val="single" w:color="auto" w:sz="4" w:space="0"/>
              <w:right w:val="single" w:color="auto" w:sz="4" w:space="0"/>
            </w:tcBorders>
            <w:noWrap w:val="0"/>
            <w:vAlign w:val="center"/>
          </w:tcPr>
          <w:p w14:paraId="086CD1C7">
            <w:pPr>
              <w:keepNext w:val="0"/>
              <w:keepLines w:val="0"/>
              <w:widowControl/>
              <w:suppressLineNumbers w:val="0"/>
              <w:spacing w:before="0" w:beforeAutospacing="0" w:after="0" w:afterAutospacing="0" w:line="360" w:lineRule="auto"/>
              <w:ind w:left="0" w:right="0"/>
              <w:jc w:val="left"/>
              <w:rPr>
                <w:rFonts w:hint="default" w:ascii="Times New Roman" w:hAnsi="Times New Roman" w:eastAsia="仿宋" w:cs="Times New Roman"/>
                <w:color w:val="000000"/>
                <w:kern w:val="0"/>
                <w:sz w:val="22"/>
                <w:szCs w:val="22"/>
                <w:lang w:val="en-US"/>
              </w:rPr>
            </w:pPr>
          </w:p>
        </w:tc>
        <w:tc>
          <w:tcPr>
            <w:tcW w:w="562" w:type="dxa"/>
            <w:tcBorders>
              <w:top w:val="single" w:color="auto" w:sz="4" w:space="0"/>
              <w:left w:val="nil"/>
              <w:bottom w:val="single" w:color="auto" w:sz="4" w:space="0"/>
              <w:right w:val="single" w:color="auto" w:sz="4" w:space="0"/>
            </w:tcBorders>
            <w:noWrap w:val="0"/>
            <w:vAlign w:val="center"/>
          </w:tcPr>
          <w:p w14:paraId="48D1D59D">
            <w:pPr>
              <w:keepNext w:val="0"/>
              <w:keepLines w:val="0"/>
              <w:widowControl/>
              <w:suppressLineNumbers w:val="0"/>
              <w:spacing w:before="0" w:beforeAutospacing="0" w:after="0" w:afterAutospacing="0" w:line="360" w:lineRule="auto"/>
              <w:ind w:left="0" w:right="0"/>
              <w:jc w:val="left"/>
              <w:rPr>
                <w:rFonts w:hint="default" w:ascii="Times New Roman" w:hAnsi="Times New Roman" w:eastAsia="仿宋" w:cs="Times New Roman"/>
                <w:color w:val="000000"/>
                <w:kern w:val="0"/>
                <w:sz w:val="22"/>
                <w:szCs w:val="22"/>
                <w:lang w:val="en-US"/>
              </w:rPr>
            </w:pPr>
          </w:p>
        </w:tc>
      </w:tr>
      <w:tr w14:paraId="6B8458D4">
        <w:tblPrEx>
          <w:tblCellMar>
            <w:top w:w="0" w:type="dxa"/>
            <w:left w:w="108" w:type="dxa"/>
            <w:bottom w:w="0" w:type="dxa"/>
            <w:right w:w="108" w:type="dxa"/>
          </w:tblCellMar>
        </w:tblPrEx>
        <w:trPr>
          <w:trHeight w:val="90" w:hRule="atLeast"/>
        </w:trPr>
        <w:tc>
          <w:tcPr>
            <w:tcW w:w="585" w:type="dxa"/>
            <w:tcBorders>
              <w:top w:val="single" w:color="auto" w:sz="4" w:space="0"/>
              <w:left w:val="single" w:color="auto" w:sz="4" w:space="0"/>
              <w:bottom w:val="single" w:color="auto" w:sz="4" w:space="0"/>
              <w:right w:val="single" w:color="auto" w:sz="4" w:space="0"/>
            </w:tcBorders>
            <w:noWrap w:val="0"/>
            <w:vAlign w:val="center"/>
          </w:tcPr>
          <w:p w14:paraId="39412D1C">
            <w:pPr>
              <w:keepNext w:val="0"/>
              <w:keepLines w:val="0"/>
              <w:widowControl/>
              <w:suppressLineNumbers w:val="0"/>
              <w:spacing w:before="0" w:beforeAutospacing="0" w:after="0" w:afterAutospacing="0" w:line="360" w:lineRule="auto"/>
              <w:ind w:left="0" w:right="0"/>
              <w:jc w:val="center"/>
              <w:rPr>
                <w:rFonts w:hint="default" w:ascii="Times New Roman" w:hAnsi="Times New Roman" w:eastAsia="仿宋" w:cs="Times New Roman"/>
                <w:color w:val="000000"/>
                <w:kern w:val="0"/>
                <w:sz w:val="22"/>
                <w:szCs w:val="22"/>
              </w:rPr>
            </w:pPr>
          </w:p>
        </w:tc>
        <w:tc>
          <w:tcPr>
            <w:tcW w:w="7380" w:type="dxa"/>
            <w:tcBorders>
              <w:top w:val="single" w:color="auto" w:sz="4" w:space="0"/>
              <w:left w:val="nil"/>
              <w:bottom w:val="single" w:color="auto" w:sz="4" w:space="0"/>
              <w:right w:val="single" w:color="auto" w:sz="4" w:space="0"/>
            </w:tcBorders>
            <w:noWrap w:val="0"/>
            <w:vAlign w:val="center"/>
          </w:tcPr>
          <w:p w14:paraId="21A52D04">
            <w:pPr>
              <w:keepNext w:val="0"/>
              <w:keepLines w:val="0"/>
              <w:suppressLineNumbers w:val="0"/>
              <w:spacing w:before="0" w:beforeAutospacing="0" w:after="0" w:afterAutospacing="0" w:line="360" w:lineRule="auto"/>
              <w:ind w:left="0" w:right="0"/>
              <w:jc w:val="center"/>
              <w:rPr>
                <w:rFonts w:hint="default" w:ascii="Times New Roman" w:hAnsi="Times New Roman" w:eastAsia="仿宋" w:cs="Times New Roman"/>
                <w:b/>
                <w:bCs/>
                <w:color w:val="000000"/>
                <w:kern w:val="0"/>
                <w:sz w:val="22"/>
                <w:szCs w:val="22"/>
              </w:rPr>
            </w:pPr>
            <w:r>
              <w:rPr>
                <w:rFonts w:hint="default" w:ascii="Times New Roman" w:hAnsi="Times New Roman" w:eastAsia="仿宋" w:cs="Times New Roman"/>
                <w:b/>
                <w:bCs/>
                <w:color w:val="000000"/>
                <w:kern w:val="0"/>
                <w:sz w:val="22"/>
                <w:szCs w:val="22"/>
              </w:rPr>
              <w:t>结论</w:t>
            </w:r>
          </w:p>
        </w:tc>
        <w:tc>
          <w:tcPr>
            <w:tcW w:w="591" w:type="dxa"/>
            <w:tcBorders>
              <w:top w:val="single" w:color="auto" w:sz="4" w:space="0"/>
              <w:left w:val="nil"/>
              <w:bottom w:val="single" w:color="auto" w:sz="4" w:space="0"/>
              <w:right w:val="single" w:color="auto" w:sz="4" w:space="0"/>
            </w:tcBorders>
            <w:noWrap w:val="0"/>
            <w:vAlign w:val="center"/>
          </w:tcPr>
          <w:p w14:paraId="33A027E7">
            <w:pPr>
              <w:keepNext w:val="0"/>
              <w:keepLines w:val="0"/>
              <w:widowControl/>
              <w:suppressLineNumbers w:val="0"/>
              <w:spacing w:before="0" w:beforeAutospacing="0" w:after="0" w:afterAutospacing="0" w:line="360" w:lineRule="auto"/>
              <w:ind w:left="0" w:right="0"/>
              <w:jc w:val="left"/>
              <w:rPr>
                <w:rFonts w:hint="default" w:ascii="Times New Roman" w:hAnsi="Times New Roman" w:eastAsia="仿宋" w:cs="Times New Roman"/>
                <w:color w:val="000000"/>
                <w:kern w:val="0"/>
                <w:sz w:val="22"/>
                <w:szCs w:val="22"/>
              </w:rPr>
            </w:pPr>
          </w:p>
        </w:tc>
        <w:tc>
          <w:tcPr>
            <w:tcW w:w="562" w:type="dxa"/>
            <w:tcBorders>
              <w:top w:val="single" w:color="auto" w:sz="4" w:space="0"/>
              <w:left w:val="nil"/>
              <w:bottom w:val="single" w:color="auto" w:sz="4" w:space="0"/>
              <w:right w:val="single" w:color="auto" w:sz="4" w:space="0"/>
            </w:tcBorders>
            <w:noWrap w:val="0"/>
            <w:vAlign w:val="center"/>
          </w:tcPr>
          <w:p w14:paraId="6108FFBE">
            <w:pPr>
              <w:keepNext w:val="0"/>
              <w:keepLines w:val="0"/>
              <w:widowControl/>
              <w:suppressLineNumbers w:val="0"/>
              <w:spacing w:before="0" w:beforeAutospacing="0" w:after="0" w:afterAutospacing="0" w:line="360" w:lineRule="auto"/>
              <w:ind w:left="0" w:right="0"/>
              <w:jc w:val="left"/>
              <w:rPr>
                <w:rFonts w:hint="default" w:ascii="Times New Roman" w:hAnsi="Times New Roman" w:eastAsia="仿宋" w:cs="Times New Roman"/>
                <w:color w:val="000000"/>
                <w:kern w:val="0"/>
                <w:sz w:val="22"/>
                <w:szCs w:val="22"/>
              </w:rPr>
            </w:pPr>
          </w:p>
        </w:tc>
      </w:tr>
    </w:tbl>
    <w:p w14:paraId="4BD837B4">
      <w:pPr>
        <w:pStyle w:val="14"/>
        <w:tabs>
          <w:tab w:val="clear" w:pos="567"/>
        </w:tabs>
        <w:spacing w:before="0" w:line="360" w:lineRule="auto"/>
        <w:ind w:left="-181" w:leftChars="-86" w:firstLine="607" w:firstLineChars="275"/>
        <w:rPr>
          <w:rFonts w:hint="eastAsia"/>
        </w:rPr>
      </w:pPr>
      <w:r>
        <w:rPr>
          <w:rFonts w:ascii="仿宋_GB2312" w:eastAsia="仿宋_GB2312" w:cs="仿宋_GB2312"/>
          <w:b/>
          <w:kern w:val="0"/>
          <w:sz w:val="22"/>
          <w:szCs w:val="22"/>
          <w:lang w:bidi="ar"/>
        </w:rPr>
        <w:t>注：按评审标准对上述内容评审，满足要求的在对应的框内打“√”，不满足要求的在对应的框内打“×”。对可以进入详评的投标人，在该投标人所对应的“是否通过评审“栏中打“√”。一项未提供，则不通过。</w:t>
      </w:r>
    </w:p>
    <w:p w14:paraId="3A2F3849">
      <w:pPr>
        <w:pStyle w:val="14"/>
        <w:tabs>
          <w:tab w:val="clear" w:pos="567"/>
        </w:tabs>
        <w:spacing w:before="0" w:line="360" w:lineRule="auto"/>
        <w:rPr>
          <w:rFonts w:hint="eastAsia" w:ascii="仿宋_GB2312" w:hAnsi="仿宋_GB2312" w:eastAsia="仿宋_GB2312" w:cs="仿宋_GB2312"/>
          <w:b/>
          <w:bCs/>
          <w:iCs/>
        </w:rPr>
      </w:pPr>
      <w:r>
        <w:rPr>
          <w:rFonts w:hint="eastAsia" w:ascii="仿宋_GB2312" w:hAnsi="仿宋_GB2312" w:eastAsia="仿宋_GB2312" w:cs="仿宋_GB2312"/>
          <w:b/>
          <w:bCs/>
          <w:iCs/>
        </w:rPr>
        <w:t>3.3符合性检查。</w:t>
      </w:r>
    </w:p>
    <w:p w14:paraId="0B36EAF6">
      <w:pPr>
        <w:pStyle w:val="14"/>
        <w:tabs>
          <w:tab w:val="clear" w:pos="567"/>
        </w:tabs>
        <w:spacing w:before="0" w:line="360" w:lineRule="auto"/>
        <w:ind w:left="-181" w:leftChars="-86" w:firstLine="660" w:firstLineChars="275"/>
        <w:rPr>
          <w:rFonts w:hint="eastAsia" w:hAnsi="宋体" w:cs="宋体"/>
          <w:b/>
          <w:bCs/>
          <w:sz w:val="22"/>
          <w:szCs w:val="28"/>
        </w:rPr>
      </w:pPr>
      <w:r>
        <w:rPr>
          <w:rFonts w:hint="eastAsia" w:ascii="仿宋_GB2312" w:hAnsi="仿宋_GB2312" w:eastAsia="仿宋_GB2312" w:cs="仿宋_GB2312"/>
          <w:iCs/>
        </w:rPr>
        <w:t>3.3.1评标委员会依据本招标文件的实质性要求，对符合资格的投标文件进行审查，以确定其是否满足本招标文件的实质性要求。</w:t>
      </w:r>
    </w:p>
    <w:p w14:paraId="476567AF">
      <w:pPr>
        <w:jc w:val="center"/>
        <w:rPr>
          <w:rFonts w:hint="eastAsia" w:hAnsi="宋体" w:cs="宋体"/>
          <w:b/>
          <w:bCs/>
          <w:sz w:val="22"/>
          <w:szCs w:val="28"/>
        </w:rPr>
      </w:pPr>
    </w:p>
    <w:p w14:paraId="44C25A32">
      <w:pPr>
        <w:jc w:val="center"/>
        <w:rPr>
          <w:b/>
          <w:bCs/>
          <w:sz w:val="22"/>
          <w:szCs w:val="28"/>
        </w:rPr>
      </w:pPr>
      <w:r>
        <w:rPr>
          <w:rFonts w:hint="eastAsia" w:hAnsi="宋体" w:cs="宋体"/>
          <w:b/>
          <w:bCs/>
          <w:sz w:val="22"/>
          <w:szCs w:val="28"/>
        </w:rPr>
        <w:t>初步评审—符合性审查表</w:t>
      </w:r>
    </w:p>
    <w:tbl>
      <w:tblPr>
        <w:tblStyle w:val="38"/>
        <w:tblpPr w:leftFromText="180" w:rightFromText="180" w:vertAnchor="text" w:horzAnchor="page" w:tblpXSpec="center" w:tblpY="262"/>
        <w:tblOverlap w:val="never"/>
        <w:tblW w:w="902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38"/>
        <w:gridCol w:w="7265"/>
        <w:gridCol w:w="1117"/>
      </w:tblGrid>
      <w:tr w14:paraId="183FD1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66" w:hRule="atLeast"/>
          <w:jc w:val="center"/>
        </w:trPr>
        <w:tc>
          <w:tcPr>
            <w:tcW w:w="7903" w:type="dxa"/>
            <w:gridSpan w:val="2"/>
            <w:noWrap w:val="0"/>
            <w:vAlign w:val="center"/>
          </w:tcPr>
          <w:p w14:paraId="6E87E480">
            <w:pPr>
              <w:keepNext w:val="0"/>
              <w:keepLines w:val="0"/>
              <w:suppressLineNumbers w:val="0"/>
              <w:spacing w:before="0" w:beforeAutospacing="0" w:after="0" w:afterAutospacing="0" w:line="300" w:lineRule="auto"/>
              <w:ind w:left="0" w:right="0"/>
              <w:jc w:val="center"/>
              <w:rPr>
                <w:rFonts w:hint="eastAsia" w:ascii="仿宋" w:hAnsi="仿宋" w:eastAsia="仿宋" w:cs="宋体"/>
                <w:spacing w:val="-2"/>
                <w:szCs w:val="21"/>
              </w:rPr>
            </w:pPr>
            <w:r>
              <w:rPr>
                <w:rFonts w:hint="eastAsia" w:ascii="仿宋" w:hAnsi="仿宋" w:eastAsia="仿宋" w:cs="宋体"/>
                <w:spacing w:val="-2"/>
                <w:szCs w:val="21"/>
              </w:rPr>
              <w:t>评审内容</w:t>
            </w:r>
          </w:p>
        </w:tc>
        <w:tc>
          <w:tcPr>
            <w:tcW w:w="1117" w:type="dxa"/>
            <w:noWrap w:val="0"/>
            <w:vAlign w:val="center"/>
          </w:tcPr>
          <w:p w14:paraId="280FE861">
            <w:pPr>
              <w:keepNext w:val="0"/>
              <w:keepLines w:val="0"/>
              <w:suppressLineNumbers w:val="0"/>
              <w:spacing w:before="0" w:beforeAutospacing="0" w:after="0" w:afterAutospacing="0" w:line="300" w:lineRule="auto"/>
              <w:ind w:left="0" w:right="0"/>
              <w:jc w:val="center"/>
              <w:rPr>
                <w:rFonts w:hint="eastAsia" w:ascii="仿宋" w:hAnsi="仿宋" w:eastAsia="仿宋" w:cs="宋体"/>
                <w:spacing w:val="-2"/>
                <w:szCs w:val="21"/>
              </w:rPr>
            </w:pPr>
            <w:r>
              <w:rPr>
                <w:rFonts w:hint="eastAsia" w:ascii="仿宋" w:hAnsi="仿宋" w:eastAsia="仿宋" w:cs="宋体"/>
                <w:b/>
                <w:szCs w:val="21"/>
              </w:rPr>
              <w:t>评审意见</w:t>
            </w:r>
          </w:p>
        </w:tc>
      </w:tr>
      <w:tr w14:paraId="027541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7" w:hRule="atLeast"/>
          <w:jc w:val="center"/>
        </w:trPr>
        <w:tc>
          <w:tcPr>
            <w:tcW w:w="638" w:type="dxa"/>
            <w:noWrap w:val="0"/>
            <w:vAlign w:val="center"/>
          </w:tcPr>
          <w:p w14:paraId="06E33052">
            <w:pPr>
              <w:keepNext w:val="0"/>
              <w:keepLines w:val="0"/>
              <w:suppressLineNumbers w:val="0"/>
              <w:spacing w:before="0" w:beforeAutospacing="0" w:after="0" w:afterAutospacing="0" w:line="300" w:lineRule="auto"/>
              <w:ind w:left="0" w:right="0"/>
              <w:jc w:val="center"/>
              <w:rPr>
                <w:rFonts w:hint="eastAsia" w:ascii="仿宋" w:hAnsi="仿宋" w:eastAsia="仿宋" w:cs="宋体"/>
                <w:szCs w:val="21"/>
              </w:rPr>
            </w:pPr>
            <w:r>
              <w:rPr>
                <w:rFonts w:hint="eastAsia" w:ascii="仿宋" w:hAnsi="仿宋" w:eastAsia="仿宋" w:cs="宋体"/>
                <w:szCs w:val="21"/>
              </w:rPr>
              <w:t>序号</w:t>
            </w:r>
          </w:p>
        </w:tc>
        <w:tc>
          <w:tcPr>
            <w:tcW w:w="7265" w:type="dxa"/>
            <w:noWrap w:val="0"/>
            <w:vAlign w:val="center"/>
          </w:tcPr>
          <w:p w14:paraId="7842218C">
            <w:pPr>
              <w:keepNext w:val="0"/>
              <w:keepLines w:val="0"/>
              <w:suppressLineNumbers w:val="0"/>
              <w:spacing w:before="0" w:beforeAutospacing="0" w:after="0" w:afterAutospacing="0" w:line="300" w:lineRule="auto"/>
              <w:ind w:left="0" w:right="0"/>
              <w:jc w:val="center"/>
              <w:rPr>
                <w:rFonts w:hint="eastAsia" w:ascii="仿宋" w:hAnsi="仿宋" w:eastAsia="仿宋" w:cs="宋体"/>
                <w:spacing w:val="-2"/>
                <w:szCs w:val="21"/>
              </w:rPr>
            </w:pPr>
          </w:p>
        </w:tc>
        <w:tc>
          <w:tcPr>
            <w:tcW w:w="1117" w:type="dxa"/>
            <w:noWrap w:val="0"/>
            <w:vAlign w:val="center"/>
          </w:tcPr>
          <w:p w14:paraId="02B1ED98">
            <w:pPr>
              <w:keepNext w:val="0"/>
              <w:keepLines w:val="0"/>
              <w:suppressLineNumbers w:val="0"/>
              <w:spacing w:before="0" w:beforeAutospacing="0" w:after="0" w:afterAutospacing="0" w:line="300" w:lineRule="auto"/>
              <w:ind w:left="0" w:right="0"/>
              <w:jc w:val="center"/>
              <w:rPr>
                <w:rFonts w:hint="eastAsia" w:ascii="仿宋" w:hAnsi="仿宋" w:eastAsia="仿宋" w:cs="宋体"/>
                <w:spacing w:val="-2"/>
                <w:szCs w:val="21"/>
              </w:rPr>
            </w:pPr>
            <w:r>
              <w:rPr>
                <w:rFonts w:hint="eastAsia" w:ascii="仿宋" w:hAnsi="仿宋" w:eastAsia="仿宋" w:cs="宋体"/>
                <w:spacing w:val="-2"/>
                <w:szCs w:val="21"/>
              </w:rPr>
              <w:t>是否合格</w:t>
            </w:r>
          </w:p>
        </w:tc>
      </w:tr>
      <w:tr w14:paraId="30A783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7" w:hRule="atLeast"/>
          <w:jc w:val="center"/>
        </w:trPr>
        <w:tc>
          <w:tcPr>
            <w:tcW w:w="638" w:type="dxa"/>
            <w:noWrap w:val="0"/>
            <w:vAlign w:val="center"/>
          </w:tcPr>
          <w:p w14:paraId="52C766DE">
            <w:pPr>
              <w:keepNext w:val="0"/>
              <w:keepLines w:val="0"/>
              <w:suppressLineNumbers w:val="0"/>
              <w:spacing w:before="0" w:beforeAutospacing="0" w:after="0" w:afterAutospacing="0" w:line="300" w:lineRule="auto"/>
              <w:ind w:left="0" w:right="0"/>
              <w:jc w:val="center"/>
              <w:rPr>
                <w:rFonts w:hint="eastAsia" w:ascii="仿宋" w:hAnsi="仿宋" w:eastAsia="仿宋" w:cs="宋体"/>
                <w:szCs w:val="21"/>
              </w:rPr>
            </w:pPr>
            <w:r>
              <w:rPr>
                <w:rFonts w:hint="eastAsia" w:ascii="仿宋" w:hAnsi="仿宋" w:eastAsia="仿宋" w:cs="宋体"/>
                <w:szCs w:val="21"/>
              </w:rPr>
              <w:t>1</w:t>
            </w:r>
          </w:p>
        </w:tc>
        <w:tc>
          <w:tcPr>
            <w:tcW w:w="7265" w:type="dxa"/>
            <w:noWrap w:val="0"/>
            <w:vAlign w:val="center"/>
          </w:tcPr>
          <w:p w14:paraId="18C45118">
            <w:pPr>
              <w:keepNext w:val="0"/>
              <w:keepLines w:val="0"/>
              <w:widowControl/>
              <w:suppressLineNumbers w:val="0"/>
              <w:spacing w:before="0" w:beforeAutospacing="0" w:after="0" w:afterAutospacing="0" w:line="300" w:lineRule="auto"/>
              <w:ind w:left="0" w:right="0"/>
              <w:jc w:val="left"/>
              <w:textAlignment w:val="center"/>
              <w:rPr>
                <w:rFonts w:hint="eastAsia" w:ascii="仿宋" w:hAnsi="仿宋" w:eastAsia="仿宋" w:cs="宋体"/>
                <w:spacing w:val="-2"/>
                <w:szCs w:val="21"/>
              </w:rPr>
            </w:pPr>
            <w:r>
              <w:rPr>
                <w:rFonts w:hint="eastAsia" w:ascii="仿宋" w:hAnsi="仿宋" w:eastAsia="仿宋" w:cs="宋体"/>
                <w:kern w:val="0"/>
                <w:szCs w:val="21"/>
                <w:lang w:bidi="ar"/>
              </w:rPr>
              <w:t>投标报价</w:t>
            </w:r>
            <w:r>
              <w:rPr>
                <w:rFonts w:hint="eastAsia" w:ascii="仿宋" w:hAnsi="仿宋" w:eastAsia="仿宋" w:cs="宋体"/>
                <w:kern w:val="0"/>
                <w:szCs w:val="21"/>
                <w:lang w:val="en-US" w:eastAsia="zh-CN" w:bidi="ar"/>
              </w:rPr>
              <w:t>不</w:t>
            </w:r>
            <w:r>
              <w:rPr>
                <w:rFonts w:hint="eastAsia" w:ascii="仿宋" w:hAnsi="仿宋" w:eastAsia="仿宋" w:cs="宋体"/>
                <w:kern w:val="0"/>
                <w:szCs w:val="21"/>
                <w:lang w:bidi="ar"/>
              </w:rPr>
              <w:t>高于预算金额；</w:t>
            </w:r>
          </w:p>
        </w:tc>
        <w:tc>
          <w:tcPr>
            <w:tcW w:w="1117" w:type="dxa"/>
            <w:noWrap w:val="0"/>
            <w:vAlign w:val="center"/>
          </w:tcPr>
          <w:p w14:paraId="6DEAC3F8">
            <w:pPr>
              <w:keepNext w:val="0"/>
              <w:keepLines w:val="0"/>
              <w:suppressLineNumbers w:val="0"/>
              <w:spacing w:before="0" w:beforeAutospacing="0" w:after="0" w:afterAutospacing="0" w:line="300" w:lineRule="auto"/>
              <w:ind w:left="0" w:right="0"/>
              <w:rPr>
                <w:rFonts w:hint="eastAsia" w:ascii="仿宋" w:hAnsi="仿宋" w:eastAsia="仿宋" w:cs="宋体"/>
                <w:spacing w:val="-2"/>
                <w:szCs w:val="21"/>
              </w:rPr>
            </w:pPr>
          </w:p>
        </w:tc>
      </w:tr>
      <w:tr w14:paraId="11B7AE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6" w:hRule="atLeast"/>
          <w:jc w:val="center"/>
        </w:trPr>
        <w:tc>
          <w:tcPr>
            <w:tcW w:w="638" w:type="dxa"/>
            <w:noWrap w:val="0"/>
            <w:vAlign w:val="center"/>
          </w:tcPr>
          <w:p w14:paraId="23F12F86">
            <w:pPr>
              <w:keepNext w:val="0"/>
              <w:keepLines w:val="0"/>
              <w:suppressLineNumbers w:val="0"/>
              <w:spacing w:before="0" w:beforeAutospacing="0" w:after="0" w:afterAutospacing="0" w:line="300" w:lineRule="auto"/>
              <w:ind w:left="0" w:right="0"/>
              <w:jc w:val="center"/>
              <w:rPr>
                <w:rFonts w:hint="eastAsia" w:ascii="仿宋" w:hAnsi="仿宋" w:eastAsia="仿宋" w:cs="宋体"/>
                <w:szCs w:val="21"/>
              </w:rPr>
            </w:pPr>
            <w:r>
              <w:rPr>
                <w:rFonts w:hint="eastAsia" w:ascii="仿宋" w:hAnsi="仿宋" w:eastAsia="仿宋" w:cs="宋体"/>
                <w:szCs w:val="21"/>
              </w:rPr>
              <w:t>2</w:t>
            </w:r>
          </w:p>
        </w:tc>
        <w:tc>
          <w:tcPr>
            <w:tcW w:w="7265" w:type="dxa"/>
            <w:noWrap w:val="0"/>
            <w:vAlign w:val="center"/>
          </w:tcPr>
          <w:p w14:paraId="03BFE438">
            <w:pPr>
              <w:keepNext w:val="0"/>
              <w:keepLines w:val="0"/>
              <w:widowControl/>
              <w:suppressLineNumbers w:val="0"/>
              <w:spacing w:before="0" w:beforeAutospacing="0" w:after="0" w:afterAutospacing="0" w:line="300" w:lineRule="auto"/>
              <w:ind w:left="0" w:right="0"/>
              <w:jc w:val="left"/>
              <w:textAlignment w:val="center"/>
              <w:rPr>
                <w:rFonts w:hint="eastAsia" w:ascii="仿宋" w:hAnsi="仿宋" w:eastAsia="仿宋" w:cs="宋体"/>
                <w:spacing w:val="-2"/>
                <w:szCs w:val="21"/>
              </w:rPr>
            </w:pPr>
            <w:r>
              <w:rPr>
                <w:rFonts w:hint="eastAsia" w:ascii="仿宋" w:hAnsi="仿宋" w:eastAsia="仿宋" w:cs="宋体"/>
                <w:kern w:val="0"/>
                <w:szCs w:val="21"/>
                <w:highlight w:val="none"/>
                <w:lang w:bidi="ar"/>
              </w:rPr>
              <w:t>投标人之间或者投标人与采购人</w:t>
            </w:r>
            <w:r>
              <w:rPr>
                <w:rFonts w:hint="eastAsia" w:ascii="仿宋" w:hAnsi="仿宋" w:eastAsia="仿宋" w:cs="宋体"/>
                <w:kern w:val="0"/>
                <w:szCs w:val="21"/>
                <w:highlight w:val="none"/>
                <w:lang w:val="en-US" w:eastAsia="zh-CN" w:bidi="ar"/>
              </w:rPr>
              <w:t>无</w:t>
            </w:r>
            <w:r>
              <w:rPr>
                <w:rFonts w:hint="eastAsia" w:ascii="仿宋" w:hAnsi="仿宋" w:eastAsia="仿宋" w:cs="宋体"/>
                <w:kern w:val="0"/>
                <w:szCs w:val="21"/>
                <w:highlight w:val="none"/>
                <w:lang w:bidi="ar"/>
              </w:rPr>
              <w:t>串通投标的；</w:t>
            </w:r>
          </w:p>
        </w:tc>
        <w:tc>
          <w:tcPr>
            <w:tcW w:w="1117" w:type="dxa"/>
            <w:noWrap w:val="0"/>
            <w:vAlign w:val="center"/>
          </w:tcPr>
          <w:p w14:paraId="141FAF79">
            <w:pPr>
              <w:keepNext w:val="0"/>
              <w:keepLines w:val="0"/>
              <w:suppressLineNumbers w:val="0"/>
              <w:spacing w:before="0" w:beforeAutospacing="0" w:after="0" w:afterAutospacing="0" w:line="300" w:lineRule="auto"/>
              <w:ind w:left="0" w:right="0"/>
              <w:rPr>
                <w:rFonts w:hint="eastAsia" w:ascii="仿宋" w:hAnsi="仿宋" w:eastAsia="仿宋" w:cs="宋体"/>
                <w:spacing w:val="-2"/>
                <w:szCs w:val="21"/>
              </w:rPr>
            </w:pPr>
          </w:p>
        </w:tc>
      </w:tr>
      <w:tr w14:paraId="52FA0C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8" w:hRule="atLeast"/>
          <w:jc w:val="center"/>
        </w:trPr>
        <w:tc>
          <w:tcPr>
            <w:tcW w:w="638" w:type="dxa"/>
            <w:noWrap w:val="0"/>
            <w:vAlign w:val="center"/>
          </w:tcPr>
          <w:p w14:paraId="55554757">
            <w:pPr>
              <w:keepNext w:val="0"/>
              <w:keepLines w:val="0"/>
              <w:suppressLineNumbers w:val="0"/>
              <w:spacing w:before="0" w:beforeAutospacing="0" w:after="0" w:afterAutospacing="0" w:line="300" w:lineRule="auto"/>
              <w:ind w:left="0" w:right="0"/>
              <w:jc w:val="center"/>
              <w:rPr>
                <w:rFonts w:hint="eastAsia" w:ascii="仿宋" w:hAnsi="仿宋" w:eastAsia="仿宋" w:cs="宋体"/>
                <w:szCs w:val="21"/>
              </w:rPr>
            </w:pPr>
            <w:r>
              <w:rPr>
                <w:rFonts w:hint="eastAsia" w:ascii="仿宋" w:hAnsi="仿宋" w:eastAsia="仿宋" w:cs="宋体"/>
                <w:szCs w:val="21"/>
              </w:rPr>
              <w:t>3</w:t>
            </w:r>
          </w:p>
        </w:tc>
        <w:tc>
          <w:tcPr>
            <w:tcW w:w="7265" w:type="dxa"/>
            <w:noWrap w:val="0"/>
            <w:vAlign w:val="center"/>
          </w:tcPr>
          <w:p w14:paraId="2A9E4AC4">
            <w:pPr>
              <w:keepNext w:val="0"/>
              <w:keepLines w:val="0"/>
              <w:widowControl/>
              <w:suppressLineNumbers w:val="0"/>
              <w:spacing w:before="0" w:beforeAutospacing="0" w:after="0" w:afterAutospacing="0" w:line="300" w:lineRule="auto"/>
              <w:ind w:left="0" w:right="0"/>
              <w:jc w:val="left"/>
              <w:textAlignment w:val="center"/>
              <w:rPr>
                <w:rFonts w:hint="eastAsia" w:ascii="仿宋" w:hAnsi="仿宋" w:eastAsia="仿宋" w:cs="宋体"/>
                <w:szCs w:val="21"/>
              </w:rPr>
            </w:pPr>
            <w:r>
              <w:rPr>
                <w:rFonts w:hint="eastAsia" w:ascii="仿宋" w:hAnsi="仿宋" w:eastAsia="仿宋" w:cs="宋体"/>
                <w:kern w:val="0"/>
                <w:szCs w:val="21"/>
                <w:highlight w:val="none"/>
                <w:lang w:val="en-US" w:eastAsia="zh-CN" w:bidi="ar"/>
              </w:rPr>
              <w:t>无</w:t>
            </w:r>
            <w:r>
              <w:rPr>
                <w:rFonts w:hint="eastAsia" w:ascii="仿宋" w:hAnsi="仿宋" w:eastAsia="仿宋" w:cs="宋体"/>
                <w:kern w:val="0"/>
                <w:szCs w:val="21"/>
                <w:highlight w:val="none"/>
                <w:lang w:bidi="ar"/>
              </w:rPr>
              <w:t>以行贿手段谋取中标或者以其他弄虚作假方式投标的；</w:t>
            </w:r>
          </w:p>
        </w:tc>
        <w:tc>
          <w:tcPr>
            <w:tcW w:w="1117" w:type="dxa"/>
            <w:noWrap w:val="0"/>
            <w:vAlign w:val="center"/>
          </w:tcPr>
          <w:p w14:paraId="3951F181">
            <w:pPr>
              <w:keepNext w:val="0"/>
              <w:keepLines w:val="0"/>
              <w:suppressLineNumbers w:val="0"/>
              <w:spacing w:before="0" w:beforeAutospacing="0" w:after="0" w:afterAutospacing="0" w:line="300" w:lineRule="auto"/>
              <w:ind w:left="0" w:right="0"/>
              <w:rPr>
                <w:rFonts w:hint="eastAsia" w:ascii="仿宋" w:hAnsi="仿宋" w:eastAsia="仿宋" w:cs="宋体"/>
                <w:szCs w:val="21"/>
              </w:rPr>
            </w:pPr>
          </w:p>
        </w:tc>
      </w:tr>
      <w:tr w14:paraId="7B1B7B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0" w:hRule="atLeast"/>
          <w:jc w:val="center"/>
        </w:trPr>
        <w:tc>
          <w:tcPr>
            <w:tcW w:w="638" w:type="dxa"/>
            <w:noWrap w:val="0"/>
            <w:vAlign w:val="center"/>
          </w:tcPr>
          <w:p w14:paraId="06E7348B">
            <w:pPr>
              <w:keepNext w:val="0"/>
              <w:keepLines w:val="0"/>
              <w:suppressLineNumbers w:val="0"/>
              <w:spacing w:before="0" w:beforeAutospacing="0" w:after="0" w:afterAutospacing="0" w:line="300" w:lineRule="auto"/>
              <w:ind w:left="0" w:right="0"/>
              <w:jc w:val="center"/>
              <w:rPr>
                <w:rFonts w:hint="eastAsia" w:ascii="仿宋" w:hAnsi="仿宋" w:eastAsia="仿宋" w:cs="宋体"/>
                <w:szCs w:val="21"/>
              </w:rPr>
            </w:pPr>
            <w:r>
              <w:rPr>
                <w:rFonts w:hint="eastAsia" w:ascii="仿宋" w:hAnsi="仿宋" w:eastAsia="仿宋" w:cs="宋体"/>
                <w:szCs w:val="21"/>
              </w:rPr>
              <w:t>4</w:t>
            </w:r>
          </w:p>
        </w:tc>
        <w:tc>
          <w:tcPr>
            <w:tcW w:w="7265" w:type="dxa"/>
            <w:noWrap w:val="0"/>
            <w:vAlign w:val="center"/>
          </w:tcPr>
          <w:p w14:paraId="55EF8F5E">
            <w:pPr>
              <w:keepNext w:val="0"/>
              <w:keepLines w:val="0"/>
              <w:widowControl/>
              <w:suppressLineNumbers w:val="0"/>
              <w:spacing w:before="0" w:beforeAutospacing="0" w:after="0" w:afterAutospacing="0" w:line="300" w:lineRule="auto"/>
              <w:ind w:left="0" w:right="0"/>
              <w:jc w:val="left"/>
              <w:textAlignment w:val="center"/>
              <w:rPr>
                <w:rFonts w:hint="eastAsia" w:ascii="仿宋" w:hAnsi="仿宋" w:eastAsia="仿宋" w:cs="宋体"/>
                <w:spacing w:val="-2"/>
                <w:szCs w:val="21"/>
              </w:rPr>
            </w:pPr>
            <w:r>
              <w:rPr>
                <w:rFonts w:hint="eastAsia" w:ascii="仿宋" w:hAnsi="仿宋" w:eastAsia="仿宋" w:cs="宋体"/>
                <w:kern w:val="0"/>
                <w:szCs w:val="21"/>
                <w:highlight w:val="none"/>
                <w:lang w:bidi="ar"/>
              </w:rPr>
              <w:t>评标委员会共同确定</w:t>
            </w:r>
            <w:r>
              <w:rPr>
                <w:rFonts w:hint="eastAsia" w:ascii="仿宋" w:hAnsi="仿宋" w:eastAsia="仿宋" w:cs="宋体"/>
                <w:kern w:val="0"/>
                <w:szCs w:val="21"/>
                <w:highlight w:val="none"/>
                <w:lang w:val="en-US" w:eastAsia="zh-CN" w:bidi="ar"/>
              </w:rPr>
              <w:t>没</w:t>
            </w:r>
            <w:r>
              <w:rPr>
                <w:rFonts w:hint="eastAsia" w:ascii="仿宋" w:hAnsi="仿宋" w:eastAsia="仿宋" w:cs="宋体"/>
                <w:kern w:val="0"/>
                <w:szCs w:val="21"/>
                <w:highlight w:val="none"/>
                <w:lang w:bidi="ar"/>
              </w:rPr>
              <w:t>有实质上不响应招标文件要求的；</w:t>
            </w:r>
          </w:p>
        </w:tc>
        <w:tc>
          <w:tcPr>
            <w:tcW w:w="1117" w:type="dxa"/>
            <w:noWrap w:val="0"/>
            <w:vAlign w:val="center"/>
          </w:tcPr>
          <w:p w14:paraId="7211AEB6">
            <w:pPr>
              <w:keepNext w:val="0"/>
              <w:keepLines w:val="0"/>
              <w:suppressLineNumbers w:val="0"/>
              <w:spacing w:before="0" w:beforeAutospacing="0" w:after="0" w:afterAutospacing="0" w:line="300" w:lineRule="auto"/>
              <w:ind w:left="0" w:right="0"/>
              <w:rPr>
                <w:rFonts w:hint="eastAsia" w:ascii="仿宋" w:hAnsi="仿宋" w:eastAsia="仿宋" w:cs="宋体"/>
                <w:spacing w:val="-2"/>
                <w:szCs w:val="21"/>
              </w:rPr>
            </w:pPr>
          </w:p>
        </w:tc>
      </w:tr>
      <w:tr w14:paraId="036340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9" w:hRule="atLeast"/>
          <w:jc w:val="center"/>
        </w:trPr>
        <w:tc>
          <w:tcPr>
            <w:tcW w:w="638" w:type="dxa"/>
            <w:noWrap w:val="0"/>
            <w:vAlign w:val="center"/>
          </w:tcPr>
          <w:p w14:paraId="48576C5F">
            <w:pPr>
              <w:keepNext w:val="0"/>
              <w:keepLines w:val="0"/>
              <w:suppressLineNumbers w:val="0"/>
              <w:spacing w:before="0" w:beforeAutospacing="0" w:after="0" w:afterAutospacing="0" w:line="300" w:lineRule="auto"/>
              <w:ind w:left="0" w:right="0"/>
              <w:jc w:val="center"/>
              <w:rPr>
                <w:rFonts w:hint="eastAsia" w:ascii="仿宋" w:hAnsi="仿宋" w:eastAsia="仿宋" w:cs="宋体"/>
                <w:szCs w:val="21"/>
              </w:rPr>
            </w:pPr>
            <w:r>
              <w:rPr>
                <w:rFonts w:hint="eastAsia" w:ascii="仿宋" w:hAnsi="仿宋" w:eastAsia="仿宋" w:cs="宋体"/>
                <w:szCs w:val="21"/>
              </w:rPr>
              <w:t>5</w:t>
            </w:r>
          </w:p>
        </w:tc>
        <w:tc>
          <w:tcPr>
            <w:tcW w:w="7265" w:type="dxa"/>
            <w:noWrap w:val="0"/>
            <w:vAlign w:val="center"/>
          </w:tcPr>
          <w:p w14:paraId="1B990EDA">
            <w:pPr>
              <w:keepNext w:val="0"/>
              <w:keepLines w:val="0"/>
              <w:widowControl/>
              <w:suppressLineNumbers w:val="0"/>
              <w:spacing w:before="0" w:beforeAutospacing="0" w:after="0" w:afterAutospacing="0" w:line="300" w:lineRule="auto"/>
              <w:ind w:left="0" w:right="0"/>
              <w:jc w:val="left"/>
              <w:textAlignment w:val="center"/>
              <w:rPr>
                <w:rFonts w:hint="eastAsia" w:ascii="仿宋" w:hAnsi="仿宋" w:eastAsia="仿宋" w:cs="宋体"/>
                <w:spacing w:val="-2"/>
                <w:szCs w:val="21"/>
              </w:rPr>
            </w:pPr>
            <w:r>
              <w:rPr>
                <w:rFonts w:hint="eastAsia" w:ascii="仿宋" w:hAnsi="仿宋" w:eastAsia="仿宋" w:cs="宋体"/>
                <w:kern w:val="0"/>
                <w:szCs w:val="21"/>
                <w:highlight w:val="none"/>
                <w:lang w:bidi="ar"/>
              </w:rPr>
              <w:t>投标文件有投标单位法定代表人或其授权代表签字（章）和加盖投标单位公章的；</w:t>
            </w:r>
          </w:p>
        </w:tc>
        <w:tc>
          <w:tcPr>
            <w:tcW w:w="1117" w:type="dxa"/>
            <w:noWrap w:val="0"/>
            <w:vAlign w:val="center"/>
          </w:tcPr>
          <w:p w14:paraId="6B0C2D0D">
            <w:pPr>
              <w:keepNext w:val="0"/>
              <w:keepLines w:val="0"/>
              <w:suppressLineNumbers w:val="0"/>
              <w:spacing w:before="0" w:beforeAutospacing="0" w:after="0" w:afterAutospacing="0" w:line="300" w:lineRule="auto"/>
              <w:ind w:left="0" w:right="0"/>
              <w:rPr>
                <w:rFonts w:hint="eastAsia" w:ascii="仿宋" w:hAnsi="仿宋" w:eastAsia="仿宋" w:cs="宋体"/>
                <w:spacing w:val="-2"/>
                <w:szCs w:val="21"/>
              </w:rPr>
            </w:pPr>
          </w:p>
        </w:tc>
      </w:tr>
      <w:tr w14:paraId="15CD7A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2" w:hRule="atLeast"/>
          <w:jc w:val="center"/>
        </w:trPr>
        <w:tc>
          <w:tcPr>
            <w:tcW w:w="638" w:type="dxa"/>
            <w:noWrap w:val="0"/>
            <w:vAlign w:val="center"/>
          </w:tcPr>
          <w:p w14:paraId="28FC7326">
            <w:pPr>
              <w:keepNext w:val="0"/>
              <w:keepLines w:val="0"/>
              <w:suppressLineNumbers w:val="0"/>
              <w:spacing w:before="0" w:beforeAutospacing="0" w:after="0" w:afterAutospacing="0" w:line="300" w:lineRule="auto"/>
              <w:ind w:left="0" w:right="0"/>
              <w:jc w:val="center"/>
              <w:rPr>
                <w:rFonts w:hint="eastAsia" w:ascii="仿宋" w:hAnsi="仿宋" w:eastAsia="仿宋" w:cs="宋体"/>
                <w:szCs w:val="21"/>
              </w:rPr>
            </w:pPr>
            <w:r>
              <w:rPr>
                <w:rFonts w:hint="eastAsia" w:ascii="仿宋" w:hAnsi="仿宋" w:eastAsia="仿宋" w:cs="宋体"/>
                <w:szCs w:val="21"/>
              </w:rPr>
              <w:t>6</w:t>
            </w:r>
          </w:p>
        </w:tc>
        <w:tc>
          <w:tcPr>
            <w:tcW w:w="7265" w:type="dxa"/>
            <w:noWrap w:val="0"/>
            <w:vAlign w:val="center"/>
          </w:tcPr>
          <w:p w14:paraId="1C10AD8F">
            <w:pPr>
              <w:keepNext w:val="0"/>
              <w:keepLines w:val="0"/>
              <w:widowControl/>
              <w:suppressLineNumbers w:val="0"/>
              <w:spacing w:before="0" w:beforeAutospacing="0" w:after="0" w:afterAutospacing="0" w:line="300" w:lineRule="auto"/>
              <w:ind w:left="0" w:right="0"/>
              <w:jc w:val="left"/>
              <w:textAlignment w:val="center"/>
              <w:rPr>
                <w:rFonts w:hint="eastAsia" w:ascii="仿宋" w:hAnsi="仿宋" w:eastAsia="仿宋" w:cs="宋体"/>
                <w:spacing w:val="-2"/>
                <w:szCs w:val="21"/>
              </w:rPr>
            </w:pPr>
            <w:r>
              <w:rPr>
                <w:rFonts w:hint="eastAsia" w:ascii="仿宋" w:hAnsi="仿宋" w:eastAsia="仿宋" w:cs="宋体"/>
                <w:kern w:val="0"/>
                <w:szCs w:val="21"/>
                <w:highlight w:val="none"/>
                <w:lang w:bidi="ar"/>
              </w:rPr>
              <w:t>投标的政府采购项目完成期限</w:t>
            </w:r>
            <w:r>
              <w:rPr>
                <w:rFonts w:hint="eastAsia" w:ascii="仿宋" w:hAnsi="仿宋" w:eastAsia="仿宋" w:cs="宋体"/>
                <w:kern w:val="0"/>
                <w:szCs w:val="21"/>
                <w:highlight w:val="none"/>
                <w:lang w:val="en-US" w:eastAsia="zh-CN" w:bidi="ar"/>
              </w:rPr>
              <w:t>未</w:t>
            </w:r>
            <w:r>
              <w:rPr>
                <w:rFonts w:hint="eastAsia" w:ascii="仿宋" w:hAnsi="仿宋" w:eastAsia="仿宋" w:cs="宋体"/>
                <w:kern w:val="0"/>
                <w:szCs w:val="21"/>
                <w:highlight w:val="none"/>
                <w:lang w:bidi="ar"/>
              </w:rPr>
              <w:t>超过招标文件规定期限的；</w:t>
            </w:r>
          </w:p>
        </w:tc>
        <w:tc>
          <w:tcPr>
            <w:tcW w:w="1117" w:type="dxa"/>
            <w:noWrap w:val="0"/>
            <w:vAlign w:val="center"/>
          </w:tcPr>
          <w:p w14:paraId="210635B5">
            <w:pPr>
              <w:keepNext w:val="0"/>
              <w:keepLines w:val="0"/>
              <w:suppressLineNumbers w:val="0"/>
              <w:spacing w:before="0" w:beforeAutospacing="0" w:after="0" w:afterAutospacing="0" w:line="300" w:lineRule="auto"/>
              <w:ind w:left="0" w:right="0"/>
              <w:rPr>
                <w:rFonts w:hint="eastAsia" w:ascii="仿宋" w:hAnsi="仿宋" w:eastAsia="仿宋" w:cs="宋体"/>
                <w:spacing w:val="-2"/>
                <w:szCs w:val="21"/>
              </w:rPr>
            </w:pPr>
          </w:p>
        </w:tc>
      </w:tr>
      <w:tr w14:paraId="3C2F3E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2" w:hRule="atLeast"/>
          <w:jc w:val="center"/>
        </w:trPr>
        <w:tc>
          <w:tcPr>
            <w:tcW w:w="638" w:type="dxa"/>
            <w:noWrap w:val="0"/>
            <w:vAlign w:val="center"/>
          </w:tcPr>
          <w:p w14:paraId="6D397B80">
            <w:pPr>
              <w:keepNext w:val="0"/>
              <w:keepLines w:val="0"/>
              <w:suppressLineNumbers w:val="0"/>
              <w:spacing w:before="0" w:beforeAutospacing="0" w:after="0" w:afterAutospacing="0" w:line="300" w:lineRule="auto"/>
              <w:ind w:left="0" w:right="0"/>
              <w:jc w:val="center"/>
              <w:rPr>
                <w:rFonts w:hint="eastAsia" w:ascii="仿宋" w:hAnsi="仿宋" w:eastAsia="仿宋" w:cs="宋体"/>
                <w:szCs w:val="21"/>
              </w:rPr>
            </w:pPr>
            <w:r>
              <w:rPr>
                <w:rFonts w:hint="eastAsia" w:ascii="仿宋" w:hAnsi="仿宋" w:eastAsia="仿宋" w:cs="宋体"/>
                <w:szCs w:val="21"/>
              </w:rPr>
              <w:t>7</w:t>
            </w:r>
          </w:p>
        </w:tc>
        <w:tc>
          <w:tcPr>
            <w:tcW w:w="7265" w:type="dxa"/>
            <w:noWrap w:val="0"/>
            <w:vAlign w:val="center"/>
          </w:tcPr>
          <w:p w14:paraId="2B98DD20">
            <w:pPr>
              <w:keepNext w:val="0"/>
              <w:keepLines w:val="0"/>
              <w:widowControl/>
              <w:suppressLineNumbers w:val="0"/>
              <w:spacing w:before="0" w:beforeAutospacing="0" w:after="0" w:afterAutospacing="0" w:line="300" w:lineRule="auto"/>
              <w:ind w:left="0" w:right="0"/>
              <w:jc w:val="left"/>
              <w:textAlignment w:val="center"/>
              <w:rPr>
                <w:rFonts w:hint="eastAsia" w:ascii="仿宋" w:hAnsi="仿宋" w:eastAsia="仿宋" w:cs="宋体"/>
                <w:spacing w:val="-2"/>
                <w:szCs w:val="21"/>
              </w:rPr>
            </w:pPr>
            <w:r>
              <w:rPr>
                <w:rFonts w:hint="eastAsia" w:ascii="仿宋" w:hAnsi="仿宋" w:eastAsia="仿宋" w:cs="宋体"/>
                <w:kern w:val="0"/>
                <w:szCs w:val="21"/>
                <w:highlight w:val="none"/>
                <w:lang w:bidi="ar"/>
              </w:rPr>
              <w:t>投标文件载明的技术规格、技术标准、货物包装方式、检验标准和方法等，符合招标文件要求的；</w:t>
            </w:r>
          </w:p>
        </w:tc>
        <w:tc>
          <w:tcPr>
            <w:tcW w:w="1117" w:type="dxa"/>
            <w:noWrap w:val="0"/>
            <w:vAlign w:val="center"/>
          </w:tcPr>
          <w:p w14:paraId="10C07569">
            <w:pPr>
              <w:keepNext w:val="0"/>
              <w:keepLines w:val="0"/>
              <w:suppressLineNumbers w:val="0"/>
              <w:spacing w:before="0" w:beforeAutospacing="0" w:after="0" w:afterAutospacing="0" w:line="300" w:lineRule="auto"/>
              <w:ind w:left="0" w:right="0"/>
              <w:rPr>
                <w:rFonts w:hint="eastAsia" w:ascii="仿宋" w:hAnsi="仿宋" w:eastAsia="仿宋" w:cs="宋体"/>
                <w:spacing w:val="-2"/>
                <w:szCs w:val="21"/>
              </w:rPr>
            </w:pPr>
          </w:p>
        </w:tc>
      </w:tr>
      <w:tr w14:paraId="7E767A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7" w:hRule="atLeast"/>
          <w:jc w:val="center"/>
        </w:trPr>
        <w:tc>
          <w:tcPr>
            <w:tcW w:w="638" w:type="dxa"/>
            <w:noWrap w:val="0"/>
            <w:vAlign w:val="center"/>
          </w:tcPr>
          <w:p w14:paraId="46E9D2DF">
            <w:pPr>
              <w:keepNext w:val="0"/>
              <w:keepLines w:val="0"/>
              <w:suppressLineNumbers w:val="0"/>
              <w:spacing w:before="0" w:beforeAutospacing="0" w:after="0" w:afterAutospacing="0" w:line="300" w:lineRule="auto"/>
              <w:ind w:left="0" w:right="0"/>
              <w:jc w:val="center"/>
              <w:rPr>
                <w:rFonts w:hint="eastAsia" w:ascii="仿宋" w:hAnsi="仿宋" w:eastAsia="仿宋" w:cs="宋体"/>
                <w:szCs w:val="21"/>
              </w:rPr>
            </w:pPr>
            <w:r>
              <w:rPr>
                <w:rFonts w:hint="eastAsia" w:ascii="仿宋" w:hAnsi="仿宋" w:eastAsia="仿宋" w:cs="宋体"/>
                <w:szCs w:val="21"/>
              </w:rPr>
              <w:t>8</w:t>
            </w:r>
          </w:p>
        </w:tc>
        <w:tc>
          <w:tcPr>
            <w:tcW w:w="7265" w:type="dxa"/>
            <w:noWrap w:val="0"/>
            <w:vAlign w:val="center"/>
          </w:tcPr>
          <w:p w14:paraId="1F1AAB28">
            <w:pPr>
              <w:keepNext w:val="0"/>
              <w:keepLines w:val="0"/>
              <w:widowControl/>
              <w:suppressLineNumbers w:val="0"/>
              <w:spacing w:before="0" w:beforeAutospacing="0" w:after="0" w:afterAutospacing="0" w:line="300" w:lineRule="auto"/>
              <w:ind w:left="0" w:right="0"/>
              <w:textAlignment w:val="center"/>
              <w:rPr>
                <w:rFonts w:hint="eastAsia" w:ascii="仿宋" w:hAnsi="仿宋" w:eastAsia="仿宋" w:cs="宋体"/>
                <w:szCs w:val="21"/>
              </w:rPr>
            </w:pPr>
            <w:r>
              <w:rPr>
                <w:rFonts w:hint="eastAsia" w:ascii="仿宋" w:hAnsi="仿宋" w:eastAsia="仿宋" w:cs="宋体"/>
                <w:kern w:val="0"/>
                <w:szCs w:val="21"/>
                <w:highlight w:val="none"/>
                <w:lang w:bidi="ar"/>
              </w:rPr>
              <w:t>投标文件</w:t>
            </w:r>
            <w:r>
              <w:rPr>
                <w:rFonts w:hint="eastAsia" w:ascii="仿宋" w:hAnsi="仿宋" w:eastAsia="仿宋" w:cs="宋体"/>
                <w:kern w:val="0"/>
                <w:szCs w:val="21"/>
                <w:highlight w:val="none"/>
                <w:lang w:val="en-US" w:eastAsia="zh-CN" w:bidi="ar"/>
              </w:rPr>
              <w:t>无</w:t>
            </w:r>
            <w:r>
              <w:rPr>
                <w:rFonts w:hint="eastAsia" w:ascii="仿宋" w:hAnsi="仿宋" w:eastAsia="仿宋" w:cs="宋体"/>
                <w:kern w:val="0"/>
                <w:szCs w:val="21"/>
                <w:highlight w:val="none"/>
                <w:lang w:bidi="ar"/>
              </w:rPr>
              <w:t>采购人不能接受的</w:t>
            </w:r>
            <w:r>
              <w:rPr>
                <w:rFonts w:hint="eastAsia" w:ascii="仿宋" w:hAnsi="仿宋" w:eastAsia="仿宋" w:cs="宋体"/>
                <w:kern w:val="0"/>
                <w:szCs w:val="21"/>
                <w:highlight w:val="none"/>
                <w:lang w:val="en-US" w:eastAsia="zh-CN" w:bidi="ar"/>
              </w:rPr>
              <w:t>附加</w:t>
            </w:r>
            <w:r>
              <w:rPr>
                <w:rFonts w:hint="eastAsia" w:ascii="仿宋" w:hAnsi="仿宋" w:eastAsia="仿宋" w:cs="宋体"/>
                <w:kern w:val="0"/>
                <w:szCs w:val="21"/>
                <w:highlight w:val="none"/>
                <w:lang w:bidi="ar"/>
              </w:rPr>
              <w:t>条件；</w:t>
            </w:r>
          </w:p>
        </w:tc>
        <w:tc>
          <w:tcPr>
            <w:tcW w:w="1117" w:type="dxa"/>
            <w:noWrap w:val="0"/>
            <w:vAlign w:val="center"/>
          </w:tcPr>
          <w:p w14:paraId="19ACFE49">
            <w:pPr>
              <w:keepNext w:val="0"/>
              <w:keepLines w:val="0"/>
              <w:suppressLineNumbers w:val="0"/>
              <w:spacing w:before="0" w:beforeAutospacing="0" w:after="0" w:afterAutospacing="0" w:line="300" w:lineRule="auto"/>
              <w:ind w:left="0" w:right="0"/>
              <w:rPr>
                <w:rFonts w:hint="eastAsia" w:ascii="仿宋" w:hAnsi="仿宋" w:eastAsia="仿宋" w:cs="宋体"/>
                <w:szCs w:val="21"/>
              </w:rPr>
            </w:pPr>
          </w:p>
        </w:tc>
      </w:tr>
      <w:tr w14:paraId="38DD84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0" w:hRule="atLeast"/>
          <w:jc w:val="center"/>
        </w:trPr>
        <w:tc>
          <w:tcPr>
            <w:tcW w:w="638" w:type="dxa"/>
            <w:noWrap w:val="0"/>
            <w:vAlign w:val="center"/>
          </w:tcPr>
          <w:p w14:paraId="49672F8A">
            <w:pPr>
              <w:keepNext w:val="0"/>
              <w:keepLines w:val="0"/>
              <w:suppressLineNumbers w:val="0"/>
              <w:spacing w:before="0" w:beforeAutospacing="0" w:after="0" w:afterAutospacing="0" w:line="300" w:lineRule="auto"/>
              <w:ind w:left="0" w:right="0"/>
              <w:jc w:val="center"/>
              <w:rPr>
                <w:rFonts w:hint="eastAsia" w:ascii="仿宋" w:hAnsi="仿宋" w:eastAsia="仿宋" w:cs="宋体"/>
                <w:szCs w:val="21"/>
              </w:rPr>
            </w:pPr>
            <w:r>
              <w:rPr>
                <w:rFonts w:hint="eastAsia" w:ascii="仿宋" w:hAnsi="仿宋" w:eastAsia="仿宋" w:cs="宋体"/>
                <w:szCs w:val="21"/>
              </w:rPr>
              <w:t>9</w:t>
            </w:r>
          </w:p>
        </w:tc>
        <w:tc>
          <w:tcPr>
            <w:tcW w:w="7265" w:type="dxa"/>
            <w:noWrap w:val="0"/>
            <w:vAlign w:val="center"/>
          </w:tcPr>
          <w:p w14:paraId="31D7848C">
            <w:pPr>
              <w:keepNext w:val="0"/>
              <w:keepLines w:val="0"/>
              <w:widowControl/>
              <w:suppressLineNumbers w:val="0"/>
              <w:spacing w:before="0" w:beforeAutospacing="0" w:after="0" w:afterAutospacing="0" w:line="300" w:lineRule="auto"/>
              <w:ind w:left="0" w:right="0"/>
              <w:jc w:val="left"/>
              <w:textAlignment w:val="center"/>
              <w:rPr>
                <w:rFonts w:hint="eastAsia" w:ascii="仿宋" w:hAnsi="仿宋" w:eastAsia="仿宋" w:cs="宋体"/>
                <w:spacing w:val="-2"/>
                <w:szCs w:val="21"/>
              </w:rPr>
            </w:pPr>
            <w:r>
              <w:rPr>
                <w:rFonts w:hint="eastAsia" w:ascii="仿宋" w:hAnsi="仿宋" w:eastAsia="仿宋" w:cs="宋体"/>
                <w:kern w:val="0"/>
                <w:szCs w:val="21"/>
                <w:highlight w:val="none"/>
                <w:lang w:val="en-US" w:eastAsia="zh-CN" w:bidi="ar"/>
              </w:rPr>
              <w:t>无不</w:t>
            </w:r>
            <w:r>
              <w:rPr>
                <w:rFonts w:hint="eastAsia" w:ascii="仿宋" w:hAnsi="仿宋" w:eastAsia="仿宋" w:cs="宋体"/>
                <w:kern w:val="0"/>
                <w:szCs w:val="21"/>
                <w:highlight w:val="none"/>
                <w:lang w:bidi="ar"/>
              </w:rPr>
              <w:t>满足招标文件实质性要求的其他情形.</w:t>
            </w:r>
            <w:r>
              <w:rPr>
                <w:rFonts w:hint="eastAsia" w:ascii="仿宋" w:hAnsi="仿宋" w:eastAsia="仿宋" w:cs="宋体"/>
                <w:kern w:val="0"/>
                <w:szCs w:val="21"/>
                <w:lang w:eastAsia="zh-CN" w:bidi="ar"/>
              </w:rPr>
              <w:t>（</w:t>
            </w:r>
            <w:r>
              <w:rPr>
                <w:rFonts w:hint="eastAsia" w:ascii="仿宋" w:hAnsi="仿宋" w:eastAsia="仿宋" w:cs="宋体"/>
                <w:kern w:val="0"/>
                <w:szCs w:val="21"/>
                <w:lang w:val="en-US" w:eastAsia="zh-CN" w:bidi="ar"/>
              </w:rPr>
              <w:t>包括资格性审查资料等</w:t>
            </w:r>
            <w:r>
              <w:rPr>
                <w:rFonts w:hint="eastAsia" w:ascii="仿宋" w:hAnsi="仿宋" w:eastAsia="仿宋" w:cs="宋体"/>
                <w:kern w:val="0"/>
                <w:szCs w:val="21"/>
                <w:lang w:eastAsia="zh-CN" w:bidi="ar"/>
              </w:rPr>
              <w:t>）</w:t>
            </w:r>
          </w:p>
        </w:tc>
        <w:tc>
          <w:tcPr>
            <w:tcW w:w="1117" w:type="dxa"/>
            <w:noWrap w:val="0"/>
            <w:vAlign w:val="center"/>
          </w:tcPr>
          <w:p w14:paraId="6AFC3A87">
            <w:pPr>
              <w:keepNext w:val="0"/>
              <w:keepLines w:val="0"/>
              <w:suppressLineNumbers w:val="0"/>
              <w:spacing w:before="0" w:beforeAutospacing="0" w:after="0" w:afterAutospacing="0" w:line="300" w:lineRule="auto"/>
              <w:ind w:left="0" w:right="0"/>
              <w:rPr>
                <w:rFonts w:hint="eastAsia" w:ascii="仿宋" w:hAnsi="仿宋" w:eastAsia="仿宋" w:cs="宋体"/>
                <w:spacing w:val="-2"/>
                <w:szCs w:val="21"/>
              </w:rPr>
            </w:pPr>
          </w:p>
        </w:tc>
      </w:tr>
      <w:tr w14:paraId="652234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6" w:hRule="atLeast"/>
          <w:jc w:val="center"/>
        </w:trPr>
        <w:tc>
          <w:tcPr>
            <w:tcW w:w="638" w:type="dxa"/>
            <w:noWrap w:val="0"/>
            <w:vAlign w:val="center"/>
          </w:tcPr>
          <w:p w14:paraId="6D93D3AB">
            <w:pPr>
              <w:keepNext w:val="0"/>
              <w:keepLines w:val="0"/>
              <w:suppressLineNumbers w:val="0"/>
              <w:spacing w:before="0" w:beforeAutospacing="0" w:after="0" w:afterAutospacing="0" w:line="300" w:lineRule="auto"/>
              <w:ind w:left="0" w:right="0"/>
              <w:jc w:val="center"/>
              <w:rPr>
                <w:rFonts w:hint="eastAsia" w:ascii="仿宋" w:hAnsi="仿宋" w:eastAsia="仿宋" w:cs="宋体"/>
                <w:szCs w:val="21"/>
              </w:rPr>
            </w:pPr>
            <w:r>
              <w:rPr>
                <w:rFonts w:hint="eastAsia" w:ascii="仿宋" w:hAnsi="仿宋" w:eastAsia="仿宋" w:cs="宋体"/>
                <w:szCs w:val="21"/>
                <w:lang w:val="en-US" w:eastAsia="zh-CN"/>
              </w:rPr>
              <w:t>10</w:t>
            </w:r>
          </w:p>
        </w:tc>
        <w:tc>
          <w:tcPr>
            <w:tcW w:w="7265" w:type="dxa"/>
            <w:noWrap w:val="0"/>
            <w:vAlign w:val="center"/>
          </w:tcPr>
          <w:p w14:paraId="6AF3CB0C">
            <w:pPr>
              <w:keepNext w:val="0"/>
              <w:keepLines w:val="0"/>
              <w:suppressLineNumbers w:val="0"/>
              <w:spacing w:before="0" w:beforeAutospacing="0" w:after="0" w:afterAutospacing="0" w:line="300" w:lineRule="auto"/>
              <w:ind w:left="0" w:right="0"/>
              <w:rPr>
                <w:rFonts w:hint="eastAsia" w:ascii="仿宋" w:hAnsi="仿宋" w:eastAsia="仿宋" w:cs="宋体"/>
                <w:kern w:val="0"/>
                <w:szCs w:val="21"/>
                <w:highlight w:val="none"/>
                <w:lang w:val="en-US" w:eastAsia="zh-CN" w:bidi="ar"/>
              </w:rPr>
            </w:pPr>
            <w:r>
              <w:rPr>
                <w:rFonts w:hint="eastAsia" w:ascii="仿宋" w:hAnsi="仿宋" w:eastAsia="仿宋" w:cs="宋体"/>
                <w:kern w:val="0"/>
                <w:szCs w:val="21"/>
                <w:highlight w:val="none"/>
                <w:lang w:val="en-US" w:eastAsia="zh-CN" w:bidi="ar"/>
              </w:rPr>
              <w:t>无不符合法律法规的其他情形</w:t>
            </w:r>
          </w:p>
        </w:tc>
        <w:tc>
          <w:tcPr>
            <w:tcW w:w="1117" w:type="dxa"/>
            <w:noWrap w:val="0"/>
            <w:vAlign w:val="center"/>
          </w:tcPr>
          <w:p w14:paraId="6F9F3E2B">
            <w:pPr>
              <w:keepNext w:val="0"/>
              <w:keepLines w:val="0"/>
              <w:suppressLineNumbers w:val="0"/>
              <w:spacing w:before="0" w:beforeAutospacing="0" w:after="0" w:afterAutospacing="0" w:line="300" w:lineRule="auto"/>
              <w:ind w:left="0" w:right="0"/>
              <w:rPr>
                <w:rFonts w:hint="eastAsia" w:ascii="仿宋" w:hAnsi="仿宋" w:eastAsia="仿宋" w:cs="宋体"/>
                <w:spacing w:val="-2"/>
                <w:szCs w:val="21"/>
              </w:rPr>
            </w:pPr>
          </w:p>
        </w:tc>
      </w:tr>
      <w:tr w14:paraId="2B9C70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2" w:hRule="atLeast"/>
          <w:jc w:val="center"/>
        </w:trPr>
        <w:tc>
          <w:tcPr>
            <w:tcW w:w="7903" w:type="dxa"/>
            <w:gridSpan w:val="2"/>
            <w:noWrap w:val="0"/>
            <w:vAlign w:val="center"/>
          </w:tcPr>
          <w:p w14:paraId="4D9B9BF6">
            <w:pPr>
              <w:keepNext w:val="0"/>
              <w:keepLines w:val="0"/>
              <w:suppressLineNumbers w:val="0"/>
              <w:spacing w:before="0" w:beforeAutospacing="0" w:after="0" w:afterAutospacing="0" w:line="300" w:lineRule="auto"/>
              <w:ind w:left="0" w:right="0" w:firstLine="370" w:firstLineChars="180"/>
              <w:rPr>
                <w:rFonts w:hint="eastAsia" w:ascii="仿宋" w:hAnsi="仿宋" w:eastAsia="仿宋" w:cs="宋体"/>
                <w:spacing w:val="-2"/>
                <w:szCs w:val="21"/>
              </w:rPr>
            </w:pPr>
            <w:r>
              <w:rPr>
                <w:rFonts w:hint="eastAsia" w:ascii="仿宋" w:hAnsi="仿宋" w:eastAsia="仿宋" w:cs="宋体"/>
                <w:spacing w:val="-2"/>
                <w:szCs w:val="21"/>
              </w:rPr>
              <w:t>结论：通过评审打“√”，未通过评审打“×”</w:t>
            </w:r>
          </w:p>
        </w:tc>
        <w:tc>
          <w:tcPr>
            <w:tcW w:w="1117" w:type="dxa"/>
            <w:noWrap w:val="0"/>
            <w:vAlign w:val="center"/>
          </w:tcPr>
          <w:p w14:paraId="3DF69925">
            <w:pPr>
              <w:keepNext w:val="0"/>
              <w:keepLines w:val="0"/>
              <w:suppressLineNumbers w:val="0"/>
              <w:spacing w:before="0" w:beforeAutospacing="0" w:after="0" w:afterAutospacing="0" w:line="300" w:lineRule="auto"/>
              <w:ind w:left="0" w:right="0" w:firstLine="370" w:firstLineChars="180"/>
              <w:rPr>
                <w:rFonts w:hint="eastAsia" w:ascii="仿宋" w:hAnsi="仿宋" w:eastAsia="仿宋" w:cs="宋体"/>
                <w:spacing w:val="-2"/>
                <w:szCs w:val="21"/>
              </w:rPr>
            </w:pPr>
          </w:p>
        </w:tc>
      </w:tr>
    </w:tbl>
    <w:p w14:paraId="6F41A664">
      <w:pPr>
        <w:spacing w:line="300" w:lineRule="auto"/>
        <w:ind w:left="60"/>
        <w:rPr>
          <w:rFonts w:hint="eastAsia" w:ascii="仿宋" w:hAnsi="仿宋" w:eastAsia="仿宋" w:cs="宋体"/>
          <w:szCs w:val="21"/>
        </w:rPr>
      </w:pPr>
      <w:r>
        <w:rPr>
          <w:rFonts w:hint="eastAsia" w:ascii="仿宋" w:hAnsi="仿宋" w:eastAsia="仿宋" w:cs="宋体"/>
          <w:szCs w:val="21"/>
        </w:rPr>
        <w:t>说明：</w:t>
      </w:r>
    </w:p>
    <w:p w14:paraId="45D19FC1">
      <w:pPr>
        <w:numPr>
          <w:ilvl w:val="1"/>
          <w:numId w:val="14"/>
        </w:numPr>
        <w:spacing w:line="300" w:lineRule="auto"/>
        <w:rPr>
          <w:rFonts w:hint="eastAsia" w:ascii="仿宋" w:hAnsi="仿宋" w:eastAsia="仿宋" w:cs="宋体"/>
          <w:szCs w:val="21"/>
        </w:rPr>
      </w:pPr>
      <w:r>
        <w:rPr>
          <w:rFonts w:hint="eastAsia" w:ascii="仿宋" w:hAnsi="仿宋" w:eastAsia="仿宋" w:cs="宋体"/>
          <w:szCs w:val="21"/>
        </w:rPr>
        <w:t>上述各项中用“√”表示通过，“×”表示不通过；</w:t>
      </w:r>
    </w:p>
    <w:p w14:paraId="3561408D">
      <w:pPr>
        <w:numPr>
          <w:ilvl w:val="1"/>
          <w:numId w:val="14"/>
        </w:numPr>
        <w:spacing w:line="300" w:lineRule="auto"/>
        <w:rPr>
          <w:rFonts w:hint="eastAsia" w:ascii="仿宋" w:hAnsi="仿宋" w:eastAsia="仿宋" w:cs="宋体"/>
          <w:szCs w:val="21"/>
        </w:rPr>
      </w:pPr>
      <w:r>
        <w:rPr>
          <w:rFonts w:hint="eastAsia" w:ascii="仿宋" w:hAnsi="仿宋" w:eastAsia="仿宋" w:cs="宋体"/>
          <w:szCs w:val="21"/>
        </w:rPr>
        <w:t>上述各项中如有一项为“×”，则结论为“×”，表示该投标文件中存在重大偏差，不能通过初步评审；评委对某一分项评审认为不合格时，必须要写明原因。</w:t>
      </w:r>
    </w:p>
    <w:p w14:paraId="67E2B894">
      <w:pPr>
        <w:numPr>
          <w:ilvl w:val="1"/>
          <w:numId w:val="14"/>
        </w:numPr>
        <w:spacing w:line="300" w:lineRule="auto"/>
        <w:rPr>
          <w:rFonts w:hint="eastAsia" w:ascii="仿宋" w:hAnsi="仿宋" w:eastAsia="仿宋" w:cs="宋体"/>
          <w:szCs w:val="21"/>
        </w:rPr>
      </w:pPr>
      <w:r>
        <w:rPr>
          <w:rFonts w:hint="eastAsia" w:ascii="仿宋" w:hAnsi="仿宋" w:eastAsia="仿宋" w:cs="宋体"/>
          <w:szCs w:val="21"/>
        </w:rPr>
        <w:t>投标文件最终合格与否，以所有评委的评审意见中少数服从多数为原则定论。</w:t>
      </w:r>
    </w:p>
    <w:p w14:paraId="115848DC">
      <w:pPr>
        <w:spacing w:line="300" w:lineRule="auto"/>
        <w:rPr>
          <w:rFonts w:hint="eastAsia"/>
        </w:rPr>
      </w:pPr>
      <w:r>
        <w:rPr>
          <w:rFonts w:hint="eastAsia" w:ascii="仿宋" w:hAnsi="仿宋" w:eastAsia="仿宋" w:cs="宋体"/>
          <w:b w:val="0"/>
          <w:bCs w:val="0"/>
          <w:sz w:val="24"/>
          <w:szCs w:val="24"/>
        </w:rPr>
        <w:t>注：如果投标文件中有一项未通过上述审查标准，评标委员会将认定整个投标文件未响应招标文件而予以废标处理。</w:t>
      </w:r>
      <w:bookmarkStart w:id="1587" w:name="_Hlk60248002"/>
    </w:p>
    <w:p w14:paraId="3FBB1270">
      <w:pPr>
        <w:pStyle w:val="14"/>
        <w:jc w:val="center"/>
        <w:rPr>
          <w:rFonts w:hint="eastAsia" w:eastAsia="仿宋"/>
          <w:sz w:val="21"/>
          <w:szCs w:val="21"/>
          <w:lang w:eastAsia="zh-CN"/>
        </w:rPr>
      </w:pPr>
      <w:r>
        <w:rPr>
          <w:rFonts w:hint="eastAsia" w:ascii="仿宋" w:hAnsi="仿宋" w:eastAsia="仿宋" w:cs="宋体"/>
          <w:b/>
          <w:bCs/>
          <w:kern w:val="0"/>
          <w:sz w:val="24"/>
          <w:szCs w:val="24"/>
        </w:rPr>
        <w:t>商务符合性审查表</w:t>
      </w:r>
    </w:p>
    <w:tbl>
      <w:tblPr>
        <w:tblStyle w:val="38"/>
        <w:tblW w:w="9059" w:type="dxa"/>
        <w:tblInd w:w="108" w:type="dxa"/>
        <w:tblLayout w:type="fixed"/>
        <w:tblCellMar>
          <w:top w:w="0" w:type="dxa"/>
          <w:left w:w="108" w:type="dxa"/>
          <w:bottom w:w="0" w:type="dxa"/>
          <w:right w:w="108" w:type="dxa"/>
        </w:tblCellMar>
      </w:tblPr>
      <w:tblGrid>
        <w:gridCol w:w="2217"/>
        <w:gridCol w:w="5087"/>
        <w:gridCol w:w="545"/>
        <w:gridCol w:w="583"/>
        <w:gridCol w:w="627"/>
      </w:tblGrid>
      <w:tr w14:paraId="2039035B">
        <w:tblPrEx>
          <w:tblCellMar>
            <w:top w:w="0" w:type="dxa"/>
            <w:left w:w="108" w:type="dxa"/>
            <w:bottom w:w="0" w:type="dxa"/>
            <w:right w:w="108" w:type="dxa"/>
          </w:tblCellMar>
        </w:tblPrEx>
        <w:trPr>
          <w:trHeight w:val="513" w:hRule="atLeast"/>
        </w:trPr>
        <w:tc>
          <w:tcPr>
            <w:tcW w:w="7304" w:type="dxa"/>
            <w:gridSpan w:val="2"/>
            <w:tcBorders>
              <w:top w:val="single" w:color="auto" w:sz="4" w:space="0"/>
              <w:left w:val="single" w:color="auto" w:sz="4" w:space="0"/>
              <w:bottom w:val="single" w:color="auto" w:sz="4" w:space="0"/>
              <w:right w:val="single" w:color="auto" w:sz="4" w:space="0"/>
            </w:tcBorders>
            <w:noWrap w:val="0"/>
            <w:vAlign w:val="center"/>
          </w:tcPr>
          <w:p w14:paraId="4C77909E">
            <w:pPr>
              <w:keepNext w:val="0"/>
              <w:keepLines w:val="0"/>
              <w:widowControl/>
              <w:suppressLineNumbers w:val="0"/>
              <w:spacing w:before="0" w:beforeAutospacing="0" w:after="0" w:afterAutospacing="0"/>
              <w:ind w:left="0" w:right="0"/>
              <w:jc w:val="center"/>
              <w:rPr>
                <w:rFonts w:hint="default" w:ascii="仿宋" w:hAnsi="仿宋" w:eastAsia="仿宋" w:cs="宋体"/>
                <w:b/>
                <w:kern w:val="0"/>
                <w:sz w:val="22"/>
                <w:szCs w:val="22"/>
              </w:rPr>
            </w:pPr>
            <w:r>
              <w:rPr>
                <w:rFonts w:hint="eastAsia" w:ascii="仿宋" w:hAnsi="仿宋" w:eastAsia="仿宋" w:cs="宋体"/>
                <w:b/>
                <w:kern w:val="0"/>
                <w:sz w:val="22"/>
                <w:szCs w:val="22"/>
              </w:rPr>
              <w:t>审查事项</w:t>
            </w:r>
          </w:p>
        </w:tc>
        <w:tc>
          <w:tcPr>
            <w:tcW w:w="1755" w:type="dxa"/>
            <w:gridSpan w:val="3"/>
            <w:tcBorders>
              <w:top w:val="single" w:color="auto" w:sz="4" w:space="0"/>
              <w:left w:val="single" w:color="auto" w:sz="4" w:space="0"/>
              <w:bottom w:val="single" w:color="auto" w:sz="4" w:space="0"/>
              <w:right w:val="single" w:color="auto" w:sz="4" w:space="0"/>
            </w:tcBorders>
            <w:noWrap w:val="0"/>
            <w:vAlign w:val="center"/>
          </w:tcPr>
          <w:p w14:paraId="1ECA17C4">
            <w:pPr>
              <w:keepNext w:val="0"/>
              <w:keepLines w:val="0"/>
              <w:widowControl/>
              <w:suppressLineNumbers w:val="0"/>
              <w:spacing w:before="0" w:beforeAutospacing="0" w:after="0" w:afterAutospacing="0"/>
              <w:ind w:left="0" w:right="0"/>
              <w:jc w:val="center"/>
              <w:rPr>
                <w:rFonts w:hint="default" w:ascii="仿宋" w:hAnsi="仿宋" w:eastAsia="仿宋" w:cs="宋体"/>
                <w:b/>
                <w:kern w:val="0"/>
                <w:sz w:val="22"/>
                <w:szCs w:val="22"/>
              </w:rPr>
            </w:pPr>
            <w:r>
              <w:rPr>
                <w:rFonts w:hint="eastAsia" w:ascii="仿宋" w:hAnsi="仿宋" w:eastAsia="仿宋" w:cs="宋体"/>
                <w:b/>
                <w:kern w:val="0"/>
                <w:sz w:val="22"/>
                <w:szCs w:val="22"/>
              </w:rPr>
              <w:t>投标人名称及审查情况</w:t>
            </w:r>
          </w:p>
        </w:tc>
      </w:tr>
      <w:tr w14:paraId="1A5323B4">
        <w:tblPrEx>
          <w:tblCellMar>
            <w:top w:w="0" w:type="dxa"/>
            <w:left w:w="108" w:type="dxa"/>
            <w:bottom w:w="0" w:type="dxa"/>
            <w:right w:w="108" w:type="dxa"/>
          </w:tblCellMar>
        </w:tblPrEx>
        <w:trPr>
          <w:trHeight w:val="344" w:hRule="atLeast"/>
        </w:trPr>
        <w:tc>
          <w:tcPr>
            <w:tcW w:w="2217" w:type="dxa"/>
            <w:tcBorders>
              <w:top w:val="single" w:color="auto" w:sz="4" w:space="0"/>
              <w:left w:val="single" w:color="auto" w:sz="4" w:space="0"/>
              <w:bottom w:val="single" w:color="auto" w:sz="4" w:space="0"/>
              <w:right w:val="single" w:color="auto" w:sz="4" w:space="0"/>
            </w:tcBorders>
            <w:noWrap w:val="0"/>
            <w:vAlign w:val="center"/>
          </w:tcPr>
          <w:p w14:paraId="36091BF8">
            <w:pPr>
              <w:keepNext w:val="0"/>
              <w:keepLines w:val="0"/>
              <w:widowControl/>
              <w:suppressLineNumbers w:val="0"/>
              <w:spacing w:before="0" w:beforeAutospacing="0" w:after="0" w:afterAutospacing="0"/>
              <w:ind w:left="0" w:right="0"/>
              <w:jc w:val="left"/>
              <w:rPr>
                <w:rFonts w:hint="default" w:ascii="仿宋" w:hAnsi="仿宋" w:eastAsia="仿宋" w:cs="宋体"/>
                <w:b/>
                <w:kern w:val="0"/>
                <w:sz w:val="22"/>
                <w:szCs w:val="22"/>
              </w:rPr>
            </w:pPr>
            <w:r>
              <w:rPr>
                <w:rFonts w:hint="eastAsia" w:ascii="仿宋" w:hAnsi="仿宋" w:eastAsia="仿宋" w:cs="宋体"/>
                <w:b/>
                <w:kern w:val="0"/>
                <w:sz w:val="22"/>
                <w:szCs w:val="22"/>
              </w:rPr>
              <w:t>招标文件条款</w:t>
            </w:r>
          </w:p>
        </w:tc>
        <w:tc>
          <w:tcPr>
            <w:tcW w:w="5087" w:type="dxa"/>
            <w:tcBorders>
              <w:top w:val="single" w:color="auto" w:sz="4" w:space="0"/>
              <w:left w:val="single" w:color="auto" w:sz="4" w:space="0"/>
              <w:bottom w:val="single" w:color="auto" w:sz="4" w:space="0"/>
              <w:right w:val="single" w:color="auto" w:sz="4" w:space="0"/>
            </w:tcBorders>
            <w:noWrap w:val="0"/>
            <w:vAlign w:val="center"/>
          </w:tcPr>
          <w:p w14:paraId="534DDD31">
            <w:pPr>
              <w:keepNext w:val="0"/>
              <w:keepLines w:val="0"/>
              <w:widowControl/>
              <w:suppressLineNumbers w:val="0"/>
              <w:spacing w:before="0" w:beforeAutospacing="0" w:after="0" w:afterAutospacing="0"/>
              <w:ind w:left="0" w:right="0"/>
              <w:jc w:val="center"/>
              <w:rPr>
                <w:rFonts w:hint="default" w:ascii="仿宋" w:hAnsi="仿宋" w:eastAsia="仿宋" w:cs="宋体"/>
                <w:b/>
                <w:kern w:val="0"/>
                <w:sz w:val="22"/>
                <w:szCs w:val="22"/>
              </w:rPr>
            </w:pPr>
            <w:r>
              <w:rPr>
                <w:rFonts w:hint="eastAsia" w:ascii="仿宋" w:hAnsi="仿宋" w:eastAsia="仿宋" w:cs="宋体"/>
                <w:b/>
                <w:kern w:val="0"/>
                <w:sz w:val="22"/>
                <w:szCs w:val="22"/>
              </w:rPr>
              <w:t>本项目要求</w:t>
            </w:r>
          </w:p>
        </w:tc>
        <w:tc>
          <w:tcPr>
            <w:tcW w:w="545" w:type="dxa"/>
            <w:tcBorders>
              <w:top w:val="single" w:color="auto" w:sz="4" w:space="0"/>
              <w:left w:val="single" w:color="auto" w:sz="4" w:space="0"/>
              <w:bottom w:val="single" w:color="auto" w:sz="4" w:space="0"/>
              <w:right w:val="single" w:color="auto" w:sz="4" w:space="0"/>
            </w:tcBorders>
            <w:noWrap w:val="0"/>
            <w:vAlign w:val="center"/>
          </w:tcPr>
          <w:p w14:paraId="0A3FBD4B">
            <w:pPr>
              <w:keepNext w:val="0"/>
              <w:keepLines w:val="0"/>
              <w:widowControl/>
              <w:suppressLineNumbers w:val="0"/>
              <w:spacing w:before="0" w:beforeAutospacing="0" w:after="0" w:afterAutospacing="0"/>
              <w:ind w:left="0" w:right="0"/>
              <w:jc w:val="left"/>
              <w:rPr>
                <w:rFonts w:hint="default" w:ascii="仿宋" w:hAnsi="仿宋" w:eastAsia="仿宋" w:cs="宋体"/>
                <w:kern w:val="0"/>
                <w:sz w:val="22"/>
                <w:szCs w:val="22"/>
              </w:rPr>
            </w:pPr>
            <w:r>
              <w:rPr>
                <w:rFonts w:hint="eastAsia" w:ascii="仿宋" w:hAnsi="仿宋" w:eastAsia="仿宋" w:cs="宋体"/>
                <w:kern w:val="0"/>
                <w:sz w:val="22"/>
                <w:szCs w:val="22"/>
              </w:rPr>
              <w:t>　</w:t>
            </w:r>
          </w:p>
        </w:tc>
        <w:tc>
          <w:tcPr>
            <w:tcW w:w="583" w:type="dxa"/>
            <w:tcBorders>
              <w:top w:val="single" w:color="auto" w:sz="4" w:space="0"/>
              <w:left w:val="nil"/>
              <w:bottom w:val="single" w:color="auto" w:sz="4" w:space="0"/>
              <w:right w:val="single" w:color="auto" w:sz="4" w:space="0"/>
            </w:tcBorders>
            <w:noWrap w:val="0"/>
            <w:vAlign w:val="center"/>
          </w:tcPr>
          <w:p w14:paraId="01AD1653">
            <w:pPr>
              <w:keepNext w:val="0"/>
              <w:keepLines w:val="0"/>
              <w:widowControl/>
              <w:suppressLineNumbers w:val="0"/>
              <w:spacing w:before="0" w:beforeAutospacing="0" w:after="0" w:afterAutospacing="0"/>
              <w:ind w:left="0" w:right="0"/>
              <w:jc w:val="left"/>
              <w:rPr>
                <w:rFonts w:hint="default" w:ascii="仿宋" w:hAnsi="仿宋" w:eastAsia="仿宋" w:cs="宋体"/>
                <w:kern w:val="0"/>
                <w:sz w:val="22"/>
                <w:szCs w:val="22"/>
              </w:rPr>
            </w:pPr>
            <w:r>
              <w:rPr>
                <w:rFonts w:hint="eastAsia" w:ascii="仿宋" w:hAnsi="仿宋" w:eastAsia="仿宋" w:cs="宋体"/>
                <w:kern w:val="0"/>
                <w:sz w:val="22"/>
                <w:szCs w:val="22"/>
              </w:rPr>
              <w:t>　</w:t>
            </w:r>
          </w:p>
        </w:tc>
        <w:tc>
          <w:tcPr>
            <w:tcW w:w="627" w:type="dxa"/>
            <w:tcBorders>
              <w:top w:val="single" w:color="auto" w:sz="4" w:space="0"/>
              <w:left w:val="nil"/>
              <w:bottom w:val="single" w:color="auto" w:sz="4" w:space="0"/>
              <w:right w:val="single" w:color="auto" w:sz="4" w:space="0"/>
            </w:tcBorders>
            <w:noWrap w:val="0"/>
            <w:vAlign w:val="center"/>
          </w:tcPr>
          <w:p w14:paraId="198D43EF">
            <w:pPr>
              <w:keepNext w:val="0"/>
              <w:keepLines w:val="0"/>
              <w:widowControl/>
              <w:suppressLineNumbers w:val="0"/>
              <w:spacing w:before="0" w:beforeAutospacing="0" w:after="0" w:afterAutospacing="0"/>
              <w:ind w:left="0" w:right="0"/>
              <w:jc w:val="left"/>
              <w:rPr>
                <w:rFonts w:hint="default" w:ascii="仿宋" w:hAnsi="仿宋" w:eastAsia="仿宋" w:cs="宋体"/>
                <w:kern w:val="0"/>
                <w:sz w:val="22"/>
                <w:szCs w:val="22"/>
              </w:rPr>
            </w:pPr>
            <w:r>
              <w:rPr>
                <w:rFonts w:hint="eastAsia" w:ascii="仿宋" w:hAnsi="仿宋" w:eastAsia="仿宋" w:cs="宋体"/>
                <w:kern w:val="0"/>
                <w:sz w:val="22"/>
                <w:szCs w:val="22"/>
              </w:rPr>
              <w:t>　</w:t>
            </w:r>
          </w:p>
        </w:tc>
      </w:tr>
      <w:tr w14:paraId="6870E170">
        <w:tblPrEx>
          <w:tblCellMar>
            <w:top w:w="0" w:type="dxa"/>
            <w:left w:w="108" w:type="dxa"/>
            <w:bottom w:w="0" w:type="dxa"/>
            <w:right w:w="108" w:type="dxa"/>
          </w:tblCellMar>
        </w:tblPrEx>
        <w:trPr>
          <w:trHeight w:val="505" w:hRule="atLeast"/>
        </w:trPr>
        <w:tc>
          <w:tcPr>
            <w:tcW w:w="2217" w:type="dxa"/>
            <w:tcBorders>
              <w:top w:val="single" w:color="auto" w:sz="4" w:space="0"/>
              <w:left w:val="single" w:color="auto" w:sz="4" w:space="0"/>
              <w:bottom w:val="single" w:color="auto" w:sz="4" w:space="0"/>
              <w:right w:val="single" w:color="auto" w:sz="4" w:space="0"/>
            </w:tcBorders>
            <w:noWrap w:val="0"/>
            <w:vAlign w:val="center"/>
          </w:tcPr>
          <w:p w14:paraId="6B7EB97C">
            <w:pPr>
              <w:keepNext w:val="0"/>
              <w:keepLines w:val="0"/>
              <w:widowControl/>
              <w:suppressLineNumbers w:val="0"/>
              <w:spacing w:before="0" w:beforeAutospacing="0" w:after="0" w:afterAutospacing="0"/>
              <w:ind w:left="0" w:right="0"/>
              <w:jc w:val="center"/>
              <w:rPr>
                <w:rFonts w:hint="default" w:ascii="仿宋" w:hAnsi="仿宋" w:eastAsia="仿宋" w:cs="宋体"/>
                <w:color w:val="000000"/>
                <w:kern w:val="0"/>
                <w:sz w:val="22"/>
                <w:szCs w:val="22"/>
              </w:rPr>
            </w:pPr>
            <w:r>
              <w:rPr>
                <w:rFonts w:hint="eastAsia" w:ascii="仿宋" w:hAnsi="仿宋" w:eastAsia="仿宋" w:cs="宋体"/>
                <w:color w:val="000000"/>
                <w:kern w:val="0"/>
                <w:sz w:val="22"/>
                <w:szCs w:val="22"/>
              </w:rPr>
              <w:t>中小企业投标要求（1.3.6）</w:t>
            </w:r>
          </w:p>
        </w:tc>
        <w:tc>
          <w:tcPr>
            <w:tcW w:w="5087" w:type="dxa"/>
            <w:tcBorders>
              <w:top w:val="single" w:color="auto" w:sz="4" w:space="0"/>
              <w:left w:val="nil"/>
              <w:bottom w:val="single" w:color="auto" w:sz="4" w:space="0"/>
              <w:right w:val="single" w:color="auto" w:sz="4" w:space="0"/>
            </w:tcBorders>
            <w:noWrap w:val="0"/>
            <w:vAlign w:val="center"/>
          </w:tcPr>
          <w:p w14:paraId="65D023F4">
            <w:pPr>
              <w:keepNext w:val="0"/>
              <w:keepLines w:val="0"/>
              <w:widowControl/>
              <w:suppressLineNumbers w:val="0"/>
              <w:spacing w:before="0" w:beforeAutospacing="0" w:after="0" w:afterAutospacing="0"/>
              <w:ind w:left="0" w:right="0"/>
              <w:jc w:val="center"/>
              <w:rPr>
                <w:rFonts w:hint="default" w:ascii="仿宋" w:hAnsi="仿宋" w:eastAsia="仿宋" w:cs="宋体"/>
                <w:kern w:val="0"/>
                <w:szCs w:val="21"/>
              </w:rPr>
            </w:pPr>
            <w:r>
              <w:rPr>
                <w:rFonts w:hint="eastAsia" w:ascii="仿宋" w:hAnsi="仿宋" w:eastAsia="仿宋" w:cs="宋体"/>
                <w:kern w:val="0"/>
                <w:szCs w:val="21"/>
              </w:rPr>
              <w:t>本项目</w:t>
            </w:r>
            <w:r>
              <w:rPr>
                <w:rFonts w:hint="default" w:ascii="仿宋" w:hAnsi="仿宋" w:eastAsia="仿宋" w:cs="宋体"/>
                <w:kern w:val="0"/>
                <w:szCs w:val="21"/>
                <w:highlight w:val="none"/>
                <w:u w:val="single"/>
              </w:rPr>
              <w:t>适用</w:t>
            </w:r>
          </w:p>
        </w:tc>
        <w:tc>
          <w:tcPr>
            <w:tcW w:w="545" w:type="dxa"/>
            <w:tcBorders>
              <w:top w:val="single" w:color="auto" w:sz="4" w:space="0"/>
              <w:left w:val="nil"/>
              <w:bottom w:val="single" w:color="auto" w:sz="4" w:space="0"/>
              <w:right w:val="single" w:color="auto" w:sz="4" w:space="0"/>
            </w:tcBorders>
            <w:noWrap w:val="0"/>
            <w:vAlign w:val="center"/>
          </w:tcPr>
          <w:p w14:paraId="5AA2920F">
            <w:pPr>
              <w:keepNext w:val="0"/>
              <w:keepLines w:val="0"/>
              <w:widowControl/>
              <w:suppressLineNumbers w:val="0"/>
              <w:spacing w:before="0" w:beforeAutospacing="0" w:after="0" w:afterAutospacing="0"/>
              <w:ind w:left="0" w:right="0"/>
              <w:jc w:val="left"/>
              <w:rPr>
                <w:rFonts w:hint="default" w:ascii="仿宋" w:hAnsi="仿宋" w:eastAsia="仿宋" w:cs="宋体"/>
                <w:kern w:val="0"/>
                <w:sz w:val="22"/>
                <w:szCs w:val="22"/>
              </w:rPr>
            </w:pPr>
          </w:p>
        </w:tc>
        <w:tc>
          <w:tcPr>
            <w:tcW w:w="583" w:type="dxa"/>
            <w:tcBorders>
              <w:top w:val="single" w:color="auto" w:sz="4" w:space="0"/>
              <w:left w:val="nil"/>
              <w:bottom w:val="single" w:color="auto" w:sz="4" w:space="0"/>
              <w:right w:val="single" w:color="auto" w:sz="4" w:space="0"/>
            </w:tcBorders>
            <w:noWrap w:val="0"/>
            <w:vAlign w:val="center"/>
          </w:tcPr>
          <w:p w14:paraId="242BB05F">
            <w:pPr>
              <w:keepNext w:val="0"/>
              <w:keepLines w:val="0"/>
              <w:widowControl/>
              <w:suppressLineNumbers w:val="0"/>
              <w:spacing w:before="0" w:beforeAutospacing="0" w:after="0" w:afterAutospacing="0"/>
              <w:ind w:left="0" w:right="0"/>
              <w:jc w:val="left"/>
              <w:rPr>
                <w:rFonts w:hint="default" w:ascii="仿宋" w:hAnsi="仿宋" w:eastAsia="仿宋" w:cs="宋体"/>
                <w:kern w:val="0"/>
                <w:sz w:val="22"/>
                <w:szCs w:val="22"/>
              </w:rPr>
            </w:pPr>
          </w:p>
        </w:tc>
        <w:tc>
          <w:tcPr>
            <w:tcW w:w="627" w:type="dxa"/>
            <w:tcBorders>
              <w:top w:val="single" w:color="auto" w:sz="4" w:space="0"/>
              <w:left w:val="nil"/>
              <w:bottom w:val="single" w:color="auto" w:sz="4" w:space="0"/>
              <w:right w:val="single" w:color="auto" w:sz="4" w:space="0"/>
            </w:tcBorders>
            <w:noWrap w:val="0"/>
            <w:vAlign w:val="center"/>
          </w:tcPr>
          <w:p w14:paraId="586E5824">
            <w:pPr>
              <w:keepNext w:val="0"/>
              <w:keepLines w:val="0"/>
              <w:widowControl/>
              <w:suppressLineNumbers w:val="0"/>
              <w:spacing w:before="0" w:beforeAutospacing="0" w:after="0" w:afterAutospacing="0"/>
              <w:ind w:left="0" w:right="0"/>
              <w:jc w:val="left"/>
              <w:rPr>
                <w:rFonts w:hint="default" w:ascii="仿宋" w:hAnsi="仿宋" w:eastAsia="仿宋" w:cs="宋体"/>
                <w:kern w:val="0"/>
                <w:sz w:val="22"/>
                <w:szCs w:val="22"/>
              </w:rPr>
            </w:pPr>
          </w:p>
        </w:tc>
      </w:tr>
      <w:tr w14:paraId="5ADCD6D8">
        <w:tblPrEx>
          <w:tblCellMar>
            <w:top w:w="0" w:type="dxa"/>
            <w:left w:w="108" w:type="dxa"/>
            <w:bottom w:w="0" w:type="dxa"/>
            <w:right w:w="108" w:type="dxa"/>
          </w:tblCellMar>
        </w:tblPrEx>
        <w:trPr>
          <w:trHeight w:val="505" w:hRule="atLeast"/>
        </w:trPr>
        <w:tc>
          <w:tcPr>
            <w:tcW w:w="2217" w:type="dxa"/>
            <w:tcBorders>
              <w:top w:val="single" w:color="auto" w:sz="4" w:space="0"/>
              <w:left w:val="single" w:color="auto" w:sz="4" w:space="0"/>
              <w:bottom w:val="single" w:color="auto" w:sz="4" w:space="0"/>
              <w:right w:val="single" w:color="auto" w:sz="4" w:space="0"/>
            </w:tcBorders>
            <w:noWrap w:val="0"/>
            <w:vAlign w:val="center"/>
          </w:tcPr>
          <w:p w14:paraId="56D85714">
            <w:pPr>
              <w:keepNext w:val="0"/>
              <w:keepLines w:val="0"/>
              <w:widowControl/>
              <w:suppressLineNumbers w:val="0"/>
              <w:spacing w:before="0" w:beforeAutospacing="0" w:after="0" w:afterAutospacing="0"/>
              <w:ind w:left="0" w:right="0"/>
              <w:jc w:val="center"/>
              <w:rPr>
                <w:rFonts w:hint="default" w:ascii="仿宋" w:hAnsi="仿宋" w:eastAsia="仿宋" w:cs="宋体"/>
                <w:color w:val="000000"/>
                <w:kern w:val="0"/>
                <w:sz w:val="22"/>
                <w:szCs w:val="22"/>
              </w:rPr>
            </w:pPr>
            <w:r>
              <w:rPr>
                <w:rFonts w:hint="eastAsia" w:ascii="仿宋" w:hAnsi="仿宋" w:eastAsia="仿宋" w:cs="宋体"/>
                <w:color w:val="000000"/>
                <w:kern w:val="0"/>
                <w:sz w:val="22"/>
                <w:szCs w:val="22"/>
              </w:rPr>
              <w:t>联合体投标规定</w:t>
            </w:r>
          </w:p>
          <w:p w14:paraId="21C3D64D">
            <w:pPr>
              <w:keepNext w:val="0"/>
              <w:keepLines w:val="0"/>
              <w:widowControl/>
              <w:suppressLineNumbers w:val="0"/>
              <w:spacing w:before="0" w:beforeAutospacing="0" w:after="0" w:afterAutospacing="0"/>
              <w:ind w:left="0" w:right="0"/>
              <w:jc w:val="center"/>
              <w:rPr>
                <w:rFonts w:hint="default" w:ascii="仿宋" w:hAnsi="仿宋" w:eastAsia="仿宋" w:cs="宋体"/>
                <w:color w:val="000000"/>
                <w:kern w:val="0"/>
                <w:sz w:val="22"/>
                <w:szCs w:val="22"/>
              </w:rPr>
            </w:pPr>
            <w:r>
              <w:rPr>
                <w:rFonts w:hint="eastAsia" w:ascii="仿宋" w:hAnsi="仿宋" w:eastAsia="仿宋" w:cs="宋体"/>
                <w:color w:val="000000"/>
                <w:kern w:val="0"/>
                <w:sz w:val="22"/>
                <w:szCs w:val="22"/>
              </w:rPr>
              <w:t>（1.4）</w:t>
            </w:r>
          </w:p>
        </w:tc>
        <w:tc>
          <w:tcPr>
            <w:tcW w:w="5087" w:type="dxa"/>
            <w:tcBorders>
              <w:top w:val="single" w:color="auto" w:sz="4" w:space="0"/>
              <w:left w:val="nil"/>
              <w:bottom w:val="single" w:color="auto" w:sz="4" w:space="0"/>
              <w:right w:val="single" w:color="auto" w:sz="4" w:space="0"/>
            </w:tcBorders>
            <w:noWrap w:val="0"/>
            <w:vAlign w:val="center"/>
          </w:tcPr>
          <w:p w14:paraId="7308A06D">
            <w:pPr>
              <w:keepNext w:val="0"/>
              <w:keepLines w:val="0"/>
              <w:widowControl/>
              <w:suppressLineNumbers w:val="0"/>
              <w:spacing w:before="0" w:beforeAutospacing="0" w:after="0" w:afterAutospacing="0"/>
              <w:ind w:left="0" w:right="0"/>
              <w:jc w:val="center"/>
              <w:rPr>
                <w:rFonts w:hint="default" w:ascii="仿宋" w:hAnsi="仿宋" w:eastAsia="仿宋" w:cs="宋体"/>
                <w:kern w:val="0"/>
                <w:szCs w:val="21"/>
              </w:rPr>
            </w:pPr>
            <w:r>
              <w:rPr>
                <w:rFonts w:hint="eastAsia" w:ascii="仿宋" w:hAnsi="仿宋" w:eastAsia="仿宋" w:cs="宋体"/>
                <w:kern w:val="0"/>
                <w:szCs w:val="21"/>
              </w:rPr>
              <w:t>本项目</w:t>
            </w:r>
            <w:r>
              <w:rPr>
                <w:rFonts w:hint="default" w:ascii="仿宋" w:hAnsi="仿宋" w:eastAsia="仿宋" w:cs="宋体"/>
                <w:kern w:val="0"/>
                <w:szCs w:val="21"/>
                <w:u w:val="single"/>
              </w:rPr>
              <w:t>不接受</w:t>
            </w:r>
            <w:r>
              <w:rPr>
                <w:rFonts w:hint="eastAsia" w:ascii="仿宋" w:hAnsi="仿宋" w:eastAsia="仿宋" w:cs="宋体"/>
                <w:kern w:val="0"/>
                <w:szCs w:val="21"/>
                <w:u w:val="single"/>
              </w:rPr>
              <w:t>联合体投标</w:t>
            </w:r>
          </w:p>
        </w:tc>
        <w:tc>
          <w:tcPr>
            <w:tcW w:w="545" w:type="dxa"/>
            <w:tcBorders>
              <w:top w:val="single" w:color="auto" w:sz="4" w:space="0"/>
              <w:left w:val="nil"/>
              <w:bottom w:val="single" w:color="auto" w:sz="4" w:space="0"/>
              <w:right w:val="single" w:color="auto" w:sz="4" w:space="0"/>
            </w:tcBorders>
            <w:noWrap w:val="0"/>
            <w:vAlign w:val="center"/>
          </w:tcPr>
          <w:p w14:paraId="0660DA48">
            <w:pPr>
              <w:keepNext w:val="0"/>
              <w:keepLines w:val="0"/>
              <w:widowControl/>
              <w:suppressLineNumbers w:val="0"/>
              <w:spacing w:before="0" w:beforeAutospacing="0" w:after="0" w:afterAutospacing="0"/>
              <w:ind w:left="0" w:right="0"/>
              <w:jc w:val="left"/>
              <w:rPr>
                <w:rFonts w:hint="default" w:ascii="仿宋" w:hAnsi="仿宋" w:eastAsia="仿宋" w:cs="宋体"/>
                <w:kern w:val="0"/>
                <w:sz w:val="22"/>
                <w:szCs w:val="22"/>
              </w:rPr>
            </w:pPr>
            <w:r>
              <w:rPr>
                <w:rFonts w:hint="eastAsia" w:ascii="仿宋" w:hAnsi="仿宋" w:eastAsia="仿宋" w:cs="宋体"/>
                <w:kern w:val="0"/>
                <w:sz w:val="22"/>
                <w:szCs w:val="22"/>
              </w:rPr>
              <w:t>　</w:t>
            </w:r>
          </w:p>
        </w:tc>
        <w:tc>
          <w:tcPr>
            <w:tcW w:w="583" w:type="dxa"/>
            <w:tcBorders>
              <w:top w:val="single" w:color="auto" w:sz="4" w:space="0"/>
              <w:left w:val="nil"/>
              <w:bottom w:val="single" w:color="auto" w:sz="4" w:space="0"/>
              <w:right w:val="single" w:color="auto" w:sz="4" w:space="0"/>
            </w:tcBorders>
            <w:noWrap w:val="0"/>
            <w:vAlign w:val="center"/>
          </w:tcPr>
          <w:p w14:paraId="610B3BD6">
            <w:pPr>
              <w:keepNext w:val="0"/>
              <w:keepLines w:val="0"/>
              <w:widowControl/>
              <w:suppressLineNumbers w:val="0"/>
              <w:spacing w:before="0" w:beforeAutospacing="0" w:after="0" w:afterAutospacing="0"/>
              <w:ind w:left="0" w:right="0"/>
              <w:jc w:val="left"/>
              <w:rPr>
                <w:rFonts w:hint="default" w:ascii="仿宋" w:hAnsi="仿宋" w:eastAsia="仿宋" w:cs="宋体"/>
                <w:kern w:val="0"/>
                <w:sz w:val="22"/>
                <w:szCs w:val="22"/>
              </w:rPr>
            </w:pPr>
            <w:r>
              <w:rPr>
                <w:rFonts w:hint="eastAsia" w:ascii="仿宋" w:hAnsi="仿宋" w:eastAsia="仿宋" w:cs="宋体"/>
                <w:kern w:val="0"/>
                <w:sz w:val="22"/>
                <w:szCs w:val="22"/>
              </w:rPr>
              <w:t>　</w:t>
            </w:r>
          </w:p>
        </w:tc>
        <w:tc>
          <w:tcPr>
            <w:tcW w:w="627" w:type="dxa"/>
            <w:tcBorders>
              <w:top w:val="single" w:color="auto" w:sz="4" w:space="0"/>
              <w:left w:val="nil"/>
              <w:bottom w:val="single" w:color="auto" w:sz="4" w:space="0"/>
              <w:right w:val="single" w:color="auto" w:sz="4" w:space="0"/>
            </w:tcBorders>
            <w:noWrap w:val="0"/>
            <w:vAlign w:val="center"/>
          </w:tcPr>
          <w:p w14:paraId="54A146A2">
            <w:pPr>
              <w:keepNext w:val="0"/>
              <w:keepLines w:val="0"/>
              <w:widowControl/>
              <w:suppressLineNumbers w:val="0"/>
              <w:spacing w:before="0" w:beforeAutospacing="0" w:after="0" w:afterAutospacing="0"/>
              <w:ind w:left="0" w:right="0"/>
              <w:jc w:val="left"/>
              <w:rPr>
                <w:rFonts w:hint="default" w:ascii="仿宋" w:hAnsi="仿宋" w:eastAsia="仿宋" w:cs="宋体"/>
                <w:kern w:val="0"/>
                <w:sz w:val="22"/>
                <w:szCs w:val="22"/>
              </w:rPr>
            </w:pPr>
            <w:r>
              <w:rPr>
                <w:rFonts w:hint="eastAsia" w:ascii="仿宋" w:hAnsi="仿宋" w:eastAsia="仿宋" w:cs="宋体"/>
                <w:kern w:val="0"/>
                <w:sz w:val="22"/>
                <w:szCs w:val="22"/>
              </w:rPr>
              <w:t>　</w:t>
            </w:r>
          </w:p>
        </w:tc>
      </w:tr>
      <w:tr w14:paraId="0669AFD4">
        <w:tblPrEx>
          <w:tblCellMar>
            <w:top w:w="0" w:type="dxa"/>
            <w:left w:w="108" w:type="dxa"/>
            <w:bottom w:w="0" w:type="dxa"/>
            <w:right w:w="108" w:type="dxa"/>
          </w:tblCellMar>
        </w:tblPrEx>
        <w:trPr>
          <w:trHeight w:val="583" w:hRule="atLeast"/>
        </w:trPr>
        <w:tc>
          <w:tcPr>
            <w:tcW w:w="2217" w:type="dxa"/>
            <w:tcBorders>
              <w:top w:val="single" w:color="auto" w:sz="4" w:space="0"/>
              <w:left w:val="single" w:color="auto" w:sz="4" w:space="0"/>
              <w:bottom w:val="single" w:color="auto" w:sz="4" w:space="0"/>
              <w:right w:val="single" w:color="auto" w:sz="4" w:space="0"/>
            </w:tcBorders>
            <w:noWrap w:val="0"/>
            <w:vAlign w:val="center"/>
          </w:tcPr>
          <w:p w14:paraId="66647469">
            <w:pPr>
              <w:keepNext w:val="0"/>
              <w:keepLines w:val="0"/>
              <w:widowControl/>
              <w:suppressLineNumbers w:val="0"/>
              <w:spacing w:before="0" w:beforeAutospacing="0" w:after="0" w:afterAutospacing="0"/>
              <w:ind w:left="0" w:right="0"/>
              <w:jc w:val="center"/>
              <w:rPr>
                <w:rFonts w:hint="default" w:ascii="仿宋" w:hAnsi="仿宋" w:eastAsia="仿宋" w:cs="宋体"/>
                <w:color w:val="000000"/>
                <w:kern w:val="0"/>
                <w:sz w:val="22"/>
                <w:szCs w:val="22"/>
              </w:rPr>
            </w:pPr>
            <w:r>
              <w:rPr>
                <w:rFonts w:hint="eastAsia" w:ascii="仿宋" w:hAnsi="仿宋" w:eastAsia="仿宋" w:cs="宋体"/>
                <w:color w:val="000000"/>
                <w:kern w:val="0"/>
                <w:sz w:val="22"/>
                <w:szCs w:val="22"/>
              </w:rPr>
              <w:t>投标人的关联性</w:t>
            </w:r>
          </w:p>
          <w:p w14:paraId="0B9EADB3">
            <w:pPr>
              <w:keepNext w:val="0"/>
              <w:keepLines w:val="0"/>
              <w:widowControl/>
              <w:suppressLineNumbers w:val="0"/>
              <w:spacing w:before="0" w:beforeAutospacing="0" w:after="0" w:afterAutospacing="0"/>
              <w:ind w:left="0" w:right="0"/>
              <w:jc w:val="center"/>
              <w:rPr>
                <w:rFonts w:hint="default" w:ascii="仿宋" w:hAnsi="仿宋" w:eastAsia="仿宋" w:cs="宋体"/>
                <w:color w:val="000000"/>
                <w:kern w:val="0"/>
                <w:sz w:val="22"/>
                <w:szCs w:val="22"/>
              </w:rPr>
            </w:pPr>
            <w:r>
              <w:rPr>
                <w:rFonts w:hint="eastAsia" w:ascii="仿宋" w:hAnsi="仿宋" w:eastAsia="仿宋" w:cs="宋体"/>
                <w:color w:val="000000"/>
                <w:kern w:val="0"/>
                <w:sz w:val="22"/>
                <w:szCs w:val="22"/>
              </w:rPr>
              <w:t>（1.5）</w:t>
            </w:r>
          </w:p>
        </w:tc>
        <w:tc>
          <w:tcPr>
            <w:tcW w:w="5087" w:type="dxa"/>
            <w:tcBorders>
              <w:top w:val="single" w:color="auto" w:sz="4" w:space="0"/>
              <w:left w:val="nil"/>
              <w:bottom w:val="single" w:color="auto" w:sz="4" w:space="0"/>
              <w:right w:val="single" w:color="auto" w:sz="4" w:space="0"/>
            </w:tcBorders>
            <w:noWrap w:val="0"/>
            <w:vAlign w:val="center"/>
          </w:tcPr>
          <w:p w14:paraId="16373575">
            <w:pPr>
              <w:keepNext w:val="0"/>
              <w:keepLines w:val="0"/>
              <w:widowControl/>
              <w:suppressLineNumbers w:val="0"/>
              <w:spacing w:before="0" w:beforeAutospacing="0" w:after="0" w:afterAutospacing="0"/>
              <w:ind w:left="0" w:right="0"/>
              <w:jc w:val="center"/>
              <w:rPr>
                <w:rFonts w:hint="default" w:ascii="仿宋" w:hAnsi="仿宋" w:eastAsia="仿宋" w:cs="宋体"/>
                <w:kern w:val="0"/>
                <w:szCs w:val="21"/>
              </w:rPr>
            </w:pPr>
            <w:r>
              <w:rPr>
                <w:rFonts w:hint="eastAsia" w:ascii="仿宋" w:hAnsi="仿宋" w:eastAsia="仿宋" w:cs="宋体"/>
                <w:kern w:val="0"/>
                <w:szCs w:val="21"/>
              </w:rPr>
              <w:t>在同一标包内，单位</w:t>
            </w:r>
            <w:r>
              <w:rPr>
                <w:rFonts w:hint="default" w:ascii="仿宋" w:hAnsi="仿宋" w:eastAsia="仿宋" w:cs="宋体"/>
                <w:kern w:val="0"/>
                <w:szCs w:val="21"/>
              </w:rPr>
              <w:t>负责人</w:t>
            </w:r>
            <w:r>
              <w:rPr>
                <w:rFonts w:hint="eastAsia" w:ascii="仿宋" w:hAnsi="仿宋" w:eastAsia="仿宋" w:cs="宋体"/>
                <w:kern w:val="0"/>
                <w:szCs w:val="21"/>
              </w:rPr>
              <w:t>非</w:t>
            </w:r>
            <w:r>
              <w:rPr>
                <w:rFonts w:hint="default" w:ascii="仿宋" w:hAnsi="仿宋" w:eastAsia="仿宋" w:cs="宋体"/>
                <w:kern w:val="0"/>
                <w:szCs w:val="21"/>
              </w:rPr>
              <w:t>同一</w:t>
            </w:r>
            <w:r>
              <w:rPr>
                <w:rFonts w:hint="eastAsia" w:ascii="仿宋" w:hAnsi="仿宋" w:eastAsia="仿宋" w:cs="宋体"/>
                <w:kern w:val="0"/>
                <w:szCs w:val="21"/>
              </w:rPr>
              <w:t>人</w:t>
            </w:r>
            <w:r>
              <w:rPr>
                <w:rFonts w:hint="default" w:ascii="仿宋" w:hAnsi="仿宋" w:eastAsia="仿宋" w:cs="宋体"/>
                <w:kern w:val="0"/>
                <w:szCs w:val="21"/>
              </w:rPr>
              <w:t>或者</w:t>
            </w:r>
            <w:r>
              <w:rPr>
                <w:rFonts w:hint="eastAsia" w:ascii="仿宋" w:hAnsi="仿宋" w:eastAsia="仿宋" w:cs="宋体"/>
                <w:kern w:val="0"/>
                <w:szCs w:val="21"/>
              </w:rPr>
              <w:t>不</w:t>
            </w:r>
            <w:r>
              <w:rPr>
                <w:rFonts w:hint="default" w:ascii="仿宋" w:hAnsi="仿宋" w:eastAsia="仿宋" w:cs="宋体"/>
                <w:kern w:val="0"/>
                <w:szCs w:val="21"/>
              </w:rPr>
              <w:t>存在</w:t>
            </w:r>
            <w:r>
              <w:rPr>
                <w:rFonts w:hint="eastAsia" w:ascii="仿宋" w:hAnsi="仿宋" w:eastAsia="仿宋" w:cs="宋体"/>
                <w:kern w:val="0"/>
                <w:szCs w:val="21"/>
              </w:rPr>
              <w:t>直接</w:t>
            </w:r>
            <w:r>
              <w:rPr>
                <w:rFonts w:hint="default" w:ascii="仿宋" w:hAnsi="仿宋" w:eastAsia="仿宋" w:cs="宋体"/>
                <w:kern w:val="0"/>
                <w:szCs w:val="21"/>
              </w:rPr>
              <w:t>控股、管理</w:t>
            </w:r>
            <w:r>
              <w:rPr>
                <w:rFonts w:hint="eastAsia" w:ascii="仿宋" w:hAnsi="仿宋" w:eastAsia="仿宋" w:cs="宋体"/>
                <w:kern w:val="0"/>
                <w:szCs w:val="21"/>
              </w:rPr>
              <w:t>关系</w:t>
            </w:r>
            <w:r>
              <w:rPr>
                <w:rFonts w:hint="default" w:ascii="仿宋" w:hAnsi="仿宋" w:eastAsia="仿宋" w:cs="宋体"/>
                <w:kern w:val="0"/>
                <w:szCs w:val="21"/>
              </w:rPr>
              <w:t>的不同供应商</w:t>
            </w:r>
            <w:r>
              <w:rPr>
                <w:rFonts w:hint="eastAsia" w:ascii="仿宋" w:hAnsi="仿宋" w:eastAsia="仿宋" w:cs="宋体"/>
                <w:kern w:val="0"/>
                <w:szCs w:val="21"/>
              </w:rPr>
              <w:t xml:space="preserve">。 </w:t>
            </w:r>
          </w:p>
        </w:tc>
        <w:tc>
          <w:tcPr>
            <w:tcW w:w="545" w:type="dxa"/>
            <w:tcBorders>
              <w:top w:val="single" w:color="auto" w:sz="4" w:space="0"/>
              <w:left w:val="nil"/>
              <w:bottom w:val="single" w:color="auto" w:sz="4" w:space="0"/>
              <w:right w:val="single" w:color="auto" w:sz="4" w:space="0"/>
            </w:tcBorders>
            <w:noWrap w:val="0"/>
            <w:vAlign w:val="center"/>
          </w:tcPr>
          <w:p w14:paraId="0806A98C">
            <w:pPr>
              <w:keepNext w:val="0"/>
              <w:keepLines w:val="0"/>
              <w:widowControl/>
              <w:suppressLineNumbers w:val="0"/>
              <w:spacing w:before="0" w:beforeAutospacing="0" w:after="0" w:afterAutospacing="0"/>
              <w:ind w:left="0" w:right="0"/>
              <w:jc w:val="left"/>
              <w:rPr>
                <w:rFonts w:hint="default" w:ascii="仿宋" w:hAnsi="仿宋" w:eastAsia="仿宋" w:cs="宋体"/>
                <w:kern w:val="0"/>
                <w:sz w:val="22"/>
                <w:szCs w:val="22"/>
              </w:rPr>
            </w:pPr>
            <w:r>
              <w:rPr>
                <w:rFonts w:hint="eastAsia" w:ascii="仿宋" w:hAnsi="仿宋" w:eastAsia="仿宋" w:cs="宋体"/>
                <w:kern w:val="0"/>
                <w:sz w:val="22"/>
                <w:szCs w:val="22"/>
              </w:rPr>
              <w:t>　</w:t>
            </w:r>
          </w:p>
        </w:tc>
        <w:tc>
          <w:tcPr>
            <w:tcW w:w="583" w:type="dxa"/>
            <w:tcBorders>
              <w:top w:val="single" w:color="auto" w:sz="4" w:space="0"/>
              <w:left w:val="nil"/>
              <w:bottom w:val="single" w:color="auto" w:sz="4" w:space="0"/>
              <w:right w:val="single" w:color="auto" w:sz="4" w:space="0"/>
            </w:tcBorders>
            <w:noWrap w:val="0"/>
            <w:vAlign w:val="center"/>
          </w:tcPr>
          <w:p w14:paraId="71FDBF34">
            <w:pPr>
              <w:keepNext w:val="0"/>
              <w:keepLines w:val="0"/>
              <w:widowControl/>
              <w:suppressLineNumbers w:val="0"/>
              <w:spacing w:before="0" w:beforeAutospacing="0" w:after="0" w:afterAutospacing="0"/>
              <w:ind w:left="0" w:right="0"/>
              <w:jc w:val="left"/>
              <w:rPr>
                <w:rFonts w:hint="default" w:ascii="仿宋" w:hAnsi="仿宋" w:eastAsia="仿宋" w:cs="宋体"/>
                <w:kern w:val="0"/>
                <w:sz w:val="22"/>
                <w:szCs w:val="22"/>
              </w:rPr>
            </w:pPr>
            <w:r>
              <w:rPr>
                <w:rFonts w:hint="eastAsia" w:ascii="仿宋" w:hAnsi="仿宋" w:eastAsia="仿宋" w:cs="宋体"/>
                <w:kern w:val="0"/>
                <w:sz w:val="22"/>
                <w:szCs w:val="22"/>
              </w:rPr>
              <w:t>　</w:t>
            </w:r>
          </w:p>
        </w:tc>
        <w:tc>
          <w:tcPr>
            <w:tcW w:w="627" w:type="dxa"/>
            <w:tcBorders>
              <w:top w:val="single" w:color="auto" w:sz="4" w:space="0"/>
              <w:left w:val="nil"/>
              <w:bottom w:val="single" w:color="auto" w:sz="4" w:space="0"/>
              <w:right w:val="single" w:color="auto" w:sz="4" w:space="0"/>
            </w:tcBorders>
            <w:noWrap w:val="0"/>
            <w:vAlign w:val="center"/>
          </w:tcPr>
          <w:p w14:paraId="4051D566">
            <w:pPr>
              <w:keepNext w:val="0"/>
              <w:keepLines w:val="0"/>
              <w:widowControl/>
              <w:suppressLineNumbers w:val="0"/>
              <w:spacing w:before="0" w:beforeAutospacing="0" w:after="0" w:afterAutospacing="0"/>
              <w:ind w:left="0" w:right="0"/>
              <w:jc w:val="left"/>
              <w:rPr>
                <w:rFonts w:hint="default" w:ascii="仿宋" w:hAnsi="仿宋" w:eastAsia="仿宋" w:cs="宋体"/>
                <w:kern w:val="0"/>
                <w:sz w:val="22"/>
                <w:szCs w:val="22"/>
              </w:rPr>
            </w:pPr>
            <w:r>
              <w:rPr>
                <w:rFonts w:hint="eastAsia" w:ascii="仿宋" w:hAnsi="仿宋" w:eastAsia="仿宋" w:cs="宋体"/>
                <w:kern w:val="0"/>
                <w:sz w:val="22"/>
                <w:szCs w:val="22"/>
              </w:rPr>
              <w:t>　</w:t>
            </w:r>
          </w:p>
        </w:tc>
      </w:tr>
      <w:tr w14:paraId="1F94A988">
        <w:tblPrEx>
          <w:tblCellMar>
            <w:top w:w="0" w:type="dxa"/>
            <w:left w:w="108" w:type="dxa"/>
            <w:bottom w:w="0" w:type="dxa"/>
            <w:right w:w="108" w:type="dxa"/>
          </w:tblCellMar>
        </w:tblPrEx>
        <w:trPr>
          <w:trHeight w:val="505" w:hRule="atLeast"/>
        </w:trPr>
        <w:tc>
          <w:tcPr>
            <w:tcW w:w="2217" w:type="dxa"/>
            <w:tcBorders>
              <w:top w:val="single" w:color="auto" w:sz="4" w:space="0"/>
              <w:left w:val="single" w:color="auto" w:sz="4" w:space="0"/>
              <w:bottom w:val="single" w:color="auto" w:sz="4" w:space="0"/>
              <w:right w:val="single" w:color="auto" w:sz="4" w:space="0"/>
            </w:tcBorders>
            <w:noWrap w:val="0"/>
            <w:vAlign w:val="center"/>
          </w:tcPr>
          <w:p w14:paraId="48545C21">
            <w:pPr>
              <w:keepNext w:val="0"/>
              <w:keepLines w:val="0"/>
              <w:widowControl/>
              <w:suppressLineNumbers w:val="0"/>
              <w:spacing w:before="0" w:beforeAutospacing="0" w:after="0" w:afterAutospacing="0"/>
              <w:ind w:left="0" w:right="0"/>
              <w:jc w:val="center"/>
              <w:rPr>
                <w:rFonts w:hint="eastAsia" w:ascii="仿宋" w:hAnsi="仿宋" w:eastAsia="仿宋" w:cs="宋体"/>
                <w:kern w:val="0"/>
                <w:sz w:val="22"/>
                <w:szCs w:val="22"/>
              </w:rPr>
            </w:pPr>
            <w:r>
              <w:rPr>
                <w:rFonts w:hint="eastAsia" w:ascii="仿宋" w:hAnsi="仿宋" w:eastAsia="仿宋" w:cs="宋体"/>
                <w:kern w:val="0"/>
                <w:sz w:val="22"/>
                <w:szCs w:val="22"/>
              </w:rPr>
              <w:t>未发现影响采购人决策行为（1.</w:t>
            </w:r>
            <w:r>
              <w:rPr>
                <w:rFonts w:hint="default" w:ascii="仿宋" w:hAnsi="仿宋" w:eastAsia="仿宋" w:cs="宋体"/>
                <w:kern w:val="0"/>
                <w:sz w:val="22"/>
                <w:szCs w:val="22"/>
              </w:rPr>
              <w:t>7</w:t>
            </w:r>
            <w:r>
              <w:rPr>
                <w:rFonts w:hint="eastAsia" w:ascii="仿宋" w:hAnsi="仿宋" w:eastAsia="仿宋" w:cs="宋体"/>
                <w:kern w:val="0"/>
                <w:sz w:val="22"/>
                <w:szCs w:val="22"/>
              </w:rPr>
              <w:t>）</w:t>
            </w:r>
          </w:p>
        </w:tc>
        <w:tc>
          <w:tcPr>
            <w:tcW w:w="5087" w:type="dxa"/>
            <w:tcBorders>
              <w:top w:val="single" w:color="auto" w:sz="4" w:space="0"/>
              <w:left w:val="nil"/>
              <w:bottom w:val="single" w:color="auto" w:sz="4" w:space="0"/>
              <w:right w:val="single" w:color="auto" w:sz="4" w:space="0"/>
            </w:tcBorders>
            <w:noWrap w:val="0"/>
            <w:vAlign w:val="center"/>
          </w:tcPr>
          <w:p w14:paraId="0DC45812">
            <w:pPr>
              <w:keepNext w:val="0"/>
              <w:keepLines w:val="0"/>
              <w:widowControl/>
              <w:suppressLineNumbers w:val="0"/>
              <w:spacing w:before="0" w:beforeAutospacing="0" w:after="0" w:afterAutospacing="0"/>
              <w:ind w:left="0" w:right="0"/>
              <w:jc w:val="center"/>
              <w:rPr>
                <w:rFonts w:hint="eastAsia" w:ascii="仿宋" w:hAnsi="仿宋" w:eastAsia="仿宋" w:cs="宋体"/>
                <w:kern w:val="0"/>
                <w:szCs w:val="21"/>
              </w:rPr>
            </w:pPr>
            <w:r>
              <w:rPr>
                <w:rFonts w:hint="eastAsia" w:ascii="仿宋" w:hAnsi="仿宋" w:eastAsia="仿宋" w:cs="Times New Roman"/>
                <w:szCs w:val="21"/>
              </w:rPr>
              <w:t>投标人在投标过程中未向采购人提供、给予任何有价值的物品，影响其正常决策行为。</w:t>
            </w:r>
          </w:p>
        </w:tc>
        <w:tc>
          <w:tcPr>
            <w:tcW w:w="545" w:type="dxa"/>
            <w:tcBorders>
              <w:top w:val="single" w:color="auto" w:sz="4" w:space="0"/>
              <w:left w:val="nil"/>
              <w:bottom w:val="single" w:color="auto" w:sz="4" w:space="0"/>
              <w:right w:val="single" w:color="auto" w:sz="4" w:space="0"/>
            </w:tcBorders>
            <w:noWrap w:val="0"/>
            <w:vAlign w:val="center"/>
          </w:tcPr>
          <w:p w14:paraId="6A89BC22">
            <w:pPr>
              <w:keepNext w:val="0"/>
              <w:keepLines w:val="0"/>
              <w:widowControl/>
              <w:suppressLineNumbers w:val="0"/>
              <w:spacing w:before="0" w:beforeAutospacing="0" w:after="0" w:afterAutospacing="0"/>
              <w:ind w:left="0" w:right="0"/>
              <w:jc w:val="left"/>
              <w:rPr>
                <w:rFonts w:hint="eastAsia" w:ascii="仿宋" w:hAnsi="仿宋" w:eastAsia="仿宋" w:cs="宋体"/>
                <w:kern w:val="0"/>
                <w:sz w:val="22"/>
                <w:szCs w:val="22"/>
              </w:rPr>
            </w:pPr>
            <w:r>
              <w:rPr>
                <w:rFonts w:hint="eastAsia" w:ascii="仿宋" w:hAnsi="仿宋" w:eastAsia="仿宋" w:cs="宋体"/>
                <w:kern w:val="0"/>
                <w:sz w:val="22"/>
                <w:szCs w:val="22"/>
              </w:rPr>
              <w:t>　</w:t>
            </w:r>
          </w:p>
        </w:tc>
        <w:tc>
          <w:tcPr>
            <w:tcW w:w="583" w:type="dxa"/>
            <w:tcBorders>
              <w:top w:val="single" w:color="auto" w:sz="4" w:space="0"/>
              <w:left w:val="nil"/>
              <w:bottom w:val="single" w:color="auto" w:sz="4" w:space="0"/>
              <w:right w:val="single" w:color="auto" w:sz="4" w:space="0"/>
            </w:tcBorders>
            <w:noWrap w:val="0"/>
            <w:vAlign w:val="center"/>
          </w:tcPr>
          <w:p w14:paraId="7B327C83">
            <w:pPr>
              <w:keepNext w:val="0"/>
              <w:keepLines w:val="0"/>
              <w:widowControl/>
              <w:suppressLineNumbers w:val="0"/>
              <w:spacing w:before="0" w:beforeAutospacing="0" w:after="0" w:afterAutospacing="0"/>
              <w:ind w:left="0" w:right="0"/>
              <w:jc w:val="left"/>
              <w:rPr>
                <w:rFonts w:hint="eastAsia" w:ascii="仿宋" w:hAnsi="仿宋" w:eastAsia="仿宋" w:cs="宋体"/>
                <w:kern w:val="0"/>
                <w:sz w:val="22"/>
                <w:szCs w:val="22"/>
              </w:rPr>
            </w:pPr>
            <w:r>
              <w:rPr>
                <w:rFonts w:hint="eastAsia" w:ascii="仿宋" w:hAnsi="仿宋" w:eastAsia="仿宋" w:cs="宋体"/>
                <w:kern w:val="0"/>
                <w:sz w:val="22"/>
                <w:szCs w:val="22"/>
              </w:rPr>
              <w:t>　</w:t>
            </w:r>
          </w:p>
        </w:tc>
        <w:tc>
          <w:tcPr>
            <w:tcW w:w="627" w:type="dxa"/>
            <w:tcBorders>
              <w:top w:val="single" w:color="auto" w:sz="4" w:space="0"/>
              <w:left w:val="nil"/>
              <w:bottom w:val="single" w:color="auto" w:sz="4" w:space="0"/>
              <w:right w:val="single" w:color="auto" w:sz="4" w:space="0"/>
            </w:tcBorders>
            <w:noWrap w:val="0"/>
            <w:vAlign w:val="center"/>
          </w:tcPr>
          <w:p w14:paraId="1AAAC524">
            <w:pPr>
              <w:keepNext w:val="0"/>
              <w:keepLines w:val="0"/>
              <w:widowControl/>
              <w:suppressLineNumbers w:val="0"/>
              <w:spacing w:before="0" w:beforeAutospacing="0" w:after="0" w:afterAutospacing="0"/>
              <w:ind w:left="0" w:right="0"/>
              <w:jc w:val="left"/>
              <w:rPr>
                <w:rFonts w:hint="eastAsia" w:ascii="仿宋" w:hAnsi="仿宋" w:eastAsia="仿宋" w:cs="宋体"/>
                <w:kern w:val="0"/>
                <w:sz w:val="22"/>
                <w:szCs w:val="22"/>
              </w:rPr>
            </w:pPr>
            <w:r>
              <w:rPr>
                <w:rFonts w:hint="eastAsia" w:ascii="仿宋" w:hAnsi="仿宋" w:eastAsia="仿宋" w:cs="宋体"/>
                <w:kern w:val="0"/>
                <w:sz w:val="22"/>
                <w:szCs w:val="22"/>
              </w:rPr>
              <w:t>　</w:t>
            </w:r>
          </w:p>
        </w:tc>
      </w:tr>
      <w:tr w14:paraId="13C829CA">
        <w:tblPrEx>
          <w:tblCellMar>
            <w:top w:w="0" w:type="dxa"/>
            <w:left w:w="108" w:type="dxa"/>
            <w:bottom w:w="0" w:type="dxa"/>
            <w:right w:w="108" w:type="dxa"/>
          </w:tblCellMar>
        </w:tblPrEx>
        <w:trPr>
          <w:trHeight w:val="505" w:hRule="atLeast"/>
        </w:trPr>
        <w:tc>
          <w:tcPr>
            <w:tcW w:w="2217" w:type="dxa"/>
            <w:tcBorders>
              <w:top w:val="single" w:color="auto" w:sz="4" w:space="0"/>
              <w:left w:val="single" w:color="auto" w:sz="4" w:space="0"/>
              <w:bottom w:val="single" w:color="auto" w:sz="4" w:space="0"/>
              <w:right w:val="single" w:color="auto" w:sz="4" w:space="0"/>
            </w:tcBorders>
            <w:noWrap w:val="0"/>
            <w:vAlign w:val="center"/>
          </w:tcPr>
          <w:p w14:paraId="07D50C3E">
            <w:pPr>
              <w:keepNext w:val="0"/>
              <w:keepLines w:val="0"/>
              <w:widowControl/>
              <w:suppressLineNumbers w:val="0"/>
              <w:spacing w:before="0" w:beforeAutospacing="0" w:after="0" w:afterAutospacing="0"/>
              <w:ind w:left="0" w:right="0"/>
              <w:jc w:val="left"/>
              <w:rPr>
                <w:rFonts w:hint="default" w:ascii="仿宋" w:hAnsi="仿宋" w:eastAsia="仿宋" w:cs="宋体"/>
                <w:kern w:val="0"/>
                <w:sz w:val="22"/>
                <w:szCs w:val="22"/>
              </w:rPr>
            </w:pPr>
            <w:r>
              <w:rPr>
                <w:rFonts w:hint="eastAsia" w:ascii="仿宋" w:hAnsi="仿宋" w:eastAsia="仿宋" w:cs="宋体"/>
                <w:kern w:val="0"/>
                <w:sz w:val="22"/>
                <w:szCs w:val="22"/>
              </w:rPr>
              <w:t>满足投标范围的完整性要求（8.1）</w:t>
            </w:r>
          </w:p>
        </w:tc>
        <w:tc>
          <w:tcPr>
            <w:tcW w:w="5087" w:type="dxa"/>
            <w:tcBorders>
              <w:top w:val="single" w:color="auto" w:sz="4" w:space="0"/>
              <w:left w:val="nil"/>
              <w:bottom w:val="single" w:color="auto" w:sz="4" w:space="0"/>
              <w:right w:val="single" w:color="auto" w:sz="4" w:space="0"/>
            </w:tcBorders>
            <w:noWrap w:val="0"/>
            <w:vAlign w:val="center"/>
          </w:tcPr>
          <w:p w14:paraId="5A07682C">
            <w:pPr>
              <w:keepNext w:val="0"/>
              <w:keepLines w:val="0"/>
              <w:widowControl/>
              <w:suppressLineNumbers w:val="0"/>
              <w:spacing w:before="0" w:beforeAutospacing="0" w:after="0" w:afterAutospacing="0"/>
              <w:ind w:left="0" w:right="0"/>
              <w:jc w:val="center"/>
              <w:rPr>
                <w:rFonts w:hint="default" w:ascii="仿宋" w:hAnsi="仿宋" w:eastAsia="仿宋" w:cs="宋体"/>
                <w:kern w:val="0"/>
                <w:szCs w:val="21"/>
              </w:rPr>
            </w:pPr>
            <w:r>
              <w:rPr>
                <w:rFonts w:hint="eastAsia" w:ascii="仿宋" w:hAnsi="仿宋" w:eastAsia="仿宋" w:cs="Times New Roman"/>
                <w:szCs w:val="21"/>
              </w:rPr>
              <w:t>投标人</w:t>
            </w:r>
            <w:r>
              <w:rPr>
                <w:rFonts w:hint="default" w:ascii="仿宋" w:hAnsi="仿宋" w:eastAsia="仿宋" w:cs="Times New Roman"/>
                <w:szCs w:val="21"/>
              </w:rPr>
              <w:t>对所投分包</w:t>
            </w:r>
            <w:r>
              <w:rPr>
                <w:rFonts w:hint="eastAsia" w:ascii="仿宋" w:hAnsi="仿宋" w:eastAsia="仿宋" w:cs="Times New Roman"/>
                <w:szCs w:val="21"/>
              </w:rPr>
              <w:t xml:space="preserve">招标文件中所列的所有服务内容进行投标。 </w:t>
            </w:r>
          </w:p>
        </w:tc>
        <w:tc>
          <w:tcPr>
            <w:tcW w:w="545" w:type="dxa"/>
            <w:tcBorders>
              <w:top w:val="single" w:color="auto" w:sz="4" w:space="0"/>
              <w:left w:val="nil"/>
              <w:bottom w:val="single" w:color="auto" w:sz="4" w:space="0"/>
              <w:right w:val="single" w:color="auto" w:sz="4" w:space="0"/>
            </w:tcBorders>
            <w:noWrap w:val="0"/>
            <w:vAlign w:val="center"/>
          </w:tcPr>
          <w:p w14:paraId="4FA76C40">
            <w:pPr>
              <w:keepNext w:val="0"/>
              <w:keepLines w:val="0"/>
              <w:widowControl/>
              <w:suppressLineNumbers w:val="0"/>
              <w:spacing w:before="0" w:beforeAutospacing="0" w:after="0" w:afterAutospacing="0"/>
              <w:ind w:left="0" w:right="0"/>
              <w:jc w:val="left"/>
              <w:rPr>
                <w:rFonts w:hint="default" w:ascii="仿宋" w:hAnsi="仿宋" w:eastAsia="仿宋" w:cs="宋体"/>
                <w:kern w:val="0"/>
                <w:sz w:val="22"/>
                <w:szCs w:val="22"/>
              </w:rPr>
            </w:pPr>
          </w:p>
        </w:tc>
        <w:tc>
          <w:tcPr>
            <w:tcW w:w="583" w:type="dxa"/>
            <w:tcBorders>
              <w:top w:val="single" w:color="auto" w:sz="4" w:space="0"/>
              <w:left w:val="nil"/>
              <w:bottom w:val="single" w:color="auto" w:sz="4" w:space="0"/>
              <w:right w:val="single" w:color="auto" w:sz="4" w:space="0"/>
            </w:tcBorders>
            <w:noWrap w:val="0"/>
            <w:vAlign w:val="center"/>
          </w:tcPr>
          <w:p w14:paraId="1C3F0841">
            <w:pPr>
              <w:keepNext w:val="0"/>
              <w:keepLines w:val="0"/>
              <w:widowControl/>
              <w:suppressLineNumbers w:val="0"/>
              <w:spacing w:before="0" w:beforeAutospacing="0" w:after="0" w:afterAutospacing="0"/>
              <w:ind w:left="0" w:right="0"/>
              <w:jc w:val="left"/>
              <w:rPr>
                <w:rFonts w:hint="default" w:ascii="仿宋" w:hAnsi="仿宋" w:eastAsia="仿宋" w:cs="宋体"/>
                <w:kern w:val="0"/>
                <w:sz w:val="22"/>
                <w:szCs w:val="22"/>
              </w:rPr>
            </w:pPr>
          </w:p>
        </w:tc>
        <w:tc>
          <w:tcPr>
            <w:tcW w:w="627" w:type="dxa"/>
            <w:tcBorders>
              <w:top w:val="single" w:color="auto" w:sz="4" w:space="0"/>
              <w:left w:val="nil"/>
              <w:bottom w:val="single" w:color="auto" w:sz="4" w:space="0"/>
              <w:right w:val="single" w:color="auto" w:sz="4" w:space="0"/>
            </w:tcBorders>
            <w:noWrap w:val="0"/>
            <w:vAlign w:val="center"/>
          </w:tcPr>
          <w:p w14:paraId="14FBEAC9">
            <w:pPr>
              <w:keepNext w:val="0"/>
              <w:keepLines w:val="0"/>
              <w:widowControl/>
              <w:suppressLineNumbers w:val="0"/>
              <w:spacing w:before="0" w:beforeAutospacing="0" w:after="0" w:afterAutospacing="0"/>
              <w:ind w:left="0" w:right="0"/>
              <w:jc w:val="left"/>
              <w:rPr>
                <w:rFonts w:hint="default" w:ascii="仿宋" w:hAnsi="仿宋" w:eastAsia="仿宋" w:cs="宋体"/>
                <w:kern w:val="0"/>
                <w:sz w:val="22"/>
                <w:szCs w:val="22"/>
              </w:rPr>
            </w:pPr>
          </w:p>
        </w:tc>
      </w:tr>
      <w:tr w14:paraId="26B02BA1">
        <w:tblPrEx>
          <w:tblCellMar>
            <w:top w:w="0" w:type="dxa"/>
            <w:left w:w="108" w:type="dxa"/>
            <w:bottom w:w="0" w:type="dxa"/>
            <w:right w:w="108" w:type="dxa"/>
          </w:tblCellMar>
        </w:tblPrEx>
        <w:trPr>
          <w:trHeight w:val="505" w:hRule="atLeast"/>
        </w:trPr>
        <w:tc>
          <w:tcPr>
            <w:tcW w:w="2217" w:type="dxa"/>
            <w:tcBorders>
              <w:top w:val="single" w:color="auto" w:sz="4" w:space="0"/>
              <w:left w:val="single" w:color="auto" w:sz="4" w:space="0"/>
              <w:bottom w:val="single" w:color="auto" w:sz="4" w:space="0"/>
              <w:right w:val="single" w:color="auto" w:sz="4" w:space="0"/>
            </w:tcBorders>
            <w:noWrap w:val="0"/>
            <w:vAlign w:val="center"/>
          </w:tcPr>
          <w:p w14:paraId="3D63D48A">
            <w:pPr>
              <w:keepNext w:val="0"/>
              <w:keepLines w:val="0"/>
              <w:widowControl/>
              <w:suppressLineNumbers w:val="0"/>
              <w:spacing w:before="0" w:beforeAutospacing="0" w:after="0" w:afterAutospacing="0"/>
              <w:ind w:left="0" w:right="0"/>
              <w:jc w:val="left"/>
              <w:rPr>
                <w:rFonts w:hint="default" w:ascii="仿宋" w:hAnsi="仿宋" w:eastAsia="仿宋" w:cs="宋体"/>
                <w:kern w:val="0"/>
                <w:sz w:val="22"/>
                <w:szCs w:val="22"/>
              </w:rPr>
            </w:pPr>
            <w:r>
              <w:rPr>
                <w:rFonts w:hint="eastAsia" w:ascii="仿宋" w:hAnsi="仿宋" w:eastAsia="仿宋" w:cs="宋体"/>
                <w:kern w:val="0"/>
                <w:sz w:val="22"/>
                <w:szCs w:val="22"/>
              </w:rPr>
              <w:t>未包含价格调整要求（11.</w:t>
            </w:r>
            <w:r>
              <w:rPr>
                <w:rFonts w:hint="default" w:ascii="仿宋" w:hAnsi="仿宋" w:eastAsia="仿宋" w:cs="宋体"/>
                <w:kern w:val="0"/>
                <w:sz w:val="22"/>
                <w:szCs w:val="22"/>
              </w:rPr>
              <w:t>4</w:t>
            </w:r>
            <w:r>
              <w:rPr>
                <w:rFonts w:hint="eastAsia" w:ascii="仿宋" w:hAnsi="仿宋" w:eastAsia="仿宋" w:cs="宋体"/>
                <w:kern w:val="0"/>
                <w:sz w:val="22"/>
                <w:szCs w:val="22"/>
              </w:rPr>
              <w:t>）</w:t>
            </w:r>
          </w:p>
        </w:tc>
        <w:tc>
          <w:tcPr>
            <w:tcW w:w="5087" w:type="dxa"/>
            <w:tcBorders>
              <w:top w:val="single" w:color="auto" w:sz="4" w:space="0"/>
              <w:left w:val="nil"/>
              <w:bottom w:val="single" w:color="auto" w:sz="4" w:space="0"/>
              <w:right w:val="single" w:color="auto" w:sz="4" w:space="0"/>
            </w:tcBorders>
            <w:noWrap w:val="0"/>
            <w:vAlign w:val="center"/>
          </w:tcPr>
          <w:p w14:paraId="29BF0026">
            <w:pPr>
              <w:keepNext w:val="0"/>
              <w:keepLines w:val="0"/>
              <w:widowControl/>
              <w:suppressLineNumbers w:val="0"/>
              <w:spacing w:before="0" w:beforeAutospacing="0" w:after="0" w:afterAutospacing="0"/>
              <w:ind w:left="0" w:right="0"/>
              <w:jc w:val="center"/>
              <w:rPr>
                <w:rFonts w:hint="default" w:ascii="仿宋" w:hAnsi="仿宋" w:eastAsia="仿宋" w:cs="宋体"/>
                <w:kern w:val="0"/>
                <w:szCs w:val="21"/>
              </w:rPr>
            </w:pPr>
            <w:r>
              <w:rPr>
                <w:rFonts w:hint="eastAsia" w:ascii="仿宋" w:hAnsi="仿宋" w:eastAsia="仿宋" w:cs="Times New Roman"/>
                <w:szCs w:val="21"/>
              </w:rPr>
              <w:t>投标人所报的各分项投标报价在合同履行过程中是固定不变的，不得以任何理由予以变更。</w:t>
            </w:r>
          </w:p>
        </w:tc>
        <w:tc>
          <w:tcPr>
            <w:tcW w:w="545" w:type="dxa"/>
            <w:tcBorders>
              <w:top w:val="single" w:color="auto" w:sz="4" w:space="0"/>
              <w:left w:val="nil"/>
              <w:bottom w:val="single" w:color="auto" w:sz="4" w:space="0"/>
              <w:right w:val="single" w:color="auto" w:sz="4" w:space="0"/>
            </w:tcBorders>
            <w:noWrap w:val="0"/>
            <w:vAlign w:val="center"/>
          </w:tcPr>
          <w:p w14:paraId="4B3CB9DC">
            <w:pPr>
              <w:keepNext w:val="0"/>
              <w:keepLines w:val="0"/>
              <w:widowControl/>
              <w:suppressLineNumbers w:val="0"/>
              <w:spacing w:before="0" w:beforeAutospacing="0" w:after="0" w:afterAutospacing="0"/>
              <w:ind w:left="0" w:right="0"/>
              <w:jc w:val="left"/>
              <w:rPr>
                <w:rFonts w:hint="default" w:ascii="仿宋" w:hAnsi="仿宋" w:eastAsia="仿宋" w:cs="宋体"/>
                <w:kern w:val="0"/>
                <w:sz w:val="22"/>
                <w:szCs w:val="22"/>
              </w:rPr>
            </w:pPr>
            <w:r>
              <w:rPr>
                <w:rFonts w:hint="eastAsia" w:ascii="仿宋" w:hAnsi="仿宋" w:eastAsia="仿宋" w:cs="宋体"/>
                <w:kern w:val="0"/>
                <w:sz w:val="22"/>
                <w:szCs w:val="22"/>
              </w:rPr>
              <w:t>　</w:t>
            </w:r>
          </w:p>
        </w:tc>
        <w:tc>
          <w:tcPr>
            <w:tcW w:w="583" w:type="dxa"/>
            <w:tcBorders>
              <w:top w:val="single" w:color="auto" w:sz="4" w:space="0"/>
              <w:left w:val="nil"/>
              <w:bottom w:val="single" w:color="auto" w:sz="4" w:space="0"/>
              <w:right w:val="single" w:color="auto" w:sz="4" w:space="0"/>
            </w:tcBorders>
            <w:noWrap w:val="0"/>
            <w:vAlign w:val="center"/>
          </w:tcPr>
          <w:p w14:paraId="3D5B29F1">
            <w:pPr>
              <w:keepNext w:val="0"/>
              <w:keepLines w:val="0"/>
              <w:widowControl/>
              <w:suppressLineNumbers w:val="0"/>
              <w:spacing w:before="0" w:beforeAutospacing="0" w:after="0" w:afterAutospacing="0"/>
              <w:ind w:left="0" w:right="0"/>
              <w:jc w:val="left"/>
              <w:rPr>
                <w:rFonts w:hint="default" w:ascii="仿宋" w:hAnsi="仿宋" w:eastAsia="仿宋" w:cs="宋体"/>
                <w:kern w:val="0"/>
                <w:sz w:val="22"/>
                <w:szCs w:val="22"/>
              </w:rPr>
            </w:pPr>
            <w:r>
              <w:rPr>
                <w:rFonts w:hint="eastAsia" w:ascii="仿宋" w:hAnsi="仿宋" w:eastAsia="仿宋" w:cs="宋体"/>
                <w:kern w:val="0"/>
                <w:sz w:val="22"/>
                <w:szCs w:val="22"/>
              </w:rPr>
              <w:t>　</w:t>
            </w:r>
          </w:p>
        </w:tc>
        <w:tc>
          <w:tcPr>
            <w:tcW w:w="627" w:type="dxa"/>
            <w:tcBorders>
              <w:top w:val="single" w:color="auto" w:sz="4" w:space="0"/>
              <w:left w:val="nil"/>
              <w:bottom w:val="single" w:color="auto" w:sz="4" w:space="0"/>
              <w:right w:val="single" w:color="auto" w:sz="4" w:space="0"/>
            </w:tcBorders>
            <w:noWrap w:val="0"/>
            <w:vAlign w:val="center"/>
          </w:tcPr>
          <w:p w14:paraId="5E6CCA9C">
            <w:pPr>
              <w:keepNext w:val="0"/>
              <w:keepLines w:val="0"/>
              <w:widowControl/>
              <w:suppressLineNumbers w:val="0"/>
              <w:spacing w:before="0" w:beforeAutospacing="0" w:after="0" w:afterAutospacing="0"/>
              <w:ind w:left="0" w:right="0"/>
              <w:jc w:val="left"/>
              <w:rPr>
                <w:rFonts w:hint="default" w:ascii="仿宋" w:hAnsi="仿宋" w:eastAsia="仿宋" w:cs="宋体"/>
                <w:kern w:val="0"/>
                <w:sz w:val="22"/>
                <w:szCs w:val="22"/>
              </w:rPr>
            </w:pPr>
            <w:r>
              <w:rPr>
                <w:rFonts w:hint="eastAsia" w:ascii="仿宋" w:hAnsi="仿宋" w:eastAsia="仿宋" w:cs="宋体"/>
                <w:kern w:val="0"/>
                <w:sz w:val="22"/>
                <w:szCs w:val="22"/>
              </w:rPr>
              <w:t>　</w:t>
            </w:r>
          </w:p>
        </w:tc>
      </w:tr>
      <w:tr w14:paraId="1190DE2B">
        <w:tblPrEx>
          <w:tblCellMar>
            <w:top w:w="0" w:type="dxa"/>
            <w:left w:w="108" w:type="dxa"/>
            <w:bottom w:w="0" w:type="dxa"/>
            <w:right w:w="108" w:type="dxa"/>
          </w:tblCellMar>
        </w:tblPrEx>
        <w:trPr>
          <w:trHeight w:val="371" w:hRule="atLeast"/>
        </w:trPr>
        <w:tc>
          <w:tcPr>
            <w:tcW w:w="2217" w:type="dxa"/>
            <w:tcBorders>
              <w:top w:val="single" w:color="auto" w:sz="4" w:space="0"/>
              <w:left w:val="single" w:color="auto" w:sz="4" w:space="0"/>
              <w:bottom w:val="single" w:color="auto" w:sz="4" w:space="0"/>
              <w:right w:val="single" w:color="auto" w:sz="4" w:space="0"/>
            </w:tcBorders>
            <w:noWrap w:val="0"/>
            <w:vAlign w:val="center"/>
          </w:tcPr>
          <w:p w14:paraId="63A2FCE5">
            <w:pPr>
              <w:keepNext w:val="0"/>
              <w:keepLines w:val="0"/>
              <w:widowControl/>
              <w:suppressLineNumbers w:val="0"/>
              <w:spacing w:before="0" w:beforeAutospacing="0" w:after="0" w:afterAutospacing="0"/>
              <w:ind w:left="0" w:right="0"/>
              <w:jc w:val="center"/>
              <w:rPr>
                <w:rFonts w:hint="eastAsia" w:ascii="仿宋" w:hAnsi="仿宋" w:eastAsia="仿宋" w:cs="宋体"/>
                <w:kern w:val="0"/>
                <w:sz w:val="22"/>
                <w:szCs w:val="22"/>
              </w:rPr>
            </w:pPr>
            <w:r>
              <w:rPr>
                <w:rFonts w:hint="eastAsia" w:ascii="仿宋" w:hAnsi="仿宋" w:eastAsia="仿宋" w:cs="宋体"/>
                <w:kern w:val="0"/>
                <w:sz w:val="22"/>
                <w:szCs w:val="22"/>
              </w:rPr>
              <w:t>投标</w:t>
            </w:r>
            <w:r>
              <w:rPr>
                <w:rFonts w:hint="default" w:ascii="仿宋" w:hAnsi="仿宋" w:eastAsia="仿宋" w:cs="宋体"/>
                <w:kern w:val="0"/>
                <w:sz w:val="22"/>
                <w:szCs w:val="22"/>
              </w:rPr>
              <w:t>保证金（</w:t>
            </w:r>
            <w:r>
              <w:rPr>
                <w:rFonts w:hint="eastAsia" w:ascii="仿宋" w:hAnsi="仿宋" w:eastAsia="仿宋" w:cs="宋体"/>
                <w:kern w:val="0"/>
                <w:sz w:val="22"/>
                <w:szCs w:val="22"/>
              </w:rPr>
              <w:t>12.1</w:t>
            </w:r>
            <w:r>
              <w:rPr>
                <w:rFonts w:hint="default" w:ascii="仿宋" w:hAnsi="仿宋" w:eastAsia="仿宋" w:cs="宋体"/>
                <w:kern w:val="0"/>
                <w:sz w:val="22"/>
                <w:szCs w:val="22"/>
              </w:rPr>
              <w:t>）</w:t>
            </w:r>
          </w:p>
        </w:tc>
        <w:tc>
          <w:tcPr>
            <w:tcW w:w="5087" w:type="dxa"/>
            <w:tcBorders>
              <w:top w:val="single" w:color="auto" w:sz="4" w:space="0"/>
              <w:left w:val="nil"/>
              <w:bottom w:val="single" w:color="auto" w:sz="4" w:space="0"/>
              <w:right w:val="single" w:color="auto" w:sz="4" w:space="0"/>
            </w:tcBorders>
            <w:noWrap w:val="0"/>
            <w:vAlign w:val="center"/>
          </w:tcPr>
          <w:p w14:paraId="2F00197D">
            <w:pPr>
              <w:keepNext w:val="0"/>
              <w:keepLines w:val="0"/>
              <w:widowControl/>
              <w:suppressLineNumbers w:val="0"/>
              <w:spacing w:before="0" w:beforeAutospacing="0" w:after="0" w:afterAutospacing="0"/>
              <w:ind w:left="0" w:right="0"/>
              <w:jc w:val="center"/>
              <w:rPr>
                <w:rFonts w:hint="eastAsia" w:ascii="仿宋" w:hAnsi="仿宋" w:eastAsia="仿宋" w:cs="Times New Roman"/>
                <w:szCs w:val="21"/>
              </w:rPr>
            </w:pPr>
            <w:r>
              <w:rPr>
                <w:rFonts w:hint="eastAsia" w:ascii="仿宋" w:hAnsi="仿宋" w:eastAsia="仿宋" w:cs="Times New Roman"/>
                <w:szCs w:val="21"/>
              </w:rPr>
              <w:t>符合</w:t>
            </w:r>
            <w:r>
              <w:rPr>
                <w:rFonts w:hint="default" w:ascii="仿宋" w:hAnsi="仿宋" w:eastAsia="仿宋" w:cs="Times New Roman"/>
                <w:szCs w:val="21"/>
              </w:rPr>
              <w:t>招标文件要求</w:t>
            </w:r>
          </w:p>
        </w:tc>
        <w:tc>
          <w:tcPr>
            <w:tcW w:w="545" w:type="dxa"/>
            <w:tcBorders>
              <w:top w:val="single" w:color="auto" w:sz="4" w:space="0"/>
              <w:left w:val="nil"/>
              <w:bottom w:val="single" w:color="auto" w:sz="4" w:space="0"/>
              <w:right w:val="single" w:color="auto" w:sz="4" w:space="0"/>
            </w:tcBorders>
            <w:noWrap w:val="0"/>
            <w:vAlign w:val="center"/>
          </w:tcPr>
          <w:p w14:paraId="775DFC82">
            <w:pPr>
              <w:keepNext w:val="0"/>
              <w:keepLines w:val="0"/>
              <w:widowControl/>
              <w:suppressLineNumbers w:val="0"/>
              <w:spacing w:before="0" w:beforeAutospacing="0" w:after="0" w:afterAutospacing="0"/>
              <w:ind w:left="0" w:right="0"/>
              <w:jc w:val="left"/>
              <w:rPr>
                <w:rFonts w:hint="eastAsia" w:ascii="仿宋" w:hAnsi="仿宋" w:eastAsia="仿宋" w:cs="宋体"/>
                <w:kern w:val="0"/>
                <w:sz w:val="22"/>
                <w:szCs w:val="22"/>
              </w:rPr>
            </w:pPr>
          </w:p>
        </w:tc>
        <w:tc>
          <w:tcPr>
            <w:tcW w:w="583" w:type="dxa"/>
            <w:tcBorders>
              <w:top w:val="single" w:color="auto" w:sz="4" w:space="0"/>
              <w:left w:val="nil"/>
              <w:bottom w:val="single" w:color="auto" w:sz="4" w:space="0"/>
              <w:right w:val="single" w:color="auto" w:sz="4" w:space="0"/>
            </w:tcBorders>
            <w:noWrap w:val="0"/>
            <w:vAlign w:val="center"/>
          </w:tcPr>
          <w:p w14:paraId="4FCAAE33">
            <w:pPr>
              <w:keepNext w:val="0"/>
              <w:keepLines w:val="0"/>
              <w:widowControl/>
              <w:suppressLineNumbers w:val="0"/>
              <w:spacing w:before="0" w:beforeAutospacing="0" w:after="0" w:afterAutospacing="0"/>
              <w:ind w:left="0" w:right="0"/>
              <w:jc w:val="left"/>
              <w:rPr>
                <w:rFonts w:hint="eastAsia" w:ascii="仿宋" w:hAnsi="仿宋" w:eastAsia="仿宋" w:cs="宋体"/>
                <w:kern w:val="0"/>
                <w:sz w:val="22"/>
                <w:szCs w:val="22"/>
              </w:rPr>
            </w:pPr>
          </w:p>
        </w:tc>
        <w:tc>
          <w:tcPr>
            <w:tcW w:w="627" w:type="dxa"/>
            <w:tcBorders>
              <w:top w:val="single" w:color="auto" w:sz="4" w:space="0"/>
              <w:left w:val="nil"/>
              <w:bottom w:val="single" w:color="auto" w:sz="4" w:space="0"/>
              <w:right w:val="single" w:color="auto" w:sz="4" w:space="0"/>
            </w:tcBorders>
            <w:noWrap w:val="0"/>
            <w:vAlign w:val="center"/>
          </w:tcPr>
          <w:p w14:paraId="5E918FC9">
            <w:pPr>
              <w:keepNext w:val="0"/>
              <w:keepLines w:val="0"/>
              <w:widowControl/>
              <w:suppressLineNumbers w:val="0"/>
              <w:spacing w:before="0" w:beforeAutospacing="0" w:after="0" w:afterAutospacing="0"/>
              <w:ind w:left="0" w:right="0"/>
              <w:jc w:val="left"/>
              <w:rPr>
                <w:rFonts w:hint="eastAsia" w:ascii="仿宋" w:hAnsi="仿宋" w:eastAsia="仿宋" w:cs="宋体"/>
                <w:kern w:val="0"/>
                <w:sz w:val="22"/>
                <w:szCs w:val="22"/>
              </w:rPr>
            </w:pPr>
          </w:p>
        </w:tc>
      </w:tr>
      <w:tr w14:paraId="0BEFB80B">
        <w:tblPrEx>
          <w:tblCellMar>
            <w:top w:w="0" w:type="dxa"/>
            <w:left w:w="108" w:type="dxa"/>
            <w:bottom w:w="0" w:type="dxa"/>
            <w:right w:w="108" w:type="dxa"/>
          </w:tblCellMar>
        </w:tblPrEx>
        <w:trPr>
          <w:trHeight w:val="498" w:hRule="atLeast"/>
        </w:trPr>
        <w:tc>
          <w:tcPr>
            <w:tcW w:w="2217" w:type="dxa"/>
            <w:tcBorders>
              <w:top w:val="single" w:color="auto" w:sz="4" w:space="0"/>
              <w:left w:val="single" w:color="auto" w:sz="4" w:space="0"/>
              <w:bottom w:val="single" w:color="auto" w:sz="4" w:space="0"/>
              <w:right w:val="single" w:color="auto" w:sz="4" w:space="0"/>
            </w:tcBorders>
            <w:noWrap w:val="0"/>
            <w:vAlign w:val="center"/>
          </w:tcPr>
          <w:p w14:paraId="03553E73">
            <w:pPr>
              <w:keepNext w:val="0"/>
              <w:keepLines w:val="0"/>
              <w:widowControl/>
              <w:suppressLineNumbers w:val="0"/>
              <w:spacing w:before="0" w:beforeAutospacing="0" w:after="0" w:afterAutospacing="0"/>
              <w:ind w:left="0" w:right="0"/>
              <w:jc w:val="center"/>
              <w:rPr>
                <w:rFonts w:hint="default" w:ascii="仿宋" w:hAnsi="仿宋" w:eastAsia="仿宋" w:cs="宋体"/>
                <w:kern w:val="0"/>
                <w:sz w:val="22"/>
                <w:szCs w:val="22"/>
              </w:rPr>
            </w:pPr>
            <w:r>
              <w:rPr>
                <w:rFonts w:hint="eastAsia" w:ascii="仿宋" w:hAnsi="仿宋" w:eastAsia="仿宋" w:cs="宋体"/>
                <w:kern w:val="0"/>
                <w:sz w:val="22"/>
                <w:szCs w:val="22"/>
              </w:rPr>
              <w:t>投标有效期满足要求</w:t>
            </w:r>
          </w:p>
          <w:p w14:paraId="6E70F1F5">
            <w:pPr>
              <w:keepNext w:val="0"/>
              <w:keepLines w:val="0"/>
              <w:widowControl/>
              <w:suppressLineNumbers w:val="0"/>
              <w:spacing w:before="0" w:beforeAutospacing="0" w:after="0" w:afterAutospacing="0"/>
              <w:ind w:left="0" w:leftChars="0" w:right="0" w:rightChars="0"/>
              <w:jc w:val="center"/>
              <w:rPr>
                <w:rFonts w:hint="eastAsia" w:ascii="仿宋" w:hAnsi="仿宋" w:eastAsia="仿宋" w:cs="宋体"/>
                <w:kern w:val="0"/>
                <w:sz w:val="22"/>
                <w:szCs w:val="22"/>
              </w:rPr>
            </w:pPr>
            <w:r>
              <w:rPr>
                <w:rFonts w:hint="eastAsia" w:ascii="仿宋" w:hAnsi="仿宋" w:eastAsia="仿宋" w:cs="宋体"/>
                <w:kern w:val="0"/>
                <w:sz w:val="22"/>
                <w:szCs w:val="22"/>
              </w:rPr>
              <w:t>（13.1）</w:t>
            </w:r>
          </w:p>
        </w:tc>
        <w:tc>
          <w:tcPr>
            <w:tcW w:w="5087" w:type="dxa"/>
            <w:tcBorders>
              <w:top w:val="single" w:color="auto" w:sz="4" w:space="0"/>
              <w:left w:val="nil"/>
              <w:bottom w:val="single" w:color="auto" w:sz="4" w:space="0"/>
              <w:right w:val="single" w:color="auto" w:sz="4" w:space="0"/>
            </w:tcBorders>
            <w:noWrap w:val="0"/>
            <w:vAlign w:val="center"/>
          </w:tcPr>
          <w:p w14:paraId="67C630DB">
            <w:pPr>
              <w:keepNext w:val="0"/>
              <w:keepLines w:val="0"/>
              <w:widowControl/>
              <w:suppressLineNumbers w:val="0"/>
              <w:spacing w:before="0" w:beforeAutospacing="0" w:after="0" w:afterAutospacing="0"/>
              <w:ind w:left="0" w:leftChars="0" w:right="0" w:rightChars="0"/>
              <w:jc w:val="center"/>
              <w:rPr>
                <w:rFonts w:hint="eastAsia" w:ascii="仿宋" w:hAnsi="仿宋" w:eastAsia="仿宋" w:cs="Times New Roman"/>
                <w:szCs w:val="21"/>
              </w:rPr>
            </w:pPr>
            <w:r>
              <w:rPr>
                <w:rFonts w:hint="eastAsia" w:ascii="仿宋" w:hAnsi="仿宋" w:eastAsia="仿宋" w:cs="Times New Roman"/>
                <w:szCs w:val="21"/>
              </w:rPr>
              <w:t>自提交投标</w:t>
            </w:r>
            <w:r>
              <w:rPr>
                <w:rFonts w:hint="default" w:ascii="仿宋" w:hAnsi="仿宋" w:eastAsia="仿宋" w:cs="Times New Roman"/>
                <w:szCs w:val="21"/>
              </w:rPr>
              <w:t>文件截止之日起</w:t>
            </w:r>
            <w:r>
              <w:rPr>
                <w:rFonts w:hint="default" w:ascii="仿宋" w:hAnsi="仿宋" w:eastAsia="仿宋" w:cs="Times New Roman"/>
                <w:szCs w:val="21"/>
                <w:u w:val="single"/>
              </w:rPr>
              <w:t xml:space="preserve">   </w:t>
            </w:r>
            <w:r>
              <w:rPr>
                <w:rFonts w:hint="eastAsia" w:ascii="仿宋" w:hAnsi="仿宋" w:eastAsia="仿宋" w:cs="Times New Roman"/>
                <w:szCs w:val="21"/>
                <w:u w:val="single"/>
              </w:rPr>
              <w:t>90</w:t>
            </w:r>
            <w:r>
              <w:rPr>
                <w:rFonts w:hint="default" w:ascii="仿宋" w:hAnsi="仿宋" w:eastAsia="仿宋" w:cs="Times New Roman"/>
                <w:szCs w:val="21"/>
                <w:u w:val="single"/>
              </w:rPr>
              <w:t xml:space="preserve"> </w:t>
            </w:r>
            <w:r>
              <w:rPr>
                <w:rFonts w:hint="eastAsia" w:ascii="仿宋" w:hAnsi="仿宋" w:eastAsia="仿宋" w:cs="Times New Roman"/>
                <w:szCs w:val="21"/>
                <w:u w:val="single"/>
              </w:rPr>
              <w:t>日</w:t>
            </w:r>
            <w:r>
              <w:rPr>
                <w:rFonts w:hint="eastAsia" w:ascii="仿宋" w:hAnsi="仿宋" w:eastAsia="仿宋" w:cs="Times New Roman"/>
                <w:szCs w:val="21"/>
              </w:rPr>
              <w:t>历日内</w:t>
            </w:r>
          </w:p>
        </w:tc>
        <w:tc>
          <w:tcPr>
            <w:tcW w:w="545" w:type="dxa"/>
            <w:tcBorders>
              <w:top w:val="single" w:color="auto" w:sz="4" w:space="0"/>
              <w:left w:val="nil"/>
              <w:bottom w:val="single" w:color="auto" w:sz="4" w:space="0"/>
              <w:right w:val="single" w:color="auto" w:sz="4" w:space="0"/>
            </w:tcBorders>
            <w:noWrap w:val="0"/>
            <w:vAlign w:val="center"/>
          </w:tcPr>
          <w:p w14:paraId="6AF36DFF">
            <w:pPr>
              <w:keepNext w:val="0"/>
              <w:keepLines w:val="0"/>
              <w:widowControl/>
              <w:suppressLineNumbers w:val="0"/>
              <w:spacing w:before="0" w:beforeAutospacing="0" w:after="0" w:afterAutospacing="0"/>
              <w:ind w:left="0" w:right="0"/>
              <w:jc w:val="left"/>
              <w:rPr>
                <w:rFonts w:hint="eastAsia" w:ascii="仿宋" w:hAnsi="仿宋" w:eastAsia="仿宋" w:cs="宋体"/>
                <w:kern w:val="0"/>
                <w:sz w:val="22"/>
                <w:szCs w:val="22"/>
              </w:rPr>
            </w:pPr>
          </w:p>
        </w:tc>
        <w:tc>
          <w:tcPr>
            <w:tcW w:w="583" w:type="dxa"/>
            <w:tcBorders>
              <w:top w:val="single" w:color="auto" w:sz="4" w:space="0"/>
              <w:left w:val="nil"/>
              <w:bottom w:val="single" w:color="auto" w:sz="4" w:space="0"/>
              <w:right w:val="single" w:color="auto" w:sz="4" w:space="0"/>
            </w:tcBorders>
            <w:noWrap w:val="0"/>
            <w:vAlign w:val="center"/>
          </w:tcPr>
          <w:p w14:paraId="50C0A566">
            <w:pPr>
              <w:keepNext w:val="0"/>
              <w:keepLines w:val="0"/>
              <w:widowControl/>
              <w:suppressLineNumbers w:val="0"/>
              <w:spacing w:before="0" w:beforeAutospacing="0" w:after="0" w:afterAutospacing="0"/>
              <w:ind w:left="0" w:right="0"/>
              <w:jc w:val="left"/>
              <w:rPr>
                <w:rFonts w:hint="eastAsia" w:ascii="仿宋" w:hAnsi="仿宋" w:eastAsia="仿宋" w:cs="宋体"/>
                <w:kern w:val="0"/>
                <w:sz w:val="22"/>
                <w:szCs w:val="22"/>
              </w:rPr>
            </w:pPr>
          </w:p>
        </w:tc>
        <w:tc>
          <w:tcPr>
            <w:tcW w:w="627" w:type="dxa"/>
            <w:tcBorders>
              <w:top w:val="single" w:color="auto" w:sz="4" w:space="0"/>
              <w:left w:val="nil"/>
              <w:bottom w:val="single" w:color="auto" w:sz="4" w:space="0"/>
              <w:right w:val="single" w:color="auto" w:sz="4" w:space="0"/>
            </w:tcBorders>
            <w:noWrap w:val="0"/>
            <w:vAlign w:val="center"/>
          </w:tcPr>
          <w:p w14:paraId="1C867545">
            <w:pPr>
              <w:keepNext w:val="0"/>
              <w:keepLines w:val="0"/>
              <w:widowControl/>
              <w:suppressLineNumbers w:val="0"/>
              <w:spacing w:before="0" w:beforeAutospacing="0" w:after="0" w:afterAutospacing="0"/>
              <w:ind w:left="0" w:right="0"/>
              <w:jc w:val="left"/>
              <w:rPr>
                <w:rFonts w:hint="eastAsia" w:ascii="仿宋" w:hAnsi="仿宋" w:eastAsia="仿宋" w:cs="宋体"/>
                <w:kern w:val="0"/>
                <w:sz w:val="22"/>
                <w:szCs w:val="22"/>
              </w:rPr>
            </w:pPr>
          </w:p>
        </w:tc>
      </w:tr>
      <w:tr w14:paraId="16BF4EE6">
        <w:tblPrEx>
          <w:tblCellMar>
            <w:top w:w="0" w:type="dxa"/>
            <w:left w:w="108" w:type="dxa"/>
            <w:bottom w:w="0" w:type="dxa"/>
            <w:right w:w="108" w:type="dxa"/>
          </w:tblCellMar>
        </w:tblPrEx>
        <w:trPr>
          <w:trHeight w:val="498" w:hRule="atLeast"/>
        </w:trPr>
        <w:tc>
          <w:tcPr>
            <w:tcW w:w="2217" w:type="dxa"/>
            <w:tcBorders>
              <w:top w:val="single" w:color="auto" w:sz="4" w:space="0"/>
              <w:left w:val="single" w:color="auto" w:sz="4" w:space="0"/>
              <w:bottom w:val="single" w:color="auto" w:sz="4" w:space="0"/>
              <w:right w:val="single" w:color="auto" w:sz="4" w:space="0"/>
            </w:tcBorders>
            <w:noWrap w:val="0"/>
            <w:vAlign w:val="center"/>
          </w:tcPr>
          <w:p w14:paraId="5CF91C50">
            <w:pPr>
              <w:keepNext w:val="0"/>
              <w:keepLines w:val="0"/>
              <w:widowControl/>
              <w:suppressLineNumbers w:val="0"/>
              <w:spacing w:before="0" w:beforeAutospacing="0" w:after="0" w:afterAutospacing="0"/>
              <w:ind w:left="0" w:right="0"/>
              <w:jc w:val="center"/>
              <w:rPr>
                <w:rFonts w:hint="default" w:ascii="仿宋" w:hAnsi="仿宋" w:eastAsia="仿宋" w:cs="宋体"/>
                <w:color w:val="000000"/>
                <w:kern w:val="0"/>
                <w:sz w:val="22"/>
                <w:szCs w:val="22"/>
              </w:rPr>
            </w:pPr>
            <w:r>
              <w:rPr>
                <w:rFonts w:hint="eastAsia" w:ascii="仿宋" w:hAnsi="仿宋" w:eastAsia="仿宋" w:cs="宋体"/>
                <w:kern w:val="0"/>
                <w:sz w:val="22"/>
                <w:szCs w:val="22"/>
              </w:rPr>
              <w:t>接</w:t>
            </w:r>
            <w:r>
              <w:rPr>
                <w:rFonts w:hint="eastAsia" w:ascii="仿宋" w:hAnsi="仿宋" w:eastAsia="仿宋" w:cs="宋体"/>
                <w:color w:val="000000"/>
                <w:kern w:val="0"/>
                <w:sz w:val="22"/>
                <w:szCs w:val="22"/>
              </w:rPr>
              <w:t>受价格的算术修正</w:t>
            </w:r>
          </w:p>
          <w:p w14:paraId="1FBB1A2B">
            <w:pPr>
              <w:keepNext w:val="0"/>
              <w:keepLines w:val="0"/>
              <w:widowControl/>
              <w:suppressLineNumbers w:val="0"/>
              <w:spacing w:before="0" w:beforeAutospacing="0" w:after="0" w:afterAutospacing="0"/>
              <w:ind w:left="0" w:leftChars="0" w:right="0" w:rightChars="0"/>
              <w:jc w:val="center"/>
              <w:rPr>
                <w:rFonts w:hint="eastAsia" w:ascii="仿宋" w:hAnsi="仿宋" w:eastAsia="仿宋" w:cs="宋体"/>
                <w:kern w:val="0"/>
                <w:sz w:val="22"/>
                <w:szCs w:val="22"/>
              </w:rPr>
            </w:pPr>
            <w:r>
              <w:rPr>
                <w:rFonts w:hint="eastAsia" w:ascii="仿宋" w:hAnsi="仿宋" w:eastAsia="仿宋" w:cs="宋体"/>
                <w:color w:val="000000"/>
                <w:kern w:val="0"/>
                <w:sz w:val="22"/>
                <w:szCs w:val="22"/>
              </w:rPr>
              <w:t>（20.2）</w:t>
            </w:r>
          </w:p>
        </w:tc>
        <w:tc>
          <w:tcPr>
            <w:tcW w:w="5087" w:type="dxa"/>
            <w:tcBorders>
              <w:top w:val="single" w:color="auto" w:sz="4" w:space="0"/>
              <w:left w:val="nil"/>
              <w:bottom w:val="single" w:color="auto" w:sz="4" w:space="0"/>
              <w:right w:val="single" w:color="auto" w:sz="4" w:space="0"/>
            </w:tcBorders>
            <w:noWrap w:val="0"/>
            <w:vAlign w:val="center"/>
          </w:tcPr>
          <w:p w14:paraId="67229CC7">
            <w:pPr>
              <w:keepNext w:val="0"/>
              <w:keepLines w:val="0"/>
              <w:widowControl/>
              <w:suppressLineNumbers w:val="0"/>
              <w:spacing w:before="0" w:beforeAutospacing="0" w:after="0" w:afterAutospacing="0"/>
              <w:ind w:left="0" w:leftChars="0" w:right="0" w:rightChars="0"/>
              <w:jc w:val="center"/>
              <w:rPr>
                <w:rFonts w:hint="eastAsia" w:ascii="仿宋" w:hAnsi="仿宋" w:eastAsia="仿宋" w:cs="Times New Roman"/>
                <w:szCs w:val="21"/>
              </w:rPr>
            </w:pPr>
            <w:r>
              <w:rPr>
                <w:rFonts w:hint="eastAsia" w:ascii="仿宋" w:hAnsi="仿宋" w:eastAsia="仿宋" w:cs="Times New Roman"/>
                <w:szCs w:val="21"/>
              </w:rPr>
              <w:t>投标文件报价出现前后不一致的，应按照招标</w:t>
            </w:r>
            <w:r>
              <w:rPr>
                <w:rFonts w:hint="default" w:ascii="仿宋" w:hAnsi="仿宋" w:eastAsia="仿宋" w:cs="Times New Roman"/>
                <w:szCs w:val="21"/>
              </w:rPr>
              <w:t>文件</w:t>
            </w:r>
            <w:r>
              <w:rPr>
                <w:rFonts w:hint="eastAsia" w:ascii="仿宋" w:hAnsi="仿宋" w:eastAsia="仿宋" w:cs="Times New Roman"/>
                <w:szCs w:val="21"/>
              </w:rPr>
              <w:t>规定的顺序修正。</w:t>
            </w:r>
          </w:p>
        </w:tc>
        <w:tc>
          <w:tcPr>
            <w:tcW w:w="545" w:type="dxa"/>
            <w:tcBorders>
              <w:top w:val="single" w:color="auto" w:sz="4" w:space="0"/>
              <w:left w:val="nil"/>
              <w:bottom w:val="single" w:color="auto" w:sz="4" w:space="0"/>
              <w:right w:val="single" w:color="auto" w:sz="4" w:space="0"/>
            </w:tcBorders>
            <w:noWrap w:val="0"/>
            <w:vAlign w:val="center"/>
          </w:tcPr>
          <w:p w14:paraId="52ED8F14">
            <w:pPr>
              <w:keepNext w:val="0"/>
              <w:keepLines w:val="0"/>
              <w:widowControl/>
              <w:suppressLineNumbers w:val="0"/>
              <w:spacing w:before="0" w:beforeAutospacing="0" w:after="0" w:afterAutospacing="0"/>
              <w:ind w:left="0" w:right="0"/>
              <w:jc w:val="left"/>
              <w:rPr>
                <w:rFonts w:hint="eastAsia" w:ascii="仿宋" w:hAnsi="仿宋" w:eastAsia="仿宋" w:cs="宋体"/>
                <w:kern w:val="0"/>
                <w:sz w:val="22"/>
                <w:szCs w:val="22"/>
              </w:rPr>
            </w:pPr>
          </w:p>
        </w:tc>
        <w:tc>
          <w:tcPr>
            <w:tcW w:w="583" w:type="dxa"/>
            <w:tcBorders>
              <w:top w:val="single" w:color="auto" w:sz="4" w:space="0"/>
              <w:left w:val="nil"/>
              <w:bottom w:val="single" w:color="auto" w:sz="4" w:space="0"/>
              <w:right w:val="single" w:color="auto" w:sz="4" w:space="0"/>
            </w:tcBorders>
            <w:noWrap w:val="0"/>
            <w:vAlign w:val="center"/>
          </w:tcPr>
          <w:p w14:paraId="5F755B24">
            <w:pPr>
              <w:keepNext w:val="0"/>
              <w:keepLines w:val="0"/>
              <w:widowControl/>
              <w:suppressLineNumbers w:val="0"/>
              <w:spacing w:before="0" w:beforeAutospacing="0" w:after="0" w:afterAutospacing="0"/>
              <w:ind w:left="0" w:right="0"/>
              <w:jc w:val="left"/>
              <w:rPr>
                <w:rFonts w:hint="eastAsia" w:ascii="仿宋" w:hAnsi="仿宋" w:eastAsia="仿宋" w:cs="宋体"/>
                <w:kern w:val="0"/>
                <w:sz w:val="22"/>
                <w:szCs w:val="22"/>
              </w:rPr>
            </w:pPr>
          </w:p>
        </w:tc>
        <w:tc>
          <w:tcPr>
            <w:tcW w:w="627" w:type="dxa"/>
            <w:tcBorders>
              <w:top w:val="single" w:color="auto" w:sz="4" w:space="0"/>
              <w:left w:val="nil"/>
              <w:bottom w:val="single" w:color="auto" w:sz="4" w:space="0"/>
              <w:right w:val="single" w:color="auto" w:sz="4" w:space="0"/>
            </w:tcBorders>
            <w:noWrap w:val="0"/>
            <w:vAlign w:val="center"/>
          </w:tcPr>
          <w:p w14:paraId="5F6825C3">
            <w:pPr>
              <w:keepNext w:val="0"/>
              <w:keepLines w:val="0"/>
              <w:widowControl/>
              <w:suppressLineNumbers w:val="0"/>
              <w:spacing w:before="0" w:beforeAutospacing="0" w:after="0" w:afterAutospacing="0"/>
              <w:ind w:left="0" w:right="0"/>
              <w:jc w:val="left"/>
              <w:rPr>
                <w:rFonts w:hint="eastAsia" w:ascii="仿宋" w:hAnsi="仿宋" w:eastAsia="仿宋" w:cs="宋体"/>
                <w:kern w:val="0"/>
                <w:sz w:val="22"/>
                <w:szCs w:val="22"/>
              </w:rPr>
            </w:pPr>
          </w:p>
        </w:tc>
      </w:tr>
      <w:tr w14:paraId="3CEBF5A5">
        <w:tblPrEx>
          <w:tblCellMar>
            <w:top w:w="0" w:type="dxa"/>
            <w:left w:w="108" w:type="dxa"/>
            <w:bottom w:w="0" w:type="dxa"/>
            <w:right w:w="108" w:type="dxa"/>
          </w:tblCellMar>
        </w:tblPrEx>
        <w:trPr>
          <w:trHeight w:val="505" w:hRule="atLeast"/>
        </w:trPr>
        <w:tc>
          <w:tcPr>
            <w:tcW w:w="2217" w:type="dxa"/>
            <w:tcBorders>
              <w:top w:val="single" w:color="auto" w:sz="4" w:space="0"/>
              <w:left w:val="single" w:color="auto" w:sz="4" w:space="0"/>
              <w:bottom w:val="single" w:color="auto" w:sz="4" w:space="0"/>
              <w:right w:val="single" w:color="auto" w:sz="4" w:space="0"/>
            </w:tcBorders>
            <w:noWrap w:val="0"/>
            <w:vAlign w:val="center"/>
          </w:tcPr>
          <w:p w14:paraId="48588501">
            <w:pPr>
              <w:keepNext w:val="0"/>
              <w:keepLines w:val="0"/>
              <w:widowControl/>
              <w:suppressLineNumbers w:val="0"/>
              <w:spacing w:before="0" w:beforeAutospacing="0" w:after="0" w:afterAutospacing="0"/>
              <w:ind w:left="0" w:leftChars="0" w:right="0" w:rightChars="0"/>
              <w:jc w:val="left"/>
              <w:rPr>
                <w:rFonts w:hint="eastAsia" w:ascii="仿宋" w:hAnsi="仿宋" w:eastAsia="仿宋" w:cs="宋体"/>
                <w:kern w:val="0"/>
                <w:sz w:val="22"/>
                <w:szCs w:val="22"/>
              </w:rPr>
            </w:pPr>
            <w:r>
              <w:rPr>
                <w:rFonts w:hint="eastAsia" w:ascii="仿宋" w:hAnsi="仿宋" w:eastAsia="仿宋" w:cs="宋体"/>
                <w:kern w:val="0"/>
                <w:sz w:val="22"/>
                <w:szCs w:val="22"/>
              </w:rPr>
              <w:t>符合强制采购节能产品要求（20.6）</w:t>
            </w:r>
          </w:p>
        </w:tc>
        <w:tc>
          <w:tcPr>
            <w:tcW w:w="5087" w:type="dxa"/>
            <w:tcBorders>
              <w:top w:val="single" w:color="auto" w:sz="4" w:space="0"/>
              <w:left w:val="nil"/>
              <w:bottom w:val="single" w:color="auto" w:sz="4" w:space="0"/>
              <w:right w:val="single" w:color="auto" w:sz="4" w:space="0"/>
            </w:tcBorders>
            <w:noWrap w:val="0"/>
            <w:vAlign w:val="center"/>
          </w:tcPr>
          <w:p w14:paraId="19273C5A">
            <w:pPr>
              <w:keepNext w:val="0"/>
              <w:keepLines w:val="0"/>
              <w:widowControl/>
              <w:suppressLineNumbers w:val="0"/>
              <w:spacing w:before="0" w:beforeAutospacing="0" w:after="0" w:afterAutospacing="0"/>
              <w:ind w:left="0" w:leftChars="0" w:right="0" w:rightChars="0"/>
              <w:jc w:val="center"/>
              <w:rPr>
                <w:rFonts w:hint="eastAsia" w:ascii="仿宋" w:hAnsi="仿宋" w:eastAsia="仿宋" w:cs="Times New Roman"/>
                <w:szCs w:val="21"/>
              </w:rPr>
            </w:pPr>
            <w:r>
              <w:rPr>
                <w:rFonts w:hint="eastAsia" w:ascii="仿宋" w:hAnsi="仿宋" w:eastAsia="仿宋" w:cs="宋体"/>
                <w:kern w:val="0"/>
                <w:szCs w:val="21"/>
                <w:highlight w:val="none"/>
              </w:rPr>
              <w:t>本项目</w:t>
            </w:r>
            <w:r>
              <w:rPr>
                <w:rFonts w:hint="eastAsia" w:ascii="仿宋" w:hAnsi="仿宋" w:eastAsia="仿宋" w:cs="宋体"/>
                <w:i/>
                <w:kern w:val="0"/>
                <w:szCs w:val="21"/>
                <w:highlight w:val="none"/>
                <w:u w:val="single"/>
                <w:lang w:val="en-US" w:eastAsia="zh-CN"/>
              </w:rPr>
              <w:t>不</w:t>
            </w:r>
            <w:r>
              <w:rPr>
                <w:rFonts w:hint="default" w:ascii="仿宋" w:hAnsi="仿宋" w:eastAsia="仿宋" w:cs="宋体"/>
                <w:i/>
                <w:kern w:val="0"/>
                <w:szCs w:val="21"/>
                <w:highlight w:val="none"/>
                <w:u w:val="single"/>
              </w:rPr>
              <w:t>适用</w:t>
            </w:r>
          </w:p>
        </w:tc>
        <w:tc>
          <w:tcPr>
            <w:tcW w:w="545" w:type="dxa"/>
            <w:tcBorders>
              <w:top w:val="single" w:color="auto" w:sz="4" w:space="0"/>
              <w:left w:val="nil"/>
              <w:bottom w:val="single" w:color="auto" w:sz="4" w:space="0"/>
              <w:right w:val="single" w:color="auto" w:sz="4" w:space="0"/>
            </w:tcBorders>
            <w:noWrap w:val="0"/>
            <w:vAlign w:val="center"/>
          </w:tcPr>
          <w:p w14:paraId="2275A5EF">
            <w:pPr>
              <w:keepNext w:val="0"/>
              <w:keepLines w:val="0"/>
              <w:widowControl/>
              <w:suppressLineNumbers w:val="0"/>
              <w:spacing w:before="0" w:beforeAutospacing="0" w:after="0" w:afterAutospacing="0"/>
              <w:ind w:left="0" w:right="0"/>
              <w:jc w:val="left"/>
              <w:rPr>
                <w:rFonts w:hint="eastAsia" w:ascii="仿宋" w:hAnsi="仿宋" w:eastAsia="仿宋" w:cs="宋体"/>
                <w:kern w:val="0"/>
                <w:sz w:val="22"/>
                <w:szCs w:val="22"/>
              </w:rPr>
            </w:pPr>
          </w:p>
        </w:tc>
        <w:tc>
          <w:tcPr>
            <w:tcW w:w="583" w:type="dxa"/>
            <w:tcBorders>
              <w:top w:val="single" w:color="auto" w:sz="4" w:space="0"/>
              <w:left w:val="nil"/>
              <w:bottom w:val="single" w:color="auto" w:sz="4" w:space="0"/>
              <w:right w:val="single" w:color="auto" w:sz="4" w:space="0"/>
            </w:tcBorders>
            <w:noWrap w:val="0"/>
            <w:vAlign w:val="center"/>
          </w:tcPr>
          <w:p w14:paraId="053AE6C6">
            <w:pPr>
              <w:keepNext w:val="0"/>
              <w:keepLines w:val="0"/>
              <w:widowControl/>
              <w:suppressLineNumbers w:val="0"/>
              <w:spacing w:before="0" w:beforeAutospacing="0" w:after="0" w:afterAutospacing="0"/>
              <w:ind w:left="0" w:right="0"/>
              <w:jc w:val="left"/>
              <w:rPr>
                <w:rFonts w:hint="eastAsia" w:ascii="仿宋" w:hAnsi="仿宋" w:eastAsia="仿宋" w:cs="宋体"/>
                <w:kern w:val="0"/>
                <w:sz w:val="22"/>
                <w:szCs w:val="22"/>
              </w:rPr>
            </w:pPr>
          </w:p>
        </w:tc>
        <w:tc>
          <w:tcPr>
            <w:tcW w:w="627" w:type="dxa"/>
            <w:tcBorders>
              <w:top w:val="single" w:color="auto" w:sz="4" w:space="0"/>
              <w:left w:val="nil"/>
              <w:bottom w:val="single" w:color="auto" w:sz="4" w:space="0"/>
              <w:right w:val="single" w:color="auto" w:sz="4" w:space="0"/>
            </w:tcBorders>
            <w:noWrap w:val="0"/>
            <w:vAlign w:val="center"/>
          </w:tcPr>
          <w:p w14:paraId="52310FB6">
            <w:pPr>
              <w:keepNext w:val="0"/>
              <w:keepLines w:val="0"/>
              <w:widowControl/>
              <w:suppressLineNumbers w:val="0"/>
              <w:spacing w:before="0" w:beforeAutospacing="0" w:after="0" w:afterAutospacing="0"/>
              <w:ind w:left="0" w:right="0"/>
              <w:jc w:val="left"/>
              <w:rPr>
                <w:rFonts w:hint="eastAsia" w:ascii="仿宋" w:hAnsi="仿宋" w:eastAsia="仿宋" w:cs="宋体"/>
                <w:kern w:val="0"/>
                <w:sz w:val="22"/>
                <w:szCs w:val="22"/>
              </w:rPr>
            </w:pPr>
          </w:p>
        </w:tc>
      </w:tr>
      <w:tr w14:paraId="7CFDC160">
        <w:tblPrEx>
          <w:tblCellMar>
            <w:top w:w="0" w:type="dxa"/>
            <w:left w:w="108" w:type="dxa"/>
            <w:bottom w:w="0" w:type="dxa"/>
            <w:right w:w="108" w:type="dxa"/>
          </w:tblCellMar>
        </w:tblPrEx>
        <w:trPr>
          <w:trHeight w:val="755" w:hRule="atLeast"/>
        </w:trPr>
        <w:tc>
          <w:tcPr>
            <w:tcW w:w="2217" w:type="dxa"/>
            <w:tcBorders>
              <w:top w:val="single" w:color="auto" w:sz="4" w:space="0"/>
              <w:left w:val="single" w:color="auto" w:sz="4" w:space="0"/>
              <w:bottom w:val="single" w:color="auto" w:sz="4" w:space="0"/>
              <w:right w:val="single" w:color="auto" w:sz="4" w:space="0"/>
            </w:tcBorders>
            <w:noWrap w:val="0"/>
            <w:vAlign w:val="center"/>
          </w:tcPr>
          <w:p w14:paraId="389C8EA1">
            <w:pPr>
              <w:keepNext w:val="0"/>
              <w:keepLines w:val="0"/>
              <w:widowControl/>
              <w:suppressLineNumbers w:val="0"/>
              <w:spacing w:before="0" w:beforeAutospacing="0" w:after="0" w:afterAutospacing="0"/>
              <w:ind w:left="0" w:leftChars="0" w:right="0" w:rightChars="0"/>
              <w:jc w:val="center"/>
              <w:rPr>
                <w:rFonts w:hint="eastAsia" w:ascii="仿宋" w:hAnsi="仿宋" w:eastAsia="仿宋" w:cs="宋体"/>
                <w:kern w:val="0"/>
                <w:sz w:val="22"/>
                <w:szCs w:val="22"/>
              </w:rPr>
            </w:pPr>
            <w:r>
              <w:rPr>
                <w:rFonts w:hint="eastAsia" w:ascii="仿宋" w:hAnsi="仿宋" w:eastAsia="仿宋" w:cs="宋体"/>
                <w:kern w:val="0"/>
                <w:sz w:val="22"/>
                <w:szCs w:val="22"/>
              </w:rPr>
              <w:t>报价说明可以接受（22.2）</w:t>
            </w:r>
          </w:p>
        </w:tc>
        <w:tc>
          <w:tcPr>
            <w:tcW w:w="5087" w:type="dxa"/>
            <w:tcBorders>
              <w:top w:val="single" w:color="auto" w:sz="4" w:space="0"/>
              <w:left w:val="nil"/>
              <w:bottom w:val="single" w:color="auto" w:sz="4" w:space="0"/>
              <w:right w:val="single" w:color="auto" w:sz="4" w:space="0"/>
            </w:tcBorders>
            <w:noWrap w:val="0"/>
            <w:vAlign w:val="center"/>
          </w:tcPr>
          <w:p w14:paraId="6B23D2A1">
            <w:pPr>
              <w:keepNext w:val="0"/>
              <w:keepLines w:val="0"/>
              <w:widowControl/>
              <w:suppressLineNumbers w:val="0"/>
              <w:spacing w:before="0" w:beforeAutospacing="0" w:after="0" w:afterAutospacing="0"/>
              <w:ind w:left="0" w:leftChars="0" w:right="0" w:rightChars="0"/>
              <w:jc w:val="center"/>
              <w:rPr>
                <w:rFonts w:hint="eastAsia" w:ascii="仿宋" w:hAnsi="仿宋" w:eastAsia="仿宋" w:cs="Times New Roman"/>
                <w:szCs w:val="21"/>
              </w:rPr>
            </w:pPr>
            <w:r>
              <w:rPr>
                <w:rFonts w:hint="eastAsia" w:ascii="仿宋" w:hAnsi="仿宋" w:eastAsia="仿宋" w:cs="Times New Roman"/>
                <w:szCs w:val="21"/>
              </w:rPr>
              <w:t>评标委员会认为投标人的报价明显低于其他通过符合性审查投标人的报价，有可能影响产品质量或者不能诚信履约的，评标委员会应当将其作为无效投标处理</w:t>
            </w:r>
          </w:p>
        </w:tc>
        <w:tc>
          <w:tcPr>
            <w:tcW w:w="545" w:type="dxa"/>
            <w:tcBorders>
              <w:top w:val="single" w:color="auto" w:sz="4" w:space="0"/>
              <w:left w:val="nil"/>
              <w:bottom w:val="single" w:color="auto" w:sz="4" w:space="0"/>
              <w:right w:val="single" w:color="auto" w:sz="4" w:space="0"/>
            </w:tcBorders>
            <w:noWrap w:val="0"/>
            <w:vAlign w:val="center"/>
          </w:tcPr>
          <w:p w14:paraId="5241ED15">
            <w:pPr>
              <w:keepNext w:val="0"/>
              <w:keepLines w:val="0"/>
              <w:widowControl/>
              <w:suppressLineNumbers w:val="0"/>
              <w:spacing w:before="0" w:beforeAutospacing="0" w:after="0" w:afterAutospacing="0"/>
              <w:ind w:left="0" w:right="0"/>
              <w:jc w:val="left"/>
              <w:rPr>
                <w:rFonts w:hint="eastAsia" w:ascii="仿宋" w:hAnsi="仿宋" w:eastAsia="仿宋" w:cs="宋体"/>
                <w:kern w:val="0"/>
                <w:sz w:val="22"/>
                <w:szCs w:val="22"/>
              </w:rPr>
            </w:pPr>
          </w:p>
        </w:tc>
        <w:tc>
          <w:tcPr>
            <w:tcW w:w="583" w:type="dxa"/>
            <w:tcBorders>
              <w:top w:val="single" w:color="auto" w:sz="4" w:space="0"/>
              <w:left w:val="nil"/>
              <w:bottom w:val="single" w:color="auto" w:sz="4" w:space="0"/>
              <w:right w:val="single" w:color="auto" w:sz="4" w:space="0"/>
            </w:tcBorders>
            <w:noWrap w:val="0"/>
            <w:vAlign w:val="center"/>
          </w:tcPr>
          <w:p w14:paraId="05F96EB7">
            <w:pPr>
              <w:keepNext w:val="0"/>
              <w:keepLines w:val="0"/>
              <w:widowControl/>
              <w:suppressLineNumbers w:val="0"/>
              <w:spacing w:before="0" w:beforeAutospacing="0" w:after="0" w:afterAutospacing="0"/>
              <w:ind w:left="0" w:right="0"/>
              <w:jc w:val="left"/>
              <w:rPr>
                <w:rFonts w:hint="eastAsia" w:ascii="仿宋" w:hAnsi="仿宋" w:eastAsia="仿宋" w:cs="宋体"/>
                <w:kern w:val="0"/>
                <w:sz w:val="22"/>
                <w:szCs w:val="22"/>
              </w:rPr>
            </w:pPr>
          </w:p>
        </w:tc>
        <w:tc>
          <w:tcPr>
            <w:tcW w:w="627" w:type="dxa"/>
            <w:tcBorders>
              <w:top w:val="single" w:color="auto" w:sz="4" w:space="0"/>
              <w:left w:val="nil"/>
              <w:bottom w:val="single" w:color="auto" w:sz="4" w:space="0"/>
              <w:right w:val="single" w:color="auto" w:sz="4" w:space="0"/>
            </w:tcBorders>
            <w:noWrap w:val="0"/>
            <w:vAlign w:val="center"/>
          </w:tcPr>
          <w:p w14:paraId="3B753826">
            <w:pPr>
              <w:keepNext w:val="0"/>
              <w:keepLines w:val="0"/>
              <w:widowControl/>
              <w:suppressLineNumbers w:val="0"/>
              <w:spacing w:before="0" w:beforeAutospacing="0" w:after="0" w:afterAutospacing="0"/>
              <w:ind w:left="0" w:right="0"/>
              <w:jc w:val="left"/>
              <w:rPr>
                <w:rFonts w:hint="eastAsia" w:ascii="仿宋" w:hAnsi="仿宋" w:eastAsia="仿宋" w:cs="宋体"/>
                <w:kern w:val="0"/>
                <w:sz w:val="22"/>
                <w:szCs w:val="22"/>
              </w:rPr>
            </w:pPr>
          </w:p>
        </w:tc>
      </w:tr>
      <w:tr w14:paraId="6BE676DF">
        <w:tblPrEx>
          <w:tblCellMar>
            <w:top w:w="0" w:type="dxa"/>
            <w:left w:w="108" w:type="dxa"/>
            <w:bottom w:w="0" w:type="dxa"/>
            <w:right w:w="108" w:type="dxa"/>
          </w:tblCellMar>
        </w:tblPrEx>
        <w:trPr>
          <w:trHeight w:val="498" w:hRule="atLeast"/>
        </w:trPr>
        <w:tc>
          <w:tcPr>
            <w:tcW w:w="2217" w:type="dxa"/>
            <w:tcBorders>
              <w:top w:val="single" w:color="auto" w:sz="4" w:space="0"/>
              <w:left w:val="single" w:color="auto" w:sz="4" w:space="0"/>
              <w:bottom w:val="single" w:color="auto" w:sz="4" w:space="0"/>
              <w:right w:val="single" w:color="auto" w:sz="4" w:space="0"/>
            </w:tcBorders>
            <w:noWrap w:val="0"/>
            <w:vAlign w:val="center"/>
          </w:tcPr>
          <w:p w14:paraId="2A07E9EF">
            <w:pPr>
              <w:keepNext w:val="0"/>
              <w:keepLines w:val="0"/>
              <w:widowControl/>
              <w:suppressLineNumbers w:val="0"/>
              <w:spacing w:before="0" w:beforeAutospacing="0" w:after="0" w:afterAutospacing="0"/>
              <w:ind w:left="0" w:leftChars="0" w:right="0" w:rightChars="0"/>
              <w:jc w:val="center"/>
              <w:rPr>
                <w:rFonts w:hint="eastAsia" w:ascii="仿宋" w:hAnsi="仿宋" w:eastAsia="仿宋" w:cs="宋体"/>
                <w:kern w:val="0"/>
                <w:sz w:val="22"/>
                <w:szCs w:val="22"/>
              </w:rPr>
            </w:pPr>
            <w:r>
              <w:rPr>
                <w:rFonts w:hint="eastAsia" w:ascii="仿宋" w:hAnsi="仿宋" w:eastAsia="仿宋" w:cs="Times New Roman"/>
                <w:sz w:val="22"/>
                <w:szCs w:val="22"/>
              </w:rPr>
              <w:t>无采购人不能接受的附加条件（22.2）</w:t>
            </w:r>
          </w:p>
        </w:tc>
        <w:tc>
          <w:tcPr>
            <w:tcW w:w="5087" w:type="dxa"/>
            <w:tcBorders>
              <w:top w:val="single" w:color="auto" w:sz="4" w:space="0"/>
              <w:left w:val="nil"/>
              <w:bottom w:val="single" w:color="auto" w:sz="4" w:space="0"/>
              <w:right w:val="single" w:color="auto" w:sz="4" w:space="0"/>
            </w:tcBorders>
            <w:noWrap w:val="0"/>
            <w:vAlign w:val="center"/>
          </w:tcPr>
          <w:p w14:paraId="5967B94C">
            <w:pPr>
              <w:keepNext w:val="0"/>
              <w:keepLines w:val="0"/>
              <w:widowControl/>
              <w:suppressLineNumbers w:val="0"/>
              <w:spacing w:before="0" w:beforeAutospacing="0" w:after="0" w:afterAutospacing="0"/>
              <w:ind w:left="0" w:leftChars="0" w:right="0" w:rightChars="0"/>
              <w:jc w:val="center"/>
              <w:rPr>
                <w:rFonts w:hint="eastAsia" w:ascii="仿宋" w:hAnsi="仿宋" w:eastAsia="仿宋" w:cs="Times New Roman"/>
                <w:szCs w:val="21"/>
              </w:rPr>
            </w:pPr>
            <w:r>
              <w:rPr>
                <w:rFonts w:hint="eastAsia" w:ascii="仿宋" w:hAnsi="仿宋" w:eastAsia="仿宋" w:cs="Times New Roman"/>
                <w:szCs w:val="21"/>
              </w:rPr>
              <w:t xml:space="preserve">投标文件未含有采购人不能接受的附加条件。 </w:t>
            </w:r>
          </w:p>
        </w:tc>
        <w:tc>
          <w:tcPr>
            <w:tcW w:w="545" w:type="dxa"/>
            <w:tcBorders>
              <w:top w:val="single" w:color="auto" w:sz="4" w:space="0"/>
              <w:left w:val="nil"/>
              <w:bottom w:val="single" w:color="auto" w:sz="4" w:space="0"/>
              <w:right w:val="single" w:color="auto" w:sz="4" w:space="0"/>
            </w:tcBorders>
            <w:noWrap w:val="0"/>
            <w:vAlign w:val="center"/>
          </w:tcPr>
          <w:p w14:paraId="327D4473">
            <w:pPr>
              <w:keepNext w:val="0"/>
              <w:keepLines w:val="0"/>
              <w:widowControl/>
              <w:suppressLineNumbers w:val="0"/>
              <w:spacing w:before="0" w:beforeAutospacing="0" w:after="0" w:afterAutospacing="0"/>
              <w:ind w:left="0" w:right="0"/>
              <w:jc w:val="left"/>
              <w:rPr>
                <w:rFonts w:hint="eastAsia" w:ascii="仿宋" w:hAnsi="仿宋" w:eastAsia="仿宋" w:cs="宋体"/>
                <w:kern w:val="0"/>
                <w:sz w:val="22"/>
                <w:szCs w:val="22"/>
              </w:rPr>
            </w:pPr>
          </w:p>
        </w:tc>
        <w:tc>
          <w:tcPr>
            <w:tcW w:w="583" w:type="dxa"/>
            <w:tcBorders>
              <w:top w:val="single" w:color="auto" w:sz="4" w:space="0"/>
              <w:left w:val="nil"/>
              <w:bottom w:val="single" w:color="auto" w:sz="4" w:space="0"/>
              <w:right w:val="single" w:color="auto" w:sz="4" w:space="0"/>
            </w:tcBorders>
            <w:noWrap w:val="0"/>
            <w:vAlign w:val="center"/>
          </w:tcPr>
          <w:p w14:paraId="0EFAEE59">
            <w:pPr>
              <w:keepNext w:val="0"/>
              <w:keepLines w:val="0"/>
              <w:widowControl/>
              <w:suppressLineNumbers w:val="0"/>
              <w:spacing w:before="0" w:beforeAutospacing="0" w:after="0" w:afterAutospacing="0"/>
              <w:ind w:left="0" w:right="0"/>
              <w:jc w:val="left"/>
              <w:rPr>
                <w:rFonts w:hint="eastAsia" w:ascii="仿宋" w:hAnsi="仿宋" w:eastAsia="仿宋" w:cs="宋体"/>
                <w:kern w:val="0"/>
                <w:sz w:val="22"/>
                <w:szCs w:val="22"/>
              </w:rPr>
            </w:pPr>
          </w:p>
        </w:tc>
        <w:tc>
          <w:tcPr>
            <w:tcW w:w="627" w:type="dxa"/>
            <w:tcBorders>
              <w:top w:val="single" w:color="auto" w:sz="4" w:space="0"/>
              <w:left w:val="nil"/>
              <w:bottom w:val="single" w:color="auto" w:sz="4" w:space="0"/>
              <w:right w:val="single" w:color="auto" w:sz="4" w:space="0"/>
            </w:tcBorders>
            <w:noWrap w:val="0"/>
            <w:vAlign w:val="center"/>
          </w:tcPr>
          <w:p w14:paraId="173E6083">
            <w:pPr>
              <w:keepNext w:val="0"/>
              <w:keepLines w:val="0"/>
              <w:widowControl/>
              <w:suppressLineNumbers w:val="0"/>
              <w:spacing w:before="0" w:beforeAutospacing="0" w:after="0" w:afterAutospacing="0"/>
              <w:ind w:left="0" w:right="0"/>
              <w:jc w:val="left"/>
              <w:rPr>
                <w:rFonts w:hint="eastAsia" w:ascii="仿宋" w:hAnsi="仿宋" w:eastAsia="仿宋" w:cs="宋体"/>
                <w:kern w:val="0"/>
                <w:sz w:val="22"/>
                <w:szCs w:val="22"/>
              </w:rPr>
            </w:pPr>
          </w:p>
        </w:tc>
      </w:tr>
      <w:tr w14:paraId="3D1B5792">
        <w:tblPrEx>
          <w:tblCellMar>
            <w:top w:w="0" w:type="dxa"/>
            <w:left w:w="108" w:type="dxa"/>
            <w:bottom w:w="0" w:type="dxa"/>
            <w:right w:w="108" w:type="dxa"/>
          </w:tblCellMar>
        </w:tblPrEx>
        <w:trPr>
          <w:trHeight w:val="409" w:hRule="atLeast"/>
        </w:trPr>
        <w:tc>
          <w:tcPr>
            <w:tcW w:w="7304" w:type="dxa"/>
            <w:gridSpan w:val="2"/>
            <w:tcBorders>
              <w:top w:val="single" w:color="auto" w:sz="4" w:space="0"/>
              <w:left w:val="single" w:color="auto" w:sz="4" w:space="0"/>
              <w:bottom w:val="single" w:color="auto" w:sz="4" w:space="0"/>
              <w:right w:val="single" w:color="auto" w:sz="4" w:space="0"/>
            </w:tcBorders>
            <w:noWrap w:val="0"/>
            <w:vAlign w:val="center"/>
          </w:tcPr>
          <w:p w14:paraId="2A85677B">
            <w:pPr>
              <w:keepNext w:val="0"/>
              <w:keepLines w:val="0"/>
              <w:widowControl/>
              <w:suppressLineNumbers w:val="0"/>
              <w:spacing w:before="0" w:beforeAutospacing="0" w:after="0" w:afterAutospacing="0"/>
              <w:ind w:left="0" w:leftChars="0" w:right="0" w:rightChars="0"/>
              <w:jc w:val="center"/>
              <w:rPr>
                <w:rFonts w:hint="eastAsia" w:ascii="仿宋" w:hAnsi="仿宋" w:eastAsia="仿宋" w:cs="Times New Roman"/>
                <w:szCs w:val="21"/>
              </w:rPr>
            </w:pPr>
            <w:r>
              <w:rPr>
                <w:rFonts w:hint="eastAsia" w:ascii="仿宋" w:hAnsi="仿宋" w:eastAsia="仿宋" w:cs="宋体"/>
                <w:b/>
                <w:kern w:val="0"/>
                <w:sz w:val="22"/>
                <w:szCs w:val="22"/>
              </w:rPr>
              <w:t>结论</w:t>
            </w:r>
          </w:p>
        </w:tc>
        <w:tc>
          <w:tcPr>
            <w:tcW w:w="545" w:type="dxa"/>
            <w:tcBorders>
              <w:top w:val="single" w:color="auto" w:sz="4" w:space="0"/>
              <w:left w:val="nil"/>
              <w:bottom w:val="single" w:color="auto" w:sz="4" w:space="0"/>
              <w:right w:val="single" w:color="auto" w:sz="4" w:space="0"/>
            </w:tcBorders>
            <w:noWrap w:val="0"/>
            <w:vAlign w:val="center"/>
          </w:tcPr>
          <w:p w14:paraId="57052999">
            <w:pPr>
              <w:keepNext w:val="0"/>
              <w:keepLines w:val="0"/>
              <w:widowControl/>
              <w:suppressLineNumbers w:val="0"/>
              <w:spacing w:before="0" w:beforeAutospacing="0" w:after="0" w:afterAutospacing="0"/>
              <w:ind w:left="0" w:right="0"/>
              <w:jc w:val="left"/>
              <w:rPr>
                <w:rFonts w:hint="eastAsia" w:ascii="仿宋" w:hAnsi="仿宋" w:eastAsia="仿宋" w:cs="宋体"/>
                <w:kern w:val="0"/>
                <w:sz w:val="22"/>
                <w:szCs w:val="22"/>
              </w:rPr>
            </w:pPr>
          </w:p>
        </w:tc>
        <w:tc>
          <w:tcPr>
            <w:tcW w:w="583" w:type="dxa"/>
            <w:tcBorders>
              <w:top w:val="single" w:color="auto" w:sz="4" w:space="0"/>
              <w:left w:val="nil"/>
              <w:bottom w:val="single" w:color="auto" w:sz="4" w:space="0"/>
              <w:right w:val="single" w:color="auto" w:sz="4" w:space="0"/>
            </w:tcBorders>
            <w:noWrap w:val="0"/>
            <w:vAlign w:val="center"/>
          </w:tcPr>
          <w:p w14:paraId="191B48E4">
            <w:pPr>
              <w:keepNext w:val="0"/>
              <w:keepLines w:val="0"/>
              <w:widowControl/>
              <w:suppressLineNumbers w:val="0"/>
              <w:spacing w:before="0" w:beforeAutospacing="0" w:after="0" w:afterAutospacing="0"/>
              <w:ind w:left="0" w:right="0"/>
              <w:jc w:val="left"/>
              <w:rPr>
                <w:rFonts w:hint="eastAsia" w:ascii="仿宋" w:hAnsi="仿宋" w:eastAsia="仿宋" w:cs="宋体"/>
                <w:kern w:val="0"/>
                <w:sz w:val="22"/>
                <w:szCs w:val="22"/>
              </w:rPr>
            </w:pPr>
          </w:p>
        </w:tc>
        <w:tc>
          <w:tcPr>
            <w:tcW w:w="627" w:type="dxa"/>
            <w:tcBorders>
              <w:top w:val="single" w:color="auto" w:sz="4" w:space="0"/>
              <w:left w:val="nil"/>
              <w:bottom w:val="single" w:color="auto" w:sz="4" w:space="0"/>
              <w:right w:val="single" w:color="auto" w:sz="4" w:space="0"/>
            </w:tcBorders>
            <w:noWrap w:val="0"/>
            <w:vAlign w:val="center"/>
          </w:tcPr>
          <w:p w14:paraId="2D250D90">
            <w:pPr>
              <w:keepNext w:val="0"/>
              <w:keepLines w:val="0"/>
              <w:widowControl/>
              <w:suppressLineNumbers w:val="0"/>
              <w:spacing w:before="0" w:beforeAutospacing="0" w:after="0" w:afterAutospacing="0"/>
              <w:ind w:left="0" w:right="0"/>
              <w:jc w:val="left"/>
              <w:rPr>
                <w:rFonts w:hint="eastAsia" w:ascii="仿宋" w:hAnsi="仿宋" w:eastAsia="仿宋" w:cs="宋体"/>
                <w:kern w:val="0"/>
                <w:sz w:val="22"/>
                <w:szCs w:val="22"/>
              </w:rPr>
            </w:pPr>
          </w:p>
        </w:tc>
      </w:tr>
    </w:tbl>
    <w:p w14:paraId="39568386">
      <w:pPr>
        <w:pStyle w:val="14"/>
        <w:tabs>
          <w:tab w:val="clear" w:pos="567"/>
        </w:tabs>
        <w:spacing w:before="0" w:line="360" w:lineRule="auto"/>
        <w:rPr>
          <w:rFonts w:hint="eastAsia" w:ascii="仿宋_GB2312" w:hAnsi="仿宋_GB2312" w:eastAsia="仿宋_GB2312" w:cs="仿宋_GB2312"/>
          <w:b/>
          <w:bCs/>
          <w:iCs/>
          <w:sz w:val="32"/>
          <w:szCs w:val="22"/>
        </w:rPr>
      </w:pPr>
      <w:r>
        <w:rPr>
          <w:rFonts w:hint="eastAsia" w:ascii="仿宋_GB2312" w:hAnsi="仿宋_GB2312" w:eastAsia="仿宋_GB2312" w:cs="仿宋_GB2312"/>
          <w:iCs/>
        </w:rPr>
        <w:t>评委根据投标单位投标文件的符合性进行审查，符合要求的打“√”，不符合要求的打“×”，一项不符合要求，则评审结论为不通过。</w:t>
      </w:r>
    </w:p>
    <w:p w14:paraId="6370E858">
      <w:pPr>
        <w:keepNext w:val="0"/>
        <w:keepLines w:val="0"/>
        <w:widowControl/>
        <w:suppressLineNumbers w:val="0"/>
        <w:spacing w:before="0" w:beforeAutospacing="0" w:after="0" w:afterAutospacing="0"/>
        <w:ind w:left="0" w:right="0"/>
        <w:jc w:val="both"/>
        <w:rPr>
          <w:rFonts w:hint="eastAsia" w:ascii="仿宋" w:hAnsi="仿宋" w:eastAsia="仿宋" w:cs="宋体"/>
          <w:kern w:val="0"/>
          <w:sz w:val="22"/>
          <w:szCs w:val="22"/>
        </w:rPr>
        <w:sectPr>
          <w:headerReference r:id="rId15" w:type="default"/>
          <w:footerReference r:id="rId16" w:type="default"/>
          <w:pgSz w:w="11906" w:h="16838"/>
          <w:pgMar w:top="1701" w:right="1474" w:bottom="1701" w:left="1474" w:header="0" w:footer="992" w:gutter="0"/>
          <w:pgBorders>
            <w:top w:val="none" w:sz="0" w:space="0"/>
            <w:left w:val="none" w:sz="0" w:space="0"/>
            <w:bottom w:val="none" w:sz="0" w:space="0"/>
            <w:right w:val="none" w:sz="0" w:space="0"/>
          </w:pgBorders>
          <w:pgNumType w:fmt="decimal"/>
          <w:cols w:space="720" w:num="1"/>
          <w:docGrid w:type="lines" w:linePitch="312" w:charSpace="0"/>
        </w:sectPr>
      </w:pPr>
    </w:p>
    <w:p w14:paraId="6CC00471">
      <w:pPr>
        <w:keepNext w:val="0"/>
        <w:keepLines w:val="0"/>
        <w:pageBreakBefore w:val="0"/>
        <w:widowControl/>
        <w:kinsoku/>
        <w:wordWrap/>
        <w:overflowPunct/>
        <w:topLinePunct w:val="0"/>
        <w:bidi w:val="0"/>
        <w:spacing w:line="280" w:lineRule="exact"/>
        <w:jc w:val="center"/>
        <w:textAlignment w:val="center"/>
        <w:rPr>
          <w:rFonts w:hint="eastAsia" w:ascii="仿宋_GB2312" w:hAnsi="仿宋_GB2312" w:eastAsia="仿宋_GB2312" w:cs="仿宋_GB2312"/>
          <w:iCs/>
          <w:kern w:val="2"/>
          <w:sz w:val="24"/>
          <w:szCs w:val="24"/>
          <w:lang w:val="en-US" w:eastAsia="zh-CN" w:bidi="ar-SA"/>
        </w:rPr>
      </w:pPr>
      <w:r>
        <w:rPr>
          <w:rFonts w:hint="eastAsia" w:ascii="仿宋" w:hAnsi="仿宋" w:eastAsia="仿宋" w:cs="宋体"/>
          <w:b/>
          <w:bCs/>
          <w:kern w:val="0"/>
          <w:sz w:val="28"/>
          <w:szCs w:val="28"/>
          <w:lang w:val="en-US" w:eastAsia="zh-CN" w:bidi="ar-SA"/>
        </w:rPr>
        <w:t>评 分 表</w:t>
      </w:r>
    </w:p>
    <w:tbl>
      <w:tblPr>
        <w:tblStyle w:val="38"/>
        <w:tblW w:w="904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8"/>
        <w:gridCol w:w="994"/>
        <w:gridCol w:w="6693"/>
        <w:gridCol w:w="679"/>
      </w:tblGrid>
      <w:tr w14:paraId="05B564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37" w:hRule="atLeast"/>
          <w:jc w:val="center"/>
        </w:trPr>
        <w:tc>
          <w:tcPr>
            <w:tcW w:w="678" w:type="dxa"/>
            <w:vAlign w:val="center"/>
          </w:tcPr>
          <w:p w14:paraId="4520B343">
            <w:pPr>
              <w:keepNext w:val="0"/>
              <w:keepLines w:val="0"/>
              <w:widowControl/>
              <w:suppressLineNumbers w:val="0"/>
              <w:spacing w:before="0" w:beforeAutospacing="0" w:after="0" w:afterAutospacing="0"/>
              <w:ind w:left="0" w:right="0"/>
              <w:jc w:val="center"/>
              <w:rPr>
                <w:rFonts w:hint="default" w:ascii="宋体" w:hAnsi="宋体" w:cs="宋体"/>
                <w:b/>
                <w:bCs/>
                <w:kern w:val="0"/>
                <w:szCs w:val="21"/>
              </w:rPr>
            </w:pPr>
            <w:r>
              <w:rPr>
                <w:rFonts w:hint="eastAsia" w:ascii="宋体" w:hAnsi="宋体" w:cs="宋体"/>
                <w:b/>
                <w:bCs/>
                <w:kern w:val="0"/>
                <w:szCs w:val="21"/>
              </w:rPr>
              <w:t>评审项</w:t>
            </w:r>
          </w:p>
        </w:tc>
        <w:tc>
          <w:tcPr>
            <w:tcW w:w="7687" w:type="dxa"/>
            <w:gridSpan w:val="2"/>
            <w:vAlign w:val="center"/>
          </w:tcPr>
          <w:p w14:paraId="3087A4BF">
            <w:pPr>
              <w:keepNext w:val="0"/>
              <w:keepLines w:val="0"/>
              <w:widowControl/>
              <w:suppressLineNumbers w:val="0"/>
              <w:spacing w:before="0" w:beforeAutospacing="0" w:after="0" w:afterAutospacing="0"/>
              <w:ind w:left="0" w:right="0"/>
              <w:jc w:val="center"/>
              <w:rPr>
                <w:rFonts w:hint="default" w:ascii="宋体" w:hAnsi="宋体" w:cs="宋体"/>
                <w:b/>
                <w:bCs/>
                <w:kern w:val="0"/>
                <w:szCs w:val="21"/>
              </w:rPr>
            </w:pPr>
            <w:r>
              <w:rPr>
                <w:rFonts w:hint="eastAsia" w:ascii="宋体" w:hAnsi="宋体" w:cs="宋体"/>
                <w:b/>
                <w:bCs/>
                <w:kern w:val="0"/>
                <w:szCs w:val="21"/>
              </w:rPr>
              <w:t>评分标准</w:t>
            </w:r>
          </w:p>
        </w:tc>
        <w:tc>
          <w:tcPr>
            <w:tcW w:w="679" w:type="dxa"/>
            <w:noWrap/>
            <w:vAlign w:val="center"/>
          </w:tcPr>
          <w:p w14:paraId="13FD0E11">
            <w:pPr>
              <w:keepNext w:val="0"/>
              <w:keepLines w:val="0"/>
              <w:widowControl/>
              <w:suppressLineNumbers w:val="0"/>
              <w:spacing w:before="0" w:beforeAutospacing="0" w:after="0" w:afterAutospacing="0"/>
              <w:ind w:left="0" w:right="0"/>
              <w:jc w:val="center"/>
              <w:rPr>
                <w:rFonts w:hint="default" w:ascii="宋体" w:hAnsi="宋体" w:cs="宋体"/>
                <w:b/>
                <w:bCs/>
                <w:kern w:val="0"/>
                <w:szCs w:val="21"/>
              </w:rPr>
            </w:pPr>
            <w:r>
              <w:rPr>
                <w:rFonts w:hint="eastAsia" w:ascii="宋体" w:hAnsi="宋体" w:cs="宋体"/>
                <w:b/>
                <w:bCs/>
                <w:kern w:val="0"/>
                <w:szCs w:val="21"/>
              </w:rPr>
              <w:t>分值</w:t>
            </w:r>
          </w:p>
        </w:tc>
      </w:tr>
      <w:tr w14:paraId="49018D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73" w:hRule="atLeast"/>
          <w:jc w:val="center"/>
        </w:trPr>
        <w:tc>
          <w:tcPr>
            <w:tcW w:w="678" w:type="dxa"/>
            <w:vAlign w:val="center"/>
          </w:tcPr>
          <w:p w14:paraId="75613CFF">
            <w:pPr>
              <w:keepNext w:val="0"/>
              <w:keepLines w:val="0"/>
              <w:widowControl/>
              <w:suppressLineNumbers w:val="0"/>
              <w:spacing w:before="0" w:beforeAutospacing="0" w:after="0" w:afterAutospacing="0"/>
              <w:ind w:left="0" w:right="0"/>
              <w:jc w:val="center"/>
              <w:rPr>
                <w:rFonts w:hint="eastAsia" w:ascii="宋体" w:hAnsi="宋体" w:eastAsia="宋体" w:cs="宋体"/>
                <w:b/>
                <w:bCs/>
                <w:kern w:val="0"/>
                <w:szCs w:val="21"/>
                <w:lang w:val="en-US" w:eastAsia="zh-CN"/>
              </w:rPr>
            </w:pPr>
            <w:r>
              <w:rPr>
                <w:rFonts w:hint="eastAsia" w:ascii="宋体" w:hAnsi="宋体" w:cs="宋体"/>
                <w:bCs/>
                <w:szCs w:val="21"/>
              </w:rPr>
              <w:t>价格</w:t>
            </w:r>
          </w:p>
        </w:tc>
        <w:tc>
          <w:tcPr>
            <w:tcW w:w="994" w:type="dxa"/>
            <w:vAlign w:val="center"/>
          </w:tcPr>
          <w:p w14:paraId="5A8032CC">
            <w:pPr>
              <w:keepNext w:val="0"/>
              <w:keepLines w:val="0"/>
              <w:suppressLineNumbers w:val="0"/>
              <w:spacing w:before="0" w:beforeAutospacing="0" w:after="0" w:afterAutospacing="0"/>
              <w:ind w:left="0" w:right="0"/>
              <w:jc w:val="left"/>
              <w:rPr>
                <w:rFonts w:hint="default" w:ascii="宋体" w:hAnsi="宋体" w:cs="宋体"/>
                <w:bCs/>
                <w:szCs w:val="21"/>
              </w:rPr>
            </w:pPr>
            <w:r>
              <w:rPr>
                <w:rFonts w:hint="eastAsia" w:ascii="宋体" w:hAnsi="宋体" w:cs="宋体"/>
                <w:bCs/>
                <w:szCs w:val="21"/>
              </w:rPr>
              <w:t>价格</w:t>
            </w:r>
          </w:p>
          <w:p w14:paraId="2AFAC5FC">
            <w:pPr>
              <w:keepNext w:val="0"/>
              <w:keepLines w:val="0"/>
              <w:widowControl/>
              <w:suppressLineNumbers w:val="0"/>
              <w:spacing w:before="0" w:beforeAutospacing="0" w:after="0" w:afterAutospacing="0"/>
              <w:ind w:left="0" w:right="0"/>
              <w:jc w:val="left"/>
              <w:rPr>
                <w:rFonts w:hint="eastAsia" w:ascii="宋体" w:hAnsi="宋体" w:cs="宋体"/>
                <w:b/>
                <w:bCs/>
                <w:kern w:val="0"/>
                <w:szCs w:val="21"/>
              </w:rPr>
            </w:pPr>
            <w:r>
              <w:rPr>
                <w:rFonts w:hint="eastAsia" w:ascii="宋体" w:hAnsi="宋体" w:cs="宋体"/>
                <w:szCs w:val="21"/>
              </w:rPr>
              <w:t>（30分）</w:t>
            </w:r>
          </w:p>
        </w:tc>
        <w:tc>
          <w:tcPr>
            <w:tcW w:w="6693" w:type="dxa"/>
            <w:vAlign w:val="center"/>
          </w:tcPr>
          <w:p w14:paraId="0DAB42F7">
            <w:pPr>
              <w:keepNext w:val="0"/>
              <w:keepLines w:val="0"/>
              <w:suppressLineNumbers w:val="0"/>
              <w:spacing w:before="0" w:beforeAutospacing="0" w:after="0" w:afterAutospacing="0"/>
              <w:ind w:left="0" w:right="0"/>
              <w:jc w:val="left"/>
              <w:rPr>
                <w:rFonts w:hint="default" w:ascii="宋体" w:hAnsi="宋体" w:cs="宋体"/>
                <w:szCs w:val="21"/>
              </w:rPr>
            </w:pPr>
            <w:r>
              <w:rPr>
                <w:rFonts w:hint="eastAsia" w:ascii="宋体" w:hAnsi="宋体" w:cs="宋体"/>
                <w:szCs w:val="21"/>
              </w:rPr>
              <w:t>综合评分法中的价格分统一采用低价优先法计算，即满足招标文件要求且投标价格最低的投标报价为评标基准价，其价格分为满分30分；</w:t>
            </w:r>
          </w:p>
          <w:p w14:paraId="4DF88FBD">
            <w:pPr>
              <w:keepNext w:val="0"/>
              <w:keepLines w:val="0"/>
              <w:suppressLineNumbers w:val="0"/>
              <w:spacing w:before="0" w:beforeAutospacing="0" w:after="0" w:afterAutospacing="0"/>
              <w:ind w:left="0" w:right="0"/>
              <w:jc w:val="left"/>
              <w:rPr>
                <w:rFonts w:hint="default" w:ascii="宋体" w:hAnsi="宋体" w:cs="宋体"/>
                <w:szCs w:val="21"/>
              </w:rPr>
            </w:pPr>
            <w:r>
              <w:rPr>
                <w:rFonts w:hint="eastAsia" w:ascii="宋体" w:hAnsi="宋体" w:cs="宋体"/>
                <w:szCs w:val="21"/>
              </w:rPr>
              <w:t>适用价格扣除方法政府采购项目价格及得分计算方法：</w:t>
            </w:r>
          </w:p>
          <w:p w14:paraId="20B763CF">
            <w:pPr>
              <w:keepNext w:val="0"/>
              <w:keepLines w:val="0"/>
              <w:widowControl/>
              <w:suppressLineNumbers w:val="0"/>
              <w:spacing w:before="0" w:beforeAutospacing="0" w:after="0" w:afterAutospacing="0"/>
              <w:ind w:left="0" w:right="0"/>
              <w:jc w:val="center"/>
              <w:rPr>
                <w:rFonts w:hint="eastAsia" w:ascii="宋体" w:hAnsi="宋体" w:cs="宋体"/>
                <w:b/>
                <w:bCs/>
                <w:kern w:val="0"/>
                <w:szCs w:val="21"/>
              </w:rPr>
            </w:pPr>
            <w:r>
              <w:rPr>
                <w:rFonts w:hint="eastAsia" w:ascii="宋体" w:hAnsi="宋体" w:cs="宋体"/>
                <w:szCs w:val="21"/>
              </w:rPr>
              <w:t>投标报价得分=（评标基准价/评标价格）×价格权值×100</w:t>
            </w:r>
            <w:r>
              <w:rPr>
                <w:rFonts w:hint="eastAsia" w:ascii="宋体" w:hAnsi="宋体" w:cs="宋体"/>
                <w:szCs w:val="21"/>
                <w:lang w:eastAsia="zh-CN"/>
              </w:rPr>
              <w:t>。</w:t>
            </w:r>
          </w:p>
        </w:tc>
        <w:tc>
          <w:tcPr>
            <w:tcW w:w="679" w:type="dxa"/>
            <w:noWrap/>
            <w:vAlign w:val="center"/>
          </w:tcPr>
          <w:p w14:paraId="72DEB8DE">
            <w:pPr>
              <w:keepNext w:val="0"/>
              <w:keepLines w:val="0"/>
              <w:widowControl/>
              <w:suppressLineNumbers w:val="0"/>
              <w:spacing w:before="0" w:beforeAutospacing="0" w:after="0" w:afterAutospacing="0"/>
              <w:ind w:left="0" w:right="0"/>
              <w:jc w:val="center"/>
              <w:rPr>
                <w:rFonts w:hint="default" w:ascii="宋体" w:hAnsi="宋体" w:eastAsia="宋体" w:cs="宋体"/>
                <w:b/>
                <w:bCs/>
                <w:kern w:val="0"/>
                <w:szCs w:val="21"/>
                <w:lang w:val="en-US" w:eastAsia="zh-CN"/>
              </w:rPr>
            </w:pPr>
            <w:r>
              <w:rPr>
                <w:rFonts w:hint="eastAsia" w:ascii="宋体" w:hAnsi="宋体" w:cs="宋体"/>
                <w:b/>
                <w:bCs/>
                <w:kern w:val="0"/>
                <w:szCs w:val="21"/>
                <w:lang w:val="en-US" w:eastAsia="zh-CN"/>
              </w:rPr>
              <w:t>30</w:t>
            </w:r>
          </w:p>
        </w:tc>
      </w:tr>
      <w:tr w14:paraId="248E1A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05" w:hRule="atLeast"/>
          <w:jc w:val="center"/>
        </w:trPr>
        <w:tc>
          <w:tcPr>
            <w:tcW w:w="678" w:type="dxa"/>
            <w:vMerge w:val="restart"/>
            <w:vAlign w:val="center"/>
          </w:tcPr>
          <w:p w14:paraId="1037C4F6">
            <w:pPr>
              <w:keepNext w:val="0"/>
              <w:keepLines w:val="0"/>
              <w:widowControl/>
              <w:suppressLineNumbers w:val="0"/>
              <w:spacing w:before="0" w:beforeAutospacing="0" w:after="0" w:afterAutospacing="0"/>
              <w:ind w:left="0" w:right="0"/>
              <w:jc w:val="center"/>
              <w:rPr>
                <w:rFonts w:hint="default" w:ascii="宋体" w:hAnsi="宋体" w:cs="宋体"/>
                <w:kern w:val="0"/>
                <w:szCs w:val="21"/>
              </w:rPr>
            </w:pPr>
            <w:r>
              <w:rPr>
                <w:rFonts w:hint="eastAsia" w:ascii="宋体" w:hAnsi="宋体" w:cs="宋体"/>
                <w:kern w:val="0"/>
                <w:szCs w:val="21"/>
              </w:rPr>
              <w:t>技术评审</w:t>
            </w:r>
          </w:p>
        </w:tc>
        <w:tc>
          <w:tcPr>
            <w:tcW w:w="994" w:type="dxa"/>
            <w:vAlign w:val="center"/>
          </w:tcPr>
          <w:p w14:paraId="54720E13">
            <w:pPr>
              <w:keepNext w:val="0"/>
              <w:keepLines w:val="0"/>
              <w:widowControl/>
              <w:suppressLineNumbers w:val="0"/>
              <w:spacing w:before="0" w:beforeAutospacing="0" w:after="0" w:afterAutospacing="0"/>
              <w:ind w:left="0" w:right="0"/>
              <w:jc w:val="left"/>
              <w:rPr>
                <w:rFonts w:hint="eastAsia" w:ascii="宋体" w:hAnsi="宋体" w:eastAsia="宋体" w:cs="宋体"/>
                <w:kern w:val="0"/>
                <w:szCs w:val="21"/>
                <w:lang w:eastAsia="zh-CN"/>
              </w:rPr>
            </w:pPr>
            <w:r>
              <w:rPr>
                <w:rFonts w:hint="eastAsia" w:ascii="宋体" w:hAnsi="宋体" w:cs="宋体"/>
                <w:kern w:val="0"/>
                <w:szCs w:val="21"/>
              </w:rPr>
              <w:t>技术参数响应及质量保证</w:t>
            </w:r>
            <w:r>
              <w:rPr>
                <w:rFonts w:hint="eastAsia" w:ascii="宋体" w:hAnsi="宋体" w:cs="宋体"/>
                <w:kern w:val="0"/>
                <w:szCs w:val="21"/>
                <w:lang w:eastAsia="zh-CN"/>
              </w:rPr>
              <w:t>（</w:t>
            </w:r>
            <w:r>
              <w:rPr>
                <w:rFonts w:hint="eastAsia" w:ascii="宋体" w:hAnsi="宋体" w:cs="宋体"/>
                <w:kern w:val="0"/>
                <w:szCs w:val="21"/>
                <w:lang w:val="en-US" w:eastAsia="zh-CN"/>
              </w:rPr>
              <w:t>30分</w:t>
            </w:r>
            <w:r>
              <w:rPr>
                <w:rFonts w:hint="eastAsia" w:ascii="宋体" w:hAnsi="宋体" w:cs="宋体"/>
                <w:kern w:val="0"/>
                <w:szCs w:val="21"/>
                <w:lang w:eastAsia="zh-CN"/>
              </w:rPr>
              <w:t>）</w:t>
            </w:r>
          </w:p>
        </w:tc>
        <w:tc>
          <w:tcPr>
            <w:tcW w:w="6693" w:type="dxa"/>
            <w:vAlign w:val="center"/>
          </w:tcPr>
          <w:p w14:paraId="3311488F">
            <w:pPr>
              <w:keepNext w:val="0"/>
              <w:keepLines w:val="0"/>
              <w:widowControl/>
              <w:suppressLineNumbers w:val="0"/>
              <w:spacing w:before="0" w:beforeAutospacing="0" w:after="0" w:afterAutospacing="0"/>
              <w:ind w:left="0" w:right="0"/>
              <w:jc w:val="left"/>
              <w:rPr>
                <w:rFonts w:hint="default" w:ascii="宋体" w:hAnsi="宋体" w:cs="宋体"/>
                <w:kern w:val="0"/>
                <w:szCs w:val="21"/>
              </w:rPr>
            </w:pPr>
            <w:r>
              <w:rPr>
                <w:rFonts w:hint="eastAsia" w:ascii="宋体" w:hAnsi="宋体" w:cs="宋体"/>
                <w:kern w:val="0"/>
                <w:szCs w:val="21"/>
              </w:rPr>
              <w:t>根据招标文件技术参数要求对照投标人投标文件提供的响应内容进行评审，完全满足招标文件技术要求的得30分，非★项每有—项不满足或负偏离的扣1分</w:t>
            </w:r>
            <w:r>
              <w:rPr>
                <w:rFonts w:hint="eastAsia" w:ascii="宋体" w:hAnsi="宋体" w:cs="宋体"/>
                <w:kern w:val="0"/>
                <w:szCs w:val="21"/>
                <w:lang w:eastAsia="zh-CN"/>
              </w:rPr>
              <w:t>，</w:t>
            </w:r>
            <w:r>
              <w:rPr>
                <w:rFonts w:hint="eastAsia" w:ascii="宋体" w:hAnsi="宋体" w:cs="宋体"/>
                <w:kern w:val="0"/>
                <w:szCs w:val="21"/>
              </w:rPr>
              <w:t>★项每有—项不满足或负偏离的扣2分</w:t>
            </w:r>
            <w:r>
              <w:rPr>
                <w:rFonts w:hint="eastAsia" w:ascii="宋体" w:hAnsi="宋体" w:cs="宋体"/>
                <w:kern w:val="0"/>
                <w:szCs w:val="21"/>
                <w:lang w:eastAsia="zh-CN"/>
              </w:rPr>
              <w:t>，</w:t>
            </w:r>
            <w:r>
              <w:rPr>
                <w:rFonts w:hint="eastAsia" w:ascii="宋体" w:hAnsi="宋体" w:cs="宋体"/>
                <w:kern w:val="0"/>
                <w:szCs w:val="21"/>
              </w:rPr>
              <w:t>扣完为止。（★项参数需提供检测报告并加盖厂家公章，</w:t>
            </w:r>
            <w:r>
              <w:rPr>
                <w:rFonts w:hint="eastAsia" w:ascii="宋体" w:hAnsi="宋体" w:cs="宋体"/>
                <w:szCs w:val="21"/>
              </w:rPr>
              <w:t>未</w:t>
            </w:r>
            <w:r>
              <w:rPr>
                <w:rFonts w:hint="eastAsia" w:ascii="宋体" w:hAnsi="宋体" w:cs="宋体"/>
                <w:kern w:val="0"/>
                <w:szCs w:val="21"/>
              </w:rPr>
              <w:t>提供或证明内容不符合参数要求视为此条参数不满足）</w:t>
            </w:r>
          </w:p>
        </w:tc>
        <w:tc>
          <w:tcPr>
            <w:tcW w:w="679" w:type="dxa"/>
            <w:noWrap/>
            <w:vAlign w:val="center"/>
          </w:tcPr>
          <w:p w14:paraId="5FE93297">
            <w:pPr>
              <w:keepNext w:val="0"/>
              <w:keepLines w:val="0"/>
              <w:widowControl/>
              <w:suppressLineNumbers w:val="0"/>
              <w:spacing w:before="0" w:beforeAutospacing="0" w:after="0" w:afterAutospacing="0"/>
              <w:ind w:left="0" w:right="0"/>
              <w:jc w:val="center"/>
              <w:rPr>
                <w:rFonts w:hint="default" w:ascii="宋体" w:hAnsi="宋体" w:cs="宋体"/>
                <w:kern w:val="0"/>
                <w:szCs w:val="21"/>
              </w:rPr>
            </w:pPr>
            <w:r>
              <w:rPr>
                <w:rFonts w:hint="eastAsia" w:ascii="宋体" w:hAnsi="宋体" w:cs="宋体"/>
                <w:kern w:val="0"/>
                <w:szCs w:val="21"/>
              </w:rPr>
              <w:t>30</w:t>
            </w:r>
          </w:p>
        </w:tc>
      </w:tr>
      <w:tr w14:paraId="0775A1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38" w:hRule="atLeast"/>
          <w:jc w:val="center"/>
        </w:trPr>
        <w:tc>
          <w:tcPr>
            <w:tcW w:w="678" w:type="dxa"/>
            <w:vMerge w:val="continue"/>
            <w:vAlign w:val="center"/>
          </w:tcPr>
          <w:p w14:paraId="1E3E09BC">
            <w:pPr>
              <w:keepNext w:val="0"/>
              <w:keepLines w:val="0"/>
              <w:widowControl/>
              <w:suppressLineNumbers w:val="0"/>
              <w:spacing w:before="0" w:beforeAutospacing="0" w:after="0" w:afterAutospacing="0"/>
              <w:ind w:left="0" w:right="0"/>
              <w:jc w:val="center"/>
              <w:rPr>
                <w:rFonts w:hint="default" w:ascii="宋体" w:hAnsi="宋体" w:cs="宋体"/>
                <w:kern w:val="0"/>
                <w:szCs w:val="21"/>
              </w:rPr>
            </w:pPr>
          </w:p>
        </w:tc>
        <w:tc>
          <w:tcPr>
            <w:tcW w:w="994" w:type="dxa"/>
            <w:vAlign w:val="center"/>
          </w:tcPr>
          <w:p w14:paraId="37684BCC">
            <w:pPr>
              <w:keepNext w:val="0"/>
              <w:keepLines w:val="0"/>
              <w:widowControl/>
              <w:suppressLineNumbers w:val="0"/>
              <w:spacing w:before="0" w:beforeAutospacing="0" w:after="0" w:afterAutospacing="0"/>
              <w:ind w:left="0" w:right="0"/>
              <w:jc w:val="left"/>
              <w:rPr>
                <w:rFonts w:hint="eastAsia" w:ascii="宋体" w:hAnsi="宋体" w:eastAsia="宋体" w:cs="宋体"/>
                <w:kern w:val="0"/>
                <w:szCs w:val="21"/>
                <w:lang w:eastAsia="zh-CN"/>
              </w:rPr>
            </w:pPr>
            <w:r>
              <w:rPr>
                <w:rFonts w:hint="eastAsia" w:ascii="宋体" w:hAnsi="宋体" w:cs="宋体"/>
                <w:kern w:val="0"/>
                <w:szCs w:val="21"/>
              </w:rPr>
              <w:t>产品优越性</w:t>
            </w:r>
            <w:r>
              <w:rPr>
                <w:rFonts w:hint="eastAsia" w:ascii="宋体" w:hAnsi="宋体" w:cs="宋体"/>
                <w:kern w:val="0"/>
                <w:szCs w:val="21"/>
                <w:lang w:eastAsia="zh-CN"/>
              </w:rPr>
              <w:t>（</w:t>
            </w:r>
            <w:r>
              <w:rPr>
                <w:rFonts w:hint="eastAsia" w:ascii="宋体" w:hAnsi="宋体" w:cs="宋体"/>
                <w:kern w:val="0"/>
                <w:szCs w:val="21"/>
                <w:lang w:val="en-US" w:eastAsia="zh-CN"/>
              </w:rPr>
              <w:t>18分</w:t>
            </w:r>
            <w:r>
              <w:rPr>
                <w:rFonts w:hint="eastAsia" w:ascii="宋体" w:hAnsi="宋体" w:cs="宋体"/>
                <w:kern w:val="0"/>
                <w:szCs w:val="21"/>
                <w:lang w:eastAsia="zh-CN"/>
              </w:rPr>
              <w:t>）</w:t>
            </w:r>
          </w:p>
        </w:tc>
        <w:tc>
          <w:tcPr>
            <w:tcW w:w="6693" w:type="dxa"/>
            <w:vAlign w:val="center"/>
          </w:tcPr>
          <w:p w14:paraId="3DD4C74A">
            <w:pPr>
              <w:keepNext w:val="0"/>
              <w:keepLines w:val="0"/>
              <w:numPr>
                <w:ilvl w:val="0"/>
                <w:numId w:val="15"/>
              </w:numPr>
              <w:suppressLineNumbers w:val="0"/>
              <w:autoSpaceDE w:val="0"/>
              <w:autoSpaceDN w:val="0"/>
              <w:adjustRightInd w:val="0"/>
              <w:spacing w:before="0" w:beforeAutospacing="0" w:after="0" w:afterAutospacing="0"/>
              <w:ind w:left="425" w:leftChars="0" w:right="0" w:hanging="425" w:firstLineChars="0"/>
              <w:rPr>
                <w:rFonts w:hint="eastAsia"/>
              </w:rPr>
            </w:pPr>
            <w:r>
              <w:rPr>
                <w:rFonts w:hint="eastAsia"/>
              </w:rPr>
              <w:t>为保障产品安全可靠及售后稳定，要求所投录播系统产品制造商具备隐私安全、云服务安全、信息技术服务管理体系证书并加盖厂家公章。全部提供得3分，每缺一项扣1分。</w:t>
            </w:r>
          </w:p>
          <w:p w14:paraId="1F9697CF">
            <w:pPr>
              <w:keepNext w:val="0"/>
              <w:keepLines w:val="0"/>
              <w:numPr>
                <w:ilvl w:val="0"/>
                <w:numId w:val="15"/>
              </w:numPr>
              <w:suppressLineNumbers w:val="0"/>
              <w:autoSpaceDE w:val="0"/>
              <w:autoSpaceDN w:val="0"/>
              <w:adjustRightInd w:val="0"/>
              <w:spacing w:before="0" w:beforeAutospacing="0" w:after="0" w:afterAutospacing="0"/>
              <w:ind w:left="425" w:leftChars="0" w:right="0" w:hanging="425" w:firstLineChars="0"/>
              <w:rPr>
                <w:rFonts w:hint="eastAsia"/>
              </w:rPr>
            </w:pPr>
            <w:r>
              <w:rPr>
                <w:rFonts w:hint="eastAsia"/>
              </w:rPr>
              <w:t>为提供良好稳定的软件使用体验，所投录播系统产品制造商需具有软件能力成熟度证书，加盖厂家公章，通过SPCA评估，3级认证得3分，2级认证得1分，未提供不得分。</w:t>
            </w:r>
          </w:p>
          <w:p w14:paraId="09821A8D">
            <w:pPr>
              <w:keepNext w:val="0"/>
              <w:keepLines w:val="0"/>
              <w:numPr>
                <w:ilvl w:val="0"/>
                <w:numId w:val="15"/>
              </w:numPr>
              <w:suppressLineNumbers w:val="0"/>
              <w:autoSpaceDE w:val="0"/>
              <w:autoSpaceDN w:val="0"/>
              <w:adjustRightInd w:val="0"/>
              <w:spacing w:before="0" w:beforeAutospacing="0" w:after="0" w:afterAutospacing="0"/>
              <w:ind w:left="425" w:leftChars="0" w:right="0" w:hanging="425" w:firstLineChars="0"/>
              <w:rPr>
                <w:rFonts w:hint="eastAsia"/>
              </w:rPr>
            </w:pPr>
            <w:r>
              <w:rPr>
                <w:rFonts w:hint="eastAsia"/>
              </w:rPr>
              <w:t>所投记忆黑板产品提供教师公开课展示，</w:t>
            </w:r>
            <w:r>
              <w:rPr>
                <w:rFonts w:hint="eastAsia"/>
                <w:lang w:val="en-US" w:eastAsia="zh-CN"/>
              </w:rPr>
              <w:t>且</w:t>
            </w:r>
            <w:r>
              <w:rPr>
                <w:rFonts w:hint="eastAsia"/>
              </w:rPr>
              <w:t>支持开放多人联动教研系统、分析点评教师设备使用情况（提供软件截图并加盖厂家公章）；提供证明得</w:t>
            </w:r>
            <w:r>
              <w:rPr>
                <w:rFonts w:hint="eastAsia"/>
                <w:lang w:val="en-US" w:eastAsia="zh-CN"/>
              </w:rPr>
              <w:t>3</w:t>
            </w:r>
            <w:r>
              <w:rPr>
                <w:rFonts w:hint="eastAsia"/>
              </w:rPr>
              <w:t>分，</w:t>
            </w:r>
            <w:r>
              <w:rPr>
                <w:rFonts w:hint="eastAsia"/>
                <w:lang w:val="en-US" w:eastAsia="zh-CN"/>
              </w:rPr>
              <w:t>未</w:t>
            </w:r>
            <w:r>
              <w:rPr>
                <w:rFonts w:hint="eastAsia"/>
              </w:rPr>
              <w:t>提供不得分。</w:t>
            </w:r>
          </w:p>
          <w:p w14:paraId="603C59C8">
            <w:pPr>
              <w:keepNext w:val="0"/>
              <w:keepLines w:val="0"/>
              <w:numPr>
                <w:ilvl w:val="0"/>
                <w:numId w:val="15"/>
              </w:numPr>
              <w:suppressLineNumbers w:val="0"/>
              <w:autoSpaceDE w:val="0"/>
              <w:autoSpaceDN w:val="0"/>
              <w:adjustRightInd w:val="0"/>
              <w:spacing w:before="0" w:beforeAutospacing="0" w:after="0" w:afterAutospacing="0"/>
              <w:ind w:left="425" w:leftChars="0" w:right="0" w:hanging="425" w:firstLineChars="0"/>
              <w:rPr>
                <w:rFonts w:hint="eastAsia"/>
              </w:rPr>
            </w:pPr>
            <w:r>
              <w:rPr>
                <w:rFonts w:hint="eastAsia"/>
              </w:rPr>
              <w:t>提供所投记忆黑板产品具备正版培训教材（电子版或者纸质版）。正版培训教材为国家正式注册登记的出版社发行的正版图书。（提供图书著作权、出版编目</w:t>
            </w:r>
            <w:r>
              <w:rPr>
                <w:rFonts w:hint="eastAsia"/>
                <w:lang w:eastAsia="zh-CN"/>
              </w:rPr>
              <w:t>（</w:t>
            </w:r>
            <w:r>
              <w:rPr>
                <w:rFonts w:hint="eastAsia"/>
              </w:rPr>
              <w:t>CIP</w:t>
            </w:r>
            <w:r>
              <w:rPr>
                <w:rFonts w:hint="eastAsia"/>
                <w:lang w:eastAsia="zh-CN"/>
              </w:rPr>
              <w:t>）</w:t>
            </w:r>
            <w:r>
              <w:rPr>
                <w:rFonts w:hint="eastAsia"/>
              </w:rPr>
              <w:t>数据、出版单位名称、扉页复印件加盖教学软件研发商公章）；提供证明文件并加盖厂家公章，</w:t>
            </w:r>
            <w:r>
              <w:rPr>
                <w:rFonts w:hint="eastAsia"/>
                <w:lang w:val="en-US" w:eastAsia="zh-CN"/>
              </w:rPr>
              <w:t>全部提供得4</w:t>
            </w:r>
            <w:r>
              <w:rPr>
                <w:rFonts w:hint="eastAsia"/>
              </w:rPr>
              <w:t>分，</w:t>
            </w:r>
            <w:r>
              <w:rPr>
                <w:rFonts w:hint="eastAsia"/>
                <w:lang w:val="en-US" w:eastAsia="zh-CN"/>
              </w:rPr>
              <w:t>缺1项扣1分。</w:t>
            </w:r>
          </w:p>
          <w:p w14:paraId="0C546920">
            <w:pPr>
              <w:keepNext w:val="0"/>
              <w:keepLines w:val="0"/>
              <w:numPr>
                <w:ilvl w:val="0"/>
                <w:numId w:val="15"/>
              </w:numPr>
              <w:suppressLineNumbers w:val="0"/>
              <w:autoSpaceDE w:val="0"/>
              <w:autoSpaceDN w:val="0"/>
              <w:adjustRightInd w:val="0"/>
              <w:spacing w:before="0" w:beforeAutospacing="0" w:after="0" w:afterAutospacing="0"/>
              <w:ind w:left="425" w:leftChars="0" w:right="0" w:hanging="425" w:firstLineChars="0"/>
              <w:rPr>
                <w:rFonts w:hint="eastAsia"/>
              </w:rPr>
            </w:pPr>
            <w:r>
              <w:rPr>
                <w:rFonts w:hint="eastAsia"/>
              </w:rPr>
              <w:t>网络安全管理系统需支持与防火墙进行安全联动，管理员可以在防火墙管理界面下发快速查杀任务，并查看任务状态、结果并进行处置，支持在管理平台查询和统计联动信息。（需提供产品截图证明加盖厂家公章）提供得</w:t>
            </w:r>
            <w:r>
              <w:rPr>
                <w:rFonts w:hint="eastAsia"/>
                <w:lang w:val="en-US" w:eastAsia="zh-CN"/>
              </w:rPr>
              <w:t>3</w:t>
            </w:r>
            <w:r>
              <w:rPr>
                <w:rFonts w:hint="eastAsia"/>
              </w:rPr>
              <w:t>分，未提供不得分</w:t>
            </w:r>
          </w:p>
          <w:p w14:paraId="76C54273">
            <w:pPr>
              <w:keepNext w:val="0"/>
              <w:keepLines w:val="0"/>
              <w:numPr>
                <w:ilvl w:val="0"/>
                <w:numId w:val="15"/>
              </w:numPr>
              <w:suppressLineNumbers w:val="0"/>
              <w:autoSpaceDE w:val="0"/>
              <w:autoSpaceDN w:val="0"/>
              <w:adjustRightInd w:val="0"/>
              <w:spacing w:before="0" w:beforeAutospacing="0" w:after="0" w:afterAutospacing="0"/>
              <w:ind w:left="425" w:leftChars="0" w:right="0" w:hanging="425" w:firstLineChars="0"/>
              <w:rPr>
                <w:rFonts w:hint="default"/>
                <w:lang w:val="en-US" w:eastAsia="zh-CN"/>
              </w:rPr>
            </w:pPr>
            <w:r>
              <w:rPr>
                <w:rFonts w:hint="eastAsia"/>
              </w:rPr>
              <w:t>网络安全管理系统需提供具备公安部颁发的《计算机信息系统安全专用产品销售许可证》复印件加盖厂家公章，提供证明得2分，未提供不得分。</w:t>
            </w:r>
          </w:p>
        </w:tc>
        <w:tc>
          <w:tcPr>
            <w:tcW w:w="679" w:type="dxa"/>
            <w:noWrap/>
            <w:vAlign w:val="center"/>
          </w:tcPr>
          <w:p w14:paraId="52EF7E30">
            <w:pPr>
              <w:keepNext w:val="0"/>
              <w:keepLines w:val="0"/>
              <w:widowControl/>
              <w:suppressLineNumbers w:val="0"/>
              <w:spacing w:before="0" w:beforeAutospacing="0" w:after="0" w:afterAutospacing="0"/>
              <w:ind w:left="0" w:right="0"/>
              <w:jc w:val="center"/>
              <w:rPr>
                <w:rFonts w:hint="default" w:ascii="宋体" w:hAnsi="宋体" w:cs="宋体"/>
                <w:kern w:val="0"/>
                <w:szCs w:val="21"/>
              </w:rPr>
            </w:pPr>
            <w:r>
              <w:rPr>
                <w:rFonts w:hint="eastAsia" w:ascii="宋体" w:hAnsi="宋体" w:cs="宋体"/>
                <w:kern w:val="0"/>
                <w:szCs w:val="21"/>
                <w:lang w:val="en-US" w:eastAsia="zh-CN"/>
              </w:rPr>
              <w:t>18</w:t>
            </w:r>
          </w:p>
        </w:tc>
      </w:tr>
      <w:tr w14:paraId="0548AC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29" w:hRule="atLeast"/>
          <w:jc w:val="center"/>
        </w:trPr>
        <w:tc>
          <w:tcPr>
            <w:tcW w:w="678" w:type="dxa"/>
            <w:vMerge w:val="restart"/>
            <w:vAlign w:val="center"/>
          </w:tcPr>
          <w:p w14:paraId="43EC1241">
            <w:pPr>
              <w:keepNext w:val="0"/>
              <w:keepLines w:val="0"/>
              <w:widowControl/>
              <w:suppressLineNumbers w:val="0"/>
              <w:spacing w:before="0" w:beforeAutospacing="0" w:after="0" w:afterAutospacing="0"/>
              <w:ind w:left="0" w:right="0"/>
              <w:jc w:val="center"/>
              <w:rPr>
                <w:rFonts w:hint="default" w:ascii="宋体" w:hAnsi="宋体" w:cs="宋体"/>
                <w:kern w:val="0"/>
                <w:szCs w:val="21"/>
              </w:rPr>
            </w:pPr>
            <w:r>
              <w:rPr>
                <w:rFonts w:hint="eastAsia" w:ascii="宋体" w:hAnsi="宋体" w:cs="宋体"/>
                <w:kern w:val="0"/>
                <w:szCs w:val="21"/>
              </w:rPr>
              <w:t>商务评审</w:t>
            </w:r>
          </w:p>
        </w:tc>
        <w:tc>
          <w:tcPr>
            <w:tcW w:w="994" w:type="dxa"/>
            <w:noWrap/>
            <w:vAlign w:val="center"/>
          </w:tcPr>
          <w:p w14:paraId="3B90CE83">
            <w:pPr>
              <w:keepNext w:val="0"/>
              <w:keepLines w:val="0"/>
              <w:widowControl/>
              <w:suppressLineNumbers w:val="0"/>
              <w:spacing w:before="0" w:beforeAutospacing="0" w:after="0" w:afterAutospacing="0"/>
              <w:ind w:left="0" w:right="0"/>
              <w:jc w:val="left"/>
              <w:rPr>
                <w:rFonts w:hint="eastAsia" w:ascii="宋体" w:hAnsi="宋体" w:eastAsia="宋体" w:cs="宋体"/>
                <w:kern w:val="0"/>
                <w:szCs w:val="21"/>
                <w:lang w:eastAsia="zh-CN"/>
              </w:rPr>
            </w:pPr>
            <w:r>
              <w:rPr>
                <w:rFonts w:hint="eastAsia" w:ascii="宋体" w:hAnsi="宋体" w:cs="宋体"/>
                <w:kern w:val="0"/>
                <w:szCs w:val="21"/>
              </w:rPr>
              <w:t>实施方案</w:t>
            </w:r>
            <w:r>
              <w:rPr>
                <w:rFonts w:hint="eastAsia" w:ascii="宋体" w:hAnsi="宋体" w:cs="宋体"/>
                <w:kern w:val="0"/>
                <w:szCs w:val="21"/>
                <w:lang w:eastAsia="zh-CN"/>
              </w:rPr>
              <w:t>（</w:t>
            </w:r>
            <w:r>
              <w:rPr>
                <w:rFonts w:hint="eastAsia" w:ascii="宋体" w:hAnsi="宋体" w:cs="宋体"/>
                <w:kern w:val="0"/>
                <w:szCs w:val="21"/>
                <w:lang w:val="en-US" w:eastAsia="zh-CN"/>
              </w:rPr>
              <w:t>6分</w:t>
            </w:r>
            <w:r>
              <w:rPr>
                <w:rFonts w:hint="eastAsia" w:ascii="宋体" w:hAnsi="宋体" w:cs="宋体"/>
                <w:kern w:val="0"/>
                <w:szCs w:val="21"/>
                <w:lang w:eastAsia="zh-CN"/>
              </w:rPr>
              <w:t>）</w:t>
            </w:r>
          </w:p>
        </w:tc>
        <w:tc>
          <w:tcPr>
            <w:tcW w:w="6693" w:type="dxa"/>
            <w:noWrap/>
            <w:vAlign w:val="center"/>
          </w:tcPr>
          <w:p w14:paraId="05C55DF0">
            <w:pPr>
              <w:keepNext w:val="0"/>
              <w:keepLines w:val="0"/>
              <w:widowControl/>
              <w:suppressLineNumbers w:val="0"/>
              <w:spacing w:before="0" w:beforeAutospacing="0" w:after="0" w:afterAutospacing="0"/>
              <w:ind w:left="0" w:right="0"/>
              <w:jc w:val="left"/>
              <w:rPr>
                <w:rFonts w:hint="eastAsia" w:ascii="宋体" w:hAnsi="宋体" w:eastAsia="宋体" w:cs="宋体"/>
                <w:kern w:val="0"/>
                <w:szCs w:val="21"/>
                <w:lang w:eastAsia="zh-CN"/>
              </w:rPr>
            </w:pPr>
            <w:r>
              <w:rPr>
                <w:rFonts w:hint="eastAsia" w:ascii="宋体" w:hAnsi="宋体" w:cs="宋体"/>
                <w:kern w:val="0"/>
                <w:szCs w:val="21"/>
              </w:rPr>
              <w:t>项目实施方案内容包括</w:t>
            </w:r>
            <w:r>
              <w:rPr>
                <w:rFonts w:hint="eastAsia" w:ascii="宋体" w:hAnsi="宋体" w:cs="宋体"/>
                <w:kern w:val="0"/>
                <w:szCs w:val="21"/>
                <w:lang w:eastAsia="zh-CN"/>
              </w:rPr>
              <w:t>：</w:t>
            </w:r>
          </w:p>
          <w:p w14:paraId="27F8B939">
            <w:pPr>
              <w:keepNext w:val="0"/>
              <w:keepLines w:val="0"/>
              <w:widowControl/>
              <w:numPr>
                <w:ilvl w:val="0"/>
                <w:numId w:val="16"/>
              </w:numPr>
              <w:suppressLineNumbers w:val="0"/>
              <w:spacing w:before="0" w:beforeAutospacing="0" w:after="0" w:afterAutospacing="0"/>
              <w:ind w:left="425" w:leftChars="0" w:right="0" w:hanging="425" w:firstLineChars="0"/>
              <w:jc w:val="left"/>
              <w:rPr>
                <w:rFonts w:hint="eastAsia" w:ascii="宋体" w:hAnsi="宋体" w:cs="宋体"/>
                <w:kern w:val="0"/>
                <w:szCs w:val="21"/>
              </w:rPr>
            </w:pPr>
            <w:r>
              <w:rPr>
                <w:rFonts w:hint="eastAsia" w:ascii="宋体" w:hAnsi="宋体" w:cs="宋体"/>
                <w:kern w:val="0"/>
                <w:szCs w:val="21"/>
              </w:rPr>
              <w:t>质量保证措施（产品质量保障措施有符合项目要求的质量保障目标、质量关键控制点、质量检测检验验收流程）</w:t>
            </w:r>
            <w:r>
              <w:rPr>
                <w:rFonts w:hint="eastAsia" w:ascii="宋体" w:hAnsi="宋体" w:cs="宋体"/>
                <w:kern w:val="0"/>
                <w:szCs w:val="21"/>
                <w:lang w:eastAsia="zh-CN"/>
              </w:rPr>
              <w:t>（</w:t>
            </w:r>
            <w:r>
              <w:rPr>
                <w:rFonts w:hint="eastAsia" w:ascii="宋体" w:hAnsi="宋体" w:cs="宋体"/>
                <w:kern w:val="0"/>
                <w:szCs w:val="21"/>
                <w:lang w:val="en-US" w:eastAsia="zh-CN"/>
              </w:rPr>
              <w:t>1.5分）</w:t>
            </w:r>
          </w:p>
          <w:p w14:paraId="77F59FFA">
            <w:pPr>
              <w:keepNext w:val="0"/>
              <w:keepLines w:val="0"/>
              <w:widowControl/>
              <w:numPr>
                <w:ilvl w:val="0"/>
                <w:numId w:val="16"/>
              </w:numPr>
              <w:suppressLineNumbers w:val="0"/>
              <w:spacing w:before="0" w:beforeAutospacing="0" w:after="0" w:afterAutospacing="0"/>
              <w:ind w:left="425" w:leftChars="0" w:right="0" w:hanging="425" w:firstLineChars="0"/>
              <w:jc w:val="left"/>
              <w:rPr>
                <w:rFonts w:hint="eastAsia" w:ascii="宋体" w:hAnsi="宋体" w:cs="宋体"/>
                <w:color w:val="auto"/>
                <w:kern w:val="0"/>
                <w:szCs w:val="21"/>
              </w:rPr>
            </w:pPr>
            <w:r>
              <w:rPr>
                <w:rFonts w:hint="eastAsia" w:ascii="宋体" w:hAnsi="宋体" w:cs="宋体"/>
                <w:color w:val="auto"/>
                <w:kern w:val="0"/>
                <w:szCs w:val="21"/>
              </w:rPr>
              <w:t>安装调试计划（符合项目的备货计划、有明确的周期安排、安装调试验收计划有具体的流程安排</w:t>
            </w:r>
            <w:r>
              <w:rPr>
                <w:rFonts w:hint="eastAsia" w:ascii="宋体" w:hAnsi="宋体" w:cs="宋体"/>
                <w:color w:val="auto"/>
                <w:kern w:val="0"/>
                <w:szCs w:val="21"/>
                <w:lang w:eastAsia="zh-CN"/>
              </w:rPr>
              <w:t>）</w:t>
            </w:r>
            <w:r>
              <w:rPr>
                <w:rFonts w:hint="eastAsia" w:ascii="宋体" w:hAnsi="宋体" w:cs="宋体"/>
                <w:color w:val="auto"/>
                <w:kern w:val="0"/>
                <w:szCs w:val="21"/>
                <w:lang w:val="en-US" w:eastAsia="zh-CN"/>
              </w:rPr>
              <w:t>（1.5分）</w:t>
            </w:r>
          </w:p>
          <w:p w14:paraId="141C6369">
            <w:pPr>
              <w:keepNext w:val="0"/>
              <w:keepLines w:val="0"/>
              <w:widowControl/>
              <w:numPr>
                <w:ilvl w:val="0"/>
                <w:numId w:val="16"/>
              </w:numPr>
              <w:suppressLineNumbers w:val="0"/>
              <w:spacing w:before="0" w:beforeAutospacing="0" w:after="0" w:afterAutospacing="0"/>
              <w:ind w:left="425" w:leftChars="0" w:right="0" w:hanging="425" w:firstLineChars="0"/>
              <w:jc w:val="left"/>
              <w:rPr>
                <w:rFonts w:hint="eastAsia" w:ascii="宋体" w:hAnsi="宋体" w:cs="宋体"/>
                <w:color w:val="auto"/>
                <w:kern w:val="0"/>
                <w:szCs w:val="21"/>
              </w:rPr>
            </w:pPr>
            <w:r>
              <w:rPr>
                <w:rFonts w:hint="eastAsia" w:ascii="宋体" w:hAnsi="宋体" w:cs="宋体"/>
                <w:color w:val="auto"/>
                <w:kern w:val="0"/>
                <w:szCs w:val="21"/>
              </w:rPr>
              <w:t>应急预案（有符合采购产品的应急处理措施、产品质量问题应急预案、遇突发事件应急预案）</w:t>
            </w:r>
            <w:r>
              <w:rPr>
                <w:rFonts w:hint="eastAsia" w:ascii="宋体" w:hAnsi="宋体" w:cs="宋体"/>
                <w:color w:val="auto"/>
                <w:kern w:val="0"/>
                <w:szCs w:val="21"/>
                <w:lang w:eastAsia="zh-CN"/>
              </w:rPr>
              <w:t>（</w:t>
            </w:r>
            <w:r>
              <w:rPr>
                <w:rFonts w:hint="eastAsia" w:ascii="宋体" w:hAnsi="宋体" w:cs="宋体"/>
                <w:color w:val="auto"/>
                <w:kern w:val="0"/>
                <w:szCs w:val="21"/>
                <w:lang w:val="en-US" w:eastAsia="zh-CN"/>
              </w:rPr>
              <w:t>1.5分）</w:t>
            </w:r>
          </w:p>
          <w:p w14:paraId="1C3ECE37">
            <w:pPr>
              <w:keepNext w:val="0"/>
              <w:keepLines w:val="0"/>
              <w:widowControl/>
              <w:numPr>
                <w:ilvl w:val="0"/>
                <w:numId w:val="16"/>
              </w:numPr>
              <w:suppressLineNumbers w:val="0"/>
              <w:spacing w:before="0" w:beforeAutospacing="0" w:after="0" w:afterAutospacing="0"/>
              <w:ind w:left="425" w:leftChars="0" w:right="0" w:hanging="425" w:firstLineChars="0"/>
              <w:jc w:val="left"/>
              <w:rPr>
                <w:rFonts w:hint="eastAsia" w:ascii="宋体" w:hAnsi="宋体" w:cs="宋体"/>
                <w:color w:val="auto"/>
                <w:kern w:val="0"/>
                <w:szCs w:val="21"/>
              </w:rPr>
            </w:pPr>
            <w:r>
              <w:rPr>
                <w:rFonts w:hint="eastAsia" w:ascii="宋体" w:hAnsi="宋体" w:cs="宋体"/>
                <w:color w:val="auto"/>
                <w:kern w:val="0"/>
                <w:szCs w:val="21"/>
                <w:lang w:val="en-US" w:eastAsia="zh-CN"/>
              </w:rPr>
              <w:t>项目服务保障（</w:t>
            </w:r>
            <w:r>
              <w:rPr>
                <w:rFonts w:hint="eastAsia" w:ascii="宋体" w:hAnsi="宋体" w:cs="宋体"/>
                <w:color w:val="auto"/>
                <w:kern w:val="0"/>
                <w:szCs w:val="21"/>
              </w:rPr>
              <w:t>有专业的技术人员负责保障此项目</w:t>
            </w:r>
            <w:r>
              <w:rPr>
                <w:rFonts w:hint="eastAsia" w:ascii="宋体" w:hAnsi="宋体" w:cs="宋体"/>
                <w:color w:val="auto"/>
                <w:kern w:val="0"/>
                <w:szCs w:val="21"/>
                <w:lang w:eastAsia="zh-CN"/>
              </w:rPr>
              <w:t>（</w:t>
            </w:r>
            <w:r>
              <w:rPr>
                <w:rFonts w:hint="eastAsia" w:ascii="宋体" w:hAnsi="宋体" w:cs="宋体"/>
                <w:color w:val="auto"/>
                <w:kern w:val="0"/>
                <w:szCs w:val="21"/>
                <w:lang w:val="en-US" w:eastAsia="zh-CN"/>
              </w:rPr>
              <w:t>含售后人员）</w:t>
            </w:r>
            <w:r>
              <w:rPr>
                <w:rFonts w:hint="eastAsia" w:ascii="宋体" w:hAnsi="宋体" w:cs="宋体"/>
                <w:color w:val="auto"/>
                <w:kern w:val="0"/>
                <w:szCs w:val="21"/>
                <w:lang w:eastAsia="zh-CN"/>
              </w:rPr>
              <w:t>，</w:t>
            </w:r>
            <w:r>
              <w:rPr>
                <w:rFonts w:hint="eastAsia" w:ascii="宋体" w:hAnsi="宋体" w:cs="宋体"/>
                <w:color w:val="auto"/>
                <w:kern w:val="0"/>
                <w:szCs w:val="21"/>
                <w:lang w:val="en-US" w:eastAsia="zh-CN"/>
              </w:rPr>
              <w:t>提供人员名单、技术专长、联系方式</w:t>
            </w:r>
            <w:r>
              <w:rPr>
                <w:rFonts w:hint="eastAsia" w:ascii="宋体" w:hAnsi="宋体" w:cs="宋体"/>
                <w:color w:val="auto"/>
                <w:kern w:val="0"/>
                <w:szCs w:val="21"/>
                <w:lang w:eastAsia="zh-CN"/>
              </w:rPr>
              <w:t>）</w:t>
            </w:r>
            <w:r>
              <w:rPr>
                <w:rFonts w:hint="eastAsia" w:ascii="宋体" w:hAnsi="宋体" w:cs="宋体"/>
                <w:color w:val="auto"/>
                <w:kern w:val="0"/>
                <w:szCs w:val="21"/>
              </w:rPr>
              <w:t>。</w:t>
            </w:r>
            <w:r>
              <w:rPr>
                <w:rFonts w:hint="eastAsia" w:ascii="宋体" w:hAnsi="宋体" w:cs="宋体"/>
                <w:color w:val="auto"/>
                <w:kern w:val="0"/>
                <w:szCs w:val="21"/>
                <w:lang w:eastAsia="zh-CN"/>
              </w:rPr>
              <w:t>（</w:t>
            </w:r>
            <w:r>
              <w:rPr>
                <w:rFonts w:hint="eastAsia" w:ascii="宋体" w:hAnsi="宋体" w:cs="宋体"/>
                <w:color w:val="auto"/>
                <w:kern w:val="0"/>
                <w:szCs w:val="21"/>
                <w:lang w:val="en-US" w:eastAsia="zh-CN"/>
              </w:rPr>
              <w:t>1.5分）</w:t>
            </w:r>
          </w:p>
          <w:p w14:paraId="1E2E2CF6">
            <w:pPr>
              <w:keepNext w:val="0"/>
              <w:keepLines w:val="0"/>
              <w:widowControl/>
              <w:numPr>
                <w:ilvl w:val="0"/>
                <w:numId w:val="0"/>
              </w:numPr>
              <w:suppressLineNumbers w:val="0"/>
              <w:spacing w:before="0" w:beforeAutospacing="0" w:after="0" w:afterAutospacing="0"/>
              <w:ind w:left="0" w:leftChars="0" w:right="0"/>
              <w:jc w:val="left"/>
              <w:rPr>
                <w:rFonts w:hint="default" w:ascii="宋体" w:hAnsi="宋体" w:cs="宋体"/>
                <w:kern w:val="0"/>
                <w:szCs w:val="21"/>
              </w:rPr>
            </w:pPr>
            <w:r>
              <w:rPr>
                <w:rFonts w:hint="eastAsia" w:ascii="宋体" w:hAnsi="宋体" w:eastAsia="宋体" w:cs="宋体"/>
                <w:kern w:val="0"/>
                <w:szCs w:val="21"/>
                <w:lang w:val="en-US" w:eastAsia="zh-CN"/>
              </w:rPr>
              <w:t>以上每一项方案内容完整，</w:t>
            </w:r>
            <w:r>
              <w:rPr>
                <w:rFonts w:hint="eastAsia" w:ascii="宋体" w:hAnsi="宋体" w:eastAsia="宋体" w:cs="宋体"/>
                <w:kern w:val="0"/>
                <w:szCs w:val="21"/>
              </w:rPr>
              <w:t>措施全面、可行，针对性强，考虑周全</w:t>
            </w:r>
            <w:r>
              <w:rPr>
                <w:rFonts w:hint="eastAsia" w:ascii="宋体" w:hAnsi="宋体" w:eastAsia="宋体" w:cs="宋体"/>
                <w:kern w:val="0"/>
                <w:szCs w:val="21"/>
                <w:lang w:eastAsia="zh-CN"/>
              </w:rPr>
              <w:t>，</w:t>
            </w:r>
            <w:r>
              <w:rPr>
                <w:rFonts w:hint="eastAsia" w:ascii="宋体" w:hAnsi="宋体" w:eastAsia="宋体" w:cs="宋体"/>
                <w:kern w:val="0"/>
                <w:szCs w:val="21"/>
                <w:lang w:val="en-US" w:eastAsia="zh-CN"/>
              </w:rPr>
              <w:t>得</w:t>
            </w:r>
            <w:r>
              <w:rPr>
                <w:rFonts w:hint="eastAsia" w:ascii="宋体" w:hAnsi="宋体" w:cs="宋体"/>
                <w:kern w:val="0"/>
                <w:szCs w:val="21"/>
                <w:highlight w:val="none"/>
                <w:lang w:val="en-US" w:eastAsia="zh-CN"/>
              </w:rPr>
              <w:t>1.5</w:t>
            </w:r>
            <w:r>
              <w:rPr>
                <w:rFonts w:hint="default" w:ascii="宋体" w:hAnsi="宋体" w:eastAsia="宋体" w:cs="宋体"/>
                <w:kern w:val="0"/>
                <w:szCs w:val="21"/>
                <w:highlight w:val="none"/>
              </w:rPr>
              <w:t>分</w:t>
            </w:r>
            <w:r>
              <w:rPr>
                <w:rFonts w:hint="default" w:ascii="宋体" w:hAnsi="宋体" w:eastAsia="宋体" w:cs="宋体"/>
                <w:kern w:val="0"/>
                <w:szCs w:val="21"/>
              </w:rPr>
              <w:t>，每有一处存在缺陷扣</w:t>
            </w:r>
            <w:r>
              <w:rPr>
                <w:rFonts w:hint="default" w:ascii="宋体" w:hAnsi="宋体" w:eastAsia="宋体" w:cs="宋体"/>
                <w:kern w:val="0"/>
                <w:szCs w:val="21"/>
                <w:lang w:val="en-US" w:eastAsia="zh-CN"/>
              </w:rPr>
              <w:t>0.5</w:t>
            </w:r>
            <w:r>
              <w:rPr>
                <w:rFonts w:hint="default" w:ascii="宋体" w:hAnsi="宋体" w:eastAsia="宋体" w:cs="宋体"/>
                <w:kern w:val="0"/>
                <w:szCs w:val="21"/>
              </w:rPr>
              <w:t>分</w:t>
            </w:r>
            <w:r>
              <w:rPr>
                <w:rFonts w:hint="eastAsia" w:ascii="宋体" w:hAnsi="宋体" w:eastAsia="宋体" w:cs="宋体"/>
                <w:kern w:val="0"/>
                <w:szCs w:val="21"/>
                <w:lang w:eastAsia="zh-CN"/>
              </w:rPr>
              <w:t>，</w:t>
            </w:r>
            <w:r>
              <w:rPr>
                <w:rFonts w:hint="default" w:ascii="宋体" w:hAnsi="宋体" w:eastAsia="宋体" w:cs="宋体"/>
                <w:kern w:val="0"/>
                <w:szCs w:val="21"/>
              </w:rPr>
              <w:t>缺项不得分。缺陷是指在不适用项目实际情况的情形、凭空编造、内容前后不一致、前后逻辑错误、涉及的规范及标准错误、地点区域错误、内容缺失、不符合采购需求等</w:t>
            </w:r>
            <w:r>
              <w:rPr>
                <w:rFonts w:hint="default" w:ascii="宋体" w:hAnsi="宋体" w:eastAsia="宋体" w:cs="宋体"/>
                <w:kern w:val="0"/>
                <w:szCs w:val="21"/>
                <w:lang w:eastAsia="zh-CN"/>
              </w:rPr>
              <w:t>。</w:t>
            </w:r>
          </w:p>
        </w:tc>
        <w:tc>
          <w:tcPr>
            <w:tcW w:w="679" w:type="dxa"/>
            <w:noWrap/>
            <w:vAlign w:val="center"/>
          </w:tcPr>
          <w:p w14:paraId="2C4B3C1A">
            <w:pPr>
              <w:keepNext w:val="0"/>
              <w:keepLines w:val="0"/>
              <w:widowControl/>
              <w:suppressLineNumbers w:val="0"/>
              <w:spacing w:before="0" w:beforeAutospacing="0" w:after="0" w:afterAutospacing="0"/>
              <w:ind w:left="0" w:right="0"/>
              <w:jc w:val="center"/>
              <w:rPr>
                <w:rFonts w:hint="default" w:ascii="宋体" w:hAnsi="宋体" w:eastAsia="宋体" w:cs="宋体"/>
                <w:kern w:val="0"/>
                <w:szCs w:val="21"/>
                <w:lang w:val="en-US" w:eastAsia="zh-CN"/>
              </w:rPr>
            </w:pPr>
            <w:r>
              <w:rPr>
                <w:rFonts w:hint="eastAsia" w:ascii="宋体" w:hAnsi="宋体" w:cs="宋体"/>
                <w:kern w:val="0"/>
                <w:szCs w:val="21"/>
                <w:lang w:val="en-US" w:eastAsia="zh-CN"/>
              </w:rPr>
              <w:t>6</w:t>
            </w:r>
          </w:p>
        </w:tc>
      </w:tr>
      <w:tr w14:paraId="089494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21" w:hRule="atLeast"/>
          <w:jc w:val="center"/>
        </w:trPr>
        <w:tc>
          <w:tcPr>
            <w:tcW w:w="678" w:type="dxa"/>
            <w:vMerge w:val="continue"/>
            <w:vAlign w:val="center"/>
          </w:tcPr>
          <w:p w14:paraId="578E6275">
            <w:pPr>
              <w:keepNext w:val="0"/>
              <w:keepLines w:val="0"/>
              <w:widowControl/>
              <w:suppressLineNumbers w:val="0"/>
              <w:spacing w:before="0" w:beforeAutospacing="0" w:after="0" w:afterAutospacing="0"/>
              <w:ind w:left="0" w:right="0"/>
              <w:jc w:val="left"/>
              <w:rPr>
                <w:rFonts w:hint="default" w:ascii="宋体" w:hAnsi="宋体" w:cs="宋体"/>
                <w:kern w:val="0"/>
                <w:szCs w:val="21"/>
              </w:rPr>
            </w:pPr>
          </w:p>
        </w:tc>
        <w:tc>
          <w:tcPr>
            <w:tcW w:w="994" w:type="dxa"/>
            <w:vAlign w:val="center"/>
          </w:tcPr>
          <w:p w14:paraId="071971C0">
            <w:pPr>
              <w:keepNext w:val="0"/>
              <w:keepLines w:val="0"/>
              <w:widowControl/>
              <w:suppressLineNumbers w:val="0"/>
              <w:spacing w:before="0" w:beforeAutospacing="0" w:after="0" w:afterAutospacing="0"/>
              <w:ind w:left="0" w:right="0"/>
              <w:jc w:val="left"/>
              <w:rPr>
                <w:rFonts w:hint="eastAsia" w:ascii="宋体" w:hAnsi="宋体" w:eastAsia="宋体" w:cs="宋体"/>
                <w:kern w:val="0"/>
                <w:szCs w:val="21"/>
                <w:lang w:eastAsia="zh-CN"/>
              </w:rPr>
            </w:pPr>
            <w:r>
              <w:rPr>
                <w:rFonts w:hint="eastAsia" w:ascii="宋体" w:hAnsi="宋体" w:cs="宋体"/>
                <w:kern w:val="0"/>
                <w:szCs w:val="21"/>
              </w:rPr>
              <w:t>售后服务</w:t>
            </w:r>
            <w:r>
              <w:rPr>
                <w:rFonts w:hint="eastAsia" w:ascii="宋体" w:hAnsi="宋体" w:cs="宋体"/>
                <w:kern w:val="0"/>
                <w:szCs w:val="21"/>
                <w:lang w:eastAsia="zh-CN"/>
              </w:rPr>
              <w:t>（</w:t>
            </w:r>
            <w:r>
              <w:rPr>
                <w:rFonts w:hint="eastAsia" w:ascii="宋体" w:hAnsi="宋体" w:cs="宋体"/>
                <w:kern w:val="0"/>
                <w:szCs w:val="21"/>
                <w:lang w:val="en-US" w:eastAsia="zh-CN"/>
              </w:rPr>
              <w:t>8分</w:t>
            </w:r>
            <w:r>
              <w:rPr>
                <w:rFonts w:hint="eastAsia" w:ascii="宋体" w:hAnsi="宋体" w:cs="宋体"/>
                <w:kern w:val="0"/>
                <w:szCs w:val="21"/>
                <w:lang w:eastAsia="zh-CN"/>
              </w:rPr>
              <w:t>）</w:t>
            </w:r>
          </w:p>
        </w:tc>
        <w:tc>
          <w:tcPr>
            <w:tcW w:w="6693" w:type="dxa"/>
            <w:vAlign w:val="center"/>
          </w:tcPr>
          <w:p w14:paraId="058126CA">
            <w:pPr>
              <w:keepNext w:val="0"/>
              <w:keepLines w:val="0"/>
              <w:widowControl/>
              <w:suppressLineNumbers w:val="0"/>
              <w:spacing w:before="0" w:beforeAutospacing="0" w:after="0" w:afterAutospacing="0"/>
              <w:ind w:left="0" w:right="0"/>
              <w:jc w:val="left"/>
              <w:rPr>
                <w:rFonts w:hint="eastAsia" w:ascii="宋体" w:hAnsi="宋体" w:eastAsia="宋体" w:cs="宋体"/>
                <w:kern w:val="0"/>
                <w:szCs w:val="21"/>
                <w:lang w:eastAsia="zh-CN"/>
              </w:rPr>
            </w:pPr>
            <w:r>
              <w:rPr>
                <w:rFonts w:hint="eastAsia" w:ascii="宋体" w:hAnsi="宋体" w:cs="宋体"/>
                <w:kern w:val="0"/>
                <w:szCs w:val="21"/>
              </w:rPr>
              <w:t>售后服务方案包含</w:t>
            </w:r>
            <w:r>
              <w:rPr>
                <w:rFonts w:hint="eastAsia" w:ascii="宋体" w:hAnsi="宋体" w:cs="宋体"/>
                <w:kern w:val="0"/>
                <w:szCs w:val="21"/>
                <w:lang w:eastAsia="zh-CN"/>
              </w:rPr>
              <w:t>：</w:t>
            </w:r>
          </w:p>
          <w:p w14:paraId="539AFD69">
            <w:pPr>
              <w:keepNext w:val="0"/>
              <w:keepLines w:val="0"/>
              <w:widowControl/>
              <w:numPr>
                <w:ilvl w:val="0"/>
                <w:numId w:val="17"/>
              </w:numPr>
              <w:suppressLineNumbers w:val="0"/>
              <w:spacing w:before="0" w:beforeAutospacing="0" w:after="0" w:afterAutospacing="0"/>
              <w:ind w:left="425" w:leftChars="0" w:right="0" w:hanging="425" w:firstLineChars="0"/>
              <w:jc w:val="left"/>
              <w:rPr>
                <w:rFonts w:hint="eastAsia" w:ascii="宋体" w:hAnsi="宋体" w:cs="宋体"/>
                <w:kern w:val="0"/>
                <w:szCs w:val="21"/>
              </w:rPr>
            </w:pPr>
            <w:r>
              <w:rPr>
                <w:rFonts w:hint="eastAsia" w:ascii="宋体" w:hAnsi="宋体" w:cs="宋体"/>
                <w:kern w:val="0"/>
                <w:szCs w:val="21"/>
              </w:rPr>
              <w:t>售后服务措施（售后服务措施有符合项目的售后回访计划）</w:t>
            </w:r>
            <w:r>
              <w:rPr>
                <w:rFonts w:hint="eastAsia" w:ascii="宋体" w:hAnsi="宋体" w:cs="宋体"/>
                <w:kern w:val="0"/>
                <w:szCs w:val="21"/>
                <w:lang w:eastAsia="zh-CN"/>
              </w:rPr>
              <w:t>（</w:t>
            </w:r>
            <w:r>
              <w:rPr>
                <w:rFonts w:hint="eastAsia" w:ascii="宋体" w:hAnsi="宋体" w:cs="宋体"/>
                <w:kern w:val="0"/>
                <w:szCs w:val="21"/>
                <w:lang w:val="en-US" w:eastAsia="zh-CN"/>
              </w:rPr>
              <w:t>2分）</w:t>
            </w:r>
          </w:p>
          <w:p w14:paraId="381B231F">
            <w:pPr>
              <w:keepNext w:val="0"/>
              <w:keepLines w:val="0"/>
              <w:widowControl/>
              <w:numPr>
                <w:ilvl w:val="0"/>
                <w:numId w:val="17"/>
              </w:numPr>
              <w:suppressLineNumbers w:val="0"/>
              <w:spacing w:before="0" w:beforeAutospacing="0" w:after="0" w:afterAutospacing="0"/>
              <w:ind w:left="425" w:leftChars="0" w:right="0" w:hanging="425" w:firstLineChars="0"/>
              <w:jc w:val="left"/>
              <w:rPr>
                <w:rFonts w:hint="eastAsia" w:ascii="宋体" w:hAnsi="宋体" w:cs="宋体"/>
                <w:kern w:val="0"/>
                <w:szCs w:val="21"/>
              </w:rPr>
            </w:pPr>
            <w:r>
              <w:rPr>
                <w:rFonts w:hint="eastAsia" w:ascii="宋体" w:hAnsi="宋体" w:cs="宋体"/>
                <w:kern w:val="0"/>
                <w:szCs w:val="21"/>
                <w:lang w:val="en-US" w:eastAsia="zh-CN"/>
              </w:rPr>
              <w:t>培训方案（详细完整）（2分）</w:t>
            </w:r>
          </w:p>
          <w:p w14:paraId="66DFEBF2">
            <w:pPr>
              <w:keepNext w:val="0"/>
              <w:keepLines w:val="0"/>
              <w:widowControl/>
              <w:numPr>
                <w:ilvl w:val="0"/>
                <w:numId w:val="17"/>
              </w:numPr>
              <w:suppressLineNumbers w:val="0"/>
              <w:spacing w:before="0" w:beforeAutospacing="0" w:after="0" w:afterAutospacing="0"/>
              <w:ind w:left="425" w:leftChars="0" w:right="0" w:hanging="425" w:firstLineChars="0"/>
              <w:jc w:val="left"/>
              <w:rPr>
                <w:rFonts w:hint="eastAsia" w:ascii="宋体" w:hAnsi="宋体" w:cs="宋体"/>
                <w:kern w:val="0"/>
                <w:szCs w:val="21"/>
              </w:rPr>
            </w:pPr>
            <w:r>
              <w:rPr>
                <w:rFonts w:hint="eastAsia" w:ascii="宋体" w:hAnsi="宋体" w:cs="宋体"/>
                <w:kern w:val="0"/>
                <w:szCs w:val="21"/>
              </w:rPr>
              <w:t>售后服务体系（售后服务体系有健全的售后管控制度、完善的退换货流程）</w:t>
            </w:r>
            <w:r>
              <w:rPr>
                <w:rFonts w:hint="eastAsia" w:ascii="宋体" w:hAnsi="宋体" w:cs="宋体"/>
                <w:kern w:val="0"/>
                <w:szCs w:val="21"/>
                <w:lang w:eastAsia="zh-CN"/>
              </w:rPr>
              <w:t>（</w:t>
            </w:r>
            <w:r>
              <w:rPr>
                <w:rFonts w:hint="eastAsia" w:ascii="宋体" w:hAnsi="宋体" w:cs="宋体"/>
                <w:kern w:val="0"/>
                <w:szCs w:val="21"/>
                <w:lang w:val="en-US" w:eastAsia="zh-CN"/>
              </w:rPr>
              <w:t>2分）</w:t>
            </w:r>
          </w:p>
          <w:p w14:paraId="70B4BA0D">
            <w:pPr>
              <w:keepNext w:val="0"/>
              <w:keepLines w:val="0"/>
              <w:widowControl/>
              <w:numPr>
                <w:ilvl w:val="0"/>
                <w:numId w:val="17"/>
              </w:numPr>
              <w:suppressLineNumbers w:val="0"/>
              <w:spacing w:before="0" w:beforeAutospacing="0" w:after="0" w:afterAutospacing="0"/>
              <w:ind w:left="425" w:leftChars="0" w:right="0" w:hanging="425" w:firstLineChars="0"/>
              <w:jc w:val="left"/>
              <w:rPr>
                <w:rFonts w:hint="default" w:ascii="宋体" w:hAnsi="宋体" w:cs="宋体"/>
                <w:kern w:val="0"/>
                <w:szCs w:val="21"/>
              </w:rPr>
            </w:pPr>
            <w:r>
              <w:rPr>
                <w:rFonts w:hint="eastAsia" w:ascii="宋体" w:hAnsi="宋体" w:cs="宋体"/>
                <w:kern w:val="0"/>
                <w:szCs w:val="21"/>
              </w:rPr>
              <w:t>售后响应时间</w:t>
            </w:r>
            <w:r>
              <w:rPr>
                <w:rFonts w:hint="eastAsia" w:ascii="宋体" w:hAnsi="宋体" w:cs="宋体"/>
                <w:kern w:val="0"/>
                <w:szCs w:val="21"/>
                <w:lang w:eastAsia="zh-CN"/>
              </w:rPr>
              <w:t>（</w:t>
            </w:r>
            <w:r>
              <w:rPr>
                <w:rFonts w:hint="eastAsia" w:ascii="宋体" w:hAnsi="宋体" w:cs="宋体"/>
                <w:kern w:val="0"/>
                <w:szCs w:val="21"/>
                <w:lang w:val="en-US" w:eastAsia="zh-CN"/>
              </w:rPr>
              <w:t>承诺的售后服务响应时间小于48小时）</w:t>
            </w:r>
            <w:r>
              <w:rPr>
                <w:rFonts w:hint="eastAsia" w:ascii="宋体" w:hAnsi="宋体" w:cs="宋体"/>
                <w:kern w:val="0"/>
                <w:szCs w:val="21"/>
                <w:lang w:eastAsia="zh-CN"/>
              </w:rPr>
              <w:t>（</w:t>
            </w:r>
            <w:r>
              <w:rPr>
                <w:rFonts w:hint="eastAsia" w:ascii="宋体" w:hAnsi="宋体" w:cs="宋体"/>
                <w:kern w:val="0"/>
                <w:szCs w:val="21"/>
                <w:lang w:val="en-US" w:eastAsia="zh-CN"/>
              </w:rPr>
              <w:t>2分）</w:t>
            </w:r>
          </w:p>
          <w:p w14:paraId="2E5367E1">
            <w:pPr>
              <w:keepNext w:val="0"/>
              <w:keepLines w:val="0"/>
              <w:widowControl/>
              <w:suppressLineNumbers w:val="0"/>
              <w:spacing w:before="0" w:beforeAutospacing="0" w:after="0" w:afterAutospacing="0"/>
              <w:ind w:left="0" w:right="0"/>
              <w:jc w:val="left"/>
              <w:rPr>
                <w:rFonts w:hint="default" w:ascii="宋体" w:hAnsi="宋体" w:eastAsia="宋体" w:cs="宋体"/>
                <w:kern w:val="0"/>
                <w:szCs w:val="21"/>
                <w:lang w:val="en-US" w:eastAsia="zh-CN"/>
              </w:rPr>
            </w:pPr>
            <w:r>
              <w:rPr>
                <w:rFonts w:hint="eastAsia" w:ascii="宋体" w:hAnsi="宋体" w:cs="宋体"/>
                <w:kern w:val="0"/>
                <w:szCs w:val="21"/>
              </w:rPr>
              <w:t>方案与上述描述完整，售后服务措施</w:t>
            </w:r>
            <w:r>
              <w:rPr>
                <w:rFonts w:hint="eastAsia" w:ascii="宋体" w:hAnsi="宋体" w:cs="宋体"/>
                <w:kern w:val="0"/>
                <w:szCs w:val="21"/>
                <w:lang w:val="en-US" w:eastAsia="zh-CN"/>
              </w:rPr>
              <w:t>全面</w:t>
            </w:r>
            <w:r>
              <w:rPr>
                <w:rFonts w:hint="eastAsia" w:ascii="宋体" w:hAnsi="宋体" w:cs="宋体"/>
                <w:kern w:val="0"/>
                <w:szCs w:val="21"/>
              </w:rPr>
              <w:t>，</w:t>
            </w:r>
            <w:r>
              <w:rPr>
                <w:rFonts w:hint="eastAsia" w:ascii="宋体" w:hAnsi="宋体" w:cs="宋体"/>
                <w:kern w:val="0"/>
                <w:szCs w:val="21"/>
                <w:lang w:val="en-US" w:eastAsia="zh-CN"/>
              </w:rPr>
              <w:t>培训方案详细、服务</w:t>
            </w:r>
            <w:r>
              <w:rPr>
                <w:rFonts w:hint="eastAsia" w:ascii="宋体" w:hAnsi="宋体" w:cs="宋体"/>
                <w:kern w:val="0"/>
                <w:szCs w:val="21"/>
              </w:rPr>
              <w:t>响应及时，维护维修速度快，可实施性高，</w:t>
            </w:r>
            <w:r>
              <w:rPr>
                <w:rFonts w:hint="eastAsia" w:ascii="宋体" w:hAnsi="宋体" w:cs="宋体"/>
                <w:color w:val="auto"/>
                <w:kern w:val="0"/>
                <w:szCs w:val="21"/>
              </w:rPr>
              <w:t>得</w:t>
            </w:r>
            <w:r>
              <w:rPr>
                <w:rFonts w:hint="eastAsia" w:ascii="宋体" w:hAnsi="宋体" w:cs="宋体"/>
                <w:color w:val="auto"/>
                <w:kern w:val="0"/>
                <w:szCs w:val="21"/>
                <w:lang w:val="en-US" w:eastAsia="zh-CN"/>
              </w:rPr>
              <w:t>8</w:t>
            </w:r>
            <w:r>
              <w:rPr>
                <w:rFonts w:hint="eastAsia" w:ascii="宋体" w:hAnsi="宋体" w:cs="宋体"/>
                <w:color w:val="auto"/>
                <w:kern w:val="0"/>
                <w:szCs w:val="21"/>
              </w:rPr>
              <w:t>分；</w:t>
            </w:r>
            <w:r>
              <w:rPr>
                <w:rFonts w:hint="eastAsia" w:ascii="宋体" w:hAnsi="宋体" w:cs="宋体"/>
                <w:kern w:val="0"/>
                <w:szCs w:val="21"/>
              </w:rPr>
              <w:t xml:space="preserve"> </w:t>
            </w:r>
            <w:r>
              <w:rPr>
                <w:rFonts w:hint="eastAsia" w:ascii="宋体" w:hAnsi="宋体" w:cs="宋体"/>
                <w:kern w:val="0"/>
                <w:szCs w:val="21"/>
                <w:lang w:val="en-US" w:eastAsia="zh-CN"/>
              </w:rPr>
              <w:t>每有一项缺陷和不足扣0.5分。</w:t>
            </w:r>
          </w:p>
        </w:tc>
        <w:tc>
          <w:tcPr>
            <w:tcW w:w="679" w:type="dxa"/>
            <w:vAlign w:val="center"/>
          </w:tcPr>
          <w:p w14:paraId="66E87068">
            <w:pPr>
              <w:keepNext w:val="0"/>
              <w:keepLines w:val="0"/>
              <w:widowControl/>
              <w:suppressLineNumbers w:val="0"/>
              <w:spacing w:before="0" w:beforeAutospacing="0" w:after="0" w:afterAutospacing="0"/>
              <w:ind w:left="0" w:right="0"/>
              <w:jc w:val="center"/>
              <w:rPr>
                <w:rFonts w:hint="eastAsia" w:ascii="宋体" w:hAnsi="宋体" w:eastAsia="宋体" w:cs="宋体"/>
                <w:kern w:val="0"/>
                <w:szCs w:val="21"/>
                <w:lang w:eastAsia="zh-CN"/>
              </w:rPr>
            </w:pPr>
            <w:r>
              <w:rPr>
                <w:rFonts w:hint="eastAsia" w:ascii="宋体" w:hAnsi="宋体" w:cs="宋体"/>
                <w:kern w:val="0"/>
                <w:szCs w:val="21"/>
                <w:lang w:val="en-US" w:eastAsia="zh-CN"/>
              </w:rPr>
              <w:t>8</w:t>
            </w:r>
          </w:p>
        </w:tc>
      </w:tr>
      <w:tr w14:paraId="27DFA0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16" w:hRule="atLeast"/>
          <w:jc w:val="center"/>
        </w:trPr>
        <w:tc>
          <w:tcPr>
            <w:tcW w:w="678" w:type="dxa"/>
            <w:vMerge w:val="continue"/>
            <w:vAlign w:val="center"/>
          </w:tcPr>
          <w:p w14:paraId="5EE813CB">
            <w:pPr>
              <w:keepNext w:val="0"/>
              <w:keepLines w:val="0"/>
              <w:widowControl/>
              <w:suppressLineNumbers w:val="0"/>
              <w:spacing w:before="0" w:beforeAutospacing="0" w:after="0" w:afterAutospacing="0"/>
              <w:ind w:left="0" w:right="0"/>
              <w:jc w:val="left"/>
              <w:rPr>
                <w:rFonts w:hint="default" w:ascii="宋体" w:hAnsi="宋体" w:cs="宋体"/>
                <w:kern w:val="0"/>
                <w:szCs w:val="21"/>
              </w:rPr>
            </w:pPr>
          </w:p>
        </w:tc>
        <w:tc>
          <w:tcPr>
            <w:tcW w:w="994" w:type="dxa"/>
            <w:vAlign w:val="center"/>
          </w:tcPr>
          <w:p w14:paraId="6C679A14">
            <w:pPr>
              <w:keepNext w:val="0"/>
              <w:keepLines w:val="0"/>
              <w:widowControl/>
              <w:suppressLineNumbers w:val="0"/>
              <w:spacing w:before="0" w:beforeAutospacing="0" w:after="0" w:afterAutospacing="0"/>
              <w:ind w:left="0" w:right="0"/>
              <w:jc w:val="left"/>
              <w:rPr>
                <w:rFonts w:hint="eastAsia" w:ascii="宋体" w:hAnsi="宋体" w:eastAsia="宋体" w:cs="宋体"/>
                <w:kern w:val="0"/>
                <w:szCs w:val="21"/>
                <w:lang w:eastAsia="zh-CN"/>
              </w:rPr>
            </w:pPr>
            <w:r>
              <w:rPr>
                <w:rFonts w:hint="eastAsia" w:ascii="宋体" w:hAnsi="宋体" w:cs="宋体"/>
                <w:kern w:val="0"/>
                <w:szCs w:val="21"/>
              </w:rPr>
              <w:t>产品质量承诺</w:t>
            </w:r>
            <w:r>
              <w:rPr>
                <w:rFonts w:hint="eastAsia" w:ascii="宋体" w:hAnsi="宋体" w:cs="宋体"/>
                <w:kern w:val="0"/>
                <w:szCs w:val="21"/>
                <w:lang w:eastAsia="zh-CN"/>
              </w:rPr>
              <w:t>（</w:t>
            </w:r>
            <w:r>
              <w:rPr>
                <w:rFonts w:hint="eastAsia" w:ascii="宋体" w:hAnsi="宋体" w:cs="宋体"/>
                <w:kern w:val="0"/>
                <w:szCs w:val="21"/>
                <w:lang w:val="en-US" w:eastAsia="zh-CN"/>
              </w:rPr>
              <w:t>6分</w:t>
            </w:r>
            <w:r>
              <w:rPr>
                <w:rFonts w:hint="eastAsia" w:ascii="宋体" w:hAnsi="宋体" w:cs="宋体"/>
                <w:kern w:val="0"/>
                <w:szCs w:val="21"/>
                <w:lang w:eastAsia="zh-CN"/>
              </w:rPr>
              <w:t>）</w:t>
            </w:r>
          </w:p>
        </w:tc>
        <w:tc>
          <w:tcPr>
            <w:tcW w:w="6693" w:type="dxa"/>
            <w:vAlign w:val="center"/>
          </w:tcPr>
          <w:p w14:paraId="1D8A314D">
            <w:pPr>
              <w:keepNext w:val="0"/>
              <w:keepLines w:val="0"/>
              <w:widowControl/>
              <w:numPr>
                <w:ilvl w:val="0"/>
                <w:numId w:val="18"/>
              </w:numPr>
              <w:suppressLineNumbers w:val="0"/>
              <w:spacing w:before="0" w:beforeAutospacing="0" w:after="0" w:afterAutospacing="0"/>
              <w:ind w:left="425" w:leftChars="0" w:right="0" w:hanging="425" w:firstLineChars="0"/>
              <w:jc w:val="left"/>
              <w:rPr>
                <w:rFonts w:hint="default" w:ascii="宋体" w:hAnsi="宋体" w:cs="宋体"/>
                <w:kern w:val="0"/>
                <w:szCs w:val="21"/>
              </w:rPr>
            </w:pPr>
            <w:r>
              <w:rPr>
                <w:rFonts w:hint="eastAsia" w:ascii="宋体" w:hAnsi="宋体" w:cs="宋体"/>
                <w:kern w:val="0"/>
                <w:szCs w:val="21"/>
              </w:rPr>
              <w:t>投标人提供一体机产品对接承诺，承诺产品自带统一管控软件，</w:t>
            </w:r>
            <w:r>
              <w:rPr>
                <w:rFonts w:hint="eastAsia" w:ascii="宋体" w:hAnsi="宋体" w:cs="宋体"/>
                <w:color w:val="auto"/>
                <w:kern w:val="0"/>
                <w:szCs w:val="21"/>
              </w:rPr>
              <w:t>与学校、教育局现有设备集中管理平台实现无缝对接，</w:t>
            </w:r>
            <w:r>
              <w:rPr>
                <w:rFonts w:hint="eastAsia" w:ascii="宋体" w:hAnsi="宋体" w:cs="宋体"/>
                <w:kern w:val="0"/>
                <w:szCs w:val="21"/>
              </w:rPr>
              <w:t>统一账号，无需单独重复注册。所有对接自行协调，不再进行单独收费。提供承诺函并加盖投标人及制造商公章，得3分，</w:t>
            </w:r>
            <w:r>
              <w:rPr>
                <w:rFonts w:hint="eastAsia" w:ascii="宋体" w:hAnsi="宋体" w:cs="宋体"/>
                <w:kern w:val="0"/>
                <w:szCs w:val="21"/>
                <w:lang w:val="en-US" w:eastAsia="zh-CN"/>
              </w:rPr>
              <w:t>不</w:t>
            </w:r>
            <w:r>
              <w:rPr>
                <w:rFonts w:hint="eastAsia" w:ascii="宋体" w:hAnsi="宋体" w:cs="宋体"/>
                <w:kern w:val="0"/>
                <w:szCs w:val="21"/>
              </w:rPr>
              <w:t>提供及不完整、条例颠倒、存在不响应情形不得分。</w:t>
            </w:r>
          </w:p>
          <w:p w14:paraId="63054300">
            <w:pPr>
              <w:keepNext w:val="0"/>
              <w:keepLines w:val="0"/>
              <w:widowControl/>
              <w:numPr>
                <w:ilvl w:val="0"/>
                <w:numId w:val="18"/>
              </w:numPr>
              <w:suppressLineNumbers w:val="0"/>
              <w:spacing w:before="0" w:beforeAutospacing="0" w:after="0" w:afterAutospacing="0"/>
              <w:ind w:left="425" w:leftChars="0" w:right="0" w:hanging="425" w:firstLineChars="0"/>
              <w:jc w:val="left"/>
              <w:rPr>
                <w:rFonts w:hint="default" w:ascii="宋体" w:hAnsi="宋体" w:cs="宋体"/>
                <w:kern w:val="0"/>
                <w:szCs w:val="21"/>
              </w:rPr>
            </w:pPr>
            <w:r>
              <w:rPr>
                <w:rFonts w:hint="eastAsia" w:ascii="宋体" w:hAnsi="宋体" w:cs="宋体"/>
                <w:kern w:val="0"/>
                <w:szCs w:val="21"/>
              </w:rPr>
              <w:t>投标人提供合法性货物来源及承诺，承诺中保证所使用的所有产品及其相关软件设施，需保证其正品性、合法性，不涉及任何产权著作协议等法律纠纷，若出现软硬件产品产权侵权纠纷问题，由投标人承担所有相关事务责任及费用。产品针对招标参数无任何不响应情况，接受针对招标要求参数的逐项演示交付，如无法满足，一切责任由中标方承担。承诺完整、内容条款清晰。加盖制造商或经销商和投标单位公章得</w:t>
            </w:r>
            <w:r>
              <w:rPr>
                <w:rFonts w:hint="eastAsia" w:ascii="宋体" w:hAnsi="宋体" w:cs="宋体"/>
                <w:kern w:val="0"/>
                <w:szCs w:val="21"/>
                <w:lang w:val="en-US" w:eastAsia="zh-CN"/>
              </w:rPr>
              <w:t>3</w:t>
            </w:r>
            <w:r>
              <w:rPr>
                <w:rFonts w:hint="eastAsia" w:ascii="宋体" w:hAnsi="宋体" w:cs="宋体"/>
                <w:kern w:val="0"/>
                <w:szCs w:val="21"/>
              </w:rPr>
              <w:t>分，不提供及不完整、条例颠倒、存在不响应情形不得分。</w:t>
            </w:r>
          </w:p>
        </w:tc>
        <w:tc>
          <w:tcPr>
            <w:tcW w:w="679" w:type="dxa"/>
            <w:vAlign w:val="center"/>
          </w:tcPr>
          <w:p w14:paraId="09389B22">
            <w:pPr>
              <w:keepNext w:val="0"/>
              <w:keepLines w:val="0"/>
              <w:widowControl/>
              <w:suppressLineNumbers w:val="0"/>
              <w:spacing w:before="0" w:beforeAutospacing="0" w:after="0" w:afterAutospacing="0"/>
              <w:ind w:left="0" w:right="0"/>
              <w:jc w:val="center"/>
              <w:rPr>
                <w:rFonts w:hint="eastAsia" w:ascii="宋体" w:hAnsi="宋体" w:eastAsia="宋体" w:cs="宋体"/>
                <w:kern w:val="0"/>
                <w:szCs w:val="21"/>
                <w:lang w:eastAsia="zh-CN"/>
              </w:rPr>
            </w:pPr>
            <w:r>
              <w:rPr>
                <w:rFonts w:hint="eastAsia" w:ascii="宋体" w:hAnsi="宋体" w:cs="宋体"/>
                <w:kern w:val="0"/>
                <w:szCs w:val="21"/>
                <w:lang w:val="en-US" w:eastAsia="zh-CN"/>
              </w:rPr>
              <w:t>6</w:t>
            </w:r>
          </w:p>
        </w:tc>
      </w:tr>
      <w:tr w14:paraId="3409EB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00" w:hRule="atLeast"/>
          <w:jc w:val="center"/>
        </w:trPr>
        <w:tc>
          <w:tcPr>
            <w:tcW w:w="678" w:type="dxa"/>
            <w:vMerge w:val="continue"/>
            <w:vAlign w:val="center"/>
          </w:tcPr>
          <w:p w14:paraId="15F49C9B">
            <w:pPr>
              <w:keepNext w:val="0"/>
              <w:keepLines w:val="0"/>
              <w:widowControl/>
              <w:suppressLineNumbers w:val="0"/>
              <w:spacing w:before="0" w:beforeAutospacing="0" w:after="0" w:afterAutospacing="0"/>
              <w:ind w:left="0" w:right="0"/>
              <w:jc w:val="left"/>
              <w:rPr>
                <w:rFonts w:hint="default" w:ascii="宋体" w:hAnsi="宋体" w:cs="宋体"/>
                <w:kern w:val="0"/>
                <w:szCs w:val="21"/>
              </w:rPr>
            </w:pPr>
          </w:p>
        </w:tc>
        <w:tc>
          <w:tcPr>
            <w:tcW w:w="994" w:type="dxa"/>
            <w:shd w:val="clear" w:color="auto" w:fill="auto"/>
            <w:vAlign w:val="center"/>
          </w:tcPr>
          <w:p w14:paraId="4E3B56A8">
            <w:pPr>
              <w:keepNext w:val="0"/>
              <w:keepLines w:val="0"/>
              <w:widowControl/>
              <w:suppressLineNumbers w:val="0"/>
              <w:spacing w:before="0" w:beforeAutospacing="0" w:after="0" w:afterAutospacing="0"/>
              <w:ind w:left="0" w:right="0"/>
              <w:jc w:val="left"/>
              <w:rPr>
                <w:rFonts w:hint="eastAsia" w:ascii="宋体" w:hAnsi="宋体" w:eastAsia="宋体" w:cs="宋体"/>
                <w:kern w:val="0"/>
                <w:szCs w:val="21"/>
                <w:lang w:val="en-US" w:eastAsia="zh-CN"/>
              </w:rPr>
            </w:pPr>
            <w:r>
              <w:rPr>
                <w:rFonts w:hint="default" w:ascii="宋体" w:hAnsi="宋体" w:eastAsia="宋体" w:cs="宋体"/>
                <w:kern w:val="0"/>
                <w:szCs w:val="21"/>
                <w:lang w:val="en-US" w:eastAsia="zh-CN"/>
              </w:rPr>
              <w:t>交货期承诺</w:t>
            </w:r>
            <w:r>
              <w:rPr>
                <w:rFonts w:hint="eastAsia" w:ascii="宋体" w:hAnsi="宋体" w:cs="宋体"/>
                <w:kern w:val="0"/>
                <w:szCs w:val="21"/>
                <w:lang w:val="en-US" w:eastAsia="zh-CN"/>
              </w:rPr>
              <w:t>（2分）</w:t>
            </w:r>
          </w:p>
        </w:tc>
        <w:tc>
          <w:tcPr>
            <w:tcW w:w="6693" w:type="dxa"/>
            <w:shd w:val="clear" w:color="auto" w:fill="auto"/>
            <w:vAlign w:val="top"/>
          </w:tcPr>
          <w:p w14:paraId="121E6B70">
            <w:pPr>
              <w:keepNext w:val="0"/>
              <w:keepLines w:val="0"/>
              <w:widowControl/>
              <w:suppressLineNumbers w:val="0"/>
              <w:spacing w:before="0" w:beforeAutospacing="0" w:after="0" w:afterAutospacing="0"/>
              <w:ind w:left="0" w:right="0"/>
              <w:jc w:val="left"/>
              <w:rPr>
                <w:rFonts w:hint="eastAsia" w:ascii="宋体" w:hAnsi="宋体" w:eastAsia="宋体" w:cs="宋体"/>
                <w:kern w:val="0"/>
                <w:szCs w:val="21"/>
              </w:rPr>
            </w:pPr>
            <w:r>
              <w:rPr>
                <w:rFonts w:hint="eastAsia" w:ascii="宋体" w:hAnsi="宋体" w:eastAsia="宋体" w:cs="宋体"/>
                <w:kern w:val="0"/>
                <w:szCs w:val="21"/>
              </w:rPr>
              <w:t>交货期承诺</w:t>
            </w:r>
          </w:p>
          <w:p w14:paraId="20603B88">
            <w:pPr>
              <w:keepNext w:val="0"/>
              <w:keepLines w:val="0"/>
              <w:widowControl/>
              <w:suppressLineNumbers w:val="0"/>
              <w:spacing w:before="0" w:beforeAutospacing="0" w:after="0" w:afterAutospacing="0"/>
              <w:ind w:left="0" w:right="0"/>
              <w:jc w:val="left"/>
              <w:rPr>
                <w:rFonts w:hint="eastAsia" w:ascii="宋体" w:hAnsi="宋体" w:eastAsia="宋体" w:cs="宋体"/>
                <w:kern w:val="0"/>
                <w:szCs w:val="21"/>
              </w:rPr>
            </w:pPr>
            <w:r>
              <w:rPr>
                <w:rFonts w:hint="eastAsia" w:ascii="宋体" w:hAnsi="宋体" w:eastAsia="宋体" w:cs="宋体"/>
                <w:kern w:val="0"/>
                <w:szCs w:val="21"/>
              </w:rPr>
              <w:t>投标人承诺在签订合同后接到采购人通知之日起</w:t>
            </w:r>
            <w:r>
              <w:rPr>
                <w:rFonts w:hint="eastAsia" w:ascii="宋体" w:hAnsi="宋体" w:eastAsia="宋体" w:cs="宋体"/>
                <w:color w:val="FF0000"/>
                <w:kern w:val="0"/>
                <w:szCs w:val="21"/>
              </w:rPr>
              <w:t>25</w:t>
            </w:r>
            <w:r>
              <w:rPr>
                <w:rFonts w:hint="eastAsia" w:ascii="宋体" w:hAnsi="宋体" w:eastAsia="宋体" w:cs="宋体"/>
                <w:kern w:val="0"/>
                <w:szCs w:val="21"/>
              </w:rPr>
              <w:t>日历日内（含本数）按通知内容供货、安装并完成调试，得2分；超过</w:t>
            </w:r>
            <w:r>
              <w:rPr>
                <w:rFonts w:hint="eastAsia" w:ascii="宋体" w:hAnsi="宋体" w:eastAsia="宋体" w:cs="宋体"/>
                <w:color w:val="FF0000"/>
                <w:kern w:val="0"/>
                <w:szCs w:val="21"/>
              </w:rPr>
              <w:t>25</w:t>
            </w:r>
            <w:r>
              <w:rPr>
                <w:rFonts w:hint="eastAsia" w:ascii="宋体" w:hAnsi="宋体" w:eastAsia="宋体" w:cs="宋体"/>
                <w:kern w:val="0"/>
                <w:szCs w:val="21"/>
              </w:rPr>
              <w:t>日该项不得分。</w:t>
            </w:r>
          </w:p>
          <w:p w14:paraId="49F39F9F">
            <w:pPr>
              <w:keepNext w:val="0"/>
              <w:keepLines w:val="0"/>
              <w:widowControl/>
              <w:suppressLineNumbers w:val="0"/>
              <w:spacing w:before="0" w:beforeAutospacing="0" w:after="0" w:afterAutospacing="0"/>
              <w:ind w:left="0" w:right="0"/>
              <w:jc w:val="left"/>
              <w:rPr>
                <w:rFonts w:hint="eastAsia" w:ascii="宋体" w:hAnsi="宋体" w:eastAsia="宋体" w:cs="宋体"/>
                <w:kern w:val="0"/>
                <w:szCs w:val="21"/>
                <w:lang w:val="en-US" w:eastAsia="zh-CN"/>
              </w:rPr>
            </w:pPr>
            <w:r>
              <w:rPr>
                <w:rFonts w:hint="eastAsia" w:ascii="宋体" w:hAnsi="宋体" w:eastAsia="宋体" w:cs="宋体"/>
                <w:kern w:val="0"/>
                <w:szCs w:val="21"/>
                <w:lang w:eastAsia="zh-CN"/>
              </w:rPr>
              <w:t>（</w:t>
            </w:r>
            <w:r>
              <w:rPr>
                <w:rFonts w:hint="eastAsia" w:ascii="宋体" w:hAnsi="宋体" w:eastAsia="宋体" w:cs="宋体"/>
                <w:kern w:val="0"/>
                <w:szCs w:val="21"/>
              </w:rPr>
              <w:t>备注：投标人须在投标文件中提供《承诺函》并加盖公章</w:t>
            </w:r>
            <w:r>
              <w:rPr>
                <w:rFonts w:hint="eastAsia" w:ascii="宋体" w:hAnsi="宋体" w:eastAsia="宋体" w:cs="宋体"/>
                <w:kern w:val="0"/>
                <w:szCs w:val="21"/>
                <w:lang w:eastAsia="zh-CN"/>
              </w:rPr>
              <w:t>）</w:t>
            </w:r>
          </w:p>
        </w:tc>
        <w:tc>
          <w:tcPr>
            <w:tcW w:w="679" w:type="dxa"/>
            <w:vAlign w:val="center"/>
          </w:tcPr>
          <w:p w14:paraId="719A43E8">
            <w:pPr>
              <w:keepNext w:val="0"/>
              <w:keepLines w:val="0"/>
              <w:widowControl/>
              <w:suppressLineNumbers w:val="0"/>
              <w:spacing w:before="0" w:beforeAutospacing="0" w:after="0" w:afterAutospacing="0"/>
              <w:ind w:left="0" w:right="0"/>
              <w:jc w:val="center"/>
              <w:rPr>
                <w:rFonts w:hint="default" w:ascii="宋体" w:hAnsi="宋体" w:cs="宋体"/>
                <w:kern w:val="0"/>
                <w:szCs w:val="21"/>
                <w:lang w:val="en-US" w:eastAsia="zh-CN"/>
              </w:rPr>
            </w:pPr>
            <w:r>
              <w:rPr>
                <w:rFonts w:hint="eastAsia" w:ascii="宋体" w:hAnsi="宋体" w:cs="宋体"/>
                <w:kern w:val="0"/>
                <w:szCs w:val="21"/>
                <w:lang w:val="en-US" w:eastAsia="zh-CN"/>
              </w:rPr>
              <w:t>2</w:t>
            </w:r>
          </w:p>
        </w:tc>
      </w:tr>
    </w:tbl>
    <w:p w14:paraId="70CE542E">
      <w:pPr>
        <w:pStyle w:val="15"/>
        <w:ind w:left="0" w:leftChars="0" w:firstLine="0" w:firstLineChars="0"/>
        <w:rPr>
          <w:rFonts w:hint="eastAsia"/>
          <w:lang w:val="en-US" w:eastAsia="zh-CN"/>
        </w:rPr>
      </w:pPr>
    </w:p>
    <w:p w14:paraId="0737F3AA">
      <w:pPr>
        <w:pStyle w:val="14"/>
        <w:tabs>
          <w:tab w:val="clear" w:pos="567"/>
        </w:tabs>
        <w:spacing w:before="0" w:line="360" w:lineRule="auto"/>
        <w:ind w:left="-181" w:leftChars="-86" w:firstLine="660" w:firstLineChars="275"/>
        <w:rPr>
          <w:rFonts w:hint="eastAsia" w:ascii="仿宋_GB2312" w:hAnsi="仿宋_GB2312" w:eastAsia="仿宋_GB2312" w:cs="仿宋_GB2312"/>
          <w:iCs/>
          <w:kern w:val="2"/>
          <w:sz w:val="24"/>
          <w:szCs w:val="24"/>
          <w:lang w:val="en-US" w:eastAsia="zh-CN" w:bidi="ar-SA"/>
        </w:rPr>
      </w:pPr>
      <w:r>
        <w:rPr>
          <w:rFonts w:hint="eastAsia" w:ascii="仿宋_GB2312" w:hAnsi="仿宋_GB2312" w:eastAsia="仿宋_GB2312" w:cs="仿宋_GB2312"/>
          <w:iCs/>
          <w:kern w:val="2"/>
          <w:sz w:val="24"/>
          <w:szCs w:val="24"/>
          <w:lang w:val="en-US" w:eastAsia="zh-CN" w:bidi="ar-SA"/>
        </w:rPr>
        <w:t>审完毕，评标委员会根据汇总各投标企业的综合得分，按照得分高低进行排序，取前三名作为中标候选人推荐给招标委员会。如果两投标人的得分相同，投标价格低者排在前。</w:t>
      </w:r>
      <w:bookmarkEnd w:id="1587"/>
    </w:p>
    <w:p w14:paraId="6BC7CF54">
      <w:pPr>
        <w:pStyle w:val="14"/>
        <w:tabs>
          <w:tab w:val="clear" w:pos="567"/>
        </w:tabs>
        <w:spacing w:before="0" w:line="360" w:lineRule="auto"/>
        <w:ind w:left="-181" w:leftChars="-86" w:firstLine="660" w:firstLineChars="275"/>
        <w:rPr>
          <w:rFonts w:hint="eastAsia" w:ascii="仿宋_GB2312" w:hAnsi="仿宋_GB2312" w:eastAsia="仿宋_GB2312" w:cs="仿宋_GB2312"/>
          <w:iCs/>
        </w:rPr>
      </w:pPr>
      <w:r>
        <w:rPr>
          <w:rFonts w:hint="eastAsia" w:ascii="仿宋_GB2312" w:hAnsi="仿宋_GB2312" w:eastAsia="仿宋_GB2312" w:cs="仿宋_GB2312"/>
          <w:iCs/>
          <w:kern w:val="2"/>
          <w:sz w:val="24"/>
          <w:szCs w:val="24"/>
          <w:lang w:val="en-US" w:eastAsia="zh-CN" w:bidi="ar-SA"/>
        </w:rPr>
        <w:t>本项目参数要求、评审内容如有指向性，仅作为招标参考，投标产品不应低于招标要求，如有不符合要求，视为不响应招标文件规定。</w:t>
      </w:r>
    </w:p>
    <w:p w14:paraId="7244A78D">
      <w:pPr>
        <w:pStyle w:val="14"/>
        <w:tabs>
          <w:tab w:val="clear" w:pos="567"/>
        </w:tabs>
        <w:spacing w:before="0" w:line="360" w:lineRule="auto"/>
        <w:ind w:left="-181" w:leftChars="-86" w:firstLine="660" w:firstLineChars="275"/>
        <w:rPr>
          <w:rFonts w:hint="eastAsia" w:ascii="仿宋_GB2312" w:hAnsi="仿宋_GB2312" w:eastAsia="仿宋_GB2312" w:cs="仿宋_GB2312"/>
          <w:iCs/>
        </w:rPr>
      </w:pPr>
      <w:r>
        <w:rPr>
          <w:rFonts w:hint="eastAsia" w:ascii="仿宋_GB2312" w:hAnsi="仿宋_GB2312" w:eastAsia="仿宋_GB2312" w:cs="仿宋_GB2312"/>
          <w:iCs/>
        </w:rPr>
        <w:t>3.4比较与评价。按招标文件中规定的评标方法和标准，对未作无效投标处理的投标文件进行技术、服务、商务等方面评估，综合比较与评价。</w:t>
      </w:r>
    </w:p>
    <w:p w14:paraId="29D5A465">
      <w:pPr>
        <w:pStyle w:val="14"/>
        <w:tabs>
          <w:tab w:val="clear" w:pos="567"/>
        </w:tabs>
        <w:spacing w:before="0" w:line="360" w:lineRule="auto"/>
        <w:ind w:left="-181" w:leftChars="-86" w:firstLine="660" w:firstLineChars="275"/>
        <w:rPr>
          <w:rFonts w:hint="eastAsia" w:ascii="仿宋_GB2312" w:hAnsi="仿宋_GB2312" w:eastAsia="仿宋_GB2312" w:cs="仿宋_GB2312"/>
          <w:iCs/>
        </w:rPr>
      </w:pPr>
      <w:r>
        <w:rPr>
          <w:rFonts w:hint="eastAsia" w:ascii="仿宋_GB2312" w:hAnsi="仿宋_GB2312" w:eastAsia="仿宋_GB2312" w:cs="仿宋_GB2312"/>
          <w:iCs/>
        </w:rPr>
        <w:t>3.4.1评标委员会首先按照招标文件要求对投标文件中的投标人资格、投标人资格证明文件、重要技术指标以及技术和商务上要求的其它重要内容进行审核，审核合格后即视为实质性响应的投标文件，除考虑投标价格外，还应考虑以下因素：投标文件中所报交货期及付款方式；货物的技术水平、性能和供货能力；货物的质量和适用性；配套产品的安全性、先进性；投标方为其所供货物提供零备件及售后服务的可能性；零备件、专用工具及相关服务的费用；招标文件中所要求的有关服务费用；发货到最终目的地的内陆运输、保险及其他费用；其他特殊要求因素（如节能、安全和环保等）。</w:t>
      </w:r>
    </w:p>
    <w:p w14:paraId="702E6DC9">
      <w:pPr>
        <w:pStyle w:val="14"/>
        <w:tabs>
          <w:tab w:val="clear" w:pos="567"/>
        </w:tabs>
        <w:spacing w:before="0" w:line="360" w:lineRule="auto"/>
        <w:ind w:left="-181" w:leftChars="-86" w:firstLine="660" w:firstLineChars="275"/>
        <w:rPr>
          <w:rFonts w:hint="eastAsia" w:ascii="仿宋_GB2312" w:hAnsi="仿宋_GB2312" w:eastAsia="仿宋_GB2312" w:cs="仿宋_GB2312"/>
          <w:iCs/>
        </w:rPr>
      </w:pPr>
      <w:r>
        <w:rPr>
          <w:rFonts w:hint="eastAsia" w:ascii="仿宋_GB2312" w:hAnsi="仿宋_GB2312" w:eastAsia="仿宋_GB2312" w:cs="仿宋_GB2312"/>
          <w:iCs/>
        </w:rPr>
        <w:t>3.5复核。评分汇总结束后，评标委员会应当进行复核，特别要对拟推荐为中标候选供应商的、报价最低的、投标文件被认定为无效的进行重点复核。</w:t>
      </w:r>
    </w:p>
    <w:p w14:paraId="6B5D66B6">
      <w:pPr>
        <w:pStyle w:val="14"/>
        <w:tabs>
          <w:tab w:val="clear" w:pos="567"/>
        </w:tabs>
        <w:spacing w:before="0" w:line="360" w:lineRule="auto"/>
        <w:ind w:left="-181" w:leftChars="-86" w:firstLine="660" w:firstLineChars="275"/>
        <w:rPr>
          <w:rFonts w:hint="eastAsia" w:ascii="仿宋_GB2312" w:hAnsi="仿宋_GB2312" w:eastAsia="仿宋_GB2312" w:cs="仿宋_GB2312"/>
          <w:iCs/>
          <w:kern w:val="2"/>
          <w:szCs w:val="24"/>
        </w:rPr>
      </w:pPr>
      <w:r>
        <w:rPr>
          <w:rFonts w:hint="eastAsia" w:ascii="仿宋_GB2312" w:hAnsi="仿宋_GB2312" w:eastAsia="仿宋_GB2312" w:cs="仿宋_GB2312"/>
          <w:iCs/>
        </w:rPr>
        <w:t>3.6推荐中标</w:t>
      </w:r>
      <w:r>
        <w:rPr>
          <w:rFonts w:hint="eastAsia" w:ascii="仿宋_GB2312" w:hAnsi="仿宋_GB2312" w:eastAsia="仿宋_GB2312" w:cs="仿宋_GB2312"/>
          <w:iCs/>
          <w:kern w:val="2"/>
          <w:szCs w:val="24"/>
        </w:rPr>
        <w:t>候选供应商。中标候选供应商应当排序。</w:t>
      </w:r>
    </w:p>
    <w:p w14:paraId="63422C52">
      <w:pPr>
        <w:pStyle w:val="29"/>
        <w:keepNext w:val="0"/>
        <w:keepLines w:val="0"/>
        <w:pageBreakBefore w:val="0"/>
        <w:widowControl w:val="0"/>
        <w:kinsoku/>
        <w:wordWrap/>
        <w:overflowPunct/>
        <w:topLinePunct w:val="0"/>
        <w:autoSpaceDE w:val="0"/>
        <w:autoSpaceDN w:val="0"/>
        <w:bidi w:val="0"/>
        <w:adjustRightInd w:val="0"/>
        <w:snapToGrid/>
        <w:spacing w:line="460" w:lineRule="exact"/>
        <w:ind w:left="0" w:firstLineChars="200"/>
        <w:textAlignment w:val="auto"/>
        <w:rPr>
          <w:rFonts w:hint="eastAsia" w:ascii="仿宋_GB2312" w:hAnsi="仿宋_GB2312" w:eastAsia="仿宋_GB2312" w:cs="仿宋_GB2312"/>
          <w:iCs/>
          <w:kern w:val="2"/>
          <w:szCs w:val="24"/>
        </w:rPr>
      </w:pPr>
      <w:r>
        <w:rPr>
          <w:rFonts w:hint="eastAsia" w:ascii="仿宋_GB2312" w:hAnsi="仿宋_GB2312" w:eastAsia="仿宋_GB2312" w:cs="仿宋_GB2312"/>
          <w:iCs/>
          <w:kern w:val="2"/>
          <w:szCs w:val="24"/>
        </w:rPr>
        <w:t>3.7出具评标报告。评标委员会推荐中标候选供应商后，应当向招标采购单位出具评标报告。评标报告应当包括下列内容：</w:t>
      </w:r>
    </w:p>
    <w:p w14:paraId="16C8C69F">
      <w:pPr>
        <w:pStyle w:val="29"/>
        <w:keepNext w:val="0"/>
        <w:keepLines w:val="0"/>
        <w:pageBreakBefore w:val="0"/>
        <w:widowControl w:val="0"/>
        <w:kinsoku/>
        <w:wordWrap/>
        <w:overflowPunct/>
        <w:topLinePunct w:val="0"/>
        <w:autoSpaceDE w:val="0"/>
        <w:autoSpaceDN w:val="0"/>
        <w:bidi w:val="0"/>
        <w:adjustRightInd w:val="0"/>
        <w:snapToGrid/>
        <w:spacing w:line="460" w:lineRule="exact"/>
        <w:ind w:left="0" w:firstLineChars="200"/>
        <w:textAlignment w:val="auto"/>
        <w:rPr>
          <w:rFonts w:hint="eastAsia" w:ascii="仿宋_GB2312" w:hAnsi="仿宋_GB2312" w:eastAsia="仿宋_GB2312" w:cs="仿宋_GB2312"/>
          <w:iCs/>
          <w:kern w:val="2"/>
          <w:szCs w:val="24"/>
        </w:rPr>
      </w:pPr>
      <w:r>
        <w:rPr>
          <w:rFonts w:hint="eastAsia" w:ascii="仿宋_GB2312" w:hAnsi="仿宋_GB2312" w:eastAsia="仿宋_GB2312" w:cs="仿宋_GB2312"/>
          <w:iCs/>
          <w:kern w:val="2"/>
          <w:szCs w:val="24"/>
        </w:rPr>
        <w:t>（一）招标公告刊登的媒体名称、开标日期和地点；</w:t>
      </w:r>
    </w:p>
    <w:p w14:paraId="05D0AB52">
      <w:pPr>
        <w:pStyle w:val="29"/>
        <w:keepNext w:val="0"/>
        <w:keepLines w:val="0"/>
        <w:pageBreakBefore w:val="0"/>
        <w:widowControl w:val="0"/>
        <w:kinsoku/>
        <w:wordWrap/>
        <w:overflowPunct/>
        <w:topLinePunct w:val="0"/>
        <w:autoSpaceDE w:val="0"/>
        <w:autoSpaceDN w:val="0"/>
        <w:bidi w:val="0"/>
        <w:adjustRightInd w:val="0"/>
        <w:snapToGrid/>
        <w:spacing w:line="460" w:lineRule="exact"/>
        <w:ind w:left="0" w:firstLineChars="200"/>
        <w:textAlignment w:val="auto"/>
        <w:rPr>
          <w:rFonts w:hint="eastAsia" w:ascii="仿宋_GB2312" w:hAnsi="仿宋_GB2312" w:eastAsia="仿宋_GB2312" w:cs="仿宋_GB2312"/>
          <w:iCs/>
          <w:kern w:val="2"/>
          <w:szCs w:val="24"/>
        </w:rPr>
      </w:pPr>
      <w:r>
        <w:rPr>
          <w:rFonts w:hint="eastAsia" w:ascii="仿宋_GB2312" w:hAnsi="仿宋_GB2312" w:eastAsia="仿宋_GB2312" w:cs="仿宋_GB2312"/>
          <w:iCs/>
          <w:kern w:val="2"/>
          <w:szCs w:val="24"/>
        </w:rPr>
        <w:t>（二）评标委员会成员名单；</w:t>
      </w:r>
    </w:p>
    <w:p w14:paraId="5C5A2F1D">
      <w:pPr>
        <w:pStyle w:val="29"/>
        <w:keepNext w:val="0"/>
        <w:keepLines w:val="0"/>
        <w:pageBreakBefore w:val="0"/>
        <w:widowControl w:val="0"/>
        <w:kinsoku/>
        <w:wordWrap/>
        <w:overflowPunct/>
        <w:topLinePunct w:val="0"/>
        <w:autoSpaceDE w:val="0"/>
        <w:autoSpaceDN w:val="0"/>
        <w:bidi w:val="0"/>
        <w:adjustRightInd w:val="0"/>
        <w:snapToGrid/>
        <w:spacing w:line="460" w:lineRule="exact"/>
        <w:ind w:left="0" w:firstLineChars="200"/>
        <w:textAlignment w:val="auto"/>
        <w:rPr>
          <w:rFonts w:hint="eastAsia" w:ascii="仿宋_GB2312" w:hAnsi="仿宋_GB2312" w:eastAsia="仿宋_GB2312" w:cs="仿宋_GB2312"/>
          <w:iCs/>
          <w:kern w:val="2"/>
          <w:szCs w:val="24"/>
        </w:rPr>
      </w:pPr>
      <w:r>
        <w:rPr>
          <w:rFonts w:hint="eastAsia" w:ascii="仿宋_GB2312" w:hAnsi="仿宋_GB2312" w:eastAsia="仿宋_GB2312" w:cs="仿宋_GB2312"/>
          <w:iCs/>
          <w:kern w:val="2"/>
          <w:szCs w:val="24"/>
        </w:rPr>
        <w:t>（三）评标方法和标准；</w:t>
      </w:r>
    </w:p>
    <w:p w14:paraId="2C451B9B">
      <w:pPr>
        <w:pStyle w:val="29"/>
        <w:keepNext w:val="0"/>
        <w:keepLines w:val="0"/>
        <w:pageBreakBefore w:val="0"/>
        <w:widowControl w:val="0"/>
        <w:kinsoku/>
        <w:wordWrap/>
        <w:overflowPunct/>
        <w:topLinePunct w:val="0"/>
        <w:autoSpaceDE w:val="0"/>
        <w:autoSpaceDN w:val="0"/>
        <w:bidi w:val="0"/>
        <w:adjustRightInd w:val="0"/>
        <w:snapToGrid/>
        <w:spacing w:line="460" w:lineRule="exact"/>
        <w:ind w:left="0" w:firstLineChars="200"/>
        <w:textAlignment w:val="auto"/>
        <w:rPr>
          <w:rFonts w:hint="eastAsia" w:ascii="仿宋_GB2312" w:hAnsi="仿宋_GB2312" w:eastAsia="仿宋_GB2312" w:cs="仿宋_GB2312"/>
          <w:iCs/>
          <w:kern w:val="2"/>
          <w:szCs w:val="24"/>
        </w:rPr>
      </w:pPr>
      <w:r>
        <w:rPr>
          <w:rFonts w:hint="eastAsia" w:ascii="仿宋_GB2312" w:hAnsi="仿宋_GB2312" w:eastAsia="仿宋_GB2312" w:cs="仿宋_GB2312"/>
          <w:iCs/>
          <w:kern w:val="2"/>
          <w:szCs w:val="24"/>
        </w:rPr>
        <w:t>（四）开标记录和评标情况及说明，包括无效投标人名单及原因；</w:t>
      </w:r>
    </w:p>
    <w:p w14:paraId="2527218C">
      <w:pPr>
        <w:pStyle w:val="29"/>
        <w:keepNext w:val="0"/>
        <w:keepLines w:val="0"/>
        <w:pageBreakBefore w:val="0"/>
        <w:widowControl w:val="0"/>
        <w:kinsoku/>
        <w:wordWrap/>
        <w:overflowPunct/>
        <w:topLinePunct w:val="0"/>
        <w:autoSpaceDE w:val="0"/>
        <w:autoSpaceDN w:val="0"/>
        <w:bidi w:val="0"/>
        <w:adjustRightInd w:val="0"/>
        <w:snapToGrid/>
        <w:spacing w:line="460" w:lineRule="exact"/>
        <w:ind w:left="0" w:firstLineChars="200"/>
        <w:textAlignment w:val="auto"/>
        <w:rPr>
          <w:rFonts w:hint="eastAsia" w:ascii="仿宋_GB2312" w:hAnsi="仿宋_GB2312" w:eastAsia="仿宋_GB2312" w:cs="仿宋_GB2312"/>
          <w:iCs/>
          <w:kern w:val="2"/>
          <w:szCs w:val="24"/>
        </w:rPr>
      </w:pPr>
      <w:r>
        <w:rPr>
          <w:rFonts w:hint="eastAsia" w:ascii="仿宋_GB2312" w:hAnsi="仿宋_GB2312" w:eastAsia="仿宋_GB2312" w:cs="仿宋_GB2312"/>
          <w:iCs/>
          <w:kern w:val="2"/>
          <w:szCs w:val="24"/>
        </w:rPr>
        <w:t>（五）评标结果，确定的中标候选人名单或者经采购人委托直接确定的中标人；</w:t>
      </w:r>
    </w:p>
    <w:p w14:paraId="49844C33">
      <w:pPr>
        <w:pStyle w:val="29"/>
        <w:keepNext w:val="0"/>
        <w:keepLines w:val="0"/>
        <w:pageBreakBefore w:val="0"/>
        <w:widowControl w:val="0"/>
        <w:kinsoku/>
        <w:wordWrap/>
        <w:overflowPunct/>
        <w:topLinePunct w:val="0"/>
        <w:autoSpaceDE w:val="0"/>
        <w:autoSpaceDN w:val="0"/>
        <w:bidi w:val="0"/>
        <w:adjustRightInd w:val="0"/>
        <w:snapToGrid/>
        <w:spacing w:line="460" w:lineRule="exact"/>
        <w:ind w:left="0" w:firstLineChars="200"/>
        <w:textAlignment w:val="auto"/>
        <w:rPr>
          <w:rFonts w:hint="eastAsia" w:ascii="仿宋_GB2312" w:hAnsi="仿宋_GB2312" w:eastAsia="仿宋_GB2312" w:cs="仿宋_GB2312"/>
          <w:iCs/>
          <w:kern w:val="2"/>
          <w:szCs w:val="24"/>
        </w:rPr>
      </w:pPr>
      <w:r>
        <w:rPr>
          <w:rFonts w:hint="eastAsia" w:ascii="仿宋_GB2312" w:hAnsi="仿宋_GB2312" w:eastAsia="仿宋_GB2312" w:cs="仿宋_GB2312"/>
          <w:iCs/>
          <w:kern w:val="2"/>
          <w:szCs w:val="24"/>
        </w:rPr>
        <w:t>（六）其他需要说明的情况，包括评标过程中投标人根据评标委员会要求进行的澄清、说明或者补正，评标委员会成员的更换等。</w:t>
      </w:r>
    </w:p>
    <w:p w14:paraId="4D351682">
      <w:pPr>
        <w:pStyle w:val="29"/>
        <w:keepNext w:val="0"/>
        <w:keepLines w:val="0"/>
        <w:pageBreakBefore w:val="0"/>
        <w:widowControl w:val="0"/>
        <w:kinsoku/>
        <w:wordWrap/>
        <w:overflowPunct/>
        <w:topLinePunct w:val="0"/>
        <w:autoSpaceDE w:val="0"/>
        <w:autoSpaceDN w:val="0"/>
        <w:bidi w:val="0"/>
        <w:adjustRightInd w:val="0"/>
        <w:snapToGrid/>
        <w:spacing w:line="460" w:lineRule="exact"/>
        <w:ind w:left="0" w:firstLineChars="200"/>
        <w:textAlignment w:val="auto"/>
        <w:rPr>
          <w:rFonts w:hint="eastAsia" w:ascii="仿宋_GB2312" w:hAnsi="仿宋_GB2312" w:eastAsia="仿宋_GB2312" w:cs="仿宋_GB2312"/>
          <w:iCs/>
          <w:kern w:val="2"/>
          <w:szCs w:val="24"/>
        </w:rPr>
      </w:pPr>
      <w:r>
        <w:rPr>
          <w:rFonts w:hint="eastAsia" w:ascii="仿宋_GB2312" w:hAnsi="仿宋_GB2312" w:eastAsia="仿宋_GB2312" w:cs="仿宋_GB2312"/>
          <w:iCs/>
          <w:kern w:val="2"/>
          <w:szCs w:val="24"/>
        </w:rPr>
        <w:t>评标委员会成员应当在评标报告中签字确认，对评标过程和结果有不同意见的，应当在评标报告中写明并说明理由。签字但未写明不同意见或者未说明理由的，视同无意见。拒不签字又未另行书面说明其不同意见和理由的，视同同意评标结果。</w:t>
      </w:r>
    </w:p>
    <w:p w14:paraId="2C81B03C">
      <w:pPr>
        <w:pStyle w:val="29"/>
        <w:keepNext w:val="0"/>
        <w:keepLines w:val="0"/>
        <w:pageBreakBefore w:val="0"/>
        <w:widowControl w:val="0"/>
        <w:kinsoku/>
        <w:wordWrap/>
        <w:overflowPunct/>
        <w:topLinePunct w:val="0"/>
        <w:autoSpaceDE w:val="0"/>
        <w:autoSpaceDN w:val="0"/>
        <w:bidi w:val="0"/>
        <w:adjustRightInd w:val="0"/>
        <w:snapToGrid/>
        <w:spacing w:line="460" w:lineRule="exact"/>
        <w:ind w:left="0" w:firstLineChars="200"/>
        <w:textAlignment w:val="auto"/>
        <w:rPr>
          <w:rFonts w:hint="eastAsia" w:ascii="仿宋_GB2312" w:hAnsi="仿宋_GB2312" w:eastAsia="仿宋_GB2312" w:cs="仿宋_GB2312"/>
          <w:iCs/>
          <w:kern w:val="2"/>
          <w:szCs w:val="24"/>
        </w:rPr>
      </w:pPr>
      <w:r>
        <w:rPr>
          <w:rFonts w:hint="eastAsia" w:ascii="仿宋_GB2312" w:hAnsi="仿宋_GB2312" w:eastAsia="仿宋_GB2312" w:cs="仿宋_GB2312"/>
          <w:iCs/>
          <w:kern w:val="2"/>
          <w:szCs w:val="24"/>
        </w:rPr>
        <w:t>3.8评标争议处理规则。评标委员会在评审过程中，对于符合性审查、对供应商投标文件做无效投标处理及其他需要共同认定的事项存在争议的，应当以少数服从多数的原则做出结论，但不得违背法律法规和招标文件规定。有不同意见的评标委员会成员认为认定过程和结果不符合法律法规或者招标文件规定的，应当及时向招标采购单位书面反映。招标采购单位收到书面反映后，应当书面报告采购项目同级财政部门依法处理。</w:t>
      </w:r>
    </w:p>
    <w:p w14:paraId="4D8F5D1B">
      <w:pPr>
        <w:pStyle w:val="29"/>
        <w:keepNext w:val="0"/>
        <w:keepLines w:val="0"/>
        <w:pageBreakBefore w:val="0"/>
        <w:widowControl w:val="0"/>
        <w:kinsoku/>
        <w:wordWrap/>
        <w:overflowPunct/>
        <w:topLinePunct w:val="0"/>
        <w:autoSpaceDE w:val="0"/>
        <w:autoSpaceDN w:val="0"/>
        <w:bidi w:val="0"/>
        <w:adjustRightInd w:val="0"/>
        <w:snapToGrid/>
        <w:spacing w:line="460" w:lineRule="exact"/>
        <w:ind w:left="0" w:firstLineChars="200"/>
        <w:textAlignment w:val="auto"/>
        <w:rPr>
          <w:rFonts w:hint="eastAsia" w:ascii="仿宋_GB2312" w:hAnsi="仿宋_GB2312" w:eastAsia="仿宋_GB2312" w:cs="仿宋_GB2312"/>
          <w:iCs/>
          <w:kern w:val="2"/>
          <w:szCs w:val="24"/>
        </w:rPr>
      </w:pPr>
      <w:r>
        <w:rPr>
          <w:rFonts w:hint="eastAsia" w:ascii="仿宋_GB2312" w:hAnsi="仿宋_GB2312" w:eastAsia="仿宋_GB2312" w:cs="仿宋_GB2312"/>
          <w:iCs/>
          <w:kern w:val="2"/>
          <w:szCs w:val="24"/>
        </w:rPr>
        <w:t>3.9供应商应当书面澄清、说明或者更正。</w:t>
      </w:r>
    </w:p>
    <w:p w14:paraId="42CD66E5">
      <w:pPr>
        <w:pStyle w:val="29"/>
        <w:keepNext w:val="0"/>
        <w:keepLines w:val="0"/>
        <w:pageBreakBefore w:val="0"/>
        <w:widowControl w:val="0"/>
        <w:kinsoku/>
        <w:wordWrap/>
        <w:overflowPunct/>
        <w:topLinePunct w:val="0"/>
        <w:autoSpaceDE w:val="0"/>
        <w:autoSpaceDN w:val="0"/>
        <w:bidi w:val="0"/>
        <w:adjustRightInd w:val="0"/>
        <w:snapToGrid/>
        <w:spacing w:line="460" w:lineRule="exact"/>
        <w:ind w:left="0" w:firstLineChars="200"/>
        <w:textAlignment w:val="auto"/>
        <w:rPr>
          <w:rFonts w:hint="eastAsia" w:ascii="仿宋_GB2312" w:hAnsi="仿宋_GB2312" w:eastAsia="仿宋_GB2312" w:cs="仿宋_GB2312"/>
          <w:iCs/>
          <w:kern w:val="2"/>
          <w:szCs w:val="24"/>
        </w:rPr>
      </w:pPr>
      <w:r>
        <w:rPr>
          <w:rFonts w:hint="eastAsia" w:ascii="仿宋_GB2312" w:hAnsi="仿宋_GB2312" w:eastAsia="仿宋_GB2312" w:cs="仿宋_GB2312"/>
          <w:iCs/>
          <w:kern w:val="2"/>
          <w:szCs w:val="24"/>
        </w:rPr>
        <w:t>3.9.1在评标过程中，评标委员会对投标文件中含义不明确、同类问题表述不一致或者有明显文字和计算错误的内容，应当以书面形式（须由评标委员会全体成员签字）要求供应商作出必要的书面澄清、说明或者更正，并给予供应商必要的反馈时间。</w:t>
      </w:r>
    </w:p>
    <w:p w14:paraId="5198A7F9">
      <w:pPr>
        <w:pStyle w:val="29"/>
        <w:keepNext w:val="0"/>
        <w:keepLines w:val="0"/>
        <w:pageBreakBefore w:val="0"/>
        <w:widowControl w:val="0"/>
        <w:kinsoku/>
        <w:wordWrap/>
        <w:overflowPunct/>
        <w:topLinePunct w:val="0"/>
        <w:autoSpaceDE w:val="0"/>
        <w:autoSpaceDN w:val="0"/>
        <w:bidi w:val="0"/>
        <w:adjustRightInd w:val="0"/>
        <w:snapToGrid/>
        <w:spacing w:line="460" w:lineRule="exact"/>
        <w:ind w:left="0" w:firstLineChars="200"/>
        <w:textAlignment w:val="auto"/>
        <w:rPr>
          <w:rFonts w:hint="eastAsia" w:ascii="仿宋_GB2312" w:hAnsi="仿宋_GB2312" w:eastAsia="仿宋_GB2312" w:cs="仿宋_GB2312"/>
          <w:iCs/>
          <w:kern w:val="2"/>
          <w:szCs w:val="24"/>
        </w:rPr>
      </w:pPr>
      <w:r>
        <w:rPr>
          <w:rFonts w:hint="eastAsia" w:ascii="仿宋_GB2312" w:hAnsi="仿宋_GB2312" w:eastAsia="仿宋_GB2312" w:cs="仿宋_GB2312"/>
          <w:iCs/>
          <w:kern w:val="2"/>
          <w:szCs w:val="24"/>
        </w:rPr>
        <w:t>3.9.2供应商应当书面澄清、说明或者更正，并加盖公章或签字确认（供应商为法人的，应当由其法定代表人或者代理人签字确认；供应商为其他组织的，应当由其主要负责人或者代理人签字确认；供应商为自然人的，应当由其本人或者代理人签字确认），否则无效。澄清、说明或者更正不影响投标文件的效力，有效的澄清、说明或者更正材料，是投标文件的组成部分。但投标人的澄清、说明或者补正不得超出投标文件的范围或者改变投标文件的实质性内容。</w:t>
      </w:r>
    </w:p>
    <w:p w14:paraId="54EE59B2">
      <w:pPr>
        <w:pStyle w:val="29"/>
        <w:keepNext w:val="0"/>
        <w:keepLines w:val="0"/>
        <w:pageBreakBefore w:val="0"/>
        <w:widowControl w:val="0"/>
        <w:kinsoku/>
        <w:wordWrap/>
        <w:overflowPunct/>
        <w:topLinePunct w:val="0"/>
        <w:autoSpaceDE w:val="0"/>
        <w:autoSpaceDN w:val="0"/>
        <w:bidi w:val="0"/>
        <w:adjustRightInd w:val="0"/>
        <w:snapToGrid/>
        <w:spacing w:line="460" w:lineRule="exact"/>
        <w:ind w:left="0" w:firstLineChars="200"/>
        <w:textAlignment w:val="auto"/>
        <w:rPr>
          <w:rFonts w:hint="eastAsia" w:ascii="仿宋_GB2312" w:hAnsi="仿宋_GB2312" w:eastAsia="仿宋_GB2312" w:cs="仿宋_GB2312"/>
          <w:iCs/>
          <w:kern w:val="2"/>
          <w:szCs w:val="24"/>
        </w:rPr>
      </w:pPr>
      <w:r>
        <w:rPr>
          <w:rFonts w:hint="eastAsia" w:ascii="仿宋_GB2312" w:hAnsi="仿宋_GB2312" w:eastAsia="仿宋_GB2312" w:cs="仿宋_GB2312"/>
          <w:iCs/>
          <w:kern w:val="2"/>
          <w:szCs w:val="24"/>
        </w:rPr>
        <w:t>3.9.3评标委员会要求供应商澄清、说明或者更正，不得超出招标文件的范围，不得以此让供应商实质改变投标文件的内容，不得影响供应商公平竞争。本项目下列内容不得澄清：</w:t>
      </w:r>
    </w:p>
    <w:p w14:paraId="2FACAEB6">
      <w:pPr>
        <w:pStyle w:val="29"/>
        <w:keepNext w:val="0"/>
        <w:keepLines w:val="0"/>
        <w:pageBreakBefore w:val="0"/>
        <w:widowControl w:val="0"/>
        <w:kinsoku/>
        <w:wordWrap/>
        <w:overflowPunct/>
        <w:topLinePunct w:val="0"/>
        <w:autoSpaceDE w:val="0"/>
        <w:autoSpaceDN w:val="0"/>
        <w:bidi w:val="0"/>
        <w:adjustRightInd w:val="0"/>
        <w:snapToGrid/>
        <w:spacing w:line="460" w:lineRule="exact"/>
        <w:ind w:left="0" w:firstLineChars="200"/>
        <w:textAlignment w:val="auto"/>
        <w:rPr>
          <w:rFonts w:hint="eastAsia" w:ascii="仿宋_GB2312" w:hAnsi="仿宋_GB2312" w:eastAsia="仿宋_GB2312" w:cs="仿宋_GB2312"/>
          <w:iCs/>
          <w:kern w:val="2"/>
          <w:szCs w:val="24"/>
        </w:rPr>
      </w:pPr>
      <w:r>
        <w:rPr>
          <w:rFonts w:hint="eastAsia" w:ascii="仿宋_GB2312" w:hAnsi="仿宋_GB2312" w:eastAsia="仿宋_GB2312" w:cs="仿宋_GB2312"/>
          <w:iCs/>
          <w:kern w:val="2"/>
          <w:szCs w:val="24"/>
        </w:rPr>
        <w:t>（一）按财政部规定应当在评标时不予承认的投标文件内容事项；</w:t>
      </w:r>
    </w:p>
    <w:p w14:paraId="4D7CA163">
      <w:pPr>
        <w:pStyle w:val="29"/>
        <w:keepNext w:val="0"/>
        <w:keepLines w:val="0"/>
        <w:pageBreakBefore w:val="0"/>
        <w:widowControl w:val="0"/>
        <w:kinsoku/>
        <w:wordWrap/>
        <w:overflowPunct/>
        <w:topLinePunct w:val="0"/>
        <w:autoSpaceDE w:val="0"/>
        <w:autoSpaceDN w:val="0"/>
        <w:bidi w:val="0"/>
        <w:adjustRightInd w:val="0"/>
        <w:snapToGrid/>
        <w:spacing w:line="460" w:lineRule="exact"/>
        <w:ind w:left="0" w:firstLineChars="200"/>
        <w:textAlignment w:val="auto"/>
        <w:rPr>
          <w:rFonts w:hint="eastAsia" w:ascii="仿宋_GB2312" w:hAnsi="仿宋_GB2312" w:eastAsia="仿宋_GB2312" w:cs="仿宋_GB2312"/>
          <w:iCs/>
          <w:kern w:val="2"/>
          <w:szCs w:val="24"/>
        </w:rPr>
      </w:pPr>
      <w:r>
        <w:rPr>
          <w:rFonts w:hint="eastAsia" w:ascii="仿宋_GB2312" w:hAnsi="仿宋_GB2312" w:eastAsia="仿宋_GB2312" w:cs="仿宋_GB2312"/>
          <w:iCs/>
          <w:kern w:val="2"/>
          <w:szCs w:val="24"/>
        </w:rPr>
        <w:t>（二）投标文件中已经明确的内容事项；</w:t>
      </w:r>
    </w:p>
    <w:p w14:paraId="402103C0">
      <w:pPr>
        <w:pStyle w:val="29"/>
        <w:keepNext w:val="0"/>
        <w:keepLines w:val="0"/>
        <w:pageBreakBefore w:val="0"/>
        <w:widowControl w:val="0"/>
        <w:kinsoku/>
        <w:wordWrap/>
        <w:overflowPunct/>
        <w:topLinePunct w:val="0"/>
        <w:autoSpaceDE w:val="0"/>
        <w:autoSpaceDN w:val="0"/>
        <w:bidi w:val="0"/>
        <w:adjustRightInd w:val="0"/>
        <w:snapToGrid/>
        <w:spacing w:line="460" w:lineRule="exact"/>
        <w:ind w:left="0" w:firstLineChars="200"/>
        <w:textAlignment w:val="auto"/>
        <w:rPr>
          <w:rFonts w:hint="eastAsia" w:ascii="仿宋_GB2312" w:hAnsi="仿宋_GB2312" w:eastAsia="仿宋_GB2312" w:cs="仿宋_GB2312"/>
          <w:iCs/>
          <w:kern w:val="2"/>
          <w:szCs w:val="24"/>
        </w:rPr>
      </w:pPr>
      <w:r>
        <w:rPr>
          <w:rFonts w:hint="eastAsia" w:ascii="仿宋_GB2312" w:hAnsi="仿宋_GB2312" w:eastAsia="仿宋_GB2312" w:cs="仿宋_GB2312"/>
          <w:iCs/>
          <w:kern w:val="2"/>
          <w:szCs w:val="24"/>
        </w:rPr>
        <w:t>（三）投标文件未提供的材料。</w:t>
      </w:r>
    </w:p>
    <w:p w14:paraId="34BCB033">
      <w:pPr>
        <w:pStyle w:val="29"/>
        <w:keepNext w:val="0"/>
        <w:keepLines w:val="0"/>
        <w:pageBreakBefore w:val="0"/>
        <w:widowControl w:val="0"/>
        <w:kinsoku/>
        <w:wordWrap/>
        <w:overflowPunct/>
        <w:topLinePunct w:val="0"/>
        <w:autoSpaceDE w:val="0"/>
        <w:autoSpaceDN w:val="0"/>
        <w:bidi w:val="0"/>
        <w:adjustRightInd w:val="0"/>
        <w:snapToGrid/>
        <w:spacing w:line="460" w:lineRule="exact"/>
        <w:ind w:left="0" w:firstLineChars="200"/>
        <w:textAlignment w:val="auto"/>
        <w:rPr>
          <w:rFonts w:hint="eastAsia" w:ascii="仿宋_GB2312" w:hAnsi="仿宋_GB2312" w:eastAsia="仿宋_GB2312" w:cs="仿宋_GB2312"/>
          <w:iCs/>
          <w:kern w:val="2"/>
          <w:szCs w:val="24"/>
        </w:rPr>
      </w:pPr>
      <w:r>
        <w:rPr>
          <w:rFonts w:hint="eastAsia" w:ascii="仿宋_GB2312" w:hAnsi="仿宋_GB2312" w:eastAsia="仿宋_GB2312" w:cs="仿宋_GB2312"/>
          <w:iCs/>
          <w:kern w:val="2"/>
          <w:szCs w:val="24"/>
        </w:rPr>
        <w:t>3.10</w:t>
      </w:r>
      <w:r>
        <w:rPr>
          <w:rFonts w:hint="eastAsia" w:ascii="仿宋_GB2312" w:hAnsi="仿宋_GB2312" w:eastAsia="仿宋_GB2312" w:cs="仿宋_GB2312"/>
          <w:iCs/>
          <w:kern w:val="2"/>
          <w:szCs w:val="24"/>
          <w:lang w:val="en-US" w:eastAsia="zh-CN"/>
        </w:rPr>
        <w:t xml:space="preserve"> </w:t>
      </w:r>
      <w:r>
        <w:rPr>
          <w:rFonts w:hint="eastAsia" w:ascii="仿宋_GB2312" w:hAnsi="仿宋_GB2312" w:eastAsia="仿宋_GB2312" w:cs="仿宋_GB2312"/>
          <w:iCs/>
          <w:kern w:val="2"/>
          <w:szCs w:val="24"/>
        </w:rPr>
        <w:t>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14:paraId="0E80BA1D">
      <w:pPr>
        <w:pStyle w:val="29"/>
        <w:keepNext w:val="0"/>
        <w:keepLines w:val="0"/>
        <w:pageBreakBefore w:val="0"/>
        <w:widowControl w:val="0"/>
        <w:kinsoku/>
        <w:wordWrap/>
        <w:overflowPunct/>
        <w:topLinePunct w:val="0"/>
        <w:autoSpaceDE w:val="0"/>
        <w:autoSpaceDN w:val="0"/>
        <w:bidi w:val="0"/>
        <w:adjustRightInd w:val="0"/>
        <w:snapToGrid/>
        <w:spacing w:line="460" w:lineRule="exact"/>
        <w:ind w:left="0" w:firstLineChars="200"/>
        <w:textAlignment w:val="auto"/>
        <w:rPr>
          <w:rFonts w:hint="eastAsia" w:ascii="仿宋_GB2312" w:hAnsi="仿宋_GB2312" w:eastAsia="仿宋_GB2312" w:cs="仿宋_GB2312"/>
          <w:iCs/>
          <w:kern w:val="2"/>
          <w:szCs w:val="24"/>
        </w:rPr>
      </w:pPr>
      <w:r>
        <w:rPr>
          <w:rFonts w:hint="eastAsia" w:ascii="仿宋_GB2312" w:hAnsi="仿宋_GB2312" w:eastAsia="仿宋_GB2312" w:cs="仿宋_GB2312"/>
          <w:iCs/>
          <w:kern w:val="2"/>
          <w:szCs w:val="24"/>
        </w:rPr>
        <w:t>供应商书面说明应当签字确认或者加盖公章，否则无效。书面说明的签字确认，供应商为法人的，由其法定代表人或者代理人签字确认；供应商为其他组织的，由其主要负责人或者代理人签字确认；供应商为自然人的，由其本人或者代理人签字确认。</w:t>
      </w:r>
    </w:p>
    <w:p w14:paraId="70686155">
      <w:pPr>
        <w:pStyle w:val="29"/>
        <w:keepNext w:val="0"/>
        <w:keepLines w:val="0"/>
        <w:pageBreakBefore w:val="0"/>
        <w:widowControl w:val="0"/>
        <w:kinsoku/>
        <w:wordWrap/>
        <w:overflowPunct/>
        <w:topLinePunct w:val="0"/>
        <w:autoSpaceDE w:val="0"/>
        <w:autoSpaceDN w:val="0"/>
        <w:bidi w:val="0"/>
        <w:adjustRightInd w:val="0"/>
        <w:snapToGrid/>
        <w:spacing w:line="460" w:lineRule="exact"/>
        <w:ind w:left="0" w:firstLineChars="200"/>
        <w:textAlignment w:val="auto"/>
        <w:rPr>
          <w:rFonts w:hint="eastAsia" w:ascii="仿宋_GB2312" w:hAnsi="仿宋_GB2312" w:eastAsia="仿宋_GB2312" w:cs="仿宋_GB2312"/>
          <w:iCs/>
          <w:kern w:val="2"/>
          <w:szCs w:val="24"/>
        </w:rPr>
      </w:pPr>
      <w:r>
        <w:rPr>
          <w:rFonts w:hint="eastAsia" w:ascii="仿宋_GB2312" w:hAnsi="仿宋_GB2312" w:eastAsia="仿宋_GB2312" w:cs="仿宋_GB2312"/>
          <w:iCs/>
          <w:kern w:val="2"/>
          <w:szCs w:val="24"/>
        </w:rPr>
        <w:t>3.11</w:t>
      </w:r>
      <w:r>
        <w:rPr>
          <w:rFonts w:hint="eastAsia" w:ascii="仿宋_GB2312" w:hAnsi="仿宋_GB2312" w:eastAsia="仿宋_GB2312" w:cs="仿宋_GB2312"/>
          <w:iCs/>
          <w:kern w:val="2"/>
          <w:szCs w:val="24"/>
          <w:lang w:val="en-US" w:eastAsia="zh-CN"/>
        </w:rPr>
        <w:t xml:space="preserve"> </w:t>
      </w:r>
      <w:r>
        <w:rPr>
          <w:rFonts w:hint="eastAsia" w:ascii="仿宋_GB2312" w:hAnsi="仿宋_GB2312" w:eastAsia="仿宋_GB2312" w:cs="仿宋_GB2312"/>
          <w:iCs/>
          <w:kern w:val="2"/>
          <w:szCs w:val="24"/>
        </w:rPr>
        <w:t>招标采购单位现场复核评标结果。</w:t>
      </w:r>
    </w:p>
    <w:p w14:paraId="4B739A4A">
      <w:pPr>
        <w:pStyle w:val="29"/>
        <w:keepNext w:val="0"/>
        <w:keepLines w:val="0"/>
        <w:pageBreakBefore w:val="0"/>
        <w:widowControl w:val="0"/>
        <w:kinsoku/>
        <w:wordWrap/>
        <w:overflowPunct/>
        <w:topLinePunct w:val="0"/>
        <w:autoSpaceDE w:val="0"/>
        <w:autoSpaceDN w:val="0"/>
        <w:bidi w:val="0"/>
        <w:adjustRightInd w:val="0"/>
        <w:snapToGrid/>
        <w:spacing w:line="460" w:lineRule="exact"/>
        <w:ind w:left="0" w:firstLineChars="200"/>
        <w:textAlignment w:val="auto"/>
        <w:rPr>
          <w:rFonts w:hint="eastAsia" w:ascii="仿宋_GB2312" w:hAnsi="仿宋_GB2312" w:eastAsia="仿宋_GB2312" w:cs="仿宋_GB2312"/>
          <w:iCs/>
          <w:kern w:val="2"/>
          <w:szCs w:val="24"/>
        </w:rPr>
      </w:pPr>
      <w:r>
        <w:rPr>
          <w:rFonts w:hint="eastAsia" w:ascii="仿宋_GB2312" w:hAnsi="仿宋_GB2312" w:eastAsia="仿宋_GB2312" w:cs="仿宋_GB2312"/>
          <w:iCs/>
          <w:kern w:val="2"/>
          <w:szCs w:val="24"/>
        </w:rPr>
        <w:t>3.11.1评标结果汇总完成后，评标委员会拟出具评标报告前，招标采购单位应当组织本单位工作人员，在采购现场监督人员的监督之下，依据有关的法律制度和采购文件对评标结果进行复核，提出复核意见。</w:t>
      </w:r>
    </w:p>
    <w:p w14:paraId="57E291B6">
      <w:pPr>
        <w:pStyle w:val="29"/>
        <w:keepNext w:val="0"/>
        <w:keepLines w:val="0"/>
        <w:pageBreakBefore w:val="0"/>
        <w:widowControl w:val="0"/>
        <w:kinsoku/>
        <w:wordWrap/>
        <w:overflowPunct/>
        <w:topLinePunct w:val="0"/>
        <w:autoSpaceDE w:val="0"/>
        <w:autoSpaceDN w:val="0"/>
        <w:bidi w:val="0"/>
        <w:adjustRightInd w:val="0"/>
        <w:snapToGrid/>
        <w:spacing w:line="460" w:lineRule="exact"/>
        <w:ind w:left="0" w:firstLineChars="200"/>
        <w:textAlignment w:val="auto"/>
        <w:rPr>
          <w:rFonts w:hint="eastAsia" w:ascii="仿宋_GB2312" w:hAnsi="仿宋_GB2312" w:eastAsia="仿宋_GB2312" w:cs="仿宋_GB2312"/>
          <w:iCs/>
          <w:kern w:val="2"/>
          <w:szCs w:val="24"/>
        </w:rPr>
      </w:pPr>
      <w:r>
        <w:rPr>
          <w:rFonts w:hint="eastAsia" w:ascii="仿宋_GB2312" w:hAnsi="仿宋_GB2312" w:eastAsia="仿宋_GB2312" w:cs="仿宋_GB2312"/>
          <w:iCs/>
          <w:kern w:val="2"/>
          <w:szCs w:val="24"/>
        </w:rPr>
        <w:t>评标报告签署前，经复核发现存在实质性错误的，评标委员会应当当场修改评标结果，并在评标报告中记载；评标报告签署后，采购人或者采购代理机构发现存在以上情形之一的，应当组织原评标委员会进行重新评审，重新评审改变评标结果的，书面报告本级财政部门。</w:t>
      </w:r>
    </w:p>
    <w:p w14:paraId="1F37318C">
      <w:pPr>
        <w:keepNext w:val="0"/>
        <w:keepLines w:val="0"/>
        <w:pageBreakBefore w:val="0"/>
        <w:widowControl/>
        <w:kinsoku/>
        <w:wordWrap/>
        <w:overflowPunct/>
        <w:topLinePunct w:val="0"/>
        <w:autoSpaceDE/>
        <w:autoSpaceDN/>
        <w:bidi w:val="0"/>
        <w:adjustRightInd/>
        <w:snapToGrid/>
        <w:spacing w:line="360" w:lineRule="auto"/>
        <w:ind w:firstLine="480" w:firstLineChars="200"/>
        <w:jc w:val="both"/>
        <w:textAlignment w:val="baseline"/>
        <w:rPr>
          <w:rFonts w:hint="eastAsia" w:ascii="仿宋_GB2312" w:hAnsi="仿宋_GB2312" w:eastAsia="仿宋_GB2312" w:cs="仿宋_GB2312"/>
          <w:b w:val="0"/>
          <w:i w:val="0"/>
          <w:iCs/>
          <w:caps w:val="0"/>
          <w:spacing w:val="0"/>
          <w:w w:val="100"/>
          <w:kern w:val="2"/>
          <w:sz w:val="24"/>
          <w:szCs w:val="24"/>
          <w:lang w:val="en-US" w:eastAsia="zh-CN" w:bidi="ar-SA"/>
        </w:rPr>
      </w:pPr>
      <w:r>
        <w:rPr>
          <w:rFonts w:hint="eastAsia" w:ascii="仿宋_GB2312" w:hAnsi="仿宋_GB2312" w:eastAsia="仿宋_GB2312" w:cs="仿宋_GB2312"/>
          <w:b w:val="0"/>
          <w:i w:val="0"/>
          <w:iCs/>
          <w:caps w:val="0"/>
          <w:spacing w:val="0"/>
          <w:w w:val="100"/>
          <w:kern w:val="2"/>
          <w:sz w:val="24"/>
          <w:szCs w:val="24"/>
          <w:lang w:val="en-US" w:eastAsia="zh-CN" w:bidi="ar-SA"/>
        </w:rPr>
        <w:t xml:space="preserve">4、落实中小企业政策 </w:t>
      </w:r>
    </w:p>
    <w:p w14:paraId="5E96F07A">
      <w:pPr>
        <w:keepNext w:val="0"/>
        <w:keepLines w:val="0"/>
        <w:pageBreakBefore w:val="0"/>
        <w:widowControl/>
        <w:kinsoku/>
        <w:wordWrap/>
        <w:overflowPunct/>
        <w:topLinePunct w:val="0"/>
        <w:autoSpaceDE/>
        <w:autoSpaceDN/>
        <w:bidi w:val="0"/>
        <w:adjustRightInd/>
        <w:snapToGrid/>
        <w:spacing w:line="360" w:lineRule="auto"/>
        <w:ind w:firstLine="480" w:firstLineChars="200"/>
        <w:jc w:val="both"/>
        <w:textAlignment w:val="baseline"/>
        <w:rPr>
          <w:rFonts w:hint="eastAsia" w:ascii="仿宋_GB2312" w:hAnsi="仿宋_GB2312" w:eastAsia="仿宋_GB2312" w:cs="仿宋_GB2312"/>
          <w:b w:val="0"/>
          <w:i w:val="0"/>
          <w:iCs/>
          <w:caps w:val="0"/>
          <w:spacing w:val="0"/>
          <w:w w:val="100"/>
          <w:kern w:val="2"/>
          <w:sz w:val="24"/>
          <w:szCs w:val="24"/>
          <w:lang w:val="en-US" w:eastAsia="zh-CN" w:bidi="ar-SA"/>
        </w:rPr>
      </w:pPr>
      <w:r>
        <w:rPr>
          <w:rFonts w:hint="eastAsia" w:ascii="仿宋_GB2312" w:hAnsi="仿宋_GB2312" w:eastAsia="仿宋_GB2312" w:cs="仿宋_GB2312"/>
          <w:b w:val="0"/>
          <w:i w:val="0"/>
          <w:iCs/>
          <w:caps w:val="0"/>
          <w:spacing w:val="0"/>
          <w:w w:val="100"/>
          <w:kern w:val="2"/>
          <w:sz w:val="24"/>
          <w:szCs w:val="24"/>
          <w:lang w:val="en-US" w:eastAsia="zh-CN" w:bidi="ar-SA"/>
        </w:rPr>
        <w:t>4.1 本项目不专门面向中小企业采购，潜在投标企业提供的货物由中小企业制造的，请在投标文件中提供“中小企业声明函”，如果未提供或提供虚假的“中小企业声明函”，投标企业将承担由此造成的一切不利后果。</w:t>
      </w:r>
    </w:p>
    <w:p w14:paraId="6DF0D0ED">
      <w:pPr>
        <w:keepNext w:val="0"/>
        <w:keepLines w:val="0"/>
        <w:pageBreakBefore w:val="0"/>
        <w:widowControl/>
        <w:kinsoku/>
        <w:wordWrap/>
        <w:overflowPunct/>
        <w:topLinePunct w:val="0"/>
        <w:autoSpaceDE/>
        <w:autoSpaceDN/>
        <w:bidi w:val="0"/>
        <w:adjustRightInd/>
        <w:snapToGrid/>
        <w:spacing w:line="360" w:lineRule="auto"/>
        <w:ind w:firstLine="480" w:firstLineChars="200"/>
        <w:jc w:val="both"/>
        <w:textAlignment w:val="baseline"/>
        <w:rPr>
          <w:rFonts w:hint="eastAsia" w:ascii="仿宋_GB2312" w:hAnsi="仿宋_GB2312" w:eastAsia="仿宋_GB2312" w:cs="仿宋_GB2312"/>
          <w:b w:val="0"/>
          <w:i w:val="0"/>
          <w:iCs/>
          <w:caps w:val="0"/>
          <w:spacing w:val="0"/>
          <w:w w:val="100"/>
          <w:kern w:val="2"/>
          <w:sz w:val="24"/>
          <w:szCs w:val="24"/>
          <w:lang w:val="en-US" w:eastAsia="zh-CN" w:bidi="ar-SA"/>
        </w:rPr>
      </w:pPr>
      <w:r>
        <w:rPr>
          <w:rFonts w:hint="eastAsia" w:ascii="仿宋_GB2312" w:hAnsi="仿宋_GB2312" w:eastAsia="仿宋_GB2312" w:cs="仿宋_GB2312"/>
          <w:b w:val="0"/>
          <w:i w:val="0"/>
          <w:iCs/>
          <w:caps w:val="0"/>
          <w:spacing w:val="0"/>
          <w:w w:val="100"/>
          <w:kern w:val="2"/>
          <w:sz w:val="24"/>
          <w:szCs w:val="24"/>
          <w:lang w:val="en-US" w:eastAsia="zh-CN" w:bidi="ar-SA"/>
        </w:rPr>
        <w:t xml:space="preserve">4.2  根据《政府采购促进中小企业发展管理办法》（财库〔2020〕46 号）、 《财政部 司法部关于政府采购支持监狱企业发展有关问题的通知》（财库 〔2014〕68 号）和《三部门联合发布关于促进残疾人就业政府采购政策的通知》 （财库〔2017〕141 号）的规定，对满足价格扣除条件且在投标文件中提交了《投标人企业类型声明函》、《残疾人福利性单位声明函》或省级以上监狱管理局、戒毒管理局（含新疆生产建设兵团）出具的属于监狱企业的证明文件的投标人，其投标报价扣除 10 %后参与评审。对于同时属于小微企业、监狱企业或残疾人福利性单位的，不重复进行投标报价扣除。 </w:t>
      </w:r>
    </w:p>
    <w:p w14:paraId="3E48D632">
      <w:pPr>
        <w:keepNext w:val="0"/>
        <w:keepLines w:val="0"/>
        <w:pageBreakBefore w:val="0"/>
        <w:widowControl/>
        <w:kinsoku/>
        <w:wordWrap/>
        <w:overflowPunct/>
        <w:topLinePunct w:val="0"/>
        <w:autoSpaceDE/>
        <w:autoSpaceDN/>
        <w:bidi w:val="0"/>
        <w:adjustRightInd/>
        <w:snapToGrid/>
        <w:spacing w:line="360" w:lineRule="auto"/>
        <w:ind w:firstLine="480" w:firstLineChars="200"/>
        <w:jc w:val="both"/>
        <w:textAlignment w:val="baseline"/>
        <w:rPr>
          <w:rFonts w:hint="eastAsia" w:ascii="仿宋_GB2312" w:hAnsi="仿宋_GB2312" w:eastAsia="仿宋_GB2312" w:cs="仿宋_GB2312"/>
          <w:b w:val="0"/>
          <w:i w:val="0"/>
          <w:iCs/>
          <w:caps w:val="0"/>
          <w:spacing w:val="0"/>
          <w:w w:val="100"/>
          <w:kern w:val="2"/>
          <w:sz w:val="24"/>
          <w:szCs w:val="24"/>
          <w:lang w:val="en-US" w:eastAsia="zh-CN" w:bidi="ar-SA"/>
        </w:rPr>
      </w:pPr>
      <w:r>
        <w:rPr>
          <w:rFonts w:hint="eastAsia" w:ascii="仿宋_GB2312" w:hAnsi="仿宋_GB2312" w:eastAsia="仿宋_GB2312" w:cs="仿宋_GB2312"/>
          <w:b w:val="0"/>
          <w:i w:val="0"/>
          <w:iCs/>
          <w:caps w:val="0"/>
          <w:spacing w:val="0"/>
          <w:w w:val="100"/>
          <w:kern w:val="2"/>
          <w:sz w:val="24"/>
          <w:szCs w:val="24"/>
          <w:lang w:val="en-US" w:eastAsia="zh-CN" w:bidi="ar-SA"/>
        </w:rPr>
        <w:t>4.3 （本项目不接受联合体投标）联合协议中约定，小型、微型企业和监狱企业的协议合同金额占到联合体协议合同总金额 30%以上的，可给予联合体4 %的价格扣除。 联合体各方均为小型、微型企业和监狱企业的，联合体视同为小型、微型 企业和监狱企业。</w:t>
      </w:r>
    </w:p>
    <w:p w14:paraId="511F8D62">
      <w:pPr>
        <w:keepNext w:val="0"/>
        <w:keepLines w:val="0"/>
        <w:pageBreakBefore w:val="0"/>
        <w:widowControl/>
        <w:kinsoku/>
        <w:wordWrap/>
        <w:overflowPunct/>
        <w:topLinePunct w:val="0"/>
        <w:autoSpaceDE/>
        <w:autoSpaceDN/>
        <w:bidi w:val="0"/>
        <w:adjustRightInd/>
        <w:snapToGrid/>
        <w:spacing w:line="360" w:lineRule="auto"/>
        <w:ind w:firstLine="480" w:firstLineChars="200"/>
        <w:jc w:val="both"/>
        <w:textAlignment w:val="baseline"/>
        <w:rPr>
          <w:rFonts w:hint="eastAsia" w:ascii="仿宋_GB2312" w:hAnsi="仿宋_GB2312" w:eastAsia="仿宋_GB2312" w:cs="仿宋_GB2312"/>
          <w:b w:val="0"/>
          <w:i w:val="0"/>
          <w:iCs/>
          <w:caps w:val="0"/>
          <w:spacing w:val="0"/>
          <w:w w:val="100"/>
          <w:kern w:val="2"/>
          <w:sz w:val="24"/>
          <w:szCs w:val="24"/>
          <w:lang w:val="en-US" w:eastAsia="zh-CN" w:bidi="ar-SA"/>
        </w:rPr>
      </w:pPr>
      <w:r>
        <w:rPr>
          <w:rFonts w:hint="eastAsia" w:ascii="仿宋_GB2312" w:hAnsi="仿宋_GB2312" w:eastAsia="仿宋_GB2312" w:cs="仿宋_GB2312"/>
          <w:b w:val="0"/>
          <w:i w:val="0"/>
          <w:iCs/>
          <w:caps w:val="0"/>
          <w:spacing w:val="0"/>
          <w:w w:val="100"/>
          <w:sz w:val="24"/>
          <w:lang w:val="en-US" w:eastAsia="zh-CN"/>
        </w:rPr>
        <w:t>4.4、</w:t>
      </w:r>
      <w:r>
        <w:rPr>
          <w:rFonts w:hint="eastAsia" w:ascii="仿宋_GB2312" w:hAnsi="仿宋_GB2312" w:eastAsia="仿宋_GB2312" w:cs="仿宋_GB2312"/>
          <w:b w:val="0"/>
          <w:i w:val="0"/>
          <w:iCs/>
          <w:caps w:val="0"/>
          <w:spacing w:val="0"/>
          <w:w w:val="100"/>
          <w:kern w:val="2"/>
          <w:sz w:val="24"/>
          <w:szCs w:val="24"/>
          <w:lang w:val="en-US" w:eastAsia="zh-CN" w:bidi="ar-SA"/>
        </w:rPr>
        <w:t>投标人所投产品如被列入财政部与国家主管部门颁发的节能产品目录《</w:t>
      </w:r>
      <w:r>
        <w:rPr>
          <w:rFonts w:hint="eastAsia" w:ascii="仿宋_GB2312" w:hAnsi="仿宋_GB2312" w:eastAsia="仿宋_GB2312" w:cs="仿宋_GB2312"/>
          <w:b w:val="0"/>
          <w:i w:val="0"/>
          <w:iCs/>
          <w:caps w:val="0"/>
          <w:spacing w:val="0"/>
          <w:w w:val="100"/>
          <w:kern w:val="2"/>
          <w:sz w:val="24"/>
          <w:szCs w:val="24"/>
          <w:lang w:val="en-US" w:eastAsia="zh-CN" w:bidi="ar-SA"/>
        </w:rPr>
        <w:fldChar w:fldCharType="begin"/>
      </w:r>
      <w:r>
        <w:rPr>
          <w:rFonts w:hint="eastAsia" w:ascii="仿宋_GB2312" w:hAnsi="仿宋_GB2312" w:eastAsia="仿宋_GB2312" w:cs="仿宋_GB2312"/>
          <w:b w:val="0"/>
          <w:i w:val="0"/>
          <w:iCs/>
          <w:caps w:val="0"/>
          <w:spacing w:val="0"/>
          <w:w w:val="100"/>
          <w:kern w:val="2"/>
          <w:sz w:val="24"/>
          <w:szCs w:val="24"/>
          <w:lang w:val="en-US" w:eastAsia="zh-CN" w:bidi="ar-SA"/>
        </w:rPr>
        <w:instrText xml:space="preserve"> HYPERLINK "http://www.ccgp.gov.cn/zcfg/mof/201904/t20190403_11849836.htm" \o "关于印发节能产品政府采购品目清单的通知（财库〔2019〕19号）" \t "http://www.ccgp.gov.cn/jnhb/jnhbqd/_blank" </w:instrText>
      </w:r>
      <w:r>
        <w:rPr>
          <w:rFonts w:hint="eastAsia" w:ascii="仿宋_GB2312" w:hAnsi="仿宋_GB2312" w:eastAsia="仿宋_GB2312" w:cs="仿宋_GB2312"/>
          <w:b w:val="0"/>
          <w:i w:val="0"/>
          <w:iCs/>
          <w:caps w:val="0"/>
          <w:spacing w:val="0"/>
          <w:w w:val="100"/>
          <w:kern w:val="2"/>
          <w:sz w:val="24"/>
          <w:szCs w:val="24"/>
          <w:lang w:val="en-US" w:eastAsia="zh-CN" w:bidi="ar-SA"/>
        </w:rPr>
        <w:fldChar w:fldCharType="separate"/>
      </w:r>
      <w:r>
        <w:rPr>
          <w:rFonts w:hint="eastAsia" w:ascii="仿宋_GB2312" w:hAnsi="仿宋_GB2312" w:eastAsia="仿宋_GB2312" w:cs="仿宋_GB2312"/>
          <w:b w:val="0"/>
          <w:i w:val="0"/>
          <w:iCs/>
          <w:caps w:val="0"/>
          <w:spacing w:val="0"/>
          <w:w w:val="100"/>
          <w:kern w:val="2"/>
          <w:sz w:val="24"/>
          <w:szCs w:val="24"/>
          <w:lang w:val="en-US" w:eastAsia="zh-CN" w:bidi="ar-SA"/>
        </w:rPr>
        <w:t>关于印发节能产品政府采购品目清单的通知</w:t>
      </w:r>
      <w:r>
        <w:rPr>
          <w:rFonts w:hint="eastAsia" w:ascii="仿宋_GB2312" w:hAnsi="仿宋_GB2312" w:eastAsia="仿宋_GB2312" w:cs="仿宋_GB2312"/>
          <w:b w:val="0"/>
          <w:i w:val="0"/>
          <w:iCs/>
          <w:caps w:val="0"/>
          <w:spacing w:val="0"/>
          <w:w w:val="100"/>
          <w:kern w:val="2"/>
          <w:sz w:val="24"/>
          <w:szCs w:val="24"/>
          <w:lang w:val="en-US" w:eastAsia="zh-CN" w:bidi="ar-SA"/>
        </w:rPr>
        <w:fldChar w:fldCharType="end"/>
      </w:r>
      <w:r>
        <w:rPr>
          <w:rFonts w:hint="eastAsia" w:ascii="仿宋_GB2312" w:hAnsi="仿宋_GB2312" w:eastAsia="仿宋_GB2312" w:cs="仿宋_GB2312"/>
          <w:b w:val="0"/>
          <w:i w:val="0"/>
          <w:iCs/>
          <w:caps w:val="0"/>
          <w:spacing w:val="0"/>
          <w:w w:val="100"/>
          <w:kern w:val="2"/>
          <w:sz w:val="24"/>
          <w:szCs w:val="24"/>
          <w:lang w:val="en-US" w:eastAsia="zh-CN" w:bidi="ar-SA"/>
        </w:rPr>
        <w:t>》（财库〔2019〕19号）、环境标志产品目录《</w:t>
      </w:r>
      <w:r>
        <w:rPr>
          <w:rFonts w:hint="eastAsia" w:ascii="仿宋_GB2312" w:hAnsi="仿宋_GB2312" w:eastAsia="仿宋_GB2312" w:cs="仿宋_GB2312"/>
          <w:b w:val="0"/>
          <w:i w:val="0"/>
          <w:iCs/>
          <w:caps w:val="0"/>
          <w:spacing w:val="0"/>
          <w:w w:val="100"/>
          <w:kern w:val="2"/>
          <w:sz w:val="24"/>
          <w:szCs w:val="24"/>
          <w:lang w:val="en-US" w:eastAsia="zh-CN" w:bidi="ar-SA"/>
        </w:rPr>
        <w:fldChar w:fldCharType="begin"/>
      </w:r>
      <w:r>
        <w:rPr>
          <w:rFonts w:hint="eastAsia" w:ascii="仿宋_GB2312" w:hAnsi="仿宋_GB2312" w:eastAsia="仿宋_GB2312" w:cs="仿宋_GB2312"/>
          <w:b w:val="0"/>
          <w:i w:val="0"/>
          <w:iCs/>
          <w:caps w:val="0"/>
          <w:spacing w:val="0"/>
          <w:w w:val="100"/>
          <w:kern w:val="2"/>
          <w:sz w:val="24"/>
          <w:szCs w:val="24"/>
          <w:lang w:val="en-US" w:eastAsia="zh-CN" w:bidi="ar-SA"/>
        </w:rPr>
        <w:instrText xml:space="preserve"> HYPERLINK "http://www.ccgp.gov.cn/zcfg/mof/201903/t20190330_11833800.htm" \o "关于印发环境标志产品政府采购品目清单的通知（财库〔2019〕18号）" \t "http://www.ccgp.gov.cn/jnhb/jnhbqd/_blank" </w:instrText>
      </w:r>
      <w:r>
        <w:rPr>
          <w:rFonts w:hint="eastAsia" w:ascii="仿宋_GB2312" w:hAnsi="仿宋_GB2312" w:eastAsia="仿宋_GB2312" w:cs="仿宋_GB2312"/>
          <w:b w:val="0"/>
          <w:i w:val="0"/>
          <w:iCs/>
          <w:caps w:val="0"/>
          <w:spacing w:val="0"/>
          <w:w w:val="100"/>
          <w:kern w:val="2"/>
          <w:sz w:val="24"/>
          <w:szCs w:val="24"/>
          <w:lang w:val="en-US" w:eastAsia="zh-CN" w:bidi="ar-SA"/>
        </w:rPr>
        <w:fldChar w:fldCharType="separate"/>
      </w:r>
      <w:r>
        <w:rPr>
          <w:rFonts w:hint="eastAsia" w:ascii="仿宋_GB2312" w:hAnsi="仿宋_GB2312" w:eastAsia="仿宋_GB2312" w:cs="仿宋_GB2312"/>
          <w:b w:val="0"/>
          <w:i w:val="0"/>
          <w:iCs/>
          <w:caps w:val="0"/>
          <w:spacing w:val="0"/>
          <w:w w:val="100"/>
          <w:kern w:val="2"/>
          <w:sz w:val="24"/>
          <w:szCs w:val="24"/>
          <w:lang w:val="en-US" w:eastAsia="zh-CN" w:bidi="ar-SA"/>
        </w:rPr>
        <w:t>关于印发环境标志产品政府采购品目清单的通知</w:t>
      </w:r>
      <w:r>
        <w:rPr>
          <w:rFonts w:hint="eastAsia" w:ascii="仿宋_GB2312" w:hAnsi="仿宋_GB2312" w:eastAsia="仿宋_GB2312" w:cs="仿宋_GB2312"/>
          <w:b w:val="0"/>
          <w:i w:val="0"/>
          <w:iCs/>
          <w:caps w:val="0"/>
          <w:spacing w:val="0"/>
          <w:w w:val="100"/>
          <w:kern w:val="2"/>
          <w:sz w:val="24"/>
          <w:szCs w:val="24"/>
          <w:lang w:val="en-US" w:eastAsia="zh-CN" w:bidi="ar-SA"/>
        </w:rPr>
        <w:fldChar w:fldCharType="end"/>
      </w:r>
      <w:r>
        <w:rPr>
          <w:rFonts w:hint="eastAsia" w:ascii="仿宋_GB2312" w:hAnsi="仿宋_GB2312" w:eastAsia="仿宋_GB2312" w:cs="仿宋_GB2312"/>
          <w:b w:val="0"/>
          <w:i w:val="0"/>
          <w:iCs/>
          <w:caps w:val="0"/>
          <w:spacing w:val="0"/>
          <w:w w:val="100"/>
          <w:kern w:val="2"/>
          <w:sz w:val="24"/>
          <w:szCs w:val="24"/>
          <w:lang w:val="en-US" w:eastAsia="zh-CN" w:bidi="ar-SA"/>
        </w:rPr>
        <w:t>》（财库〔2019〕18</w:t>
      </w:r>
      <w:r>
        <w:rPr>
          <w:rFonts w:hint="eastAsia" w:ascii="仿宋_GB2312" w:hAnsi="仿宋_GB2312" w:eastAsia="仿宋_GB2312" w:cs="仿宋_GB2312"/>
          <w:b w:val="0"/>
          <w:i w:val="0"/>
          <w:iCs/>
          <w:caps w:val="0"/>
          <w:color w:val="auto"/>
          <w:spacing w:val="0"/>
          <w:w w:val="100"/>
          <w:kern w:val="2"/>
          <w:sz w:val="24"/>
          <w:szCs w:val="24"/>
          <w:lang w:val="en-US" w:eastAsia="zh-CN" w:bidi="ar-SA"/>
        </w:rPr>
        <w:t>号）</w:t>
      </w:r>
      <w:r>
        <w:rPr>
          <w:rFonts w:hint="eastAsia" w:ascii="仿宋_GB2312" w:hAnsi="仿宋_GB2312" w:eastAsia="仿宋_GB2312" w:cs="仿宋_GB2312"/>
          <w:b w:val="0"/>
          <w:i w:val="0"/>
          <w:iCs/>
          <w:caps w:val="0"/>
          <w:spacing w:val="0"/>
          <w:w w:val="100"/>
          <w:kern w:val="2"/>
          <w:sz w:val="24"/>
          <w:szCs w:val="24"/>
          <w:lang w:val="en-US" w:eastAsia="zh-CN" w:bidi="ar-SA"/>
        </w:rPr>
        <w:t>（须提供节能、环保认证证书复印件加盖公章，未提供的不予以认可），无线局域网产品目录应提供相关证明，在评标时予以优先采购。</w:t>
      </w:r>
    </w:p>
    <w:p w14:paraId="6C150AD1">
      <w:pPr>
        <w:pStyle w:val="29"/>
        <w:keepNext w:val="0"/>
        <w:keepLines w:val="0"/>
        <w:pageBreakBefore w:val="0"/>
        <w:widowControl w:val="0"/>
        <w:kinsoku/>
        <w:wordWrap/>
        <w:overflowPunct/>
        <w:topLinePunct w:val="0"/>
        <w:autoSpaceDE w:val="0"/>
        <w:autoSpaceDN w:val="0"/>
        <w:bidi w:val="0"/>
        <w:adjustRightInd w:val="0"/>
        <w:snapToGrid/>
        <w:spacing w:line="460" w:lineRule="exact"/>
        <w:ind w:left="0" w:firstLineChars="200"/>
        <w:textAlignment w:val="auto"/>
        <w:rPr>
          <w:rFonts w:hint="eastAsia" w:ascii="仿宋_GB2312" w:hAnsi="仿宋_GB2312" w:eastAsia="仿宋_GB2312" w:cs="仿宋_GB2312"/>
          <w:iCs/>
          <w:kern w:val="2"/>
          <w:szCs w:val="24"/>
        </w:rPr>
      </w:pPr>
      <w:r>
        <w:rPr>
          <w:rFonts w:hint="eastAsia" w:ascii="仿宋_GB2312" w:hAnsi="仿宋_GB2312" w:eastAsia="仿宋_GB2312" w:cs="仿宋_GB2312"/>
          <w:b w:val="0"/>
          <w:i w:val="0"/>
          <w:iCs/>
          <w:caps w:val="0"/>
          <w:spacing w:val="0"/>
          <w:w w:val="100"/>
          <w:sz w:val="24"/>
          <w:lang w:val="en-US" w:eastAsia="zh-CN"/>
        </w:rPr>
        <w:t>4.5、</w:t>
      </w:r>
      <w:r>
        <w:rPr>
          <w:rFonts w:hint="eastAsia" w:ascii="仿宋_GB2312" w:hAnsi="仿宋_GB2312" w:eastAsia="仿宋_GB2312" w:cs="仿宋_GB2312"/>
          <w:b w:val="0"/>
          <w:i w:val="0"/>
          <w:iCs/>
          <w:caps w:val="0"/>
          <w:spacing w:val="0"/>
          <w:w w:val="100"/>
          <w:kern w:val="2"/>
          <w:sz w:val="24"/>
          <w:szCs w:val="24"/>
          <w:lang w:val="en-US" w:eastAsia="zh-CN" w:bidi="ar-SA"/>
        </w:rPr>
        <w:t>如采购人所采购产品为政府强制采购的节能产品，投标人所投产品的品牌及型号必须为清单中有效期内产品并提供证明文件，否则其投标将被认定为投标无效。</w:t>
      </w:r>
    </w:p>
    <w:p w14:paraId="5FC13D47">
      <w:pPr>
        <w:pStyle w:val="29"/>
        <w:keepNext w:val="0"/>
        <w:keepLines w:val="0"/>
        <w:pageBreakBefore w:val="0"/>
        <w:widowControl w:val="0"/>
        <w:kinsoku/>
        <w:wordWrap/>
        <w:overflowPunct/>
        <w:topLinePunct w:val="0"/>
        <w:autoSpaceDE w:val="0"/>
        <w:autoSpaceDN w:val="0"/>
        <w:bidi w:val="0"/>
        <w:adjustRightInd w:val="0"/>
        <w:snapToGrid/>
        <w:spacing w:line="460" w:lineRule="exact"/>
        <w:ind w:left="0" w:firstLineChars="200"/>
        <w:textAlignment w:val="auto"/>
        <w:rPr>
          <w:rFonts w:hint="eastAsia" w:ascii="仿宋_GB2312" w:hAnsi="仿宋_GB2312" w:eastAsia="仿宋_GB2312" w:cs="仿宋_GB2312"/>
          <w:iCs/>
          <w:kern w:val="2"/>
          <w:szCs w:val="24"/>
        </w:rPr>
      </w:pPr>
      <w:r>
        <w:rPr>
          <w:rFonts w:hint="eastAsia" w:ascii="仿宋_GB2312" w:hAnsi="仿宋_GB2312" w:eastAsia="仿宋_GB2312" w:cs="仿宋_GB2312"/>
          <w:iCs/>
          <w:kern w:val="2"/>
          <w:szCs w:val="24"/>
        </w:rPr>
        <w:t>5、 废 标</w:t>
      </w:r>
    </w:p>
    <w:p w14:paraId="24873633">
      <w:pPr>
        <w:pStyle w:val="29"/>
        <w:keepNext w:val="0"/>
        <w:keepLines w:val="0"/>
        <w:pageBreakBefore w:val="0"/>
        <w:widowControl w:val="0"/>
        <w:kinsoku/>
        <w:wordWrap/>
        <w:overflowPunct/>
        <w:topLinePunct w:val="0"/>
        <w:autoSpaceDE w:val="0"/>
        <w:autoSpaceDN w:val="0"/>
        <w:bidi w:val="0"/>
        <w:adjustRightInd w:val="0"/>
        <w:snapToGrid/>
        <w:spacing w:line="460" w:lineRule="exact"/>
        <w:ind w:left="0" w:firstLineChars="200"/>
        <w:textAlignment w:val="auto"/>
        <w:rPr>
          <w:rFonts w:hint="eastAsia" w:ascii="仿宋_GB2312" w:hAnsi="仿宋_GB2312" w:eastAsia="仿宋_GB2312" w:cs="仿宋_GB2312"/>
          <w:iCs/>
          <w:kern w:val="2"/>
          <w:szCs w:val="24"/>
        </w:rPr>
      </w:pPr>
      <w:r>
        <w:rPr>
          <w:rFonts w:hint="eastAsia" w:ascii="仿宋_GB2312" w:hAnsi="仿宋_GB2312" w:eastAsia="仿宋_GB2312" w:cs="仿宋_GB2312"/>
          <w:iCs/>
          <w:kern w:val="2"/>
          <w:szCs w:val="24"/>
        </w:rPr>
        <w:t>废标后，采购代理机构应在网上公告。投标人需要知晓导致废标情形的具体原因和理由的，可以通过书面形式询问招标采购单位。</w:t>
      </w:r>
    </w:p>
    <w:p w14:paraId="005E8413">
      <w:pPr>
        <w:pStyle w:val="29"/>
        <w:keepNext w:val="0"/>
        <w:keepLines w:val="0"/>
        <w:pageBreakBefore w:val="0"/>
        <w:widowControl w:val="0"/>
        <w:kinsoku/>
        <w:wordWrap/>
        <w:overflowPunct/>
        <w:topLinePunct w:val="0"/>
        <w:autoSpaceDE w:val="0"/>
        <w:autoSpaceDN w:val="0"/>
        <w:bidi w:val="0"/>
        <w:adjustRightInd w:val="0"/>
        <w:snapToGrid/>
        <w:spacing w:line="460" w:lineRule="exact"/>
        <w:ind w:left="0" w:firstLineChars="200"/>
        <w:textAlignment w:val="auto"/>
        <w:rPr>
          <w:rFonts w:hint="eastAsia" w:ascii="仿宋_GB2312" w:hAnsi="仿宋_GB2312" w:eastAsia="仿宋_GB2312" w:cs="仿宋_GB2312"/>
          <w:iCs/>
          <w:kern w:val="2"/>
          <w:szCs w:val="24"/>
        </w:rPr>
      </w:pPr>
      <w:r>
        <w:rPr>
          <w:rFonts w:hint="eastAsia" w:ascii="仿宋_GB2312" w:hAnsi="仿宋_GB2312" w:eastAsia="仿宋_GB2312" w:cs="仿宋_GB2312"/>
          <w:iCs/>
          <w:kern w:val="2"/>
          <w:szCs w:val="24"/>
        </w:rPr>
        <w:t>对于评标过程中废标的采购项目，评标委员会应当对招标文件是否存在倾向性和歧视性、是否存在不合理条款进行论证，并出具书面论证意见。</w:t>
      </w:r>
    </w:p>
    <w:p w14:paraId="336141AC">
      <w:pPr>
        <w:pStyle w:val="29"/>
        <w:keepNext w:val="0"/>
        <w:keepLines w:val="0"/>
        <w:pageBreakBefore w:val="0"/>
        <w:widowControl w:val="0"/>
        <w:kinsoku/>
        <w:wordWrap/>
        <w:overflowPunct/>
        <w:topLinePunct w:val="0"/>
        <w:autoSpaceDE w:val="0"/>
        <w:autoSpaceDN w:val="0"/>
        <w:bidi w:val="0"/>
        <w:adjustRightInd w:val="0"/>
        <w:snapToGrid/>
        <w:spacing w:line="460" w:lineRule="exact"/>
        <w:ind w:left="0" w:firstLineChars="200"/>
        <w:textAlignment w:val="auto"/>
        <w:rPr>
          <w:rFonts w:hint="eastAsia" w:ascii="仿宋_GB2312" w:hAnsi="仿宋_GB2312" w:eastAsia="仿宋_GB2312" w:cs="仿宋_GB2312"/>
          <w:iCs/>
          <w:kern w:val="2"/>
          <w:szCs w:val="24"/>
        </w:rPr>
      </w:pPr>
      <w:r>
        <w:rPr>
          <w:rFonts w:hint="eastAsia" w:ascii="仿宋_GB2312" w:hAnsi="仿宋_GB2312" w:eastAsia="仿宋_GB2312" w:cs="仿宋_GB2312"/>
          <w:iCs/>
          <w:kern w:val="2"/>
          <w:szCs w:val="24"/>
        </w:rPr>
        <w:t>6、定标</w:t>
      </w:r>
    </w:p>
    <w:p w14:paraId="2EDF3F03">
      <w:pPr>
        <w:pStyle w:val="29"/>
        <w:keepNext w:val="0"/>
        <w:keepLines w:val="0"/>
        <w:pageBreakBefore w:val="0"/>
        <w:widowControl w:val="0"/>
        <w:kinsoku/>
        <w:wordWrap/>
        <w:overflowPunct/>
        <w:topLinePunct w:val="0"/>
        <w:autoSpaceDE w:val="0"/>
        <w:autoSpaceDN w:val="0"/>
        <w:bidi w:val="0"/>
        <w:adjustRightInd w:val="0"/>
        <w:snapToGrid/>
        <w:spacing w:line="460" w:lineRule="exact"/>
        <w:ind w:left="0" w:firstLineChars="200"/>
        <w:textAlignment w:val="auto"/>
        <w:rPr>
          <w:rFonts w:hint="eastAsia" w:ascii="仿宋_GB2312" w:hAnsi="仿宋_GB2312" w:eastAsia="仿宋_GB2312" w:cs="仿宋_GB2312"/>
          <w:iCs/>
          <w:kern w:val="2"/>
          <w:szCs w:val="24"/>
        </w:rPr>
      </w:pPr>
      <w:r>
        <w:rPr>
          <w:rFonts w:hint="eastAsia" w:ascii="仿宋_GB2312" w:hAnsi="仿宋_GB2312" w:eastAsia="仿宋_GB2312" w:cs="仿宋_GB2312"/>
          <w:iCs/>
          <w:kern w:val="2"/>
          <w:szCs w:val="24"/>
        </w:rPr>
        <w:t>6.1. 定标原则：由采购人根据评标委员会的推荐意见确定中标供应商。</w:t>
      </w:r>
    </w:p>
    <w:p w14:paraId="6706ACC0">
      <w:pPr>
        <w:pStyle w:val="29"/>
        <w:keepNext w:val="0"/>
        <w:keepLines w:val="0"/>
        <w:pageBreakBefore w:val="0"/>
        <w:widowControl w:val="0"/>
        <w:kinsoku/>
        <w:wordWrap/>
        <w:overflowPunct/>
        <w:topLinePunct w:val="0"/>
        <w:autoSpaceDE w:val="0"/>
        <w:autoSpaceDN w:val="0"/>
        <w:bidi w:val="0"/>
        <w:adjustRightInd w:val="0"/>
        <w:snapToGrid/>
        <w:spacing w:line="460" w:lineRule="exact"/>
        <w:ind w:left="0" w:firstLineChars="200"/>
        <w:textAlignment w:val="auto"/>
        <w:rPr>
          <w:rFonts w:hint="eastAsia" w:ascii="仿宋_GB2312" w:hAnsi="仿宋_GB2312" w:eastAsia="仿宋_GB2312" w:cs="仿宋_GB2312"/>
          <w:iCs/>
          <w:kern w:val="2"/>
          <w:szCs w:val="24"/>
        </w:rPr>
      </w:pPr>
      <w:r>
        <w:rPr>
          <w:rFonts w:hint="eastAsia" w:ascii="仿宋_GB2312" w:hAnsi="仿宋_GB2312" w:eastAsia="仿宋_GB2312" w:cs="仿宋_GB2312"/>
          <w:iCs/>
          <w:kern w:val="2"/>
          <w:szCs w:val="24"/>
        </w:rPr>
        <w:t>6.2. 定标程序</w:t>
      </w:r>
    </w:p>
    <w:p w14:paraId="22292899">
      <w:pPr>
        <w:pStyle w:val="29"/>
        <w:keepNext w:val="0"/>
        <w:keepLines w:val="0"/>
        <w:pageBreakBefore w:val="0"/>
        <w:widowControl w:val="0"/>
        <w:kinsoku/>
        <w:wordWrap/>
        <w:overflowPunct/>
        <w:topLinePunct w:val="0"/>
        <w:autoSpaceDE w:val="0"/>
        <w:autoSpaceDN w:val="0"/>
        <w:bidi w:val="0"/>
        <w:adjustRightInd w:val="0"/>
        <w:snapToGrid/>
        <w:spacing w:line="460" w:lineRule="exact"/>
        <w:ind w:left="0" w:firstLineChars="200"/>
        <w:textAlignment w:val="auto"/>
        <w:rPr>
          <w:rFonts w:hint="eastAsia" w:ascii="仿宋_GB2312" w:hAnsi="仿宋_GB2312" w:eastAsia="仿宋_GB2312" w:cs="仿宋_GB2312"/>
          <w:iCs/>
          <w:kern w:val="2"/>
          <w:szCs w:val="24"/>
        </w:rPr>
      </w:pPr>
      <w:r>
        <w:rPr>
          <w:rFonts w:hint="eastAsia" w:ascii="仿宋_GB2312" w:hAnsi="仿宋_GB2312" w:eastAsia="仿宋_GB2312" w:cs="仿宋_GB2312"/>
          <w:iCs/>
          <w:kern w:val="2"/>
          <w:szCs w:val="24"/>
        </w:rPr>
        <w:t>6.2.1 评标委员会将评标情况写出书面报告，推荐中标候选供应商。</w:t>
      </w:r>
    </w:p>
    <w:p w14:paraId="3BDE02C4">
      <w:pPr>
        <w:pStyle w:val="29"/>
        <w:keepNext w:val="0"/>
        <w:keepLines w:val="0"/>
        <w:pageBreakBefore w:val="0"/>
        <w:widowControl w:val="0"/>
        <w:kinsoku/>
        <w:wordWrap/>
        <w:overflowPunct/>
        <w:topLinePunct w:val="0"/>
        <w:autoSpaceDE w:val="0"/>
        <w:autoSpaceDN w:val="0"/>
        <w:bidi w:val="0"/>
        <w:adjustRightInd w:val="0"/>
        <w:snapToGrid/>
        <w:spacing w:line="460" w:lineRule="exact"/>
        <w:ind w:left="0" w:firstLineChars="200"/>
        <w:textAlignment w:val="auto"/>
        <w:rPr>
          <w:rFonts w:hint="eastAsia" w:ascii="仿宋_GB2312" w:hAnsi="仿宋_GB2312" w:eastAsia="仿宋_GB2312" w:cs="仿宋_GB2312"/>
          <w:iCs/>
          <w:kern w:val="2"/>
          <w:szCs w:val="24"/>
        </w:rPr>
      </w:pPr>
      <w:r>
        <w:rPr>
          <w:rFonts w:hint="eastAsia" w:ascii="仿宋_GB2312" w:hAnsi="仿宋_GB2312" w:eastAsia="仿宋_GB2312" w:cs="仿宋_GB2312"/>
          <w:iCs/>
          <w:kern w:val="2"/>
          <w:szCs w:val="24"/>
        </w:rPr>
        <w:t>6.2.2 采购代理机构在评标结束后2个工作日内将评标报告送采购人。</w:t>
      </w:r>
    </w:p>
    <w:p w14:paraId="3C211B1F">
      <w:pPr>
        <w:pStyle w:val="29"/>
        <w:keepNext w:val="0"/>
        <w:keepLines w:val="0"/>
        <w:pageBreakBefore w:val="0"/>
        <w:widowControl w:val="0"/>
        <w:kinsoku/>
        <w:wordWrap/>
        <w:overflowPunct/>
        <w:topLinePunct w:val="0"/>
        <w:autoSpaceDE w:val="0"/>
        <w:autoSpaceDN w:val="0"/>
        <w:bidi w:val="0"/>
        <w:adjustRightInd w:val="0"/>
        <w:snapToGrid/>
        <w:spacing w:line="460" w:lineRule="exact"/>
        <w:ind w:left="0" w:firstLineChars="200"/>
        <w:textAlignment w:val="auto"/>
        <w:rPr>
          <w:rFonts w:hint="eastAsia" w:ascii="仿宋_GB2312" w:hAnsi="仿宋_GB2312" w:eastAsia="仿宋_GB2312" w:cs="仿宋_GB2312"/>
          <w:iCs/>
          <w:kern w:val="2"/>
          <w:szCs w:val="24"/>
        </w:rPr>
      </w:pPr>
      <w:r>
        <w:rPr>
          <w:rFonts w:hint="eastAsia" w:ascii="仿宋_GB2312" w:hAnsi="仿宋_GB2312" w:eastAsia="仿宋_GB2312" w:cs="仿宋_GB2312"/>
          <w:iCs/>
          <w:kern w:val="2"/>
          <w:szCs w:val="24"/>
        </w:rPr>
        <w:t>6.2.3 采购人在收到评标报告后5个工作日内，按照评标报告中推荐的中标候选供应商顺序确定中标供应商。采用综合评分法的，评标结果按投标报价由低到高顺序排列；投标报价相同的并列，投标文件满足招标文件全部实质性要求且投标报价最低的供应商为中标候选供应商；报价相同且满足招标文件全部实质性要求的并列，由采购人自主采取公平、择优的方式选择中标供应商。</w:t>
      </w:r>
    </w:p>
    <w:p w14:paraId="0C0B903E">
      <w:pPr>
        <w:pStyle w:val="29"/>
        <w:keepNext w:val="0"/>
        <w:keepLines w:val="0"/>
        <w:pageBreakBefore w:val="0"/>
        <w:widowControl w:val="0"/>
        <w:kinsoku/>
        <w:wordWrap/>
        <w:overflowPunct/>
        <w:topLinePunct w:val="0"/>
        <w:autoSpaceDE w:val="0"/>
        <w:autoSpaceDN w:val="0"/>
        <w:bidi w:val="0"/>
        <w:adjustRightInd w:val="0"/>
        <w:snapToGrid/>
        <w:spacing w:line="460" w:lineRule="exact"/>
        <w:ind w:left="0" w:firstLineChars="200"/>
        <w:textAlignment w:val="auto"/>
        <w:rPr>
          <w:rFonts w:hint="eastAsia" w:ascii="仿宋_GB2312" w:hAnsi="仿宋_GB2312" w:eastAsia="仿宋_GB2312" w:cs="仿宋_GB2312"/>
          <w:iCs/>
          <w:kern w:val="2"/>
          <w:szCs w:val="24"/>
        </w:rPr>
      </w:pPr>
      <w:r>
        <w:rPr>
          <w:rFonts w:hint="eastAsia" w:ascii="仿宋_GB2312" w:hAnsi="仿宋_GB2312" w:eastAsia="仿宋_GB2312" w:cs="仿宋_GB2312"/>
          <w:iCs/>
          <w:kern w:val="2"/>
          <w:szCs w:val="24"/>
        </w:rPr>
        <w:t>6.2.4 根据采购人确定的中标供应商，采购代理机构在新疆政府采购网上发布中标公告，并自采购人确定中标之日起3个工作日内向中标供应商发出中标通知书。</w:t>
      </w:r>
    </w:p>
    <w:p w14:paraId="116AEB38">
      <w:pPr>
        <w:pStyle w:val="29"/>
        <w:keepNext w:val="0"/>
        <w:keepLines w:val="0"/>
        <w:pageBreakBefore w:val="0"/>
        <w:widowControl w:val="0"/>
        <w:kinsoku/>
        <w:wordWrap/>
        <w:overflowPunct/>
        <w:topLinePunct w:val="0"/>
        <w:autoSpaceDE w:val="0"/>
        <w:autoSpaceDN w:val="0"/>
        <w:bidi w:val="0"/>
        <w:adjustRightInd w:val="0"/>
        <w:snapToGrid/>
        <w:spacing w:line="460" w:lineRule="exact"/>
        <w:ind w:left="0" w:firstLineChars="200"/>
        <w:textAlignment w:val="auto"/>
        <w:rPr>
          <w:rFonts w:hint="eastAsia" w:ascii="仿宋_GB2312" w:hAnsi="仿宋_GB2312" w:eastAsia="仿宋_GB2312" w:cs="仿宋_GB2312"/>
          <w:iCs/>
          <w:kern w:val="2"/>
          <w:szCs w:val="24"/>
        </w:rPr>
      </w:pPr>
      <w:r>
        <w:rPr>
          <w:rFonts w:hint="eastAsia" w:ascii="仿宋_GB2312" w:hAnsi="仿宋_GB2312" w:eastAsia="仿宋_GB2312" w:cs="仿宋_GB2312"/>
          <w:iCs/>
          <w:kern w:val="2"/>
          <w:szCs w:val="24"/>
        </w:rPr>
        <w:t>6.2.5 招标采购单位不退回投标人投标文件和其他投标资料。</w:t>
      </w:r>
      <w:bookmarkStart w:id="1588" w:name="_Toc507399904"/>
    </w:p>
    <w:p w14:paraId="6C002B12">
      <w:pPr>
        <w:pStyle w:val="9"/>
        <w:rPr>
          <w:rFonts w:hint="eastAsia" w:ascii="仿宋_GB2312" w:hAnsi="仿宋_GB2312" w:eastAsia="仿宋_GB2312" w:cs="仿宋_GB2312"/>
          <w:b/>
          <w:sz w:val="52"/>
          <w:szCs w:val="52"/>
        </w:rPr>
      </w:pPr>
    </w:p>
    <w:p w14:paraId="246AF5C4">
      <w:pPr>
        <w:pStyle w:val="10"/>
        <w:rPr>
          <w:rFonts w:hint="eastAsia" w:ascii="仿宋_GB2312" w:hAnsi="仿宋_GB2312" w:eastAsia="仿宋_GB2312" w:cs="仿宋_GB2312"/>
          <w:b/>
          <w:sz w:val="52"/>
          <w:szCs w:val="52"/>
        </w:rPr>
      </w:pPr>
    </w:p>
    <w:p w14:paraId="52757AED">
      <w:pPr>
        <w:rPr>
          <w:rFonts w:hint="eastAsia" w:ascii="仿宋_GB2312" w:hAnsi="仿宋_GB2312" w:eastAsia="仿宋_GB2312" w:cs="仿宋_GB2312"/>
          <w:b/>
          <w:sz w:val="52"/>
          <w:szCs w:val="52"/>
        </w:rPr>
      </w:pPr>
    </w:p>
    <w:p w14:paraId="4FE6A040">
      <w:pPr>
        <w:pStyle w:val="14"/>
        <w:rPr>
          <w:rFonts w:hint="eastAsia" w:ascii="仿宋_GB2312" w:hAnsi="仿宋_GB2312" w:eastAsia="仿宋_GB2312" w:cs="仿宋_GB2312"/>
          <w:b/>
          <w:sz w:val="52"/>
          <w:szCs w:val="52"/>
        </w:rPr>
      </w:pPr>
    </w:p>
    <w:p w14:paraId="101912D3">
      <w:pPr>
        <w:rPr>
          <w:rFonts w:hint="eastAsia" w:ascii="仿宋_GB2312" w:hAnsi="仿宋_GB2312" w:eastAsia="仿宋_GB2312" w:cs="仿宋_GB2312"/>
          <w:b/>
          <w:sz w:val="52"/>
          <w:szCs w:val="52"/>
        </w:rPr>
      </w:pPr>
    </w:p>
    <w:p w14:paraId="727B1E8D">
      <w:pPr>
        <w:pStyle w:val="14"/>
        <w:rPr>
          <w:rFonts w:hint="eastAsia" w:ascii="仿宋_GB2312" w:hAnsi="仿宋_GB2312" w:eastAsia="仿宋_GB2312" w:cs="仿宋_GB2312"/>
          <w:b/>
          <w:sz w:val="52"/>
          <w:szCs w:val="52"/>
        </w:rPr>
      </w:pPr>
    </w:p>
    <w:p w14:paraId="1AE4A842">
      <w:pPr>
        <w:rPr>
          <w:rFonts w:hint="eastAsia"/>
        </w:rPr>
      </w:pPr>
    </w:p>
    <w:p w14:paraId="6DBCE5C6">
      <w:pPr>
        <w:spacing w:line="240" w:lineRule="atLeast"/>
        <w:jc w:val="center"/>
        <w:rPr>
          <w:rFonts w:hint="eastAsia" w:ascii="仿宋_GB2312" w:hAnsi="仿宋_GB2312" w:eastAsia="仿宋_GB2312" w:cs="仿宋_GB2312"/>
          <w:b/>
          <w:sz w:val="52"/>
          <w:szCs w:val="52"/>
        </w:rPr>
      </w:pPr>
    </w:p>
    <w:p w14:paraId="27546134">
      <w:pPr>
        <w:pStyle w:val="14"/>
        <w:rPr>
          <w:rFonts w:hint="eastAsia"/>
        </w:rPr>
      </w:pPr>
    </w:p>
    <w:p w14:paraId="0912AB8B">
      <w:pPr>
        <w:spacing w:line="240" w:lineRule="atLeast"/>
        <w:jc w:val="center"/>
        <w:rPr>
          <w:rFonts w:hint="eastAsia" w:ascii="仿宋_GB2312" w:hAnsi="仿宋_GB2312" w:eastAsia="仿宋_GB2312" w:cs="仿宋_GB2312"/>
          <w:b/>
          <w:sz w:val="52"/>
          <w:szCs w:val="52"/>
        </w:rPr>
      </w:pPr>
      <w:r>
        <w:rPr>
          <w:rFonts w:hint="eastAsia" w:ascii="仿宋_GB2312" w:hAnsi="仿宋_GB2312" w:eastAsia="仿宋_GB2312" w:cs="仿宋_GB2312"/>
          <w:b/>
          <w:sz w:val="52"/>
          <w:szCs w:val="52"/>
        </w:rPr>
        <w:t>货物类</w:t>
      </w:r>
    </w:p>
    <w:p w14:paraId="67629718">
      <w:pPr>
        <w:pStyle w:val="29"/>
        <w:spacing w:line="500" w:lineRule="exact"/>
        <w:ind w:left="0" w:firstLineChars="200"/>
        <w:rPr>
          <w:rFonts w:hint="eastAsia" w:ascii="仿宋_GB2312" w:hAnsi="仿宋_GB2312" w:eastAsia="仿宋_GB2312" w:cs="仿宋_GB2312"/>
          <w:iCs/>
          <w:kern w:val="2"/>
          <w:szCs w:val="24"/>
        </w:rPr>
      </w:pPr>
    </w:p>
    <w:p w14:paraId="7A83BFE3">
      <w:pPr>
        <w:spacing w:line="240" w:lineRule="atLeast"/>
        <w:ind w:left="1080" w:leftChars="257" w:hanging="540"/>
        <w:jc w:val="center"/>
        <w:rPr>
          <w:rFonts w:hint="eastAsia" w:ascii="仿宋_GB2312" w:hAnsi="仿宋_GB2312" w:eastAsia="仿宋_GB2312" w:cs="仿宋_GB2312"/>
          <w:b/>
          <w:sz w:val="52"/>
          <w:szCs w:val="52"/>
        </w:rPr>
      </w:pPr>
    </w:p>
    <w:p w14:paraId="679E489A">
      <w:pPr>
        <w:spacing w:line="240" w:lineRule="atLeast"/>
        <w:ind w:left="1080" w:leftChars="257" w:hanging="540"/>
        <w:jc w:val="center"/>
        <w:rPr>
          <w:rFonts w:hint="eastAsia" w:ascii="仿宋_GB2312" w:hAnsi="仿宋_GB2312" w:eastAsia="仿宋_GB2312" w:cs="仿宋_GB2312"/>
          <w:b/>
          <w:sz w:val="52"/>
          <w:szCs w:val="52"/>
        </w:rPr>
      </w:pPr>
      <w:r>
        <w:rPr>
          <w:rFonts w:hint="eastAsia" w:ascii="仿宋_GB2312" w:hAnsi="仿宋_GB2312" w:eastAsia="仿宋_GB2312" w:cs="仿宋_GB2312"/>
          <w:b/>
          <w:sz w:val="52"/>
          <w:szCs w:val="52"/>
        </w:rPr>
        <w:t>政府采购公开招标文件</w:t>
      </w:r>
    </w:p>
    <w:p w14:paraId="66D65450">
      <w:pPr>
        <w:spacing w:line="240" w:lineRule="atLeast"/>
        <w:ind w:left="1080" w:leftChars="257" w:hanging="540"/>
        <w:jc w:val="center"/>
        <w:rPr>
          <w:rFonts w:hint="eastAsia" w:ascii="仿宋_GB2312" w:hAnsi="仿宋_GB2312" w:eastAsia="仿宋_GB2312" w:cs="仿宋_GB2312"/>
          <w:b/>
          <w:sz w:val="32"/>
          <w:szCs w:val="32"/>
        </w:rPr>
      </w:pPr>
    </w:p>
    <w:p w14:paraId="61D4DAF8">
      <w:pPr>
        <w:spacing w:line="240" w:lineRule="atLeast"/>
        <w:ind w:left="1080" w:leftChars="257" w:hanging="540"/>
        <w:jc w:val="center"/>
        <w:rPr>
          <w:rFonts w:hint="eastAsia" w:ascii="仿宋_GB2312" w:hAnsi="仿宋_GB2312" w:eastAsia="仿宋_GB2312" w:cs="仿宋_GB2312"/>
          <w:b/>
          <w:sz w:val="32"/>
          <w:szCs w:val="32"/>
        </w:rPr>
      </w:pPr>
    </w:p>
    <w:p w14:paraId="3619B67E">
      <w:pPr>
        <w:spacing w:line="240" w:lineRule="atLeast"/>
        <w:jc w:val="both"/>
        <w:rPr>
          <w:rFonts w:hint="eastAsia" w:ascii="仿宋_GB2312" w:hAnsi="仿宋_GB2312" w:eastAsia="仿宋_GB2312" w:cs="仿宋_GB2312"/>
          <w:b/>
          <w:sz w:val="32"/>
          <w:szCs w:val="32"/>
        </w:rPr>
      </w:pPr>
    </w:p>
    <w:p w14:paraId="6E540F37">
      <w:pPr>
        <w:spacing w:line="240" w:lineRule="atLeast"/>
        <w:ind w:left="1080" w:leftChars="257" w:hanging="540"/>
        <w:rPr>
          <w:rFonts w:hint="eastAsia" w:ascii="仿宋_GB2312" w:hAnsi="仿宋_GB2312" w:eastAsia="仿宋_GB2312" w:cs="仿宋_GB2312"/>
          <w:b/>
          <w:sz w:val="28"/>
        </w:rPr>
      </w:pPr>
    </w:p>
    <w:p w14:paraId="5E0146E7">
      <w:pPr>
        <w:spacing w:line="240" w:lineRule="atLeast"/>
        <w:ind w:left="1080" w:leftChars="257" w:hanging="540"/>
        <w:jc w:val="center"/>
        <w:rPr>
          <w:rFonts w:hint="eastAsia" w:ascii="仿宋_GB2312" w:hAnsi="仿宋_GB2312" w:eastAsia="仿宋_GB2312" w:cs="仿宋_GB2312"/>
          <w:b/>
          <w:sz w:val="48"/>
          <w:szCs w:val="48"/>
        </w:rPr>
      </w:pPr>
      <w:r>
        <w:rPr>
          <w:rFonts w:hint="eastAsia" w:ascii="仿宋_GB2312" w:hAnsi="仿宋_GB2312" w:eastAsia="仿宋_GB2312" w:cs="仿宋_GB2312"/>
          <w:b/>
          <w:sz w:val="48"/>
          <w:szCs w:val="48"/>
        </w:rPr>
        <w:t>第三册</w:t>
      </w:r>
    </w:p>
    <w:p w14:paraId="0A526CC0">
      <w:pPr>
        <w:spacing w:line="240" w:lineRule="atLeast"/>
        <w:ind w:left="1080" w:leftChars="257" w:hanging="540"/>
        <w:jc w:val="center"/>
        <w:rPr>
          <w:rFonts w:hint="eastAsia" w:ascii="仿宋_GB2312" w:hAnsi="仿宋_GB2312" w:eastAsia="仿宋_GB2312" w:cs="仿宋_GB2312"/>
          <w:b/>
          <w:sz w:val="52"/>
        </w:rPr>
      </w:pPr>
    </w:p>
    <w:p w14:paraId="62B020CB">
      <w:pPr>
        <w:pStyle w:val="27"/>
        <w:rPr>
          <w:rFonts w:hint="eastAsia" w:ascii="仿宋_GB2312" w:hAnsi="仿宋_GB2312" w:eastAsia="仿宋_GB2312" w:cs="仿宋_GB2312"/>
          <w:b/>
          <w:sz w:val="52"/>
        </w:rPr>
      </w:pPr>
    </w:p>
    <w:p w14:paraId="34AC6493">
      <w:pPr>
        <w:pStyle w:val="27"/>
        <w:rPr>
          <w:rFonts w:hint="eastAsia" w:ascii="仿宋_GB2312" w:hAnsi="仿宋_GB2312" w:eastAsia="仿宋_GB2312" w:cs="仿宋_GB2312"/>
          <w:b/>
          <w:sz w:val="52"/>
        </w:rPr>
      </w:pPr>
    </w:p>
    <w:p w14:paraId="52291860">
      <w:pPr>
        <w:pStyle w:val="57"/>
        <w:rPr>
          <w:rFonts w:hint="eastAsia" w:ascii="仿宋_GB2312" w:hAnsi="仿宋_GB2312" w:eastAsia="仿宋_GB2312" w:cs="仿宋_GB2312"/>
          <w:sz w:val="44"/>
          <w:szCs w:val="44"/>
        </w:rPr>
      </w:pPr>
      <w:bookmarkStart w:id="1589" w:name="_Toc6865"/>
      <w:bookmarkStart w:id="1590" w:name="_Toc515647833"/>
      <w:bookmarkStart w:id="1591" w:name="_Toc4337"/>
      <w:bookmarkStart w:id="1592" w:name="_Toc1691"/>
      <w:bookmarkStart w:id="1593" w:name="_Toc4796"/>
      <w:bookmarkStart w:id="1594" w:name="_Toc31150"/>
      <w:bookmarkStart w:id="1595" w:name="_Toc29759"/>
    </w:p>
    <w:p w14:paraId="7271C263">
      <w:pPr>
        <w:pStyle w:val="3"/>
        <w:tabs>
          <w:tab w:val="left" w:pos="0"/>
        </w:tabs>
        <w:spacing w:before="0" w:after="0" w:line="240" w:lineRule="atLeast"/>
        <w:rPr>
          <w:rFonts w:hint="eastAsia" w:ascii="仿宋_GB2312" w:hAnsi="仿宋_GB2312" w:eastAsia="仿宋_GB2312" w:cs="仿宋_GB2312"/>
          <w:sz w:val="44"/>
          <w:szCs w:val="44"/>
        </w:rPr>
      </w:pPr>
      <w:bookmarkStart w:id="1596" w:name="_Toc19057"/>
    </w:p>
    <w:p w14:paraId="24C3EEF8">
      <w:pPr>
        <w:pStyle w:val="3"/>
        <w:tabs>
          <w:tab w:val="left" w:pos="0"/>
        </w:tabs>
        <w:spacing w:before="0" w:after="0" w:line="240" w:lineRule="atLeast"/>
        <w:rPr>
          <w:rFonts w:hint="eastAsia" w:ascii="仿宋_GB2312" w:hAnsi="仿宋_GB2312" w:eastAsia="仿宋_GB2312" w:cs="仿宋_GB2312"/>
          <w:sz w:val="44"/>
          <w:szCs w:val="44"/>
        </w:rPr>
      </w:pPr>
      <w:bookmarkStart w:id="1597" w:name="_Toc7219"/>
      <w:bookmarkStart w:id="1598" w:name="_Toc15328"/>
      <w:bookmarkStart w:id="1599" w:name="_Toc24870"/>
      <w:bookmarkStart w:id="1600" w:name="_Toc20664"/>
      <w:bookmarkStart w:id="1601" w:name="_Toc420"/>
      <w:r>
        <w:rPr>
          <w:rFonts w:hint="eastAsia" w:ascii="仿宋_GB2312" w:hAnsi="仿宋_GB2312" w:eastAsia="仿宋_GB2312" w:cs="仿宋_GB2312"/>
          <w:sz w:val="44"/>
          <w:szCs w:val="44"/>
        </w:rPr>
        <w:t>第七章  政府采购合同</w:t>
      </w:r>
      <w:bookmarkEnd w:id="1588"/>
      <w:bookmarkEnd w:id="1589"/>
      <w:bookmarkEnd w:id="1590"/>
      <w:bookmarkEnd w:id="1591"/>
      <w:bookmarkEnd w:id="1592"/>
      <w:bookmarkEnd w:id="1593"/>
      <w:bookmarkEnd w:id="1594"/>
      <w:bookmarkEnd w:id="1595"/>
      <w:bookmarkEnd w:id="1596"/>
      <w:bookmarkEnd w:id="1597"/>
      <w:bookmarkEnd w:id="1598"/>
      <w:bookmarkEnd w:id="1599"/>
      <w:bookmarkEnd w:id="1600"/>
      <w:bookmarkEnd w:id="1601"/>
      <w:bookmarkStart w:id="1602" w:name="_Hlt487972895"/>
      <w:bookmarkEnd w:id="1602"/>
      <w:bookmarkStart w:id="1603" w:name="_Toc487900382"/>
      <w:bookmarkStart w:id="1604" w:name="_Toc216513788"/>
    </w:p>
    <w:bookmarkEnd w:id="1603"/>
    <w:bookmarkEnd w:id="1604"/>
    <w:p w14:paraId="3C9820A4">
      <w:pPr>
        <w:pageBreakBefore w:val="0"/>
        <w:kinsoku/>
        <w:wordWrap/>
        <w:overflowPunct/>
        <w:topLinePunct w:val="0"/>
        <w:bidi w:val="0"/>
        <w:snapToGrid/>
        <w:spacing w:line="480" w:lineRule="auto"/>
        <w:jc w:val="both"/>
        <w:textAlignment w:val="auto"/>
        <w:outlineLvl w:val="9"/>
        <w:rPr>
          <w:rFonts w:hint="eastAsia" w:ascii="仿宋_GB2312" w:hAnsi="仿宋_GB2312" w:eastAsia="仿宋_GB2312" w:cs="仿宋_GB2312"/>
          <w:b/>
          <w:sz w:val="28"/>
          <w:szCs w:val="28"/>
        </w:rPr>
      </w:pPr>
    </w:p>
    <w:p w14:paraId="6430A7C5">
      <w:pPr>
        <w:pageBreakBefore w:val="0"/>
        <w:kinsoku/>
        <w:wordWrap/>
        <w:overflowPunct/>
        <w:topLinePunct w:val="0"/>
        <w:bidi w:val="0"/>
        <w:snapToGrid/>
        <w:spacing w:line="480" w:lineRule="auto"/>
        <w:jc w:val="center"/>
        <w:textAlignment w:val="auto"/>
        <w:outlineLvl w:val="9"/>
        <w:rPr>
          <w:rFonts w:hint="eastAsia" w:ascii="仿宋_GB2312" w:hAnsi="仿宋_GB2312" w:eastAsia="仿宋_GB2312" w:cs="仿宋_GB2312"/>
          <w:b/>
          <w:sz w:val="28"/>
          <w:szCs w:val="28"/>
        </w:rPr>
      </w:pPr>
    </w:p>
    <w:p w14:paraId="2ECD9F0D">
      <w:pPr>
        <w:pStyle w:val="14"/>
        <w:numPr>
          <w:ilvl w:val="0"/>
          <w:numId w:val="0"/>
        </w:numPr>
        <w:spacing w:after="0"/>
        <w:ind w:leftChars="0"/>
        <w:jc w:val="center"/>
        <w:rPr>
          <w:rFonts w:hint="default" w:ascii="仿宋_GB2312" w:hAnsi="仿宋_GB2312" w:eastAsia="仿宋_GB2312" w:cs="仿宋_GB2312"/>
          <w:b/>
          <w:kern w:val="44"/>
          <w:sz w:val="44"/>
          <w:szCs w:val="44"/>
          <w:lang w:val="en-US" w:eastAsia="zh-CN" w:bidi="ar-SA"/>
        </w:rPr>
      </w:pPr>
      <w:r>
        <w:rPr>
          <w:rFonts w:hint="default" w:ascii="仿宋_GB2312" w:hAnsi="仿宋_GB2312" w:eastAsia="仿宋_GB2312" w:cs="仿宋_GB2312"/>
          <w:b/>
          <w:kern w:val="44"/>
          <w:sz w:val="44"/>
          <w:szCs w:val="44"/>
          <w:lang w:val="en-US" w:eastAsia="zh-CN" w:bidi="ar-SA"/>
        </w:rPr>
        <w:t>政府采购货物买卖合同</w:t>
      </w:r>
    </w:p>
    <w:p w14:paraId="48D8C584">
      <w:pPr>
        <w:pStyle w:val="14"/>
        <w:numPr>
          <w:ilvl w:val="0"/>
          <w:numId w:val="0"/>
        </w:numPr>
        <w:spacing w:after="0"/>
        <w:ind w:leftChars="0"/>
        <w:jc w:val="center"/>
        <w:rPr>
          <w:rFonts w:hint="default" w:ascii="Times New Roman" w:hAnsi="Times New Roman" w:eastAsia="方正小标宋简体" w:cs="Times New Roman"/>
          <w:b/>
          <w:bCs/>
          <w:color w:val="auto"/>
          <w:spacing w:val="-20"/>
          <w:kern w:val="44"/>
          <w:sz w:val="40"/>
          <w:szCs w:val="40"/>
          <w:highlight w:val="none"/>
          <w:lang w:eastAsia="zh-CN"/>
        </w:rPr>
      </w:pPr>
      <w:r>
        <w:rPr>
          <w:rFonts w:hint="default" w:ascii="仿宋_GB2312" w:hAnsi="仿宋_GB2312" w:eastAsia="仿宋_GB2312" w:cs="仿宋_GB2312"/>
          <w:b/>
          <w:kern w:val="44"/>
          <w:sz w:val="44"/>
          <w:szCs w:val="44"/>
          <w:lang w:val="en-US" w:eastAsia="zh-CN" w:bidi="ar-SA"/>
        </w:rPr>
        <w:t>（试行、供参考）</w:t>
      </w:r>
    </w:p>
    <w:p w14:paraId="5D63F9EA">
      <w:pPr>
        <w:rPr>
          <w:rFonts w:hint="default" w:ascii="Times New Roman" w:hAnsi="Times New Roman" w:cs="Times New Roman"/>
          <w:b/>
          <w:bCs/>
          <w:color w:val="auto"/>
          <w:spacing w:val="-20"/>
          <w:kern w:val="44"/>
          <w:sz w:val="40"/>
          <w:szCs w:val="40"/>
          <w:highlight w:val="none"/>
        </w:rPr>
      </w:pPr>
    </w:p>
    <w:p w14:paraId="11460C84">
      <w:pPr>
        <w:rPr>
          <w:rFonts w:hint="default" w:ascii="Times New Roman" w:hAnsi="Times New Roman" w:cs="Times New Roman"/>
          <w:b/>
          <w:bCs/>
          <w:color w:val="auto"/>
          <w:spacing w:val="-20"/>
          <w:kern w:val="44"/>
          <w:sz w:val="40"/>
          <w:szCs w:val="40"/>
          <w:highlight w:val="none"/>
        </w:rPr>
      </w:pPr>
    </w:p>
    <w:p w14:paraId="47E60B51">
      <w:pPr>
        <w:rPr>
          <w:rFonts w:hint="default" w:ascii="Times New Roman" w:hAnsi="Times New Roman" w:eastAsia="仿宋_GB2312" w:cs="Times New Roman"/>
          <w:b/>
          <w:bCs/>
          <w:color w:val="auto"/>
          <w:spacing w:val="-20"/>
          <w:kern w:val="44"/>
          <w:sz w:val="28"/>
          <w:szCs w:val="28"/>
          <w:highlight w:val="none"/>
        </w:rPr>
      </w:pPr>
    </w:p>
    <w:p w14:paraId="266EB98E">
      <w:pPr>
        <w:spacing w:line="360" w:lineRule="auto"/>
        <w:ind w:left="420" w:leftChars="200"/>
        <w:rPr>
          <w:rFonts w:hint="default" w:ascii="Times New Roman" w:hAnsi="Times New Roman" w:eastAsia="仿宋_GB2312" w:cs="Times New Roman"/>
          <w:color w:val="auto"/>
          <w:sz w:val="28"/>
          <w:szCs w:val="28"/>
          <w:highlight w:val="none"/>
        </w:rPr>
      </w:pPr>
      <w:r>
        <w:rPr>
          <w:rFonts w:hint="default" w:ascii="Times New Roman" w:hAnsi="Times New Roman" w:eastAsia="仿宋_GB2312" w:cs="Times New Roman"/>
          <w:color w:val="auto"/>
          <w:kern w:val="0"/>
          <w:sz w:val="28"/>
          <w:szCs w:val="28"/>
          <w:highlight w:val="none"/>
        </w:rPr>
        <w:t>项目名称：</w:t>
      </w:r>
      <w:r>
        <w:rPr>
          <w:rFonts w:hint="default" w:ascii="Times New Roman" w:hAnsi="Times New Roman" w:eastAsia="仿宋_GB2312" w:cs="Times New Roman"/>
          <w:color w:val="auto"/>
          <w:sz w:val="28"/>
          <w:szCs w:val="28"/>
          <w:highlight w:val="none"/>
          <w:u w:val="single"/>
        </w:rPr>
        <w:t xml:space="preserve">                             </w:t>
      </w:r>
    </w:p>
    <w:p w14:paraId="33D81D98">
      <w:pPr>
        <w:spacing w:line="360" w:lineRule="auto"/>
        <w:ind w:left="420" w:leftChars="200"/>
        <w:rPr>
          <w:rFonts w:hint="default" w:ascii="Times New Roman" w:hAnsi="Times New Roman" w:eastAsia="仿宋_GB2312" w:cs="Times New Roman"/>
          <w:color w:val="auto"/>
          <w:sz w:val="28"/>
          <w:szCs w:val="28"/>
          <w:highlight w:val="none"/>
          <w:u w:val="single"/>
        </w:rPr>
      </w:pPr>
      <w:r>
        <w:rPr>
          <w:rFonts w:hint="default" w:ascii="Times New Roman" w:hAnsi="Times New Roman" w:eastAsia="仿宋_GB2312" w:cs="Times New Roman"/>
          <w:color w:val="auto"/>
          <w:sz w:val="28"/>
          <w:szCs w:val="28"/>
          <w:highlight w:val="none"/>
        </w:rPr>
        <w:t>合同编号：</w:t>
      </w:r>
      <w:r>
        <w:rPr>
          <w:rFonts w:hint="default" w:ascii="Times New Roman" w:hAnsi="Times New Roman" w:eastAsia="仿宋_GB2312" w:cs="Times New Roman"/>
          <w:color w:val="auto"/>
          <w:sz w:val="28"/>
          <w:szCs w:val="28"/>
          <w:highlight w:val="none"/>
          <w:u w:val="single"/>
        </w:rPr>
        <w:t xml:space="preserve">                             </w:t>
      </w:r>
    </w:p>
    <w:p w14:paraId="6EA19CF7">
      <w:pPr>
        <w:spacing w:line="360" w:lineRule="auto"/>
        <w:ind w:left="420" w:leftChars="200"/>
        <w:rPr>
          <w:rFonts w:hint="default" w:ascii="Times New Roman" w:hAnsi="Times New Roman" w:eastAsia="仿宋_GB2312" w:cs="Times New Roman"/>
          <w:color w:val="auto"/>
          <w:sz w:val="28"/>
          <w:szCs w:val="28"/>
          <w:highlight w:val="none"/>
        </w:rPr>
      </w:pPr>
      <w:r>
        <w:rPr>
          <w:rFonts w:hint="default" w:ascii="Times New Roman" w:hAnsi="Times New Roman" w:eastAsia="仿宋_GB2312" w:cs="Times New Roman"/>
          <w:color w:val="auto"/>
          <w:sz w:val="28"/>
          <w:szCs w:val="28"/>
          <w:highlight w:val="none"/>
        </w:rPr>
        <w:t>甲    方：</w:t>
      </w:r>
      <w:r>
        <w:rPr>
          <w:rFonts w:hint="default" w:ascii="Times New Roman" w:hAnsi="Times New Roman" w:eastAsia="仿宋_GB2312" w:cs="Times New Roman"/>
          <w:color w:val="auto"/>
          <w:sz w:val="28"/>
          <w:szCs w:val="28"/>
          <w:highlight w:val="none"/>
          <w:u w:val="single"/>
        </w:rPr>
        <w:t xml:space="preserve">                             </w:t>
      </w:r>
    </w:p>
    <w:p w14:paraId="7D64283F">
      <w:pPr>
        <w:spacing w:line="360" w:lineRule="auto"/>
        <w:ind w:left="420" w:leftChars="200"/>
        <w:rPr>
          <w:rFonts w:hint="default" w:ascii="Times New Roman" w:hAnsi="Times New Roman" w:eastAsia="仿宋_GB2312" w:cs="Times New Roman"/>
          <w:color w:val="auto"/>
          <w:sz w:val="28"/>
          <w:szCs w:val="28"/>
          <w:highlight w:val="none"/>
          <w:u w:val="single"/>
        </w:rPr>
      </w:pPr>
      <w:r>
        <w:rPr>
          <w:rFonts w:hint="default" w:ascii="Times New Roman" w:hAnsi="Times New Roman" w:eastAsia="仿宋_GB2312" w:cs="Times New Roman"/>
          <w:color w:val="auto"/>
          <w:sz w:val="28"/>
          <w:szCs w:val="28"/>
          <w:highlight w:val="none"/>
        </w:rPr>
        <w:t>乙    方：</w:t>
      </w:r>
      <w:r>
        <w:rPr>
          <w:rFonts w:hint="default" w:ascii="Times New Roman" w:hAnsi="Times New Roman" w:eastAsia="仿宋_GB2312" w:cs="Times New Roman"/>
          <w:color w:val="auto"/>
          <w:sz w:val="28"/>
          <w:szCs w:val="28"/>
          <w:highlight w:val="none"/>
          <w:u w:val="single"/>
        </w:rPr>
        <w:t xml:space="preserve">                             </w:t>
      </w:r>
    </w:p>
    <w:p w14:paraId="2E1AB721">
      <w:pPr>
        <w:spacing w:line="360" w:lineRule="auto"/>
        <w:ind w:left="420" w:leftChars="200"/>
        <w:rPr>
          <w:rFonts w:hint="default" w:ascii="Times New Roman" w:hAnsi="Times New Roman" w:eastAsia="仿宋_GB2312" w:cs="Times New Roman"/>
          <w:color w:val="auto"/>
          <w:sz w:val="28"/>
          <w:szCs w:val="28"/>
          <w:highlight w:val="none"/>
        </w:rPr>
      </w:pPr>
      <w:r>
        <w:rPr>
          <w:rFonts w:hint="default" w:ascii="Times New Roman" w:hAnsi="Times New Roman" w:eastAsia="仿宋_GB2312" w:cs="Times New Roman"/>
          <w:color w:val="auto"/>
          <w:sz w:val="28"/>
          <w:szCs w:val="28"/>
          <w:highlight w:val="none"/>
        </w:rPr>
        <w:t>签订时间：</w:t>
      </w:r>
      <w:r>
        <w:rPr>
          <w:rFonts w:hint="default" w:ascii="Times New Roman" w:hAnsi="Times New Roman" w:eastAsia="仿宋_GB2312" w:cs="Times New Roman"/>
          <w:color w:val="auto"/>
          <w:sz w:val="28"/>
          <w:szCs w:val="28"/>
          <w:highlight w:val="none"/>
          <w:u w:val="single"/>
        </w:rPr>
        <w:t xml:space="preserve">                             </w:t>
      </w:r>
    </w:p>
    <w:p w14:paraId="2F12DEAA">
      <w:pPr>
        <w:rPr>
          <w:rFonts w:hint="default" w:ascii="Times New Roman" w:hAnsi="Times New Roman" w:eastAsia="仿宋_GB2312" w:cs="Times New Roman"/>
          <w:color w:val="auto"/>
          <w:sz w:val="28"/>
          <w:szCs w:val="28"/>
          <w:highlight w:val="none"/>
        </w:rPr>
      </w:pPr>
    </w:p>
    <w:p w14:paraId="75C2E284">
      <w:pPr>
        <w:rPr>
          <w:rFonts w:hint="default" w:ascii="Times New Roman" w:hAnsi="Times New Roman" w:eastAsia="仿宋_GB2312" w:cs="Times New Roman"/>
          <w:color w:val="auto"/>
          <w:sz w:val="28"/>
          <w:szCs w:val="28"/>
          <w:highlight w:val="none"/>
        </w:rPr>
      </w:pPr>
    </w:p>
    <w:p w14:paraId="05AA6701">
      <w:pPr>
        <w:rPr>
          <w:rFonts w:hint="default" w:ascii="Times New Roman" w:hAnsi="Times New Roman" w:eastAsia="仿宋_GB2312" w:cs="Times New Roman"/>
          <w:color w:val="auto"/>
          <w:sz w:val="28"/>
          <w:szCs w:val="28"/>
          <w:highlight w:val="none"/>
        </w:rPr>
      </w:pPr>
    </w:p>
    <w:p w14:paraId="04963D63">
      <w:pPr>
        <w:jc w:val="center"/>
        <w:rPr>
          <w:rFonts w:hint="default" w:ascii="Times New Roman" w:hAnsi="Times New Roman" w:eastAsia="仿宋_GB2312" w:cs="Times New Roman"/>
          <w:color w:val="auto"/>
          <w:sz w:val="28"/>
          <w:szCs w:val="28"/>
          <w:highlight w:val="none"/>
          <w:lang w:eastAsia="zh-CN"/>
        </w:rPr>
      </w:pPr>
    </w:p>
    <w:p w14:paraId="33A521B7">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b/>
          <w:color w:val="auto"/>
          <w:sz w:val="32"/>
          <w:szCs w:val="32"/>
          <w:highlight w:val="none"/>
          <w:lang w:eastAsia="zh-CN"/>
        </w:rPr>
      </w:pPr>
    </w:p>
    <w:p w14:paraId="242F2E35">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b/>
          <w:color w:val="auto"/>
          <w:sz w:val="32"/>
          <w:szCs w:val="32"/>
          <w:highlight w:val="none"/>
          <w:lang w:eastAsia="zh-CN"/>
        </w:rPr>
      </w:pPr>
    </w:p>
    <w:p w14:paraId="349D3114">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b/>
          <w:color w:val="auto"/>
          <w:sz w:val="32"/>
          <w:szCs w:val="32"/>
          <w:highlight w:val="none"/>
          <w:lang w:eastAsia="zh-CN"/>
        </w:rPr>
      </w:pPr>
    </w:p>
    <w:p w14:paraId="52822446">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b/>
          <w:color w:val="auto"/>
          <w:sz w:val="32"/>
          <w:szCs w:val="32"/>
          <w:highlight w:val="none"/>
          <w:lang w:eastAsia="zh-CN"/>
        </w:rPr>
      </w:pPr>
      <w:r>
        <w:rPr>
          <w:rFonts w:hint="default" w:ascii="Times New Roman" w:hAnsi="Times New Roman" w:eastAsia="仿宋_GB2312" w:cs="Times New Roman"/>
          <w:b/>
          <w:color w:val="auto"/>
          <w:sz w:val="32"/>
          <w:szCs w:val="32"/>
          <w:highlight w:val="none"/>
          <w:lang w:eastAsia="zh-CN"/>
        </w:rPr>
        <w:t>使</w:t>
      </w:r>
      <w:r>
        <w:rPr>
          <w:rFonts w:hint="default" w:ascii="Times New Roman" w:hAnsi="Times New Roman" w:eastAsia="仿宋_GB2312" w:cs="Times New Roman"/>
          <w:b/>
          <w:color w:val="auto"/>
          <w:sz w:val="32"/>
          <w:szCs w:val="32"/>
          <w:highlight w:val="none"/>
          <w:lang w:val="en-US" w:eastAsia="zh-CN"/>
        </w:rPr>
        <w:t xml:space="preserve"> </w:t>
      </w:r>
      <w:r>
        <w:rPr>
          <w:rFonts w:hint="default" w:ascii="Times New Roman" w:hAnsi="Times New Roman" w:eastAsia="仿宋_GB2312" w:cs="Times New Roman"/>
          <w:b/>
          <w:color w:val="auto"/>
          <w:sz w:val="32"/>
          <w:szCs w:val="32"/>
          <w:highlight w:val="none"/>
          <w:lang w:eastAsia="zh-CN"/>
        </w:rPr>
        <w:t>用</w:t>
      </w:r>
      <w:r>
        <w:rPr>
          <w:rFonts w:hint="default" w:ascii="Times New Roman" w:hAnsi="Times New Roman" w:eastAsia="仿宋_GB2312" w:cs="Times New Roman"/>
          <w:b/>
          <w:color w:val="auto"/>
          <w:sz w:val="32"/>
          <w:szCs w:val="32"/>
          <w:highlight w:val="none"/>
          <w:lang w:val="en-US" w:eastAsia="zh-CN"/>
        </w:rPr>
        <w:t xml:space="preserve"> </w:t>
      </w:r>
      <w:r>
        <w:rPr>
          <w:rFonts w:hint="default" w:ascii="Times New Roman" w:hAnsi="Times New Roman" w:eastAsia="仿宋_GB2312" w:cs="Times New Roman"/>
          <w:b/>
          <w:color w:val="auto"/>
          <w:sz w:val="32"/>
          <w:szCs w:val="32"/>
          <w:highlight w:val="none"/>
          <w:lang w:eastAsia="zh-CN"/>
        </w:rPr>
        <w:t>说</w:t>
      </w:r>
      <w:r>
        <w:rPr>
          <w:rFonts w:hint="default" w:ascii="Times New Roman" w:hAnsi="Times New Roman" w:eastAsia="仿宋_GB2312" w:cs="Times New Roman"/>
          <w:b/>
          <w:color w:val="auto"/>
          <w:sz w:val="32"/>
          <w:szCs w:val="32"/>
          <w:highlight w:val="none"/>
          <w:lang w:val="en-US" w:eastAsia="zh-CN"/>
        </w:rPr>
        <w:t xml:space="preserve"> </w:t>
      </w:r>
      <w:r>
        <w:rPr>
          <w:rFonts w:hint="default" w:ascii="Times New Roman" w:hAnsi="Times New Roman" w:eastAsia="仿宋_GB2312" w:cs="Times New Roman"/>
          <w:b/>
          <w:color w:val="auto"/>
          <w:sz w:val="32"/>
          <w:szCs w:val="32"/>
          <w:highlight w:val="none"/>
          <w:lang w:eastAsia="zh-CN"/>
        </w:rPr>
        <w:t>明</w:t>
      </w:r>
    </w:p>
    <w:p w14:paraId="2FC8C15A">
      <w:pPr>
        <w:ind w:firstLine="560" w:firstLineChars="200"/>
        <w:rPr>
          <w:rFonts w:hint="default" w:ascii="Times New Roman" w:hAnsi="Times New Roman" w:eastAsia="仿宋_GB2312" w:cs="Times New Roman"/>
          <w:color w:val="auto"/>
          <w:sz w:val="28"/>
          <w:szCs w:val="28"/>
          <w:highlight w:val="none"/>
          <w:lang w:val="en-US" w:eastAsia="zh-CN"/>
        </w:rPr>
      </w:pPr>
    </w:p>
    <w:p w14:paraId="39E4157B">
      <w:pPr>
        <w:ind w:firstLine="560" w:firstLineChars="200"/>
        <w:rPr>
          <w:rFonts w:hint="default" w:ascii="Times New Roman" w:hAnsi="Times New Roman" w:eastAsia="仿宋_GB2312" w:cs="Times New Roman"/>
          <w:color w:val="auto"/>
          <w:sz w:val="28"/>
          <w:szCs w:val="28"/>
          <w:highlight w:val="none"/>
          <w:lang w:val="en-US" w:eastAsia="zh-CN"/>
        </w:rPr>
      </w:pPr>
      <w:r>
        <w:rPr>
          <w:rFonts w:hint="default" w:ascii="Times New Roman" w:hAnsi="Times New Roman" w:eastAsia="仿宋_GB2312" w:cs="Times New Roman"/>
          <w:color w:val="auto"/>
          <w:sz w:val="28"/>
          <w:szCs w:val="28"/>
          <w:highlight w:val="none"/>
          <w:lang w:val="en-US" w:eastAsia="zh-CN"/>
        </w:rPr>
        <w:t>1.本合同标准文本适用于购买现成货物的采购项目，不包括需要供应商定制开发、创新研发的货物采购项目。</w:t>
      </w:r>
    </w:p>
    <w:p w14:paraId="17525BF3">
      <w:pPr>
        <w:ind w:firstLine="0" w:firstLineChars="0"/>
        <w:rPr>
          <w:rFonts w:hint="default" w:ascii="Times New Roman" w:hAnsi="Times New Roman" w:eastAsia="仿宋_GB2312" w:cs="Times New Roman"/>
          <w:color w:val="auto"/>
          <w:sz w:val="28"/>
          <w:szCs w:val="28"/>
          <w:highlight w:val="none"/>
          <w:lang w:val="en-US" w:eastAsia="zh-CN"/>
        </w:rPr>
      </w:pPr>
      <w:r>
        <w:rPr>
          <w:rFonts w:hint="default" w:ascii="Times New Roman" w:hAnsi="Times New Roman" w:eastAsia="仿宋_GB2312" w:cs="Times New Roman"/>
          <w:color w:val="auto"/>
          <w:sz w:val="28"/>
          <w:szCs w:val="28"/>
          <w:highlight w:val="none"/>
          <w:lang w:val="en-US" w:eastAsia="zh-CN"/>
        </w:rPr>
        <w:t xml:space="preserve">   2.本合同标准文本为政府采购货物买卖合同编制提供参考，可以结合采购项目具体情况，对文本</w:t>
      </w:r>
      <w:r>
        <w:rPr>
          <w:rFonts w:hint="eastAsia" w:ascii="Times New Roman" w:hAnsi="Times New Roman" w:eastAsia="仿宋_GB2312" w:cs="Times New Roman"/>
          <w:color w:val="auto"/>
          <w:sz w:val="28"/>
          <w:szCs w:val="28"/>
          <w:highlight w:val="none"/>
          <w:lang w:val="en-US" w:eastAsia="zh-CN"/>
        </w:rPr>
        <w:t>做</w:t>
      </w:r>
      <w:r>
        <w:rPr>
          <w:rFonts w:hint="default" w:ascii="Times New Roman" w:hAnsi="Times New Roman" w:eastAsia="仿宋_GB2312" w:cs="Times New Roman"/>
          <w:color w:val="auto"/>
          <w:sz w:val="28"/>
          <w:szCs w:val="28"/>
          <w:highlight w:val="none"/>
          <w:lang w:val="en-US" w:eastAsia="zh-CN"/>
        </w:rPr>
        <w:t>必要的调整修订后使用。</w:t>
      </w:r>
    </w:p>
    <w:p w14:paraId="2DEF17E8">
      <w:pPr>
        <w:ind w:firstLine="560" w:firstLineChars="200"/>
        <w:rPr>
          <w:rFonts w:hint="default" w:ascii="Times New Roman" w:hAnsi="Times New Roman" w:eastAsia="仿宋_GB2312" w:cs="Times New Roman"/>
          <w:color w:val="auto"/>
          <w:sz w:val="28"/>
          <w:szCs w:val="28"/>
          <w:highlight w:val="none"/>
          <w:lang w:val="en-US" w:eastAsia="zh-CN"/>
        </w:rPr>
      </w:pPr>
      <w:r>
        <w:rPr>
          <w:rFonts w:hint="default" w:ascii="Times New Roman" w:hAnsi="Times New Roman" w:eastAsia="仿宋_GB2312" w:cs="Times New Roman"/>
          <w:color w:val="auto"/>
          <w:sz w:val="28"/>
          <w:szCs w:val="28"/>
          <w:highlight w:val="none"/>
          <w:lang w:val="en-US" w:eastAsia="zh-CN"/>
        </w:rPr>
        <w:t>3.本合同标准文本各条款中，如涉及填写多家供应商、制造商，多种采购标的、分包主要内容等信息的，可根据采购项目具体情况添加信息项。</w:t>
      </w:r>
    </w:p>
    <w:p w14:paraId="3D669DF0">
      <w:pPr>
        <w:ind w:firstLine="560" w:firstLineChars="200"/>
        <w:jc w:val="both"/>
        <w:rPr>
          <w:rFonts w:hint="default" w:ascii="Times New Roman" w:hAnsi="Times New Roman" w:eastAsia="仿宋_GB2312" w:cs="Times New Roman"/>
          <w:color w:val="auto"/>
          <w:sz w:val="28"/>
          <w:szCs w:val="28"/>
          <w:highlight w:val="none"/>
        </w:rPr>
        <w:sectPr>
          <w:footerReference r:id="rId17" w:type="default"/>
          <w:pgSz w:w="11906" w:h="16838"/>
          <w:pgMar w:top="1701" w:right="1474" w:bottom="1701" w:left="1474" w:header="0" w:footer="992" w:gutter="0"/>
          <w:pgBorders>
            <w:top w:val="none" w:sz="0" w:space="0"/>
            <w:left w:val="none" w:sz="0" w:space="0"/>
            <w:bottom w:val="none" w:sz="0" w:space="0"/>
            <w:right w:val="none" w:sz="0" w:space="0"/>
          </w:pgBorders>
          <w:pgNumType w:fmt="decimal"/>
          <w:cols w:space="720" w:num="1"/>
          <w:docGrid w:type="lines" w:linePitch="312" w:charSpace="0"/>
        </w:sectPr>
      </w:pPr>
    </w:p>
    <w:p w14:paraId="72EE0CDF">
      <w:pPr>
        <w:keepNext w:val="0"/>
        <w:keepLines w:val="0"/>
        <w:pageBreakBefore w:val="0"/>
        <w:kinsoku/>
        <w:wordWrap/>
        <w:overflowPunct/>
        <w:topLinePunct w:val="0"/>
        <w:autoSpaceDE/>
        <w:autoSpaceDN/>
        <w:bidi w:val="0"/>
        <w:adjustRightInd/>
        <w:snapToGrid/>
        <w:spacing w:line="520" w:lineRule="exact"/>
        <w:jc w:val="both"/>
        <w:textAlignment w:val="auto"/>
        <w:rPr>
          <w:rFonts w:hint="default" w:ascii="Times New Roman" w:hAnsi="Times New Roman" w:eastAsia="仿宋_GB2312" w:cs="Times New Roman"/>
          <w:color w:val="auto"/>
          <w:sz w:val="28"/>
          <w:szCs w:val="28"/>
          <w:highlight w:val="none"/>
        </w:rPr>
      </w:pPr>
      <w:bookmarkStart w:id="1605" w:name="_Toc22209"/>
    </w:p>
    <w:p w14:paraId="514CBC22">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b/>
          <w:color w:val="auto"/>
          <w:sz w:val="32"/>
          <w:szCs w:val="32"/>
          <w:highlight w:val="none"/>
          <w:lang w:eastAsia="zh-CN"/>
        </w:rPr>
      </w:pPr>
      <w:r>
        <w:rPr>
          <w:rFonts w:hint="default" w:ascii="Times New Roman" w:hAnsi="Times New Roman" w:eastAsia="仿宋_GB2312" w:cs="Times New Roman"/>
          <w:b/>
          <w:color w:val="auto"/>
          <w:sz w:val="32"/>
          <w:szCs w:val="32"/>
          <w:highlight w:val="none"/>
          <w:lang w:eastAsia="zh-CN"/>
        </w:rPr>
        <w:t>政府采购合同协议书</w:t>
      </w:r>
      <w:bookmarkEnd w:id="1605"/>
    </w:p>
    <w:p w14:paraId="3AF1F446">
      <w:pPr>
        <w:pStyle w:val="2"/>
        <w:tabs>
          <w:tab w:val="left" w:pos="0"/>
        </w:tabs>
        <w:adjustRightInd w:val="0"/>
        <w:snapToGrid w:val="0"/>
        <w:spacing w:beforeLines="0" w:line="400" w:lineRule="exact"/>
        <w:jc w:val="center"/>
        <w:rPr>
          <w:rFonts w:hint="default" w:ascii="Times New Roman" w:hAnsi="Times New Roman" w:eastAsia="仿宋_GB2312" w:cs="Times New Roman"/>
          <w:b w:val="0"/>
          <w:bCs w:val="0"/>
          <w:color w:val="auto"/>
          <w:sz w:val="28"/>
          <w:szCs w:val="28"/>
          <w:highlight w:val="none"/>
        </w:rPr>
      </w:pPr>
    </w:p>
    <w:p w14:paraId="3A8DD363">
      <w:pPr>
        <w:adjustRightInd w:val="0"/>
        <w:snapToGrid w:val="0"/>
        <w:spacing w:before="0" w:beforeLines="0" w:line="400" w:lineRule="exact"/>
        <w:rPr>
          <w:rFonts w:hint="default" w:ascii="Times New Roman" w:hAnsi="Times New Roman" w:eastAsia="仿宋_GB2312" w:cs="Times New Roman"/>
          <w:color w:val="auto"/>
          <w:sz w:val="24"/>
          <w:szCs w:val="24"/>
          <w:highlight w:val="none"/>
        </w:rPr>
      </w:pPr>
      <w:r>
        <w:rPr>
          <w:rFonts w:hint="default" w:ascii="Times New Roman" w:hAnsi="Times New Roman" w:eastAsia="仿宋_GB2312" w:cs="Times New Roman"/>
          <w:color w:val="auto"/>
          <w:sz w:val="24"/>
          <w:szCs w:val="24"/>
          <w:highlight w:val="none"/>
        </w:rPr>
        <w:t>甲方（全称）：</w:t>
      </w:r>
      <w:r>
        <w:rPr>
          <w:rFonts w:hint="default" w:ascii="Times New Roman" w:hAnsi="Times New Roman" w:eastAsia="仿宋_GB2312" w:cs="Times New Roman"/>
          <w:color w:val="auto"/>
          <w:sz w:val="24"/>
          <w:szCs w:val="24"/>
          <w:highlight w:val="none"/>
          <w:u w:val="single"/>
        </w:rPr>
        <w:t xml:space="preserve">                        </w:t>
      </w:r>
      <w:r>
        <w:rPr>
          <w:rFonts w:hint="default" w:ascii="Times New Roman" w:hAnsi="Times New Roman" w:eastAsia="仿宋_GB2312" w:cs="Times New Roman"/>
          <w:color w:val="auto"/>
          <w:sz w:val="24"/>
          <w:szCs w:val="24"/>
          <w:highlight w:val="none"/>
        </w:rPr>
        <w:t>（采购人</w:t>
      </w:r>
      <w:r>
        <w:rPr>
          <w:rFonts w:hint="default" w:ascii="Times New Roman" w:hAnsi="Times New Roman" w:eastAsia="仿宋_GB2312" w:cs="Times New Roman"/>
          <w:color w:val="auto"/>
          <w:sz w:val="24"/>
          <w:szCs w:val="24"/>
          <w:highlight w:val="none"/>
          <w:lang w:eastAsia="zh-CN"/>
        </w:rPr>
        <w:t>、受采购人委托签订合同的单位</w:t>
      </w:r>
      <w:r>
        <w:rPr>
          <w:rFonts w:hint="default" w:ascii="Times New Roman" w:hAnsi="Times New Roman" w:eastAsia="仿宋_GB2312" w:cs="Times New Roman"/>
          <w:color w:val="auto"/>
          <w:sz w:val="24"/>
          <w:szCs w:val="24"/>
          <w:highlight w:val="none"/>
        </w:rPr>
        <w:t>或采购文件约定的合同甲方）</w:t>
      </w:r>
    </w:p>
    <w:p w14:paraId="1B57A338">
      <w:pPr>
        <w:adjustRightInd w:val="0"/>
        <w:snapToGrid w:val="0"/>
        <w:spacing w:before="0" w:beforeLines="0" w:line="400" w:lineRule="exact"/>
        <w:rPr>
          <w:rFonts w:hint="default" w:ascii="Times New Roman" w:hAnsi="Times New Roman" w:eastAsia="仿宋_GB2312" w:cs="Times New Roman"/>
          <w:color w:val="auto"/>
          <w:sz w:val="24"/>
          <w:szCs w:val="24"/>
          <w:highlight w:val="none"/>
        </w:rPr>
      </w:pPr>
      <w:r>
        <w:rPr>
          <w:rFonts w:hint="default" w:ascii="Times New Roman" w:hAnsi="Times New Roman" w:eastAsia="仿宋_GB2312" w:cs="Times New Roman"/>
          <w:color w:val="auto"/>
          <w:sz w:val="24"/>
          <w:szCs w:val="24"/>
          <w:highlight w:val="none"/>
        </w:rPr>
        <w:t>乙方</w:t>
      </w:r>
      <w:r>
        <w:rPr>
          <w:rFonts w:hint="default" w:ascii="Times New Roman" w:hAnsi="Times New Roman" w:eastAsia="仿宋_GB2312" w:cs="Times New Roman"/>
          <w:color w:val="auto"/>
          <w:sz w:val="24"/>
          <w:szCs w:val="24"/>
          <w:highlight w:val="none"/>
          <w:lang w:val="en-US" w:eastAsia="zh-CN"/>
        </w:rPr>
        <w:t>1</w:t>
      </w:r>
      <w:r>
        <w:rPr>
          <w:rFonts w:hint="default" w:ascii="Times New Roman" w:hAnsi="Times New Roman" w:eastAsia="仿宋_GB2312" w:cs="Times New Roman"/>
          <w:color w:val="auto"/>
          <w:sz w:val="24"/>
          <w:szCs w:val="24"/>
          <w:highlight w:val="none"/>
        </w:rPr>
        <w:t>（全称）：</w:t>
      </w:r>
      <w:r>
        <w:rPr>
          <w:rFonts w:hint="default" w:ascii="Times New Roman" w:hAnsi="Times New Roman" w:eastAsia="仿宋_GB2312" w:cs="Times New Roman"/>
          <w:color w:val="auto"/>
          <w:sz w:val="24"/>
          <w:szCs w:val="24"/>
          <w:highlight w:val="none"/>
          <w:u w:val="single"/>
        </w:rPr>
        <w:t xml:space="preserve">                       </w:t>
      </w:r>
      <w:r>
        <w:rPr>
          <w:rFonts w:hint="default" w:ascii="Times New Roman" w:hAnsi="Times New Roman" w:eastAsia="仿宋_GB2312" w:cs="Times New Roman"/>
          <w:color w:val="auto"/>
          <w:sz w:val="24"/>
          <w:szCs w:val="24"/>
          <w:highlight w:val="none"/>
        </w:rPr>
        <w:t>（供应商）</w:t>
      </w:r>
    </w:p>
    <w:p w14:paraId="51B00D8A">
      <w:pPr>
        <w:adjustRightInd w:val="0"/>
        <w:snapToGrid w:val="0"/>
        <w:spacing w:before="0" w:beforeLines="0" w:line="400" w:lineRule="exact"/>
        <w:rPr>
          <w:rFonts w:hint="default" w:ascii="Times New Roman" w:hAnsi="Times New Roman" w:eastAsia="仿宋_GB2312" w:cs="Times New Roman"/>
          <w:color w:val="auto"/>
          <w:sz w:val="24"/>
          <w:szCs w:val="24"/>
          <w:highlight w:val="none"/>
        </w:rPr>
      </w:pPr>
      <w:r>
        <w:rPr>
          <w:rFonts w:hint="default" w:ascii="Times New Roman" w:hAnsi="Times New Roman" w:eastAsia="仿宋_GB2312" w:cs="Times New Roman"/>
          <w:color w:val="auto"/>
          <w:sz w:val="24"/>
          <w:szCs w:val="24"/>
          <w:highlight w:val="none"/>
        </w:rPr>
        <w:t>乙方2（全称）：</w:t>
      </w:r>
      <w:r>
        <w:rPr>
          <w:rFonts w:hint="default" w:ascii="Times New Roman" w:hAnsi="Times New Roman" w:eastAsia="仿宋_GB2312" w:cs="Times New Roman"/>
          <w:color w:val="auto"/>
          <w:sz w:val="24"/>
          <w:szCs w:val="24"/>
          <w:highlight w:val="none"/>
          <w:u w:val="single"/>
        </w:rPr>
        <w:t xml:space="preserve">                        </w:t>
      </w:r>
      <w:r>
        <w:rPr>
          <w:rFonts w:hint="default" w:ascii="Times New Roman" w:hAnsi="Times New Roman" w:eastAsia="仿宋_GB2312" w:cs="Times New Roman"/>
          <w:color w:val="auto"/>
          <w:sz w:val="24"/>
          <w:szCs w:val="24"/>
          <w:highlight w:val="none"/>
        </w:rPr>
        <w:t>（联合体成员供应商或其他合同主体）（如有）</w:t>
      </w:r>
    </w:p>
    <w:p w14:paraId="33856A59">
      <w:pPr>
        <w:adjustRightInd w:val="0"/>
        <w:snapToGrid w:val="0"/>
        <w:spacing w:before="0" w:beforeLines="0" w:line="400" w:lineRule="exact"/>
        <w:rPr>
          <w:rFonts w:hint="default" w:ascii="Times New Roman" w:hAnsi="Times New Roman" w:eastAsia="仿宋_GB2312" w:cs="Times New Roman"/>
          <w:color w:val="auto"/>
          <w:sz w:val="24"/>
          <w:szCs w:val="24"/>
          <w:highlight w:val="none"/>
        </w:rPr>
      </w:pPr>
      <w:r>
        <w:rPr>
          <w:rFonts w:hint="default" w:ascii="Times New Roman" w:hAnsi="Times New Roman" w:eastAsia="仿宋_GB2312" w:cs="Times New Roman"/>
          <w:color w:val="auto"/>
          <w:sz w:val="24"/>
          <w:szCs w:val="24"/>
          <w:highlight w:val="none"/>
          <w:lang w:eastAsia="zh-CN"/>
        </w:rPr>
        <w:t>乙方</w:t>
      </w:r>
      <w:r>
        <w:rPr>
          <w:rFonts w:hint="default" w:ascii="Times New Roman" w:hAnsi="Times New Roman" w:eastAsia="仿宋_GB2312" w:cs="Times New Roman"/>
          <w:color w:val="auto"/>
          <w:sz w:val="24"/>
          <w:szCs w:val="24"/>
          <w:highlight w:val="none"/>
          <w:lang w:val="en-US" w:eastAsia="zh-CN"/>
        </w:rPr>
        <w:t>3（全称）</w:t>
      </w:r>
      <w:r>
        <w:rPr>
          <w:rFonts w:hint="default" w:ascii="Times New Roman" w:hAnsi="Times New Roman" w:eastAsia="仿宋_GB2312" w:cs="Times New Roman"/>
          <w:color w:val="auto"/>
          <w:sz w:val="24"/>
          <w:szCs w:val="24"/>
          <w:highlight w:val="none"/>
          <w:u w:val="single"/>
        </w:rPr>
        <w:t xml:space="preserve">                          </w:t>
      </w:r>
      <w:r>
        <w:rPr>
          <w:rFonts w:hint="default" w:ascii="Times New Roman" w:hAnsi="Times New Roman" w:eastAsia="仿宋_GB2312" w:cs="Times New Roman"/>
          <w:color w:val="auto"/>
          <w:sz w:val="24"/>
          <w:szCs w:val="24"/>
          <w:highlight w:val="none"/>
        </w:rPr>
        <w:t>（联合体成员供应商或其他合同主体）（如有）</w:t>
      </w:r>
    </w:p>
    <w:p w14:paraId="655D8B0F">
      <w:pPr>
        <w:spacing w:beforeLines="0" w:line="400" w:lineRule="exact"/>
        <w:rPr>
          <w:rFonts w:hint="default" w:ascii="Times New Roman" w:hAnsi="Times New Roman" w:eastAsia="仿宋_GB2312" w:cs="Times New Roman"/>
          <w:color w:val="auto"/>
          <w:sz w:val="24"/>
          <w:szCs w:val="24"/>
          <w:highlight w:val="none"/>
          <w:lang w:val="en-US" w:eastAsia="zh-CN"/>
        </w:rPr>
      </w:pPr>
    </w:p>
    <w:p w14:paraId="095C76C6">
      <w:pPr>
        <w:pStyle w:val="16"/>
        <w:adjustRightInd w:val="0"/>
        <w:snapToGrid w:val="0"/>
        <w:spacing w:before="0" w:beforeLines="0" w:after="0" w:line="400" w:lineRule="exact"/>
        <w:ind w:left="0" w:leftChars="0" w:firstLine="480" w:firstLineChars="200"/>
        <w:rPr>
          <w:rFonts w:hint="default" w:ascii="Times New Roman" w:hAnsi="Times New Roman" w:eastAsia="仿宋_GB2312" w:cs="Times New Roman"/>
          <w:color w:val="auto"/>
          <w:sz w:val="24"/>
          <w:szCs w:val="24"/>
          <w:highlight w:val="none"/>
        </w:rPr>
      </w:pPr>
      <w:r>
        <w:rPr>
          <w:rFonts w:hint="default" w:ascii="Times New Roman" w:hAnsi="Times New Roman" w:eastAsia="仿宋_GB2312" w:cs="Times New Roman"/>
          <w:color w:val="auto"/>
          <w:sz w:val="24"/>
          <w:szCs w:val="24"/>
          <w:highlight w:val="none"/>
        </w:rPr>
        <w:t>依据《中华人民共和国民法典</w:t>
      </w:r>
      <w:r>
        <w:rPr>
          <w:rFonts w:hint="eastAsia" w:ascii="Times New Roman" w:hAnsi="Times New Roman" w:eastAsia="仿宋_GB2312" w:cs="Times New Roman"/>
          <w:color w:val="auto"/>
          <w:sz w:val="24"/>
          <w:szCs w:val="24"/>
          <w:highlight w:val="none"/>
          <w:lang w:eastAsia="zh-CN"/>
        </w:rPr>
        <w:t>》《</w:t>
      </w:r>
      <w:r>
        <w:rPr>
          <w:rFonts w:hint="default" w:ascii="Times New Roman" w:hAnsi="Times New Roman" w:eastAsia="仿宋_GB2312" w:cs="Times New Roman"/>
          <w:color w:val="auto"/>
          <w:sz w:val="24"/>
          <w:szCs w:val="24"/>
          <w:highlight w:val="none"/>
        </w:rPr>
        <w:t>中华人民共和国政府采购法》等有关的法律法规，以及</w:t>
      </w:r>
      <w:r>
        <w:rPr>
          <w:rFonts w:hint="default" w:ascii="Times New Roman" w:hAnsi="Times New Roman" w:eastAsia="仿宋_GB2312" w:cs="Times New Roman"/>
          <w:i w:val="0"/>
          <w:iCs w:val="0"/>
          <w:color w:val="auto"/>
          <w:sz w:val="24"/>
          <w:szCs w:val="24"/>
          <w:highlight w:val="none"/>
          <w:u w:val="none"/>
          <w:lang w:eastAsia="zh-CN"/>
        </w:rPr>
        <w:t>本采购项目</w:t>
      </w:r>
      <w:r>
        <w:rPr>
          <w:rFonts w:hint="default" w:ascii="Times New Roman" w:hAnsi="Times New Roman" w:eastAsia="仿宋_GB2312" w:cs="Times New Roman"/>
          <w:color w:val="auto"/>
          <w:sz w:val="24"/>
          <w:szCs w:val="24"/>
          <w:highlight w:val="none"/>
        </w:rPr>
        <w:t>的</w:t>
      </w:r>
      <w:r>
        <w:rPr>
          <w:rFonts w:hint="default" w:ascii="Times New Roman" w:hAnsi="Times New Roman" w:eastAsia="仿宋_GB2312" w:cs="Times New Roman"/>
          <w:color w:val="auto"/>
          <w:sz w:val="24"/>
          <w:szCs w:val="24"/>
          <w:highlight w:val="none"/>
          <w:lang w:eastAsia="zh-CN"/>
        </w:rPr>
        <w:t>招标</w:t>
      </w:r>
      <w:r>
        <w:rPr>
          <w:rFonts w:hint="default" w:ascii="Times New Roman" w:hAnsi="Times New Roman" w:eastAsia="仿宋_GB2312" w:cs="Times New Roman"/>
          <w:color w:val="auto"/>
          <w:sz w:val="24"/>
          <w:szCs w:val="24"/>
          <w:highlight w:val="none"/>
          <w:lang w:val="en-US" w:eastAsia="zh-CN"/>
        </w:rPr>
        <w:t>/谈判</w:t>
      </w:r>
      <w:r>
        <w:rPr>
          <w:rFonts w:hint="default" w:ascii="Times New Roman" w:hAnsi="Times New Roman" w:eastAsia="仿宋_GB2312" w:cs="Times New Roman"/>
          <w:color w:val="auto"/>
          <w:sz w:val="24"/>
          <w:szCs w:val="24"/>
          <w:highlight w:val="none"/>
          <w:lang w:eastAsia="zh-CN"/>
        </w:rPr>
        <w:t>文件等</w:t>
      </w:r>
      <w:r>
        <w:rPr>
          <w:rFonts w:hint="default" w:ascii="Times New Roman" w:hAnsi="Times New Roman" w:eastAsia="仿宋_GB2312" w:cs="Times New Roman"/>
          <w:color w:val="auto"/>
          <w:sz w:val="24"/>
          <w:szCs w:val="24"/>
          <w:highlight w:val="none"/>
        </w:rPr>
        <w:t>采购文件</w:t>
      </w:r>
      <w:r>
        <w:rPr>
          <w:rFonts w:hint="default" w:ascii="Times New Roman" w:hAnsi="Times New Roman" w:eastAsia="仿宋_GB2312" w:cs="Times New Roman"/>
          <w:color w:val="auto"/>
          <w:sz w:val="24"/>
          <w:szCs w:val="24"/>
          <w:highlight w:val="none"/>
          <w:lang w:eastAsia="zh-CN"/>
        </w:rPr>
        <w:t>、</w:t>
      </w:r>
      <w:r>
        <w:rPr>
          <w:rFonts w:hint="default" w:ascii="Times New Roman" w:hAnsi="Times New Roman" w:eastAsia="仿宋_GB2312" w:cs="Times New Roman"/>
          <w:color w:val="auto"/>
          <w:sz w:val="24"/>
          <w:szCs w:val="24"/>
          <w:highlight w:val="none"/>
        </w:rPr>
        <w:t xml:space="preserve">乙方的《投标（响应）文件》及《中标（成交）通知书》，甲乙双方同意签订本合同。具体情况及要求如下：     </w:t>
      </w:r>
    </w:p>
    <w:p w14:paraId="4BC1D878">
      <w:pPr>
        <w:numPr>
          <w:ilvl w:val="0"/>
          <w:numId w:val="19"/>
        </w:numPr>
        <w:adjustRightInd w:val="0"/>
        <w:snapToGrid w:val="0"/>
        <w:spacing w:before="0" w:beforeLines="0" w:line="400" w:lineRule="exact"/>
        <w:ind w:firstLine="482" w:firstLineChars="200"/>
        <w:rPr>
          <w:rFonts w:hint="default" w:ascii="Times New Roman" w:hAnsi="Times New Roman" w:eastAsia="仿宋_GB2312" w:cs="Times New Roman"/>
          <w:b/>
          <w:color w:val="auto"/>
          <w:sz w:val="24"/>
          <w:szCs w:val="24"/>
          <w:highlight w:val="none"/>
        </w:rPr>
      </w:pPr>
      <w:r>
        <w:rPr>
          <w:rFonts w:hint="default" w:ascii="Times New Roman" w:hAnsi="Times New Roman" w:eastAsia="仿宋_GB2312" w:cs="Times New Roman"/>
          <w:b/>
          <w:color w:val="auto"/>
          <w:sz w:val="24"/>
          <w:szCs w:val="24"/>
          <w:highlight w:val="none"/>
        </w:rPr>
        <w:t>项目信息</w:t>
      </w:r>
    </w:p>
    <w:p w14:paraId="360475B5">
      <w:pPr>
        <w:pStyle w:val="16"/>
        <w:numPr>
          <w:ilvl w:val="0"/>
          <w:numId w:val="20"/>
        </w:numPr>
        <w:adjustRightInd w:val="0"/>
        <w:snapToGrid w:val="0"/>
        <w:spacing w:before="0" w:beforeLines="0" w:after="0" w:line="400" w:lineRule="exact"/>
        <w:ind w:left="0" w:leftChars="0" w:firstLine="480" w:firstLineChars="200"/>
        <w:rPr>
          <w:rFonts w:hint="default" w:ascii="Times New Roman" w:hAnsi="Times New Roman" w:eastAsia="仿宋_GB2312" w:cs="Times New Roman"/>
          <w:color w:val="auto"/>
          <w:sz w:val="24"/>
          <w:szCs w:val="24"/>
          <w:highlight w:val="none"/>
          <w:u w:val="single"/>
        </w:rPr>
      </w:pPr>
      <w:r>
        <w:rPr>
          <w:rFonts w:hint="default" w:ascii="Times New Roman" w:hAnsi="Times New Roman" w:eastAsia="仿宋_GB2312" w:cs="Times New Roman"/>
          <w:color w:val="auto"/>
          <w:sz w:val="24"/>
          <w:szCs w:val="24"/>
          <w:highlight w:val="none"/>
        </w:rPr>
        <w:t>采购项目名称：</w:t>
      </w:r>
      <w:r>
        <w:rPr>
          <w:rFonts w:hint="default" w:ascii="Times New Roman" w:hAnsi="Times New Roman" w:eastAsia="仿宋_GB2312" w:cs="Times New Roman"/>
          <w:color w:val="auto"/>
          <w:sz w:val="24"/>
          <w:szCs w:val="24"/>
          <w:highlight w:val="none"/>
          <w:u w:val="single"/>
        </w:rPr>
        <w:t xml:space="preserve">                                          </w:t>
      </w:r>
    </w:p>
    <w:p w14:paraId="01D98362">
      <w:pPr>
        <w:pStyle w:val="16"/>
        <w:numPr>
          <w:ilvl w:val="0"/>
          <w:numId w:val="0"/>
        </w:numPr>
        <w:tabs>
          <w:tab w:val="left" w:pos="999"/>
        </w:tabs>
        <w:adjustRightInd w:val="0"/>
        <w:snapToGrid w:val="0"/>
        <w:spacing w:before="0" w:beforeLines="0" w:after="0" w:line="400" w:lineRule="exact"/>
        <w:ind w:left="0" w:leftChars="0" w:firstLine="0" w:firstLineChars="0"/>
        <w:rPr>
          <w:rFonts w:hint="default" w:ascii="Times New Roman" w:hAnsi="Times New Roman" w:eastAsia="仿宋_GB2312" w:cs="Times New Roman"/>
          <w:color w:val="auto"/>
          <w:sz w:val="24"/>
          <w:szCs w:val="24"/>
          <w:highlight w:val="none"/>
          <w:u w:val="none"/>
          <w:lang w:val="en-US" w:eastAsia="zh-CN"/>
        </w:rPr>
      </w:pPr>
      <w:r>
        <w:rPr>
          <w:rFonts w:hint="default" w:ascii="Times New Roman" w:hAnsi="Times New Roman" w:eastAsia="仿宋_GB2312" w:cs="Times New Roman"/>
          <w:color w:val="auto"/>
          <w:sz w:val="24"/>
          <w:szCs w:val="24"/>
          <w:highlight w:val="none"/>
          <w:u w:val="none"/>
          <w:lang w:val="en-US" w:eastAsia="zh-CN"/>
        </w:rPr>
        <w:t xml:space="preserve">         采购项目编号：</w:t>
      </w:r>
      <w:r>
        <w:rPr>
          <w:rFonts w:hint="default" w:ascii="Times New Roman" w:hAnsi="Times New Roman" w:eastAsia="仿宋_GB2312" w:cs="Times New Roman"/>
          <w:color w:val="auto"/>
          <w:sz w:val="24"/>
          <w:szCs w:val="24"/>
          <w:highlight w:val="none"/>
          <w:u w:val="single"/>
        </w:rPr>
        <w:t xml:space="preserve">                                          </w:t>
      </w:r>
    </w:p>
    <w:p w14:paraId="04F2279E">
      <w:pPr>
        <w:pStyle w:val="16"/>
        <w:adjustRightInd w:val="0"/>
        <w:snapToGrid w:val="0"/>
        <w:spacing w:before="0" w:beforeLines="0" w:after="0" w:line="400" w:lineRule="exact"/>
        <w:ind w:left="0" w:leftChars="0" w:firstLine="480" w:firstLineChars="200"/>
        <w:rPr>
          <w:rFonts w:hint="default" w:ascii="Times New Roman" w:hAnsi="Times New Roman" w:eastAsia="仿宋_GB2312" w:cs="Times New Roman"/>
          <w:color w:val="auto"/>
          <w:sz w:val="24"/>
          <w:szCs w:val="24"/>
          <w:highlight w:val="none"/>
        </w:rPr>
      </w:pPr>
      <w:r>
        <w:rPr>
          <w:rFonts w:hint="default" w:ascii="Times New Roman" w:hAnsi="Times New Roman" w:eastAsia="仿宋_GB2312" w:cs="Times New Roman"/>
          <w:color w:val="auto"/>
          <w:sz w:val="24"/>
          <w:szCs w:val="24"/>
          <w:highlight w:val="none"/>
        </w:rPr>
        <w:t>（2）采购计划编号：</w:t>
      </w:r>
      <w:r>
        <w:rPr>
          <w:rFonts w:hint="default" w:ascii="Times New Roman" w:hAnsi="Times New Roman" w:eastAsia="仿宋_GB2312" w:cs="Times New Roman"/>
          <w:color w:val="auto"/>
          <w:sz w:val="24"/>
          <w:szCs w:val="24"/>
          <w:highlight w:val="none"/>
          <w:u w:val="single"/>
        </w:rPr>
        <w:t xml:space="preserve">                                          </w:t>
      </w:r>
      <w:r>
        <w:rPr>
          <w:rFonts w:hint="default" w:ascii="Times New Roman" w:hAnsi="Times New Roman" w:eastAsia="仿宋_GB2312" w:cs="Times New Roman"/>
          <w:color w:val="auto"/>
          <w:sz w:val="24"/>
          <w:szCs w:val="24"/>
          <w:highlight w:val="none"/>
        </w:rPr>
        <w:t xml:space="preserve"> </w:t>
      </w:r>
    </w:p>
    <w:p w14:paraId="7417E646">
      <w:pPr>
        <w:adjustRightInd w:val="0"/>
        <w:snapToGrid w:val="0"/>
        <w:spacing w:before="0" w:beforeLines="0" w:line="400" w:lineRule="exact"/>
        <w:ind w:firstLine="480" w:firstLineChars="200"/>
        <w:rPr>
          <w:rFonts w:hint="default" w:ascii="Times New Roman" w:hAnsi="Times New Roman" w:eastAsia="仿宋_GB2312" w:cs="Times New Roman"/>
          <w:color w:val="auto"/>
          <w:sz w:val="24"/>
          <w:szCs w:val="24"/>
          <w:highlight w:val="none"/>
        </w:rPr>
      </w:pPr>
      <w:r>
        <w:rPr>
          <w:rFonts w:hint="default" w:ascii="Times New Roman" w:hAnsi="Times New Roman" w:eastAsia="仿宋_GB2312" w:cs="Times New Roman"/>
          <w:color w:val="auto"/>
          <w:sz w:val="24"/>
          <w:szCs w:val="24"/>
          <w:highlight w:val="none"/>
        </w:rPr>
        <w:t>（3）项目内容：</w:t>
      </w:r>
    </w:p>
    <w:p w14:paraId="62BA0668">
      <w:pPr>
        <w:adjustRightInd w:val="0"/>
        <w:snapToGrid w:val="0"/>
        <w:spacing w:before="0" w:beforeLines="0" w:line="400" w:lineRule="exact"/>
        <w:ind w:firstLine="480" w:firstLineChars="200"/>
        <w:rPr>
          <w:rFonts w:hint="default" w:ascii="Times New Roman" w:hAnsi="Times New Roman" w:eastAsia="仿宋_GB2312" w:cs="Times New Roman"/>
          <w:color w:val="auto"/>
          <w:sz w:val="24"/>
          <w:szCs w:val="24"/>
          <w:highlight w:val="none"/>
          <w:lang w:val="en-US" w:eastAsia="zh-CN"/>
        </w:rPr>
      </w:pPr>
      <w:r>
        <w:rPr>
          <w:rFonts w:hint="default" w:ascii="Times New Roman" w:hAnsi="Times New Roman" w:eastAsia="仿宋_GB2312" w:cs="Times New Roman"/>
          <w:color w:val="auto"/>
          <w:sz w:val="24"/>
          <w:szCs w:val="24"/>
          <w:highlight w:val="none"/>
          <w:lang w:val="en-US" w:eastAsia="zh-CN"/>
        </w:rPr>
        <w:t xml:space="preserve">     </w:t>
      </w:r>
      <w:r>
        <w:rPr>
          <w:rFonts w:hint="default" w:ascii="Times New Roman" w:hAnsi="Times New Roman" w:eastAsia="仿宋_GB2312" w:cs="Times New Roman"/>
          <w:color w:val="auto"/>
          <w:sz w:val="24"/>
          <w:szCs w:val="24"/>
          <w:highlight w:val="none"/>
          <w:lang w:eastAsia="zh-CN"/>
        </w:rPr>
        <w:t>采购标的及数量</w:t>
      </w:r>
      <w:r>
        <w:rPr>
          <w:rFonts w:hint="default" w:ascii="Times New Roman" w:hAnsi="Times New Roman" w:eastAsia="仿宋_GB2312" w:cs="Times New Roman"/>
          <w:color w:val="auto"/>
          <w:sz w:val="24"/>
          <w:szCs w:val="24"/>
          <w:highlight w:val="none"/>
          <w:lang w:val="en-US" w:eastAsia="zh-CN"/>
        </w:rPr>
        <w:t>（台/套</w:t>
      </w:r>
      <w:r>
        <w:rPr>
          <w:rFonts w:hint="default" w:ascii="Times New Roman" w:hAnsi="Times New Roman" w:eastAsia="仿宋_GB2312" w:cs="Times New Roman"/>
          <w:color w:val="auto"/>
          <w:sz w:val="24"/>
          <w:szCs w:val="24"/>
          <w:highlight w:val="none"/>
          <w:lang w:val="en" w:eastAsia="zh-CN"/>
        </w:rPr>
        <w:t>/个/架/组等</w:t>
      </w:r>
      <w:r>
        <w:rPr>
          <w:rFonts w:hint="default" w:ascii="Times New Roman" w:hAnsi="Times New Roman" w:eastAsia="仿宋_GB2312" w:cs="Times New Roman"/>
          <w:color w:val="auto"/>
          <w:sz w:val="24"/>
          <w:szCs w:val="24"/>
          <w:highlight w:val="none"/>
          <w:lang w:val="en-US" w:eastAsia="zh-CN"/>
        </w:rPr>
        <w:t>）</w:t>
      </w:r>
      <w:r>
        <w:rPr>
          <w:rFonts w:hint="default" w:ascii="Times New Roman" w:hAnsi="Times New Roman" w:eastAsia="仿宋_GB2312" w:cs="Times New Roman"/>
          <w:color w:val="auto"/>
          <w:sz w:val="24"/>
          <w:szCs w:val="24"/>
          <w:highlight w:val="none"/>
          <w:lang w:eastAsia="zh-CN"/>
        </w:rPr>
        <w:t>：</w:t>
      </w:r>
      <w:r>
        <w:rPr>
          <w:rFonts w:hint="default" w:ascii="Times New Roman" w:hAnsi="Times New Roman" w:eastAsia="仿宋_GB2312" w:cs="Times New Roman"/>
          <w:color w:val="auto"/>
          <w:sz w:val="24"/>
          <w:szCs w:val="24"/>
          <w:highlight w:val="none"/>
          <w:u w:val="single"/>
          <w:lang w:val="en-US" w:eastAsia="zh-CN"/>
        </w:rPr>
        <w:t xml:space="preserve">                       </w:t>
      </w:r>
      <w:r>
        <w:rPr>
          <w:rFonts w:hint="default" w:ascii="Times New Roman" w:hAnsi="Times New Roman" w:eastAsia="仿宋_GB2312" w:cs="Times New Roman"/>
          <w:color w:val="auto"/>
          <w:sz w:val="24"/>
          <w:szCs w:val="24"/>
          <w:highlight w:val="none"/>
          <w:u w:val="none"/>
          <w:lang w:val="en-US" w:eastAsia="zh-CN"/>
        </w:rPr>
        <w:t xml:space="preserve">            </w:t>
      </w:r>
      <w:r>
        <w:rPr>
          <w:rFonts w:hint="default" w:ascii="Times New Roman" w:hAnsi="Times New Roman" w:eastAsia="仿宋_GB2312" w:cs="Times New Roman"/>
          <w:color w:val="auto"/>
          <w:sz w:val="24"/>
          <w:szCs w:val="24"/>
          <w:highlight w:val="none"/>
          <w:u w:val="single"/>
          <w:lang w:val="en-US" w:eastAsia="zh-CN"/>
        </w:rPr>
        <w:t xml:space="preserve">                  </w:t>
      </w:r>
      <w:r>
        <w:rPr>
          <w:rFonts w:hint="default" w:ascii="Times New Roman" w:hAnsi="Times New Roman" w:eastAsia="仿宋_GB2312" w:cs="Times New Roman"/>
          <w:color w:val="auto"/>
          <w:sz w:val="24"/>
          <w:szCs w:val="24"/>
          <w:highlight w:val="none"/>
          <w:lang w:val="en-US" w:eastAsia="zh-CN"/>
        </w:rPr>
        <w:t xml:space="preserve"> </w:t>
      </w:r>
    </w:p>
    <w:p w14:paraId="4CD27B1A">
      <w:pPr>
        <w:numPr>
          <w:ilvl w:val="0"/>
          <w:numId w:val="0"/>
        </w:numPr>
        <w:adjustRightInd w:val="0"/>
        <w:snapToGrid w:val="0"/>
        <w:spacing w:before="0" w:beforeLines="0" w:line="400" w:lineRule="exact"/>
        <w:ind w:firstLine="480" w:firstLineChars="200"/>
        <w:rPr>
          <w:rFonts w:hint="default" w:ascii="Times New Roman" w:hAnsi="Times New Roman" w:eastAsia="仿宋_GB2312" w:cs="Times New Roman"/>
          <w:color w:val="auto"/>
          <w:sz w:val="24"/>
          <w:szCs w:val="24"/>
          <w:highlight w:val="none"/>
          <w:lang w:val="en" w:eastAsia="zh-CN"/>
        </w:rPr>
      </w:pPr>
      <w:r>
        <w:rPr>
          <w:rFonts w:hint="default" w:ascii="Times New Roman" w:hAnsi="Times New Roman" w:eastAsia="仿宋_GB2312" w:cs="Times New Roman"/>
          <w:color w:val="auto"/>
          <w:sz w:val="24"/>
          <w:szCs w:val="24"/>
          <w:highlight w:val="none"/>
          <w:u w:val="none"/>
          <w:lang w:val="en-US" w:eastAsia="zh-CN"/>
        </w:rPr>
        <w:t xml:space="preserve">     </w:t>
      </w:r>
      <w:r>
        <w:rPr>
          <w:rFonts w:hint="default" w:ascii="Times New Roman" w:hAnsi="Times New Roman" w:eastAsia="仿宋_GB2312" w:cs="Times New Roman"/>
          <w:color w:val="auto"/>
          <w:sz w:val="24"/>
          <w:szCs w:val="24"/>
          <w:highlight w:val="none"/>
          <w:lang w:val="en-US" w:eastAsia="zh-CN"/>
        </w:rPr>
        <w:t>品牌：</w:t>
      </w:r>
      <w:r>
        <w:rPr>
          <w:rFonts w:hint="default" w:ascii="Times New Roman" w:hAnsi="Times New Roman" w:eastAsia="仿宋_GB2312" w:cs="Times New Roman"/>
          <w:color w:val="auto"/>
          <w:sz w:val="24"/>
          <w:szCs w:val="24"/>
          <w:highlight w:val="none"/>
          <w:u w:val="single"/>
          <w:lang w:val="en-US" w:eastAsia="zh-CN"/>
        </w:rPr>
        <w:t xml:space="preserve">      </w:t>
      </w:r>
      <w:r>
        <w:rPr>
          <w:rFonts w:hint="default" w:ascii="Times New Roman" w:hAnsi="Times New Roman" w:eastAsia="仿宋_GB2312" w:cs="Times New Roman"/>
          <w:color w:val="auto"/>
          <w:sz w:val="24"/>
          <w:szCs w:val="24"/>
          <w:highlight w:val="none"/>
          <w:u w:val="single"/>
          <w:lang w:val="en" w:eastAsia="zh-CN"/>
        </w:rPr>
        <w:t xml:space="preserve">   </w:t>
      </w:r>
      <w:r>
        <w:rPr>
          <w:rFonts w:hint="default" w:ascii="Times New Roman" w:hAnsi="Times New Roman" w:eastAsia="仿宋_GB2312" w:cs="Times New Roman"/>
          <w:color w:val="auto"/>
          <w:sz w:val="24"/>
          <w:szCs w:val="24"/>
          <w:highlight w:val="none"/>
          <w:u w:val="single"/>
          <w:lang w:val="en-US" w:eastAsia="zh-CN"/>
        </w:rPr>
        <w:t xml:space="preserve">    </w:t>
      </w:r>
      <w:r>
        <w:rPr>
          <w:rFonts w:hint="default" w:ascii="Times New Roman" w:hAnsi="Times New Roman" w:eastAsia="仿宋_GB2312" w:cs="Times New Roman"/>
          <w:color w:val="auto"/>
          <w:sz w:val="24"/>
          <w:szCs w:val="24"/>
          <w:highlight w:val="none"/>
          <w:u w:val="single"/>
          <w:lang w:val="en" w:eastAsia="zh-CN"/>
        </w:rPr>
        <w:t xml:space="preserve"> </w:t>
      </w:r>
      <w:r>
        <w:rPr>
          <w:rFonts w:hint="default" w:ascii="Times New Roman" w:hAnsi="Times New Roman" w:eastAsia="仿宋_GB2312" w:cs="Times New Roman"/>
          <w:color w:val="auto"/>
          <w:sz w:val="24"/>
          <w:szCs w:val="24"/>
          <w:highlight w:val="none"/>
          <w:u w:val="single"/>
          <w:lang w:val="en-US" w:eastAsia="zh-CN"/>
        </w:rPr>
        <w:t xml:space="preserve"> </w:t>
      </w:r>
      <w:r>
        <w:rPr>
          <w:rFonts w:hint="default" w:ascii="Times New Roman" w:hAnsi="Times New Roman" w:eastAsia="仿宋_GB2312" w:cs="Times New Roman"/>
          <w:color w:val="auto"/>
          <w:sz w:val="24"/>
          <w:szCs w:val="24"/>
          <w:highlight w:val="none"/>
          <w:u w:val="none"/>
          <w:lang w:val="en" w:eastAsia="zh-CN"/>
        </w:rPr>
        <w:t xml:space="preserve">     </w:t>
      </w:r>
      <w:r>
        <w:rPr>
          <w:rFonts w:hint="default" w:ascii="Times New Roman" w:hAnsi="Times New Roman" w:eastAsia="仿宋_GB2312" w:cs="Times New Roman"/>
          <w:color w:val="auto"/>
          <w:sz w:val="24"/>
          <w:szCs w:val="24"/>
          <w:highlight w:val="none"/>
          <w:lang w:val="en-US" w:eastAsia="zh-CN"/>
        </w:rPr>
        <w:t>规格型号：</w:t>
      </w:r>
      <w:r>
        <w:rPr>
          <w:rFonts w:hint="default" w:ascii="Times New Roman" w:hAnsi="Times New Roman" w:eastAsia="仿宋_GB2312" w:cs="Times New Roman"/>
          <w:color w:val="auto"/>
          <w:sz w:val="24"/>
          <w:szCs w:val="24"/>
          <w:highlight w:val="none"/>
          <w:u w:val="single"/>
          <w:lang w:val="en-US" w:eastAsia="zh-CN"/>
        </w:rPr>
        <w:t xml:space="preserve">   </w:t>
      </w:r>
      <w:r>
        <w:rPr>
          <w:rFonts w:hint="default" w:ascii="Times New Roman" w:hAnsi="Times New Roman" w:eastAsia="仿宋_GB2312" w:cs="Times New Roman"/>
          <w:color w:val="auto"/>
          <w:sz w:val="24"/>
          <w:szCs w:val="24"/>
          <w:highlight w:val="none"/>
          <w:u w:val="single"/>
          <w:lang w:val="en" w:eastAsia="zh-CN"/>
        </w:rPr>
        <w:t xml:space="preserve">  </w:t>
      </w:r>
      <w:r>
        <w:rPr>
          <w:rFonts w:hint="default" w:ascii="Times New Roman" w:hAnsi="Times New Roman" w:eastAsia="仿宋_GB2312" w:cs="Times New Roman"/>
          <w:color w:val="auto"/>
          <w:sz w:val="24"/>
          <w:szCs w:val="24"/>
          <w:highlight w:val="none"/>
          <w:u w:val="single"/>
          <w:lang w:val="en-US" w:eastAsia="zh-CN"/>
        </w:rPr>
        <w:t xml:space="preserve">       </w:t>
      </w:r>
      <w:r>
        <w:rPr>
          <w:rFonts w:hint="default" w:ascii="Times New Roman" w:hAnsi="Times New Roman" w:eastAsia="仿宋_GB2312" w:cs="Times New Roman"/>
          <w:color w:val="auto"/>
          <w:sz w:val="24"/>
          <w:szCs w:val="24"/>
          <w:highlight w:val="none"/>
          <w:u w:val="single"/>
          <w:lang w:val="en" w:eastAsia="zh-CN"/>
        </w:rPr>
        <w:t xml:space="preserve">   </w:t>
      </w:r>
    </w:p>
    <w:p w14:paraId="063A15BC">
      <w:pPr>
        <w:adjustRightInd w:val="0"/>
        <w:snapToGrid w:val="0"/>
        <w:spacing w:before="0" w:beforeLines="0" w:line="400" w:lineRule="exact"/>
        <w:ind w:firstLine="1080" w:firstLineChars="450"/>
        <w:rPr>
          <w:rFonts w:hint="default" w:ascii="Times New Roman" w:hAnsi="Times New Roman" w:eastAsia="仿宋_GB2312" w:cs="Times New Roman"/>
          <w:color w:val="auto"/>
          <w:sz w:val="24"/>
          <w:szCs w:val="24"/>
          <w:highlight w:val="none"/>
          <w:u w:val="single"/>
        </w:rPr>
      </w:pPr>
      <w:r>
        <w:rPr>
          <w:rFonts w:hint="default" w:ascii="Times New Roman" w:hAnsi="Times New Roman" w:eastAsia="仿宋_GB2312" w:cs="Times New Roman"/>
          <w:color w:val="auto"/>
          <w:sz w:val="24"/>
          <w:szCs w:val="24"/>
          <w:highlight w:val="none"/>
          <w:u w:val="none"/>
          <w:lang w:val="en-US" w:eastAsia="zh-CN"/>
        </w:rPr>
        <w:t>采购标的的技术要求、商务要求具体见附件。</w:t>
      </w:r>
    </w:p>
    <w:p w14:paraId="1305D917">
      <w:pPr>
        <w:numPr>
          <w:ilvl w:val="0"/>
          <w:numId w:val="0"/>
        </w:numPr>
        <w:adjustRightInd w:val="0"/>
        <w:snapToGrid w:val="0"/>
        <w:spacing w:before="0" w:beforeLines="0" w:line="400" w:lineRule="exact"/>
        <w:ind w:firstLine="1080" w:firstLineChars="450"/>
        <w:rPr>
          <w:rFonts w:hint="default" w:ascii="Times New Roman" w:hAnsi="Times New Roman" w:eastAsia="仿宋_GB2312" w:cs="Times New Roman"/>
          <w:color w:val="auto"/>
          <w:sz w:val="24"/>
          <w:szCs w:val="24"/>
          <w:highlight w:val="none"/>
          <w:lang w:val="en-US" w:eastAsia="zh-CN"/>
        </w:rPr>
      </w:pPr>
      <w:r>
        <w:rPr>
          <w:rFonts w:hint="default" w:ascii="Times New Roman" w:hAnsi="Times New Roman" w:eastAsia="仿宋_GB2312" w:cs="Times New Roman"/>
          <w:color w:val="auto"/>
          <w:sz w:val="24"/>
          <w:szCs w:val="24"/>
          <w:highlight w:val="none"/>
          <w:lang w:val="en-US" w:eastAsia="zh-CN"/>
        </w:rPr>
        <w:t>①涉及信息类产品，请填写该产品关键部件的品牌、型号：</w:t>
      </w:r>
    </w:p>
    <w:p w14:paraId="423EFA5B">
      <w:pPr>
        <w:numPr>
          <w:ilvl w:val="0"/>
          <w:numId w:val="0"/>
        </w:numPr>
        <w:adjustRightInd w:val="0"/>
        <w:snapToGrid w:val="0"/>
        <w:spacing w:before="0" w:beforeLines="0" w:line="400" w:lineRule="exact"/>
        <w:ind w:firstLine="480" w:firstLineChars="200"/>
        <w:rPr>
          <w:rFonts w:hint="default" w:ascii="Times New Roman" w:hAnsi="Times New Roman" w:eastAsia="仿宋_GB2312" w:cs="Times New Roman"/>
          <w:color w:val="auto"/>
          <w:kern w:val="0"/>
          <w:sz w:val="24"/>
          <w:szCs w:val="24"/>
          <w:highlight w:val="none"/>
          <w:u w:val="single"/>
          <w:lang w:val="en-US" w:eastAsia="zh-CN"/>
        </w:rPr>
      </w:pPr>
      <w:r>
        <w:rPr>
          <w:rFonts w:hint="default" w:ascii="Times New Roman" w:hAnsi="Times New Roman" w:eastAsia="仿宋_GB2312" w:cs="Times New Roman"/>
          <w:color w:val="auto"/>
          <w:sz w:val="24"/>
          <w:szCs w:val="24"/>
          <w:highlight w:val="none"/>
          <w:lang w:val="en-US" w:eastAsia="zh-CN"/>
        </w:rPr>
        <w:t xml:space="preserve">     标的名称：</w:t>
      </w:r>
      <w:r>
        <w:rPr>
          <w:rFonts w:hint="default" w:ascii="Times New Roman" w:hAnsi="Times New Roman" w:eastAsia="仿宋_GB2312" w:cs="Times New Roman"/>
          <w:color w:val="auto"/>
          <w:kern w:val="0"/>
          <w:sz w:val="24"/>
          <w:szCs w:val="24"/>
          <w:highlight w:val="none"/>
          <w:u w:val="single"/>
          <w:lang w:val="en-US" w:eastAsia="zh-CN"/>
        </w:rPr>
        <w:t xml:space="preserve">      </w:t>
      </w:r>
      <w:r>
        <w:rPr>
          <w:rFonts w:hint="default" w:ascii="Times New Roman" w:hAnsi="Times New Roman" w:eastAsia="仿宋_GB2312" w:cs="Times New Roman"/>
          <w:color w:val="auto"/>
          <w:kern w:val="0"/>
          <w:sz w:val="24"/>
          <w:szCs w:val="24"/>
          <w:highlight w:val="none"/>
          <w:u w:val="single"/>
          <w:lang w:val="en" w:eastAsia="zh-CN"/>
        </w:rPr>
        <w:t xml:space="preserve">               </w:t>
      </w:r>
      <w:r>
        <w:rPr>
          <w:rFonts w:hint="default" w:ascii="Times New Roman" w:hAnsi="Times New Roman" w:eastAsia="仿宋_GB2312" w:cs="Times New Roman"/>
          <w:color w:val="auto"/>
          <w:kern w:val="0"/>
          <w:sz w:val="24"/>
          <w:szCs w:val="24"/>
          <w:highlight w:val="none"/>
          <w:u w:val="single"/>
          <w:lang w:val="en-US" w:eastAsia="zh-CN"/>
        </w:rPr>
        <w:t xml:space="preserve">    </w:t>
      </w:r>
    </w:p>
    <w:p w14:paraId="6451C403">
      <w:pPr>
        <w:numPr>
          <w:ilvl w:val="0"/>
          <w:numId w:val="0"/>
        </w:numPr>
        <w:adjustRightInd w:val="0"/>
        <w:snapToGrid w:val="0"/>
        <w:spacing w:before="0" w:beforeLines="0" w:line="400" w:lineRule="exact"/>
        <w:ind w:firstLine="480" w:firstLineChars="200"/>
        <w:rPr>
          <w:rFonts w:hint="default" w:ascii="Times New Roman" w:hAnsi="Times New Roman" w:eastAsia="仿宋_GB2312" w:cs="Times New Roman"/>
          <w:color w:val="auto"/>
          <w:sz w:val="24"/>
          <w:szCs w:val="24"/>
          <w:highlight w:val="none"/>
          <w:lang w:val="en-US" w:eastAsia="zh-CN"/>
        </w:rPr>
      </w:pPr>
      <w:r>
        <w:rPr>
          <w:rFonts w:hint="default" w:ascii="Times New Roman" w:hAnsi="Times New Roman" w:eastAsia="仿宋_GB2312" w:cs="Times New Roman"/>
          <w:color w:val="auto"/>
          <w:sz w:val="24"/>
          <w:szCs w:val="24"/>
          <w:highlight w:val="none"/>
          <w:lang w:val="en-US" w:eastAsia="zh-CN"/>
        </w:rPr>
        <w:t xml:space="preserve">     关键部件：</w:t>
      </w:r>
      <w:r>
        <w:rPr>
          <w:rFonts w:hint="default" w:ascii="Times New Roman" w:hAnsi="Times New Roman" w:eastAsia="仿宋_GB2312" w:cs="Times New Roman"/>
          <w:color w:val="auto"/>
          <w:kern w:val="0"/>
          <w:sz w:val="24"/>
          <w:szCs w:val="24"/>
          <w:highlight w:val="none"/>
          <w:u w:val="single"/>
          <w:lang w:val="en-US" w:eastAsia="zh-CN"/>
        </w:rPr>
        <w:t xml:space="preserve">          </w:t>
      </w:r>
      <w:r>
        <w:rPr>
          <w:rFonts w:hint="default" w:ascii="Times New Roman" w:hAnsi="Times New Roman" w:eastAsia="仿宋_GB2312" w:cs="Times New Roman"/>
          <w:color w:val="auto"/>
          <w:kern w:val="0"/>
          <w:sz w:val="24"/>
          <w:szCs w:val="24"/>
          <w:highlight w:val="none"/>
          <w:u w:val="none"/>
          <w:lang w:val="en-US" w:eastAsia="zh-CN"/>
        </w:rPr>
        <w:t xml:space="preserve"> </w:t>
      </w:r>
      <w:r>
        <w:rPr>
          <w:rFonts w:hint="default" w:ascii="Times New Roman" w:hAnsi="Times New Roman" w:eastAsia="仿宋_GB2312" w:cs="Times New Roman"/>
          <w:color w:val="auto"/>
          <w:sz w:val="24"/>
          <w:szCs w:val="24"/>
          <w:highlight w:val="none"/>
          <w:lang w:val="en-US" w:eastAsia="zh-CN"/>
        </w:rPr>
        <w:t>品牌：</w:t>
      </w:r>
      <w:r>
        <w:rPr>
          <w:rFonts w:hint="default" w:ascii="Times New Roman" w:hAnsi="Times New Roman" w:eastAsia="仿宋_GB2312" w:cs="Times New Roman"/>
          <w:color w:val="auto"/>
          <w:sz w:val="24"/>
          <w:szCs w:val="24"/>
          <w:highlight w:val="none"/>
          <w:u w:val="single"/>
          <w:lang w:val="en-US" w:eastAsia="zh-CN"/>
        </w:rPr>
        <w:t xml:space="preserve">        </w:t>
      </w:r>
      <w:r>
        <w:rPr>
          <w:rFonts w:hint="default" w:ascii="Times New Roman" w:hAnsi="Times New Roman" w:eastAsia="仿宋_GB2312" w:cs="Times New Roman"/>
          <w:color w:val="auto"/>
          <w:sz w:val="24"/>
          <w:szCs w:val="24"/>
          <w:highlight w:val="none"/>
          <w:u w:val="none"/>
          <w:lang w:val="en-US" w:eastAsia="zh-CN"/>
        </w:rPr>
        <w:t xml:space="preserve"> </w:t>
      </w:r>
      <w:r>
        <w:rPr>
          <w:rFonts w:hint="default" w:ascii="Times New Roman" w:hAnsi="Times New Roman" w:eastAsia="仿宋_GB2312" w:cs="Times New Roman"/>
          <w:color w:val="auto"/>
          <w:sz w:val="24"/>
          <w:szCs w:val="24"/>
          <w:highlight w:val="none"/>
          <w:lang w:val="en-US" w:eastAsia="zh-CN"/>
        </w:rPr>
        <w:t>型号：</w:t>
      </w:r>
      <w:r>
        <w:rPr>
          <w:rFonts w:hint="default" w:ascii="Times New Roman" w:hAnsi="Times New Roman" w:eastAsia="仿宋_GB2312" w:cs="Times New Roman"/>
          <w:color w:val="auto"/>
          <w:sz w:val="24"/>
          <w:szCs w:val="24"/>
          <w:highlight w:val="none"/>
          <w:u w:val="single"/>
          <w:lang w:val="en-US" w:eastAsia="zh-CN"/>
        </w:rPr>
        <w:t xml:space="preserve">       </w:t>
      </w:r>
      <w:r>
        <w:rPr>
          <w:rFonts w:hint="default" w:ascii="Times New Roman" w:hAnsi="Times New Roman" w:eastAsia="仿宋_GB2312" w:cs="Times New Roman"/>
          <w:color w:val="auto"/>
          <w:sz w:val="24"/>
          <w:szCs w:val="24"/>
          <w:highlight w:val="none"/>
          <w:lang w:val="en-US" w:eastAsia="zh-CN"/>
        </w:rPr>
        <w:t xml:space="preserve"> </w:t>
      </w:r>
    </w:p>
    <w:p w14:paraId="0CC54B86">
      <w:pPr>
        <w:pStyle w:val="45"/>
        <w:spacing w:beforeLines="0"/>
        <w:rPr>
          <w:rFonts w:hint="default" w:ascii="Times New Roman" w:hAnsi="Times New Roman" w:eastAsia="仿宋_GB2312" w:cs="Times New Roman"/>
          <w:color w:val="auto"/>
          <w:sz w:val="24"/>
          <w:szCs w:val="24"/>
          <w:highlight w:val="none"/>
          <w:lang w:val="en-US" w:eastAsia="zh-CN"/>
        </w:rPr>
      </w:pPr>
      <w:r>
        <w:rPr>
          <w:rFonts w:hint="default" w:ascii="Times New Roman" w:hAnsi="Times New Roman" w:eastAsia="仿宋_GB2312" w:cs="Times New Roman"/>
          <w:color w:val="auto"/>
          <w:sz w:val="24"/>
          <w:szCs w:val="24"/>
          <w:highlight w:val="none"/>
          <w:lang w:val="en-US" w:eastAsia="zh-CN"/>
        </w:rPr>
        <w:t xml:space="preserve">     </w:t>
      </w:r>
      <w:r>
        <w:rPr>
          <w:rFonts w:hint="default" w:ascii="Times New Roman" w:hAnsi="Times New Roman" w:eastAsia="仿宋_GB2312" w:cs="Times New Roman"/>
          <w:color w:val="auto"/>
          <w:kern w:val="2"/>
          <w:sz w:val="24"/>
          <w:szCs w:val="24"/>
          <w:highlight w:val="none"/>
          <w:lang w:val="en-US" w:eastAsia="zh-CN"/>
        </w:rPr>
        <w:t>关键部件</w:t>
      </w:r>
      <w:r>
        <w:rPr>
          <w:rFonts w:hint="default" w:ascii="Times New Roman" w:hAnsi="Times New Roman" w:eastAsia="仿宋_GB2312" w:cs="Times New Roman"/>
          <w:color w:val="auto"/>
          <w:sz w:val="24"/>
          <w:szCs w:val="24"/>
          <w:highlight w:val="none"/>
          <w:lang w:val="en-US" w:eastAsia="zh-CN"/>
        </w:rPr>
        <w:t>：</w:t>
      </w:r>
      <w:r>
        <w:rPr>
          <w:rFonts w:hint="default" w:ascii="Times New Roman" w:hAnsi="Times New Roman" w:eastAsia="仿宋_GB2312" w:cs="Times New Roman"/>
          <w:color w:val="auto"/>
          <w:sz w:val="24"/>
          <w:szCs w:val="24"/>
          <w:highlight w:val="none"/>
          <w:u w:val="single"/>
          <w:lang w:val="en-US" w:eastAsia="zh-CN"/>
        </w:rPr>
        <w:t xml:space="preserve">          </w:t>
      </w:r>
      <w:r>
        <w:rPr>
          <w:rFonts w:hint="default" w:ascii="Times New Roman" w:hAnsi="Times New Roman" w:eastAsia="仿宋_GB2312" w:cs="Times New Roman"/>
          <w:color w:val="auto"/>
          <w:sz w:val="24"/>
          <w:szCs w:val="24"/>
          <w:highlight w:val="none"/>
          <w:u w:val="none"/>
          <w:lang w:val="en-US" w:eastAsia="zh-CN"/>
        </w:rPr>
        <w:t xml:space="preserve"> </w:t>
      </w:r>
      <w:r>
        <w:rPr>
          <w:rFonts w:hint="default" w:ascii="Times New Roman" w:hAnsi="Times New Roman" w:eastAsia="仿宋_GB2312" w:cs="Times New Roman"/>
          <w:color w:val="auto"/>
          <w:sz w:val="24"/>
          <w:szCs w:val="24"/>
          <w:highlight w:val="none"/>
          <w:lang w:val="en-US" w:eastAsia="zh-CN"/>
        </w:rPr>
        <w:t>品牌：</w:t>
      </w:r>
      <w:r>
        <w:rPr>
          <w:rFonts w:hint="default" w:ascii="Times New Roman" w:hAnsi="Times New Roman" w:eastAsia="仿宋_GB2312" w:cs="Times New Roman"/>
          <w:color w:val="auto"/>
          <w:sz w:val="24"/>
          <w:szCs w:val="24"/>
          <w:highlight w:val="none"/>
          <w:u w:val="single"/>
          <w:lang w:val="en-US" w:eastAsia="zh-CN"/>
        </w:rPr>
        <w:t xml:space="preserve">        </w:t>
      </w:r>
      <w:r>
        <w:rPr>
          <w:rFonts w:hint="default" w:ascii="Times New Roman" w:hAnsi="Times New Roman" w:eastAsia="仿宋_GB2312" w:cs="Times New Roman"/>
          <w:color w:val="auto"/>
          <w:sz w:val="24"/>
          <w:szCs w:val="24"/>
          <w:highlight w:val="none"/>
          <w:u w:val="none"/>
          <w:lang w:val="en-US" w:eastAsia="zh-CN"/>
        </w:rPr>
        <w:t xml:space="preserve"> </w:t>
      </w:r>
      <w:r>
        <w:rPr>
          <w:rFonts w:hint="default" w:ascii="Times New Roman" w:hAnsi="Times New Roman" w:eastAsia="仿宋_GB2312" w:cs="Times New Roman"/>
          <w:color w:val="auto"/>
          <w:sz w:val="24"/>
          <w:szCs w:val="24"/>
          <w:highlight w:val="none"/>
          <w:lang w:val="en-US" w:eastAsia="zh-CN"/>
        </w:rPr>
        <w:t>型号：</w:t>
      </w:r>
      <w:r>
        <w:rPr>
          <w:rFonts w:hint="default" w:ascii="Times New Roman" w:hAnsi="Times New Roman" w:eastAsia="仿宋_GB2312" w:cs="Times New Roman"/>
          <w:color w:val="auto"/>
          <w:sz w:val="24"/>
          <w:szCs w:val="24"/>
          <w:highlight w:val="none"/>
          <w:u w:val="single"/>
          <w:lang w:val="en-US" w:eastAsia="zh-CN"/>
        </w:rPr>
        <w:t xml:space="preserve">       </w:t>
      </w:r>
      <w:r>
        <w:rPr>
          <w:rFonts w:hint="default" w:ascii="Times New Roman" w:hAnsi="Times New Roman" w:eastAsia="仿宋_GB2312" w:cs="Times New Roman"/>
          <w:color w:val="auto"/>
          <w:sz w:val="24"/>
          <w:szCs w:val="24"/>
          <w:highlight w:val="none"/>
          <w:lang w:val="en-US" w:eastAsia="zh-CN"/>
        </w:rPr>
        <w:t xml:space="preserve"> </w:t>
      </w:r>
    </w:p>
    <w:p w14:paraId="767122B3">
      <w:pPr>
        <w:pStyle w:val="45"/>
        <w:spacing w:beforeLines="0"/>
        <w:rPr>
          <w:rFonts w:hint="default" w:ascii="Times New Roman" w:hAnsi="Times New Roman" w:eastAsia="仿宋_GB2312" w:cs="Times New Roman"/>
          <w:color w:val="auto"/>
          <w:sz w:val="24"/>
          <w:szCs w:val="24"/>
          <w:highlight w:val="none"/>
          <w:lang w:val="en-US" w:eastAsia="zh-CN"/>
        </w:rPr>
      </w:pPr>
      <w:r>
        <w:rPr>
          <w:rFonts w:hint="default" w:ascii="Times New Roman" w:hAnsi="Times New Roman" w:eastAsia="仿宋_GB2312" w:cs="Times New Roman"/>
          <w:color w:val="auto"/>
          <w:sz w:val="24"/>
          <w:szCs w:val="24"/>
          <w:highlight w:val="none"/>
          <w:lang w:val="en-US" w:eastAsia="zh-CN"/>
        </w:rPr>
        <w:t xml:space="preserve">     关键部件：</w:t>
      </w:r>
      <w:r>
        <w:rPr>
          <w:rFonts w:hint="default" w:ascii="Times New Roman" w:hAnsi="Times New Roman" w:eastAsia="仿宋_GB2312" w:cs="Times New Roman"/>
          <w:color w:val="auto"/>
          <w:sz w:val="24"/>
          <w:szCs w:val="24"/>
          <w:highlight w:val="none"/>
          <w:u w:val="single"/>
          <w:lang w:val="en-US" w:eastAsia="zh-CN"/>
        </w:rPr>
        <w:t xml:space="preserve">          </w:t>
      </w:r>
      <w:r>
        <w:rPr>
          <w:rFonts w:hint="default" w:ascii="Times New Roman" w:hAnsi="Times New Roman" w:eastAsia="仿宋_GB2312" w:cs="Times New Roman"/>
          <w:color w:val="auto"/>
          <w:sz w:val="24"/>
          <w:szCs w:val="24"/>
          <w:highlight w:val="none"/>
          <w:u w:val="none"/>
          <w:lang w:val="en-US" w:eastAsia="zh-CN"/>
        </w:rPr>
        <w:t xml:space="preserve"> </w:t>
      </w:r>
      <w:r>
        <w:rPr>
          <w:rFonts w:hint="default" w:ascii="Times New Roman" w:hAnsi="Times New Roman" w:eastAsia="仿宋_GB2312" w:cs="Times New Roman"/>
          <w:color w:val="auto"/>
          <w:sz w:val="24"/>
          <w:szCs w:val="24"/>
          <w:highlight w:val="none"/>
          <w:lang w:val="en-US" w:eastAsia="zh-CN"/>
        </w:rPr>
        <w:t>品牌：</w:t>
      </w:r>
      <w:r>
        <w:rPr>
          <w:rFonts w:hint="default" w:ascii="Times New Roman" w:hAnsi="Times New Roman" w:eastAsia="仿宋_GB2312" w:cs="Times New Roman"/>
          <w:color w:val="auto"/>
          <w:sz w:val="24"/>
          <w:szCs w:val="24"/>
          <w:highlight w:val="none"/>
          <w:u w:val="single"/>
          <w:lang w:val="en-US" w:eastAsia="zh-CN"/>
        </w:rPr>
        <w:t xml:space="preserve">        </w:t>
      </w:r>
      <w:r>
        <w:rPr>
          <w:rFonts w:hint="default" w:ascii="Times New Roman" w:hAnsi="Times New Roman" w:eastAsia="仿宋_GB2312" w:cs="Times New Roman"/>
          <w:color w:val="auto"/>
          <w:sz w:val="24"/>
          <w:szCs w:val="24"/>
          <w:highlight w:val="none"/>
          <w:u w:val="none"/>
          <w:lang w:val="en-US" w:eastAsia="zh-CN"/>
        </w:rPr>
        <w:t xml:space="preserve"> </w:t>
      </w:r>
      <w:r>
        <w:rPr>
          <w:rFonts w:hint="default" w:ascii="Times New Roman" w:hAnsi="Times New Roman" w:eastAsia="仿宋_GB2312" w:cs="Times New Roman"/>
          <w:color w:val="auto"/>
          <w:sz w:val="24"/>
          <w:szCs w:val="24"/>
          <w:highlight w:val="none"/>
          <w:lang w:val="en-US" w:eastAsia="zh-CN"/>
        </w:rPr>
        <w:t>型号：</w:t>
      </w:r>
      <w:r>
        <w:rPr>
          <w:rFonts w:hint="default" w:ascii="Times New Roman" w:hAnsi="Times New Roman" w:eastAsia="仿宋_GB2312" w:cs="Times New Roman"/>
          <w:color w:val="auto"/>
          <w:sz w:val="24"/>
          <w:szCs w:val="24"/>
          <w:highlight w:val="none"/>
          <w:u w:val="single"/>
          <w:lang w:val="en-US" w:eastAsia="zh-CN"/>
        </w:rPr>
        <w:t xml:space="preserve">       </w:t>
      </w:r>
    </w:p>
    <w:p w14:paraId="59F09A26">
      <w:pPr>
        <w:pStyle w:val="45"/>
        <w:numPr>
          <w:ilvl w:val="0"/>
          <w:numId w:val="0"/>
        </w:numPr>
        <w:adjustRightInd w:val="0"/>
        <w:snapToGrid w:val="0"/>
        <w:spacing w:before="0" w:beforeLines="0" w:line="400" w:lineRule="exact"/>
        <w:ind w:firstLine="0" w:firstLineChars="0"/>
        <w:rPr>
          <w:rFonts w:hint="default" w:ascii="Times New Roman" w:hAnsi="Times New Roman" w:eastAsia="仿宋_GB2312" w:cs="Times New Roman"/>
          <w:color w:val="auto"/>
          <w:sz w:val="24"/>
          <w:szCs w:val="24"/>
          <w:highlight w:val="none"/>
          <w:lang w:val="en-US" w:eastAsia="zh-CN"/>
        </w:rPr>
      </w:pPr>
      <w:r>
        <w:rPr>
          <w:rFonts w:hint="default" w:ascii="Times New Roman" w:hAnsi="Times New Roman" w:eastAsia="仿宋_GB2312" w:cs="Times New Roman"/>
          <w:color w:val="auto"/>
          <w:sz w:val="24"/>
          <w:szCs w:val="24"/>
          <w:highlight w:val="none"/>
          <w:lang w:val="en-US" w:eastAsia="zh-CN"/>
        </w:rPr>
        <w:t xml:space="preserve">   （注：关键部件是指财政部会同有关部门发布的政府采购需求标准规定的需要通过国家有关部门指定的测评机构开展的安全可靠测评的软硬件，如CPU芯片、操作系统、数据库等。）</w:t>
      </w:r>
    </w:p>
    <w:p w14:paraId="6101CF04">
      <w:pPr>
        <w:pStyle w:val="45"/>
        <w:numPr>
          <w:ilvl w:val="0"/>
          <w:numId w:val="0"/>
        </w:numPr>
        <w:adjustRightInd w:val="0"/>
        <w:snapToGrid w:val="0"/>
        <w:spacing w:before="0" w:beforeLines="0" w:line="400" w:lineRule="exact"/>
        <w:ind w:firstLine="0" w:firstLineChars="0"/>
        <w:rPr>
          <w:rFonts w:hint="default" w:ascii="Times New Roman" w:hAnsi="Times New Roman" w:eastAsia="仿宋_GB2312" w:cs="Times New Roman"/>
          <w:color w:val="auto"/>
          <w:sz w:val="24"/>
          <w:szCs w:val="24"/>
          <w:highlight w:val="none"/>
          <w:lang w:val="en-US" w:eastAsia="zh-CN"/>
        </w:rPr>
      </w:pPr>
      <w:r>
        <w:rPr>
          <w:rFonts w:hint="default" w:ascii="Times New Roman" w:hAnsi="Times New Roman" w:eastAsia="仿宋_GB2312" w:cs="Times New Roman"/>
          <w:color w:val="auto"/>
          <w:sz w:val="24"/>
          <w:szCs w:val="24"/>
          <w:highlight w:val="none"/>
          <w:lang w:val="en-US" w:eastAsia="zh-CN"/>
        </w:rPr>
        <w:t xml:space="preserve">       </w:t>
      </w:r>
      <w:r>
        <w:rPr>
          <w:rFonts w:hint="eastAsia" w:ascii="Times New Roman" w:hAnsi="Times New Roman" w:eastAsia="仿宋_GB2312" w:cs="Times New Roman"/>
          <w:color w:val="auto"/>
          <w:sz w:val="24"/>
          <w:szCs w:val="24"/>
          <w:highlight w:val="none"/>
          <w:lang w:val="en-US" w:eastAsia="zh-CN"/>
        </w:rPr>
        <w:t xml:space="preserve"> </w:t>
      </w:r>
      <w:r>
        <w:rPr>
          <w:rFonts w:hint="default" w:ascii="Times New Roman" w:hAnsi="Times New Roman" w:eastAsia="仿宋_GB2312" w:cs="Times New Roman"/>
          <w:color w:val="auto"/>
          <w:sz w:val="24"/>
          <w:szCs w:val="24"/>
          <w:highlight w:val="none"/>
          <w:lang w:val="en-US" w:eastAsia="zh-CN"/>
        </w:rPr>
        <w:t xml:space="preserve"> ②涉及车辆采购，请填写是否属于新能源汽车：</w:t>
      </w:r>
    </w:p>
    <w:p w14:paraId="10A2DABF">
      <w:pPr>
        <w:pStyle w:val="45"/>
        <w:numPr>
          <w:ilvl w:val="0"/>
          <w:numId w:val="0"/>
        </w:numPr>
        <w:adjustRightInd w:val="0"/>
        <w:snapToGrid w:val="0"/>
        <w:spacing w:before="0" w:beforeLines="0" w:line="400" w:lineRule="exact"/>
        <w:ind w:firstLine="0" w:firstLineChars="0"/>
        <w:rPr>
          <w:rFonts w:hint="default" w:ascii="Times New Roman" w:hAnsi="Times New Roman" w:eastAsia="仿宋_GB2312" w:cs="Times New Roman"/>
          <w:iCs w:val="0"/>
          <w:color w:val="auto"/>
          <w:sz w:val="24"/>
          <w:szCs w:val="24"/>
          <w:highlight w:val="none"/>
          <w:lang w:val="en-US" w:eastAsia="zh-CN"/>
        </w:rPr>
      </w:pPr>
      <w:r>
        <w:rPr>
          <w:rFonts w:hint="default" w:ascii="Times New Roman" w:hAnsi="Times New Roman" w:eastAsia="仿宋_GB2312" w:cs="Times New Roman"/>
          <w:color w:val="auto"/>
          <w:sz w:val="24"/>
          <w:szCs w:val="24"/>
          <w:highlight w:val="none"/>
          <w:lang w:val="en-US" w:eastAsia="zh-CN"/>
        </w:rPr>
        <w:t xml:space="preserve">         </w:t>
      </w:r>
      <w:r>
        <w:rPr>
          <w:rFonts w:hint="default" w:ascii="Times New Roman" w:hAnsi="Times New Roman" w:eastAsia="仿宋_GB2312" w:cs="Times New Roman"/>
          <w:iCs w:val="0"/>
          <w:color w:val="auto"/>
          <w:sz w:val="24"/>
          <w:szCs w:val="24"/>
          <w:highlight w:val="none"/>
        </w:rPr>
        <w:sym w:font="Wingdings" w:char="00A8"/>
      </w:r>
      <w:r>
        <w:rPr>
          <w:rFonts w:hint="default" w:ascii="Times New Roman" w:hAnsi="Times New Roman" w:eastAsia="仿宋_GB2312" w:cs="Times New Roman"/>
          <w:iCs w:val="0"/>
          <w:color w:val="auto"/>
          <w:sz w:val="24"/>
          <w:szCs w:val="24"/>
          <w:highlight w:val="none"/>
        </w:rPr>
        <w:t>是</w:t>
      </w:r>
      <w:r>
        <w:rPr>
          <w:rFonts w:hint="default" w:ascii="Times New Roman" w:hAnsi="Times New Roman" w:eastAsia="仿宋_GB2312" w:cs="Times New Roman"/>
          <w:iCs w:val="0"/>
          <w:color w:val="auto"/>
          <w:sz w:val="24"/>
          <w:szCs w:val="24"/>
          <w:highlight w:val="none"/>
          <w:lang w:eastAsia="zh-CN"/>
        </w:rPr>
        <w:t>，《政府采购品目分类目录》底级品目名称</w:t>
      </w:r>
      <w:r>
        <w:rPr>
          <w:rFonts w:hint="default" w:ascii="Times New Roman" w:hAnsi="Times New Roman" w:eastAsia="仿宋_GB2312" w:cs="Times New Roman"/>
          <w:color w:val="auto"/>
          <w:sz w:val="24"/>
          <w:szCs w:val="24"/>
          <w:highlight w:val="none"/>
          <w:lang w:val="en-US" w:eastAsia="zh-CN"/>
        </w:rPr>
        <w:t>：</w:t>
      </w:r>
      <w:r>
        <w:rPr>
          <w:rFonts w:hint="default" w:ascii="Times New Roman" w:hAnsi="Times New Roman" w:eastAsia="仿宋_GB2312" w:cs="Times New Roman"/>
          <w:color w:val="auto"/>
          <w:sz w:val="24"/>
          <w:szCs w:val="24"/>
          <w:highlight w:val="none"/>
          <w:u w:val="single"/>
          <w:lang w:val="en-US" w:eastAsia="zh-CN"/>
        </w:rPr>
        <w:t xml:space="preserve">     </w:t>
      </w:r>
      <w:r>
        <w:rPr>
          <w:rFonts w:hint="default" w:ascii="Times New Roman" w:hAnsi="Times New Roman" w:eastAsia="仿宋_GB2312" w:cs="Times New Roman"/>
          <w:color w:val="auto"/>
          <w:sz w:val="24"/>
          <w:szCs w:val="24"/>
          <w:highlight w:val="none"/>
          <w:lang w:val="en-US" w:eastAsia="zh-CN"/>
        </w:rPr>
        <w:t xml:space="preserve"> 数量：</w:t>
      </w:r>
      <w:r>
        <w:rPr>
          <w:rFonts w:hint="default" w:ascii="Times New Roman" w:hAnsi="Times New Roman" w:eastAsia="仿宋_GB2312" w:cs="Times New Roman"/>
          <w:color w:val="auto"/>
          <w:sz w:val="24"/>
          <w:szCs w:val="24"/>
          <w:highlight w:val="none"/>
          <w:u w:val="single"/>
          <w:lang w:val="en-US" w:eastAsia="zh-CN"/>
        </w:rPr>
        <w:t xml:space="preserve">    </w:t>
      </w:r>
      <w:r>
        <w:rPr>
          <w:rFonts w:hint="default" w:ascii="Times New Roman" w:hAnsi="Times New Roman" w:eastAsia="仿宋_GB2312" w:cs="Times New Roman"/>
          <w:color w:val="auto"/>
          <w:sz w:val="24"/>
          <w:szCs w:val="24"/>
          <w:highlight w:val="none"/>
          <w:lang w:val="en-US" w:eastAsia="zh-CN"/>
        </w:rPr>
        <w:t xml:space="preserve"> 金额：</w:t>
      </w:r>
      <w:r>
        <w:rPr>
          <w:rFonts w:hint="default" w:ascii="Times New Roman" w:hAnsi="Times New Roman" w:eastAsia="仿宋_GB2312" w:cs="Times New Roman"/>
          <w:color w:val="auto"/>
          <w:sz w:val="24"/>
          <w:szCs w:val="24"/>
          <w:highlight w:val="none"/>
          <w:u w:val="single"/>
          <w:lang w:val="en-US" w:eastAsia="zh-CN"/>
        </w:rPr>
        <w:t xml:space="preserve">     </w:t>
      </w:r>
      <w:r>
        <w:rPr>
          <w:rFonts w:hint="default" w:ascii="Times New Roman" w:hAnsi="Times New Roman" w:eastAsia="仿宋_GB2312" w:cs="Times New Roman"/>
          <w:iCs w:val="0"/>
          <w:color w:val="auto"/>
          <w:sz w:val="24"/>
          <w:szCs w:val="24"/>
          <w:highlight w:val="none"/>
          <w:lang w:val="en-US" w:eastAsia="zh-CN"/>
        </w:rPr>
        <w:t xml:space="preserve"> </w:t>
      </w:r>
    </w:p>
    <w:p w14:paraId="052D3B5D">
      <w:pPr>
        <w:pStyle w:val="45"/>
        <w:numPr>
          <w:ilvl w:val="0"/>
          <w:numId w:val="0"/>
        </w:numPr>
        <w:adjustRightInd w:val="0"/>
        <w:snapToGrid w:val="0"/>
        <w:spacing w:before="0" w:beforeLines="0" w:line="400" w:lineRule="exact"/>
        <w:ind w:firstLine="0" w:firstLineChars="0"/>
        <w:rPr>
          <w:rFonts w:hint="default" w:ascii="Times New Roman" w:hAnsi="Times New Roman" w:eastAsia="仿宋_GB2312" w:cs="Times New Roman"/>
          <w:iCs w:val="0"/>
          <w:color w:val="auto"/>
          <w:sz w:val="24"/>
          <w:szCs w:val="24"/>
          <w:highlight w:val="none"/>
          <w:lang w:eastAsia="zh-CN"/>
        </w:rPr>
      </w:pPr>
      <w:r>
        <w:rPr>
          <w:rFonts w:hint="default" w:ascii="Times New Roman" w:hAnsi="Times New Roman" w:eastAsia="仿宋_GB2312" w:cs="Times New Roman"/>
          <w:iCs w:val="0"/>
          <w:color w:val="auto"/>
          <w:sz w:val="24"/>
          <w:szCs w:val="24"/>
          <w:highlight w:val="none"/>
          <w:lang w:val="en-US" w:eastAsia="zh-CN"/>
        </w:rPr>
        <w:t xml:space="preserve">         </w:t>
      </w:r>
      <w:r>
        <w:rPr>
          <w:rFonts w:hint="default" w:ascii="Times New Roman" w:hAnsi="Times New Roman" w:eastAsia="仿宋_GB2312" w:cs="Times New Roman"/>
          <w:iCs w:val="0"/>
          <w:color w:val="auto"/>
          <w:sz w:val="24"/>
          <w:szCs w:val="24"/>
          <w:highlight w:val="none"/>
        </w:rPr>
        <w:sym w:font="Wingdings" w:char="00A8"/>
      </w:r>
      <w:r>
        <w:rPr>
          <w:rFonts w:hint="default" w:ascii="Times New Roman" w:hAnsi="Times New Roman" w:eastAsia="仿宋_GB2312" w:cs="Times New Roman"/>
          <w:iCs w:val="0"/>
          <w:color w:val="auto"/>
          <w:sz w:val="24"/>
          <w:szCs w:val="24"/>
          <w:highlight w:val="none"/>
          <w:lang w:eastAsia="zh-CN"/>
        </w:rPr>
        <w:t>否</w:t>
      </w:r>
    </w:p>
    <w:p w14:paraId="4A96BDFF">
      <w:pPr>
        <w:pStyle w:val="45"/>
        <w:numPr>
          <w:ilvl w:val="0"/>
          <w:numId w:val="0"/>
        </w:numPr>
        <w:adjustRightInd w:val="0"/>
        <w:snapToGrid w:val="0"/>
        <w:spacing w:before="0" w:beforeLines="0" w:line="400" w:lineRule="exact"/>
        <w:ind w:left="0" w:firstLine="0" w:firstLineChars="0"/>
        <w:rPr>
          <w:rFonts w:hint="default" w:ascii="Times New Roman" w:hAnsi="Times New Roman" w:eastAsia="仿宋_GB2312" w:cs="Times New Roman"/>
          <w:iCs w:val="0"/>
          <w:color w:val="auto"/>
          <w:sz w:val="24"/>
          <w:szCs w:val="24"/>
          <w:highlight w:val="none"/>
          <w:lang w:val="en-US" w:eastAsia="zh-CN"/>
        </w:rPr>
      </w:pPr>
      <w:r>
        <w:rPr>
          <w:rFonts w:hint="default" w:ascii="Times New Roman" w:hAnsi="Times New Roman" w:eastAsia="仿宋_GB2312" w:cs="Times New Roman"/>
          <w:iCs w:val="0"/>
          <w:color w:val="auto"/>
          <w:sz w:val="24"/>
          <w:szCs w:val="24"/>
          <w:highlight w:val="none"/>
          <w:lang w:val="en-US" w:eastAsia="zh-CN"/>
        </w:rPr>
        <w:t xml:space="preserve">    （</w:t>
      </w:r>
      <w:r>
        <w:rPr>
          <w:rFonts w:hint="default" w:ascii="Times New Roman" w:hAnsi="Times New Roman" w:eastAsia="仿宋_GB2312" w:cs="Times New Roman"/>
          <w:iCs w:val="0"/>
          <w:color w:val="auto"/>
          <w:sz w:val="24"/>
          <w:szCs w:val="24"/>
          <w:highlight w:val="none"/>
          <w:lang w:val="en" w:eastAsia="zh-CN"/>
        </w:rPr>
        <w:t>4</w:t>
      </w:r>
      <w:r>
        <w:rPr>
          <w:rFonts w:hint="default" w:ascii="Times New Roman" w:hAnsi="Times New Roman" w:eastAsia="仿宋_GB2312" w:cs="Times New Roman"/>
          <w:iCs w:val="0"/>
          <w:color w:val="auto"/>
          <w:sz w:val="24"/>
          <w:szCs w:val="24"/>
          <w:highlight w:val="none"/>
          <w:lang w:val="en-US" w:eastAsia="zh-CN"/>
        </w:rPr>
        <w:t>）政府采购组织形式：</w:t>
      </w:r>
      <w:r>
        <w:rPr>
          <w:rFonts w:hint="default" w:ascii="Times New Roman" w:hAnsi="Times New Roman" w:eastAsia="仿宋_GB2312" w:cs="Times New Roman"/>
          <w:iCs w:val="0"/>
          <w:color w:val="auto"/>
          <w:sz w:val="24"/>
          <w:szCs w:val="24"/>
          <w:highlight w:val="none"/>
        </w:rPr>
        <w:sym w:font="Wingdings" w:char="00A8"/>
      </w:r>
      <w:r>
        <w:rPr>
          <w:rFonts w:hint="default" w:ascii="Times New Roman" w:hAnsi="Times New Roman" w:eastAsia="仿宋_GB2312" w:cs="Times New Roman"/>
          <w:iCs w:val="0"/>
          <w:color w:val="auto"/>
          <w:sz w:val="24"/>
          <w:szCs w:val="24"/>
          <w:highlight w:val="none"/>
          <w:lang w:eastAsia="zh-CN"/>
        </w:rPr>
        <w:t>政府集中采购</w:t>
      </w:r>
      <w:r>
        <w:rPr>
          <w:rFonts w:hint="default" w:ascii="Times New Roman" w:hAnsi="Times New Roman" w:eastAsia="仿宋_GB2312" w:cs="Times New Roman"/>
          <w:iCs w:val="0"/>
          <w:color w:val="auto"/>
          <w:sz w:val="24"/>
          <w:szCs w:val="24"/>
          <w:highlight w:val="none"/>
          <w:lang w:val="en-US" w:eastAsia="zh-CN"/>
        </w:rPr>
        <w:t xml:space="preserve">  </w:t>
      </w:r>
      <w:r>
        <w:rPr>
          <w:rFonts w:hint="default" w:ascii="Times New Roman" w:hAnsi="Times New Roman" w:eastAsia="仿宋_GB2312" w:cs="Times New Roman"/>
          <w:iCs w:val="0"/>
          <w:color w:val="auto"/>
          <w:sz w:val="24"/>
          <w:szCs w:val="24"/>
          <w:highlight w:val="none"/>
        </w:rPr>
        <w:sym w:font="Wingdings" w:char="00A8"/>
      </w:r>
      <w:r>
        <w:rPr>
          <w:rFonts w:hint="default" w:ascii="Times New Roman" w:hAnsi="Times New Roman" w:eastAsia="仿宋_GB2312" w:cs="Times New Roman"/>
          <w:iCs w:val="0"/>
          <w:color w:val="auto"/>
          <w:sz w:val="24"/>
          <w:szCs w:val="24"/>
          <w:highlight w:val="none"/>
          <w:lang w:val="en-US" w:eastAsia="zh-CN"/>
        </w:rPr>
        <w:t xml:space="preserve">部门集中采购  </w:t>
      </w:r>
      <w:r>
        <w:rPr>
          <w:rFonts w:hint="default" w:ascii="Times New Roman" w:hAnsi="Times New Roman" w:eastAsia="仿宋_GB2312" w:cs="Times New Roman"/>
          <w:iCs w:val="0"/>
          <w:color w:val="auto"/>
          <w:sz w:val="24"/>
          <w:szCs w:val="24"/>
          <w:highlight w:val="none"/>
        </w:rPr>
        <w:sym w:font="Wingdings" w:char="00A8"/>
      </w:r>
      <w:r>
        <w:rPr>
          <w:rFonts w:hint="default" w:ascii="Times New Roman" w:hAnsi="Times New Roman" w:eastAsia="仿宋_GB2312" w:cs="Times New Roman"/>
          <w:iCs w:val="0"/>
          <w:color w:val="auto"/>
          <w:sz w:val="24"/>
          <w:szCs w:val="24"/>
          <w:highlight w:val="none"/>
          <w:lang w:val="en-US" w:eastAsia="zh-CN"/>
        </w:rPr>
        <w:t>分散采购</w:t>
      </w:r>
    </w:p>
    <w:p w14:paraId="2154AFA1">
      <w:pPr>
        <w:pStyle w:val="45"/>
        <w:numPr>
          <w:ilvl w:val="0"/>
          <w:numId w:val="0"/>
        </w:numPr>
        <w:adjustRightInd w:val="0"/>
        <w:snapToGrid w:val="0"/>
        <w:spacing w:before="0" w:beforeLines="0" w:line="400" w:lineRule="exact"/>
        <w:ind w:left="0" w:firstLine="420" w:firstLineChars="0"/>
        <w:rPr>
          <w:rFonts w:hint="default" w:ascii="Times New Roman" w:hAnsi="Times New Roman" w:eastAsia="仿宋_GB2312" w:cs="Times New Roman"/>
          <w:iCs w:val="0"/>
          <w:color w:val="auto"/>
          <w:sz w:val="24"/>
          <w:szCs w:val="24"/>
          <w:highlight w:val="none"/>
          <w:u w:val="single"/>
          <w:lang w:val="en-US" w:eastAsia="zh-CN"/>
        </w:rPr>
      </w:pPr>
      <w:r>
        <w:rPr>
          <w:rFonts w:hint="default" w:ascii="Times New Roman" w:hAnsi="Times New Roman" w:eastAsia="仿宋_GB2312" w:cs="Times New Roman"/>
          <w:iCs w:val="0"/>
          <w:color w:val="auto"/>
          <w:sz w:val="24"/>
          <w:szCs w:val="24"/>
          <w:highlight w:val="none"/>
          <w:lang w:val="en-US" w:eastAsia="zh-CN"/>
        </w:rPr>
        <w:t>（</w:t>
      </w:r>
      <w:r>
        <w:rPr>
          <w:rFonts w:hint="default" w:ascii="Times New Roman" w:hAnsi="Times New Roman" w:eastAsia="仿宋_GB2312" w:cs="Times New Roman"/>
          <w:iCs w:val="0"/>
          <w:color w:val="auto"/>
          <w:sz w:val="24"/>
          <w:szCs w:val="24"/>
          <w:highlight w:val="none"/>
          <w:lang w:val="en" w:eastAsia="zh-CN"/>
        </w:rPr>
        <w:t>5</w:t>
      </w:r>
      <w:r>
        <w:rPr>
          <w:rFonts w:hint="default" w:ascii="Times New Roman" w:hAnsi="Times New Roman" w:eastAsia="仿宋_GB2312" w:cs="Times New Roman"/>
          <w:iCs w:val="0"/>
          <w:color w:val="auto"/>
          <w:sz w:val="24"/>
          <w:szCs w:val="24"/>
          <w:highlight w:val="none"/>
          <w:lang w:val="en-US" w:eastAsia="zh-CN"/>
        </w:rPr>
        <w:t>）政府采购方式：</w:t>
      </w:r>
      <w:r>
        <w:rPr>
          <w:rFonts w:hint="default" w:ascii="Times New Roman" w:hAnsi="Times New Roman" w:eastAsia="仿宋_GB2312" w:cs="Times New Roman"/>
          <w:iCs w:val="0"/>
          <w:color w:val="auto"/>
          <w:sz w:val="24"/>
          <w:szCs w:val="24"/>
          <w:highlight w:val="none"/>
        </w:rPr>
        <w:sym w:font="Wingdings" w:char="00A8"/>
      </w:r>
      <w:r>
        <w:rPr>
          <w:rFonts w:hint="default" w:ascii="Times New Roman" w:hAnsi="Times New Roman" w:eastAsia="仿宋_GB2312" w:cs="Times New Roman"/>
          <w:iCs w:val="0"/>
          <w:color w:val="auto"/>
          <w:sz w:val="24"/>
          <w:szCs w:val="24"/>
          <w:highlight w:val="none"/>
          <w:lang w:eastAsia="zh-CN"/>
        </w:rPr>
        <w:t>公开招标</w:t>
      </w:r>
      <w:r>
        <w:rPr>
          <w:rFonts w:hint="default" w:ascii="Times New Roman" w:hAnsi="Times New Roman" w:eastAsia="仿宋_GB2312" w:cs="Times New Roman"/>
          <w:iCs w:val="0"/>
          <w:color w:val="auto"/>
          <w:sz w:val="24"/>
          <w:szCs w:val="24"/>
          <w:highlight w:val="none"/>
          <w:lang w:val="en-US" w:eastAsia="zh-CN"/>
        </w:rPr>
        <w:t xml:space="preserve"> </w:t>
      </w:r>
      <w:r>
        <w:rPr>
          <w:rFonts w:hint="default" w:ascii="Times New Roman" w:hAnsi="Times New Roman" w:eastAsia="仿宋_GB2312" w:cs="Times New Roman"/>
          <w:iCs w:val="0"/>
          <w:color w:val="auto"/>
          <w:sz w:val="24"/>
          <w:szCs w:val="24"/>
          <w:highlight w:val="none"/>
        </w:rPr>
        <w:sym w:font="Wingdings" w:char="00A8"/>
      </w:r>
      <w:r>
        <w:rPr>
          <w:rFonts w:hint="default" w:ascii="Times New Roman" w:hAnsi="Times New Roman" w:eastAsia="仿宋_GB2312" w:cs="Times New Roman"/>
          <w:iCs w:val="0"/>
          <w:color w:val="auto"/>
          <w:sz w:val="24"/>
          <w:szCs w:val="24"/>
          <w:highlight w:val="none"/>
          <w:lang w:eastAsia="zh-CN"/>
        </w:rPr>
        <w:t>邀请招标</w:t>
      </w:r>
      <w:r>
        <w:rPr>
          <w:rFonts w:hint="default" w:ascii="Times New Roman" w:hAnsi="Times New Roman" w:eastAsia="仿宋_GB2312" w:cs="Times New Roman"/>
          <w:iCs w:val="0"/>
          <w:color w:val="auto"/>
          <w:sz w:val="24"/>
          <w:szCs w:val="24"/>
          <w:highlight w:val="none"/>
          <w:lang w:val="en-US" w:eastAsia="zh-CN"/>
        </w:rPr>
        <w:t xml:space="preserve"> </w:t>
      </w:r>
      <w:r>
        <w:rPr>
          <w:rFonts w:hint="default" w:ascii="Times New Roman" w:hAnsi="Times New Roman" w:eastAsia="仿宋_GB2312" w:cs="Times New Roman"/>
          <w:iCs w:val="0"/>
          <w:color w:val="auto"/>
          <w:sz w:val="24"/>
          <w:szCs w:val="24"/>
          <w:highlight w:val="none"/>
        </w:rPr>
        <w:sym w:font="Wingdings" w:char="00A8"/>
      </w:r>
      <w:r>
        <w:rPr>
          <w:rFonts w:hint="default" w:ascii="Times New Roman" w:hAnsi="Times New Roman" w:eastAsia="仿宋_GB2312" w:cs="Times New Roman"/>
          <w:iCs w:val="0"/>
          <w:color w:val="auto"/>
          <w:sz w:val="24"/>
          <w:szCs w:val="24"/>
          <w:highlight w:val="none"/>
          <w:lang w:eastAsia="zh-CN"/>
        </w:rPr>
        <w:t>竞争性谈判</w:t>
      </w:r>
      <w:r>
        <w:rPr>
          <w:rFonts w:hint="default" w:ascii="Times New Roman" w:hAnsi="Times New Roman" w:eastAsia="仿宋_GB2312" w:cs="Times New Roman"/>
          <w:iCs w:val="0"/>
          <w:color w:val="auto"/>
          <w:sz w:val="24"/>
          <w:szCs w:val="24"/>
          <w:highlight w:val="none"/>
          <w:lang w:val="en-US" w:eastAsia="zh-CN"/>
        </w:rPr>
        <w:t xml:space="preserve"> </w:t>
      </w:r>
      <w:r>
        <w:rPr>
          <w:rFonts w:hint="default" w:ascii="Times New Roman" w:hAnsi="Times New Roman" w:eastAsia="仿宋_GB2312" w:cs="Times New Roman"/>
          <w:iCs w:val="0"/>
          <w:color w:val="auto"/>
          <w:sz w:val="24"/>
          <w:szCs w:val="24"/>
          <w:highlight w:val="none"/>
        </w:rPr>
        <w:sym w:font="Wingdings" w:char="00A8"/>
      </w:r>
      <w:r>
        <w:rPr>
          <w:rFonts w:hint="default" w:ascii="Times New Roman" w:hAnsi="Times New Roman" w:eastAsia="仿宋_GB2312" w:cs="Times New Roman"/>
          <w:iCs w:val="0"/>
          <w:color w:val="auto"/>
          <w:sz w:val="24"/>
          <w:szCs w:val="24"/>
          <w:highlight w:val="none"/>
          <w:lang w:eastAsia="zh-CN"/>
        </w:rPr>
        <w:t>竞争性</w:t>
      </w:r>
      <w:r>
        <w:rPr>
          <w:rFonts w:hint="eastAsia" w:ascii="Times New Roman" w:hAnsi="Times New Roman" w:eastAsia="仿宋_GB2312" w:cs="Times New Roman"/>
          <w:iCs w:val="0"/>
          <w:color w:val="auto"/>
          <w:sz w:val="24"/>
          <w:szCs w:val="24"/>
          <w:highlight w:val="none"/>
          <w:lang w:eastAsia="zh-CN"/>
        </w:rPr>
        <w:t>招标文件</w:t>
      </w:r>
      <w:r>
        <w:rPr>
          <w:rFonts w:hint="eastAsia" w:ascii="Times New Roman" w:hAnsi="Times New Roman" w:eastAsia="仿宋_GB2312" w:cs="Times New Roman"/>
          <w:iCs w:val="0"/>
          <w:color w:val="auto"/>
          <w:sz w:val="24"/>
          <w:szCs w:val="24"/>
          <w:highlight w:val="none"/>
          <w:lang w:val="en-US" w:eastAsia="zh-CN"/>
        </w:rPr>
        <w:t xml:space="preserve"> </w:t>
      </w:r>
      <w:r>
        <w:rPr>
          <w:rFonts w:hint="default" w:ascii="Times New Roman" w:hAnsi="Times New Roman" w:eastAsia="仿宋_GB2312" w:cs="Times New Roman"/>
          <w:iCs w:val="0"/>
          <w:color w:val="auto"/>
          <w:sz w:val="24"/>
          <w:szCs w:val="24"/>
          <w:highlight w:val="none"/>
        </w:rPr>
        <w:sym w:font="Wingdings" w:char="00A8"/>
      </w:r>
      <w:r>
        <w:rPr>
          <w:rFonts w:hint="default" w:ascii="Times New Roman" w:hAnsi="Times New Roman" w:eastAsia="仿宋_GB2312" w:cs="Times New Roman"/>
          <w:iCs w:val="0"/>
          <w:color w:val="auto"/>
          <w:sz w:val="24"/>
          <w:szCs w:val="24"/>
          <w:highlight w:val="none"/>
          <w:lang w:eastAsia="zh-CN"/>
        </w:rPr>
        <w:t>询价</w:t>
      </w:r>
      <w:r>
        <w:rPr>
          <w:rFonts w:hint="default" w:ascii="Times New Roman" w:hAnsi="Times New Roman" w:eastAsia="仿宋_GB2312" w:cs="Times New Roman"/>
          <w:iCs w:val="0"/>
          <w:color w:val="auto"/>
          <w:sz w:val="24"/>
          <w:szCs w:val="24"/>
          <w:highlight w:val="none"/>
          <w:lang w:val="en-US" w:eastAsia="zh-CN"/>
        </w:rPr>
        <w:t xml:space="preserve"> </w:t>
      </w:r>
      <w:r>
        <w:rPr>
          <w:rFonts w:hint="default" w:ascii="Times New Roman" w:hAnsi="Times New Roman" w:eastAsia="仿宋_GB2312" w:cs="Times New Roman"/>
          <w:iCs w:val="0"/>
          <w:color w:val="auto"/>
          <w:sz w:val="24"/>
          <w:szCs w:val="24"/>
          <w:highlight w:val="none"/>
        </w:rPr>
        <w:sym w:font="Wingdings" w:char="00A8"/>
      </w:r>
      <w:r>
        <w:rPr>
          <w:rFonts w:hint="default" w:ascii="Times New Roman" w:hAnsi="Times New Roman" w:eastAsia="仿宋_GB2312" w:cs="Times New Roman"/>
          <w:iCs w:val="0"/>
          <w:color w:val="auto"/>
          <w:sz w:val="24"/>
          <w:szCs w:val="24"/>
          <w:highlight w:val="none"/>
          <w:lang w:eastAsia="zh-CN"/>
        </w:rPr>
        <w:t>单一来源</w:t>
      </w:r>
      <w:r>
        <w:rPr>
          <w:rFonts w:hint="default" w:ascii="Times New Roman" w:hAnsi="Times New Roman" w:eastAsia="仿宋_GB2312" w:cs="Times New Roman"/>
          <w:iCs w:val="0"/>
          <w:color w:val="auto"/>
          <w:sz w:val="24"/>
          <w:szCs w:val="24"/>
          <w:highlight w:val="none"/>
          <w:lang w:val="en-US" w:eastAsia="zh-CN"/>
        </w:rPr>
        <w:t xml:space="preserve"> </w:t>
      </w:r>
      <w:r>
        <w:rPr>
          <w:rFonts w:hint="default" w:ascii="Times New Roman" w:hAnsi="Times New Roman" w:eastAsia="仿宋_GB2312" w:cs="Times New Roman"/>
          <w:iCs w:val="0"/>
          <w:color w:val="auto"/>
          <w:sz w:val="24"/>
          <w:szCs w:val="24"/>
          <w:highlight w:val="none"/>
        </w:rPr>
        <w:sym w:font="Wingdings" w:char="00A8"/>
      </w:r>
      <w:r>
        <w:rPr>
          <w:rFonts w:hint="default" w:ascii="Times New Roman" w:hAnsi="Times New Roman" w:eastAsia="仿宋_GB2312" w:cs="Times New Roman"/>
          <w:iCs w:val="0"/>
          <w:color w:val="auto"/>
          <w:sz w:val="24"/>
          <w:szCs w:val="24"/>
          <w:highlight w:val="none"/>
          <w:lang w:eastAsia="zh-CN"/>
        </w:rPr>
        <w:t>框架协议</w:t>
      </w:r>
      <w:r>
        <w:rPr>
          <w:rFonts w:hint="default" w:ascii="Times New Roman" w:hAnsi="Times New Roman" w:eastAsia="仿宋_GB2312" w:cs="Times New Roman"/>
          <w:iCs w:val="0"/>
          <w:color w:val="auto"/>
          <w:sz w:val="24"/>
          <w:szCs w:val="24"/>
          <w:highlight w:val="none"/>
          <w:lang w:val="en-US" w:eastAsia="zh-CN"/>
        </w:rPr>
        <w:t xml:space="preserve"> </w:t>
      </w:r>
      <w:r>
        <w:rPr>
          <w:rFonts w:hint="default" w:ascii="Times New Roman" w:hAnsi="Times New Roman" w:eastAsia="仿宋_GB2312" w:cs="Times New Roman"/>
          <w:iCs w:val="0"/>
          <w:color w:val="auto"/>
          <w:sz w:val="24"/>
          <w:szCs w:val="24"/>
          <w:highlight w:val="none"/>
        </w:rPr>
        <w:sym w:font="Wingdings" w:char="00A8"/>
      </w:r>
      <w:r>
        <w:rPr>
          <w:rFonts w:hint="default" w:ascii="Times New Roman" w:hAnsi="Times New Roman" w:eastAsia="仿宋_GB2312" w:cs="Times New Roman"/>
          <w:iCs w:val="0"/>
          <w:color w:val="auto"/>
          <w:sz w:val="24"/>
          <w:szCs w:val="24"/>
          <w:highlight w:val="none"/>
          <w:lang w:eastAsia="zh-CN"/>
        </w:rPr>
        <w:t>其他：</w:t>
      </w:r>
      <w:r>
        <w:rPr>
          <w:rFonts w:hint="default" w:ascii="Times New Roman" w:hAnsi="Times New Roman" w:eastAsia="仿宋_GB2312" w:cs="Times New Roman"/>
          <w:iCs w:val="0"/>
          <w:color w:val="auto"/>
          <w:sz w:val="24"/>
          <w:szCs w:val="24"/>
          <w:highlight w:val="none"/>
          <w:u w:val="single"/>
          <w:lang w:val="en-US" w:eastAsia="zh-CN"/>
        </w:rPr>
        <w:t xml:space="preserve">          </w:t>
      </w:r>
    </w:p>
    <w:p w14:paraId="5DFB2343">
      <w:pPr>
        <w:pStyle w:val="45"/>
        <w:numPr>
          <w:ilvl w:val="0"/>
          <w:numId w:val="0"/>
        </w:numPr>
        <w:adjustRightInd w:val="0"/>
        <w:snapToGrid w:val="0"/>
        <w:spacing w:before="0" w:beforeLines="0" w:line="400" w:lineRule="exact"/>
        <w:ind w:left="0" w:firstLine="420" w:firstLineChars="0"/>
        <w:rPr>
          <w:rFonts w:hint="default" w:ascii="Times New Roman" w:hAnsi="Times New Roman" w:eastAsia="仿宋_GB2312" w:cs="Times New Roman"/>
          <w:iCs w:val="0"/>
          <w:color w:val="auto"/>
          <w:sz w:val="24"/>
          <w:szCs w:val="24"/>
          <w:highlight w:val="none"/>
          <w:u w:val="none"/>
          <w:lang w:val="en-US" w:eastAsia="zh-CN"/>
        </w:rPr>
      </w:pPr>
      <w:r>
        <w:rPr>
          <w:rFonts w:hint="default" w:ascii="Times New Roman" w:hAnsi="Times New Roman" w:eastAsia="仿宋_GB2312" w:cs="Times New Roman"/>
          <w:iCs w:val="0"/>
          <w:color w:val="auto"/>
          <w:sz w:val="24"/>
          <w:szCs w:val="24"/>
          <w:highlight w:val="none"/>
          <w:u w:val="none"/>
          <w:lang w:val="en-US" w:eastAsia="zh-CN"/>
        </w:rPr>
        <w:t>（注：在框架协议采购的第二阶段，可选择使用该合同文本）</w:t>
      </w:r>
    </w:p>
    <w:p w14:paraId="715FD736">
      <w:pPr>
        <w:pStyle w:val="45"/>
        <w:numPr>
          <w:ilvl w:val="0"/>
          <w:numId w:val="0"/>
        </w:numPr>
        <w:adjustRightInd w:val="0"/>
        <w:snapToGrid w:val="0"/>
        <w:spacing w:before="0" w:beforeLines="0" w:line="400" w:lineRule="exact"/>
        <w:ind w:firstLine="240" w:firstLineChars="100"/>
        <w:rPr>
          <w:rFonts w:hint="default" w:ascii="Times New Roman" w:hAnsi="Times New Roman" w:eastAsia="仿宋_GB2312" w:cs="Times New Roman"/>
          <w:color w:val="auto"/>
          <w:w w:val="100"/>
          <w:kern w:val="2"/>
          <w:sz w:val="24"/>
          <w:szCs w:val="24"/>
          <w:highlight w:val="none"/>
          <w:lang w:val="en-US" w:eastAsia="zh-CN" w:bidi="ar-SA"/>
        </w:rPr>
      </w:pPr>
      <w:r>
        <w:rPr>
          <w:rFonts w:hint="default" w:ascii="Times New Roman" w:hAnsi="Times New Roman" w:eastAsia="仿宋_GB2312" w:cs="Times New Roman"/>
          <w:color w:val="auto"/>
          <w:sz w:val="24"/>
          <w:szCs w:val="24"/>
          <w:highlight w:val="none"/>
          <w:lang w:val="en-US" w:eastAsia="zh-CN"/>
        </w:rPr>
        <w:t xml:space="preserve"> （</w:t>
      </w:r>
      <w:r>
        <w:rPr>
          <w:rFonts w:hint="default" w:ascii="Times New Roman" w:hAnsi="Times New Roman" w:eastAsia="仿宋_GB2312" w:cs="Times New Roman"/>
          <w:color w:val="auto"/>
          <w:sz w:val="24"/>
          <w:szCs w:val="24"/>
          <w:highlight w:val="none"/>
          <w:lang w:val="en" w:eastAsia="zh-CN"/>
        </w:rPr>
        <w:t>6</w:t>
      </w:r>
      <w:r>
        <w:rPr>
          <w:rFonts w:hint="default" w:ascii="Times New Roman" w:hAnsi="Times New Roman" w:eastAsia="仿宋_GB2312" w:cs="Times New Roman"/>
          <w:color w:val="auto"/>
          <w:sz w:val="24"/>
          <w:szCs w:val="24"/>
          <w:highlight w:val="none"/>
          <w:lang w:val="en-US" w:eastAsia="zh-CN"/>
        </w:rPr>
        <w:t>）</w:t>
      </w:r>
      <w:r>
        <w:rPr>
          <w:rFonts w:hint="default" w:ascii="Times New Roman" w:hAnsi="Times New Roman" w:eastAsia="仿宋_GB2312" w:cs="Times New Roman"/>
          <w:color w:val="auto"/>
          <w:w w:val="100"/>
          <w:kern w:val="2"/>
          <w:sz w:val="24"/>
          <w:szCs w:val="24"/>
          <w:highlight w:val="none"/>
          <w:lang w:val="en-US" w:eastAsia="zh-CN" w:bidi="ar-SA"/>
        </w:rPr>
        <w:t>中标（成交）采购标的制造商是否为中小企业：</w:t>
      </w:r>
      <w:r>
        <w:rPr>
          <w:rFonts w:hint="default" w:ascii="Times New Roman" w:hAnsi="Times New Roman" w:eastAsia="仿宋_GB2312" w:cs="Times New Roman"/>
          <w:color w:val="auto"/>
          <w:w w:val="100"/>
          <w:kern w:val="2"/>
          <w:sz w:val="24"/>
          <w:szCs w:val="24"/>
          <w:highlight w:val="none"/>
          <w:lang w:val="en-US" w:eastAsia="zh-CN" w:bidi="ar-SA"/>
        </w:rPr>
        <w:sym w:font="Wingdings" w:char="00A8"/>
      </w:r>
      <w:r>
        <w:rPr>
          <w:rFonts w:hint="default" w:ascii="Times New Roman" w:hAnsi="Times New Roman" w:eastAsia="仿宋_GB2312" w:cs="Times New Roman"/>
          <w:color w:val="auto"/>
          <w:w w:val="100"/>
          <w:kern w:val="2"/>
          <w:sz w:val="24"/>
          <w:szCs w:val="24"/>
          <w:highlight w:val="none"/>
          <w:lang w:val="en-US" w:eastAsia="zh-CN" w:bidi="ar-SA"/>
        </w:rPr>
        <w:t xml:space="preserve">是   </w:t>
      </w:r>
      <w:r>
        <w:rPr>
          <w:rFonts w:hint="default" w:ascii="Times New Roman" w:hAnsi="Times New Roman" w:eastAsia="仿宋_GB2312" w:cs="Times New Roman"/>
          <w:color w:val="auto"/>
          <w:w w:val="100"/>
          <w:kern w:val="2"/>
          <w:sz w:val="24"/>
          <w:szCs w:val="24"/>
          <w:highlight w:val="none"/>
          <w:lang w:val="en-US" w:eastAsia="zh-CN" w:bidi="ar-SA"/>
        </w:rPr>
        <w:sym w:font="Wingdings" w:char="00A8"/>
      </w:r>
      <w:r>
        <w:rPr>
          <w:rFonts w:hint="default" w:ascii="Times New Roman" w:hAnsi="Times New Roman" w:eastAsia="仿宋_GB2312" w:cs="Times New Roman"/>
          <w:color w:val="auto"/>
          <w:w w:val="100"/>
          <w:kern w:val="2"/>
          <w:sz w:val="24"/>
          <w:szCs w:val="24"/>
          <w:highlight w:val="none"/>
          <w:lang w:val="en-US" w:eastAsia="zh-CN" w:bidi="ar-SA"/>
        </w:rPr>
        <w:t>否</w:t>
      </w:r>
    </w:p>
    <w:p w14:paraId="468ED022">
      <w:pPr>
        <w:numPr>
          <w:ilvl w:val="0"/>
          <w:numId w:val="0"/>
        </w:numPr>
        <w:adjustRightInd w:val="0"/>
        <w:snapToGrid w:val="0"/>
        <w:spacing w:before="0" w:beforeLines="0" w:line="400" w:lineRule="exact"/>
        <w:ind w:left="0" w:leftChars="0" w:firstLine="0" w:firstLineChars="0"/>
        <w:rPr>
          <w:rFonts w:hint="default" w:ascii="Times New Roman" w:hAnsi="Times New Roman" w:eastAsia="仿宋_GB2312" w:cs="Times New Roman"/>
          <w:iCs/>
          <w:color w:val="auto"/>
          <w:sz w:val="24"/>
          <w:szCs w:val="24"/>
          <w:highlight w:val="none"/>
        </w:rPr>
      </w:pPr>
      <w:r>
        <w:rPr>
          <w:rFonts w:hint="default" w:ascii="Times New Roman" w:hAnsi="Times New Roman" w:eastAsia="仿宋_GB2312" w:cs="Times New Roman"/>
          <w:color w:val="auto"/>
          <w:w w:val="100"/>
          <w:sz w:val="24"/>
          <w:szCs w:val="24"/>
          <w:highlight w:val="none"/>
          <w:lang w:val="en-US" w:eastAsia="zh-CN"/>
        </w:rPr>
        <w:t xml:space="preserve">    本合同</w:t>
      </w:r>
      <w:r>
        <w:rPr>
          <w:rFonts w:hint="default" w:ascii="Times New Roman" w:hAnsi="Times New Roman" w:eastAsia="仿宋_GB2312" w:cs="Times New Roman"/>
          <w:color w:val="auto"/>
          <w:w w:val="100"/>
          <w:sz w:val="24"/>
          <w:szCs w:val="24"/>
          <w:highlight w:val="none"/>
        </w:rPr>
        <w:t>是否</w:t>
      </w:r>
      <w:r>
        <w:rPr>
          <w:rFonts w:hint="default" w:ascii="Times New Roman" w:hAnsi="Times New Roman" w:eastAsia="仿宋_GB2312" w:cs="Times New Roman"/>
          <w:color w:val="auto"/>
          <w:w w:val="100"/>
          <w:sz w:val="24"/>
          <w:szCs w:val="24"/>
          <w:highlight w:val="none"/>
          <w:lang w:eastAsia="zh-CN"/>
        </w:rPr>
        <w:t>为专门面向</w:t>
      </w:r>
      <w:r>
        <w:rPr>
          <w:rFonts w:hint="default" w:ascii="Times New Roman" w:hAnsi="Times New Roman" w:eastAsia="仿宋_GB2312" w:cs="Times New Roman"/>
          <w:color w:val="auto"/>
          <w:w w:val="100"/>
          <w:sz w:val="24"/>
          <w:szCs w:val="24"/>
          <w:highlight w:val="none"/>
        </w:rPr>
        <w:t>中小企业</w:t>
      </w:r>
      <w:r>
        <w:rPr>
          <w:rFonts w:hint="default" w:ascii="Times New Roman" w:hAnsi="Times New Roman" w:eastAsia="仿宋_GB2312" w:cs="Times New Roman"/>
          <w:color w:val="auto"/>
          <w:w w:val="100"/>
          <w:sz w:val="24"/>
          <w:szCs w:val="24"/>
          <w:highlight w:val="none"/>
          <w:lang w:eastAsia="zh-CN"/>
        </w:rPr>
        <w:t>的采</w:t>
      </w:r>
      <w:r>
        <w:rPr>
          <w:rFonts w:hint="default" w:ascii="Times New Roman" w:hAnsi="Times New Roman" w:eastAsia="仿宋_GB2312" w:cs="Times New Roman"/>
          <w:color w:val="auto"/>
          <w:w w:val="100"/>
          <w:sz w:val="24"/>
          <w:szCs w:val="24"/>
          <w:highlight w:val="none"/>
          <w:shd w:val="clear" w:color="auto" w:fill="auto"/>
          <w:lang w:eastAsia="zh-CN"/>
        </w:rPr>
        <w:t>购</w:t>
      </w:r>
      <w:r>
        <w:rPr>
          <w:rFonts w:hint="default" w:ascii="Times New Roman" w:hAnsi="Times New Roman" w:eastAsia="仿宋_GB2312" w:cs="Times New Roman"/>
          <w:color w:val="auto"/>
          <w:w w:val="100"/>
          <w:sz w:val="24"/>
          <w:szCs w:val="24"/>
          <w:highlight w:val="none"/>
          <w:shd w:val="clear" w:color="auto" w:fill="auto"/>
        </w:rPr>
        <w:t>合同</w:t>
      </w:r>
      <w:r>
        <w:rPr>
          <w:rFonts w:hint="default" w:ascii="Times New Roman" w:hAnsi="Times New Roman" w:eastAsia="仿宋_GB2312" w:cs="Times New Roman"/>
          <w:color w:val="auto"/>
          <w:w w:val="100"/>
          <w:sz w:val="24"/>
          <w:szCs w:val="24"/>
          <w:highlight w:val="none"/>
          <w:shd w:val="clear" w:color="auto" w:fill="auto"/>
          <w:lang w:eastAsia="zh-CN"/>
        </w:rPr>
        <w:t>（中小企业预留合同）</w:t>
      </w:r>
      <w:r>
        <w:rPr>
          <w:rFonts w:hint="default" w:ascii="Times New Roman" w:hAnsi="Times New Roman" w:eastAsia="仿宋_GB2312" w:cs="Times New Roman"/>
          <w:color w:val="auto"/>
          <w:sz w:val="24"/>
          <w:szCs w:val="24"/>
          <w:highlight w:val="none"/>
          <w:shd w:val="clear" w:color="auto" w:fill="auto"/>
        </w:rPr>
        <w:t>：</w:t>
      </w:r>
      <w:r>
        <w:rPr>
          <w:rFonts w:hint="default" w:ascii="Times New Roman" w:hAnsi="Times New Roman" w:eastAsia="仿宋_GB2312" w:cs="Times New Roman"/>
          <w:iCs/>
          <w:color w:val="auto"/>
          <w:sz w:val="24"/>
          <w:szCs w:val="24"/>
          <w:highlight w:val="none"/>
        </w:rPr>
        <w:sym w:font="Wingdings" w:char="00A8"/>
      </w:r>
      <w:r>
        <w:rPr>
          <w:rFonts w:hint="default" w:ascii="Times New Roman" w:hAnsi="Times New Roman" w:eastAsia="仿宋_GB2312" w:cs="Times New Roman"/>
          <w:iCs/>
          <w:color w:val="auto"/>
          <w:sz w:val="24"/>
          <w:szCs w:val="24"/>
          <w:highlight w:val="none"/>
        </w:rPr>
        <w:t xml:space="preserve">是 </w:t>
      </w:r>
      <w:r>
        <w:rPr>
          <w:rFonts w:hint="default" w:ascii="Times New Roman" w:hAnsi="Times New Roman" w:eastAsia="仿宋_GB2312" w:cs="Times New Roman"/>
          <w:iCs/>
          <w:color w:val="auto"/>
          <w:sz w:val="24"/>
          <w:szCs w:val="24"/>
          <w:highlight w:val="none"/>
          <w:lang w:val="en-US" w:eastAsia="zh-CN"/>
        </w:rPr>
        <w:t xml:space="preserve">  </w:t>
      </w:r>
      <w:r>
        <w:rPr>
          <w:rFonts w:hint="default" w:ascii="Times New Roman" w:hAnsi="Times New Roman" w:eastAsia="仿宋_GB2312" w:cs="Times New Roman"/>
          <w:iCs/>
          <w:color w:val="auto"/>
          <w:sz w:val="24"/>
          <w:szCs w:val="24"/>
          <w:highlight w:val="none"/>
        </w:rPr>
        <w:t xml:space="preserve"> </w:t>
      </w:r>
      <w:r>
        <w:rPr>
          <w:rFonts w:hint="default" w:ascii="Times New Roman" w:hAnsi="Times New Roman" w:eastAsia="仿宋_GB2312" w:cs="Times New Roman"/>
          <w:iCs/>
          <w:color w:val="auto"/>
          <w:sz w:val="24"/>
          <w:szCs w:val="24"/>
          <w:highlight w:val="none"/>
        </w:rPr>
        <w:sym w:font="Wingdings" w:char="00A8"/>
      </w:r>
      <w:r>
        <w:rPr>
          <w:rFonts w:hint="default" w:ascii="Times New Roman" w:hAnsi="Times New Roman" w:eastAsia="仿宋_GB2312" w:cs="Times New Roman"/>
          <w:iCs/>
          <w:color w:val="auto"/>
          <w:sz w:val="24"/>
          <w:szCs w:val="24"/>
          <w:highlight w:val="none"/>
        </w:rPr>
        <w:t>否</w:t>
      </w:r>
    </w:p>
    <w:p w14:paraId="10D5E444">
      <w:pPr>
        <w:numPr>
          <w:ilvl w:val="0"/>
          <w:numId w:val="0"/>
        </w:numPr>
        <w:adjustRightInd w:val="0"/>
        <w:snapToGrid w:val="0"/>
        <w:spacing w:before="0" w:beforeLines="0" w:line="400" w:lineRule="exact"/>
        <w:ind w:firstLine="0" w:firstLineChars="0"/>
        <w:rPr>
          <w:rFonts w:hint="default" w:ascii="Times New Roman" w:hAnsi="Times New Roman" w:eastAsia="仿宋_GB2312" w:cs="Times New Roman"/>
          <w:iCs/>
          <w:color w:val="auto"/>
          <w:sz w:val="24"/>
          <w:szCs w:val="24"/>
          <w:highlight w:val="none"/>
        </w:rPr>
      </w:pPr>
      <w:r>
        <w:rPr>
          <w:rFonts w:hint="default" w:ascii="Times New Roman" w:hAnsi="Times New Roman" w:eastAsia="仿宋_GB2312" w:cs="Times New Roman"/>
          <w:color w:val="auto"/>
          <w:sz w:val="24"/>
          <w:szCs w:val="24"/>
          <w:highlight w:val="none"/>
          <w:lang w:val="en-US" w:eastAsia="zh-CN"/>
        </w:rPr>
        <w:t xml:space="preserve">    若本项目不专门面向中小企业采购，是否给予小微企业评审优惠：</w:t>
      </w:r>
      <w:r>
        <w:rPr>
          <w:rFonts w:hint="default" w:ascii="Times New Roman" w:hAnsi="Times New Roman" w:eastAsia="仿宋_GB2312" w:cs="Times New Roman"/>
          <w:iCs/>
          <w:color w:val="auto"/>
          <w:sz w:val="24"/>
          <w:szCs w:val="24"/>
          <w:highlight w:val="none"/>
        </w:rPr>
        <w:sym w:font="Wingdings" w:char="00A8"/>
      </w:r>
      <w:r>
        <w:rPr>
          <w:rFonts w:hint="default" w:ascii="Times New Roman" w:hAnsi="Times New Roman" w:eastAsia="仿宋_GB2312" w:cs="Times New Roman"/>
          <w:iCs/>
          <w:color w:val="auto"/>
          <w:sz w:val="24"/>
          <w:szCs w:val="24"/>
          <w:highlight w:val="none"/>
        </w:rPr>
        <w:t xml:space="preserve">是   </w:t>
      </w:r>
      <w:r>
        <w:rPr>
          <w:rFonts w:hint="default" w:ascii="Times New Roman" w:hAnsi="Times New Roman" w:eastAsia="仿宋_GB2312" w:cs="Times New Roman"/>
          <w:iCs/>
          <w:color w:val="auto"/>
          <w:sz w:val="24"/>
          <w:szCs w:val="24"/>
          <w:highlight w:val="none"/>
        </w:rPr>
        <w:sym w:font="Wingdings" w:char="00A8"/>
      </w:r>
      <w:r>
        <w:rPr>
          <w:rFonts w:hint="default" w:ascii="Times New Roman" w:hAnsi="Times New Roman" w:eastAsia="仿宋_GB2312" w:cs="Times New Roman"/>
          <w:iCs/>
          <w:color w:val="auto"/>
          <w:sz w:val="24"/>
          <w:szCs w:val="24"/>
          <w:highlight w:val="none"/>
        </w:rPr>
        <w:t>否</w:t>
      </w:r>
    </w:p>
    <w:p w14:paraId="0A90DB04">
      <w:pPr>
        <w:numPr>
          <w:ilvl w:val="0"/>
          <w:numId w:val="0"/>
        </w:numPr>
        <w:adjustRightInd w:val="0"/>
        <w:snapToGrid w:val="0"/>
        <w:spacing w:before="0" w:beforeLines="0" w:line="400" w:lineRule="exact"/>
        <w:ind w:firstLine="0" w:firstLineChars="0"/>
        <w:rPr>
          <w:rFonts w:hint="default" w:ascii="Times New Roman" w:hAnsi="Times New Roman" w:eastAsia="仿宋_GB2312" w:cs="Times New Roman"/>
          <w:iCs/>
          <w:color w:val="auto"/>
          <w:sz w:val="24"/>
          <w:szCs w:val="24"/>
          <w:highlight w:val="none"/>
        </w:rPr>
      </w:pPr>
      <w:r>
        <w:rPr>
          <w:rFonts w:hint="default" w:ascii="Times New Roman" w:hAnsi="Times New Roman" w:eastAsia="仿宋_GB2312" w:cs="Times New Roman"/>
          <w:color w:val="auto"/>
          <w:sz w:val="24"/>
          <w:szCs w:val="24"/>
          <w:highlight w:val="none"/>
          <w:lang w:val="en-US" w:eastAsia="zh-CN"/>
        </w:rPr>
        <w:t xml:space="preserve">   </w:t>
      </w:r>
      <w:r>
        <w:rPr>
          <w:rFonts w:hint="eastAsia" w:ascii="Times New Roman" w:hAnsi="Times New Roman" w:eastAsia="仿宋_GB2312" w:cs="Times New Roman"/>
          <w:color w:val="auto"/>
          <w:sz w:val="24"/>
          <w:szCs w:val="24"/>
          <w:highlight w:val="none"/>
          <w:lang w:val="en-US" w:eastAsia="zh-CN"/>
        </w:rPr>
        <w:t xml:space="preserve"> </w:t>
      </w:r>
      <w:r>
        <w:rPr>
          <w:rFonts w:hint="default" w:ascii="Times New Roman" w:hAnsi="Times New Roman" w:eastAsia="仿宋_GB2312" w:cs="Times New Roman"/>
          <w:color w:val="auto"/>
          <w:sz w:val="24"/>
          <w:szCs w:val="24"/>
          <w:highlight w:val="none"/>
          <w:lang w:val="en-US" w:eastAsia="zh-CN"/>
        </w:rPr>
        <w:t>中标（成交）采购标的制造商是否为残疾人福利性单位：</w:t>
      </w:r>
      <w:r>
        <w:rPr>
          <w:rFonts w:hint="default" w:ascii="Times New Roman" w:hAnsi="Times New Roman" w:eastAsia="仿宋_GB2312" w:cs="Times New Roman"/>
          <w:iCs/>
          <w:color w:val="auto"/>
          <w:sz w:val="24"/>
          <w:szCs w:val="24"/>
          <w:highlight w:val="none"/>
        </w:rPr>
        <w:sym w:font="Wingdings" w:char="00A8"/>
      </w:r>
      <w:r>
        <w:rPr>
          <w:rFonts w:hint="default" w:ascii="Times New Roman" w:hAnsi="Times New Roman" w:eastAsia="仿宋_GB2312" w:cs="Times New Roman"/>
          <w:iCs/>
          <w:color w:val="auto"/>
          <w:sz w:val="24"/>
          <w:szCs w:val="24"/>
          <w:highlight w:val="none"/>
        </w:rPr>
        <w:t xml:space="preserve">是   </w:t>
      </w:r>
      <w:r>
        <w:rPr>
          <w:rFonts w:hint="default" w:ascii="Times New Roman" w:hAnsi="Times New Roman" w:eastAsia="仿宋_GB2312" w:cs="Times New Roman"/>
          <w:iCs/>
          <w:color w:val="auto"/>
          <w:sz w:val="24"/>
          <w:szCs w:val="24"/>
          <w:highlight w:val="none"/>
        </w:rPr>
        <w:sym w:font="Wingdings" w:char="00A8"/>
      </w:r>
      <w:r>
        <w:rPr>
          <w:rFonts w:hint="default" w:ascii="Times New Roman" w:hAnsi="Times New Roman" w:eastAsia="仿宋_GB2312" w:cs="Times New Roman"/>
          <w:iCs/>
          <w:color w:val="auto"/>
          <w:sz w:val="24"/>
          <w:szCs w:val="24"/>
          <w:highlight w:val="none"/>
        </w:rPr>
        <w:t>否</w:t>
      </w:r>
    </w:p>
    <w:p w14:paraId="6EC149C5">
      <w:pPr>
        <w:numPr>
          <w:ilvl w:val="0"/>
          <w:numId w:val="0"/>
        </w:numPr>
        <w:snapToGrid w:val="0"/>
        <w:spacing w:beforeLines="0" w:line="400" w:lineRule="exact"/>
        <w:ind w:firstLine="0" w:firstLineChars="0"/>
        <w:rPr>
          <w:rFonts w:hint="default" w:ascii="Times New Roman" w:hAnsi="Times New Roman" w:eastAsia="仿宋_GB2312" w:cs="Times New Roman"/>
          <w:color w:val="auto"/>
          <w:sz w:val="24"/>
          <w:szCs w:val="24"/>
          <w:highlight w:val="none"/>
          <w:lang w:val="en-US" w:eastAsia="zh-CN"/>
        </w:rPr>
      </w:pPr>
      <w:r>
        <w:rPr>
          <w:rFonts w:hint="default" w:ascii="Times New Roman" w:hAnsi="Times New Roman" w:eastAsia="仿宋_GB2312" w:cs="Times New Roman"/>
          <w:color w:val="auto"/>
          <w:sz w:val="24"/>
          <w:szCs w:val="24"/>
          <w:highlight w:val="none"/>
          <w:lang w:val="en-US" w:eastAsia="zh-CN"/>
        </w:rPr>
        <w:t xml:space="preserve">    中标（成交）采购标的制造商是否为监狱企业：</w:t>
      </w:r>
      <w:r>
        <w:rPr>
          <w:rFonts w:hint="default" w:ascii="Times New Roman" w:hAnsi="Times New Roman" w:eastAsia="仿宋_GB2312" w:cs="Times New Roman"/>
          <w:iCs/>
          <w:color w:val="auto"/>
          <w:sz w:val="24"/>
          <w:szCs w:val="24"/>
          <w:highlight w:val="none"/>
        </w:rPr>
        <w:sym w:font="Wingdings" w:char="00A8"/>
      </w:r>
      <w:r>
        <w:rPr>
          <w:rFonts w:hint="default" w:ascii="Times New Roman" w:hAnsi="Times New Roman" w:eastAsia="仿宋_GB2312" w:cs="Times New Roman"/>
          <w:iCs/>
          <w:color w:val="auto"/>
          <w:sz w:val="24"/>
          <w:szCs w:val="24"/>
          <w:highlight w:val="none"/>
        </w:rPr>
        <w:t xml:space="preserve">是       </w:t>
      </w:r>
      <w:r>
        <w:rPr>
          <w:rFonts w:hint="default" w:ascii="Times New Roman" w:hAnsi="Times New Roman" w:eastAsia="仿宋_GB2312" w:cs="Times New Roman"/>
          <w:iCs/>
          <w:color w:val="auto"/>
          <w:sz w:val="24"/>
          <w:szCs w:val="24"/>
          <w:highlight w:val="none"/>
        </w:rPr>
        <w:sym w:font="Wingdings" w:char="00A8"/>
      </w:r>
      <w:r>
        <w:rPr>
          <w:rFonts w:hint="default" w:ascii="Times New Roman" w:hAnsi="Times New Roman" w:eastAsia="仿宋_GB2312" w:cs="Times New Roman"/>
          <w:iCs/>
          <w:color w:val="auto"/>
          <w:sz w:val="24"/>
          <w:szCs w:val="24"/>
          <w:highlight w:val="none"/>
        </w:rPr>
        <w:t>否</w:t>
      </w:r>
    </w:p>
    <w:p w14:paraId="19020F23">
      <w:pPr>
        <w:adjustRightInd w:val="0"/>
        <w:snapToGrid w:val="0"/>
        <w:spacing w:before="0" w:beforeLines="0" w:line="400" w:lineRule="exact"/>
        <w:ind w:firstLine="480" w:firstLineChars="200"/>
        <w:rPr>
          <w:rFonts w:hint="default" w:ascii="Times New Roman" w:hAnsi="Times New Roman" w:eastAsia="仿宋_GB2312" w:cs="Times New Roman"/>
          <w:color w:val="auto"/>
          <w:sz w:val="24"/>
          <w:szCs w:val="24"/>
          <w:highlight w:val="none"/>
        </w:rPr>
      </w:pPr>
      <w:r>
        <w:rPr>
          <w:rFonts w:hint="default" w:ascii="Times New Roman" w:hAnsi="Times New Roman" w:eastAsia="仿宋_GB2312" w:cs="Times New Roman"/>
          <w:color w:val="auto"/>
          <w:sz w:val="24"/>
          <w:szCs w:val="24"/>
          <w:highlight w:val="none"/>
        </w:rPr>
        <w:t>（</w:t>
      </w:r>
      <w:r>
        <w:rPr>
          <w:rFonts w:hint="default" w:ascii="Times New Roman" w:hAnsi="Times New Roman" w:eastAsia="仿宋_GB2312" w:cs="Times New Roman"/>
          <w:color w:val="auto"/>
          <w:sz w:val="24"/>
          <w:szCs w:val="24"/>
          <w:highlight w:val="none"/>
          <w:lang w:val="en" w:eastAsia="zh-CN"/>
        </w:rPr>
        <w:t>7</w:t>
      </w:r>
      <w:r>
        <w:rPr>
          <w:rFonts w:hint="default" w:ascii="Times New Roman" w:hAnsi="Times New Roman" w:eastAsia="仿宋_GB2312" w:cs="Times New Roman"/>
          <w:color w:val="auto"/>
          <w:sz w:val="24"/>
          <w:szCs w:val="24"/>
          <w:highlight w:val="none"/>
        </w:rPr>
        <w:t>）合同是否分包：</w:t>
      </w:r>
      <w:r>
        <w:rPr>
          <w:rFonts w:hint="default" w:ascii="Times New Roman" w:hAnsi="Times New Roman" w:eastAsia="仿宋_GB2312" w:cs="Times New Roman"/>
          <w:iCs/>
          <w:color w:val="auto"/>
          <w:sz w:val="24"/>
          <w:szCs w:val="24"/>
          <w:highlight w:val="none"/>
        </w:rPr>
        <w:sym w:font="Wingdings" w:char="00A8"/>
      </w:r>
      <w:r>
        <w:rPr>
          <w:rFonts w:hint="default" w:ascii="Times New Roman" w:hAnsi="Times New Roman" w:eastAsia="仿宋_GB2312" w:cs="Times New Roman"/>
          <w:iCs/>
          <w:color w:val="auto"/>
          <w:sz w:val="24"/>
          <w:szCs w:val="24"/>
          <w:highlight w:val="none"/>
        </w:rPr>
        <w:t xml:space="preserve">是       </w:t>
      </w:r>
      <w:r>
        <w:rPr>
          <w:rFonts w:hint="default" w:ascii="Times New Roman" w:hAnsi="Times New Roman" w:eastAsia="仿宋_GB2312" w:cs="Times New Roman"/>
          <w:iCs/>
          <w:color w:val="auto"/>
          <w:sz w:val="24"/>
          <w:szCs w:val="24"/>
          <w:highlight w:val="none"/>
        </w:rPr>
        <w:sym w:font="Wingdings" w:char="00A8"/>
      </w:r>
      <w:r>
        <w:rPr>
          <w:rFonts w:hint="default" w:ascii="Times New Roman" w:hAnsi="Times New Roman" w:eastAsia="仿宋_GB2312" w:cs="Times New Roman"/>
          <w:iCs/>
          <w:color w:val="auto"/>
          <w:sz w:val="24"/>
          <w:szCs w:val="24"/>
          <w:highlight w:val="none"/>
        </w:rPr>
        <w:t>否</w:t>
      </w:r>
    </w:p>
    <w:p w14:paraId="4734E30E">
      <w:pPr>
        <w:adjustRightInd w:val="0"/>
        <w:snapToGrid w:val="0"/>
        <w:spacing w:before="0" w:beforeLines="0" w:line="400" w:lineRule="exact"/>
        <w:ind w:firstLine="960" w:firstLineChars="400"/>
        <w:rPr>
          <w:rFonts w:hint="default" w:ascii="Times New Roman" w:hAnsi="Times New Roman" w:eastAsia="仿宋_GB2312" w:cs="Times New Roman"/>
          <w:color w:val="auto"/>
          <w:sz w:val="24"/>
          <w:szCs w:val="24"/>
          <w:highlight w:val="none"/>
          <w:u w:val="single"/>
        </w:rPr>
      </w:pPr>
      <w:r>
        <w:rPr>
          <w:rFonts w:hint="default" w:ascii="Times New Roman" w:hAnsi="Times New Roman" w:eastAsia="仿宋_GB2312" w:cs="Times New Roman"/>
          <w:color w:val="auto"/>
          <w:sz w:val="24"/>
          <w:szCs w:val="24"/>
          <w:highlight w:val="none"/>
          <w:lang w:val="en-US" w:eastAsia="zh-CN"/>
        </w:rPr>
        <w:t xml:space="preserve"> </w:t>
      </w:r>
      <w:r>
        <w:rPr>
          <w:rFonts w:hint="default" w:ascii="Times New Roman" w:hAnsi="Times New Roman" w:eastAsia="仿宋_GB2312" w:cs="Times New Roman"/>
          <w:color w:val="auto"/>
          <w:sz w:val="24"/>
          <w:szCs w:val="24"/>
          <w:highlight w:val="none"/>
        </w:rPr>
        <w:t>分包主要内容：</w:t>
      </w:r>
      <w:r>
        <w:rPr>
          <w:rFonts w:hint="default" w:ascii="Times New Roman" w:hAnsi="Times New Roman" w:eastAsia="仿宋_GB2312" w:cs="Times New Roman"/>
          <w:color w:val="auto"/>
          <w:sz w:val="24"/>
          <w:szCs w:val="24"/>
          <w:highlight w:val="none"/>
          <w:u w:val="single"/>
        </w:rPr>
        <w:t xml:space="preserve">                                        </w:t>
      </w:r>
      <w:r>
        <w:rPr>
          <w:rFonts w:hint="default" w:ascii="Times New Roman" w:hAnsi="Times New Roman" w:eastAsia="仿宋_GB2312" w:cs="Times New Roman"/>
          <w:color w:val="auto"/>
          <w:sz w:val="24"/>
          <w:szCs w:val="24"/>
          <w:highlight w:val="none"/>
          <w:u w:val="single"/>
          <w:lang w:val="en-US" w:eastAsia="zh-CN"/>
        </w:rPr>
        <w:t xml:space="preserve"> </w:t>
      </w:r>
      <w:r>
        <w:rPr>
          <w:rFonts w:hint="default" w:ascii="Times New Roman" w:hAnsi="Times New Roman" w:eastAsia="仿宋_GB2312" w:cs="Times New Roman"/>
          <w:color w:val="auto"/>
          <w:sz w:val="24"/>
          <w:szCs w:val="24"/>
          <w:highlight w:val="none"/>
          <w:u w:val="single"/>
        </w:rPr>
        <w:t xml:space="preserve">   </w:t>
      </w:r>
    </w:p>
    <w:p w14:paraId="7C614838">
      <w:pPr>
        <w:adjustRightInd w:val="0"/>
        <w:snapToGrid w:val="0"/>
        <w:spacing w:before="0" w:beforeLines="0" w:line="400" w:lineRule="exact"/>
        <w:ind w:firstLine="960" w:firstLineChars="400"/>
        <w:rPr>
          <w:rFonts w:hint="default" w:ascii="Times New Roman" w:hAnsi="Times New Roman" w:eastAsia="仿宋_GB2312" w:cs="Times New Roman"/>
          <w:color w:val="auto"/>
          <w:sz w:val="24"/>
          <w:szCs w:val="24"/>
          <w:highlight w:val="none"/>
        </w:rPr>
      </w:pPr>
      <w:r>
        <w:rPr>
          <w:rFonts w:hint="default" w:ascii="Times New Roman" w:hAnsi="Times New Roman" w:eastAsia="仿宋_GB2312" w:cs="Times New Roman"/>
          <w:color w:val="auto"/>
          <w:sz w:val="24"/>
          <w:szCs w:val="24"/>
          <w:highlight w:val="none"/>
          <w:u w:val="none"/>
          <w:lang w:val="en-US" w:eastAsia="zh-CN"/>
        </w:rPr>
        <w:t xml:space="preserve"> </w:t>
      </w:r>
      <w:r>
        <w:rPr>
          <w:rFonts w:hint="default" w:ascii="Times New Roman" w:hAnsi="Times New Roman" w:eastAsia="仿宋_GB2312" w:cs="Times New Roman"/>
          <w:color w:val="auto"/>
          <w:sz w:val="24"/>
          <w:szCs w:val="24"/>
          <w:highlight w:val="none"/>
        </w:rPr>
        <w:t>分包供应商</w:t>
      </w:r>
      <w:r>
        <w:rPr>
          <w:rFonts w:hint="default" w:ascii="Times New Roman" w:hAnsi="Times New Roman" w:eastAsia="仿宋_GB2312" w:cs="Times New Roman"/>
          <w:color w:val="auto"/>
          <w:sz w:val="24"/>
          <w:szCs w:val="24"/>
          <w:highlight w:val="none"/>
          <w:lang w:eastAsia="zh-CN"/>
        </w:rPr>
        <w:t>/制造商</w:t>
      </w:r>
      <w:r>
        <w:rPr>
          <w:rFonts w:hint="default" w:ascii="Times New Roman" w:hAnsi="Times New Roman" w:eastAsia="仿宋_GB2312" w:cs="Times New Roman"/>
          <w:color w:val="auto"/>
          <w:sz w:val="24"/>
          <w:szCs w:val="24"/>
          <w:highlight w:val="none"/>
        </w:rPr>
        <w:t>名称</w:t>
      </w:r>
      <w:r>
        <w:rPr>
          <w:rFonts w:hint="default" w:ascii="Times New Roman" w:hAnsi="Times New Roman" w:eastAsia="仿宋_GB2312" w:cs="Times New Roman"/>
          <w:color w:val="auto"/>
          <w:sz w:val="24"/>
          <w:szCs w:val="24"/>
          <w:highlight w:val="none"/>
          <w:lang w:eastAsia="zh-CN"/>
        </w:rPr>
        <w:t>（如供应商和制造商不同，请分别填写）</w:t>
      </w:r>
      <w:r>
        <w:rPr>
          <w:rFonts w:hint="default" w:ascii="Times New Roman" w:hAnsi="Times New Roman" w:eastAsia="仿宋_GB2312" w:cs="Times New Roman"/>
          <w:color w:val="auto"/>
          <w:sz w:val="24"/>
          <w:szCs w:val="24"/>
          <w:highlight w:val="none"/>
        </w:rPr>
        <w:t>：</w:t>
      </w:r>
    </w:p>
    <w:p w14:paraId="7B3DE1EF">
      <w:pPr>
        <w:adjustRightInd w:val="0"/>
        <w:snapToGrid w:val="0"/>
        <w:spacing w:before="0" w:beforeLines="0" w:line="400" w:lineRule="exact"/>
        <w:ind w:firstLine="960" w:firstLineChars="400"/>
        <w:rPr>
          <w:rFonts w:hint="default" w:ascii="Times New Roman" w:hAnsi="Times New Roman" w:eastAsia="仿宋_GB2312" w:cs="Times New Roman"/>
          <w:color w:val="auto"/>
          <w:sz w:val="24"/>
          <w:szCs w:val="24"/>
          <w:highlight w:val="none"/>
          <w:u w:val="single"/>
        </w:rPr>
      </w:pPr>
      <w:r>
        <w:rPr>
          <w:rFonts w:hint="default" w:ascii="Times New Roman" w:hAnsi="Times New Roman" w:eastAsia="仿宋_GB2312" w:cs="Times New Roman"/>
          <w:color w:val="auto"/>
          <w:sz w:val="24"/>
          <w:szCs w:val="24"/>
          <w:highlight w:val="none"/>
          <w:u w:val="none"/>
        </w:rPr>
        <w:t xml:space="preserve"> </w:t>
      </w:r>
      <w:r>
        <w:rPr>
          <w:rFonts w:hint="default" w:ascii="Times New Roman" w:hAnsi="Times New Roman" w:eastAsia="仿宋_GB2312" w:cs="Times New Roman"/>
          <w:color w:val="auto"/>
          <w:sz w:val="24"/>
          <w:szCs w:val="24"/>
          <w:highlight w:val="none"/>
          <w:u w:val="single"/>
          <w:lang w:val="en-US" w:eastAsia="zh-CN"/>
        </w:rPr>
        <w:t xml:space="preserve">  </w:t>
      </w:r>
      <w:r>
        <w:rPr>
          <w:rFonts w:hint="default" w:ascii="Times New Roman" w:hAnsi="Times New Roman" w:eastAsia="仿宋_GB2312" w:cs="Times New Roman"/>
          <w:color w:val="auto"/>
          <w:sz w:val="24"/>
          <w:szCs w:val="24"/>
          <w:highlight w:val="none"/>
          <w:u w:val="single"/>
        </w:rPr>
        <w:t xml:space="preserve">                                 </w:t>
      </w:r>
      <w:r>
        <w:rPr>
          <w:rFonts w:hint="default" w:ascii="Times New Roman" w:hAnsi="Times New Roman" w:eastAsia="仿宋_GB2312" w:cs="Times New Roman"/>
          <w:color w:val="auto"/>
          <w:sz w:val="24"/>
          <w:szCs w:val="24"/>
          <w:highlight w:val="none"/>
          <w:u w:val="single"/>
          <w:lang w:val="en-US" w:eastAsia="zh-CN"/>
        </w:rPr>
        <w:t xml:space="preserve">                       </w:t>
      </w:r>
    </w:p>
    <w:p w14:paraId="596C8BB5">
      <w:pPr>
        <w:adjustRightInd w:val="0"/>
        <w:snapToGrid w:val="0"/>
        <w:spacing w:before="0" w:beforeLines="0" w:line="400" w:lineRule="exact"/>
        <w:ind w:firstLine="960" w:firstLineChars="400"/>
        <w:rPr>
          <w:rFonts w:hint="default" w:ascii="Times New Roman" w:hAnsi="Times New Roman" w:eastAsia="仿宋_GB2312" w:cs="Times New Roman"/>
          <w:color w:val="auto"/>
          <w:sz w:val="24"/>
          <w:szCs w:val="24"/>
          <w:highlight w:val="none"/>
        </w:rPr>
      </w:pPr>
      <w:r>
        <w:rPr>
          <w:rFonts w:hint="default" w:ascii="Times New Roman" w:hAnsi="Times New Roman" w:eastAsia="仿宋_GB2312" w:cs="Times New Roman"/>
          <w:color w:val="auto"/>
          <w:sz w:val="24"/>
          <w:szCs w:val="24"/>
          <w:highlight w:val="none"/>
          <w:lang w:val="en-US" w:eastAsia="zh-CN"/>
        </w:rPr>
        <w:t xml:space="preserve"> </w:t>
      </w:r>
      <w:r>
        <w:rPr>
          <w:rFonts w:hint="default" w:ascii="Times New Roman" w:hAnsi="Times New Roman" w:eastAsia="仿宋_GB2312" w:cs="Times New Roman"/>
          <w:color w:val="auto"/>
          <w:sz w:val="24"/>
          <w:szCs w:val="24"/>
          <w:highlight w:val="none"/>
        </w:rPr>
        <w:t>分包供应商</w:t>
      </w:r>
      <w:r>
        <w:rPr>
          <w:rFonts w:hint="default" w:ascii="Times New Roman" w:hAnsi="Times New Roman" w:eastAsia="仿宋_GB2312" w:cs="Times New Roman"/>
          <w:color w:val="auto"/>
          <w:sz w:val="24"/>
          <w:szCs w:val="24"/>
          <w:highlight w:val="none"/>
          <w:lang w:val="en-US" w:eastAsia="zh-CN"/>
        </w:rPr>
        <w:t>/</w:t>
      </w:r>
      <w:r>
        <w:rPr>
          <w:rFonts w:hint="default" w:ascii="Times New Roman" w:hAnsi="Times New Roman" w:eastAsia="仿宋_GB2312" w:cs="Times New Roman"/>
          <w:color w:val="auto"/>
          <w:sz w:val="24"/>
          <w:szCs w:val="24"/>
          <w:highlight w:val="none"/>
          <w:lang w:eastAsia="zh-CN"/>
        </w:rPr>
        <w:t>制造商</w:t>
      </w:r>
      <w:r>
        <w:rPr>
          <w:rFonts w:hint="default" w:ascii="Times New Roman" w:hAnsi="Times New Roman" w:eastAsia="仿宋_GB2312" w:cs="Times New Roman"/>
          <w:color w:val="auto"/>
          <w:sz w:val="24"/>
          <w:szCs w:val="24"/>
          <w:highlight w:val="none"/>
        </w:rPr>
        <w:t>类型</w:t>
      </w:r>
      <w:r>
        <w:rPr>
          <w:rFonts w:hint="default" w:ascii="Times New Roman" w:hAnsi="Times New Roman" w:eastAsia="仿宋_GB2312" w:cs="Times New Roman"/>
          <w:color w:val="auto"/>
          <w:sz w:val="24"/>
          <w:szCs w:val="24"/>
          <w:highlight w:val="none"/>
          <w:lang w:eastAsia="zh-CN"/>
        </w:rPr>
        <w:t>（如果供应商和制造商不同，只填写制造商类型）</w:t>
      </w:r>
      <w:r>
        <w:rPr>
          <w:rFonts w:hint="default" w:ascii="Times New Roman" w:hAnsi="Times New Roman" w:eastAsia="仿宋_GB2312" w:cs="Times New Roman"/>
          <w:color w:val="auto"/>
          <w:sz w:val="24"/>
          <w:szCs w:val="24"/>
          <w:highlight w:val="none"/>
        </w:rPr>
        <w:t>：</w:t>
      </w:r>
    </w:p>
    <w:p w14:paraId="306D59A1">
      <w:pPr>
        <w:adjustRightInd w:val="0"/>
        <w:snapToGrid w:val="0"/>
        <w:spacing w:beforeLines="0" w:line="400" w:lineRule="exact"/>
        <w:ind w:firstLine="960" w:firstLineChars="400"/>
        <w:rPr>
          <w:rFonts w:hint="default" w:ascii="Times New Roman" w:hAnsi="Times New Roman" w:eastAsia="仿宋_GB2312" w:cs="Times New Roman"/>
          <w:iCs/>
          <w:color w:val="auto"/>
          <w:sz w:val="24"/>
          <w:szCs w:val="24"/>
          <w:highlight w:val="none"/>
          <w:lang w:val="en-US" w:eastAsia="zh-CN"/>
        </w:rPr>
      </w:pPr>
      <w:r>
        <w:rPr>
          <w:rFonts w:hint="default" w:ascii="Times New Roman" w:hAnsi="Times New Roman" w:eastAsia="仿宋_GB2312" w:cs="Times New Roman"/>
          <w:iCs/>
          <w:color w:val="auto"/>
          <w:sz w:val="24"/>
          <w:szCs w:val="24"/>
          <w:highlight w:val="none"/>
          <w:lang w:val="en-US" w:eastAsia="zh-CN"/>
        </w:rPr>
        <w:t xml:space="preserve"> </w:t>
      </w:r>
      <w:r>
        <w:rPr>
          <w:rFonts w:hint="default" w:ascii="Times New Roman" w:hAnsi="Times New Roman" w:eastAsia="仿宋_GB2312" w:cs="Times New Roman"/>
          <w:iCs/>
          <w:color w:val="auto"/>
          <w:sz w:val="24"/>
          <w:szCs w:val="24"/>
          <w:highlight w:val="none"/>
        </w:rPr>
        <w:sym w:font="Wingdings" w:char="00A8"/>
      </w:r>
      <w:r>
        <w:rPr>
          <w:rFonts w:hint="default" w:ascii="Times New Roman" w:hAnsi="Times New Roman" w:eastAsia="仿宋_GB2312" w:cs="Times New Roman"/>
          <w:iCs/>
          <w:color w:val="auto"/>
          <w:sz w:val="24"/>
          <w:szCs w:val="24"/>
          <w:highlight w:val="none"/>
        </w:rPr>
        <w:t xml:space="preserve">大型企业  </w:t>
      </w:r>
      <w:r>
        <w:rPr>
          <w:rFonts w:hint="default" w:ascii="Times New Roman" w:hAnsi="Times New Roman" w:eastAsia="仿宋_GB2312" w:cs="Times New Roman"/>
          <w:iCs/>
          <w:color w:val="auto"/>
          <w:sz w:val="24"/>
          <w:szCs w:val="24"/>
          <w:highlight w:val="none"/>
        </w:rPr>
        <w:sym w:font="Wingdings" w:char="00A8"/>
      </w:r>
      <w:r>
        <w:rPr>
          <w:rFonts w:hint="default" w:ascii="Times New Roman" w:hAnsi="Times New Roman" w:eastAsia="仿宋_GB2312" w:cs="Times New Roman"/>
          <w:iCs/>
          <w:color w:val="auto"/>
          <w:sz w:val="24"/>
          <w:szCs w:val="24"/>
          <w:highlight w:val="none"/>
        </w:rPr>
        <w:t xml:space="preserve">中型企业  </w:t>
      </w:r>
      <w:r>
        <w:rPr>
          <w:rFonts w:hint="default" w:ascii="Times New Roman" w:hAnsi="Times New Roman" w:eastAsia="仿宋_GB2312" w:cs="Times New Roman"/>
          <w:iCs/>
          <w:color w:val="auto"/>
          <w:sz w:val="24"/>
          <w:szCs w:val="24"/>
          <w:highlight w:val="none"/>
        </w:rPr>
        <w:sym w:font="Wingdings" w:char="00A8"/>
      </w:r>
      <w:r>
        <w:rPr>
          <w:rFonts w:hint="default" w:ascii="Times New Roman" w:hAnsi="Times New Roman" w:eastAsia="仿宋_GB2312" w:cs="Times New Roman"/>
          <w:iCs/>
          <w:color w:val="auto"/>
          <w:sz w:val="24"/>
          <w:szCs w:val="24"/>
          <w:highlight w:val="none"/>
        </w:rPr>
        <w:t>小微型企业</w:t>
      </w:r>
      <w:r>
        <w:rPr>
          <w:rFonts w:hint="default" w:ascii="Times New Roman" w:hAnsi="Times New Roman" w:eastAsia="仿宋_GB2312" w:cs="Times New Roman"/>
          <w:iCs/>
          <w:color w:val="auto"/>
          <w:sz w:val="24"/>
          <w:szCs w:val="24"/>
          <w:highlight w:val="none"/>
          <w:lang w:val="en-US" w:eastAsia="zh-CN"/>
        </w:rPr>
        <w:t xml:space="preserve">  </w:t>
      </w:r>
    </w:p>
    <w:p w14:paraId="2CD2ABDB">
      <w:pPr>
        <w:adjustRightInd w:val="0"/>
        <w:snapToGrid w:val="0"/>
        <w:spacing w:beforeLines="0" w:line="400" w:lineRule="exact"/>
        <w:ind w:firstLine="960" w:firstLineChars="400"/>
        <w:rPr>
          <w:rFonts w:hint="default" w:ascii="Times New Roman" w:hAnsi="Times New Roman" w:eastAsia="仿宋_GB2312" w:cs="Times New Roman"/>
          <w:color w:val="auto"/>
          <w:sz w:val="24"/>
          <w:szCs w:val="24"/>
          <w:highlight w:val="none"/>
          <w:u w:val="none"/>
          <w:lang w:val="en-US" w:eastAsia="zh-CN"/>
        </w:rPr>
      </w:pPr>
      <w:r>
        <w:rPr>
          <w:rFonts w:hint="default" w:ascii="Times New Roman" w:hAnsi="Times New Roman" w:eastAsia="仿宋_GB2312" w:cs="Times New Roman"/>
          <w:iCs/>
          <w:color w:val="auto"/>
          <w:sz w:val="24"/>
          <w:szCs w:val="24"/>
          <w:highlight w:val="none"/>
          <w:lang w:val="en-US" w:eastAsia="zh-CN"/>
        </w:rPr>
        <w:t xml:space="preserve"> </w:t>
      </w:r>
      <w:r>
        <w:rPr>
          <w:rFonts w:hint="default" w:ascii="Times New Roman" w:hAnsi="Times New Roman" w:eastAsia="仿宋_GB2312" w:cs="Times New Roman"/>
          <w:iCs/>
          <w:color w:val="auto"/>
          <w:sz w:val="24"/>
          <w:szCs w:val="24"/>
          <w:highlight w:val="none"/>
        </w:rPr>
        <w:sym w:font="Wingdings" w:char="00A8"/>
      </w:r>
      <w:r>
        <w:rPr>
          <w:rFonts w:hint="default" w:ascii="Times New Roman" w:hAnsi="Times New Roman" w:eastAsia="仿宋_GB2312" w:cs="Times New Roman"/>
          <w:iCs/>
          <w:color w:val="auto"/>
          <w:sz w:val="24"/>
          <w:szCs w:val="24"/>
          <w:highlight w:val="none"/>
          <w:lang w:eastAsia="zh-CN"/>
        </w:rPr>
        <w:t>残疾人福利性单位</w:t>
      </w:r>
      <w:r>
        <w:rPr>
          <w:rFonts w:hint="default" w:ascii="Times New Roman" w:hAnsi="Times New Roman" w:eastAsia="仿宋_GB2312" w:cs="Times New Roman"/>
          <w:iCs/>
          <w:color w:val="auto"/>
          <w:sz w:val="24"/>
          <w:szCs w:val="24"/>
          <w:highlight w:val="none"/>
          <w:lang w:val="en-US" w:eastAsia="zh-CN"/>
        </w:rPr>
        <w:t xml:space="preserve"> </w:t>
      </w:r>
      <w:r>
        <w:rPr>
          <w:rFonts w:hint="default" w:ascii="Times New Roman" w:hAnsi="Times New Roman" w:eastAsia="仿宋_GB2312" w:cs="Times New Roman"/>
          <w:iCs/>
          <w:color w:val="auto"/>
          <w:sz w:val="24"/>
          <w:szCs w:val="24"/>
          <w:highlight w:val="none"/>
        </w:rPr>
        <w:sym w:font="Wingdings" w:char="00A8"/>
      </w:r>
      <w:r>
        <w:rPr>
          <w:rFonts w:hint="default" w:ascii="Times New Roman" w:hAnsi="Times New Roman" w:eastAsia="仿宋_GB2312" w:cs="Times New Roman"/>
          <w:iCs/>
          <w:color w:val="auto"/>
          <w:sz w:val="24"/>
          <w:szCs w:val="24"/>
          <w:highlight w:val="none"/>
          <w:lang w:eastAsia="zh-CN"/>
        </w:rPr>
        <w:t>监狱</w:t>
      </w:r>
      <w:r>
        <w:rPr>
          <w:rFonts w:hint="default" w:ascii="Times New Roman" w:hAnsi="Times New Roman" w:eastAsia="仿宋_GB2312" w:cs="Times New Roman"/>
          <w:iCs/>
          <w:color w:val="auto"/>
          <w:sz w:val="24"/>
          <w:szCs w:val="24"/>
          <w:highlight w:val="none"/>
        </w:rPr>
        <w:t>企业</w:t>
      </w:r>
      <w:r>
        <w:rPr>
          <w:rFonts w:hint="default" w:ascii="Times New Roman" w:hAnsi="Times New Roman" w:eastAsia="仿宋_GB2312" w:cs="Times New Roman"/>
          <w:iCs/>
          <w:color w:val="auto"/>
          <w:sz w:val="24"/>
          <w:szCs w:val="24"/>
          <w:highlight w:val="none"/>
          <w:lang w:val="en-US" w:eastAsia="zh-CN"/>
        </w:rPr>
        <w:t xml:space="preserve"> </w:t>
      </w:r>
      <w:r>
        <w:rPr>
          <w:rFonts w:hint="default" w:ascii="Times New Roman" w:hAnsi="Times New Roman" w:eastAsia="仿宋_GB2312" w:cs="Times New Roman"/>
          <w:iCs/>
          <w:color w:val="auto"/>
          <w:sz w:val="24"/>
          <w:szCs w:val="24"/>
          <w:highlight w:val="none"/>
        </w:rPr>
        <w:sym w:font="Wingdings" w:char="00A8"/>
      </w:r>
      <w:r>
        <w:rPr>
          <w:rFonts w:hint="default" w:ascii="Times New Roman" w:hAnsi="Times New Roman" w:eastAsia="仿宋_GB2312" w:cs="Times New Roman"/>
          <w:iCs/>
          <w:color w:val="auto"/>
          <w:sz w:val="24"/>
          <w:szCs w:val="24"/>
          <w:highlight w:val="none"/>
          <w:lang w:eastAsia="zh-CN"/>
        </w:rPr>
        <w:t>其他</w:t>
      </w:r>
    </w:p>
    <w:p w14:paraId="446B22BE">
      <w:pPr>
        <w:numPr>
          <w:ilvl w:val="0"/>
          <w:numId w:val="0"/>
        </w:numPr>
        <w:adjustRightInd w:val="0"/>
        <w:snapToGrid w:val="0"/>
        <w:spacing w:before="0" w:beforeLines="0" w:line="400" w:lineRule="exact"/>
        <w:ind w:left="0" w:leftChars="0" w:firstLine="0" w:firstLineChars="0"/>
        <w:rPr>
          <w:rFonts w:hint="default" w:ascii="Times New Roman" w:hAnsi="Times New Roman" w:eastAsia="仿宋_GB2312" w:cs="Times New Roman"/>
          <w:iCs/>
          <w:color w:val="auto"/>
          <w:sz w:val="24"/>
          <w:szCs w:val="24"/>
          <w:highlight w:val="none"/>
        </w:rPr>
      </w:pPr>
      <w:r>
        <w:rPr>
          <w:rFonts w:hint="default" w:ascii="Times New Roman" w:hAnsi="Times New Roman" w:eastAsia="仿宋_GB2312" w:cs="Times New Roman"/>
          <w:color w:val="auto"/>
          <w:sz w:val="24"/>
          <w:szCs w:val="24"/>
          <w:highlight w:val="none"/>
          <w:u w:val="none"/>
          <w:lang w:val="en-US" w:eastAsia="zh-CN"/>
        </w:rPr>
        <w:t xml:space="preserve">    （</w:t>
      </w:r>
      <w:r>
        <w:rPr>
          <w:rFonts w:hint="default" w:ascii="Times New Roman" w:hAnsi="Times New Roman" w:eastAsia="仿宋_GB2312" w:cs="Times New Roman"/>
          <w:color w:val="auto"/>
          <w:sz w:val="24"/>
          <w:szCs w:val="24"/>
          <w:highlight w:val="none"/>
          <w:u w:val="none"/>
          <w:lang w:val="en" w:eastAsia="zh-CN"/>
        </w:rPr>
        <w:t>8</w:t>
      </w:r>
      <w:r>
        <w:rPr>
          <w:rFonts w:hint="default" w:ascii="Times New Roman" w:hAnsi="Times New Roman" w:eastAsia="仿宋_GB2312" w:cs="Times New Roman"/>
          <w:color w:val="auto"/>
          <w:sz w:val="24"/>
          <w:szCs w:val="24"/>
          <w:highlight w:val="none"/>
          <w:u w:val="none"/>
          <w:lang w:val="en-US" w:eastAsia="zh-CN"/>
        </w:rPr>
        <w:t>）中标（成交）供应商是否为外商投资企业：</w:t>
      </w:r>
      <w:r>
        <w:rPr>
          <w:rFonts w:hint="default" w:ascii="Times New Roman" w:hAnsi="Times New Roman" w:eastAsia="仿宋_GB2312" w:cs="Times New Roman"/>
          <w:iCs/>
          <w:color w:val="auto"/>
          <w:sz w:val="24"/>
          <w:szCs w:val="24"/>
          <w:highlight w:val="none"/>
        </w:rPr>
        <w:sym w:font="Wingdings" w:char="00A8"/>
      </w:r>
      <w:r>
        <w:rPr>
          <w:rFonts w:hint="default" w:ascii="Times New Roman" w:hAnsi="Times New Roman" w:eastAsia="仿宋_GB2312" w:cs="Times New Roman"/>
          <w:iCs/>
          <w:color w:val="auto"/>
          <w:sz w:val="24"/>
          <w:szCs w:val="24"/>
          <w:highlight w:val="none"/>
        </w:rPr>
        <w:t xml:space="preserve">是      </w:t>
      </w:r>
      <w:r>
        <w:rPr>
          <w:rFonts w:hint="default" w:ascii="Times New Roman" w:hAnsi="Times New Roman" w:eastAsia="仿宋_GB2312" w:cs="Times New Roman"/>
          <w:iCs/>
          <w:color w:val="auto"/>
          <w:sz w:val="24"/>
          <w:szCs w:val="24"/>
          <w:highlight w:val="none"/>
        </w:rPr>
        <w:sym w:font="Wingdings" w:char="00A8"/>
      </w:r>
      <w:r>
        <w:rPr>
          <w:rFonts w:hint="default" w:ascii="Times New Roman" w:hAnsi="Times New Roman" w:eastAsia="仿宋_GB2312" w:cs="Times New Roman"/>
          <w:iCs/>
          <w:color w:val="auto"/>
          <w:sz w:val="24"/>
          <w:szCs w:val="24"/>
          <w:highlight w:val="none"/>
        </w:rPr>
        <w:t>否</w:t>
      </w:r>
    </w:p>
    <w:p w14:paraId="7B17CD72">
      <w:pPr>
        <w:pStyle w:val="45"/>
        <w:tabs>
          <w:tab w:val="left" w:pos="1340"/>
        </w:tabs>
        <w:spacing w:beforeLines="0"/>
        <w:rPr>
          <w:rFonts w:hint="default" w:ascii="Times New Roman" w:hAnsi="Times New Roman" w:eastAsia="仿宋_GB2312" w:cs="Times New Roman"/>
          <w:color w:val="auto"/>
          <w:sz w:val="24"/>
          <w:szCs w:val="24"/>
          <w:highlight w:val="none"/>
          <w:u w:val="single"/>
        </w:rPr>
      </w:pPr>
      <w:r>
        <w:rPr>
          <w:rFonts w:hint="default" w:ascii="Times New Roman" w:hAnsi="Times New Roman" w:eastAsia="仿宋_GB2312" w:cs="Times New Roman"/>
          <w:color w:val="auto"/>
          <w:sz w:val="24"/>
          <w:szCs w:val="24"/>
          <w:highlight w:val="none"/>
          <w:u w:val="none"/>
          <w:lang w:val="en-US" w:eastAsia="zh-CN"/>
        </w:rPr>
        <w:t xml:space="preserve">     外商投资企业类型：</w:t>
      </w:r>
      <w:r>
        <w:rPr>
          <w:rFonts w:hint="default" w:ascii="Times New Roman" w:hAnsi="Times New Roman" w:eastAsia="仿宋_GB2312" w:cs="Times New Roman"/>
          <w:iCs/>
          <w:color w:val="auto"/>
          <w:sz w:val="24"/>
          <w:szCs w:val="24"/>
          <w:highlight w:val="none"/>
        </w:rPr>
        <w:sym w:font="Wingdings" w:char="00A8"/>
      </w:r>
      <w:r>
        <w:rPr>
          <w:rFonts w:hint="default" w:ascii="Times New Roman" w:hAnsi="Times New Roman" w:eastAsia="仿宋_GB2312" w:cs="Times New Roman"/>
          <w:color w:val="auto"/>
          <w:sz w:val="24"/>
          <w:szCs w:val="24"/>
          <w:highlight w:val="none"/>
          <w:u w:val="none"/>
          <w:lang w:val="en-US" w:eastAsia="zh-CN"/>
        </w:rPr>
        <w:t xml:space="preserve">全部由外国投资者投资  </w:t>
      </w:r>
      <w:r>
        <w:rPr>
          <w:rFonts w:hint="default" w:ascii="Times New Roman" w:hAnsi="Times New Roman" w:eastAsia="仿宋_GB2312" w:cs="Times New Roman"/>
          <w:iCs/>
          <w:color w:val="auto"/>
          <w:sz w:val="24"/>
          <w:szCs w:val="24"/>
          <w:highlight w:val="none"/>
        </w:rPr>
        <w:sym w:font="Wingdings" w:char="00A8"/>
      </w:r>
      <w:r>
        <w:rPr>
          <w:rFonts w:hint="default" w:ascii="Times New Roman" w:hAnsi="Times New Roman" w:eastAsia="仿宋_GB2312" w:cs="Times New Roman"/>
          <w:iCs/>
          <w:color w:val="auto"/>
          <w:sz w:val="24"/>
          <w:szCs w:val="24"/>
          <w:highlight w:val="none"/>
          <w:lang w:val="en-US" w:eastAsia="zh-CN"/>
        </w:rPr>
        <w:t>部分由外国投资者投资</w:t>
      </w:r>
    </w:p>
    <w:p w14:paraId="1FB84AA9">
      <w:pPr>
        <w:numPr>
          <w:ilvl w:val="0"/>
          <w:numId w:val="0"/>
        </w:numPr>
        <w:adjustRightInd w:val="0"/>
        <w:snapToGrid w:val="0"/>
        <w:spacing w:before="0" w:beforeLines="0" w:line="400" w:lineRule="exact"/>
        <w:ind w:firstLine="480" w:firstLineChars="200"/>
        <w:rPr>
          <w:rFonts w:hint="default" w:ascii="Times New Roman" w:hAnsi="Times New Roman" w:eastAsia="仿宋_GB2312" w:cs="Times New Roman"/>
          <w:b w:val="0"/>
          <w:bCs w:val="0"/>
          <w:color w:val="auto"/>
          <w:sz w:val="24"/>
          <w:szCs w:val="24"/>
          <w:highlight w:val="none"/>
          <w:u w:val="none"/>
          <w:lang w:val="en-US" w:eastAsia="zh-CN"/>
        </w:rPr>
      </w:pPr>
      <w:r>
        <w:rPr>
          <w:rFonts w:hint="default" w:ascii="Times New Roman" w:hAnsi="Times New Roman" w:eastAsia="仿宋_GB2312" w:cs="Times New Roman"/>
          <w:b w:val="0"/>
          <w:bCs w:val="0"/>
          <w:color w:val="auto"/>
          <w:sz w:val="24"/>
          <w:szCs w:val="24"/>
          <w:highlight w:val="none"/>
          <w:u w:val="none"/>
          <w:lang w:val="en-US" w:eastAsia="zh-CN"/>
        </w:rPr>
        <w:t>（</w:t>
      </w:r>
      <w:r>
        <w:rPr>
          <w:rFonts w:hint="default" w:ascii="Times New Roman" w:hAnsi="Times New Roman" w:eastAsia="仿宋_GB2312" w:cs="Times New Roman"/>
          <w:b w:val="0"/>
          <w:bCs w:val="0"/>
          <w:color w:val="auto"/>
          <w:sz w:val="24"/>
          <w:szCs w:val="24"/>
          <w:highlight w:val="none"/>
          <w:u w:val="none"/>
          <w:lang w:val="en" w:eastAsia="zh-CN"/>
        </w:rPr>
        <w:t>9</w:t>
      </w:r>
      <w:r>
        <w:rPr>
          <w:rFonts w:hint="default" w:ascii="Times New Roman" w:hAnsi="Times New Roman" w:eastAsia="仿宋_GB2312" w:cs="Times New Roman"/>
          <w:b w:val="0"/>
          <w:bCs w:val="0"/>
          <w:color w:val="auto"/>
          <w:sz w:val="24"/>
          <w:szCs w:val="24"/>
          <w:highlight w:val="none"/>
          <w:u w:val="none"/>
          <w:lang w:val="en-US" w:eastAsia="zh-CN"/>
        </w:rPr>
        <w:t>）是否涉及进口产品：</w:t>
      </w:r>
    </w:p>
    <w:p w14:paraId="675E2A78">
      <w:pPr>
        <w:numPr>
          <w:ilvl w:val="0"/>
          <w:numId w:val="0"/>
        </w:numPr>
        <w:adjustRightInd w:val="0"/>
        <w:snapToGrid w:val="0"/>
        <w:spacing w:before="0" w:beforeLines="0" w:line="400" w:lineRule="exact"/>
        <w:ind w:firstLine="960" w:firstLineChars="400"/>
        <w:rPr>
          <w:rFonts w:hint="default" w:ascii="Times New Roman" w:hAnsi="Times New Roman" w:eastAsia="仿宋_GB2312" w:cs="Times New Roman"/>
          <w:color w:val="auto"/>
          <w:sz w:val="24"/>
          <w:szCs w:val="24"/>
          <w:highlight w:val="none"/>
          <w:u w:val="single"/>
          <w:lang w:val="en-US" w:eastAsia="zh-CN"/>
        </w:rPr>
      </w:pPr>
      <w:r>
        <w:rPr>
          <w:rFonts w:hint="default" w:ascii="Times New Roman" w:hAnsi="Times New Roman" w:eastAsia="仿宋_GB2312" w:cs="Times New Roman"/>
          <w:iCs w:val="0"/>
          <w:color w:val="auto"/>
          <w:sz w:val="24"/>
          <w:szCs w:val="24"/>
          <w:highlight w:val="none"/>
          <w:lang w:val="en-US" w:eastAsia="zh-CN"/>
        </w:rPr>
        <w:t xml:space="preserve"> </w:t>
      </w:r>
      <w:r>
        <w:rPr>
          <w:rFonts w:hint="default" w:ascii="Times New Roman" w:hAnsi="Times New Roman" w:eastAsia="仿宋_GB2312" w:cs="Times New Roman"/>
          <w:iCs w:val="0"/>
          <w:color w:val="auto"/>
          <w:sz w:val="24"/>
          <w:szCs w:val="24"/>
          <w:highlight w:val="none"/>
        </w:rPr>
        <w:sym w:font="Wingdings" w:char="00A8"/>
      </w:r>
      <w:r>
        <w:rPr>
          <w:rFonts w:hint="default" w:ascii="Times New Roman" w:hAnsi="Times New Roman" w:eastAsia="仿宋_GB2312" w:cs="Times New Roman"/>
          <w:iCs w:val="0"/>
          <w:color w:val="auto"/>
          <w:sz w:val="24"/>
          <w:szCs w:val="24"/>
          <w:highlight w:val="none"/>
        </w:rPr>
        <w:t>是</w:t>
      </w:r>
      <w:r>
        <w:rPr>
          <w:rFonts w:hint="default" w:ascii="Times New Roman" w:hAnsi="Times New Roman" w:eastAsia="仿宋_GB2312" w:cs="Times New Roman"/>
          <w:iCs w:val="0"/>
          <w:color w:val="auto"/>
          <w:sz w:val="24"/>
          <w:szCs w:val="24"/>
          <w:highlight w:val="none"/>
          <w:lang w:eastAsia="zh-CN"/>
        </w:rPr>
        <w:t>，《政府采购品目分类目录》底级品目名称</w:t>
      </w:r>
      <w:r>
        <w:rPr>
          <w:rFonts w:hint="default" w:ascii="Times New Roman" w:hAnsi="Times New Roman" w:eastAsia="仿宋_GB2312" w:cs="Times New Roman"/>
          <w:color w:val="auto"/>
          <w:sz w:val="24"/>
          <w:szCs w:val="24"/>
          <w:highlight w:val="none"/>
          <w:lang w:val="en-US" w:eastAsia="zh-CN"/>
        </w:rPr>
        <w:t>：</w:t>
      </w:r>
      <w:r>
        <w:rPr>
          <w:rFonts w:hint="default" w:ascii="Times New Roman" w:hAnsi="Times New Roman" w:eastAsia="仿宋_GB2312" w:cs="Times New Roman"/>
          <w:color w:val="auto"/>
          <w:sz w:val="24"/>
          <w:szCs w:val="24"/>
          <w:highlight w:val="none"/>
          <w:u w:val="single"/>
          <w:lang w:val="en-US" w:eastAsia="zh-CN"/>
        </w:rPr>
        <w:t xml:space="preserve">         </w:t>
      </w:r>
      <w:r>
        <w:rPr>
          <w:rFonts w:hint="default" w:ascii="Times New Roman" w:hAnsi="Times New Roman" w:eastAsia="仿宋_GB2312" w:cs="Times New Roman"/>
          <w:color w:val="auto"/>
          <w:sz w:val="24"/>
          <w:szCs w:val="24"/>
          <w:highlight w:val="none"/>
          <w:lang w:val="en-US" w:eastAsia="zh-CN"/>
        </w:rPr>
        <w:t xml:space="preserve"> 金额：</w:t>
      </w:r>
      <w:r>
        <w:rPr>
          <w:rFonts w:hint="default" w:ascii="Times New Roman" w:hAnsi="Times New Roman" w:eastAsia="仿宋_GB2312" w:cs="Times New Roman"/>
          <w:color w:val="auto"/>
          <w:sz w:val="24"/>
          <w:szCs w:val="24"/>
          <w:highlight w:val="none"/>
          <w:u w:val="single"/>
          <w:lang w:val="en-US" w:eastAsia="zh-CN"/>
        </w:rPr>
        <w:t xml:space="preserve">        </w:t>
      </w:r>
    </w:p>
    <w:p w14:paraId="3DB9CD4D">
      <w:pPr>
        <w:numPr>
          <w:ilvl w:val="0"/>
          <w:numId w:val="0"/>
        </w:numPr>
        <w:adjustRightInd w:val="0"/>
        <w:snapToGrid w:val="0"/>
        <w:spacing w:before="0" w:beforeLines="0" w:line="400" w:lineRule="exact"/>
        <w:ind w:firstLine="960" w:firstLineChars="400"/>
        <w:rPr>
          <w:rFonts w:hint="default" w:ascii="Times New Roman" w:hAnsi="Times New Roman" w:eastAsia="仿宋_GB2312" w:cs="Times New Roman"/>
          <w:iCs w:val="0"/>
          <w:color w:val="auto"/>
          <w:sz w:val="24"/>
          <w:szCs w:val="24"/>
          <w:highlight w:val="none"/>
        </w:rPr>
      </w:pPr>
      <w:r>
        <w:rPr>
          <w:rFonts w:hint="default" w:ascii="Times New Roman" w:hAnsi="Times New Roman" w:eastAsia="仿宋_GB2312" w:cs="Times New Roman"/>
          <w:color w:val="auto"/>
          <w:sz w:val="24"/>
          <w:szCs w:val="24"/>
          <w:highlight w:val="none"/>
          <w:lang w:val="en-US" w:eastAsia="zh-CN"/>
        </w:rPr>
        <w:t xml:space="preserve">        国别：</w:t>
      </w:r>
      <w:r>
        <w:rPr>
          <w:rFonts w:hint="default" w:ascii="Times New Roman" w:hAnsi="Times New Roman" w:eastAsia="仿宋_GB2312" w:cs="Times New Roman"/>
          <w:color w:val="auto"/>
          <w:sz w:val="24"/>
          <w:szCs w:val="24"/>
          <w:highlight w:val="none"/>
          <w:u w:val="single"/>
          <w:lang w:val="en-US" w:eastAsia="zh-CN"/>
        </w:rPr>
        <w:t xml:space="preserve">        </w:t>
      </w:r>
      <w:r>
        <w:rPr>
          <w:rFonts w:hint="default" w:ascii="Times New Roman" w:hAnsi="Times New Roman" w:eastAsia="仿宋_GB2312" w:cs="Times New Roman"/>
          <w:color w:val="auto"/>
          <w:sz w:val="24"/>
          <w:szCs w:val="24"/>
          <w:highlight w:val="none"/>
          <w:lang w:val="en-US" w:eastAsia="zh-CN"/>
        </w:rPr>
        <w:t xml:space="preserve"> 品牌：</w:t>
      </w:r>
      <w:r>
        <w:rPr>
          <w:rFonts w:hint="default" w:ascii="Times New Roman" w:hAnsi="Times New Roman" w:eastAsia="仿宋_GB2312" w:cs="Times New Roman"/>
          <w:color w:val="auto"/>
          <w:sz w:val="24"/>
          <w:szCs w:val="24"/>
          <w:highlight w:val="none"/>
          <w:u w:val="single"/>
          <w:lang w:val="en-US" w:eastAsia="zh-CN"/>
        </w:rPr>
        <w:t xml:space="preserve">        </w:t>
      </w:r>
      <w:r>
        <w:rPr>
          <w:rFonts w:hint="default" w:ascii="Times New Roman" w:hAnsi="Times New Roman" w:eastAsia="仿宋_GB2312" w:cs="Times New Roman"/>
          <w:color w:val="auto"/>
          <w:sz w:val="24"/>
          <w:szCs w:val="24"/>
          <w:highlight w:val="none"/>
          <w:u w:val="none"/>
          <w:lang w:val="en-US" w:eastAsia="zh-CN"/>
        </w:rPr>
        <w:t xml:space="preserve"> 规格型号：</w:t>
      </w:r>
      <w:r>
        <w:rPr>
          <w:rFonts w:hint="default" w:ascii="Times New Roman" w:hAnsi="Times New Roman" w:eastAsia="仿宋_GB2312" w:cs="Times New Roman"/>
          <w:color w:val="auto"/>
          <w:sz w:val="24"/>
          <w:szCs w:val="24"/>
          <w:highlight w:val="none"/>
          <w:u w:val="single"/>
          <w:lang w:val="en-US" w:eastAsia="zh-CN"/>
        </w:rPr>
        <w:t xml:space="preserve">        </w:t>
      </w:r>
      <w:r>
        <w:rPr>
          <w:rFonts w:hint="default" w:ascii="Times New Roman" w:hAnsi="Times New Roman" w:eastAsia="仿宋_GB2312" w:cs="Times New Roman"/>
          <w:iCs w:val="0"/>
          <w:color w:val="auto"/>
          <w:sz w:val="24"/>
          <w:szCs w:val="24"/>
          <w:highlight w:val="none"/>
        </w:rPr>
        <w:t xml:space="preserve">      </w:t>
      </w:r>
    </w:p>
    <w:p w14:paraId="4E1ECFB4">
      <w:pPr>
        <w:adjustRightInd w:val="0"/>
        <w:snapToGrid w:val="0"/>
        <w:spacing w:before="0" w:beforeLines="0" w:line="400" w:lineRule="exact"/>
        <w:ind w:firstLine="960" w:firstLineChars="400"/>
        <w:rPr>
          <w:rFonts w:hint="default" w:ascii="Times New Roman" w:hAnsi="Times New Roman" w:eastAsia="仿宋_GB2312" w:cs="Times New Roman"/>
          <w:color w:val="auto"/>
          <w:sz w:val="24"/>
          <w:szCs w:val="24"/>
          <w:highlight w:val="none"/>
          <w:u w:val="none"/>
          <w:lang w:val="en-US" w:eastAsia="zh-CN"/>
        </w:rPr>
      </w:pPr>
      <w:r>
        <w:rPr>
          <w:rFonts w:hint="default" w:ascii="Times New Roman" w:hAnsi="Times New Roman" w:eastAsia="仿宋_GB2312" w:cs="Times New Roman"/>
          <w:iCs w:val="0"/>
          <w:color w:val="auto"/>
          <w:sz w:val="24"/>
          <w:szCs w:val="24"/>
          <w:highlight w:val="none"/>
          <w:lang w:val="en-US" w:eastAsia="zh-CN"/>
        </w:rPr>
        <w:t xml:space="preserve"> </w:t>
      </w:r>
      <w:r>
        <w:rPr>
          <w:rFonts w:hint="default" w:ascii="Times New Roman" w:hAnsi="Times New Roman" w:eastAsia="仿宋_GB2312" w:cs="Times New Roman"/>
          <w:iCs w:val="0"/>
          <w:color w:val="auto"/>
          <w:sz w:val="24"/>
          <w:szCs w:val="24"/>
          <w:highlight w:val="none"/>
        </w:rPr>
        <w:sym w:font="Wingdings" w:char="00A8"/>
      </w:r>
      <w:r>
        <w:rPr>
          <w:rFonts w:hint="default" w:ascii="Times New Roman" w:hAnsi="Times New Roman" w:eastAsia="仿宋_GB2312" w:cs="Times New Roman"/>
          <w:iCs w:val="0"/>
          <w:color w:val="auto"/>
          <w:sz w:val="24"/>
          <w:szCs w:val="24"/>
          <w:highlight w:val="none"/>
          <w:lang w:eastAsia="zh-CN"/>
        </w:rPr>
        <w:t>否</w:t>
      </w:r>
    </w:p>
    <w:p w14:paraId="1DD9D00D">
      <w:pPr>
        <w:numPr>
          <w:ilvl w:val="0"/>
          <w:numId w:val="0"/>
        </w:numPr>
        <w:tabs>
          <w:tab w:val="left" w:pos="740"/>
        </w:tabs>
        <w:adjustRightInd w:val="0"/>
        <w:snapToGrid w:val="0"/>
        <w:spacing w:before="0" w:beforeLines="0" w:line="400" w:lineRule="exact"/>
        <w:ind w:left="0" w:firstLine="0" w:firstLineChars="0"/>
        <w:rPr>
          <w:rFonts w:hint="default" w:ascii="Times New Roman" w:hAnsi="Times New Roman" w:eastAsia="仿宋_GB2312" w:cs="Times New Roman"/>
          <w:b w:val="0"/>
          <w:bCs w:val="0"/>
          <w:color w:val="auto"/>
          <w:sz w:val="24"/>
          <w:szCs w:val="24"/>
          <w:highlight w:val="none"/>
          <w:u w:val="none"/>
          <w:lang w:val="en-US" w:eastAsia="zh-CN"/>
        </w:rPr>
      </w:pPr>
      <w:r>
        <w:rPr>
          <w:rFonts w:hint="default" w:ascii="Times New Roman" w:hAnsi="Times New Roman" w:eastAsia="仿宋_GB2312" w:cs="Times New Roman"/>
          <w:b w:val="0"/>
          <w:bCs w:val="0"/>
          <w:color w:val="auto"/>
          <w:sz w:val="24"/>
          <w:szCs w:val="24"/>
          <w:highlight w:val="none"/>
          <w:u w:val="none"/>
          <w:lang w:val="en-US" w:eastAsia="zh-CN"/>
        </w:rPr>
        <w:t xml:space="preserve">    （1</w:t>
      </w:r>
      <w:r>
        <w:rPr>
          <w:rFonts w:hint="default" w:ascii="Times New Roman" w:hAnsi="Times New Roman" w:eastAsia="仿宋_GB2312" w:cs="Times New Roman"/>
          <w:b w:val="0"/>
          <w:bCs w:val="0"/>
          <w:color w:val="auto"/>
          <w:sz w:val="24"/>
          <w:szCs w:val="24"/>
          <w:highlight w:val="none"/>
          <w:u w:val="none"/>
          <w:lang w:val="en" w:eastAsia="zh-CN"/>
        </w:rPr>
        <w:t>0</w:t>
      </w:r>
      <w:r>
        <w:rPr>
          <w:rFonts w:hint="default" w:ascii="Times New Roman" w:hAnsi="Times New Roman" w:eastAsia="仿宋_GB2312" w:cs="Times New Roman"/>
          <w:b w:val="0"/>
          <w:bCs w:val="0"/>
          <w:color w:val="auto"/>
          <w:sz w:val="24"/>
          <w:szCs w:val="24"/>
          <w:highlight w:val="none"/>
          <w:u w:val="none"/>
          <w:lang w:val="en-US" w:eastAsia="zh-CN"/>
        </w:rPr>
        <w:t>）是否涉及节能产品：</w:t>
      </w:r>
    </w:p>
    <w:p w14:paraId="7BE5D1A5">
      <w:pPr>
        <w:numPr>
          <w:ilvl w:val="0"/>
          <w:numId w:val="0"/>
        </w:numPr>
        <w:tabs>
          <w:tab w:val="left" w:pos="740"/>
        </w:tabs>
        <w:adjustRightInd w:val="0"/>
        <w:snapToGrid w:val="0"/>
        <w:spacing w:before="0" w:beforeLines="0" w:line="400" w:lineRule="exact"/>
        <w:ind w:firstLine="0" w:firstLineChars="0"/>
        <w:rPr>
          <w:rFonts w:hint="default" w:ascii="Times New Roman" w:hAnsi="Times New Roman" w:eastAsia="仿宋_GB2312" w:cs="Times New Roman"/>
          <w:iCs/>
          <w:color w:val="auto"/>
          <w:sz w:val="24"/>
          <w:szCs w:val="24"/>
          <w:highlight w:val="none"/>
          <w:lang w:val="en-US" w:eastAsia="zh-CN"/>
        </w:rPr>
      </w:pPr>
      <w:r>
        <w:rPr>
          <w:rFonts w:hint="default" w:ascii="Times New Roman" w:hAnsi="Times New Roman" w:eastAsia="仿宋_GB2312" w:cs="Times New Roman"/>
          <w:b w:val="0"/>
          <w:bCs w:val="0"/>
          <w:color w:val="auto"/>
          <w:sz w:val="24"/>
          <w:szCs w:val="24"/>
          <w:highlight w:val="none"/>
          <w:u w:val="none"/>
          <w:lang w:val="en-US" w:eastAsia="zh-CN"/>
        </w:rPr>
        <w:t xml:space="preserve">         </w:t>
      </w:r>
      <w:r>
        <w:rPr>
          <w:rFonts w:hint="default" w:ascii="Times New Roman" w:hAnsi="Times New Roman" w:eastAsia="仿宋_GB2312" w:cs="Times New Roman"/>
          <w:iCs w:val="0"/>
          <w:color w:val="auto"/>
          <w:sz w:val="24"/>
          <w:szCs w:val="24"/>
          <w:highlight w:val="none"/>
        </w:rPr>
        <w:sym w:font="Wingdings" w:char="00A8"/>
      </w:r>
      <w:r>
        <w:rPr>
          <w:rFonts w:hint="default" w:ascii="Times New Roman" w:hAnsi="Times New Roman" w:eastAsia="仿宋_GB2312" w:cs="Times New Roman"/>
          <w:iCs w:val="0"/>
          <w:color w:val="auto"/>
          <w:sz w:val="24"/>
          <w:szCs w:val="24"/>
          <w:highlight w:val="none"/>
        </w:rPr>
        <w:t>是</w:t>
      </w:r>
      <w:r>
        <w:rPr>
          <w:rFonts w:hint="default" w:ascii="Times New Roman" w:hAnsi="Times New Roman" w:eastAsia="仿宋_GB2312" w:cs="Times New Roman"/>
          <w:iCs w:val="0"/>
          <w:color w:val="auto"/>
          <w:sz w:val="24"/>
          <w:szCs w:val="24"/>
          <w:highlight w:val="none"/>
          <w:lang w:eastAsia="zh-CN"/>
        </w:rPr>
        <w:t>，《节能产品政府采购品目清单》的底级品目名称：</w:t>
      </w:r>
      <w:r>
        <w:rPr>
          <w:rFonts w:hint="default" w:ascii="Times New Roman" w:hAnsi="Times New Roman" w:eastAsia="仿宋_GB2312" w:cs="Times New Roman"/>
          <w:color w:val="auto"/>
          <w:sz w:val="24"/>
          <w:szCs w:val="24"/>
          <w:highlight w:val="none"/>
          <w:u w:val="single"/>
          <w:lang w:val="en-US" w:eastAsia="zh-CN"/>
        </w:rPr>
        <w:t xml:space="preserve">         </w:t>
      </w:r>
      <w:r>
        <w:rPr>
          <w:rFonts w:hint="default" w:ascii="Times New Roman" w:hAnsi="Times New Roman" w:eastAsia="仿宋_GB2312" w:cs="Times New Roman"/>
          <w:iCs/>
          <w:color w:val="auto"/>
          <w:sz w:val="24"/>
          <w:szCs w:val="24"/>
          <w:highlight w:val="none"/>
          <w:lang w:val="en-US" w:eastAsia="zh-CN"/>
        </w:rPr>
        <w:t xml:space="preserve">     </w:t>
      </w:r>
    </w:p>
    <w:p w14:paraId="5005A972">
      <w:pPr>
        <w:numPr>
          <w:ilvl w:val="0"/>
          <w:numId w:val="0"/>
        </w:numPr>
        <w:tabs>
          <w:tab w:val="left" w:pos="740"/>
        </w:tabs>
        <w:adjustRightInd w:val="0"/>
        <w:snapToGrid w:val="0"/>
        <w:spacing w:before="0" w:beforeLines="0" w:line="400" w:lineRule="exact"/>
        <w:ind w:firstLine="0" w:firstLineChars="0"/>
        <w:rPr>
          <w:rFonts w:hint="default" w:ascii="Times New Roman" w:hAnsi="Times New Roman" w:eastAsia="仿宋_GB2312" w:cs="Times New Roman"/>
          <w:iCs/>
          <w:color w:val="auto"/>
          <w:sz w:val="24"/>
          <w:szCs w:val="24"/>
          <w:highlight w:val="none"/>
          <w:lang w:val="en-US" w:eastAsia="zh-CN"/>
        </w:rPr>
      </w:pPr>
      <w:r>
        <w:rPr>
          <w:rFonts w:hint="default" w:ascii="Times New Roman" w:hAnsi="Times New Roman" w:eastAsia="仿宋_GB2312" w:cs="Times New Roman"/>
          <w:iCs/>
          <w:color w:val="auto"/>
          <w:sz w:val="24"/>
          <w:szCs w:val="24"/>
          <w:highlight w:val="none"/>
          <w:lang w:val="en-US" w:eastAsia="zh-CN"/>
        </w:rPr>
        <w:t xml:space="preserve">                </w:t>
      </w:r>
      <w:r>
        <w:rPr>
          <w:rFonts w:hint="default" w:ascii="Times New Roman" w:hAnsi="Times New Roman" w:eastAsia="仿宋_GB2312" w:cs="Times New Roman"/>
          <w:iCs/>
          <w:color w:val="auto"/>
          <w:sz w:val="24"/>
          <w:szCs w:val="24"/>
          <w:highlight w:val="none"/>
        </w:rPr>
        <w:sym w:font="Wingdings" w:char="00A8"/>
      </w:r>
      <w:r>
        <w:rPr>
          <w:rFonts w:hint="default" w:ascii="Times New Roman" w:hAnsi="Times New Roman" w:eastAsia="仿宋_GB2312" w:cs="Times New Roman"/>
          <w:iCs/>
          <w:color w:val="auto"/>
          <w:sz w:val="24"/>
          <w:szCs w:val="24"/>
          <w:highlight w:val="none"/>
          <w:lang w:eastAsia="zh-CN"/>
        </w:rPr>
        <w:t>强制采购</w:t>
      </w:r>
      <w:r>
        <w:rPr>
          <w:rFonts w:hint="default" w:ascii="Times New Roman" w:hAnsi="Times New Roman" w:eastAsia="仿宋_GB2312" w:cs="Times New Roman"/>
          <w:iCs/>
          <w:color w:val="auto"/>
          <w:sz w:val="24"/>
          <w:szCs w:val="24"/>
          <w:highlight w:val="none"/>
          <w:lang w:val="en-US" w:eastAsia="zh-CN"/>
        </w:rPr>
        <w:t xml:space="preserve">       </w:t>
      </w:r>
      <w:r>
        <w:rPr>
          <w:rFonts w:hint="default" w:ascii="Times New Roman" w:hAnsi="Times New Roman" w:eastAsia="仿宋_GB2312" w:cs="Times New Roman"/>
          <w:iCs/>
          <w:color w:val="auto"/>
          <w:sz w:val="24"/>
          <w:szCs w:val="24"/>
          <w:highlight w:val="none"/>
        </w:rPr>
        <w:sym w:font="Wingdings" w:char="00A8"/>
      </w:r>
      <w:r>
        <w:rPr>
          <w:rFonts w:hint="default" w:ascii="Times New Roman" w:hAnsi="Times New Roman" w:eastAsia="仿宋_GB2312" w:cs="Times New Roman"/>
          <w:iCs/>
          <w:color w:val="auto"/>
          <w:sz w:val="24"/>
          <w:szCs w:val="24"/>
          <w:highlight w:val="none"/>
          <w:lang w:eastAsia="zh-CN"/>
        </w:rPr>
        <w:t>优先采购</w:t>
      </w:r>
      <w:r>
        <w:rPr>
          <w:rFonts w:hint="default" w:ascii="Times New Roman" w:hAnsi="Times New Roman" w:eastAsia="仿宋_GB2312" w:cs="Times New Roman"/>
          <w:iCs/>
          <w:color w:val="auto"/>
          <w:sz w:val="24"/>
          <w:szCs w:val="24"/>
          <w:highlight w:val="none"/>
          <w:lang w:val="en-US" w:eastAsia="zh-CN"/>
        </w:rPr>
        <w:t xml:space="preserve">    </w:t>
      </w:r>
    </w:p>
    <w:p w14:paraId="0EE5668A">
      <w:pPr>
        <w:numPr>
          <w:ilvl w:val="0"/>
          <w:numId w:val="0"/>
        </w:numPr>
        <w:tabs>
          <w:tab w:val="left" w:pos="740"/>
        </w:tabs>
        <w:adjustRightInd w:val="0"/>
        <w:snapToGrid w:val="0"/>
        <w:spacing w:before="0" w:beforeLines="0" w:line="400" w:lineRule="exact"/>
        <w:ind w:firstLine="0" w:firstLineChars="0"/>
        <w:rPr>
          <w:rFonts w:hint="default" w:ascii="Times New Roman" w:hAnsi="Times New Roman" w:eastAsia="仿宋_GB2312" w:cs="Times New Roman"/>
          <w:iCs w:val="0"/>
          <w:color w:val="auto"/>
          <w:sz w:val="24"/>
          <w:szCs w:val="24"/>
          <w:highlight w:val="none"/>
        </w:rPr>
      </w:pPr>
      <w:r>
        <w:rPr>
          <w:rFonts w:hint="default" w:ascii="Times New Roman" w:hAnsi="Times New Roman" w:eastAsia="仿宋_GB2312" w:cs="Times New Roman"/>
          <w:iCs/>
          <w:color w:val="auto"/>
          <w:sz w:val="24"/>
          <w:szCs w:val="24"/>
          <w:highlight w:val="none"/>
          <w:lang w:val="en-US" w:eastAsia="zh-CN"/>
        </w:rPr>
        <w:t xml:space="preserve">         </w:t>
      </w:r>
      <w:r>
        <w:rPr>
          <w:rFonts w:hint="default" w:ascii="Times New Roman" w:hAnsi="Times New Roman" w:eastAsia="仿宋_GB2312" w:cs="Times New Roman"/>
          <w:iCs w:val="0"/>
          <w:color w:val="auto"/>
          <w:sz w:val="24"/>
          <w:szCs w:val="24"/>
          <w:highlight w:val="none"/>
        </w:rPr>
        <w:sym w:font="Wingdings" w:char="00A8"/>
      </w:r>
      <w:r>
        <w:rPr>
          <w:rFonts w:hint="default" w:ascii="Times New Roman" w:hAnsi="Times New Roman" w:eastAsia="仿宋_GB2312" w:cs="Times New Roman"/>
          <w:iCs w:val="0"/>
          <w:color w:val="auto"/>
          <w:sz w:val="24"/>
          <w:szCs w:val="24"/>
          <w:highlight w:val="none"/>
        </w:rPr>
        <w:t>否</w:t>
      </w:r>
    </w:p>
    <w:p w14:paraId="3B11A62A">
      <w:pPr>
        <w:numPr>
          <w:ilvl w:val="0"/>
          <w:numId w:val="0"/>
        </w:numPr>
        <w:tabs>
          <w:tab w:val="left" w:pos="740"/>
        </w:tabs>
        <w:adjustRightInd w:val="0"/>
        <w:snapToGrid w:val="0"/>
        <w:spacing w:before="0" w:beforeLines="0" w:line="400" w:lineRule="exact"/>
        <w:ind w:left="0" w:firstLine="0" w:firstLineChars="0"/>
        <w:rPr>
          <w:rFonts w:hint="default" w:ascii="Times New Roman" w:hAnsi="Times New Roman" w:eastAsia="仿宋_GB2312" w:cs="Times New Roman"/>
          <w:b w:val="0"/>
          <w:bCs w:val="0"/>
          <w:color w:val="auto"/>
          <w:sz w:val="24"/>
          <w:szCs w:val="24"/>
          <w:highlight w:val="none"/>
          <w:u w:val="none"/>
          <w:lang w:val="en-US" w:eastAsia="zh-CN"/>
        </w:rPr>
      </w:pPr>
      <w:r>
        <w:rPr>
          <w:rFonts w:hint="default" w:ascii="Times New Roman" w:hAnsi="Times New Roman" w:eastAsia="仿宋_GB2312" w:cs="Times New Roman"/>
          <w:b w:val="0"/>
          <w:bCs w:val="0"/>
          <w:color w:val="auto"/>
          <w:sz w:val="24"/>
          <w:szCs w:val="24"/>
          <w:highlight w:val="none"/>
          <w:u w:val="none"/>
          <w:lang w:val="en-US" w:eastAsia="zh-CN"/>
        </w:rPr>
        <w:t xml:space="preserve">          是否涉及环境标志产品：</w:t>
      </w:r>
    </w:p>
    <w:p w14:paraId="54244C5F">
      <w:pPr>
        <w:numPr>
          <w:ilvl w:val="0"/>
          <w:numId w:val="0"/>
        </w:numPr>
        <w:tabs>
          <w:tab w:val="left" w:pos="740"/>
        </w:tabs>
        <w:adjustRightInd w:val="0"/>
        <w:snapToGrid w:val="0"/>
        <w:spacing w:before="0" w:beforeLines="0" w:line="400" w:lineRule="exact"/>
        <w:ind w:firstLine="0" w:firstLineChars="0"/>
        <w:rPr>
          <w:rFonts w:hint="default" w:ascii="Times New Roman" w:hAnsi="Times New Roman" w:eastAsia="仿宋_GB2312" w:cs="Times New Roman"/>
          <w:iCs w:val="0"/>
          <w:color w:val="auto"/>
          <w:sz w:val="24"/>
          <w:szCs w:val="24"/>
          <w:highlight w:val="none"/>
          <w:lang w:eastAsia="zh-CN"/>
        </w:rPr>
      </w:pPr>
      <w:r>
        <w:rPr>
          <w:rFonts w:hint="default" w:ascii="Times New Roman" w:hAnsi="Times New Roman" w:eastAsia="仿宋_GB2312" w:cs="Times New Roman"/>
          <w:b w:val="0"/>
          <w:bCs w:val="0"/>
          <w:color w:val="auto"/>
          <w:sz w:val="24"/>
          <w:szCs w:val="24"/>
          <w:highlight w:val="none"/>
          <w:u w:val="none"/>
          <w:lang w:val="en-US" w:eastAsia="zh-CN"/>
        </w:rPr>
        <w:t xml:space="preserve">         </w:t>
      </w:r>
      <w:r>
        <w:rPr>
          <w:rFonts w:hint="default" w:ascii="Times New Roman" w:hAnsi="Times New Roman" w:eastAsia="仿宋_GB2312" w:cs="Times New Roman"/>
          <w:iCs w:val="0"/>
          <w:color w:val="auto"/>
          <w:sz w:val="24"/>
          <w:szCs w:val="24"/>
          <w:highlight w:val="none"/>
        </w:rPr>
        <w:sym w:font="Wingdings" w:char="00A8"/>
      </w:r>
      <w:r>
        <w:rPr>
          <w:rFonts w:hint="default" w:ascii="Times New Roman" w:hAnsi="Times New Roman" w:eastAsia="仿宋_GB2312" w:cs="Times New Roman"/>
          <w:iCs w:val="0"/>
          <w:color w:val="auto"/>
          <w:sz w:val="24"/>
          <w:szCs w:val="24"/>
          <w:highlight w:val="none"/>
        </w:rPr>
        <w:t>是</w:t>
      </w:r>
      <w:r>
        <w:rPr>
          <w:rFonts w:hint="default" w:ascii="Times New Roman" w:hAnsi="Times New Roman" w:eastAsia="仿宋_GB2312" w:cs="Times New Roman"/>
          <w:iCs w:val="0"/>
          <w:color w:val="auto"/>
          <w:sz w:val="24"/>
          <w:szCs w:val="24"/>
          <w:highlight w:val="none"/>
          <w:lang w:eastAsia="zh-CN"/>
        </w:rPr>
        <w:t>，《环境标志产品政府采购品目清单》的底级品目名称：</w:t>
      </w:r>
      <w:r>
        <w:rPr>
          <w:rFonts w:hint="default" w:ascii="Times New Roman" w:hAnsi="Times New Roman" w:eastAsia="仿宋_GB2312" w:cs="Times New Roman"/>
          <w:color w:val="auto"/>
          <w:sz w:val="24"/>
          <w:szCs w:val="24"/>
          <w:highlight w:val="none"/>
          <w:u w:val="single"/>
          <w:lang w:val="en-US" w:eastAsia="zh-CN"/>
        </w:rPr>
        <w:t xml:space="preserve">         </w:t>
      </w:r>
      <w:r>
        <w:rPr>
          <w:rFonts w:hint="default" w:ascii="Times New Roman" w:hAnsi="Times New Roman" w:eastAsia="仿宋_GB2312" w:cs="Times New Roman"/>
          <w:iCs/>
          <w:color w:val="auto"/>
          <w:sz w:val="24"/>
          <w:szCs w:val="24"/>
          <w:highlight w:val="none"/>
          <w:lang w:val="en-US" w:eastAsia="zh-CN"/>
        </w:rPr>
        <w:t xml:space="preserve"> </w:t>
      </w:r>
    </w:p>
    <w:p w14:paraId="372E8E84">
      <w:pPr>
        <w:numPr>
          <w:ilvl w:val="0"/>
          <w:numId w:val="0"/>
        </w:numPr>
        <w:tabs>
          <w:tab w:val="left" w:pos="740"/>
        </w:tabs>
        <w:adjustRightInd w:val="0"/>
        <w:snapToGrid w:val="0"/>
        <w:spacing w:before="0" w:beforeLines="0" w:line="400" w:lineRule="exact"/>
        <w:ind w:firstLine="0" w:firstLineChars="0"/>
        <w:rPr>
          <w:rFonts w:hint="default" w:ascii="Times New Roman" w:hAnsi="Times New Roman" w:eastAsia="仿宋_GB2312" w:cs="Times New Roman"/>
          <w:iCs/>
          <w:color w:val="auto"/>
          <w:sz w:val="24"/>
          <w:szCs w:val="24"/>
          <w:highlight w:val="none"/>
          <w:lang w:val="en-US" w:eastAsia="zh-CN"/>
        </w:rPr>
      </w:pPr>
      <w:r>
        <w:rPr>
          <w:rFonts w:hint="default" w:ascii="Times New Roman" w:hAnsi="Times New Roman" w:eastAsia="仿宋_GB2312" w:cs="Times New Roman"/>
          <w:iCs/>
          <w:color w:val="auto"/>
          <w:sz w:val="24"/>
          <w:szCs w:val="24"/>
          <w:highlight w:val="none"/>
          <w:lang w:val="en-US" w:eastAsia="zh-CN"/>
        </w:rPr>
        <w:t xml:space="preserve">                </w:t>
      </w:r>
      <w:r>
        <w:rPr>
          <w:rFonts w:hint="default" w:ascii="Times New Roman" w:hAnsi="Times New Roman" w:eastAsia="仿宋_GB2312" w:cs="Times New Roman"/>
          <w:iCs/>
          <w:color w:val="auto"/>
          <w:sz w:val="24"/>
          <w:szCs w:val="24"/>
          <w:highlight w:val="none"/>
        </w:rPr>
        <w:sym w:font="Wingdings" w:char="00A8"/>
      </w:r>
      <w:r>
        <w:rPr>
          <w:rFonts w:hint="default" w:ascii="Times New Roman" w:hAnsi="Times New Roman" w:eastAsia="仿宋_GB2312" w:cs="Times New Roman"/>
          <w:iCs/>
          <w:color w:val="auto"/>
          <w:sz w:val="24"/>
          <w:szCs w:val="24"/>
          <w:highlight w:val="none"/>
          <w:lang w:eastAsia="zh-CN"/>
        </w:rPr>
        <w:t>强制采购</w:t>
      </w:r>
      <w:r>
        <w:rPr>
          <w:rFonts w:hint="default" w:ascii="Times New Roman" w:hAnsi="Times New Roman" w:eastAsia="仿宋_GB2312" w:cs="Times New Roman"/>
          <w:iCs/>
          <w:color w:val="auto"/>
          <w:sz w:val="24"/>
          <w:szCs w:val="24"/>
          <w:highlight w:val="none"/>
          <w:lang w:val="en-US" w:eastAsia="zh-CN"/>
        </w:rPr>
        <w:t xml:space="preserve">       </w:t>
      </w:r>
      <w:r>
        <w:rPr>
          <w:rFonts w:hint="default" w:ascii="Times New Roman" w:hAnsi="Times New Roman" w:eastAsia="仿宋_GB2312" w:cs="Times New Roman"/>
          <w:iCs/>
          <w:color w:val="auto"/>
          <w:sz w:val="24"/>
          <w:szCs w:val="24"/>
          <w:highlight w:val="none"/>
        </w:rPr>
        <w:sym w:font="Wingdings" w:char="00A8"/>
      </w:r>
      <w:r>
        <w:rPr>
          <w:rFonts w:hint="default" w:ascii="Times New Roman" w:hAnsi="Times New Roman" w:eastAsia="仿宋_GB2312" w:cs="Times New Roman"/>
          <w:iCs/>
          <w:color w:val="auto"/>
          <w:sz w:val="24"/>
          <w:szCs w:val="24"/>
          <w:highlight w:val="none"/>
          <w:lang w:eastAsia="zh-CN"/>
        </w:rPr>
        <w:t>优先采购</w:t>
      </w:r>
      <w:r>
        <w:rPr>
          <w:rFonts w:hint="default" w:ascii="Times New Roman" w:hAnsi="Times New Roman" w:eastAsia="仿宋_GB2312" w:cs="Times New Roman"/>
          <w:iCs/>
          <w:color w:val="auto"/>
          <w:sz w:val="24"/>
          <w:szCs w:val="24"/>
          <w:highlight w:val="none"/>
          <w:lang w:val="en-US" w:eastAsia="zh-CN"/>
        </w:rPr>
        <w:t xml:space="preserve">    </w:t>
      </w:r>
    </w:p>
    <w:p w14:paraId="2A61EBD5">
      <w:pPr>
        <w:numPr>
          <w:ilvl w:val="0"/>
          <w:numId w:val="0"/>
        </w:numPr>
        <w:tabs>
          <w:tab w:val="left" w:pos="740"/>
        </w:tabs>
        <w:adjustRightInd w:val="0"/>
        <w:snapToGrid w:val="0"/>
        <w:spacing w:before="0" w:beforeLines="0" w:line="400" w:lineRule="exact"/>
        <w:ind w:firstLine="0" w:firstLineChars="0"/>
        <w:rPr>
          <w:rFonts w:hint="default" w:ascii="Times New Roman" w:hAnsi="Times New Roman" w:eastAsia="仿宋_GB2312" w:cs="Times New Roman"/>
          <w:b w:val="0"/>
          <w:bCs w:val="0"/>
          <w:color w:val="auto"/>
          <w:sz w:val="24"/>
          <w:szCs w:val="24"/>
          <w:highlight w:val="none"/>
          <w:u w:val="none"/>
          <w:lang w:val="en-US" w:eastAsia="zh-CN"/>
        </w:rPr>
      </w:pPr>
      <w:r>
        <w:rPr>
          <w:rFonts w:hint="default" w:ascii="Times New Roman" w:hAnsi="Times New Roman" w:eastAsia="仿宋_GB2312" w:cs="Times New Roman"/>
          <w:iCs/>
          <w:color w:val="auto"/>
          <w:sz w:val="24"/>
          <w:szCs w:val="24"/>
          <w:highlight w:val="none"/>
          <w:lang w:val="en-US" w:eastAsia="zh-CN"/>
        </w:rPr>
        <w:t xml:space="preserve">         </w:t>
      </w:r>
      <w:r>
        <w:rPr>
          <w:rFonts w:hint="default" w:ascii="Times New Roman" w:hAnsi="Times New Roman" w:eastAsia="仿宋_GB2312" w:cs="Times New Roman"/>
          <w:iCs w:val="0"/>
          <w:color w:val="auto"/>
          <w:sz w:val="24"/>
          <w:szCs w:val="24"/>
          <w:highlight w:val="none"/>
        </w:rPr>
        <w:sym w:font="Wingdings" w:char="00A8"/>
      </w:r>
      <w:r>
        <w:rPr>
          <w:rFonts w:hint="default" w:ascii="Times New Roman" w:hAnsi="Times New Roman" w:eastAsia="仿宋_GB2312" w:cs="Times New Roman"/>
          <w:iCs w:val="0"/>
          <w:color w:val="auto"/>
          <w:sz w:val="24"/>
          <w:szCs w:val="24"/>
          <w:highlight w:val="none"/>
        </w:rPr>
        <w:t>否</w:t>
      </w:r>
    </w:p>
    <w:p w14:paraId="3C4EA0D0">
      <w:pPr>
        <w:pStyle w:val="45"/>
        <w:numPr>
          <w:ilvl w:val="0"/>
          <w:numId w:val="0"/>
        </w:numPr>
        <w:adjustRightInd w:val="0"/>
        <w:snapToGrid w:val="0"/>
        <w:spacing w:before="0" w:beforeLines="0" w:line="400" w:lineRule="exact"/>
        <w:ind w:firstLine="0" w:firstLineChars="0"/>
        <w:rPr>
          <w:rFonts w:hint="default" w:ascii="Times New Roman" w:hAnsi="Times New Roman" w:eastAsia="仿宋_GB2312" w:cs="Times New Roman"/>
          <w:iCs w:val="0"/>
          <w:color w:val="auto"/>
          <w:kern w:val="2"/>
          <w:sz w:val="24"/>
          <w:szCs w:val="24"/>
          <w:highlight w:val="none"/>
          <w:u w:val="none"/>
          <w:lang w:val="en-US" w:eastAsia="zh-CN"/>
        </w:rPr>
      </w:pPr>
      <w:r>
        <w:rPr>
          <w:rFonts w:hint="default" w:ascii="Times New Roman" w:hAnsi="Times New Roman" w:eastAsia="仿宋_GB2312" w:cs="Times New Roman"/>
          <w:b w:val="0"/>
          <w:bCs w:val="0"/>
          <w:color w:val="auto"/>
          <w:sz w:val="24"/>
          <w:szCs w:val="24"/>
          <w:highlight w:val="none"/>
          <w:u w:val="none"/>
          <w:lang w:val="en-US" w:eastAsia="zh-CN"/>
        </w:rPr>
        <w:t xml:space="preserve">          </w:t>
      </w:r>
      <w:r>
        <w:rPr>
          <w:rFonts w:hint="default" w:ascii="Times New Roman" w:hAnsi="Times New Roman" w:eastAsia="仿宋_GB2312" w:cs="Times New Roman"/>
          <w:b w:val="0"/>
          <w:bCs w:val="0"/>
          <w:color w:val="auto"/>
          <w:kern w:val="2"/>
          <w:sz w:val="24"/>
          <w:szCs w:val="24"/>
          <w:highlight w:val="none"/>
          <w:u w:val="none"/>
          <w:lang w:val="en-US" w:eastAsia="zh-CN"/>
        </w:rPr>
        <w:t>是否涉及绿色产品：</w:t>
      </w:r>
      <w:r>
        <w:rPr>
          <w:rFonts w:hint="default" w:ascii="Times New Roman" w:hAnsi="Times New Roman" w:eastAsia="仿宋_GB2312" w:cs="Times New Roman"/>
          <w:iCs w:val="0"/>
          <w:color w:val="auto"/>
          <w:kern w:val="2"/>
          <w:sz w:val="24"/>
          <w:szCs w:val="24"/>
          <w:highlight w:val="none"/>
          <w:u w:val="none"/>
          <w:lang w:val="en-US" w:eastAsia="zh-CN"/>
        </w:rPr>
        <w:t xml:space="preserve"> </w:t>
      </w:r>
    </w:p>
    <w:p w14:paraId="56F7AC11">
      <w:pPr>
        <w:pStyle w:val="45"/>
        <w:spacing w:beforeLines="0"/>
        <w:ind w:firstLine="420" w:firstLineChars="0"/>
        <w:rPr>
          <w:rFonts w:hint="default" w:ascii="Times New Roman" w:hAnsi="Times New Roman" w:eastAsia="仿宋_GB2312" w:cs="Times New Roman"/>
          <w:color w:val="auto"/>
          <w:sz w:val="24"/>
          <w:szCs w:val="24"/>
          <w:highlight w:val="none"/>
          <w:u w:val="single"/>
          <w:lang w:val="en-US" w:eastAsia="zh-CN"/>
        </w:rPr>
      </w:pPr>
      <w:r>
        <w:rPr>
          <w:rFonts w:hint="default" w:ascii="Times New Roman" w:hAnsi="Times New Roman" w:eastAsia="仿宋_GB2312" w:cs="Times New Roman"/>
          <w:iCs w:val="0"/>
          <w:color w:val="auto"/>
          <w:kern w:val="2"/>
          <w:sz w:val="24"/>
          <w:szCs w:val="24"/>
          <w:highlight w:val="none"/>
          <w:u w:val="none"/>
          <w:lang w:val="en-US" w:eastAsia="zh-CN"/>
        </w:rPr>
        <w:t xml:space="preserve">     </w:t>
      </w:r>
      <w:r>
        <w:rPr>
          <w:rFonts w:hint="default" w:ascii="Times New Roman" w:hAnsi="Times New Roman" w:eastAsia="仿宋_GB2312" w:cs="Times New Roman"/>
          <w:iCs w:val="0"/>
          <w:color w:val="auto"/>
          <w:kern w:val="2"/>
          <w:sz w:val="24"/>
          <w:szCs w:val="24"/>
          <w:highlight w:val="none"/>
          <w:u w:val="none"/>
        </w:rPr>
        <w:sym w:font="Wingdings" w:char="00A8"/>
      </w:r>
      <w:r>
        <w:rPr>
          <w:rFonts w:hint="default" w:ascii="Times New Roman" w:hAnsi="Times New Roman" w:eastAsia="仿宋_GB2312" w:cs="Times New Roman"/>
          <w:iCs w:val="0"/>
          <w:color w:val="auto"/>
          <w:kern w:val="2"/>
          <w:sz w:val="24"/>
          <w:szCs w:val="24"/>
          <w:highlight w:val="none"/>
          <w:u w:val="none"/>
        </w:rPr>
        <w:t>是</w:t>
      </w:r>
      <w:r>
        <w:rPr>
          <w:rFonts w:hint="default" w:ascii="Times New Roman" w:hAnsi="Times New Roman" w:eastAsia="仿宋_GB2312" w:cs="Times New Roman"/>
          <w:iCs w:val="0"/>
          <w:color w:val="auto"/>
          <w:kern w:val="2"/>
          <w:sz w:val="24"/>
          <w:szCs w:val="24"/>
          <w:highlight w:val="none"/>
          <w:u w:val="none"/>
          <w:lang w:eastAsia="zh-CN"/>
        </w:rPr>
        <w:t>，绿色产品政府采购相关政策确定的底级品目名称：</w:t>
      </w:r>
      <w:r>
        <w:rPr>
          <w:rFonts w:hint="default" w:ascii="Times New Roman" w:hAnsi="Times New Roman" w:eastAsia="仿宋_GB2312" w:cs="Times New Roman"/>
          <w:color w:val="auto"/>
          <w:sz w:val="24"/>
          <w:szCs w:val="24"/>
          <w:highlight w:val="none"/>
          <w:u w:val="single"/>
          <w:lang w:val="en-US" w:eastAsia="zh-CN"/>
        </w:rPr>
        <w:t xml:space="preserve">         </w:t>
      </w:r>
    </w:p>
    <w:p w14:paraId="59D4F4A6">
      <w:pPr>
        <w:numPr>
          <w:ilvl w:val="0"/>
          <w:numId w:val="0"/>
        </w:numPr>
        <w:tabs>
          <w:tab w:val="left" w:pos="740"/>
        </w:tabs>
        <w:adjustRightInd w:val="0"/>
        <w:snapToGrid w:val="0"/>
        <w:spacing w:before="0" w:beforeLines="0" w:line="400" w:lineRule="exact"/>
        <w:ind w:firstLine="0" w:firstLineChars="0"/>
        <w:rPr>
          <w:rFonts w:hint="default" w:ascii="Times New Roman" w:hAnsi="Times New Roman" w:eastAsia="仿宋_GB2312" w:cs="Times New Roman"/>
          <w:iCs/>
          <w:color w:val="auto"/>
          <w:sz w:val="24"/>
          <w:szCs w:val="24"/>
          <w:highlight w:val="none"/>
          <w:lang w:val="en-US" w:eastAsia="zh-CN"/>
        </w:rPr>
      </w:pPr>
      <w:r>
        <w:rPr>
          <w:rFonts w:hint="default" w:ascii="Times New Roman" w:hAnsi="Times New Roman" w:eastAsia="仿宋_GB2312" w:cs="Times New Roman"/>
          <w:iCs/>
          <w:color w:val="auto"/>
          <w:sz w:val="24"/>
          <w:szCs w:val="24"/>
          <w:highlight w:val="none"/>
          <w:lang w:val="en-US" w:eastAsia="zh-CN"/>
        </w:rPr>
        <w:t xml:space="preserve">                </w:t>
      </w:r>
      <w:r>
        <w:rPr>
          <w:rFonts w:hint="default" w:ascii="Times New Roman" w:hAnsi="Times New Roman" w:eastAsia="仿宋_GB2312" w:cs="Times New Roman"/>
          <w:iCs/>
          <w:color w:val="auto"/>
          <w:sz w:val="24"/>
          <w:szCs w:val="24"/>
          <w:highlight w:val="none"/>
        </w:rPr>
        <w:sym w:font="Wingdings" w:char="00A8"/>
      </w:r>
      <w:r>
        <w:rPr>
          <w:rFonts w:hint="default" w:ascii="Times New Roman" w:hAnsi="Times New Roman" w:eastAsia="仿宋_GB2312" w:cs="Times New Roman"/>
          <w:iCs/>
          <w:color w:val="auto"/>
          <w:sz w:val="24"/>
          <w:szCs w:val="24"/>
          <w:highlight w:val="none"/>
          <w:lang w:eastAsia="zh-CN"/>
        </w:rPr>
        <w:t>强制采购</w:t>
      </w:r>
      <w:r>
        <w:rPr>
          <w:rFonts w:hint="default" w:ascii="Times New Roman" w:hAnsi="Times New Roman" w:eastAsia="仿宋_GB2312" w:cs="Times New Roman"/>
          <w:iCs/>
          <w:color w:val="auto"/>
          <w:sz w:val="24"/>
          <w:szCs w:val="24"/>
          <w:highlight w:val="none"/>
          <w:lang w:val="en-US" w:eastAsia="zh-CN"/>
        </w:rPr>
        <w:t xml:space="preserve">       </w:t>
      </w:r>
      <w:r>
        <w:rPr>
          <w:rFonts w:hint="default" w:ascii="Times New Roman" w:hAnsi="Times New Roman" w:eastAsia="仿宋_GB2312" w:cs="Times New Roman"/>
          <w:iCs/>
          <w:color w:val="auto"/>
          <w:sz w:val="24"/>
          <w:szCs w:val="24"/>
          <w:highlight w:val="none"/>
        </w:rPr>
        <w:sym w:font="Wingdings" w:char="00A8"/>
      </w:r>
      <w:r>
        <w:rPr>
          <w:rFonts w:hint="default" w:ascii="Times New Roman" w:hAnsi="Times New Roman" w:eastAsia="仿宋_GB2312" w:cs="Times New Roman"/>
          <w:iCs/>
          <w:color w:val="auto"/>
          <w:sz w:val="24"/>
          <w:szCs w:val="24"/>
          <w:highlight w:val="none"/>
          <w:lang w:eastAsia="zh-CN"/>
        </w:rPr>
        <w:t>优先采购</w:t>
      </w:r>
      <w:r>
        <w:rPr>
          <w:rFonts w:hint="default" w:ascii="Times New Roman" w:hAnsi="Times New Roman" w:eastAsia="仿宋_GB2312" w:cs="Times New Roman"/>
          <w:iCs/>
          <w:color w:val="auto"/>
          <w:sz w:val="24"/>
          <w:szCs w:val="24"/>
          <w:highlight w:val="none"/>
          <w:lang w:val="en-US" w:eastAsia="zh-CN"/>
        </w:rPr>
        <w:t xml:space="preserve">    </w:t>
      </w:r>
    </w:p>
    <w:p w14:paraId="19B477E9">
      <w:pPr>
        <w:pStyle w:val="45"/>
        <w:spacing w:beforeLines="0"/>
        <w:ind w:firstLine="420" w:firstLineChars="0"/>
        <w:rPr>
          <w:rFonts w:hint="default" w:ascii="Times New Roman" w:hAnsi="Times New Roman" w:eastAsia="仿宋_GB2312" w:cs="Times New Roman"/>
          <w:b w:val="0"/>
          <w:bCs w:val="0"/>
          <w:color w:val="auto"/>
          <w:sz w:val="24"/>
          <w:szCs w:val="24"/>
          <w:highlight w:val="none"/>
          <w:u w:val="none"/>
          <w:lang w:val="en-US" w:eastAsia="zh-CN"/>
        </w:rPr>
      </w:pPr>
      <w:r>
        <w:rPr>
          <w:rFonts w:hint="default" w:ascii="Times New Roman" w:hAnsi="Times New Roman" w:eastAsia="仿宋_GB2312" w:cs="Times New Roman"/>
          <w:iCs w:val="0"/>
          <w:color w:val="auto"/>
          <w:kern w:val="2"/>
          <w:sz w:val="24"/>
          <w:szCs w:val="24"/>
          <w:highlight w:val="none"/>
          <w:u w:val="none"/>
          <w:lang w:val="en-US" w:eastAsia="zh-CN"/>
        </w:rPr>
        <w:t xml:space="preserve">     </w:t>
      </w:r>
      <w:r>
        <w:rPr>
          <w:rFonts w:hint="default" w:ascii="Times New Roman" w:hAnsi="Times New Roman" w:eastAsia="仿宋_GB2312" w:cs="Times New Roman"/>
          <w:iCs w:val="0"/>
          <w:color w:val="auto"/>
          <w:kern w:val="2"/>
          <w:sz w:val="24"/>
          <w:szCs w:val="24"/>
          <w:highlight w:val="none"/>
          <w:u w:val="none"/>
        </w:rPr>
        <w:sym w:font="Wingdings" w:char="00A8"/>
      </w:r>
      <w:r>
        <w:rPr>
          <w:rFonts w:hint="default" w:ascii="Times New Roman" w:hAnsi="Times New Roman" w:eastAsia="仿宋_GB2312" w:cs="Times New Roman"/>
          <w:iCs w:val="0"/>
          <w:color w:val="auto"/>
          <w:kern w:val="2"/>
          <w:sz w:val="24"/>
          <w:szCs w:val="24"/>
          <w:highlight w:val="none"/>
          <w:u w:val="none"/>
        </w:rPr>
        <w:t>否</w:t>
      </w:r>
    </w:p>
    <w:p w14:paraId="4CCB166A">
      <w:pPr>
        <w:numPr>
          <w:ilvl w:val="0"/>
          <w:numId w:val="0"/>
        </w:numPr>
        <w:adjustRightInd w:val="0"/>
        <w:snapToGrid w:val="0"/>
        <w:spacing w:before="0" w:beforeLines="0" w:line="400" w:lineRule="exact"/>
        <w:ind w:firstLine="0" w:firstLineChars="0"/>
        <w:rPr>
          <w:rFonts w:hint="default" w:ascii="Times New Roman" w:hAnsi="Times New Roman" w:eastAsia="仿宋_GB2312" w:cs="Times New Roman"/>
          <w:color w:val="auto"/>
          <w:sz w:val="24"/>
          <w:szCs w:val="24"/>
          <w:highlight w:val="none"/>
          <w:lang w:val="en-US" w:eastAsia="zh-CN"/>
        </w:rPr>
      </w:pPr>
      <w:r>
        <w:rPr>
          <w:rFonts w:hint="default" w:ascii="Times New Roman" w:hAnsi="Times New Roman" w:eastAsia="仿宋_GB2312" w:cs="Times New Roman"/>
          <w:color w:val="auto"/>
          <w:sz w:val="24"/>
          <w:szCs w:val="24"/>
          <w:highlight w:val="none"/>
          <w:lang w:val="en-US" w:eastAsia="zh-CN"/>
        </w:rPr>
        <w:t xml:space="preserve">    （1</w:t>
      </w:r>
      <w:r>
        <w:rPr>
          <w:rFonts w:hint="default" w:ascii="Times New Roman" w:hAnsi="Times New Roman" w:eastAsia="仿宋_GB2312" w:cs="Times New Roman"/>
          <w:color w:val="auto"/>
          <w:sz w:val="24"/>
          <w:szCs w:val="24"/>
          <w:highlight w:val="none"/>
          <w:lang w:val="en" w:eastAsia="zh-CN"/>
        </w:rPr>
        <w:t>1</w:t>
      </w:r>
      <w:r>
        <w:rPr>
          <w:rFonts w:hint="default" w:ascii="Times New Roman" w:hAnsi="Times New Roman" w:eastAsia="仿宋_GB2312" w:cs="Times New Roman"/>
          <w:color w:val="auto"/>
          <w:sz w:val="24"/>
          <w:szCs w:val="24"/>
          <w:highlight w:val="none"/>
          <w:lang w:val="en-US" w:eastAsia="zh-CN"/>
        </w:rPr>
        <w:t>）涉及商品包装和快递包装的，是否参考</w:t>
      </w:r>
      <w:r>
        <w:rPr>
          <w:rFonts w:hint="default" w:ascii="Times New Roman" w:hAnsi="Times New Roman" w:eastAsia="仿宋_GB2312" w:cs="Times New Roman"/>
          <w:color w:val="auto"/>
          <w:sz w:val="24"/>
          <w:szCs w:val="24"/>
          <w:highlight w:val="none"/>
        </w:rPr>
        <w:t>《商品包装政府采购需求标准（试行）</w:t>
      </w:r>
      <w:r>
        <w:rPr>
          <w:rFonts w:hint="eastAsia" w:ascii="Times New Roman" w:hAnsi="Times New Roman" w:eastAsia="仿宋_GB2312" w:cs="Times New Roman"/>
          <w:color w:val="auto"/>
          <w:sz w:val="24"/>
          <w:szCs w:val="24"/>
          <w:highlight w:val="none"/>
          <w:lang w:eastAsia="zh-CN"/>
        </w:rPr>
        <w:t>》《</w:t>
      </w:r>
      <w:r>
        <w:rPr>
          <w:rFonts w:hint="default" w:ascii="Times New Roman" w:hAnsi="Times New Roman" w:eastAsia="仿宋_GB2312" w:cs="Times New Roman"/>
          <w:color w:val="auto"/>
          <w:sz w:val="24"/>
          <w:szCs w:val="24"/>
          <w:highlight w:val="none"/>
        </w:rPr>
        <w:t>快递包装政府采购需求标准（试行）》</w:t>
      </w:r>
      <w:r>
        <w:rPr>
          <w:rFonts w:hint="default" w:ascii="Times New Roman" w:hAnsi="Times New Roman" w:eastAsia="仿宋_GB2312" w:cs="Times New Roman"/>
          <w:color w:val="auto"/>
          <w:sz w:val="24"/>
          <w:szCs w:val="24"/>
          <w:highlight w:val="none"/>
          <w:lang w:eastAsia="zh-CN"/>
        </w:rPr>
        <w:t>明确产品及相关快递服务的具体包装要求：</w:t>
      </w:r>
    </w:p>
    <w:p w14:paraId="4805B2D0">
      <w:pPr>
        <w:numPr>
          <w:ilvl w:val="0"/>
          <w:numId w:val="0"/>
        </w:numPr>
        <w:adjustRightInd w:val="0"/>
        <w:snapToGrid w:val="0"/>
        <w:spacing w:before="0" w:beforeLines="0" w:line="400" w:lineRule="exact"/>
        <w:ind w:firstLine="960" w:firstLineChars="400"/>
        <w:rPr>
          <w:rFonts w:hint="default" w:ascii="Times New Roman" w:hAnsi="Times New Roman" w:eastAsia="仿宋_GB2312" w:cs="Times New Roman"/>
          <w:iCs w:val="0"/>
          <w:color w:val="auto"/>
          <w:sz w:val="24"/>
          <w:szCs w:val="24"/>
          <w:highlight w:val="none"/>
          <w:lang w:val="en-US" w:eastAsia="zh-CN"/>
        </w:rPr>
      </w:pPr>
      <w:r>
        <w:rPr>
          <w:rFonts w:hint="default" w:ascii="Times New Roman" w:hAnsi="Times New Roman" w:eastAsia="仿宋_GB2312" w:cs="Times New Roman"/>
          <w:iCs w:val="0"/>
          <w:color w:val="auto"/>
          <w:sz w:val="24"/>
          <w:szCs w:val="24"/>
          <w:highlight w:val="none"/>
        </w:rPr>
        <w:sym w:font="Wingdings" w:char="00A8"/>
      </w:r>
      <w:r>
        <w:rPr>
          <w:rFonts w:hint="default" w:ascii="Times New Roman" w:hAnsi="Times New Roman" w:eastAsia="仿宋_GB2312" w:cs="Times New Roman"/>
          <w:iCs w:val="0"/>
          <w:color w:val="auto"/>
          <w:sz w:val="24"/>
          <w:szCs w:val="24"/>
          <w:highlight w:val="none"/>
        </w:rPr>
        <w:t xml:space="preserve">是       </w:t>
      </w:r>
      <w:r>
        <w:rPr>
          <w:rFonts w:hint="default" w:ascii="Times New Roman" w:hAnsi="Times New Roman" w:eastAsia="仿宋_GB2312" w:cs="Times New Roman"/>
          <w:iCs w:val="0"/>
          <w:color w:val="auto"/>
          <w:sz w:val="24"/>
          <w:szCs w:val="24"/>
          <w:highlight w:val="none"/>
        </w:rPr>
        <w:sym w:font="Wingdings" w:char="00A8"/>
      </w:r>
      <w:r>
        <w:rPr>
          <w:rFonts w:hint="default" w:ascii="Times New Roman" w:hAnsi="Times New Roman" w:eastAsia="仿宋_GB2312" w:cs="Times New Roman"/>
          <w:iCs w:val="0"/>
          <w:color w:val="auto"/>
          <w:sz w:val="24"/>
          <w:szCs w:val="24"/>
          <w:highlight w:val="none"/>
        </w:rPr>
        <w:t>否</w:t>
      </w:r>
      <w:r>
        <w:rPr>
          <w:rFonts w:hint="default" w:ascii="Times New Roman" w:hAnsi="Times New Roman" w:eastAsia="仿宋_GB2312" w:cs="Times New Roman"/>
          <w:iCs w:val="0"/>
          <w:color w:val="auto"/>
          <w:sz w:val="24"/>
          <w:szCs w:val="24"/>
          <w:highlight w:val="none"/>
          <w:lang w:val="en-US" w:eastAsia="zh-CN"/>
        </w:rPr>
        <w:t xml:space="preserve">      </w:t>
      </w:r>
      <w:r>
        <w:rPr>
          <w:rFonts w:hint="default" w:ascii="Times New Roman" w:hAnsi="Times New Roman" w:eastAsia="仿宋_GB2312" w:cs="Times New Roman"/>
          <w:iCs w:val="0"/>
          <w:color w:val="auto"/>
          <w:sz w:val="24"/>
          <w:szCs w:val="24"/>
          <w:highlight w:val="none"/>
        </w:rPr>
        <w:sym w:font="Wingdings" w:char="00A8"/>
      </w:r>
      <w:r>
        <w:rPr>
          <w:rFonts w:hint="default" w:ascii="Times New Roman" w:hAnsi="Times New Roman" w:eastAsia="仿宋_GB2312" w:cs="Times New Roman"/>
          <w:iCs w:val="0"/>
          <w:color w:val="auto"/>
          <w:sz w:val="24"/>
          <w:szCs w:val="24"/>
          <w:highlight w:val="none"/>
          <w:lang w:eastAsia="zh-CN"/>
        </w:rPr>
        <w:t>不涉及</w:t>
      </w:r>
    </w:p>
    <w:p w14:paraId="3983395A">
      <w:pPr>
        <w:numPr>
          <w:ilvl w:val="0"/>
          <w:numId w:val="19"/>
        </w:numPr>
        <w:adjustRightInd w:val="0"/>
        <w:snapToGrid w:val="0"/>
        <w:spacing w:before="0" w:beforeLines="0" w:line="400" w:lineRule="exact"/>
        <w:ind w:firstLine="482" w:firstLineChars="200"/>
        <w:rPr>
          <w:rFonts w:hint="default" w:ascii="Times New Roman" w:hAnsi="Times New Roman" w:eastAsia="仿宋_GB2312" w:cs="Times New Roman"/>
          <w:b/>
          <w:color w:val="auto"/>
          <w:sz w:val="24"/>
          <w:szCs w:val="24"/>
          <w:highlight w:val="none"/>
        </w:rPr>
      </w:pPr>
      <w:r>
        <w:rPr>
          <w:rFonts w:hint="default" w:ascii="Times New Roman" w:hAnsi="Times New Roman" w:eastAsia="仿宋_GB2312" w:cs="Times New Roman"/>
          <w:b/>
          <w:color w:val="auto"/>
          <w:sz w:val="24"/>
          <w:szCs w:val="24"/>
          <w:highlight w:val="none"/>
        </w:rPr>
        <w:t>合同金额</w:t>
      </w:r>
    </w:p>
    <w:p w14:paraId="2C27E9E4">
      <w:pPr>
        <w:adjustRightInd w:val="0"/>
        <w:snapToGrid w:val="0"/>
        <w:spacing w:before="0" w:beforeLines="0" w:line="400" w:lineRule="exact"/>
        <w:ind w:firstLine="480" w:firstLineChars="200"/>
        <w:rPr>
          <w:rFonts w:hint="default" w:ascii="Times New Roman" w:hAnsi="Times New Roman" w:eastAsia="仿宋_GB2312" w:cs="Times New Roman"/>
          <w:color w:val="auto"/>
          <w:sz w:val="24"/>
          <w:szCs w:val="24"/>
          <w:highlight w:val="none"/>
        </w:rPr>
      </w:pPr>
      <w:r>
        <w:rPr>
          <w:rFonts w:hint="default" w:ascii="Times New Roman" w:hAnsi="Times New Roman" w:eastAsia="仿宋_GB2312" w:cs="Times New Roman"/>
          <w:color w:val="auto"/>
          <w:sz w:val="24"/>
          <w:szCs w:val="24"/>
          <w:highlight w:val="none"/>
        </w:rPr>
        <w:t>（1）合同金额小写：</w:t>
      </w:r>
      <w:r>
        <w:rPr>
          <w:rFonts w:hint="default" w:ascii="Times New Roman" w:hAnsi="Times New Roman" w:eastAsia="仿宋_GB2312" w:cs="Times New Roman"/>
          <w:color w:val="auto"/>
          <w:sz w:val="24"/>
          <w:szCs w:val="24"/>
          <w:highlight w:val="none"/>
          <w:u w:val="single"/>
        </w:rPr>
        <w:t xml:space="preserve">                 </w:t>
      </w:r>
      <w:r>
        <w:rPr>
          <w:rFonts w:hint="default" w:ascii="Times New Roman" w:hAnsi="Times New Roman" w:eastAsia="仿宋_GB2312" w:cs="Times New Roman"/>
          <w:color w:val="auto"/>
          <w:sz w:val="24"/>
          <w:szCs w:val="24"/>
          <w:highlight w:val="none"/>
          <w:u w:val="single"/>
          <w:lang w:val="en-US" w:eastAsia="zh-CN"/>
        </w:rPr>
        <w:t xml:space="preserve">    </w:t>
      </w:r>
      <w:r>
        <w:rPr>
          <w:rFonts w:hint="default" w:ascii="Times New Roman" w:hAnsi="Times New Roman" w:eastAsia="仿宋_GB2312" w:cs="Times New Roman"/>
          <w:color w:val="auto"/>
          <w:sz w:val="24"/>
          <w:szCs w:val="24"/>
          <w:highlight w:val="none"/>
          <w:u w:val="single"/>
        </w:rPr>
        <w:t xml:space="preserve">      </w:t>
      </w:r>
    </w:p>
    <w:p w14:paraId="7DB5E727">
      <w:pPr>
        <w:adjustRightInd w:val="0"/>
        <w:snapToGrid w:val="0"/>
        <w:spacing w:before="0" w:beforeLines="0" w:line="400" w:lineRule="exact"/>
        <w:ind w:left="0" w:firstLine="0" w:firstLineChars="0"/>
        <w:rPr>
          <w:rFonts w:hint="default" w:ascii="Times New Roman" w:hAnsi="Times New Roman" w:eastAsia="仿宋_GB2312" w:cs="Times New Roman"/>
          <w:color w:val="auto"/>
          <w:sz w:val="24"/>
          <w:szCs w:val="24"/>
          <w:highlight w:val="none"/>
          <w:u w:val="single"/>
        </w:rPr>
      </w:pPr>
      <w:r>
        <w:rPr>
          <w:rFonts w:hint="default" w:ascii="Times New Roman" w:hAnsi="Times New Roman" w:eastAsia="仿宋_GB2312" w:cs="Times New Roman"/>
          <w:color w:val="auto"/>
          <w:sz w:val="24"/>
          <w:szCs w:val="24"/>
          <w:highlight w:val="none"/>
          <w:lang w:val="en-US" w:eastAsia="zh-CN"/>
        </w:rPr>
        <w:t xml:space="preserve">                 </w:t>
      </w:r>
      <w:r>
        <w:rPr>
          <w:rFonts w:hint="default" w:ascii="Times New Roman" w:hAnsi="Times New Roman" w:eastAsia="仿宋_GB2312" w:cs="Times New Roman"/>
          <w:color w:val="auto"/>
          <w:sz w:val="24"/>
          <w:szCs w:val="24"/>
          <w:highlight w:val="none"/>
        </w:rPr>
        <w:t>大写：</w:t>
      </w:r>
      <w:r>
        <w:rPr>
          <w:rFonts w:hint="default" w:ascii="Times New Roman" w:hAnsi="Times New Roman" w:eastAsia="仿宋_GB2312" w:cs="Times New Roman"/>
          <w:color w:val="auto"/>
          <w:sz w:val="24"/>
          <w:szCs w:val="24"/>
          <w:highlight w:val="none"/>
          <w:u w:val="single"/>
        </w:rPr>
        <w:t xml:space="preserve">           </w:t>
      </w:r>
      <w:r>
        <w:rPr>
          <w:rFonts w:hint="default" w:ascii="Times New Roman" w:hAnsi="Times New Roman" w:eastAsia="仿宋_GB2312" w:cs="Times New Roman"/>
          <w:color w:val="auto"/>
          <w:sz w:val="24"/>
          <w:szCs w:val="24"/>
          <w:highlight w:val="none"/>
          <w:u w:val="single"/>
          <w:lang w:val="en-US" w:eastAsia="zh-CN"/>
        </w:rPr>
        <w:t xml:space="preserve"> </w:t>
      </w:r>
      <w:r>
        <w:rPr>
          <w:rFonts w:hint="default" w:ascii="Times New Roman" w:hAnsi="Times New Roman" w:eastAsia="仿宋_GB2312" w:cs="Times New Roman"/>
          <w:color w:val="auto"/>
          <w:sz w:val="24"/>
          <w:szCs w:val="24"/>
          <w:highlight w:val="none"/>
          <w:u w:val="single"/>
        </w:rPr>
        <w:t xml:space="preserve">     </w:t>
      </w:r>
      <w:r>
        <w:rPr>
          <w:rFonts w:hint="default" w:ascii="Times New Roman" w:hAnsi="Times New Roman" w:eastAsia="仿宋_GB2312" w:cs="Times New Roman"/>
          <w:color w:val="auto"/>
          <w:sz w:val="24"/>
          <w:szCs w:val="24"/>
          <w:highlight w:val="none"/>
          <w:u w:val="single"/>
          <w:lang w:val="en-US" w:eastAsia="zh-CN"/>
        </w:rPr>
        <w:t xml:space="preserve">    </w:t>
      </w:r>
      <w:r>
        <w:rPr>
          <w:rFonts w:hint="default" w:ascii="Times New Roman" w:hAnsi="Times New Roman" w:eastAsia="仿宋_GB2312" w:cs="Times New Roman"/>
          <w:color w:val="auto"/>
          <w:sz w:val="24"/>
          <w:szCs w:val="24"/>
          <w:highlight w:val="none"/>
          <w:u w:val="single"/>
        </w:rPr>
        <w:t xml:space="preserve">      </w:t>
      </w:r>
    </w:p>
    <w:p w14:paraId="00EE0318">
      <w:pPr>
        <w:adjustRightInd w:val="0"/>
        <w:snapToGrid w:val="0"/>
        <w:spacing w:before="0" w:beforeLines="0" w:line="400" w:lineRule="exact"/>
        <w:ind w:firstLine="0" w:firstLineChars="0"/>
        <w:rPr>
          <w:rFonts w:hint="default" w:ascii="Times New Roman" w:hAnsi="Times New Roman" w:eastAsia="仿宋_GB2312" w:cs="Times New Roman"/>
          <w:color w:val="auto"/>
          <w:sz w:val="24"/>
          <w:szCs w:val="24"/>
          <w:highlight w:val="none"/>
        </w:rPr>
      </w:pPr>
      <w:r>
        <w:rPr>
          <w:rFonts w:hint="default" w:ascii="Times New Roman" w:hAnsi="Times New Roman" w:eastAsia="仿宋_GB2312" w:cs="Times New Roman"/>
          <w:color w:val="auto"/>
          <w:sz w:val="24"/>
          <w:szCs w:val="24"/>
          <w:highlight w:val="none"/>
          <w:lang w:val="en-US" w:eastAsia="zh-CN"/>
        </w:rPr>
        <w:t xml:space="preserve">         </w:t>
      </w:r>
      <w:r>
        <w:rPr>
          <w:rFonts w:hint="default" w:ascii="Times New Roman" w:hAnsi="Times New Roman" w:eastAsia="仿宋_GB2312" w:cs="Times New Roman"/>
          <w:color w:val="auto"/>
          <w:sz w:val="24"/>
          <w:szCs w:val="24"/>
          <w:highlight w:val="none"/>
        </w:rPr>
        <w:t>分包金额</w:t>
      </w:r>
      <w:r>
        <w:rPr>
          <w:rFonts w:hint="default" w:ascii="Times New Roman" w:hAnsi="Times New Roman" w:eastAsia="仿宋_GB2312" w:cs="Times New Roman"/>
          <w:color w:val="auto"/>
          <w:sz w:val="24"/>
          <w:szCs w:val="24"/>
          <w:highlight w:val="none"/>
          <w:lang w:eastAsia="zh-CN"/>
        </w:rPr>
        <w:t>（如有）</w:t>
      </w:r>
      <w:r>
        <w:rPr>
          <w:rFonts w:hint="default" w:ascii="Times New Roman" w:hAnsi="Times New Roman" w:eastAsia="仿宋_GB2312" w:cs="Times New Roman"/>
          <w:color w:val="auto"/>
          <w:sz w:val="24"/>
          <w:szCs w:val="24"/>
          <w:highlight w:val="none"/>
        </w:rPr>
        <w:t>小写：</w:t>
      </w:r>
      <w:r>
        <w:rPr>
          <w:rFonts w:hint="default" w:ascii="Times New Roman" w:hAnsi="Times New Roman" w:eastAsia="仿宋_GB2312" w:cs="Times New Roman"/>
          <w:color w:val="auto"/>
          <w:sz w:val="24"/>
          <w:szCs w:val="24"/>
          <w:highlight w:val="none"/>
          <w:u w:val="single"/>
        </w:rPr>
        <w:t xml:space="preserve">                   </w:t>
      </w:r>
    </w:p>
    <w:p w14:paraId="24136525">
      <w:pPr>
        <w:adjustRightInd w:val="0"/>
        <w:snapToGrid w:val="0"/>
        <w:spacing w:before="0" w:beforeLines="0" w:line="400" w:lineRule="exact"/>
        <w:ind w:firstLine="0" w:firstLineChars="0"/>
        <w:rPr>
          <w:rFonts w:hint="default" w:ascii="Times New Roman" w:hAnsi="Times New Roman" w:eastAsia="仿宋_GB2312" w:cs="Times New Roman"/>
          <w:color w:val="auto"/>
          <w:sz w:val="24"/>
          <w:szCs w:val="24"/>
          <w:highlight w:val="none"/>
          <w:u w:val="single"/>
        </w:rPr>
      </w:pPr>
      <w:r>
        <w:rPr>
          <w:rFonts w:hint="default" w:ascii="Times New Roman" w:hAnsi="Times New Roman" w:eastAsia="仿宋_GB2312" w:cs="Times New Roman"/>
          <w:color w:val="auto"/>
          <w:sz w:val="24"/>
          <w:szCs w:val="24"/>
          <w:highlight w:val="none"/>
          <w:lang w:val="en-US" w:eastAsia="zh-CN"/>
        </w:rPr>
        <w:t xml:space="preserve">                     </w:t>
      </w:r>
      <w:r>
        <w:rPr>
          <w:rFonts w:hint="default" w:ascii="Times New Roman" w:hAnsi="Times New Roman" w:eastAsia="仿宋_GB2312" w:cs="Times New Roman"/>
          <w:color w:val="auto"/>
          <w:sz w:val="24"/>
          <w:szCs w:val="24"/>
          <w:highlight w:val="none"/>
        </w:rPr>
        <w:t>大写：</w:t>
      </w:r>
      <w:r>
        <w:rPr>
          <w:rFonts w:hint="default" w:ascii="Times New Roman" w:hAnsi="Times New Roman" w:eastAsia="仿宋_GB2312" w:cs="Times New Roman"/>
          <w:color w:val="auto"/>
          <w:sz w:val="24"/>
          <w:szCs w:val="24"/>
          <w:highlight w:val="none"/>
          <w:u w:val="single"/>
        </w:rPr>
        <w:t xml:space="preserve">                   </w:t>
      </w:r>
      <w:r>
        <w:rPr>
          <w:rFonts w:hint="default" w:ascii="Times New Roman" w:hAnsi="Times New Roman" w:eastAsia="仿宋_GB2312" w:cs="Times New Roman"/>
          <w:color w:val="auto"/>
          <w:sz w:val="24"/>
          <w:szCs w:val="24"/>
          <w:highlight w:val="none"/>
          <w:u w:val="single"/>
          <w:lang w:val="en-US" w:eastAsia="zh-CN"/>
        </w:rPr>
        <w:t xml:space="preserve"> </w:t>
      </w:r>
      <w:r>
        <w:rPr>
          <w:rFonts w:hint="default" w:ascii="Times New Roman" w:hAnsi="Times New Roman" w:eastAsia="仿宋_GB2312" w:cs="Times New Roman"/>
          <w:color w:val="auto"/>
          <w:sz w:val="24"/>
          <w:szCs w:val="24"/>
          <w:highlight w:val="none"/>
          <w:u w:val="single"/>
        </w:rPr>
        <w:t xml:space="preserve">   </w:t>
      </w:r>
    </w:p>
    <w:p w14:paraId="01BAD414">
      <w:pPr>
        <w:adjustRightInd w:val="0"/>
        <w:snapToGrid w:val="0"/>
        <w:spacing w:before="0" w:beforeLines="0" w:line="400" w:lineRule="exact"/>
        <w:ind w:firstLine="0" w:firstLineChars="0"/>
        <w:rPr>
          <w:rFonts w:hint="default" w:ascii="Times New Roman" w:hAnsi="Times New Roman" w:eastAsia="仿宋_GB2312" w:cs="Times New Roman"/>
          <w:color w:val="auto"/>
          <w:sz w:val="24"/>
          <w:szCs w:val="24"/>
          <w:highlight w:val="none"/>
          <w:lang w:val="en-US" w:eastAsia="zh-CN"/>
        </w:rPr>
      </w:pPr>
      <w:r>
        <w:rPr>
          <w:rFonts w:hint="default" w:ascii="Times New Roman" w:hAnsi="Times New Roman" w:eastAsia="仿宋_GB2312" w:cs="Times New Roman"/>
          <w:color w:val="auto"/>
          <w:sz w:val="24"/>
          <w:szCs w:val="24"/>
          <w:highlight w:val="none"/>
          <w:lang w:val="en-US" w:eastAsia="zh-CN"/>
        </w:rPr>
        <w:t xml:space="preserve">    （注：固定单价合同应填写单价和最高限价）</w:t>
      </w:r>
    </w:p>
    <w:p w14:paraId="7AEE1759">
      <w:pPr>
        <w:numPr>
          <w:ilvl w:val="0"/>
          <w:numId w:val="0"/>
        </w:numPr>
        <w:adjustRightInd w:val="0"/>
        <w:snapToGrid w:val="0"/>
        <w:spacing w:before="0" w:beforeLines="0" w:line="400" w:lineRule="exact"/>
        <w:ind w:firstLine="0" w:firstLineChars="0"/>
        <w:rPr>
          <w:rFonts w:hint="default" w:ascii="Times New Roman" w:hAnsi="Times New Roman" w:eastAsia="仿宋_GB2312" w:cs="Times New Roman"/>
          <w:color w:val="auto"/>
          <w:sz w:val="24"/>
          <w:szCs w:val="24"/>
          <w:highlight w:val="none"/>
        </w:rPr>
      </w:pPr>
      <w:r>
        <w:rPr>
          <w:rFonts w:hint="default" w:ascii="Times New Roman" w:hAnsi="Times New Roman" w:eastAsia="仿宋_GB2312" w:cs="Times New Roman"/>
          <w:color w:val="auto"/>
          <w:sz w:val="24"/>
          <w:szCs w:val="24"/>
          <w:highlight w:val="none"/>
          <w:lang w:val="en-US" w:eastAsia="zh-CN"/>
        </w:rPr>
        <w:t xml:space="preserve">    </w:t>
      </w:r>
      <w:r>
        <w:rPr>
          <w:rFonts w:hint="default" w:ascii="Times New Roman" w:hAnsi="Times New Roman" w:eastAsia="仿宋_GB2312" w:cs="Times New Roman"/>
          <w:color w:val="auto"/>
          <w:sz w:val="24"/>
          <w:szCs w:val="24"/>
          <w:highlight w:val="none"/>
          <w:lang w:eastAsia="zh-CN"/>
        </w:rPr>
        <w:t>（</w:t>
      </w:r>
      <w:r>
        <w:rPr>
          <w:rFonts w:hint="default" w:ascii="Times New Roman" w:hAnsi="Times New Roman" w:eastAsia="仿宋_GB2312" w:cs="Times New Roman"/>
          <w:color w:val="auto"/>
          <w:sz w:val="24"/>
          <w:szCs w:val="24"/>
          <w:highlight w:val="none"/>
          <w:lang w:val="en-US" w:eastAsia="zh-CN"/>
        </w:rPr>
        <w:t>2</w:t>
      </w:r>
      <w:r>
        <w:rPr>
          <w:rFonts w:hint="default" w:ascii="Times New Roman" w:hAnsi="Times New Roman" w:eastAsia="仿宋_GB2312" w:cs="Times New Roman"/>
          <w:color w:val="auto"/>
          <w:sz w:val="24"/>
          <w:szCs w:val="24"/>
          <w:highlight w:val="none"/>
          <w:lang w:eastAsia="zh-CN"/>
        </w:rPr>
        <w:t>）</w:t>
      </w:r>
      <w:r>
        <w:rPr>
          <w:rFonts w:hint="default" w:ascii="Times New Roman" w:hAnsi="Times New Roman" w:eastAsia="仿宋_GB2312" w:cs="Times New Roman"/>
          <w:color w:val="auto"/>
          <w:sz w:val="24"/>
          <w:szCs w:val="24"/>
          <w:highlight w:val="none"/>
        </w:rPr>
        <w:t>合同定价方式</w:t>
      </w:r>
      <w:r>
        <w:rPr>
          <w:rFonts w:hint="default" w:ascii="Times New Roman" w:hAnsi="Times New Roman" w:eastAsia="仿宋_GB2312" w:cs="Times New Roman"/>
          <w:color w:val="auto"/>
          <w:sz w:val="24"/>
          <w:szCs w:val="24"/>
          <w:highlight w:val="none"/>
          <w:lang w:eastAsia="zh-CN"/>
        </w:rPr>
        <w:t>（采用组合定价方式的，可以勾选多项）</w:t>
      </w:r>
      <w:r>
        <w:rPr>
          <w:rFonts w:hint="default" w:ascii="Times New Roman" w:hAnsi="Times New Roman" w:eastAsia="仿宋_GB2312" w:cs="Times New Roman"/>
          <w:color w:val="auto"/>
          <w:sz w:val="24"/>
          <w:szCs w:val="24"/>
          <w:highlight w:val="none"/>
        </w:rPr>
        <w:t>：</w:t>
      </w:r>
    </w:p>
    <w:p w14:paraId="66E6F1FF">
      <w:pPr>
        <w:adjustRightInd w:val="0"/>
        <w:snapToGrid w:val="0"/>
        <w:spacing w:before="0" w:beforeLines="0" w:line="400" w:lineRule="exact"/>
        <w:ind w:firstLine="480" w:firstLineChars="200"/>
        <w:rPr>
          <w:rFonts w:hint="default" w:ascii="Times New Roman" w:hAnsi="Times New Roman" w:eastAsia="仿宋_GB2312" w:cs="Times New Roman"/>
          <w:color w:val="auto"/>
          <w:sz w:val="24"/>
          <w:szCs w:val="24"/>
          <w:highlight w:val="none"/>
          <w:lang w:eastAsia="zh-CN"/>
        </w:rPr>
      </w:pPr>
      <w:r>
        <w:rPr>
          <w:rFonts w:hint="default" w:ascii="Times New Roman" w:hAnsi="Times New Roman" w:eastAsia="仿宋_GB2312" w:cs="Times New Roman"/>
          <w:iCs/>
          <w:color w:val="auto"/>
          <w:sz w:val="24"/>
          <w:szCs w:val="24"/>
          <w:highlight w:val="none"/>
          <w:lang w:val="en-US" w:eastAsia="zh-CN"/>
        </w:rPr>
        <w:t xml:space="preserve">  </w:t>
      </w:r>
      <w:r>
        <w:rPr>
          <w:rFonts w:hint="default" w:ascii="Times New Roman" w:hAnsi="Times New Roman" w:eastAsia="仿宋_GB2312" w:cs="Times New Roman"/>
          <w:iCs/>
          <w:color w:val="auto"/>
          <w:sz w:val="24"/>
          <w:szCs w:val="24"/>
          <w:highlight w:val="none"/>
        </w:rPr>
        <w:sym w:font="Wingdings" w:char="00A8"/>
      </w:r>
      <w:r>
        <w:rPr>
          <w:rFonts w:hint="default" w:ascii="Times New Roman" w:hAnsi="Times New Roman" w:eastAsia="仿宋_GB2312" w:cs="Times New Roman"/>
          <w:iCs/>
          <w:color w:val="auto"/>
          <w:sz w:val="24"/>
          <w:szCs w:val="24"/>
          <w:highlight w:val="none"/>
        </w:rPr>
        <w:t xml:space="preserve">固定总价 </w:t>
      </w:r>
      <w:r>
        <w:rPr>
          <w:rFonts w:hint="default" w:ascii="Times New Roman" w:hAnsi="Times New Roman" w:eastAsia="仿宋_GB2312" w:cs="Times New Roman"/>
          <w:iCs/>
          <w:color w:val="auto"/>
          <w:sz w:val="24"/>
          <w:szCs w:val="24"/>
          <w:highlight w:val="none"/>
        </w:rPr>
        <w:sym w:font="Wingdings" w:char="00A8"/>
      </w:r>
      <w:r>
        <w:rPr>
          <w:rFonts w:hint="default" w:ascii="Times New Roman" w:hAnsi="Times New Roman" w:eastAsia="仿宋_GB2312" w:cs="Times New Roman"/>
          <w:iCs/>
          <w:color w:val="auto"/>
          <w:sz w:val="24"/>
          <w:szCs w:val="24"/>
          <w:highlight w:val="none"/>
        </w:rPr>
        <w:t>固定单价</w:t>
      </w:r>
      <w:r>
        <w:rPr>
          <w:rFonts w:hint="default" w:ascii="Times New Roman" w:hAnsi="Times New Roman" w:eastAsia="仿宋_GB2312" w:cs="Times New Roman"/>
          <w:iCs/>
          <w:color w:val="auto"/>
          <w:sz w:val="24"/>
          <w:szCs w:val="24"/>
          <w:highlight w:val="none"/>
          <w:lang w:val="en-US" w:eastAsia="zh-CN"/>
        </w:rPr>
        <w:t xml:space="preserve"> </w:t>
      </w:r>
      <w:r>
        <w:rPr>
          <w:rFonts w:hint="default" w:ascii="Times New Roman" w:hAnsi="Times New Roman" w:eastAsia="仿宋_GB2312" w:cs="Times New Roman"/>
          <w:iCs/>
          <w:color w:val="auto"/>
          <w:sz w:val="24"/>
          <w:szCs w:val="24"/>
          <w:highlight w:val="none"/>
        </w:rPr>
        <w:sym w:font="Wingdings" w:char="00A8"/>
      </w:r>
      <w:r>
        <w:rPr>
          <w:rFonts w:hint="default" w:ascii="Times New Roman" w:hAnsi="Times New Roman" w:eastAsia="仿宋_GB2312" w:cs="Times New Roman"/>
          <w:iCs/>
          <w:color w:val="auto"/>
          <w:sz w:val="24"/>
          <w:szCs w:val="24"/>
          <w:highlight w:val="none"/>
          <w:lang w:eastAsia="zh-CN"/>
        </w:rPr>
        <w:t>固定费率</w:t>
      </w:r>
      <w:r>
        <w:rPr>
          <w:rFonts w:hint="default" w:ascii="Times New Roman" w:hAnsi="Times New Roman" w:eastAsia="仿宋_GB2312" w:cs="Times New Roman"/>
          <w:iCs/>
          <w:color w:val="auto"/>
          <w:sz w:val="24"/>
          <w:szCs w:val="24"/>
          <w:highlight w:val="none"/>
        </w:rPr>
        <w:t xml:space="preserve"> </w:t>
      </w:r>
      <w:r>
        <w:rPr>
          <w:rFonts w:hint="default" w:ascii="Times New Roman" w:hAnsi="Times New Roman" w:eastAsia="仿宋_GB2312" w:cs="Times New Roman"/>
          <w:iCs/>
          <w:color w:val="auto"/>
          <w:sz w:val="24"/>
          <w:szCs w:val="24"/>
          <w:highlight w:val="none"/>
        </w:rPr>
        <w:sym w:font="Wingdings" w:char="00A8"/>
      </w:r>
      <w:r>
        <w:rPr>
          <w:rFonts w:hint="default" w:ascii="Times New Roman" w:hAnsi="Times New Roman" w:eastAsia="仿宋_GB2312" w:cs="Times New Roman"/>
          <w:iCs/>
          <w:color w:val="auto"/>
          <w:sz w:val="24"/>
          <w:szCs w:val="24"/>
          <w:highlight w:val="none"/>
        </w:rPr>
        <w:t xml:space="preserve">成本补偿 </w:t>
      </w:r>
      <w:r>
        <w:rPr>
          <w:rFonts w:hint="default" w:ascii="Times New Roman" w:hAnsi="Times New Roman" w:eastAsia="仿宋_GB2312" w:cs="Times New Roman"/>
          <w:iCs/>
          <w:color w:val="auto"/>
          <w:sz w:val="24"/>
          <w:szCs w:val="24"/>
          <w:highlight w:val="none"/>
        </w:rPr>
        <w:sym w:font="Wingdings" w:char="00A8"/>
      </w:r>
      <w:r>
        <w:rPr>
          <w:rFonts w:hint="default" w:ascii="Times New Roman" w:hAnsi="Times New Roman" w:eastAsia="仿宋_GB2312" w:cs="Times New Roman"/>
          <w:iCs/>
          <w:color w:val="auto"/>
          <w:sz w:val="24"/>
          <w:szCs w:val="24"/>
          <w:highlight w:val="none"/>
        </w:rPr>
        <w:t>绩效激励</w:t>
      </w:r>
      <w:r>
        <w:rPr>
          <w:rFonts w:hint="default" w:ascii="Times New Roman" w:hAnsi="Times New Roman" w:eastAsia="仿宋_GB2312" w:cs="Times New Roman"/>
          <w:iCs/>
          <w:color w:val="auto"/>
          <w:sz w:val="24"/>
          <w:szCs w:val="24"/>
          <w:highlight w:val="none"/>
          <w:lang w:val="en-US" w:eastAsia="zh-CN"/>
        </w:rPr>
        <w:t xml:space="preserve"> </w:t>
      </w:r>
      <w:r>
        <w:rPr>
          <w:rFonts w:hint="default" w:ascii="Times New Roman" w:hAnsi="Times New Roman" w:eastAsia="仿宋_GB2312" w:cs="Times New Roman"/>
          <w:iCs/>
          <w:color w:val="auto"/>
          <w:sz w:val="24"/>
          <w:szCs w:val="24"/>
          <w:highlight w:val="none"/>
        </w:rPr>
        <w:sym w:font="Wingdings" w:char="00A8"/>
      </w:r>
      <w:r>
        <w:rPr>
          <w:rFonts w:hint="default" w:ascii="Times New Roman" w:hAnsi="Times New Roman" w:eastAsia="仿宋_GB2312" w:cs="Times New Roman"/>
          <w:iCs/>
          <w:color w:val="auto"/>
          <w:sz w:val="24"/>
          <w:szCs w:val="24"/>
          <w:highlight w:val="none"/>
          <w:lang w:eastAsia="zh-CN"/>
        </w:rPr>
        <w:t>其他</w:t>
      </w:r>
      <w:r>
        <w:rPr>
          <w:rFonts w:hint="default" w:ascii="Times New Roman" w:hAnsi="Times New Roman" w:eastAsia="仿宋_GB2312" w:cs="Times New Roman"/>
          <w:color w:val="auto"/>
          <w:sz w:val="24"/>
          <w:szCs w:val="24"/>
          <w:highlight w:val="none"/>
          <w:u w:val="single"/>
        </w:rPr>
        <w:t xml:space="preserve">       </w:t>
      </w:r>
    </w:p>
    <w:p w14:paraId="513AF715">
      <w:pPr>
        <w:pStyle w:val="94"/>
        <w:spacing w:beforeLines="0" w:line="400" w:lineRule="exact"/>
        <w:rPr>
          <w:rFonts w:hint="default" w:ascii="Times New Roman" w:hAnsi="Times New Roman" w:eastAsia="仿宋_GB2312" w:cs="Times New Roman"/>
          <w:color w:val="auto"/>
          <w:sz w:val="24"/>
          <w:szCs w:val="24"/>
          <w:highlight w:val="none"/>
        </w:rPr>
      </w:pPr>
      <w:r>
        <w:rPr>
          <w:rFonts w:hint="default" w:ascii="Times New Roman" w:hAnsi="Times New Roman" w:eastAsia="仿宋_GB2312" w:cs="Times New Roman"/>
          <w:color w:val="auto"/>
          <w:sz w:val="24"/>
          <w:szCs w:val="24"/>
          <w:highlight w:val="none"/>
        </w:rPr>
        <w:t>（</w:t>
      </w:r>
      <w:r>
        <w:rPr>
          <w:rFonts w:hint="default" w:ascii="Times New Roman" w:hAnsi="Times New Roman" w:eastAsia="仿宋_GB2312" w:cs="Times New Roman"/>
          <w:color w:val="auto"/>
          <w:sz w:val="24"/>
          <w:szCs w:val="24"/>
          <w:highlight w:val="none"/>
          <w:lang w:val="en-US" w:eastAsia="zh-CN"/>
        </w:rPr>
        <w:t>3</w:t>
      </w:r>
      <w:r>
        <w:rPr>
          <w:rFonts w:hint="default" w:ascii="Times New Roman" w:hAnsi="Times New Roman" w:eastAsia="仿宋_GB2312" w:cs="Times New Roman"/>
          <w:color w:val="auto"/>
          <w:sz w:val="24"/>
          <w:szCs w:val="24"/>
          <w:highlight w:val="none"/>
        </w:rPr>
        <w:t>）付款方式（按项目实际勾选填写）：</w:t>
      </w:r>
    </w:p>
    <w:p w14:paraId="40C43031">
      <w:pPr>
        <w:adjustRightInd w:val="0"/>
        <w:snapToGrid w:val="0"/>
        <w:spacing w:before="0" w:beforeLines="0" w:line="400" w:lineRule="exact"/>
        <w:ind w:firstLine="720" w:firstLineChars="300"/>
        <w:rPr>
          <w:rFonts w:hint="default" w:ascii="Times New Roman" w:hAnsi="Times New Roman" w:eastAsia="仿宋_GB2312" w:cs="Times New Roman"/>
          <w:color w:val="auto"/>
          <w:sz w:val="24"/>
          <w:szCs w:val="24"/>
          <w:highlight w:val="none"/>
          <w:u w:val="single"/>
        </w:rPr>
      </w:pPr>
      <w:r>
        <w:rPr>
          <w:rFonts w:hint="default" w:ascii="Times New Roman" w:hAnsi="Times New Roman" w:eastAsia="仿宋_GB2312" w:cs="Times New Roman"/>
          <w:color w:val="auto"/>
          <w:sz w:val="24"/>
          <w:szCs w:val="24"/>
          <w:highlight w:val="none"/>
        </w:rPr>
        <w:sym w:font="Wingdings" w:char="00A8"/>
      </w:r>
      <w:r>
        <w:rPr>
          <w:rFonts w:hint="default" w:ascii="Times New Roman" w:hAnsi="Times New Roman" w:eastAsia="仿宋_GB2312" w:cs="Times New Roman"/>
          <w:color w:val="auto"/>
          <w:sz w:val="24"/>
          <w:szCs w:val="24"/>
          <w:highlight w:val="none"/>
        </w:rPr>
        <w:t>全额付款：</w:t>
      </w:r>
      <w:r>
        <w:rPr>
          <w:rFonts w:hint="default" w:ascii="Times New Roman" w:hAnsi="Times New Roman" w:eastAsia="仿宋_GB2312" w:cs="Times New Roman"/>
          <w:color w:val="auto"/>
          <w:sz w:val="24"/>
          <w:szCs w:val="24"/>
          <w:highlight w:val="none"/>
          <w:u w:val="single"/>
        </w:rPr>
        <w:t xml:space="preserve">     （应</w:t>
      </w:r>
      <w:r>
        <w:rPr>
          <w:rFonts w:hint="default" w:ascii="Times New Roman" w:hAnsi="Times New Roman" w:eastAsia="仿宋_GB2312" w:cs="Times New Roman"/>
          <w:color w:val="auto"/>
          <w:sz w:val="24"/>
          <w:szCs w:val="24"/>
          <w:highlight w:val="none"/>
          <w:u w:val="single"/>
          <w:lang w:eastAsia="zh-CN"/>
        </w:rPr>
        <w:t>明确</w:t>
      </w:r>
      <w:r>
        <w:rPr>
          <w:rFonts w:hint="default" w:ascii="Times New Roman" w:hAnsi="Times New Roman" w:eastAsia="仿宋_GB2312" w:cs="Times New Roman"/>
          <w:color w:val="auto"/>
          <w:sz w:val="24"/>
          <w:szCs w:val="24"/>
          <w:highlight w:val="none"/>
          <w:u w:val="single"/>
        </w:rPr>
        <w:t>一次性支付合同款项</w:t>
      </w:r>
      <w:r>
        <w:rPr>
          <w:rFonts w:hint="default" w:ascii="Times New Roman" w:hAnsi="Times New Roman" w:eastAsia="仿宋_GB2312" w:cs="Times New Roman"/>
          <w:color w:val="auto"/>
          <w:sz w:val="24"/>
          <w:szCs w:val="24"/>
          <w:highlight w:val="none"/>
          <w:u w:val="single"/>
          <w:lang w:eastAsia="zh-CN"/>
        </w:rPr>
        <w:t>的条件</w:t>
      </w:r>
      <w:r>
        <w:rPr>
          <w:rFonts w:hint="default" w:ascii="Times New Roman" w:hAnsi="Times New Roman" w:eastAsia="仿宋_GB2312" w:cs="Times New Roman"/>
          <w:color w:val="auto"/>
          <w:sz w:val="24"/>
          <w:szCs w:val="24"/>
          <w:highlight w:val="none"/>
          <w:u w:val="single"/>
        </w:rPr>
        <w:t xml:space="preserve">）                    </w:t>
      </w:r>
    </w:p>
    <w:p w14:paraId="326700EC">
      <w:pPr>
        <w:snapToGrid w:val="0"/>
        <w:spacing w:beforeLines="0" w:line="400" w:lineRule="exact"/>
        <w:ind w:firstLine="720" w:firstLineChars="300"/>
        <w:rPr>
          <w:rFonts w:hint="default" w:ascii="Times New Roman" w:hAnsi="Times New Roman" w:eastAsia="仿宋_GB2312" w:cs="Times New Roman"/>
          <w:color w:val="auto"/>
          <w:sz w:val="24"/>
          <w:szCs w:val="24"/>
          <w:highlight w:val="none"/>
        </w:rPr>
      </w:pPr>
      <w:r>
        <w:rPr>
          <w:rFonts w:hint="default" w:ascii="Times New Roman" w:hAnsi="Times New Roman" w:eastAsia="仿宋_GB2312" w:cs="Times New Roman"/>
          <w:color w:val="auto"/>
          <w:sz w:val="24"/>
          <w:szCs w:val="24"/>
          <w:highlight w:val="none"/>
        </w:rPr>
        <w:sym w:font="Wingdings" w:char="00A8"/>
      </w:r>
      <w:r>
        <w:rPr>
          <w:rFonts w:hint="default" w:ascii="Times New Roman" w:hAnsi="Times New Roman" w:eastAsia="仿宋_GB2312" w:cs="Times New Roman"/>
          <w:color w:val="auto"/>
          <w:sz w:val="24"/>
          <w:szCs w:val="24"/>
          <w:highlight w:val="none"/>
        </w:rPr>
        <w:t>分期付款：</w:t>
      </w:r>
      <w:r>
        <w:rPr>
          <w:rFonts w:hint="default" w:ascii="Times New Roman" w:hAnsi="Times New Roman" w:eastAsia="仿宋_GB2312" w:cs="Times New Roman"/>
          <w:color w:val="auto"/>
          <w:sz w:val="24"/>
          <w:szCs w:val="24"/>
          <w:highlight w:val="none"/>
          <w:u w:val="single"/>
        </w:rPr>
        <w:t xml:space="preserve">  （应明确分期支付合同款项的各期比例和支付条件</w:t>
      </w:r>
      <w:r>
        <w:rPr>
          <w:rFonts w:hint="default" w:ascii="Times New Roman" w:hAnsi="Times New Roman" w:eastAsia="仿宋_GB2312" w:cs="Times New Roman"/>
          <w:color w:val="auto"/>
          <w:sz w:val="24"/>
          <w:szCs w:val="24"/>
          <w:highlight w:val="none"/>
          <w:u w:val="single"/>
          <w:lang w:eastAsia="zh-CN"/>
        </w:rPr>
        <w:t>，各期支付条件应与分期履约验收情况挂钩</w:t>
      </w:r>
      <w:r>
        <w:rPr>
          <w:rFonts w:hint="default" w:ascii="Times New Roman" w:hAnsi="Times New Roman" w:eastAsia="仿宋_GB2312" w:cs="Times New Roman"/>
          <w:color w:val="auto"/>
          <w:sz w:val="24"/>
          <w:szCs w:val="24"/>
          <w:highlight w:val="none"/>
          <w:u w:val="single"/>
        </w:rPr>
        <w:t xml:space="preserve">） </w:t>
      </w:r>
      <w:r>
        <w:rPr>
          <w:rFonts w:hint="default" w:ascii="Times New Roman" w:hAnsi="Times New Roman" w:eastAsia="仿宋_GB2312" w:cs="Times New Roman"/>
          <w:color w:val="auto"/>
          <w:sz w:val="24"/>
          <w:szCs w:val="24"/>
          <w:highlight w:val="none"/>
          <w:u w:val="none"/>
          <w:lang w:eastAsia="zh-CN"/>
        </w:rPr>
        <w:t>，</w:t>
      </w:r>
      <w:r>
        <w:rPr>
          <w:rFonts w:hint="default" w:ascii="Times New Roman" w:hAnsi="Times New Roman" w:eastAsia="仿宋_GB2312" w:cs="Times New Roman"/>
          <w:color w:val="auto"/>
          <w:sz w:val="24"/>
          <w:szCs w:val="24"/>
          <w:highlight w:val="none"/>
          <w:lang w:eastAsia="zh-CN"/>
        </w:rPr>
        <w:t>其中涉及预付款的</w:t>
      </w:r>
      <w:r>
        <w:rPr>
          <w:rFonts w:hint="default" w:ascii="Times New Roman" w:hAnsi="Times New Roman" w:eastAsia="仿宋_GB2312" w:cs="Times New Roman"/>
          <w:color w:val="auto"/>
          <w:sz w:val="24"/>
          <w:szCs w:val="24"/>
          <w:highlight w:val="none"/>
        </w:rPr>
        <w:t>：</w:t>
      </w:r>
      <w:r>
        <w:rPr>
          <w:rFonts w:hint="default" w:ascii="Times New Roman" w:hAnsi="Times New Roman" w:eastAsia="仿宋_GB2312" w:cs="Times New Roman"/>
          <w:color w:val="auto"/>
          <w:sz w:val="24"/>
          <w:szCs w:val="24"/>
          <w:highlight w:val="none"/>
          <w:u w:val="single"/>
        </w:rPr>
        <w:t xml:space="preserve"> （应明确预付款的支付比例和支付条件） </w:t>
      </w:r>
    </w:p>
    <w:p w14:paraId="26EF7ECF">
      <w:pPr>
        <w:adjustRightInd w:val="0"/>
        <w:snapToGrid w:val="0"/>
        <w:spacing w:before="0" w:beforeLines="0" w:line="400" w:lineRule="exact"/>
        <w:ind w:firstLine="720" w:firstLineChars="300"/>
        <w:rPr>
          <w:rFonts w:hint="default" w:ascii="Times New Roman" w:hAnsi="Times New Roman" w:eastAsia="仿宋_GB2312" w:cs="Times New Roman"/>
          <w:color w:val="auto"/>
          <w:sz w:val="24"/>
          <w:szCs w:val="24"/>
          <w:highlight w:val="none"/>
          <w:u w:val="single"/>
        </w:rPr>
      </w:pPr>
      <w:r>
        <w:rPr>
          <w:rFonts w:hint="default" w:ascii="Times New Roman" w:hAnsi="Times New Roman" w:eastAsia="仿宋_GB2312" w:cs="Times New Roman"/>
          <w:color w:val="auto"/>
          <w:sz w:val="24"/>
          <w:szCs w:val="24"/>
          <w:highlight w:val="none"/>
        </w:rPr>
        <w:sym w:font="Wingdings" w:char="00A8"/>
      </w:r>
      <w:r>
        <w:rPr>
          <w:rFonts w:hint="default" w:ascii="Times New Roman" w:hAnsi="Times New Roman" w:eastAsia="仿宋_GB2312" w:cs="Times New Roman"/>
          <w:color w:val="auto"/>
          <w:sz w:val="24"/>
          <w:szCs w:val="24"/>
          <w:highlight w:val="none"/>
        </w:rPr>
        <w:t>成本补偿：</w:t>
      </w:r>
      <w:r>
        <w:rPr>
          <w:rFonts w:hint="default" w:ascii="Times New Roman" w:hAnsi="Times New Roman" w:eastAsia="仿宋_GB2312" w:cs="Times New Roman"/>
          <w:color w:val="auto"/>
          <w:sz w:val="24"/>
          <w:szCs w:val="24"/>
          <w:highlight w:val="none"/>
          <w:u w:val="single"/>
        </w:rPr>
        <w:t xml:space="preserve">  （应明确按照成本补偿方式的支付方式和支付条件）   </w:t>
      </w:r>
    </w:p>
    <w:p w14:paraId="66CFB3C5">
      <w:pPr>
        <w:adjustRightInd w:val="0"/>
        <w:snapToGrid w:val="0"/>
        <w:spacing w:before="0" w:beforeLines="0" w:line="400" w:lineRule="exact"/>
        <w:ind w:firstLine="720" w:firstLineChars="300"/>
        <w:rPr>
          <w:rFonts w:hint="default" w:ascii="Times New Roman" w:hAnsi="Times New Roman" w:eastAsia="仿宋_GB2312" w:cs="Times New Roman"/>
          <w:color w:val="auto"/>
          <w:sz w:val="24"/>
          <w:szCs w:val="24"/>
          <w:highlight w:val="none"/>
        </w:rPr>
      </w:pPr>
      <w:r>
        <w:rPr>
          <w:rFonts w:hint="default" w:ascii="Times New Roman" w:hAnsi="Times New Roman" w:eastAsia="仿宋_GB2312" w:cs="Times New Roman"/>
          <w:color w:val="auto"/>
          <w:sz w:val="24"/>
          <w:szCs w:val="24"/>
          <w:highlight w:val="none"/>
        </w:rPr>
        <w:sym w:font="Wingdings" w:char="00A8"/>
      </w:r>
      <w:r>
        <w:rPr>
          <w:rFonts w:hint="default" w:ascii="Times New Roman" w:hAnsi="Times New Roman" w:eastAsia="仿宋_GB2312" w:cs="Times New Roman"/>
          <w:color w:val="auto"/>
          <w:sz w:val="24"/>
          <w:szCs w:val="24"/>
          <w:highlight w:val="none"/>
        </w:rPr>
        <w:t>绩效激励：</w:t>
      </w:r>
      <w:r>
        <w:rPr>
          <w:rFonts w:hint="default" w:ascii="Times New Roman" w:hAnsi="Times New Roman" w:eastAsia="仿宋_GB2312" w:cs="Times New Roman"/>
          <w:color w:val="auto"/>
          <w:sz w:val="24"/>
          <w:szCs w:val="24"/>
          <w:highlight w:val="none"/>
          <w:u w:val="single"/>
        </w:rPr>
        <w:t xml:space="preserve">  （应明确按照绩效激励方式的支付方式和支付条件）   </w:t>
      </w:r>
    </w:p>
    <w:p w14:paraId="27A50B46">
      <w:pPr>
        <w:numPr>
          <w:ilvl w:val="0"/>
          <w:numId w:val="19"/>
        </w:numPr>
        <w:adjustRightInd w:val="0"/>
        <w:snapToGrid w:val="0"/>
        <w:spacing w:before="0" w:beforeLines="0" w:line="400" w:lineRule="exact"/>
        <w:ind w:firstLine="482" w:firstLineChars="200"/>
        <w:rPr>
          <w:rFonts w:hint="default" w:ascii="Times New Roman" w:hAnsi="Times New Roman" w:eastAsia="仿宋_GB2312" w:cs="Times New Roman"/>
          <w:b/>
          <w:bCs w:val="0"/>
          <w:color w:val="auto"/>
          <w:sz w:val="24"/>
          <w:szCs w:val="24"/>
          <w:highlight w:val="none"/>
          <w:u w:val="single"/>
        </w:rPr>
      </w:pPr>
      <w:r>
        <w:rPr>
          <w:rFonts w:hint="default" w:ascii="Times New Roman" w:hAnsi="Times New Roman" w:eastAsia="仿宋_GB2312" w:cs="Times New Roman"/>
          <w:b/>
          <w:bCs w:val="0"/>
          <w:color w:val="auto"/>
          <w:sz w:val="24"/>
          <w:szCs w:val="24"/>
          <w:highlight w:val="none"/>
        </w:rPr>
        <w:t>合同履行</w:t>
      </w:r>
    </w:p>
    <w:p w14:paraId="1DCFF04D">
      <w:pPr>
        <w:adjustRightInd w:val="0"/>
        <w:snapToGrid w:val="0"/>
        <w:spacing w:before="0" w:beforeLines="0" w:line="400" w:lineRule="exact"/>
        <w:ind w:firstLine="480" w:firstLineChars="200"/>
        <w:rPr>
          <w:rFonts w:hint="default" w:ascii="Times New Roman" w:hAnsi="Times New Roman" w:eastAsia="仿宋_GB2312" w:cs="Times New Roman"/>
          <w:color w:val="auto"/>
          <w:sz w:val="24"/>
          <w:szCs w:val="24"/>
          <w:highlight w:val="none"/>
        </w:rPr>
      </w:pPr>
      <w:r>
        <w:rPr>
          <w:rFonts w:hint="default" w:ascii="Times New Roman" w:hAnsi="Times New Roman" w:eastAsia="仿宋_GB2312" w:cs="Times New Roman"/>
          <w:color w:val="auto"/>
          <w:sz w:val="24"/>
          <w:szCs w:val="24"/>
          <w:highlight w:val="none"/>
        </w:rPr>
        <w:t>（1）起始日期：</w:t>
      </w:r>
      <w:r>
        <w:rPr>
          <w:rFonts w:hint="default" w:ascii="Times New Roman" w:hAnsi="Times New Roman" w:eastAsia="仿宋_GB2312" w:cs="Times New Roman"/>
          <w:color w:val="auto"/>
          <w:sz w:val="24"/>
          <w:szCs w:val="24"/>
          <w:highlight w:val="none"/>
          <w:u w:val="single"/>
        </w:rPr>
        <w:t xml:space="preserve">    </w:t>
      </w:r>
      <w:r>
        <w:rPr>
          <w:rFonts w:hint="default" w:ascii="Times New Roman" w:hAnsi="Times New Roman" w:eastAsia="仿宋_GB2312" w:cs="Times New Roman"/>
          <w:color w:val="auto"/>
          <w:sz w:val="24"/>
          <w:szCs w:val="24"/>
          <w:highlight w:val="none"/>
        </w:rPr>
        <w:t>年</w:t>
      </w:r>
      <w:r>
        <w:rPr>
          <w:rFonts w:hint="default" w:ascii="Times New Roman" w:hAnsi="Times New Roman" w:eastAsia="仿宋_GB2312" w:cs="Times New Roman"/>
          <w:color w:val="auto"/>
          <w:sz w:val="24"/>
          <w:szCs w:val="24"/>
          <w:highlight w:val="none"/>
          <w:u w:val="single"/>
        </w:rPr>
        <w:t xml:space="preserve">   </w:t>
      </w:r>
      <w:r>
        <w:rPr>
          <w:rFonts w:hint="default" w:ascii="Times New Roman" w:hAnsi="Times New Roman" w:eastAsia="仿宋_GB2312" w:cs="Times New Roman"/>
          <w:color w:val="auto"/>
          <w:sz w:val="24"/>
          <w:szCs w:val="24"/>
          <w:highlight w:val="none"/>
        </w:rPr>
        <w:t>月</w:t>
      </w:r>
      <w:r>
        <w:rPr>
          <w:rFonts w:hint="default" w:ascii="Times New Roman" w:hAnsi="Times New Roman" w:eastAsia="仿宋_GB2312" w:cs="Times New Roman"/>
          <w:color w:val="auto"/>
          <w:sz w:val="24"/>
          <w:szCs w:val="24"/>
          <w:highlight w:val="none"/>
          <w:u w:val="single"/>
        </w:rPr>
        <w:t xml:space="preserve">   </w:t>
      </w:r>
      <w:r>
        <w:rPr>
          <w:rFonts w:hint="default" w:ascii="Times New Roman" w:hAnsi="Times New Roman" w:eastAsia="仿宋_GB2312" w:cs="Times New Roman"/>
          <w:color w:val="auto"/>
          <w:sz w:val="24"/>
          <w:szCs w:val="24"/>
          <w:highlight w:val="none"/>
        </w:rPr>
        <w:t>日，完成日期：</w:t>
      </w:r>
      <w:r>
        <w:rPr>
          <w:rFonts w:hint="default" w:ascii="Times New Roman" w:hAnsi="Times New Roman" w:eastAsia="仿宋_GB2312" w:cs="Times New Roman"/>
          <w:color w:val="auto"/>
          <w:sz w:val="24"/>
          <w:szCs w:val="24"/>
          <w:highlight w:val="none"/>
          <w:u w:val="single"/>
        </w:rPr>
        <w:t xml:space="preserve">    </w:t>
      </w:r>
      <w:r>
        <w:rPr>
          <w:rFonts w:hint="default" w:ascii="Times New Roman" w:hAnsi="Times New Roman" w:eastAsia="仿宋_GB2312" w:cs="Times New Roman"/>
          <w:color w:val="auto"/>
          <w:sz w:val="24"/>
          <w:szCs w:val="24"/>
          <w:highlight w:val="none"/>
        </w:rPr>
        <w:t>年</w:t>
      </w:r>
      <w:r>
        <w:rPr>
          <w:rFonts w:hint="default" w:ascii="Times New Roman" w:hAnsi="Times New Roman" w:eastAsia="仿宋_GB2312" w:cs="Times New Roman"/>
          <w:color w:val="auto"/>
          <w:sz w:val="24"/>
          <w:szCs w:val="24"/>
          <w:highlight w:val="none"/>
          <w:u w:val="single"/>
        </w:rPr>
        <w:t xml:space="preserve">   </w:t>
      </w:r>
      <w:r>
        <w:rPr>
          <w:rFonts w:hint="default" w:ascii="Times New Roman" w:hAnsi="Times New Roman" w:eastAsia="仿宋_GB2312" w:cs="Times New Roman"/>
          <w:color w:val="auto"/>
          <w:sz w:val="24"/>
          <w:szCs w:val="24"/>
          <w:highlight w:val="none"/>
        </w:rPr>
        <w:t>月</w:t>
      </w:r>
      <w:r>
        <w:rPr>
          <w:rFonts w:hint="default" w:ascii="Times New Roman" w:hAnsi="Times New Roman" w:eastAsia="仿宋_GB2312" w:cs="Times New Roman"/>
          <w:color w:val="auto"/>
          <w:sz w:val="24"/>
          <w:szCs w:val="24"/>
          <w:highlight w:val="none"/>
          <w:u w:val="single"/>
        </w:rPr>
        <w:t xml:space="preserve">   </w:t>
      </w:r>
      <w:r>
        <w:rPr>
          <w:rFonts w:hint="default" w:ascii="Times New Roman" w:hAnsi="Times New Roman" w:eastAsia="仿宋_GB2312" w:cs="Times New Roman"/>
          <w:color w:val="auto"/>
          <w:sz w:val="24"/>
          <w:szCs w:val="24"/>
          <w:highlight w:val="none"/>
        </w:rPr>
        <w:t>日。</w:t>
      </w:r>
    </w:p>
    <w:p w14:paraId="5CED4E21">
      <w:pPr>
        <w:adjustRightInd w:val="0"/>
        <w:snapToGrid w:val="0"/>
        <w:spacing w:before="0" w:beforeLines="0" w:line="400" w:lineRule="exact"/>
        <w:ind w:firstLine="480" w:firstLineChars="200"/>
        <w:rPr>
          <w:rFonts w:hint="default" w:ascii="Times New Roman" w:hAnsi="Times New Roman" w:eastAsia="仿宋_GB2312" w:cs="Times New Roman"/>
          <w:color w:val="auto"/>
          <w:sz w:val="24"/>
          <w:szCs w:val="24"/>
          <w:highlight w:val="none"/>
          <w:u w:val="single"/>
        </w:rPr>
      </w:pPr>
      <w:r>
        <w:rPr>
          <w:rFonts w:hint="default" w:ascii="Times New Roman" w:hAnsi="Times New Roman" w:eastAsia="仿宋_GB2312" w:cs="Times New Roman"/>
          <w:color w:val="auto"/>
          <w:sz w:val="24"/>
          <w:szCs w:val="24"/>
          <w:highlight w:val="none"/>
        </w:rPr>
        <w:t>（2）</w:t>
      </w:r>
      <w:r>
        <w:rPr>
          <w:rFonts w:hint="default" w:ascii="Times New Roman" w:hAnsi="Times New Roman" w:eastAsia="仿宋_GB2312" w:cs="Times New Roman"/>
          <w:color w:val="auto"/>
          <w:sz w:val="24"/>
          <w:szCs w:val="24"/>
          <w:highlight w:val="none"/>
          <w:lang w:eastAsia="zh-CN"/>
        </w:rPr>
        <w:t>履约</w:t>
      </w:r>
      <w:r>
        <w:rPr>
          <w:rFonts w:hint="default" w:ascii="Times New Roman" w:hAnsi="Times New Roman" w:eastAsia="仿宋_GB2312" w:cs="Times New Roman"/>
          <w:color w:val="auto"/>
          <w:sz w:val="24"/>
          <w:szCs w:val="24"/>
          <w:highlight w:val="none"/>
        </w:rPr>
        <w:t>地点</w:t>
      </w:r>
      <w:r>
        <w:rPr>
          <w:rFonts w:hint="default" w:ascii="Times New Roman" w:hAnsi="Times New Roman" w:eastAsia="仿宋_GB2312" w:cs="Times New Roman"/>
          <w:b w:val="0"/>
          <w:bCs/>
          <w:color w:val="auto"/>
          <w:sz w:val="24"/>
          <w:szCs w:val="24"/>
          <w:highlight w:val="none"/>
        </w:rPr>
        <w:t>：</w:t>
      </w:r>
      <w:r>
        <w:rPr>
          <w:rFonts w:hint="default" w:ascii="Times New Roman" w:hAnsi="Times New Roman" w:eastAsia="仿宋_GB2312" w:cs="Times New Roman"/>
          <w:color w:val="auto"/>
          <w:sz w:val="24"/>
          <w:szCs w:val="24"/>
          <w:highlight w:val="none"/>
          <w:u w:val="single"/>
        </w:rPr>
        <w:t xml:space="preserve">                             </w:t>
      </w:r>
    </w:p>
    <w:p w14:paraId="70F4F1A5">
      <w:pPr>
        <w:adjustRightInd w:val="0"/>
        <w:snapToGrid w:val="0"/>
        <w:spacing w:before="0" w:beforeLines="0" w:line="400" w:lineRule="exact"/>
        <w:ind w:firstLine="480" w:firstLineChars="200"/>
        <w:rPr>
          <w:rFonts w:hint="default" w:ascii="Times New Roman" w:hAnsi="Times New Roman" w:eastAsia="仿宋_GB2312" w:cs="Times New Roman"/>
          <w:color w:val="auto"/>
          <w:sz w:val="24"/>
          <w:szCs w:val="24"/>
          <w:highlight w:val="none"/>
          <w:lang w:eastAsia="zh-CN"/>
        </w:rPr>
      </w:pPr>
      <w:r>
        <w:rPr>
          <w:rFonts w:hint="default" w:ascii="Times New Roman" w:hAnsi="Times New Roman" w:eastAsia="仿宋_GB2312" w:cs="Times New Roman"/>
          <w:bCs/>
          <w:color w:val="auto"/>
          <w:sz w:val="24"/>
          <w:szCs w:val="24"/>
          <w:highlight w:val="none"/>
        </w:rPr>
        <w:t>（3）履约担保：</w:t>
      </w:r>
      <w:r>
        <w:rPr>
          <w:rFonts w:hint="default" w:ascii="Times New Roman" w:hAnsi="Times New Roman" w:eastAsia="仿宋_GB2312" w:cs="Times New Roman"/>
          <w:color w:val="auto"/>
          <w:sz w:val="24"/>
          <w:szCs w:val="24"/>
          <w:highlight w:val="none"/>
          <w:lang w:val="en-US" w:eastAsia="zh-CN"/>
        </w:rPr>
        <w:t>是否收取履约保证金：</w:t>
      </w:r>
      <w:r>
        <w:rPr>
          <w:rFonts w:hint="default" w:ascii="Times New Roman" w:hAnsi="Times New Roman" w:eastAsia="仿宋_GB2312" w:cs="Times New Roman"/>
          <w:color w:val="auto"/>
          <w:sz w:val="24"/>
          <w:szCs w:val="24"/>
          <w:highlight w:val="none"/>
        </w:rPr>
        <w:sym w:font="Wingdings" w:char="00A8"/>
      </w:r>
      <w:r>
        <w:rPr>
          <w:rFonts w:hint="default" w:ascii="Times New Roman" w:hAnsi="Times New Roman" w:eastAsia="仿宋_GB2312" w:cs="Times New Roman"/>
          <w:color w:val="auto"/>
          <w:sz w:val="24"/>
          <w:szCs w:val="24"/>
          <w:highlight w:val="none"/>
          <w:lang w:eastAsia="zh-CN"/>
        </w:rPr>
        <w:t>是</w:t>
      </w:r>
      <w:r>
        <w:rPr>
          <w:rFonts w:hint="default" w:ascii="Times New Roman" w:hAnsi="Times New Roman" w:eastAsia="仿宋_GB2312" w:cs="Times New Roman"/>
          <w:color w:val="auto"/>
          <w:sz w:val="24"/>
          <w:szCs w:val="24"/>
          <w:highlight w:val="none"/>
          <w:lang w:val="en-US" w:eastAsia="zh-CN"/>
        </w:rPr>
        <w:t xml:space="preserve">    </w:t>
      </w:r>
      <w:r>
        <w:rPr>
          <w:rFonts w:hint="default" w:ascii="Times New Roman" w:hAnsi="Times New Roman" w:eastAsia="仿宋_GB2312" w:cs="Times New Roman"/>
          <w:color w:val="auto"/>
          <w:sz w:val="24"/>
          <w:szCs w:val="24"/>
          <w:highlight w:val="none"/>
        </w:rPr>
        <w:sym w:font="Wingdings" w:char="00A8"/>
      </w:r>
      <w:r>
        <w:rPr>
          <w:rFonts w:hint="default" w:ascii="Times New Roman" w:hAnsi="Times New Roman" w:eastAsia="仿宋_GB2312" w:cs="Times New Roman"/>
          <w:color w:val="auto"/>
          <w:sz w:val="24"/>
          <w:szCs w:val="24"/>
          <w:highlight w:val="none"/>
          <w:lang w:eastAsia="zh-CN"/>
        </w:rPr>
        <w:t>否</w:t>
      </w:r>
    </w:p>
    <w:p w14:paraId="753E4372">
      <w:pPr>
        <w:pStyle w:val="45"/>
        <w:spacing w:beforeLines="0"/>
        <w:rPr>
          <w:rFonts w:hint="default" w:ascii="Times New Roman" w:hAnsi="Times New Roman" w:eastAsia="仿宋_GB2312" w:cs="Times New Roman"/>
          <w:color w:val="auto"/>
          <w:sz w:val="24"/>
          <w:szCs w:val="24"/>
          <w:highlight w:val="none"/>
          <w:lang w:val="en-US" w:eastAsia="zh-CN"/>
        </w:rPr>
      </w:pPr>
      <w:r>
        <w:rPr>
          <w:rFonts w:hint="default" w:ascii="Times New Roman" w:hAnsi="Times New Roman" w:eastAsia="仿宋_GB2312" w:cs="Times New Roman"/>
          <w:bCs/>
          <w:color w:val="auto"/>
          <w:sz w:val="24"/>
          <w:szCs w:val="24"/>
          <w:highlight w:val="none"/>
          <w:u w:val="none"/>
          <w:lang w:val="en-US" w:eastAsia="zh-CN"/>
        </w:rPr>
        <w:t xml:space="preserve">  </w:t>
      </w:r>
      <w:r>
        <w:rPr>
          <w:rFonts w:hint="default" w:ascii="Times New Roman" w:hAnsi="Times New Roman" w:eastAsia="仿宋_GB2312" w:cs="Times New Roman"/>
          <w:color w:val="auto"/>
          <w:sz w:val="24"/>
          <w:szCs w:val="24"/>
          <w:highlight w:val="none"/>
          <w:lang w:val="en-US" w:eastAsia="zh-CN"/>
        </w:rPr>
        <w:t xml:space="preserve">  收取履约保证金形式：</w:t>
      </w:r>
      <w:r>
        <w:rPr>
          <w:rFonts w:hint="default" w:ascii="Times New Roman" w:hAnsi="Times New Roman" w:eastAsia="仿宋_GB2312" w:cs="Times New Roman"/>
          <w:bCs/>
          <w:color w:val="auto"/>
          <w:sz w:val="24"/>
          <w:szCs w:val="24"/>
          <w:highlight w:val="none"/>
          <w:u w:val="single"/>
        </w:rPr>
        <w:t xml:space="preserve">                            </w:t>
      </w:r>
    </w:p>
    <w:p w14:paraId="4768B255">
      <w:pPr>
        <w:pStyle w:val="45"/>
        <w:spacing w:beforeLines="0"/>
        <w:rPr>
          <w:rFonts w:hint="default" w:ascii="Times New Roman" w:hAnsi="Times New Roman" w:eastAsia="仿宋_GB2312" w:cs="Times New Roman"/>
          <w:color w:val="auto"/>
          <w:sz w:val="24"/>
          <w:szCs w:val="24"/>
          <w:highlight w:val="none"/>
          <w:lang w:val="en-US" w:eastAsia="zh-CN"/>
        </w:rPr>
      </w:pPr>
      <w:r>
        <w:rPr>
          <w:rFonts w:hint="default" w:ascii="Times New Roman" w:hAnsi="Times New Roman" w:eastAsia="仿宋_GB2312" w:cs="Times New Roman"/>
          <w:color w:val="auto"/>
          <w:sz w:val="24"/>
          <w:szCs w:val="24"/>
          <w:highlight w:val="none"/>
          <w:lang w:val="en-US" w:eastAsia="zh-CN"/>
        </w:rPr>
        <w:t xml:space="preserve">    收取履约保证金金额：</w:t>
      </w:r>
      <w:r>
        <w:rPr>
          <w:rFonts w:hint="default" w:ascii="Times New Roman" w:hAnsi="Times New Roman" w:eastAsia="仿宋_GB2312" w:cs="Times New Roman"/>
          <w:bCs/>
          <w:color w:val="auto"/>
          <w:sz w:val="24"/>
          <w:szCs w:val="24"/>
          <w:highlight w:val="none"/>
          <w:u w:val="single"/>
        </w:rPr>
        <w:t xml:space="preserve">                            </w:t>
      </w:r>
    </w:p>
    <w:p w14:paraId="6C65775C">
      <w:pPr>
        <w:snapToGrid w:val="0"/>
        <w:spacing w:beforeLines="0" w:line="400" w:lineRule="exact"/>
        <w:ind w:firstLine="480" w:firstLineChars="200"/>
        <w:rPr>
          <w:rFonts w:hint="default" w:ascii="Times New Roman" w:hAnsi="Times New Roman" w:eastAsia="仿宋_GB2312" w:cs="Times New Roman"/>
          <w:color w:val="auto"/>
          <w:sz w:val="24"/>
          <w:szCs w:val="24"/>
          <w:highlight w:val="none"/>
          <w:lang w:val="en-US" w:eastAsia="zh-CN"/>
        </w:rPr>
      </w:pPr>
      <w:r>
        <w:rPr>
          <w:rFonts w:hint="default" w:ascii="Times New Roman" w:hAnsi="Times New Roman" w:eastAsia="仿宋_GB2312" w:cs="Times New Roman"/>
          <w:bCs/>
          <w:color w:val="auto"/>
          <w:sz w:val="24"/>
          <w:szCs w:val="24"/>
          <w:highlight w:val="none"/>
          <w:u w:val="none"/>
          <w:lang w:val="en-US" w:eastAsia="zh-CN"/>
        </w:rPr>
        <w:t xml:space="preserve">    履约担保期限</w:t>
      </w:r>
      <w:r>
        <w:rPr>
          <w:rFonts w:hint="default" w:ascii="Times New Roman" w:hAnsi="Times New Roman" w:eastAsia="仿宋_GB2312" w:cs="Times New Roman"/>
          <w:bCs/>
          <w:color w:val="auto"/>
          <w:sz w:val="24"/>
          <w:szCs w:val="24"/>
          <w:highlight w:val="none"/>
          <w:u w:val="none"/>
          <w:lang w:eastAsia="zh-CN"/>
        </w:rPr>
        <w:t>：</w:t>
      </w:r>
      <w:r>
        <w:rPr>
          <w:rFonts w:hint="default" w:ascii="Times New Roman" w:hAnsi="Times New Roman" w:eastAsia="仿宋_GB2312" w:cs="Times New Roman"/>
          <w:bCs/>
          <w:color w:val="auto"/>
          <w:sz w:val="24"/>
          <w:szCs w:val="24"/>
          <w:highlight w:val="none"/>
          <w:u w:val="single"/>
        </w:rPr>
        <w:t xml:space="preserve">      </w:t>
      </w:r>
      <w:r>
        <w:rPr>
          <w:rFonts w:hint="default" w:ascii="Times New Roman" w:hAnsi="Times New Roman" w:eastAsia="仿宋_GB2312" w:cs="Times New Roman"/>
          <w:bCs/>
          <w:color w:val="auto"/>
          <w:sz w:val="24"/>
          <w:szCs w:val="24"/>
          <w:highlight w:val="none"/>
          <w:u w:val="single"/>
          <w:lang w:val="en-US" w:eastAsia="zh-CN"/>
        </w:rPr>
        <w:t xml:space="preserve">                     </w:t>
      </w:r>
      <w:r>
        <w:rPr>
          <w:rFonts w:hint="default" w:ascii="Times New Roman" w:hAnsi="Times New Roman" w:eastAsia="仿宋_GB2312" w:cs="Times New Roman"/>
          <w:bCs/>
          <w:color w:val="auto"/>
          <w:sz w:val="24"/>
          <w:szCs w:val="24"/>
          <w:highlight w:val="none"/>
          <w:u w:val="single"/>
        </w:rPr>
        <w:t xml:space="preserve">       </w:t>
      </w:r>
    </w:p>
    <w:p w14:paraId="5327BE22">
      <w:pPr>
        <w:adjustRightInd w:val="0"/>
        <w:snapToGrid w:val="0"/>
        <w:spacing w:before="0" w:beforeLines="0" w:line="400" w:lineRule="exact"/>
        <w:ind w:firstLine="480" w:firstLineChars="200"/>
        <w:rPr>
          <w:rFonts w:hint="default" w:ascii="Times New Roman" w:hAnsi="Times New Roman" w:eastAsia="仿宋_GB2312" w:cs="Times New Roman"/>
          <w:bCs/>
          <w:color w:val="auto"/>
          <w:sz w:val="24"/>
          <w:szCs w:val="24"/>
          <w:highlight w:val="none"/>
        </w:rPr>
      </w:pPr>
      <w:r>
        <w:rPr>
          <w:rFonts w:hint="default" w:ascii="Times New Roman" w:hAnsi="Times New Roman" w:eastAsia="仿宋_GB2312" w:cs="Times New Roman"/>
          <w:bCs/>
          <w:color w:val="auto"/>
          <w:sz w:val="24"/>
          <w:szCs w:val="24"/>
          <w:highlight w:val="none"/>
        </w:rPr>
        <w:t>（4）分期履行要求：</w:t>
      </w:r>
      <w:r>
        <w:rPr>
          <w:rFonts w:hint="default" w:ascii="Times New Roman" w:hAnsi="Times New Roman" w:eastAsia="仿宋_GB2312" w:cs="Times New Roman"/>
          <w:bCs/>
          <w:color w:val="auto"/>
          <w:sz w:val="24"/>
          <w:szCs w:val="24"/>
          <w:highlight w:val="none"/>
          <w:u w:val="single"/>
        </w:rPr>
        <w:t xml:space="preserve">                                                   </w:t>
      </w:r>
      <w:r>
        <w:rPr>
          <w:rFonts w:hint="default" w:ascii="Times New Roman" w:hAnsi="Times New Roman" w:eastAsia="仿宋_GB2312" w:cs="Times New Roman"/>
          <w:bCs/>
          <w:color w:val="auto"/>
          <w:sz w:val="24"/>
          <w:szCs w:val="24"/>
          <w:highlight w:val="none"/>
          <w:u w:val="single"/>
          <w:lang w:val="en-US" w:eastAsia="zh-CN"/>
        </w:rPr>
        <w:t xml:space="preserve">    </w:t>
      </w:r>
      <w:r>
        <w:rPr>
          <w:rFonts w:hint="default" w:ascii="Times New Roman" w:hAnsi="Times New Roman" w:eastAsia="仿宋_GB2312" w:cs="Times New Roman"/>
          <w:bCs/>
          <w:color w:val="auto"/>
          <w:sz w:val="24"/>
          <w:szCs w:val="24"/>
          <w:highlight w:val="none"/>
          <w:u w:val="single"/>
        </w:rPr>
        <w:t xml:space="preserve"> </w:t>
      </w:r>
    </w:p>
    <w:p w14:paraId="2B02F488">
      <w:pPr>
        <w:adjustRightInd w:val="0"/>
        <w:snapToGrid w:val="0"/>
        <w:spacing w:before="0" w:beforeLines="0" w:line="400" w:lineRule="exact"/>
        <w:ind w:firstLine="480" w:firstLineChars="200"/>
        <w:rPr>
          <w:rFonts w:hint="default" w:ascii="Times New Roman" w:hAnsi="Times New Roman" w:eastAsia="仿宋_GB2312" w:cs="Times New Roman"/>
          <w:color w:val="auto"/>
          <w:sz w:val="24"/>
          <w:szCs w:val="24"/>
          <w:highlight w:val="none"/>
          <w:u w:val="single"/>
        </w:rPr>
      </w:pPr>
      <w:r>
        <w:rPr>
          <w:rFonts w:hint="default" w:ascii="Times New Roman" w:hAnsi="Times New Roman" w:eastAsia="仿宋_GB2312" w:cs="Times New Roman"/>
          <w:bCs/>
          <w:color w:val="auto"/>
          <w:sz w:val="24"/>
          <w:szCs w:val="24"/>
          <w:highlight w:val="none"/>
        </w:rPr>
        <w:t>（5）</w:t>
      </w:r>
      <w:r>
        <w:rPr>
          <w:rFonts w:hint="default" w:ascii="Times New Roman" w:hAnsi="Times New Roman" w:eastAsia="仿宋_GB2312" w:cs="Times New Roman"/>
          <w:bCs/>
          <w:color w:val="auto"/>
          <w:sz w:val="24"/>
          <w:szCs w:val="24"/>
          <w:highlight w:val="none"/>
          <w:lang w:eastAsia="zh-CN"/>
        </w:rPr>
        <w:t>风险处置措施和替代方案</w:t>
      </w:r>
      <w:r>
        <w:rPr>
          <w:rFonts w:hint="default" w:ascii="Times New Roman" w:hAnsi="Times New Roman" w:eastAsia="仿宋_GB2312" w:cs="Times New Roman"/>
          <w:bCs/>
          <w:color w:val="auto"/>
          <w:sz w:val="24"/>
          <w:szCs w:val="24"/>
          <w:highlight w:val="none"/>
        </w:rPr>
        <w:t>：</w:t>
      </w:r>
      <w:r>
        <w:rPr>
          <w:rFonts w:hint="default" w:ascii="Times New Roman" w:hAnsi="Times New Roman" w:eastAsia="仿宋_GB2312" w:cs="Times New Roman"/>
          <w:color w:val="auto"/>
          <w:sz w:val="24"/>
          <w:szCs w:val="24"/>
          <w:highlight w:val="none"/>
          <w:u w:val="single"/>
        </w:rPr>
        <w:t xml:space="preserve">                                                               </w:t>
      </w:r>
    </w:p>
    <w:p w14:paraId="5E101902">
      <w:pPr>
        <w:numPr>
          <w:ilvl w:val="0"/>
          <w:numId w:val="19"/>
        </w:numPr>
        <w:adjustRightInd w:val="0"/>
        <w:snapToGrid w:val="0"/>
        <w:spacing w:before="0" w:beforeLines="0" w:line="400" w:lineRule="exact"/>
        <w:ind w:firstLine="482" w:firstLineChars="200"/>
        <w:rPr>
          <w:rFonts w:hint="default" w:ascii="Times New Roman" w:hAnsi="Times New Roman" w:eastAsia="仿宋_GB2312" w:cs="Times New Roman"/>
          <w:b/>
          <w:color w:val="auto"/>
          <w:sz w:val="24"/>
          <w:szCs w:val="24"/>
          <w:highlight w:val="none"/>
        </w:rPr>
      </w:pPr>
      <w:r>
        <w:rPr>
          <w:rFonts w:hint="default" w:ascii="Times New Roman" w:hAnsi="Times New Roman" w:eastAsia="仿宋_GB2312" w:cs="Times New Roman"/>
          <w:b/>
          <w:color w:val="auto"/>
          <w:sz w:val="24"/>
          <w:szCs w:val="24"/>
          <w:highlight w:val="none"/>
        </w:rPr>
        <w:t>合同验收</w:t>
      </w:r>
    </w:p>
    <w:p w14:paraId="07DFE33E">
      <w:pPr>
        <w:numPr>
          <w:ilvl w:val="0"/>
          <w:numId w:val="21"/>
        </w:numPr>
        <w:adjustRightInd w:val="0"/>
        <w:snapToGrid w:val="0"/>
        <w:spacing w:before="0" w:beforeLines="0" w:line="400" w:lineRule="exact"/>
        <w:ind w:firstLine="480" w:firstLineChars="200"/>
        <w:rPr>
          <w:rFonts w:hint="default" w:ascii="Times New Roman" w:hAnsi="Times New Roman" w:eastAsia="仿宋_GB2312" w:cs="Times New Roman"/>
          <w:bCs/>
          <w:color w:val="auto"/>
          <w:sz w:val="24"/>
          <w:szCs w:val="24"/>
          <w:highlight w:val="none"/>
        </w:rPr>
      </w:pPr>
      <w:r>
        <w:rPr>
          <w:rFonts w:hint="default" w:ascii="Times New Roman" w:hAnsi="Times New Roman" w:eastAsia="仿宋_GB2312" w:cs="Times New Roman"/>
          <w:bCs/>
          <w:color w:val="auto"/>
          <w:sz w:val="24"/>
          <w:szCs w:val="24"/>
          <w:highlight w:val="none"/>
        </w:rPr>
        <w:t>验收组织方式：</w:t>
      </w:r>
      <w:r>
        <w:rPr>
          <w:rFonts w:hint="default" w:ascii="Times New Roman" w:hAnsi="Times New Roman" w:eastAsia="仿宋_GB2312" w:cs="Times New Roman"/>
          <w:color w:val="auto"/>
          <w:sz w:val="24"/>
          <w:szCs w:val="24"/>
          <w:highlight w:val="none"/>
        </w:rPr>
        <w:sym w:font="Wingdings" w:char="00A8"/>
      </w:r>
      <w:r>
        <w:rPr>
          <w:rFonts w:hint="default" w:ascii="Times New Roman" w:hAnsi="Times New Roman" w:eastAsia="仿宋_GB2312" w:cs="Times New Roman"/>
          <w:bCs/>
          <w:color w:val="auto"/>
          <w:sz w:val="24"/>
          <w:szCs w:val="24"/>
          <w:highlight w:val="none"/>
        </w:rPr>
        <w:t xml:space="preserve">自行组织 </w:t>
      </w:r>
      <w:r>
        <w:rPr>
          <w:rFonts w:hint="default" w:ascii="Times New Roman" w:hAnsi="Times New Roman" w:eastAsia="仿宋_GB2312" w:cs="Times New Roman"/>
          <w:color w:val="auto"/>
          <w:sz w:val="24"/>
          <w:szCs w:val="24"/>
          <w:highlight w:val="none"/>
        </w:rPr>
        <w:sym w:font="Wingdings" w:char="00A8"/>
      </w:r>
      <w:r>
        <w:rPr>
          <w:rFonts w:hint="default" w:ascii="Times New Roman" w:hAnsi="Times New Roman" w:eastAsia="仿宋_GB2312" w:cs="Times New Roman"/>
          <w:bCs/>
          <w:color w:val="auto"/>
          <w:sz w:val="24"/>
          <w:szCs w:val="24"/>
          <w:highlight w:val="none"/>
        </w:rPr>
        <w:t>委托第三方组织</w:t>
      </w:r>
    </w:p>
    <w:p w14:paraId="359E3427">
      <w:pPr>
        <w:numPr>
          <w:ilvl w:val="0"/>
          <w:numId w:val="0"/>
        </w:numPr>
        <w:adjustRightInd w:val="0"/>
        <w:snapToGrid w:val="0"/>
        <w:spacing w:before="0" w:beforeLines="0" w:line="400" w:lineRule="exact"/>
        <w:rPr>
          <w:rFonts w:hint="default" w:ascii="Times New Roman" w:hAnsi="Times New Roman" w:eastAsia="仿宋_GB2312" w:cs="Times New Roman"/>
          <w:bCs/>
          <w:color w:val="auto"/>
          <w:sz w:val="24"/>
          <w:szCs w:val="24"/>
          <w:highlight w:val="none"/>
        </w:rPr>
      </w:pPr>
      <w:r>
        <w:rPr>
          <w:rFonts w:hint="default" w:ascii="Times New Roman" w:hAnsi="Times New Roman" w:eastAsia="仿宋_GB2312" w:cs="Times New Roman"/>
          <w:bCs/>
          <w:color w:val="auto"/>
          <w:sz w:val="24"/>
          <w:szCs w:val="24"/>
          <w:highlight w:val="none"/>
          <w:lang w:val="en-US" w:eastAsia="zh-CN"/>
        </w:rPr>
        <w:t xml:space="preserve">         </w:t>
      </w:r>
      <w:r>
        <w:rPr>
          <w:rFonts w:hint="default" w:ascii="Times New Roman" w:hAnsi="Times New Roman" w:eastAsia="仿宋_GB2312" w:cs="Times New Roman"/>
          <w:bCs/>
          <w:color w:val="auto"/>
          <w:sz w:val="24"/>
          <w:szCs w:val="24"/>
          <w:highlight w:val="none"/>
        </w:rPr>
        <w:t>验收主体：</w:t>
      </w:r>
      <w:r>
        <w:rPr>
          <w:rFonts w:hint="default" w:ascii="Times New Roman" w:hAnsi="Times New Roman" w:eastAsia="仿宋_GB2312" w:cs="Times New Roman"/>
          <w:bCs/>
          <w:color w:val="auto"/>
          <w:sz w:val="24"/>
          <w:szCs w:val="24"/>
          <w:highlight w:val="none"/>
          <w:u w:val="single"/>
        </w:rPr>
        <w:t xml:space="preserve">                  </w:t>
      </w:r>
    </w:p>
    <w:p w14:paraId="57358017">
      <w:pPr>
        <w:adjustRightInd w:val="0"/>
        <w:snapToGrid w:val="0"/>
        <w:spacing w:before="0" w:beforeLines="0" w:line="400" w:lineRule="exact"/>
        <w:ind w:firstLine="0" w:firstLineChars="0"/>
        <w:rPr>
          <w:rFonts w:hint="default" w:ascii="Times New Roman" w:hAnsi="Times New Roman" w:eastAsia="仿宋_GB2312" w:cs="Times New Roman"/>
          <w:bCs/>
          <w:color w:val="auto"/>
          <w:sz w:val="24"/>
          <w:szCs w:val="24"/>
          <w:highlight w:val="none"/>
        </w:rPr>
      </w:pPr>
      <w:r>
        <w:rPr>
          <w:rFonts w:hint="default" w:ascii="Times New Roman" w:hAnsi="Times New Roman" w:eastAsia="仿宋_GB2312" w:cs="Times New Roman"/>
          <w:bCs/>
          <w:color w:val="auto"/>
          <w:sz w:val="24"/>
          <w:szCs w:val="24"/>
          <w:highlight w:val="none"/>
          <w:lang w:val="en-US" w:eastAsia="zh-CN"/>
        </w:rPr>
        <w:t xml:space="preserve">        </w:t>
      </w:r>
      <w:r>
        <w:rPr>
          <w:rFonts w:hint="default" w:ascii="Times New Roman" w:hAnsi="Times New Roman" w:eastAsia="仿宋_GB2312" w:cs="Times New Roman"/>
          <w:bCs/>
          <w:color w:val="auto"/>
          <w:sz w:val="24"/>
          <w:szCs w:val="24"/>
          <w:highlight w:val="none"/>
        </w:rPr>
        <w:t>是否邀请本项目的其他供应商</w:t>
      </w:r>
      <w:r>
        <w:rPr>
          <w:rFonts w:hint="default" w:ascii="Times New Roman" w:hAnsi="Times New Roman" w:eastAsia="仿宋_GB2312" w:cs="Times New Roman"/>
          <w:bCs/>
          <w:color w:val="auto"/>
          <w:sz w:val="24"/>
          <w:szCs w:val="24"/>
          <w:highlight w:val="none"/>
          <w:lang w:eastAsia="zh-CN"/>
        </w:rPr>
        <w:t>参加验收</w:t>
      </w:r>
      <w:r>
        <w:rPr>
          <w:rFonts w:hint="default" w:ascii="Times New Roman" w:hAnsi="Times New Roman" w:eastAsia="仿宋_GB2312" w:cs="Times New Roman"/>
          <w:bCs/>
          <w:color w:val="auto"/>
          <w:sz w:val="24"/>
          <w:szCs w:val="24"/>
          <w:highlight w:val="none"/>
        </w:rPr>
        <w:t>：</w:t>
      </w:r>
      <w:r>
        <w:rPr>
          <w:rFonts w:hint="default" w:ascii="Times New Roman" w:hAnsi="Times New Roman" w:eastAsia="仿宋_GB2312" w:cs="Times New Roman"/>
          <w:color w:val="auto"/>
          <w:sz w:val="24"/>
          <w:szCs w:val="24"/>
          <w:highlight w:val="none"/>
        </w:rPr>
        <w:sym w:font="Wingdings" w:char="00A8"/>
      </w:r>
      <w:r>
        <w:rPr>
          <w:rFonts w:hint="default" w:ascii="Times New Roman" w:hAnsi="Times New Roman" w:eastAsia="仿宋_GB2312" w:cs="Times New Roman"/>
          <w:bCs/>
          <w:color w:val="auto"/>
          <w:sz w:val="24"/>
          <w:szCs w:val="24"/>
          <w:highlight w:val="none"/>
        </w:rPr>
        <w:t xml:space="preserve">是  </w:t>
      </w:r>
      <w:r>
        <w:rPr>
          <w:rFonts w:hint="default" w:ascii="Times New Roman" w:hAnsi="Times New Roman" w:eastAsia="仿宋_GB2312" w:cs="Times New Roman"/>
          <w:color w:val="auto"/>
          <w:sz w:val="24"/>
          <w:szCs w:val="24"/>
          <w:highlight w:val="none"/>
        </w:rPr>
        <w:sym w:font="Wingdings" w:char="00A8"/>
      </w:r>
      <w:r>
        <w:rPr>
          <w:rFonts w:hint="default" w:ascii="Times New Roman" w:hAnsi="Times New Roman" w:eastAsia="仿宋_GB2312" w:cs="Times New Roman"/>
          <w:bCs/>
          <w:color w:val="auto"/>
          <w:sz w:val="24"/>
          <w:szCs w:val="24"/>
          <w:highlight w:val="none"/>
        </w:rPr>
        <w:t>否</w:t>
      </w:r>
    </w:p>
    <w:p w14:paraId="63A0EBFF">
      <w:pPr>
        <w:adjustRightInd w:val="0"/>
        <w:snapToGrid w:val="0"/>
        <w:spacing w:before="0" w:beforeLines="0" w:line="400" w:lineRule="exact"/>
        <w:ind w:firstLine="960" w:firstLineChars="400"/>
        <w:rPr>
          <w:rFonts w:hint="default" w:ascii="Times New Roman" w:hAnsi="Times New Roman" w:eastAsia="仿宋_GB2312" w:cs="Times New Roman"/>
          <w:bCs/>
          <w:color w:val="auto"/>
          <w:sz w:val="24"/>
          <w:szCs w:val="24"/>
          <w:highlight w:val="none"/>
        </w:rPr>
      </w:pPr>
      <w:r>
        <w:rPr>
          <w:rFonts w:hint="default" w:ascii="Times New Roman" w:hAnsi="Times New Roman" w:eastAsia="仿宋_GB2312" w:cs="Times New Roman"/>
          <w:bCs/>
          <w:color w:val="auto"/>
          <w:sz w:val="24"/>
          <w:szCs w:val="24"/>
          <w:highlight w:val="none"/>
        </w:rPr>
        <w:t>是否邀请专家</w:t>
      </w:r>
      <w:r>
        <w:rPr>
          <w:rFonts w:hint="default" w:ascii="Times New Roman" w:hAnsi="Times New Roman" w:eastAsia="仿宋_GB2312" w:cs="Times New Roman"/>
          <w:bCs/>
          <w:color w:val="auto"/>
          <w:sz w:val="24"/>
          <w:szCs w:val="24"/>
          <w:highlight w:val="none"/>
          <w:lang w:eastAsia="zh-CN"/>
        </w:rPr>
        <w:t>参加验收</w:t>
      </w:r>
      <w:r>
        <w:rPr>
          <w:rFonts w:hint="default" w:ascii="Times New Roman" w:hAnsi="Times New Roman" w:eastAsia="仿宋_GB2312" w:cs="Times New Roman"/>
          <w:bCs/>
          <w:color w:val="auto"/>
          <w:sz w:val="24"/>
          <w:szCs w:val="24"/>
          <w:highlight w:val="none"/>
        </w:rPr>
        <w:t>：</w:t>
      </w:r>
      <w:r>
        <w:rPr>
          <w:rFonts w:hint="default" w:ascii="Times New Roman" w:hAnsi="Times New Roman" w:eastAsia="仿宋_GB2312" w:cs="Times New Roman"/>
          <w:color w:val="auto"/>
          <w:sz w:val="24"/>
          <w:szCs w:val="24"/>
          <w:highlight w:val="none"/>
        </w:rPr>
        <w:sym w:font="Wingdings" w:char="00A8"/>
      </w:r>
      <w:r>
        <w:rPr>
          <w:rFonts w:hint="default" w:ascii="Times New Roman" w:hAnsi="Times New Roman" w:eastAsia="仿宋_GB2312" w:cs="Times New Roman"/>
          <w:bCs/>
          <w:color w:val="auto"/>
          <w:sz w:val="24"/>
          <w:szCs w:val="24"/>
          <w:highlight w:val="none"/>
        </w:rPr>
        <w:t xml:space="preserve">是  </w:t>
      </w:r>
      <w:r>
        <w:rPr>
          <w:rFonts w:hint="default" w:ascii="Times New Roman" w:hAnsi="Times New Roman" w:eastAsia="仿宋_GB2312" w:cs="Times New Roman"/>
          <w:color w:val="auto"/>
          <w:sz w:val="24"/>
          <w:szCs w:val="24"/>
          <w:highlight w:val="none"/>
        </w:rPr>
        <w:sym w:font="Wingdings" w:char="00A8"/>
      </w:r>
      <w:r>
        <w:rPr>
          <w:rFonts w:hint="default" w:ascii="Times New Roman" w:hAnsi="Times New Roman" w:eastAsia="仿宋_GB2312" w:cs="Times New Roman"/>
          <w:bCs/>
          <w:color w:val="auto"/>
          <w:sz w:val="24"/>
          <w:szCs w:val="24"/>
          <w:highlight w:val="none"/>
        </w:rPr>
        <w:t>否</w:t>
      </w:r>
    </w:p>
    <w:p w14:paraId="147C5F60">
      <w:pPr>
        <w:adjustRightInd w:val="0"/>
        <w:snapToGrid w:val="0"/>
        <w:spacing w:before="0" w:beforeLines="0" w:line="400" w:lineRule="exact"/>
        <w:ind w:firstLine="960" w:firstLineChars="400"/>
        <w:rPr>
          <w:rFonts w:hint="default" w:ascii="Times New Roman" w:hAnsi="Times New Roman" w:eastAsia="仿宋_GB2312" w:cs="Times New Roman"/>
          <w:bCs/>
          <w:color w:val="auto"/>
          <w:sz w:val="24"/>
          <w:szCs w:val="24"/>
          <w:highlight w:val="none"/>
        </w:rPr>
      </w:pPr>
      <w:r>
        <w:rPr>
          <w:rFonts w:hint="default" w:ascii="Times New Roman" w:hAnsi="Times New Roman" w:eastAsia="仿宋_GB2312" w:cs="Times New Roman"/>
          <w:bCs/>
          <w:color w:val="auto"/>
          <w:sz w:val="24"/>
          <w:szCs w:val="24"/>
          <w:highlight w:val="none"/>
        </w:rPr>
        <w:t>是否邀请服务对象</w:t>
      </w:r>
      <w:r>
        <w:rPr>
          <w:rFonts w:hint="default" w:ascii="Times New Roman" w:hAnsi="Times New Roman" w:eastAsia="仿宋_GB2312" w:cs="Times New Roman"/>
          <w:bCs/>
          <w:color w:val="auto"/>
          <w:sz w:val="24"/>
          <w:szCs w:val="24"/>
          <w:highlight w:val="none"/>
          <w:lang w:eastAsia="zh-CN"/>
        </w:rPr>
        <w:t>参加验收</w:t>
      </w:r>
      <w:r>
        <w:rPr>
          <w:rFonts w:hint="default" w:ascii="Times New Roman" w:hAnsi="Times New Roman" w:eastAsia="仿宋_GB2312" w:cs="Times New Roman"/>
          <w:bCs/>
          <w:color w:val="auto"/>
          <w:sz w:val="24"/>
          <w:szCs w:val="24"/>
          <w:highlight w:val="none"/>
        </w:rPr>
        <w:t>：</w:t>
      </w:r>
      <w:r>
        <w:rPr>
          <w:rFonts w:hint="default" w:ascii="Times New Roman" w:hAnsi="Times New Roman" w:eastAsia="仿宋_GB2312" w:cs="Times New Roman"/>
          <w:color w:val="auto"/>
          <w:sz w:val="24"/>
          <w:szCs w:val="24"/>
          <w:highlight w:val="none"/>
        </w:rPr>
        <w:sym w:font="Wingdings" w:char="00A8"/>
      </w:r>
      <w:r>
        <w:rPr>
          <w:rFonts w:hint="default" w:ascii="Times New Roman" w:hAnsi="Times New Roman" w:eastAsia="仿宋_GB2312" w:cs="Times New Roman"/>
          <w:bCs/>
          <w:color w:val="auto"/>
          <w:sz w:val="24"/>
          <w:szCs w:val="24"/>
          <w:highlight w:val="none"/>
        </w:rPr>
        <w:t xml:space="preserve">是  </w:t>
      </w:r>
      <w:r>
        <w:rPr>
          <w:rFonts w:hint="default" w:ascii="Times New Roman" w:hAnsi="Times New Roman" w:eastAsia="仿宋_GB2312" w:cs="Times New Roman"/>
          <w:color w:val="auto"/>
          <w:sz w:val="24"/>
          <w:szCs w:val="24"/>
          <w:highlight w:val="none"/>
        </w:rPr>
        <w:sym w:font="Wingdings" w:char="00A8"/>
      </w:r>
      <w:r>
        <w:rPr>
          <w:rFonts w:hint="default" w:ascii="Times New Roman" w:hAnsi="Times New Roman" w:eastAsia="仿宋_GB2312" w:cs="Times New Roman"/>
          <w:bCs/>
          <w:color w:val="auto"/>
          <w:sz w:val="24"/>
          <w:szCs w:val="24"/>
          <w:highlight w:val="none"/>
        </w:rPr>
        <w:t>否</w:t>
      </w:r>
    </w:p>
    <w:p w14:paraId="3EBF5F61">
      <w:pPr>
        <w:adjustRightInd w:val="0"/>
        <w:snapToGrid w:val="0"/>
        <w:spacing w:before="0" w:beforeLines="0" w:line="400" w:lineRule="exact"/>
        <w:ind w:firstLine="960" w:firstLineChars="400"/>
        <w:rPr>
          <w:rFonts w:hint="default" w:ascii="Times New Roman" w:hAnsi="Times New Roman" w:eastAsia="仿宋_GB2312" w:cs="Times New Roman"/>
          <w:bCs/>
          <w:color w:val="auto"/>
          <w:sz w:val="24"/>
          <w:szCs w:val="24"/>
          <w:highlight w:val="none"/>
        </w:rPr>
      </w:pPr>
      <w:r>
        <w:rPr>
          <w:rFonts w:hint="default" w:ascii="Times New Roman" w:hAnsi="Times New Roman" w:eastAsia="仿宋_GB2312" w:cs="Times New Roman"/>
          <w:bCs/>
          <w:color w:val="auto"/>
          <w:sz w:val="24"/>
          <w:szCs w:val="24"/>
          <w:highlight w:val="none"/>
        </w:rPr>
        <w:t>是否邀请第三方检测机构</w:t>
      </w:r>
      <w:r>
        <w:rPr>
          <w:rFonts w:hint="default" w:ascii="Times New Roman" w:hAnsi="Times New Roman" w:eastAsia="仿宋_GB2312" w:cs="Times New Roman"/>
          <w:bCs/>
          <w:color w:val="auto"/>
          <w:sz w:val="24"/>
          <w:szCs w:val="24"/>
          <w:highlight w:val="none"/>
          <w:lang w:eastAsia="zh-CN"/>
        </w:rPr>
        <w:t>参加验收</w:t>
      </w:r>
      <w:r>
        <w:rPr>
          <w:rFonts w:hint="default" w:ascii="Times New Roman" w:hAnsi="Times New Roman" w:eastAsia="仿宋_GB2312" w:cs="Times New Roman"/>
          <w:bCs/>
          <w:color w:val="auto"/>
          <w:sz w:val="24"/>
          <w:szCs w:val="24"/>
          <w:highlight w:val="none"/>
        </w:rPr>
        <w:t>：</w:t>
      </w:r>
      <w:r>
        <w:rPr>
          <w:rFonts w:hint="default" w:ascii="Times New Roman" w:hAnsi="Times New Roman" w:eastAsia="仿宋_GB2312" w:cs="Times New Roman"/>
          <w:color w:val="auto"/>
          <w:sz w:val="24"/>
          <w:szCs w:val="24"/>
          <w:highlight w:val="none"/>
        </w:rPr>
        <w:sym w:font="Wingdings" w:char="00A8"/>
      </w:r>
      <w:r>
        <w:rPr>
          <w:rFonts w:hint="default" w:ascii="Times New Roman" w:hAnsi="Times New Roman" w:eastAsia="仿宋_GB2312" w:cs="Times New Roman"/>
          <w:bCs/>
          <w:color w:val="auto"/>
          <w:sz w:val="24"/>
          <w:szCs w:val="24"/>
          <w:highlight w:val="none"/>
        </w:rPr>
        <w:t xml:space="preserve">是  </w:t>
      </w:r>
      <w:r>
        <w:rPr>
          <w:rFonts w:hint="default" w:ascii="Times New Roman" w:hAnsi="Times New Roman" w:eastAsia="仿宋_GB2312" w:cs="Times New Roman"/>
          <w:color w:val="auto"/>
          <w:sz w:val="24"/>
          <w:szCs w:val="24"/>
          <w:highlight w:val="none"/>
        </w:rPr>
        <w:sym w:font="Wingdings" w:char="00A8"/>
      </w:r>
      <w:r>
        <w:rPr>
          <w:rFonts w:hint="default" w:ascii="Times New Roman" w:hAnsi="Times New Roman" w:eastAsia="仿宋_GB2312" w:cs="Times New Roman"/>
          <w:bCs/>
          <w:color w:val="auto"/>
          <w:sz w:val="24"/>
          <w:szCs w:val="24"/>
          <w:highlight w:val="none"/>
        </w:rPr>
        <w:t>否</w:t>
      </w:r>
    </w:p>
    <w:p w14:paraId="642A6B71">
      <w:pPr>
        <w:adjustRightInd w:val="0"/>
        <w:snapToGrid w:val="0"/>
        <w:spacing w:before="0" w:beforeLines="0" w:line="400" w:lineRule="exact"/>
        <w:ind w:firstLine="960" w:firstLineChars="400"/>
        <w:rPr>
          <w:rFonts w:hint="default" w:ascii="Times New Roman" w:hAnsi="Times New Roman" w:eastAsia="仿宋_GB2312" w:cs="Times New Roman"/>
          <w:bCs/>
          <w:color w:val="auto"/>
          <w:sz w:val="24"/>
          <w:szCs w:val="24"/>
          <w:highlight w:val="none"/>
        </w:rPr>
      </w:pPr>
      <w:r>
        <w:rPr>
          <w:rFonts w:hint="default" w:ascii="Times New Roman" w:hAnsi="Times New Roman" w:eastAsia="仿宋_GB2312" w:cs="Times New Roman"/>
          <w:bCs/>
          <w:color w:val="auto"/>
          <w:sz w:val="24"/>
          <w:szCs w:val="24"/>
          <w:highlight w:val="none"/>
          <w:lang w:eastAsia="zh-CN"/>
        </w:rPr>
        <w:t>是否进行抽查检测：</w:t>
      </w:r>
      <w:r>
        <w:rPr>
          <w:rFonts w:hint="default" w:ascii="Times New Roman" w:hAnsi="Times New Roman" w:eastAsia="仿宋_GB2312" w:cs="Times New Roman"/>
          <w:color w:val="auto"/>
          <w:sz w:val="24"/>
          <w:szCs w:val="24"/>
          <w:highlight w:val="none"/>
        </w:rPr>
        <w:sym w:font="Wingdings" w:char="00A8"/>
      </w:r>
      <w:r>
        <w:rPr>
          <w:rFonts w:hint="default" w:ascii="Times New Roman" w:hAnsi="Times New Roman" w:eastAsia="仿宋_GB2312" w:cs="Times New Roman"/>
          <w:bCs/>
          <w:color w:val="auto"/>
          <w:sz w:val="24"/>
          <w:szCs w:val="24"/>
          <w:highlight w:val="none"/>
        </w:rPr>
        <w:t>是</w:t>
      </w:r>
      <w:r>
        <w:rPr>
          <w:rFonts w:hint="default" w:ascii="Times New Roman" w:hAnsi="Times New Roman" w:eastAsia="仿宋_GB2312" w:cs="Times New Roman"/>
          <w:bCs/>
          <w:color w:val="auto"/>
          <w:sz w:val="24"/>
          <w:szCs w:val="24"/>
          <w:highlight w:val="none"/>
          <w:lang w:eastAsia="zh-CN"/>
        </w:rPr>
        <w:t>，抽查比例：</w:t>
      </w:r>
      <w:r>
        <w:rPr>
          <w:rFonts w:hint="default" w:ascii="Times New Roman" w:hAnsi="Times New Roman" w:eastAsia="仿宋_GB2312" w:cs="Times New Roman"/>
          <w:bCs/>
          <w:color w:val="auto"/>
          <w:sz w:val="24"/>
          <w:szCs w:val="24"/>
          <w:highlight w:val="none"/>
          <w:u w:val="single"/>
        </w:rPr>
        <w:t xml:space="preserve">   </w:t>
      </w:r>
      <w:r>
        <w:rPr>
          <w:rFonts w:hint="default" w:ascii="Times New Roman" w:hAnsi="Times New Roman" w:eastAsia="仿宋_GB2312" w:cs="Times New Roman"/>
          <w:bCs/>
          <w:color w:val="auto"/>
          <w:sz w:val="24"/>
          <w:szCs w:val="24"/>
          <w:highlight w:val="none"/>
          <w:u w:val="single"/>
          <w:lang w:val="en-US" w:eastAsia="zh-CN"/>
        </w:rPr>
        <w:t xml:space="preserve">     </w:t>
      </w:r>
      <w:r>
        <w:rPr>
          <w:rFonts w:hint="default" w:ascii="Times New Roman" w:hAnsi="Times New Roman" w:eastAsia="仿宋_GB2312" w:cs="Times New Roman"/>
          <w:bCs/>
          <w:color w:val="auto"/>
          <w:sz w:val="24"/>
          <w:szCs w:val="24"/>
          <w:highlight w:val="none"/>
        </w:rPr>
        <w:t xml:space="preserve"> </w:t>
      </w:r>
      <w:r>
        <w:rPr>
          <w:rFonts w:hint="default" w:ascii="Times New Roman" w:hAnsi="Times New Roman" w:eastAsia="仿宋_GB2312" w:cs="Times New Roman"/>
          <w:color w:val="auto"/>
          <w:sz w:val="24"/>
          <w:szCs w:val="24"/>
          <w:highlight w:val="none"/>
        </w:rPr>
        <w:sym w:font="Wingdings" w:char="00A8"/>
      </w:r>
      <w:r>
        <w:rPr>
          <w:rFonts w:hint="default" w:ascii="Times New Roman" w:hAnsi="Times New Roman" w:eastAsia="仿宋_GB2312" w:cs="Times New Roman"/>
          <w:bCs/>
          <w:color w:val="auto"/>
          <w:sz w:val="24"/>
          <w:szCs w:val="24"/>
          <w:highlight w:val="none"/>
        </w:rPr>
        <w:t>否</w:t>
      </w:r>
    </w:p>
    <w:p w14:paraId="7FB85A8F">
      <w:pPr>
        <w:adjustRightInd w:val="0"/>
        <w:snapToGrid w:val="0"/>
        <w:spacing w:before="0" w:beforeLines="0" w:line="400" w:lineRule="exact"/>
        <w:ind w:firstLine="960" w:firstLineChars="400"/>
        <w:rPr>
          <w:rFonts w:hint="default" w:ascii="Times New Roman" w:hAnsi="Times New Roman" w:eastAsia="仿宋_GB2312" w:cs="Times New Roman"/>
          <w:bCs/>
          <w:color w:val="auto"/>
          <w:sz w:val="24"/>
          <w:szCs w:val="24"/>
          <w:highlight w:val="none"/>
          <w:u w:val="single"/>
          <w:lang w:eastAsia="zh-CN"/>
        </w:rPr>
      </w:pPr>
      <w:r>
        <w:rPr>
          <w:rFonts w:hint="default" w:ascii="Times New Roman" w:hAnsi="Times New Roman" w:eastAsia="仿宋_GB2312" w:cs="Times New Roman"/>
          <w:bCs/>
          <w:color w:val="auto"/>
          <w:sz w:val="24"/>
          <w:szCs w:val="24"/>
          <w:highlight w:val="none"/>
          <w:lang w:val="en-US" w:eastAsia="zh-CN"/>
        </w:rPr>
        <w:t>是否存在破坏性检测：</w:t>
      </w:r>
      <w:r>
        <w:rPr>
          <w:rFonts w:hint="default" w:ascii="Times New Roman" w:hAnsi="Times New Roman" w:eastAsia="仿宋_GB2312" w:cs="Times New Roman"/>
          <w:color w:val="auto"/>
          <w:sz w:val="24"/>
          <w:szCs w:val="24"/>
          <w:highlight w:val="none"/>
        </w:rPr>
        <w:sym w:font="Wingdings" w:char="00A8"/>
      </w:r>
      <w:r>
        <w:rPr>
          <w:rFonts w:hint="default" w:ascii="Times New Roman" w:hAnsi="Times New Roman" w:eastAsia="仿宋_GB2312" w:cs="Times New Roman"/>
          <w:bCs/>
          <w:color w:val="auto"/>
          <w:sz w:val="24"/>
          <w:szCs w:val="24"/>
          <w:highlight w:val="none"/>
        </w:rPr>
        <w:t>是</w:t>
      </w:r>
      <w:r>
        <w:rPr>
          <w:rFonts w:hint="default" w:ascii="Times New Roman" w:hAnsi="Times New Roman" w:eastAsia="仿宋_GB2312" w:cs="Times New Roman"/>
          <w:bCs/>
          <w:color w:val="auto"/>
          <w:sz w:val="24"/>
          <w:szCs w:val="24"/>
          <w:highlight w:val="none"/>
          <w:lang w:eastAsia="zh-CN"/>
        </w:rPr>
        <w:t>，</w:t>
      </w:r>
      <w:r>
        <w:rPr>
          <w:rFonts w:hint="default" w:ascii="Times New Roman" w:hAnsi="Times New Roman" w:eastAsia="仿宋_GB2312" w:cs="Times New Roman"/>
          <w:bCs/>
          <w:color w:val="auto"/>
          <w:sz w:val="24"/>
          <w:szCs w:val="24"/>
          <w:highlight w:val="none"/>
          <w:u w:val="single"/>
          <w:lang w:eastAsia="zh-CN"/>
        </w:rPr>
        <w:t>（应明确对被破坏的检测产品的处理方式）</w:t>
      </w:r>
    </w:p>
    <w:p w14:paraId="6BF1B8CC">
      <w:pPr>
        <w:adjustRightInd w:val="0"/>
        <w:snapToGrid w:val="0"/>
        <w:spacing w:before="0" w:beforeLines="0" w:line="400" w:lineRule="exact"/>
        <w:ind w:firstLine="960" w:firstLineChars="400"/>
        <w:rPr>
          <w:rFonts w:hint="default" w:ascii="Times New Roman" w:hAnsi="Times New Roman" w:eastAsia="仿宋_GB2312" w:cs="Times New Roman"/>
          <w:bCs/>
          <w:color w:val="auto"/>
          <w:sz w:val="24"/>
          <w:szCs w:val="24"/>
          <w:highlight w:val="none"/>
          <w:lang w:eastAsia="zh-CN"/>
        </w:rPr>
      </w:pPr>
      <w:r>
        <w:rPr>
          <w:rFonts w:hint="default" w:ascii="Times New Roman" w:hAnsi="Times New Roman" w:eastAsia="仿宋_GB2312" w:cs="Times New Roman"/>
          <w:bCs/>
          <w:color w:val="auto"/>
          <w:sz w:val="24"/>
          <w:szCs w:val="24"/>
          <w:highlight w:val="none"/>
          <w:lang w:val="en-US" w:eastAsia="zh-CN"/>
        </w:rPr>
        <w:t xml:space="preserve">                    </w:t>
      </w:r>
      <w:r>
        <w:rPr>
          <w:rFonts w:hint="default" w:ascii="Times New Roman" w:hAnsi="Times New Roman" w:eastAsia="仿宋_GB2312" w:cs="Times New Roman"/>
          <w:color w:val="auto"/>
          <w:sz w:val="24"/>
          <w:szCs w:val="24"/>
          <w:highlight w:val="none"/>
        </w:rPr>
        <w:sym w:font="Wingdings" w:char="00A8"/>
      </w:r>
      <w:r>
        <w:rPr>
          <w:rFonts w:hint="default" w:ascii="Times New Roman" w:hAnsi="Times New Roman" w:eastAsia="仿宋_GB2312" w:cs="Times New Roman"/>
          <w:bCs/>
          <w:color w:val="auto"/>
          <w:sz w:val="24"/>
          <w:szCs w:val="24"/>
          <w:highlight w:val="none"/>
        </w:rPr>
        <w:t>否</w:t>
      </w:r>
    </w:p>
    <w:p w14:paraId="092E289B">
      <w:pPr>
        <w:adjustRightInd w:val="0"/>
        <w:snapToGrid w:val="0"/>
        <w:spacing w:before="0" w:beforeLines="0" w:line="400" w:lineRule="exact"/>
        <w:ind w:firstLine="960" w:firstLineChars="400"/>
        <w:rPr>
          <w:rFonts w:hint="default" w:ascii="Times New Roman" w:hAnsi="Times New Roman" w:eastAsia="仿宋_GB2312" w:cs="Times New Roman"/>
          <w:bCs/>
          <w:color w:val="auto"/>
          <w:sz w:val="24"/>
          <w:szCs w:val="24"/>
          <w:highlight w:val="none"/>
          <w:u w:val="single"/>
        </w:rPr>
      </w:pPr>
      <w:r>
        <w:rPr>
          <w:rFonts w:hint="default" w:ascii="Times New Roman" w:hAnsi="Times New Roman" w:eastAsia="仿宋_GB2312" w:cs="Times New Roman"/>
          <w:bCs/>
          <w:color w:val="auto"/>
          <w:sz w:val="24"/>
          <w:szCs w:val="24"/>
          <w:highlight w:val="none"/>
        </w:rPr>
        <w:t>验收组织的其他事项：</w:t>
      </w:r>
      <w:r>
        <w:rPr>
          <w:rFonts w:hint="default" w:ascii="Times New Roman" w:hAnsi="Times New Roman" w:eastAsia="仿宋_GB2312" w:cs="Times New Roman"/>
          <w:bCs/>
          <w:color w:val="auto"/>
          <w:sz w:val="24"/>
          <w:szCs w:val="24"/>
          <w:highlight w:val="none"/>
          <w:u w:val="single"/>
        </w:rPr>
        <w:t xml:space="preserve">                </w:t>
      </w:r>
    </w:p>
    <w:p w14:paraId="2C990317">
      <w:pPr>
        <w:adjustRightInd w:val="0"/>
        <w:snapToGrid w:val="0"/>
        <w:spacing w:before="0" w:beforeLines="0" w:line="400" w:lineRule="exact"/>
        <w:ind w:firstLine="480" w:firstLineChars="200"/>
        <w:rPr>
          <w:rFonts w:hint="default" w:ascii="Times New Roman" w:hAnsi="Times New Roman" w:eastAsia="仿宋_GB2312" w:cs="Times New Roman"/>
          <w:bCs/>
          <w:color w:val="auto"/>
          <w:sz w:val="24"/>
          <w:szCs w:val="24"/>
          <w:highlight w:val="none"/>
          <w:u w:val="single"/>
        </w:rPr>
      </w:pPr>
      <w:r>
        <w:rPr>
          <w:rFonts w:hint="default" w:ascii="Times New Roman" w:hAnsi="Times New Roman" w:eastAsia="仿宋_GB2312" w:cs="Times New Roman"/>
          <w:bCs/>
          <w:color w:val="auto"/>
          <w:sz w:val="24"/>
          <w:szCs w:val="24"/>
          <w:highlight w:val="none"/>
        </w:rPr>
        <w:t>（2）履约验收时间：</w:t>
      </w:r>
      <w:r>
        <w:rPr>
          <w:rFonts w:hint="default" w:ascii="Times New Roman" w:hAnsi="Times New Roman" w:eastAsia="仿宋_GB2312" w:cs="Times New Roman"/>
          <w:bCs/>
          <w:color w:val="auto"/>
          <w:sz w:val="24"/>
          <w:szCs w:val="24"/>
          <w:highlight w:val="none"/>
          <w:u w:val="single"/>
        </w:rPr>
        <w:t>（计划于何时验收/供应商提出验收申请之日起   日内组织验收）</w:t>
      </w:r>
      <w:r>
        <w:rPr>
          <w:rFonts w:hint="default" w:ascii="Times New Roman" w:hAnsi="Times New Roman" w:eastAsia="仿宋_GB2312" w:cs="Times New Roman"/>
          <w:bCs/>
          <w:color w:val="auto"/>
          <w:sz w:val="24"/>
          <w:szCs w:val="24"/>
          <w:highlight w:val="none"/>
          <w:u w:val="single"/>
          <w:lang w:val="en-US" w:eastAsia="zh-CN"/>
        </w:rPr>
        <w:t xml:space="preserve"> </w:t>
      </w:r>
    </w:p>
    <w:p w14:paraId="001673E5">
      <w:pPr>
        <w:adjustRightInd w:val="0"/>
        <w:snapToGrid w:val="0"/>
        <w:spacing w:before="0" w:beforeLines="0" w:line="400" w:lineRule="exact"/>
        <w:ind w:firstLine="480" w:firstLineChars="200"/>
        <w:rPr>
          <w:rFonts w:hint="default" w:ascii="Times New Roman" w:hAnsi="Times New Roman" w:eastAsia="仿宋_GB2312" w:cs="Times New Roman"/>
          <w:bCs/>
          <w:color w:val="auto"/>
          <w:sz w:val="24"/>
          <w:szCs w:val="24"/>
          <w:highlight w:val="none"/>
        </w:rPr>
      </w:pPr>
      <w:r>
        <w:rPr>
          <w:rFonts w:hint="default" w:ascii="Times New Roman" w:hAnsi="Times New Roman" w:eastAsia="仿宋_GB2312" w:cs="Times New Roman"/>
          <w:bCs/>
          <w:color w:val="auto"/>
          <w:sz w:val="24"/>
          <w:szCs w:val="24"/>
          <w:highlight w:val="none"/>
        </w:rPr>
        <w:t>（3）履约验收方式：</w:t>
      </w:r>
      <w:r>
        <w:rPr>
          <w:rFonts w:hint="default" w:ascii="Times New Roman" w:hAnsi="Times New Roman" w:eastAsia="仿宋_GB2312" w:cs="Times New Roman"/>
          <w:color w:val="auto"/>
          <w:sz w:val="24"/>
          <w:szCs w:val="24"/>
          <w:highlight w:val="none"/>
        </w:rPr>
        <w:sym w:font="Wingdings" w:char="00A8"/>
      </w:r>
      <w:r>
        <w:rPr>
          <w:rFonts w:hint="default" w:ascii="Times New Roman" w:hAnsi="Times New Roman" w:eastAsia="仿宋_GB2312" w:cs="Times New Roman"/>
          <w:bCs/>
          <w:color w:val="auto"/>
          <w:sz w:val="24"/>
          <w:szCs w:val="24"/>
          <w:highlight w:val="none"/>
        </w:rPr>
        <w:t xml:space="preserve">一次性验收         </w:t>
      </w:r>
    </w:p>
    <w:p w14:paraId="4C71B558">
      <w:pPr>
        <w:adjustRightInd w:val="0"/>
        <w:snapToGrid w:val="0"/>
        <w:spacing w:before="0" w:beforeLines="0" w:line="400" w:lineRule="exact"/>
        <w:ind w:firstLine="0" w:firstLineChars="0"/>
        <w:rPr>
          <w:rFonts w:hint="default" w:ascii="Times New Roman" w:hAnsi="Times New Roman" w:eastAsia="仿宋_GB2312" w:cs="Times New Roman"/>
          <w:bCs/>
          <w:color w:val="auto"/>
          <w:sz w:val="24"/>
          <w:szCs w:val="24"/>
          <w:highlight w:val="none"/>
          <w:lang w:val="en-US" w:eastAsia="zh-CN"/>
        </w:rPr>
      </w:pPr>
      <w:r>
        <w:rPr>
          <w:rFonts w:hint="default" w:ascii="Times New Roman" w:hAnsi="Times New Roman" w:eastAsia="仿宋_GB2312" w:cs="Times New Roman"/>
          <w:bCs/>
          <w:color w:val="auto"/>
          <w:sz w:val="24"/>
          <w:szCs w:val="24"/>
          <w:highlight w:val="none"/>
          <w:lang w:val="en-US" w:eastAsia="zh-CN"/>
        </w:rPr>
        <w:t xml:space="preserve">                       </w:t>
      </w:r>
      <w:r>
        <w:rPr>
          <w:rFonts w:hint="default" w:ascii="Times New Roman" w:hAnsi="Times New Roman" w:eastAsia="仿宋_GB2312" w:cs="Times New Roman"/>
          <w:color w:val="auto"/>
          <w:sz w:val="24"/>
          <w:szCs w:val="24"/>
          <w:highlight w:val="none"/>
        </w:rPr>
        <w:sym w:font="Wingdings" w:char="00A8"/>
      </w:r>
      <w:r>
        <w:rPr>
          <w:rFonts w:hint="default" w:ascii="Times New Roman" w:hAnsi="Times New Roman" w:eastAsia="仿宋_GB2312" w:cs="Times New Roman"/>
          <w:bCs/>
          <w:color w:val="auto"/>
          <w:sz w:val="24"/>
          <w:szCs w:val="24"/>
          <w:highlight w:val="none"/>
        </w:rPr>
        <w:t>分期/分项验收</w:t>
      </w:r>
      <w:r>
        <w:rPr>
          <w:rFonts w:hint="default" w:ascii="Times New Roman" w:hAnsi="Times New Roman" w:eastAsia="仿宋_GB2312" w:cs="Times New Roman"/>
          <w:bCs/>
          <w:color w:val="auto"/>
          <w:sz w:val="24"/>
          <w:szCs w:val="24"/>
          <w:highlight w:val="none"/>
          <w:lang w:eastAsia="zh-CN"/>
        </w:rPr>
        <w:t>：</w:t>
      </w:r>
      <w:r>
        <w:rPr>
          <w:rFonts w:hint="default" w:ascii="Times New Roman" w:hAnsi="Times New Roman" w:eastAsia="仿宋_GB2312" w:cs="Times New Roman"/>
          <w:bCs/>
          <w:color w:val="auto"/>
          <w:sz w:val="24"/>
          <w:szCs w:val="24"/>
          <w:highlight w:val="none"/>
          <w:u w:val="single"/>
        </w:rPr>
        <w:t xml:space="preserve"> </w:t>
      </w:r>
      <w:r>
        <w:rPr>
          <w:rFonts w:hint="default" w:ascii="Times New Roman" w:hAnsi="Times New Roman" w:eastAsia="仿宋_GB2312" w:cs="Times New Roman"/>
          <w:bCs/>
          <w:color w:val="auto"/>
          <w:sz w:val="24"/>
          <w:szCs w:val="24"/>
          <w:highlight w:val="none"/>
          <w:u w:val="single"/>
          <w:lang w:eastAsia="zh-CN"/>
        </w:rPr>
        <w:t>（应明确分期</w:t>
      </w:r>
      <w:r>
        <w:rPr>
          <w:rFonts w:hint="default" w:ascii="Times New Roman" w:hAnsi="Times New Roman" w:eastAsia="仿宋_GB2312" w:cs="Times New Roman"/>
          <w:bCs/>
          <w:color w:val="auto"/>
          <w:sz w:val="24"/>
          <w:szCs w:val="24"/>
          <w:highlight w:val="none"/>
          <w:u w:val="single"/>
          <w:lang w:val="en" w:eastAsia="zh-CN"/>
        </w:rPr>
        <w:t>/分项验收的工作安排</w:t>
      </w:r>
      <w:r>
        <w:rPr>
          <w:rFonts w:hint="default" w:ascii="Times New Roman" w:hAnsi="Times New Roman" w:eastAsia="仿宋_GB2312" w:cs="Times New Roman"/>
          <w:bCs/>
          <w:color w:val="auto"/>
          <w:sz w:val="24"/>
          <w:szCs w:val="24"/>
          <w:highlight w:val="none"/>
          <w:u w:val="single"/>
          <w:lang w:eastAsia="zh-CN"/>
        </w:rPr>
        <w:t>）</w:t>
      </w:r>
      <w:r>
        <w:rPr>
          <w:rFonts w:hint="default" w:ascii="Times New Roman" w:hAnsi="Times New Roman" w:eastAsia="仿宋_GB2312" w:cs="Times New Roman"/>
          <w:bCs/>
          <w:color w:val="auto"/>
          <w:sz w:val="24"/>
          <w:szCs w:val="24"/>
          <w:highlight w:val="none"/>
          <w:u w:val="single"/>
        </w:rPr>
        <w:t xml:space="preserve"> </w:t>
      </w:r>
      <w:r>
        <w:rPr>
          <w:rFonts w:hint="default" w:ascii="Times New Roman" w:hAnsi="Times New Roman" w:eastAsia="仿宋_GB2312" w:cs="Times New Roman"/>
          <w:bCs/>
          <w:color w:val="auto"/>
          <w:sz w:val="24"/>
          <w:szCs w:val="24"/>
          <w:highlight w:val="none"/>
          <w:u w:val="single"/>
          <w:lang w:val="en-US" w:eastAsia="zh-CN"/>
        </w:rPr>
        <w:t xml:space="preserve"> </w:t>
      </w:r>
    </w:p>
    <w:p w14:paraId="0DEEF22C">
      <w:pPr>
        <w:adjustRightInd w:val="0"/>
        <w:snapToGrid w:val="0"/>
        <w:spacing w:before="0" w:beforeLines="0" w:line="400" w:lineRule="exact"/>
        <w:ind w:firstLine="480" w:firstLineChars="200"/>
        <w:rPr>
          <w:rFonts w:hint="default" w:ascii="Times New Roman" w:hAnsi="Times New Roman" w:eastAsia="仿宋_GB2312" w:cs="Times New Roman"/>
          <w:bCs/>
          <w:color w:val="auto"/>
          <w:sz w:val="24"/>
          <w:szCs w:val="24"/>
          <w:highlight w:val="none"/>
        </w:rPr>
      </w:pPr>
      <w:r>
        <w:rPr>
          <w:rFonts w:hint="default" w:ascii="Times New Roman" w:hAnsi="Times New Roman" w:eastAsia="仿宋_GB2312" w:cs="Times New Roman"/>
          <w:bCs/>
          <w:color w:val="auto"/>
          <w:sz w:val="24"/>
          <w:szCs w:val="24"/>
          <w:highlight w:val="none"/>
        </w:rPr>
        <w:t>（4）履约验收程序：</w:t>
      </w:r>
      <w:r>
        <w:rPr>
          <w:rFonts w:hint="default" w:ascii="Times New Roman" w:hAnsi="Times New Roman" w:eastAsia="仿宋_GB2312" w:cs="Times New Roman"/>
          <w:bCs/>
          <w:color w:val="auto"/>
          <w:sz w:val="24"/>
          <w:szCs w:val="24"/>
          <w:highlight w:val="none"/>
          <w:u w:val="single"/>
        </w:rPr>
        <w:t xml:space="preserve">                                         </w:t>
      </w:r>
    </w:p>
    <w:p w14:paraId="40500AE1">
      <w:pPr>
        <w:adjustRightInd w:val="0"/>
        <w:snapToGrid w:val="0"/>
        <w:spacing w:before="0" w:beforeLines="0" w:line="400" w:lineRule="exact"/>
        <w:ind w:firstLine="480" w:firstLineChars="200"/>
        <w:rPr>
          <w:rFonts w:hint="default" w:ascii="Times New Roman" w:hAnsi="Times New Roman" w:eastAsia="仿宋_GB2312" w:cs="Times New Roman"/>
          <w:bCs/>
          <w:color w:val="auto"/>
          <w:sz w:val="24"/>
          <w:szCs w:val="24"/>
          <w:highlight w:val="none"/>
          <w:u w:val="single"/>
        </w:rPr>
      </w:pPr>
      <w:r>
        <w:rPr>
          <w:rFonts w:hint="default" w:ascii="Times New Roman" w:hAnsi="Times New Roman" w:eastAsia="仿宋_GB2312" w:cs="Times New Roman"/>
          <w:bCs/>
          <w:color w:val="auto"/>
          <w:sz w:val="24"/>
          <w:szCs w:val="24"/>
          <w:highlight w:val="none"/>
        </w:rPr>
        <w:t>（5）履约验收的内容：</w:t>
      </w:r>
      <w:r>
        <w:rPr>
          <w:rFonts w:hint="default" w:ascii="Times New Roman" w:hAnsi="Times New Roman" w:eastAsia="仿宋_GB2312" w:cs="Times New Roman"/>
          <w:bCs/>
          <w:color w:val="auto"/>
          <w:sz w:val="24"/>
          <w:szCs w:val="24"/>
          <w:highlight w:val="none"/>
          <w:u w:val="single"/>
        </w:rPr>
        <w:t xml:space="preserve"> </w:t>
      </w:r>
      <w:r>
        <w:rPr>
          <w:rFonts w:hint="default" w:ascii="Times New Roman" w:hAnsi="Times New Roman" w:eastAsia="仿宋_GB2312" w:cs="Times New Roman"/>
          <w:bCs/>
          <w:color w:val="auto"/>
          <w:sz w:val="24"/>
          <w:szCs w:val="24"/>
          <w:highlight w:val="none"/>
          <w:u w:val="single"/>
          <w:lang w:eastAsia="zh-CN"/>
        </w:rPr>
        <w:t>（应当包括每一项技术和商务要求的履约情况，特别是落实政府采购扶持中小企业，支持绿色发展和乡村振兴等政策情况）</w:t>
      </w:r>
      <w:r>
        <w:rPr>
          <w:rFonts w:hint="default" w:ascii="Times New Roman" w:hAnsi="Times New Roman" w:eastAsia="仿宋_GB2312" w:cs="Times New Roman"/>
          <w:bCs/>
          <w:color w:val="auto"/>
          <w:sz w:val="24"/>
          <w:szCs w:val="24"/>
          <w:highlight w:val="none"/>
          <w:u w:val="single"/>
        </w:rPr>
        <w:t xml:space="preserve">                                      </w:t>
      </w:r>
    </w:p>
    <w:p w14:paraId="5F3D12D9">
      <w:pPr>
        <w:adjustRightInd w:val="0"/>
        <w:snapToGrid w:val="0"/>
        <w:spacing w:before="0" w:beforeLines="0" w:line="400" w:lineRule="exact"/>
        <w:ind w:firstLine="480" w:firstLineChars="200"/>
        <w:rPr>
          <w:rFonts w:hint="default" w:ascii="Times New Roman" w:hAnsi="Times New Roman" w:eastAsia="仿宋_GB2312" w:cs="Times New Roman"/>
          <w:bCs/>
          <w:color w:val="auto"/>
          <w:sz w:val="24"/>
          <w:szCs w:val="24"/>
          <w:highlight w:val="none"/>
          <w:u w:val="single"/>
        </w:rPr>
      </w:pPr>
      <w:r>
        <w:rPr>
          <w:rFonts w:hint="default" w:ascii="Times New Roman" w:hAnsi="Times New Roman" w:eastAsia="仿宋_GB2312" w:cs="Times New Roman"/>
          <w:bCs/>
          <w:color w:val="auto"/>
          <w:sz w:val="24"/>
          <w:szCs w:val="24"/>
          <w:highlight w:val="none"/>
        </w:rPr>
        <w:t>（6）履约验收标准：</w:t>
      </w:r>
      <w:r>
        <w:rPr>
          <w:rFonts w:hint="default" w:ascii="Times New Roman" w:hAnsi="Times New Roman" w:eastAsia="仿宋_GB2312" w:cs="Times New Roman"/>
          <w:bCs/>
          <w:color w:val="auto"/>
          <w:sz w:val="24"/>
          <w:szCs w:val="24"/>
          <w:highlight w:val="none"/>
          <w:u w:val="single"/>
        </w:rPr>
        <w:t xml:space="preserve">                                         </w:t>
      </w:r>
    </w:p>
    <w:p w14:paraId="729BB5A6">
      <w:pPr>
        <w:pStyle w:val="45"/>
        <w:spacing w:beforeLines="0"/>
        <w:rPr>
          <w:rFonts w:hint="default" w:ascii="Times New Roman" w:hAnsi="Times New Roman" w:eastAsia="仿宋_GB2312" w:cs="Times New Roman"/>
          <w:color w:val="auto"/>
          <w:sz w:val="24"/>
          <w:szCs w:val="24"/>
          <w:highlight w:val="none"/>
          <w:lang w:eastAsia="zh-CN"/>
        </w:rPr>
      </w:pPr>
      <w:r>
        <w:rPr>
          <w:rFonts w:hint="default" w:ascii="Times New Roman" w:hAnsi="Times New Roman" w:eastAsia="仿宋_GB2312" w:cs="Times New Roman"/>
          <w:bCs/>
          <w:color w:val="auto"/>
          <w:sz w:val="24"/>
          <w:szCs w:val="24"/>
          <w:highlight w:val="none"/>
          <w:u w:val="none"/>
          <w:lang w:eastAsia="zh-CN"/>
        </w:rPr>
        <w:t>（</w:t>
      </w:r>
      <w:r>
        <w:rPr>
          <w:rFonts w:hint="default" w:ascii="Times New Roman" w:hAnsi="Times New Roman" w:eastAsia="仿宋_GB2312" w:cs="Times New Roman"/>
          <w:bCs/>
          <w:color w:val="auto"/>
          <w:sz w:val="24"/>
          <w:szCs w:val="24"/>
          <w:highlight w:val="none"/>
          <w:u w:val="none"/>
          <w:lang w:val="en-US" w:eastAsia="zh-CN"/>
        </w:rPr>
        <w:t>7</w:t>
      </w:r>
      <w:r>
        <w:rPr>
          <w:rFonts w:hint="default" w:ascii="Times New Roman" w:hAnsi="Times New Roman" w:eastAsia="仿宋_GB2312" w:cs="Times New Roman"/>
          <w:bCs/>
          <w:color w:val="auto"/>
          <w:sz w:val="24"/>
          <w:szCs w:val="24"/>
          <w:highlight w:val="none"/>
          <w:u w:val="none"/>
          <w:lang w:eastAsia="zh-CN"/>
        </w:rPr>
        <w:t>）是否以采购活动中供应商提供的样品作为参考：</w:t>
      </w:r>
      <w:r>
        <w:rPr>
          <w:rFonts w:hint="default" w:ascii="Times New Roman" w:hAnsi="Times New Roman" w:eastAsia="仿宋_GB2312" w:cs="Times New Roman"/>
          <w:color w:val="auto"/>
          <w:sz w:val="24"/>
          <w:szCs w:val="24"/>
          <w:highlight w:val="none"/>
        </w:rPr>
        <w:sym w:font="Wingdings" w:char="00A8"/>
      </w:r>
      <w:r>
        <w:rPr>
          <w:rFonts w:hint="default" w:ascii="Times New Roman" w:hAnsi="Times New Roman" w:eastAsia="仿宋_GB2312" w:cs="Times New Roman"/>
          <w:bCs/>
          <w:color w:val="auto"/>
          <w:sz w:val="24"/>
          <w:szCs w:val="24"/>
          <w:highlight w:val="none"/>
        </w:rPr>
        <w:t xml:space="preserve">是  </w:t>
      </w:r>
      <w:r>
        <w:rPr>
          <w:rFonts w:hint="default" w:ascii="Times New Roman" w:hAnsi="Times New Roman" w:eastAsia="仿宋_GB2312" w:cs="Times New Roman"/>
          <w:color w:val="auto"/>
          <w:sz w:val="24"/>
          <w:szCs w:val="24"/>
          <w:highlight w:val="none"/>
        </w:rPr>
        <w:sym w:font="Wingdings" w:char="00A8"/>
      </w:r>
      <w:r>
        <w:rPr>
          <w:rFonts w:hint="default" w:ascii="Times New Roman" w:hAnsi="Times New Roman" w:eastAsia="仿宋_GB2312" w:cs="Times New Roman"/>
          <w:bCs/>
          <w:color w:val="auto"/>
          <w:sz w:val="24"/>
          <w:szCs w:val="24"/>
          <w:highlight w:val="none"/>
        </w:rPr>
        <w:t>否</w:t>
      </w:r>
    </w:p>
    <w:p w14:paraId="046C58EC">
      <w:pPr>
        <w:adjustRightInd w:val="0"/>
        <w:snapToGrid w:val="0"/>
        <w:spacing w:before="0" w:beforeLines="0" w:line="400" w:lineRule="exact"/>
        <w:ind w:firstLine="480" w:firstLineChars="200"/>
        <w:rPr>
          <w:rFonts w:hint="default" w:ascii="Times New Roman" w:hAnsi="Times New Roman" w:eastAsia="仿宋_GB2312" w:cs="Times New Roman"/>
          <w:bCs/>
          <w:color w:val="auto"/>
          <w:sz w:val="24"/>
          <w:szCs w:val="24"/>
          <w:highlight w:val="none"/>
          <w:u w:val="single"/>
        </w:rPr>
      </w:pPr>
      <w:r>
        <w:rPr>
          <w:rFonts w:hint="default" w:ascii="Times New Roman" w:hAnsi="Times New Roman" w:eastAsia="仿宋_GB2312" w:cs="Times New Roman"/>
          <w:bCs/>
          <w:color w:val="auto"/>
          <w:sz w:val="24"/>
          <w:szCs w:val="24"/>
          <w:highlight w:val="none"/>
        </w:rPr>
        <w:t>（8）履约验收其他事项：</w:t>
      </w:r>
      <w:r>
        <w:rPr>
          <w:rFonts w:hint="default" w:ascii="Times New Roman" w:hAnsi="Times New Roman" w:eastAsia="仿宋_GB2312" w:cs="Times New Roman"/>
          <w:bCs/>
          <w:color w:val="auto"/>
          <w:sz w:val="24"/>
          <w:szCs w:val="24"/>
          <w:highlight w:val="none"/>
          <w:u w:val="single"/>
        </w:rPr>
        <w:t xml:space="preserve">      </w:t>
      </w:r>
      <w:r>
        <w:rPr>
          <w:rFonts w:hint="default" w:ascii="Times New Roman" w:hAnsi="Times New Roman" w:eastAsia="仿宋_GB2312" w:cs="Times New Roman"/>
          <w:bCs/>
          <w:i w:val="0"/>
          <w:iCs w:val="0"/>
          <w:color w:val="auto"/>
          <w:sz w:val="24"/>
          <w:szCs w:val="24"/>
          <w:highlight w:val="none"/>
          <w:u w:val="single"/>
        </w:rPr>
        <w:t>（产权过户登记等）</w:t>
      </w:r>
      <w:r>
        <w:rPr>
          <w:rFonts w:hint="default" w:ascii="Times New Roman" w:hAnsi="Times New Roman" w:eastAsia="仿宋_GB2312" w:cs="Times New Roman"/>
          <w:bCs/>
          <w:color w:val="auto"/>
          <w:sz w:val="24"/>
          <w:szCs w:val="24"/>
          <w:highlight w:val="none"/>
          <w:u w:val="single"/>
        </w:rPr>
        <w:t xml:space="preserve">          </w:t>
      </w:r>
    </w:p>
    <w:p w14:paraId="5424DFB7">
      <w:pPr>
        <w:numPr>
          <w:ilvl w:val="0"/>
          <w:numId w:val="19"/>
        </w:numPr>
        <w:adjustRightInd w:val="0"/>
        <w:snapToGrid w:val="0"/>
        <w:spacing w:before="0" w:beforeLines="0" w:line="400" w:lineRule="exact"/>
        <w:ind w:firstLine="482" w:firstLineChars="200"/>
        <w:rPr>
          <w:rFonts w:hint="default" w:ascii="Times New Roman" w:hAnsi="Times New Roman" w:eastAsia="仿宋_GB2312" w:cs="Times New Roman"/>
          <w:b/>
          <w:color w:val="auto"/>
          <w:sz w:val="24"/>
          <w:szCs w:val="24"/>
          <w:highlight w:val="none"/>
        </w:rPr>
      </w:pPr>
      <w:r>
        <w:rPr>
          <w:rFonts w:hint="default" w:ascii="Times New Roman" w:hAnsi="Times New Roman" w:eastAsia="仿宋_GB2312" w:cs="Times New Roman"/>
          <w:b/>
          <w:color w:val="auto"/>
          <w:sz w:val="24"/>
          <w:szCs w:val="24"/>
          <w:highlight w:val="none"/>
        </w:rPr>
        <w:t>组成合同的文件</w:t>
      </w:r>
    </w:p>
    <w:p w14:paraId="257AEAC1">
      <w:pPr>
        <w:adjustRightInd w:val="0"/>
        <w:snapToGrid w:val="0"/>
        <w:spacing w:before="0" w:beforeLines="0" w:line="400" w:lineRule="exact"/>
        <w:ind w:firstLine="480" w:firstLineChars="200"/>
        <w:rPr>
          <w:rFonts w:hint="default" w:ascii="Times New Roman" w:hAnsi="Times New Roman" w:eastAsia="仿宋_GB2312" w:cs="Times New Roman"/>
          <w:color w:val="auto"/>
          <w:sz w:val="24"/>
          <w:szCs w:val="24"/>
          <w:highlight w:val="none"/>
        </w:rPr>
      </w:pPr>
      <w:r>
        <w:rPr>
          <w:rFonts w:hint="default" w:ascii="Times New Roman" w:hAnsi="Times New Roman" w:eastAsia="仿宋_GB2312" w:cs="Times New Roman"/>
          <w:color w:val="auto"/>
          <w:sz w:val="24"/>
          <w:szCs w:val="24"/>
          <w:highlight w:val="none"/>
        </w:rPr>
        <w:t>本协议书与下列文件一起构成合同文件，如下述文件之间有任何抵触、矛盾或歧义，应按以下顺序解释：</w:t>
      </w:r>
    </w:p>
    <w:p w14:paraId="7A0E6C14">
      <w:pPr>
        <w:adjustRightInd w:val="0"/>
        <w:snapToGrid w:val="0"/>
        <w:spacing w:before="0" w:beforeLines="0" w:line="400" w:lineRule="exact"/>
        <w:ind w:firstLine="480" w:firstLineChars="200"/>
        <w:rPr>
          <w:rFonts w:hint="default" w:ascii="Times New Roman" w:hAnsi="Times New Roman" w:eastAsia="仿宋_GB2312" w:cs="Times New Roman"/>
          <w:color w:val="auto"/>
          <w:sz w:val="24"/>
          <w:szCs w:val="24"/>
          <w:highlight w:val="none"/>
          <w:lang w:eastAsia="zh-CN"/>
        </w:rPr>
      </w:pPr>
      <w:r>
        <w:rPr>
          <w:rFonts w:hint="default" w:ascii="Times New Roman" w:hAnsi="Times New Roman" w:eastAsia="仿宋_GB2312" w:cs="Times New Roman"/>
          <w:color w:val="auto"/>
          <w:sz w:val="24"/>
          <w:szCs w:val="24"/>
          <w:highlight w:val="none"/>
        </w:rPr>
        <w:t>（1）</w:t>
      </w:r>
      <w:r>
        <w:rPr>
          <w:rFonts w:hint="default" w:ascii="Times New Roman" w:hAnsi="Times New Roman" w:eastAsia="仿宋_GB2312" w:cs="Times New Roman"/>
          <w:color w:val="auto"/>
          <w:sz w:val="24"/>
          <w:szCs w:val="24"/>
          <w:highlight w:val="none"/>
          <w:lang w:eastAsia="zh-CN"/>
        </w:rPr>
        <w:t>政府采购</w:t>
      </w:r>
      <w:r>
        <w:rPr>
          <w:rFonts w:hint="default" w:ascii="Times New Roman" w:hAnsi="Times New Roman" w:eastAsia="仿宋_GB2312" w:cs="Times New Roman"/>
          <w:color w:val="auto"/>
          <w:sz w:val="24"/>
          <w:szCs w:val="24"/>
          <w:highlight w:val="none"/>
        </w:rPr>
        <w:t>合同协议书及其变更、补充</w:t>
      </w:r>
      <w:r>
        <w:rPr>
          <w:rFonts w:hint="default" w:ascii="Times New Roman" w:hAnsi="Times New Roman" w:eastAsia="仿宋_GB2312" w:cs="Times New Roman"/>
          <w:color w:val="auto"/>
          <w:sz w:val="24"/>
          <w:szCs w:val="24"/>
          <w:highlight w:val="none"/>
          <w:lang w:eastAsia="zh-CN"/>
        </w:rPr>
        <w:t>协议</w:t>
      </w:r>
    </w:p>
    <w:p w14:paraId="26775074">
      <w:pPr>
        <w:adjustRightInd w:val="0"/>
        <w:snapToGrid w:val="0"/>
        <w:spacing w:before="0" w:beforeLines="0" w:line="400" w:lineRule="exact"/>
        <w:ind w:firstLine="480" w:firstLineChars="200"/>
        <w:rPr>
          <w:rFonts w:hint="default" w:ascii="Times New Roman" w:hAnsi="Times New Roman" w:eastAsia="仿宋_GB2312" w:cs="Times New Roman"/>
          <w:color w:val="auto"/>
          <w:sz w:val="24"/>
          <w:szCs w:val="24"/>
          <w:highlight w:val="none"/>
        </w:rPr>
      </w:pPr>
      <w:r>
        <w:rPr>
          <w:rFonts w:hint="default" w:ascii="Times New Roman" w:hAnsi="Times New Roman" w:eastAsia="仿宋_GB2312" w:cs="Times New Roman"/>
          <w:color w:val="auto"/>
          <w:sz w:val="24"/>
          <w:szCs w:val="24"/>
          <w:highlight w:val="none"/>
        </w:rPr>
        <w:t>（</w:t>
      </w:r>
      <w:r>
        <w:rPr>
          <w:rFonts w:hint="default" w:ascii="Times New Roman" w:hAnsi="Times New Roman" w:eastAsia="仿宋_GB2312" w:cs="Times New Roman"/>
          <w:color w:val="auto"/>
          <w:sz w:val="24"/>
          <w:szCs w:val="24"/>
          <w:highlight w:val="none"/>
          <w:lang w:val="en-US" w:eastAsia="zh-CN"/>
        </w:rPr>
        <w:t>2</w:t>
      </w:r>
      <w:r>
        <w:rPr>
          <w:rFonts w:hint="default" w:ascii="Times New Roman" w:hAnsi="Times New Roman" w:eastAsia="仿宋_GB2312" w:cs="Times New Roman"/>
          <w:color w:val="auto"/>
          <w:sz w:val="24"/>
          <w:szCs w:val="24"/>
          <w:highlight w:val="none"/>
        </w:rPr>
        <w:t>）政府采购合同专用条款</w:t>
      </w:r>
    </w:p>
    <w:p w14:paraId="2542E0C9">
      <w:pPr>
        <w:adjustRightInd w:val="0"/>
        <w:snapToGrid w:val="0"/>
        <w:spacing w:before="0" w:beforeLines="0" w:line="400" w:lineRule="exact"/>
        <w:ind w:firstLine="480" w:firstLineChars="200"/>
        <w:rPr>
          <w:rFonts w:hint="default" w:ascii="Times New Roman" w:hAnsi="Times New Roman" w:eastAsia="仿宋_GB2312" w:cs="Times New Roman"/>
          <w:color w:val="auto"/>
          <w:sz w:val="24"/>
          <w:szCs w:val="24"/>
          <w:highlight w:val="none"/>
        </w:rPr>
      </w:pPr>
      <w:r>
        <w:rPr>
          <w:rFonts w:hint="default" w:ascii="Times New Roman" w:hAnsi="Times New Roman" w:eastAsia="仿宋_GB2312" w:cs="Times New Roman"/>
          <w:color w:val="auto"/>
          <w:sz w:val="24"/>
          <w:szCs w:val="24"/>
          <w:highlight w:val="none"/>
        </w:rPr>
        <w:t>（</w:t>
      </w:r>
      <w:r>
        <w:rPr>
          <w:rFonts w:hint="default" w:ascii="Times New Roman" w:hAnsi="Times New Roman" w:eastAsia="仿宋_GB2312" w:cs="Times New Roman"/>
          <w:color w:val="auto"/>
          <w:sz w:val="24"/>
          <w:szCs w:val="24"/>
          <w:highlight w:val="none"/>
          <w:lang w:val="en-US" w:eastAsia="zh-CN"/>
        </w:rPr>
        <w:t>3</w:t>
      </w:r>
      <w:r>
        <w:rPr>
          <w:rFonts w:hint="default" w:ascii="Times New Roman" w:hAnsi="Times New Roman" w:eastAsia="仿宋_GB2312" w:cs="Times New Roman"/>
          <w:color w:val="auto"/>
          <w:sz w:val="24"/>
          <w:szCs w:val="24"/>
          <w:highlight w:val="none"/>
        </w:rPr>
        <w:t>）政府采购合同通用条款</w:t>
      </w:r>
    </w:p>
    <w:p w14:paraId="7A6CB1F3">
      <w:pPr>
        <w:adjustRightInd w:val="0"/>
        <w:snapToGrid w:val="0"/>
        <w:spacing w:before="0" w:beforeLines="0" w:line="400" w:lineRule="exact"/>
        <w:ind w:firstLine="480" w:firstLineChars="200"/>
        <w:rPr>
          <w:rFonts w:hint="default" w:ascii="Times New Roman" w:hAnsi="Times New Roman" w:eastAsia="仿宋_GB2312" w:cs="Times New Roman"/>
          <w:color w:val="auto"/>
          <w:sz w:val="24"/>
          <w:szCs w:val="24"/>
          <w:highlight w:val="none"/>
        </w:rPr>
      </w:pPr>
      <w:r>
        <w:rPr>
          <w:rFonts w:hint="default" w:ascii="Times New Roman" w:hAnsi="Times New Roman" w:eastAsia="仿宋_GB2312" w:cs="Times New Roman"/>
          <w:color w:val="auto"/>
          <w:sz w:val="24"/>
          <w:szCs w:val="24"/>
          <w:highlight w:val="none"/>
        </w:rPr>
        <w:t>（</w:t>
      </w:r>
      <w:r>
        <w:rPr>
          <w:rFonts w:hint="default" w:ascii="Times New Roman" w:hAnsi="Times New Roman" w:eastAsia="仿宋_GB2312" w:cs="Times New Roman"/>
          <w:color w:val="auto"/>
          <w:sz w:val="24"/>
          <w:szCs w:val="24"/>
          <w:highlight w:val="none"/>
          <w:lang w:val="en-US" w:eastAsia="zh-CN"/>
        </w:rPr>
        <w:t>4</w:t>
      </w:r>
      <w:r>
        <w:rPr>
          <w:rFonts w:hint="default" w:ascii="Times New Roman" w:hAnsi="Times New Roman" w:eastAsia="仿宋_GB2312" w:cs="Times New Roman"/>
          <w:color w:val="auto"/>
          <w:sz w:val="24"/>
          <w:szCs w:val="24"/>
          <w:highlight w:val="none"/>
        </w:rPr>
        <w:t>）中标</w:t>
      </w:r>
      <w:r>
        <w:rPr>
          <w:rFonts w:hint="default" w:ascii="Times New Roman" w:hAnsi="Times New Roman" w:eastAsia="仿宋_GB2312" w:cs="Times New Roman"/>
          <w:color w:val="auto"/>
          <w:sz w:val="24"/>
          <w:szCs w:val="24"/>
          <w:highlight w:val="none"/>
          <w:lang w:eastAsia="zh-CN"/>
        </w:rPr>
        <w:t>（成交）</w:t>
      </w:r>
      <w:r>
        <w:rPr>
          <w:rFonts w:hint="default" w:ascii="Times New Roman" w:hAnsi="Times New Roman" w:eastAsia="仿宋_GB2312" w:cs="Times New Roman"/>
          <w:color w:val="auto"/>
          <w:sz w:val="24"/>
          <w:szCs w:val="24"/>
          <w:highlight w:val="none"/>
        </w:rPr>
        <w:t>通知书</w:t>
      </w:r>
    </w:p>
    <w:p w14:paraId="4436E7E7">
      <w:pPr>
        <w:adjustRightInd w:val="0"/>
        <w:snapToGrid w:val="0"/>
        <w:spacing w:before="0" w:beforeLines="0" w:line="400" w:lineRule="exact"/>
        <w:ind w:firstLine="480" w:firstLineChars="200"/>
        <w:rPr>
          <w:rFonts w:hint="default" w:ascii="Times New Roman" w:hAnsi="Times New Roman" w:eastAsia="仿宋_GB2312" w:cs="Times New Roman"/>
          <w:color w:val="auto"/>
          <w:sz w:val="24"/>
          <w:szCs w:val="24"/>
          <w:highlight w:val="none"/>
        </w:rPr>
      </w:pPr>
      <w:r>
        <w:rPr>
          <w:rFonts w:hint="default" w:ascii="Times New Roman" w:hAnsi="Times New Roman" w:eastAsia="仿宋_GB2312" w:cs="Times New Roman"/>
          <w:color w:val="auto"/>
          <w:sz w:val="24"/>
          <w:szCs w:val="24"/>
          <w:highlight w:val="none"/>
        </w:rPr>
        <w:t>（</w:t>
      </w:r>
      <w:r>
        <w:rPr>
          <w:rFonts w:hint="default" w:ascii="Times New Roman" w:hAnsi="Times New Roman" w:eastAsia="仿宋_GB2312" w:cs="Times New Roman"/>
          <w:color w:val="auto"/>
          <w:sz w:val="24"/>
          <w:szCs w:val="24"/>
          <w:highlight w:val="none"/>
          <w:lang w:val="en-US" w:eastAsia="zh-CN"/>
        </w:rPr>
        <w:t>5</w:t>
      </w:r>
      <w:r>
        <w:rPr>
          <w:rFonts w:hint="default" w:ascii="Times New Roman" w:hAnsi="Times New Roman" w:eastAsia="仿宋_GB2312" w:cs="Times New Roman"/>
          <w:color w:val="auto"/>
          <w:sz w:val="24"/>
          <w:szCs w:val="24"/>
          <w:highlight w:val="none"/>
        </w:rPr>
        <w:t>）投标（响应）文件</w:t>
      </w:r>
    </w:p>
    <w:p w14:paraId="1F2974CB">
      <w:pPr>
        <w:adjustRightInd w:val="0"/>
        <w:snapToGrid w:val="0"/>
        <w:spacing w:before="0" w:beforeLines="0" w:line="400" w:lineRule="exact"/>
        <w:ind w:firstLine="480" w:firstLineChars="200"/>
        <w:rPr>
          <w:rFonts w:hint="default" w:ascii="Times New Roman" w:hAnsi="Times New Roman" w:eastAsia="仿宋_GB2312" w:cs="Times New Roman"/>
          <w:color w:val="auto"/>
          <w:sz w:val="24"/>
          <w:szCs w:val="24"/>
          <w:highlight w:val="none"/>
        </w:rPr>
      </w:pPr>
      <w:r>
        <w:rPr>
          <w:rFonts w:hint="default" w:ascii="Times New Roman" w:hAnsi="Times New Roman" w:eastAsia="仿宋_GB2312" w:cs="Times New Roman"/>
          <w:color w:val="auto"/>
          <w:sz w:val="24"/>
          <w:szCs w:val="24"/>
          <w:highlight w:val="none"/>
        </w:rPr>
        <w:t>（6）采购文件</w:t>
      </w:r>
    </w:p>
    <w:p w14:paraId="55A8EA5E">
      <w:pPr>
        <w:adjustRightInd w:val="0"/>
        <w:snapToGrid w:val="0"/>
        <w:spacing w:before="0" w:beforeLines="0" w:line="400" w:lineRule="exact"/>
        <w:ind w:firstLine="480" w:firstLineChars="200"/>
        <w:rPr>
          <w:rFonts w:hint="default" w:ascii="Times New Roman" w:hAnsi="Times New Roman" w:eastAsia="仿宋_GB2312" w:cs="Times New Roman"/>
          <w:color w:val="auto"/>
          <w:sz w:val="24"/>
          <w:szCs w:val="24"/>
          <w:highlight w:val="none"/>
        </w:rPr>
      </w:pPr>
      <w:r>
        <w:rPr>
          <w:rFonts w:hint="default" w:ascii="Times New Roman" w:hAnsi="Times New Roman" w:eastAsia="仿宋_GB2312" w:cs="Times New Roman"/>
          <w:color w:val="auto"/>
          <w:sz w:val="24"/>
          <w:szCs w:val="24"/>
          <w:highlight w:val="none"/>
        </w:rPr>
        <w:t>（7）有关技术文件，图纸</w:t>
      </w:r>
    </w:p>
    <w:p w14:paraId="77CDF316">
      <w:pPr>
        <w:pStyle w:val="45"/>
        <w:spacing w:beforeLines="0"/>
        <w:rPr>
          <w:rFonts w:hint="default" w:ascii="Times New Roman" w:hAnsi="Times New Roman" w:eastAsia="仿宋_GB2312" w:cs="Times New Roman"/>
          <w:color w:val="auto"/>
          <w:kern w:val="2"/>
          <w:sz w:val="24"/>
          <w:szCs w:val="24"/>
          <w:highlight w:val="none"/>
          <w:lang w:eastAsia="zh-CN"/>
        </w:rPr>
      </w:pPr>
      <w:r>
        <w:rPr>
          <w:rFonts w:hint="default" w:ascii="Times New Roman" w:hAnsi="Times New Roman" w:eastAsia="仿宋_GB2312" w:cs="Times New Roman"/>
          <w:color w:val="auto"/>
          <w:sz w:val="24"/>
          <w:szCs w:val="24"/>
          <w:highlight w:val="none"/>
          <w:lang w:eastAsia="zh-CN"/>
        </w:rPr>
        <w:t>（</w:t>
      </w:r>
      <w:r>
        <w:rPr>
          <w:rFonts w:hint="default" w:ascii="Times New Roman" w:hAnsi="Times New Roman" w:eastAsia="仿宋_GB2312" w:cs="Times New Roman"/>
          <w:color w:val="auto"/>
          <w:sz w:val="24"/>
          <w:szCs w:val="24"/>
          <w:highlight w:val="none"/>
          <w:lang w:val="en-US" w:eastAsia="zh-CN"/>
        </w:rPr>
        <w:t>8</w:t>
      </w:r>
      <w:r>
        <w:rPr>
          <w:rFonts w:hint="default" w:ascii="Times New Roman" w:hAnsi="Times New Roman" w:eastAsia="仿宋_GB2312" w:cs="Times New Roman"/>
          <w:color w:val="auto"/>
          <w:sz w:val="24"/>
          <w:szCs w:val="24"/>
          <w:highlight w:val="none"/>
          <w:lang w:eastAsia="zh-CN"/>
        </w:rPr>
        <w:t>）</w:t>
      </w:r>
      <w:r>
        <w:rPr>
          <w:rFonts w:hint="default" w:ascii="Times New Roman" w:hAnsi="Times New Roman" w:eastAsia="仿宋_GB2312" w:cs="Times New Roman"/>
          <w:bCs w:val="0"/>
          <w:color w:val="auto"/>
          <w:kern w:val="2"/>
          <w:sz w:val="24"/>
          <w:szCs w:val="24"/>
          <w:highlight w:val="none"/>
          <w:lang w:eastAsia="zh-CN"/>
        </w:rPr>
        <w:t>国家法律、行政法规和规章制度规定或合同约定的作为合同组成部分的其他文件</w:t>
      </w:r>
    </w:p>
    <w:p w14:paraId="7ED71173">
      <w:pPr>
        <w:numPr>
          <w:ilvl w:val="0"/>
          <w:numId w:val="19"/>
        </w:numPr>
        <w:adjustRightInd w:val="0"/>
        <w:snapToGrid w:val="0"/>
        <w:spacing w:before="0" w:beforeLines="0" w:line="400" w:lineRule="exact"/>
        <w:ind w:firstLine="482" w:firstLineChars="200"/>
        <w:rPr>
          <w:rFonts w:hint="default" w:ascii="Times New Roman" w:hAnsi="Times New Roman" w:eastAsia="仿宋_GB2312" w:cs="Times New Roman"/>
          <w:b/>
          <w:color w:val="auto"/>
          <w:sz w:val="24"/>
          <w:szCs w:val="24"/>
          <w:highlight w:val="none"/>
        </w:rPr>
      </w:pPr>
      <w:r>
        <w:rPr>
          <w:rFonts w:hint="default" w:ascii="Times New Roman" w:hAnsi="Times New Roman" w:eastAsia="仿宋_GB2312" w:cs="Times New Roman"/>
          <w:b/>
          <w:color w:val="auto"/>
          <w:sz w:val="24"/>
          <w:szCs w:val="24"/>
          <w:highlight w:val="none"/>
        </w:rPr>
        <w:t>合同生效</w:t>
      </w:r>
    </w:p>
    <w:p w14:paraId="6949CC92">
      <w:pPr>
        <w:adjustRightInd w:val="0"/>
        <w:snapToGrid w:val="0"/>
        <w:spacing w:before="0" w:beforeLines="0" w:line="400" w:lineRule="exact"/>
        <w:ind w:firstLine="480" w:firstLineChars="200"/>
        <w:rPr>
          <w:rFonts w:hint="default" w:ascii="Times New Roman" w:hAnsi="Times New Roman" w:eastAsia="仿宋_GB2312" w:cs="Times New Roman"/>
          <w:color w:val="auto"/>
          <w:sz w:val="24"/>
          <w:szCs w:val="24"/>
          <w:highlight w:val="none"/>
        </w:rPr>
      </w:pPr>
      <w:r>
        <w:rPr>
          <w:rFonts w:hint="default" w:ascii="Times New Roman" w:hAnsi="Times New Roman" w:eastAsia="仿宋_GB2312" w:cs="Times New Roman"/>
          <w:color w:val="auto"/>
          <w:sz w:val="24"/>
          <w:szCs w:val="24"/>
          <w:highlight w:val="none"/>
        </w:rPr>
        <w:t>本合同自</w:t>
      </w:r>
      <w:r>
        <w:rPr>
          <w:rFonts w:hint="default" w:ascii="Times New Roman" w:hAnsi="Times New Roman" w:eastAsia="仿宋_GB2312" w:cs="Times New Roman"/>
          <w:color w:val="auto"/>
          <w:sz w:val="24"/>
          <w:szCs w:val="24"/>
          <w:highlight w:val="none"/>
          <w:u w:val="single"/>
        </w:rPr>
        <w:t xml:space="preserve">                             </w:t>
      </w:r>
      <w:r>
        <w:rPr>
          <w:rFonts w:hint="default" w:ascii="Times New Roman" w:hAnsi="Times New Roman" w:eastAsia="仿宋_GB2312" w:cs="Times New Roman"/>
          <w:color w:val="auto"/>
          <w:sz w:val="24"/>
          <w:szCs w:val="24"/>
          <w:highlight w:val="none"/>
        </w:rPr>
        <w:t>生效。</w:t>
      </w:r>
    </w:p>
    <w:p w14:paraId="3CA4058E">
      <w:pPr>
        <w:numPr>
          <w:ilvl w:val="0"/>
          <w:numId w:val="19"/>
        </w:numPr>
        <w:adjustRightInd w:val="0"/>
        <w:snapToGrid w:val="0"/>
        <w:spacing w:before="0" w:beforeLines="0" w:line="400" w:lineRule="exact"/>
        <w:ind w:firstLine="482" w:firstLineChars="200"/>
        <w:rPr>
          <w:rFonts w:hint="default" w:ascii="Times New Roman" w:hAnsi="Times New Roman" w:eastAsia="仿宋_GB2312" w:cs="Times New Roman"/>
          <w:b/>
          <w:color w:val="auto"/>
          <w:sz w:val="24"/>
          <w:szCs w:val="24"/>
          <w:highlight w:val="none"/>
        </w:rPr>
      </w:pPr>
      <w:r>
        <w:rPr>
          <w:rFonts w:hint="default" w:ascii="Times New Roman" w:hAnsi="Times New Roman" w:eastAsia="仿宋_GB2312" w:cs="Times New Roman"/>
          <w:b/>
          <w:color w:val="auto"/>
          <w:sz w:val="24"/>
          <w:szCs w:val="24"/>
          <w:highlight w:val="none"/>
        </w:rPr>
        <w:t>合同份数</w:t>
      </w:r>
    </w:p>
    <w:p w14:paraId="6C575ED3">
      <w:pPr>
        <w:adjustRightInd w:val="0"/>
        <w:snapToGrid w:val="0"/>
        <w:spacing w:before="0" w:beforeLines="0" w:line="400" w:lineRule="exact"/>
        <w:ind w:firstLine="480" w:firstLineChars="200"/>
        <w:rPr>
          <w:rFonts w:hint="default" w:ascii="Times New Roman" w:hAnsi="Times New Roman" w:eastAsia="仿宋_GB2312" w:cs="Times New Roman"/>
          <w:color w:val="auto"/>
          <w:sz w:val="24"/>
          <w:szCs w:val="24"/>
          <w:highlight w:val="none"/>
        </w:rPr>
      </w:pPr>
      <w:r>
        <w:rPr>
          <w:rFonts w:hint="default" w:ascii="Times New Roman" w:hAnsi="Times New Roman" w:eastAsia="仿宋_GB2312" w:cs="Times New Roman"/>
          <w:color w:val="auto"/>
          <w:sz w:val="24"/>
          <w:szCs w:val="24"/>
          <w:highlight w:val="none"/>
        </w:rPr>
        <w:t>本合同一式</w:t>
      </w:r>
      <w:r>
        <w:rPr>
          <w:rFonts w:hint="default" w:ascii="Times New Roman" w:hAnsi="Times New Roman" w:eastAsia="仿宋_GB2312" w:cs="Times New Roman"/>
          <w:color w:val="auto"/>
          <w:sz w:val="24"/>
          <w:szCs w:val="24"/>
          <w:highlight w:val="none"/>
          <w:u w:val="single"/>
        </w:rPr>
        <w:t xml:space="preserve">    </w:t>
      </w:r>
      <w:r>
        <w:rPr>
          <w:rFonts w:hint="default" w:ascii="Times New Roman" w:hAnsi="Times New Roman" w:eastAsia="仿宋_GB2312" w:cs="Times New Roman"/>
          <w:color w:val="auto"/>
          <w:sz w:val="24"/>
          <w:szCs w:val="24"/>
          <w:highlight w:val="none"/>
        </w:rPr>
        <w:t>份，</w:t>
      </w:r>
      <w:r>
        <w:rPr>
          <w:rFonts w:hint="default" w:ascii="Times New Roman" w:hAnsi="Times New Roman" w:eastAsia="仿宋_GB2312" w:cs="Times New Roman"/>
          <w:color w:val="auto"/>
          <w:sz w:val="24"/>
          <w:szCs w:val="24"/>
          <w:highlight w:val="none"/>
          <w:lang w:eastAsia="zh-CN"/>
        </w:rPr>
        <w:t>甲方</w:t>
      </w:r>
      <w:r>
        <w:rPr>
          <w:rFonts w:hint="default" w:ascii="Times New Roman" w:hAnsi="Times New Roman" w:eastAsia="仿宋_GB2312" w:cs="Times New Roman"/>
          <w:color w:val="auto"/>
          <w:sz w:val="24"/>
          <w:szCs w:val="24"/>
          <w:highlight w:val="none"/>
        </w:rPr>
        <w:t>执</w:t>
      </w:r>
      <w:r>
        <w:rPr>
          <w:rFonts w:hint="default" w:ascii="Times New Roman" w:hAnsi="Times New Roman" w:eastAsia="仿宋_GB2312" w:cs="Times New Roman"/>
          <w:color w:val="auto"/>
          <w:sz w:val="24"/>
          <w:szCs w:val="24"/>
          <w:highlight w:val="none"/>
          <w:u w:val="single"/>
        </w:rPr>
        <w:t xml:space="preserve"> </w:t>
      </w:r>
      <w:r>
        <w:rPr>
          <w:rFonts w:hint="default" w:ascii="Times New Roman" w:hAnsi="Times New Roman" w:eastAsia="仿宋_GB2312" w:cs="Times New Roman"/>
          <w:color w:val="auto"/>
          <w:sz w:val="24"/>
          <w:szCs w:val="24"/>
          <w:highlight w:val="none"/>
          <w:u w:val="single"/>
          <w:lang w:val="en-US" w:eastAsia="zh-CN"/>
        </w:rPr>
        <w:t xml:space="preserve"> </w:t>
      </w:r>
      <w:r>
        <w:rPr>
          <w:rFonts w:hint="default" w:ascii="Times New Roman" w:hAnsi="Times New Roman" w:eastAsia="仿宋_GB2312" w:cs="Times New Roman"/>
          <w:color w:val="auto"/>
          <w:sz w:val="24"/>
          <w:szCs w:val="24"/>
          <w:highlight w:val="none"/>
          <w:u w:val="single"/>
        </w:rPr>
        <w:t xml:space="preserve">  </w:t>
      </w:r>
      <w:r>
        <w:rPr>
          <w:rFonts w:hint="default" w:ascii="Times New Roman" w:hAnsi="Times New Roman" w:eastAsia="仿宋_GB2312" w:cs="Times New Roman"/>
          <w:color w:val="auto"/>
          <w:sz w:val="24"/>
          <w:szCs w:val="24"/>
          <w:highlight w:val="none"/>
        </w:rPr>
        <w:t>份，</w:t>
      </w:r>
      <w:r>
        <w:rPr>
          <w:rFonts w:hint="default" w:ascii="Times New Roman" w:hAnsi="Times New Roman" w:eastAsia="仿宋_GB2312" w:cs="Times New Roman"/>
          <w:color w:val="auto"/>
          <w:sz w:val="24"/>
          <w:szCs w:val="24"/>
          <w:highlight w:val="none"/>
          <w:lang w:eastAsia="zh-CN"/>
        </w:rPr>
        <w:t>乙方</w:t>
      </w:r>
      <w:r>
        <w:rPr>
          <w:rFonts w:hint="default" w:ascii="Times New Roman" w:hAnsi="Times New Roman" w:eastAsia="仿宋_GB2312" w:cs="Times New Roman"/>
          <w:color w:val="auto"/>
          <w:sz w:val="24"/>
          <w:szCs w:val="24"/>
          <w:highlight w:val="none"/>
        </w:rPr>
        <w:t>执</w:t>
      </w:r>
      <w:r>
        <w:rPr>
          <w:rFonts w:hint="default" w:ascii="Times New Roman" w:hAnsi="Times New Roman" w:eastAsia="仿宋_GB2312" w:cs="Times New Roman"/>
          <w:color w:val="auto"/>
          <w:sz w:val="24"/>
          <w:szCs w:val="24"/>
          <w:highlight w:val="none"/>
          <w:u w:val="single"/>
        </w:rPr>
        <w:t xml:space="preserve">  </w:t>
      </w:r>
      <w:r>
        <w:rPr>
          <w:rFonts w:hint="default" w:ascii="Times New Roman" w:hAnsi="Times New Roman" w:eastAsia="仿宋_GB2312" w:cs="Times New Roman"/>
          <w:color w:val="auto"/>
          <w:sz w:val="24"/>
          <w:szCs w:val="24"/>
          <w:highlight w:val="none"/>
          <w:u w:val="single"/>
          <w:lang w:val="en-US" w:eastAsia="zh-CN"/>
        </w:rPr>
        <w:t xml:space="preserve"> </w:t>
      </w:r>
      <w:r>
        <w:rPr>
          <w:rFonts w:hint="default" w:ascii="Times New Roman" w:hAnsi="Times New Roman" w:eastAsia="仿宋_GB2312" w:cs="Times New Roman"/>
          <w:color w:val="auto"/>
          <w:sz w:val="24"/>
          <w:szCs w:val="24"/>
          <w:highlight w:val="none"/>
          <w:u w:val="single"/>
        </w:rPr>
        <w:t xml:space="preserve"> </w:t>
      </w:r>
      <w:r>
        <w:rPr>
          <w:rFonts w:hint="default" w:ascii="Times New Roman" w:hAnsi="Times New Roman" w:eastAsia="仿宋_GB2312" w:cs="Times New Roman"/>
          <w:color w:val="auto"/>
          <w:sz w:val="24"/>
          <w:szCs w:val="24"/>
          <w:highlight w:val="none"/>
        </w:rPr>
        <w:t>份，均具有同等法律效力。</w:t>
      </w:r>
    </w:p>
    <w:p w14:paraId="28D8E0CC">
      <w:pPr>
        <w:adjustRightInd w:val="0"/>
        <w:snapToGrid w:val="0"/>
        <w:spacing w:before="0" w:beforeLines="0" w:line="400" w:lineRule="exact"/>
        <w:ind w:firstLine="480" w:firstLineChars="200"/>
        <w:rPr>
          <w:rFonts w:hint="default" w:ascii="Times New Roman" w:hAnsi="Times New Roman" w:eastAsia="仿宋_GB2312" w:cs="Times New Roman"/>
          <w:color w:val="auto"/>
          <w:sz w:val="24"/>
          <w:szCs w:val="24"/>
          <w:highlight w:val="none"/>
        </w:rPr>
      </w:pPr>
      <w:r>
        <w:rPr>
          <w:rFonts w:hint="default" w:ascii="Times New Roman" w:hAnsi="Times New Roman" w:eastAsia="仿宋_GB2312" w:cs="Times New Roman"/>
          <w:color w:val="auto"/>
          <w:sz w:val="24"/>
          <w:szCs w:val="24"/>
          <w:highlight w:val="none"/>
        </w:rPr>
        <w:t>合同订立时间：</w:t>
      </w:r>
      <w:r>
        <w:rPr>
          <w:rFonts w:hint="default" w:ascii="Times New Roman" w:hAnsi="Times New Roman" w:eastAsia="仿宋_GB2312" w:cs="Times New Roman"/>
          <w:color w:val="auto"/>
          <w:sz w:val="24"/>
          <w:szCs w:val="24"/>
          <w:highlight w:val="none"/>
          <w:u w:val="single"/>
        </w:rPr>
        <w:t xml:space="preserve">         </w:t>
      </w:r>
      <w:r>
        <w:rPr>
          <w:rFonts w:hint="default" w:ascii="Times New Roman" w:hAnsi="Times New Roman" w:eastAsia="仿宋_GB2312" w:cs="Times New Roman"/>
          <w:color w:val="auto"/>
          <w:sz w:val="24"/>
          <w:szCs w:val="24"/>
          <w:highlight w:val="none"/>
        </w:rPr>
        <w:t>年</w:t>
      </w:r>
      <w:r>
        <w:rPr>
          <w:rFonts w:hint="default" w:ascii="Times New Roman" w:hAnsi="Times New Roman" w:eastAsia="仿宋_GB2312" w:cs="Times New Roman"/>
          <w:color w:val="auto"/>
          <w:sz w:val="24"/>
          <w:szCs w:val="24"/>
          <w:highlight w:val="none"/>
          <w:u w:val="single"/>
        </w:rPr>
        <w:t xml:space="preserve">      </w:t>
      </w:r>
      <w:r>
        <w:rPr>
          <w:rFonts w:hint="default" w:ascii="Times New Roman" w:hAnsi="Times New Roman" w:eastAsia="仿宋_GB2312" w:cs="Times New Roman"/>
          <w:color w:val="auto"/>
          <w:sz w:val="24"/>
          <w:szCs w:val="24"/>
          <w:highlight w:val="none"/>
        </w:rPr>
        <w:t>月</w:t>
      </w:r>
      <w:r>
        <w:rPr>
          <w:rFonts w:hint="default" w:ascii="Times New Roman" w:hAnsi="Times New Roman" w:eastAsia="仿宋_GB2312" w:cs="Times New Roman"/>
          <w:color w:val="auto"/>
          <w:sz w:val="24"/>
          <w:szCs w:val="24"/>
          <w:highlight w:val="none"/>
          <w:u w:val="single"/>
        </w:rPr>
        <w:t xml:space="preserve">      </w:t>
      </w:r>
      <w:r>
        <w:rPr>
          <w:rFonts w:hint="default" w:ascii="Times New Roman" w:hAnsi="Times New Roman" w:eastAsia="仿宋_GB2312" w:cs="Times New Roman"/>
          <w:color w:val="auto"/>
          <w:sz w:val="24"/>
          <w:szCs w:val="24"/>
          <w:highlight w:val="none"/>
        </w:rPr>
        <w:t>日</w:t>
      </w:r>
    </w:p>
    <w:p w14:paraId="26F1C80B">
      <w:pPr>
        <w:adjustRightInd w:val="0"/>
        <w:snapToGrid w:val="0"/>
        <w:spacing w:before="0" w:beforeLines="0" w:line="400" w:lineRule="exact"/>
        <w:ind w:firstLine="480" w:firstLineChars="200"/>
        <w:rPr>
          <w:rFonts w:hint="default" w:ascii="Times New Roman" w:hAnsi="Times New Roman" w:eastAsia="仿宋_GB2312" w:cs="Times New Roman"/>
          <w:color w:val="auto"/>
          <w:sz w:val="24"/>
          <w:szCs w:val="24"/>
          <w:highlight w:val="none"/>
        </w:rPr>
      </w:pPr>
      <w:r>
        <w:rPr>
          <w:rFonts w:hint="default" w:ascii="Times New Roman" w:hAnsi="Times New Roman" w:eastAsia="仿宋_GB2312" w:cs="Times New Roman"/>
          <w:color w:val="auto"/>
          <w:sz w:val="24"/>
          <w:szCs w:val="24"/>
          <w:highlight w:val="none"/>
        </w:rPr>
        <w:t>合同订立地点：</w:t>
      </w:r>
      <w:r>
        <w:rPr>
          <w:rFonts w:hint="default" w:ascii="Times New Roman" w:hAnsi="Times New Roman" w:eastAsia="仿宋_GB2312" w:cs="Times New Roman"/>
          <w:color w:val="auto"/>
          <w:sz w:val="24"/>
          <w:szCs w:val="24"/>
          <w:highlight w:val="none"/>
          <w:u w:val="single"/>
        </w:rPr>
        <w:t xml:space="preserve">                           </w:t>
      </w:r>
    </w:p>
    <w:p w14:paraId="36F47BC3">
      <w:pPr>
        <w:adjustRightInd w:val="0"/>
        <w:snapToGrid w:val="0"/>
        <w:spacing w:before="0" w:beforeLines="0" w:line="400" w:lineRule="exact"/>
        <w:ind w:firstLine="480" w:firstLineChars="200"/>
        <w:rPr>
          <w:rFonts w:hint="default" w:ascii="Times New Roman" w:hAnsi="Times New Roman" w:eastAsia="仿宋_GB2312" w:cs="Times New Roman"/>
          <w:color w:val="auto"/>
          <w:sz w:val="24"/>
          <w:szCs w:val="24"/>
          <w:highlight w:val="none"/>
        </w:rPr>
      </w:pPr>
      <w:r>
        <w:rPr>
          <w:rFonts w:hint="default" w:ascii="Times New Roman" w:hAnsi="Times New Roman" w:eastAsia="仿宋_GB2312" w:cs="Times New Roman"/>
          <w:color w:val="auto"/>
          <w:sz w:val="24"/>
          <w:szCs w:val="24"/>
          <w:highlight w:val="none"/>
        </w:rPr>
        <w:t>附件：具体标</w:t>
      </w:r>
      <w:r>
        <w:rPr>
          <w:rFonts w:hint="default" w:ascii="Times New Roman" w:hAnsi="Times New Roman" w:eastAsia="仿宋_GB2312" w:cs="Times New Roman"/>
          <w:color w:val="auto"/>
          <w:sz w:val="24"/>
          <w:szCs w:val="24"/>
          <w:highlight w:val="none"/>
          <w:lang w:eastAsia="zh-CN"/>
        </w:rPr>
        <w:t>的及其</w:t>
      </w:r>
      <w:r>
        <w:rPr>
          <w:rFonts w:hint="default" w:ascii="Times New Roman" w:hAnsi="Times New Roman" w:eastAsia="仿宋_GB2312" w:cs="Times New Roman"/>
          <w:color w:val="auto"/>
          <w:sz w:val="24"/>
          <w:szCs w:val="24"/>
          <w:highlight w:val="none"/>
          <w:u w:val="none"/>
          <w:lang w:val="en-US" w:eastAsia="zh-CN"/>
        </w:rPr>
        <w:t>技术要求和商务要求</w:t>
      </w:r>
      <w:r>
        <w:rPr>
          <w:rFonts w:hint="default" w:ascii="Times New Roman" w:hAnsi="Times New Roman" w:eastAsia="仿宋_GB2312" w:cs="Times New Roman"/>
          <w:color w:val="auto"/>
          <w:sz w:val="24"/>
          <w:szCs w:val="24"/>
          <w:highlight w:val="none"/>
        </w:rPr>
        <w:t>、联合协议、分包</w:t>
      </w:r>
      <w:r>
        <w:rPr>
          <w:rFonts w:hint="default" w:ascii="Times New Roman" w:hAnsi="Times New Roman" w:eastAsia="仿宋_GB2312" w:cs="Times New Roman"/>
          <w:color w:val="auto"/>
          <w:sz w:val="24"/>
          <w:szCs w:val="24"/>
          <w:highlight w:val="none"/>
          <w:lang w:eastAsia="zh-CN"/>
        </w:rPr>
        <w:t>意向</w:t>
      </w:r>
      <w:r>
        <w:rPr>
          <w:rFonts w:hint="default" w:ascii="Times New Roman" w:hAnsi="Times New Roman" w:eastAsia="仿宋_GB2312" w:cs="Times New Roman"/>
          <w:color w:val="auto"/>
          <w:sz w:val="24"/>
          <w:szCs w:val="24"/>
          <w:highlight w:val="none"/>
        </w:rPr>
        <w:t>协议等。</w:t>
      </w:r>
    </w:p>
    <w:p w14:paraId="73C81CD5">
      <w:pPr>
        <w:pStyle w:val="94"/>
        <w:spacing w:beforeLines="0" w:line="400" w:lineRule="exact"/>
        <w:rPr>
          <w:rFonts w:hint="default" w:ascii="Times New Roman" w:hAnsi="Times New Roman" w:eastAsia="仿宋_GB2312" w:cs="Times New Roman"/>
          <w:color w:val="auto"/>
          <w:sz w:val="24"/>
          <w:szCs w:val="24"/>
          <w:highlight w:val="none"/>
        </w:rPr>
      </w:pPr>
    </w:p>
    <w:p w14:paraId="157D9560">
      <w:pPr>
        <w:pStyle w:val="2"/>
        <w:tabs>
          <w:tab w:val="left" w:pos="0"/>
        </w:tabs>
        <w:spacing w:beforeLines="0" w:line="400" w:lineRule="exact"/>
        <w:rPr>
          <w:rFonts w:hint="default" w:ascii="Times New Roman" w:hAnsi="Times New Roman" w:eastAsia="仿宋_GB2312" w:cs="Times New Roman"/>
          <w:color w:val="auto"/>
          <w:sz w:val="24"/>
          <w:szCs w:val="24"/>
          <w:highlight w:val="none"/>
          <w:lang w:val="en"/>
        </w:rPr>
      </w:pPr>
      <w:r>
        <w:rPr>
          <w:rFonts w:hint="default" w:ascii="Times New Roman" w:hAnsi="Times New Roman" w:eastAsia="仿宋_GB2312" w:cs="Times New Roman"/>
          <w:color w:val="auto"/>
          <w:sz w:val="24"/>
          <w:szCs w:val="24"/>
          <w:highlight w:val="none"/>
          <w:lang w:val="en"/>
        </w:rPr>
        <w:t xml:space="preserve">  </w:t>
      </w:r>
    </w:p>
    <w:p w14:paraId="0F7C6439">
      <w:pPr>
        <w:rPr>
          <w:rFonts w:hint="default" w:ascii="Times New Roman" w:hAnsi="Times New Roman" w:eastAsia="仿宋_GB2312" w:cs="Times New Roman"/>
          <w:color w:val="auto"/>
          <w:sz w:val="24"/>
          <w:szCs w:val="24"/>
          <w:highlight w:val="none"/>
          <w:lang w:val="en"/>
        </w:rPr>
      </w:pPr>
    </w:p>
    <w:p w14:paraId="2255F68F">
      <w:pPr>
        <w:rPr>
          <w:rFonts w:hint="default" w:ascii="Times New Roman" w:hAnsi="Times New Roman" w:eastAsia="仿宋_GB2312" w:cs="Times New Roman"/>
          <w:color w:val="auto"/>
          <w:sz w:val="24"/>
          <w:szCs w:val="24"/>
          <w:highlight w:val="none"/>
          <w:lang w:val="en"/>
        </w:rPr>
      </w:pPr>
    </w:p>
    <w:p w14:paraId="38872122">
      <w:pPr>
        <w:rPr>
          <w:rFonts w:hint="default" w:ascii="Times New Roman" w:hAnsi="Times New Roman" w:eastAsia="仿宋_GB2312" w:cs="Times New Roman"/>
          <w:color w:val="auto"/>
          <w:sz w:val="24"/>
          <w:szCs w:val="24"/>
          <w:highlight w:val="none"/>
          <w:lang w:val="en"/>
        </w:rPr>
      </w:pPr>
    </w:p>
    <w:p w14:paraId="7C50ED63">
      <w:pPr>
        <w:rPr>
          <w:rFonts w:hint="default" w:ascii="Times New Roman" w:hAnsi="Times New Roman" w:eastAsia="仿宋_GB2312" w:cs="Times New Roman"/>
          <w:color w:val="auto"/>
          <w:sz w:val="24"/>
          <w:szCs w:val="24"/>
          <w:highlight w:val="none"/>
          <w:lang w:val="en"/>
        </w:rPr>
      </w:pPr>
    </w:p>
    <w:p w14:paraId="06C78A66">
      <w:pPr>
        <w:rPr>
          <w:rFonts w:hint="default" w:ascii="Times New Roman" w:hAnsi="Times New Roman" w:eastAsia="仿宋_GB2312" w:cs="Times New Roman"/>
          <w:color w:val="auto"/>
          <w:sz w:val="24"/>
          <w:szCs w:val="24"/>
          <w:highlight w:val="none"/>
          <w:lang w:val="en"/>
        </w:rPr>
      </w:pPr>
    </w:p>
    <w:p w14:paraId="37EA47AC">
      <w:pPr>
        <w:rPr>
          <w:rFonts w:hint="default" w:ascii="Times New Roman" w:hAnsi="Times New Roman" w:eastAsia="仿宋_GB2312" w:cs="Times New Roman"/>
          <w:color w:val="auto"/>
          <w:sz w:val="24"/>
          <w:szCs w:val="24"/>
          <w:highlight w:val="none"/>
          <w:lang w:val="en"/>
        </w:rPr>
      </w:pPr>
    </w:p>
    <w:p w14:paraId="07DF6E8C">
      <w:pPr>
        <w:rPr>
          <w:rFonts w:hint="default" w:ascii="Times New Roman" w:hAnsi="Times New Roman" w:eastAsia="仿宋_GB2312" w:cs="Times New Roman"/>
          <w:color w:val="auto"/>
          <w:sz w:val="24"/>
          <w:szCs w:val="24"/>
          <w:highlight w:val="none"/>
          <w:lang w:val="en"/>
        </w:rPr>
      </w:pPr>
    </w:p>
    <w:p w14:paraId="2E1EDE0A">
      <w:pPr>
        <w:pStyle w:val="9"/>
        <w:rPr>
          <w:rFonts w:hint="default"/>
          <w:sz w:val="24"/>
          <w:szCs w:val="24"/>
          <w:highlight w:val="none"/>
          <w:lang w:val="en"/>
        </w:rPr>
      </w:pPr>
    </w:p>
    <w:p w14:paraId="08DBC893">
      <w:pPr>
        <w:rPr>
          <w:rFonts w:hint="default" w:ascii="Times New Roman" w:hAnsi="Times New Roman" w:eastAsia="仿宋_GB2312" w:cs="Times New Roman"/>
          <w:color w:val="auto"/>
          <w:sz w:val="24"/>
          <w:szCs w:val="24"/>
          <w:highlight w:val="none"/>
          <w:lang w:val="en"/>
        </w:rPr>
      </w:pPr>
    </w:p>
    <w:p w14:paraId="56EDB649">
      <w:pPr>
        <w:pStyle w:val="9"/>
        <w:rPr>
          <w:rFonts w:hint="default" w:ascii="Times New Roman" w:hAnsi="Times New Roman" w:eastAsia="仿宋_GB2312" w:cs="Times New Roman"/>
          <w:color w:val="auto"/>
          <w:sz w:val="24"/>
          <w:szCs w:val="24"/>
          <w:highlight w:val="none"/>
          <w:lang w:val="en"/>
        </w:rPr>
      </w:pPr>
    </w:p>
    <w:p w14:paraId="39620135">
      <w:pPr>
        <w:pStyle w:val="9"/>
        <w:rPr>
          <w:rFonts w:hint="default" w:ascii="Times New Roman" w:hAnsi="Times New Roman" w:eastAsia="仿宋_GB2312" w:cs="Times New Roman"/>
          <w:color w:val="auto"/>
          <w:sz w:val="24"/>
          <w:szCs w:val="24"/>
          <w:highlight w:val="none"/>
          <w:lang w:val="en"/>
        </w:rPr>
      </w:pPr>
    </w:p>
    <w:p w14:paraId="3D7CC80D">
      <w:pPr>
        <w:rPr>
          <w:rFonts w:hint="default" w:ascii="Times New Roman" w:hAnsi="Times New Roman" w:eastAsia="仿宋_GB2312" w:cs="Times New Roman"/>
          <w:color w:val="auto"/>
          <w:sz w:val="24"/>
          <w:szCs w:val="24"/>
          <w:highlight w:val="none"/>
          <w:lang w:val="en"/>
        </w:rPr>
      </w:pPr>
    </w:p>
    <w:p w14:paraId="66B19346">
      <w:pPr>
        <w:pStyle w:val="9"/>
        <w:rPr>
          <w:rFonts w:hint="default"/>
          <w:sz w:val="24"/>
          <w:szCs w:val="24"/>
          <w:lang w:val="en"/>
        </w:rPr>
      </w:pPr>
    </w:p>
    <w:p w14:paraId="21DE4325">
      <w:pPr>
        <w:pStyle w:val="94"/>
        <w:rPr>
          <w:rFonts w:hint="default" w:ascii="Times New Roman" w:hAnsi="Times New Roman" w:eastAsia="仿宋_GB2312" w:cs="Times New Roman"/>
          <w:color w:val="auto"/>
          <w:sz w:val="24"/>
          <w:szCs w:val="24"/>
          <w:highlight w:val="none"/>
        </w:rPr>
      </w:pPr>
    </w:p>
    <w:tbl>
      <w:tblPr>
        <w:tblStyle w:val="38"/>
        <w:tblW w:w="0" w:type="auto"/>
        <w:tblInd w:w="0" w:type="dxa"/>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108" w:type="dxa"/>
          <w:bottom w:w="0" w:type="dxa"/>
          <w:right w:w="108" w:type="dxa"/>
        </w:tblCellMar>
      </w:tblPr>
      <w:tblGrid>
        <w:gridCol w:w="2036"/>
        <w:gridCol w:w="2596"/>
        <w:gridCol w:w="2130"/>
        <w:gridCol w:w="2278"/>
      </w:tblGrid>
      <w:tr w14:paraId="5FC95657">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90" w:hRule="atLeast"/>
        </w:trPr>
        <w:tc>
          <w:tcPr>
            <w:tcW w:w="4632" w:type="dxa"/>
            <w:gridSpan w:val="2"/>
            <w:tcBorders>
              <w:bottom w:val="single" w:color="auto" w:sz="2" w:space="0"/>
              <w:right w:val="single" w:color="auto" w:sz="2" w:space="0"/>
            </w:tcBorders>
            <w:noWrap w:val="0"/>
            <w:vAlign w:val="center"/>
          </w:tcPr>
          <w:p w14:paraId="6F4482EB">
            <w:pPr>
              <w:keepNext w:val="0"/>
              <w:keepLines w:val="0"/>
              <w:suppressLineNumbers w:val="0"/>
              <w:adjustRightInd w:val="0"/>
              <w:snapToGrid w:val="0"/>
              <w:spacing w:before="0" w:beforeAutospacing="0" w:after="0" w:afterAutospacing="0" w:line="300" w:lineRule="exact"/>
              <w:ind w:left="0" w:right="0"/>
              <w:jc w:val="center"/>
              <w:rPr>
                <w:rFonts w:hint="default" w:ascii="Times New Roman" w:hAnsi="Times New Roman" w:eastAsia="仿宋_GB2312" w:cs="Times New Roman"/>
                <w:color w:val="auto"/>
                <w:sz w:val="24"/>
                <w:szCs w:val="24"/>
                <w:highlight w:val="none"/>
              </w:rPr>
            </w:pPr>
            <w:r>
              <w:rPr>
                <w:rFonts w:hint="default" w:ascii="Times New Roman" w:hAnsi="Times New Roman" w:eastAsia="仿宋_GB2312" w:cs="Times New Roman"/>
                <w:color w:val="auto"/>
                <w:sz w:val="24"/>
                <w:szCs w:val="24"/>
                <w:highlight w:val="none"/>
              </w:rPr>
              <w:t>甲方（采购人</w:t>
            </w:r>
            <w:r>
              <w:rPr>
                <w:rFonts w:hint="default" w:ascii="Times New Roman" w:hAnsi="Times New Roman" w:eastAsia="仿宋_GB2312" w:cs="Times New Roman"/>
                <w:color w:val="auto"/>
                <w:sz w:val="24"/>
                <w:szCs w:val="24"/>
                <w:highlight w:val="none"/>
                <w:lang w:eastAsia="zh-CN"/>
              </w:rPr>
              <w:t>、受采购人委托签订合同的单位</w:t>
            </w:r>
            <w:r>
              <w:rPr>
                <w:rFonts w:hint="default" w:ascii="Times New Roman" w:hAnsi="Times New Roman" w:eastAsia="仿宋_GB2312" w:cs="Times New Roman"/>
                <w:color w:val="auto"/>
                <w:sz w:val="24"/>
                <w:szCs w:val="24"/>
                <w:highlight w:val="none"/>
              </w:rPr>
              <w:t>或采购文件约定的合同甲方）</w:t>
            </w:r>
          </w:p>
        </w:tc>
        <w:tc>
          <w:tcPr>
            <w:tcW w:w="4408" w:type="dxa"/>
            <w:gridSpan w:val="2"/>
            <w:tcBorders>
              <w:left w:val="single" w:color="auto" w:sz="2" w:space="0"/>
              <w:bottom w:val="single" w:color="auto" w:sz="2" w:space="0"/>
            </w:tcBorders>
            <w:noWrap w:val="0"/>
            <w:vAlign w:val="center"/>
          </w:tcPr>
          <w:p w14:paraId="26D02218">
            <w:pPr>
              <w:keepNext w:val="0"/>
              <w:keepLines w:val="0"/>
              <w:suppressLineNumbers w:val="0"/>
              <w:adjustRightInd w:val="0"/>
              <w:snapToGrid w:val="0"/>
              <w:spacing w:before="0" w:beforeAutospacing="0" w:after="0" w:afterAutospacing="0" w:line="300" w:lineRule="exact"/>
              <w:ind w:left="0" w:right="0"/>
              <w:jc w:val="center"/>
              <w:rPr>
                <w:rFonts w:hint="default" w:ascii="Times New Roman" w:hAnsi="Times New Roman" w:eastAsia="仿宋_GB2312" w:cs="Times New Roman"/>
                <w:color w:val="auto"/>
                <w:sz w:val="24"/>
                <w:szCs w:val="24"/>
                <w:highlight w:val="none"/>
              </w:rPr>
            </w:pPr>
            <w:r>
              <w:rPr>
                <w:rFonts w:hint="default" w:ascii="Times New Roman" w:hAnsi="Times New Roman" w:eastAsia="仿宋_GB2312" w:cs="Times New Roman"/>
                <w:color w:val="auto"/>
                <w:sz w:val="24"/>
                <w:szCs w:val="24"/>
                <w:highlight w:val="none"/>
              </w:rPr>
              <w:t>乙方（供应商）</w:t>
            </w:r>
          </w:p>
        </w:tc>
      </w:tr>
      <w:tr w14:paraId="1BDEF649">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917" w:hRule="atLeast"/>
        </w:trPr>
        <w:tc>
          <w:tcPr>
            <w:tcW w:w="2036" w:type="dxa"/>
            <w:tcBorders>
              <w:top w:val="single" w:color="auto" w:sz="2" w:space="0"/>
              <w:bottom w:val="single" w:color="auto" w:sz="2" w:space="0"/>
              <w:right w:val="single" w:color="auto" w:sz="2" w:space="0"/>
            </w:tcBorders>
            <w:noWrap w:val="0"/>
            <w:vAlign w:val="center"/>
          </w:tcPr>
          <w:p w14:paraId="23E02BF3">
            <w:pPr>
              <w:keepNext w:val="0"/>
              <w:keepLines w:val="0"/>
              <w:suppressLineNumbers w:val="0"/>
              <w:adjustRightInd w:val="0"/>
              <w:snapToGrid w:val="0"/>
              <w:spacing w:before="0" w:beforeAutospacing="0" w:after="0" w:afterAutospacing="0" w:line="300" w:lineRule="exact"/>
              <w:ind w:left="0" w:right="0"/>
              <w:jc w:val="center"/>
              <w:rPr>
                <w:rFonts w:hint="default" w:ascii="Times New Roman" w:hAnsi="Times New Roman" w:eastAsia="仿宋_GB2312" w:cs="Times New Roman"/>
                <w:color w:val="auto"/>
                <w:sz w:val="24"/>
                <w:szCs w:val="24"/>
                <w:highlight w:val="none"/>
              </w:rPr>
            </w:pPr>
            <w:r>
              <w:rPr>
                <w:rFonts w:hint="default" w:ascii="Times New Roman" w:hAnsi="Times New Roman" w:eastAsia="仿宋_GB2312" w:cs="Times New Roman"/>
                <w:color w:val="auto"/>
                <w:sz w:val="24"/>
                <w:szCs w:val="24"/>
                <w:highlight w:val="none"/>
              </w:rPr>
              <w:t>单位名称（公章</w:t>
            </w:r>
            <w:r>
              <w:rPr>
                <w:rFonts w:hint="default" w:ascii="Times New Roman" w:hAnsi="Times New Roman" w:eastAsia="仿宋_GB2312" w:cs="Times New Roman"/>
                <w:color w:val="auto"/>
                <w:sz w:val="24"/>
                <w:szCs w:val="24"/>
                <w:highlight w:val="none"/>
                <w:lang w:eastAsia="zh-CN"/>
              </w:rPr>
              <w:t>或合同章</w:t>
            </w:r>
            <w:r>
              <w:rPr>
                <w:rFonts w:hint="default" w:ascii="Times New Roman" w:hAnsi="Times New Roman" w:eastAsia="仿宋_GB2312" w:cs="Times New Roman"/>
                <w:color w:val="auto"/>
                <w:sz w:val="24"/>
                <w:szCs w:val="24"/>
                <w:highlight w:val="none"/>
              </w:rPr>
              <w:t>）</w:t>
            </w:r>
          </w:p>
        </w:tc>
        <w:tc>
          <w:tcPr>
            <w:tcW w:w="2596" w:type="dxa"/>
            <w:tcBorders>
              <w:top w:val="single" w:color="auto" w:sz="2" w:space="0"/>
              <w:left w:val="single" w:color="auto" w:sz="2" w:space="0"/>
              <w:bottom w:val="single" w:color="auto" w:sz="2" w:space="0"/>
              <w:right w:val="single" w:color="auto" w:sz="2" w:space="0"/>
            </w:tcBorders>
            <w:noWrap w:val="0"/>
            <w:vAlign w:val="center"/>
          </w:tcPr>
          <w:p w14:paraId="2B74163E">
            <w:pPr>
              <w:keepNext w:val="0"/>
              <w:keepLines w:val="0"/>
              <w:suppressLineNumbers w:val="0"/>
              <w:adjustRightInd w:val="0"/>
              <w:snapToGrid w:val="0"/>
              <w:spacing w:before="0" w:beforeAutospacing="0" w:after="0" w:afterAutospacing="0" w:line="300" w:lineRule="exact"/>
              <w:ind w:left="0" w:right="0"/>
              <w:jc w:val="center"/>
              <w:rPr>
                <w:rFonts w:hint="default" w:ascii="Times New Roman" w:hAnsi="Times New Roman" w:eastAsia="仿宋_GB2312" w:cs="Times New Roman"/>
                <w:color w:val="auto"/>
                <w:sz w:val="24"/>
                <w:szCs w:val="24"/>
                <w:highlight w:val="none"/>
              </w:rPr>
            </w:pPr>
          </w:p>
        </w:tc>
        <w:tc>
          <w:tcPr>
            <w:tcW w:w="2130" w:type="dxa"/>
            <w:tcBorders>
              <w:top w:val="single" w:color="auto" w:sz="2" w:space="0"/>
              <w:left w:val="single" w:color="auto" w:sz="2" w:space="0"/>
              <w:bottom w:val="single" w:color="auto" w:sz="2" w:space="0"/>
              <w:right w:val="single" w:color="auto" w:sz="2" w:space="0"/>
            </w:tcBorders>
            <w:noWrap w:val="0"/>
            <w:vAlign w:val="center"/>
          </w:tcPr>
          <w:p w14:paraId="618ECFC4">
            <w:pPr>
              <w:keepNext w:val="0"/>
              <w:keepLines w:val="0"/>
              <w:suppressLineNumbers w:val="0"/>
              <w:adjustRightInd w:val="0"/>
              <w:snapToGrid w:val="0"/>
              <w:spacing w:before="0" w:beforeAutospacing="0" w:after="0" w:afterAutospacing="0" w:line="300" w:lineRule="exact"/>
              <w:ind w:left="0" w:right="0"/>
              <w:jc w:val="center"/>
              <w:rPr>
                <w:rFonts w:hint="default" w:ascii="Times New Roman" w:hAnsi="Times New Roman" w:eastAsia="仿宋_GB2312" w:cs="Times New Roman"/>
                <w:color w:val="auto"/>
                <w:sz w:val="24"/>
                <w:szCs w:val="24"/>
                <w:highlight w:val="none"/>
              </w:rPr>
            </w:pPr>
            <w:r>
              <w:rPr>
                <w:rFonts w:hint="default" w:ascii="Times New Roman" w:hAnsi="Times New Roman" w:eastAsia="仿宋_GB2312" w:cs="Times New Roman"/>
                <w:color w:val="auto"/>
                <w:sz w:val="24"/>
                <w:szCs w:val="24"/>
                <w:highlight w:val="none"/>
              </w:rPr>
              <w:t>单位名称（公章</w:t>
            </w:r>
            <w:r>
              <w:rPr>
                <w:rFonts w:hint="default" w:ascii="Times New Roman" w:hAnsi="Times New Roman" w:eastAsia="仿宋_GB2312" w:cs="Times New Roman"/>
                <w:color w:val="auto"/>
                <w:sz w:val="24"/>
                <w:szCs w:val="24"/>
                <w:highlight w:val="none"/>
                <w:lang w:eastAsia="zh-CN"/>
              </w:rPr>
              <w:t>或合同章</w:t>
            </w:r>
            <w:r>
              <w:rPr>
                <w:rFonts w:hint="default" w:ascii="Times New Roman" w:hAnsi="Times New Roman" w:eastAsia="仿宋_GB2312" w:cs="Times New Roman"/>
                <w:color w:val="auto"/>
                <w:sz w:val="24"/>
                <w:szCs w:val="24"/>
                <w:highlight w:val="none"/>
              </w:rPr>
              <w:t>）</w:t>
            </w:r>
          </w:p>
        </w:tc>
        <w:tc>
          <w:tcPr>
            <w:tcW w:w="2278" w:type="dxa"/>
            <w:tcBorders>
              <w:top w:val="single" w:color="auto" w:sz="2" w:space="0"/>
              <w:left w:val="single" w:color="auto" w:sz="2" w:space="0"/>
              <w:bottom w:val="single" w:color="auto" w:sz="2" w:space="0"/>
            </w:tcBorders>
            <w:noWrap w:val="0"/>
            <w:vAlign w:val="center"/>
          </w:tcPr>
          <w:p w14:paraId="5F943472">
            <w:pPr>
              <w:keepNext w:val="0"/>
              <w:keepLines w:val="0"/>
              <w:suppressLineNumbers w:val="0"/>
              <w:adjustRightInd w:val="0"/>
              <w:snapToGrid w:val="0"/>
              <w:spacing w:before="0" w:beforeAutospacing="0" w:after="0" w:afterAutospacing="0" w:line="300" w:lineRule="exact"/>
              <w:ind w:left="0" w:right="0"/>
              <w:jc w:val="center"/>
              <w:rPr>
                <w:rFonts w:hint="default" w:ascii="Times New Roman" w:hAnsi="Times New Roman" w:eastAsia="仿宋_GB2312" w:cs="Times New Roman"/>
                <w:color w:val="auto"/>
                <w:spacing w:val="20"/>
                <w:sz w:val="24"/>
                <w:szCs w:val="24"/>
                <w:highlight w:val="none"/>
              </w:rPr>
            </w:pPr>
          </w:p>
        </w:tc>
      </w:tr>
      <w:tr w14:paraId="20934CF6">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1171" w:hRule="atLeast"/>
        </w:trPr>
        <w:tc>
          <w:tcPr>
            <w:tcW w:w="2036" w:type="dxa"/>
            <w:vMerge w:val="restart"/>
            <w:tcBorders>
              <w:top w:val="single" w:color="auto" w:sz="2" w:space="0"/>
              <w:right w:val="single" w:color="auto" w:sz="2" w:space="0"/>
            </w:tcBorders>
            <w:noWrap w:val="0"/>
            <w:vAlign w:val="center"/>
          </w:tcPr>
          <w:p w14:paraId="7CDDED8B">
            <w:pPr>
              <w:keepNext w:val="0"/>
              <w:keepLines w:val="0"/>
              <w:suppressLineNumbers w:val="0"/>
              <w:adjustRightInd w:val="0"/>
              <w:snapToGrid w:val="0"/>
              <w:spacing w:before="0" w:beforeAutospacing="0" w:after="0" w:afterAutospacing="0" w:line="300" w:lineRule="exact"/>
              <w:ind w:left="0" w:right="0"/>
              <w:jc w:val="center"/>
              <w:rPr>
                <w:rFonts w:hint="default" w:ascii="Times New Roman" w:hAnsi="Times New Roman" w:eastAsia="仿宋_GB2312" w:cs="Times New Roman"/>
                <w:color w:val="auto"/>
                <w:sz w:val="24"/>
                <w:szCs w:val="24"/>
                <w:highlight w:val="none"/>
              </w:rPr>
            </w:pPr>
            <w:r>
              <w:rPr>
                <w:rFonts w:hint="default" w:ascii="Times New Roman" w:hAnsi="Times New Roman" w:eastAsia="仿宋_GB2312" w:cs="Times New Roman"/>
                <w:color w:val="auto"/>
                <w:sz w:val="24"/>
                <w:szCs w:val="24"/>
                <w:highlight w:val="none"/>
              </w:rPr>
              <w:t>法定代表人</w:t>
            </w:r>
          </w:p>
          <w:p w14:paraId="5C835877">
            <w:pPr>
              <w:keepNext w:val="0"/>
              <w:keepLines w:val="0"/>
              <w:suppressLineNumbers w:val="0"/>
              <w:adjustRightInd w:val="0"/>
              <w:snapToGrid w:val="0"/>
              <w:spacing w:before="0" w:beforeAutospacing="0" w:after="0" w:afterAutospacing="0" w:line="300" w:lineRule="exact"/>
              <w:ind w:left="0" w:right="0" w:firstLine="115" w:firstLineChars="48"/>
              <w:jc w:val="center"/>
              <w:rPr>
                <w:rFonts w:hint="default" w:ascii="Times New Roman" w:hAnsi="Times New Roman" w:eastAsia="仿宋_GB2312" w:cs="Times New Roman"/>
                <w:color w:val="auto"/>
                <w:sz w:val="24"/>
                <w:szCs w:val="24"/>
                <w:highlight w:val="none"/>
              </w:rPr>
            </w:pPr>
            <w:r>
              <w:rPr>
                <w:rFonts w:hint="default" w:ascii="Times New Roman" w:hAnsi="Times New Roman" w:eastAsia="仿宋_GB2312" w:cs="Times New Roman"/>
                <w:color w:val="auto"/>
                <w:sz w:val="24"/>
                <w:szCs w:val="24"/>
                <w:highlight w:val="none"/>
              </w:rPr>
              <w:t>或其委托代理人（签章）</w:t>
            </w:r>
          </w:p>
        </w:tc>
        <w:tc>
          <w:tcPr>
            <w:tcW w:w="2596" w:type="dxa"/>
            <w:vMerge w:val="restart"/>
            <w:tcBorders>
              <w:top w:val="single" w:color="auto" w:sz="2" w:space="0"/>
              <w:left w:val="single" w:color="auto" w:sz="2" w:space="0"/>
              <w:right w:val="single" w:color="auto" w:sz="2" w:space="0"/>
            </w:tcBorders>
            <w:noWrap w:val="0"/>
            <w:vAlign w:val="center"/>
          </w:tcPr>
          <w:p w14:paraId="4066017A">
            <w:pPr>
              <w:keepNext w:val="0"/>
              <w:keepLines w:val="0"/>
              <w:suppressLineNumbers w:val="0"/>
              <w:adjustRightInd w:val="0"/>
              <w:snapToGrid w:val="0"/>
              <w:spacing w:before="0" w:beforeAutospacing="0" w:after="0" w:afterAutospacing="0" w:line="300" w:lineRule="exact"/>
              <w:ind w:left="0" w:right="0"/>
              <w:jc w:val="center"/>
              <w:rPr>
                <w:rFonts w:hint="default" w:ascii="Times New Roman" w:hAnsi="Times New Roman" w:eastAsia="仿宋_GB2312" w:cs="Times New Roman"/>
                <w:color w:val="auto"/>
                <w:sz w:val="24"/>
                <w:szCs w:val="24"/>
                <w:highlight w:val="none"/>
              </w:rPr>
            </w:pPr>
          </w:p>
        </w:tc>
        <w:tc>
          <w:tcPr>
            <w:tcW w:w="2130" w:type="dxa"/>
            <w:tcBorders>
              <w:top w:val="single" w:color="auto" w:sz="2" w:space="0"/>
              <w:left w:val="single" w:color="auto" w:sz="2" w:space="0"/>
              <w:right w:val="single" w:color="auto" w:sz="2" w:space="0"/>
            </w:tcBorders>
            <w:noWrap w:val="0"/>
            <w:vAlign w:val="center"/>
          </w:tcPr>
          <w:p w14:paraId="61FA508B">
            <w:pPr>
              <w:keepNext w:val="0"/>
              <w:keepLines w:val="0"/>
              <w:suppressLineNumbers w:val="0"/>
              <w:adjustRightInd w:val="0"/>
              <w:snapToGrid w:val="0"/>
              <w:spacing w:before="0" w:beforeAutospacing="0" w:after="0" w:afterAutospacing="0" w:line="300" w:lineRule="exact"/>
              <w:ind w:left="0" w:right="0"/>
              <w:jc w:val="center"/>
              <w:rPr>
                <w:rFonts w:hint="default" w:ascii="Times New Roman" w:hAnsi="Times New Roman" w:eastAsia="仿宋_GB2312" w:cs="Times New Roman"/>
                <w:color w:val="auto"/>
                <w:sz w:val="24"/>
                <w:szCs w:val="24"/>
                <w:highlight w:val="none"/>
              </w:rPr>
            </w:pPr>
            <w:r>
              <w:rPr>
                <w:rFonts w:hint="default" w:ascii="Times New Roman" w:hAnsi="Times New Roman" w:eastAsia="仿宋_GB2312" w:cs="Times New Roman"/>
                <w:color w:val="auto"/>
                <w:sz w:val="24"/>
                <w:szCs w:val="24"/>
                <w:highlight w:val="none"/>
              </w:rPr>
              <w:t>法定代表人</w:t>
            </w:r>
          </w:p>
          <w:p w14:paraId="7BBD6C7F">
            <w:pPr>
              <w:keepNext w:val="0"/>
              <w:keepLines w:val="0"/>
              <w:suppressLineNumbers w:val="0"/>
              <w:adjustRightInd w:val="0"/>
              <w:snapToGrid w:val="0"/>
              <w:spacing w:before="0" w:beforeAutospacing="0" w:after="0" w:afterAutospacing="0" w:line="300" w:lineRule="exact"/>
              <w:ind w:left="0" w:right="0"/>
              <w:jc w:val="center"/>
              <w:rPr>
                <w:rFonts w:hint="default" w:ascii="Times New Roman" w:hAnsi="Times New Roman" w:eastAsia="仿宋_GB2312" w:cs="Times New Roman"/>
                <w:color w:val="auto"/>
                <w:sz w:val="24"/>
                <w:szCs w:val="24"/>
                <w:highlight w:val="none"/>
              </w:rPr>
            </w:pPr>
            <w:r>
              <w:rPr>
                <w:rFonts w:hint="default" w:ascii="Times New Roman" w:hAnsi="Times New Roman" w:eastAsia="仿宋_GB2312" w:cs="Times New Roman"/>
                <w:color w:val="auto"/>
                <w:sz w:val="24"/>
                <w:szCs w:val="24"/>
                <w:highlight w:val="none"/>
              </w:rPr>
              <w:t>或其委托代理人（签章）</w:t>
            </w:r>
          </w:p>
        </w:tc>
        <w:tc>
          <w:tcPr>
            <w:tcW w:w="2278" w:type="dxa"/>
            <w:tcBorders>
              <w:top w:val="single" w:color="auto" w:sz="2" w:space="0"/>
              <w:left w:val="single" w:color="auto" w:sz="2" w:space="0"/>
              <w:bottom w:val="single" w:color="auto" w:sz="2" w:space="0"/>
            </w:tcBorders>
            <w:noWrap w:val="0"/>
            <w:vAlign w:val="center"/>
          </w:tcPr>
          <w:p w14:paraId="119D5888">
            <w:pPr>
              <w:keepNext w:val="0"/>
              <w:keepLines w:val="0"/>
              <w:suppressLineNumbers w:val="0"/>
              <w:adjustRightInd w:val="0"/>
              <w:snapToGrid w:val="0"/>
              <w:spacing w:before="0" w:beforeAutospacing="0" w:after="0" w:afterAutospacing="0" w:line="300" w:lineRule="exact"/>
              <w:ind w:left="0" w:right="0"/>
              <w:jc w:val="center"/>
              <w:rPr>
                <w:rFonts w:hint="default" w:ascii="Times New Roman" w:hAnsi="Times New Roman" w:eastAsia="仿宋_GB2312" w:cs="Times New Roman"/>
                <w:color w:val="auto"/>
                <w:sz w:val="24"/>
                <w:szCs w:val="24"/>
                <w:highlight w:val="none"/>
              </w:rPr>
            </w:pPr>
          </w:p>
        </w:tc>
      </w:tr>
      <w:tr w14:paraId="00836794">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2036" w:type="dxa"/>
            <w:vMerge w:val="continue"/>
            <w:tcBorders>
              <w:bottom w:val="single" w:color="auto" w:sz="2" w:space="0"/>
              <w:right w:val="single" w:color="auto" w:sz="2" w:space="0"/>
            </w:tcBorders>
            <w:noWrap w:val="0"/>
            <w:vAlign w:val="center"/>
          </w:tcPr>
          <w:p w14:paraId="16144B19">
            <w:pPr>
              <w:keepNext w:val="0"/>
              <w:keepLines w:val="0"/>
              <w:suppressLineNumbers w:val="0"/>
              <w:adjustRightInd w:val="0"/>
              <w:snapToGrid w:val="0"/>
              <w:spacing w:before="0" w:beforeAutospacing="0" w:after="0" w:afterAutospacing="0" w:line="300" w:lineRule="exact"/>
              <w:ind w:left="0" w:right="0"/>
              <w:jc w:val="center"/>
              <w:rPr>
                <w:rFonts w:hint="default" w:ascii="Times New Roman" w:hAnsi="Times New Roman" w:eastAsia="仿宋_GB2312" w:cs="Times New Roman"/>
                <w:color w:val="auto"/>
                <w:sz w:val="24"/>
                <w:szCs w:val="24"/>
                <w:highlight w:val="none"/>
              </w:rPr>
            </w:pPr>
          </w:p>
        </w:tc>
        <w:tc>
          <w:tcPr>
            <w:tcW w:w="2596" w:type="dxa"/>
            <w:vMerge w:val="continue"/>
            <w:tcBorders>
              <w:left w:val="single" w:color="auto" w:sz="2" w:space="0"/>
              <w:bottom w:val="single" w:color="auto" w:sz="2" w:space="0"/>
              <w:right w:val="single" w:color="auto" w:sz="2" w:space="0"/>
            </w:tcBorders>
            <w:noWrap w:val="0"/>
            <w:vAlign w:val="center"/>
          </w:tcPr>
          <w:p w14:paraId="3BB11D00">
            <w:pPr>
              <w:keepNext w:val="0"/>
              <w:keepLines w:val="0"/>
              <w:suppressLineNumbers w:val="0"/>
              <w:adjustRightInd w:val="0"/>
              <w:snapToGrid w:val="0"/>
              <w:spacing w:before="0" w:beforeAutospacing="0" w:after="0" w:afterAutospacing="0" w:line="300" w:lineRule="exact"/>
              <w:ind w:left="0" w:right="0"/>
              <w:jc w:val="center"/>
              <w:rPr>
                <w:rFonts w:hint="default" w:ascii="Times New Roman" w:hAnsi="Times New Roman" w:eastAsia="仿宋_GB2312" w:cs="Times New Roman"/>
                <w:color w:val="auto"/>
                <w:sz w:val="24"/>
                <w:szCs w:val="24"/>
                <w:highlight w:val="none"/>
              </w:rPr>
            </w:pPr>
          </w:p>
        </w:tc>
        <w:tc>
          <w:tcPr>
            <w:tcW w:w="2130" w:type="dxa"/>
            <w:tcBorders>
              <w:top w:val="single" w:color="auto" w:sz="2" w:space="0"/>
              <w:left w:val="single" w:color="auto" w:sz="2" w:space="0"/>
              <w:bottom w:val="single" w:color="auto" w:sz="2" w:space="0"/>
              <w:right w:val="single" w:color="auto" w:sz="2" w:space="0"/>
            </w:tcBorders>
            <w:noWrap w:val="0"/>
            <w:vAlign w:val="center"/>
          </w:tcPr>
          <w:p w14:paraId="72D99467">
            <w:pPr>
              <w:keepNext w:val="0"/>
              <w:keepLines w:val="0"/>
              <w:suppressLineNumbers w:val="0"/>
              <w:adjustRightInd w:val="0"/>
              <w:snapToGrid w:val="0"/>
              <w:spacing w:before="0" w:beforeAutospacing="0" w:after="0" w:afterAutospacing="0" w:line="300" w:lineRule="exact"/>
              <w:ind w:left="0" w:right="0"/>
              <w:jc w:val="center"/>
              <w:rPr>
                <w:rFonts w:hint="default" w:ascii="Times New Roman" w:hAnsi="Times New Roman" w:eastAsia="仿宋_GB2312" w:cs="Times New Roman"/>
                <w:color w:val="auto"/>
                <w:sz w:val="24"/>
                <w:szCs w:val="24"/>
                <w:highlight w:val="none"/>
                <w:lang w:eastAsia="zh-CN"/>
              </w:rPr>
            </w:pPr>
            <w:r>
              <w:rPr>
                <w:rFonts w:hint="default" w:ascii="Times New Roman" w:hAnsi="Times New Roman" w:eastAsia="仿宋_GB2312" w:cs="Times New Roman"/>
                <w:color w:val="auto"/>
                <w:sz w:val="24"/>
                <w:szCs w:val="24"/>
                <w:highlight w:val="none"/>
                <w:lang w:eastAsia="zh-CN"/>
              </w:rPr>
              <w:t>拥有者性别</w:t>
            </w:r>
          </w:p>
        </w:tc>
        <w:tc>
          <w:tcPr>
            <w:tcW w:w="2278" w:type="dxa"/>
            <w:tcBorders>
              <w:top w:val="single" w:color="auto" w:sz="2" w:space="0"/>
              <w:left w:val="single" w:color="auto" w:sz="2" w:space="0"/>
              <w:bottom w:val="single" w:color="auto" w:sz="2" w:space="0"/>
            </w:tcBorders>
            <w:noWrap w:val="0"/>
            <w:vAlign w:val="center"/>
          </w:tcPr>
          <w:p w14:paraId="3E539625">
            <w:pPr>
              <w:keepNext w:val="0"/>
              <w:keepLines w:val="0"/>
              <w:suppressLineNumbers w:val="0"/>
              <w:adjustRightInd w:val="0"/>
              <w:snapToGrid w:val="0"/>
              <w:spacing w:before="0" w:beforeAutospacing="0" w:after="0" w:afterAutospacing="0" w:line="300" w:lineRule="exact"/>
              <w:ind w:left="0" w:right="0"/>
              <w:jc w:val="center"/>
              <w:rPr>
                <w:rFonts w:hint="default" w:ascii="Times New Roman" w:hAnsi="Times New Roman" w:eastAsia="仿宋_GB2312" w:cs="Times New Roman"/>
                <w:color w:val="auto"/>
                <w:spacing w:val="20"/>
                <w:sz w:val="24"/>
                <w:szCs w:val="24"/>
                <w:highlight w:val="none"/>
              </w:rPr>
            </w:pPr>
          </w:p>
        </w:tc>
      </w:tr>
      <w:tr w14:paraId="7DED21CC">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2036" w:type="dxa"/>
            <w:tcBorders>
              <w:top w:val="single" w:color="auto" w:sz="2" w:space="0"/>
              <w:bottom w:val="single" w:color="auto" w:sz="2" w:space="0"/>
              <w:right w:val="single" w:color="auto" w:sz="2" w:space="0"/>
            </w:tcBorders>
            <w:noWrap w:val="0"/>
            <w:vAlign w:val="center"/>
          </w:tcPr>
          <w:p w14:paraId="62763F14">
            <w:pPr>
              <w:keepNext w:val="0"/>
              <w:keepLines w:val="0"/>
              <w:suppressLineNumbers w:val="0"/>
              <w:adjustRightInd w:val="0"/>
              <w:snapToGrid w:val="0"/>
              <w:spacing w:before="0" w:beforeAutospacing="0" w:after="0" w:afterAutospacing="0" w:line="300" w:lineRule="exact"/>
              <w:ind w:left="0" w:right="0"/>
              <w:jc w:val="center"/>
              <w:rPr>
                <w:rFonts w:hint="default" w:ascii="Times New Roman" w:hAnsi="Times New Roman" w:eastAsia="仿宋_GB2312" w:cs="Times New Roman"/>
                <w:color w:val="auto"/>
                <w:sz w:val="24"/>
                <w:szCs w:val="24"/>
                <w:highlight w:val="none"/>
                <w:lang w:eastAsia="zh-CN"/>
              </w:rPr>
            </w:pPr>
            <w:r>
              <w:rPr>
                <w:rFonts w:hint="default" w:ascii="Times New Roman" w:hAnsi="Times New Roman" w:eastAsia="仿宋_GB2312" w:cs="Times New Roman"/>
                <w:color w:val="auto"/>
                <w:sz w:val="24"/>
                <w:szCs w:val="24"/>
                <w:highlight w:val="none"/>
                <w:lang w:eastAsia="zh-CN"/>
              </w:rPr>
              <w:t>住</w:t>
            </w:r>
            <w:r>
              <w:rPr>
                <w:rFonts w:hint="default" w:ascii="Times New Roman" w:hAnsi="Times New Roman" w:eastAsia="仿宋_GB2312" w:cs="Times New Roman"/>
                <w:color w:val="auto"/>
                <w:sz w:val="24"/>
                <w:szCs w:val="24"/>
                <w:highlight w:val="none"/>
                <w:lang w:val="en-US" w:eastAsia="zh-CN"/>
              </w:rPr>
              <w:t xml:space="preserve">  </w:t>
            </w:r>
            <w:r>
              <w:rPr>
                <w:rFonts w:hint="default" w:ascii="Times New Roman" w:hAnsi="Times New Roman" w:eastAsia="仿宋_GB2312" w:cs="Times New Roman"/>
                <w:color w:val="auto"/>
                <w:sz w:val="24"/>
                <w:szCs w:val="24"/>
                <w:highlight w:val="none"/>
                <w:lang w:eastAsia="zh-CN"/>
              </w:rPr>
              <w:t>所</w:t>
            </w:r>
          </w:p>
        </w:tc>
        <w:tc>
          <w:tcPr>
            <w:tcW w:w="2596" w:type="dxa"/>
            <w:tcBorders>
              <w:top w:val="single" w:color="auto" w:sz="2" w:space="0"/>
              <w:left w:val="single" w:color="auto" w:sz="2" w:space="0"/>
              <w:bottom w:val="single" w:color="auto" w:sz="2" w:space="0"/>
              <w:right w:val="single" w:color="auto" w:sz="2" w:space="0"/>
            </w:tcBorders>
            <w:noWrap w:val="0"/>
            <w:vAlign w:val="center"/>
          </w:tcPr>
          <w:p w14:paraId="66EC2472">
            <w:pPr>
              <w:keepNext w:val="0"/>
              <w:keepLines w:val="0"/>
              <w:suppressLineNumbers w:val="0"/>
              <w:adjustRightInd w:val="0"/>
              <w:snapToGrid w:val="0"/>
              <w:spacing w:before="0" w:beforeAutospacing="0" w:after="0" w:afterAutospacing="0" w:line="300" w:lineRule="exact"/>
              <w:ind w:left="0" w:right="0"/>
              <w:jc w:val="center"/>
              <w:rPr>
                <w:rFonts w:hint="default" w:ascii="Times New Roman" w:hAnsi="Times New Roman" w:eastAsia="仿宋_GB2312" w:cs="Times New Roman"/>
                <w:color w:val="auto"/>
                <w:sz w:val="24"/>
                <w:szCs w:val="24"/>
                <w:highlight w:val="none"/>
              </w:rPr>
            </w:pPr>
          </w:p>
        </w:tc>
        <w:tc>
          <w:tcPr>
            <w:tcW w:w="2130" w:type="dxa"/>
            <w:tcBorders>
              <w:top w:val="single" w:color="auto" w:sz="2" w:space="0"/>
              <w:left w:val="single" w:color="auto" w:sz="2" w:space="0"/>
              <w:bottom w:val="single" w:color="auto" w:sz="2" w:space="0"/>
              <w:right w:val="single" w:color="auto" w:sz="2" w:space="0"/>
            </w:tcBorders>
            <w:noWrap w:val="0"/>
            <w:vAlign w:val="center"/>
          </w:tcPr>
          <w:p w14:paraId="6CC30623">
            <w:pPr>
              <w:keepNext w:val="0"/>
              <w:keepLines w:val="0"/>
              <w:suppressLineNumbers w:val="0"/>
              <w:adjustRightInd w:val="0"/>
              <w:snapToGrid w:val="0"/>
              <w:spacing w:before="0" w:beforeAutospacing="0" w:after="0" w:afterAutospacing="0" w:line="300" w:lineRule="exact"/>
              <w:ind w:left="0" w:right="0"/>
              <w:jc w:val="center"/>
              <w:rPr>
                <w:rFonts w:hint="default" w:ascii="Times New Roman" w:hAnsi="Times New Roman" w:eastAsia="仿宋_GB2312" w:cs="Times New Roman"/>
                <w:color w:val="auto"/>
                <w:sz w:val="24"/>
                <w:szCs w:val="24"/>
                <w:highlight w:val="none"/>
                <w:lang w:eastAsia="zh-CN"/>
              </w:rPr>
            </w:pPr>
            <w:r>
              <w:rPr>
                <w:rFonts w:hint="default" w:ascii="Times New Roman" w:hAnsi="Times New Roman" w:eastAsia="仿宋_GB2312" w:cs="Times New Roman"/>
                <w:color w:val="auto"/>
                <w:sz w:val="24"/>
                <w:szCs w:val="24"/>
                <w:highlight w:val="none"/>
                <w:lang w:eastAsia="zh-CN"/>
              </w:rPr>
              <w:t>住</w:t>
            </w:r>
            <w:r>
              <w:rPr>
                <w:rFonts w:hint="default" w:ascii="Times New Roman" w:hAnsi="Times New Roman" w:eastAsia="仿宋_GB2312" w:cs="Times New Roman"/>
                <w:color w:val="auto"/>
                <w:sz w:val="24"/>
                <w:szCs w:val="24"/>
                <w:highlight w:val="none"/>
                <w:lang w:val="en-US" w:eastAsia="zh-CN"/>
              </w:rPr>
              <w:t xml:space="preserve">  </w:t>
            </w:r>
            <w:r>
              <w:rPr>
                <w:rFonts w:hint="default" w:ascii="Times New Roman" w:hAnsi="Times New Roman" w:eastAsia="仿宋_GB2312" w:cs="Times New Roman"/>
                <w:color w:val="auto"/>
                <w:sz w:val="24"/>
                <w:szCs w:val="24"/>
                <w:highlight w:val="none"/>
                <w:lang w:eastAsia="zh-CN"/>
              </w:rPr>
              <w:t>所</w:t>
            </w:r>
          </w:p>
        </w:tc>
        <w:tc>
          <w:tcPr>
            <w:tcW w:w="2278" w:type="dxa"/>
            <w:tcBorders>
              <w:top w:val="single" w:color="auto" w:sz="2" w:space="0"/>
              <w:left w:val="single" w:color="auto" w:sz="2" w:space="0"/>
              <w:bottom w:val="single" w:color="auto" w:sz="2" w:space="0"/>
            </w:tcBorders>
            <w:noWrap w:val="0"/>
            <w:vAlign w:val="center"/>
          </w:tcPr>
          <w:p w14:paraId="6053BF51">
            <w:pPr>
              <w:keepNext w:val="0"/>
              <w:keepLines w:val="0"/>
              <w:suppressLineNumbers w:val="0"/>
              <w:adjustRightInd w:val="0"/>
              <w:snapToGrid w:val="0"/>
              <w:spacing w:before="0" w:beforeAutospacing="0" w:after="0" w:afterAutospacing="0" w:line="300" w:lineRule="exact"/>
              <w:ind w:left="0" w:right="0"/>
              <w:jc w:val="center"/>
              <w:rPr>
                <w:rFonts w:hint="default" w:ascii="Times New Roman" w:hAnsi="Times New Roman" w:eastAsia="仿宋_GB2312" w:cs="Times New Roman"/>
                <w:color w:val="auto"/>
                <w:spacing w:val="20"/>
                <w:sz w:val="24"/>
                <w:szCs w:val="24"/>
                <w:highlight w:val="none"/>
              </w:rPr>
            </w:pPr>
          </w:p>
        </w:tc>
      </w:tr>
      <w:tr w14:paraId="4D8B4F7A">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2036" w:type="dxa"/>
            <w:tcBorders>
              <w:top w:val="single" w:color="auto" w:sz="2" w:space="0"/>
              <w:bottom w:val="single" w:color="auto" w:sz="2" w:space="0"/>
              <w:right w:val="single" w:color="auto" w:sz="2" w:space="0"/>
            </w:tcBorders>
            <w:noWrap w:val="0"/>
            <w:vAlign w:val="center"/>
          </w:tcPr>
          <w:p w14:paraId="4D31E16B">
            <w:pPr>
              <w:keepNext w:val="0"/>
              <w:keepLines w:val="0"/>
              <w:suppressLineNumbers w:val="0"/>
              <w:adjustRightInd w:val="0"/>
              <w:snapToGrid w:val="0"/>
              <w:spacing w:before="0" w:beforeAutospacing="0" w:after="0" w:afterAutospacing="0" w:line="300" w:lineRule="exact"/>
              <w:ind w:left="0" w:right="0"/>
              <w:jc w:val="center"/>
              <w:rPr>
                <w:rFonts w:hint="default" w:ascii="Times New Roman" w:hAnsi="Times New Roman" w:eastAsia="仿宋_GB2312" w:cs="Times New Roman"/>
                <w:color w:val="auto"/>
                <w:sz w:val="24"/>
                <w:szCs w:val="24"/>
                <w:highlight w:val="none"/>
              </w:rPr>
            </w:pPr>
            <w:r>
              <w:rPr>
                <w:rFonts w:hint="default" w:ascii="Times New Roman" w:hAnsi="Times New Roman" w:eastAsia="仿宋_GB2312" w:cs="Times New Roman"/>
                <w:color w:val="auto"/>
                <w:sz w:val="24"/>
                <w:szCs w:val="24"/>
                <w:highlight w:val="none"/>
              </w:rPr>
              <w:t>联 系 人</w:t>
            </w:r>
          </w:p>
        </w:tc>
        <w:tc>
          <w:tcPr>
            <w:tcW w:w="2596" w:type="dxa"/>
            <w:tcBorders>
              <w:top w:val="single" w:color="auto" w:sz="2" w:space="0"/>
              <w:left w:val="single" w:color="auto" w:sz="2" w:space="0"/>
              <w:bottom w:val="single" w:color="auto" w:sz="2" w:space="0"/>
              <w:right w:val="single" w:color="auto" w:sz="2" w:space="0"/>
            </w:tcBorders>
            <w:noWrap w:val="0"/>
            <w:vAlign w:val="center"/>
          </w:tcPr>
          <w:p w14:paraId="282997B8">
            <w:pPr>
              <w:keepNext w:val="0"/>
              <w:keepLines w:val="0"/>
              <w:suppressLineNumbers w:val="0"/>
              <w:adjustRightInd w:val="0"/>
              <w:snapToGrid w:val="0"/>
              <w:spacing w:before="0" w:beforeAutospacing="0" w:after="0" w:afterAutospacing="0" w:line="300" w:lineRule="exact"/>
              <w:ind w:left="0" w:right="0"/>
              <w:jc w:val="center"/>
              <w:rPr>
                <w:rFonts w:hint="default" w:ascii="Times New Roman" w:hAnsi="Times New Roman" w:eastAsia="仿宋_GB2312" w:cs="Times New Roman"/>
                <w:color w:val="auto"/>
                <w:sz w:val="24"/>
                <w:szCs w:val="24"/>
                <w:highlight w:val="none"/>
              </w:rPr>
            </w:pPr>
          </w:p>
        </w:tc>
        <w:tc>
          <w:tcPr>
            <w:tcW w:w="2130" w:type="dxa"/>
            <w:tcBorders>
              <w:top w:val="single" w:color="auto" w:sz="2" w:space="0"/>
              <w:left w:val="single" w:color="auto" w:sz="2" w:space="0"/>
              <w:bottom w:val="single" w:color="auto" w:sz="2" w:space="0"/>
              <w:right w:val="single" w:color="auto" w:sz="2" w:space="0"/>
            </w:tcBorders>
            <w:noWrap w:val="0"/>
            <w:vAlign w:val="center"/>
          </w:tcPr>
          <w:p w14:paraId="46A6FCCA">
            <w:pPr>
              <w:keepNext w:val="0"/>
              <w:keepLines w:val="0"/>
              <w:suppressLineNumbers w:val="0"/>
              <w:adjustRightInd w:val="0"/>
              <w:snapToGrid w:val="0"/>
              <w:spacing w:before="0" w:beforeAutospacing="0" w:after="0" w:afterAutospacing="0" w:line="300" w:lineRule="exact"/>
              <w:ind w:left="0" w:right="0"/>
              <w:jc w:val="center"/>
              <w:rPr>
                <w:rFonts w:hint="default" w:ascii="Times New Roman" w:hAnsi="Times New Roman" w:eastAsia="仿宋_GB2312" w:cs="Times New Roman"/>
                <w:color w:val="auto"/>
                <w:sz w:val="24"/>
                <w:szCs w:val="24"/>
                <w:highlight w:val="none"/>
              </w:rPr>
            </w:pPr>
            <w:r>
              <w:rPr>
                <w:rFonts w:hint="default" w:ascii="Times New Roman" w:hAnsi="Times New Roman" w:eastAsia="仿宋_GB2312" w:cs="Times New Roman"/>
                <w:color w:val="auto"/>
                <w:sz w:val="24"/>
                <w:szCs w:val="24"/>
                <w:highlight w:val="none"/>
              </w:rPr>
              <w:t>联 系 人</w:t>
            </w:r>
          </w:p>
        </w:tc>
        <w:tc>
          <w:tcPr>
            <w:tcW w:w="2278" w:type="dxa"/>
            <w:tcBorders>
              <w:top w:val="single" w:color="auto" w:sz="2" w:space="0"/>
              <w:left w:val="single" w:color="auto" w:sz="2" w:space="0"/>
              <w:bottom w:val="single" w:color="auto" w:sz="2" w:space="0"/>
            </w:tcBorders>
            <w:noWrap w:val="0"/>
            <w:vAlign w:val="center"/>
          </w:tcPr>
          <w:p w14:paraId="698B6294">
            <w:pPr>
              <w:keepNext w:val="0"/>
              <w:keepLines w:val="0"/>
              <w:suppressLineNumbers w:val="0"/>
              <w:adjustRightInd w:val="0"/>
              <w:snapToGrid w:val="0"/>
              <w:spacing w:before="0" w:beforeAutospacing="0" w:after="0" w:afterAutospacing="0" w:line="300" w:lineRule="exact"/>
              <w:ind w:left="0" w:right="0"/>
              <w:jc w:val="center"/>
              <w:rPr>
                <w:rFonts w:hint="default" w:ascii="Times New Roman" w:hAnsi="Times New Roman" w:eastAsia="仿宋_GB2312" w:cs="Times New Roman"/>
                <w:color w:val="auto"/>
                <w:spacing w:val="20"/>
                <w:sz w:val="24"/>
                <w:szCs w:val="24"/>
                <w:highlight w:val="none"/>
              </w:rPr>
            </w:pPr>
          </w:p>
        </w:tc>
      </w:tr>
      <w:tr w14:paraId="2B8D3BB2">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2036" w:type="dxa"/>
            <w:tcBorders>
              <w:top w:val="single" w:color="auto" w:sz="2" w:space="0"/>
              <w:bottom w:val="single" w:color="auto" w:sz="2" w:space="0"/>
              <w:right w:val="single" w:color="auto" w:sz="2" w:space="0"/>
            </w:tcBorders>
            <w:noWrap w:val="0"/>
            <w:vAlign w:val="center"/>
          </w:tcPr>
          <w:p w14:paraId="67505E5A">
            <w:pPr>
              <w:keepNext w:val="0"/>
              <w:keepLines w:val="0"/>
              <w:suppressLineNumbers w:val="0"/>
              <w:adjustRightInd w:val="0"/>
              <w:snapToGrid w:val="0"/>
              <w:spacing w:before="0" w:beforeAutospacing="0" w:after="0" w:afterAutospacing="0" w:line="300" w:lineRule="exact"/>
              <w:ind w:left="0" w:right="0"/>
              <w:jc w:val="center"/>
              <w:rPr>
                <w:rFonts w:hint="default" w:ascii="Times New Roman" w:hAnsi="Times New Roman" w:eastAsia="仿宋_GB2312" w:cs="Times New Roman"/>
                <w:color w:val="auto"/>
                <w:sz w:val="24"/>
                <w:szCs w:val="24"/>
                <w:highlight w:val="none"/>
              </w:rPr>
            </w:pPr>
            <w:r>
              <w:rPr>
                <w:rFonts w:hint="default" w:ascii="Times New Roman" w:hAnsi="Times New Roman" w:eastAsia="仿宋_GB2312" w:cs="Times New Roman"/>
                <w:color w:val="auto"/>
                <w:sz w:val="24"/>
                <w:szCs w:val="24"/>
                <w:highlight w:val="none"/>
              </w:rPr>
              <w:t>联系电话</w:t>
            </w:r>
          </w:p>
        </w:tc>
        <w:tc>
          <w:tcPr>
            <w:tcW w:w="2596" w:type="dxa"/>
            <w:tcBorders>
              <w:top w:val="single" w:color="auto" w:sz="2" w:space="0"/>
              <w:left w:val="single" w:color="auto" w:sz="2" w:space="0"/>
              <w:bottom w:val="single" w:color="auto" w:sz="2" w:space="0"/>
              <w:right w:val="single" w:color="auto" w:sz="2" w:space="0"/>
            </w:tcBorders>
            <w:noWrap w:val="0"/>
            <w:vAlign w:val="center"/>
          </w:tcPr>
          <w:p w14:paraId="1989DBE6">
            <w:pPr>
              <w:keepNext w:val="0"/>
              <w:keepLines w:val="0"/>
              <w:suppressLineNumbers w:val="0"/>
              <w:adjustRightInd w:val="0"/>
              <w:snapToGrid w:val="0"/>
              <w:spacing w:before="0" w:beforeAutospacing="0" w:after="0" w:afterAutospacing="0" w:line="300" w:lineRule="exact"/>
              <w:ind w:left="0" w:right="0"/>
              <w:jc w:val="center"/>
              <w:rPr>
                <w:rFonts w:hint="default" w:ascii="Times New Roman" w:hAnsi="Times New Roman" w:eastAsia="仿宋_GB2312" w:cs="Times New Roman"/>
                <w:color w:val="auto"/>
                <w:sz w:val="24"/>
                <w:szCs w:val="24"/>
                <w:highlight w:val="none"/>
              </w:rPr>
            </w:pPr>
          </w:p>
        </w:tc>
        <w:tc>
          <w:tcPr>
            <w:tcW w:w="2130" w:type="dxa"/>
            <w:tcBorders>
              <w:top w:val="single" w:color="auto" w:sz="2" w:space="0"/>
              <w:left w:val="single" w:color="auto" w:sz="2" w:space="0"/>
              <w:bottom w:val="single" w:color="auto" w:sz="2" w:space="0"/>
              <w:right w:val="single" w:color="auto" w:sz="2" w:space="0"/>
            </w:tcBorders>
            <w:noWrap w:val="0"/>
            <w:vAlign w:val="center"/>
          </w:tcPr>
          <w:p w14:paraId="457EDF5A">
            <w:pPr>
              <w:keepNext w:val="0"/>
              <w:keepLines w:val="0"/>
              <w:suppressLineNumbers w:val="0"/>
              <w:adjustRightInd w:val="0"/>
              <w:snapToGrid w:val="0"/>
              <w:spacing w:before="0" w:beforeAutospacing="0" w:after="0" w:afterAutospacing="0" w:line="300" w:lineRule="exact"/>
              <w:ind w:left="0" w:right="0"/>
              <w:jc w:val="center"/>
              <w:rPr>
                <w:rFonts w:hint="default" w:ascii="Times New Roman" w:hAnsi="Times New Roman" w:eastAsia="仿宋_GB2312" w:cs="Times New Roman"/>
                <w:color w:val="auto"/>
                <w:sz w:val="24"/>
                <w:szCs w:val="24"/>
                <w:highlight w:val="none"/>
              </w:rPr>
            </w:pPr>
            <w:r>
              <w:rPr>
                <w:rFonts w:hint="default" w:ascii="Times New Roman" w:hAnsi="Times New Roman" w:eastAsia="仿宋_GB2312" w:cs="Times New Roman"/>
                <w:color w:val="auto"/>
                <w:sz w:val="24"/>
                <w:szCs w:val="24"/>
                <w:highlight w:val="none"/>
              </w:rPr>
              <w:t>联系电话</w:t>
            </w:r>
          </w:p>
        </w:tc>
        <w:tc>
          <w:tcPr>
            <w:tcW w:w="2278" w:type="dxa"/>
            <w:tcBorders>
              <w:top w:val="single" w:color="auto" w:sz="2" w:space="0"/>
              <w:left w:val="single" w:color="auto" w:sz="2" w:space="0"/>
              <w:bottom w:val="single" w:color="auto" w:sz="2" w:space="0"/>
            </w:tcBorders>
            <w:noWrap w:val="0"/>
            <w:vAlign w:val="center"/>
          </w:tcPr>
          <w:p w14:paraId="7469F8BB">
            <w:pPr>
              <w:keepNext w:val="0"/>
              <w:keepLines w:val="0"/>
              <w:suppressLineNumbers w:val="0"/>
              <w:adjustRightInd w:val="0"/>
              <w:snapToGrid w:val="0"/>
              <w:spacing w:before="0" w:beforeAutospacing="0" w:after="0" w:afterAutospacing="0" w:line="300" w:lineRule="exact"/>
              <w:ind w:left="0" w:right="0"/>
              <w:jc w:val="center"/>
              <w:rPr>
                <w:rFonts w:hint="default" w:ascii="Times New Roman" w:hAnsi="Times New Roman" w:eastAsia="仿宋_GB2312" w:cs="Times New Roman"/>
                <w:color w:val="auto"/>
                <w:spacing w:val="20"/>
                <w:sz w:val="24"/>
                <w:szCs w:val="24"/>
                <w:highlight w:val="none"/>
              </w:rPr>
            </w:pPr>
          </w:p>
        </w:tc>
      </w:tr>
      <w:tr w14:paraId="4856BDBB">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2036" w:type="dxa"/>
            <w:tcBorders>
              <w:top w:val="single" w:color="auto" w:sz="2" w:space="0"/>
              <w:bottom w:val="single" w:color="auto" w:sz="2" w:space="0"/>
              <w:right w:val="single" w:color="auto" w:sz="2" w:space="0"/>
            </w:tcBorders>
            <w:noWrap w:val="0"/>
            <w:vAlign w:val="center"/>
          </w:tcPr>
          <w:p w14:paraId="74F14096">
            <w:pPr>
              <w:keepNext w:val="0"/>
              <w:keepLines w:val="0"/>
              <w:suppressLineNumbers w:val="0"/>
              <w:adjustRightInd w:val="0"/>
              <w:snapToGrid w:val="0"/>
              <w:spacing w:before="0" w:beforeAutospacing="0" w:after="0" w:afterAutospacing="0" w:line="300" w:lineRule="exact"/>
              <w:ind w:left="0" w:right="0"/>
              <w:jc w:val="center"/>
              <w:rPr>
                <w:rFonts w:hint="default" w:ascii="Times New Roman" w:hAnsi="Times New Roman" w:eastAsia="仿宋_GB2312" w:cs="Times New Roman"/>
                <w:color w:val="auto"/>
                <w:sz w:val="24"/>
                <w:szCs w:val="24"/>
                <w:highlight w:val="none"/>
                <w:lang w:eastAsia="zh-CN"/>
              </w:rPr>
            </w:pPr>
            <w:r>
              <w:rPr>
                <w:rFonts w:hint="default" w:ascii="Times New Roman" w:hAnsi="Times New Roman" w:eastAsia="仿宋_GB2312" w:cs="Times New Roman"/>
                <w:color w:val="auto"/>
                <w:sz w:val="24"/>
                <w:szCs w:val="24"/>
                <w:highlight w:val="none"/>
                <w:lang w:eastAsia="zh-CN"/>
              </w:rPr>
              <w:t>通信地址</w:t>
            </w:r>
          </w:p>
        </w:tc>
        <w:tc>
          <w:tcPr>
            <w:tcW w:w="2596" w:type="dxa"/>
            <w:tcBorders>
              <w:top w:val="single" w:color="auto" w:sz="2" w:space="0"/>
              <w:left w:val="single" w:color="auto" w:sz="2" w:space="0"/>
              <w:bottom w:val="single" w:color="auto" w:sz="2" w:space="0"/>
              <w:right w:val="single" w:color="auto" w:sz="2" w:space="0"/>
            </w:tcBorders>
            <w:noWrap w:val="0"/>
            <w:vAlign w:val="center"/>
          </w:tcPr>
          <w:p w14:paraId="0A0A132F">
            <w:pPr>
              <w:keepNext w:val="0"/>
              <w:keepLines w:val="0"/>
              <w:suppressLineNumbers w:val="0"/>
              <w:adjustRightInd w:val="0"/>
              <w:snapToGrid w:val="0"/>
              <w:spacing w:before="0" w:beforeAutospacing="0" w:after="0" w:afterAutospacing="0" w:line="300" w:lineRule="exact"/>
              <w:ind w:left="0" w:right="0"/>
              <w:jc w:val="center"/>
              <w:rPr>
                <w:rFonts w:hint="default" w:ascii="Times New Roman" w:hAnsi="Times New Roman" w:eastAsia="仿宋_GB2312" w:cs="Times New Roman"/>
                <w:color w:val="auto"/>
                <w:sz w:val="24"/>
                <w:szCs w:val="24"/>
                <w:highlight w:val="none"/>
              </w:rPr>
            </w:pPr>
          </w:p>
        </w:tc>
        <w:tc>
          <w:tcPr>
            <w:tcW w:w="2130" w:type="dxa"/>
            <w:tcBorders>
              <w:top w:val="single" w:color="auto" w:sz="2" w:space="0"/>
              <w:left w:val="single" w:color="auto" w:sz="2" w:space="0"/>
              <w:bottom w:val="single" w:color="auto" w:sz="2" w:space="0"/>
              <w:right w:val="single" w:color="auto" w:sz="2" w:space="0"/>
            </w:tcBorders>
            <w:noWrap w:val="0"/>
            <w:vAlign w:val="center"/>
          </w:tcPr>
          <w:p w14:paraId="33C792C3">
            <w:pPr>
              <w:keepNext w:val="0"/>
              <w:keepLines w:val="0"/>
              <w:suppressLineNumbers w:val="0"/>
              <w:adjustRightInd w:val="0"/>
              <w:snapToGrid w:val="0"/>
              <w:spacing w:before="0" w:beforeAutospacing="0" w:after="0" w:afterAutospacing="0" w:line="300" w:lineRule="exact"/>
              <w:ind w:left="0" w:right="0"/>
              <w:jc w:val="center"/>
              <w:rPr>
                <w:rFonts w:hint="default" w:ascii="Times New Roman" w:hAnsi="Times New Roman" w:eastAsia="仿宋_GB2312" w:cs="Times New Roman"/>
                <w:color w:val="auto"/>
                <w:sz w:val="24"/>
                <w:szCs w:val="24"/>
                <w:highlight w:val="none"/>
              </w:rPr>
            </w:pPr>
            <w:r>
              <w:rPr>
                <w:rFonts w:hint="default" w:ascii="Times New Roman" w:hAnsi="Times New Roman" w:eastAsia="仿宋_GB2312" w:cs="Times New Roman"/>
                <w:color w:val="auto"/>
                <w:sz w:val="24"/>
                <w:szCs w:val="24"/>
                <w:highlight w:val="none"/>
                <w:lang w:eastAsia="zh-CN"/>
              </w:rPr>
              <w:t>通信地址</w:t>
            </w:r>
          </w:p>
        </w:tc>
        <w:tc>
          <w:tcPr>
            <w:tcW w:w="2278" w:type="dxa"/>
            <w:tcBorders>
              <w:top w:val="single" w:color="auto" w:sz="2" w:space="0"/>
              <w:left w:val="single" w:color="auto" w:sz="2" w:space="0"/>
              <w:bottom w:val="single" w:color="auto" w:sz="2" w:space="0"/>
            </w:tcBorders>
            <w:noWrap w:val="0"/>
            <w:vAlign w:val="center"/>
          </w:tcPr>
          <w:p w14:paraId="1DDBD14B">
            <w:pPr>
              <w:keepNext w:val="0"/>
              <w:keepLines w:val="0"/>
              <w:suppressLineNumbers w:val="0"/>
              <w:adjustRightInd w:val="0"/>
              <w:snapToGrid w:val="0"/>
              <w:spacing w:before="0" w:beforeAutospacing="0" w:after="0" w:afterAutospacing="0" w:line="300" w:lineRule="exact"/>
              <w:ind w:left="0" w:right="0"/>
              <w:jc w:val="center"/>
              <w:rPr>
                <w:rFonts w:hint="default" w:ascii="Times New Roman" w:hAnsi="Times New Roman" w:eastAsia="仿宋_GB2312" w:cs="Times New Roman"/>
                <w:color w:val="auto"/>
                <w:spacing w:val="20"/>
                <w:sz w:val="24"/>
                <w:szCs w:val="24"/>
                <w:highlight w:val="none"/>
              </w:rPr>
            </w:pPr>
          </w:p>
        </w:tc>
      </w:tr>
      <w:tr w14:paraId="23FAE1E7">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2036" w:type="dxa"/>
            <w:tcBorders>
              <w:top w:val="single" w:color="auto" w:sz="2" w:space="0"/>
              <w:bottom w:val="single" w:color="auto" w:sz="2" w:space="0"/>
              <w:right w:val="single" w:color="auto" w:sz="2" w:space="0"/>
            </w:tcBorders>
            <w:noWrap w:val="0"/>
            <w:vAlign w:val="center"/>
          </w:tcPr>
          <w:p w14:paraId="55853D3A">
            <w:pPr>
              <w:keepNext w:val="0"/>
              <w:keepLines w:val="0"/>
              <w:suppressLineNumbers w:val="0"/>
              <w:adjustRightInd w:val="0"/>
              <w:snapToGrid w:val="0"/>
              <w:spacing w:before="0" w:beforeAutospacing="0" w:after="0" w:afterAutospacing="0" w:line="300" w:lineRule="exact"/>
              <w:ind w:left="0" w:right="0"/>
              <w:jc w:val="center"/>
              <w:rPr>
                <w:rFonts w:hint="default" w:ascii="Times New Roman" w:hAnsi="Times New Roman" w:eastAsia="仿宋_GB2312" w:cs="Times New Roman"/>
                <w:color w:val="auto"/>
                <w:sz w:val="24"/>
                <w:szCs w:val="24"/>
                <w:highlight w:val="none"/>
              </w:rPr>
            </w:pPr>
            <w:r>
              <w:rPr>
                <w:rFonts w:hint="default" w:ascii="Times New Roman" w:hAnsi="Times New Roman" w:eastAsia="仿宋_GB2312" w:cs="Times New Roman"/>
                <w:color w:val="auto"/>
                <w:sz w:val="24"/>
                <w:szCs w:val="24"/>
                <w:highlight w:val="none"/>
              </w:rPr>
              <w:t>邮政编码</w:t>
            </w:r>
          </w:p>
        </w:tc>
        <w:tc>
          <w:tcPr>
            <w:tcW w:w="2596" w:type="dxa"/>
            <w:tcBorders>
              <w:top w:val="single" w:color="auto" w:sz="2" w:space="0"/>
              <w:left w:val="single" w:color="auto" w:sz="2" w:space="0"/>
              <w:bottom w:val="single" w:color="auto" w:sz="2" w:space="0"/>
              <w:right w:val="single" w:color="auto" w:sz="2" w:space="0"/>
            </w:tcBorders>
            <w:noWrap w:val="0"/>
            <w:vAlign w:val="center"/>
          </w:tcPr>
          <w:p w14:paraId="773193E1">
            <w:pPr>
              <w:keepNext w:val="0"/>
              <w:keepLines w:val="0"/>
              <w:suppressLineNumbers w:val="0"/>
              <w:adjustRightInd w:val="0"/>
              <w:snapToGrid w:val="0"/>
              <w:spacing w:before="0" w:beforeAutospacing="0" w:after="0" w:afterAutospacing="0" w:line="300" w:lineRule="exact"/>
              <w:ind w:left="0" w:right="0"/>
              <w:jc w:val="center"/>
              <w:rPr>
                <w:rFonts w:hint="default" w:ascii="Times New Roman" w:hAnsi="Times New Roman" w:eastAsia="仿宋_GB2312" w:cs="Times New Roman"/>
                <w:color w:val="auto"/>
                <w:sz w:val="24"/>
                <w:szCs w:val="24"/>
                <w:highlight w:val="none"/>
              </w:rPr>
            </w:pPr>
          </w:p>
        </w:tc>
        <w:tc>
          <w:tcPr>
            <w:tcW w:w="2130" w:type="dxa"/>
            <w:tcBorders>
              <w:top w:val="single" w:color="auto" w:sz="2" w:space="0"/>
              <w:left w:val="single" w:color="auto" w:sz="2" w:space="0"/>
              <w:bottom w:val="single" w:color="auto" w:sz="2" w:space="0"/>
              <w:right w:val="single" w:color="auto" w:sz="2" w:space="0"/>
            </w:tcBorders>
            <w:noWrap w:val="0"/>
            <w:vAlign w:val="center"/>
          </w:tcPr>
          <w:p w14:paraId="52231545">
            <w:pPr>
              <w:keepNext w:val="0"/>
              <w:keepLines w:val="0"/>
              <w:suppressLineNumbers w:val="0"/>
              <w:adjustRightInd w:val="0"/>
              <w:snapToGrid w:val="0"/>
              <w:spacing w:before="0" w:beforeAutospacing="0" w:after="0" w:afterAutospacing="0" w:line="300" w:lineRule="exact"/>
              <w:ind w:left="0" w:right="0"/>
              <w:jc w:val="center"/>
              <w:rPr>
                <w:rFonts w:hint="default" w:ascii="Times New Roman" w:hAnsi="Times New Roman" w:eastAsia="仿宋_GB2312" w:cs="Times New Roman"/>
                <w:color w:val="auto"/>
                <w:sz w:val="24"/>
                <w:szCs w:val="24"/>
                <w:highlight w:val="none"/>
              </w:rPr>
            </w:pPr>
            <w:r>
              <w:rPr>
                <w:rFonts w:hint="default" w:ascii="Times New Roman" w:hAnsi="Times New Roman" w:eastAsia="仿宋_GB2312" w:cs="Times New Roman"/>
                <w:color w:val="auto"/>
                <w:sz w:val="24"/>
                <w:szCs w:val="24"/>
                <w:highlight w:val="none"/>
              </w:rPr>
              <w:t>邮政编码</w:t>
            </w:r>
          </w:p>
        </w:tc>
        <w:tc>
          <w:tcPr>
            <w:tcW w:w="2278" w:type="dxa"/>
            <w:tcBorders>
              <w:top w:val="single" w:color="auto" w:sz="2" w:space="0"/>
              <w:left w:val="single" w:color="auto" w:sz="2" w:space="0"/>
              <w:bottom w:val="single" w:color="auto" w:sz="2" w:space="0"/>
            </w:tcBorders>
            <w:noWrap w:val="0"/>
            <w:vAlign w:val="center"/>
          </w:tcPr>
          <w:p w14:paraId="7D8ED48B">
            <w:pPr>
              <w:keepNext w:val="0"/>
              <w:keepLines w:val="0"/>
              <w:suppressLineNumbers w:val="0"/>
              <w:adjustRightInd w:val="0"/>
              <w:snapToGrid w:val="0"/>
              <w:spacing w:before="0" w:beforeAutospacing="0" w:after="0" w:afterAutospacing="0" w:line="300" w:lineRule="exact"/>
              <w:ind w:left="0" w:right="0"/>
              <w:jc w:val="center"/>
              <w:rPr>
                <w:rFonts w:hint="default" w:ascii="Times New Roman" w:hAnsi="Times New Roman" w:eastAsia="仿宋_GB2312" w:cs="Times New Roman"/>
                <w:color w:val="auto"/>
                <w:spacing w:val="20"/>
                <w:sz w:val="24"/>
                <w:szCs w:val="24"/>
                <w:highlight w:val="none"/>
              </w:rPr>
            </w:pPr>
          </w:p>
        </w:tc>
      </w:tr>
      <w:tr w14:paraId="1EA8EC4B">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2036" w:type="dxa"/>
            <w:tcBorders>
              <w:top w:val="single" w:color="auto" w:sz="2" w:space="0"/>
              <w:bottom w:val="single" w:color="auto" w:sz="2" w:space="0"/>
              <w:right w:val="single" w:color="auto" w:sz="2" w:space="0"/>
            </w:tcBorders>
            <w:noWrap w:val="0"/>
            <w:vAlign w:val="center"/>
          </w:tcPr>
          <w:p w14:paraId="0CCA1B7A">
            <w:pPr>
              <w:keepNext w:val="0"/>
              <w:keepLines w:val="0"/>
              <w:suppressLineNumbers w:val="0"/>
              <w:adjustRightInd w:val="0"/>
              <w:snapToGrid w:val="0"/>
              <w:spacing w:before="0" w:beforeAutospacing="0" w:after="0" w:afterAutospacing="0" w:line="300" w:lineRule="exact"/>
              <w:ind w:left="0" w:right="0"/>
              <w:jc w:val="center"/>
              <w:rPr>
                <w:rFonts w:hint="default" w:ascii="Times New Roman" w:hAnsi="Times New Roman" w:eastAsia="仿宋_GB2312" w:cs="Times New Roman"/>
                <w:color w:val="auto"/>
                <w:sz w:val="24"/>
                <w:szCs w:val="24"/>
                <w:highlight w:val="none"/>
              </w:rPr>
            </w:pPr>
            <w:r>
              <w:rPr>
                <w:rFonts w:hint="default" w:ascii="Times New Roman" w:hAnsi="Times New Roman" w:eastAsia="仿宋_GB2312" w:cs="Times New Roman"/>
                <w:color w:val="auto"/>
                <w:sz w:val="24"/>
                <w:szCs w:val="24"/>
                <w:highlight w:val="none"/>
              </w:rPr>
              <w:t>电子邮箱</w:t>
            </w:r>
          </w:p>
        </w:tc>
        <w:tc>
          <w:tcPr>
            <w:tcW w:w="2596" w:type="dxa"/>
            <w:tcBorders>
              <w:top w:val="single" w:color="auto" w:sz="2" w:space="0"/>
              <w:left w:val="single" w:color="auto" w:sz="2" w:space="0"/>
              <w:bottom w:val="single" w:color="auto" w:sz="2" w:space="0"/>
              <w:right w:val="single" w:color="auto" w:sz="2" w:space="0"/>
            </w:tcBorders>
            <w:noWrap w:val="0"/>
            <w:vAlign w:val="center"/>
          </w:tcPr>
          <w:p w14:paraId="53653EB6">
            <w:pPr>
              <w:keepNext w:val="0"/>
              <w:keepLines w:val="0"/>
              <w:suppressLineNumbers w:val="0"/>
              <w:adjustRightInd w:val="0"/>
              <w:snapToGrid w:val="0"/>
              <w:spacing w:before="0" w:beforeAutospacing="0" w:after="0" w:afterAutospacing="0" w:line="300" w:lineRule="exact"/>
              <w:ind w:left="0" w:right="0"/>
              <w:jc w:val="center"/>
              <w:rPr>
                <w:rFonts w:hint="default" w:ascii="Times New Roman" w:hAnsi="Times New Roman" w:eastAsia="仿宋_GB2312" w:cs="Times New Roman"/>
                <w:color w:val="auto"/>
                <w:sz w:val="24"/>
                <w:szCs w:val="24"/>
                <w:highlight w:val="none"/>
              </w:rPr>
            </w:pPr>
          </w:p>
        </w:tc>
        <w:tc>
          <w:tcPr>
            <w:tcW w:w="2130" w:type="dxa"/>
            <w:tcBorders>
              <w:top w:val="single" w:color="auto" w:sz="2" w:space="0"/>
              <w:left w:val="single" w:color="auto" w:sz="2" w:space="0"/>
              <w:bottom w:val="single" w:color="auto" w:sz="2" w:space="0"/>
              <w:right w:val="single" w:color="auto" w:sz="2" w:space="0"/>
            </w:tcBorders>
            <w:noWrap w:val="0"/>
            <w:vAlign w:val="center"/>
          </w:tcPr>
          <w:p w14:paraId="2C11195F">
            <w:pPr>
              <w:keepNext w:val="0"/>
              <w:keepLines w:val="0"/>
              <w:suppressLineNumbers w:val="0"/>
              <w:adjustRightInd w:val="0"/>
              <w:snapToGrid w:val="0"/>
              <w:spacing w:before="0" w:beforeAutospacing="0" w:after="0" w:afterAutospacing="0" w:line="300" w:lineRule="exact"/>
              <w:ind w:left="0" w:right="0"/>
              <w:jc w:val="center"/>
              <w:rPr>
                <w:rFonts w:hint="default" w:ascii="Times New Roman" w:hAnsi="Times New Roman" w:eastAsia="仿宋_GB2312" w:cs="Times New Roman"/>
                <w:color w:val="auto"/>
                <w:sz w:val="24"/>
                <w:szCs w:val="24"/>
                <w:highlight w:val="none"/>
              </w:rPr>
            </w:pPr>
            <w:r>
              <w:rPr>
                <w:rFonts w:hint="default" w:ascii="Times New Roman" w:hAnsi="Times New Roman" w:eastAsia="仿宋_GB2312" w:cs="Times New Roman"/>
                <w:color w:val="auto"/>
                <w:sz w:val="24"/>
                <w:szCs w:val="24"/>
                <w:highlight w:val="none"/>
              </w:rPr>
              <w:t>电子邮箱</w:t>
            </w:r>
          </w:p>
        </w:tc>
        <w:tc>
          <w:tcPr>
            <w:tcW w:w="2278" w:type="dxa"/>
            <w:tcBorders>
              <w:top w:val="single" w:color="auto" w:sz="2" w:space="0"/>
              <w:left w:val="single" w:color="auto" w:sz="2" w:space="0"/>
              <w:bottom w:val="single" w:color="auto" w:sz="2" w:space="0"/>
            </w:tcBorders>
            <w:noWrap w:val="0"/>
            <w:vAlign w:val="center"/>
          </w:tcPr>
          <w:p w14:paraId="4E4F851D">
            <w:pPr>
              <w:keepNext w:val="0"/>
              <w:keepLines w:val="0"/>
              <w:suppressLineNumbers w:val="0"/>
              <w:adjustRightInd w:val="0"/>
              <w:snapToGrid w:val="0"/>
              <w:spacing w:before="0" w:beforeAutospacing="0" w:after="0" w:afterAutospacing="0" w:line="300" w:lineRule="exact"/>
              <w:ind w:left="0" w:right="0"/>
              <w:jc w:val="center"/>
              <w:rPr>
                <w:rFonts w:hint="default" w:ascii="Times New Roman" w:hAnsi="Times New Roman" w:eastAsia="仿宋_GB2312" w:cs="Times New Roman"/>
                <w:color w:val="auto"/>
                <w:spacing w:val="20"/>
                <w:sz w:val="24"/>
                <w:szCs w:val="24"/>
                <w:highlight w:val="none"/>
              </w:rPr>
            </w:pPr>
          </w:p>
        </w:tc>
      </w:tr>
      <w:tr w14:paraId="50114DBF">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2036" w:type="dxa"/>
            <w:tcBorders>
              <w:top w:val="single" w:color="auto" w:sz="2" w:space="0"/>
              <w:bottom w:val="single" w:color="auto" w:sz="2" w:space="0"/>
              <w:right w:val="single" w:color="auto" w:sz="2" w:space="0"/>
            </w:tcBorders>
            <w:noWrap w:val="0"/>
            <w:vAlign w:val="center"/>
          </w:tcPr>
          <w:p w14:paraId="4BCD8A92">
            <w:pPr>
              <w:keepNext w:val="0"/>
              <w:keepLines w:val="0"/>
              <w:suppressLineNumbers w:val="0"/>
              <w:adjustRightInd w:val="0"/>
              <w:snapToGrid w:val="0"/>
              <w:spacing w:before="0" w:beforeAutospacing="0" w:after="0" w:afterAutospacing="0" w:line="300" w:lineRule="exact"/>
              <w:ind w:left="0" w:right="0"/>
              <w:jc w:val="center"/>
              <w:rPr>
                <w:rFonts w:hint="default" w:ascii="Times New Roman" w:hAnsi="Times New Roman" w:eastAsia="仿宋_GB2312" w:cs="Times New Roman"/>
                <w:color w:val="auto"/>
                <w:sz w:val="24"/>
                <w:szCs w:val="24"/>
                <w:highlight w:val="none"/>
              </w:rPr>
            </w:pPr>
            <w:r>
              <w:rPr>
                <w:rFonts w:hint="default" w:ascii="Times New Roman" w:hAnsi="Times New Roman" w:eastAsia="仿宋_GB2312" w:cs="Times New Roman"/>
                <w:color w:val="auto"/>
                <w:sz w:val="24"/>
                <w:szCs w:val="24"/>
                <w:highlight w:val="none"/>
              </w:rPr>
              <w:t>统一社会信用代码</w:t>
            </w:r>
          </w:p>
        </w:tc>
        <w:tc>
          <w:tcPr>
            <w:tcW w:w="2596" w:type="dxa"/>
            <w:tcBorders>
              <w:top w:val="single" w:color="auto" w:sz="2" w:space="0"/>
              <w:left w:val="single" w:color="auto" w:sz="2" w:space="0"/>
              <w:bottom w:val="single" w:color="auto" w:sz="2" w:space="0"/>
              <w:right w:val="single" w:color="auto" w:sz="2" w:space="0"/>
            </w:tcBorders>
            <w:noWrap w:val="0"/>
            <w:vAlign w:val="center"/>
          </w:tcPr>
          <w:p w14:paraId="5254372F">
            <w:pPr>
              <w:keepNext w:val="0"/>
              <w:keepLines w:val="0"/>
              <w:suppressLineNumbers w:val="0"/>
              <w:adjustRightInd w:val="0"/>
              <w:snapToGrid w:val="0"/>
              <w:spacing w:before="0" w:beforeAutospacing="0" w:after="0" w:afterAutospacing="0" w:line="300" w:lineRule="exact"/>
              <w:ind w:left="0" w:right="0"/>
              <w:jc w:val="center"/>
              <w:rPr>
                <w:rFonts w:hint="default" w:ascii="Times New Roman" w:hAnsi="Times New Roman" w:eastAsia="仿宋_GB2312" w:cs="Times New Roman"/>
                <w:color w:val="auto"/>
                <w:sz w:val="24"/>
                <w:szCs w:val="24"/>
                <w:highlight w:val="none"/>
              </w:rPr>
            </w:pPr>
          </w:p>
        </w:tc>
        <w:tc>
          <w:tcPr>
            <w:tcW w:w="2130" w:type="dxa"/>
            <w:tcBorders>
              <w:top w:val="single" w:color="auto" w:sz="2" w:space="0"/>
              <w:left w:val="single" w:color="auto" w:sz="2" w:space="0"/>
              <w:bottom w:val="single" w:color="auto" w:sz="2" w:space="0"/>
              <w:right w:val="single" w:color="auto" w:sz="2" w:space="0"/>
            </w:tcBorders>
            <w:noWrap w:val="0"/>
            <w:vAlign w:val="center"/>
          </w:tcPr>
          <w:p w14:paraId="60594A02">
            <w:pPr>
              <w:keepNext w:val="0"/>
              <w:keepLines w:val="0"/>
              <w:suppressLineNumbers w:val="0"/>
              <w:adjustRightInd w:val="0"/>
              <w:snapToGrid w:val="0"/>
              <w:spacing w:before="0" w:beforeAutospacing="0" w:after="0" w:afterAutospacing="0" w:line="300" w:lineRule="exact"/>
              <w:ind w:left="0" w:right="0"/>
              <w:jc w:val="center"/>
              <w:rPr>
                <w:rFonts w:hint="default" w:ascii="Times New Roman" w:hAnsi="Times New Roman" w:eastAsia="仿宋_GB2312" w:cs="Times New Roman"/>
                <w:color w:val="auto"/>
                <w:sz w:val="24"/>
                <w:szCs w:val="24"/>
                <w:highlight w:val="none"/>
              </w:rPr>
            </w:pPr>
            <w:r>
              <w:rPr>
                <w:rFonts w:hint="default" w:ascii="Times New Roman" w:hAnsi="Times New Roman" w:eastAsia="仿宋_GB2312" w:cs="Times New Roman"/>
                <w:color w:val="auto"/>
                <w:sz w:val="24"/>
                <w:szCs w:val="24"/>
                <w:highlight w:val="none"/>
              </w:rPr>
              <w:t>统一社会信用代码</w:t>
            </w:r>
          </w:p>
        </w:tc>
        <w:tc>
          <w:tcPr>
            <w:tcW w:w="2278" w:type="dxa"/>
            <w:tcBorders>
              <w:top w:val="single" w:color="auto" w:sz="2" w:space="0"/>
              <w:left w:val="single" w:color="auto" w:sz="2" w:space="0"/>
              <w:bottom w:val="single" w:color="auto" w:sz="2" w:space="0"/>
            </w:tcBorders>
            <w:noWrap w:val="0"/>
            <w:vAlign w:val="center"/>
          </w:tcPr>
          <w:p w14:paraId="353B7A77">
            <w:pPr>
              <w:keepNext w:val="0"/>
              <w:keepLines w:val="0"/>
              <w:suppressLineNumbers w:val="0"/>
              <w:adjustRightInd w:val="0"/>
              <w:snapToGrid w:val="0"/>
              <w:spacing w:before="0" w:beforeAutospacing="0" w:after="0" w:afterAutospacing="0" w:line="300" w:lineRule="exact"/>
              <w:ind w:left="0" w:right="0"/>
              <w:jc w:val="center"/>
              <w:rPr>
                <w:rFonts w:hint="default" w:ascii="Times New Roman" w:hAnsi="Times New Roman" w:eastAsia="仿宋_GB2312" w:cs="Times New Roman"/>
                <w:color w:val="auto"/>
                <w:spacing w:val="20"/>
                <w:sz w:val="24"/>
                <w:szCs w:val="24"/>
                <w:highlight w:val="none"/>
              </w:rPr>
            </w:pPr>
          </w:p>
        </w:tc>
      </w:tr>
      <w:tr w14:paraId="5C7C5400">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2036" w:type="dxa"/>
            <w:tcBorders>
              <w:top w:val="single" w:color="auto" w:sz="2" w:space="0"/>
              <w:bottom w:val="single" w:color="auto" w:sz="2" w:space="0"/>
              <w:right w:val="single" w:color="auto" w:sz="2" w:space="0"/>
            </w:tcBorders>
            <w:noWrap w:val="0"/>
            <w:vAlign w:val="center"/>
          </w:tcPr>
          <w:p w14:paraId="341F8B92">
            <w:pPr>
              <w:keepNext w:val="0"/>
              <w:keepLines w:val="0"/>
              <w:suppressLineNumbers w:val="0"/>
              <w:adjustRightInd w:val="0"/>
              <w:snapToGrid w:val="0"/>
              <w:spacing w:before="0" w:beforeAutospacing="0" w:after="0" w:afterAutospacing="0" w:line="300" w:lineRule="exact"/>
              <w:ind w:left="0" w:right="0"/>
              <w:jc w:val="center"/>
              <w:rPr>
                <w:rFonts w:hint="default" w:ascii="Times New Roman" w:hAnsi="Times New Roman" w:eastAsia="仿宋_GB2312" w:cs="Times New Roman"/>
                <w:color w:val="auto"/>
                <w:sz w:val="24"/>
                <w:szCs w:val="24"/>
                <w:highlight w:val="none"/>
              </w:rPr>
            </w:pPr>
          </w:p>
        </w:tc>
        <w:tc>
          <w:tcPr>
            <w:tcW w:w="2596" w:type="dxa"/>
            <w:tcBorders>
              <w:top w:val="single" w:color="auto" w:sz="2" w:space="0"/>
              <w:left w:val="single" w:color="auto" w:sz="2" w:space="0"/>
              <w:bottom w:val="single" w:color="auto" w:sz="2" w:space="0"/>
              <w:right w:val="single" w:color="auto" w:sz="2" w:space="0"/>
            </w:tcBorders>
            <w:noWrap w:val="0"/>
            <w:vAlign w:val="center"/>
          </w:tcPr>
          <w:p w14:paraId="093CD121">
            <w:pPr>
              <w:keepNext w:val="0"/>
              <w:keepLines w:val="0"/>
              <w:suppressLineNumbers w:val="0"/>
              <w:adjustRightInd w:val="0"/>
              <w:snapToGrid w:val="0"/>
              <w:spacing w:before="0" w:beforeAutospacing="0" w:after="0" w:afterAutospacing="0" w:line="300" w:lineRule="exact"/>
              <w:ind w:left="0" w:right="0"/>
              <w:jc w:val="center"/>
              <w:rPr>
                <w:rFonts w:hint="default" w:ascii="Times New Roman" w:hAnsi="Times New Roman" w:eastAsia="仿宋_GB2312" w:cs="Times New Roman"/>
                <w:color w:val="auto"/>
                <w:sz w:val="24"/>
                <w:szCs w:val="24"/>
                <w:highlight w:val="none"/>
              </w:rPr>
            </w:pPr>
          </w:p>
        </w:tc>
        <w:tc>
          <w:tcPr>
            <w:tcW w:w="2130" w:type="dxa"/>
            <w:tcBorders>
              <w:top w:val="single" w:color="auto" w:sz="2" w:space="0"/>
              <w:left w:val="single" w:color="auto" w:sz="2" w:space="0"/>
              <w:bottom w:val="single" w:color="auto" w:sz="2" w:space="0"/>
              <w:right w:val="single" w:color="auto" w:sz="2" w:space="0"/>
            </w:tcBorders>
            <w:noWrap w:val="0"/>
            <w:vAlign w:val="center"/>
          </w:tcPr>
          <w:p w14:paraId="5E9A4C42">
            <w:pPr>
              <w:keepNext w:val="0"/>
              <w:keepLines w:val="0"/>
              <w:suppressLineNumbers w:val="0"/>
              <w:adjustRightInd w:val="0"/>
              <w:snapToGrid w:val="0"/>
              <w:spacing w:before="0" w:beforeAutospacing="0" w:after="0" w:afterAutospacing="0" w:line="300" w:lineRule="exact"/>
              <w:ind w:left="0" w:right="0"/>
              <w:jc w:val="center"/>
              <w:rPr>
                <w:rFonts w:hint="default" w:ascii="Times New Roman" w:hAnsi="Times New Roman" w:eastAsia="仿宋_GB2312" w:cs="Times New Roman"/>
                <w:color w:val="auto"/>
                <w:sz w:val="24"/>
                <w:szCs w:val="24"/>
                <w:highlight w:val="none"/>
              </w:rPr>
            </w:pPr>
            <w:r>
              <w:rPr>
                <w:rFonts w:hint="default" w:ascii="Times New Roman" w:hAnsi="Times New Roman" w:eastAsia="仿宋_GB2312" w:cs="Times New Roman"/>
                <w:color w:val="auto"/>
                <w:sz w:val="24"/>
                <w:szCs w:val="24"/>
                <w:highlight w:val="none"/>
              </w:rPr>
              <w:t>开户名称</w:t>
            </w:r>
          </w:p>
        </w:tc>
        <w:tc>
          <w:tcPr>
            <w:tcW w:w="2278" w:type="dxa"/>
            <w:tcBorders>
              <w:top w:val="single" w:color="auto" w:sz="2" w:space="0"/>
              <w:left w:val="single" w:color="auto" w:sz="2" w:space="0"/>
              <w:bottom w:val="single" w:color="auto" w:sz="2" w:space="0"/>
            </w:tcBorders>
            <w:noWrap w:val="0"/>
            <w:vAlign w:val="center"/>
          </w:tcPr>
          <w:p w14:paraId="0B3DC999">
            <w:pPr>
              <w:keepNext w:val="0"/>
              <w:keepLines w:val="0"/>
              <w:suppressLineNumbers w:val="0"/>
              <w:adjustRightInd w:val="0"/>
              <w:snapToGrid w:val="0"/>
              <w:spacing w:before="0" w:beforeAutospacing="0" w:after="0" w:afterAutospacing="0" w:line="300" w:lineRule="exact"/>
              <w:ind w:left="0" w:right="0"/>
              <w:jc w:val="center"/>
              <w:rPr>
                <w:rFonts w:hint="default" w:ascii="Times New Roman" w:hAnsi="Times New Roman" w:eastAsia="仿宋_GB2312" w:cs="Times New Roman"/>
                <w:color w:val="auto"/>
                <w:spacing w:val="20"/>
                <w:sz w:val="24"/>
                <w:szCs w:val="24"/>
                <w:highlight w:val="none"/>
              </w:rPr>
            </w:pPr>
          </w:p>
        </w:tc>
      </w:tr>
      <w:tr w14:paraId="5CAD496E">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2036" w:type="dxa"/>
            <w:tcBorders>
              <w:top w:val="single" w:color="auto" w:sz="2" w:space="0"/>
              <w:bottom w:val="single" w:color="auto" w:sz="2" w:space="0"/>
              <w:right w:val="single" w:color="auto" w:sz="2" w:space="0"/>
            </w:tcBorders>
            <w:noWrap w:val="0"/>
            <w:vAlign w:val="center"/>
          </w:tcPr>
          <w:p w14:paraId="01FDBA8D">
            <w:pPr>
              <w:keepNext w:val="0"/>
              <w:keepLines w:val="0"/>
              <w:suppressLineNumbers w:val="0"/>
              <w:adjustRightInd w:val="0"/>
              <w:snapToGrid w:val="0"/>
              <w:spacing w:before="0" w:beforeAutospacing="0" w:after="0" w:afterAutospacing="0" w:line="300" w:lineRule="exact"/>
              <w:ind w:left="0" w:right="0"/>
              <w:jc w:val="center"/>
              <w:rPr>
                <w:rFonts w:hint="default" w:ascii="Times New Roman" w:hAnsi="Times New Roman" w:eastAsia="仿宋_GB2312" w:cs="Times New Roman"/>
                <w:color w:val="auto"/>
                <w:sz w:val="24"/>
                <w:szCs w:val="24"/>
                <w:highlight w:val="none"/>
              </w:rPr>
            </w:pPr>
          </w:p>
        </w:tc>
        <w:tc>
          <w:tcPr>
            <w:tcW w:w="2596" w:type="dxa"/>
            <w:tcBorders>
              <w:top w:val="single" w:color="auto" w:sz="2" w:space="0"/>
              <w:left w:val="single" w:color="auto" w:sz="2" w:space="0"/>
              <w:bottom w:val="single" w:color="auto" w:sz="2" w:space="0"/>
              <w:right w:val="single" w:color="auto" w:sz="2" w:space="0"/>
            </w:tcBorders>
            <w:noWrap w:val="0"/>
            <w:vAlign w:val="center"/>
          </w:tcPr>
          <w:p w14:paraId="79A1EB5B">
            <w:pPr>
              <w:keepNext w:val="0"/>
              <w:keepLines w:val="0"/>
              <w:suppressLineNumbers w:val="0"/>
              <w:adjustRightInd w:val="0"/>
              <w:snapToGrid w:val="0"/>
              <w:spacing w:before="0" w:beforeAutospacing="0" w:after="0" w:afterAutospacing="0" w:line="300" w:lineRule="exact"/>
              <w:ind w:left="0" w:right="0"/>
              <w:jc w:val="center"/>
              <w:rPr>
                <w:rFonts w:hint="default" w:ascii="Times New Roman" w:hAnsi="Times New Roman" w:eastAsia="仿宋_GB2312" w:cs="Times New Roman"/>
                <w:color w:val="auto"/>
                <w:sz w:val="24"/>
                <w:szCs w:val="24"/>
                <w:highlight w:val="none"/>
              </w:rPr>
            </w:pPr>
          </w:p>
        </w:tc>
        <w:tc>
          <w:tcPr>
            <w:tcW w:w="2130" w:type="dxa"/>
            <w:tcBorders>
              <w:top w:val="single" w:color="auto" w:sz="2" w:space="0"/>
              <w:left w:val="single" w:color="auto" w:sz="2" w:space="0"/>
              <w:bottom w:val="single" w:color="auto" w:sz="2" w:space="0"/>
              <w:right w:val="single" w:color="auto" w:sz="2" w:space="0"/>
            </w:tcBorders>
            <w:noWrap w:val="0"/>
            <w:vAlign w:val="center"/>
          </w:tcPr>
          <w:p w14:paraId="522A27BA">
            <w:pPr>
              <w:keepNext w:val="0"/>
              <w:keepLines w:val="0"/>
              <w:suppressLineNumbers w:val="0"/>
              <w:adjustRightInd w:val="0"/>
              <w:snapToGrid w:val="0"/>
              <w:spacing w:before="0" w:beforeAutospacing="0" w:after="0" w:afterAutospacing="0" w:line="300" w:lineRule="exact"/>
              <w:ind w:left="0" w:right="0"/>
              <w:jc w:val="center"/>
              <w:rPr>
                <w:rFonts w:hint="default" w:ascii="Times New Roman" w:hAnsi="Times New Roman" w:eastAsia="仿宋_GB2312" w:cs="Times New Roman"/>
                <w:color w:val="auto"/>
                <w:sz w:val="24"/>
                <w:szCs w:val="24"/>
                <w:highlight w:val="none"/>
              </w:rPr>
            </w:pPr>
            <w:r>
              <w:rPr>
                <w:rFonts w:hint="default" w:ascii="Times New Roman" w:hAnsi="Times New Roman" w:eastAsia="仿宋_GB2312" w:cs="Times New Roman"/>
                <w:color w:val="auto"/>
                <w:sz w:val="24"/>
                <w:szCs w:val="24"/>
                <w:highlight w:val="none"/>
              </w:rPr>
              <w:t>开户银行</w:t>
            </w:r>
          </w:p>
        </w:tc>
        <w:tc>
          <w:tcPr>
            <w:tcW w:w="2278" w:type="dxa"/>
            <w:tcBorders>
              <w:top w:val="single" w:color="auto" w:sz="2" w:space="0"/>
              <w:left w:val="single" w:color="auto" w:sz="2" w:space="0"/>
              <w:bottom w:val="single" w:color="auto" w:sz="2" w:space="0"/>
            </w:tcBorders>
            <w:noWrap w:val="0"/>
            <w:vAlign w:val="center"/>
          </w:tcPr>
          <w:p w14:paraId="7BBEBEAB">
            <w:pPr>
              <w:keepNext w:val="0"/>
              <w:keepLines w:val="0"/>
              <w:suppressLineNumbers w:val="0"/>
              <w:adjustRightInd w:val="0"/>
              <w:snapToGrid w:val="0"/>
              <w:spacing w:before="0" w:beforeAutospacing="0" w:after="0" w:afterAutospacing="0" w:line="300" w:lineRule="exact"/>
              <w:ind w:left="0" w:right="0"/>
              <w:jc w:val="center"/>
              <w:rPr>
                <w:rFonts w:hint="default" w:ascii="Times New Roman" w:hAnsi="Times New Roman" w:eastAsia="仿宋_GB2312" w:cs="Times New Roman"/>
                <w:color w:val="auto"/>
                <w:spacing w:val="20"/>
                <w:sz w:val="24"/>
                <w:szCs w:val="24"/>
                <w:highlight w:val="none"/>
              </w:rPr>
            </w:pPr>
          </w:p>
        </w:tc>
      </w:tr>
      <w:tr w14:paraId="6799B7A2">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2036" w:type="dxa"/>
            <w:tcBorders>
              <w:top w:val="single" w:color="auto" w:sz="2" w:space="0"/>
              <w:bottom w:val="single" w:color="auto" w:sz="2" w:space="0"/>
              <w:right w:val="single" w:color="auto" w:sz="2" w:space="0"/>
            </w:tcBorders>
            <w:noWrap w:val="0"/>
            <w:vAlign w:val="center"/>
          </w:tcPr>
          <w:p w14:paraId="2AB7C810">
            <w:pPr>
              <w:keepNext w:val="0"/>
              <w:keepLines w:val="0"/>
              <w:suppressLineNumbers w:val="0"/>
              <w:adjustRightInd w:val="0"/>
              <w:snapToGrid w:val="0"/>
              <w:spacing w:before="0" w:beforeAutospacing="0" w:after="0" w:afterAutospacing="0" w:line="300" w:lineRule="exact"/>
              <w:ind w:left="0" w:right="0"/>
              <w:jc w:val="center"/>
              <w:rPr>
                <w:rFonts w:hint="default" w:ascii="Times New Roman" w:hAnsi="Times New Roman" w:eastAsia="仿宋_GB2312" w:cs="Times New Roman"/>
                <w:color w:val="auto"/>
                <w:sz w:val="24"/>
                <w:szCs w:val="24"/>
                <w:highlight w:val="none"/>
              </w:rPr>
            </w:pPr>
          </w:p>
        </w:tc>
        <w:tc>
          <w:tcPr>
            <w:tcW w:w="2596" w:type="dxa"/>
            <w:tcBorders>
              <w:top w:val="single" w:color="auto" w:sz="2" w:space="0"/>
              <w:left w:val="single" w:color="auto" w:sz="2" w:space="0"/>
              <w:bottom w:val="single" w:color="auto" w:sz="2" w:space="0"/>
              <w:right w:val="single" w:color="auto" w:sz="2" w:space="0"/>
            </w:tcBorders>
            <w:noWrap w:val="0"/>
            <w:vAlign w:val="center"/>
          </w:tcPr>
          <w:p w14:paraId="53834505">
            <w:pPr>
              <w:keepNext w:val="0"/>
              <w:keepLines w:val="0"/>
              <w:suppressLineNumbers w:val="0"/>
              <w:adjustRightInd w:val="0"/>
              <w:snapToGrid w:val="0"/>
              <w:spacing w:before="0" w:beforeAutospacing="0" w:after="0" w:afterAutospacing="0" w:line="300" w:lineRule="exact"/>
              <w:ind w:left="0" w:right="0"/>
              <w:jc w:val="center"/>
              <w:rPr>
                <w:rFonts w:hint="default" w:ascii="Times New Roman" w:hAnsi="Times New Roman" w:eastAsia="仿宋_GB2312" w:cs="Times New Roman"/>
                <w:color w:val="auto"/>
                <w:sz w:val="24"/>
                <w:szCs w:val="24"/>
                <w:highlight w:val="none"/>
              </w:rPr>
            </w:pPr>
          </w:p>
        </w:tc>
        <w:tc>
          <w:tcPr>
            <w:tcW w:w="2130" w:type="dxa"/>
            <w:tcBorders>
              <w:top w:val="single" w:color="auto" w:sz="2" w:space="0"/>
              <w:left w:val="single" w:color="auto" w:sz="2" w:space="0"/>
              <w:bottom w:val="single" w:color="auto" w:sz="2" w:space="0"/>
              <w:right w:val="single" w:color="auto" w:sz="2" w:space="0"/>
            </w:tcBorders>
            <w:noWrap w:val="0"/>
            <w:vAlign w:val="center"/>
          </w:tcPr>
          <w:p w14:paraId="70622FB1">
            <w:pPr>
              <w:keepNext w:val="0"/>
              <w:keepLines w:val="0"/>
              <w:suppressLineNumbers w:val="0"/>
              <w:adjustRightInd w:val="0"/>
              <w:snapToGrid w:val="0"/>
              <w:spacing w:before="0" w:beforeAutospacing="0" w:after="0" w:afterAutospacing="0" w:line="300" w:lineRule="exact"/>
              <w:ind w:left="0" w:right="0"/>
              <w:jc w:val="center"/>
              <w:rPr>
                <w:rFonts w:hint="default" w:ascii="Times New Roman" w:hAnsi="Times New Roman" w:eastAsia="仿宋_GB2312" w:cs="Times New Roman"/>
                <w:color w:val="auto"/>
                <w:sz w:val="24"/>
                <w:szCs w:val="24"/>
                <w:highlight w:val="none"/>
              </w:rPr>
            </w:pPr>
            <w:r>
              <w:rPr>
                <w:rFonts w:hint="default" w:ascii="Times New Roman" w:hAnsi="Times New Roman" w:eastAsia="仿宋_GB2312" w:cs="Times New Roman"/>
                <w:color w:val="auto"/>
                <w:sz w:val="24"/>
                <w:szCs w:val="24"/>
                <w:highlight w:val="none"/>
              </w:rPr>
              <w:t>银行账号</w:t>
            </w:r>
          </w:p>
        </w:tc>
        <w:tc>
          <w:tcPr>
            <w:tcW w:w="2278" w:type="dxa"/>
            <w:tcBorders>
              <w:top w:val="single" w:color="auto" w:sz="2" w:space="0"/>
              <w:left w:val="single" w:color="auto" w:sz="2" w:space="0"/>
              <w:bottom w:val="single" w:color="auto" w:sz="2" w:space="0"/>
            </w:tcBorders>
            <w:noWrap w:val="0"/>
            <w:vAlign w:val="center"/>
          </w:tcPr>
          <w:p w14:paraId="644BF440">
            <w:pPr>
              <w:keepNext w:val="0"/>
              <w:keepLines w:val="0"/>
              <w:suppressLineNumbers w:val="0"/>
              <w:adjustRightInd w:val="0"/>
              <w:snapToGrid w:val="0"/>
              <w:spacing w:before="0" w:beforeAutospacing="0" w:after="0" w:afterAutospacing="0" w:line="300" w:lineRule="exact"/>
              <w:ind w:left="0" w:right="0"/>
              <w:jc w:val="center"/>
              <w:rPr>
                <w:rFonts w:hint="default" w:ascii="Times New Roman" w:hAnsi="Times New Roman" w:eastAsia="仿宋_GB2312" w:cs="Times New Roman"/>
                <w:color w:val="auto"/>
                <w:spacing w:val="20"/>
                <w:sz w:val="24"/>
                <w:szCs w:val="24"/>
                <w:highlight w:val="none"/>
              </w:rPr>
            </w:pPr>
          </w:p>
        </w:tc>
      </w:tr>
      <w:tr w14:paraId="57A25C6C">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586" w:hRule="atLeast"/>
        </w:trPr>
        <w:tc>
          <w:tcPr>
            <w:tcW w:w="9040" w:type="dxa"/>
            <w:gridSpan w:val="4"/>
            <w:tcBorders>
              <w:top w:val="single" w:color="auto" w:sz="2" w:space="0"/>
            </w:tcBorders>
            <w:noWrap w:val="0"/>
            <w:vAlign w:val="center"/>
          </w:tcPr>
          <w:p w14:paraId="74B7D34B">
            <w:pPr>
              <w:pStyle w:val="16"/>
              <w:keepNext w:val="0"/>
              <w:keepLines w:val="0"/>
              <w:suppressLineNumbers w:val="0"/>
              <w:adjustRightInd w:val="0"/>
              <w:snapToGrid w:val="0"/>
              <w:spacing w:before="156" w:beforeLines="50" w:beforeAutospacing="0" w:after="0" w:afterAutospacing="0" w:line="360" w:lineRule="auto"/>
              <w:ind w:left="0" w:leftChars="0" w:right="0"/>
              <w:jc w:val="left"/>
              <w:rPr>
                <w:rFonts w:hint="default" w:ascii="Times New Roman" w:hAnsi="Times New Roman" w:eastAsia="仿宋_GB2312" w:cs="Times New Roman"/>
                <w:color w:val="auto"/>
                <w:spacing w:val="20"/>
                <w:sz w:val="24"/>
                <w:szCs w:val="24"/>
                <w:highlight w:val="none"/>
              </w:rPr>
            </w:pPr>
            <w:r>
              <w:rPr>
                <w:rFonts w:hint="default" w:ascii="Times New Roman" w:hAnsi="Times New Roman" w:eastAsia="仿宋_GB2312" w:cs="Times New Roman"/>
                <w:color w:val="auto"/>
                <w:sz w:val="24"/>
                <w:szCs w:val="24"/>
                <w:highlight w:val="none"/>
              </w:rPr>
              <w:t>注：涉及联合体或其他合同主体的信息应按上表格式加列。</w:t>
            </w:r>
          </w:p>
        </w:tc>
      </w:tr>
    </w:tbl>
    <w:p w14:paraId="04722B1B">
      <w:pPr>
        <w:pStyle w:val="2"/>
        <w:tabs>
          <w:tab w:val="left" w:pos="0"/>
        </w:tabs>
        <w:adjustRightInd w:val="0"/>
        <w:snapToGrid w:val="0"/>
        <w:spacing w:before="156" w:beforeLines="50"/>
        <w:jc w:val="center"/>
        <w:rPr>
          <w:rFonts w:hint="default" w:ascii="Times New Roman" w:hAnsi="Times New Roman" w:eastAsia="仿宋_GB2312" w:cs="Times New Roman"/>
          <w:b/>
          <w:bCs/>
          <w:color w:val="auto"/>
          <w:sz w:val="24"/>
          <w:szCs w:val="24"/>
          <w:highlight w:val="none"/>
        </w:rPr>
      </w:pPr>
      <w:r>
        <w:rPr>
          <w:rFonts w:hint="default" w:ascii="Times New Roman" w:hAnsi="Times New Roman" w:eastAsia="仿宋_GB2312" w:cs="Times New Roman"/>
          <w:color w:val="auto"/>
          <w:sz w:val="24"/>
          <w:szCs w:val="24"/>
          <w:highlight w:val="none"/>
          <w:u w:val="single"/>
        </w:rPr>
        <w:br w:type="page"/>
      </w:r>
      <w:bookmarkStart w:id="1606" w:name="_Toc26427"/>
      <w:bookmarkStart w:id="1607" w:name="_Toc622"/>
      <w:bookmarkStart w:id="1608" w:name="_Toc27624"/>
      <w:bookmarkStart w:id="1609" w:name="_Toc31526"/>
      <w:bookmarkStart w:id="1610" w:name="_Toc2645"/>
      <w:bookmarkStart w:id="1611" w:name="_Toc9730"/>
      <w:bookmarkStart w:id="1612" w:name="_Toc5276"/>
      <w:r>
        <w:rPr>
          <w:rFonts w:hint="default" w:ascii="Times New Roman" w:hAnsi="Times New Roman" w:eastAsia="仿宋_GB2312" w:cs="Times New Roman"/>
          <w:b/>
          <w:bCs/>
          <w:color w:val="auto"/>
          <w:sz w:val="24"/>
          <w:szCs w:val="24"/>
          <w:highlight w:val="none"/>
        </w:rPr>
        <w:t>政府采购合同通用条款</w:t>
      </w:r>
      <w:bookmarkEnd w:id="1606"/>
      <w:bookmarkEnd w:id="1607"/>
      <w:bookmarkEnd w:id="1608"/>
      <w:bookmarkEnd w:id="1609"/>
      <w:bookmarkEnd w:id="1610"/>
      <w:bookmarkEnd w:id="1611"/>
      <w:bookmarkEnd w:id="1612"/>
    </w:p>
    <w:p w14:paraId="4202371D">
      <w:pPr>
        <w:tabs>
          <w:tab w:val="left" w:pos="8820"/>
          <w:tab w:val="left" w:pos="9345"/>
          <w:tab w:val="left" w:pos="9765"/>
        </w:tabs>
        <w:adjustRightInd w:val="0"/>
        <w:snapToGrid w:val="0"/>
        <w:spacing w:before="0" w:line="400" w:lineRule="exact"/>
        <w:jc w:val="left"/>
        <w:rPr>
          <w:rFonts w:hint="default" w:ascii="Times New Roman" w:hAnsi="Times New Roman" w:eastAsia="仿宋_GB2312" w:cs="Times New Roman"/>
          <w:b/>
          <w:bCs/>
          <w:color w:val="auto"/>
          <w:sz w:val="24"/>
          <w:szCs w:val="24"/>
          <w:highlight w:val="none"/>
        </w:rPr>
      </w:pPr>
      <w:r>
        <w:rPr>
          <w:rFonts w:hint="default" w:ascii="Times New Roman" w:hAnsi="Times New Roman" w:eastAsia="仿宋_GB2312" w:cs="Times New Roman"/>
          <w:b/>
          <w:color w:val="auto"/>
          <w:sz w:val="24"/>
          <w:szCs w:val="24"/>
          <w:highlight w:val="none"/>
        </w:rPr>
        <w:t>1.</w:t>
      </w:r>
      <w:r>
        <w:rPr>
          <w:rFonts w:hint="default" w:ascii="Times New Roman" w:hAnsi="Times New Roman" w:eastAsia="仿宋_GB2312" w:cs="Times New Roman"/>
          <w:b/>
          <w:color w:val="auto"/>
          <w:sz w:val="24"/>
          <w:szCs w:val="24"/>
          <w:highlight w:val="none"/>
          <w:lang w:val="en-US" w:eastAsia="zh-CN"/>
        </w:rPr>
        <w:t xml:space="preserve"> </w:t>
      </w:r>
      <w:r>
        <w:rPr>
          <w:rFonts w:hint="default" w:ascii="Times New Roman" w:hAnsi="Times New Roman" w:eastAsia="仿宋_GB2312" w:cs="Times New Roman"/>
          <w:b/>
          <w:bCs/>
          <w:color w:val="auto"/>
          <w:sz w:val="24"/>
          <w:szCs w:val="24"/>
          <w:highlight w:val="none"/>
        </w:rPr>
        <w:t>定义</w:t>
      </w:r>
    </w:p>
    <w:p w14:paraId="176D4DF5">
      <w:pPr>
        <w:autoSpaceDE w:val="0"/>
        <w:autoSpaceDN w:val="0"/>
        <w:adjustRightInd w:val="0"/>
        <w:snapToGrid w:val="0"/>
        <w:spacing w:before="0" w:line="400" w:lineRule="exact"/>
        <w:ind w:firstLine="480" w:firstLineChars="200"/>
        <w:jc w:val="left"/>
        <w:rPr>
          <w:rFonts w:hint="default" w:ascii="Times New Roman" w:hAnsi="Times New Roman" w:eastAsia="仿宋_GB2312" w:cs="Times New Roman"/>
          <w:color w:val="auto"/>
          <w:sz w:val="24"/>
          <w:szCs w:val="24"/>
          <w:highlight w:val="none"/>
        </w:rPr>
      </w:pPr>
      <w:r>
        <w:rPr>
          <w:rFonts w:hint="default" w:ascii="Times New Roman" w:hAnsi="Times New Roman" w:eastAsia="仿宋_GB2312" w:cs="Times New Roman"/>
          <w:color w:val="auto"/>
          <w:sz w:val="24"/>
          <w:szCs w:val="24"/>
          <w:highlight w:val="none"/>
        </w:rPr>
        <w:t>1.1合同当事人</w:t>
      </w:r>
    </w:p>
    <w:p w14:paraId="555169B7">
      <w:pPr>
        <w:autoSpaceDE w:val="0"/>
        <w:autoSpaceDN w:val="0"/>
        <w:adjustRightInd w:val="0"/>
        <w:snapToGrid w:val="0"/>
        <w:spacing w:before="0" w:line="400" w:lineRule="exact"/>
        <w:ind w:firstLine="480" w:firstLineChars="200"/>
        <w:jc w:val="left"/>
        <w:rPr>
          <w:rFonts w:hint="default" w:ascii="Times New Roman" w:hAnsi="Times New Roman" w:eastAsia="仿宋_GB2312" w:cs="Times New Roman"/>
          <w:color w:val="auto"/>
          <w:sz w:val="24"/>
          <w:szCs w:val="24"/>
          <w:highlight w:val="none"/>
        </w:rPr>
      </w:pPr>
      <w:r>
        <w:rPr>
          <w:rFonts w:hint="default" w:ascii="Times New Roman" w:hAnsi="Times New Roman" w:eastAsia="仿宋_GB2312" w:cs="Times New Roman"/>
          <w:color w:val="auto"/>
          <w:sz w:val="24"/>
          <w:szCs w:val="24"/>
          <w:highlight w:val="none"/>
        </w:rPr>
        <w:t>（1）采购人（以下称甲方）是指使用财政性资金，通过政府采购方式向供应商购买货物</w:t>
      </w:r>
      <w:r>
        <w:rPr>
          <w:rFonts w:hint="default" w:ascii="Times New Roman" w:hAnsi="Times New Roman" w:eastAsia="仿宋_GB2312" w:cs="Times New Roman"/>
          <w:color w:val="auto"/>
          <w:sz w:val="24"/>
          <w:szCs w:val="24"/>
          <w:highlight w:val="none"/>
          <w:lang w:val="en-US" w:eastAsia="zh-CN"/>
        </w:rPr>
        <w:t>及其相关服务的</w:t>
      </w:r>
      <w:r>
        <w:rPr>
          <w:rFonts w:hint="default" w:ascii="Times New Roman" w:hAnsi="Times New Roman" w:eastAsia="仿宋_GB2312" w:cs="Times New Roman"/>
          <w:color w:val="auto"/>
          <w:sz w:val="24"/>
          <w:szCs w:val="24"/>
          <w:highlight w:val="none"/>
        </w:rPr>
        <w:t>国家机关、事业单位、团体组织。</w:t>
      </w:r>
    </w:p>
    <w:p w14:paraId="067D5D08">
      <w:pPr>
        <w:autoSpaceDE w:val="0"/>
        <w:autoSpaceDN w:val="0"/>
        <w:adjustRightInd w:val="0"/>
        <w:snapToGrid w:val="0"/>
        <w:spacing w:before="0" w:line="400" w:lineRule="exact"/>
        <w:ind w:firstLine="480" w:firstLineChars="200"/>
        <w:jc w:val="left"/>
        <w:rPr>
          <w:rFonts w:hint="default" w:ascii="Times New Roman" w:hAnsi="Times New Roman" w:eastAsia="仿宋_GB2312" w:cs="Times New Roman"/>
          <w:color w:val="auto"/>
          <w:sz w:val="24"/>
          <w:szCs w:val="24"/>
          <w:highlight w:val="none"/>
        </w:rPr>
      </w:pPr>
      <w:r>
        <w:rPr>
          <w:rFonts w:hint="default" w:ascii="Times New Roman" w:hAnsi="Times New Roman" w:eastAsia="仿宋_GB2312" w:cs="Times New Roman"/>
          <w:color w:val="auto"/>
          <w:sz w:val="24"/>
          <w:szCs w:val="24"/>
          <w:highlight w:val="none"/>
        </w:rPr>
        <w:t>（2）供应商（以下称</w:t>
      </w:r>
      <w:r>
        <w:rPr>
          <w:rFonts w:hint="default" w:ascii="Times New Roman" w:hAnsi="Times New Roman" w:eastAsia="仿宋_GB2312" w:cs="Times New Roman"/>
          <w:color w:val="auto"/>
          <w:sz w:val="24"/>
          <w:szCs w:val="24"/>
          <w:highlight w:val="none"/>
          <w:lang w:eastAsia="zh-CN"/>
        </w:rPr>
        <w:t>乙</w:t>
      </w:r>
      <w:r>
        <w:rPr>
          <w:rFonts w:hint="default" w:ascii="Times New Roman" w:hAnsi="Times New Roman" w:eastAsia="仿宋_GB2312" w:cs="Times New Roman"/>
          <w:color w:val="auto"/>
          <w:sz w:val="24"/>
          <w:szCs w:val="24"/>
          <w:highlight w:val="none"/>
        </w:rPr>
        <w:t>方）是指参加政府采购活动并且中标（成交），向采购人提供</w:t>
      </w:r>
      <w:r>
        <w:rPr>
          <w:rFonts w:hint="default" w:ascii="Times New Roman" w:hAnsi="Times New Roman" w:eastAsia="仿宋_GB2312" w:cs="Times New Roman"/>
          <w:color w:val="auto"/>
          <w:sz w:val="24"/>
          <w:szCs w:val="24"/>
          <w:highlight w:val="none"/>
          <w:lang w:val="en-US" w:eastAsia="zh-CN"/>
        </w:rPr>
        <w:t>合同约定的货物及其相关服务的法人、非法人组织或者自然人</w:t>
      </w:r>
      <w:r>
        <w:rPr>
          <w:rFonts w:hint="default" w:ascii="Times New Roman" w:hAnsi="Times New Roman" w:eastAsia="仿宋_GB2312" w:cs="Times New Roman"/>
          <w:color w:val="auto"/>
          <w:sz w:val="24"/>
          <w:szCs w:val="24"/>
          <w:highlight w:val="none"/>
        </w:rPr>
        <w:t>。</w:t>
      </w:r>
    </w:p>
    <w:p w14:paraId="37E9CF66">
      <w:pPr>
        <w:autoSpaceDE w:val="0"/>
        <w:autoSpaceDN w:val="0"/>
        <w:adjustRightInd w:val="0"/>
        <w:snapToGrid w:val="0"/>
        <w:spacing w:before="0" w:line="400" w:lineRule="exact"/>
        <w:ind w:firstLine="480" w:firstLineChars="200"/>
        <w:jc w:val="left"/>
        <w:rPr>
          <w:rFonts w:hint="default" w:ascii="Times New Roman" w:hAnsi="Times New Roman" w:eastAsia="仿宋_GB2312" w:cs="Times New Roman"/>
          <w:color w:val="auto"/>
          <w:sz w:val="24"/>
          <w:szCs w:val="24"/>
          <w:highlight w:val="none"/>
        </w:rPr>
      </w:pPr>
      <w:r>
        <w:rPr>
          <w:rFonts w:hint="default" w:ascii="Times New Roman" w:hAnsi="Times New Roman" w:eastAsia="仿宋_GB2312" w:cs="Times New Roman"/>
          <w:color w:val="auto"/>
          <w:sz w:val="24"/>
          <w:szCs w:val="24"/>
          <w:highlight w:val="none"/>
        </w:rPr>
        <w:t>（3）其他合同主体是指除采购人和供应商以外，</w:t>
      </w:r>
      <w:r>
        <w:rPr>
          <w:rFonts w:hint="default" w:ascii="Times New Roman" w:hAnsi="Times New Roman" w:eastAsia="仿宋_GB2312" w:cs="Times New Roman"/>
          <w:bCs/>
          <w:color w:val="auto"/>
          <w:sz w:val="24"/>
          <w:szCs w:val="24"/>
          <w:highlight w:val="none"/>
        </w:rPr>
        <w:t>依法参与合同缔结或履行，享有权利、承担义务的合同当事人</w:t>
      </w:r>
      <w:r>
        <w:rPr>
          <w:rFonts w:hint="default" w:ascii="Times New Roman" w:hAnsi="Times New Roman" w:eastAsia="仿宋_GB2312" w:cs="Times New Roman"/>
          <w:color w:val="auto"/>
          <w:sz w:val="24"/>
          <w:szCs w:val="24"/>
          <w:highlight w:val="none"/>
        </w:rPr>
        <w:t>。</w:t>
      </w:r>
    </w:p>
    <w:p w14:paraId="6BE49B10">
      <w:pPr>
        <w:tabs>
          <w:tab w:val="left" w:pos="570"/>
          <w:tab w:val="left" w:pos="9240"/>
          <w:tab w:val="left" w:pos="9555"/>
        </w:tabs>
        <w:adjustRightInd w:val="0"/>
        <w:snapToGrid w:val="0"/>
        <w:spacing w:before="0" w:line="400" w:lineRule="exact"/>
        <w:ind w:firstLine="480" w:firstLineChars="200"/>
        <w:jc w:val="left"/>
        <w:rPr>
          <w:rFonts w:hint="default" w:ascii="Times New Roman" w:hAnsi="Times New Roman" w:eastAsia="仿宋_GB2312" w:cs="Times New Roman"/>
          <w:color w:val="auto"/>
          <w:sz w:val="24"/>
          <w:szCs w:val="24"/>
          <w:highlight w:val="none"/>
        </w:rPr>
      </w:pPr>
      <w:r>
        <w:rPr>
          <w:rFonts w:hint="default" w:ascii="Times New Roman" w:hAnsi="Times New Roman" w:eastAsia="仿宋_GB2312" w:cs="Times New Roman"/>
          <w:color w:val="auto"/>
          <w:sz w:val="24"/>
          <w:szCs w:val="24"/>
          <w:highlight w:val="none"/>
        </w:rPr>
        <w:t>1.2本合同下列术语应解释为：</w:t>
      </w:r>
    </w:p>
    <w:p w14:paraId="02847BD3">
      <w:pPr>
        <w:adjustRightInd w:val="0"/>
        <w:snapToGrid w:val="0"/>
        <w:spacing w:before="0" w:beforeLines="0" w:line="400" w:lineRule="exact"/>
        <w:ind w:firstLine="480" w:firstLineChars="200"/>
        <w:jc w:val="left"/>
        <w:rPr>
          <w:rFonts w:hint="default" w:ascii="Times New Roman" w:hAnsi="Times New Roman" w:eastAsia="仿宋_GB2312" w:cs="Times New Roman"/>
          <w:color w:val="auto"/>
          <w:sz w:val="24"/>
          <w:szCs w:val="24"/>
          <w:highlight w:val="none"/>
        </w:rPr>
      </w:pPr>
      <w:r>
        <w:rPr>
          <w:rFonts w:hint="default" w:ascii="Times New Roman" w:hAnsi="Times New Roman" w:eastAsia="仿宋_GB2312" w:cs="Times New Roman"/>
          <w:color w:val="auto"/>
          <w:sz w:val="24"/>
          <w:szCs w:val="24"/>
          <w:highlight w:val="none"/>
        </w:rPr>
        <w:t>（1）“合同”系指</w:t>
      </w:r>
      <w:r>
        <w:rPr>
          <w:rFonts w:hint="default" w:ascii="Times New Roman" w:hAnsi="Times New Roman" w:eastAsia="仿宋_GB2312" w:cs="Times New Roman"/>
          <w:bCs/>
          <w:color w:val="auto"/>
          <w:sz w:val="24"/>
          <w:szCs w:val="24"/>
          <w:highlight w:val="none"/>
        </w:rPr>
        <w:t>合同当事人意思表示达成一致的任何协议，包括签署的</w:t>
      </w:r>
      <w:r>
        <w:rPr>
          <w:rFonts w:hint="default" w:ascii="Times New Roman" w:hAnsi="Times New Roman" w:eastAsia="仿宋_GB2312" w:cs="Times New Roman"/>
          <w:color w:val="auto"/>
          <w:sz w:val="24"/>
          <w:szCs w:val="24"/>
          <w:highlight w:val="none"/>
          <w:lang w:eastAsia="zh-CN"/>
        </w:rPr>
        <w:t>政府采购</w:t>
      </w:r>
      <w:r>
        <w:rPr>
          <w:rFonts w:hint="default" w:ascii="Times New Roman" w:hAnsi="Times New Roman" w:eastAsia="仿宋_GB2312" w:cs="Times New Roman"/>
          <w:color w:val="auto"/>
          <w:sz w:val="24"/>
          <w:szCs w:val="24"/>
          <w:highlight w:val="none"/>
        </w:rPr>
        <w:t>合同协议书及其变更、补充</w:t>
      </w:r>
      <w:r>
        <w:rPr>
          <w:rFonts w:hint="default" w:ascii="Times New Roman" w:hAnsi="Times New Roman" w:eastAsia="仿宋_GB2312" w:cs="Times New Roman"/>
          <w:color w:val="auto"/>
          <w:sz w:val="24"/>
          <w:szCs w:val="24"/>
          <w:highlight w:val="none"/>
          <w:lang w:eastAsia="zh-CN"/>
        </w:rPr>
        <w:t>协议，</w:t>
      </w:r>
      <w:r>
        <w:rPr>
          <w:rFonts w:hint="default" w:ascii="Times New Roman" w:hAnsi="Times New Roman" w:eastAsia="仿宋_GB2312" w:cs="Times New Roman"/>
          <w:color w:val="auto"/>
          <w:sz w:val="24"/>
          <w:szCs w:val="24"/>
          <w:highlight w:val="none"/>
        </w:rPr>
        <w:t>政府采购合同专用条款</w:t>
      </w:r>
      <w:r>
        <w:rPr>
          <w:rFonts w:hint="default" w:ascii="Times New Roman" w:hAnsi="Times New Roman" w:eastAsia="仿宋_GB2312" w:cs="Times New Roman"/>
          <w:color w:val="auto"/>
          <w:sz w:val="24"/>
          <w:szCs w:val="24"/>
          <w:highlight w:val="none"/>
          <w:lang w:eastAsia="zh-CN"/>
        </w:rPr>
        <w:t>，</w:t>
      </w:r>
      <w:r>
        <w:rPr>
          <w:rFonts w:hint="default" w:ascii="Times New Roman" w:hAnsi="Times New Roman" w:eastAsia="仿宋_GB2312" w:cs="Times New Roman"/>
          <w:color w:val="auto"/>
          <w:sz w:val="24"/>
          <w:szCs w:val="24"/>
          <w:highlight w:val="none"/>
        </w:rPr>
        <w:t>政府采购合同通用条款</w:t>
      </w:r>
      <w:r>
        <w:rPr>
          <w:rFonts w:hint="default" w:ascii="Times New Roman" w:hAnsi="Times New Roman" w:eastAsia="仿宋_GB2312" w:cs="Times New Roman"/>
          <w:color w:val="auto"/>
          <w:sz w:val="24"/>
          <w:szCs w:val="24"/>
          <w:highlight w:val="none"/>
          <w:lang w:eastAsia="zh-CN"/>
        </w:rPr>
        <w:t>，</w:t>
      </w:r>
      <w:r>
        <w:rPr>
          <w:rFonts w:hint="default" w:ascii="Times New Roman" w:hAnsi="Times New Roman" w:eastAsia="仿宋_GB2312" w:cs="Times New Roman"/>
          <w:color w:val="auto"/>
          <w:sz w:val="24"/>
          <w:szCs w:val="24"/>
          <w:highlight w:val="none"/>
        </w:rPr>
        <w:t>中标</w:t>
      </w:r>
      <w:r>
        <w:rPr>
          <w:rFonts w:hint="default" w:ascii="Times New Roman" w:hAnsi="Times New Roman" w:eastAsia="仿宋_GB2312" w:cs="Times New Roman"/>
          <w:color w:val="auto"/>
          <w:sz w:val="24"/>
          <w:szCs w:val="24"/>
          <w:highlight w:val="none"/>
          <w:lang w:eastAsia="zh-CN"/>
        </w:rPr>
        <w:t>（成交）</w:t>
      </w:r>
      <w:r>
        <w:rPr>
          <w:rFonts w:hint="default" w:ascii="Times New Roman" w:hAnsi="Times New Roman" w:eastAsia="仿宋_GB2312" w:cs="Times New Roman"/>
          <w:color w:val="auto"/>
          <w:sz w:val="24"/>
          <w:szCs w:val="24"/>
          <w:highlight w:val="none"/>
        </w:rPr>
        <w:t>通知书</w:t>
      </w:r>
      <w:r>
        <w:rPr>
          <w:rFonts w:hint="default" w:ascii="Times New Roman" w:hAnsi="Times New Roman" w:eastAsia="仿宋_GB2312" w:cs="Times New Roman"/>
          <w:color w:val="auto"/>
          <w:sz w:val="24"/>
          <w:szCs w:val="24"/>
          <w:highlight w:val="none"/>
          <w:lang w:eastAsia="zh-CN"/>
        </w:rPr>
        <w:t>，</w:t>
      </w:r>
      <w:r>
        <w:rPr>
          <w:rFonts w:hint="default" w:ascii="Times New Roman" w:hAnsi="Times New Roman" w:eastAsia="仿宋_GB2312" w:cs="Times New Roman"/>
          <w:color w:val="auto"/>
          <w:sz w:val="24"/>
          <w:szCs w:val="24"/>
          <w:highlight w:val="none"/>
        </w:rPr>
        <w:t>投标（响应）文件</w:t>
      </w:r>
      <w:r>
        <w:rPr>
          <w:rFonts w:hint="default" w:ascii="Times New Roman" w:hAnsi="Times New Roman" w:eastAsia="仿宋_GB2312" w:cs="Times New Roman"/>
          <w:color w:val="auto"/>
          <w:sz w:val="24"/>
          <w:szCs w:val="24"/>
          <w:highlight w:val="none"/>
          <w:lang w:eastAsia="zh-CN"/>
        </w:rPr>
        <w:t>，</w:t>
      </w:r>
      <w:r>
        <w:rPr>
          <w:rFonts w:hint="default" w:ascii="Times New Roman" w:hAnsi="Times New Roman" w:eastAsia="仿宋_GB2312" w:cs="Times New Roman"/>
          <w:color w:val="auto"/>
          <w:sz w:val="24"/>
          <w:szCs w:val="24"/>
          <w:highlight w:val="none"/>
        </w:rPr>
        <w:t>采购文件</w:t>
      </w:r>
      <w:r>
        <w:rPr>
          <w:rFonts w:hint="default" w:ascii="Times New Roman" w:hAnsi="Times New Roman" w:eastAsia="仿宋_GB2312" w:cs="Times New Roman"/>
          <w:color w:val="auto"/>
          <w:sz w:val="24"/>
          <w:szCs w:val="24"/>
          <w:highlight w:val="none"/>
          <w:lang w:eastAsia="zh-CN"/>
        </w:rPr>
        <w:t>，</w:t>
      </w:r>
      <w:r>
        <w:rPr>
          <w:rFonts w:hint="default" w:ascii="Times New Roman" w:hAnsi="Times New Roman" w:eastAsia="仿宋_GB2312" w:cs="Times New Roman"/>
          <w:color w:val="auto"/>
          <w:sz w:val="24"/>
          <w:szCs w:val="24"/>
          <w:highlight w:val="none"/>
        </w:rPr>
        <w:t>有关技术文件</w:t>
      </w:r>
      <w:r>
        <w:rPr>
          <w:rFonts w:hint="default" w:ascii="Times New Roman" w:hAnsi="Times New Roman" w:eastAsia="仿宋_GB2312" w:cs="Times New Roman"/>
          <w:color w:val="auto"/>
          <w:sz w:val="24"/>
          <w:szCs w:val="24"/>
          <w:highlight w:val="none"/>
          <w:lang w:eastAsia="zh-CN"/>
        </w:rPr>
        <w:t>和</w:t>
      </w:r>
      <w:r>
        <w:rPr>
          <w:rFonts w:hint="default" w:ascii="Times New Roman" w:hAnsi="Times New Roman" w:eastAsia="仿宋_GB2312" w:cs="Times New Roman"/>
          <w:color w:val="auto"/>
          <w:sz w:val="24"/>
          <w:szCs w:val="24"/>
          <w:highlight w:val="none"/>
        </w:rPr>
        <w:t>图纸</w:t>
      </w:r>
      <w:r>
        <w:rPr>
          <w:rFonts w:hint="default" w:ascii="Times New Roman" w:hAnsi="Times New Roman" w:eastAsia="仿宋_GB2312" w:cs="Times New Roman"/>
          <w:color w:val="auto"/>
          <w:sz w:val="24"/>
          <w:szCs w:val="24"/>
          <w:highlight w:val="none"/>
          <w:lang w:eastAsia="zh-CN"/>
        </w:rPr>
        <w:t>，以及</w:t>
      </w:r>
      <w:r>
        <w:rPr>
          <w:rFonts w:hint="default" w:ascii="Times New Roman" w:hAnsi="Times New Roman" w:eastAsia="仿宋_GB2312" w:cs="Times New Roman"/>
          <w:bCs w:val="0"/>
          <w:color w:val="auto"/>
          <w:kern w:val="2"/>
          <w:sz w:val="24"/>
          <w:szCs w:val="24"/>
          <w:highlight w:val="none"/>
          <w:lang w:eastAsia="zh-CN"/>
        </w:rPr>
        <w:t>国家法律、行政法规和规章制度规定或合同约定的作为合同组成部分的其他文件</w:t>
      </w:r>
      <w:r>
        <w:rPr>
          <w:rFonts w:hint="default" w:ascii="Times New Roman" w:hAnsi="Times New Roman" w:eastAsia="仿宋_GB2312" w:cs="Times New Roman"/>
          <w:color w:val="auto"/>
          <w:sz w:val="24"/>
          <w:szCs w:val="24"/>
          <w:highlight w:val="none"/>
        </w:rPr>
        <w:t>。</w:t>
      </w:r>
    </w:p>
    <w:p w14:paraId="4F21A62F">
      <w:pPr>
        <w:tabs>
          <w:tab w:val="left" w:pos="570"/>
          <w:tab w:val="left" w:pos="9240"/>
          <w:tab w:val="left" w:pos="9555"/>
        </w:tabs>
        <w:adjustRightInd w:val="0"/>
        <w:snapToGrid w:val="0"/>
        <w:spacing w:before="0" w:line="400" w:lineRule="exact"/>
        <w:ind w:firstLine="480" w:firstLineChars="200"/>
        <w:jc w:val="left"/>
        <w:rPr>
          <w:rFonts w:hint="default" w:ascii="Times New Roman" w:hAnsi="Times New Roman" w:eastAsia="仿宋_GB2312" w:cs="Times New Roman"/>
          <w:color w:val="auto"/>
          <w:sz w:val="24"/>
          <w:szCs w:val="24"/>
          <w:highlight w:val="none"/>
        </w:rPr>
      </w:pPr>
      <w:r>
        <w:rPr>
          <w:rFonts w:hint="default" w:ascii="Times New Roman" w:hAnsi="Times New Roman" w:eastAsia="仿宋_GB2312" w:cs="Times New Roman"/>
          <w:color w:val="auto"/>
          <w:sz w:val="24"/>
          <w:szCs w:val="24"/>
          <w:highlight w:val="none"/>
        </w:rPr>
        <w:t>（</w:t>
      </w:r>
      <w:r>
        <w:rPr>
          <w:rFonts w:hint="default" w:ascii="Times New Roman" w:hAnsi="Times New Roman" w:eastAsia="仿宋_GB2312" w:cs="Times New Roman"/>
          <w:color w:val="auto"/>
          <w:sz w:val="24"/>
          <w:szCs w:val="24"/>
          <w:highlight w:val="none"/>
          <w:lang w:val="en-US" w:eastAsia="zh-CN"/>
        </w:rPr>
        <w:t>2</w:t>
      </w:r>
      <w:r>
        <w:rPr>
          <w:rFonts w:hint="default" w:ascii="Times New Roman" w:hAnsi="Times New Roman" w:eastAsia="仿宋_GB2312" w:cs="Times New Roman"/>
          <w:color w:val="auto"/>
          <w:sz w:val="24"/>
          <w:szCs w:val="24"/>
          <w:highlight w:val="none"/>
        </w:rPr>
        <w:t>）“合同价</w:t>
      </w:r>
      <w:r>
        <w:rPr>
          <w:rFonts w:hint="default" w:ascii="Times New Roman" w:hAnsi="Times New Roman" w:eastAsia="仿宋_GB2312" w:cs="Times New Roman"/>
          <w:color w:val="auto"/>
          <w:sz w:val="24"/>
          <w:szCs w:val="24"/>
          <w:highlight w:val="none"/>
          <w:lang w:val="en-US" w:eastAsia="zh-CN"/>
        </w:rPr>
        <w:t>款</w:t>
      </w:r>
      <w:r>
        <w:rPr>
          <w:rFonts w:hint="default" w:ascii="Times New Roman" w:hAnsi="Times New Roman" w:eastAsia="仿宋_GB2312" w:cs="Times New Roman"/>
          <w:color w:val="auto"/>
          <w:sz w:val="24"/>
          <w:szCs w:val="24"/>
          <w:highlight w:val="none"/>
        </w:rPr>
        <w:t>”系指根据本合同规定乙方在全面履行合同义务后甲方应支付给乙方的价款。</w:t>
      </w:r>
    </w:p>
    <w:p w14:paraId="28620465">
      <w:pPr>
        <w:tabs>
          <w:tab w:val="left" w:pos="570"/>
          <w:tab w:val="left" w:pos="9240"/>
          <w:tab w:val="left" w:pos="9555"/>
        </w:tabs>
        <w:adjustRightInd w:val="0"/>
        <w:snapToGrid w:val="0"/>
        <w:spacing w:before="0" w:line="400" w:lineRule="exact"/>
        <w:ind w:firstLine="480" w:firstLineChars="200"/>
        <w:jc w:val="left"/>
        <w:rPr>
          <w:rFonts w:hint="default" w:ascii="Times New Roman" w:hAnsi="Times New Roman" w:eastAsia="仿宋_GB2312" w:cs="Times New Roman"/>
          <w:color w:val="auto"/>
          <w:sz w:val="24"/>
          <w:szCs w:val="24"/>
          <w:highlight w:val="none"/>
          <w:lang w:eastAsia="zh-CN"/>
        </w:rPr>
      </w:pPr>
      <w:r>
        <w:rPr>
          <w:rFonts w:hint="default" w:ascii="Times New Roman" w:hAnsi="Times New Roman" w:eastAsia="仿宋_GB2312" w:cs="Times New Roman"/>
          <w:color w:val="auto"/>
          <w:sz w:val="24"/>
          <w:szCs w:val="24"/>
          <w:highlight w:val="none"/>
        </w:rPr>
        <w:t>（</w:t>
      </w:r>
      <w:r>
        <w:rPr>
          <w:rFonts w:hint="default" w:ascii="Times New Roman" w:hAnsi="Times New Roman" w:eastAsia="仿宋_GB2312" w:cs="Times New Roman"/>
          <w:color w:val="auto"/>
          <w:sz w:val="24"/>
          <w:szCs w:val="24"/>
          <w:highlight w:val="none"/>
          <w:lang w:val="en-US" w:eastAsia="zh-CN"/>
        </w:rPr>
        <w:t>3</w:t>
      </w:r>
      <w:r>
        <w:rPr>
          <w:rFonts w:hint="default" w:ascii="Times New Roman" w:hAnsi="Times New Roman" w:eastAsia="仿宋_GB2312" w:cs="Times New Roman"/>
          <w:color w:val="auto"/>
          <w:sz w:val="24"/>
          <w:szCs w:val="24"/>
          <w:highlight w:val="none"/>
        </w:rPr>
        <w:t>）“货物”系指乙方根据本合同规定须向甲方提供的各种形态和种类的物品，包括原材料、设备、产品（包括软件）及相关的其备品备件、工具、手册及</w:t>
      </w:r>
      <w:r>
        <w:rPr>
          <w:rFonts w:hint="default" w:ascii="Times New Roman" w:hAnsi="Times New Roman" w:eastAsia="仿宋_GB2312" w:cs="Times New Roman"/>
          <w:color w:val="auto"/>
          <w:sz w:val="24"/>
          <w:szCs w:val="24"/>
          <w:highlight w:val="none"/>
          <w:lang w:val="en"/>
        </w:rPr>
        <w:t>其他</w:t>
      </w:r>
      <w:r>
        <w:rPr>
          <w:rFonts w:hint="default" w:ascii="Times New Roman" w:hAnsi="Times New Roman" w:eastAsia="仿宋_GB2312" w:cs="Times New Roman"/>
          <w:color w:val="auto"/>
          <w:sz w:val="24"/>
          <w:szCs w:val="24"/>
          <w:highlight w:val="none"/>
        </w:rPr>
        <w:t>技术资料和材料</w:t>
      </w:r>
      <w:r>
        <w:rPr>
          <w:rFonts w:hint="default" w:ascii="Times New Roman" w:hAnsi="Times New Roman" w:eastAsia="仿宋_GB2312" w:cs="Times New Roman"/>
          <w:color w:val="auto"/>
          <w:sz w:val="24"/>
          <w:szCs w:val="24"/>
          <w:highlight w:val="none"/>
          <w:lang w:eastAsia="zh-CN"/>
        </w:rPr>
        <w:t>等</w:t>
      </w:r>
      <w:r>
        <w:rPr>
          <w:rFonts w:hint="default" w:ascii="Times New Roman" w:hAnsi="Times New Roman" w:eastAsia="仿宋_GB2312" w:cs="Times New Roman"/>
          <w:color w:val="auto"/>
          <w:sz w:val="24"/>
          <w:szCs w:val="24"/>
          <w:highlight w:val="none"/>
        </w:rPr>
        <w:t>。</w:t>
      </w:r>
    </w:p>
    <w:p w14:paraId="3C529A29">
      <w:pPr>
        <w:adjustRightInd w:val="0"/>
        <w:snapToGrid w:val="0"/>
        <w:spacing w:before="0" w:line="400" w:lineRule="exact"/>
        <w:ind w:firstLine="480" w:firstLineChars="200"/>
        <w:jc w:val="left"/>
        <w:rPr>
          <w:rFonts w:hint="default" w:ascii="Times New Roman" w:hAnsi="Times New Roman" w:eastAsia="仿宋_GB2312" w:cs="Times New Roman"/>
          <w:color w:val="auto"/>
          <w:sz w:val="24"/>
          <w:szCs w:val="24"/>
          <w:highlight w:val="none"/>
          <w:lang w:eastAsia="zh-CN"/>
        </w:rPr>
      </w:pPr>
      <w:r>
        <w:rPr>
          <w:rFonts w:hint="default" w:ascii="Times New Roman" w:hAnsi="Times New Roman" w:eastAsia="仿宋_GB2312" w:cs="Times New Roman"/>
          <w:color w:val="auto"/>
          <w:sz w:val="24"/>
          <w:szCs w:val="24"/>
          <w:highlight w:val="none"/>
        </w:rPr>
        <w:t>（</w:t>
      </w:r>
      <w:r>
        <w:rPr>
          <w:rFonts w:hint="default" w:ascii="Times New Roman" w:hAnsi="Times New Roman" w:eastAsia="仿宋_GB2312" w:cs="Times New Roman"/>
          <w:color w:val="auto"/>
          <w:sz w:val="24"/>
          <w:szCs w:val="24"/>
          <w:highlight w:val="none"/>
          <w:lang w:val="en-US" w:eastAsia="zh-CN"/>
        </w:rPr>
        <w:t>4</w:t>
      </w:r>
      <w:r>
        <w:rPr>
          <w:rFonts w:hint="default" w:ascii="Times New Roman" w:hAnsi="Times New Roman" w:eastAsia="仿宋_GB2312" w:cs="Times New Roman"/>
          <w:color w:val="auto"/>
          <w:sz w:val="24"/>
          <w:szCs w:val="24"/>
          <w:highlight w:val="none"/>
        </w:rPr>
        <w:t>）“</w:t>
      </w:r>
      <w:r>
        <w:rPr>
          <w:rFonts w:hint="default" w:ascii="Times New Roman" w:hAnsi="Times New Roman" w:eastAsia="仿宋_GB2312" w:cs="Times New Roman"/>
          <w:color w:val="auto"/>
          <w:sz w:val="24"/>
          <w:szCs w:val="24"/>
          <w:highlight w:val="none"/>
          <w:lang w:val="en-US" w:eastAsia="zh-CN"/>
        </w:rPr>
        <w:t>相关</w:t>
      </w:r>
      <w:r>
        <w:rPr>
          <w:rFonts w:hint="default" w:ascii="Times New Roman" w:hAnsi="Times New Roman" w:eastAsia="仿宋_GB2312" w:cs="Times New Roman"/>
          <w:color w:val="auto"/>
          <w:sz w:val="24"/>
          <w:szCs w:val="24"/>
          <w:highlight w:val="none"/>
        </w:rPr>
        <w:t>服务”系指根据合同规定，乙方应提供的</w:t>
      </w:r>
      <w:r>
        <w:rPr>
          <w:rFonts w:hint="default" w:ascii="Times New Roman" w:hAnsi="Times New Roman" w:eastAsia="仿宋_GB2312" w:cs="Times New Roman"/>
          <w:color w:val="auto"/>
          <w:sz w:val="24"/>
          <w:szCs w:val="24"/>
          <w:highlight w:val="none"/>
          <w:lang w:val="en-US" w:eastAsia="zh-CN"/>
        </w:rPr>
        <w:t>与货物有关的</w:t>
      </w:r>
      <w:r>
        <w:rPr>
          <w:rFonts w:hint="default" w:ascii="Times New Roman" w:hAnsi="Times New Roman" w:eastAsia="仿宋_GB2312" w:cs="Times New Roman"/>
          <w:color w:val="auto"/>
          <w:sz w:val="24"/>
          <w:szCs w:val="24"/>
          <w:highlight w:val="none"/>
        </w:rPr>
        <w:t>技术、管理和</w:t>
      </w:r>
      <w:r>
        <w:rPr>
          <w:rFonts w:hint="default" w:ascii="Times New Roman" w:hAnsi="Times New Roman" w:eastAsia="仿宋_GB2312" w:cs="Times New Roman"/>
          <w:color w:val="auto"/>
          <w:sz w:val="24"/>
          <w:szCs w:val="24"/>
          <w:highlight w:val="none"/>
          <w:lang w:val="en"/>
        </w:rPr>
        <w:t>其他</w:t>
      </w:r>
      <w:r>
        <w:rPr>
          <w:rFonts w:hint="default" w:ascii="Times New Roman" w:hAnsi="Times New Roman" w:eastAsia="仿宋_GB2312" w:cs="Times New Roman"/>
          <w:color w:val="auto"/>
          <w:sz w:val="24"/>
          <w:szCs w:val="24"/>
          <w:highlight w:val="none"/>
        </w:rPr>
        <w:t>服务，包括但不限于：管理和质量保证、运输、保险、检验、现场准备、安装、集成、调试、培训、维修、</w:t>
      </w:r>
      <w:r>
        <w:rPr>
          <w:rFonts w:hint="default" w:ascii="Times New Roman" w:hAnsi="Times New Roman" w:eastAsia="仿宋_GB2312" w:cs="Times New Roman"/>
          <w:color w:val="auto"/>
          <w:sz w:val="24"/>
          <w:szCs w:val="24"/>
          <w:highlight w:val="none"/>
          <w:lang w:eastAsia="zh-CN"/>
        </w:rPr>
        <w:t>废弃处置、</w:t>
      </w:r>
      <w:r>
        <w:rPr>
          <w:rFonts w:hint="default" w:ascii="Times New Roman" w:hAnsi="Times New Roman" w:eastAsia="仿宋_GB2312" w:cs="Times New Roman"/>
          <w:color w:val="auto"/>
          <w:sz w:val="24"/>
          <w:szCs w:val="24"/>
          <w:highlight w:val="none"/>
        </w:rPr>
        <w:t>技术支持等以及合同中规定乙方应承担的</w:t>
      </w:r>
      <w:r>
        <w:rPr>
          <w:rFonts w:hint="default" w:ascii="Times New Roman" w:hAnsi="Times New Roman" w:eastAsia="仿宋_GB2312" w:cs="Times New Roman"/>
          <w:color w:val="auto"/>
          <w:sz w:val="24"/>
          <w:szCs w:val="24"/>
          <w:highlight w:val="none"/>
          <w:lang w:val="en"/>
        </w:rPr>
        <w:t>其他</w:t>
      </w:r>
      <w:r>
        <w:rPr>
          <w:rFonts w:hint="default" w:ascii="Times New Roman" w:hAnsi="Times New Roman" w:eastAsia="仿宋_GB2312" w:cs="Times New Roman"/>
          <w:color w:val="auto"/>
          <w:sz w:val="24"/>
          <w:szCs w:val="24"/>
          <w:highlight w:val="none"/>
        </w:rPr>
        <w:t>义务。</w:t>
      </w:r>
    </w:p>
    <w:p w14:paraId="4C8EF04C">
      <w:pPr>
        <w:adjustRightInd w:val="0"/>
        <w:snapToGrid w:val="0"/>
        <w:spacing w:before="0" w:line="400" w:lineRule="exact"/>
        <w:ind w:firstLine="480" w:firstLineChars="200"/>
        <w:jc w:val="left"/>
        <w:rPr>
          <w:rFonts w:hint="default" w:ascii="Times New Roman" w:hAnsi="Times New Roman" w:eastAsia="仿宋_GB2312" w:cs="Times New Roman"/>
          <w:color w:val="auto"/>
          <w:sz w:val="24"/>
          <w:szCs w:val="24"/>
          <w:highlight w:val="none"/>
          <w:lang w:eastAsia="zh-CN"/>
        </w:rPr>
      </w:pPr>
      <w:r>
        <w:rPr>
          <w:rFonts w:hint="default" w:ascii="Times New Roman" w:hAnsi="Times New Roman" w:eastAsia="仿宋_GB2312" w:cs="Times New Roman"/>
          <w:color w:val="auto"/>
          <w:sz w:val="24"/>
          <w:szCs w:val="24"/>
          <w:highlight w:val="none"/>
        </w:rPr>
        <w:t>（</w:t>
      </w:r>
      <w:r>
        <w:rPr>
          <w:rFonts w:hint="default" w:ascii="Times New Roman" w:hAnsi="Times New Roman" w:eastAsia="仿宋_GB2312" w:cs="Times New Roman"/>
          <w:color w:val="auto"/>
          <w:sz w:val="24"/>
          <w:szCs w:val="24"/>
          <w:highlight w:val="none"/>
          <w:lang w:val="en-US" w:eastAsia="zh-CN"/>
        </w:rPr>
        <w:t>5</w:t>
      </w:r>
      <w:r>
        <w:rPr>
          <w:rFonts w:hint="default" w:ascii="Times New Roman" w:hAnsi="Times New Roman" w:eastAsia="仿宋_GB2312" w:cs="Times New Roman"/>
          <w:color w:val="auto"/>
          <w:sz w:val="24"/>
          <w:szCs w:val="24"/>
          <w:highlight w:val="none"/>
        </w:rPr>
        <w:t>）“分包”系指中标</w:t>
      </w:r>
      <w:r>
        <w:rPr>
          <w:rFonts w:hint="default" w:ascii="Times New Roman" w:hAnsi="Times New Roman" w:eastAsia="仿宋_GB2312" w:cs="Times New Roman"/>
          <w:color w:val="auto"/>
          <w:sz w:val="24"/>
          <w:szCs w:val="24"/>
          <w:highlight w:val="none"/>
          <w:lang w:eastAsia="zh-CN"/>
        </w:rPr>
        <w:t>（</w:t>
      </w:r>
      <w:r>
        <w:rPr>
          <w:rFonts w:hint="default" w:ascii="Times New Roman" w:hAnsi="Times New Roman" w:eastAsia="仿宋_GB2312" w:cs="Times New Roman"/>
          <w:color w:val="auto"/>
          <w:sz w:val="24"/>
          <w:szCs w:val="24"/>
          <w:highlight w:val="none"/>
        </w:rPr>
        <w:t>成交</w:t>
      </w:r>
      <w:r>
        <w:rPr>
          <w:rFonts w:hint="default" w:ascii="Times New Roman" w:hAnsi="Times New Roman" w:eastAsia="仿宋_GB2312" w:cs="Times New Roman"/>
          <w:color w:val="auto"/>
          <w:sz w:val="24"/>
          <w:szCs w:val="24"/>
          <w:highlight w:val="none"/>
          <w:lang w:eastAsia="zh-CN"/>
        </w:rPr>
        <w:t>）</w:t>
      </w:r>
      <w:r>
        <w:rPr>
          <w:rFonts w:hint="default" w:ascii="Times New Roman" w:hAnsi="Times New Roman" w:eastAsia="仿宋_GB2312" w:cs="Times New Roman"/>
          <w:color w:val="auto"/>
          <w:sz w:val="24"/>
          <w:szCs w:val="24"/>
          <w:highlight w:val="none"/>
        </w:rPr>
        <w:t>供应商按采购文件、投标（响应）文件的规定，根据分包意向协议，将中标</w:t>
      </w:r>
      <w:r>
        <w:rPr>
          <w:rFonts w:hint="default" w:ascii="Times New Roman" w:hAnsi="Times New Roman" w:eastAsia="仿宋_GB2312" w:cs="Times New Roman"/>
          <w:color w:val="auto"/>
          <w:sz w:val="24"/>
          <w:szCs w:val="24"/>
          <w:highlight w:val="none"/>
          <w:lang w:eastAsia="zh-CN"/>
        </w:rPr>
        <w:t>（</w:t>
      </w:r>
      <w:r>
        <w:rPr>
          <w:rFonts w:hint="default" w:ascii="Times New Roman" w:hAnsi="Times New Roman" w:eastAsia="仿宋_GB2312" w:cs="Times New Roman"/>
          <w:color w:val="auto"/>
          <w:sz w:val="24"/>
          <w:szCs w:val="24"/>
          <w:highlight w:val="none"/>
        </w:rPr>
        <w:t>成交</w:t>
      </w:r>
      <w:r>
        <w:rPr>
          <w:rFonts w:hint="default" w:ascii="Times New Roman" w:hAnsi="Times New Roman" w:eastAsia="仿宋_GB2312" w:cs="Times New Roman"/>
          <w:color w:val="auto"/>
          <w:sz w:val="24"/>
          <w:szCs w:val="24"/>
          <w:highlight w:val="none"/>
          <w:lang w:eastAsia="zh-CN"/>
        </w:rPr>
        <w:t>）</w:t>
      </w:r>
      <w:r>
        <w:rPr>
          <w:rFonts w:hint="default" w:ascii="Times New Roman" w:hAnsi="Times New Roman" w:eastAsia="仿宋_GB2312" w:cs="Times New Roman"/>
          <w:color w:val="auto"/>
          <w:sz w:val="24"/>
          <w:szCs w:val="24"/>
          <w:highlight w:val="none"/>
        </w:rPr>
        <w:t>项目中的部分履约内容，分给具有相应资质条件的供应商履行合同的行为。</w:t>
      </w:r>
    </w:p>
    <w:p w14:paraId="7DF99A62">
      <w:pPr>
        <w:tabs>
          <w:tab w:val="left" w:pos="570"/>
          <w:tab w:val="left" w:pos="9240"/>
          <w:tab w:val="left" w:pos="9555"/>
        </w:tabs>
        <w:adjustRightInd w:val="0"/>
        <w:snapToGrid w:val="0"/>
        <w:spacing w:before="0" w:line="400" w:lineRule="exact"/>
        <w:ind w:firstLine="480" w:firstLineChars="200"/>
        <w:jc w:val="left"/>
        <w:rPr>
          <w:rFonts w:hint="default" w:ascii="Times New Roman" w:hAnsi="Times New Roman" w:eastAsia="仿宋_GB2312" w:cs="Times New Roman"/>
          <w:color w:val="auto"/>
          <w:sz w:val="24"/>
          <w:szCs w:val="24"/>
          <w:highlight w:val="none"/>
        </w:rPr>
      </w:pPr>
      <w:r>
        <w:rPr>
          <w:rFonts w:hint="default" w:ascii="Times New Roman" w:hAnsi="Times New Roman" w:eastAsia="仿宋_GB2312" w:cs="Times New Roman"/>
          <w:color w:val="auto"/>
          <w:sz w:val="24"/>
          <w:szCs w:val="24"/>
          <w:highlight w:val="none"/>
        </w:rPr>
        <w:t>（</w:t>
      </w:r>
      <w:r>
        <w:rPr>
          <w:rFonts w:hint="default" w:ascii="Times New Roman" w:hAnsi="Times New Roman" w:eastAsia="仿宋_GB2312" w:cs="Times New Roman"/>
          <w:color w:val="auto"/>
          <w:sz w:val="24"/>
          <w:szCs w:val="24"/>
          <w:highlight w:val="none"/>
          <w:lang w:val="en-US" w:eastAsia="zh-CN"/>
        </w:rPr>
        <w:t>6</w:t>
      </w:r>
      <w:r>
        <w:rPr>
          <w:rFonts w:hint="default" w:ascii="Times New Roman" w:hAnsi="Times New Roman" w:eastAsia="仿宋_GB2312" w:cs="Times New Roman"/>
          <w:color w:val="auto"/>
          <w:sz w:val="24"/>
          <w:szCs w:val="24"/>
          <w:highlight w:val="none"/>
        </w:rPr>
        <w:t>）“联合体”系指</w:t>
      </w:r>
      <w:r>
        <w:rPr>
          <w:rFonts w:hint="default" w:ascii="Times New Roman" w:hAnsi="Times New Roman" w:eastAsia="仿宋_GB2312" w:cs="Times New Roman"/>
          <w:color w:val="auto"/>
          <w:sz w:val="24"/>
          <w:szCs w:val="24"/>
          <w:highlight w:val="none"/>
          <w:lang w:eastAsia="zh-CN"/>
        </w:rPr>
        <w:t>由</w:t>
      </w:r>
      <w:r>
        <w:rPr>
          <w:rFonts w:hint="default" w:ascii="Times New Roman" w:hAnsi="Times New Roman" w:eastAsia="仿宋_GB2312" w:cs="Times New Roman"/>
          <w:color w:val="auto"/>
          <w:sz w:val="24"/>
          <w:szCs w:val="24"/>
          <w:highlight w:val="none"/>
        </w:rPr>
        <w:t>两个以上的自然人、法人或者</w:t>
      </w:r>
      <w:r>
        <w:rPr>
          <w:rFonts w:hint="default" w:ascii="Times New Roman" w:hAnsi="Times New Roman" w:eastAsia="仿宋_GB2312" w:cs="Times New Roman"/>
          <w:color w:val="auto"/>
          <w:sz w:val="24"/>
          <w:szCs w:val="24"/>
          <w:highlight w:val="none"/>
          <w:lang w:val="en-US" w:eastAsia="zh-CN"/>
        </w:rPr>
        <w:t>非法人</w:t>
      </w:r>
      <w:r>
        <w:rPr>
          <w:rFonts w:hint="default" w:ascii="Times New Roman" w:hAnsi="Times New Roman" w:eastAsia="仿宋_GB2312" w:cs="Times New Roman"/>
          <w:color w:val="auto"/>
          <w:sz w:val="24"/>
          <w:szCs w:val="24"/>
          <w:highlight w:val="none"/>
        </w:rPr>
        <w:t>组织组成，</w:t>
      </w:r>
      <w:r>
        <w:rPr>
          <w:rFonts w:hint="default" w:ascii="Times New Roman" w:hAnsi="Times New Roman" w:eastAsia="仿宋_GB2312" w:cs="Times New Roman"/>
          <w:color w:val="auto"/>
          <w:sz w:val="24"/>
          <w:szCs w:val="24"/>
          <w:highlight w:val="none"/>
          <w:lang w:eastAsia="zh-CN"/>
        </w:rPr>
        <w:t>以一个供应商的身份共同参加政府采购的主体。</w:t>
      </w:r>
      <w:r>
        <w:rPr>
          <w:rFonts w:hint="default" w:ascii="Times New Roman" w:hAnsi="Times New Roman" w:eastAsia="仿宋_GB2312" w:cs="Times New Roman"/>
          <w:color w:val="auto"/>
          <w:sz w:val="24"/>
          <w:szCs w:val="24"/>
          <w:highlight w:val="none"/>
        </w:rPr>
        <w:t>联合体各方应在签订合同协议书前向甲方提交联合协议，且明确牵头人及各成员单位的工作分工、权利、义务、责任，联合体各方应共同与甲方签订合同，就合同约定的事项对</w:t>
      </w:r>
      <w:r>
        <w:rPr>
          <w:rFonts w:hint="default" w:ascii="Times New Roman" w:hAnsi="Times New Roman" w:eastAsia="仿宋_GB2312" w:cs="Times New Roman"/>
          <w:color w:val="auto"/>
          <w:sz w:val="24"/>
          <w:szCs w:val="24"/>
          <w:highlight w:val="none"/>
          <w:lang w:eastAsia="zh-CN"/>
        </w:rPr>
        <w:t>甲方</w:t>
      </w:r>
      <w:r>
        <w:rPr>
          <w:rFonts w:hint="default" w:ascii="Times New Roman" w:hAnsi="Times New Roman" w:eastAsia="仿宋_GB2312" w:cs="Times New Roman"/>
          <w:color w:val="auto"/>
          <w:sz w:val="24"/>
          <w:szCs w:val="24"/>
          <w:highlight w:val="none"/>
        </w:rPr>
        <w:t>承担连带责任。联合体具体要求见【</w:t>
      </w:r>
      <w:r>
        <w:rPr>
          <w:rFonts w:hint="default" w:ascii="Times New Roman" w:hAnsi="Times New Roman" w:eastAsia="仿宋_GB2312" w:cs="Times New Roman"/>
          <w:b/>
          <w:bCs/>
          <w:color w:val="auto"/>
          <w:sz w:val="24"/>
          <w:szCs w:val="24"/>
          <w:highlight w:val="none"/>
        </w:rPr>
        <w:t>政府采购合同专用条款</w:t>
      </w:r>
      <w:r>
        <w:rPr>
          <w:rFonts w:hint="default" w:ascii="Times New Roman" w:hAnsi="Times New Roman" w:eastAsia="仿宋_GB2312" w:cs="Times New Roman"/>
          <w:color w:val="auto"/>
          <w:sz w:val="24"/>
          <w:szCs w:val="24"/>
          <w:highlight w:val="none"/>
        </w:rPr>
        <w:t>】。</w:t>
      </w:r>
    </w:p>
    <w:p w14:paraId="5539AA18">
      <w:pPr>
        <w:tabs>
          <w:tab w:val="left" w:pos="570"/>
          <w:tab w:val="left" w:pos="9240"/>
          <w:tab w:val="left" w:pos="9555"/>
        </w:tabs>
        <w:adjustRightInd w:val="0"/>
        <w:snapToGrid w:val="0"/>
        <w:spacing w:before="0" w:line="400" w:lineRule="exact"/>
        <w:ind w:firstLine="480" w:firstLineChars="200"/>
        <w:jc w:val="left"/>
        <w:rPr>
          <w:rFonts w:hint="default" w:ascii="Times New Roman" w:hAnsi="Times New Roman" w:eastAsia="仿宋_GB2312" w:cs="Times New Roman"/>
          <w:color w:val="auto"/>
          <w:sz w:val="24"/>
          <w:szCs w:val="24"/>
          <w:highlight w:val="none"/>
        </w:rPr>
      </w:pPr>
      <w:r>
        <w:rPr>
          <w:rFonts w:hint="default" w:ascii="Times New Roman" w:hAnsi="Times New Roman" w:eastAsia="仿宋_GB2312" w:cs="Times New Roman"/>
          <w:color w:val="auto"/>
          <w:sz w:val="24"/>
          <w:szCs w:val="24"/>
          <w:highlight w:val="none"/>
        </w:rPr>
        <w:t>（</w:t>
      </w:r>
      <w:r>
        <w:rPr>
          <w:rFonts w:hint="default" w:ascii="Times New Roman" w:hAnsi="Times New Roman" w:eastAsia="仿宋_GB2312" w:cs="Times New Roman"/>
          <w:color w:val="auto"/>
          <w:sz w:val="24"/>
          <w:szCs w:val="24"/>
          <w:highlight w:val="none"/>
          <w:lang w:val="en-US" w:eastAsia="zh-CN"/>
        </w:rPr>
        <w:t>7</w:t>
      </w:r>
      <w:r>
        <w:rPr>
          <w:rFonts w:hint="default" w:ascii="Times New Roman" w:hAnsi="Times New Roman" w:eastAsia="仿宋_GB2312" w:cs="Times New Roman"/>
          <w:color w:val="auto"/>
          <w:sz w:val="24"/>
          <w:szCs w:val="24"/>
          <w:highlight w:val="none"/>
        </w:rPr>
        <w:t>）其他术语解释，见【</w:t>
      </w:r>
      <w:r>
        <w:rPr>
          <w:rFonts w:hint="default" w:ascii="Times New Roman" w:hAnsi="Times New Roman" w:eastAsia="仿宋_GB2312" w:cs="Times New Roman"/>
          <w:b/>
          <w:bCs/>
          <w:color w:val="auto"/>
          <w:sz w:val="24"/>
          <w:szCs w:val="24"/>
          <w:highlight w:val="none"/>
        </w:rPr>
        <w:t>政府采购合同专用条款</w:t>
      </w:r>
      <w:r>
        <w:rPr>
          <w:rFonts w:hint="default" w:ascii="Times New Roman" w:hAnsi="Times New Roman" w:eastAsia="仿宋_GB2312" w:cs="Times New Roman"/>
          <w:color w:val="auto"/>
          <w:sz w:val="24"/>
          <w:szCs w:val="24"/>
          <w:highlight w:val="none"/>
        </w:rPr>
        <w:t>】。</w:t>
      </w:r>
    </w:p>
    <w:p w14:paraId="202DF38B">
      <w:pPr>
        <w:numPr>
          <w:ilvl w:val="0"/>
          <w:numId w:val="22"/>
        </w:numPr>
        <w:autoSpaceDE w:val="0"/>
        <w:autoSpaceDN w:val="0"/>
        <w:adjustRightInd w:val="0"/>
        <w:snapToGrid w:val="0"/>
        <w:spacing w:before="0" w:line="400" w:lineRule="exact"/>
        <w:jc w:val="left"/>
        <w:rPr>
          <w:rFonts w:hint="default" w:ascii="Times New Roman" w:hAnsi="Times New Roman" w:eastAsia="仿宋_GB2312" w:cs="Times New Roman"/>
          <w:b/>
          <w:bCs/>
          <w:color w:val="auto"/>
          <w:sz w:val="24"/>
          <w:szCs w:val="24"/>
          <w:highlight w:val="none"/>
        </w:rPr>
      </w:pPr>
      <w:r>
        <w:rPr>
          <w:rFonts w:hint="default" w:ascii="Times New Roman" w:hAnsi="Times New Roman" w:eastAsia="仿宋_GB2312" w:cs="Times New Roman"/>
          <w:b/>
          <w:color w:val="auto"/>
          <w:sz w:val="24"/>
          <w:szCs w:val="24"/>
          <w:highlight w:val="none"/>
        </w:rPr>
        <w:t>合同标的及金额</w:t>
      </w:r>
    </w:p>
    <w:p w14:paraId="52ADE6AF">
      <w:pPr>
        <w:autoSpaceDE w:val="0"/>
        <w:autoSpaceDN w:val="0"/>
        <w:adjustRightInd w:val="0"/>
        <w:snapToGrid w:val="0"/>
        <w:spacing w:before="0" w:line="400" w:lineRule="exact"/>
        <w:ind w:firstLine="480" w:firstLineChars="200"/>
        <w:jc w:val="left"/>
        <w:rPr>
          <w:rFonts w:hint="default" w:ascii="Times New Roman" w:hAnsi="Times New Roman" w:eastAsia="仿宋_GB2312" w:cs="Times New Roman"/>
          <w:b/>
          <w:bCs/>
          <w:i/>
          <w:iCs/>
          <w:color w:val="auto"/>
          <w:sz w:val="24"/>
          <w:szCs w:val="24"/>
          <w:highlight w:val="none"/>
        </w:rPr>
      </w:pPr>
      <w:r>
        <w:rPr>
          <w:rFonts w:hint="default" w:ascii="Times New Roman" w:hAnsi="Times New Roman" w:eastAsia="仿宋_GB2312" w:cs="Times New Roman"/>
          <w:color w:val="auto"/>
          <w:sz w:val="24"/>
          <w:szCs w:val="24"/>
          <w:highlight w:val="none"/>
          <w:lang w:eastAsia="zh-CN"/>
        </w:rPr>
        <w:t>2</w:t>
      </w:r>
      <w:r>
        <w:rPr>
          <w:rFonts w:hint="default" w:ascii="Times New Roman" w:hAnsi="Times New Roman" w:eastAsia="仿宋_GB2312" w:cs="Times New Roman"/>
          <w:color w:val="auto"/>
          <w:sz w:val="24"/>
          <w:szCs w:val="24"/>
          <w:highlight w:val="none"/>
        </w:rPr>
        <w:t>.1 合同标的及金额应与中标（成交）结果一致。乙方为履行本合同而发生的所有费用均应包含在合同</w:t>
      </w:r>
      <w:r>
        <w:rPr>
          <w:rFonts w:hint="default" w:ascii="Times New Roman" w:hAnsi="Times New Roman" w:eastAsia="仿宋_GB2312" w:cs="Times New Roman"/>
          <w:color w:val="auto"/>
          <w:sz w:val="24"/>
          <w:szCs w:val="24"/>
          <w:highlight w:val="none"/>
          <w:lang w:eastAsia="zh-CN"/>
        </w:rPr>
        <w:t>价款</w:t>
      </w:r>
      <w:r>
        <w:rPr>
          <w:rFonts w:hint="default" w:ascii="Times New Roman" w:hAnsi="Times New Roman" w:eastAsia="仿宋_GB2312" w:cs="Times New Roman"/>
          <w:color w:val="auto"/>
          <w:sz w:val="24"/>
          <w:szCs w:val="24"/>
          <w:highlight w:val="none"/>
        </w:rPr>
        <w:t>中，甲方不再另行支付</w:t>
      </w:r>
      <w:r>
        <w:rPr>
          <w:rFonts w:hint="default" w:ascii="Times New Roman" w:hAnsi="Times New Roman" w:eastAsia="仿宋_GB2312" w:cs="Times New Roman"/>
          <w:color w:val="auto"/>
          <w:sz w:val="24"/>
          <w:szCs w:val="24"/>
          <w:highlight w:val="none"/>
          <w:lang w:val="en"/>
        </w:rPr>
        <w:t>其他</w:t>
      </w:r>
      <w:r>
        <w:rPr>
          <w:rFonts w:hint="default" w:ascii="Times New Roman" w:hAnsi="Times New Roman" w:eastAsia="仿宋_GB2312" w:cs="Times New Roman"/>
          <w:color w:val="auto"/>
          <w:sz w:val="24"/>
          <w:szCs w:val="24"/>
          <w:highlight w:val="none"/>
        </w:rPr>
        <w:t>任何费用。</w:t>
      </w:r>
    </w:p>
    <w:p w14:paraId="474E49C7">
      <w:pPr>
        <w:adjustRightInd w:val="0"/>
        <w:snapToGrid w:val="0"/>
        <w:spacing w:before="0" w:line="400" w:lineRule="exact"/>
        <w:jc w:val="left"/>
        <w:rPr>
          <w:rFonts w:hint="default" w:ascii="Times New Roman" w:hAnsi="Times New Roman" w:eastAsia="仿宋_GB2312" w:cs="Times New Roman"/>
          <w:b/>
          <w:color w:val="auto"/>
          <w:sz w:val="24"/>
          <w:szCs w:val="24"/>
          <w:highlight w:val="none"/>
        </w:rPr>
      </w:pPr>
      <w:r>
        <w:rPr>
          <w:rFonts w:hint="default" w:ascii="Times New Roman" w:hAnsi="Times New Roman" w:eastAsia="仿宋_GB2312" w:cs="Times New Roman"/>
          <w:b/>
          <w:color w:val="auto"/>
          <w:sz w:val="24"/>
          <w:szCs w:val="24"/>
          <w:highlight w:val="none"/>
          <w:lang w:eastAsia="zh-CN"/>
        </w:rPr>
        <w:t>3</w:t>
      </w:r>
      <w:r>
        <w:rPr>
          <w:rFonts w:hint="default" w:ascii="Times New Roman" w:hAnsi="Times New Roman" w:eastAsia="仿宋_GB2312" w:cs="Times New Roman"/>
          <w:b/>
          <w:color w:val="auto"/>
          <w:sz w:val="24"/>
          <w:szCs w:val="24"/>
          <w:highlight w:val="none"/>
          <w:lang w:val="en-US" w:eastAsia="zh-CN"/>
        </w:rPr>
        <w:t xml:space="preserve">. </w:t>
      </w:r>
      <w:r>
        <w:rPr>
          <w:rFonts w:hint="default" w:ascii="Times New Roman" w:hAnsi="Times New Roman" w:eastAsia="仿宋_GB2312" w:cs="Times New Roman"/>
          <w:b/>
          <w:color w:val="auto"/>
          <w:sz w:val="24"/>
          <w:szCs w:val="24"/>
          <w:highlight w:val="none"/>
        </w:rPr>
        <w:t>履行合同的时间、地点和方式</w:t>
      </w:r>
    </w:p>
    <w:p w14:paraId="2C09152F">
      <w:pPr>
        <w:autoSpaceDE w:val="0"/>
        <w:autoSpaceDN w:val="0"/>
        <w:adjustRightInd w:val="0"/>
        <w:snapToGrid w:val="0"/>
        <w:spacing w:before="0" w:line="400" w:lineRule="exact"/>
        <w:ind w:firstLine="480" w:firstLineChars="200"/>
        <w:jc w:val="left"/>
        <w:rPr>
          <w:rFonts w:hint="default" w:ascii="Times New Roman" w:hAnsi="Times New Roman" w:eastAsia="仿宋_GB2312" w:cs="Times New Roman"/>
          <w:color w:val="auto"/>
          <w:sz w:val="24"/>
          <w:szCs w:val="24"/>
          <w:highlight w:val="none"/>
        </w:rPr>
      </w:pPr>
      <w:r>
        <w:rPr>
          <w:rFonts w:hint="default" w:ascii="Times New Roman" w:hAnsi="Times New Roman" w:eastAsia="仿宋_GB2312" w:cs="Times New Roman"/>
          <w:color w:val="auto"/>
          <w:sz w:val="24"/>
          <w:szCs w:val="24"/>
          <w:highlight w:val="none"/>
          <w:lang w:eastAsia="zh-CN"/>
        </w:rPr>
        <w:t>3</w:t>
      </w:r>
      <w:r>
        <w:rPr>
          <w:rFonts w:hint="default" w:ascii="Times New Roman" w:hAnsi="Times New Roman" w:eastAsia="仿宋_GB2312" w:cs="Times New Roman"/>
          <w:color w:val="auto"/>
          <w:sz w:val="24"/>
          <w:szCs w:val="24"/>
          <w:highlight w:val="none"/>
        </w:rPr>
        <w:t>.1 乙方应当在约定的时间、地点</w:t>
      </w:r>
      <w:r>
        <w:rPr>
          <w:rFonts w:hint="default" w:ascii="Times New Roman" w:hAnsi="Times New Roman" w:eastAsia="仿宋_GB2312" w:cs="Times New Roman"/>
          <w:color w:val="auto"/>
          <w:sz w:val="24"/>
          <w:szCs w:val="24"/>
          <w:highlight w:val="none"/>
          <w:lang w:eastAsia="zh-CN"/>
        </w:rPr>
        <w:t>，按照约定</w:t>
      </w:r>
      <w:r>
        <w:rPr>
          <w:rFonts w:hint="default" w:ascii="Times New Roman" w:hAnsi="Times New Roman" w:eastAsia="仿宋_GB2312" w:cs="Times New Roman"/>
          <w:color w:val="auto"/>
          <w:sz w:val="24"/>
          <w:szCs w:val="24"/>
          <w:highlight w:val="none"/>
        </w:rPr>
        <w:t>方式履行合同。</w:t>
      </w:r>
    </w:p>
    <w:p w14:paraId="03CA3567">
      <w:pPr>
        <w:autoSpaceDE w:val="0"/>
        <w:autoSpaceDN w:val="0"/>
        <w:adjustRightInd w:val="0"/>
        <w:snapToGrid w:val="0"/>
        <w:spacing w:before="0" w:line="400" w:lineRule="exact"/>
        <w:jc w:val="left"/>
        <w:rPr>
          <w:rFonts w:hint="default" w:ascii="Times New Roman" w:hAnsi="Times New Roman" w:eastAsia="仿宋_GB2312" w:cs="Times New Roman"/>
          <w:b/>
          <w:bCs/>
          <w:color w:val="auto"/>
          <w:sz w:val="24"/>
          <w:szCs w:val="24"/>
          <w:highlight w:val="none"/>
        </w:rPr>
      </w:pPr>
      <w:r>
        <w:rPr>
          <w:rFonts w:hint="default" w:ascii="Times New Roman" w:hAnsi="Times New Roman" w:eastAsia="仿宋_GB2312" w:cs="Times New Roman"/>
          <w:b/>
          <w:bCs/>
          <w:color w:val="auto"/>
          <w:sz w:val="24"/>
          <w:szCs w:val="24"/>
          <w:highlight w:val="none"/>
          <w:lang w:eastAsia="zh-CN"/>
        </w:rPr>
        <w:t>4</w:t>
      </w:r>
      <w:r>
        <w:rPr>
          <w:rFonts w:hint="default" w:ascii="Times New Roman" w:hAnsi="Times New Roman" w:eastAsia="仿宋_GB2312" w:cs="Times New Roman"/>
          <w:b/>
          <w:bCs/>
          <w:color w:val="auto"/>
          <w:sz w:val="24"/>
          <w:szCs w:val="24"/>
          <w:highlight w:val="none"/>
          <w:lang w:val="en-US" w:eastAsia="zh-CN"/>
        </w:rPr>
        <w:t xml:space="preserve">. </w:t>
      </w:r>
      <w:r>
        <w:rPr>
          <w:rFonts w:hint="default" w:ascii="Times New Roman" w:hAnsi="Times New Roman" w:eastAsia="仿宋_GB2312" w:cs="Times New Roman"/>
          <w:b/>
          <w:bCs/>
          <w:color w:val="auto"/>
          <w:sz w:val="24"/>
          <w:szCs w:val="24"/>
          <w:highlight w:val="none"/>
        </w:rPr>
        <w:t>甲方的权利和义务</w:t>
      </w:r>
    </w:p>
    <w:p w14:paraId="7AE62C6B">
      <w:pPr>
        <w:autoSpaceDE w:val="0"/>
        <w:autoSpaceDN w:val="0"/>
        <w:adjustRightInd w:val="0"/>
        <w:snapToGrid w:val="0"/>
        <w:spacing w:before="0" w:line="400" w:lineRule="exact"/>
        <w:ind w:firstLine="480" w:firstLineChars="200"/>
        <w:jc w:val="left"/>
        <w:rPr>
          <w:rFonts w:hint="default" w:ascii="Times New Roman" w:hAnsi="Times New Roman" w:eastAsia="仿宋_GB2312" w:cs="Times New Roman"/>
          <w:color w:val="auto"/>
          <w:sz w:val="24"/>
          <w:szCs w:val="24"/>
          <w:highlight w:val="none"/>
        </w:rPr>
      </w:pPr>
      <w:r>
        <w:rPr>
          <w:rFonts w:hint="default" w:ascii="Times New Roman" w:hAnsi="Times New Roman" w:eastAsia="仿宋_GB2312" w:cs="Times New Roman"/>
          <w:color w:val="auto"/>
          <w:sz w:val="24"/>
          <w:szCs w:val="24"/>
          <w:highlight w:val="none"/>
          <w:lang w:eastAsia="zh-CN"/>
        </w:rPr>
        <w:t>4</w:t>
      </w:r>
      <w:r>
        <w:rPr>
          <w:rFonts w:hint="default" w:ascii="Times New Roman" w:hAnsi="Times New Roman" w:eastAsia="仿宋_GB2312" w:cs="Times New Roman"/>
          <w:color w:val="auto"/>
          <w:sz w:val="24"/>
          <w:szCs w:val="24"/>
          <w:highlight w:val="none"/>
        </w:rPr>
        <w:t>.1 签署合同后，甲方</w:t>
      </w:r>
      <w:r>
        <w:rPr>
          <w:rFonts w:hint="default" w:ascii="Times New Roman" w:hAnsi="Times New Roman" w:eastAsia="仿宋_GB2312" w:cs="Times New Roman"/>
          <w:color w:val="auto"/>
          <w:sz w:val="24"/>
          <w:szCs w:val="24"/>
          <w:highlight w:val="none"/>
          <w:lang w:eastAsia="zh-CN"/>
        </w:rPr>
        <w:t>应</w:t>
      </w:r>
      <w:r>
        <w:rPr>
          <w:rFonts w:hint="default" w:ascii="Times New Roman" w:hAnsi="Times New Roman" w:eastAsia="仿宋_GB2312" w:cs="Times New Roman"/>
          <w:color w:val="auto"/>
          <w:sz w:val="24"/>
          <w:szCs w:val="24"/>
          <w:highlight w:val="none"/>
        </w:rPr>
        <w:t>确定</w:t>
      </w:r>
      <w:r>
        <w:rPr>
          <w:rFonts w:hint="default" w:ascii="Times New Roman" w:hAnsi="Times New Roman" w:eastAsia="仿宋_GB2312" w:cs="Times New Roman"/>
          <w:color w:val="auto"/>
          <w:sz w:val="24"/>
          <w:szCs w:val="24"/>
          <w:highlight w:val="none"/>
          <w:lang w:val="en-US" w:eastAsia="zh-CN"/>
        </w:rPr>
        <w:t>项目负责人（或项目联系人）</w:t>
      </w:r>
      <w:r>
        <w:rPr>
          <w:rFonts w:hint="default" w:ascii="Times New Roman" w:hAnsi="Times New Roman" w:eastAsia="仿宋_GB2312" w:cs="Times New Roman"/>
          <w:color w:val="auto"/>
          <w:sz w:val="24"/>
          <w:szCs w:val="24"/>
          <w:highlight w:val="none"/>
        </w:rPr>
        <w:t>，负责与本合同有关的事务。甲方有权对乙方的履约行为进行检查，并及时确认乙方提交的事项。甲方应当配合乙方完成相关项目实施工作。</w:t>
      </w:r>
    </w:p>
    <w:p w14:paraId="3DD1980A">
      <w:pPr>
        <w:autoSpaceDE w:val="0"/>
        <w:autoSpaceDN w:val="0"/>
        <w:adjustRightInd w:val="0"/>
        <w:snapToGrid w:val="0"/>
        <w:spacing w:before="0" w:line="400" w:lineRule="exact"/>
        <w:ind w:firstLine="480" w:firstLineChars="200"/>
        <w:jc w:val="left"/>
        <w:rPr>
          <w:rFonts w:hint="default" w:ascii="Times New Roman" w:hAnsi="Times New Roman" w:eastAsia="仿宋_GB2312" w:cs="Times New Roman"/>
          <w:color w:val="auto"/>
          <w:sz w:val="24"/>
          <w:szCs w:val="24"/>
          <w:highlight w:val="none"/>
        </w:rPr>
      </w:pPr>
      <w:r>
        <w:rPr>
          <w:rFonts w:hint="default" w:ascii="Times New Roman" w:hAnsi="Times New Roman" w:eastAsia="仿宋_GB2312" w:cs="Times New Roman"/>
          <w:color w:val="auto"/>
          <w:sz w:val="24"/>
          <w:szCs w:val="24"/>
          <w:highlight w:val="none"/>
          <w:lang w:eastAsia="zh-CN"/>
        </w:rPr>
        <w:t>4</w:t>
      </w:r>
      <w:r>
        <w:rPr>
          <w:rFonts w:hint="default" w:ascii="Times New Roman" w:hAnsi="Times New Roman" w:eastAsia="仿宋_GB2312" w:cs="Times New Roman"/>
          <w:color w:val="auto"/>
          <w:sz w:val="24"/>
          <w:szCs w:val="24"/>
          <w:highlight w:val="none"/>
        </w:rPr>
        <w:t>.2 甲方有权要求乙方按时提交各阶段有关安排计划，并有权定期核对乙方提供货物数量、规格、质量等内容。甲方有权督促乙方工作并要求乙方更换不符合要求的货物。</w:t>
      </w:r>
    </w:p>
    <w:p w14:paraId="4687F0E8">
      <w:pPr>
        <w:autoSpaceDE w:val="0"/>
        <w:autoSpaceDN w:val="0"/>
        <w:adjustRightInd w:val="0"/>
        <w:snapToGrid w:val="0"/>
        <w:spacing w:before="0" w:line="400" w:lineRule="exact"/>
        <w:ind w:firstLine="480" w:firstLineChars="200"/>
        <w:jc w:val="left"/>
        <w:rPr>
          <w:rFonts w:hint="default" w:ascii="Times New Roman" w:hAnsi="Times New Roman" w:eastAsia="仿宋_GB2312" w:cs="Times New Roman"/>
          <w:color w:val="auto"/>
          <w:sz w:val="24"/>
          <w:szCs w:val="24"/>
          <w:highlight w:val="none"/>
        </w:rPr>
      </w:pPr>
      <w:r>
        <w:rPr>
          <w:rFonts w:hint="default" w:ascii="Times New Roman" w:hAnsi="Times New Roman" w:eastAsia="仿宋_GB2312" w:cs="Times New Roman"/>
          <w:color w:val="auto"/>
          <w:sz w:val="24"/>
          <w:szCs w:val="24"/>
          <w:highlight w:val="none"/>
          <w:lang w:eastAsia="zh-CN"/>
        </w:rPr>
        <w:t>4</w:t>
      </w:r>
      <w:r>
        <w:rPr>
          <w:rFonts w:hint="default" w:ascii="Times New Roman" w:hAnsi="Times New Roman" w:eastAsia="仿宋_GB2312" w:cs="Times New Roman"/>
          <w:color w:val="auto"/>
          <w:sz w:val="24"/>
          <w:szCs w:val="24"/>
          <w:highlight w:val="none"/>
        </w:rPr>
        <w:t>.3 甲方有权要求乙方对缺陷部分予以修复，并按合同约定享有货物保修及其他合同约定的权利。</w:t>
      </w:r>
    </w:p>
    <w:p w14:paraId="4440DCF5">
      <w:pPr>
        <w:snapToGrid w:val="0"/>
        <w:spacing w:line="400" w:lineRule="exact"/>
        <w:ind w:firstLine="480" w:firstLineChars="200"/>
        <w:rPr>
          <w:rFonts w:hint="default" w:ascii="Times New Roman" w:hAnsi="Times New Roman" w:eastAsia="仿宋_GB2312" w:cs="Times New Roman"/>
          <w:color w:val="auto"/>
          <w:sz w:val="24"/>
          <w:szCs w:val="24"/>
          <w:highlight w:val="none"/>
          <w:lang w:val="en-US" w:eastAsia="zh-CN"/>
        </w:rPr>
      </w:pPr>
      <w:r>
        <w:rPr>
          <w:rFonts w:hint="default" w:ascii="Times New Roman" w:hAnsi="Times New Roman" w:eastAsia="仿宋_GB2312" w:cs="Times New Roman"/>
          <w:color w:val="auto"/>
          <w:sz w:val="24"/>
          <w:szCs w:val="24"/>
          <w:highlight w:val="none"/>
          <w:lang w:val="en-US" w:eastAsia="zh-CN"/>
        </w:rPr>
        <w:t>4.4 甲方应当按照合同约定及时对交付的货物进行验收，</w:t>
      </w:r>
      <w:r>
        <w:rPr>
          <w:rFonts w:hint="default" w:ascii="Times New Roman" w:hAnsi="Times New Roman" w:eastAsia="仿宋_GB2312" w:cs="Times New Roman"/>
          <w:b w:val="0"/>
          <w:bCs w:val="0"/>
          <w:color w:val="auto"/>
          <w:sz w:val="24"/>
          <w:szCs w:val="24"/>
          <w:highlight w:val="none"/>
          <w:lang w:eastAsia="zh-CN"/>
        </w:rPr>
        <w:t>未</w:t>
      </w:r>
      <w:r>
        <w:rPr>
          <w:rFonts w:hint="default" w:ascii="Times New Roman" w:hAnsi="Times New Roman" w:eastAsia="仿宋_GB2312" w:cs="Times New Roman"/>
          <w:color w:val="auto"/>
          <w:sz w:val="24"/>
          <w:szCs w:val="24"/>
          <w:highlight w:val="none"/>
          <w:lang w:val="en-US" w:eastAsia="zh-CN"/>
        </w:rPr>
        <w:t>在</w:t>
      </w:r>
      <w:r>
        <w:rPr>
          <w:rFonts w:hint="default" w:ascii="Times New Roman" w:hAnsi="Times New Roman" w:eastAsia="仿宋_GB2312" w:cs="Times New Roman"/>
          <w:b/>
          <w:bCs/>
          <w:color w:val="auto"/>
          <w:sz w:val="24"/>
          <w:szCs w:val="24"/>
          <w:highlight w:val="none"/>
        </w:rPr>
        <w:t>【政府采购合同专用条款】</w:t>
      </w:r>
      <w:r>
        <w:rPr>
          <w:rFonts w:hint="default" w:ascii="Times New Roman" w:hAnsi="Times New Roman" w:eastAsia="仿宋_GB2312" w:cs="Times New Roman"/>
          <w:b w:val="0"/>
          <w:bCs w:val="0"/>
          <w:color w:val="auto"/>
          <w:sz w:val="24"/>
          <w:szCs w:val="24"/>
          <w:highlight w:val="none"/>
          <w:lang w:eastAsia="zh-CN"/>
        </w:rPr>
        <w:t>约定的期限内对乙方履约提出任何异议或者向乙方作出任何说明的，</w:t>
      </w:r>
      <w:r>
        <w:rPr>
          <w:rFonts w:hint="default" w:ascii="Times New Roman" w:hAnsi="Times New Roman" w:eastAsia="仿宋_GB2312" w:cs="Times New Roman"/>
          <w:color w:val="auto"/>
          <w:sz w:val="24"/>
          <w:szCs w:val="24"/>
          <w:highlight w:val="none"/>
          <w:lang w:val="en-US" w:eastAsia="zh-CN"/>
        </w:rPr>
        <w:t>视为验收通过。</w:t>
      </w:r>
    </w:p>
    <w:p w14:paraId="3C347652">
      <w:pPr>
        <w:autoSpaceDE w:val="0"/>
        <w:autoSpaceDN w:val="0"/>
        <w:adjustRightInd w:val="0"/>
        <w:snapToGrid w:val="0"/>
        <w:spacing w:line="400" w:lineRule="exact"/>
        <w:ind w:firstLine="480" w:firstLineChars="200"/>
        <w:jc w:val="left"/>
        <w:rPr>
          <w:rFonts w:hint="default" w:ascii="Times New Roman" w:hAnsi="Times New Roman" w:eastAsia="仿宋_GB2312" w:cs="Times New Roman"/>
          <w:color w:val="auto"/>
          <w:sz w:val="24"/>
          <w:szCs w:val="24"/>
          <w:highlight w:val="none"/>
        </w:rPr>
      </w:pPr>
      <w:r>
        <w:rPr>
          <w:rFonts w:hint="default" w:ascii="Times New Roman" w:hAnsi="Times New Roman" w:eastAsia="仿宋_GB2312" w:cs="Times New Roman"/>
          <w:color w:val="auto"/>
          <w:sz w:val="24"/>
          <w:szCs w:val="24"/>
          <w:highlight w:val="none"/>
          <w:lang w:eastAsia="zh-CN"/>
        </w:rPr>
        <w:t>4</w:t>
      </w:r>
      <w:r>
        <w:rPr>
          <w:rFonts w:hint="default" w:ascii="Times New Roman" w:hAnsi="Times New Roman" w:eastAsia="仿宋_GB2312" w:cs="Times New Roman"/>
          <w:color w:val="auto"/>
          <w:sz w:val="24"/>
          <w:szCs w:val="24"/>
          <w:highlight w:val="none"/>
        </w:rPr>
        <w:t>.</w:t>
      </w:r>
      <w:r>
        <w:rPr>
          <w:rFonts w:hint="default" w:ascii="Times New Roman" w:hAnsi="Times New Roman" w:eastAsia="仿宋_GB2312" w:cs="Times New Roman"/>
          <w:color w:val="auto"/>
          <w:sz w:val="24"/>
          <w:szCs w:val="24"/>
          <w:highlight w:val="none"/>
          <w:lang w:val="en-US" w:eastAsia="zh-CN"/>
        </w:rPr>
        <w:t>5</w:t>
      </w:r>
      <w:r>
        <w:rPr>
          <w:rFonts w:hint="default" w:ascii="Times New Roman" w:hAnsi="Times New Roman" w:eastAsia="仿宋_GB2312" w:cs="Times New Roman"/>
          <w:color w:val="auto"/>
          <w:sz w:val="24"/>
          <w:szCs w:val="24"/>
          <w:highlight w:val="none"/>
        </w:rPr>
        <w:t xml:space="preserve"> 甲方应当根据合同约定</w:t>
      </w:r>
      <w:r>
        <w:rPr>
          <w:rFonts w:hint="default" w:ascii="Times New Roman" w:hAnsi="Times New Roman" w:eastAsia="仿宋_GB2312" w:cs="Times New Roman"/>
          <w:color w:val="auto"/>
          <w:sz w:val="24"/>
          <w:szCs w:val="24"/>
          <w:highlight w:val="none"/>
          <w:lang w:eastAsia="zh-CN"/>
        </w:rPr>
        <w:t>及</w:t>
      </w:r>
      <w:r>
        <w:rPr>
          <w:rFonts w:hint="default" w:ascii="Times New Roman" w:hAnsi="Times New Roman" w:eastAsia="仿宋_GB2312" w:cs="Times New Roman"/>
          <w:color w:val="auto"/>
          <w:sz w:val="24"/>
          <w:szCs w:val="24"/>
          <w:highlight w:val="none"/>
        </w:rPr>
        <w:t>时向乙方支付</w:t>
      </w:r>
      <w:r>
        <w:rPr>
          <w:rFonts w:hint="default" w:ascii="Times New Roman" w:hAnsi="Times New Roman" w:eastAsia="仿宋_GB2312" w:cs="Times New Roman"/>
          <w:color w:val="auto"/>
          <w:sz w:val="24"/>
          <w:szCs w:val="24"/>
          <w:highlight w:val="none"/>
          <w:lang w:eastAsia="zh-CN"/>
        </w:rPr>
        <w:t>合同价款，不得以内部人员变更、履行内部付款流程等为由，拒绝或迟延支付。</w:t>
      </w:r>
    </w:p>
    <w:p w14:paraId="1C524C8D">
      <w:pPr>
        <w:autoSpaceDE w:val="0"/>
        <w:autoSpaceDN w:val="0"/>
        <w:adjustRightInd w:val="0"/>
        <w:snapToGrid w:val="0"/>
        <w:spacing w:before="0" w:line="400" w:lineRule="exact"/>
        <w:ind w:firstLine="480" w:firstLineChars="200"/>
        <w:jc w:val="left"/>
        <w:rPr>
          <w:rFonts w:hint="default" w:ascii="Times New Roman" w:hAnsi="Times New Roman" w:eastAsia="仿宋_GB2312" w:cs="Times New Roman"/>
          <w:color w:val="auto"/>
          <w:sz w:val="24"/>
          <w:szCs w:val="24"/>
          <w:highlight w:val="none"/>
        </w:rPr>
      </w:pPr>
      <w:r>
        <w:rPr>
          <w:rFonts w:hint="default" w:ascii="Times New Roman" w:hAnsi="Times New Roman" w:eastAsia="仿宋_GB2312" w:cs="Times New Roman"/>
          <w:color w:val="auto"/>
          <w:sz w:val="24"/>
          <w:szCs w:val="24"/>
          <w:highlight w:val="none"/>
          <w:lang w:eastAsia="zh-CN"/>
        </w:rPr>
        <w:t>4</w:t>
      </w:r>
      <w:r>
        <w:rPr>
          <w:rFonts w:hint="default" w:ascii="Times New Roman" w:hAnsi="Times New Roman" w:eastAsia="仿宋_GB2312" w:cs="Times New Roman"/>
          <w:color w:val="auto"/>
          <w:sz w:val="24"/>
          <w:szCs w:val="24"/>
          <w:highlight w:val="none"/>
        </w:rPr>
        <w:t>.</w:t>
      </w:r>
      <w:r>
        <w:rPr>
          <w:rFonts w:hint="default" w:ascii="Times New Roman" w:hAnsi="Times New Roman" w:eastAsia="仿宋_GB2312" w:cs="Times New Roman"/>
          <w:color w:val="auto"/>
          <w:sz w:val="24"/>
          <w:szCs w:val="24"/>
          <w:highlight w:val="none"/>
          <w:lang w:val="en-US" w:eastAsia="zh-CN"/>
        </w:rPr>
        <w:t>6</w:t>
      </w:r>
      <w:r>
        <w:rPr>
          <w:rFonts w:hint="default" w:ascii="Times New Roman" w:hAnsi="Times New Roman" w:eastAsia="仿宋_GB2312" w:cs="Times New Roman"/>
          <w:color w:val="auto"/>
          <w:sz w:val="24"/>
          <w:szCs w:val="24"/>
          <w:highlight w:val="none"/>
        </w:rPr>
        <w:t xml:space="preserve"> 国家法律法规规定</w:t>
      </w:r>
      <w:r>
        <w:rPr>
          <w:rFonts w:hint="default" w:ascii="Times New Roman" w:hAnsi="Times New Roman" w:eastAsia="仿宋_GB2312" w:cs="Times New Roman"/>
          <w:color w:val="auto"/>
          <w:sz w:val="24"/>
          <w:szCs w:val="24"/>
          <w:highlight w:val="none"/>
          <w:lang w:eastAsia="zh-CN"/>
        </w:rPr>
        <w:t>及</w:t>
      </w:r>
      <w:r>
        <w:rPr>
          <w:rFonts w:hint="default" w:ascii="Times New Roman" w:hAnsi="Times New Roman" w:eastAsia="仿宋_GB2312" w:cs="Times New Roman"/>
          <w:b/>
          <w:bCs/>
          <w:color w:val="auto"/>
          <w:sz w:val="24"/>
          <w:szCs w:val="24"/>
          <w:highlight w:val="none"/>
        </w:rPr>
        <w:t>【政府采购合同专用条款】</w:t>
      </w:r>
      <w:r>
        <w:rPr>
          <w:rFonts w:hint="default" w:ascii="Times New Roman" w:hAnsi="Times New Roman" w:eastAsia="仿宋_GB2312" w:cs="Times New Roman"/>
          <w:color w:val="auto"/>
          <w:sz w:val="24"/>
          <w:szCs w:val="24"/>
          <w:highlight w:val="none"/>
          <w:lang w:eastAsia="zh-CN"/>
        </w:rPr>
        <w:t>约定应</w:t>
      </w:r>
      <w:r>
        <w:rPr>
          <w:rFonts w:hint="default" w:ascii="Times New Roman" w:hAnsi="Times New Roman" w:eastAsia="仿宋_GB2312" w:cs="Times New Roman"/>
          <w:color w:val="auto"/>
          <w:sz w:val="24"/>
          <w:szCs w:val="24"/>
          <w:highlight w:val="none"/>
        </w:rPr>
        <w:t>由甲方承担的其他义务和责任。</w:t>
      </w:r>
    </w:p>
    <w:p w14:paraId="5620652A">
      <w:pPr>
        <w:autoSpaceDE w:val="0"/>
        <w:autoSpaceDN w:val="0"/>
        <w:adjustRightInd w:val="0"/>
        <w:snapToGrid w:val="0"/>
        <w:spacing w:before="0" w:line="400" w:lineRule="exact"/>
        <w:jc w:val="left"/>
        <w:rPr>
          <w:rFonts w:hint="default" w:ascii="Times New Roman" w:hAnsi="Times New Roman" w:eastAsia="仿宋_GB2312" w:cs="Times New Roman"/>
          <w:b/>
          <w:bCs/>
          <w:color w:val="auto"/>
          <w:sz w:val="24"/>
          <w:szCs w:val="24"/>
          <w:highlight w:val="none"/>
        </w:rPr>
      </w:pPr>
      <w:r>
        <w:rPr>
          <w:rFonts w:hint="default" w:ascii="Times New Roman" w:hAnsi="Times New Roman" w:eastAsia="仿宋_GB2312" w:cs="Times New Roman"/>
          <w:b/>
          <w:bCs/>
          <w:color w:val="auto"/>
          <w:sz w:val="24"/>
          <w:szCs w:val="24"/>
          <w:highlight w:val="none"/>
          <w:lang w:eastAsia="zh-CN"/>
        </w:rPr>
        <w:t>5</w:t>
      </w:r>
      <w:r>
        <w:rPr>
          <w:rFonts w:hint="default" w:ascii="Times New Roman" w:hAnsi="Times New Roman" w:eastAsia="仿宋_GB2312" w:cs="Times New Roman"/>
          <w:b/>
          <w:bCs/>
          <w:color w:val="auto"/>
          <w:sz w:val="24"/>
          <w:szCs w:val="24"/>
          <w:highlight w:val="none"/>
          <w:lang w:val="en-US" w:eastAsia="zh-CN"/>
        </w:rPr>
        <w:t xml:space="preserve">. </w:t>
      </w:r>
      <w:r>
        <w:rPr>
          <w:rFonts w:hint="default" w:ascii="Times New Roman" w:hAnsi="Times New Roman" w:eastAsia="仿宋_GB2312" w:cs="Times New Roman"/>
          <w:b/>
          <w:bCs/>
          <w:color w:val="auto"/>
          <w:sz w:val="24"/>
          <w:szCs w:val="24"/>
          <w:highlight w:val="none"/>
        </w:rPr>
        <w:t>乙方的权利和义务</w:t>
      </w:r>
    </w:p>
    <w:p w14:paraId="3F685352">
      <w:pPr>
        <w:autoSpaceDE w:val="0"/>
        <w:autoSpaceDN w:val="0"/>
        <w:adjustRightInd w:val="0"/>
        <w:snapToGrid w:val="0"/>
        <w:spacing w:before="0" w:line="400" w:lineRule="exact"/>
        <w:ind w:firstLine="480" w:firstLineChars="200"/>
        <w:jc w:val="left"/>
        <w:rPr>
          <w:rFonts w:hint="default" w:ascii="Times New Roman" w:hAnsi="Times New Roman" w:eastAsia="仿宋_GB2312" w:cs="Times New Roman"/>
          <w:color w:val="auto"/>
          <w:sz w:val="24"/>
          <w:szCs w:val="24"/>
          <w:highlight w:val="none"/>
        </w:rPr>
      </w:pPr>
      <w:r>
        <w:rPr>
          <w:rFonts w:hint="default" w:ascii="Times New Roman" w:hAnsi="Times New Roman" w:eastAsia="仿宋_GB2312" w:cs="Times New Roman"/>
          <w:color w:val="auto"/>
          <w:sz w:val="24"/>
          <w:szCs w:val="24"/>
          <w:highlight w:val="none"/>
          <w:lang w:eastAsia="zh-CN"/>
        </w:rPr>
        <w:t>5</w:t>
      </w:r>
      <w:r>
        <w:rPr>
          <w:rFonts w:hint="default" w:ascii="Times New Roman" w:hAnsi="Times New Roman" w:eastAsia="仿宋_GB2312" w:cs="Times New Roman"/>
          <w:color w:val="auto"/>
          <w:sz w:val="24"/>
          <w:szCs w:val="24"/>
          <w:highlight w:val="none"/>
        </w:rPr>
        <w:t>.1 签署合同后，乙方</w:t>
      </w:r>
      <w:r>
        <w:rPr>
          <w:rFonts w:hint="default" w:ascii="Times New Roman" w:hAnsi="Times New Roman" w:eastAsia="仿宋_GB2312" w:cs="Times New Roman"/>
          <w:color w:val="auto"/>
          <w:sz w:val="24"/>
          <w:szCs w:val="24"/>
          <w:highlight w:val="none"/>
          <w:lang w:eastAsia="zh-CN"/>
        </w:rPr>
        <w:t>应</w:t>
      </w:r>
      <w:r>
        <w:rPr>
          <w:rFonts w:hint="default" w:ascii="Times New Roman" w:hAnsi="Times New Roman" w:eastAsia="仿宋_GB2312" w:cs="Times New Roman"/>
          <w:color w:val="auto"/>
          <w:sz w:val="24"/>
          <w:szCs w:val="24"/>
          <w:highlight w:val="none"/>
        </w:rPr>
        <w:t>确定</w:t>
      </w:r>
      <w:r>
        <w:rPr>
          <w:rFonts w:hint="default" w:ascii="Times New Roman" w:hAnsi="Times New Roman" w:eastAsia="仿宋_GB2312" w:cs="Times New Roman"/>
          <w:color w:val="auto"/>
          <w:sz w:val="24"/>
          <w:szCs w:val="24"/>
          <w:highlight w:val="none"/>
          <w:lang w:val="en-US" w:eastAsia="zh-CN"/>
        </w:rPr>
        <w:t>项目负责人（或项目联系人）</w:t>
      </w:r>
      <w:r>
        <w:rPr>
          <w:rFonts w:hint="default" w:ascii="Times New Roman" w:hAnsi="Times New Roman" w:eastAsia="仿宋_GB2312" w:cs="Times New Roman"/>
          <w:color w:val="auto"/>
          <w:sz w:val="24"/>
          <w:szCs w:val="24"/>
          <w:highlight w:val="none"/>
        </w:rPr>
        <w:t>，负责与本合同有关的事务。</w:t>
      </w:r>
    </w:p>
    <w:p w14:paraId="1F168DB2">
      <w:pPr>
        <w:autoSpaceDE w:val="0"/>
        <w:autoSpaceDN w:val="0"/>
        <w:adjustRightInd w:val="0"/>
        <w:snapToGrid w:val="0"/>
        <w:spacing w:before="0" w:line="400" w:lineRule="exact"/>
        <w:ind w:firstLine="480" w:firstLineChars="200"/>
        <w:jc w:val="left"/>
        <w:rPr>
          <w:rFonts w:hint="default" w:ascii="Times New Roman" w:hAnsi="Times New Roman" w:eastAsia="仿宋_GB2312" w:cs="Times New Roman"/>
          <w:color w:val="auto"/>
          <w:sz w:val="24"/>
          <w:szCs w:val="24"/>
          <w:highlight w:val="none"/>
        </w:rPr>
      </w:pPr>
      <w:r>
        <w:rPr>
          <w:rFonts w:hint="default" w:ascii="Times New Roman" w:hAnsi="Times New Roman" w:eastAsia="仿宋_GB2312" w:cs="Times New Roman"/>
          <w:color w:val="auto"/>
          <w:sz w:val="24"/>
          <w:szCs w:val="24"/>
          <w:highlight w:val="none"/>
          <w:lang w:eastAsia="zh-CN"/>
        </w:rPr>
        <w:t>5</w:t>
      </w:r>
      <w:r>
        <w:rPr>
          <w:rFonts w:hint="default" w:ascii="Times New Roman" w:hAnsi="Times New Roman" w:eastAsia="仿宋_GB2312" w:cs="Times New Roman"/>
          <w:color w:val="auto"/>
          <w:sz w:val="24"/>
          <w:szCs w:val="24"/>
          <w:highlight w:val="none"/>
        </w:rPr>
        <w:t>.2 乙方应按照合同要求履约，充分合理安排，确保提供的货物</w:t>
      </w:r>
      <w:r>
        <w:rPr>
          <w:rFonts w:hint="default" w:ascii="Times New Roman" w:hAnsi="Times New Roman" w:eastAsia="仿宋_GB2312" w:cs="Times New Roman"/>
          <w:color w:val="auto"/>
          <w:sz w:val="24"/>
          <w:szCs w:val="24"/>
          <w:highlight w:val="none"/>
          <w:lang w:eastAsia="zh-CN"/>
        </w:rPr>
        <w:t>及相关</w:t>
      </w:r>
      <w:r>
        <w:rPr>
          <w:rFonts w:hint="default" w:ascii="Times New Roman" w:hAnsi="Times New Roman" w:eastAsia="仿宋_GB2312" w:cs="Times New Roman"/>
          <w:color w:val="auto"/>
          <w:sz w:val="24"/>
          <w:szCs w:val="24"/>
          <w:highlight w:val="none"/>
        </w:rPr>
        <w:t>服务符合合同</w:t>
      </w:r>
      <w:r>
        <w:rPr>
          <w:rFonts w:hint="default" w:ascii="Times New Roman" w:hAnsi="Times New Roman" w:eastAsia="仿宋_GB2312" w:cs="Times New Roman"/>
          <w:color w:val="auto"/>
          <w:sz w:val="24"/>
          <w:szCs w:val="24"/>
          <w:highlight w:val="none"/>
          <w:lang w:eastAsia="zh-CN"/>
        </w:rPr>
        <w:t>有关</w:t>
      </w:r>
      <w:r>
        <w:rPr>
          <w:rFonts w:hint="default" w:ascii="Times New Roman" w:hAnsi="Times New Roman" w:eastAsia="仿宋_GB2312" w:cs="Times New Roman"/>
          <w:color w:val="auto"/>
          <w:sz w:val="24"/>
          <w:szCs w:val="24"/>
          <w:highlight w:val="none"/>
        </w:rPr>
        <w:t>要求。接受项目行业管理部门及政府有关部门的指导，配合甲方的履约检查</w:t>
      </w:r>
      <w:r>
        <w:rPr>
          <w:rFonts w:hint="default" w:ascii="Times New Roman" w:hAnsi="Times New Roman" w:eastAsia="仿宋_GB2312" w:cs="Times New Roman"/>
          <w:color w:val="auto"/>
          <w:sz w:val="24"/>
          <w:szCs w:val="24"/>
          <w:highlight w:val="none"/>
          <w:lang w:eastAsia="zh-CN"/>
        </w:rPr>
        <w:t>及验收</w:t>
      </w:r>
      <w:r>
        <w:rPr>
          <w:rFonts w:hint="default" w:ascii="Times New Roman" w:hAnsi="Times New Roman" w:eastAsia="仿宋_GB2312" w:cs="Times New Roman"/>
          <w:color w:val="auto"/>
          <w:sz w:val="24"/>
          <w:szCs w:val="24"/>
          <w:highlight w:val="none"/>
        </w:rPr>
        <w:t>，并负责项目实施过程中的所有协调工作。</w:t>
      </w:r>
    </w:p>
    <w:p w14:paraId="74DF47E9">
      <w:pPr>
        <w:pStyle w:val="14"/>
        <w:tabs>
          <w:tab w:val="left" w:pos="780"/>
          <w:tab w:val="clear" w:pos="567"/>
        </w:tabs>
        <w:spacing w:after="0" w:line="400" w:lineRule="exact"/>
        <w:ind w:firstLine="422" w:firstLineChars="176"/>
        <w:rPr>
          <w:rFonts w:hint="default" w:ascii="Times New Roman" w:hAnsi="Times New Roman" w:eastAsia="仿宋_GB2312" w:cs="Times New Roman"/>
          <w:color w:val="auto"/>
          <w:sz w:val="24"/>
          <w:szCs w:val="24"/>
          <w:highlight w:val="none"/>
        </w:rPr>
      </w:pPr>
      <w:r>
        <w:rPr>
          <w:rFonts w:hint="default" w:ascii="Times New Roman" w:hAnsi="Times New Roman" w:eastAsia="仿宋_GB2312" w:cs="Times New Roman"/>
          <w:color w:val="auto"/>
          <w:sz w:val="24"/>
          <w:szCs w:val="24"/>
          <w:highlight w:val="none"/>
          <w:lang w:eastAsia="zh-CN"/>
        </w:rPr>
        <w:t>5</w:t>
      </w:r>
      <w:r>
        <w:rPr>
          <w:rFonts w:hint="default" w:ascii="Times New Roman" w:hAnsi="Times New Roman" w:eastAsia="仿宋_GB2312" w:cs="Times New Roman"/>
          <w:color w:val="auto"/>
          <w:sz w:val="24"/>
          <w:szCs w:val="24"/>
          <w:highlight w:val="none"/>
        </w:rPr>
        <w:t>.3乙方有权根据合同约定向甲方收取</w:t>
      </w:r>
      <w:r>
        <w:rPr>
          <w:rFonts w:hint="default" w:ascii="Times New Roman" w:hAnsi="Times New Roman" w:eastAsia="仿宋_GB2312" w:cs="Times New Roman"/>
          <w:color w:val="auto"/>
          <w:sz w:val="24"/>
          <w:szCs w:val="24"/>
          <w:highlight w:val="none"/>
          <w:lang w:eastAsia="zh-CN"/>
        </w:rPr>
        <w:t>合同价款</w:t>
      </w:r>
      <w:r>
        <w:rPr>
          <w:rFonts w:hint="default" w:ascii="Times New Roman" w:hAnsi="Times New Roman" w:eastAsia="仿宋_GB2312" w:cs="Times New Roman"/>
          <w:color w:val="auto"/>
          <w:sz w:val="24"/>
          <w:szCs w:val="24"/>
          <w:highlight w:val="none"/>
        </w:rPr>
        <w:t>。</w:t>
      </w:r>
    </w:p>
    <w:p w14:paraId="0D76F7BE">
      <w:pPr>
        <w:pStyle w:val="14"/>
        <w:tabs>
          <w:tab w:val="left" w:pos="780"/>
          <w:tab w:val="clear" w:pos="567"/>
        </w:tabs>
        <w:spacing w:after="0" w:line="400" w:lineRule="exact"/>
        <w:ind w:firstLine="422" w:firstLineChars="176"/>
        <w:rPr>
          <w:rFonts w:hint="default" w:ascii="Times New Roman" w:hAnsi="Times New Roman" w:eastAsia="仿宋_GB2312" w:cs="Times New Roman"/>
          <w:color w:val="auto"/>
          <w:sz w:val="24"/>
          <w:szCs w:val="24"/>
          <w:highlight w:val="none"/>
        </w:rPr>
      </w:pPr>
      <w:r>
        <w:rPr>
          <w:rFonts w:hint="default" w:ascii="Times New Roman" w:hAnsi="Times New Roman" w:eastAsia="仿宋_GB2312" w:cs="Times New Roman"/>
          <w:color w:val="auto"/>
          <w:sz w:val="24"/>
          <w:szCs w:val="24"/>
          <w:highlight w:val="none"/>
          <w:lang w:eastAsia="zh-CN"/>
        </w:rPr>
        <w:t>5</w:t>
      </w:r>
      <w:r>
        <w:rPr>
          <w:rFonts w:hint="default" w:ascii="Times New Roman" w:hAnsi="Times New Roman" w:eastAsia="仿宋_GB2312" w:cs="Times New Roman"/>
          <w:color w:val="auto"/>
          <w:sz w:val="24"/>
          <w:szCs w:val="24"/>
          <w:highlight w:val="none"/>
        </w:rPr>
        <w:t>.4国家法律法规规定</w:t>
      </w:r>
      <w:r>
        <w:rPr>
          <w:rFonts w:hint="default" w:ascii="Times New Roman" w:hAnsi="Times New Roman" w:eastAsia="仿宋_GB2312" w:cs="Times New Roman"/>
          <w:color w:val="auto"/>
          <w:sz w:val="24"/>
          <w:szCs w:val="24"/>
          <w:highlight w:val="none"/>
          <w:lang w:eastAsia="zh-CN"/>
        </w:rPr>
        <w:t>及</w:t>
      </w:r>
      <w:r>
        <w:rPr>
          <w:rFonts w:hint="default" w:ascii="Times New Roman" w:hAnsi="Times New Roman" w:eastAsia="仿宋_GB2312" w:cs="Times New Roman"/>
          <w:b/>
          <w:bCs/>
          <w:color w:val="auto"/>
          <w:sz w:val="24"/>
          <w:szCs w:val="24"/>
          <w:highlight w:val="none"/>
        </w:rPr>
        <w:t>【政府采购合同专用条款】</w:t>
      </w:r>
      <w:r>
        <w:rPr>
          <w:rFonts w:hint="default" w:ascii="Times New Roman" w:hAnsi="Times New Roman" w:eastAsia="仿宋_GB2312" w:cs="Times New Roman"/>
          <w:b w:val="0"/>
          <w:bCs w:val="0"/>
          <w:color w:val="auto"/>
          <w:sz w:val="24"/>
          <w:szCs w:val="24"/>
          <w:highlight w:val="none"/>
          <w:lang w:eastAsia="zh-CN"/>
        </w:rPr>
        <w:t>约定应</w:t>
      </w:r>
      <w:r>
        <w:rPr>
          <w:rFonts w:hint="default" w:ascii="Times New Roman" w:hAnsi="Times New Roman" w:eastAsia="仿宋_GB2312" w:cs="Times New Roman"/>
          <w:color w:val="auto"/>
          <w:sz w:val="24"/>
          <w:szCs w:val="24"/>
          <w:highlight w:val="none"/>
        </w:rPr>
        <w:t>由乙方承担的其他义务和责任。</w:t>
      </w:r>
    </w:p>
    <w:p w14:paraId="5986704C">
      <w:pPr>
        <w:numPr>
          <w:ilvl w:val="0"/>
          <w:numId w:val="23"/>
        </w:numPr>
        <w:autoSpaceDE w:val="0"/>
        <w:autoSpaceDN w:val="0"/>
        <w:adjustRightInd w:val="0"/>
        <w:snapToGrid w:val="0"/>
        <w:spacing w:before="0" w:line="400" w:lineRule="exact"/>
        <w:jc w:val="left"/>
        <w:rPr>
          <w:rFonts w:hint="default" w:ascii="Times New Roman" w:hAnsi="Times New Roman" w:eastAsia="仿宋_GB2312" w:cs="Times New Roman"/>
          <w:b/>
          <w:bCs/>
          <w:color w:val="auto"/>
          <w:sz w:val="24"/>
          <w:szCs w:val="24"/>
          <w:highlight w:val="none"/>
        </w:rPr>
      </w:pPr>
      <w:r>
        <w:rPr>
          <w:rFonts w:hint="default" w:ascii="Times New Roman" w:hAnsi="Times New Roman" w:eastAsia="仿宋_GB2312" w:cs="Times New Roman"/>
          <w:b/>
          <w:bCs/>
          <w:color w:val="auto"/>
          <w:sz w:val="24"/>
          <w:szCs w:val="24"/>
          <w:highlight w:val="none"/>
        </w:rPr>
        <w:t>合同履</w:t>
      </w:r>
      <w:r>
        <w:rPr>
          <w:rFonts w:hint="default" w:ascii="Times New Roman" w:hAnsi="Times New Roman" w:eastAsia="仿宋_GB2312" w:cs="Times New Roman"/>
          <w:b/>
          <w:bCs/>
          <w:color w:val="auto"/>
          <w:sz w:val="24"/>
          <w:szCs w:val="24"/>
          <w:highlight w:val="none"/>
          <w:lang w:val="en-US" w:eastAsia="zh-CN"/>
        </w:rPr>
        <w:t>行</w:t>
      </w:r>
    </w:p>
    <w:p w14:paraId="02B90D58">
      <w:pPr>
        <w:autoSpaceDE w:val="0"/>
        <w:autoSpaceDN w:val="0"/>
        <w:adjustRightInd w:val="0"/>
        <w:snapToGrid w:val="0"/>
        <w:spacing w:before="0" w:line="400" w:lineRule="exact"/>
        <w:ind w:firstLine="480" w:firstLineChars="200"/>
        <w:jc w:val="left"/>
        <w:rPr>
          <w:rFonts w:hint="default" w:ascii="Times New Roman" w:hAnsi="Times New Roman" w:eastAsia="仿宋_GB2312" w:cs="Times New Roman"/>
          <w:color w:val="auto"/>
          <w:sz w:val="24"/>
          <w:szCs w:val="24"/>
          <w:highlight w:val="none"/>
        </w:rPr>
      </w:pPr>
      <w:r>
        <w:rPr>
          <w:rFonts w:hint="default" w:ascii="Times New Roman" w:hAnsi="Times New Roman" w:eastAsia="仿宋_GB2312" w:cs="Times New Roman"/>
          <w:color w:val="auto"/>
          <w:sz w:val="24"/>
          <w:szCs w:val="24"/>
          <w:highlight w:val="none"/>
          <w:lang w:eastAsia="zh-CN"/>
        </w:rPr>
        <w:t>6</w:t>
      </w:r>
      <w:r>
        <w:rPr>
          <w:rFonts w:hint="default" w:ascii="Times New Roman" w:hAnsi="Times New Roman" w:eastAsia="仿宋_GB2312" w:cs="Times New Roman"/>
          <w:color w:val="auto"/>
          <w:sz w:val="24"/>
          <w:szCs w:val="24"/>
          <w:highlight w:val="none"/>
        </w:rPr>
        <w:t>.1 甲乙双方应当按照</w:t>
      </w:r>
      <w:r>
        <w:rPr>
          <w:rFonts w:hint="default" w:ascii="Times New Roman" w:hAnsi="Times New Roman" w:eastAsia="仿宋_GB2312" w:cs="Times New Roman"/>
          <w:b/>
          <w:bCs/>
          <w:color w:val="auto"/>
          <w:sz w:val="24"/>
          <w:szCs w:val="24"/>
          <w:highlight w:val="none"/>
        </w:rPr>
        <w:t>【政府采购合同专用条款】</w:t>
      </w:r>
      <w:r>
        <w:rPr>
          <w:rFonts w:hint="default" w:ascii="Times New Roman" w:hAnsi="Times New Roman" w:eastAsia="仿宋_GB2312" w:cs="Times New Roman"/>
          <w:color w:val="auto"/>
          <w:sz w:val="24"/>
          <w:szCs w:val="24"/>
          <w:highlight w:val="none"/>
        </w:rPr>
        <w:t>约定顺序履行合同义务；如果没有先后顺序的，应当同时履行。</w:t>
      </w:r>
    </w:p>
    <w:p w14:paraId="652D43A7">
      <w:pPr>
        <w:autoSpaceDE w:val="0"/>
        <w:autoSpaceDN w:val="0"/>
        <w:adjustRightInd w:val="0"/>
        <w:snapToGrid w:val="0"/>
        <w:spacing w:before="0" w:line="400" w:lineRule="exact"/>
        <w:ind w:firstLine="480" w:firstLineChars="200"/>
        <w:jc w:val="left"/>
        <w:rPr>
          <w:rFonts w:hint="default" w:ascii="Times New Roman" w:hAnsi="Times New Roman" w:eastAsia="仿宋_GB2312" w:cs="Times New Roman"/>
          <w:color w:val="auto"/>
          <w:sz w:val="24"/>
          <w:szCs w:val="24"/>
          <w:highlight w:val="none"/>
        </w:rPr>
      </w:pPr>
      <w:r>
        <w:rPr>
          <w:rFonts w:hint="default" w:ascii="Times New Roman" w:hAnsi="Times New Roman" w:eastAsia="仿宋_GB2312" w:cs="Times New Roman"/>
          <w:color w:val="auto"/>
          <w:sz w:val="24"/>
          <w:szCs w:val="24"/>
          <w:highlight w:val="none"/>
          <w:lang w:eastAsia="zh-CN"/>
        </w:rPr>
        <w:t>6</w:t>
      </w:r>
      <w:r>
        <w:rPr>
          <w:rFonts w:hint="default" w:ascii="Times New Roman" w:hAnsi="Times New Roman" w:eastAsia="仿宋_GB2312" w:cs="Times New Roman"/>
          <w:color w:val="auto"/>
          <w:sz w:val="24"/>
          <w:szCs w:val="24"/>
          <w:highlight w:val="none"/>
        </w:rPr>
        <w:t>.2 甲乙双方按照合同约定顺序履行合同义务时，应当先履行一方未履行的，后履行一方有权拒绝其履行请求。先履行一方履行不符合约定的，后履行一方有权拒绝其相应的履行请求。</w:t>
      </w:r>
    </w:p>
    <w:p w14:paraId="063A182B">
      <w:pPr>
        <w:adjustRightInd w:val="0"/>
        <w:snapToGrid w:val="0"/>
        <w:spacing w:before="0" w:line="400" w:lineRule="exact"/>
        <w:jc w:val="left"/>
        <w:rPr>
          <w:rFonts w:hint="default" w:ascii="Times New Roman" w:hAnsi="Times New Roman" w:eastAsia="仿宋_GB2312" w:cs="Times New Roman"/>
          <w:b/>
          <w:bCs/>
          <w:color w:val="auto"/>
          <w:sz w:val="24"/>
          <w:szCs w:val="24"/>
          <w:highlight w:val="none"/>
        </w:rPr>
      </w:pPr>
      <w:r>
        <w:rPr>
          <w:rFonts w:hint="default" w:ascii="Times New Roman" w:hAnsi="Times New Roman" w:eastAsia="仿宋_GB2312" w:cs="Times New Roman"/>
          <w:b/>
          <w:bCs/>
          <w:color w:val="auto"/>
          <w:sz w:val="24"/>
          <w:szCs w:val="24"/>
          <w:highlight w:val="none"/>
          <w:lang w:eastAsia="zh-CN"/>
        </w:rPr>
        <w:t>7</w:t>
      </w:r>
      <w:r>
        <w:rPr>
          <w:rFonts w:hint="default" w:ascii="Times New Roman" w:hAnsi="Times New Roman" w:eastAsia="仿宋_GB2312" w:cs="Times New Roman"/>
          <w:b/>
          <w:bCs/>
          <w:color w:val="auto"/>
          <w:sz w:val="24"/>
          <w:szCs w:val="24"/>
          <w:highlight w:val="none"/>
          <w:lang w:val="en-US" w:eastAsia="zh-CN"/>
        </w:rPr>
        <w:t xml:space="preserve">. </w:t>
      </w:r>
      <w:r>
        <w:rPr>
          <w:rFonts w:hint="default" w:ascii="Times New Roman" w:hAnsi="Times New Roman" w:eastAsia="仿宋_GB2312" w:cs="Times New Roman"/>
          <w:b/>
          <w:bCs/>
          <w:color w:val="auto"/>
          <w:sz w:val="24"/>
          <w:szCs w:val="24"/>
          <w:highlight w:val="none"/>
        </w:rPr>
        <w:t>货物包装、运输</w:t>
      </w:r>
      <w:r>
        <w:rPr>
          <w:rFonts w:hint="default" w:ascii="Times New Roman" w:hAnsi="Times New Roman" w:eastAsia="仿宋_GB2312" w:cs="Times New Roman"/>
          <w:b/>
          <w:bCs/>
          <w:color w:val="auto"/>
          <w:sz w:val="24"/>
          <w:szCs w:val="24"/>
          <w:highlight w:val="none"/>
          <w:lang w:eastAsia="zh-CN"/>
        </w:rPr>
        <w:t>、</w:t>
      </w:r>
      <w:r>
        <w:rPr>
          <w:rFonts w:hint="default" w:ascii="Times New Roman" w:hAnsi="Times New Roman" w:eastAsia="仿宋_GB2312" w:cs="Times New Roman"/>
          <w:b/>
          <w:bCs/>
          <w:color w:val="auto"/>
          <w:sz w:val="24"/>
          <w:szCs w:val="24"/>
          <w:highlight w:val="none"/>
        </w:rPr>
        <w:t>保险</w:t>
      </w:r>
      <w:r>
        <w:rPr>
          <w:rFonts w:hint="default" w:ascii="Times New Roman" w:hAnsi="Times New Roman" w:eastAsia="仿宋_GB2312" w:cs="Times New Roman"/>
          <w:b/>
          <w:bCs/>
          <w:color w:val="auto"/>
          <w:sz w:val="24"/>
          <w:szCs w:val="24"/>
          <w:highlight w:val="none"/>
          <w:lang w:eastAsia="zh-CN"/>
        </w:rPr>
        <w:t>和交付</w:t>
      </w:r>
      <w:r>
        <w:rPr>
          <w:rFonts w:hint="default" w:ascii="Times New Roman" w:hAnsi="Times New Roman" w:eastAsia="仿宋_GB2312" w:cs="Times New Roman"/>
          <w:b/>
          <w:bCs/>
          <w:color w:val="auto"/>
          <w:sz w:val="24"/>
          <w:szCs w:val="24"/>
          <w:highlight w:val="none"/>
        </w:rPr>
        <w:t>要求</w:t>
      </w:r>
    </w:p>
    <w:p w14:paraId="7373CF25">
      <w:pPr>
        <w:autoSpaceDE w:val="0"/>
        <w:autoSpaceDN w:val="0"/>
        <w:adjustRightInd w:val="0"/>
        <w:snapToGrid w:val="0"/>
        <w:spacing w:before="0" w:line="400" w:lineRule="exact"/>
        <w:ind w:firstLine="480" w:firstLineChars="200"/>
        <w:jc w:val="left"/>
        <w:rPr>
          <w:rFonts w:hint="default" w:ascii="Times New Roman" w:hAnsi="Times New Roman" w:eastAsia="仿宋_GB2312" w:cs="Times New Roman"/>
          <w:color w:val="auto"/>
          <w:sz w:val="24"/>
          <w:szCs w:val="24"/>
          <w:highlight w:val="none"/>
        </w:rPr>
      </w:pPr>
      <w:r>
        <w:rPr>
          <w:rFonts w:hint="default" w:ascii="Times New Roman" w:hAnsi="Times New Roman" w:eastAsia="仿宋_GB2312" w:cs="Times New Roman"/>
          <w:color w:val="auto"/>
          <w:sz w:val="24"/>
          <w:szCs w:val="24"/>
          <w:highlight w:val="none"/>
          <w:lang w:eastAsia="zh-CN"/>
        </w:rPr>
        <w:t>7</w:t>
      </w:r>
      <w:r>
        <w:rPr>
          <w:rFonts w:hint="default" w:ascii="Times New Roman" w:hAnsi="Times New Roman" w:eastAsia="仿宋_GB2312" w:cs="Times New Roman"/>
          <w:color w:val="auto"/>
          <w:sz w:val="24"/>
          <w:szCs w:val="24"/>
          <w:highlight w:val="none"/>
        </w:rPr>
        <w:t>.1 本合同</w:t>
      </w:r>
      <w:r>
        <w:rPr>
          <w:rFonts w:hint="default" w:ascii="Times New Roman" w:hAnsi="Times New Roman" w:eastAsia="仿宋_GB2312" w:cs="Times New Roman"/>
          <w:bCs/>
          <w:color w:val="auto"/>
          <w:sz w:val="24"/>
          <w:szCs w:val="24"/>
          <w:highlight w:val="none"/>
        </w:rPr>
        <w:t>涉及商品包装</w:t>
      </w:r>
      <w:r>
        <w:rPr>
          <w:rFonts w:hint="default" w:ascii="Times New Roman" w:hAnsi="Times New Roman" w:eastAsia="仿宋_GB2312" w:cs="Times New Roman"/>
          <w:bCs/>
          <w:color w:val="auto"/>
          <w:sz w:val="24"/>
          <w:szCs w:val="24"/>
          <w:highlight w:val="none"/>
          <w:lang w:eastAsia="zh-CN"/>
        </w:rPr>
        <w:t>、</w:t>
      </w:r>
      <w:r>
        <w:rPr>
          <w:rFonts w:hint="default" w:ascii="Times New Roman" w:hAnsi="Times New Roman" w:eastAsia="仿宋_GB2312" w:cs="Times New Roman"/>
          <w:bCs/>
          <w:color w:val="auto"/>
          <w:sz w:val="24"/>
          <w:szCs w:val="24"/>
          <w:highlight w:val="none"/>
        </w:rPr>
        <w:t>快递包装的，</w:t>
      </w:r>
      <w:r>
        <w:rPr>
          <w:rFonts w:hint="default" w:ascii="Times New Roman" w:hAnsi="Times New Roman" w:eastAsia="仿宋_GB2312" w:cs="Times New Roman"/>
          <w:color w:val="auto"/>
          <w:sz w:val="24"/>
          <w:szCs w:val="24"/>
          <w:highlight w:val="none"/>
        </w:rPr>
        <w:t>除</w:t>
      </w:r>
      <w:r>
        <w:rPr>
          <w:rFonts w:hint="default" w:ascii="Times New Roman" w:hAnsi="Times New Roman" w:eastAsia="仿宋_GB2312" w:cs="Times New Roman"/>
          <w:b/>
          <w:color w:val="auto"/>
          <w:sz w:val="24"/>
          <w:szCs w:val="24"/>
          <w:highlight w:val="none"/>
        </w:rPr>
        <w:t>【政府采购合同专用条款】</w:t>
      </w:r>
      <w:r>
        <w:rPr>
          <w:rFonts w:hint="default" w:ascii="Times New Roman" w:hAnsi="Times New Roman" w:eastAsia="仿宋_GB2312" w:cs="Times New Roman"/>
          <w:bCs/>
          <w:color w:val="auto"/>
          <w:sz w:val="24"/>
          <w:szCs w:val="24"/>
          <w:highlight w:val="none"/>
        </w:rPr>
        <w:t>另有</w:t>
      </w:r>
      <w:r>
        <w:rPr>
          <w:rFonts w:hint="default" w:ascii="Times New Roman" w:hAnsi="Times New Roman" w:eastAsia="仿宋_GB2312" w:cs="Times New Roman"/>
          <w:bCs/>
          <w:color w:val="auto"/>
          <w:sz w:val="24"/>
          <w:szCs w:val="24"/>
          <w:highlight w:val="none"/>
          <w:lang w:eastAsia="zh-CN"/>
        </w:rPr>
        <w:t>约</w:t>
      </w:r>
      <w:r>
        <w:rPr>
          <w:rFonts w:hint="default" w:ascii="Times New Roman" w:hAnsi="Times New Roman" w:eastAsia="仿宋_GB2312" w:cs="Times New Roman"/>
          <w:bCs/>
          <w:color w:val="auto"/>
          <w:sz w:val="24"/>
          <w:szCs w:val="24"/>
          <w:highlight w:val="none"/>
        </w:rPr>
        <w:t>定</w:t>
      </w:r>
      <w:r>
        <w:rPr>
          <w:rFonts w:hint="default" w:ascii="Times New Roman" w:hAnsi="Times New Roman" w:eastAsia="仿宋_GB2312" w:cs="Times New Roman"/>
          <w:bCs/>
          <w:color w:val="auto"/>
          <w:sz w:val="24"/>
          <w:szCs w:val="24"/>
          <w:highlight w:val="none"/>
          <w:lang w:eastAsia="zh-CN"/>
        </w:rPr>
        <w:t>外</w:t>
      </w:r>
      <w:r>
        <w:rPr>
          <w:rFonts w:hint="default" w:ascii="Times New Roman" w:hAnsi="Times New Roman" w:eastAsia="仿宋_GB2312" w:cs="Times New Roman"/>
          <w:bCs/>
          <w:color w:val="auto"/>
          <w:sz w:val="24"/>
          <w:szCs w:val="24"/>
          <w:highlight w:val="none"/>
        </w:rPr>
        <w:t>，</w:t>
      </w:r>
      <w:r>
        <w:rPr>
          <w:rFonts w:hint="default" w:ascii="Times New Roman" w:hAnsi="Times New Roman" w:eastAsia="仿宋_GB2312" w:cs="Times New Roman"/>
          <w:color w:val="auto"/>
          <w:sz w:val="24"/>
          <w:szCs w:val="24"/>
          <w:highlight w:val="none"/>
        </w:rPr>
        <w:t>包装应适应远距离运输、防潮、防震、防锈和防野蛮装卸等要求，确保货物安全无损地运抵</w:t>
      </w:r>
      <w:r>
        <w:rPr>
          <w:rFonts w:hint="default" w:ascii="Times New Roman" w:hAnsi="Times New Roman" w:eastAsia="仿宋_GB2312" w:cs="Times New Roman"/>
          <w:b/>
          <w:color w:val="auto"/>
          <w:sz w:val="24"/>
          <w:szCs w:val="24"/>
          <w:highlight w:val="none"/>
        </w:rPr>
        <w:t>【政府采购合同专用条款】</w:t>
      </w:r>
      <w:r>
        <w:rPr>
          <w:rFonts w:hint="default" w:ascii="Times New Roman" w:hAnsi="Times New Roman" w:eastAsia="仿宋_GB2312" w:cs="Times New Roman"/>
          <w:b w:val="0"/>
          <w:bCs/>
          <w:color w:val="auto"/>
          <w:sz w:val="24"/>
          <w:szCs w:val="24"/>
          <w:highlight w:val="none"/>
          <w:lang w:eastAsia="zh-CN"/>
        </w:rPr>
        <w:t>约定的</w:t>
      </w:r>
      <w:r>
        <w:rPr>
          <w:rFonts w:hint="default" w:ascii="Times New Roman" w:hAnsi="Times New Roman" w:eastAsia="仿宋_GB2312" w:cs="Times New Roman"/>
          <w:color w:val="auto"/>
          <w:sz w:val="24"/>
          <w:szCs w:val="24"/>
          <w:highlight w:val="none"/>
        </w:rPr>
        <w:t>指定现场。</w:t>
      </w:r>
    </w:p>
    <w:p w14:paraId="0340E26F">
      <w:pPr>
        <w:adjustRightInd w:val="0"/>
        <w:snapToGrid w:val="0"/>
        <w:spacing w:before="0" w:line="400" w:lineRule="exact"/>
        <w:ind w:firstLine="480" w:firstLineChars="200"/>
        <w:jc w:val="left"/>
        <w:rPr>
          <w:rFonts w:hint="default" w:ascii="Times New Roman" w:hAnsi="Times New Roman" w:eastAsia="仿宋_GB2312" w:cs="Times New Roman"/>
          <w:color w:val="auto"/>
          <w:sz w:val="24"/>
          <w:szCs w:val="24"/>
          <w:highlight w:val="none"/>
        </w:rPr>
      </w:pPr>
      <w:r>
        <w:rPr>
          <w:rFonts w:hint="default" w:ascii="Times New Roman" w:hAnsi="Times New Roman" w:eastAsia="仿宋_GB2312" w:cs="Times New Roman"/>
          <w:color w:val="auto"/>
          <w:sz w:val="24"/>
          <w:szCs w:val="24"/>
          <w:highlight w:val="none"/>
          <w:lang w:eastAsia="zh-CN"/>
        </w:rPr>
        <w:t>7</w:t>
      </w:r>
      <w:r>
        <w:rPr>
          <w:rFonts w:hint="default" w:ascii="Times New Roman" w:hAnsi="Times New Roman" w:eastAsia="仿宋_GB2312" w:cs="Times New Roman"/>
          <w:color w:val="auto"/>
          <w:sz w:val="24"/>
          <w:szCs w:val="24"/>
          <w:highlight w:val="none"/>
        </w:rPr>
        <w:t>.2 除</w:t>
      </w:r>
      <w:r>
        <w:rPr>
          <w:rFonts w:hint="default" w:ascii="Times New Roman" w:hAnsi="Times New Roman" w:eastAsia="仿宋_GB2312" w:cs="Times New Roman"/>
          <w:b/>
          <w:color w:val="auto"/>
          <w:sz w:val="24"/>
          <w:szCs w:val="24"/>
          <w:highlight w:val="none"/>
        </w:rPr>
        <w:t>【政府采购合同专用条款】</w:t>
      </w:r>
      <w:r>
        <w:rPr>
          <w:rFonts w:hint="default" w:ascii="Times New Roman" w:hAnsi="Times New Roman" w:eastAsia="仿宋_GB2312" w:cs="Times New Roman"/>
          <w:bCs/>
          <w:color w:val="auto"/>
          <w:sz w:val="24"/>
          <w:szCs w:val="24"/>
          <w:highlight w:val="none"/>
        </w:rPr>
        <w:t>另有</w:t>
      </w:r>
      <w:r>
        <w:rPr>
          <w:rFonts w:hint="default" w:ascii="Times New Roman" w:hAnsi="Times New Roman" w:eastAsia="仿宋_GB2312" w:cs="Times New Roman"/>
          <w:bCs/>
          <w:color w:val="auto"/>
          <w:sz w:val="24"/>
          <w:szCs w:val="24"/>
          <w:highlight w:val="none"/>
          <w:lang w:eastAsia="zh-CN"/>
        </w:rPr>
        <w:t>约</w:t>
      </w:r>
      <w:r>
        <w:rPr>
          <w:rFonts w:hint="default" w:ascii="Times New Roman" w:hAnsi="Times New Roman" w:eastAsia="仿宋_GB2312" w:cs="Times New Roman"/>
          <w:bCs/>
          <w:color w:val="auto"/>
          <w:sz w:val="24"/>
          <w:szCs w:val="24"/>
          <w:highlight w:val="none"/>
        </w:rPr>
        <w:t>定</w:t>
      </w:r>
      <w:r>
        <w:rPr>
          <w:rFonts w:hint="default" w:ascii="Times New Roman" w:hAnsi="Times New Roman" w:eastAsia="仿宋_GB2312" w:cs="Times New Roman"/>
          <w:bCs/>
          <w:color w:val="auto"/>
          <w:sz w:val="24"/>
          <w:szCs w:val="24"/>
          <w:highlight w:val="none"/>
          <w:lang w:eastAsia="zh-CN"/>
        </w:rPr>
        <w:t>外</w:t>
      </w:r>
      <w:r>
        <w:rPr>
          <w:rFonts w:hint="default" w:ascii="Times New Roman" w:hAnsi="Times New Roman" w:eastAsia="仿宋_GB2312" w:cs="Times New Roman"/>
          <w:bCs/>
          <w:color w:val="auto"/>
          <w:sz w:val="24"/>
          <w:szCs w:val="24"/>
          <w:highlight w:val="none"/>
        </w:rPr>
        <w:t>，</w:t>
      </w:r>
      <w:r>
        <w:rPr>
          <w:rFonts w:hint="default" w:ascii="Times New Roman" w:hAnsi="Times New Roman" w:eastAsia="仿宋_GB2312" w:cs="Times New Roman"/>
          <w:color w:val="auto"/>
          <w:sz w:val="24"/>
          <w:szCs w:val="24"/>
          <w:highlight w:val="none"/>
        </w:rPr>
        <w:t>乙方负责办理将货物运抵本合同规定的交货地点</w:t>
      </w:r>
      <w:r>
        <w:rPr>
          <w:rFonts w:hint="default" w:ascii="Times New Roman" w:hAnsi="Times New Roman" w:eastAsia="仿宋_GB2312" w:cs="Times New Roman"/>
          <w:color w:val="auto"/>
          <w:sz w:val="24"/>
          <w:szCs w:val="24"/>
          <w:highlight w:val="none"/>
          <w:lang w:eastAsia="zh-CN"/>
        </w:rPr>
        <w:t>，并装卸、交付至甲方</w:t>
      </w:r>
      <w:r>
        <w:rPr>
          <w:rFonts w:hint="default" w:ascii="Times New Roman" w:hAnsi="Times New Roman" w:eastAsia="仿宋_GB2312" w:cs="Times New Roman"/>
          <w:color w:val="auto"/>
          <w:sz w:val="24"/>
          <w:szCs w:val="24"/>
          <w:highlight w:val="none"/>
        </w:rPr>
        <w:t>的一切运输事项，相关费用应</w:t>
      </w:r>
      <w:r>
        <w:rPr>
          <w:rFonts w:hint="default" w:ascii="Times New Roman" w:hAnsi="Times New Roman" w:eastAsia="仿宋_GB2312" w:cs="Times New Roman"/>
          <w:color w:val="auto"/>
          <w:sz w:val="24"/>
          <w:szCs w:val="24"/>
          <w:highlight w:val="none"/>
          <w:lang w:eastAsia="zh-CN"/>
        </w:rPr>
        <w:t>包含</w:t>
      </w:r>
      <w:r>
        <w:rPr>
          <w:rFonts w:hint="default" w:ascii="Times New Roman" w:hAnsi="Times New Roman" w:eastAsia="仿宋_GB2312" w:cs="Times New Roman"/>
          <w:color w:val="auto"/>
          <w:sz w:val="24"/>
          <w:szCs w:val="24"/>
          <w:highlight w:val="none"/>
        </w:rPr>
        <w:t>在合同</w:t>
      </w:r>
      <w:r>
        <w:rPr>
          <w:rFonts w:hint="default" w:ascii="Times New Roman" w:hAnsi="Times New Roman" w:eastAsia="仿宋_GB2312" w:cs="Times New Roman"/>
          <w:color w:val="auto"/>
          <w:sz w:val="24"/>
          <w:szCs w:val="24"/>
          <w:highlight w:val="none"/>
          <w:lang w:eastAsia="zh-CN"/>
        </w:rPr>
        <w:t>价款</w:t>
      </w:r>
      <w:r>
        <w:rPr>
          <w:rFonts w:hint="default" w:ascii="Times New Roman" w:hAnsi="Times New Roman" w:eastAsia="仿宋_GB2312" w:cs="Times New Roman"/>
          <w:color w:val="auto"/>
          <w:sz w:val="24"/>
          <w:szCs w:val="24"/>
          <w:highlight w:val="none"/>
        </w:rPr>
        <w:t>中。</w:t>
      </w:r>
    </w:p>
    <w:p w14:paraId="5CAF56F8">
      <w:pPr>
        <w:adjustRightInd w:val="0"/>
        <w:snapToGrid w:val="0"/>
        <w:spacing w:before="0" w:line="400" w:lineRule="exact"/>
        <w:ind w:firstLine="480" w:firstLineChars="200"/>
        <w:jc w:val="left"/>
        <w:rPr>
          <w:rFonts w:hint="default" w:ascii="Times New Roman" w:hAnsi="Times New Roman" w:eastAsia="仿宋_GB2312" w:cs="Times New Roman"/>
          <w:color w:val="auto"/>
          <w:sz w:val="24"/>
          <w:szCs w:val="24"/>
          <w:highlight w:val="none"/>
        </w:rPr>
      </w:pPr>
      <w:r>
        <w:rPr>
          <w:rFonts w:hint="default" w:ascii="Times New Roman" w:hAnsi="Times New Roman" w:eastAsia="仿宋_GB2312" w:cs="Times New Roman"/>
          <w:color w:val="auto"/>
          <w:sz w:val="24"/>
          <w:szCs w:val="24"/>
          <w:highlight w:val="none"/>
          <w:lang w:eastAsia="zh-CN"/>
        </w:rPr>
        <w:t>7</w:t>
      </w:r>
      <w:r>
        <w:rPr>
          <w:rFonts w:hint="default" w:ascii="Times New Roman" w:hAnsi="Times New Roman" w:eastAsia="仿宋_GB2312" w:cs="Times New Roman"/>
          <w:color w:val="auto"/>
          <w:sz w:val="24"/>
          <w:szCs w:val="24"/>
          <w:highlight w:val="none"/>
        </w:rPr>
        <w:t>.3 货物保险要求按</w:t>
      </w:r>
      <w:r>
        <w:rPr>
          <w:rFonts w:hint="default" w:ascii="Times New Roman" w:hAnsi="Times New Roman" w:eastAsia="仿宋_GB2312" w:cs="Times New Roman"/>
          <w:b/>
          <w:color w:val="auto"/>
          <w:sz w:val="24"/>
          <w:szCs w:val="24"/>
          <w:highlight w:val="none"/>
        </w:rPr>
        <w:t>【政府采购合同专用条款】</w:t>
      </w:r>
      <w:r>
        <w:rPr>
          <w:rFonts w:hint="default" w:ascii="Times New Roman" w:hAnsi="Times New Roman" w:eastAsia="仿宋_GB2312" w:cs="Times New Roman"/>
          <w:bCs/>
          <w:color w:val="auto"/>
          <w:sz w:val="24"/>
          <w:szCs w:val="24"/>
          <w:highlight w:val="none"/>
        </w:rPr>
        <w:t>规定执行</w:t>
      </w:r>
      <w:r>
        <w:rPr>
          <w:rFonts w:hint="default" w:ascii="Times New Roman" w:hAnsi="Times New Roman" w:eastAsia="仿宋_GB2312" w:cs="Times New Roman"/>
          <w:color w:val="auto"/>
          <w:sz w:val="24"/>
          <w:szCs w:val="24"/>
          <w:highlight w:val="none"/>
        </w:rPr>
        <w:t>。</w:t>
      </w:r>
    </w:p>
    <w:p w14:paraId="4313B21F">
      <w:pPr>
        <w:autoSpaceDE w:val="0"/>
        <w:autoSpaceDN w:val="0"/>
        <w:adjustRightInd w:val="0"/>
        <w:snapToGrid w:val="0"/>
        <w:spacing w:before="0" w:line="400" w:lineRule="exact"/>
        <w:ind w:firstLine="480" w:firstLineChars="200"/>
        <w:jc w:val="left"/>
        <w:rPr>
          <w:rFonts w:hint="default" w:ascii="Times New Roman" w:hAnsi="Times New Roman" w:eastAsia="仿宋_GB2312" w:cs="Times New Roman"/>
          <w:color w:val="auto"/>
          <w:sz w:val="24"/>
          <w:szCs w:val="24"/>
          <w:highlight w:val="none"/>
        </w:rPr>
      </w:pPr>
      <w:r>
        <w:rPr>
          <w:rFonts w:hint="default" w:ascii="Times New Roman" w:hAnsi="Times New Roman" w:eastAsia="仿宋_GB2312" w:cs="Times New Roman"/>
          <w:color w:val="auto"/>
          <w:sz w:val="24"/>
          <w:szCs w:val="24"/>
          <w:highlight w:val="none"/>
          <w:lang w:eastAsia="zh-CN"/>
        </w:rPr>
        <w:t>7</w:t>
      </w:r>
      <w:r>
        <w:rPr>
          <w:rFonts w:hint="default" w:ascii="Times New Roman" w:hAnsi="Times New Roman" w:eastAsia="仿宋_GB2312" w:cs="Times New Roman"/>
          <w:color w:val="auto"/>
          <w:sz w:val="24"/>
          <w:szCs w:val="24"/>
          <w:highlight w:val="none"/>
        </w:rPr>
        <w:t xml:space="preserve">.4 </w:t>
      </w:r>
      <w:r>
        <w:rPr>
          <w:rFonts w:hint="default" w:ascii="Times New Roman" w:hAnsi="Times New Roman" w:eastAsia="仿宋_GB2312" w:cs="Times New Roman"/>
          <w:color w:val="auto"/>
          <w:sz w:val="24"/>
          <w:szCs w:val="24"/>
          <w:highlight w:val="none"/>
          <w:lang w:val="en-US" w:eastAsia="zh-CN"/>
        </w:rPr>
        <w:t>除采购活动</w:t>
      </w:r>
      <w:r>
        <w:rPr>
          <w:rFonts w:hint="default" w:ascii="Times New Roman" w:hAnsi="Times New Roman" w:eastAsia="仿宋_GB2312" w:cs="Times New Roman"/>
          <w:color w:val="auto"/>
          <w:sz w:val="24"/>
          <w:szCs w:val="24"/>
          <w:highlight w:val="none"/>
        </w:rPr>
        <w:t>对商品包装</w:t>
      </w:r>
      <w:r>
        <w:rPr>
          <w:rFonts w:hint="default" w:ascii="Times New Roman" w:hAnsi="Times New Roman" w:eastAsia="仿宋_GB2312" w:cs="Times New Roman"/>
          <w:color w:val="auto"/>
          <w:sz w:val="24"/>
          <w:szCs w:val="24"/>
          <w:highlight w:val="none"/>
          <w:lang w:eastAsia="zh-CN"/>
        </w:rPr>
        <w:t>、</w:t>
      </w:r>
      <w:r>
        <w:rPr>
          <w:rFonts w:hint="default" w:ascii="Times New Roman" w:hAnsi="Times New Roman" w:eastAsia="仿宋_GB2312" w:cs="Times New Roman"/>
          <w:color w:val="auto"/>
          <w:sz w:val="24"/>
          <w:szCs w:val="24"/>
          <w:highlight w:val="none"/>
        </w:rPr>
        <w:t>快递包装</w:t>
      </w:r>
      <w:r>
        <w:rPr>
          <w:rFonts w:hint="default" w:ascii="Times New Roman" w:hAnsi="Times New Roman" w:eastAsia="仿宋_GB2312" w:cs="Times New Roman"/>
          <w:color w:val="auto"/>
          <w:sz w:val="24"/>
          <w:szCs w:val="24"/>
          <w:highlight w:val="none"/>
          <w:lang w:val="en-US" w:eastAsia="zh-CN"/>
        </w:rPr>
        <w:t>达成具体约定外</w:t>
      </w:r>
      <w:r>
        <w:rPr>
          <w:rFonts w:hint="default" w:ascii="Times New Roman" w:hAnsi="Times New Roman" w:eastAsia="仿宋_GB2312" w:cs="Times New Roman"/>
          <w:color w:val="auto"/>
          <w:sz w:val="24"/>
          <w:szCs w:val="24"/>
          <w:highlight w:val="none"/>
        </w:rPr>
        <w:t>，乙方提供产品及相关快递服务</w:t>
      </w:r>
      <w:r>
        <w:rPr>
          <w:rFonts w:hint="default" w:ascii="Times New Roman" w:hAnsi="Times New Roman" w:eastAsia="仿宋_GB2312" w:cs="Times New Roman"/>
          <w:color w:val="auto"/>
          <w:sz w:val="24"/>
          <w:szCs w:val="24"/>
          <w:highlight w:val="none"/>
          <w:lang w:val="en-US" w:eastAsia="zh-CN"/>
        </w:rPr>
        <w:t>涉及到</w:t>
      </w:r>
      <w:r>
        <w:rPr>
          <w:rFonts w:hint="default" w:ascii="Times New Roman" w:hAnsi="Times New Roman" w:eastAsia="仿宋_GB2312" w:cs="Times New Roman"/>
          <w:color w:val="auto"/>
          <w:sz w:val="24"/>
          <w:szCs w:val="24"/>
          <w:highlight w:val="none"/>
        </w:rPr>
        <w:t>具体包装要求</w:t>
      </w:r>
      <w:r>
        <w:rPr>
          <w:rFonts w:hint="default" w:ascii="Times New Roman" w:hAnsi="Times New Roman" w:eastAsia="仿宋_GB2312" w:cs="Times New Roman"/>
          <w:color w:val="auto"/>
          <w:sz w:val="24"/>
          <w:szCs w:val="24"/>
          <w:highlight w:val="none"/>
          <w:lang w:val="en-US" w:eastAsia="zh-CN"/>
        </w:rPr>
        <w:t>的，</w:t>
      </w:r>
      <w:r>
        <w:rPr>
          <w:rFonts w:hint="default" w:ascii="Times New Roman" w:hAnsi="Times New Roman" w:eastAsia="仿宋_GB2312" w:cs="Times New Roman"/>
          <w:color w:val="auto"/>
          <w:sz w:val="24"/>
          <w:szCs w:val="24"/>
          <w:highlight w:val="none"/>
        </w:rPr>
        <w:t>应</w:t>
      </w:r>
      <w:r>
        <w:rPr>
          <w:rFonts w:hint="default" w:ascii="Times New Roman" w:hAnsi="Times New Roman" w:eastAsia="仿宋_GB2312" w:cs="Times New Roman"/>
          <w:color w:val="auto"/>
          <w:sz w:val="24"/>
          <w:szCs w:val="24"/>
          <w:highlight w:val="none"/>
          <w:lang w:val="en-US" w:eastAsia="zh-CN"/>
        </w:rPr>
        <w:t>不低于</w:t>
      </w:r>
      <w:r>
        <w:rPr>
          <w:rFonts w:hint="default" w:ascii="Times New Roman" w:hAnsi="Times New Roman" w:eastAsia="仿宋_GB2312" w:cs="Times New Roman"/>
          <w:color w:val="auto"/>
          <w:sz w:val="24"/>
          <w:szCs w:val="24"/>
          <w:highlight w:val="none"/>
        </w:rPr>
        <w:t>《商品包装政府采购需求标准（试行）</w:t>
      </w:r>
      <w:r>
        <w:rPr>
          <w:rFonts w:hint="default" w:ascii="Times New Roman" w:hAnsi="Times New Roman" w:eastAsia="仿宋_GB2312" w:cs="Times New Roman"/>
          <w:color w:val="auto"/>
          <w:sz w:val="24"/>
          <w:szCs w:val="24"/>
          <w:highlight w:val="none"/>
          <w:lang w:eastAsia="zh-CN"/>
        </w:rPr>
        <w:t>》《</w:t>
      </w:r>
      <w:r>
        <w:rPr>
          <w:rFonts w:hint="default" w:ascii="Times New Roman" w:hAnsi="Times New Roman" w:eastAsia="仿宋_GB2312" w:cs="Times New Roman"/>
          <w:color w:val="auto"/>
          <w:sz w:val="24"/>
          <w:szCs w:val="24"/>
          <w:highlight w:val="none"/>
        </w:rPr>
        <w:t>快递包装政府采购需求标准（试行）》</w:t>
      </w:r>
      <w:r>
        <w:rPr>
          <w:rFonts w:hint="default" w:ascii="Times New Roman" w:hAnsi="Times New Roman" w:eastAsia="仿宋_GB2312" w:cs="Times New Roman"/>
          <w:color w:val="auto"/>
          <w:sz w:val="24"/>
          <w:szCs w:val="24"/>
          <w:highlight w:val="none"/>
          <w:lang w:val="en-US" w:eastAsia="zh-CN"/>
        </w:rPr>
        <w:t>标准</w:t>
      </w:r>
      <w:r>
        <w:rPr>
          <w:rFonts w:hint="default" w:ascii="Times New Roman" w:hAnsi="Times New Roman" w:eastAsia="仿宋_GB2312" w:cs="Times New Roman"/>
          <w:color w:val="auto"/>
          <w:sz w:val="24"/>
          <w:szCs w:val="24"/>
          <w:highlight w:val="none"/>
        </w:rPr>
        <w:t>，并作为履约验收的内容，必要时甲方可以要求乙方在履约验收环节出具检测报告。</w:t>
      </w:r>
    </w:p>
    <w:p w14:paraId="14292434">
      <w:pPr>
        <w:autoSpaceDE w:val="0"/>
        <w:autoSpaceDN w:val="0"/>
        <w:adjustRightInd w:val="0"/>
        <w:snapToGrid w:val="0"/>
        <w:spacing w:before="0" w:line="400" w:lineRule="exact"/>
        <w:ind w:firstLine="480" w:firstLineChars="200"/>
        <w:jc w:val="left"/>
        <w:rPr>
          <w:rFonts w:hint="default" w:ascii="Times New Roman" w:hAnsi="Times New Roman" w:eastAsia="仿宋_GB2312" w:cs="Times New Roman"/>
          <w:color w:val="auto"/>
          <w:sz w:val="24"/>
          <w:szCs w:val="24"/>
          <w:highlight w:val="none"/>
        </w:rPr>
      </w:pPr>
      <w:r>
        <w:rPr>
          <w:rFonts w:hint="default" w:ascii="Times New Roman" w:hAnsi="Times New Roman" w:eastAsia="仿宋_GB2312" w:cs="Times New Roman"/>
          <w:color w:val="auto"/>
          <w:sz w:val="24"/>
          <w:szCs w:val="24"/>
          <w:highlight w:val="none"/>
          <w:lang w:val="en-US" w:eastAsia="zh-CN"/>
        </w:rPr>
        <w:t xml:space="preserve">7.5 </w:t>
      </w:r>
      <w:r>
        <w:rPr>
          <w:rFonts w:hint="default" w:ascii="Times New Roman" w:hAnsi="Times New Roman" w:eastAsia="仿宋_GB2312" w:cs="Times New Roman"/>
          <w:color w:val="auto"/>
          <w:sz w:val="24"/>
          <w:szCs w:val="24"/>
          <w:highlight w:val="none"/>
        </w:rPr>
        <w:t>乙方在运输到达之前</w:t>
      </w:r>
      <w:r>
        <w:rPr>
          <w:rFonts w:hint="default" w:ascii="Times New Roman" w:hAnsi="Times New Roman" w:eastAsia="仿宋_GB2312" w:cs="Times New Roman"/>
          <w:color w:val="auto"/>
          <w:sz w:val="24"/>
          <w:szCs w:val="24"/>
          <w:highlight w:val="none"/>
          <w:lang w:eastAsia="zh-CN"/>
        </w:rPr>
        <w:t>应</w:t>
      </w:r>
      <w:r>
        <w:rPr>
          <w:rFonts w:hint="default" w:ascii="Times New Roman" w:hAnsi="Times New Roman" w:eastAsia="仿宋_GB2312" w:cs="Times New Roman"/>
          <w:color w:val="auto"/>
          <w:sz w:val="24"/>
          <w:szCs w:val="24"/>
          <w:highlight w:val="none"/>
        </w:rPr>
        <w:t>提前通知</w:t>
      </w:r>
      <w:r>
        <w:rPr>
          <w:rFonts w:hint="default" w:ascii="Times New Roman" w:hAnsi="Times New Roman" w:eastAsia="仿宋_GB2312" w:cs="Times New Roman"/>
          <w:color w:val="auto"/>
          <w:sz w:val="24"/>
          <w:szCs w:val="24"/>
          <w:highlight w:val="none"/>
          <w:lang w:eastAsia="zh-CN"/>
        </w:rPr>
        <w:t>甲方</w:t>
      </w:r>
      <w:r>
        <w:rPr>
          <w:rFonts w:hint="default" w:ascii="Times New Roman" w:hAnsi="Times New Roman" w:eastAsia="仿宋_GB2312" w:cs="Times New Roman"/>
          <w:color w:val="auto"/>
          <w:sz w:val="24"/>
          <w:szCs w:val="24"/>
          <w:highlight w:val="none"/>
        </w:rPr>
        <w:t>，并提示货物运输装卸的注意事项</w:t>
      </w:r>
      <w:r>
        <w:rPr>
          <w:rFonts w:hint="default" w:ascii="Times New Roman" w:hAnsi="Times New Roman" w:eastAsia="仿宋_GB2312" w:cs="Times New Roman"/>
          <w:color w:val="auto"/>
          <w:sz w:val="24"/>
          <w:szCs w:val="24"/>
          <w:highlight w:val="none"/>
          <w:lang w:eastAsia="zh-CN"/>
        </w:rPr>
        <w:t>，甲方配合乙方做好货物的接收工作。</w:t>
      </w:r>
    </w:p>
    <w:p w14:paraId="1B3C1966">
      <w:pPr>
        <w:pStyle w:val="45"/>
        <w:rPr>
          <w:rFonts w:hint="default" w:ascii="Times New Roman" w:hAnsi="Times New Roman" w:eastAsia="仿宋_GB2312" w:cs="Times New Roman"/>
          <w:color w:val="auto"/>
          <w:sz w:val="24"/>
          <w:szCs w:val="24"/>
          <w:highlight w:val="none"/>
          <w:lang w:val="en-US" w:eastAsia="zh-CN"/>
        </w:rPr>
      </w:pPr>
      <w:r>
        <w:rPr>
          <w:rFonts w:hint="default" w:ascii="Times New Roman" w:hAnsi="Times New Roman" w:eastAsia="仿宋_GB2312" w:cs="Times New Roman"/>
          <w:color w:val="auto"/>
          <w:kern w:val="2"/>
          <w:sz w:val="24"/>
          <w:szCs w:val="24"/>
          <w:highlight w:val="none"/>
          <w:lang w:val="en-US" w:eastAsia="zh-CN"/>
        </w:rPr>
        <w:t xml:space="preserve">7.6 </w:t>
      </w:r>
      <w:r>
        <w:rPr>
          <w:rFonts w:hint="default" w:ascii="Times New Roman" w:hAnsi="Times New Roman" w:eastAsia="仿宋_GB2312" w:cs="Times New Roman"/>
          <w:color w:val="auto"/>
          <w:kern w:val="2"/>
          <w:sz w:val="24"/>
          <w:szCs w:val="24"/>
          <w:highlight w:val="none"/>
        </w:rPr>
        <w:t>如因包装</w:t>
      </w:r>
      <w:r>
        <w:rPr>
          <w:rFonts w:hint="default" w:ascii="Times New Roman" w:hAnsi="Times New Roman" w:eastAsia="仿宋_GB2312" w:cs="Times New Roman"/>
          <w:color w:val="auto"/>
          <w:kern w:val="2"/>
          <w:sz w:val="24"/>
          <w:szCs w:val="24"/>
          <w:highlight w:val="none"/>
          <w:lang w:eastAsia="zh-CN"/>
        </w:rPr>
        <w:t>、运输</w:t>
      </w:r>
      <w:r>
        <w:rPr>
          <w:rFonts w:hint="default" w:ascii="Times New Roman" w:hAnsi="Times New Roman" w:eastAsia="仿宋_GB2312" w:cs="Times New Roman"/>
          <w:color w:val="auto"/>
          <w:kern w:val="2"/>
          <w:sz w:val="24"/>
          <w:szCs w:val="24"/>
          <w:highlight w:val="none"/>
        </w:rPr>
        <w:t>问题导致货物</w:t>
      </w:r>
      <w:r>
        <w:rPr>
          <w:rFonts w:hint="default" w:ascii="Times New Roman" w:hAnsi="Times New Roman" w:eastAsia="仿宋_GB2312" w:cs="Times New Roman"/>
          <w:color w:val="auto"/>
          <w:kern w:val="2"/>
          <w:sz w:val="24"/>
          <w:szCs w:val="24"/>
          <w:highlight w:val="none"/>
          <w:lang w:eastAsia="zh-CN"/>
        </w:rPr>
        <w:t>损毁、丢失</w:t>
      </w:r>
      <w:r>
        <w:rPr>
          <w:rFonts w:hint="default" w:ascii="Times New Roman" w:hAnsi="Times New Roman" w:eastAsia="仿宋_GB2312" w:cs="Times New Roman"/>
          <w:color w:val="auto"/>
          <w:kern w:val="2"/>
          <w:sz w:val="24"/>
          <w:szCs w:val="24"/>
          <w:highlight w:val="none"/>
        </w:rPr>
        <w:t>或者品质下降，</w:t>
      </w:r>
      <w:r>
        <w:rPr>
          <w:rFonts w:hint="default" w:ascii="Times New Roman" w:hAnsi="Times New Roman" w:eastAsia="仿宋_GB2312" w:cs="Times New Roman"/>
          <w:color w:val="auto"/>
          <w:kern w:val="2"/>
          <w:sz w:val="24"/>
          <w:szCs w:val="24"/>
          <w:highlight w:val="none"/>
          <w:lang w:eastAsia="zh-CN"/>
        </w:rPr>
        <w:t>甲方</w:t>
      </w:r>
      <w:r>
        <w:rPr>
          <w:rFonts w:hint="default" w:ascii="Times New Roman" w:hAnsi="Times New Roman" w:eastAsia="仿宋_GB2312" w:cs="Times New Roman"/>
          <w:color w:val="auto"/>
          <w:kern w:val="2"/>
          <w:sz w:val="24"/>
          <w:szCs w:val="24"/>
          <w:highlight w:val="none"/>
        </w:rPr>
        <w:t>有权要求降价、换货、拒收部分或整批货物，由此</w:t>
      </w:r>
      <w:r>
        <w:rPr>
          <w:rFonts w:hint="default" w:ascii="Times New Roman" w:hAnsi="Times New Roman" w:eastAsia="仿宋_GB2312" w:cs="Times New Roman"/>
          <w:color w:val="auto"/>
          <w:kern w:val="2"/>
          <w:sz w:val="24"/>
          <w:szCs w:val="24"/>
          <w:highlight w:val="none"/>
          <w:lang w:eastAsia="zh-CN"/>
        </w:rPr>
        <w:t>产生</w:t>
      </w:r>
      <w:r>
        <w:rPr>
          <w:rFonts w:hint="default" w:ascii="Times New Roman" w:hAnsi="Times New Roman" w:eastAsia="仿宋_GB2312" w:cs="Times New Roman"/>
          <w:color w:val="auto"/>
          <w:kern w:val="2"/>
          <w:sz w:val="24"/>
          <w:szCs w:val="24"/>
          <w:highlight w:val="none"/>
        </w:rPr>
        <w:t>的费用和损失，均由</w:t>
      </w:r>
      <w:r>
        <w:rPr>
          <w:rFonts w:hint="default" w:ascii="Times New Roman" w:hAnsi="Times New Roman" w:eastAsia="仿宋_GB2312" w:cs="Times New Roman"/>
          <w:color w:val="auto"/>
          <w:kern w:val="2"/>
          <w:sz w:val="24"/>
          <w:szCs w:val="24"/>
          <w:highlight w:val="none"/>
          <w:lang w:eastAsia="zh-CN"/>
        </w:rPr>
        <w:t>乙方</w:t>
      </w:r>
      <w:r>
        <w:rPr>
          <w:rFonts w:hint="default" w:ascii="Times New Roman" w:hAnsi="Times New Roman" w:eastAsia="仿宋_GB2312" w:cs="Times New Roman"/>
          <w:color w:val="auto"/>
          <w:kern w:val="2"/>
          <w:sz w:val="24"/>
          <w:szCs w:val="24"/>
          <w:highlight w:val="none"/>
        </w:rPr>
        <w:t>承担。</w:t>
      </w:r>
    </w:p>
    <w:p w14:paraId="71CFE15E">
      <w:pPr>
        <w:adjustRightInd w:val="0"/>
        <w:snapToGrid w:val="0"/>
        <w:spacing w:before="0" w:line="400" w:lineRule="exact"/>
        <w:jc w:val="left"/>
        <w:rPr>
          <w:rFonts w:hint="default" w:ascii="Times New Roman" w:hAnsi="Times New Roman" w:eastAsia="仿宋_GB2312" w:cs="Times New Roman"/>
          <w:b/>
          <w:color w:val="auto"/>
          <w:sz w:val="24"/>
          <w:szCs w:val="24"/>
          <w:highlight w:val="none"/>
        </w:rPr>
      </w:pPr>
      <w:r>
        <w:rPr>
          <w:rFonts w:hint="default" w:ascii="Times New Roman" w:hAnsi="Times New Roman" w:eastAsia="仿宋_GB2312" w:cs="Times New Roman"/>
          <w:b/>
          <w:color w:val="auto"/>
          <w:sz w:val="24"/>
          <w:szCs w:val="24"/>
          <w:highlight w:val="none"/>
          <w:lang w:eastAsia="zh-CN"/>
        </w:rPr>
        <w:t>8</w:t>
      </w:r>
      <w:r>
        <w:rPr>
          <w:rFonts w:hint="default" w:ascii="Times New Roman" w:hAnsi="Times New Roman" w:eastAsia="仿宋_GB2312" w:cs="Times New Roman"/>
          <w:b/>
          <w:color w:val="auto"/>
          <w:sz w:val="24"/>
          <w:szCs w:val="24"/>
          <w:highlight w:val="none"/>
          <w:lang w:val="en-US" w:eastAsia="zh-CN"/>
        </w:rPr>
        <w:t xml:space="preserve">. </w:t>
      </w:r>
      <w:r>
        <w:rPr>
          <w:rFonts w:hint="default" w:ascii="Times New Roman" w:hAnsi="Times New Roman" w:eastAsia="仿宋_GB2312" w:cs="Times New Roman"/>
          <w:b/>
          <w:color w:val="auto"/>
          <w:sz w:val="24"/>
          <w:szCs w:val="24"/>
          <w:highlight w:val="none"/>
        </w:rPr>
        <w:t>质量标准和保证</w:t>
      </w:r>
    </w:p>
    <w:p w14:paraId="422CC968">
      <w:pPr>
        <w:pStyle w:val="20"/>
        <w:adjustRightInd w:val="0"/>
        <w:snapToGrid w:val="0"/>
        <w:spacing w:before="0" w:line="400" w:lineRule="exact"/>
        <w:ind w:firstLine="480" w:firstLineChars="200"/>
        <w:jc w:val="left"/>
        <w:rPr>
          <w:rFonts w:hint="default" w:ascii="Times New Roman" w:hAnsi="Times New Roman" w:eastAsia="仿宋_GB2312" w:cs="Times New Roman"/>
          <w:b/>
          <w:color w:val="auto"/>
          <w:sz w:val="24"/>
          <w:szCs w:val="24"/>
          <w:highlight w:val="none"/>
        </w:rPr>
      </w:pPr>
      <w:r>
        <w:rPr>
          <w:rFonts w:hint="default" w:ascii="Times New Roman" w:hAnsi="Times New Roman" w:eastAsia="仿宋_GB2312" w:cs="Times New Roman"/>
          <w:color w:val="auto"/>
          <w:sz w:val="24"/>
          <w:szCs w:val="24"/>
          <w:highlight w:val="none"/>
          <w:lang w:eastAsia="zh-CN"/>
        </w:rPr>
        <w:t>8</w:t>
      </w:r>
      <w:r>
        <w:rPr>
          <w:rFonts w:hint="default" w:ascii="Times New Roman" w:hAnsi="Times New Roman" w:eastAsia="仿宋_GB2312" w:cs="Times New Roman"/>
          <w:color w:val="auto"/>
          <w:sz w:val="24"/>
          <w:szCs w:val="24"/>
          <w:highlight w:val="none"/>
        </w:rPr>
        <w:t>.1 质量标准</w:t>
      </w:r>
    </w:p>
    <w:p w14:paraId="13694CCD">
      <w:pPr>
        <w:autoSpaceDE w:val="0"/>
        <w:autoSpaceDN w:val="0"/>
        <w:adjustRightInd w:val="0"/>
        <w:snapToGrid w:val="0"/>
        <w:spacing w:before="0" w:line="400" w:lineRule="exact"/>
        <w:ind w:firstLine="480" w:firstLineChars="200"/>
        <w:jc w:val="left"/>
        <w:rPr>
          <w:rFonts w:hint="default" w:ascii="Times New Roman" w:hAnsi="Times New Roman" w:eastAsia="仿宋_GB2312" w:cs="Times New Roman"/>
          <w:color w:val="auto"/>
          <w:sz w:val="24"/>
          <w:szCs w:val="24"/>
          <w:highlight w:val="none"/>
        </w:rPr>
      </w:pPr>
      <w:r>
        <w:rPr>
          <w:rFonts w:hint="default" w:ascii="Times New Roman" w:hAnsi="Times New Roman" w:eastAsia="仿宋_GB2312" w:cs="Times New Roman"/>
          <w:color w:val="auto"/>
          <w:sz w:val="24"/>
          <w:szCs w:val="24"/>
          <w:highlight w:val="none"/>
        </w:rPr>
        <w:t>（1）本合同下</w:t>
      </w:r>
      <w:r>
        <w:rPr>
          <w:rFonts w:hint="default" w:ascii="Times New Roman" w:hAnsi="Times New Roman" w:eastAsia="仿宋_GB2312" w:cs="Times New Roman"/>
          <w:color w:val="auto"/>
          <w:sz w:val="24"/>
          <w:szCs w:val="24"/>
          <w:highlight w:val="none"/>
          <w:lang w:eastAsia="zh-CN"/>
        </w:rPr>
        <w:t>提供</w:t>
      </w:r>
      <w:r>
        <w:rPr>
          <w:rFonts w:hint="default" w:ascii="Times New Roman" w:hAnsi="Times New Roman" w:eastAsia="仿宋_GB2312" w:cs="Times New Roman"/>
          <w:color w:val="auto"/>
          <w:sz w:val="24"/>
          <w:szCs w:val="24"/>
          <w:highlight w:val="none"/>
        </w:rPr>
        <w:t>的货物应符合</w:t>
      </w:r>
      <w:r>
        <w:rPr>
          <w:rFonts w:hint="default" w:ascii="Times New Roman" w:hAnsi="Times New Roman" w:eastAsia="仿宋_GB2312" w:cs="Times New Roman"/>
          <w:color w:val="auto"/>
          <w:sz w:val="24"/>
          <w:szCs w:val="24"/>
          <w:highlight w:val="none"/>
          <w:lang w:eastAsia="zh-CN"/>
        </w:rPr>
        <w:t>合同约</w:t>
      </w:r>
      <w:r>
        <w:rPr>
          <w:rFonts w:hint="default" w:ascii="Times New Roman" w:hAnsi="Times New Roman" w:eastAsia="仿宋_GB2312" w:cs="Times New Roman"/>
          <w:color w:val="auto"/>
          <w:sz w:val="24"/>
          <w:szCs w:val="24"/>
          <w:highlight w:val="none"/>
        </w:rPr>
        <w:t>定的品牌、规格型号、技术性能、配置、质量、数量等要求。质量要求不明确的，按照强制性国家标准履行；没有强制性国家标准的，按照推荐性国家标准履行；没有推荐性国家标准的，按照行业标准履行；没有国家标准、行业标准的，按照通常标准或者符合合同目的的特定标准履行</w:t>
      </w:r>
      <w:r>
        <w:rPr>
          <w:rFonts w:hint="default" w:ascii="Times New Roman" w:hAnsi="Times New Roman" w:eastAsia="仿宋_GB2312" w:cs="Times New Roman"/>
          <w:color w:val="auto"/>
          <w:sz w:val="24"/>
          <w:szCs w:val="24"/>
          <w:highlight w:val="none"/>
          <w:lang w:eastAsia="zh-CN"/>
        </w:rPr>
        <w:t>。</w:t>
      </w:r>
    </w:p>
    <w:p w14:paraId="0DB2F4EE">
      <w:pPr>
        <w:pStyle w:val="20"/>
        <w:adjustRightInd w:val="0"/>
        <w:snapToGrid w:val="0"/>
        <w:spacing w:before="0" w:line="400" w:lineRule="exact"/>
        <w:ind w:firstLine="480" w:firstLineChars="200"/>
        <w:jc w:val="left"/>
        <w:rPr>
          <w:rFonts w:hint="default" w:ascii="Times New Roman" w:hAnsi="Times New Roman" w:eastAsia="仿宋_GB2312" w:cs="Times New Roman"/>
          <w:color w:val="auto"/>
          <w:sz w:val="24"/>
          <w:szCs w:val="24"/>
          <w:highlight w:val="none"/>
        </w:rPr>
      </w:pPr>
      <w:r>
        <w:rPr>
          <w:rFonts w:hint="default" w:ascii="Times New Roman" w:hAnsi="Times New Roman" w:eastAsia="仿宋_GB2312" w:cs="Times New Roman"/>
          <w:color w:val="auto"/>
          <w:sz w:val="24"/>
          <w:szCs w:val="24"/>
          <w:highlight w:val="none"/>
        </w:rPr>
        <w:t>（2）采用中华人民共和国法定计量单位。</w:t>
      </w:r>
    </w:p>
    <w:p w14:paraId="1E581316">
      <w:pPr>
        <w:autoSpaceDE w:val="0"/>
        <w:autoSpaceDN w:val="0"/>
        <w:adjustRightInd w:val="0"/>
        <w:snapToGrid w:val="0"/>
        <w:spacing w:before="0" w:line="400" w:lineRule="exact"/>
        <w:ind w:firstLine="480" w:firstLineChars="200"/>
        <w:jc w:val="left"/>
        <w:rPr>
          <w:rFonts w:hint="default" w:ascii="Times New Roman" w:hAnsi="Times New Roman" w:eastAsia="仿宋_GB2312" w:cs="Times New Roman"/>
          <w:color w:val="auto"/>
          <w:sz w:val="24"/>
          <w:szCs w:val="24"/>
          <w:highlight w:val="none"/>
        </w:rPr>
      </w:pPr>
      <w:r>
        <w:rPr>
          <w:rFonts w:hint="default" w:ascii="Times New Roman" w:hAnsi="Times New Roman" w:eastAsia="仿宋_GB2312" w:cs="Times New Roman"/>
          <w:color w:val="auto"/>
          <w:sz w:val="24"/>
          <w:szCs w:val="24"/>
          <w:highlight w:val="none"/>
        </w:rPr>
        <w:t>（3）乙方所</w:t>
      </w:r>
      <w:r>
        <w:rPr>
          <w:rFonts w:hint="default" w:ascii="Times New Roman" w:hAnsi="Times New Roman" w:eastAsia="仿宋_GB2312" w:cs="Times New Roman"/>
          <w:color w:val="auto"/>
          <w:sz w:val="24"/>
          <w:szCs w:val="24"/>
          <w:highlight w:val="none"/>
          <w:lang w:eastAsia="zh-CN"/>
        </w:rPr>
        <w:t>提供</w:t>
      </w:r>
      <w:r>
        <w:rPr>
          <w:rFonts w:hint="default" w:ascii="Times New Roman" w:hAnsi="Times New Roman" w:eastAsia="仿宋_GB2312" w:cs="Times New Roman"/>
          <w:color w:val="auto"/>
          <w:sz w:val="24"/>
          <w:szCs w:val="24"/>
          <w:highlight w:val="none"/>
        </w:rPr>
        <w:t>的货物应符合国家有关安全、环保、卫生</w:t>
      </w:r>
      <w:r>
        <w:rPr>
          <w:rFonts w:hint="default" w:ascii="Times New Roman" w:hAnsi="Times New Roman" w:eastAsia="仿宋_GB2312" w:cs="Times New Roman"/>
          <w:color w:val="auto"/>
          <w:sz w:val="24"/>
          <w:szCs w:val="24"/>
          <w:highlight w:val="none"/>
          <w:lang w:eastAsia="zh-CN"/>
        </w:rPr>
        <w:t>的</w:t>
      </w:r>
      <w:r>
        <w:rPr>
          <w:rFonts w:hint="default" w:ascii="Times New Roman" w:hAnsi="Times New Roman" w:eastAsia="仿宋_GB2312" w:cs="Times New Roman"/>
          <w:color w:val="auto"/>
          <w:sz w:val="24"/>
          <w:szCs w:val="24"/>
          <w:highlight w:val="none"/>
        </w:rPr>
        <w:t>规定。</w:t>
      </w:r>
    </w:p>
    <w:p w14:paraId="3B5B148F">
      <w:pPr>
        <w:autoSpaceDE w:val="0"/>
        <w:autoSpaceDN w:val="0"/>
        <w:adjustRightInd w:val="0"/>
        <w:snapToGrid w:val="0"/>
        <w:spacing w:before="0" w:line="400" w:lineRule="exact"/>
        <w:ind w:firstLine="480" w:firstLineChars="200"/>
        <w:jc w:val="left"/>
        <w:rPr>
          <w:rFonts w:hint="default" w:ascii="Times New Roman" w:hAnsi="Times New Roman" w:eastAsia="仿宋_GB2312" w:cs="Times New Roman"/>
          <w:color w:val="auto"/>
          <w:sz w:val="24"/>
          <w:szCs w:val="24"/>
          <w:highlight w:val="none"/>
        </w:rPr>
      </w:pPr>
      <w:r>
        <w:rPr>
          <w:rFonts w:hint="default" w:ascii="Times New Roman" w:hAnsi="Times New Roman" w:eastAsia="仿宋_GB2312" w:cs="Times New Roman"/>
          <w:color w:val="auto"/>
          <w:sz w:val="24"/>
          <w:szCs w:val="24"/>
          <w:highlight w:val="none"/>
        </w:rPr>
        <w:t>（4）乙方应向甲方提交所</w:t>
      </w:r>
      <w:r>
        <w:rPr>
          <w:rFonts w:hint="default" w:ascii="Times New Roman" w:hAnsi="Times New Roman" w:eastAsia="仿宋_GB2312" w:cs="Times New Roman"/>
          <w:color w:val="auto"/>
          <w:sz w:val="24"/>
          <w:szCs w:val="24"/>
          <w:highlight w:val="none"/>
          <w:lang w:eastAsia="zh-CN"/>
        </w:rPr>
        <w:t>提供</w:t>
      </w:r>
      <w:r>
        <w:rPr>
          <w:rFonts w:hint="default" w:ascii="Times New Roman" w:hAnsi="Times New Roman" w:eastAsia="仿宋_GB2312" w:cs="Times New Roman"/>
          <w:color w:val="auto"/>
          <w:sz w:val="24"/>
          <w:szCs w:val="24"/>
          <w:highlight w:val="none"/>
        </w:rPr>
        <w:t>货物的技术文件，包括相应的中文技术文件，如：产品目录、图纸、操作手册、使用说明、维护手册或服务指南</w:t>
      </w:r>
      <w:r>
        <w:rPr>
          <w:rFonts w:hint="default" w:ascii="Times New Roman" w:hAnsi="Times New Roman" w:eastAsia="仿宋_GB2312" w:cs="Times New Roman"/>
          <w:color w:val="auto"/>
          <w:sz w:val="24"/>
          <w:szCs w:val="24"/>
          <w:highlight w:val="none"/>
          <w:lang w:eastAsia="zh-CN"/>
        </w:rPr>
        <w:t>等</w:t>
      </w:r>
      <w:r>
        <w:rPr>
          <w:rFonts w:hint="default" w:ascii="Times New Roman" w:hAnsi="Times New Roman" w:eastAsia="仿宋_GB2312" w:cs="Times New Roman"/>
          <w:color w:val="auto"/>
          <w:sz w:val="24"/>
          <w:szCs w:val="24"/>
          <w:highlight w:val="none"/>
        </w:rPr>
        <w:t>。</w:t>
      </w:r>
      <w:r>
        <w:rPr>
          <w:rFonts w:hint="default" w:ascii="Times New Roman" w:hAnsi="Times New Roman" w:eastAsia="仿宋_GB2312" w:cs="Times New Roman"/>
          <w:color w:val="auto"/>
          <w:sz w:val="24"/>
          <w:szCs w:val="24"/>
          <w:highlight w:val="none"/>
          <w:lang w:eastAsia="zh-CN"/>
        </w:rPr>
        <w:t>上述</w:t>
      </w:r>
      <w:r>
        <w:rPr>
          <w:rFonts w:hint="default" w:ascii="Times New Roman" w:hAnsi="Times New Roman" w:eastAsia="仿宋_GB2312" w:cs="Times New Roman"/>
          <w:color w:val="auto"/>
          <w:sz w:val="24"/>
          <w:szCs w:val="24"/>
          <w:highlight w:val="none"/>
        </w:rPr>
        <w:t>文件应包装好随货物一同发运。</w:t>
      </w:r>
    </w:p>
    <w:p w14:paraId="14572249">
      <w:pPr>
        <w:autoSpaceDE w:val="0"/>
        <w:autoSpaceDN w:val="0"/>
        <w:adjustRightInd w:val="0"/>
        <w:snapToGrid w:val="0"/>
        <w:spacing w:before="0" w:line="400" w:lineRule="exact"/>
        <w:ind w:firstLine="480" w:firstLineChars="200"/>
        <w:jc w:val="left"/>
        <w:rPr>
          <w:rFonts w:hint="default" w:ascii="Times New Roman" w:hAnsi="Times New Roman" w:eastAsia="仿宋_GB2312" w:cs="Times New Roman"/>
          <w:color w:val="auto"/>
          <w:sz w:val="24"/>
          <w:szCs w:val="24"/>
          <w:highlight w:val="none"/>
        </w:rPr>
      </w:pPr>
      <w:r>
        <w:rPr>
          <w:rFonts w:hint="default" w:ascii="Times New Roman" w:hAnsi="Times New Roman" w:eastAsia="仿宋_GB2312" w:cs="Times New Roman"/>
          <w:color w:val="auto"/>
          <w:sz w:val="24"/>
          <w:szCs w:val="24"/>
          <w:highlight w:val="none"/>
          <w:lang w:eastAsia="zh-CN"/>
        </w:rPr>
        <w:t>8</w:t>
      </w:r>
      <w:r>
        <w:rPr>
          <w:rFonts w:hint="default" w:ascii="Times New Roman" w:hAnsi="Times New Roman" w:eastAsia="仿宋_GB2312" w:cs="Times New Roman"/>
          <w:color w:val="auto"/>
          <w:sz w:val="24"/>
          <w:szCs w:val="24"/>
          <w:highlight w:val="none"/>
        </w:rPr>
        <w:t>.2 保证</w:t>
      </w:r>
    </w:p>
    <w:p w14:paraId="74A3635C">
      <w:pPr>
        <w:autoSpaceDE w:val="0"/>
        <w:autoSpaceDN w:val="0"/>
        <w:adjustRightInd w:val="0"/>
        <w:snapToGrid w:val="0"/>
        <w:spacing w:before="0" w:line="400" w:lineRule="exact"/>
        <w:ind w:firstLine="480" w:firstLineChars="200"/>
        <w:jc w:val="left"/>
        <w:rPr>
          <w:rFonts w:hint="default" w:ascii="Times New Roman" w:hAnsi="Times New Roman" w:eastAsia="仿宋_GB2312" w:cs="Times New Roman"/>
          <w:color w:val="auto"/>
          <w:sz w:val="24"/>
          <w:szCs w:val="24"/>
          <w:highlight w:val="none"/>
        </w:rPr>
      </w:pPr>
      <w:r>
        <w:rPr>
          <w:rFonts w:hint="default" w:ascii="Times New Roman" w:hAnsi="Times New Roman" w:eastAsia="仿宋_GB2312" w:cs="Times New Roman"/>
          <w:color w:val="auto"/>
          <w:sz w:val="24"/>
          <w:szCs w:val="24"/>
          <w:highlight w:val="none"/>
        </w:rPr>
        <w:t>（1）乙方应保证</w:t>
      </w:r>
      <w:r>
        <w:rPr>
          <w:rFonts w:hint="default" w:ascii="Times New Roman" w:hAnsi="Times New Roman" w:eastAsia="仿宋_GB2312" w:cs="Times New Roman"/>
          <w:color w:val="auto"/>
          <w:sz w:val="24"/>
          <w:szCs w:val="24"/>
          <w:highlight w:val="none"/>
          <w:lang w:eastAsia="zh-CN"/>
        </w:rPr>
        <w:t>提供的货物</w:t>
      </w:r>
      <w:r>
        <w:rPr>
          <w:rFonts w:hint="default" w:ascii="Times New Roman" w:hAnsi="Times New Roman" w:eastAsia="仿宋_GB2312" w:cs="Times New Roman"/>
          <w:color w:val="auto"/>
          <w:sz w:val="24"/>
          <w:szCs w:val="24"/>
          <w:highlight w:val="none"/>
        </w:rPr>
        <w:t>完全符合合同规定的质量、规格和性能要求。乙方应保证货物在正确安装、正常使用和保养条件下，在其使用寿命期内具</w:t>
      </w:r>
      <w:r>
        <w:rPr>
          <w:rFonts w:hint="default" w:ascii="Times New Roman" w:hAnsi="Times New Roman" w:eastAsia="仿宋_GB2312" w:cs="Times New Roman"/>
          <w:color w:val="auto"/>
          <w:sz w:val="24"/>
          <w:szCs w:val="24"/>
          <w:highlight w:val="none"/>
          <w:lang w:eastAsia="zh-CN"/>
        </w:rPr>
        <w:t>备合同约定</w:t>
      </w:r>
      <w:r>
        <w:rPr>
          <w:rFonts w:hint="default" w:ascii="Times New Roman" w:hAnsi="Times New Roman" w:eastAsia="仿宋_GB2312" w:cs="Times New Roman"/>
          <w:color w:val="auto"/>
          <w:sz w:val="24"/>
          <w:szCs w:val="24"/>
          <w:highlight w:val="none"/>
        </w:rPr>
        <w:t>的性能。</w:t>
      </w:r>
      <w:r>
        <w:rPr>
          <w:rFonts w:hint="default" w:ascii="Times New Roman" w:hAnsi="Times New Roman" w:eastAsia="仿宋_GB2312" w:cs="Times New Roman"/>
          <w:color w:val="auto"/>
          <w:sz w:val="24"/>
          <w:szCs w:val="24"/>
          <w:highlight w:val="none"/>
          <w:lang w:eastAsia="zh-CN"/>
        </w:rPr>
        <w:t>存在</w:t>
      </w:r>
      <w:r>
        <w:rPr>
          <w:rFonts w:hint="default" w:ascii="Times New Roman" w:hAnsi="Times New Roman" w:eastAsia="仿宋_GB2312" w:cs="Times New Roman"/>
          <w:color w:val="auto"/>
          <w:sz w:val="24"/>
          <w:szCs w:val="24"/>
          <w:highlight w:val="none"/>
        </w:rPr>
        <w:t>质量保证期的，货物最终交付验收</w:t>
      </w:r>
      <w:r>
        <w:rPr>
          <w:rFonts w:hint="default" w:ascii="Times New Roman" w:hAnsi="Times New Roman" w:eastAsia="仿宋_GB2312" w:cs="Times New Roman"/>
          <w:color w:val="auto"/>
          <w:sz w:val="24"/>
          <w:szCs w:val="24"/>
          <w:highlight w:val="none"/>
          <w:lang w:eastAsia="zh-CN"/>
        </w:rPr>
        <w:t>合格</w:t>
      </w:r>
      <w:r>
        <w:rPr>
          <w:rFonts w:hint="default" w:ascii="Times New Roman" w:hAnsi="Times New Roman" w:eastAsia="仿宋_GB2312" w:cs="Times New Roman"/>
          <w:color w:val="auto"/>
          <w:sz w:val="24"/>
          <w:szCs w:val="24"/>
          <w:highlight w:val="none"/>
        </w:rPr>
        <w:t>后</w:t>
      </w:r>
      <w:r>
        <w:rPr>
          <w:rFonts w:hint="default" w:ascii="Times New Roman" w:hAnsi="Times New Roman" w:eastAsia="仿宋_GB2312" w:cs="Times New Roman"/>
          <w:color w:val="auto"/>
          <w:sz w:val="24"/>
          <w:szCs w:val="24"/>
          <w:highlight w:val="none"/>
          <w:lang w:eastAsia="zh-CN"/>
        </w:rPr>
        <w:t>在</w:t>
      </w:r>
      <w:r>
        <w:rPr>
          <w:rFonts w:hint="default" w:ascii="Times New Roman" w:hAnsi="Times New Roman" w:eastAsia="仿宋_GB2312" w:cs="Times New Roman"/>
          <w:b/>
          <w:color w:val="auto"/>
          <w:sz w:val="24"/>
          <w:szCs w:val="24"/>
          <w:highlight w:val="none"/>
        </w:rPr>
        <w:t>【政府采购合同专用条款】</w:t>
      </w:r>
      <w:r>
        <w:rPr>
          <w:rFonts w:hint="default" w:ascii="Times New Roman" w:hAnsi="Times New Roman" w:eastAsia="仿宋_GB2312" w:cs="Times New Roman"/>
          <w:color w:val="auto"/>
          <w:sz w:val="24"/>
          <w:szCs w:val="24"/>
          <w:highlight w:val="none"/>
        </w:rPr>
        <w:t>规定或乙方</w:t>
      </w:r>
      <w:r>
        <w:rPr>
          <w:rFonts w:hint="default" w:ascii="Times New Roman" w:hAnsi="Times New Roman" w:eastAsia="仿宋_GB2312" w:cs="Times New Roman"/>
          <w:color w:val="auto"/>
          <w:sz w:val="24"/>
          <w:szCs w:val="24"/>
          <w:highlight w:val="none"/>
          <w:lang w:eastAsia="zh-CN"/>
        </w:rPr>
        <w:t>书面</w:t>
      </w:r>
      <w:r>
        <w:rPr>
          <w:rFonts w:hint="default" w:ascii="Times New Roman" w:hAnsi="Times New Roman" w:eastAsia="仿宋_GB2312" w:cs="Times New Roman"/>
          <w:color w:val="auto"/>
          <w:sz w:val="24"/>
          <w:szCs w:val="24"/>
          <w:highlight w:val="none"/>
        </w:rPr>
        <w:t>承诺（两者以较长的为准）的质量保证期内，本保证保持有效。</w:t>
      </w:r>
    </w:p>
    <w:p w14:paraId="50E1A554">
      <w:pPr>
        <w:autoSpaceDE w:val="0"/>
        <w:autoSpaceDN w:val="0"/>
        <w:adjustRightInd w:val="0"/>
        <w:snapToGrid w:val="0"/>
        <w:spacing w:before="0" w:line="400" w:lineRule="exact"/>
        <w:ind w:firstLine="480" w:firstLineChars="200"/>
        <w:jc w:val="left"/>
        <w:rPr>
          <w:rFonts w:hint="default" w:ascii="Times New Roman" w:hAnsi="Times New Roman" w:eastAsia="仿宋_GB2312" w:cs="Times New Roman"/>
          <w:color w:val="auto"/>
          <w:sz w:val="24"/>
          <w:szCs w:val="24"/>
          <w:highlight w:val="none"/>
        </w:rPr>
      </w:pPr>
      <w:r>
        <w:rPr>
          <w:rFonts w:hint="default" w:ascii="Times New Roman" w:hAnsi="Times New Roman" w:eastAsia="仿宋_GB2312" w:cs="Times New Roman"/>
          <w:color w:val="auto"/>
          <w:sz w:val="24"/>
          <w:szCs w:val="24"/>
          <w:highlight w:val="none"/>
        </w:rPr>
        <w:t>（2）在质量保证期内所发现的缺陷，甲方应尽快以书面形式通知乙方。</w:t>
      </w:r>
    </w:p>
    <w:p w14:paraId="47087E87">
      <w:pPr>
        <w:autoSpaceDE w:val="0"/>
        <w:autoSpaceDN w:val="0"/>
        <w:adjustRightInd w:val="0"/>
        <w:snapToGrid w:val="0"/>
        <w:spacing w:before="0" w:line="400" w:lineRule="exact"/>
        <w:ind w:firstLine="480" w:firstLineChars="200"/>
        <w:jc w:val="left"/>
        <w:rPr>
          <w:rFonts w:hint="default" w:ascii="Times New Roman" w:hAnsi="Times New Roman" w:eastAsia="仿宋_GB2312" w:cs="Times New Roman"/>
          <w:color w:val="auto"/>
          <w:sz w:val="24"/>
          <w:szCs w:val="24"/>
          <w:highlight w:val="none"/>
        </w:rPr>
      </w:pPr>
      <w:r>
        <w:rPr>
          <w:rFonts w:hint="default" w:ascii="Times New Roman" w:hAnsi="Times New Roman" w:eastAsia="仿宋_GB2312" w:cs="Times New Roman"/>
          <w:color w:val="auto"/>
          <w:sz w:val="24"/>
          <w:szCs w:val="24"/>
          <w:highlight w:val="none"/>
        </w:rPr>
        <w:t>（3）乙方收到通知后</w:t>
      </w:r>
      <w:r>
        <w:rPr>
          <w:rFonts w:hint="default" w:ascii="Times New Roman" w:hAnsi="Times New Roman" w:eastAsia="仿宋_GB2312" w:cs="Times New Roman"/>
          <w:color w:val="auto"/>
          <w:sz w:val="24"/>
          <w:szCs w:val="24"/>
          <w:highlight w:val="none"/>
          <w:lang w:eastAsia="zh-CN"/>
        </w:rPr>
        <w:t>，</w:t>
      </w:r>
      <w:r>
        <w:rPr>
          <w:rFonts w:hint="default" w:ascii="Times New Roman" w:hAnsi="Times New Roman" w:eastAsia="仿宋_GB2312" w:cs="Times New Roman"/>
          <w:color w:val="auto"/>
          <w:sz w:val="24"/>
          <w:szCs w:val="24"/>
          <w:highlight w:val="none"/>
        </w:rPr>
        <w:t>应在</w:t>
      </w:r>
      <w:r>
        <w:rPr>
          <w:rFonts w:hint="default" w:ascii="Times New Roman" w:hAnsi="Times New Roman" w:eastAsia="仿宋_GB2312" w:cs="Times New Roman"/>
          <w:b/>
          <w:color w:val="auto"/>
          <w:sz w:val="24"/>
          <w:szCs w:val="24"/>
          <w:highlight w:val="none"/>
        </w:rPr>
        <w:t>【政府采购合同专用条款】</w:t>
      </w:r>
      <w:r>
        <w:rPr>
          <w:rFonts w:hint="default" w:ascii="Times New Roman" w:hAnsi="Times New Roman" w:eastAsia="仿宋_GB2312" w:cs="Times New Roman"/>
          <w:color w:val="auto"/>
          <w:sz w:val="24"/>
          <w:szCs w:val="24"/>
          <w:highlight w:val="none"/>
        </w:rPr>
        <w:t>规定的响应时间内以合理的速度免费维修或更换有缺陷的货物或部件。</w:t>
      </w:r>
    </w:p>
    <w:p w14:paraId="060BDB5F">
      <w:pPr>
        <w:autoSpaceDE w:val="0"/>
        <w:autoSpaceDN w:val="0"/>
        <w:adjustRightInd w:val="0"/>
        <w:snapToGrid w:val="0"/>
        <w:spacing w:before="0" w:line="400" w:lineRule="exact"/>
        <w:ind w:firstLine="480" w:firstLineChars="200"/>
        <w:jc w:val="left"/>
        <w:rPr>
          <w:rFonts w:hint="default" w:ascii="Times New Roman" w:hAnsi="Times New Roman" w:eastAsia="仿宋_GB2312" w:cs="Times New Roman"/>
          <w:color w:val="auto"/>
          <w:sz w:val="24"/>
          <w:szCs w:val="24"/>
          <w:highlight w:val="none"/>
        </w:rPr>
      </w:pPr>
      <w:r>
        <w:rPr>
          <w:rFonts w:hint="default" w:ascii="Times New Roman" w:hAnsi="Times New Roman" w:eastAsia="仿宋_GB2312" w:cs="Times New Roman"/>
          <w:color w:val="auto"/>
          <w:sz w:val="24"/>
          <w:szCs w:val="24"/>
          <w:highlight w:val="none"/>
        </w:rPr>
        <w:t>（4）在质量保证期内，如果货物的质量或规格与合同不符，或证实货物是有缺陷的，包括潜在的缺陷或使用不符合要求的材料等，甲方可以根据本合同第1</w:t>
      </w:r>
      <w:r>
        <w:rPr>
          <w:rFonts w:hint="default" w:ascii="Times New Roman" w:hAnsi="Times New Roman" w:eastAsia="仿宋_GB2312" w:cs="Times New Roman"/>
          <w:color w:val="auto"/>
          <w:sz w:val="24"/>
          <w:szCs w:val="24"/>
          <w:highlight w:val="none"/>
          <w:lang w:val="en-US" w:eastAsia="zh-CN"/>
        </w:rPr>
        <w:t>5</w:t>
      </w:r>
      <w:r>
        <w:rPr>
          <w:rFonts w:hint="default" w:ascii="Times New Roman" w:hAnsi="Times New Roman" w:eastAsia="仿宋_GB2312" w:cs="Times New Roman"/>
          <w:color w:val="auto"/>
          <w:sz w:val="24"/>
          <w:szCs w:val="24"/>
          <w:highlight w:val="none"/>
        </w:rPr>
        <w:t>.1条规定以书面形式</w:t>
      </w:r>
      <w:r>
        <w:rPr>
          <w:rFonts w:hint="default" w:ascii="Times New Roman" w:hAnsi="Times New Roman" w:eastAsia="仿宋_GB2312" w:cs="Times New Roman"/>
          <w:color w:val="auto"/>
          <w:sz w:val="24"/>
          <w:szCs w:val="24"/>
          <w:highlight w:val="none"/>
          <w:lang w:eastAsia="zh-CN"/>
        </w:rPr>
        <w:t>追究</w:t>
      </w:r>
      <w:r>
        <w:rPr>
          <w:rFonts w:hint="default" w:ascii="Times New Roman" w:hAnsi="Times New Roman" w:eastAsia="仿宋_GB2312" w:cs="Times New Roman"/>
          <w:color w:val="auto"/>
          <w:sz w:val="24"/>
          <w:szCs w:val="24"/>
          <w:highlight w:val="none"/>
        </w:rPr>
        <w:t>乙方</w:t>
      </w:r>
      <w:r>
        <w:rPr>
          <w:rFonts w:hint="default" w:ascii="Times New Roman" w:hAnsi="Times New Roman" w:eastAsia="仿宋_GB2312" w:cs="Times New Roman"/>
          <w:color w:val="auto"/>
          <w:sz w:val="24"/>
          <w:szCs w:val="24"/>
          <w:highlight w:val="none"/>
          <w:lang w:eastAsia="zh-CN"/>
        </w:rPr>
        <w:t>的违约责任</w:t>
      </w:r>
      <w:r>
        <w:rPr>
          <w:rFonts w:hint="default" w:ascii="Times New Roman" w:hAnsi="Times New Roman" w:eastAsia="仿宋_GB2312" w:cs="Times New Roman"/>
          <w:color w:val="auto"/>
          <w:sz w:val="24"/>
          <w:szCs w:val="24"/>
          <w:highlight w:val="none"/>
        </w:rPr>
        <w:t>。</w:t>
      </w:r>
    </w:p>
    <w:p w14:paraId="589CD543">
      <w:pPr>
        <w:adjustRightInd w:val="0"/>
        <w:snapToGrid w:val="0"/>
        <w:spacing w:before="0" w:line="400" w:lineRule="exact"/>
        <w:ind w:firstLine="480" w:firstLineChars="200"/>
        <w:jc w:val="left"/>
        <w:rPr>
          <w:rFonts w:hint="default" w:ascii="Times New Roman" w:hAnsi="Times New Roman" w:eastAsia="仿宋_GB2312" w:cs="Times New Roman"/>
          <w:color w:val="auto"/>
          <w:sz w:val="24"/>
          <w:szCs w:val="24"/>
          <w:highlight w:val="none"/>
        </w:rPr>
      </w:pPr>
      <w:r>
        <w:rPr>
          <w:rFonts w:hint="default" w:ascii="Times New Roman" w:hAnsi="Times New Roman" w:eastAsia="仿宋_GB2312" w:cs="Times New Roman"/>
          <w:color w:val="auto"/>
          <w:sz w:val="24"/>
          <w:szCs w:val="24"/>
          <w:highlight w:val="none"/>
        </w:rPr>
        <w:t>（5）乙方在约定的时间内未能弥补缺陷，甲方可采取必要的补救措施，但其风险和费用将由乙方承担，甲方根据合同</w:t>
      </w:r>
      <w:r>
        <w:rPr>
          <w:rFonts w:hint="default" w:ascii="Times New Roman" w:hAnsi="Times New Roman" w:eastAsia="仿宋_GB2312" w:cs="Times New Roman"/>
          <w:color w:val="auto"/>
          <w:sz w:val="24"/>
          <w:szCs w:val="24"/>
          <w:highlight w:val="none"/>
          <w:lang w:eastAsia="zh-CN"/>
        </w:rPr>
        <w:t>约定</w:t>
      </w:r>
      <w:r>
        <w:rPr>
          <w:rFonts w:hint="default" w:ascii="Times New Roman" w:hAnsi="Times New Roman" w:eastAsia="仿宋_GB2312" w:cs="Times New Roman"/>
          <w:color w:val="auto"/>
          <w:sz w:val="24"/>
          <w:szCs w:val="24"/>
          <w:highlight w:val="none"/>
        </w:rPr>
        <w:t>对乙方行使的其他权利不受影响。</w:t>
      </w:r>
    </w:p>
    <w:p w14:paraId="0C78DF47">
      <w:pPr>
        <w:adjustRightInd w:val="0"/>
        <w:snapToGrid w:val="0"/>
        <w:spacing w:before="0" w:line="400" w:lineRule="exact"/>
        <w:jc w:val="left"/>
        <w:rPr>
          <w:rFonts w:hint="default" w:ascii="Times New Roman" w:hAnsi="Times New Roman" w:eastAsia="仿宋_GB2312" w:cs="Times New Roman"/>
          <w:b/>
          <w:bCs/>
          <w:color w:val="auto"/>
          <w:sz w:val="24"/>
          <w:szCs w:val="24"/>
          <w:highlight w:val="none"/>
        </w:rPr>
      </w:pPr>
      <w:r>
        <w:rPr>
          <w:rFonts w:hint="default" w:ascii="Times New Roman" w:hAnsi="Times New Roman" w:eastAsia="仿宋_GB2312" w:cs="Times New Roman"/>
          <w:b/>
          <w:bCs/>
          <w:color w:val="auto"/>
          <w:sz w:val="24"/>
          <w:szCs w:val="24"/>
          <w:highlight w:val="none"/>
          <w:lang w:eastAsia="zh-CN"/>
        </w:rPr>
        <w:t>9</w:t>
      </w:r>
      <w:r>
        <w:rPr>
          <w:rFonts w:hint="default" w:ascii="Times New Roman" w:hAnsi="Times New Roman" w:eastAsia="仿宋_GB2312" w:cs="Times New Roman"/>
          <w:b/>
          <w:bCs/>
          <w:color w:val="auto"/>
          <w:sz w:val="24"/>
          <w:szCs w:val="24"/>
          <w:highlight w:val="none"/>
        </w:rPr>
        <w:t>.</w:t>
      </w:r>
      <w:r>
        <w:rPr>
          <w:rFonts w:hint="default" w:ascii="Times New Roman" w:hAnsi="Times New Roman" w:eastAsia="仿宋_GB2312" w:cs="Times New Roman"/>
          <w:b/>
          <w:bCs/>
          <w:color w:val="auto"/>
          <w:sz w:val="24"/>
          <w:szCs w:val="24"/>
          <w:highlight w:val="none"/>
          <w:lang w:val="en-US" w:eastAsia="zh-CN"/>
        </w:rPr>
        <w:t xml:space="preserve"> </w:t>
      </w:r>
      <w:r>
        <w:rPr>
          <w:rFonts w:hint="default" w:ascii="Times New Roman" w:hAnsi="Times New Roman" w:eastAsia="仿宋_GB2312" w:cs="Times New Roman"/>
          <w:b/>
          <w:bCs/>
          <w:color w:val="auto"/>
          <w:sz w:val="24"/>
          <w:szCs w:val="24"/>
          <w:highlight w:val="none"/>
        </w:rPr>
        <w:t>权利瑕疵担保</w:t>
      </w:r>
    </w:p>
    <w:p w14:paraId="5F9D1AEB">
      <w:pPr>
        <w:autoSpaceDE w:val="0"/>
        <w:autoSpaceDN w:val="0"/>
        <w:adjustRightInd w:val="0"/>
        <w:snapToGrid w:val="0"/>
        <w:spacing w:before="0" w:line="400" w:lineRule="exact"/>
        <w:ind w:firstLine="480" w:firstLineChars="200"/>
        <w:jc w:val="left"/>
        <w:rPr>
          <w:rFonts w:hint="default" w:ascii="Times New Roman" w:hAnsi="Times New Roman" w:eastAsia="仿宋_GB2312" w:cs="Times New Roman"/>
          <w:color w:val="auto"/>
          <w:sz w:val="24"/>
          <w:szCs w:val="24"/>
          <w:highlight w:val="none"/>
        </w:rPr>
      </w:pPr>
      <w:r>
        <w:rPr>
          <w:rFonts w:hint="default" w:ascii="Times New Roman" w:hAnsi="Times New Roman" w:eastAsia="仿宋_GB2312" w:cs="Times New Roman"/>
          <w:color w:val="auto"/>
          <w:sz w:val="24"/>
          <w:szCs w:val="24"/>
          <w:highlight w:val="none"/>
          <w:lang w:eastAsia="zh-CN"/>
        </w:rPr>
        <w:t>9</w:t>
      </w:r>
      <w:r>
        <w:rPr>
          <w:rFonts w:hint="default" w:ascii="Times New Roman" w:hAnsi="Times New Roman" w:eastAsia="仿宋_GB2312" w:cs="Times New Roman"/>
          <w:color w:val="auto"/>
          <w:sz w:val="24"/>
          <w:szCs w:val="24"/>
          <w:highlight w:val="none"/>
        </w:rPr>
        <w:t>.1 乙方保证对其出售的货物享有合法的权利。</w:t>
      </w:r>
    </w:p>
    <w:p w14:paraId="10AACB61">
      <w:pPr>
        <w:autoSpaceDE w:val="0"/>
        <w:autoSpaceDN w:val="0"/>
        <w:adjustRightInd w:val="0"/>
        <w:snapToGrid w:val="0"/>
        <w:spacing w:before="0" w:line="400" w:lineRule="exact"/>
        <w:ind w:firstLine="480" w:firstLineChars="200"/>
        <w:jc w:val="left"/>
        <w:rPr>
          <w:rFonts w:hint="default" w:ascii="Times New Roman" w:hAnsi="Times New Roman" w:eastAsia="仿宋_GB2312" w:cs="Times New Roman"/>
          <w:color w:val="auto"/>
          <w:sz w:val="24"/>
          <w:szCs w:val="24"/>
          <w:highlight w:val="none"/>
        </w:rPr>
      </w:pPr>
      <w:r>
        <w:rPr>
          <w:rFonts w:hint="default" w:ascii="Times New Roman" w:hAnsi="Times New Roman" w:eastAsia="仿宋_GB2312" w:cs="Times New Roman"/>
          <w:color w:val="auto"/>
          <w:sz w:val="24"/>
          <w:szCs w:val="24"/>
          <w:highlight w:val="none"/>
          <w:lang w:eastAsia="zh-CN"/>
        </w:rPr>
        <w:t>9</w:t>
      </w:r>
      <w:r>
        <w:rPr>
          <w:rFonts w:hint="default" w:ascii="Times New Roman" w:hAnsi="Times New Roman" w:eastAsia="仿宋_GB2312" w:cs="Times New Roman"/>
          <w:color w:val="auto"/>
          <w:sz w:val="24"/>
          <w:szCs w:val="24"/>
          <w:highlight w:val="none"/>
        </w:rPr>
        <w:t>.2 乙方保证在交付的货物上不存在抵押权等担保物权。</w:t>
      </w:r>
    </w:p>
    <w:p w14:paraId="2C236526">
      <w:pPr>
        <w:autoSpaceDE w:val="0"/>
        <w:autoSpaceDN w:val="0"/>
        <w:adjustRightInd w:val="0"/>
        <w:snapToGrid w:val="0"/>
        <w:spacing w:before="0" w:line="400" w:lineRule="exact"/>
        <w:ind w:firstLine="480" w:firstLineChars="200"/>
        <w:jc w:val="left"/>
        <w:rPr>
          <w:rFonts w:hint="default" w:ascii="Times New Roman" w:hAnsi="Times New Roman" w:eastAsia="仿宋_GB2312" w:cs="Times New Roman"/>
          <w:color w:val="auto"/>
          <w:sz w:val="24"/>
          <w:szCs w:val="24"/>
          <w:highlight w:val="none"/>
        </w:rPr>
      </w:pPr>
      <w:r>
        <w:rPr>
          <w:rFonts w:hint="default" w:ascii="Times New Roman" w:hAnsi="Times New Roman" w:eastAsia="仿宋_GB2312" w:cs="Times New Roman"/>
          <w:color w:val="auto"/>
          <w:sz w:val="24"/>
          <w:szCs w:val="24"/>
          <w:highlight w:val="none"/>
          <w:lang w:eastAsia="zh-CN"/>
        </w:rPr>
        <w:t>9</w:t>
      </w:r>
      <w:r>
        <w:rPr>
          <w:rFonts w:hint="default" w:ascii="Times New Roman" w:hAnsi="Times New Roman" w:eastAsia="仿宋_GB2312" w:cs="Times New Roman"/>
          <w:color w:val="auto"/>
          <w:sz w:val="24"/>
          <w:szCs w:val="24"/>
          <w:highlight w:val="none"/>
        </w:rPr>
        <w:t>.3 如甲方使用</w:t>
      </w:r>
      <w:r>
        <w:rPr>
          <w:rFonts w:hint="default" w:ascii="Times New Roman" w:hAnsi="Times New Roman" w:eastAsia="仿宋_GB2312" w:cs="Times New Roman"/>
          <w:color w:val="auto"/>
          <w:sz w:val="24"/>
          <w:szCs w:val="24"/>
          <w:highlight w:val="none"/>
          <w:lang w:val="en-US" w:eastAsia="zh-CN"/>
        </w:rPr>
        <w:t>上述</w:t>
      </w:r>
      <w:r>
        <w:rPr>
          <w:rFonts w:hint="default" w:ascii="Times New Roman" w:hAnsi="Times New Roman" w:eastAsia="仿宋_GB2312" w:cs="Times New Roman"/>
          <w:color w:val="auto"/>
          <w:sz w:val="24"/>
          <w:szCs w:val="24"/>
          <w:highlight w:val="none"/>
        </w:rPr>
        <w:t>货物构成</w:t>
      </w:r>
      <w:r>
        <w:rPr>
          <w:rFonts w:hint="default" w:ascii="Times New Roman" w:hAnsi="Times New Roman" w:eastAsia="仿宋_GB2312" w:cs="Times New Roman"/>
          <w:color w:val="auto"/>
          <w:sz w:val="24"/>
          <w:szCs w:val="24"/>
          <w:highlight w:val="none"/>
          <w:lang w:val="en-US" w:eastAsia="zh-CN"/>
        </w:rPr>
        <w:t>对第三人</w:t>
      </w:r>
      <w:r>
        <w:rPr>
          <w:rFonts w:hint="default" w:ascii="Times New Roman" w:hAnsi="Times New Roman" w:eastAsia="仿宋_GB2312" w:cs="Times New Roman"/>
          <w:color w:val="auto"/>
          <w:sz w:val="24"/>
          <w:szCs w:val="24"/>
          <w:highlight w:val="none"/>
        </w:rPr>
        <w:t>侵权的，则由乙方承担全部责任。</w:t>
      </w:r>
    </w:p>
    <w:p w14:paraId="1E3CCD06">
      <w:pPr>
        <w:autoSpaceDE w:val="0"/>
        <w:autoSpaceDN w:val="0"/>
        <w:adjustRightInd w:val="0"/>
        <w:snapToGrid w:val="0"/>
        <w:spacing w:before="0" w:line="400" w:lineRule="exact"/>
        <w:jc w:val="left"/>
        <w:rPr>
          <w:rFonts w:hint="default" w:ascii="Times New Roman" w:hAnsi="Times New Roman" w:eastAsia="仿宋_GB2312" w:cs="Times New Roman"/>
          <w:b/>
          <w:bCs/>
          <w:color w:val="auto"/>
          <w:sz w:val="24"/>
          <w:szCs w:val="24"/>
          <w:highlight w:val="none"/>
        </w:rPr>
      </w:pPr>
      <w:r>
        <w:rPr>
          <w:rFonts w:hint="default" w:ascii="Times New Roman" w:hAnsi="Times New Roman" w:eastAsia="仿宋_GB2312" w:cs="Times New Roman"/>
          <w:b/>
          <w:bCs/>
          <w:color w:val="auto"/>
          <w:sz w:val="24"/>
          <w:szCs w:val="24"/>
          <w:highlight w:val="none"/>
        </w:rPr>
        <w:t>1</w:t>
      </w:r>
      <w:r>
        <w:rPr>
          <w:rFonts w:hint="default" w:ascii="Times New Roman" w:hAnsi="Times New Roman" w:eastAsia="仿宋_GB2312" w:cs="Times New Roman"/>
          <w:b/>
          <w:bCs/>
          <w:color w:val="auto"/>
          <w:sz w:val="24"/>
          <w:szCs w:val="24"/>
          <w:highlight w:val="none"/>
          <w:lang w:eastAsia="zh-CN"/>
        </w:rPr>
        <w:t>0</w:t>
      </w:r>
      <w:r>
        <w:rPr>
          <w:rFonts w:hint="default" w:ascii="Times New Roman" w:hAnsi="Times New Roman" w:eastAsia="仿宋_GB2312" w:cs="Times New Roman"/>
          <w:b/>
          <w:bCs/>
          <w:color w:val="auto"/>
          <w:sz w:val="24"/>
          <w:szCs w:val="24"/>
          <w:highlight w:val="none"/>
        </w:rPr>
        <w:t>.</w:t>
      </w:r>
      <w:r>
        <w:rPr>
          <w:rFonts w:hint="default" w:ascii="Times New Roman" w:hAnsi="Times New Roman" w:eastAsia="仿宋_GB2312" w:cs="Times New Roman"/>
          <w:b/>
          <w:bCs/>
          <w:color w:val="auto"/>
          <w:sz w:val="24"/>
          <w:szCs w:val="24"/>
          <w:highlight w:val="none"/>
          <w:lang w:val="en-US" w:eastAsia="zh-CN"/>
        </w:rPr>
        <w:t xml:space="preserve"> </w:t>
      </w:r>
      <w:r>
        <w:rPr>
          <w:rFonts w:hint="default" w:ascii="Times New Roman" w:hAnsi="Times New Roman" w:eastAsia="仿宋_GB2312" w:cs="Times New Roman"/>
          <w:b/>
          <w:bCs/>
          <w:color w:val="auto"/>
          <w:sz w:val="24"/>
          <w:szCs w:val="24"/>
          <w:highlight w:val="none"/>
        </w:rPr>
        <w:t>知识产权保护</w:t>
      </w:r>
    </w:p>
    <w:p w14:paraId="3E07CE6D">
      <w:pPr>
        <w:autoSpaceDE w:val="0"/>
        <w:autoSpaceDN w:val="0"/>
        <w:adjustRightInd w:val="0"/>
        <w:snapToGrid w:val="0"/>
        <w:spacing w:before="0" w:line="400" w:lineRule="exact"/>
        <w:ind w:firstLine="480" w:firstLineChars="200"/>
        <w:jc w:val="left"/>
        <w:rPr>
          <w:rFonts w:hint="default" w:ascii="Times New Roman" w:hAnsi="Times New Roman" w:eastAsia="仿宋_GB2312" w:cs="Times New Roman"/>
          <w:color w:val="auto"/>
          <w:sz w:val="24"/>
          <w:szCs w:val="24"/>
          <w:highlight w:val="none"/>
        </w:rPr>
      </w:pPr>
      <w:r>
        <w:rPr>
          <w:rFonts w:hint="default" w:ascii="Times New Roman" w:hAnsi="Times New Roman" w:eastAsia="仿宋_GB2312" w:cs="Times New Roman"/>
          <w:color w:val="auto"/>
          <w:sz w:val="24"/>
          <w:szCs w:val="24"/>
          <w:highlight w:val="none"/>
        </w:rPr>
        <w:t>1</w:t>
      </w:r>
      <w:r>
        <w:rPr>
          <w:rFonts w:hint="default" w:ascii="Times New Roman" w:hAnsi="Times New Roman" w:eastAsia="仿宋_GB2312" w:cs="Times New Roman"/>
          <w:color w:val="auto"/>
          <w:sz w:val="24"/>
          <w:szCs w:val="24"/>
          <w:highlight w:val="none"/>
          <w:lang w:eastAsia="zh-CN"/>
        </w:rPr>
        <w:t>0</w:t>
      </w:r>
      <w:r>
        <w:rPr>
          <w:rFonts w:hint="default" w:ascii="Times New Roman" w:hAnsi="Times New Roman" w:eastAsia="仿宋_GB2312" w:cs="Times New Roman"/>
          <w:color w:val="auto"/>
          <w:sz w:val="24"/>
          <w:szCs w:val="24"/>
          <w:highlight w:val="none"/>
        </w:rPr>
        <w:t>.1 乙方对其所销售的货物应当享有知识产权或经权利人合法授权，保证没有侵犯任何第三人的知识产权等权利。</w:t>
      </w:r>
      <w:bookmarkStart w:id="1613" w:name="_Hlk163047038"/>
      <w:r>
        <w:rPr>
          <w:rFonts w:hint="default" w:ascii="Times New Roman" w:hAnsi="Times New Roman" w:eastAsia="仿宋_GB2312" w:cs="Times New Roman"/>
          <w:color w:val="auto"/>
          <w:sz w:val="24"/>
          <w:szCs w:val="24"/>
          <w:highlight w:val="none"/>
        </w:rPr>
        <w:t>因违反前述约定对第三人构成侵权的，应当由乙方向第三人承担法律责任；甲方依法向第三人赔偿后，有权向乙方追偿。甲方有其他损失的，乙方应当赔偿</w:t>
      </w:r>
      <w:bookmarkEnd w:id="1613"/>
      <w:r>
        <w:rPr>
          <w:rFonts w:hint="default" w:ascii="Times New Roman" w:hAnsi="Times New Roman" w:eastAsia="仿宋_GB2312" w:cs="Times New Roman"/>
          <w:color w:val="auto"/>
          <w:sz w:val="24"/>
          <w:szCs w:val="24"/>
          <w:highlight w:val="none"/>
        </w:rPr>
        <w:t>。</w:t>
      </w:r>
    </w:p>
    <w:p w14:paraId="6EF40239">
      <w:pPr>
        <w:autoSpaceDE w:val="0"/>
        <w:autoSpaceDN w:val="0"/>
        <w:adjustRightInd w:val="0"/>
        <w:snapToGrid w:val="0"/>
        <w:spacing w:before="0" w:line="400" w:lineRule="exact"/>
        <w:jc w:val="left"/>
        <w:rPr>
          <w:rFonts w:hint="default" w:ascii="Times New Roman" w:hAnsi="Times New Roman" w:eastAsia="仿宋_GB2312" w:cs="Times New Roman"/>
          <w:b/>
          <w:bCs/>
          <w:color w:val="auto"/>
          <w:sz w:val="24"/>
          <w:szCs w:val="24"/>
          <w:highlight w:val="none"/>
        </w:rPr>
      </w:pPr>
      <w:r>
        <w:rPr>
          <w:rFonts w:hint="default" w:ascii="Times New Roman" w:hAnsi="Times New Roman" w:eastAsia="仿宋_GB2312" w:cs="Times New Roman"/>
          <w:b/>
          <w:bCs/>
          <w:color w:val="auto"/>
          <w:sz w:val="24"/>
          <w:szCs w:val="24"/>
          <w:highlight w:val="none"/>
        </w:rPr>
        <w:t>1</w:t>
      </w:r>
      <w:r>
        <w:rPr>
          <w:rFonts w:hint="default" w:ascii="Times New Roman" w:hAnsi="Times New Roman" w:eastAsia="仿宋_GB2312" w:cs="Times New Roman"/>
          <w:b/>
          <w:bCs/>
          <w:color w:val="auto"/>
          <w:sz w:val="24"/>
          <w:szCs w:val="24"/>
          <w:highlight w:val="none"/>
          <w:lang w:eastAsia="zh-CN"/>
        </w:rPr>
        <w:t>1</w:t>
      </w:r>
      <w:r>
        <w:rPr>
          <w:rFonts w:hint="default" w:ascii="Times New Roman" w:hAnsi="Times New Roman" w:eastAsia="仿宋_GB2312" w:cs="Times New Roman"/>
          <w:b/>
          <w:bCs/>
          <w:color w:val="auto"/>
          <w:sz w:val="24"/>
          <w:szCs w:val="24"/>
          <w:highlight w:val="none"/>
        </w:rPr>
        <w:t>.</w:t>
      </w:r>
      <w:r>
        <w:rPr>
          <w:rFonts w:hint="default" w:ascii="Times New Roman" w:hAnsi="Times New Roman" w:eastAsia="仿宋_GB2312" w:cs="Times New Roman"/>
          <w:b/>
          <w:bCs/>
          <w:color w:val="auto"/>
          <w:sz w:val="24"/>
          <w:szCs w:val="24"/>
          <w:highlight w:val="none"/>
          <w:lang w:val="en-US" w:eastAsia="zh-CN"/>
        </w:rPr>
        <w:t xml:space="preserve"> </w:t>
      </w:r>
      <w:r>
        <w:rPr>
          <w:rFonts w:hint="default" w:ascii="Times New Roman" w:hAnsi="Times New Roman" w:eastAsia="仿宋_GB2312" w:cs="Times New Roman"/>
          <w:b/>
          <w:bCs/>
          <w:color w:val="auto"/>
          <w:sz w:val="24"/>
          <w:szCs w:val="24"/>
          <w:highlight w:val="none"/>
        </w:rPr>
        <w:t>保密义务</w:t>
      </w:r>
    </w:p>
    <w:p w14:paraId="2E5155ED">
      <w:pPr>
        <w:autoSpaceDE w:val="0"/>
        <w:autoSpaceDN w:val="0"/>
        <w:adjustRightInd w:val="0"/>
        <w:snapToGrid w:val="0"/>
        <w:spacing w:before="0" w:line="400" w:lineRule="exact"/>
        <w:ind w:firstLine="480" w:firstLineChars="200"/>
        <w:jc w:val="left"/>
        <w:rPr>
          <w:rFonts w:hint="default" w:ascii="Times New Roman" w:hAnsi="Times New Roman" w:eastAsia="仿宋_GB2312" w:cs="Times New Roman"/>
          <w:color w:val="auto"/>
          <w:sz w:val="24"/>
          <w:szCs w:val="24"/>
          <w:highlight w:val="none"/>
        </w:rPr>
      </w:pPr>
      <w:r>
        <w:rPr>
          <w:rFonts w:hint="default" w:ascii="Times New Roman" w:hAnsi="Times New Roman" w:eastAsia="仿宋_GB2312" w:cs="Times New Roman"/>
          <w:color w:val="auto"/>
          <w:sz w:val="24"/>
          <w:szCs w:val="24"/>
          <w:highlight w:val="none"/>
          <w:lang w:val="en-US" w:eastAsia="zh-CN"/>
        </w:rPr>
        <w:t xml:space="preserve">11.1 </w:t>
      </w:r>
      <w:r>
        <w:rPr>
          <w:rFonts w:hint="default" w:ascii="Times New Roman" w:hAnsi="Times New Roman" w:eastAsia="仿宋_GB2312" w:cs="Times New Roman"/>
          <w:color w:val="auto"/>
          <w:sz w:val="24"/>
          <w:szCs w:val="24"/>
          <w:highlight w:val="none"/>
        </w:rPr>
        <w:t>甲、乙双方</w:t>
      </w:r>
      <w:r>
        <w:rPr>
          <w:rFonts w:hint="default" w:ascii="Times New Roman" w:hAnsi="Times New Roman" w:eastAsia="仿宋_GB2312" w:cs="Times New Roman"/>
          <w:color w:val="auto"/>
          <w:sz w:val="24"/>
          <w:szCs w:val="24"/>
          <w:highlight w:val="none"/>
          <w:lang w:eastAsia="zh-CN"/>
        </w:rPr>
        <w:t>对</w:t>
      </w:r>
      <w:r>
        <w:rPr>
          <w:rFonts w:hint="default" w:ascii="Times New Roman" w:hAnsi="Times New Roman" w:eastAsia="仿宋_GB2312" w:cs="Times New Roman"/>
          <w:color w:val="auto"/>
          <w:sz w:val="24"/>
          <w:szCs w:val="24"/>
          <w:highlight w:val="none"/>
        </w:rPr>
        <w:t>采购和合同履行过程中所获悉的</w:t>
      </w:r>
      <w:r>
        <w:rPr>
          <w:rFonts w:hint="default" w:ascii="Times New Roman" w:hAnsi="Times New Roman" w:eastAsia="仿宋_GB2312" w:cs="Times New Roman"/>
          <w:color w:val="auto"/>
          <w:sz w:val="24"/>
          <w:szCs w:val="24"/>
          <w:highlight w:val="none"/>
          <w:lang w:eastAsia="zh-CN"/>
        </w:rPr>
        <w:t>国家秘密、工作秘密、</w:t>
      </w:r>
      <w:r>
        <w:rPr>
          <w:rFonts w:hint="default" w:ascii="Times New Roman" w:hAnsi="Times New Roman" w:eastAsia="仿宋_GB2312" w:cs="Times New Roman"/>
          <w:color w:val="auto"/>
          <w:sz w:val="24"/>
          <w:szCs w:val="24"/>
          <w:highlight w:val="none"/>
        </w:rPr>
        <w:t>商业秘密或者其他应当保密的信息，均有保密义务</w:t>
      </w:r>
      <w:r>
        <w:rPr>
          <w:rFonts w:hint="default" w:ascii="Times New Roman" w:hAnsi="Times New Roman" w:eastAsia="仿宋_GB2312" w:cs="Times New Roman"/>
          <w:color w:val="auto"/>
          <w:sz w:val="24"/>
          <w:szCs w:val="24"/>
          <w:highlight w:val="none"/>
          <w:lang w:eastAsia="zh-CN"/>
        </w:rPr>
        <w:t>且不受合同有效期所限，直至该信息成为公开信息</w:t>
      </w:r>
      <w:r>
        <w:rPr>
          <w:rFonts w:hint="default" w:ascii="Times New Roman" w:hAnsi="Times New Roman" w:eastAsia="仿宋_GB2312" w:cs="Times New Roman"/>
          <w:color w:val="auto"/>
          <w:sz w:val="24"/>
          <w:szCs w:val="24"/>
          <w:highlight w:val="none"/>
        </w:rPr>
        <w:t>。泄露、不正当地使用</w:t>
      </w:r>
      <w:r>
        <w:rPr>
          <w:rFonts w:hint="default" w:ascii="Times New Roman" w:hAnsi="Times New Roman" w:eastAsia="仿宋_GB2312" w:cs="Times New Roman"/>
          <w:color w:val="auto"/>
          <w:sz w:val="24"/>
          <w:szCs w:val="24"/>
          <w:highlight w:val="none"/>
          <w:lang w:eastAsia="zh-CN"/>
        </w:rPr>
        <w:t>国家秘密、工作秘密、</w:t>
      </w:r>
      <w:r>
        <w:rPr>
          <w:rFonts w:hint="default" w:ascii="Times New Roman" w:hAnsi="Times New Roman" w:eastAsia="仿宋_GB2312" w:cs="Times New Roman"/>
          <w:color w:val="auto"/>
          <w:sz w:val="24"/>
          <w:szCs w:val="24"/>
          <w:highlight w:val="none"/>
        </w:rPr>
        <w:t>商业秘密或者</w:t>
      </w:r>
      <w:r>
        <w:rPr>
          <w:rFonts w:hint="default" w:ascii="Times New Roman" w:hAnsi="Times New Roman" w:eastAsia="仿宋_GB2312" w:cs="Times New Roman"/>
          <w:color w:val="auto"/>
          <w:sz w:val="24"/>
          <w:szCs w:val="24"/>
          <w:highlight w:val="none"/>
          <w:lang w:eastAsia="zh-CN"/>
        </w:rPr>
        <w:t>其他应当保密的</w:t>
      </w:r>
      <w:r>
        <w:rPr>
          <w:rFonts w:hint="default" w:ascii="Times New Roman" w:hAnsi="Times New Roman" w:eastAsia="仿宋_GB2312" w:cs="Times New Roman"/>
          <w:color w:val="auto"/>
          <w:sz w:val="24"/>
          <w:szCs w:val="24"/>
          <w:highlight w:val="none"/>
        </w:rPr>
        <w:t>信息，应当承担</w:t>
      </w:r>
      <w:r>
        <w:rPr>
          <w:rFonts w:hint="default" w:ascii="Times New Roman" w:hAnsi="Times New Roman" w:eastAsia="仿宋_GB2312" w:cs="Times New Roman"/>
          <w:color w:val="auto"/>
          <w:sz w:val="24"/>
          <w:szCs w:val="24"/>
          <w:highlight w:val="none"/>
          <w:lang w:eastAsia="zh-CN"/>
        </w:rPr>
        <w:t>相应</w:t>
      </w:r>
      <w:r>
        <w:rPr>
          <w:rFonts w:hint="default" w:ascii="Times New Roman" w:hAnsi="Times New Roman" w:eastAsia="仿宋_GB2312" w:cs="Times New Roman"/>
          <w:color w:val="auto"/>
          <w:sz w:val="24"/>
          <w:szCs w:val="24"/>
          <w:highlight w:val="none"/>
        </w:rPr>
        <w:t>责任。其他应当保密的信息由双方在</w:t>
      </w:r>
      <w:r>
        <w:rPr>
          <w:rFonts w:hint="default" w:ascii="Times New Roman" w:hAnsi="Times New Roman" w:eastAsia="仿宋_GB2312" w:cs="Times New Roman"/>
          <w:b/>
          <w:bCs/>
          <w:color w:val="auto"/>
          <w:sz w:val="24"/>
          <w:szCs w:val="24"/>
          <w:highlight w:val="none"/>
        </w:rPr>
        <w:t>【政府采购合同专用条款】</w:t>
      </w:r>
      <w:r>
        <w:rPr>
          <w:rFonts w:hint="default" w:ascii="Times New Roman" w:hAnsi="Times New Roman" w:eastAsia="仿宋_GB2312" w:cs="Times New Roman"/>
          <w:color w:val="auto"/>
          <w:sz w:val="24"/>
          <w:szCs w:val="24"/>
          <w:highlight w:val="none"/>
        </w:rPr>
        <w:t>中约定。</w:t>
      </w:r>
    </w:p>
    <w:p w14:paraId="2D07B0A0">
      <w:pPr>
        <w:autoSpaceDE w:val="0"/>
        <w:autoSpaceDN w:val="0"/>
        <w:adjustRightInd w:val="0"/>
        <w:snapToGrid w:val="0"/>
        <w:spacing w:before="0" w:line="400" w:lineRule="exact"/>
        <w:jc w:val="left"/>
        <w:rPr>
          <w:rFonts w:hint="default" w:ascii="Times New Roman" w:hAnsi="Times New Roman" w:eastAsia="仿宋_GB2312" w:cs="Times New Roman"/>
          <w:b/>
          <w:bCs/>
          <w:color w:val="auto"/>
          <w:sz w:val="24"/>
          <w:szCs w:val="24"/>
          <w:highlight w:val="none"/>
        </w:rPr>
      </w:pPr>
      <w:r>
        <w:rPr>
          <w:rFonts w:hint="default" w:ascii="Times New Roman" w:hAnsi="Times New Roman" w:eastAsia="仿宋_GB2312" w:cs="Times New Roman"/>
          <w:b/>
          <w:bCs/>
          <w:color w:val="auto"/>
          <w:sz w:val="24"/>
          <w:szCs w:val="24"/>
          <w:highlight w:val="none"/>
        </w:rPr>
        <w:t>1</w:t>
      </w:r>
      <w:r>
        <w:rPr>
          <w:rFonts w:hint="default" w:ascii="Times New Roman" w:hAnsi="Times New Roman" w:eastAsia="仿宋_GB2312" w:cs="Times New Roman"/>
          <w:b/>
          <w:bCs/>
          <w:color w:val="auto"/>
          <w:sz w:val="24"/>
          <w:szCs w:val="24"/>
          <w:highlight w:val="none"/>
          <w:lang w:eastAsia="zh-CN"/>
        </w:rPr>
        <w:t>2</w:t>
      </w:r>
      <w:r>
        <w:rPr>
          <w:rFonts w:hint="default" w:ascii="Times New Roman" w:hAnsi="Times New Roman" w:eastAsia="仿宋_GB2312" w:cs="Times New Roman"/>
          <w:b/>
          <w:bCs/>
          <w:color w:val="auto"/>
          <w:sz w:val="24"/>
          <w:szCs w:val="24"/>
          <w:highlight w:val="none"/>
        </w:rPr>
        <w:t>.</w:t>
      </w:r>
      <w:r>
        <w:rPr>
          <w:rFonts w:hint="default" w:ascii="Times New Roman" w:hAnsi="Times New Roman" w:eastAsia="仿宋_GB2312" w:cs="Times New Roman"/>
          <w:b/>
          <w:bCs/>
          <w:color w:val="auto"/>
          <w:sz w:val="24"/>
          <w:szCs w:val="24"/>
          <w:highlight w:val="none"/>
          <w:lang w:val="en-US" w:eastAsia="zh-CN"/>
        </w:rPr>
        <w:t xml:space="preserve"> </w:t>
      </w:r>
      <w:r>
        <w:rPr>
          <w:rFonts w:hint="default" w:ascii="Times New Roman" w:hAnsi="Times New Roman" w:eastAsia="仿宋_GB2312" w:cs="Times New Roman"/>
          <w:b/>
          <w:bCs/>
          <w:color w:val="auto"/>
          <w:sz w:val="24"/>
          <w:szCs w:val="24"/>
          <w:highlight w:val="none"/>
        </w:rPr>
        <w:t>合同价款支付</w:t>
      </w:r>
    </w:p>
    <w:p w14:paraId="3A6ABE4E">
      <w:pPr>
        <w:autoSpaceDE/>
        <w:autoSpaceDN/>
        <w:adjustRightInd w:val="0"/>
        <w:snapToGrid w:val="0"/>
        <w:spacing w:before="0" w:line="400" w:lineRule="exact"/>
        <w:ind w:firstLine="480" w:firstLineChars="200"/>
        <w:jc w:val="left"/>
        <w:rPr>
          <w:rFonts w:hint="default" w:ascii="Times New Roman" w:hAnsi="Times New Roman" w:eastAsia="仿宋_GB2312" w:cs="Times New Roman"/>
          <w:color w:val="auto"/>
          <w:sz w:val="24"/>
          <w:szCs w:val="24"/>
          <w:highlight w:val="none"/>
          <w:lang w:eastAsia="zh-CN"/>
        </w:rPr>
      </w:pPr>
      <w:r>
        <w:rPr>
          <w:rFonts w:hint="default" w:ascii="Times New Roman" w:hAnsi="Times New Roman" w:eastAsia="仿宋_GB2312" w:cs="Times New Roman"/>
          <w:color w:val="auto"/>
          <w:sz w:val="24"/>
          <w:szCs w:val="24"/>
          <w:highlight w:val="none"/>
        </w:rPr>
        <w:t>1</w:t>
      </w:r>
      <w:r>
        <w:rPr>
          <w:rFonts w:hint="default" w:ascii="Times New Roman" w:hAnsi="Times New Roman" w:eastAsia="仿宋_GB2312" w:cs="Times New Roman"/>
          <w:color w:val="auto"/>
          <w:sz w:val="24"/>
          <w:szCs w:val="24"/>
          <w:highlight w:val="none"/>
          <w:lang w:eastAsia="zh-CN"/>
        </w:rPr>
        <w:t>2</w:t>
      </w:r>
      <w:r>
        <w:rPr>
          <w:rFonts w:hint="default" w:ascii="Times New Roman" w:hAnsi="Times New Roman" w:eastAsia="仿宋_GB2312" w:cs="Times New Roman"/>
          <w:color w:val="auto"/>
          <w:sz w:val="24"/>
          <w:szCs w:val="24"/>
          <w:highlight w:val="none"/>
        </w:rPr>
        <w:t xml:space="preserve">.1 </w:t>
      </w:r>
      <w:r>
        <w:rPr>
          <w:rFonts w:hint="default" w:ascii="Times New Roman" w:hAnsi="Times New Roman" w:eastAsia="仿宋_GB2312" w:cs="Times New Roman"/>
          <w:color w:val="auto"/>
          <w:sz w:val="24"/>
          <w:szCs w:val="24"/>
          <w:highlight w:val="none"/>
          <w:lang w:eastAsia="zh-CN"/>
        </w:rPr>
        <w:t>合同价款支付</w:t>
      </w:r>
      <w:r>
        <w:rPr>
          <w:rFonts w:hint="default" w:ascii="Times New Roman" w:hAnsi="Times New Roman" w:eastAsia="仿宋_GB2312" w:cs="Times New Roman"/>
          <w:color w:val="auto"/>
          <w:sz w:val="24"/>
          <w:szCs w:val="24"/>
          <w:highlight w:val="none"/>
        </w:rPr>
        <w:t>按照国库集中支付</w:t>
      </w:r>
      <w:r>
        <w:rPr>
          <w:rFonts w:hint="default" w:ascii="Times New Roman" w:hAnsi="Times New Roman" w:eastAsia="仿宋_GB2312" w:cs="Times New Roman"/>
          <w:color w:val="auto"/>
          <w:sz w:val="24"/>
          <w:szCs w:val="24"/>
          <w:highlight w:val="none"/>
          <w:lang w:eastAsia="zh-CN"/>
        </w:rPr>
        <w:t>制度及财政管理相关</w:t>
      </w:r>
      <w:r>
        <w:rPr>
          <w:rFonts w:hint="default" w:ascii="Times New Roman" w:hAnsi="Times New Roman" w:eastAsia="仿宋_GB2312" w:cs="Times New Roman"/>
          <w:color w:val="auto"/>
          <w:sz w:val="24"/>
          <w:szCs w:val="24"/>
          <w:highlight w:val="none"/>
        </w:rPr>
        <w:t>规定执行。</w:t>
      </w:r>
    </w:p>
    <w:p w14:paraId="67817D2D">
      <w:pPr>
        <w:pStyle w:val="2"/>
        <w:tabs>
          <w:tab w:val="left" w:pos="0"/>
        </w:tabs>
        <w:spacing w:line="400" w:lineRule="exact"/>
        <w:ind w:firstLine="480" w:firstLineChars="200"/>
        <w:rPr>
          <w:rFonts w:hint="default" w:ascii="Times New Roman" w:hAnsi="Times New Roman" w:eastAsia="仿宋_GB2312" w:cs="Times New Roman"/>
          <w:color w:val="auto"/>
          <w:sz w:val="24"/>
          <w:szCs w:val="24"/>
          <w:highlight w:val="none"/>
          <w:lang w:eastAsia="zh-CN"/>
        </w:rPr>
      </w:pPr>
      <w:bookmarkStart w:id="1614" w:name="_Toc14757"/>
      <w:bookmarkStart w:id="1615" w:name="_Toc19238"/>
      <w:bookmarkStart w:id="1616" w:name="_Toc3468"/>
      <w:bookmarkStart w:id="1617" w:name="_Toc26433"/>
      <w:bookmarkStart w:id="1618" w:name="_Toc9863"/>
      <w:bookmarkStart w:id="1619" w:name="_Toc18729"/>
      <w:r>
        <w:rPr>
          <w:rFonts w:hint="default" w:ascii="Times New Roman" w:hAnsi="Times New Roman" w:eastAsia="仿宋_GB2312" w:cs="Times New Roman"/>
          <w:b w:val="0"/>
          <w:bCs w:val="0"/>
          <w:color w:val="auto"/>
          <w:sz w:val="24"/>
          <w:szCs w:val="24"/>
          <w:highlight w:val="none"/>
          <w:lang w:val="en-US" w:eastAsia="zh-CN"/>
        </w:rPr>
        <w:t xml:space="preserve">12.2 </w:t>
      </w:r>
      <w:r>
        <w:rPr>
          <w:rFonts w:hint="default" w:ascii="Times New Roman" w:hAnsi="Times New Roman" w:eastAsia="仿宋_GB2312" w:cs="Times New Roman"/>
          <w:b w:val="0"/>
          <w:bCs w:val="0"/>
          <w:color w:val="auto"/>
          <w:kern w:val="2"/>
          <w:sz w:val="24"/>
          <w:szCs w:val="24"/>
          <w:highlight w:val="none"/>
        </w:rPr>
        <w:t>对于满足合同约定支付条件的，</w:t>
      </w:r>
      <w:r>
        <w:rPr>
          <w:rFonts w:hint="default" w:ascii="Times New Roman" w:hAnsi="Times New Roman" w:eastAsia="仿宋_GB2312" w:cs="Times New Roman"/>
          <w:b w:val="0"/>
          <w:bCs w:val="0"/>
          <w:color w:val="auto"/>
          <w:kern w:val="2"/>
          <w:sz w:val="24"/>
          <w:szCs w:val="24"/>
          <w:highlight w:val="none"/>
          <w:lang w:val="en-US" w:eastAsia="zh-CN"/>
        </w:rPr>
        <w:t>甲方</w:t>
      </w:r>
      <w:r>
        <w:rPr>
          <w:rFonts w:hint="default" w:ascii="Times New Roman" w:hAnsi="Times New Roman" w:eastAsia="仿宋_GB2312" w:cs="Times New Roman"/>
          <w:b w:val="0"/>
          <w:bCs w:val="0"/>
          <w:i w:val="0"/>
          <w:iCs w:val="0"/>
          <w:caps w:val="0"/>
          <w:color w:val="auto"/>
          <w:spacing w:val="0"/>
          <w:sz w:val="24"/>
          <w:szCs w:val="24"/>
          <w:highlight w:val="none"/>
          <w:shd w:val="clear" w:color="auto" w:fill="auto"/>
          <w:vertAlign w:val="baseline"/>
        </w:rPr>
        <w:t>原则上应当自收到发票后10个工作日内</w:t>
      </w:r>
      <w:r>
        <w:rPr>
          <w:rFonts w:hint="default" w:ascii="Times New Roman" w:hAnsi="Times New Roman" w:eastAsia="仿宋_GB2312" w:cs="Times New Roman"/>
          <w:b w:val="0"/>
          <w:bCs w:val="0"/>
          <w:color w:val="auto"/>
          <w:kern w:val="2"/>
          <w:sz w:val="24"/>
          <w:szCs w:val="24"/>
          <w:highlight w:val="none"/>
        </w:rPr>
        <w:t>将资金支付到合同约定的</w:t>
      </w:r>
      <w:r>
        <w:rPr>
          <w:rFonts w:hint="default" w:ascii="Times New Roman" w:hAnsi="Times New Roman" w:eastAsia="仿宋_GB2312" w:cs="Times New Roman"/>
          <w:b w:val="0"/>
          <w:bCs w:val="0"/>
          <w:color w:val="auto"/>
          <w:kern w:val="2"/>
          <w:sz w:val="24"/>
          <w:szCs w:val="24"/>
          <w:highlight w:val="none"/>
          <w:lang w:eastAsia="zh-CN"/>
        </w:rPr>
        <w:t>乙方</w:t>
      </w:r>
      <w:r>
        <w:rPr>
          <w:rFonts w:hint="default" w:ascii="Times New Roman" w:hAnsi="Times New Roman" w:eastAsia="仿宋_GB2312" w:cs="Times New Roman"/>
          <w:b w:val="0"/>
          <w:bCs w:val="0"/>
          <w:color w:val="auto"/>
          <w:kern w:val="2"/>
          <w:sz w:val="24"/>
          <w:szCs w:val="24"/>
          <w:highlight w:val="none"/>
        </w:rPr>
        <w:t>账户，不得以机构变动、人员更替、政策调整等为由迟延付款，不得将采购文件和合同中未规定的义务作为向</w:t>
      </w:r>
      <w:r>
        <w:rPr>
          <w:rFonts w:hint="default" w:ascii="Times New Roman" w:hAnsi="Times New Roman" w:eastAsia="仿宋_GB2312" w:cs="Times New Roman"/>
          <w:b w:val="0"/>
          <w:bCs w:val="0"/>
          <w:color w:val="auto"/>
          <w:kern w:val="2"/>
          <w:sz w:val="24"/>
          <w:szCs w:val="24"/>
          <w:highlight w:val="none"/>
          <w:lang w:val="en-US" w:eastAsia="zh-CN"/>
        </w:rPr>
        <w:t>乙方</w:t>
      </w:r>
      <w:r>
        <w:rPr>
          <w:rFonts w:hint="default" w:ascii="Times New Roman" w:hAnsi="Times New Roman" w:eastAsia="仿宋_GB2312" w:cs="Times New Roman"/>
          <w:b w:val="0"/>
          <w:bCs w:val="0"/>
          <w:color w:val="auto"/>
          <w:kern w:val="2"/>
          <w:sz w:val="24"/>
          <w:szCs w:val="24"/>
          <w:highlight w:val="none"/>
        </w:rPr>
        <w:t>付款的条件。具体合同价款支付时间在【</w:t>
      </w:r>
      <w:r>
        <w:rPr>
          <w:rFonts w:hint="default" w:ascii="Times New Roman" w:hAnsi="Times New Roman" w:eastAsia="仿宋_GB2312" w:cs="Times New Roman"/>
          <w:b/>
          <w:bCs/>
          <w:color w:val="auto"/>
          <w:kern w:val="2"/>
          <w:sz w:val="24"/>
          <w:szCs w:val="24"/>
          <w:highlight w:val="none"/>
        </w:rPr>
        <w:t>政府采购合同专用条款</w:t>
      </w:r>
      <w:r>
        <w:rPr>
          <w:rFonts w:hint="default" w:ascii="Times New Roman" w:hAnsi="Times New Roman" w:eastAsia="仿宋_GB2312" w:cs="Times New Roman"/>
          <w:b w:val="0"/>
          <w:bCs w:val="0"/>
          <w:color w:val="auto"/>
          <w:kern w:val="2"/>
          <w:sz w:val="24"/>
          <w:szCs w:val="24"/>
          <w:highlight w:val="none"/>
        </w:rPr>
        <w:t>】中</w:t>
      </w:r>
      <w:r>
        <w:rPr>
          <w:rFonts w:hint="default" w:ascii="Times New Roman" w:hAnsi="Times New Roman" w:eastAsia="仿宋_GB2312" w:cs="Times New Roman"/>
          <w:b w:val="0"/>
          <w:bCs w:val="0"/>
          <w:color w:val="auto"/>
          <w:kern w:val="2"/>
          <w:sz w:val="24"/>
          <w:szCs w:val="24"/>
          <w:highlight w:val="none"/>
          <w:lang w:eastAsia="zh-CN"/>
        </w:rPr>
        <w:t>约</w:t>
      </w:r>
      <w:r>
        <w:rPr>
          <w:rFonts w:hint="default" w:ascii="Times New Roman" w:hAnsi="Times New Roman" w:eastAsia="仿宋_GB2312" w:cs="Times New Roman"/>
          <w:b w:val="0"/>
          <w:bCs w:val="0"/>
          <w:color w:val="auto"/>
          <w:kern w:val="2"/>
          <w:sz w:val="24"/>
          <w:szCs w:val="24"/>
          <w:highlight w:val="none"/>
        </w:rPr>
        <w:t>定。</w:t>
      </w:r>
      <w:bookmarkEnd w:id="1614"/>
      <w:bookmarkEnd w:id="1615"/>
      <w:bookmarkEnd w:id="1616"/>
      <w:bookmarkEnd w:id="1617"/>
      <w:bookmarkEnd w:id="1618"/>
      <w:bookmarkEnd w:id="1619"/>
    </w:p>
    <w:p w14:paraId="3F7AC6B6">
      <w:pPr>
        <w:pStyle w:val="14"/>
        <w:tabs>
          <w:tab w:val="left" w:pos="780"/>
          <w:tab w:val="clear" w:pos="567"/>
        </w:tabs>
        <w:spacing w:after="0" w:line="400" w:lineRule="exact"/>
        <w:rPr>
          <w:rFonts w:hint="default" w:ascii="Times New Roman" w:hAnsi="Times New Roman" w:eastAsia="仿宋_GB2312" w:cs="Times New Roman"/>
          <w:b/>
          <w:bCs/>
          <w:color w:val="auto"/>
          <w:sz w:val="24"/>
          <w:szCs w:val="24"/>
          <w:highlight w:val="none"/>
        </w:rPr>
      </w:pPr>
      <w:r>
        <w:rPr>
          <w:rFonts w:hint="default" w:ascii="Times New Roman" w:hAnsi="Times New Roman" w:eastAsia="仿宋_GB2312" w:cs="Times New Roman"/>
          <w:b/>
          <w:bCs/>
          <w:color w:val="auto"/>
          <w:sz w:val="24"/>
          <w:szCs w:val="24"/>
          <w:highlight w:val="none"/>
        </w:rPr>
        <w:t>1</w:t>
      </w:r>
      <w:r>
        <w:rPr>
          <w:rFonts w:hint="default" w:ascii="Times New Roman" w:hAnsi="Times New Roman" w:eastAsia="仿宋_GB2312" w:cs="Times New Roman"/>
          <w:b/>
          <w:bCs/>
          <w:color w:val="auto"/>
          <w:sz w:val="24"/>
          <w:szCs w:val="24"/>
          <w:highlight w:val="none"/>
          <w:lang w:eastAsia="zh-CN"/>
        </w:rPr>
        <w:t>3</w:t>
      </w:r>
      <w:r>
        <w:rPr>
          <w:rFonts w:hint="default" w:ascii="Times New Roman" w:hAnsi="Times New Roman" w:eastAsia="仿宋_GB2312" w:cs="Times New Roman"/>
          <w:b/>
          <w:bCs/>
          <w:color w:val="auto"/>
          <w:sz w:val="24"/>
          <w:szCs w:val="24"/>
          <w:highlight w:val="none"/>
        </w:rPr>
        <w:t>.</w:t>
      </w:r>
      <w:r>
        <w:rPr>
          <w:rFonts w:hint="default" w:ascii="Times New Roman" w:hAnsi="Times New Roman" w:eastAsia="仿宋_GB2312" w:cs="Times New Roman"/>
          <w:b/>
          <w:bCs/>
          <w:color w:val="auto"/>
          <w:sz w:val="24"/>
          <w:szCs w:val="24"/>
          <w:highlight w:val="none"/>
          <w:lang w:val="en-US" w:eastAsia="zh-CN"/>
        </w:rPr>
        <w:t xml:space="preserve"> </w:t>
      </w:r>
      <w:r>
        <w:rPr>
          <w:rFonts w:hint="default" w:ascii="Times New Roman" w:hAnsi="Times New Roman" w:eastAsia="仿宋_GB2312" w:cs="Times New Roman"/>
          <w:b/>
          <w:bCs/>
          <w:color w:val="auto"/>
          <w:sz w:val="24"/>
          <w:szCs w:val="24"/>
          <w:highlight w:val="none"/>
        </w:rPr>
        <w:t>履约保证金</w:t>
      </w:r>
    </w:p>
    <w:p w14:paraId="4B212166">
      <w:pPr>
        <w:adjustRightInd w:val="0"/>
        <w:snapToGrid w:val="0"/>
        <w:spacing w:before="0" w:line="400" w:lineRule="exact"/>
        <w:ind w:firstLine="480" w:firstLineChars="200"/>
        <w:jc w:val="left"/>
        <w:rPr>
          <w:rFonts w:hint="default" w:ascii="Times New Roman" w:hAnsi="Times New Roman" w:eastAsia="仿宋_GB2312" w:cs="Times New Roman"/>
          <w:color w:val="auto"/>
          <w:sz w:val="24"/>
          <w:szCs w:val="24"/>
          <w:highlight w:val="none"/>
        </w:rPr>
      </w:pPr>
      <w:r>
        <w:rPr>
          <w:rFonts w:hint="default" w:ascii="Times New Roman" w:hAnsi="Times New Roman" w:eastAsia="仿宋_GB2312" w:cs="Times New Roman"/>
          <w:color w:val="auto"/>
          <w:sz w:val="24"/>
          <w:szCs w:val="24"/>
          <w:highlight w:val="none"/>
        </w:rPr>
        <w:t>1</w:t>
      </w:r>
      <w:r>
        <w:rPr>
          <w:rFonts w:hint="default" w:ascii="Times New Roman" w:hAnsi="Times New Roman" w:eastAsia="仿宋_GB2312" w:cs="Times New Roman"/>
          <w:color w:val="auto"/>
          <w:sz w:val="24"/>
          <w:szCs w:val="24"/>
          <w:highlight w:val="none"/>
          <w:lang w:eastAsia="zh-CN"/>
        </w:rPr>
        <w:t>3</w:t>
      </w:r>
      <w:r>
        <w:rPr>
          <w:rFonts w:hint="default" w:ascii="Times New Roman" w:hAnsi="Times New Roman" w:eastAsia="仿宋_GB2312" w:cs="Times New Roman"/>
          <w:color w:val="auto"/>
          <w:sz w:val="24"/>
          <w:szCs w:val="24"/>
          <w:highlight w:val="none"/>
        </w:rPr>
        <w:t>.1 乙方应当以支票、汇票、本票或者金融机构、担保机构出具的保函等非现金形式提交。</w:t>
      </w:r>
    </w:p>
    <w:p w14:paraId="0AB6E901">
      <w:pPr>
        <w:adjustRightInd w:val="0"/>
        <w:snapToGrid w:val="0"/>
        <w:spacing w:before="0" w:line="400" w:lineRule="exact"/>
        <w:ind w:firstLine="480" w:firstLineChars="200"/>
        <w:jc w:val="left"/>
        <w:rPr>
          <w:rFonts w:hint="default" w:ascii="Times New Roman" w:hAnsi="Times New Roman" w:eastAsia="仿宋_GB2312" w:cs="Times New Roman"/>
          <w:color w:val="auto"/>
          <w:sz w:val="24"/>
          <w:szCs w:val="24"/>
          <w:highlight w:val="none"/>
        </w:rPr>
      </w:pPr>
      <w:r>
        <w:rPr>
          <w:rFonts w:hint="default" w:ascii="Times New Roman" w:hAnsi="Times New Roman" w:eastAsia="仿宋_GB2312" w:cs="Times New Roman"/>
          <w:color w:val="auto"/>
          <w:sz w:val="24"/>
          <w:szCs w:val="24"/>
          <w:highlight w:val="none"/>
        </w:rPr>
        <w:t>1</w:t>
      </w:r>
      <w:r>
        <w:rPr>
          <w:rFonts w:hint="default" w:ascii="Times New Roman" w:hAnsi="Times New Roman" w:eastAsia="仿宋_GB2312" w:cs="Times New Roman"/>
          <w:color w:val="auto"/>
          <w:sz w:val="24"/>
          <w:szCs w:val="24"/>
          <w:highlight w:val="none"/>
          <w:lang w:eastAsia="zh-CN"/>
        </w:rPr>
        <w:t>3</w:t>
      </w:r>
      <w:r>
        <w:rPr>
          <w:rFonts w:hint="default" w:ascii="Times New Roman" w:hAnsi="Times New Roman" w:eastAsia="仿宋_GB2312" w:cs="Times New Roman"/>
          <w:color w:val="auto"/>
          <w:sz w:val="24"/>
          <w:szCs w:val="24"/>
          <w:highlight w:val="none"/>
        </w:rPr>
        <w:t>.2 如果乙方</w:t>
      </w:r>
      <w:r>
        <w:rPr>
          <w:rFonts w:hint="default" w:ascii="Times New Roman" w:hAnsi="Times New Roman" w:eastAsia="仿宋_GB2312" w:cs="Times New Roman"/>
          <w:color w:val="auto"/>
          <w:sz w:val="24"/>
          <w:szCs w:val="24"/>
          <w:highlight w:val="none"/>
          <w:lang w:eastAsia="zh-CN"/>
        </w:rPr>
        <w:t>出现</w:t>
      </w:r>
      <w:r>
        <w:rPr>
          <w:rFonts w:hint="default" w:ascii="Times New Roman" w:hAnsi="Times New Roman" w:eastAsia="仿宋_GB2312" w:cs="Times New Roman"/>
          <w:b/>
          <w:bCs/>
          <w:color w:val="auto"/>
          <w:sz w:val="24"/>
          <w:szCs w:val="24"/>
          <w:highlight w:val="none"/>
        </w:rPr>
        <w:t>【政府采购合同专用条款】</w:t>
      </w:r>
      <w:r>
        <w:rPr>
          <w:rFonts w:hint="default" w:ascii="Times New Roman" w:hAnsi="Times New Roman" w:eastAsia="仿宋_GB2312" w:cs="Times New Roman"/>
          <w:b w:val="0"/>
          <w:bCs w:val="0"/>
          <w:color w:val="auto"/>
          <w:sz w:val="24"/>
          <w:szCs w:val="24"/>
          <w:highlight w:val="none"/>
          <w:lang w:eastAsia="zh-CN"/>
        </w:rPr>
        <w:t>约定情形的</w:t>
      </w:r>
      <w:r>
        <w:rPr>
          <w:rFonts w:hint="default" w:ascii="Times New Roman" w:hAnsi="Times New Roman" w:eastAsia="仿宋_GB2312" w:cs="Times New Roman"/>
          <w:color w:val="auto"/>
          <w:sz w:val="24"/>
          <w:szCs w:val="24"/>
          <w:highlight w:val="none"/>
        </w:rPr>
        <w:t>，履约保证金不予退还；如果乙方未能按合同约定全面履行义务，甲方有权从履约保证金中取得补偿或赔偿，</w:t>
      </w:r>
      <w:r>
        <w:rPr>
          <w:rFonts w:hint="default" w:ascii="Times New Roman" w:hAnsi="Times New Roman" w:eastAsia="仿宋_GB2312" w:cs="Times New Roman"/>
          <w:color w:val="auto"/>
          <w:sz w:val="24"/>
          <w:szCs w:val="24"/>
          <w:highlight w:val="none"/>
          <w:lang w:eastAsia="zh-CN"/>
        </w:rPr>
        <w:t>且</w:t>
      </w:r>
      <w:r>
        <w:rPr>
          <w:rFonts w:hint="default" w:ascii="Times New Roman" w:hAnsi="Times New Roman" w:eastAsia="仿宋_GB2312" w:cs="Times New Roman"/>
          <w:color w:val="auto"/>
          <w:sz w:val="24"/>
          <w:szCs w:val="24"/>
          <w:highlight w:val="none"/>
        </w:rPr>
        <w:t>不影响甲方要求乙方承担合同约定的超过履约保证金的违约责任的权利。</w:t>
      </w:r>
    </w:p>
    <w:p w14:paraId="054C9BC4">
      <w:pPr>
        <w:spacing w:line="400" w:lineRule="exact"/>
        <w:ind w:firstLine="420"/>
        <w:rPr>
          <w:rFonts w:hint="default" w:ascii="Times New Roman" w:hAnsi="Times New Roman" w:eastAsia="仿宋_GB2312" w:cs="Times New Roman"/>
          <w:color w:val="auto"/>
          <w:sz w:val="24"/>
          <w:szCs w:val="24"/>
          <w:highlight w:val="none"/>
        </w:rPr>
      </w:pPr>
      <w:r>
        <w:rPr>
          <w:rFonts w:hint="default" w:ascii="Times New Roman" w:hAnsi="Times New Roman" w:eastAsia="仿宋_GB2312" w:cs="Times New Roman"/>
          <w:color w:val="auto"/>
          <w:sz w:val="24"/>
          <w:szCs w:val="24"/>
          <w:highlight w:val="none"/>
        </w:rPr>
        <w:t>1</w:t>
      </w:r>
      <w:r>
        <w:rPr>
          <w:rFonts w:hint="default" w:ascii="Times New Roman" w:hAnsi="Times New Roman" w:eastAsia="仿宋_GB2312" w:cs="Times New Roman"/>
          <w:color w:val="auto"/>
          <w:sz w:val="24"/>
          <w:szCs w:val="24"/>
          <w:highlight w:val="none"/>
          <w:lang w:eastAsia="zh-CN"/>
        </w:rPr>
        <w:t>3</w:t>
      </w:r>
      <w:r>
        <w:rPr>
          <w:rFonts w:hint="default" w:ascii="Times New Roman" w:hAnsi="Times New Roman" w:eastAsia="仿宋_GB2312" w:cs="Times New Roman"/>
          <w:color w:val="auto"/>
          <w:sz w:val="24"/>
          <w:szCs w:val="24"/>
          <w:highlight w:val="none"/>
        </w:rPr>
        <w:t>.3 甲方在项目通过验收后按照</w:t>
      </w:r>
      <w:r>
        <w:rPr>
          <w:rFonts w:hint="default" w:ascii="Times New Roman" w:hAnsi="Times New Roman" w:eastAsia="仿宋_GB2312" w:cs="Times New Roman"/>
          <w:b/>
          <w:color w:val="auto"/>
          <w:sz w:val="24"/>
          <w:szCs w:val="24"/>
          <w:highlight w:val="none"/>
        </w:rPr>
        <w:t>【政府采购合同专用条款】</w:t>
      </w:r>
      <w:r>
        <w:rPr>
          <w:rFonts w:hint="default" w:ascii="Times New Roman" w:hAnsi="Times New Roman" w:eastAsia="仿宋_GB2312" w:cs="Times New Roman"/>
          <w:color w:val="auto"/>
          <w:sz w:val="24"/>
          <w:szCs w:val="24"/>
          <w:highlight w:val="none"/>
        </w:rPr>
        <w:t>规定的时间内将履约保证金退还乙方；逾期退还的，乙方可要求甲方支付违约金，违约金按照</w:t>
      </w:r>
      <w:r>
        <w:rPr>
          <w:rFonts w:hint="default" w:ascii="Times New Roman" w:hAnsi="Times New Roman" w:eastAsia="仿宋_GB2312" w:cs="Times New Roman"/>
          <w:b/>
          <w:color w:val="auto"/>
          <w:sz w:val="24"/>
          <w:szCs w:val="24"/>
          <w:highlight w:val="none"/>
        </w:rPr>
        <w:t>【政府采购合同专用条款】</w:t>
      </w:r>
      <w:r>
        <w:rPr>
          <w:rFonts w:hint="default" w:ascii="Times New Roman" w:hAnsi="Times New Roman" w:eastAsia="仿宋_GB2312" w:cs="Times New Roman"/>
          <w:color w:val="auto"/>
          <w:sz w:val="24"/>
          <w:szCs w:val="24"/>
          <w:highlight w:val="none"/>
        </w:rPr>
        <w:t>规定支付。</w:t>
      </w:r>
    </w:p>
    <w:p w14:paraId="0F45657F">
      <w:pPr>
        <w:autoSpaceDE w:val="0"/>
        <w:autoSpaceDN w:val="0"/>
        <w:adjustRightInd w:val="0"/>
        <w:snapToGrid w:val="0"/>
        <w:spacing w:before="0" w:line="400" w:lineRule="exact"/>
        <w:jc w:val="left"/>
        <w:rPr>
          <w:rFonts w:hint="default" w:ascii="Times New Roman" w:hAnsi="Times New Roman" w:eastAsia="仿宋_GB2312" w:cs="Times New Roman"/>
          <w:b/>
          <w:color w:val="auto"/>
          <w:sz w:val="24"/>
          <w:szCs w:val="24"/>
          <w:highlight w:val="none"/>
        </w:rPr>
      </w:pPr>
      <w:r>
        <w:rPr>
          <w:rFonts w:hint="eastAsia" w:ascii="Times New Roman" w:hAnsi="Times New Roman" w:eastAsia="仿宋_GB2312" w:cs="Times New Roman"/>
          <w:b/>
          <w:bCs/>
          <w:color w:val="auto"/>
          <w:sz w:val="24"/>
          <w:szCs w:val="24"/>
          <w:highlight w:val="none"/>
          <w:lang w:eastAsia="zh-CN"/>
        </w:rPr>
        <w:t>13</w:t>
      </w:r>
      <w:r>
        <w:rPr>
          <w:rFonts w:hint="default" w:ascii="Times New Roman" w:hAnsi="Times New Roman" w:eastAsia="仿宋_GB2312" w:cs="Times New Roman"/>
          <w:b/>
          <w:bCs/>
          <w:color w:val="auto"/>
          <w:sz w:val="24"/>
          <w:szCs w:val="24"/>
          <w:highlight w:val="none"/>
        </w:rPr>
        <w:t>.</w:t>
      </w:r>
      <w:r>
        <w:rPr>
          <w:rFonts w:hint="default" w:ascii="Times New Roman" w:hAnsi="Times New Roman" w:eastAsia="仿宋_GB2312" w:cs="Times New Roman"/>
          <w:b/>
          <w:bCs/>
          <w:color w:val="auto"/>
          <w:sz w:val="24"/>
          <w:szCs w:val="24"/>
          <w:highlight w:val="none"/>
          <w:lang w:val="en-US" w:eastAsia="zh-CN"/>
        </w:rPr>
        <w:t xml:space="preserve"> </w:t>
      </w:r>
      <w:r>
        <w:rPr>
          <w:rFonts w:hint="default" w:ascii="Times New Roman" w:hAnsi="Times New Roman" w:eastAsia="仿宋_GB2312" w:cs="Times New Roman"/>
          <w:b/>
          <w:color w:val="auto"/>
          <w:sz w:val="24"/>
          <w:szCs w:val="24"/>
          <w:highlight w:val="none"/>
        </w:rPr>
        <w:t>售后服务</w:t>
      </w:r>
    </w:p>
    <w:p w14:paraId="4BF861CA">
      <w:pPr>
        <w:autoSpaceDE w:val="0"/>
        <w:autoSpaceDN w:val="0"/>
        <w:adjustRightInd w:val="0"/>
        <w:snapToGrid w:val="0"/>
        <w:spacing w:before="0" w:line="400" w:lineRule="exact"/>
        <w:ind w:firstLine="480" w:firstLineChars="200"/>
        <w:jc w:val="left"/>
        <w:rPr>
          <w:rFonts w:hint="default" w:ascii="Times New Roman" w:hAnsi="Times New Roman" w:eastAsia="仿宋_GB2312" w:cs="Times New Roman"/>
          <w:color w:val="auto"/>
          <w:sz w:val="24"/>
          <w:szCs w:val="24"/>
          <w:highlight w:val="none"/>
        </w:rPr>
      </w:pPr>
      <w:r>
        <w:rPr>
          <w:rFonts w:hint="eastAsia" w:ascii="Times New Roman" w:hAnsi="Times New Roman" w:eastAsia="仿宋_GB2312" w:cs="Times New Roman"/>
          <w:color w:val="auto"/>
          <w:sz w:val="24"/>
          <w:szCs w:val="24"/>
          <w:highlight w:val="none"/>
          <w:lang w:eastAsia="zh-CN"/>
        </w:rPr>
        <w:t>13</w:t>
      </w:r>
      <w:r>
        <w:rPr>
          <w:rFonts w:hint="default" w:ascii="Times New Roman" w:hAnsi="Times New Roman" w:eastAsia="仿宋_GB2312" w:cs="Times New Roman"/>
          <w:color w:val="auto"/>
          <w:sz w:val="24"/>
          <w:szCs w:val="24"/>
          <w:highlight w:val="none"/>
        </w:rPr>
        <w:t>.1 除项目不涉及或采购活动中明确约定无须承担外，乙方还应提供下列服务：</w:t>
      </w:r>
    </w:p>
    <w:p w14:paraId="750494F4">
      <w:pPr>
        <w:autoSpaceDE w:val="0"/>
        <w:autoSpaceDN w:val="0"/>
        <w:adjustRightInd w:val="0"/>
        <w:snapToGrid w:val="0"/>
        <w:spacing w:before="0" w:line="400" w:lineRule="exact"/>
        <w:ind w:firstLine="480" w:firstLineChars="200"/>
        <w:jc w:val="left"/>
        <w:rPr>
          <w:rFonts w:hint="default" w:ascii="Times New Roman" w:hAnsi="Times New Roman" w:eastAsia="仿宋_GB2312" w:cs="Times New Roman"/>
          <w:color w:val="auto"/>
          <w:sz w:val="24"/>
          <w:szCs w:val="24"/>
          <w:highlight w:val="none"/>
        </w:rPr>
      </w:pPr>
      <w:r>
        <w:rPr>
          <w:rFonts w:hint="default" w:ascii="Times New Roman" w:hAnsi="Times New Roman" w:eastAsia="仿宋_GB2312" w:cs="Times New Roman"/>
          <w:color w:val="auto"/>
          <w:sz w:val="24"/>
          <w:szCs w:val="24"/>
          <w:highlight w:val="none"/>
        </w:rPr>
        <w:t>（1）货物的现场移动、安装、调试、启动监督及技术支持；</w:t>
      </w:r>
    </w:p>
    <w:p w14:paraId="0C2EE4C1">
      <w:pPr>
        <w:autoSpaceDE w:val="0"/>
        <w:autoSpaceDN w:val="0"/>
        <w:adjustRightInd w:val="0"/>
        <w:snapToGrid w:val="0"/>
        <w:spacing w:before="0" w:line="400" w:lineRule="exact"/>
        <w:ind w:firstLine="480" w:firstLineChars="200"/>
        <w:jc w:val="left"/>
        <w:rPr>
          <w:rFonts w:hint="default" w:ascii="Times New Roman" w:hAnsi="Times New Roman" w:eastAsia="仿宋_GB2312" w:cs="Times New Roman"/>
          <w:color w:val="auto"/>
          <w:sz w:val="24"/>
          <w:szCs w:val="24"/>
          <w:highlight w:val="none"/>
        </w:rPr>
      </w:pPr>
      <w:r>
        <w:rPr>
          <w:rFonts w:hint="default" w:ascii="Times New Roman" w:hAnsi="Times New Roman" w:eastAsia="仿宋_GB2312" w:cs="Times New Roman"/>
          <w:color w:val="auto"/>
          <w:sz w:val="24"/>
          <w:szCs w:val="24"/>
          <w:highlight w:val="none"/>
        </w:rPr>
        <w:t>（2）提供货物组装和维修所需的专用工具和辅助材料；</w:t>
      </w:r>
    </w:p>
    <w:p w14:paraId="105ADF46">
      <w:pPr>
        <w:autoSpaceDE w:val="0"/>
        <w:autoSpaceDN w:val="0"/>
        <w:adjustRightInd w:val="0"/>
        <w:snapToGrid w:val="0"/>
        <w:spacing w:before="0" w:line="400" w:lineRule="exact"/>
        <w:ind w:firstLine="480" w:firstLineChars="200"/>
        <w:jc w:val="left"/>
        <w:rPr>
          <w:rFonts w:hint="default" w:ascii="Times New Roman" w:hAnsi="Times New Roman" w:eastAsia="仿宋_GB2312" w:cs="Times New Roman"/>
          <w:color w:val="auto"/>
          <w:sz w:val="24"/>
          <w:szCs w:val="24"/>
          <w:highlight w:val="none"/>
        </w:rPr>
      </w:pPr>
      <w:r>
        <w:rPr>
          <w:rFonts w:hint="default" w:ascii="Times New Roman" w:hAnsi="Times New Roman" w:eastAsia="仿宋_GB2312" w:cs="Times New Roman"/>
          <w:color w:val="auto"/>
          <w:sz w:val="24"/>
          <w:szCs w:val="24"/>
          <w:highlight w:val="none"/>
        </w:rPr>
        <w:t>（3）在</w:t>
      </w:r>
      <w:r>
        <w:rPr>
          <w:rFonts w:hint="default" w:ascii="Times New Roman" w:hAnsi="Times New Roman" w:eastAsia="仿宋_GB2312" w:cs="Times New Roman"/>
          <w:b/>
          <w:bCs/>
          <w:color w:val="auto"/>
          <w:sz w:val="24"/>
          <w:szCs w:val="24"/>
          <w:highlight w:val="none"/>
        </w:rPr>
        <w:t>【政府采购合同专用条款】</w:t>
      </w:r>
      <w:r>
        <w:rPr>
          <w:rFonts w:hint="default" w:ascii="Times New Roman" w:hAnsi="Times New Roman" w:eastAsia="仿宋_GB2312" w:cs="Times New Roman"/>
          <w:color w:val="auto"/>
          <w:sz w:val="24"/>
          <w:szCs w:val="24"/>
          <w:highlight w:val="none"/>
          <w:lang w:eastAsia="zh-CN"/>
        </w:rPr>
        <w:t>约定</w:t>
      </w:r>
      <w:r>
        <w:rPr>
          <w:rFonts w:hint="default" w:ascii="Times New Roman" w:hAnsi="Times New Roman" w:eastAsia="仿宋_GB2312" w:cs="Times New Roman"/>
          <w:color w:val="auto"/>
          <w:sz w:val="24"/>
          <w:szCs w:val="24"/>
          <w:highlight w:val="none"/>
        </w:rPr>
        <w:t>的期限内对所有的货物实施运行监督、维修，但前提条件是该服务并不能免除乙方在质量保证期内所承担的义务；</w:t>
      </w:r>
    </w:p>
    <w:p w14:paraId="61404379">
      <w:pPr>
        <w:autoSpaceDE w:val="0"/>
        <w:autoSpaceDN w:val="0"/>
        <w:adjustRightInd w:val="0"/>
        <w:snapToGrid w:val="0"/>
        <w:spacing w:before="0" w:line="400" w:lineRule="exact"/>
        <w:ind w:firstLine="480" w:firstLineChars="200"/>
        <w:jc w:val="left"/>
        <w:rPr>
          <w:rFonts w:hint="default" w:ascii="Times New Roman" w:hAnsi="Times New Roman" w:eastAsia="仿宋_GB2312" w:cs="Times New Roman"/>
          <w:color w:val="auto"/>
          <w:sz w:val="24"/>
          <w:szCs w:val="24"/>
          <w:highlight w:val="none"/>
        </w:rPr>
      </w:pPr>
      <w:r>
        <w:rPr>
          <w:rFonts w:hint="default" w:ascii="Times New Roman" w:hAnsi="Times New Roman" w:eastAsia="仿宋_GB2312" w:cs="Times New Roman"/>
          <w:color w:val="auto"/>
          <w:sz w:val="24"/>
          <w:szCs w:val="24"/>
          <w:highlight w:val="none"/>
        </w:rPr>
        <w:t>（4）在制造商</w:t>
      </w:r>
      <w:r>
        <w:rPr>
          <w:rFonts w:hint="default" w:ascii="Times New Roman" w:hAnsi="Times New Roman" w:eastAsia="仿宋_GB2312" w:cs="Times New Roman"/>
          <w:color w:val="auto"/>
          <w:sz w:val="24"/>
          <w:szCs w:val="24"/>
          <w:highlight w:val="none"/>
          <w:lang w:eastAsia="zh-CN"/>
        </w:rPr>
        <w:t>所在地</w:t>
      </w:r>
      <w:r>
        <w:rPr>
          <w:rFonts w:hint="default" w:ascii="Times New Roman" w:hAnsi="Times New Roman" w:eastAsia="仿宋_GB2312" w:cs="Times New Roman"/>
          <w:color w:val="auto"/>
          <w:sz w:val="24"/>
          <w:szCs w:val="24"/>
          <w:highlight w:val="none"/>
        </w:rPr>
        <w:t>或</w:t>
      </w:r>
      <w:r>
        <w:rPr>
          <w:rFonts w:hint="default" w:ascii="Times New Roman" w:hAnsi="Times New Roman" w:eastAsia="仿宋_GB2312" w:cs="Times New Roman"/>
          <w:color w:val="auto"/>
          <w:sz w:val="24"/>
          <w:szCs w:val="24"/>
          <w:highlight w:val="none"/>
          <w:lang w:eastAsia="zh-CN"/>
        </w:rPr>
        <w:t>指定</w:t>
      </w:r>
      <w:r>
        <w:rPr>
          <w:rFonts w:hint="default" w:ascii="Times New Roman" w:hAnsi="Times New Roman" w:eastAsia="仿宋_GB2312" w:cs="Times New Roman"/>
          <w:color w:val="auto"/>
          <w:sz w:val="24"/>
          <w:szCs w:val="24"/>
          <w:highlight w:val="none"/>
        </w:rPr>
        <w:t>现场就货物的安装、启动、运营、维护</w:t>
      </w:r>
      <w:r>
        <w:rPr>
          <w:rFonts w:hint="default" w:ascii="Times New Roman" w:hAnsi="Times New Roman" w:eastAsia="仿宋_GB2312" w:cs="Times New Roman"/>
          <w:color w:val="auto"/>
          <w:sz w:val="24"/>
          <w:szCs w:val="24"/>
          <w:highlight w:val="none"/>
          <w:lang w:eastAsia="zh-CN"/>
        </w:rPr>
        <w:t>、废弃处置等</w:t>
      </w:r>
      <w:r>
        <w:rPr>
          <w:rFonts w:hint="default" w:ascii="Times New Roman" w:hAnsi="Times New Roman" w:eastAsia="仿宋_GB2312" w:cs="Times New Roman"/>
          <w:color w:val="auto"/>
          <w:sz w:val="24"/>
          <w:szCs w:val="24"/>
          <w:highlight w:val="none"/>
        </w:rPr>
        <w:t>对甲方操作人员进行培训</w:t>
      </w:r>
      <w:r>
        <w:rPr>
          <w:rFonts w:hint="default" w:ascii="Times New Roman" w:hAnsi="Times New Roman" w:eastAsia="仿宋_GB2312" w:cs="Times New Roman"/>
          <w:color w:val="auto"/>
          <w:sz w:val="24"/>
          <w:szCs w:val="24"/>
          <w:highlight w:val="none"/>
          <w:lang w:eastAsia="zh-CN"/>
        </w:rPr>
        <w:t>；</w:t>
      </w:r>
    </w:p>
    <w:p w14:paraId="13852304">
      <w:pPr>
        <w:pStyle w:val="45"/>
        <w:rPr>
          <w:rFonts w:hint="default" w:ascii="Times New Roman" w:hAnsi="Times New Roman" w:eastAsia="仿宋_GB2312" w:cs="Times New Roman"/>
          <w:color w:val="auto"/>
          <w:sz w:val="24"/>
          <w:szCs w:val="24"/>
          <w:highlight w:val="none"/>
        </w:rPr>
      </w:pPr>
      <w:r>
        <w:rPr>
          <w:rFonts w:hint="default" w:ascii="Times New Roman" w:hAnsi="Times New Roman" w:eastAsia="仿宋_GB2312" w:cs="Times New Roman"/>
          <w:color w:val="auto"/>
          <w:sz w:val="24"/>
          <w:szCs w:val="24"/>
          <w:highlight w:val="none"/>
        </w:rPr>
        <w:t>（5）依照法律、行政法规的规定或者按照</w:t>
      </w:r>
      <w:r>
        <w:rPr>
          <w:rFonts w:hint="default" w:ascii="Times New Roman" w:hAnsi="Times New Roman" w:eastAsia="仿宋_GB2312" w:cs="Times New Roman"/>
          <w:b/>
          <w:bCs/>
          <w:color w:val="auto"/>
          <w:sz w:val="24"/>
          <w:szCs w:val="24"/>
          <w:highlight w:val="none"/>
        </w:rPr>
        <w:t>【政府采购合同专用条款】</w:t>
      </w:r>
      <w:r>
        <w:rPr>
          <w:rFonts w:hint="default" w:ascii="Times New Roman" w:hAnsi="Times New Roman" w:eastAsia="仿宋_GB2312" w:cs="Times New Roman"/>
          <w:color w:val="auto"/>
          <w:sz w:val="24"/>
          <w:szCs w:val="24"/>
          <w:highlight w:val="none"/>
        </w:rPr>
        <w:t>约定，货物在有效使用年限届满后应予回收的，乙方负有自行或者委托第三人对货物予以回收的义务；</w:t>
      </w:r>
    </w:p>
    <w:p w14:paraId="0C21F448">
      <w:pPr>
        <w:autoSpaceDE w:val="0"/>
        <w:autoSpaceDN w:val="0"/>
        <w:adjustRightInd w:val="0"/>
        <w:snapToGrid w:val="0"/>
        <w:spacing w:before="0" w:line="400" w:lineRule="exact"/>
        <w:ind w:firstLine="480" w:firstLineChars="200"/>
        <w:jc w:val="left"/>
        <w:rPr>
          <w:rFonts w:hint="default" w:ascii="Times New Roman" w:hAnsi="Times New Roman" w:eastAsia="仿宋_GB2312" w:cs="Times New Roman"/>
          <w:color w:val="auto"/>
          <w:sz w:val="24"/>
          <w:szCs w:val="24"/>
          <w:highlight w:val="none"/>
        </w:rPr>
      </w:pPr>
      <w:r>
        <w:rPr>
          <w:rFonts w:hint="default" w:ascii="Times New Roman" w:hAnsi="Times New Roman" w:eastAsia="仿宋_GB2312" w:cs="Times New Roman"/>
          <w:color w:val="auto"/>
          <w:sz w:val="24"/>
          <w:szCs w:val="24"/>
          <w:highlight w:val="none"/>
        </w:rPr>
        <w:t>（</w:t>
      </w:r>
      <w:r>
        <w:rPr>
          <w:rFonts w:hint="default" w:ascii="Times New Roman" w:hAnsi="Times New Roman" w:eastAsia="仿宋_GB2312" w:cs="Times New Roman"/>
          <w:color w:val="auto"/>
          <w:sz w:val="24"/>
          <w:szCs w:val="24"/>
          <w:highlight w:val="none"/>
          <w:lang w:val="en-US" w:eastAsia="zh-CN"/>
        </w:rPr>
        <w:t>6</w:t>
      </w:r>
      <w:r>
        <w:rPr>
          <w:rFonts w:hint="default" w:ascii="Times New Roman" w:hAnsi="Times New Roman" w:eastAsia="仿宋_GB2312" w:cs="Times New Roman"/>
          <w:color w:val="auto"/>
          <w:sz w:val="24"/>
          <w:szCs w:val="24"/>
          <w:highlight w:val="none"/>
        </w:rPr>
        <w:t>）</w:t>
      </w:r>
      <w:r>
        <w:rPr>
          <w:rFonts w:hint="default" w:ascii="Times New Roman" w:hAnsi="Times New Roman" w:eastAsia="仿宋_GB2312" w:cs="Times New Roman"/>
          <w:b/>
          <w:color w:val="auto"/>
          <w:sz w:val="24"/>
          <w:szCs w:val="24"/>
          <w:highlight w:val="none"/>
        </w:rPr>
        <w:t>【政府采购合同专用条款】</w:t>
      </w:r>
      <w:r>
        <w:rPr>
          <w:rFonts w:hint="default" w:ascii="Times New Roman" w:hAnsi="Times New Roman" w:eastAsia="仿宋_GB2312" w:cs="Times New Roman"/>
          <w:color w:val="auto"/>
          <w:sz w:val="24"/>
          <w:szCs w:val="24"/>
          <w:highlight w:val="none"/>
        </w:rPr>
        <w:t>规定由乙方提供的其他服务。</w:t>
      </w:r>
    </w:p>
    <w:p w14:paraId="6BCC17A7">
      <w:pPr>
        <w:autoSpaceDE w:val="0"/>
        <w:autoSpaceDN w:val="0"/>
        <w:adjustRightInd w:val="0"/>
        <w:snapToGrid w:val="0"/>
        <w:spacing w:before="0" w:line="400" w:lineRule="exact"/>
        <w:ind w:firstLine="480" w:firstLineChars="200"/>
        <w:jc w:val="left"/>
        <w:rPr>
          <w:rFonts w:hint="default" w:ascii="Times New Roman" w:hAnsi="Times New Roman" w:eastAsia="仿宋_GB2312" w:cs="Times New Roman"/>
          <w:color w:val="auto"/>
          <w:sz w:val="24"/>
          <w:szCs w:val="24"/>
          <w:highlight w:val="none"/>
        </w:rPr>
      </w:pPr>
      <w:r>
        <w:rPr>
          <w:rFonts w:hint="eastAsia" w:ascii="Times New Roman" w:hAnsi="Times New Roman" w:eastAsia="仿宋_GB2312" w:cs="Times New Roman"/>
          <w:color w:val="auto"/>
          <w:sz w:val="24"/>
          <w:szCs w:val="24"/>
          <w:highlight w:val="none"/>
          <w:lang w:eastAsia="zh-CN"/>
        </w:rPr>
        <w:t>13</w:t>
      </w:r>
      <w:r>
        <w:rPr>
          <w:rFonts w:hint="default" w:ascii="Times New Roman" w:hAnsi="Times New Roman" w:eastAsia="仿宋_GB2312" w:cs="Times New Roman"/>
          <w:color w:val="auto"/>
          <w:sz w:val="24"/>
          <w:szCs w:val="24"/>
          <w:highlight w:val="none"/>
        </w:rPr>
        <w:t>.2 乙方提供的</w:t>
      </w:r>
      <w:r>
        <w:rPr>
          <w:rFonts w:hint="default" w:ascii="Times New Roman" w:hAnsi="Times New Roman" w:eastAsia="仿宋_GB2312" w:cs="Times New Roman"/>
          <w:color w:val="auto"/>
          <w:sz w:val="24"/>
          <w:szCs w:val="24"/>
          <w:highlight w:val="none"/>
          <w:lang w:eastAsia="zh-CN"/>
        </w:rPr>
        <w:t>售后</w:t>
      </w:r>
      <w:r>
        <w:rPr>
          <w:rFonts w:hint="default" w:ascii="Times New Roman" w:hAnsi="Times New Roman" w:eastAsia="仿宋_GB2312" w:cs="Times New Roman"/>
          <w:color w:val="auto"/>
          <w:sz w:val="24"/>
          <w:szCs w:val="24"/>
          <w:highlight w:val="none"/>
        </w:rPr>
        <w:t>服务的费用</w:t>
      </w:r>
      <w:r>
        <w:rPr>
          <w:rFonts w:hint="default" w:ascii="Times New Roman" w:hAnsi="Times New Roman" w:eastAsia="仿宋_GB2312" w:cs="Times New Roman"/>
          <w:color w:val="auto"/>
          <w:sz w:val="24"/>
          <w:szCs w:val="24"/>
          <w:highlight w:val="none"/>
          <w:lang w:val="en-US" w:eastAsia="zh-CN"/>
        </w:rPr>
        <w:t>已</w:t>
      </w:r>
      <w:r>
        <w:rPr>
          <w:rFonts w:hint="default" w:ascii="Times New Roman" w:hAnsi="Times New Roman" w:eastAsia="仿宋_GB2312" w:cs="Times New Roman"/>
          <w:color w:val="auto"/>
          <w:sz w:val="24"/>
          <w:szCs w:val="24"/>
          <w:highlight w:val="none"/>
        </w:rPr>
        <w:t>包含在合同价款中，甲方不再另行支付。</w:t>
      </w:r>
    </w:p>
    <w:p w14:paraId="590C2DDF">
      <w:pPr>
        <w:adjustRightInd w:val="0"/>
        <w:snapToGrid w:val="0"/>
        <w:spacing w:before="0" w:line="400" w:lineRule="exact"/>
        <w:jc w:val="left"/>
        <w:rPr>
          <w:rFonts w:hint="default" w:ascii="Times New Roman" w:hAnsi="Times New Roman" w:eastAsia="仿宋_GB2312" w:cs="Times New Roman"/>
          <w:b/>
          <w:bCs/>
          <w:color w:val="auto"/>
          <w:sz w:val="24"/>
          <w:szCs w:val="24"/>
          <w:highlight w:val="none"/>
        </w:rPr>
      </w:pPr>
      <w:r>
        <w:rPr>
          <w:rFonts w:hint="default" w:ascii="Times New Roman" w:hAnsi="Times New Roman" w:eastAsia="仿宋_GB2312" w:cs="Times New Roman"/>
          <w:b/>
          <w:bCs/>
          <w:color w:val="auto"/>
          <w:sz w:val="24"/>
          <w:szCs w:val="24"/>
          <w:highlight w:val="none"/>
        </w:rPr>
        <w:t>1</w:t>
      </w:r>
      <w:r>
        <w:rPr>
          <w:rFonts w:hint="default" w:ascii="Times New Roman" w:hAnsi="Times New Roman" w:eastAsia="仿宋_GB2312" w:cs="Times New Roman"/>
          <w:b/>
          <w:bCs/>
          <w:color w:val="auto"/>
          <w:sz w:val="24"/>
          <w:szCs w:val="24"/>
          <w:highlight w:val="none"/>
          <w:lang w:eastAsia="zh-CN"/>
        </w:rPr>
        <w:t>5</w:t>
      </w:r>
      <w:r>
        <w:rPr>
          <w:rFonts w:hint="default" w:ascii="Times New Roman" w:hAnsi="Times New Roman" w:eastAsia="仿宋_GB2312" w:cs="Times New Roman"/>
          <w:b/>
          <w:bCs/>
          <w:color w:val="auto"/>
          <w:sz w:val="24"/>
          <w:szCs w:val="24"/>
          <w:highlight w:val="none"/>
        </w:rPr>
        <w:t>.</w:t>
      </w:r>
      <w:r>
        <w:rPr>
          <w:rFonts w:hint="default" w:ascii="Times New Roman" w:hAnsi="Times New Roman" w:eastAsia="仿宋_GB2312" w:cs="Times New Roman"/>
          <w:b/>
          <w:bCs/>
          <w:color w:val="auto"/>
          <w:sz w:val="24"/>
          <w:szCs w:val="24"/>
          <w:highlight w:val="none"/>
          <w:lang w:val="en-US" w:eastAsia="zh-CN"/>
        </w:rPr>
        <w:t xml:space="preserve"> </w:t>
      </w:r>
      <w:r>
        <w:rPr>
          <w:rFonts w:hint="default" w:ascii="Times New Roman" w:hAnsi="Times New Roman" w:eastAsia="仿宋_GB2312" w:cs="Times New Roman"/>
          <w:b/>
          <w:bCs/>
          <w:color w:val="auto"/>
          <w:sz w:val="24"/>
          <w:szCs w:val="24"/>
          <w:highlight w:val="none"/>
        </w:rPr>
        <w:t>违约责任</w:t>
      </w:r>
    </w:p>
    <w:p w14:paraId="74322C0F">
      <w:pPr>
        <w:adjustRightInd w:val="0"/>
        <w:snapToGrid w:val="0"/>
        <w:spacing w:before="0" w:line="400" w:lineRule="exact"/>
        <w:ind w:firstLine="480" w:firstLineChars="200"/>
        <w:jc w:val="left"/>
        <w:rPr>
          <w:rFonts w:hint="default" w:ascii="Times New Roman" w:hAnsi="Times New Roman" w:eastAsia="仿宋_GB2312" w:cs="Times New Roman"/>
          <w:bCs/>
          <w:color w:val="auto"/>
          <w:sz w:val="24"/>
          <w:szCs w:val="24"/>
          <w:highlight w:val="none"/>
        </w:rPr>
      </w:pPr>
      <w:r>
        <w:rPr>
          <w:rFonts w:hint="default" w:ascii="Times New Roman" w:hAnsi="Times New Roman" w:eastAsia="仿宋_GB2312" w:cs="Times New Roman"/>
          <w:bCs/>
          <w:color w:val="auto"/>
          <w:sz w:val="24"/>
          <w:szCs w:val="24"/>
          <w:highlight w:val="none"/>
        </w:rPr>
        <w:t>1</w:t>
      </w:r>
      <w:r>
        <w:rPr>
          <w:rFonts w:hint="default" w:ascii="Times New Roman" w:hAnsi="Times New Roman" w:eastAsia="仿宋_GB2312" w:cs="Times New Roman"/>
          <w:bCs/>
          <w:color w:val="auto"/>
          <w:sz w:val="24"/>
          <w:szCs w:val="24"/>
          <w:highlight w:val="none"/>
          <w:lang w:eastAsia="zh-CN"/>
        </w:rPr>
        <w:t>5</w:t>
      </w:r>
      <w:r>
        <w:rPr>
          <w:rFonts w:hint="default" w:ascii="Times New Roman" w:hAnsi="Times New Roman" w:eastAsia="仿宋_GB2312" w:cs="Times New Roman"/>
          <w:bCs/>
          <w:color w:val="auto"/>
          <w:sz w:val="24"/>
          <w:szCs w:val="24"/>
          <w:highlight w:val="none"/>
        </w:rPr>
        <w:t>.1质量瑕疵的</w:t>
      </w:r>
      <w:r>
        <w:rPr>
          <w:rFonts w:hint="default" w:ascii="Times New Roman" w:hAnsi="Times New Roman" w:eastAsia="仿宋_GB2312" w:cs="Times New Roman"/>
          <w:bCs/>
          <w:color w:val="auto"/>
          <w:sz w:val="24"/>
          <w:szCs w:val="24"/>
          <w:highlight w:val="none"/>
          <w:lang w:eastAsia="zh-CN"/>
        </w:rPr>
        <w:t>违约责任</w:t>
      </w:r>
    </w:p>
    <w:p w14:paraId="4EDAFFBC">
      <w:pPr>
        <w:autoSpaceDE w:val="0"/>
        <w:autoSpaceDN w:val="0"/>
        <w:adjustRightInd w:val="0"/>
        <w:snapToGrid w:val="0"/>
        <w:spacing w:before="0" w:line="400" w:lineRule="exact"/>
        <w:ind w:firstLine="480" w:firstLineChars="200"/>
        <w:jc w:val="left"/>
        <w:rPr>
          <w:rFonts w:hint="default" w:ascii="Times New Roman" w:hAnsi="Times New Roman" w:eastAsia="仿宋_GB2312" w:cs="Times New Roman"/>
          <w:color w:val="auto"/>
          <w:sz w:val="24"/>
          <w:szCs w:val="24"/>
          <w:highlight w:val="none"/>
        </w:rPr>
      </w:pPr>
      <w:r>
        <w:rPr>
          <w:rFonts w:hint="default" w:ascii="Times New Roman" w:hAnsi="Times New Roman" w:eastAsia="仿宋_GB2312" w:cs="Times New Roman"/>
          <w:color w:val="auto"/>
          <w:sz w:val="24"/>
          <w:szCs w:val="24"/>
          <w:highlight w:val="none"/>
        </w:rPr>
        <w:t>乙方</w:t>
      </w:r>
      <w:r>
        <w:rPr>
          <w:rFonts w:hint="default" w:ascii="Times New Roman" w:hAnsi="Times New Roman" w:eastAsia="仿宋_GB2312" w:cs="Times New Roman"/>
          <w:color w:val="auto"/>
          <w:sz w:val="24"/>
          <w:szCs w:val="24"/>
          <w:highlight w:val="none"/>
          <w:lang w:eastAsia="zh-CN"/>
        </w:rPr>
        <w:t>提供</w:t>
      </w:r>
      <w:r>
        <w:rPr>
          <w:rFonts w:hint="default" w:ascii="Times New Roman" w:hAnsi="Times New Roman" w:eastAsia="仿宋_GB2312" w:cs="Times New Roman"/>
          <w:color w:val="auto"/>
          <w:sz w:val="24"/>
          <w:szCs w:val="24"/>
          <w:highlight w:val="none"/>
        </w:rPr>
        <w:t>的产品不符合</w:t>
      </w:r>
      <w:r>
        <w:rPr>
          <w:rFonts w:hint="default" w:ascii="Times New Roman" w:hAnsi="Times New Roman" w:eastAsia="仿宋_GB2312" w:cs="Times New Roman"/>
          <w:color w:val="auto"/>
          <w:sz w:val="24"/>
          <w:szCs w:val="24"/>
          <w:highlight w:val="none"/>
          <w:lang w:eastAsia="zh-CN"/>
        </w:rPr>
        <w:t>合同约定的</w:t>
      </w:r>
      <w:r>
        <w:rPr>
          <w:rFonts w:hint="default" w:ascii="Times New Roman" w:hAnsi="Times New Roman" w:eastAsia="仿宋_GB2312" w:cs="Times New Roman"/>
          <w:color w:val="auto"/>
          <w:sz w:val="24"/>
          <w:szCs w:val="24"/>
          <w:highlight w:val="none"/>
        </w:rPr>
        <w:t>质量标准或存在产品质量缺陷，</w:t>
      </w:r>
      <w:r>
        <w:rPr>
          <w:rFonts w:hint="default" w:ascii="Times New Roman" w:hAnsi="Times New Roman" w:eastAsia="仿宋_GB2312" w:cs="Times New Roman"/>
          <w:color w:val="auto"/>
          <w:sz w:val="24"/>
          <w:szCs w:val="24"/>
          <w:highlight w:val="none"/>
          <w:lang w:eastAsia="zh-CN"/>
        </w:rPr>
        <w:t>甲方有权要求乙方根据</w:t>
      </w:r>
      <w:r>
        <w:rPr>
          <w:rFonts w:hint="default" w:ascii="Times New Roman" w:hAnsi="Times New Roman" w:eastAsia="仿宋_GB2312" w:cs="Times New Roman"/>
          <w:b/>
          <w:color w:val="auto"/>
          <w:sz w:val="24"/>
          <w:szCs w:val="24"/>
          <w:highlight w:val="none"/>
        </w:rPr>
        <w:t>【政府采购合同专用条款】</w:t>
      </w:r>
      <w:r>
        <w:rPr>
          <w:rFonts w:hint="default" w:ascii="Times New Roman" w:hAnsi="Times New Roman" w:eastAsia="仿宋_GB2312" w:cs="Times New Roman"/>
          <w:b w:val="0"/>
          <w:bCs/>
          <w:color w:val="auto"/>
          <w:sz w:val="24"/>
          <w:szCs w:val="24"/>
          <w:highlight w:val="none"/>
          <w:lang w:eastAsia="zh-CN"/>
        </w:rPr>
        <w:t>要求</w:t>
      </w:r>
      <w:r>
        <w:rPr>
          <w:rFonts w:hint="default" w:ascii="Times New Roman" w:hAnsi="Times New Roman" w:eastAsia="仿宋_GB2312" w:cs="Times New Roman"/>
          <w:color w:val="auto"/>
          <w:sz w:val="24"/>
          <w:szCs w:val="24"/>
          <w:highlight w:val="none"/>
          <w:lang w:eastAsia="zh-CN"/>
        </w:rPr>
        <w:t>及时修理、重作、更换，并承担由此给甲</w:t>
      </w:r>
      <w:r>
        <w:rPr>
          <w:rFonts w:hint="default" w:ascii="Times New Roman" w:hAnsi="Times New Roman" w:eastAsia="仿宋_GB2312" w:cs="Times New Roman"/>
          <w:color w:val="auto"/>
          <w:sz w:val="24"/>
          <w:szCs w:val="24"/>
          <w:highlight w:val="none"/>
        </w:rPr>
        <w:t>方</w:t>
      </w:r>
      <w:r>
        <w:rPr>
          <w:rFonts w:hint="default" w:ascii="Times New Roman" w:hAnsi="Times New Roman" w:eastAsia="仿宋_GB2312" w:cs="Times New Roman"/>
          <w:color w:val="auto"/>
          <w:sz w:val="24"/>
          <w:szCs w:val="24"/>
          <w:highlight w:val="none"/>
          <w:lang w:eastAsia="zh-CN"/>
        </w:rPr>
        <w:t>造成的损失</w:t>
      </w:r>
      <w:r>
        <w:rPr>
          <w:rFonts w:hint="default" w:ascii="Times New Roman" w:hAnsi="Times New Roman" w:eastAsia="仿宋_GB2312" w:cs="Times New Roman"/>
          <w:color w:val="auto"/>
          <w:sz w:val="24"/>
          <w:szCs w:val="24"/>
          <w:highlight w:val="none"/>
        </w:rPr>
        <w:t>。</w:t>
      </w:r>
    </w:p>
    <w:p w14:paraId="72B3168B">
      <w:pPr>
        <w:autoSpaceDE w:val="0"/>
        <w:autoSpaceDN w:val="0"/>
        <w:adjustRightInd w:val="0"/>
        <w:snapToGrid w:val="0"/>
        <w:spacing w:before="0" w:line="400" w:lineRule="exact"/>
        <w:ind w:firstLine="480" w:firstLineChars="200"/>
        <w:jc w:val="left"/>
        <w:rPr>
          <w:rFonts w:hint="default" w:ascii="Times New Roman" w:hAnsi="Times New Roman" w:eastAsia="仿宋_GB2312" w:cs="Times New Roman"/>
          <w:bCs/>
          <w:color w:val="auto"/>
          <w:sz w:val="24"/>
          <w:szCs w:val="24"/>
          <w:highlight w:val="none"/>
        </w:rPr>
      </w:pPr>
      <w:r>
        <w:rPr>
          <w:rFonts w:hint="default" w:ascii="Times New Roman" w:hAnsi="Times New Roman" w:eastAsia="仿宋_GB2312" w:cs="Times New Roman"/>
          <w:bCs/>
          <w:color w:val="auto"/>
          <w:sz w:val="24"/>
          <w:szCs w:val="24"/>
          <w:highlight w:val="none"/>
        </w:rPr>
        <w:t>1</w:t>
      </w:r>
      <w:r>
        <w:rPr>
          <w:rFonts w:hint="default" w:ascii="Times New Roman" w:hAnsi="Times New Roman" w:eastAsia="仿宋_GB2312" w:cs="Times New Roman"/>
          <w:bCs/>
          <w:color w:val="auto"/>
          <w:sz w:val="24"/>
          <w:szCs w:val="24"/>
          <w:highlight w:val="none"/>
          <w:lang w:eastAsia="zh-CN"/>
        </w:rPr>
        <w:t>5</w:t>
      </w:r>
      <w:r>
        <w:rPr>
          <w:rFonts w:hint="default" w:ascii="Times New Roman" w:hAnsi="Times New Roman" w:eastAsia="仿宋_GB2312" w:cs="Times New Roman"/>
          <w:bCs/>
          <w:color w:val="auto"/>
          <w:sz w:val="24"/>
          <w:szCs w:val="24"/>
          <w:highlight w:val="none"/>
        </w:rPr>
        <w:t>.2 迟延交货的违约责任</w:t>
      </w:r>
    </w:p>
    <w:p w14:paraId="3A5708EE">
      <w:pPr>
        <w:autoSpaceDE w:val="0"/>
        <w:autoSpaceDN w:val="0"/>
        <w:adjustRightInd w:val="0"/>
        <w:snapToGrid w:val="0"/>
        <w:spacing w:before="0" w:line="400" w:lineRule="exact"/>
        <w:ind w:firstLine="480" w:firstLineChars="200"/>
        <w:jc w:val="left"/>
        <w:rPr>
          <w:rFonts w:hint="default" w:ascii="Times New Roman" w:hAnsi="Times New Roman" w:eastAsia="仿宋_GB2312" w:cs="Times New Roman"/>
          <w:color w:val="auto"/>
          <w:sz w:val="24"/>
          <w:szCs w:val="24"/>
          <w:highlight w:val="none"/>
        </w:rPr>
      </w:pPr>
      <w:r>
        <w:rPr>
          <w:rFonts w:hint="default" w:ascii="Times New Roman" w:hAnsi="Times New Roman" w:eastAsia="仿宋_GB2312" w:cs="Times New Roman"/>
          <w:color w:val="auto"/>
          <w:sz w:val="24"/>
          <w:szCs w:val="24"/>
          <w:highlight w:val="none"/>
        </w:rPr>
        <w:t>（1）乙方应按照本合同规定的时间、地点交货和提供</w:t>
      </w:r>
      <w:r>
        <w:rPr>
          <w:rFonts w:hint="default" w:ascii="Times New Roman" w:hAnsi="Times New Roman" w:eastAsia="仿宋_GB2312" w:cs="Times New Roman"/>
          <w:color w:val="auto"/>
          <w:sz w:val="24"/>
          <w:szCs w:val="24"/>
          <w:highlight w:val="none"/>
          <w:lang w:eastAsia="zh-CN"/>
        </w:rPr>
        <w:t>相关</w:t>
      </w:r>
      <w:r>
        <w:rPr>
          <w:rFonts w:hint="default" w:ascii="Times New Roman" w:hAnsi="Times New Roman" w:eastAsia="仿宋_GB2312" w:cs="Times New Roman"/>
          <w:color w:val="auto"/>
          <w:sz w:val="24"/>
          <w:szCs w:val="24"/>
          <w:highlight w:val="none"/>
        </w:rPr>
        <w:t>服务。在履行合同过程中，如果乙方遇到可能</w:t>
      </w:r>
      <w:r>
        <w:rPr>
          <w:rFonts w:hint="default" w:ascii="Times New Roman" w:hAnsi="Times New Roman" w:eastAsia="仿宋_GB2312" w:cs="Times New Roman"/>
          <w:color w:val="auto"/>
          <w:sz w:val="24"/>
          <w:szCs w:val="24"/>
          <w:highlight w:val="none"/>
          <w:lang w:eastAsia="zh-CN"/>
        </w:rPr>
        <w:t>影响</w:t>
      </w:r>
      <w:r>
        <w:rPr>
          <w:rFonts w:hint="default" w:ascii="Times New Roman" w:hAnsi="Times New Roman" w:eastAsia="仿宋_GB2312" w:cs="Times New Roman"/>
          <w:color w:val="auto"/>
          <w:sz w:val="24"/>
          <w:szCs w:val="24"/>
          <w:highlight w:val="none"/>
        </w:rPr>
        <w:t>按时交货和提供服务的情形时，应及时以书面形式将迟延的事实、可能迟延的期限和理由通知甲方。甲方在收到乙方通知后，应尽快对情况进行评价，并确定是否同意延</w:t>
      </w:r>
      <w:r>
        <w:rPr>
          <w:rFonts w:hint="default" w:ascii="Times New Roman" w:hAnsi="Times New Roman" w:eastAsia="仿宋_GB2312" w:cs="Times New Roman"/>
          <w:color w:val="auto"/>
          <w:sz w:val="24"/>
          <w:szCs w:val="24"/>
          <w:highlight w:val="none"/>
          <w:lang w:eastAsia="zh-CN"/>
        </w:rPr>
        <w:t>长</w:t>
      </w:r>
      <w:r>
        <w:rPr>
          <w:rFonts w:hint="default" w:ascii="Times New Roman" w:hAnsi="Times New Roman" w:eastAsia="仿宋_GB2312" w:cs="Times New Roman"/>
          <w:color w:val="auto"/>
          <w:sz w:val="24"/>
          <w:szCs w:val="24"/>
          <w:highlight w:val="none"/>
        </w:rPr>
        <w:t>交货时间或延期提供服务。</w:t>
      </w:r>
    </w:p>
    <w:p w14:paraId="25B3338E">
      <w:pPr>
        <w:autoSpaceDE w:val="0"/>
        <w:autoSpaceDN w:val="0"/>
        <w:adjustRightInd w:val="0"/>
        <w:snapToGrid w:val="0"/>
        <w:spacing w:before="0" w:line="400" w:lineRule="exact"/>
        <w:ind w:firstLine="480" w:firstLineChars="200"/>
        <w:jc w:val="left"/>
        <w:rPr>
          <w:rFonts w:hint="default" w:ascii="Times New Roman" w:hAnsi="Times New Roman" w:eastAsia="仿宋_GB2312" w:cs="Times New Roman"/>
          <w:color w:val="auto"/>
          <w:sz w:val="24"/>
          <w:szCs w:val="24"/>
          <w:highlight w:val="none"/>
          <w:lang w:eastAsia="zh-CN"/>
        </w:rPr>
      </w:pPr>
      <w:r>
        <w:rPr>
          <w:rFonts w:hint="default" w:ascii="Times New Roman" w:hAnsi="Times New Roman" w:eastAsia="仿宋_GB2312" w:cs="Times New Roman"/>
          <w:color w:val="auto"/>
          <w:sz w:val="24"/>
          <w:szCs w:val="24"/>
          <w:highlight w:val="none"/>
        </w:rPr>
        <w:t>（2）如果乙方没有按照合同规定的时间交货和提供</w:t>
      </w:r>
      <w:r>
        <w:rPr>
          <w:rFonts w:hint="default" w:ascii="Times New Roman" w:hAnsi="Times New Roman" w:eastAsia="仿宋_GB2312" w:cs="Times New Roman"/>
          <w:color w:val="auto"/>
          <w:sz w:val="24"/>
          <w:szCs w:val="24"/>
          <w:highlight w:val="none"/>
          <w:lang w:eastAsia="zh-CN"/>
        </w:rPr>
        <w:t>相关</w:t>
      </w:r>
      <w:r>
        <w:rPr>
          <w:rFonts w:hint="default" w:ascii="Times New Roman" w:hAnsi="Times New Roman" w:eastAsia="仿宋_GB2312" w:cs="Times New Roman"/>
          <w:color w:val="auto"/>
          <w:sz w:val="24"/>
          <w:szCs w:val="24"/>
          <w:highlight w:val="none"/>
        </w:rPr>
        <w:t>服务，甲方有权从货款中扣除误期赔偿费而不影响合同项下的其他补救方法，赔偿费按</w:t>
      </w:r>
      <w:r>
        <w:rPr>
          <w:rFonts w:hint="default" w:ascii="Times New Roman" w:hAnsi="Times New Roman" w:eastAsia="仿宋_GB2312" w:cs="Times New Roman"/>
          <w:b/>
          <w:color w:val="auto"/>
          <w:sz w:val="24"/>
          <w:szCs w:val="24"/>
          <w:highlight w:val="none"/>
        </w:rPr>
        <w:t>【政府采购合同专用条款】</w:t>
      </w:r>
      <w:r>
        <w:rPr>
          <w:rFonts w:hint="default" w:ascii="Times New Roman" w:hAnsi="Times New Roman" w:eastAsia="仿宋_GB2312" w:cs="Times New Roman"/>
          <w:color w:val="auto"/>
          <w:sz w:val="24"/>
          <w:szCs w:val="24"/>
          <w:highlight w:val="none"/>
        </w:rPr>
        <w:t>规定执行。如果涉及公共利益，且赔偿金额无法弥补公共利益损失，</w:t>
      </w:r>
      <w:r>
        <w:rPr>
          <w:rFonts w:hint="default" w:ascii="Times New Roman" w:hAnsi="Times New Roman" w:eastAsia="仿宋_GB2312" w:cs="Times New Roman"/>
          <w:color w:val="auto"/>
          <w:sz w:val="24"/>
          <w:szCs w:val="24"/>
          <w:highlight w:val="none"/>
          <w:lang w:eastAsia="zh-CN"/>
        </w:rPr>
        <w:t>甲方</w:t>
      </w:r>
      <w:r>
        <w:rPr>
          <w:rFonts w:hint="default" w:ascii="Times New Roman" w:hAnsi="Times New Roman" w:eastAsia="仿宋_GB2312" w:cs="Times New Roman"/>
          <w:color w:val="auto"/>
          <w:sz w:val="24"/>
          <w:szCs w:val="24"/>
          <w:highlight w:val="none"/>
        </w:rPr>
        <w:t>可要求继续履行或者</w:t>
      </w:r>
      <w:r>
        <w:rPr>
          <w:rFonts w:hint="default" w:ascii="Times New Roman" w:hAnsi="Times New Roman" w:eastAsia="仿宋_GB2312" w:cs="Times New Roman"/>
          <w:color w:val="auto"/>
          <w:sz w:val="24"/>
          <w:szCs w:val="24"/>
          <w:highlight w:val="none"/>
          <w:lang w:eastAsia="zh-CN"/>
        </w:rPr>
        <w:t>采取其他补救措施</w:t>
      </w:r>
      <w:r>
        <w:rPr>
          <w:rFonts w:hint="default" w:ascii="Times New Roman" w:hAnsi="Times New Roman" w:eastAsia="仿宋_GB2312" w:cs="Times New Roman"/>
          <w:color w:val="auto"/>
          <w:sz w:val="24"/>
          <w:szCs w:val="24"/>
          <w:highlight w:val="none"/>
        </w:rPr>
        <w:t>。</w:t>
      </w:r>
    </w:p>
    <w:p w14:paraId="58430F33">
      <w:pPr>
        <w:autoSpaceDE w:val="0"/>
        <w:autoSpaceDN w:val="0"/>
        <w:adjustRightInd w:val="0"/>
        <w:snapToGrid w:val="0"/>
        <w:spacing w:before="0" w:line="400" w:lineRule="exact"/>
        <w:ind w:firstLine="480" w:firstLineChars="200"/>
        <w:jc w:val="left"/>
        <w:rPr>
          <w:rFonts w:hint="default" w:ascii="Times New Roman" w:hAnsi="Times New Roman" w:eastAsia="仿宋_GB2312" w:cs="Times New Roman"/>
          <w:color w:val="auto"/>
          <w:sz w:val="24"/>
          <w:szCs w:val="24"/>
          <w:highlight w:val="none"/>
        </w:rPr>
      </w:pPr>
      <w:r>
        <w:rPr>
          <w:rFonts w:hint="default" w:ascii="Times New Roman" w:hAnsi="Times New Roman" w:eastAsia="仿宋_GB2312" w:cs="Times New Roman"/>
          <w:color w:val="auto"/>
          <w:sz w:val="24"/>
          <w:szCs w:val="24"/>
          <w:highlight w:val="none"/>
        </w:rPr>
        <w:t>1</w:t>
      </w:r>
      <w:r>
        <w:rPr>
          <w:rFonts w:hint="default" w:ascii="Times New Roman" w:hAnsi="Times New Roman" w:eastAsia="仿宋_GB2312" w:cs="Times New Roman"/>
          <w:color w:val="auto"/>
          <w:sz w:val="24"/>
          <w:szCs w:val="24"/>
          <w:highlight w:val="none"/>
          <w:lang w:eastAsia="zh-CN"/>
        </w:rPr>
        <w:t>5</w:t>
      </w:r>
      <w:r>
        <w:rPr>
          <w:rFonts w:hint="default" w:ascii="Times New Roman" w:hAnsi="Times New Roman" w:eastAsia="仿宋_GB2312" w:cs="Times New Roman"/>
          <w:color w:val="auto"/>
          <w:sz w:val="24"/>
          <w:szCs w:val="24"/>
          <w:highlight w:val="none"/>
        </w:rPr>
        <w:t>.3 迟延支付的违约责任</w:t>
      </w:r>
    </w:p>
    <w:p w14:paraId="754DB8DB">
      <w:pPr>
        <w:autoSpaceDE w:val="0"/>
        <w:autoSpaceDN w:val="0"/>
        <w:adjustRightInd w:val="0"/>
        <w:snapToGrid w:val="0"/>
        <w:spacing w:before="0" w:line="400" w:lineRule="exact"/>
        <w:ind w:firstLine="480" w:firstLineChars="200"/>
        <w:jc w:val="left"/>
        <w:rPr>
          <w:rFonts w:hint="default" w:ascii="Times New Roman" w:hAnsi="Times New Roman" w:eastAsia="仿宋_GB2312" w:cs="Times New Roman"/>
          <w:color w:val="auto"/>
          <w:sz w:val="24"/>
          <w:szCs w:val="24"/>
          <w:highlight w:val="none"/>
        </w:rPr>
      </w:pPr>
      <w:r>
        <w:rPr>
          <w:rFonts w:hint="default" w:ascii="Times New Roman" w:hAnsi="Times New Roman" w:eastAsia="仿宋_GB2312" w:cs="Times New Roman"/>
          <w:color w:val="auto"/>
          <w:sz w:val="24"/>
          <w:szCs w:val="24"/>
          <w:highlight w:val="none"/>
        </w:rPr>
        <w:t>甲方存在迟延支付乙方合同款项的，应当承担</w:t>
      </w:r>
      <w:r>
        <w:rPr>
          <w:rFonts w:hint="default" w:ascii="Times New Roman" w:hAnsi="Times New Roman" w:eastAsia="仿宋_GB2312" w:cs="Times New Roman"/>
          <w:b/>
          <w:bCs/>
          <w:color w:val="auto"/>
          <w:sz w:val="24"/>
          <w:szCs w:val="24"/>
          <w:highlight w:val="none"/>
        </w:rPr>
        <w:t>【政府采购合同专用条款】</w:t>
      </w:r>
      <w:r>
        <w:rPr>
          <w:rFonts w:hint="default" w:ascii="Times New Roman" w:hAnsi="Times New Roman" w:eastAsia="仿宋_GB2312" w:cs="Times New Roman"/>
          <w:color w:val="auto"/>
          <w:sz w:val="24"/>
          <w:szCs w:val="24"/>
          <w:highlight w:val="none"/>
        </w:rPr>
        <w:t>规定的逾期付款利息。</w:t>
      </w:r>
    </w:p>
    <w:p w14:paraId="13C2C06C">
      <w:pPr>
        <w:adjustRightInd w:val="0"/>
        <w:snapToGrid w:val="0"/>
        <w:spacing w:before="0" w:line="400" w:lineRule="exact"/>
        <w:ind w:firstLine="480" w:firstLineChars="200"/>
        <w:jc w:val="left"/>
        <w:rPr>
          <w:rFonts w:hint="default" w:ascii="Times New Roman" w:hAnsi="Times New Roman" w:eastAsia="仿宋_GB2312" w:cs="Times New Roman"/>
          <w:color w:val="auto"/>
          <w:sz w:val="24"/>
          <w:szCs w:val="24"/>
          <w:highlight w:val="none"/>
        </w:rPr>
      </w:pPr>
      <w:r>
        <w:rPr>
          <w:rFonts w:hint="default" w:ascii="Times New Roman" w:hAnsi="Times New Roman" w:eastAsia="仿宋_GB2312" w:cs="Times New Roman"/>
          <w:bCs/>
          <w:color w:val="auto"/>
          <w:sz w:val="24"/>
          <w:szCs w:val="24"/>
          <w:highlight w:val="none"/>
        </w:rPr>
        <w:t>1</w:t>
      </w:r>
      <w:r>
        <w:rPr>
          <w:rFonts w:hint="default" w:ascii="Times New Roman" w:hAnsi="Times New Roman" w:eastAsia="仿宋_GB2312" w:cs="Times New Roman"/>
          <w:bCs/>
          <w:color w:val="auto"/>
          <w:sz w:val="24"/>
          <w:szCs w:val="24"/>
          <w:highlight w:val="none"/>
          <w:lang w:eastAsia="zh-CN"/>
        </w:rPr>
        <w:t>5</w:t>
      </w:r>
      <w:r>
        <w:rPr>
          <w:rFonts w:hint="default" w:ascii="Times New Roman" w:hAnsi="Times New Roman" w:eastAsia="仿宋_GB2312" w:cs="Times New Roman"/>
          <w:bCs/>
          <w:color w:val="auto"/>
          <w:sz w:val="24"/>
          <w:szCs w:val="24"/>
          <w:highlight w:val="none"/>
        </w:rPr>
        <w:t>.4其他违约责任根据项目实际需要按</w:t>
      </w:r>
      <w:r>
        <w:rPr>
          <w:rFonts w:hint="default" w:ascii="Times New Roman" w:hAnsi="Times New Roman" w:eastAsia="仿宋_GB2312" w:cs="Times New Roman"/>
          <w:b/>
          <w:bCs/>
          <w:color w:val="auto"/>
          <w:sz w:val="24"/>
          <w:szCs w:val="24"/>
          <w:highlight w:val="none"/>
        </w:rPr>
        <w:t>【政府采购合同专用条款】</w:t>
      </w:r>
      <w:r>
        <w:rPr>
          <w:rFonts w:hint="default" w:ascii="Times New Roman" w:hAnsi="Times New Roman" w:eastAsia="仿宋_GB2312" w:cs="Times New Roman"/>
          <w:color w:val="auto"/>
          <w:sz w:val="24"/>
          <w:szCs w:val="24"/>
          <w:highlight w:val="none"/>
        </w:rPr>
        <w:t>规定执行。</w:t>
      </w:r>
    </w:p>
    <w:p w14:paraId="59527CAF">
      <w:pPr>
        <w:numPr>
          <w:ilvl w:val="0"/>
          <w:numId w:val="24"/>
        </w:numPr>
        <w:autoSpaceDE w:val="0"/>
        <w:autoSpaceDN w:val="0"/>
        <w:adjustRightInd w:val="0"/>
        <w:snapToGrid w:val="0"/>
        <w:spacing w:before="0" w:line="400" w:lineRule="exact"/>
        <w:jc w:val="left"/>
        <w:rPr>
          <w:rFonts w:hint="default" w:ascii="Times New Roman" w:hAnsi="Times New Roman" w:eastAsia="仿宋_GB2312" w:cs="Times New Roman"/>
          <w:b/>
          <w:color w:val="auto"/>
          <w:sz w:val="24"/>
          <w:szCs w:val="24"/>
          <w:highlight w:val="none"/>
        </w:rPr>
      </w:pPr>
      <w:r>
        <w:rPr>
          <w:rFonts w:hint="default" w:ascii="Times New Roman" w:hAnsi="Times New Roman" w:eastAsia="仿宋_GB2312" w:cs="Times New Roman"/>
          <w:b/>
          <w:color w:val="auto"/>
          <w:sz w:val="24"/>
          <w:szCs w:val="24"/>
          <w:highlight w:val="none"/>
        </w:rPr>
        <w:t>合同变更</w:t>
      </w:r>
      <w:r>
        <w:rPr>
          <w:rFonts w:hint="default" w:ascii="Times New Roman" w:hAnsi="Times New Roman" w:eastAsia="仿宋_GB2312" w:cs="Times New Roman"/>
          <w:b/>
          <w:color w:val="auto"/>
          <w:sz w:val="24"/>
          <w:szCs w:val="24"/>
          <w:highlight w:val="none"/>
          <w:lang w:eastAsia="zh-CN"/>
        </w:rPr>
        <w:t>、中止与终止</w:t>
      </w:r>
    </w:p>
    <w:p w14:paraId="23C63206">
      <w:pPr>
        <w:autoSpaceDE/>
        <w:autoSpaceDN/>
        <w:adjustRightInd w:val="0"/>
        <w:snapToGrid w:val="0"/>
        <w:spacing w:before="0" w:line="400" w:lineRule="exact"/>
        <w:ind w:firstLine="0" w:firstLineChars="0"/>
        <w:jc w:val="left"/>
        <w:rPr>
          <w:rFonts w:hint="default" w:ascii="Times New Roman" w:hAnsi="Times New Roman" w:eastAsia="仿宋_GB2312" w:cs="Times New Roman"/>
          <w:color w:val="auto"/>
          <w:sz w:val="24"/>
          <w:szCs w:val="24"/>
          <w:highlight w:val="none"/>
        </w:rPr>
      </w:pPr>
      <w:r>
        <w:rPr>
          <w:rFonts w:hint="default" w:ascii="Times New Roman" w:hAnsi="Times New Roman" w:eastAsia="仿宋_GB2312" w:cs="Times New Roman"/>
          <w:color w:val="auto"/>
          <w:sz w:val="24"/>
          <w:szCs w:val="24"/>
          <w:highlight w:val="none"/>
          <w:lang w:val="en-US" w:eastAsia="zh-CN"/>
        </w:rPr>
        <w:t xml:space="preserve">    </w:t>
      </w:r>
      <w:r>
        <w:rPr>
          <w:rFonts w:hint="default" w:ascii="Times New Roman" w:hAnsi="Times New Roman" w:eastAsia="仿宋_GB2312" w:cs="Times New Roman"/>
          <w:color w:val="auto"/>
          <w:sz w:val="24"/>
          <w:szCs w:val="24"/>
          <w:highlight w:val="none"/>
        </w:rPr>
        <w:t>1</w:t>
      </w:r>
      <w:r>
        <w:rPr>
          <w:rFonts w:hint="default" w:ascii="Times New Roman" w:hAnsi="Times New Roman" w:eastAsia="仿宋_GB2312" w:cs="Times New Roman"/>
          <w:color w:val="auto"/>
          <w:sz w:val="24"/>
          <w:szCs w:val="24"/>
          <w:highlight w:val="none"/>
          <w:lang w:val="en-US" w:eastAsia="zh-CN"/>
        </w:rPr>
        <w:t>6</w:t>
      </w:r>
      <w:r>
        <w:rPr>
          <w:rFonts w:hint="default" w:ascii="Times New Roman" w:hAnsi="Times New Roman" w:eastAsia="仿宋_GB2312" w:cs="Times New Roman"/>
          <w:color w:val="auto"/>
          <w:sz w:val="24"/>
          <w:szCs w:val="24"/>
          <w:highlight w:val="none"/>
        </w:rPr>
        <w:t>.1合同的</w:t>
      </w:r>
      <w:r>
        <w:rPr>
          <w:rFonts w:hint="default" w:ascii="Times New Roman" w:hAnsi="Times New Roman" w:eastAsia="仿宋_GB2312" w:cs="Times New Roman"/>
          <w:color w:val="auto"/>
          <w:sz w:val="24"/>
          <w:szCs w:val="24"/>
          <w:highlight w:val="none"/>
          <w:lang w:eastAsia="zh-CN"/>
        </w:rPr>
        <w:t>变更</w:t>
      </w:r>
    </w:p>
    <w:p w14:paraId="10B00DF8">
      <w:pPr>
        <w:autoSpaceDE w:val="0"/>
        <w:autoSpaceDN w:val="0"/>
        <w:adjustRightInd w:val="0"/>
        <w:snapToGrid w:val="0"/>
        <w:spacing w:before="0" w:line="400" w:lineRule="exact"/>
        <w:ind w:firstLine="480" w:firstLineChars="200"/>
        <w:jc w:val="left"/>
        <w:rPr>
          <w:rFonts w:hint="default" w:ascii="Times New Roman" w:hAnsi="Times New Roman" w:eastAsia="仿宋_GB2312" w:cs="Times New Roman"/>
          <w:color w:val="auto"/>
          <w:sz w:val="24"/>
          <w:szCs w:val="24"/>
          <w:highlight w:val="none"/>
        </w:rPr>
      </w:pPr>
      <w:r>
        <w:rPr>
          <w:rFonts w:hint="default" w:ascii="Times New Roman" w:hAnsi="Times New Roman" w:eastAsia="仿宋_GB2312" w:cs="Times New Roman"/>
          <w:color w:val="auto"/>
          <w:sz w:val="24"/>
          <w:szCs w:val="24"/>
          <w:highlight w:val="none"/>
          <w:lang w:eastAsia="zh-CN"/>
        </w:rPr>
        <w:t>政府采购合同履行中，</w:t>
      </w:r>
      <w:r>
        <w:rPr>
          <w:rFonts w:hint="default" w:ascii="Times New Roman" w:hAnsi="Times New Roman" w:eastAsia="仿宋_GB2312" w:cs="Times New Roman"/>
          <w:color w:val="auto"/>
          <w:sz w:val="24"/>
          <w:szCs w:val="24"/>
          <w:highlight w:val="none"/>
        </w:rPr>
        <w:t>在不改变合同其他条款的前提下，甲方可以在合同价款10%的范围内追加与合同标的相同的货物，并就此与乙方协商</w:t>
      </w:r>
      <w:r>
        <w:rPr>
          <w:rFonts w:hint="default" w:ascii="Times New Roman" w:hAnsi="Times New Roman" w:eastAsia="仿宋_GB2312" w:cs="Times New Roman"/>
          <w:color w:val="auto"/>
          <w:sz w:val="24"/>
          <w:szCs w:val="24"/>
          <w:highlight w:val="none"/>
          <w:lang w:eastAsia="zh-CN"/>
        </w:rPr>
        <w:t>一致后</w:t>
      </w:r>
      <w:r>
        <w:rPr>
          <w:rFonts w:hint="default" w:ascii="Times New Roman" w:hAnsi="Times New Roman" w:eastAsia="仿宋_GB2312" w:cs="Times New Roman"/>
          <w:color w:val="auto"/>
          <w:sz w:val="24"/>
          <w:szCs w:val="24"/>
          <w:highlight w:val="none"/>
        </w:rPr>
        <w:t>签订补充协议。</w:t>
      </w:r>
    </w:p>
    <w:p w14:paraId="4D447D39">
      <w:pPr>
        <w:adjustRightInd w:val="0"/>
        <w:snapToGrid w:val="0"/>
        <w:spacing w:before="0" w:line="400" w:lineRule="exact"/>
        <w:ind w:firstLine="480" w:firstLineChars="200"/>
        <w:jc w:val="left"/>
        <w:rPr>
          <w:rFonts w:hint="default" w:ascii="Times New Roman" w:hAnsi="Times New Roman" w:eastAsia="仿宋_GB2312" w:cs="Times New Roman"/>
          <w:color w:val="auto"/>
          <w:sz w:val="24"/>
          <w:szCs w:val="24"/>
          <w:highlight w:val="none"/>
        </w:rPr>
      </w:pPr>
      <w:r>
        <w:rPr>
          <w:rFonts w:hint="default" w:ascii="Times New Roman" w:hAnsi="Times New Roman" w:eastAsia="仿宋_GB2312" w:cs="Times New Roman"/>
          <w:color w:val="auto"/>
          <w:sz w:val="24"/>
          <w:szCs w:val="24"/>
          <w:highlight w:val="none"/>
        </w:rPr>
        <w:t>1</w:t>
      </w:r>
      <w:r>
        <w:rPr>
          <w:rFonts w:hint="default" w:ascii="Times New Roman" w:hAnsi="Times New Roman" w:eastAsia="仿宋_GB2312" w:cs="Times New Roman"/>
          <w:color w:val="auto"/>
          <w:sz w:val="24"/>
          <w:szCs w:val="24"/>
          <w:highlight w:val="none"/>
          <w:lang w:val="en-US" w:eastAsia="zh-CN"/>
        </w:rPr>
        <w:t>6</w:t>
      </w:r>
      <w:r>
        <w:rPr>
          <w:rFonts w:hint="default" w:ascii="Times New Roman" w:hAnsi="Times New Roman" w:eastAsia="仿宋_GB2312" w:cs="Times New Roman"/>
          <w:color w:val="auto"/>
          <w:sz w:val="24"/>
          <w:szCs w:val="24"/>
          <w:highlight w:val="none"/>
        </w:rPr>
        <w:t>.</w:t>
      </w:r>
      <w:r>
        <w:rPr>
          <w:rFonts w:hint="default" w:ascii="Times New Roman" w:hAnsi="Times New Roman" w:eastAsia="仿宋_GB2312" w:cs="Times New Roman"/>
          <w:color w:val="auto"/>
          <w:sz w:val="24"/>
          <w:szCs w:val="24"/>
          <w:highlight w:val="none"/>
          <w:lang w:val="en-US" w:eastAsia="zh-CN"/>
        </w:rPr>
        <w:t>2</w:t>
      </w:r>
      <w:r>
        <w:rPr>
          <w:rFonts w:hint="default" w:ascii="Times New Roman" w:hAnsi="Times New Roman" w:eastAsia="仿宋_GB2312" w:cs="Times New Roman"/>
          <w:color w:val="auto"/>
          <w:sz w:val="24"/>
          <w:szCs w:val="24"/>
          <w:highlight w:val="none"/>
        </w:rPr>
        <w:t>合同的中止</w:t>
      </w:r>
    </w:p>
    <w:p w14:paraId="08185F48">
      <w:pPr>
        <w:autoSpaceDE w:val="0"/>
        <w:autoSpaceDN w:val="0"/>
        <w:adjustRightInd w:val="0"/>
        <w:snapToGrid w:val="0"/>
        <w:spacing w:before="0" w:line="400" w:lineRule="exact"/>
        <w:ind w:firstLine="480" w:firstLineChars="200"/>
        <w:jc w:val="left"/>
        <w:rPr>
          <w:rFonts w:hint="default" w:ascii="Times New Roman" w:hAnsi="Times New Roman" w:eastAsia="仿宋_GB2312" w:cs="Times New Roman"/>
          <w:color w:val="auto"/>
          <w:sz w:val="24"/>
          <w:szCs w:val="24"/>
          <w:highlight w:val="none"/>
        </w:rPr>
      </w:pPr>
      <w:r>
        <w:rPr>
          <w:rFonts w:hint="default" w:ascii="Times New Roman" w:hAnsi="Times New Roman" w:eastAsia="仿宋_GB2312" w:cs="Times New Roman"/>
          <w:color w:val="auto"/>
          <w:sz w:val="24"/>
          <w:szCs w:val="24"/>
          <w:highlight w:val="none"/>
        </w:rPr>
        <w:t>（1）合同履行过程中因供应商就采购文件、采购过程或结果提起投诉的，甲方认为有必要的，</w:t>
      </w:r>
      <w:r>
        <w:rPr>
          <w:rFonts w:hint="default" w:ascii="Times New Roman" w:hAnsi="Times New Roman" w:eastAsia="仿宋_GB2312" w:cs="Times New Roman"/>
          <w:color w:val="auto"/>
          <w:sz w:val="24"/>
          <w:szCs w:val="24"/>
          <w:highlight w:val="none"/>
          <w:lang w:eastAsia="zh-CN"/>
        </w:rPr>
        <w:t>可以</w:t>
      </w:r>
      <w:r>
        <w:rPr>
          <w:rFonts w:hint="default" w:ascii="Times New Roman" w:hAnsi="Times New Roman" w:eastAsia="仿宋_GB2312" w:cs="Times New Roman"/>
          <w:color w:val="auto"/>
          <w:sz w:val="24"/>
          <w:szCs w:val="24"/>
          <w:highlight w:val="none"/>
        </w:rPr>
        <w:t>中止合同的履行。</w:t>
      </w:r>
    </w:p>
    <w:p w14:paraId="69AB6A72">
      <w:pPr>
        <w:autoSpaceDE w:val="0"/>
        <w:autoSpaceDN w:val="0"/>
        <w:adjustRightInd w:val="0"/>
        <w:snapToGrid w:val="0"/>
        <w:spacing w:before="0" w:line="400" w:lineRule="exact"/>
        <w:ind w:firstLine="480" w:firstLineChars="200"/>
        <w:jc w:val="left"/>
        <w:rPr>
          <w:rFonts w:hint="default" w:ascii="Times New Roman" w:hAnsi="Times New Roman" w:eastAsia="仿宋_GB2312" w:cs="Times New Roman"/>
          <w:color w:val="auto"/>
          <w:sz w:val="24"/>
          <w:szCs w:val="24"/>
          <w:highlight w:val="none"/>
        </w:rPr>
      </w:pPr>
      <w:r>
        <w:rPr>
          <w:rFonts w:hint="default" w:ascii="Times New Roman" w:hAnsi="Times New Roman" w:eastAsia="仿宋_GB2312" w:cs="Times New Roman"/>
          <w:color w:val="auto"/>
          <w:sz w:val="24"/>
          <w:szCs w:val="24"/>
          <w:highlight w:val="none"/>
        </w:rPr>
        <w:t>（2）</w:t>
      </w:r>
      <w:r>
        <w:rPr>
          <w:rFonts w:hint="default" w:ascii="Times New Roman" w:hAnsi="Times New Roman" w:eastAsia="仿宋_GB2312" w:cs="Times New Roman"/>
          <w:color w:val="auto"/>
          <w:sz w:val="24"/>
          <w:szCs w:val="24"/>
          <w:highlight w:val="none"/>
          <w:lang w:val="en-US" w:eastAsia="zh-CN"/>
        </w:rPr>
        <w:t>合同履行过程中，</w:t>
      </w:r>
      <w:r>
        <w:rPr>
          <w:rFonts w:hint="default" w:ascii="Times New Roman" w:hAnsi="Times New Roman" w:eastAsia="仿宋_GB2312" w:cs="Times New Roman"/>
          <w:color w:val="auto"/>
          <w:sz w:val="24"/>
          <w:szCs w:val="24"/>
          <w:highlight w:val="none"/>
        </w:rPr>
        <w:t>如果乙方出现以下情形之一的：1．经营状况严重恶化；2．转移财产、抽逃资金，以逃避债务；3．丧失商业信誉；4．有丧失或者可能丧失履约能力的其他情形</w:t>
      </w:r>
      <w:r>
        <w:rPr>
          <w:rFonts w:hint="default" w:ascii="Times New Roman" w:hAnsi="Times New Roman" w:eastAsia="仿宋_GB2312" w:cs="Times New Roman"/>
          <w:color w:val="auto"/>
          <w:sz w:val="24"/>
          <w:szCs w:val="24"/>
          <w:highlight w:val="none"/>
          <w:lang w:eastAsia="zh-CN"/>
        </w:rPr>
        <w:t>，乙方有义务及时告知甲方</w:t>
      </w:r>
      <w:r>
        <w:rPr>
          <w:rFonts w:hint="default" w:ascii="Times New Roman" w:hAnsi="Times New Roman" w:eastAsia="仿宋_GB2312" w:cs="Times New Roman"/>
          <w:color w:val="auto"/>
          <w:sz w:val="24"/>
          <w:szCs w:val="24"/>
          <w:highlight w:val="none"/>
        </w:rPr>
        <w:t>。甲方</w:t>
      </w:r>
      <w:r>
        <w:rPr>
          <w:rFonts w:hint="default" w:ascii="Times New Roman" w:hAnsi="Times New Roman" w:eastAsia="仿宋_GB2312" w:cs="Times New Roman"/>
          <w:color w:val="auto"/>
          <w:sz w:val="24"/>
          <w:szCs w:val="24"/>
          <w:highlight w:val="none"/>
          <w:lang w:eastAsia="zh-CN"/>
        </w:rPr>
        <w:t>有权</w:t>
      </w:r>
      <w:r>
        <w:rPr>
          <w:rFonts w:hint="default" w:ascii="Times New Roman" w:hAnsi="Times New Roman" w:eastAsia="仿宋_GB2312" w:cs="Times New Roman"/>
          <w:color w:val="auto"/>
          <w:sz w:val="24"/>
          <w:szCs w:val="24"/>
          <w:highlight w:val="none"/>
        </w:rPr>
        <w:t>以书面形式通知乙方</w:t>
      </w:r>
      <w:r>
        <w:rPr>
          <w:rFonts w:hint="eastAsia" w:ascii="Times New Roman" w:hAnsi="Times New Roman" w:eastAsia="仿宋_GB2312" w:cs="Times New Roman"/>
          <w:color w:val="auto"/>
          <w:sz w:val="24"/>
          <w:szCs w:val="24"/>
          <w:highlight w:val="none"/>
          <w:lang w:eastAsia="zh-CN"/>
        </w:rPr>
        <w:t>终</w:t>
      </w:r>
      <w:r>
        <w:rPr>
          <w:rFonts w:hint="default" w:ascii="Times New Roman" w:hAnsi="Times New Roman" w:eastAsia="仿宋_GB2312" w:cs="Times New Roman"/>
          <w:color w:val="auto"/>
          <w:sz w:val="24"/>
          <w:szCs w:val="24"/>
          <w:highlight w:val="none"/>
        </w:rPr>
        <w:t>止合同</w:t>
      </w:r>
      <w:r>
        <w:rPr>
          <w:rFonts w:hint="default" w:ascii="Times New Roman" w:hAnsi="Times New Roman" w:eastAsia="仿宋_GB2312" w:cs="Times New Roman"/>
          <w:color w:val="auto"/>
          <w:sz w:val="24"/>
          <w:szCs w:val="24"/>
          <w:highlight w:val="none"/>
          <w:lang w:eastAsia="zh-CN"/>
        </w:rPr>
        <w:t>并要求乙方在合理期限内消除相关情形或者提供适当担保。</w:t>
      </w:r>
      <w:r>
        <w:rPr>
          <w:rFonts w:hint="default" w:ascii="Times New Roman" w:hAnsi="Times New Roman" w:eastAsia="仿宋_GB2312" w:cs="Times New Roman"/>
          <w:color w:val="auto"/>
          <w:sz w:val="24"/>
          <w:szCs w:val="24"/>
          <w:highlight w:val="none"/>
        </w:rPr>
        <w:t>乙方提供适当担保的，</w:t>
      </w:r>
      <w:r>
        <w:rPr>
          <w:rFonts w:hint="default" w:ascii="Times New Roman" w:hAnsi="Times New Roman" w:eastAsia="仿宋_GB2312" w:cs="Times New Roman"/>
          <w:color w:val="auto"/>
          <w:sz w:val="24"/>
          <w:szCs w:val="24"/>
          <w:highlight w:val="none"/>
          <w:lang w:eastAsia="zh-CN"/>
        </w:rPr>
        <w:t>合同继续</w:t>
      </w:r>
      <w:r>
        <w:rPr>
          <w:rFonts w:hint="default" w:ascii="Times New Roman" w:hAnsi="Times New Roman" w:eastAsia="仿宋_GB2312" w:cs="Times New Roman"/>
          <w:color w:val="auto"/>
          <w:sz w:val="24"/>
          <w:szCs w:val="24"/>
          <w:highlight w:val="none"/>
        </w:rPr>
        <w:t>履行</w:t>
      </w:r>
      <w:r>
        <w:rPr>
          <w:rFonts w:hint="default" w:ascii="Times New Roman" w:hAnsi="Times New Roman" w:eastAsia="仿宋_GB2312" w:cs="Times New Roman"/>
          <w:color w:val="auto"/>
          <w:sz w:val="24"/>
          <w:szCs w:val="24"/>
          <w:highlight w:val="none"/>
          <w:lang w:eastAsia="zh-CN"/>
        </w:rPr>
        <w:t>；乙</w:t>
      </w:r>
      <w:r>
        <w:rPr>
          <w:rFonts w:hint="default" w:ascii="Times New Roman" w:hAnsi="Times New Roman" w:eastAsia="仿宋_GB2312" w:cs="Times New Roman"/>
          <w:color w:val="auto"/>
          <w:sz w:val="24"/>
          <w:szCs w:val="24"/>
          <w:highlight w:val="none"/>
        </w:rPr>
        <w:t>方在合理期限内未恢复履约能力且未提供适当担保的，视为拒绝</w:t>
      </w:r>
      <w:r>
        <w:rPr>
          <w:rFonts w:hint="default" w:ascii="Times New Roman" w:hAnsi="Times New Roman" w:eastAsia="仿宋_GB2312" w:cs="Times New Roman"/>
          <w:color w:val="auto"/>
          <w:sz w:val="24"/>
          <w:szCs w:val="24"/>
          <w:highlight w:val="none"/>
          <w:lang w:eastAsia="zh-CN"/>
        </w:rPr>
        <w:t>继续</w:t>
      </w:r>
      <w:r>
        <w:rPr>
          <w:rFonts w:hint="default" w:ascii="Times New Roman" w:hAnsi="Times New Roman" w:eastAsia="仿宋_GB2312" w:cs="Times New Roman"/>
          <w:color w:val="auto"/>
          <w:sz w:val="24"/>
          <w:szCs w:val="24"/>
          <w:highlight w:val="none"/>
        </w:rPr>
        <w:t>履约，甲方</w:t>
      </w:r>
      <w:r>
        <w:rPr>
          <w:rFonts w:hint="default" w:ascii="Times New Roman" w:hAnsi="Times New Roman" w:eastAsia="仿宋_GB2312" w:cs="Times New Roman"/>
          <w:color w:val="auto"/>
          <w:sz w:val="24"/>
          <w:szCs w:val="24"/>
          <w:highlight w:val="none"/>
          <w:lang w:eastAsia="zh-CN"/>
        </w:rPr>
        <w:t>有权</w:t>
      </w:r>
      <w:r>
        <w:rPr>
          <w:rFonts w:hint="default" w:ascii="Times New Roman" w:hAnsi="Times New Roman" w:eastAsia="仿宋_GB2312" w:cs="Times New Roman"/>
          <w:color w:val="auto"/>
          <w:sz w:val="24"/>
          <w:szCs w:val="24"/>
          <w:highlight w:val="none"/>
        </w:rPr>
        <w:t>解除合同并要求乙方承担</w:t>
      </w:r>
      <w:r>
        <w:rPr>
          <w:rFonts w:hint="default" w:ascii="Times New Roman" w:hAnsi="Times New Roman" w:eastAsia="仿宋_GB2312" w:cs="Times New Roman"/>
          <w:color w:val="auto"/>
          <w:sz w:val="24"/>
          <w:szCs w:val="24"/>
          <w:highlight w:val="none"/>
          <w:lang w:eastAsia="zh-CN"/>
        </w:rPr>
        <w:t>由此给甲方造成的损失</w:t>
      </w:r>
      <w:r>
        <w:rPr>
          <w:rFonts w:hint="default" w:ascii="Times New Roman" w:hAnsi="Times New Roman" w:eastAsia="仿宋_GB2312" w:cs="Times New Roman"/>
          <w:color w:val="auto"/>
          <w:sz w:val="24"/>
          <w:szCs w:val="24"/>
          <w:highlight w:val="none"/>
        </w:rPr>
        <w:t>。</w:t>
      </w:r>
    </w:p>
    <w:p w14:paraId="77430398">
      <w:pPr>
        <w:pStyle w:val="45"/>
        <w:jc w:val="both"/>
        <w:rPr>
          <w:rFonts w:hint="default" w:ascii="Times New Roman" w:hAnsi="Times New Roman" w:eastAsia="仿宋_GB2312" w:cs="Times New Roman"/>
          <w:color w:val="auto"/>
          <w:sz w:val="24"/>
          <w:szCs w:val="24"/>
          <w:highlight w:val="none"/>
        </w:rPr>
      </w:pPr>
      <w:r>
        <w:rPr>
          <w:rFonts w:hint="default" w:ascii="Times New Roman" w:hAnsi="Times New Roman" w:eastAsia="仿宋_GB2312" w:cs="Times New Roman"/>
          <w:color w:val="auto"/>
          <w:sz w:val="24"/>
          <w:szCs w:val="24"/>
          <w:highlight w:val="none"/>
        </w:rPr>
        <w:t>（3）乙方分立、合并或者变更住所的，应当及时以书面形式告知甲方。乙方没有</w:t>
      </w:r>
      <w:r>
        <w:rPr>
          <w:rFonts w:hint="default" w:ascii="Times New Roman" w:hAnsi="Times New Roman" w:eastAsia="仿宋_GB2312" w:cs="Times New Roman"/>
          <w:color w:val="auto"/>
          <w:sz w:val="24"/>
          <w:szCs w:val="24"/>
          <w:highlight w:val="none"/>
          <w:lang w:eastAsia="zh-CN"/>
        </w:rPr>
        <w:t>及时告知</w:t>
      </w:r>
      <w:r>
        <w:rPr>
          <w:rFonts w:hint="default" w:ascii="Times New Roman" w:hAnsi="Times New Roman" w:eastAsia="仿宋_GB2312" w:cs="Times New Roman"/>
          <w:color w:val="auto"/>
          <w:sz w:val="24"/>
          <w:szCs w:val="24"/>
          <w:highlight w:val="none"/>
        </w:rPr>
        <w:t>甲方，致使</w:t>
      </w:r>
      <w:r>
        <w:rPr>
          <w:rFonts w:hint="default" w:ascii="Times New Roman" w:hAnsi="Times New Roman" w:eastAsia="仿宋_GB2312" w:cs="Times New Roman"/>
          <w:color w:val="auto"/>
          <w:sz w:val="24"/>
          <w:szCs w:val="24"/>
          <w:highlight w:val="none"/>
          <w:lang w:eastAsia="zh-CN"/>
        </w:rPr>
        <w:t>合同</w:t>
      </w:r>
      <w:r>
        <w:rPr>
          <w:rFonts w:hint="default" w:ascii="Times New Roman" w:hAnsi="Times New Roman" w:eastAsia="仿宋_GB2312" w:cs="Times New Roman"/>
          <w:color w:val="auto"/>
          <w:sz w:val="24"/>
          <w:szCs w:val="24"/>
          <w:highlight w:val="none"/>
        </w:rPr>
        <w:t>履行发生困难的，甲方可以中止合同履行并要求乙方承担由此给甲方造成的损失。</w:t>
      </w:r>
    </w:p>
    <w:p w14:paraId="2A35F1DF">
      <w:pPr>
        <w:snapToGrid w:val="0"/>
        <w:spacing w:line="400" w:lineRule="exact"/>
        <w:ind w:firstLine="480" w:firstLineChars="200"/>
        <w:jc w:val="left"/>
        <w:rPr>
          <w:rFonts w:hint="default" w:ascii="Times New Roman" w:hAnsi="Times New Roman" w:eastAsia="仿宋_GB2312" w:cs="Times New Roman"/>
          <w:color w:val="auto"/>
          <w:sz w:val="24"/>
          <w:szCs w:val="24"/>
          <w:highlight w:val="none"/>
        </w:rPr>
      </w:pPr>
      <w:r>
        <w:rPr>
          <w:rFonts w:hint="default" w:ascii="Times New Roman" w:hAnsi="Times New Roman" w:eastAsia="仿宋_GB2312" w:cs="Times New Roman"/>
          <w:color w:val="auto"/>
          <w:sz w:val="24"/>
          <w:szCs w:val="24"/>
          <w:highlight w:val="none"/>
        </w:rPr>
        <w:t>（</w:t>
      </w:r>
      <w:r>
        <w:rPr>
          <w:rFonts w:hint="default" w:ascii="Times New Roman" w:hAnsi="Times New Roman" w:eastAsia="仿宋_GB2312" w:cs="Times New Roman"/>
          <w:color w:val="auto"/>
          <w:sz w:val="24"/>
          <w:szCs w:val="24"/>
          <w:highlight w:val="none"/>
          <w:lang w:val="en-US" w:eastAsia="zh-CN"/>
        </w:rPr>
        <w:t>4</w:t>
      </w:r>
      <w:r>
        <w:rPr>
          <w:rFonts w:hint="default" w:ascii="Times New Roman" w:hAnsi="Times New Roman" w:eastAsia="仿宋_GB2312" w:cs="Times New Roman"/>
          <w:color w:val="auto"/>
          <w:sz w:val="24"/>
          <w:szCs w:val="24"/>
          <w:highlight w:val="none"/>
        </w:rPr>
        <w:t>）甲方不得以行政区划调整、政府换届、机构或者职能调整以及相关责任人更替为由中止合同。</w:t>
      </w:r>
    </w:p>
    <w:p w14:paraId="49555F2E">
      <w:pPr>
        <w:adjustRightInd w:val="0"/>
        <w:snapToGrid w:val="0"/>
        <w:spacing w:before="0" w:line="400" w:lineRule="exact"/>
        <w:ind w:firstLine="480" w:firstLineChars="200"/>
        <w:jc w:val="left"/>
        <w:rPr>
          <w:rFonts w:hint="default" w:ascii="Times New Roman" w:hAnsi="Times New Roman" w:eastAsia="仿宋_GB2312" w:cs="Times New Roman"/>
          <w:color w:val="auto"/>
          <w:sz w:val="24"/>
          <w:szCs w:val="24"/>
          <w:highlight w:val="none"/>
        </w:rPr>
      </w:pPr>
      <w:r>
        <w:rPr>
          <w:rFonts w:hint="default" w:ascii="Times New Roman" w:hAnsi="Times New Roman" w:eastAsia="仿宋_GB2312" w:cs="Times New Roman"/>
          <w:color w:val="auto"/>
          <w:sz w:val="24"/>
          <w:szCs w:val="24"/>
          <w:highlight w:val="none"/>
        </w:rPr>
        <w:t>1</w:t>
      </w:r>
      <w:r>
        <w:rPr>
          <w:rFonts w:hint="default" w:ascii="Times New Roman" w:hAnsi="Times New Roman" w:eastAsia="仿宋_GB2312" w:cs="Times New Roman"/>
          <w:color w:val="auto"/>
          <w:sz w:val="24"/>
          <w:szCs w:val="24"/>
          <w:highlight w:val="none"/>
          <w:lang w:val="en-US" w:eastAsia="zh-CN"/>
        </w:rPr>
        <w:t>6</w:t>
      </w:r>
      <w:r>
        <w:rPr>
          <w:rFonts w:hint="default" w:ascii="Times New Roman" w:hAnsi="Times New Roman" w:eastAsia="仿宋_GB2312" w:cs="Times New Roman"/>
          <w:color w:val="auto"/>
          <w:sz w:val="24"/>
          <w:szCs w:val="24"/>
          <w:highlight w:val="none"/>
        </w:rPr>
        <w:t>.</w:t>
      </w:r>
      <w:r>
        <w:rPr>
          <w:rFonts w:hint="default" w:ascii="Times New Roman" w:hAnsi="Times New Roman" w:eastAsia="仿宋_GB2312" w:cs="Times New Roman"/>
          <w:color w:val="auto"/>
          <w:sz w:val="24"/>
          <w:szCs w:val="24"/>
          <w:highlight w:val="none"/>
          <w:lang w:val="en-US" w:eastAsia="zh-CN"/>
        </w:rPr>
        <w:t>3</w:t>
      </w:r>
      <w:r>
        <w:rPr>
          <w:rFonts w:hint="default" w:ascii="Times New Roman" w:hAnsi="Times New Roman" w:eastAsia="仿宋_GB2312" w:cs="Times New Roman"/>
          <w:color w:val="auto"/>
          <w:sz w:val="24"/>
          <w:szCs w:val="24"/>
          <w:highlight w:val="none"/>
        </w:rPr>
        <w:t>合同的终止</w:t>
      </w:r>
    </w:p>
    <w:p w14:paraId="40EA7581">
      <w:pPr>
        <w:autoSpaceDE w:val="0"/>
        <w:autoSpaceDN w:val="0"/>
        <w:adjustRightInd w:val="0"/>
        <w:snapToGrid w:val="0"/>
        <w:spacing w:before="0" w:line="400" w:lineRule="exact"/>
        <w:ind w:firstLine="480" w:firstLineChars="200"/>
        <w:jc w:val="left"/>
        <w:rPr>
          <w:rFonts w:hint="default" w:ascii="Times New Roman" w:hAnsi="Times New Roman" w:eastAsia="仿宋_GB2312" w:cs="Times New Roman"/>
          <w:color w:val="auto"/>
          <w:sz w:val="24"/>
          <w:szCs w:val="24"/>
          <w:highlight w:val="none"/>
        </w:rPr>
      </w:pPr>
      <w:r>
        <w:rPr>
          <w:rFonts w:hint="default" w:ascii="Times New Roman" w:hAnsi="Times New Roman" w:eastAsia="仿宋_GB2312" w:cs="Times New Roman"/>
          <w:color w:val="auto"/>
          <w:sz w:val="24"/>
          <w:szCs w:val="24"/>
          <w:highlight w:val="none"/>
        </w:rPr>
        <w:t>（1）合同因有效期限届满而终止；</w:t>
      </w:r>
    </w:p>
    <w:p w14:paraId="1197CB1A">
      <w:pPr>
        <w:snapToGrid w:val="0"/>
        <w:spacing w:line="400" w:lineRule="exact"/>
        <w:ind w:firstLine="480" w:firstLineChars="200"/>
        <w:rPr>
          <w:rFonts w:hint="default" w:ascii="Times New Roman" w:hAnsi="Times New Roman" w:eastAsia="仿宋_GB2312" w:cs="Times New Roman"/>
          <w:color w:val="auto"/>
          <w:sz w:val="24"/>
          <w:szCs w:val="24"/>
          <w:highlight w:val="none"/>
          <w:lang w:eastAsia="zh-CN"/>
        </w:rPr>
      </w:pPr>
      <w:r>
        <w:rPr>
          <w:rFonts w:hint="default" w:ascii="Times New Roman" w:hAnsi="Times New Roman" w:eastAsia="仿宋_GB2312" w:cs="Times New Roman"/>
          <w:color w:val="auto"/>
          <w:sz w:val="24"/>
          <w:szCs w:val="24"/>
          <w:highlight w:val="none"/>
        </w:rPr>
        <w:t>（2）乙方未</w:t>
      </w:r>
      <w:r>
        <w:rPr>
          <w:rFonts w:hint="default" w:ascii="Times New Roman" w:hAnsi="Times New Roman" w:eastAsia="仿宋_GB2312" w:cs="Times New Roman"/>
          <w:color w:val="auto"/>
          <w:sz w:val="24"/>
          <w:szCs w:val="24"/>
          <w:highlight w:val="none"/>
          <w:lang w:eastAsia="zh-CN"/>
        </w:rPr>
        <w:t>按</w:t>
      </w:r>
      <w:r>
        <w:rPr>
          <w:rFonts w:hint="default" w:ascii="Times New Roman" w:hAnsi="Times New Roman" w:eastAsia="仿宋_GB2312" w:cs="Times New Roman"/>
          <w:color w:val="auto"/>
          <w:sz w:val="24"/>
          <w:szCs w:val="24"/>
          <w:highlight w:val="none"/>
        </w:rPr>
        <w:t>合同约定履行，构成根本性违约的，甲方有权终止合同</w:t>
      </w:r>
      <w:r>
        <w:rPr>
          <w:rFonts w:hint="default" w:ascii="Times New Roman" w:hAnsi="Times New Roman" w:eastAsia="仿宋_GB2312" w:cs="Times New Roman"/>
          <w:color w:val="auto"/>
          <w:sz w:val="24"/>
          <w:szCs w:val="24"/>
          <w:highlight w:val="none"/>
          <w:lang w:eastAsia="zh-CN"/>
        </w:rPr>
        <w:t>，</w:t>
      </w:r>
      <w:r>
        <w:rPr>
          <w:rFonts w:hint="default" w:ascii="Times New Roman" w:hAnsi="Times New Roman" w:eastAsia="仿宋_GB2312" w:cs="Times New Roman"/>
          <w:color w:val="auto"/>
          <w:sz w:val="24"/>
          <w:szCs w:val="24"/>
          <w:highlight w:val="none"/>
        </w:rPr>
        <w:t>并追究乙方的违约责</w:t>
      </w:r>
      <w:r>
        <w:rPr>
          <w:rFonts w:hint="default" w:ascii="Times New Roman" w:hAnsi="Times New Roman" w:eastAsia="仿宋_GB2312" w:cs="Times New Roman"/>
          <w:color w:val="auto"/>
          <w:sz w:val="24"/>
          <w:szCs w:val="24"/>
          <w:highlight w:val="none"/>
          <w:lang w:val="en-US" w:eastAsia="zh-CN"/>
        </w:rPr>
        <w:t>任</w:t>
      </w:r>
      <w:r>
        <w:rPr>
          <w:rFonts w:hint="default" w:ascii="Times New Roman" w:hAnsi="Times New Roman" w:eastAsia="仿宋_GB2312" w:cs="Times New Roman"/>
          <w:color w:val="auto"/>
          <w:sz w:val="24"/>
          <w:szCs w:val="24"/>
          <w:highlight w:val="none"/>
        </w:rPr>
        <w:t>。</w:t>
      </w:r>
    </w:p>
    <w:p w14:paraId="7AA88836">
      <w:pPr>
        <w:pStyle w:val="45"/>
        <w:rPr>
          <w:rFonts w:hint="default" w:ascii="Times New Roman" w:hAnsi="Times New Roman" w:eastAsia="仿宋_GB2312" w:cs="Times New Roman"/>
          <w:color w:val="auto"/>
          <w:sz w:val="24"/>
          <w:szCs w:val="24"/>
          <w:highlight w:val="none"/>
          <w:lang w:val="en-US" w:eastAsia="zh-CN"/>
        </w:rPr>
      </w:pPr>
      <w:r>
        <w:rPr>
          <w:rFonts w:hint="default" w:ascii="Times New Roman" w:hAnsi="Times New Roman" w:eastAsia="仿宋_GB2312" w:cs="Times New Roman"/>
          <w:color w:val="auto"/>
          <w:sz w:val="24"/>
          <w:szCs w:val="24"/>
          <w:highlight w:val="none"/>
          <w:lang w:val="en-US" w:eastAsia="zh-CN"/>
        </w:rPr>
        <w:t xml:space="preserve">16.4 </w:t>
      </w:r>
      <w:r>
        <w:rPr>
          <w:rFonts w:hint="default" w:ascii="Times New Roman" w:hAnsi="Times New Roman" w:eastAsia="仿宋_GB2312" w:cs="Times New Roman"/>
          <w:color w:val="auto"/>
          <w:kern w:val="2"/>
          <w:sz w:val="24"/>
          <w:szCs w:val="24"/>
          <w:highlight w:val="none"/>
          <w:lang w:val="en-US" w:eastAsia="zh-CN"/>
        </w:rPr>
        <w:t>涉及国家利益、社会公共利益的情形</w:t>
      </w:r>
    </w:p>
    <w:p w14:paraId="0F86BF18">
      <w:pPr>
        <w:pStyle w:val="45"/>
        <w:jc w:val="both"/>
        <w:rPr>
          <w:rFonts w:hint="default" w:ascii="Times New Roman" w:hAnsi="Times New Roman" w:eastAsia="仿宋_GB2312" w:cs="Times New Roman"/>
          <w:color w:val="auto"/>
          <w:sz w:val="24"/>
          <w:szCs w:val="24"/>
          <w:highlight w:val="none"/>
        </w:rPr>
      </w:pPr>
      <w:r>
        <w:rPr>
          <w:rFonts w:hint="default" w:ascii="Times New Roman" w:hAnsi="Times New Roman" w:eastAsia="仿宋_GB2312" w:cs="Times New Roman"/>
          <w:color w:val="auto"/>
          <w:sz w:val="24"/>
          <w:szCs w:val="24"/>
          <w:highlight w:val="none"/>
        </w:rPr>
        <w:t>政府采购合同继续履行将损害国家利益和社会公共利益的，双方当事人</w:t>
      </w:r>
      <w:r>
        <w:rPr>
          <w:rFonts w:hint="default" w:ascii="Times New Roman" w:hAnsi="Times New Roman" w:eastAsia="仿宋_GB2312" w:cs="Times New Roman"/>
          <w:color w:val="auto"/>
          <w:sz w:val="24"/>
          <w:szCs w:val="24"/>
          <w:highlight w:val="none"/>
          <w:lang w:val="en-US" w:eastAsia="zh-CN"/>
        </w:rPr>
        <w:t>应当变更、</w:t>
      </w:r>
      <w:r>
        <w:rPr>
          <w:rFonts w:hint="default" w:ascii="Times New Roman" w:hAnsi="Times New Roman" w:eastAsia="仿宋_GB2312" w:cs="Times New Roman"/>
          <w:color w:val="auto"/>
          <w:sz w:val="24"/>
          <w:szCs w:val="24"/>
          <w:highlight w:val="none"/>
        </w:rPr>
        <w:t>中止</w:t>
      </w:r>
      <w:r>
        <w:rPr>
          <w:rFonts w:hint="default" w:ascii="Times New Roman" w:hAnsi="Times New Roman" w:eastAsia="仿宋_GB2312" w:cs="Times New Roman"/>
          <w:color w:val="auto"/>
          <w:sz w:val="24"/>
          <w:szCs w:val="24"/>
          <w:highlight w:val="none"/>
          <w:lang w:eastAsia="zh-CN"/>
        </w:rPr>
        <w:t>或者终止</w:t>
      </w:r>
      <w:r>
        <w:rPr>
          <w:rFonts w:hint="default" w:ascii="Times New Roman" w:hAnsi="Times New Roman" w:eastAsia="仿宋_GB2312" w:cs="Times New Roman"/>
          <w:color w:val="auto"/>
          <w:sz w:val="24"/>
          <w:szCs w:val="24"/>
          <w:highlight w:val="none"/>
        </w:rPr>
        <w:t>合同。有过错的一方应当承担赔偿责任，双方都有过错的，各自承担相应的责任。</w:t>
      </w:r>
    </w:p>
    <w:p w14:paraId="21D2FA80">
      <w:pPr>
        <w:autoSpaceDE w:val="0"/>
        <w:autoSpaceDN w:val="0"/>
        <w:adjustRightInd w:val="0"/>
        <w:snapToGrid w:val="0"/>
        <w:spacing w:before="0" w:line="400" w:lineRule="exact"/>
        <w:jc w:val="left"/>
        <w:rPr>
          <w:rFonts w:hint="default" w:ascii="Times New Roman" w:hAnsi="Times New Roman" w:eastAsia="仿宋_GB2312" w:cs="Times New Roman"/>
          <w:b/>
          <w:bCs/>
          <w:color w:val="auto"/>
          <w:sz w:val="24"/>
          <w:szCs w:val="24"/>
          <w:highlight w:val="none"/>
        </w:rPr>
      </w:pPr>
      <w:r>
        <w:rPr>
          <w:rFonts w:hint="default" w:ascii="Times New Roman" w:hAnsi="Times New Roman" w:eastAsia="仿宋_GB2312" w:cs="Times New Roman"/>
          <w:b/>
          <w:bCs/>
          <w:color w:val="auto"/>
          <w:sz w:val="24"/>
          <w:szCs w:val="24"/>
          <w:highlight w:val="none"/>
        </w:rPr>
        <w:t>1</w:t>
      </w:r>
      <w:r>
        <w:rPr>
          <w:rFonts w:hint="default" w:ascii="Times New Roman" w:hAnsi="Times New Roman" w:eastAsia="仿宋_GB2312" w:cs="Times New Roman"/>
          <w:b/>
          <w:bCs/>
          <w:color w:val="auto"/>
          <w:sz w:val="24"/>
          <w:szCs w:val="24"/>
          <w:highlight w:val="none"/>
          <w:lang w:val="en-US" w:eastAsia="zh-CN"/>
        </w:rPr>
        <w:t>7</w:t>
      </w:r>
      <w:r>
        <w:rPr>
          <w:rFonts w:hint="default" w:ascii="Times New Roman" w:hAnsi="Times New Roman" w:eastAsia="仿宋_GB2312" w:cs="Times New Roman"/>
          <w:b/>
          <w:bCs/>
          <w:color w:val="auto"/>
          <w:sz w:val="24"/>
          <w:szCs w:val="24"/>
          <w:highlight w:val="none"/>
        </w:rPr>
        <w:t>.</w:t>
      </w:r>
      <w:r>
        <w:rPr>
          <w:rFonts w:hint="default" w:ascii="Times New Roman" w:hAnsi="Times New Roman" w:eastAsia="仿宋_GB2312" w:cs="Times New Roman"/>
          <w:b/>
          <w:bCs/>
          <w:color w:val="auto"/>
          <w:sz w:val="24"/>
          <w:szCs w:val="24"/>
          <w:highlight w:val="none"/>
          <w:lang w:val="en-US" w:eastAsia="zh-CN"/>
        </w:rPr>
        <w:t xml:space="preserve"> </w:t>
      </w:r>
      <w:r>
        <w:rPr>
          <w:rFonts w:hint="default" w:ascii="Times New Roman" w:hAnsi="Times New Roman" w:eastAsia="仿宋_GB2312" w:cs="Times New Roman"/>
          <w:b/>
          <w:bCs/>
          <w:color w:val="auto"/>
          <w:sz w:val="24"/>
          <w:szCs w:val="24"/>
          <w:highlight w:val="none"/>
        </w:rPr>
        <w:t>合同分包</w:t>
      </w:r>
    </w:p>
    <w:p w14:paraId="3A357EBF">
      <w:pPr>
        <w:autoSpaceDE w:val="0"/>
        <w:autoSpaceDN w:val="0"/>
        <w:adjustRightInd w:val="0"/>
        <w:snapToGrid w:val="0"/>
        <w:spacing w:before="0" w:line="400" w:lineRule="exact"/>
        <w:ind w:firstLine="480" w:firstLineChars="200"/>
        <w:jc w:val="left"/>
        <w:rPr>
          <w:rFonts w:hint="default" w:ascii="Times New Roman" w:hAnsi="Times New Roman" w:eastAsia="仿宋_GB2312" w:cs="Times New Roman"/>
          <w:color w:val="auto"/>
          <w:sz w:val="24"/>
          <w:szCs w:val="24"/>
          <w:highlight w:val="none"/>
        </w:rPr>
      </w:pPr>
      <w:r>
        <w:rPr>
          <w:rFonts w:hint="default" w:ascii="Times New Roman" w:hAnsi="Times New Roman" w:eastAsia="仿宋_GB2312" w:cs="Times New Roman"/>
          <w:color w:val="auto"/>
          <w:sz w:val="24"/>
          <w:szCs w:val="24"/>
          <w:highlight w:val="none"/>
        </w:rPr>
        <w:t>1</w:t>
      </w:r>
      <w:r>
        <w:rPr>
          <w:rFonts w:hint="default" w:ascii="Times New Roman" w:hAnsi="Times New Roman" w:eastAsia="仿宋_GB2312" w:cs="Times New Roman"/>
          <w:color w:val="auto"/>
          <w:sz w:val="24"/>
          <w:szCs w:val="24"/>
          <w:highlight w:val="none"/>
          <w:lang w:val="en-US" w:eastAsia="zh-CN"/>
        </w:rPr>
        <w:t>7</w:t>
      </w:r>
      <w:r>
        <w:rPr>
          <w:rFonts w:hint="default" w:ascii="Times New Roman" w:hAnsi="Times New Roman" w:eastAsia="仿宋_GB2312" w:cs="Times New Roman"/>
          <w:color w:val="auto"/>
          <w:sz w:val="24"/>
          <w:szCs w:val="24"/>
          <w:highlight w:val="none"/>
        </w:rPr>
        <w:t>.1 乙方不得</w:t>
      </w:r>
      <w:r>
        <w:rPr>
          <w:rFonts w:hint="default" w:ascii="Times New Roman" w:hAnsi="Times New Roman" w:eastAsia="仿宋_GB2312" w:cs="Times New Roman"/>
          <w:color w:val="auto"/>
          <w:sz w:val="24"/>
          <w:szCs w:val="24"/>
          <w:highlight w:val="none"/>
          <w:lang w:eastAsia="zh-CN"/>
        </w:rPr>
        <w:t>将合同转包给其他供应商。涉及合同分包的，乙方</w:t>
      </w:r>
      <w:r>
        <w:rPr>
          <w:rFonts w:hint="default" w:ascii="Times New Roman" w:hAnsi="Times New Roman" w:eastAsia="仿宋_GB2312" w:cs="Times New Roman"/>
          <w:color w:val="auto"/>
          <w:sz w:val="24"/>
          <w:szCs w:val="24"/>
          <w:highlight w:val="none"/>
          <w:lang w:val="en-US" w:eastAsia="zh-CN"/>
        </w:rPr>
        <w:t>应</w:t>
      </w:r>
      <w:r>
        <w:rPr>
          <w:rFonts w:hint="default" w:ascii="Times New Roman" w:hAnsi="Times New Roman" w:eastAsia="仿宋_GB2312" w:cs="Times New Roman"/>
          <w:color w:val="auto"/>
          <w:sz w:val="24"/>
          <w:szCs w:val="24"/>
          <w:highlight w:val="none"/>
          <w:lang w:eastAsia="zh-CN"/>
        </w:rPr>
        <w:t>根据采购文件和投标（响应）文件规定进行</w:t>
      </w:r>
      <w:r>
        <w:rPr>
          <w:rFonts w:hint="default" w:ascii="Times New Roman" w:hAnsi="Times New Roman" w:eastAsia="仿宋_GB2312" w:cs="Times New Roman"/>
          <w:color w:val="auto"/>
          <w:sz w:val="24"/>
          <w:szCs w:val="24"/>
          <w:highlight w:val="none"/>
        </w:rPr>
        <w:t>合同分包。</w:t>
      </w:r>
    </w:p>
    <w:p w14:paraId="72B02C67">
      <w:pPr>
        <w:autoSpaceDE w:val="0"/>
        <w:autoSpaceDN w:val="0"/>
        <w:adjustRightInd w:val="0"/>
        <w:snapToGrid w:val="0"/>
        <w:spacing w:before="0" w:line="400" w:lineRule="exact"/>
        <w:ind w:firstLine="480" w:firstLineChars="200"/>
        <w:jc w:val="left"/>
        <w:rPr>
          <w:rFonts w:hint="default" w:ascii="Times New Roman" w:hAnsi="Times New Roman" w:eastAsia="仿宋_GB2312" w:cs="Times New Roman"/>
          <w:color w:val="auto"/>
          <w:sz w:val="24"/>
          <w:szCs w:val="24"/>
          <w:highlight w:val="none"/>
        </w:rPr>
      </w:pPr>
      <w:r>
        <w:rPr>
          <w:rFonts w:hint="default" w:ascii="Times New Roman" w:hAnsi="Times New Roman" w:eastAsia="仿宋_GB2312" w:cs="Times New Roman"/>
          <w:color w:val="auto"/>
          <w:sz w:val="24"/>
          <w:szCs w:val="24"/>
          <w:highlight w:val="none"/>
        </w:rPr>
        <w:t>1</w:t>
      </w:r>
      <w:r>
        <w:rPr>
          <w:rFonts w:hint="default" w:ascii="Times New Roman" w:hAnsi="Times New Roman" w:eastAsia="仿宋_GB2312" w:cs="Times New Roman"/>
          <w:color w:val="auto"/>
          <w:sz w:val="24"/>
          <w:szCs w:val="24"/>
          <w:highlight w:val="none"/>
          <w:lang w:val="en-US" w:eastAsia="zh-CN"/>
        </w:rPr>
        <w:t>7</w:t>
      </w:r>
      <w:r>
        <w:rPr>
          <w:rFonts w:hint="default" w:ascii="Times New Roman" w:hAnsi="Times New Roman" w:eastAsia="仿宋_GB2312" w:cs="Times New Roman"/>
          <w:color w:val="auto"/>
          <w:sz w:val="24"/>
          <w:szCs w:val="24"/>
          <w:highlight w:val="none"/>
        </w:rPr>
        <w:t>.2 乙方执行政府采购政策向中小企业依法分包的</w:t>
      </w:r>
      <w:r>
        <w:rPr>
          <w:rFonts w:hint="default" w:ascii="Times New Roman" w:hAnsi="Times New Roman" w:eastAsia="仿宋_GB2312" w:cs="Times New Roman"/>
          <w:color w:val="auto"/>
          <w:sz w:val="24"/>
          <w:szCs w:val="24"/>
          <w:highlight w:val="none"/>
          <w:lang w:eastAsia="zh-CN"/>
        </w:rPr>
        <w:t>，</w:t>
      </w:r>
      <w:r>
        <w:rPr>
          <w:rFonts w:hint="default" w:ascii="Times New Roman" w:hAnsi="Times New Roman" w:eastAsia="仿宋_GB2312" w:cs="Times New Roman"/>
          <w:color w:val="auto"/>
          <w:sz w:val="24"/>
          <w:szCs w:val="24"/>
          <w:highlight w:val="none"/>
        </w:rPr>
        <w:t>乙方应当按采购文件</w:t>
      </w:r>
      <w:r>
        <w:rPr>
          <w:rFonts w:hint="default" w:ascii="Times New Roman" w:hAnsi="Times New Roman" w:eastAsia="仿宋_GB2312" w:cs="Times New Roman"/>
          <w:color w:val="auto"/>
          <w:sz w:val="24"/>
          <w:szCs w:val="24"/>
          <w:highlight w:val="none"/>
          <w:lang w:eastAsia="zh-CN"/>
        </w:rPr>
        <w:t>和</w:t>
      </w:r>
      <w:r>
        <w:rPr>
          <w:rFonts w:hint="default" w:ascii="Times New Roman" w:hAnsi="Times New Roman" w:eastAsia="仿宋_GB2312" w:cs="Times New Roman"/>
          <w:color w:val="auto"/>
          <w:sz w:val="24"/>
          <w:szCs w:val="24"/>
          <w:highlight w:val="none"/>
        </w:rPr>
        <w:t>投标（响应）文件签订分包</w:t>
      </w:r>
      <w:r>
        <w:rPr>
          <w:rFonts w:hint="default" w:ascii="Times New Roman" w:hAnsi="Times New Roman" w:eastAsia="仿宋_GB2312" w:cs="Times New Roman"/>
          <w:color w:val="auto"/>
          <w:sz w:val="24"/>
          <w:szCs w:val="24"/>
          <w:highlight w:val="none"/>
          <w:lang w:eastAsia="zh-CN"/>
        </w:rPr>
        <w:t>意向</w:t>
      </w:r>
      <w:r>
        <w:rPr>
          <w:rFonts w:hint="default" w:ascii="Times New Roman" w:hAnsi="Times New Roman" w:eastAsia="仿宋_GB2312" w:cs="Times New Roman"/>
          <w:color w:val="auto"/>
          <w:sz w:val="24"/>
          <w:szCs w:val="24"/>
          <w:highlight w:val="none"/>
        </w:rPr>
        <w:t>协议，分包</w:t>
      </w:r>
      <w:r>
        <w:rPr>
          <w:rFonts w:hint="default" w:ascii="Times New Roman" w:hAnsi="Times New Roman" w:eastAsia="仿宋_GB2312" w:cs="Times New Roman"/>
          <w:color w:val="auto"/>
          <w:sz w:val="24"/>
          <w:szCs w:val="24"/>
          <w:highlight w:val="none"/>
          <w:lang w:eastAsia="zh-CN"/>
        </w:rPr>
        <w:t>意向</w:t>
      </w:r>
      <w:r>
        <w:rPr>
          <w:rFonts w:hint="default" w:ascii="Times New Roman" w:hAnsi="Times New Roman" w:eastAsia="仿宋_GB2312" w:cs="Times New Roman"/>
          <w:color w:val="auto"/>
          <w:sz w:val="24"/>
          <w:szCs w:val="24"/>
          <w:highlight w:val="none"/>
        </w:rPr>
        <w:t>协议属于本合同组成部分。</w:t>
      </w:r>
    </w:p>
    <w:p w14:paraId="1F5692AB">
      <w:pPr>
        <w:autoSpaceDE w:val="0"/>
        <w:autoSpaceDN w:val="0"/>
        <w:adjustRightInd w:val="0"/>
        <w:snapToGrid w:val="0"/>
        <w:spacing w:before="0" w:line="400" w:lineRule="exact"/>
        <w:jc w:val="left"/>
        <w:rPr>
          <w:rFonts w:hint="default" w:ascii="Times New Roman" w:hAnsi="Times New Roman" w:eastAsia="仿宋_GB2312" w:cs="Times New Roman"/>
          <w:b/>
          <w:bCs/>
          <w:color w:val="auto"/>
          <w:sz w:val="24"/>
          <w:szCs w:val="24"/>
          <w:highlight w:val="none"/>
        </w:rPr>
      </w:pPr>
      <w:r>
        <w:rPr>
          <w:rFonts w:hint="default" w:ascii="Times New Roman" w:hAnsi="Times New Roman" w:eastAsia="仿宋_GB2312" w:cs="Times New Roman"/>
          <w:b/>
          <w:bCs/>
          <w:color w:val="auto"/>
          <w:sz w:val="24"/>
          <w:szCs w:val="24"/>
          <w:highlight w:val="none"/>
          <w:lang w:eastAsia="zh-CN"/>
        </w:rPr>
        <w:t>1</w:t>
      </w:r>
      <w:r>
        <w:rPr>
          <w:rFonts w:hint="default" w:ascii="Times New Roman" w:hAnsi="Times New Roman" w:eastAsia="仿宋_GB2312" w:cs="Times New Roman"/>
          <w:b/>
          <w:bCs/>
          <w:color w:val="auto"/>
          <w:sz w:val="24"/>
          <w:szCs w:val="24"/>
          <w:highlight w:val="none"/>
          <w:lang w:val="en-US" w:eastAsia="zh-CN"/>
        </w:rPr>
        <w:t>8</w:t>
      </w:r>
      <w:r>
        <w:rPr>
          <w:rFonts w:hint="default" w:ascii="Times New Roman" w:hAnsi="Times New Roman" w:eastAsia="仿宋_GB2312" w:cs="Times New Roman"/>
          <w:b/>
          <w:bCs/>
          <w:color w:val="auto"/>
          <w:sz w:val="24"/>
          <w:szCs w:val="24"/>
          <w:highlight w:val="none"/>
        </w:rPr>
        <w:t>.</w:t>
      </w:r>
      <w:r>
        <w:rPr>
          <w:rFonts w:hint="default" w:ascii="Times New Roman" w:hAnsi="Times New Roman" w:eastAsia="仿宋_GB2312" w:cs="Times New Roman"/>
          <w:b/>
          <w:bCs/>
          <w:color w:val="auto"/>
          <w:sz w:val="24"/>
          <w:szCs w:val="24"/>
          <w:highlight w:val="none"/>
          <w:lang w:val="en-US" w:eastAsia="zh-CN"/>
        </w:rPr>
        <w:t xml:space="preserve"> </w:t>
      </w:r>
      <w:r>
        <w:rPr>
          <w:rFonts w:hint="default" w:ascii="Times New Roman" w:hAnsi="Times New Roman" w:eastAsia="仿宋_GB2312" w:cs="Times New Roman"/>
          <w:b/>
          <w:bCs/>
          <w:color w:val="auto"/>
          <w:sz w:val="24"/>
          <w:szCs w:val="24"/>
          <w:highlight w:val="none"/>
        </w:rPr>
        <w:t>不可抗力</w:t>
      </w:r>
    </w:p>
    <w:p w14:paraId="41FBDF54">
      <w:pPr>
        <w:autoSpaceDE w:val="0"/>
        <w:autoSpaceDN w:val="0"/>
        <w:adjustRightInd w:val="0"/>
        <w:snapToGrid w:val="0"/>
        <w:spacing w:before="0" w:line="400" w:lineRule="exact"/>
        <w:ind w:firstLine="480" w:firstLineChars="200"/>
        <w:jc w:val="left"/>
        <w:rPr>
          <w:rFonts w:hint="default" w:ascii="Times New Roman" w:hAnsi="Times New Roman" w:eastAsia="仿宋_GB2312" w:cs="Times New Roman"/>
          <w:color w:val="auto"/>
          <w:sz w:val="24"/>
          <w:szCs w:val="24"/>
          <w:highlight w:val="none"/>
        </w:rPr>
      </w:pPr>
      <w:r>
        <w:rPr>
          <w:rFonts w:hint="default" w:ascii="Times New Roman" w:hAnsi="Times New Roman" w:eastAsia="仿宋_GB2312" w:cs="Times New Roman"/>
          <w:color w:val="auto"/>
          <w:sz w:val="24"/>
          <w:szCs w:val="24"/>
          <w:highlight w:val="none"/>
          <w:lang w:eastAsia="zh-CN"/>
        </w:rPr>
        <w:t>1</w:t>
      </w:r>
      <w:r>
        <w:rPr>
          <w:rFonts w:hint="default" w:ascii="Times New Roman" w:hAnsi="Times New Roman" w:eastAsia="仿宋_GB2312" w:cs="Times New Roman"/>
          <w:color w:val="auto"/>
          <w:sz w:val="24"/>
          <w:szCs w:val="24"/>
          <w:highlight w:val="none"/>
          <w:lang w:val="en-US" w:eastAsia="zh-CN"/>
        </w:rPr>
        <w:t>8</w:t>
      </w:r>
      <w:r>
        <w:rPr>
          <w:rFonts w:hint="default" w:ascii="Times New Roman" w:hAnsi="Times New Roman" w:eastAsia="仿宋_GB2312" w:cs="Times New Roman"/>
          <w:color w:val="auto"/>
          <w:sz w:val="24"/>
          <w:szCs w:val="24"/>
          <w:highlight w:val="none"/>
        </w:rPr>
        <w:t>.1 不可抗力是指合同双方不能预见、不能避免且不能克服的客观情况。</w:t>
      </w:r>
    </w:p>
    <w:p w14:paraId="58C23C55">
      <w:pPr>
        <w:autoSpaceDE w:val="0"/>
        <w:autoSpaceDN w:val="0"/>
        <w:adjustRightInd w:val="0"/>
        <w:snapToGrid w:val="0"/>
        <w:spacing w:before="0" w:line="400" w:lineRule="exact"/>
        <w:ind w:firstLine="480" w:firstLineChars="200"/>
        <w:jc w:val="left"/>
        <w:rPr>
          <w:rFonts w:hint="default" w:ascii="Times New Roman" w:hAnsi="Times New Roman" w:eastAsia="仿宋_GB2312" w:cs="Times New Roman"/>
          <w:color w:val="auto"/>
          <w:sz w:val="24"/>
          <w:szCs w:val="24"/>
          <w:highlight w:val="none"/>
        </w:rPr>
      </w:pPr>
      <w:r>
        <w:rPr>
          <w:rFonts w:hint="default" w:ascii="Times New Roman" w:hAnsi="Times New Roman" w:eastAsia="仿宋_GB2312" w:cs="Times New Roman"/>
          <w:color w:val="auto"/>
          <w:sz w:val="24"/>
          <w:szCs w:val="24"/>
          <w:highlight w:val="none"/>
          <w:lang w:eastAsia="zh-CN"/>
        </w:rPr>
        <w:t>1</w:t>
      </w:r>
      <w:r>
        <w:rPr>
          <w:rFonts w:hint="default" w:ascii="Times New Roman" w:hAnsi="Times New Roman" w:eastAsia="仿宋_GB2312" w:cs="Times New Roman"/>
          <w:color w:val="auto"/>
          <w:sz w:val="24"/>
          <w:szCs w:val="24"/>
          <w:highlight w:val="none"/>
          <w:lang w:val="en-US" w:eastAsia="zh-CN"/>
        </w:rPr>
        <w:t>8</w:t>
      </w:r>
      <w:r>
        <w:rPr>
          <w:rFonts w:hint="default" w:ascii="Times New Roman" w:hAnsi="Times New Roman" w:eastAsia="仿宋_GB2312" w:cs="Times New Roman"/>
          <w:color w:val="auto"/>
          <w:sz w:val="24"/>
          <w:szCs w:val="24"/>
          <w:highlight w:val="none"/>
        </w:rPr>
        <w:t>.2 任何一方对由于不可抗力造成的部分或全部不能履行合同不承担违约责任。但迟延履行后发生不可抗力的，不能免除责任。</w:t>
      </w:r>
    </w:p>
    <w:p w14:paraId="54BBE694">
      <w:pPr>
        <w:autoSpaceDE w:val="0"/>
        <w:autoSpaceDN w:val="0"/>
        <w:adjustRightInd w:val="0"/>
        <w:snapToGrid w:val="0"/>
        <w:spacing w:before="0" w:line="400" w:lineRule="exact"/>
        <w:ind w:firstLine="480" w:firstLineChars="200"/>
        <w:jc w:val="left"/>
        <w:rPr>
          <w:rFonts w:hint="default" w:ascii="Times New Roman" w:hAnsi="Times New Roman" w:eastAsia="仿宋_GB2312" w:cs="Times New Roman"/>
          <w:color w:val="auto"/>
          <w:sz w:val="24"/>
          <w:szCs w:val="24"/>
          <w:highlight w:val="none"/>
        </w:rPr>
      </w:pPr>
      <w:r>
        <w:rPr>
          <w:rFonts w:hint="default" w:ascii="Times New Roman" w:hAnsi="Times New Roman" w:eastAsia="仿宋_GB2312" w:cs="Times New Roman"/>
          <w:color w:val="auto"/>
          <w:sz w:val="24"/>
          <w:szCs w:val="24"/>
          <w:highlight w:val="none"/>
          <w:lang w:eastAsia="zh-CN"/>
        </w:rPr>
        <w:t>1</w:t>
      </w:r>
      <w:r>
        <w:rPr>
          <w:rFonts w:hint="default" w:ascii="Times New Roman" w:hAnsi="Times New Roman" w:eastAsia="仿宋_GB2312" w:cs="Times New Roman"/>
          <w:color w:val="auto"/>
          <w:sz w:val="24"/>
          <w:szCs w:val="24"/>
          <w:highlight w:val="none"/>
          <w:lang w:val="en-US" w:eastAsia="zh-CN"/>
        </w:rPr>
        <w:t>8</w:t>
      </w:r>
      <w:r>
        <w:rPr>
          <w:rFonts w:hint="default" w:ascii="Times New Roman" w:hAnsi="Times New Roman" w:eastAsia="仿宋_GB2312" w:cs="Times New Roman"/>
          <w:color w:val="auto"/>
          <w:sz w:val="24"/>
          <w:szCs w:val="24"/>
          <w:highlight w:val="none"/>
        </w:rPr>
        <w:t>.3 遇有不可抗力的一方，应及时将事件情况以书面形式</w:t>
      </w:r>
      <w:r>
        <w:rPr>
          <w:rFonts w:hint="default" w:ascii="Times New Roman" w:hAnsi="Times New Roman" w:eastAsia="仿宋_GB2312" w:cs="Times New Roman"/>
          <w:color w:val="auto"/>
          <w:sz w:val="24"/>
          <w:szCs w:val="24"/>
          <w:highlight w:val="none"/>
          <w:lang w:eastAsia="zh-CN"/>
        </w:rPr>
        <w:t>告</w:t>
      </w:r>
      <w:r>
        <w:rPr>
          <w:rFonts w:hint="default" w:ascii="Times New Roman" w:hAnsi="Times New Roman" w:eastAsia="仿宋_GB2312" w:cs="Times New Roman"/>
          <w:color w:val="auto"/>
          <w:sz w:val="24"/>
          <w:szCs w:val="24"/>
          <w:highlight w:val="none"/>
        </w:rPr>
        <w:t>知另一方，并在事件发生后及时向另一方提交合同不能履行或部分不能履行或需要延期履行</w:t>
      </w:r>
      <w:r>
        <w:rPr>
          <w:rFonts w:hint="default" w:ascii="Times New Roman" w:hAnsi="Times New Roman" w:eastAsia="仿宋_GB2312" w:cs="Times New Roman"/>
          <w:color w:val="auto"/>
          <w:sz w:val="24"/>
          <w:szCs w:val="24"/>
          <w:highlight w:val="none"/>
          <w:lang w:eastAsia="zh-CN"/>
        </w:rPr>
        <w:t>的详细</w:t>
      </w:r>
      <w:r>
        <w:rPr>
          <w:rFonts w:hint="default" w:ascii="Times New Roman" w:hAnsi="Times New Roman" w:eastAsia="仿宋_GB2312" w:cs="Times New Roman"/>
          <w:color w:val="auto"/>
          <w:sz w:val="24"/>
          <w:szCs w:val="24"/>
          <w:highlight w:val="none"/>
        </w:rPr>
        <w:t>报告</w:t>
      </w:r>
      <w:r>
        <w:rPr>
          <w:rFonts w:hint="default" w:ascii="Times New Roman" w:hAnsi="Times New Roman" w:eastAsia="仿宋_GB2312" w:cs="Times New Roman"/>
          <w:color w:val="auto"/>
          <w:sz w:val="24"/>
          <w:szCs w:val="24"/>
          <w:highlight w:val="none"/>
          <w:lang w:eastAsia="zh-CN"/>
        </w:rPr>
        <w:t>，以</w:t>
      </w:r>
      <w:r>
        <w:rPr>
          <w:rFonts w:hint="default" w:ascii="Times New Roman" w:hAnsi="Times New Roman" w:eastAsia="仿宋_GB2312" w:cs="Times New Roman"/>
          <w:color w:val="auto"/>
          <w:sz w:val="24"/>
          <w:szCs w:val="24"/>
          <w:highlight w:val="none"/>
          <w:lang w:val="en-US" w:eastAsia="zh-CN"/>
        </w:rPr>
        <w:t>及证明不可抗力发生及其持续时间的证据</w:t>
      </w:r>
      <w:r>
        <w:rPr>
          <w:rFonts w:hint="default" w:ascii="Times New Roman" w:hAnsi="Times New Roman" w:eastAsia="仿宋_GB2312" w:cs="Times New Roman"/>
          <w:color w:val="auto"/>
          <w:sz w:val="24"/>
          <w:szCs w:val="24"/>
          <w:highlight w:val="none"/>
        </w:rPr>
        <w:t>。</w:t>
      </w:r>
    </w:p>
    <w:p w14:paraId="31823D92">
      <w:pPr>
        <w:autoSpaceDE w:val="0"/>
        <w:autoSpaceDN w:val="0"/>
        <w:adjustRightInd w:val="0"/>
        <w:snapToGrid w:val="0"/>
        <w:spacing w:before="0" w:line="400" w:lineRule="exact"/>
        <w:jc w:val="left"/>
        <w:rPr>
          <w:rFonts w:hint="default" w:ascii="Times New Roman" w:hAnsi="Times New Roman" w:eastAsia="仿宋_GB2312" w:cs="Times New Roman"/>
          <w:b/>
          <w:bCs/>
          <w:color w:val="auto"/>
          <w:sz w:val="24"/>
          <w:szCs w:val="24"/>
          <w:highlight w:val="none"/>
        </w:rPr>
      </w:pPr>
      <w:r>
        <w:rPr>
          <w:rFonts w:hint="default" w:ascii="Times New Roman" w:hAnsi="Times New Roman" w:eastAsia="仿宋_GB2312" w:cs="Times New Roman"/>
          <w:b/>
          <w:bCs/>
          <w:color w:val="auto"/>
          <w:sz w:val="24"/>
          <w:szCs w:val="24"/>
          <w:highlight w:val="none"/>
          <w:lang w:val="en-US" w:eastAsia="zh-CN"/>
        </w:rPr>
        <w:t>19</w:t>
      </w:r>
      <w:r>
        <w:rPr>
          <w:rFonts w:hint="default" w:ascii="Times New Roman" w:hAnsi="Times New Roman" w:eastAsia="仿宋_GB2312" w:cs="Times New Roman"/>
          <w:b/>
          <w:bCs/>
          <w:color w:val="auto"/>
          <w:sz w:val="24"/>
          <w:szCs w:val="24"/>
          <w:highlight w:val="none"/>
        </w:rPr>
        <w:t>.</w:t>
      </w:r>
      <w:r>
        <w:rPr>
          <w:rFonts w:hint="default" w:ascii="Times New Roman" w:hAnsi="Times New Roman" w:eastAsia="仿宋_GB2312" w:cs="Times New Roman"/>
          <w:b/>
          <w:bCs/>
          <w:color w:val="auto"/>
          <w:sz w:val="24"/>
          <w:szCs w:val="24"/>
          <w:highlight w:val="none"/>
          <w:lang w:val="en-US" w:eastAsia="zh-CN"/>
        </w:rPr>
        <w:t xml:space="preserve"> </w:t>
      </w:r>
      <w:r>
        <w:rPr>
          <w:rFonts w:hint="default" w:ascii="Times New Roman" w:hAnsi="Times New Roman" w:eastAsia="仿宋_GB2312" w:cs="Times New Roman"/>
          <w:b/>
          <w:bCs/>
          <w:color w:val="auto"/>
          <w:sz w:val="24"/>
          <w:szCs w:val="24"/>
          <w:highlight w:val="none"/>
        </w:rPr>
        <w:t>解决争议的方法</w:t>
      </w:r>
    </w:p>
    <w:p w14:paraId="6B34CBA5">
      <w:pPr>
        <w:pStyle w:val="45"/>
        <w:jc w:val="both"/>
        <w:rPr>
          <w:rFonts w:hint="default" w:ascii="Times New Roman" w:hAnsi="Times New Roman" w:eastAsia="仿宋_GB2312" w:cs="Times New Roman"/>
          <w:color w:val="auto"/>
          <w:sz w:val="24"/>
          <w:szCs w:val="24"/>
          <w:highlight w:val="none"/>
        </w:rPr>
      </w:pPr>
      <w:r>
        <w:rPr>
          <w:rFonts w:hint="default" w:ascii="Times New Roman" w:hAnsi="Times New Roman" w:eastAsia="仿宋_GB2312" w:cs="Times New Roman"/>
          <w:color w:val="auto"/>
          <w:sz w:val="24"/>
          <w:szCs w:val="24"/>
          <w:highlight w:val="none"/>
          <w:lang w:val="en-US" w:eastAsia="zh-CN"/>
        </w:rPr>
        <w:t>19</w:t>
      </w:r>
      <w:r>
        <w:rPr>
          <w:rFonts w:hint="default" w:ascii="Times New Roman" w:hAnsi="Times New Roman" w:eastAsia="仿宋_GB2312" w:cs="Times New Roman"/>
          <w:color w:val="auto"/>
          <w:sz w:val="24"/>
          <w:szCs w:val="24"/>
          <w:highlight w:val="none"/>
        </w:rPr>
        <w:t>.1 因本合同及合同有关事项发生的争议，由</w:t>
      </w:r>
      <w:r>
        <w:rPr>
          <w:rFonts w:hint="default" w:ascii="Times New Roman" w:hAnsi="Times New Roman" w:eastAsia="仿宋_GB2312" w:cs="Times New Roman"/>
          <w:color w:val="auto"/>
          <w:sz w:val="24"/>
          <w:szCs w:val="24"/>
          <w:highlight w:val="none"/>
          <w:lang w:eastAsia="zh-CN"/>
        </w:rPr>
        <w:t>甲乙双</w:t>
      </w:r>
      <w:r>
        <w:rPr>
          <w:rFonts w:hint="default" w:ascii="Times New Roman" w:hAnsi="Times New Roman" w:eastAsia="仿宋_GB2312" w:cs="Times New Roman"/>
          <w:color w:val="auto"/>
          <w:sz w:val="24"/>
          <w:szCs w:val="24"/>
          <w:highlight w:val="none"/>
        </w:rPr>
        <w:t>方友好协商解决。协商不成时，可以</w:t>
      </w:r>
      <w:r>
        <w:rPr>
          <w:rFonts w:hint="default" w:ascii="Times New Roman" w:hAnsi="Times New Roman" w:eastAsia="仿宋_GB2312" w:cs="Times New Roman"/>
          <w:color w:val="auto"/>
          <w:sz w:val="24"/>
          <w:szCs w:val="24"/>
          <w:highlight w:val="none"/>
          <w:lang w:eastAsia="zh-CN"/>
        </w:rPr>
        <w:t>向有关组织申请</w:t>
      </w:r>
      <w:r>
        <w:rPr>
          <w:rFonts w:hint="default" w:ascii="Times New Roman" w:hAnsi="Times New Roman" w:eastAsia="仿宋_GB2312" w:cs="Times New Roman"/>
          <w:color w:val="auto"/>
          <w:sz w:val="24"/>
          <w:szCs w:val="24"/>
          <w:highlight w:val="none"/>
        </w:rPr>
        <w:t>调解。合同一方或</w:t>
      </w:r>
      <w:r>
        <w:rPr>
          <w:rFonts w:hint="default" w:ascii="Times New Roman" w:hAnsi="Times New Roman" w:eastAsia="仿宋_GB2312" w:cs="Times New Roman"/>
          <w:color w:val="auto"/>
          <w:sz w:val="24"/>
          <w:szCs w:val="24"/>
          <w:highlight w:val="none"/>
          <w:lang w:eastAsia="zh-CN"/>
        </w:rPr>
        <w:t>双</w:t>
      </w:r>
      <w:r>
        <w:rPr>
          <w:rFonts w:hint="default" w:ascii="Times New Roman" w:hAnsi="Times New Roman" w:eastAsia="仿宋_GB2312" w:cs="Times New Roman"/>
          <w:color w:val="auto"/>
          <w:sz w:val="24"/>
          <w:szCs w:val="24"/>
          <w:highlight w:val="none"/>
        </w:rPr>
        <w:t>方不愿调解或调解不成的，可以通过仲裁或诉讼的方式解决争议。</w:t>
      </w:r>
    </w:p>
    <w:p w14:paraId="2B663EFA">
      <w:pPr>
        <w:pStyle w:val="45"/>
        <w:jc w:val="both"/>
        <w:rPr>
          <w:rFonts w:hint="default" w:ascii="Times New Roman" w:hAnsi="Times New Roman" w:eastAsia="仿宋_GB2312" w:cs="Times New Roman"/>
          <w:color w:val="auto"/>
          <w:sz w:val="24"/>
          <w:szCs w:val="24"/>
          <w:highlight w:val="none"/>
        </w:rPr>
      </w:pPr>
      <w:r>
        <w:rPr>
          <w:rFonts w:hint="default" w:ascii="Times New Roman" w:hAnsi="Times New Roman" w:eastAsia="仿宋_GB2312" w:cs="Times New Roman"/>
          <w:color w:val="auto"/>
          <w:sz w:val="24"/>
          <w:szCs w:val="24"/>
          <w:highlight w:val="none"/>
          <w:lang w:val="en-US" w:eastAsia="zh-CN"/>
        </w:rPr>
        <w:t>19</w:t>
      </w:r>
      <w:r>
        <w:rPr>
          <w:rFonts w:hint="default" w:ascii="Times New Roman" w:hAnsi="Times New Roman" w:eastAsia="仿宋_GB2312" w:cs="Times New Roman"/>
          <w:color w:val="auto"/>
          <w:sz w:val="24"/>
          <w:szCs w:val="24"/>
          <w:highlight w:val="none"/>
        </w:rPr>
        <w:t>.2 选择仲裁的，应在</w:t>
      </w:r>
      <w:r>
        <w:rPr>
          <w:rFonts w:hint="default" w:ascii="Times New Roman" w:hAnsi="Times New Roman" w:eastAsia="仿宋_GB2312" w:cs="Times New Roman"/>
          <w:b/>
          <w:bCs/>
          <w:color w:val="auto"/>
          <w:sz w:val="24"/>
          <w:szCs w:val="24"/>
          <w:highlight w:val="none"/>
        </w:rPr>
        <w:t>【政府采购合同专用条款】</w:t>
      </w:r>
      <w:r>
        <w:rPr>
          <w:rFonts w:hint="default" w:ascii="Times New Roman" w:hAnsi="Times New Roman" w:eastAsia="仿宋_GB2312" w:cs="Times New Roman"/>
          <w:color w:val="auto"/>
          <w:sz w:val="24"/>
          <w:szCs w:val="24"/>
          <w:highlight w:val="none"/>
        </w:rPr>
        <w:t>中明确仲裁机构及仲裁地；通过诉讼方式解决的，可以在</w:t>
      </w:r>
      <w:r>
        <w:rPr>
          <w:rFonts w:hint="default" w:ascii="Times New Roman" w:hAnsi="Times New Roman" w:eastAsia="仿宋_GB2312" w:cs="Times New Roman"/>
          <w:b/>
          <w:bCs/>
          <w:color w:val="auto"/>
          <w:sz w:val="24"/>
          <w:szCs w:val="24"/>
          <w:highlight w:val="none"/>
        </w:rPr>
        <w:t>【政府采购合同专用条款】</w:t>
      </w:r>
      <w:r>
        <w:rPr>
          <w:rFonts w:hint="default" w:ascii="Times New Roman" w:hAnsi="Times New Roman" w:eastAsia="仿宋_GB2312" w:cs="Times New Roman"/>
          <w:color w:val="auto"/>
          <w:sz w:val="24"/>
          <w:szCs w:val="24"/>
          <w:highlight w:val="none"/>
        </w:rPr>
        <w:t>中进一步约定选择与争议有实际联系的地点的人民法院管辖，但管辖法院的约定不得违反级别管辖和专属管辖的规定。</w:t>
      </w:r>
    </w:p>
    <w:p w14:paraId="61207854">
      <w:pPr>
        <w:pStyle w:val="45"/>
        <w:jc w:val="both"/>
        <w:rPr>
          <w:rFonts w:hint="default" w:ascii="Times New Roman" w:hAnsi="Times New Roman" w:eastAsia="仿宋_GB2312" w:cs="Times New Roman"/>
          <w:color w:val="auto"/>
          <w:sz w:val="24"/>
          <w:szCs w:val="24"/>
          <w:highlight w:val="none"/>
        </w:rPr>
      </w:pPr>
      <w:r>
        <w:rPr>
          <w:rFonts w:hint="default" w:ascii="Times New Roman" w:hAnsi="Times New Roman" w:eastAsia="仿宋_GB2312" w:cs="Times New Roman"/>
          <w:color w:val="auto"/>
          <w:sz w:val="24"/>
          <w:szCs w:val="24"/>
          <w:highlight w:val="none"/>
          <w:lang w:val="en-US" w:eastAsia="zh-CN"/>
        </w:rPr>
        <w:t>19</w:t>
      </w:r>
      <w:r>
        <w:rPr>
          <w:rFonts w:hint="default" w:ascii="Times New Roman" w:hAnsi="Times New Roman" w:eastAsia="仿宋_GB2312" w:cs="Times New Roman"/>
          <w:color w:val="auto"/>
          <w:sz w:val="24"/>
          <w:szCs w:val="24"/>
          <w:highlight w:val="none"/>
        </w:rPr>
        <w:t>.3 如</w:t>
      </w:r>
      <w:r>
        <w:rPr>
          <w:rFonts w:hint="default" w:ascii="Times New Roman" w:hAnsi="Times New Roman" w:eastAsia="仿宋_GB2312" w:cs="Times New Roman"/>
          <w:color w:val="auto"/>
          <w:sz w:val="24"/>
          <w:szCs w:val="24"/>
          <w:highlight w:val="none"/>
          <w:lang w:eastAsia="zh-CN"/>
        </w:rPr>
        <w:t>甲乙双方</w:t>
      </w:r>
      <w:r>
        <w:rPr>
          <w:rFonts w:hint="default" w:ascii="Times New Roman" w:hAnsi="Times New Roman" w:eastAsia="仿宋_GB2312" w:cs="Times New Roman"/>
          <w:color w:val="auto"/>
          <w:sz w:val="24"/>
          <w:szCs w:val="24"/>
          <w:highlight w:val="none"/>
        </w:rPr>
        <w:t>有争议的事项不影响合同其他部分的履行，在争议解决期间，合同其他部分应</w:t>
      </w:r>
      <w:r>
        <w:rPr>
          <w:rFonts w:hint="default" w:ascii="Times New Roman" w:hAnsi="Times New Roman" w:eastAsia="仿宋_GB2312" w:cs="Times New Roman"/>
          <w:color w:val="auto"/>
          <w:sz w:val="24"/>
          <w:szCs w:val="24"/>
          <w:highlight w:val="none"/>
          <w:lang w:eastAsia="zh-CN"/>
        </w:rPr>
        <w:t>当</w:t>
      </w:r>
      <w:r>
        <w:rPr>
          <w:rFonts w:hint="default" w:ascii="Times New Roman" w:hAnsi="Times New Roman" w:eastAsia="仿宋_GB2312" w:cs="Times New Roman"/>
          <w:color w:val="auto"/>
          <w:sz w:val="24"/>
          <w:szCs w:val="24"/>
          <w:highlight w:val="none"/>
        </w:rPr>
        <w:t>继续履行。</w:t>
      </w:r>
    </w:p>
    <w:p w14:paraId="329F9CF2">
      <w:pPr>
        <w:autoSpaceDE w:val="0"/>
        <w:autoSpaceDN w:val="0"/>
        <w:adjustRightInd w:val="0"/>
        <w:snapToGrid w:val="0"/>
        <w:spacing w:before="0" w:line="400" w:lineRule="exact"/>
        <w:jc w:val="left"/>
        <w:rPr>
          <w:rFonts w:hint="default" w:ascii="Times New Roman" w:hAnsi="Times New Roman" w:eastAsia="仿宋_GB2312" w:cs="Times New Roman"/>
          <w:color w:val="auto"/>
          <w:sz w:val="24"/>
          <w:szCs w:val="24"/>
          <w:highlight w:val="none"/>
        </w:rPr>
      </w:pPr>
      <w:r>
        <w:rPr>
          <w:rFonts w:hint="default" w:ascii="Times New Roman" w:hAnsi="Times New Roman" w:eastAsia="仿宋_GB2312" w:cs="Times New Roman"/>
          <w:b/>
          <w:color w:val="auto"/>
          <w:sz w:val="24"/>
          <w:szCs w:val="24"/>
          <w:highlight w:val="none"/>
          <w:lang w:val="en-US" w:eastAsia="zh-CN"/>
        </w:rPr>
        <w:t>20</w:t>
      </w:r>
      <w:r>
        <w:rPr>
          <w:rFonts w:hint="default" w:ascii="Times New Roman" w:hAnsi="Times New Roman" w:eastAsia="仿宋_GB2312" w:cs="Times New Roman"/>
          <w:b/>
          <w:color w:val="auto"/>
          <w:sz w:val="24"/>
          <w:szCs w:val="24"/>
          <w:highlight w:val="none"/>
        </w:rPr>
        <w:t>.</w:t>
      </w:r>
      <w:r>
        <w:rPr>
          <w:rFonts w:hint="default" w:ascii="Times New Roman" w:hAnsi="Times New Roman" w:eastAsia="仿宋_GB2312" w:cs="Times New Roman"/>
          <w:b/>
          <w:color w:val="auto"/>
          <w:sz w:val="24"/>
          <w:szCs w:val="24"/>
          <w:highlight w:val="none"/>
          <w:lang w:val="en-US" w:eastAsia="zh-CN"/>
        </w:rPr>
        <w:t xml:space="preserve"> </w:t>
      </w:r>
      <w:r>
        <w:rPr>
          <w:rFonts w:hint="default" w:ascii="Times New Roman" w:hAnsi="Times New Roman" w:eastAsia="仿宋_GB2312" w:cs="Times New Roman"/>
          <w:b/>
          <w:color w:val="auto"/>
          <w:sz w:val="24"/>
          <w:szCs w:val="24"/>
          <w:highlight w:val="none"/>
        </w:rPr>
        <w:t>政府采购政策</w:t>
      </w:r>
    </w:p>
    <w:p w14:paraId="18641D18">
      <w:pPr>
        <w:autoSpaceDE w:val="0"/>
        <w:autoSpaceDN w:val="0"/>
        <w:adjustRightInd w:val="0"/>
        <w:snapToGrid w:val="0"/>
        <w:spacing w:before="0" w:line="400" w:lineRule="exact"/>
        <w:ind w:firstLine="480" w:firstLineChars="200"/>
        <w:jc w:val="left"/>
        <w:rPr>
          <w:rFonts w:hint="default" w:ascii="Times New Roman" w:hAnsi="Times New Roman" w:eastAsia="仿宋_GB2312" w:cs="Times New Roman"/>
          <w:color w:val="auto"/>
          <w:sz w:val="24"/>
          <w:szCs w:val="24"/>
          <w:highlight w:val="none"/>
          <w:lang w:val="en-US" w:eastAsia="zh-CN"/>
        </w:rPr>
      </w:pPr>
      <w:r>
        <w:rPr>
          <w:rFonts w:hint="default" w:ascii="Times New Roman" w:hAnsi="Times New Roman" w:eastAsia="仿宋_GB2312" w:cs="Times New Roman"/>
          <w:color w:val="auto"/>
          <w:sz w:val="24"/>
          <w:szCs w:val="24"/>
          <w:highlight w:val="none"/>
          <w:lang w:val="en-US" w:eastAsia="zh-CN"/>
        </w:rPr>
        <w:t xml:space="preserve">20.1 </w:t>
      </w:r>
      <w:r>
        <w:rPr>
          <w:rFonts w:hint="default" w:ascii="Times New Roman" w:hAnsi="Times New Roman" w:eastAsia="仿宋_GB2312" w:cs="Times New Roman"/>
          <w:color w:val="auto"/>
          <w:sz w:val="24"/>
          <w:szCs w:val="24"/>
          <w:highlight w:val="none"/>
          <w:lang w:val="en-GB"/>
        </w:rPr>
        <w:t>本合同应当按照规定执行政府采购政策。</w:t>
      </w:r>
    </w:p>
    <w:p w14:paraId="5C9CB127">
      <w:pPr>
        <w:autoSpaceDE w:val="0"/>
        <w:autoSpaceDN w:val="0"/>
        <w:adjustRightInd w:val="0"/>
        <w:snapToGrid w:val="0"/>
        <w:spacing w:before="0" w:line="400" w:lineRule="exact"/>
        <w:ind w:firstLine="480" w:firstLineChars="200"/>
        <w:jc w:val="left"/>
        <w:rPr>
          <w:rFonts w:hint="default" w:ascii="Times New Roman" w:hAnsi="Times New Roman" w:eastAsia="仿宋_GB2312" w:cs="Times New Roman"/>
          <w:color w:val="auto"/>
          <w:sz w:val="24"/>
          <w:szCs w:val="24"/>
          <w:highlight w:val="none"/>
        </w:rPr>
      </w:pPr>
      <w:r>
        <w:rPr>
          <w:rFonts w:hint="default" w:ascii="Times New Roman" w:hAnsi="Times New Roman" w:eastAsia="仿宋_GB2312" w:cs="Times New Roman"/>
          <w:color w:val="auto"/>
          <w:sz w:val="24"/>
          <w:szCs w:val="24"/>
          <w:highlight w:val="none"/>
        </w:rPr>
        <w:t>2</w:t>
      </w:r>
      <w:r>
        <w:rPr>
          <w:rFonts w:hint="default" w:ascii="Times New Roman" w:hAnsi="Times New Roman" w:eastAsia="仿宋_GB2312" w:cs="Times New Roman"/>
          <w:color w:val="auto"/>
          <w:sz w:val="24"/>
          <w:szCs w:val="24"/>
          <w:highlight w:val="none"/>
          <w:lang w:val="en-US" w:eastAsia="zh-CN"/>
        </w:rPr>
        <w:t>0</w:t>
      </w:r>
      <w:r>
        <w:rPr>
          <w:rFonts w:hint="default" w:ascii="Times New Roman" w:hAnsi="Times New Roman" w:eastAsia="仿宋_GB2312" w:cs="Times New Roman"/>
          <w:color w:val="auto"/>
          <w:sz w:val="24"/>
          <w:szCs w:val="24"/>
          <w:highlight w:val="none"/>
        </w:rPr>
        <w:t>.</w:t>
      </w:r>
      <w:r>
        <w:rPr>
          <w:rFonts w:hint="default" w:ascii="Times New Roman" w:hAnsi="Times New Roman" w:eastAsia="仿宋_GB2312" w:cs="Times New Roman"/>
          <w:color w:val="auto"/>
          <w:sz w:val="24"/>
          <w:szCs w:val="24"/>
          <w:highlight w:val="none"/>
          <w:lang w:val="en-US" w:eastAsia="zh-CN"/>
        </w:rPr>
        <w:t>2</w:t>
      </w:r>
      <w:r>
        <w:rPr>
          <w:rFonts w:hint="default" w:ascii="Times New Roman" w:hAnsi="Times New Roman" w:eastAsia="仿宋_GB2312" w:cs="Times New Roman"/>
          <w:color w:val="auto"/>
          <w:sz w:val="24"/>
          <w:szCs w:val="24"/>
          <w:highlight w:val="none"/>
        </w:rPr>
        <w:t xml:space="preserve"> 本合同依法执行政府采购政策的方式和内容，属于合同履约验收的范围。</w:t>
      </w:r>
      <w:r>
        <w:rPr>
          <w:rFonts w:hint="default" w:ascii="Times New Roman" w:hAnsi="Times New Roman" w:eastAsia="仿宋_GB2312" w:cs="Times New Roman"/>
          <w:color w:val="auto"/>
          <w:sz w:val="24"/>
          <w:szCs w:val="24"/>
          <w:highlight w:val="none"/>
          <w:lang w:eastAsia="zh-CN"/>
        </w:rPr>
        <w:t>甲乙双方</w:t>
      </w:r>
      <w:r>
        <w:rPr>
          <w:rFonts w:hint="default" w:ascii="Times New Roman" w:hAnsi="Times New Roman" w:eastAsia="仿宋_GB2312" w:cs="Times New Roman"/>
          <w:color w:val="auto"/>
          <w:sz w:val="24"/>
          <w:szCs w:val="24"/>
          <w:highlight w:val="none"/>
          <w:lang w:val="en-GB"/>
        </w:rPr>
        <w:t>未按规定要求执行政府采购政策造成损失的</w:t>
      </w:r>
      <w:r>
        <w:rPr>
          <w:rFonts w:hint="default" w:ascii="Times New Roman" w:hAnsi="Times New Roman" w:eastAsia="仿宋_GB2312" w:cs="Times New Roman"/>
          <w:color w:val="auto"/>
          <w:sz w:val="24"/>
          <w:szCs w:val="24"/>
          <w:highlight w:val="none"/>
        </w:rPr>
        <w:t>，有过错的一方应当承担赔偿责任，双方都有过错的，各自承担相应的责任。</w:t>
      </w:r>
    </w:p>
    <w:p w14:paraId="39B5FD9E">
      <w:pPr>
        <w:pStyle w:val="14"/>
        <w:tabs>
          <w:tab w:val="left" w:pos="780"/>
          <w:tab w:val="clear" w:pos="567"/>
        </w:tabs>
        <w:spacing w:after="0" w:line="400" w:lineRule="exact"/>
        <w:ind w:firstLine="480" w:firstLineChars="200"/>
        <w:rPr>
          <w:rFonts w:hint="default" w:ascii="Times New Roman" w:hAnsi="Times New Roman" w:eastAsia="仿宋_GB2312" w:cs="Times New Roman"/>
          <w:color w:val="auto"/>
          <w:sz w:val="24"/>
          <w:szCs w:val="24"/>
          <w:highlight w:val="none"/>
        </w:rPr>
      </w:pPr>
      <w:r>
        <w:rPr>
          <w:rFonts w:hint="default" w:ascii="Times New Roman" w:hAnsi="Times New Roman" w:eastAsia="仿宋_GB2312" w:cs="Times New Roman"/>
          <w:color w:val="auto"/>
          <w:sz w:val="24"/>
          <w:szCs w:val="24"/>
          <w:highlight w:val="none"/>
        </w:rPr>
        <w:t>2</w:t>
      </w:r>
      <w:r>
        <w:rPr>
          <w:rFonts w:hint="default" w:ascii="Times New Roman" w:hAnsi="Times New Roman" w:eastAsia="仿宋_GB2312" w:cs="Times New Roman"/>
          <w:color w:val="auto"/>
          <w:sz w:val="24"/>
          <w:szCs w:val="24"/>
          <w:highlight w:val="none"/>
          <w:lang w:val="en-US" w:eastAsia="zh-CN"/>
        </w:rPr>
        <w:t>0</w:t>
      </w:r>
      <w:r>
        <w:rPr>
          <w:rFonts w:hint="default" w:ascii="Times New Roman" w:hAnsi="Times New Roman" w:eastAsia="仿宋_GB2312" w:cs="Times New Roman"/>
          <w:color w:val="auto"/>
          <w:sz w:val="24"/>
          <w:szCs w:val="24"/>
          <w:highlight w:val="none"/>
        </w:rPr>
        <w:t>.</w:t>
      </w:r>
      <w:r>
        <w:rPr>
          <w:rFonts w:hint="default" w:ascii="Times New Roman" w:hAnsi="Times New Roman" w:eastAsia="仿宋_GB2312" w:cs="Times New Roman"/>
          <w:color w:val="auto"/>
          <w:sz w:val="24"/>
          <w:szCs w:val="24"/>
          <w:highlight w:val="none"/>
          <w:lang w:val="en-US" w:eastAsia="zh-CN"/>
        </w:rPr>
        <w:t>3</w:t>
      </w:r>
      <w:r>
        <w:rPr>
          <w:rFonts w:hint="default" w:ascii="Times New Roman" w:hAnsi="Times New Roman" w:eastAsia="仿宋_GB2312" w:cs="Times New Roman"/>
          <w:color w:val="auto"/>
          <w:sz w:val="24"/>
          <w:szCs w:val="24"/>
          <w:highlight w:val="none"/>
        </w:rPr>
        <w:t xml:space="preserve"> 对于</w:t>
      </w:r>
      <w:r>
        <w:rPr>
          <w:rFonts w:hint="default" w:ascii="Times New Roman" w:hAnsi="Times New Roman" w:eastAsia="仿宋_GB2312" w:cs="Times New Roman"/>
          <w:color w:val="auto"/>
          <w:sz w:val="24"/>
          <w:szCs w:val="24"/>
          <w:highlight w:val="none"/>
          <w:lang w:eastAsia="zh-CN"/>
        </w:rPr>
        <w:t>为落实中小企业支持政策，</w:t>
      </w:r>
      <w:r>
        <w:rPr>
          <w:rFonts w:hint="default" w:ascii="Times New Roman" w:hAnsi="Times New Roman" w:eastAsia="仿宋_GB2312" w:cs="Times New Roman"/>
          <w:color w:val="auto"/>
          <w:sz w:val="24"/>
          <w:szCs w:val="24"/>
          <w:highlight w:val="none"/>
        </w:rPr>
        <w:t>通过采购项目</w:t>
      </w:r>
      <w:r>
        <w:rPr>
          <w:rFonts w:hint="default" w:ascii="Times New Roman" w:hAnsi="Times New Roman" w:eastAsia="仿宋_GB2312" w:cs="Times New Roman"/>
          <w:color w:val="auto"/>
          <w:sz w:val="24"/>
          <w:szCs w:val="24"/>
          <w:highlight w:val="none"/>
          <w:lang w:eastAsia="zh-CN"/>
        </w:rPr>
        <w:t>整体</w:t>
      </w:r>
      <w:r>
        <w:rPr>
          <w:rFonts w:hint="default" w:ascii="Times New Roman" w:hAnsi="Times New Roman" w:eastAsia="仿宋_GB2312" w:cs="Times New Roman"/>
          <w:color w:val="auto"/>
          <w:sz w:val="24"/>
          <w:szCs w:val="24"/>
          <w:highlight w:val="none"/>
        </w:rPr>
        <w:t>预留、</w:t>
      </w:r>
      <w:r>
        <w:rPr>
          <w:rFonts w:hint="default" w:ascii="Times New Roman" w:hAnsi="Times New Roman" w:eastAsia="仿宋_GB2312" w:cs="Times New Roman"/>
          <w:color w:val="auto"/>
          <w:sz w:val="24"/>
          <w:szCs w:val="24"/>
          <w:highlight w:val="none"/>
          <w:lang w:eastAsia="zh-CN"/>
        </w:rPr>
        <w:t>设置</w:t>
      </w:r>
      <w:r>
        <w:rPr>
          <w:rFonts w:hint="default" w:ascii="Times New Roman" w:hAnsi="Times New Roman" w:eastAsia="仿宋_GB2312" w:cs="Times New Roman"/>
          <w:color w:val="auto"/>
          <w:sz w:val="24"/>
          <w:szCs w:val="24"/>
          <w:highlight w:val="none"/>
        </w:rPr>
        <w:t>采购包专门预留、要求以联合体形式参加或者合同分包等措施签订的采购合同，应当明确标注本合同为中小企业预留合同。其中，要求以联合体形式参加采购活动或者合同分包的，须将联合协议或者分包意向协议作为采购合同的组成部分。</w:t>
      </w:r>
    </w:p>
    <w:p w14:paraId="0AFE4A7D">
      <w:pPr>
        <w:autoSpaceDE w:val="0"/>
        <w:autoSpaceDN w:val="0"/>
        <w:adjustRightInd w:val="0"/>
        <w:snapToGrid w:val="0"/>
        <w:spacing w:before="0" w:line="400" w:lineRule="exact"/>
        <w:jc w:val="left"/>
        <w:rPr>
          <w:rFonts w:hint="default" w:ascii="Times New Roman" w:hAnsi="Times New Roman" w:eastAsia="仿宋_GB2312" w:cs="Times New Roman"/>
          <w:b/>
          <w:color w:val="auto"/>
          <w:sz w:val="24"/>
          <w:szCs w:val="24"/>
          <w:highlight w:val="none"/>
        </w:rPr>
      </w:pPr>
      <w:r>
        <w:rPr>
          <w:rFonts w:hint="default" w:ascii="Times New Roman" w:hAnsi="Times New Roman" w:eastAsia="仿宋_GB2312" w:cs="Times New Roman"/>
          <w:b/>
          <w:color w:val="auto"/>
          <w:sz w:val="24"/>
          <w:szCs w:val="24"/>
          <w:highlight w:val="none"/>
        </w:rPr>
        <w:t>2</w:t>
      </w:r>
      <w:r>
        <w:rPr>
          <w:rFonts w:hint="default" w:ascii="Times New Roman" w:hAnsi="Times New Roman" w:eastAsia="仿宋_GB2312" w:cs="Times New Roman"/>
          <w:b/>
          <w:color w:val="auto"/>
          <w:sz w:val="24"/>
          <w:szCs w:val="24"/>
          <w:highlight w:val="none"/>
          <w:lang w:val="en-US" w:eastAsia="zh-CN"/>
        </w:rPr>
        <w:t>1</w:t>
      </w:r>
      <w:r>
        <w:rPr>
          <w:rFonts w:hint="default" w:ascii="Times New Roman" w:hAnsi="Times New Roman" w:eastAsia="仿宋_GB2312" w:cs="Times New Roman"/>
          <w:b/>
          <w:color w:val="auto"/>
          <w:sz w:val="24"/>
          <w:szCs w:val="24"/>
          <w:highlight w:val="none"/>
        </w:rPr>
        <w:t>.</w:t>
      </w:r>
      <w:r>
        <w:rPr>
          <w:rFonts w:hint="default" w:ascii="Times New Roman" w:hAnsi="Times New Roman" w:eastAsia="仿宋_GB2312" w:cs="Times New Roman"/>
          <w:b/>
          <w:color w:val="auto"/>
          <w:sz w:val="24"/>
          <w:szCs w:val="24"/>
          <w:highlight w:val="none"/>
          <w:lang w:val="en-US" w:eastAsia="zh-CN"/>
        </w:rPr>
        <w:t xml:space="preserve"> </w:t>
      </w:r>
      <w:r>
        <w:rPr>
          <w:rFonts w:hint="default" w:ascii="Times New Roman" w:hAnsi="Times New Roman" w:eastAsia="仿宋_GB2312" w:cs="Times New Roman"/>
          <w:b/>
          <w:color w:val="auto"/>
          <w:sz w:val="24"/>
          <w:szCs w:val="24"/>
          <w:highlight w:val="none"/>
        </w:rPr>
        <w:t>法律适用</w:t>
      </w:r>
    </w:p>
    <w:p w14:paraId="72C5CB8A">
      <w:pPr>
        <w:pStyle w:val="45"/>
        <w:jc w:val="both"/>
        <w:rPr>
          <w:rFonts w:hint="default" w:ascii="Times New Roman" w:hAnsi="Times New Roman" w:eastAsia="仿宋_GB2312" w:cs="Times New Roman"/>
          <w:color w:val="auto"/>
          <w:sz w:val="24"/>
          <w:szCs w:val="24"/>
          <w:highlight w:val="none"/>
        </w:rPr>
      </w:pPr>
      <w:r>
        <w:rPr>
          <w:rFonts w:hint="default" w:ascii="Times New Roman" w:hAnsi="Times New Roman" w:eastAsia="仿宋_GB2312" w:cs="Times New Roman"/>
          <w:color w:val="auto"/>
          <w:sz w:val="24"/>
          <w:szCs w:val="24"/>
          <w:highlight w:val="none"/>
        </w:rPr>
        <w:t>2</w:t>
      </w:r>
      <w:r>
        <w:rPr>
          <w:rFonts w:hint="default" w:ascii="Times New Roman" w:hAnsi="Times New Roman" w:eastAsia="仿宋_GB2312" w:cs="Times New Roman"/>
          <w:color w:val="auto"/>
          <w:sz w:val="24"/>
          <w:szCs w:val="24"/>
          <w:highlight w:val="none"/>
          <w:lang w:val="en-US" w:eastAsia="zh-CN"/>
        </w:rPr>
        <w:t>1</w:t>
      </w:r>
      <w:r>
        <w:rPr>
          <w:rFonts w:hint="default" w:ascii="Times New Roman" w:hAnsi="Times New Roman" w:eastAsia="仿宋_GB2312" w:cs="Times New Roman"/>
          <w:color w:val="auto"/>
          <w:sz w:val="24"/>
          <w:szCs w:val="24"/>
          <w:highlight w:val="none"/>
        </w:rPr>
        <w:t>.1 本合同的订立、生效、解释、履行及与本合同有关的争议解决，均适用法律、行政法规。</w:t>
      </w:r>
    </w:p>
    <w:p w14:paraId="3FF44D70">
      <w:pPr>
        <w:pStyle w:val="45"/>
        <w:jc w:val="both"/>
        <w:rPr>
          <w:rFonts w:hint="default" w:ascii="Times New Roman" w:hAnsi="Times New Roman" w:eastAsia="仿宋_GB2312" w:cs="Times New Roman"/>
          <w:color w:val="auto"/>
          <w:sz w:val="24"/>
          <w:szCs w:val="24"/>
          <w:highlight w:val="none"/>
        </w:rPr>
      </w:pPr>
      <w:r>
        <w:rPr>
          <w:rFonts w:hint="default" w:ascii="Times New Roman" w:hAnsi="Times New Roman" w:eastAsia="仿宋_GB2312" w:cs="Times New Roman"/>
          <w:color w:val="auto"/>
          <w:sz w:val="24"/>
          <w:szCs w:val="24"/>
          <w:highlight w:val="none"/>
        </w:rPr>
        <w:t>2</w:t>
      </w:r>
      <w:r>
        <w:rPr>
          <w:rFonts w:hint="default" w:ascii="Times New Roman" w:hAnsi="Times New Roman" w:eastAsia="仿宋_GB2312" w:cs="Times New Roman"/>
          <w:color w:val="auto"/>
          <w:sz w:val="24"/>
          <w:szCs w:val="24"/>
          <w:highlight w:val="none"/>
          <w:lang w:val="en-US" w:eastAsia="zh-CN"/>
        </w:rPr>
        <w:t>1</w:t>
      </w:r>
      <w:r>
        <w:rPr>
          <w:rFonts w:hint="default" w:ascii="Times New Roman" w:hAnsi="Times New Roman" w:eastAsia="仿宋_GB2312" w:cs="Times New Roman"/>
          <w:color w:val="auto"/>
          <w:sz w:val="24"/>
          <w:szCs w:val="24"/>
          <w:highlight w:val="none"/>
        </w:rPr>
        <w:t>.2 本合同条款与法律、行政法规的强制性规定不一致的，双方当事人应按照法律、行政法规的强制性规定修改本合同的相关条款。</w:t>
      </w:r>
    </w:p>
    <w:p w14:paraId="730DF4A5">
      <w:pPr>
        <w:numPr>
          <w:ilvl w:val="0"/>
          <w:numId w:val="0"/>
        </w:numPr>
        <w:autoSpaceDE w:val="0"/>
        <w:autoSpaceDN w:val="0"/>
        <w:adjustRightInd w:val="0"/>
        <w:snapToGrid w:val="0"/>
        <w:spacing w:before="0" w:line="400" w:lineRule="exact"/>
        <w:jc w:val="left"/>
        <w:rPr>
          <w:rFonts w:hint="default" w:ascii="Times New Roman" w:hAnsi="Times New Roman" w:eastAsia="仿宋_GB2312" w:cs="Times New Roman"/>
          <w:b/>
          <w:color w:val="auto"/>
          <w:sz w:val="24"/>
          <w:szCs w:val="24"/>
          <w:highlight w:val="none"/>
        </w:rPr>
      </w:pPr>
      <w:r>
        <w:rPr>
          <w:rFonts w:hint="default" w:ascii="Times New Roman" w:hAnsi="Times New Roman" w:eastAsia="仿宋_GB2312" w:cs="Times New Roman"/>
          <w:b/>
          <w:color w:val="auto"/>
          <w:sz w:val="24"/>
          <w:szCs w:val="24"/>
          <w:highlight w:val="none"/>
          <w:lang w:val="en-US" w:eastAsia="zh-CN"/>
        </w:rPr>
        <w:t xml:space="preserve">22. </w:t>
      </w:r>
      <w:r>
        <w:rPr>
          <w:rFonts w:hint="default" w:ascii="Times New Roman" w:hAnsi="Times New Roman" w:eastAsia="仿宋_GB2312" w:cs="Times New Roman"/>
          <w:b/>
          <w:color w:val="auto"/>
          <w:sz w:val="24"/>
          <w:szCs w:val="24"/>
          <w:highlight w:val="none"/>
        </w:rPr>
        <w:t>通知</w:t>
      </w:r>
    </w:p>
    <w:p w14:paraId="3FE9C0B9">
      <w:pPr>
        <w:pStyle w:val="45"/>
        <w:jc w:val="both"/>
        <w:rPr>
          <w:rFonts w:hint="default" w:ascii="Times New Roman" w:hAnsi="Times New Roman" w:eastAsia="仿宋_GB2312" w:cs="Times New Roman"/>
          <w:color w:val="auto"/>
          <w:sz w:val="24"/>
          <w:szCs w:val="24"/>
          <w:highlight w:val="none"/>
        </w:rPr>
      </w:pPr>
      <w:r>
        <w:rPr>
          <w:rFonts w:hint="default" w:ascii="Times New Roman" w:hAnsi="Times New Roman" w:eastAsia="仿宋_GB2312" w:cs="Times New Roman"/>
          <w:color w:val="auto"/>
          <w:sz w:val="24"/>
          <w:szCs w:val="24"/>
          <w:highlight w:val="none"/>
        </w:rPr>
        <w:t>2</w:t>
      </w:r>
      <w:r>
        <w:rPr>
          <w:rFonts w:hint="default" w:ascii="Times New Roman" w:hAnsi="Times New Roman" w:eastAsia="仿宋_GB2312" w:cs="Times New Roman"/>
          <w:color w:val="auto"/>
          <w:sz w:val="24"/>
          <w:szCs w:val="24"/>
          <w:highlight w:val="none"/>
          <w:lang w:val="en-US" w:eastAsia="zh-CN"/>
        </w:rPr>
        <w:t>2</w:t>
      </w:r>
      <w:r>
        <w:rPr>
          <w:rFonts w:hint="default" w:ascii="Times New Roman" w:hAnsi="Times New Roman" w:eastAsia="仿宋_GB2312" w:cs="Times New Roman"/>
          <w:color w:val="auto"/>
          <w:sz w:val="24"/>
          <w:szCs w:val="24"/>
          <w:highlight w:val="none"/>
        </w:rPr>
        <w:t>.1</w:t>
      </w:r>
      <w:r>
        <w:rPr>
          <w:rFonts w:hint="default" w:ascii="Times New Roman" w:hAnsi="Times New Roman" w:eastAsia="仿宋_GB2312" w:cs="Times New Roman"/>
          <w:color w:val="auto"/>
          <w:sz w:val="24"/>
          <w:szCs w:val="24"/>
          <w:highlight w:val="none"/>
          <w:lang w:val="en-US" w:eastAsia="zh-CN"/>
        </w:rPr>
        <w:t xml:space="preserve"> </w:t>
      </w:r>
      <w:r>
        <w:rPr>
          <w:rFonts w:hint="default" w:ascii="Times New Roman" w:hAnsi="Times New Roman" w:eastAsia="仿宋_GB2312" w:cs="Times New Roman"/>
          <w:color w:val="auto"/>
          <w:sz w:val="24"/>
          <w:szCs w:val="24"/>
          <w:highlight w:val="none"/>
        </w:rPr>
        <w:t>本合同任何一方向对方发出的通知、信件、数据电文等，应当发送至本合同第一部分《政府采购合同协议书》所约定的通讯地址、联系人、联系电话或电子邮箱。</w:t>
      </w:r>
    </w:p>
    <w:p w14:paraId="3667B963">
      <w:pPr>
        <w:pStyle w:val="45"/>
        <w:ind w:firstLine="0" w:firstLineChars="0"/>
        <w:jc w:val="both"/>
        <w:rPr>
          <w:rFonts w:hint="default" w:ascii="Times New Roman" w:hAnsi="Times New Roman" w:eastAsia="仿宋_GB2312" w:cs="Times New Roman"/>
          <w:color w:val="auto"/>
          <w:sz w:val="24"/>
          <w:szCs w:val="24"/>
          <w:highlight w:val="none"/>
        </w:rPr>
      </w:pPr>
      <w:r>
        <w:rPr>
          <w:rFonts w:hint="default" w:ascii="Times New Roman" w:hAnsi="Times New Roman" w:eastAsia="仿宋_GB2312" w:cs="Times New Roman"/>
          <w:color w:val="auto"/>
          <w:sz w:val="24"/>
          <w:szCs w:val="24"/>
          <w:highlight w:val="none"/>
          <w:lang w:val="en-US" w:eastAsia="zh-CN"/>
        </w:rPr>
        <w:t xml:space="preserve">    </w:t>
      </w:r>
      <w:r>
        <w:rPr>
          <w:rFonts w:hint="default" w:ascii="Times New Roman" w:hAnsi="Times New Roman" w:eastAsia="仿宋_GB2312" w:cs="Times New Roman"/>
          <w:color w:val="auto"/>
          <w:sz w:val="24"/>
          <w:szCs w:val="24"/>
          <w:highlight w:val="none"/>
        </w:rPr>
        <w:t>2</w:t>
      </w:r>
      <w:r>
        <w:rPr>
          <w:rFonts w:hint="default" w:ascii="Times New Roman" w:hAnsi="Times New Roman" w:eastAsia="仿宋_GB2312" w:cs="Times New Roman"/>
          <w:color w:val="auto"/>
          <w:sz w:val="24"/>
          <w:szCs w:val="24"/>
          <w:highlight w:val="none"/>
          <w:lang w:val="en-US" w:eastAsia="zh-CN"/>
        </w:rPr>
        <w:t>2</w:t>
      </w:r>
      <w:r>
        <w:rPr>
          <w:rFonts w:hint="default" w:ascii="Times New Roman" w:hAnsi="Times New Roman" w:eastAsia="仿宋_GB2312" w:cs="Times New Roman"/>
          <w:color w:val="auto"/>
          <w:sz w:val="24"/>
          <w:szCs w:val="24"/>
          <w:highlight w:val="none"/>
        </w:rPr>
        <w:t>.2</w:t>
      </w:r>
      <w:r>
        <w:rPr>
          <w:rFonts w:hint="default" w:ascii="Times New Roman" w:hAnsi="Times New Roman" w:eastAsia="仿宋_GB2312" w:cs="Times New Roman"/>
          <w:color w:val="auto"/>
          <w:sz w:val="24"/>
          <w:szCs w:val="24"/>
          <w:highlight w:val="none"/>
          <w:lang w:val="en-US" w:eastAsia="zh-CN"/>
        </w:rPr>
        <w:t xml:space="preserve"> </w:t>
      </w:r>
      <w:r>
        <w:rPr>
          <w:rFonts w:hint="default" w:ascii="Times New Roman" w:hAnsi="Times New Roman" w:eastAsia="仿宋_GB2312" w:cs="Times New Roman"/>
          <w:color w:val="auto"/>
          <w:sz w:val="24"/>
          <w:szCs w:val="24"/>
          <w:highlight w:val="none"/>
        </w:rPr>
        <w:t>一方当事人变更名称、</w:t>
      </w:r>
      <w:r>
        <w:rPr>
          <w:rFonts w:hint="default" w:ascii="Times New Roman" w:hAnsi="Times New Roman" w:eastAsia="仿宋_GB2312" w:cs="Times New Roman"/>
          <w:color w:val="auto"/>
          <w:sz w:val="24"/>
          <w:szCs w:val="24"/>
          <w:highlight w:val="none"/>
          <w:lang w:eastAsia="zh-CN"/>
        </w:rPr>
        <w:t>住所</w:t>
      </w:r>
      <w:r>
        <w:rPr>
          <w:rFonts w:hint="default" w:ascii="Times New Roman" w:hAnsi="Times New Roman" w:eastAsia="仿宋_GB2312" w:cs="Times New Roman"/>
          <w:color w:val="auto"/>
          <w:sz w:val="24"/>
          <w:szCs w:val="24"/>
          <w:highlight w:val="none"/>
        </w:rPr>
        <w:t>、联系人、联系电话或电子邮箱</w:t>
      </w:r>
      <w:r>
        <w:rPr>
          <w:rFonts w:hint="default" w:ascii="Times New Roman" w:hAnsi="Times New Roman" w:eastAsia="仿宋_GB2312" w:cs="Times New Roman"/>
          <w:color w:val="auto"/>
          <w:sz w:val="24"/>
          <w:szCs w:val="24"/>
          <w:highlight w:val="none"/>
          <w:lang w:eastAsia="zh-CN"/>
        </w:rPr>
        <w:t>等信息</w:t>
      </w:r>
      <w:r>
        <w:rPr>
          <w:rFonts w:hint="default" w:ascii="Times New Roman" w:hAnsi="Times New Roman" w:eastAsia="仿宋_GB2312" w:cs="Times New Roman"/>
          <w:color w:val="auto"/>
          <w:sz w:val="24"/>
          <w:szCs w:val="24"/>
          <w:highlight w:val="none"/>
        </w:rPr>
        <w:t>的，应当在变更后3日内及时书面通知对方，对方实际收到变更通知前的送达仍为有效送达。</w:t>
      </w:r>
    </w:p>
    <w:p w14:paraId="6CAB3191">
      <w:pPr>
        <w:adjustRightInd w:val="0"/>
        <w:snapToGrid w:val="0"/>
        <w:spacing w:before="0" w:line="400" w:lineRule="exact"/>
        <w:ind w:firstLine="480" w:firstLineChars="200"/>
        <w:jc w:val="left"/>
        <w:rPr>
          <w:rFonts w:hint="default" w:ascii="Times New Roman" w:hAnsi="Times New Roman" w:eastAsia="仿宋_GB2312" w:cs="Times New Roman"/>
          <w:color w:val="auto"/>
          <w:sz w:val="24"/>
          <w:szCs w:val="24"/>
          <w:highlight w:val="none"/>
        </w:rPr>
      </w:pPr>
      <w:r>
        <w:rPr>
          <w:rFonts w:hint="default" w:ascii="Times New Roman" w:hAnsi="Times New Roman" w:eastAsia="仿宋_GB2312" w:cs="Times New Roman"/>
          <w:color w:val="auto"/>
          <w:sz w:val="24"/>
          <w:szCs w:val="24"/>
          <w:highlight w:val="none"/>
        </w:rPr>
        <w:t>2</w:t>
      </w:r>
      <w:r>
        <w:rPr>
          <w:rFonts w:hint="default" w:ascii="Times New Roman" w:hAnsi="Times New Roman" w:eastAsia="仿宋_GB2312" w:cs="Times New Roman"/>
          <w:color w:val="auto"/>
          <w:sz w:val="24"/>
          <w:szCs w:val="24"/>
          <w:highlight w:val="none"/>
          <w:lang w:val="en-US" w:eastAsia="zh-CN"/>
        </w:rPr>
        <w:t>2</w:t>
      </w:r>
      <w:r>
        <w:rPr>
          <w:rFonts w:hint="default" w:ascii="Times New Roman" w:hAnsi="Times New Roman" w:eastAsia="仿宋_GB2312" w:cs="Times New Roman"/>
          <w:color w:val="auto"/>
          <w:sz w:val="24"/>
          <w:szCs w:val="24"/>
          <w:highlight w:val="none"/>
        </w:rPr>
        <w:t>.</w:t>
      </w:r>
      <w:r>
        <w:rPr>
          <w:rFonts w:hint="default" w:ascii="Times New Roman" w:hAnsi="Times New Roman" w:eastAsia="仿宋_GB2312" w:cs="Times New Roman"/>
          <w:color w:val="auto"/>
          <w:sz w:val="24"/>
          <w:szCs w:val="24"/>
          <w:highlight w:val="none"/>
          <w:lang w:val="en-US" w:eastAsia="zh-CN"/>
        </w:rPr>
        <w:t>3</w:t>
      </w:r>
      <w:r>
        <w:rPr>
          <w:rFonts w:hint="default" w:ascii="Times New Roman" w:hAnsi="Times New Roman" w:eastAsia="仿宋_GB2312" w:cs="Times New Roman"/>
          <w:color w:val="auto"/>
          <w:sz w:val="24"/>
          <w:szCs w:val="24"/>
          <w:highlight w:val="none"/>
        </w:rPr>
        <w:t>本合同一方给另一方的通知均应采用书面形式，传真或快递送到本合同中规定的对方的地址和办理签收手续。</w:t>
      </w:r>
    </w:p>
    <w:p w14:paraId="5639EB57">
      <w:pPr>
        <w:adjustRightInd w:val="0"/>
        <w:snapToGrid w:val="0"/>
        <w:spacing w:before="0" w:line="400" w:lineRule="exact"/>
        <w:ind w:firstLine="480" w:firstLineChars="200"/>
        <w:jc w:val="left"/>
        <w:rPr>
          <w:rFonts w:hint="default" w:ascii="Times New Roman" w:hAnsi="Times New Roman" w:eastAsia="仿宋_GB2312" w:cs="Times New Roman"/>
          <w:color w:val="auto"/>
          <w:sz w:val="24"/>
          <w:szCs w:val="24"/>
          <w:highlight w:val="none"/>
        </w:rPr>
      </w:pPr>
      <w:r>
        <w:rPr>
          <w:rFonts w:hint="default" w:ascii="Times New Roman" w:hAnsi="Times New Roman" w:eastAsia="仿宋_GB2312" w:cs="Times New Roman"/>
          <w:color w:val="auto"/>
          <w:sz w:val="24"/>
          <w:szCs w:val="24"/>
          <w:highlight w:val="none"/>
        </w:rPr>
        <w:t>2</w:t>
      </w:r>
      <w:r>
        <w:rPr>
          <w:rFonts w:hint="default" w:ascii="Times New Roman" w:hAnsi="Times New Roman" w:eastAsia="仿宋_GB2312" w:cs="Times New Roman"/>
          <w:color w:val="auto"/>
          <w:sz w:val="24"/>
          <w:szCs w:val="24"/>
          <w:highlight w:val="none"/>
          <w:lang w:val="en-US" w:eastAsia="zh-CN"/>
        </w:rPr>
        <w:t>2</w:t>
      </w:r>
      <w:r>
        <w:rPr>
          <w:rFonts w:hint="default" w:ascii="Times New Roman" w:hAnsi="Times New Roman" w:eastAsia="仿宋_GB2312" w:cs="Times New Roman"/>
          <w:color w:val="auto"/>
          <w:sz w:val="24"/>
          <w:szCs w:val="24"/>
          <w:highlight w:val="none"/>
        </w:rPr>
        <w:t>.</w:t>
      </w:r>
      <w:r>
        <w:rPr>
          <w:rFonts w:hint="default" w:ascii="Times New Roman" w:hAnsi="Times New Roman" w:eastAsia="仿宋_GB2312" w:cs="Times New Roman"/>
          <w:color w:val="auto"/>
          <w:sz w:val="24"/>
          <w:szCs w:val="24"/>
          <w:highlight w:val="none"/>
          <w:lang w:val="en-US" w:eastAsia="zh-CN"/>
        </w:rPr>
        <w:t>4</w:t>
      </w:r>
      <w:r>
        <w:rPr>
          <w:rFonts w:hint="default" w:ascii="Times New Roman" w:hAnsi="Times New Roman" w:eastAsia="仿宋_GB2312" w:cs="Times New Roman"/>
          <w:color w:val="auto"/>
          <w:sz w:val="24"/>
          <w:szCs w:val="24"/>
          <w:highlight w:val="none"/>
        </w:rPr>
        <w:t>通知以送达之日或通知书中规定的生效之日起生效，两者中以较迟之日为准。</w:t>
      </w:r>
    </w:p>
    <w:p w14:paraId="70D68A26">
      <w:pPr>
        <w:numPr>
          <w:ilvl w:val="0"/>
          <w:numId w:val="25"/>
        </w:numPr>
        <w:adjustRightInd w:val="0"/>
        <w:snapToGrid w:val="0"/>
        <w:spacing w:before="0" w:line="400" w:lineRule="exact"/>
        <w:jc w:val="left"/>
        <w:rPr>
          <w:rFonts w:hint="default" w:ascii="Times New Roman" w:hAnsi="Times New Roman" w:eastAsia="仿宋_GB2312" w:cs="Times New Roman"/>
          <w:b/>
          <w:bCs/>
          <w:color w:val="auto"/>
          <w:sz w:val="24"/>
          <w:szCs w:val="24"/>
          <w:highlight w:val="none"/>
        </w:rPr>
      </w:pPr>
      <w:r>
        <w:rPr>
          <w:rFonts w:hint="default" w:ascii="Times New Roman" w:hAnsi="Times New Roman" w:eastAsia="仿宋_GB2312" w:cs="Times New Roman"/>
          <w:b/>
          <w:bCs/>
          <w:color w:val="auto"/>
          <w:sz w:val="24"/>
          <w:szCs w:val="24"/>
          <w:highlight w:val="none"/>
        </w:rPr>
        <w:t>合同未尽事项</w:t>
      </w:r>
    </w:p>
    <w:p w14:paraId="0671C0D8">
      <w:pPr>
        <w:adjustRightInd w:val="0"/>
        <w:snapToGrid w:val="0"/>
        <w:spacing w:before="0" w:line="400" w:lineRule="exact"/>
        <w:ind w:firstLine="480" w:firstLineChars="200"/>
        <w:jc w:val="left"/>
        <w:rPr>
          <w:rFonts w:hint="default" w:ascii="Times New Roman" w:hAnsi="Times New Roman" w:eastAsia="仿宋_GB2312" w:cs="Times New Roman"/>
          <w:bCs/>
          <w:color w:val="auto"/>
          <w:sz w:val="24"/>
          <w:szCs w:val="24"/>
          <w:highlight w:val="none"/>
        </w:rPr>
      </w:pPr>
      <w:r>
        <w:rPr>
          <w:rFonts w:hint="default" w:ascii="Times New Roman" w:hAnsi="Times New Roman" w:eastAsia="仿宋_GB2312" w:cs="Times New Roman"/>
          <w:bCs/>
          <w:color w:val="auto"/>
          <w:sz w:val="24"/>
          <w:szCs w:val="24"/>
          <w:highlight w:val="none"/>
        </w:rPr>
        <w:t>2</w:t>
      </w:r>
      <w:r>
        <w:rPr>
          <w:rFonts w:hint="default" w:ascii="Times New Roman" w:hAnsi="Times New Roman" w:eastAsia="仿宋_GB2312" w:cs="Times New Roman"/>
          <w:bCs/>
          <w:color w:val="auto"/>
          <w:sz w:val="24"/>
          <w:szCs w:val="24"/>
          <w:highlight w:val="none"/>
          <w:lang w:val="en-US" w:eastAsia="zh-CN"/>
        </w:rPr>
        <w:t>3</w:t>
      </w:r>
      <w:r>
        <w:rPr>
          <w:rFonts w:hint="default" w:ascii="Times New Roman" w:hAnsi="Times New Roman" w:eastAsia="仿宋_GB2312" w:cs="Times New Roman"/>
          <w:bCs/>
          <w:color w:val="auto"/>
          <w:sz w:val="24"/>
          <w:szCs w:val="24"/>
          <w:highlight w:val="none"/>
        </w:rPr>
        <w:t>.1合同未尽事项见</w:t>
      </w:r>
      <w:r>
        <w:rPr>
          <w:rFonts w:hint="default" w:ascii="Times New Roman" w:hAnsi="Times New Roman" w:eastAsia="仿宋_GB2312" w:cs="Times New Roman"/>
          <w:b/>
          <w:color w:val="auto"/>
          <w:sz w:val="24"/>
          <w:szCs w:val="24"/>
          <w:highlight w:val="none"/>
        </w:rPr>
        <w:t>【政府采购合同专用条款】</w:t>
      </w:r>
      <w:r>
        <w:rPr>
          <w:rFonts w:hint="default" w:ascii="Times New Roman" w:hAnsi="Times New Roman" w:eastAsia="仿宋_GB2312" w:cs="Times New Roman"/>
          <w:bCs/>
          <w:color w:val="auto"/>
          <w:sz w:val="24"/>
          <w:szCs w:val="24"/>
          <w:highlight w:val="none"/>
        </w:rPr>
        <w:t>。</w:t>
      </w:r>
    </w:p>
    <w:p w14:paraId="0EF1CF4A">
      <w:pPr>
        <w:adjustRightInd w:val="0"/>
        <w:snapToGrid w:val="0"/>
        <w:spacing w:line="400" w:lineRule="exact"/>
        <w:ind w:firstLine="0" w:firstLineChars="0"/>
        <w:jc w:val="left"/>
        <w:rPr>
          <w:rFonts w:hint="default" w:ascii="Times New Roman" w:hAnsi="Times New Roman" w:eastAsia="仿宋_GB2312" w:cs="Times New Roman"/>
          <w:color w:val="auto"/>
          <w:sz w:val="24"/>
          <w:szCs w:val="24"/>
          <w:highlight w:val="none"/>
        </w:rPr>
      </w:pPr>
      <w:r>
        <w:rPr>
          <w:rFonts w:hint="default" w:ascii="Times New Roman" w:hAnsi="Times New Roman" w:eastAsia="仿宋_GB2312" w:cs="Times New Roman"/>
          <w:bCs/>
          <w:color w:val="auto"/>
          <w:sz w:val="24"/>
          <w:szCs w:val="24"/>
          <w:highlight w:val="none"/>
          <w:lang w:val="en-US" w:eastAsia="zh-CN"/>
        </w:rPr>
        <w:t xml:space="preserve">    23.2 合同附件与合同正文具有同等的法律效力。</w:t>
      </w:r>
    </w:p>
    <w:p w14:paraId="6980A152">
      <w:pPr>
        <w:pStyle w:val="2"/>
        <w:adjustRightInd w:val="0"/>
        <w:snapToGrid w:val="0"/>
        <w:jc w:val="center"/>
        <w:rPr>
          <w:rFonts w:hint="eastAsia" w:ascii="黑体" w:hAnsi="华文中宋" w:eastAsia="黑体"/>
          <w:b w:val="0"/>
          <w:bCs w:val="0"/>
          <w:sz w:val="28"/>
          <w:szCs w:val="28"/>
        </w:rPr>
      </w:pPr>
    </w:p>
    <w:p w14:paraId="2F5860CE">
      <w:pPr>
        <w:pStyle w:val="2"/>
        <w:adjustRightInd w:val="0"/>
        <w:snapToGrid w:val="0"/>
        <w:jc w:val="center"/>
        <w:rPr>
          <w:rFonts w:ascii="黑体" w:hAnsi="华文中宋" w:eastAsia="黑体"/>
          <w:b w:val="0"/>
          <w:bCs w:val="0"/>
          <w:sz w:val="28"/>
          <w:szCs w:val="28"/>
        </w:rPr>
      </w:pPr>
      <w:bookmarkStart w:id="1620" w:name="_Toc19865"/>
      <w:bookmarkStart w:id="1621" w:name="_Toc12659"/>
      <w:bookmarkStart w:id="1622" w:name="_Toc12033"/>
      <w:r>
        <w:rPr>
          <w:rFonts w:hint="eastAsia" w:ascii="黑体" w:hAnsi="华文中宋" w:eastAsia="黑体"/>
          <w:b w:val="0"/>
          <w:bCs w:val="0"/>
          <w:sz w:val="28"/>
          <w:szCs w:val="28"/>
        </w:rPr>
        <w:t>第三节 政府采购合同专用条款</w:t>
      </w:r>
      <w:bookmarkEnd w:id="1620"/>
      <w:bookmarkEnd w:id="1621"/>
      <w:bookmarkEnd w:id="1622"/>
    </w:p>
    <w:tbl>
      <w:tblPr>
        <w:tblStyle w:val="38"/>
        <w:tblW w:w="8519" w:type="dxa"/>
        <w:tblInd w:w="108" w:type="dxa"/>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1607"/>
        <w:gridCol w:w="1742"/>
        <w:gridCol w:w="5170"/>
      </w:tblGrid>
      <w:tr w14:paraId="46DE76E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4812F295">
            <w:pPr>
              <w:keepNext w:val="0"/>
              <w:keepLines w:val="0"/>
              <w:suppressLineNumbers w:val="0"/>
              <w:adjustRightInd w:val="0"/>
              <w:snapToGrid w:val="0"/>
              <w:spacing w:before="0" w:beforeAutospacing="0" w:after="0" w:afterAutospacing="0"/>
              <w:ind w:left="0" w:right="0"/>
              <w:jc w:val="center"/>
              <w:rPr>
                <w:rFonts w:hint="default" w:ascii="宋体" w:hAnsi="宋体"/>
                <w:szCs w:val="21"/>
              </w:rPr>
            </w:pPr>
            <w:r>
              <w:rPr>
                <w:rFonts w:hint="eastAsia" w:ascii="宋体" w:hAnsi="宋体"/>
                <w:szCs w:val="21"/>
              </w:rPr>
              <w:t>第二节</w:t>
            </w:r>
          </w:p>
          <w:p w14:paraId="52F06CFA">
            <w:pPr>
              <w:keepNext w:val="0"/>
              <w:keepLines w:val="0"/>
              <w:suppressLineNumbers w:val="0"/>
              <w:adjustRightInd w:val="0"/>
              <w:snapToGrid w:val="0"/>
              <w:spacing w:before="0" w:beforeAutospacing="0" w:after="0" w:afterAutospacing="0"/>
              <w:ind w:left="0" w:right="0"/>
              <w:jc w:val="center"/>
              <w:rPr>
                <w:rFonts w:hint="default" w:ascii="宋体" w:hAnsi="宋体"/>
                <w:szCs w:val="21"/>
              </w:rPr>
            </w:pPr>
            <w:r>
              <w:rPr>
                <w:rFonts w:hint="eastAsia" w:ascii="宋体" w:hAnsi="宋体"/>
                <w:szCs w:val="21"/>
              </w:rPr>
              <w:t>第1.2（</w:t>
            </w:r>
            <w:r>
              <w:rPr>
                <w:rFonts w:hint="eastAsia" w:ascii="宋体" w:hAnsi="宋体"/>
                <w:szCs w:val="21"/>
                <w:lang w:val="en-US" w:eastAsia="zh-CN"/>
              </w:rPr>
              <w:t>6</w:t>
            </w:r>
            <w:r>
              <w:rPr>
                <w:rFonts w:hint="eastAsia" w:ascii="宋体" w:hAnsi="宋体"/>
                <w:szCs w:val="21"/>
              </w:rPr>
              <w:t>）项</w:t>
            </w:r>
          </w:p>
        </w:tc>
        <w:tc>
          <w:tcPr>
            <w:tcW w:w="1742" w:type="dxa"/>
            <w:vAlign w:val="center"/>
          </w:tcPr>
          <w:p w14:paraId="38FC40C4">
            <w:pPr>
              <w:keepNext w:val="0"/>
              <w:keepLines w:val="0"/>
              <w:suppressLineNumbers w:val="0"/>
              <w:adjustRightInd w:val="0"/>
              <w:snapToGrid w:val="0"/>
              <w:spacing w:before="0" w:beforeAutospacing="0" w:after="0" w:afterAutospacing="0"/>
              <w:ind w:left="0" w:right="0"/>
              <w:jc w:val="left"/>
              <w:rPr>
                <w:rFonts w:hint="default" w:ascii="宋体" w:hAnsi="宋体"/>
                <w:szCs w:val="21"/>
              </w:rPr>
            </w:pPr>
            <w:r>
              <w:rPr>
                <w:rFonts w:hint="eastAsia" w:ascii="宋体" w:hAnsi="宋体"/>
                <w:szCs w:val="21"/>
                <w:lang w:eastAsia="zh-CN"/>
              </w:rPr>
              <w:t>联合体具体要求</w:t>
            </w:r>
          </w:p>
        </w:tc>
        <w:tc>
          <w:tcPr>
            <w:tcW w:w="5170" w:type="dxa"/>
            <w:vAlign w:val="center"/>
          </w:tcPr>
          <w:p w14:paraId="0B1EDD29">
            <w:pPr>
              <w:keepNext w:val="0"/>
              <w:keepLines w:val="0"/>
              <w:suppressLineNumbers w:val="0"/>
              <w:adjustRightInd w:val="0"/>
              <w:snapToGrid w:val="0"/>
              <w:spacing w:before="0" w:beforeAutospacing="0" w:after="0" w:afterAutospacing="0"/>
              <w:ind w:left="0" w:right="0"/>
              <w:jc w:val="left"/>
              <w:rPr>
                <w:rFonts w:hint="default" w:ascii="宋体" w:hAnsi="宋体"/>
                <w:szCs w:val="21"/>
              </w:rPr>
            </w:pPr>
          </w:p>
        </w:tc>
      </w:tr>
      <w:tr w14:paraId="2B79D34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04" w:hRule="atLeast"/>
        </w:trPr>
        <w:tc>
          <w:tcPr>
            <w:tcW w:w="1607" w:type="dxa"/>
            <w:vAlign w:val="center"/>
          </w:tcPr>
          <w:p w14:paraId="3E30A3B4">
            <w:pPr>
              <w:keepNext w:val="0"/>
              <w:keepLines w:val="0"/>
              <w:suppressLineNumbers w:val="0"/>
              <w:adjustRightInd w:val="0"/>
              <w:snapToGrid w:val="0"/>
              <w:spacing w:before="0" w:beforeAutospacing="0" w:after="0" w:afterAutospacing="0"/>
              <w:ind w:left="0" w:right="0"/>
              <w:jc w:val="center"/>
              <w:rPr>
                <w:rFonts w:hint="default" w:ascii="宋体" w:hAnsi="宋体"/>
                <w:szCs w:val="21"/>
              </w:rPr>
            </w:pPr>
            <w:r>
              <w:rPr>
                <w:rFonts w:hint="eastAsia" w:ascii="宋体" w:hAnsi="宋体"/>
                <w:szCs w:val="21"/>
              </w:rPr>
              <w:t>第二节</w:t>
            </w:r>
          </w:p>
          <w:p w14:paraId="58378562">
            <w:pPr>
              <w:keepNext w:val="0"/>
              <w:keepLines w:val="0"/>
              <w:suppressLineNumbers w:val="0"/>
              <w:adjustRightInd w:val="0"/>
              <w:snapToGrid w:val="0"/>
              <w:spacing w:before="0" w:beforeAutospacing="0" w:after="0" w:afterAutospacing="0"/>
              <w:ind w:left="0" w:right="0"/>
              <w:jc w:val="center"/>
              <w:rPr>
                <w:rFonts w:hint="eastAsia" w:ascii="宋体" w:hAnsi="宋体" w:eastAsia="宋体" w:cs="Times New Roman"/>
                <w:kern w:val="2"/>
                <w:sz w:val="21"/>
                <w:szCs w:val="21"/>
                <w:lang w:val="en-US" w:eastAsia="zh-CN" w:bidi="ar-SA"/>
              </w:rPr>
            </w:pPr>
            <w:r>
              <w:rPr>
                <w:rFonts w:hint="eastAsia" w:ascii="宋体" w:hAnsi="宋体"/>
                <w:szCs w:val="21"/>
              </w:rPr>
              <w:t>第1.2（</w:t>
            </w:r>
            <w:r>
              <w:rPr>
                <w:rFonts w:hint="eastAsia" w:ascii="宋体" w:hAnsi="宋体"/>
                <w:szCs w:val="21"/>
                <w:lang w:val="en-US" w:eastAsia="zh-CN"/>
              </w:rPr>
              <w:t>7</w:t>
            </w:r>
            <w:r>
              <w:rPr>
                <w:rFonts w:hint="eastAsia" w:ascii="宋体" w:hAnsi="宋体"/>
                <w:szCs w:val="21"/>
              </w:rPr>
              <w:t>）项</w:t>
            </w:r>
          </w:p>
        </w:tc>
        <w:tc>
          <w:tcPr>
            <w:tcW w:w="1742" w:type="dxa"/>
            <w:vAlign w:val="center"/>
          </w:tcPr>
          <w:p w14:paraId="2A969080">
            <w:pPr>
              <w:keepNext w:val="0"/>
              <w:keepLines w:val="0"/>
              <w:suppressLineNumbers w:val="0"/>
              <w:adjustRightInd w:val="0"/>
              <w:snapToGrid w:val="0"/>
              <w:spacing w:before="0" w:beforeAutospacing="0" w:after="0" w:afterAutospacing="0"/>
              <w:ind w:left="0" w:right="0"/>
              <w:jc w:val="left"/>
              <w:rPr>
                <w:rFonts w:hint="eastAsia" w:ascii="宋体" w:hAnsi="宋体" w:eastAsia="宋体" w:cs="Times New Roman"/>
                <w:kern w:val="2"/>
                <w:sz w:val="21"/>
                <w:szCs w:val="21"/>
                <w:lang w:val="en-US" w:eastAsia="zh-CN" w:bidi="ar-SA"/>
              </w:rPr>
            </w:pPr>
            <w:r>
              <w:rPr>
                <w:rFonts w:hint="eastAsia" w:ascii="宋体" w:hAnsi="宋体"/>
                <w:szCs w:val="21"/>
              </w:rPr>
              <w:t>其他术语解释</w:t>
            </w:r>
          </w:p>
        </w:tc>
        <w:tc>
          <w:tcPr>
            <w:tcW w:w="5170" w:type="dxa"/>
            <w:vAlign w:val="center"/>
          </w:tcPr>
          <w:p w14:paraId="0F438C67">
            <w:pPr>
              <w:keepNext w:val="0"/>
              <w:keepLines w:val="0"/>
              <w:suppressLineNumbers w:val="0"/>
              <w:adjustRightInd w:val="0"/>
              <w:snapToGrid w:val="0"/>
              <w:spacing w:before="0" w:beforeAutospacing="0" w:after="0" w:afterAutospacing="0"/>
              <w:ind w:left="0" w:right="0"/>
              <w:jc w:val="left"/>
              <w:rPr>
                <w:rFonts w:hint="default" w:ascii="宋体" w:hAnsi="宋体" w:eastAsia="宋体" w:cs="Times New Roman"/>
                <w:kern w:val="2"/>
                <w:sz w:val="21"/>
                <w:szCs w:val="21"/>
                <w:lang w:val="en-US" w:eastAsia="zh-CN" w:bidi="ar-SA"/>
              </w:rPr>
            </w:pPr>
          </w:p>
        </w:tc>
      </w:tr>
      <w:tr w14:paraId="4BE404F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3C0EE26E">
            <w:pPr>
              <w:keepNext w:val="0"/>
              <w:keepLines w:val="0"/>
              <w:suppressLineNumbers w:val="0"/>
              <w:adjustRightInd w:val="0"/>
              <w:snapToGrid w:val="0"/>
              <w:spacing w:before="0" w:beforeAutospacing="0" w:after="0" w:afterAutospacing="0"/>
              <w:ind w:left="0" w:right="0"/>
              <w:jc w:val="center"/>
              <w:rPr>
                <w:rFonts w:hint="default" w:ascii="宋体" w:hAnsi="宋体"/>
                <w:szCs w:val="21"/>
              </w:rPr>
            </w:pPr>
            <w:r>
              <w:rPr>
                <w:rFonts w:hint="eastAsia" w:ascii="宋体" w:hAnsi="宋体"/>
                <w:szCs w:val="21"/>
              </w:rPr>
              <w:t>第二节</w:t>
            </w:r>
          </w:p>
          <w:p w14:paraId="14C8881A">
            <w:pPr>
              <w:keepNext w:val="0"/>
              <w:keepLines w:val="0"/>
              <w:suppressLineNumbers w:val="0"/>
              <w:adjustRightInd w:val="0"/>
              <w:snapToGrid w:val="0"/>
              <w:spacing w:before="0" w:beforeAutospacing="0" w:after="0" w:afterAutospacing="0"/>
              <w:ind w:left="0" w:right="0"/>
              <w:jc w:val="center"/>
              <w:rPr>
                <w:rFonts w:hint="default" w:ascii="宋体" w:hAnsi="宋体" w:eastAsia="宋体"/>
                <w:szCs w:val="21"/>
                <w:lang w:val="en-US" w:eastAsia="zh-CN"/>
              </w:rPr>
            </w:pPr>
            <w:r>
              <w:rPr>
                <w:rFonts w:hint="eastAsia" w:ascii="宋体" w:hAnsi="宋体"/>
                <w:szCs w:val="21"/>
                <w:lang w:eastAsia="zh-CN"/>
              </w:rPr>
              <w:t>第</w:t>
            </w:r>
            <w:r>
              <w:rPr>
                <w:rFonts w:hint="eastAsia" w:ascii="宋体" w:hAnsi="宋体"/>
                <w:szCs w:val="21"/>
                <w:lang w:val="en-US" w:eastAsia="zh-CN"/>
              </w:rPr>
              <w:t>4.4款</w:t>
            </w:r>
          </w:p>
        </w:tc>
        <w:tc>
          <w:tcPr>
            <w:tcW w:w="1742" w:type="dxa"/>
            <w:vAlign w:val="center"/>
          </w:tcPr>
          <w:p w14:paraId="792D75AA">
            <w:pPr>
              <w:keepNext w:val="0"/>
              <w:keepLines w:val="0"/>
              <w:suppressLineNumbers w:val="0"/>
              <w:adjustRightInd w:val="0"/>
              <w:snapToGrid w:val="0"/>
              <w:spacing w:before="0" w:beforeAutospacing="0" w:after="0" w:afterAutospacing="0"/>
              <w:ind w:left="0" w:right="0"/>
              <w:jc w:val="left"/>
              <w:rPr>
                <w:rFonts w:hint="eastAsia" w:ascii="宋体" w:hAnsi="宋体" w:eastAsia="宋体"/>
                <w:szCs w:val="21"/>
                <w:lang w:eastAsia="zh-CN"/>
              </w:rPr>
            </w:pPr>
            <w:r>
              <w:rPr>
                <w:rFonts w:hint="eastAsia" w:ascii="宋体" w:hAnsi="宋体"/>
                <w:szCs w:val="21"/>
                <w:lang w:eastAsia="zh-CN"/>
              </w:rPr>
              <w:t>履约验收中甲方提出异议或作出说明的期限</w:t>
            </w:r>
          </w:p>
        </w:tc>
        <w:tc>
          <w:tcPr>
            <w:tcW w:w="5170" w:type="dxa"/>
            <w:vAlign w:val="center"/>
          </w:tcPr>
          <w:p w14:paraId="0EE91D06">
            <w:pPr>
              <w:keepNext w:val="0"/>
              <w:keepLines w:val="0"/>
              <w:suppressLineNumbers w:val="0"/>
              <w:adjustRightInd w:val="0"/>
              <w:snapToGrid w:val="0"/>
              <w:spacing w:before="0" w:beforeAutospacing="0" w:after="0" w:afterAutospacing="0"/>
              <w:ind w:left="0" w:right="0"/>
              <w:jc w:val="left"/>
              <w:rPr>
                <w:rFonts w:hint="default" w:ascii="宋体" w:hAnsi="宋体" w:eastAsia="宋体" w:cs="Times New Roman"/>
                <w:kern w:val="2"/>
                <w:sz w:val="21"/>
                <w:szCs w:val="21"/>
                <w:lang w:val="en-US" w:eastAsia="zh-CN" w:bidi="ar-SA"/>
              </w:rPr>
            </w:pPr>
          </w:p>
        </w:tc>
      </w:tr>
      <w:tr w14:paraId="62B6056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3D518A1A">
            <w:pPr>
              <w:keepNext w:val="0"/>
              <w:keepLines w:val="0"/>
              <w:suppressLineNumbers w:val="0"/>
              <w:adjustRightInd w:val="0"/>
              <w:snapToGrid w:val="0"/>
              <w:spacing w:before="0" w:beforeAutospacing="0" w:after="0" w:afterAutospacing="0"/>
              <w:ind w:left="0" w:right="0"/>
              <w:jc w:val="center"/>
              <w:rPr>
                <w:rFonts w:hint="default" w:ascii="宋体" w:hAnsi="宋体"/>
                <w:szCs w:val="21"/>
              </w:rPr>
            </w:pPr>
            <w:r>
              <w:rPr>
                <w:rFonts w:hint="eastAsia" w:ascii="宋体" w:hAnsi="宋体"/>
                <w:szCs w:val="21"/>
              </w:rPr>
              <w:t>第二节</w:t>
            </w:r>
          </w:p>
          <w:p w14:paraId="113EBCA9">
            <w:pPr>
              <w:keepNext w:val="0"/>
              <w:keepLines w:val="0"/>
              <w:suppressLineNumbers w:val="0"/>
              <w:adjustRightInd w:val="0"/>
              <w:snapToGrid w:val="0"/>
              <w:spacing w:before="0" w:beforeAutospacing="0" w:after="0" w:afterAutospacing="0"/>
              <w:ind w:left="0" w:right="0"/>
              <w:jc w:val="center"/>
              <w:rPr>
                <w:rFonts w:hint="eastAsia" w:ascii="宋体" w:hAnsi="宋体"/>
                <w:szCs w:val="21"/>
              </w:rPr>
            </w:pPr>
            <w:r>
              <w:rPr>
                <w:rFonts w:hint="eastAsia" w:ascii="宋体" w:hAnsi="宋体"/>
                <w:szCs w:val="21"/>
                <w:lang w:eastAsia="zh-CN"/>
              </w:rPr>
              <w:t>第</w:t>
            </w:r>
            <w:r>
              <w:rPr>
                <w:rFonts w:hint="eastAsia" w:ascii="宋体" w:hAnsi="宋体"/>
                <w:szCs w:val="21"/>
                <w:lang w:val="en-US" w:eastAsia="zh-CN"/>
              </w:rPr>
              <w:t>4.6款</w:t>
            </w:r>
          </w:p>
        </w:tc>
        <w:tc>
          <w:tcPr>
            <w:tcW w:w="1742" w:type="dxa"/>
            <w:vAlign w:val="center"/>
          </w:tcPr>
          <w:p w14:paraId="6BD3D236">
            <w:pPr>
              <w:keepNext w:val="0"/>
              <w:keepLines w:val="0"/>
              <w:suppressLineNumbers w:val="0"/>
              <w:adjustRightInd w:val="0"/>
              <w:snapToGrid w:val="0"/>
              <w:spacing w:before="0" w:beforeAutospacing="0" w:after="0" w:afterAutospacing="0"/>
              <w:ind w:left="0" w:right="0"/>
              <w:jc w:val="left"/>
              <w:rPr>
                <w:rFonts w:hint="eastAsia" w:ascii="宋体" w:hAnsi="宋体" w:eastAsia="宋体"/>
                <w:szCs w:val="21"/>
                <w:lang w:eastAsia="zh-CN"/>
              </w:rPr>
            </w:pPr>
            <w:r>
              <w:rPr>
                <w:rFonts w:hint="eastAsia" w:ascii="宋体" w:hAnsi="宋体"/>
                <w:szCs w:val="21"/>
                <w:lang w:eastAsia="zh-CN"/>
              </w:rPr>
              <w:t>约定甲方承担的其他义务和责任</w:t>
            </w:r>
          </w:p>
        </w:tc>
        <w:tc>
          <w:tcPr>
            <w:tcW w:w="5170" w:type="dxa"/>
            <w:vAlign w:val="center"/>
          </w:tcPr>
          <w:p w14:paraId="07BCE8F9">
            <w:pPr>
              <w:keepNext w:val="0"/>
              <w:keepLines w:val="0"/>
              <w:suppressLineNumbers w:val="0"/>
              <w:adjustRightInd w:val="0"/>
              <w:snapToGrid w:val="0"/>
              <w:spacing w:before="0" w:beforeAutospacing="0" w:after="0" w:afterAutospacing="0"/>
              <w:ind w:left="0" w:right="0"/>
              <w:jc w:val="left"/>
              <w:rPr>
                <w:rFonts w:hint="default" w:ascii="宋体" w:hAnsi="宋体" w:eastAsia="宋体" w:cs="Times New Roman"/>
                <w:kern w:val="2"/>
                <w:sz w:val="21"/>
                <w:szCs w:val="21"/>
                <w:lang w:val="en-US" w:eastAsia="zh-CN" w:bidi="ar-SA"/>
              </w:rPr>
            </w:pPr>
          </w:p>
        </w:tc>
      </w:tr>
      <w:tr w14:paraId="032571A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46BB4088">
            <w:pPr>
              <w:keepNext w:val="0"/>
              <w:keepLines w:val="0"/>
              <w:suppressLineNumbers w:val="0"/>
              <w:adjustRightInd w:val="0"/>
              <w:snapToGrid w:val="0"/>
              <w:spacing w:before="0" w:beforeAutospacing="0" w:after="0" w:afterAutospacing="0"/>
              <w:ind w:left="0" w:right="0"/>
              <w:jc w:val="center"/>
              <w:rPr>
                <w:rFonts w:hint="eastAsia" w:ascii="宋体" w:hAnsi="宋体"/>
                <w:szCs w:val="21"/>
                <w:lang w:eastAsia="zh-CN"/>
              </w:rPr>
            </w:pPr>
            <w:r>
              <w:rPr>
                <w:rFonts w:hint="eastAsia" w:ascii="宋体" w:hAnsi="宋体"/>
                <w:szCs w:val="21"/>
                <w:lang w:eastAsia="zh-CN"/>
              </w:rPr>
              <w:t>第二节</w:t>
            </w:r>
          </w:p>
          <w:p w14:paraId="35E9A9EC">
            <w:pPr>
              <w:keepNext w:val="0"/>
              <w:keepLines w:val="0"/>
              <w:suppressLineNumbers w:val="0"/>
              <w:snapToGrid w:val="0"/>
              <w:spacing w:before="0" w:beforeAutospacing="0" w:after="0" w:afterAutospacing="0"/>
              <w:ind w:left="0" w:right="0"/>
              <w:jc w:val="center"/>
              <w:rPr>
                <w:rFonts w:hint="default"/>
                <w:lang w:val="en-US" w:eastAsia="zh-CN"/>
              </w:rPr>
            </w:pPr>
            <w:r>
              <w:rPr>
                <w:rFonts w:hint="eastAsia" w:ascii="宋体" w:hAnsi="宋体"/>
                <w:szCs w:val="21"/>
                <w:lang w:eastAsia="zh-CN"/>
              </w:rPr>
              <w:t>第</w:t>
            </w:r>
            <w:r>
              <w:rPr>
                <w:rFonts w:hint="eastAsia" w:ascii="宋体" w:hAnsi="宋体"/>
                <w:szCs w:val="21"/>
                <w:lang w:val="en-US" w:eastAsia="zh-CN"/>
              </w:rPr>
              <w:t>5.4款</w:t>
            </w:r>
          </w:p>
        </w:tc>
        <w:tc>
          <w:tcPr>
            <w:tcW w:w="1742" w:type="dxa"/>
            <w:vAlign w:val="center"/>
          </w:tcPr>
          <w:p w14:paraId="79FB0467">
            <w:pPr>
              <w:keepNext w:val="0"/>
              <w:keepLines w:val="0"/>
              <w:suppressLineNumbers w:val="0"/>
              <w:adjustRightInd w:val="0"/>
              <w:snapToGrid w:val="0"/>
              <w:spacing w:before="0" w:beforeAutospacing="0" w:after="0" w:afterAutospacing="0"/>
              <w:ind w:left="0" w:right="0"/>
              <w:jc w:val="left"/>
              <w:rPr>
                <w:rFonts w:hint="eastAsia" w:ascii="宋体" w:hAnsi="宋体"/>
                <w:szCs w:val="21"/>
                <w:lang w:eastAsia="zh-CN"/>
              </w:rPr>
            </w:pPr>
            <w:r>
              <w:rPr>
                <w:rFonts w:hint="eastAsia" w:ascii="宋体" w:hAnsi="宋体"/>
                <w:szCs w:val="21"/>
                <w:lang w:eastAsia="zh-CN"/>
              </w:rPr>
              <w:t>约定乙方承担的其他义务和责任</w:t>
            </w:r>
          </w:p>
        </w:tc>
        <w:tc>
          <w:tcPr>
            <w:tcW w:w="5170" w:type="dxa"/>
            <w:vAlign w:val="center"/>
          </w:tcPr>
          <w:p w14:paraId="04A1061D">
            <w:pPr>
              <w:keepNext w:val="0"/>
              <w:keepLines w:val="0"/>
              <w:suppressLineNumbers w:val="0"/>
              <w:adjustRightInd w:val="0"/>
              <w:snapToGrid w:val="0"/>
              <w:spacing w:before="0" w:beforeAutospacing="0" w:after="0" w:afterAutospacing="0"/>
              <w:ind w:left="0" w:right="0"/>
              <w:jc w:val="left"/>
              <w:rPr>
                <w:rFonts w:hint="default" w:ascii="宋体" w:hAnsi="宋体" w:eastAsia="宋体" w:cs="Times New Roman"/>
                <w:kern w:val="2"/>
                <w:sz w:val="21"/>
                <w:szCs w:val="21"/>
                <w:lang w:val="en-US" w:eastAsia="zh-CN" w:bidi="ar-SA"/>
              </w:rPr>
            </w:pPr>
          </w:p>
        </w:tc>
      </w:tr>
      <w:tr w14:paraId="10E4C77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5ED97722">
            <w:pPr>
              <w:keepNext w:val="0"/>
              <w:keepLines w:val="0"/>
              <w:suppressLineNumbers w:val="0"/>
              <w:adjustRightInd w:val="0"/>
              <w:snapToGrid w:val="0"/>
              <w:spacing w:before="0" w:beforeAutospacing="0" w:after="0" w:afterAutospacing="0"/>
              <w:ind w:left="0" w:right="0"/>
              <w:jc w:val="center"/>
              <w:rPr>
                <w:rFonts w:hint="eastAsia" w:ascii="宋体" w:hAnsi="宋体"/>
                <w:szCs w:val="21"/>
                <w:lang w:eastAsia="zh-CN"/>
              </w:rPr>
            </w:pPr>
            <w:r>
              <w:rPr>
                <w:rFonts w:hint="eastAsia" w:ascii="宋体" w:hAnsi="宋体"/>
                <w:szCs w:val="21"/>
                <w:lang w:eastAsia="zh-CN"/>
              </w:rPr>
              <w:t>第二节</w:t>
            </w:r>
          </w:p>
          <w:p w14:paraId="7F82839A">
            <w:pPr>
              <w:keepNext w:val="0"/>
              <w:keepLines w:val="0"/>
              <w:suppressLineNumbers w:val="0"/>
              <w:snapToGrid w:val="0"/>
              <w:spacing w:before="0" w:beforeAutospacing="0" w:after="0" w:afterAutospacing="0"/>
              <w:ind w:left="0" w:right="0"/>
              <w:jc w:val="center"/>
              <w:rPr>
                <w:rFonts w:hint="eastAsia" w:ascii="宋体" w:hAnsi="宋体"/>
                <w:szCs w:val="21"/>
                <w:lang w:eastAsia="zh-CN"/>
              </w:rPr>
            </w:pPr>
            <w:r>
              <w:rPr>
                <w:rFonts w:hint="eastAsia" w:ascii="宋体" w:hAnsi="宋体"/>
                <w:szCs w:val="21"/>
                <w:lang w:eastAsia="zh-CN"/>
              </w:rPr>
              <w:t>第</w:t>
            </w:r>
            <w:r>
              <w:rPr>
                <w:rFonts w:hint="eastAsia" w:ascii="宋体" w:hAnsi="宋体"/>
                <w:szCs w:val="21"/>
                <w:lang w:val="en-US" w:eastAsia="zh-CN"/>
              </w:rPr>
              <w:t>6.1款</w:t>
            </w:r>
          </w:p>
        </w:tc>
        <w:tc>
          <w:tcPr>
            <w:tcW w:w="1742" w:type="dxa"/>
            <w:vAlign w:val="center"/>
          </w:tcPr>
          <w:p w14:paraId="31B0A082">
            <w:pPr>
              <w:keepNext w:val="0"/>
              <w:keepLines w:val="0"/>
              <w:suppressLineNumbers w:val="0"/>
              <w:adjustRightInd w:val="0"/>
              <w:snapToGrid w:val="0"/>
              <w:spacing w:before="0" w:beforeAutospacing="0" w:after="0" w:afterAutospacing="0"/>
              <w:ind w:left="0" w:right="0"/>
              <w:jc w:val="left"/>
              <w:rPr>
                <w:rFonts w:hint="eastAsia" w:ascii="宋体" w:hAnsi="宋体"/>
                <w:szCs w:val="21"/>
                <w:lang w:eastAsia="zh-CN"/>
              </w:rPr>
            </w:pPr>
            <w:r>
              <w:rPr>
                <w:rFonts w:hint="eastAsia" w:ascii="宋体" w:hAnsi="宋体"/>
                <w:szCs w:val="21"/>
                <w:lang w:eastAsia="zh-CN"/>
              </w:rPr>
              <w:t>履行合同义务的顺序</w:t>
            </w:r>
          </w:p>
        </w:tc>
        <w:tc>
          <w:tcPr>
            <w:tcW w:w="5170" w:type="dxa"/>
            <w:vAlign w:val="center"/>
          </w:tcPr>
          <w:p w14:paraId="21DD664C">
            <w:pPr>
              <w:keepNext w:val="0"/>
              <w:keepLines w:val="0"/>
              <w:suppressLineNumbers w:val="0"/>
              <w:adjustRightInd w:val="0"/>
              <w:snapToGrid w:val="0"/>
              <w:spacing w:before="0" w:beforeAutospacing="0" w:after="0" w:afterAutospacing="0"/>
              <w:ind w:left="0" w:right="0"/>
              <w:jc w:val="left"/>
              <w:rPr>
                <w:rFonts w:hint="default" w:ascii="宋体" w:hAnsi="宋体" w:eastAsia="宋体" w:cs="Times New Roman"/>
                <w:kern w:val="2"/>
                <w:sz w:val="21"/>
                <w:szCs w:val="21"/>
                <w:lang w:val="en-US" w:eastAsia="zh-CN" w:bidi="ar-SA"/>
              </w:rPr>
            </w:pPr>
          </w:p>
        </w:tc>
      </w:tr>
      <w:tr w14:paraId="3B67B0B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1607" w:type="dxa"/>
            <w:vMerge w:val="restart"/>
            <w:vAlign w:val="center"/>
          </w:tcPr>
          <w:p w14:paraId="0FB49D79">
            <w:pPr>
              <w:keepNext w:val="0"/>
              <w:keepLines w:val="0"/>
              <w:suppressLineNumbers w:val="0"/>
              <w:adjustRightInd w:val="0"/>
              <w:snapToGrid w:val="0"/>
              <w:spacing w:before="0" w:beforeAutospacing="0" w:after="0" w:afterAutospacing="0"/>
              <w:ind w:left="0" w:right="0"/>
              <w:jc w:val="center"/>
              <w:rPr>
                <w:rFonts w:hint="default" w:ascii="宋体" w:hAnsi="宋体"/>
                <w:szCs w:val="21"/>
              </w:rPr>
            </w:pPr>
            <w:r>
              <w:rPr>
                <w:rFonts w:hint="eastAsia" w:ascii="宋体" w:hAnsi="宋体"/>
                <w:szCs w:val="21"/>
              </w:rPr>
              <w:t>第二节</w:t>
            </w:r>
          </w:p>
          <w:p w14:paraId="01F0E38D">
            <w:pPr>
              <w:keepNext w:val="0"/>
              <w:keepLines w:val="0"/>
              <w:suppressLineNumbers w:val="0"/>
              <w:adjustRightInd w:val="0"/>
              <w:snapToGrid w:val="0"/>
              <w:spacing w:before="0" w:beforeAutospacing="0" w:after="0" w:afterAutospacing="0"/>
              <w:ind w:left="0" w:right="0"/>
              <w:jc w:val="center"/>
              <w:rPr>
                <w:rFonts w:hint="default" w:ascii="宋体" w:hAnsi="宋体"/>
                <w:szCs w:val="21"/>
              </w:rPr>
            </w:pPr>
            <w:r>
              <w:rPr>
                <w:rFonts w:hint="eastAsia" w:ascii="宋体" w:hAnsi="宋体"/>
                <w:szCs w:val="21"/>
              </w:rPr>
              <w:t>第</w:t>
            </w:r>
            <w:r>
              <w:rPr>
                <w:rFonts w:hint="eastAsia" w:ascii="宋体" w:hAnsi="宋体"/>
                <w:szCs w:val="21"/>
                <w:lang w:val="en-US" w:eastAsia="zh-CN"/>
              </w:rPr>
              <w:t>7</w:t>
            </w:r>
            <w:r>
              <w:rPr>
                <w:rFonts w:hint="eastAsia" w:ascii="宋体" w:hAnsi="宋体"/>
                <w:szCs w:val="21"/>
              </w:rPr>
              <w:t>.1</w:t>
            </w:r>
            <w:r>
              <w:rPr>
                <w:rFonts w:hint="eastAsia" w:ascii="宋体" w:hAnsi="宋体"/>
                <w:szCs w:val="21"/>
                <w:lang w:val="en-US" w:eastAsia="zh-CN"/>
              </w:rPr>
              <w:t>款</w:t>
            </w:r>
          </w:p>
        </w:tc>
        <w:tc>
          <w:tcPr>
            <w:tcW w:w="1742" w:type="dxa"/>
            <w:vAlign w:val="center"/>
          </w:tcPr>
          <w:p w14:paraId="5C9DCCDE">
            <w:pPr>
              <w:keepNext w:val="0"/>
              <w:keepLines w:val="0"/>
              <w:suppressLineNumbers w:val="0"/>
              <w:adjustRightInd w:val="0"/>
              <w:snapToGrid w:val="0"/>
              <w:spacing w:before="0" w:beforeAutospacing="0" w:after="0" w:afterAutospacing="0"/>
              <w:ind w:left="0" w:right="0"/>
              <w:jc w:val="left"/>
              <w:rPr>
                <w:rFonts w:hint="default" w:ascii="宋体" w:hAnsi="宋体"/>
                <w:szCs w:val="21"/>
              </w:rPr>
            </w:pPr>
            <w:r>
              <w:rPr>
                <w:rFonts w:hint="eastAsia" w:ascii="宋体" w:hAnsi="宋体"/>
                <w:szCs w:val="21"/>
              </w:rPr>
              <w:t>包装</w:t>
            </w:r>
            <w:r>
              <w:rPr>
                <w:rFonts w:hint="eastAsia" w:ascii="宋体" w:hAnsi="宋体"/>
                <w:szCs w:val="21"/>
                <w:lang w:eastAsia="zh-CN"/>
              </w:rPr>
              <w:t>特殊要求</w:t>
            </w:r>
          </w:p>
        </w:tc>
        <w:tc>
          <w:tcPr>
            <w:tcW w:w="5170" w:type="dxa"/>
            <w:vAlign w:val="center"/>
          </w:tcPr>
          <w:p w14:paraId="5D7AC9EE">
            <w:pPr>
              <w:keepNext w:val="0"/>
              <w:keepLines w:val="0"/>
              <w:suppressLineNumbers w:val="0"/>
              <w:spacing w:before="0" w:beforeAutospacing="0" w:after="0" w:afterAutospacing="0"/>
              <w:ind w:left="0" w:right="0"/>
              <w:rPr>
                <w:rFonts w:hint="default"/>
              </w:rPr>
            </w:pPr>
          </w:p>
        </w:tc>
      </w:tr>
      <w:tr w14:paraId="5336745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1607" w:type="dxa"/>
            <w:vMerge w:val="continue"/>
            <w:vAlign w:val="center"/>
          </w:tcPr>
          <w:p w14:paraId="416CDE4E">
            <w:pPr>
              <w:keepNext w:val="0"/>
              <w:keepLines w:val="0"/>
              <w:suppressLineNumbers w:val="0"/>
              <w:adjustRightInd w:val="0"/>
              <w:snapToGrid w:val="0"/>
              <w:spacing w:before="0" w:beforeAutospacing="0" w:after="0" w:afterAutospacing="0"/>
              <w:ind w:left="0" w:right="0"/>
              <w:jc w:val="center"/>
              <w:rPr>
                <w:rFonts w:hint="eastAsia" w:ascii="宋体" w:hAnsi="宋体"/>
                <w:szCs w:val="21"/>
              </w:rPr>
            </w:pPr>
          </w:p>
        </w:tc>
        <w:tc>
          <w:tcPr>
            <w:tcW w:w="1742" w:type="dxa"/>
            <w:vAlign w:val="center"/>
          </w:tcPr>
          <w:p w14:paraId="26000499">
            <w:pPr>
              <w:keepNext w:val="0"/>
              <w:keepLines w:val="0"/>
              <w:suppressLineNumbers w:val="0"/>
              <w:adjustRightInd w:val="0"/>
              <w:snapToGrid w:val="0"/>
              <w:spacing w:before="0" w:beforeAutospacing="0" w:after="0" w:afterAutospacing="0"/>
              <w:ind w:left="0" w:right="0"/>
              <w:jc w:val="left"/>
              <w:rPr>
                <w:rFonts w:hint="eastAsia" w:ascii="宋体" w:hAnsi="宋体" w:eastAsia="宋体"/>
                <w:szCs w:val="21"/>
                <w:lang w:eastAsia="zh-CN"/>
              </w:rPr>
            </w:pPr>
            <w:r>
              <w:rPr>
                <w:rFonts w:hint="eastAsia" w:ascii="宋体" w:hAnsi="宋体"/>
                <w:szCs w:val="21"/>
                <w:lang w:eastAsia="zh-CN"/>
              </w:rPr>
              <w:t>指定现场</w:t>
            </w:r>
          </w:p>
        </w:tc>
        <w:tc>
          <w:tcPr>
            <w:tcW w:w="5170" w:type="dxa"/>
            <w:vAlign w:val="center"/>
          </w:tcPr>
          <w:p w14:paraId="5337DD73">
            <w:pPr>
              <w:keepNext w:val="0"/>
              <w:keepLines w:val="0"/>
              <w:suppressLineNumbers w:val="0"/>
              <w:spacing w:before="0" w:beforeAutospacing="0" w:after="0" w:afterAutospacing="0"/>
              <w:ind w:left="0" w:right="0"/>
              <w:rPr>
                <w:rFonts w:hint="eastAsia"/>
              </w:rPr>
            </w:pPr>
          </w:p>
        </w:tc>
      </w:tr>
      <w:tr w14:paraId="4D76EA0E">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72" w:hRule="atLeast"/>
        </w:trPr>
        <w:tc>
          <w:tcPr>
            <w:tcW w:w="1607" w:type="dxa"/>
            <w:vAlign w:val="center"/>
          </w:tcPr>
          <w:p w14:paraId="3CCE755A">
            <w:pPr>
              <w:keepNext w:val="0"/>
              <w:keepLines w:val="0"/>
              <w:suppressLineNumbers w:val="0"/>
              <w:adjustRightInd w:val="0"/>
              <w:snapToGrid w:val="0"/>
              <w:spacing w:before="0" w:beforeAutospacing="0" w:after="0" w:afterAutospacing="0"/>
              <w:ind w:left="0" w:right="0"/>
              <w:jc w:val="center"/>
              <w:rPr>
                <w:rFonts w:hint="default" w:ascii="宋体" w:hAnsi="宋体"/>
                <w:szCs w:val="21"/>
              </w:rPr>
            </w:pPr>
            <w:r>
              <w:rPr>
                <w:rFonts w:hint="eastAsia" w:ascii="宋体" w:hAnsi="宋体"/>
                <w:szCs w:val="21"/>
              </w:rPr>
              <w:t>第二节</w:t>
            </w:r>
          </w:p>
          <w:p w14:paraId="2DF57823">
            <w:pPr>
              <w:keepNext w:val="0"/>
              <w:keepLines w:val="0"/>
              <w:suppressLineNumbers w:val="0"/>
              <w:adjustRightInd w:val="0"/>
              <w:snapToGrid w:val="0"/>
              <w:spacing w:before="0" w:beforeAutospacing="0" w:after="0" w:afterAutospacing="0"/>
              <w:ind w:left="0" w:right="0"/>
              <w:jc w:val="center"/>
              <w:rPr>
                <w:rFonts w:hint="eastAsia" w:ascii="宋体" w:hAnsi="宋体"/>
                <w:szCs w:val="21"/>
              </w:rPr>
            </w:pPr>
            <w:r>
              <w:rPr>
                <w:rFonts w:hint="eastAsia" w:ascii="宋体" w:hAnsi="宋体"/>
                <w:szCs w:val="21"/>
              </w:rPr>
              <w:t>第</w:t>
            </w:r>
            <w:r>
              <w:rPr>
                <w:rFonts w:hint="eastAsia" w:ascii="宋体" w:hAnsi="宋体"/>
                <w:szCs w:val="21"/>
                <w:lang w:val="en-US" w:eastAsia="zh-CN"/>
              </w:rPr>
              <w:t>7</w:t>
            </w:r>
            <w:r>
              <w:rPr>
                <w:rFonts w:hint="eastAsia" w:ascii="宋体" w:hAnsi="宋体"/>
                <w:szCs w:val="21"/>
              </w:rPr>
              <w:t>.2</w:t>
            </w:r>
            <w:r>
              <w:rPr>
                <w:rFonts w:hint="eastAsia" w:ascii="宋体" w:hAnsi="宋体"/>
                <w:szCs w:val="21"/>
                <w:lang w:val="en-US" w:eastAsia="zh-CN"/>
              </w:rPr>
              <w:t>款</w:t>
            </w:r>
          </w:p>
        </w:tc>
        <w:tc>
          <w:tcPr>
            <w:tcW w:w="1742" w:type="dxa"/>
            <w:vAlign w:val="center"/>
          </w:tcPr>
          <w:p w14:paraId="41BDF2B6">
            <w:pPr>
              <w:keepNext w:val="0"/>
              <w:keepLines w:val="0"/>
              <w:suppressLineNumbers w:val="0"/>
              <w:adjustRightInd w:val="0"/>
              <w:snapToGrid w:val="0"/>
              <w:spacing w:before="0" w:beforeAutospacing="0" w:after="0" w:afterAutospacing="0"/>
              <w:ind w:left="0" w:right="0"/>
              <w:jc w:val="left"/>
              <w:rPr>
                <w:rFonts w:hint="eastAsia" w:ascii="宋体" w:hAnsi="宋体" w:eastAsia="宋体"/>
                <w:szCs w:val="21"/>
                <w:lang w:eastAsia="zh-CN"/>
              </w:rPr>
            </w:pPr>
            <w:r>
              <w:rPr>
                <w:rFonts w:hint="eastAsia" w:ascii="宋体" w:hAnsi="宋体"/>
                <w:szCs w:val="21"/>
                <w:lang w:eastAsia="zh-CN"/>
              </w:rPr>
              <w:t>运输特殊要求</w:t>
            </w:r>
          </w:p>
        </w:tc>
        <w:tc>
          <w:tcPr>
            <w:tcW w:w="5170" w:type="dxa"/>
            <w:vAlign w:val="center"/>
          </w:tcPr>
          <w:p w14:paraId="389B7EFE">
            <w:pPr>
              <w:keepNext w:val="0"/>
              <w:keepLines w:val="0"/>
              <w:suppressLineNumbers w:val="0"/>
              <w:spacing w:before="0" w:beforeAutospacing="0" w:after="0" w:afterAutospacing="0"/>
              <w:ind w:left="0" w:right="0"/>
              <w:rPr>
                <w:rFonts w:hint="eastAsia"/>
              </w:rPr>
            </w:pPr>
          </w:p>
        </w:tc>
      </w:tr>
      <w:tr w14:paraId="2FD4B31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1607" w:type="dxa"/>
            <w:vAlign w:val="center"/>
          </w:tcPr>
          <w:p w14:paraId="4F5C7520">
            <w:pPr>
              <w:keepNext w:val="0"/>
              <w:keepLines w:val="0"/>
              <w:suppressLineNumbers w:val="0"/>
              <w:adjustRightInd w:val="0"/>
              <w:snapToGrid w:val="0"/>
              <w:spacing w:before="0" w:beforeAutospacing="0" w:after="0" w:afterAutospacing="0"/>
              <w:ind w:left="0" w:right="0"/>
              <w:jc w:val="center"/>
              <w:rPr>
                <w:rFonts w:hint="default" w:ascii="宋体" w:hAnsi="宋体"/>
                <w:szCs w:val="21"/>
              </w:rPr>
            </w:pPr>
            <w:r>
              <w:rPr>
                <w:rFonts w:hint="eastAsia" w:ascii="宋体" w:hAnsi="宋体"/>
                <w:szCs w:val="21"/>
              </w:rPr>
              <w:t>第二节</w:t>
            </w:r>
          </w:p>
          <w:p w14:paraId="1FFDC525">
            <w:pPr>
              <w:keepNext w:val="0"/>
              <w:keepLines w:val="0"/>
              <w:suppressLineNumbers w:val="0"/>
              <w:adjustRightInd w:val="0"/>
              <w:snapToGrid w:val="0"/>
              <w:spacing w:before="0" w:beforeAutospacing="0" w:after="0" w:afterAutospacing="0"/>
              <w:ind w:left="0" w:right="0"/>
              <w:jc w:val="center"/>
              <w:rPr>
                <w:rFonts w:hint="eastAsia" w:ascii="宋体" w:hAnsi="宋体"/>
                <w:szCs w:val="21"/>
              </w:rPr>
            </w:pPr>
            <w:r>
              <w:rPr>
                <w:rFonts w:hint="eastAsia" w:ascii="宋体" w:hAnsi="宋体"/>
                <w:szCs w:val="21"/>
              </w:rPr>
              <w:t>第</w:t>
            </w:r>
            <w:r>
              <w:rPr>
                <w:rFonts w:hint="eastAsia" w:ascii="宋体" w:hAnsi="宋体"/>
                <w:szCs w:val="21"/>
                <w:lang w:val="en-US" w:eastAsia="zh-CN"/>
              </w:rPr>
              <w:t>7</w:t>
            </w:r>
            <w:r>
              <w:rPr>
                <w:rFonts w:hint="eastAsia" w:ascii="宋体" w:hAnsi="宋体"/>
                <w:szCs w:val="21"/>
              </w:rPr>
              <w:t>.3</w:t>
            </w:r>
            <w:r>
              <w:rPr>
                <w:rFonts w:hint="eastAsia" w:ascii="宋体" w:hAnsi="宋体"/>
                <w:szCs w:val="21"/>
                <w:lang w:val="en-US" w:eastAsia="zh-CN"/>
              </w:rPr>
              <w:t>款</w:t>
            </w:r>
          </w:p>
        </w:tc>
        <w:tc>
          <w:tcPr>
            <w:tcW w:w="1742" w:type="dxa"/>
            <w:vAlign w:val="center"/>
          </w:tcPr>
          <w:p w14:paraId="29D3CB4F">
            <w:pPr>
              <w:keepNext w:val="0"/>
              <w:keepLines w:val="0"/>
              <w:suppressLineNumbers w:val="0"/>
              <w:adjustRightInd w:val="0"/>
              <w:snapToGrid w:val="0"/>
              <w:spacing w:before="0" w:beforeAutospacing="0" w:after="0" w:afterAutospacing="0"/>
              <w:ind w:left="0" w:right="0"/>
              <w:jc w:val="left"/>
              <w:rPr>
                <w:rFonts w:hint="eastAsia" w:ascii="宋体" w:hAnsi="宋体" w:eastAsia="宋体"/>
                <w:szCs w:val="21"/>
                <w:lang w:eastAsia="zh-CN"/>
              </w:rPr>
            </w:pPr>
            <w:r>
              <w:rPr>
                <w:rFonts w:hint="eastAsia" w:ascii="宋体" w:hAnsi="宋体"/>
                <w:szCs w:val="21"/>
                <w:lang w:eastAsia="zh-CN"/>
              </w:rPr>
              <w:t>保险要求</w:t>
            </w:r>
          </w:p>
        </w:tc>
        <w:tc>
          <w:tcPr>
            <w:tcW w:w="5170" w:type="dxa"/>
            <w:vAlign w:val="center"/>
          </w:tcPr>
          <w:p w14:paraId="187AFB50">
            <w:pPr>
              <w:keepNext w:val="0"/>
              <w:keepLines w:val="0"/>
              <w:suppressLineNumbers w:val="0"/>
              <w:spacing w:before="0" w:beforeAutospacing="0" w:after="0" w:afterAutospacing="0"/>
              <w:ind w:left="0" w:right="0"/>
              <w:rPr>
                <w:rFonts w:hint="eastAsia"/>
              </w:rPr>
            </w:pPr>
          </w:p>
        </w:tc>
      </w:tr>
      <w:tr w14:paraId="5A03C2E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2E06B4A5">
            <w:pPr>
              <w:keepNext w:val="0"/>
              <w:keepLines w:val="0"/>
              <w:suppressLineNumbers w:val="0"/>
              <w:adjustRightInd w:val="0"/>
              <w:snapToGrid w:val="0"/>
              <w:spacing w:before="0" w:beforeAutospacing="0" w:after="0" w:afterAutospacing="0"/>
              <w:ind w:left="0" w:right="0"/>
              <w:jc w:val="center"/>
              <w:rPr>
                <w:rFonts w:hint="default" w:ascii="宋体" w:hAnsi="宋体"/>
                <w:szCs w:val="21"/>
              </w:rPr>
            </w:pPr>
            <w:r>
              <w:rPr>
                <w:rFonts w:hint="eastAsia" w:ascii="宋体" w:hAnsi="宋体"/>
                <w:szCs w:val="21"/>
              </w:rPr>
              <w:t>第二节</w:t>
            </w:r>
          </w:p>
          <w:p w14:paraId="65561AFA">
            <w:pPr>
              <w:keepNext w:val="0"/>
              <w:keepLines w:val="0"/>
              <w:suppressLineNumbers w:val="0"/>
              <w:adjustRightInd w:val="0"/>
              <w:snapToGrid w:val="0"/>
              <w:spacing w:before="0" w:beforeAutospacing="0" w:after="0" w:afterAutospacing="0"/>
              <w:ind w:left="0" w:right="0"/>
              <w:jc w:val="center"/>
              <w:rPr>
                <w:rFonts w:hint="default" w:ascii="宋体" w:hAnsi="宋体"/>
                <w:szCs w:val="21"/>
              </w:rPr>
            </w:pPr>
            <w:r>
              <w:rPr>
                <w:rFonts w:hint="eastAsia" w:ascii="宋体" w:hAnsi="宋体"/>
                <w:szCs w:val="21"/>
              </w:rPr>
              <w:t>第</w:t>
            </w:r>
            <w:r>
              <w:rPr>
                <w:rFonts w:hint="eastAsia" w:ascii="宋体" w:hAnsi="宋体"/>
                <w:szCs w:val="21"/>
                <w:lang w:val="en-US" w:eastAsia="zh-CN"/>
              </w:rPr>
              <w:t>8</w:t>
            </w:r>
            <w:r>
              <w:rPr>
                <w:rFonts w:hint="eastAsia" w:ascii="宋体" w:hAnsi="宋体"/>
                <w:szCs w:val="21"/>
              </w:rPr>
              <w:t>.2（1）项</w:t>
            </w:r>
          </w:p>
        </w:tc>
        <w:tc>
          <w:tcPr>
            <w:tcW w:w="1742" w:type="dxa"/>
            <w:vAlign w:val="center"/>
          </w:tcPr>
          <w:p w14:paraId="3AF5FEF3">
            <w:pPr>
              <w:keepNext w:val="0"/>
              <w:keepLines w:val="0"/>
              <w:suppressLineNumbers w:val="0"/>
              <w:adjustRightInd w:val="0"/>
              <w:snapToGrid w:val="0"/>
              <w:spacing w:before="0" w:beforeAutospacing="0" w:after="0" w:afterAutospacing="0"/>
              <w:ind w:left="0" w:right="0"/>
              <w:jc w:val="left"/>
              <w:rPr>
                <w:rFonts w:hint="default" w:ascii="宋体" w:hAnsi="宋体"/>
                <w:szCs w:val="21"/>
              </w:rPr>
            </w:pPr>
            <w:r>
              <w:rPr>
                <w:rFonts w:hint="eastAsia" w:ascii="宋体" w:hAnsi="宋体"/>
                <w:szCs w:val="21"/>
              </w:rPr>
              <w:t>质量保证期</w:t>
            </w:r>
          </w:p>
        </w:tc>
        <w:tc>
          <w:tcPr>
            <w:tcW w:w="5170" w:type="dxa"/>
            <w:vAlign w:val="center"/>
          </w:tcPr>
          <w:p w14:paraId="5C989499">
            <w:pPr>
              <w:keepNext w:val="0"/>
              <w:keepLines w:val="0"/>
              <w:suppressLineNumbers w:val="0"/>
              <w:autoSpaceDE w:val="0"/>
              <w:autoSpaceDN w:val="0"/>
              <w:adjustRightInd w:val="0"/>
              <w:snapToGrid w:val="0"/>
              <w:spacing w:before="0" w:beforeAutospacing="0" w:after="0" w:afterAutospacing="0"/>
              <w:ind w:left="0" w:right="0" w:firstLine="420" w:firstLineChars="200"/>
              <w:jc w:val="left"/>
              <w:rPr>
                <w:rFonts w:hint="default" w:ascii="宋体" w:hAnsi="宋体"/>
                <w:szCs w:val="21"/>
              </w:rPr>
            </w:pPr>
          </w:p>
        </w:tc>
      </w:tr>
      <w:tr w14:paraId="0C58BF7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6C6D83EA">
            <w:pPr>
              <w:keepNext w:val="0"/>
              <w:keepLines w:val="0"/>
              <w:suppressLineNumbers w:val="0"/>
              <w:adjustRightInd w:val="0"/>
              <w:snapToGrid w:val="0"/>
              <w:spacing w:before="0" w:beforeAutospacing="0" w:after="0" w:afterAutospacing="0"/>
              <w:ind w:left="0" w:right="0"/>
              <w:jc w:val="center"/>
              <w:rPr>
                <w:rFonts w:hint="default" w:ascii="宋体" w:hAnsi="宋体"/>
                <w:szCs w:val="21"/>
              </w:rPr>
            </w:pPr>
            <w:r>
              <w:rPr>
                <w:rFonts w:hint="eastAsia" w:ascii="宋体" w:hAnsi="宋体"/>
                <w:szCs w:val="21"/>
              </w:rPr>
              <w:t>第二节</w:t>
            </w:r>
          </w:p>
          <w:p w14:paraId="4436EE64">
            <w:pPr>
              <w:keepNext w:val="0"/>
              <w:keepLines w:val="0"/>
              <w:suppressLineNumbers w:val="0"/>
              <w:adjustRightInd w:val="0"/>
              <w:snapToGrid w:val="0"/>
              <w:spacing w:before="0" w:beforeAutospacing="0" w:after="0" w:afterAutospacing="0"/>
              <w:ind w:left="0" w:right="0"/>
              <w:jc w:val="center"/>
              <w:rPr>
                <w:rFonts w:hint="default" w:ascii="宋体" w:hAnsi="宋体"/>
                <w:szCs w:val="21"/>
              </w:rPr>
            </w:pPr>
            <w:r>
              <w:rPr>
                <w:rFonts w:hint="eastAsia" w:ascii="宋体" w:hAnsi="宋体"/>
                <w:szCs w:val="21"/>
              </w:rPr>
              <w:t>第</w:t>
            </w:r>
            <w:r>
              <w:rPr>
                <w:rFonts w:hint="eastAsia" w:ascii="宋体" w:hAnsi="宋体"/>
                <w:szCs w:val="21"/>
                <w:lang w:val="en-US" w:eastAsia="zh-CN"/>
              </w:rPr>
              <w:t>8</w:t>
            </w:r>
            <w:r>
              <w:rPr>
                <w:rFonts w:hint="eastAsia" w:ascii="宋体" w:hAnsi="宋体"/>
                <w:szCs w:val="21"/>
              </w:rPr>
              <w:t>.2（3）项</w:t>
            </w:r>
          </w:p>
        </w:tc>
        <w:tc>
          <w:tcPr>
            <w:tcW w:w="1742" w:type="dxa"/>
            <w:vAlign w:val="center"/>
          </w:tcPr>
          <w:p w14:paraId="4249AEC0">
            <w:pPr>
              <w:keepNext w:val="0"/>
              <w:keepLines w:val="0"/>
              <w:suppressLineNumbers w:val="0"/>
              <w:adjustRightInd w:val="0"/>
              <w:snapToGrid w:val="0"/>
              <w:spacing w:before="0" w:beforeAutospacing="0" w:after="0" w:afterAutospacing="0"/>
              <w:ind w:left="0" w:right="0"/>
              <w:jc w:val="left"/>
              <w:rPr>
                <w:rFonts w:hint="eastAsia" w:ascii="宋体" w:hAnsi="宋体"/>
                <w:szCs w:val="21"/>
                <w:lang w:eastAsia="zh-CN"/>
              </w:rPr>
            </w:pPr>
            <w:r>
              <w:rPr>
                <w:rFonts w:hint="eastAsia" w:ascii="宋体" w:hAnsi="宋体"/>
                <w:szCs w:val="21"/>
                <w:lang w:eastAsia="zh-CN"/>
              </w:rPr>
              <w:t>货物质量缺陷</w:t>
            </w:r>
          </w:p>
          <w:p w14:paraId="3028EBB1">
            <w:pPr>
              <w:keepNext w:val="0"/>
              <w:keepLines w:val="0"/>
              <w:suppressLineNumbers w:val="0"/>
              <w:adjustRightInd w:val="0"/>
              <w:snapToGrid w:val="0"/>
              <w:spacing w:before="0" w:beforeAutospacing="0" w:after="0" w:afterAutospacing="0"/>
              <w:ind w:left="0" w:right="0"/>
              <w:jc w:val="left"/>
              <w:rPr>
                <w:rFonts w:hint="default" w:ascii="宋体" w:hAnsi="宋体"/>
                <w:szCs w:val="21"/>
              </w:rPr>
            </w:pPr>
            <w:r>
              <w:rPr>
                <w:rFonts w:hint="eastAsia" w:ascii="宋体" w:hAnsi="宋体"/>
                <w:szCs w:val="21"/>
              </w:rPr>
              <w:t>响应时间</w:t>
            </w:r>
          </w:p>
        </w:tc>
        <w:tc>
          <w:tcPr>
            <w:tcW w:w="5170" w:type="dxa"/>
            <w:vAlign w:val="center"/>
          </w:tcPr>
          <w:p w14:paraId="5BEC3011">
            <w:pPr>
              <w:keepNext w:val="0"/>
              <w:keepLines w:val="0"/>
              <w:suppressLineNumbers w:val="0"/>
              <w:adjustRightInd w:val="0"/>
              <w:snapToGrid w:val="0"/>
              <w:spacing w:before="0" w:beforeAutospacing="0" w:after="0" w:afterAutospacing="0"/>
              <w:ind w:left="0" w:right="0"/>
              <w:jc w:val="left"/>
              <w:rPr>
                <w:rFonts w:hint="default" w:ascii="宋体" w:hAnsi="宋体"/>
                <w:szCs w:val="21"/>
              </w:rPr>
            </w:pPr>
          </w:p>
        </w:tc>
      </w:tr>
      <w:tr w14:paraId="0ECA439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13CC4CAD">
            <w:pPr>
              <w:keepNext w:val="0"/>
              <w:keepLines w:val="0"/>
              <w:suppressLineNumbers w:val="0"/>
              <w:snapToGrid w:val="0"/>
              <w:spacing w:before="0" w:beforeAutospacing="0" w:after="0" w:afterAutospacing="0"/>
              <w:ind w:left="0" w:right="0"/>
              <w:jc w:val="center"/>
              <w:rPr>
                <w:rFonts w:hint="eastAsia" w:ascii="宋体" w:hAnsi="宋体" w:cs="宋体"/>
                <w:szCs w:val="21"/>
                <w:lang w:val="en-US" w:eastAsia="zh-CN"/>
              </w:rPr>
            </w:pPr>
            <w:r>
              <w:rPr>
                <w:rFonts w:hint="eastAsia" w:ascii="宋体" w:hAnsi="宋体" w:cs="宋体"/>
                <w:szCs w:val="21"/>
                <w:lang w:val="en-US" w:eastAsia="zh-CN"/>
              </w:rPr>
              <w:t>第二节</w:t>
            </w:r>
          </w:p>
          <w:p w14:paraId="3A795039">
            <w:pPr>
              <w:pStyle w:val="45"/>
              <w:keepNext w:val="0"/>
              <w:keepLines w:val="0"/>
              <w:widowControl/>
              <w:suppressLineNumbers w:val="0"/>
              <w:spacing w:before="0" w:beforeAutospacing="0" w:after="0" w:afterAutospacing="0"/>
              <w:ind w:left="0" w:right="0" w:firstLine="0" w:firstLineChars="0"/>
              <w:jc w:val="center"/>
              <w:rPr>
                <w:rFonts w:hint="default"/>
                <w:lang w:val="en-US" w:eastAsia="zh-CN"/>
              </w:rPr>
            </w:pPr>
            <w:r>
              <w:rPr>
                <w:rFonts w:hint="eastAsia" w:ascii="宋体" w:hAnsi="宋体" w:eastAsia="宋体" w:cs="宋体"/>
                <w:szCs w:val="21"/>
                <w:lang w:val="en-US" w:eastAsia="zh-CN"/>
              </w:rPr>
              <w:t>第11.1款</w:t>
            </w:r>
          </w:p>
        </w:tc>
        <w:tc>
          <w:tcPr>
            <w:tcW w:w="1742" w:type="dxa"/>
            <w:vAlign w:val="center"/>
          </w:tcPr>
          <w:p w14:paraId="49734539">
            <w:pPr>
              <w:keepNext w:val="0"/>
              <w:keepLines w:val="0"/>
              <w:suppressLineNumbers w:val="0"/>
              <w:adjustRightInd w:val="0"/>
              <w:snapToGrid w:val="0"/>
              <w:spacing w:before="0" w:beforeAutospacing="0" w:after="0" w:afterAutospacing="0"/>
              <w:ind w:left="0" w:right="0"/>
              <w:jc w:val="both"/>
              <w:rPr>
                <w:rFonts w:hint="default" w:ascii="宋体" w:hAnsi="宋体" w:eastAsia="宋体"/>
                <w:szCs w:val="21"/>
                <w:lang w:val="en-US" w:eastAsia="zh-CN"/>
              </w:rPr>
            </w:pPr>
            <w:r>
              <w:rPr>
                <w:rFonts w:hint="eastAsia" w:ascii="宋体" w:hAnsi="宋体"/>
                <w:szCs w:val="21"/>
                <w:lang w:val="en-US" w:eastAsia="zh-CN"/>
              </w:rPr>
              <w:t>其他应当保密的信息</w:t>
            </w:r>
          </w:p>
        </w:tc>
        <w:tc>
          <w:tcPr>
            <w:tcW w:w="5170" w:type="dxa"/>
            <w:vAlign w:val="center"/>
          </w:tcPr>
          <w:p w14:paraId="6A6464A3">
            <w:pPr>
              <w:keepNext w:val="0"/>
              <w:keepLines w:val="0"/>
              <w:suppressLineNumbers w:val="0"/>
              <w:adjustRightInd w:val="0"/>
              <w:snapToGrid w:val="0"/>
              <w:spacing w:before="0" w:beforeAutospacing="0" w:after="0" w:afterAutospacing="0"/>
              <w:ind w:left="0" w:right="0"/>
              <w:jc w:val="left"/>
              <w:rPr>
                <w:rFonts w:hint="default" w:ascii="宋体" w:hAnsi="宋体"/>
                <w:szCs w:val="21"/>
              </w:rPr>
            </w:pPr>
          </w:p>
        </w:tc>
      </w:tr>
      <w:tr w14:paraId="71EAE2CE">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97" w:hRule="atLeast"/>
        </w:trPr>
        <w:tc>
          <w:tcPr>
            <w:tcW w:w="1607" w:type="dxa"/>
            <w:vAlign w:val="center"/>
          </w:tcPr>
          <w:p w14:paraId="18D5501A">
            <w:pPr>
              <w:keepNext w:val="0"/>
              <w:keepLines w:val="0"/>
              <w:suppressLineNumbers w:val="0"/>
              <w:adjustRightInd w:val="0"/>
              <w:snapToGrid w:val="0"/>
              <w:spacing w:before="0" w:beforeAutospacing="0" w:after="0" w:afterAutospacing="0"/>
              <w:ind w:left="0" w:right="0"/>
              <w:jc w:val="center"/>
              <w:rPr>
                <w:rFonts w:hint="default" w:ascii="宋体" w:hAnsi="宋体"/>
                <w:szCs w:val="21"/>
              </w:rPr>
            </w:pPr>
            <w:r>
              <w:rPr>
                <w:rFonts w:hint="eastAsia" w:ascii="宋体" w:hAnsi="宋体"/>
                <w:szCs w:val="21"/>
              </w:rPr>
              <w:t>第二节</w:t>
            </w:r>
          </w:p>
          <w:p w14:paraId="239D7C97">
            <w:pPr>
              <w:keepNext w:val="0"/>
              <w:keepLines w:val="0"/>
              <w:suppressLineNumbers w:val="0"/>
              <w:adjustRightInd w:val="0"/>
              <w:snapToGrid w:val="0"/>
              <w:spacing w:before="0" w:beforeAutospacing="0" w:after="0" w:afterAutospacing="0"/>
              <w:ind w:left="0" w:right="0"/>
              <w:jc w:val="center"/>
              <w:rPr>
                <w:rFonts w:hint="default" w:ascii="宋体" w:hAnsi="宋体"/>
                <w:szCs w:val="21"/>
              </w:rPr>
            </w:pPr>
            <w:r>
              <w:rPr>
                <w:rFonts w:hint="eastAsia" w:ascii="宋体" w:hAnsi="宋体"/>
                <w:szCs w:val="21"/>
              </w:rPr>
              <w:t>第1</w:t>
            </w:r>
            <w:r>
              <w:rPr>
                <w:rFonts w:hint="eastAsia" w:ascii="宋体" w:hAnsi="宋体"/>
                <w:szCs w:val="21"/>
                <w:lang w:val="en-US" w:eastAsia="zh-CN"/>
              </w:rPr>
              <w:t>2</w:t>
            </w:r>
            <w:r>
              <w:rPr>
                <w:rFonts w:hint="eastAsia" w:ascii="宋体" w:hAnsi="宋体"/>
                <w:szCs w:val="21"/>
              </w:rPr>
              <w:t>.2款</w:t>
            </w:r>
          </w:p>
        </w:tc>
        <w:tc>
          <w:tcPr>
            <w:tcW w:w="1742" w:type="dxa"/>
            <w:vAlign w:val="center"/>
          </w:tcPr>
          <w:p w14:paraId="3E9AEBF4">
            <w:pPr>
              <w:keepNext w:val="0"/>
              <w:keepLines w:val="0"/>
              <w:suppressLineNumbers w:val="0"/>
              <w:adjustRightInd w:val="0"/>
              <w:snapToGrid w:val="0"/>
              <w:spacing w:before="0" w:beforeAutospacing="0" w:after="0" w:afterAutospacing="0"/>
              <w:ind w:left="0" w:right="0"/>
              <w:jc w:val="left"/>
              <w:rPr>
                <w:rFonts w:hint="eastAsia" w:ascii="宋体" w:hAnsi="宋体" w:eastAsia="宋体"/>
                <w:szCs w:val="21"/>
                <w:lang w:eastAsia="zh-CN"/>
              </w:rPr>
            </w:pPr>
            <w:r>
              <w:rPr>
                <w:rFonts w:hint="eastAsia" w:ascii="宋体" w:hAnsi="宋体"/>
                <w:szCs w:val="21"/>
              </w:rPr>
              <w:t>合同价款支付</w:t>
            </w:r>
            <w:r>
              <w:rPr>
                <w:rFonts w:hint="eastAsia" w:ascii="宋体" w:hAnsi="宋体"/>
                <w:szCs w:val="21"/>
                <w:lang w:eastAsia="zh-CN"/>
              </w:rPr>
              <w:t>时间</w:t>
            </w:r>
          </w:p>
        </w:tc>
        <w:tc>
          <w:tcPr>
            <w:tcW w:w="5170" w:type="dxa"/>
            <w:vAlign w:val="center"/>
          </w:tcPr>
          <w:p w14:paraId="027EE162">
            <w:pPr>
              <w:keepNext w:val="0"/>
              <w:keepLines w:val="0"/>
              <w:suppressLineNumbers w:val="0"/>
              <w:adjustRightInd w:val="0"/>
              <w:snapToGrid w:val="0"/>
              <w:spacing w:before="0" w:beforeAutospacing="0" w:after="0" w:afterAutospacing="0"/>
              <w:ind w:left="0" w:right="0"/>
              <w:jc w:val="left"/>
              <w:rPr>
                <w:rFonts w:hint="default" w:ascii="宋体" w:hAnsi="宋体"/>
                <w:szCs w:val="21"/>
              </w:rPr>
            </w:pPr>
          </w:p>
        </w:tc>
      </w:tr>
      <w:tr w14:paraId="6DBBE44E">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97" w:hRule="atLeast"/>
        </w:trPr>
        <w:tc>
          <w:tcPr>
            <w:tcW w:w="1607" w:type="dxa"/>
            <w:vAlign w:val="center"/>
          </w:tcPr>
          <w:p w14:paraId="5A88803E">
            <w:pPr>
              <w:keepNext w:val="0"/>
              <w:keepLines w:val="0"/>
              <w:suppressLineNumbers w:val="0"/>
              <w:adjustRightInd w:val="0"/>
              <w:snapToGrid w:val="0"/>
              <w:spacing w:before="0" w:beforeAutospacing="0" w:after="0" w:afterAutospacing="0"/>
              <w:ind w:left="0" w:right="0"/>
              <w:jc w:val="center"/>
              <w:rPr>
                <w:rFonts w:hint="eastAsia" w:ascii="宋体" w:hAnsi="宋体"/>
                <w:szCs w:val="21"/>
              </w:rPr>
            </w:pPr>
            <w:r>
              <w:rPr>
                <w:rFonts w:hint="eastAsia" w:ascii="宋体" w:hAnsi="宋体"/>
                <w:szCs w:val="21"/>
              </w:rPr>
              <w:t>第二节</w:t>
            </w:r>
          </w:p>
          <w:p w14:paraId="1084CA26">
            <w:pPr>
              <w:keepNext w:val="0"/>
              <w:keepLines w:val="0"/>
              <w:suppressLineNumbers w:val="0"/>
              <w:adjustRightInd w:val="0"/>
              <w:snapToGrid w:val="0"/>
              <w:spacing w:before="0" w:beforeAutospacing="0" w:after="0" w:afterAutospacing="0"/>
              <w:ind w:left="0" w:right="0"/>
              <w:jc w:val="center"/>
              <w:rPr>
                <w:rFonts w:hint="eastAsia" w:ascii="宋体" w:hAnsi="宋体"/>
                <w:szCs w:val="21"/>
              </w:rPr>
            </w:pPr>
            <w:r>
              <w:rPr>
                <w:rFonts w:hint="eastAsia" w:ascii="宋体" w:hAnsi="宋体"/>
                <w:szCs w:val="21"/>
              </w:rPr>
              <w:t>第</w:t>
            </w:r>
            <w:r>
              <w:rPr>
                <w:rFonts w:hint="eastAsia" w:ascii="宋体" w:hAnsi="宋体"/>
                <w:szCs w:val="21"/>
                <w:lang w:val="en-US" w:eastAsia="zh-CN"/>
              </w:rPr>
              <w:t>13.2</w:t>
            </w:r>
            <w:r>
              <w:rPr>
                <w:rFonts w:hint="eastAsia" w:ascii="宋体" w:hAnsi="宋体"/>
                <w:szCs w:val="21"/>
              </w:rPr>
              <w:t>款</w:t>
            </w:r>
          </w:p>
        </w:tc>
        <w:tc>
          <w:tcPr>
            <w:tcW w:w="1742" w:type="dxa"/>
            <w:vAlign w:val="center"/>
          </w:tcPr>
          <w:p w14:paraId="023A71AE">
            <w:pPr>
              <w:keepNext w:val="0"/>
              <w:keepLines w:val="0"/>
              <w:suppressLineNumbers w:val="0"/>
              <w:adjustRightInd w:val="0"/>
              <w:snapToGrid w:val="0"/>
              <w:spacing w:before="0" w:beforeAutospacing="0" w:after="0" w:afterAutospacing="0"/>
              <w:ind w:left="0" w:right="0"/>
              <w:jc w:val="left"/>
              <w:rPr>
                <w:rFonts w:hint="default" w:ascii="宋体" w:hAnsi="宋体" w:eastAsia="宋体"/>
                <w:szCs w:val="21"/>
                <w:lang w:val="en-US" w:eastAsia="zh-CN"/>
              </w:rPr>
            </w:pPr>
            <w:r>
              <w:rPr>
                <w:rFonts w:hint="eastAsia" w:ascii="宋体" w:hAnsi="宋体"/>
                <w:szCs w:val="21"/>
                <w:lang w:val="en-US" w:eastAsia="zh-CN"/>
              </w:rPr>
              <w:t>履约保证金不予退还的情形</w:t>
            </w:r>
          </w:p>
        </w:tc>
        <w:tc>
          <w:tcPr>
            <w:tcW w:w="5170" w:type="dxa"/>
            <w:vAlign w:val="center"/>
          </w:tcPr>
          <w:p w14:paraId="5295B01F">
            <w:pPr>
              <w:keepNext w:val="0"/>
              <w:keepLines w:val="0"/>
              <w:suppressLineNumbers w:val="0"/>
              <w:adjustRightInd w:val="0"/>
              <w:snapToGrid w:val="0"/>
              <w:spacing w:before="0" w:beforeAutospacing="0" w:after="0" w:afterAutospacing="0"/>
              <w:ind w:left="0" w:right="0"/>
              <w:jc w:val="left"/>
              <w:rPr>
                <w:rFonts w:hint="default" w:ascii="宋体" w:hAnsi="宋体"/>
                <w:szCs w:val="21"/>
              </w:rPr>
            </w:pPr>
          </w:p>
        </w:tc>
      </w:tr>
      <w:tr w14:paraId="44BB32C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521DE2B3">
            <w:pPr>
              <w:keepNext w:val="0"/>
              <w:keepLines w:val="0"/>
              <w:suppressLineNumbers w:val="0"/>
              <w:adjustRightInd w:val="0"/>
              <w:snapToGrid w:val="0"/>
              <w:spacing w:before="0" w:beforeAutospacing="0" w:after="0" w:afterAutospacing="0"/>
              <w:ind w:left="0" w:right="0"/>
              <w:jc w:val="center"/>
              <w:rPr>
                <w:rFonts w:hint="eastAsia" w:ascii="宋体" w:hAnsi="宋体"/>
                <w:szCs w:val="21"/>
              </w:rPr>
            </w:pPr>
            <w:r>
              <w:rPr>
                <w:rFonts w:hint="eastAsia" w:ascii="宋体" w:hAnsi="宋体"/>
                <w:szCs w:val="21"/>
              </w:rPr>
              <w:t>第二节</w:t>
            </w:r>
          </w:p>
          <w:p w14:paraId="38A48B13">
            <w:pPr>
              <w:keepNext w:val="0"/>
              <w:keepLines w:val="0"/>
              <w:suppressLineNumbers w:val="0"/>
              <w:adjustRightInd w:val="0"/>
              <w:snapToGrid w:val="0"/>
              <w:spacing w:before="0" w:beforeAutospacing="0" w:after="0" w:afterAutospacing="0"/>
              <w:ind w:left="0" w:right="0"/>
              <w:jc w:val="center"/>
              <w:rPr>
                <w:rFonts w:hint="eastAsia" w:ascii="宋体" w:hAnsi="宋体"/>
                <w:szCs w:val="21"/>
              </w:rPr>
            </w:pPr>
            <w:r>
              <w:rPr>
                <w:rFonts w:hint="eastAsia" w:ascii="宋体" w:hAnsi="宋体"/>
                <w:szCs w:val="21"/>
              </w:rPr>
              <w:t>第</w:t>
            </w:r>
            <w:r>
              <w:rPr>
                <w:rFonts w:hint="eastAsia" w:ascii="宋体" w:hAnsi="宋体"/>
                <w:szCs w:val="21"/>
                <w:lang w:val="en-US" w:eastAsia="zh-CN"/>
              </w:rPr>
              <w:t>13.3</w:t>
            </w:r>
            <w:r>
              <w:rPr>
                <w:rFonts w:hint="eastAsia" w:ascii="宋体" w:hAnsi="宋体"/>
                <w:szCs w:val="21"/>
              </w:rPr>
              <w:t>款</w:t>
            </w:r>
          </w:p>
        </w:tc>
        <w:tc>
          <w:tcPr>
            <w:tcW w:w="1742" w:type="dxa"/>
            <w:vAlign w:val="center"/>
          </w:tcPr>
          <w:p w14:paraId="7BD88A9F">
            <w:pPr>
              <w:keepNext w:val="0"/>
              <w:keepLines w:val="0"/>
              <w:suppressLineNumbers w:val="0"/>
              <w:adjustRightInd w:val="0"/>
              <w:snapToGrid w:val="0"/>
              <w:spacing w:before="0" w:beforeAutospacing="0" w:after="0" w:afterAutospacing="0"/>
              <w:ind w:left="0" w:right="0"/>
              <w:jc w:val="left"/>
              <w:rPr>
                <w:rFonts w:hint="default" w:ascii="宋体" w:hAnsi="宋体"/>
                <w:szCs w:val="21"/>
              </w:rPr>
            </w:pPr>
            <w:r>
              <w:rPr>
                <w:rFonts w:hint="eastAsia" w:ascii="宋体" w:hAnsi="宋体"/>
                <w:szCs w:val="21"/>
              </w:rPr>
              <w:t>履约保证金退还时间及</w:t>
            </w:r>
            <w:r>
              <w:rPr>
                <w:rFonts w:hint="eastAsia" w:ascii="宋体" w:hAnsi="宋体"/>
                <w:szCs w:val="21"/>
                <w:lang w:eastAsia="zh-CN"/>
              </w:rPr>
              <w:t>逾期退还的</w:t>
            </w:r>
            <w:r>
              <w:rPr>
                <w:rFonts w:hint="eastAsia" w:ascii="宋体" w:hAnsi="宋体"/>
                <w:szCs w:val="21"/>
              </w:rPr>
              <w:t>违约金</w:t>
            </w:r>
          </w:p>
        </w:tc>
        <w:tc>
          <w:tcPr>
            <w:tcW w:w="5170" w:type="dxa"/>
            <w:vAlign w:val="center"/>
          </w:tcPr>
          <w:p w14:paraId="63C0A3BF">
            <w:pPr>
              <w:keepNext w:val="0"/>
              <w:keepLines w:val="0"/>
              <w:suppressLineNumbers w:val="0"/>
              <w:adjustRightInd w:val="0"/>
              <w:snapToGrid w:val="0"/>
              <w:spacing w:before="0" w:beforeAutospacing="0" w:after="0" w:afterAutospacing="0"/>
              <w:ind w:left="0" w:right="0"/>
              <w:jc w:val="left"/>
              <w:rPr>
                <w:rFonts w:hint="default" w:ascii="宋体" w:hAnsi="宋体"/>
                <w:szCs w:val="21"/>
              </w:rPr>
            </w:pPr>
          </w:p>
        </w:tc>
      </w:tr>
      <w:tr w14:paraId="49E185B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84" w:hRule="atLeast"/>
        </w:trPr>
        <w:tc>
          <w:tcPr>
            <w:tcW w:w="1607" w:type="dxa"/>
            <w:vAlign w:val="center"/>
          </w:tcPr>
          <w:p w14:paraId="77CC290F">
            <w:pPr>
              <w:keepNext w:val="0"/>
              <w:keepLines w:val="0"/>
              <w:suppressLineNumbers w:val="0"/>
              <w:adjustRightInd w:val="0"/>
              <w:snapToGrid w:val="0"/>
              <w:spacing w:before="0" w:beforeAutospacing="0" w:after="0" w:afterAutospacing="0"/>
              <w:ind w:left="0" w:right="0"/>
              <w:jc w:val="center"/>
              <w:rPr>
                <w:rFonts w:hint="default" w:ascii="宋体" w:hAnsi="宋体"/>
                <w:szCs w:val="21"/>
              </w:rPr>
            </w:pPr>
            <w:r>
              <w:rPr>
                <w:rFonts w:hint="eastAsia" w:ascii="宋体" w:hAnsi="宋体"/>
                <w:szCs w:val="21"/>
              </w:rPr>
              <w:t>第二节</w:t>
            </w:r>
          </w:p>
          <w:p w14:paraId="72F80CFF">
            <w:pPr>
              <w:keepNext w:val="0"/>
              <w:keepLines w:val="0"/>
              <w:suppressLineNumbers w:val="0"/>
              <w:adjustRightInd w:val="0"/>
              <w:snapToGrid w:val="0"/>
              <w:spacing w:before="0" w:beforeAutospacing="0" w:after="0" w:afterAutospacing="0"/>
              <w:ind w:left="0" w:right="0"/>
              <w:jc w:val="center"/>
              <w:rPr>
                <w:rFonts w:hint="eastAsia" w:ascii="宋体" w:hAnsi="宋体"/>
                <w:szCs w:val="21"/>
              </w:rPr>
            </w:pPr>
            <w:r>
              <w:rPr>
                <w:rFonts w:hint="eastAsia" w:ascii="宋体" w:hAnsi="宋体"/>
                <w:szCs w:val="21"/>
              </w:rPr>
              <w:t>第1</w:t>
            </w:r>
            <w:r>
              <w:rPr>
                <w:rFonts w:hint="eastAsia" w:ascii="宋体" w:hAnsi="宋体"/>
                <w:szCs w:val="21"/>
                <w:lang w:val="en-US" w:eastAsia="zh-CN"/>
              </w:rPr>
              <w:t>4</w:t>
            </w:r>
            <w:r>
              <w:rPr>
                <w:rFonts w:hint="eastAsia" w:ascii="宋体" w:hAnsi="宋体"/>
                <w:szCs w:val="21"/>
              </w:rPr>
              <w:t>.1（</w:t>
            </w:r>
            <w:r>
              <w:rPr>
                <w:rFonts w:hint="eastAsia" w:ascii="宋体" w:hAnsi="宋体"/>
                <w:szCs w:val="21"/>
                <w:lang w:val="en-US" w:eastAsia="zh-CN"/>
              </w:rPr>
              <w:t>3</w:t>
            </w:r>
            <w:r>
              <w:rPr>
                <w:rFonts w:hint="eastAsia" w:ascii="宋体" w:hAnsi="宋体"/>
                <w:szCs w:val="21"/>
              </w:rPr>
              <w:t>）项</w:t>
            </w:r>
          </w:p>
        </w:tc>
        <w:tc>
          <w:tcPr>
            <w:tcW w:w="1742" w:type="dxa"/>
            <w:vAlign w:val="center"/>
          </w:tcPr>
          <w:p w14:paraId="5E8C3375">
            <w:pPr>
              <w:keepNext w:val="0"/>
              <w:keepLines w:val="0"/>
              <w:suppressLineNumbers w:val="0"/>
              <w:adjustRightInd w:val="0"/>
              <w:snapToGrid w:val="0"/>
              <w:spacing w:before="0" w:beforeAutospacing="0" w:after="0" w:afterAutospacing="0"/>
              <w:ind w:left="0" w:right="0"/>
              <w:jc w:val="left"/>
              <w:rPr>
                <w:rFonts w:hint="eastAsia" w:ascii="宋体" w:hAnsi="宋体"/>
                <w:szCs w:val="21"/>
                <w:lang w:val="en-US" w:eastAsia="zh-CN"/>
              </w:rPr>
            </w:pPr>
            <w:r>
              <w:rPr>
                <w:rFonts w:hint="eastAsia" w:ascii="宋体" w:hAnsi="宋体"/>
                <w:szCs w:val="21"/>
                <w:lang w:val="en-US" w:eastAsia="zh-CN"/>
              </w:rPr>
              <w:t>运行监督、维修期限</w:t>
            </w:r>
          </w:p>
        </w:tc>
        <w:tc>
          <w:tcPr>
            <w:tcW w:w="5170" w:type="dxa"/>
            <w:vAlign w:val="center"/>
          </w:tcPr>
          <w:p w14:paraId="5381C69A">
            <w:pPr>
              <w:keepNext w:val="0"/>
              <w:keepLines w:val="0"/>
              <w:suppressLineNumbers w:val="0"/>
              <w:adjustRightInd w:val="0"/>
              <w:snapToGrid w:val="0"/>
              <w:spacing w:before="0" w:beforeAutospacing="0" w:after="0" w:afterAutospacing="0"/>
              <w:ind w:left="0" w:right="0"/>
              <w:jc w:val="left"/>
              <w:rPr>
                <w:rFonts w:hint="default" w:ascii="宋体" w:hAnsi="宋体"/>
                <w:szCs w:val="21"/>
              </w:rPr>
            </w:pPr>
          </w:p>
        </w:tc>
      </w:tr>
      <w:tr w14:paraId="000FB85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84" w:hRule="atLeast"/>
        </w:trPr>
        <w:tc>
          <w:tcPr>
            <w:tcW w:w="1607" w:type="dxa"/>
            <w:vAlign w:val="center"/>
          </w:tcPr>
          <w:p w14:paraId="46FD50F6">
            <w:pPr>
              <w:keepNext w:val="0"/>
              <w:keepLines w:val="0"/>
              <w:suppressLineNumbers w:val="0"/>
              <w:adjustRightInd w:val="0"/>
              <w:snapToGrid w:val="0"/>
              <w:spacing w:before="0" w:beforeAutospacing="0" w:after="0" w:afterAutospacing="0"/>
              <w:ind w:left="0" w:right="0"/>
              <w:jc w:val="center"/>
              <w:rPr>
                <w:rFonts w:hint="default" w:ascii="宋体" w:hAnsi="宋体"/>
                <w:szCs w:val="21"/>
              </w:rPr>
            </w:pPr>
            <w:r>
              <w:rPr>
                <w:rFonts w:hint="eastAsia" w:ascii="宋体" w:hAnsi="宋体"/>
                <w:szCs w:val="21"/>
              </w:rPr>
              <w:t>第二节</w:t>
            </w:r>
          </w:p>
          <w:p w14:paraId="49FF5EAD">
            <w:pPr>
              <w:keepNext w:val="0"/>
              <w:keepLines w:val="0"/>
              <w:suppressLineNumbers w:val="0"/>
              <w:adjustRightInd w:val="0"/>
              <w:snapToGrid w:val="0"/>
              <w:spacing w:before="0" w:beforeAutospacing="0" w:after="0" w:afterAutospacing="0"/>
              <w:ind w:left="0" w:right="0"/>
              <w:jc w:val="center"/>
              <w:rPr>
                <w:rFonts w:hint="eastAsia" w:ascii="宋体" w:hAnsi="宋体"/>
                <w:szCs w:val="21"/>
              </w:rPr>
            </w:pPr>
            <w:r>
              <w:rPr>
                <w:rFonts w:hint="eastAsia" w:ascii="宋体" w:hAnsi="宋体"/>
                <w:szCs w:val="21"/>
              </w:rPr>
              <w:t>第1</w:t>
            </w:r>
            <w:r>
              <w:rPr>
                <w:rFonts w:hint="eastAsia" w:ascii="宋体" w:hAnsi="宋体"/>
                <w:szCs w:val="21"/>
                <w:lang w:val="en-US" w:eastAsia="zh-CN"/>
              </w:rPr>
              <w:t>4</w:t>
            </w:r>
            <w:r>
              <w:rPr>
                <w:rFonts w:hint="eastAsia" w:ascii="宋体" w:hAnsi="宋体"/>
                <w:szCs w:val="21"/>
              </w:rPr>
              <w:t>.1（</w:t>
            </w:r>
            <w:r>
              <w:rPr>
                <w:rFonts w:hint="eastAsia" w:ascii="宋体" w:hAnsi="宋体"/>
                <w:szCs w:val="21"/>
                <w:lang w:val="en-US" w:eastAsia="zh-CN"/>
              </w:rPr>
              <w:t>5</w:t>
            </w:r>
            <w:r>
              <w:rPr>
                <w:rFonts w:hint="eastAsia" w:ascii="宋体" w:hAnsi="宋体"/>
                <w:szCs w:val="21"/>
              </w:rPr>
              <w:t>）项</w:t>
            </w:r>
          </w:p>
        </w:tc>
        <w:tc>
          <w:tcPr>
            <w:tcW w:w="1742" w:type="dxa"/>
            <w:vAlign w:val="center"/>
          </w:tcPr>
          <w:p w14:paraId="5E6FD05D">
            <w:pPr>
              <w:keepNext w:val="0"/>
              <w:keepLines w:val="0"/>
              <w:suppressLineNumbers w:val="0"/>
              <w:adjustRightInd w:val="0"/>
              <w:snapToGrid w:val="0"/>
              <w:spacing w:before="0" w:beforeAutospacing="0" w:after="0" w:afterAutospacing="0"/>
              <w:ind w:left="0" w:right="0"/>
              <w:jc w:val="left"/>
              <w:rPr>
                <w:rFonts w:hint="default" w:ascii="宋体" w:hAnsi="宋体" w:eastAsia="宋体"/>
                <w:szCs w:val="21"/>
                <w:lang w:val="en-US" w:eastAsia="zh-CN"/>
              </w:rPr>
            </w:pPr>
            <w:r>
              <w:rPr>
                <w:rFonts w:hint="eastAsia" w:ascii="宋体" w:hAnsi="宋体"/>
                <w:szCs w:val="21"/>
                <w:lang w:val="en-US" w:eastAsia="zh-CN"/>
              </w:rPr>
              <w:t>货物回收的约定</w:t>
            </w:r>
          </w:p>
        </w:tc>
        <w:tc>
          <w:tcPr>
            <w:tcW w:w="5170" w:type="dxa"/>
            <w:vAlign w:val="center"/>
          </w:tcPr>
          <w:p w14:paraId="007317F4">
            <w:pPr>
              <w:keepNext w:val="0"/>
              <w:keepLines w:val="0"/>
              <w:suppressLineNumbers w:val="0"/>
              <w:adjustRightInd w:val="0"/>
              <w:snapToGrid w:val="0"/>
              <w:spacing w:before="0" w:beforeAutospacing="0" w:after="0" w:afterAutospacing="0"/>
              <w:ind w:left="0" w:right="0"/>
              <w:jc w:val="left"/>
              <w:rPr>
                <w:rFonts w:hint="default" w:ascii="宋体" w:hAnsi="宋体"/>
                <w:szCs w:val="21"/>
              </w:rPr>
            </w:pPr>
          </w:p>
        </w:tc>
      </w:tr>
      <w:tr w14:paraId="6F719DD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5416AEAD">
            <w:pPr>
              <w:keepNext w:val="0"/>
              <w:keepLines w:val="0"/>
              <w:suppressLineNumbers w:val="0"/>
              <w:adjustRightInd w:val="0"/>
              <w:snapToGrid w:val="0"/>
              <w:spacing w:before="0" w:beforeAutospacing="0" w:after="0" w:afterAutospacing="0"/>
              <w:ind w:left="0" w:right="0"/>
              <w:jc w:val="center"/>
              <w:rPr>
                <w:rFonts w:hint="default" w:ascii="宋体" w:hAnsi="宋体"/>
                <w:szCs w:val="21"/>
              </w:rPr>
            </w:pPr>
            <w:r>
              <w:rPr>
                <w:rFonts w:hint="eastAsia" w:ascii="宋体" w:hAnsi="宋体"/>
                <w:szCs w:val="21"/>
              </w:rPr>
              <w:t>第二节</w:t>
            </w:r>
          </w:p>
          <w:p w14:paraId="462E6EAE">
            <w:pPr>
              <w:keepNext w:val="0"/>
              <w:keepLines w:val="0"/>
              <w:suppressLineNumbers w:val="0"/>
              <w:adjustRightInd w:val="0"/>
              <w:snapToGrid w:val="0"/>
              <w:spacing w:before="0" w:beforeAutospacing="0" w:after="0" w:afterAutospacing="0"/>
              <w:ind w:left="0" w:right="0"/>
              <w:jc w:val="center"/>
              <w:rPr>
                <w:rFonts w:hint="default" w:ascii="宋体" w:hAnsi="宋体"/>
                <w:szCs w:val="21"/>
              </w:rPr>
            </w:pPr>
            <w:r>
              <w:rPr>
                <w:rFonts w:hint="eastAsia" w:ascii="宋体" w:hAnsi="宋体"/>
                <w:szCs w:val="21"/>
              </w:rPr>
              <w:t>第1</w:t>
            </w:r>
            <w:r>
              <w:rPr>
                <w:rFonts w:hint="eastAsia" w:ascii="宋体" w:hAnsi="宋体"/>
                <w:szCs w:val="21"/>
                <w:lang w:val="en-US" w:eastAsia="zh-CN"/>
              </w:rPr>
              <w:t>4</w:t>
            </w:r>
            <w:r>
              <w:rPr>
                <w:rFonts w:hint="eastAsia" w:ascii="宋体" w:hAnsi="宋体"/>
                <w:szCs w:val="21"/>
              </w:rPr>
              <w:t>.1（</w:t>
            </w:r>
            <w:r>
              <w:rPr>
                <w:rFonts w:hint="eastAsia" w:ascii="宋体" w:hAnsi="宋体"/>
                <w:szCs w:val="21"/>
                <w:lang w:val="en-US" w:eastAsia="zh-CN"/>
              </w:rPr>
              <w:t>6</w:t>
            </w:r>
            <w:r>
              <w:rPr>
                <w:rFonts w:hint="eastAsia" w:ascii="宋体" w:hAnsi="宋体"/>
                <w:szCs w:val="21"/>
              </w:rPr>
              <w:t>）项</w:t>
            </w:r>
          </w:p>
        </w:tc>
        <w:tc>
          <w:tcPr>
            <w:tcW w:w="1742" w:type="dxa"/>
            <w:vAlign w:val="center"/>
          </w:tcPr>
          <w:p w14:paraId="0CF40314">
            <w:pPr>
              <w:keepNext w:val="0"/>
              <w:keepLines w:val="0"/>
              <w:suppressLineNumbers w:val="0"/>
              <w:adjustRightInd w:val="0"/>
              <w:snapToGrid w:val="0"/>
              <w:spacing w:before="0" w:beforeAutospacing="0" w:after="0" w:afterAutospacing="0"/>
              <w:ind w:left="0" w:right="0"/>
              <w:jc w:val="left"/>
              <w:rPr>
                <w:rFonts w:hint="default" w:ascii="宋体" w:hAnsi="宋体"/>
                <w:szCs w:val="21"/>
              </w:rPr>
            </w:pPr>
            <w:r>
              <w:rPr>
                <w:rFonts w:hint="eastAsia" w:ascii="宋体" w:hAnsi="宋体"/>
                <w:szCs w:val="21"/>
              </w:rPr>
              <w:t>乙方提供的其他服务</w:t>
            </w:r>
          </w:p>
        </w:tc>
        <w:tc>
          <w:tcPr>
            <w:tcW w:w="5170" w:type="dxa"/>
            <w:vAlign w:val="center"/>
          </w:tcPr>
          <w:p w14:paraId="2C39B42A">
            <w:pPr>
              <w:keepNext w:val="0"/>
              <w:keepLines w:val="0"/>
              <w:suppressLineNumbers w:val="0"/>
              <w:adjustRightInd w:val="0"/>
              <w:snapToGrid w:val="0"/>
              <w:spacing w:before="0" w:beforeAutospacing="0" w:after="0" w:afterAutospacing="0"/>
              <w:ind w:left="0" w:right="0"/>
              <w:jc w:val="left"/>
              <w:rPr>
                <w:rFonts w:hint="default" w:ascii="宋体" w:hAnsi="宋体"/>
                <w:szCs w:val="21"/>
              </w:rPr>
            </w:pPr>
          </w:p>
        </w:tc>
      </w:tr>
      <w:tr w14:paraId="1C5BB4F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782AC1B8">
            <w:pPr>
              <w:keepNext w:val="0"/>
              <w:keepLines w:val="0"/>
              <w:suppressLineNumbers w:val="0"/>
              <w:adjustRightInd w:val="0"/>
              <w:snapToGrid w:val="0"/>
              <w:spacing w:before="0" w:beforeAutospacing="0" w:after="0" w:afterAutospacing="0"/>
              <w:ind w:left="0" w:right="0"/>
              <w:jc w:val="center"/>
              <w:rPr>
                <w:rFonts w:hint="default" w:ascii="宋体" w:hAnsi="宋体"/>
                <w:szCs w:val="21"/>
              </w:rPr>
            </w:pPr>
            <w:r>
              <w:rPr>
                <w:rFonts w:hint="eastAsia" w:ascii="宋体" w:hAnsi="宋体"/>
                <w:szCs w:val="21"/>
              </w:rPr>
              <w:t>第二节</w:t>
            </w:r>
          </w:p>
          <w:p w14:paraId="4DB14138">
            <w:pPr>
              <w:keepNext w:val="0"/>
              <w:keepLines w:val="0"/>
              <w:suppressLineNumbers w:val="0"/>
              <w:adjustRightInd w:val="0"/>
              <w:snapToGrid w:val="0"/>
              <w:spacing w:before="0" w:beforeAutospacing="0" w:after="0" w:afterAutospacing="0"/>
              <w:ind w:left="0" w:right="0"/>
              <w:jc w:val="center"/>
              <w:rPr>
                <w:rFonts w:hint="default" w:ascii="宋体" w:hAnsi="宋体" w:eastAsia="宋体"/>
                <w:szCs w:val="21"/>
                <w:lang w:val="en-US" w:eastAsia="zh-CN"/>
              </w:rPr>
            </w:pPr>
            <w:r>
              <w:rPr>
                <w:rFonts w:hint="eastAsia" w:ascii="宋体" w:hAnsi="宋体"/>
                <w:szCs w:val="21"/>
              </w:rPr>
              <w:t>第1</w:t>
            </w:r>
            <w:r>
              <w:rPr>
                <w:rFonts w:hint="eastAsia" w:ascii="宋体" w:hAnsi="宋体"/>
                <w:szCs w:val="21"/>
                <w:lang w:val="en-US" w:eastAsia="zh-CN"/>
              </w:rPr>
              <w:t>5</w:t>
            </w:r>
            <w:r>
              <w:rPr>
                <w:rFonts w:hint="eastAsia" w:ascii="宋体" w:hAnsi="宋体"/>
                <w:szCs w:val="21"/>
              </w:rPr>
              <w:t>.</w:t>
            </w:r>
            <w:r>
              <w:rPr>
                <w:rFonts w:hint="eastAsia" w:ascii="宋体" w:hAnsi="宋体"/>
                <w:szCs w:val="21"/>
                <w:lang w:val="en-US" w:eastAsia="zh-CN"/>
              </w:rPr>
              <w:t>1款</w:t>
            </w:r>
          </w:p>
        </w:tc>
        <w:tc>
          <w:tcPr>
            <w:tcW w:w="1742" w:type="dxa"/>
            <w:vAlign w:val="center"/>
          </w:tcPr>
          <w:p w14:paraId="05027E82">
            <w:pPr>
              <w:keepNext w:val="0"/>
              <w:keepLines w:val="0"/>
              <w:suppressLineNumbers w:val="0"/>
              <w:adjustRightInd w:val="0"/>
              <w:snapToGrid w:val="0"/>
              <w:spacing w:before="0" w:beforeAutospacing="0" w:after="0" w:afterAutospacing="0"/>
              <w:ind w:left="0" w:right="0"/>
              <w:jc w:val="left"/>
              <w:rPr>
                <w:rFonts w:hint="eastAsia" w:ascii="宋体" w:hAnsi="宋体"/>
                <w:szCs w:val="21"/>
              </w:rPr>
            </w:pPr>
            <w:r>
              <w:rPr>
                <w:rFonts w:hint="eastAsia" w:ascii="宋体" w:hAnsi="宋体"/>
                <w:color w:val="auto"/>
                <w:szCs w:val="21"/>
                <w:highlight w:val="none"/>
                <w:lang w:eastAsia="zh-CN"/>
              </w:rPr>
              <w:t>修理、重作、更换相关具体规定</w:t>
            </w:r>
          </w:p>
        </w:tc>
        <w:tc>
          <w:tcPr>
            <w:tcW w:w="5170" w:type="dxa"/>
            <w:vAlign w:val="center"/>
          </w:tcPr>
          <w:p w14:paraId="7F70D34D">
            <w:pPr>
              <w:keepNext w:val="0"/>
              <w:keepLines w:val="0"/>
              <w:suppressLineNumbers w:val="0"/>
              <w:adjustRightInd w:val="0"/>
              <w:snapToGrid w:val="0"/>
              <w:spacing w:before="0" w:beforeAutospacing="0" w:after="0" w:afterAutospacing="0"/>
              <w:ind w:left="0" w:right="0"/>
              <w:jc w:val="left"/>
              <w:rPr>
                <w:rFonts w:hint="default" w:ascii="宋体" w:hAnsi="宋体"/>
                <w:szCs w:val="21"/>
              </w:rPr>
            </w:pPr>
          </w:p>
        </w:tc>
      </w:tr>
      <w:tr w14:paraId="3119928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2F922515">
            <w:pPr>
              <w:keepNext w:val="0"/>
              <w:keepLines w:val="0"/>
              <w:suppressLineNumbers w:val="0"/>
              <w:adjustRightInd w:val="0"/>
              <w:snapToGrid w:val="0"/>
              <w:spacing w:before="0" w:beforeAutospacing="0" w:after="0" w:afterAutospacing="0"/>
              <w:ind w:left="0" w:right="0"/>
              <w:jc w:val="center"/>
              <w:rPr>
                <w:rFonts w:hint="default" w:ascii="宋体" w:hAnsi="宋体"/>
                <w:szCs w:val="21"/>
              </w:rPr>
            </w:pPr>
            <w:r>
              <w:rPr>
                <w:rFonts w:hint="eastAsia" w:ascii="宋体" w:hAnsi="宋体"/>
                <w:szCs w:val="21"/>
              </w:rPr>
              <w:t>第二节</w:t>
            </w:r>
          </w:p>
          <w:p w14:paraId="65533E9D">
            <w:pPr>
              <w:keepNext w:val="0"/>
              <w:keepLines w:val="0"/>
              <w:suppressLineNumbers w:val="0"/>
              <w:adjustRightInd w:val="0"/>
              <w:snapToGrid w:val="0"/>
              <w:spacing w:before="0" w:beforeAutospacing="0" w:after="0" w:afterAutospacing="0"/>
              <w:ind w:left="0" w:right="0"/>
              <w:jc w:val="center"/>
              <w:rPr>
                <w:rFonts w:hint="default" w:ascii="宋体" w:hAnsi="宋体"/>
                <w:szCs w:val="21"/>
              </w:rPr>
            </w:pPr>
            <w:r>
              <w:rPr>
                <w:rFonts w:hint="eastAsia" w:ascii="宋体" w:hAnsi="宋体"/>
                <w:szCs w:val="21"/>
              </w:rPr>
              <w:t>第1</w:t>
            </w:r>
            <w:r>
              <w:rPr>
                <w:rFonts w:hint="eastAsia" w:ascii="宋体" w:hAnsi="宋体"/>
                <w:szCs w:val="21"/>
                <w:lang w:val="en-US" w:eastAsia="zh-CN"/>
              </w:rPr>
              <w:t>5</w:t>
            </w:r>
            <w:r>
              <w:rPr>
                <w:rFonts w:hint="eastAsia" w:ascii="宋体" w:hAnsi="宋体"/>
                <w:szCs w:val="21"/>
              </w:rPr>
              <w:t>.2（2）项</w:t>
            </w:r>
          </w:p>
        </w:tc>
        <w:tc>
          <w:tcPr>
            <w:tcW w:w="1742" w:type="dxa"/>
            <w:vAlign w:val="center"/>
          </w:tcPr>
          <w:p w14:paraId="5E1E32CD">
            <w:pPr>
              <w:keepNext w:val="0"/>
              <w:keepLines w:val="0"/>
              <w:suppressLineNumbers w:val="0"/>
              <w:adjustRightInd w:val="0"/>
              <w:snapToGrid w:val="0"/>
              <w:spacing w:before="0" w:beforeAutospacing="0" w:after="0" w:afterAutospacing="0"/>
              <w:ind w:left="0" w:right="0"/>
              <w:jc w:val="left"/>
              <w:rPr>
                <w:rFonts w:hint="default" w:ascii="宋体" w:hAnsi="宋体"/>
                <w:szCs w:val="21"/>
              </w:rPr>
            </w:pPr>
            <w:r>
              <w:rPr>
                <w:rFonts w:hint="eastAsia" w:ascii="宋体" w:hAnsi="宋体"/>
                <w:szCs w:val="21"/>
              </w:rPr>
              <w:t>迟延交货赔偿费</w:t>
            </w:r>
          </w:p>
        </w:tc>
        <w:tc>
          <w:tcPr>
            <w:tcW w:w="5170" w:type="dxa"/>
            <w:vAlign w:val="center"/>
          </w:tcPr>
          <w:p w14:paraId="414C2B11">
            <w:pPr>
              <w:keepNext w:val="0"/>
              <w:keepLines w:val="0"/>
              <w:suppressLineNumbers w:val="0"/>
              <w:adjustRightInd w:val="0"/>
              <w:snapToGrid w:val="0"/>
              <w:spacing w:before="0" w:beforeAutospacing="0" w:after="0" w:afterAutospacing="0"/>
              <w:ind w:left="0" w:right="0"/>
              <w:jc w:val="left"/>
              <w:rPr>
                <w:rFonts w:hint="default" w:ascii="宋体" w:hAnsi="宋体"/>
                <w:szCs w:val="21"/>
                <w:u w:val="single"/>
              </w:rPr>
            </w:pPr>
          </w:p>
        </w:tc>
      </w:tr>
      <w:tr w14:paraId="27C8AAA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62698A32">
            <w:pPr>
              <w:keepNext w:val="0"/>
              <w:keepLines w:val="0"/>
              <w:suppressLineNumbers w:val="0"/>
              <w:adjustRightInd w:val="0"/>
              <w:snapToGrid w:val="0"/>
              <w:spacing w:before="0" w:beforeAutospacing="0" w:after="0" w:afterAutospacing="0"/>
              <w:ind w:left="0" w:right="0"/>
              <w:jc w:val="center"/>
              <w:rPr>
                <w:rFonts w:hint="default" w:ascii="宋体" w:hAnsi="宋体"/>
                <w:szCs w:val="21"/>
              </w:rPr>
            </w:pPr>
            <w:r>
              <w:rPr>
                <w:rFonts w:hint="eastAsia" w:ascii="宋体" w:hAnsi="宋体"/>
                <w:szCs w:val="21"/>
              </w:rPr>
              <w:t>第二节</w:t>
            </w:r>
          </w:p>
          <w:p w14:paraId="77BAEA13">
            <w:pPr>
              <w:keepNext w:val="0"/>
              <w:keepLines w:val="0"/>
              <w:suppressLineNumbers w:val="0"/>
              <w:adjustRightInd w:val="0"/>
              <w:snapToGrid w:val="0"/>
              <w:spacing w:before="0" w:beforeAutospacing="0" w:after="0" w:afterAutospacing="0"/>
              <w:ind w:left="0" w:right="0"/>
              <w:jc w:val="center"/>
              <w:rPr>
                <w:rFonts w:hint="eastAsia" w:ascii="宋体" w:hAnsi="宋体"/>
                <w:szCs w:val="21"/>
              </w:rPr>
            </w:pPr>
            <w:r>
              <w:rPr>
                <w:rFonts w:hint="eastAsia" w:ascii="宋体" w:hAnsi="宋体"/>
                <w:szCs w:val="21"/>
              </w:rPr>
              <w:t>第1</w:t>
            </w:r>
            <w:r>
              <w:rPr>
                <w:rFonts w:hint="eastAsia" w:ascii="宋体" w:hAnsi="宋体"/>
                <w:szCs w:val="21"/>
                <w:lang w:val="en-US" w:eastAsia="zh-CN"/>
              </w:rPr>
              <w:t>5</w:t>
            </w:r>
            <w:r>
              <w:rPr>
                <w:rFonts w:hint="eastAsia" w:ascii="宋体" w:hAnsi="宋体"/>
                <w:szCs w:val="21"/>
              </w:rPr>
              <w:t>.</w:t>
            </w:r>
            <w:r>
              <w:rPr>
                <w:rFonts w:hint="eastAsia" w:ascii="宋体" w:hAnsi="宋体"/>
                <w:szCs w:val="21"/>
                <w:lang w:val="en-US" w:eastAsia="zh-CN"/>
              </w:rPr>
              <w:t>3款</w:t>
            </w:r>
          </w:p>
        </w:tc>
        <w:tc>
          <w:tcPr>
            <w:tcW w:w="1742" w:type="dxa"/>
            <w:vAlign w:val="center"/>
          </w:tcPr>
          <w:p w14:paraId="51B5499D">
            <w:pPr>
              <w:keepNext w:val="0"/>
              <w:keepLines w:val="0"/>
              <w:suppressLineNumbers w:val="0"/>
              <w:adjustRightInd w:val="0"/>
              <w:snapToGrid w:val="0"/>
              <w:spacing w:before="0" w:beforeAutospacing="0" w:after="0" w:afterAutospacing="0"/>
              <w:ind w:left="0" w:right="0"/>
              <w:jc w:val="left"/>
              <w:rPr>
                <w:rFonts w:hint="eastAsia" w:ascii="宋体" w:hAnsi="宋体"/>
                <w:szCs w:val="21"/>
              </w:rPr>
            </w:pPr>
            <w:r>
              <w:rPr>
                <w:rFonts w:hint="eastAsia" w:ascii="宋体" w:hAnsi="宋体"/>
                <w:szCs w:val="21"/>
              </w:rPr>
              <w:t>逾期付款利息</w:t>
            </w:r>
          </w:p>
        </w:tc>
        <w:tc>
          <w:tcPr>
            <w:tcW w:w="5170" w:type="dxa"/>
            <w:vAlign w:val="center"/>
          </w:tcPr>
          <w:p w14:paraId="28A9715F">
            <w:pPr>
              <w:keepNext w:val="0"/>
              <w:keepLines w:val="0"/>
              <w:suppressLineNumbers w:val="0"/>
              <w:adjustRightInd w:val="0"/>
              <w:snapToGrid w:val="0"/>
              <w:spacing w:before="0" w:beforeAutospacing="0" w:after="0" w:afterAutospacing="0"/>
              <w:ind w:left="0" w:right="0"/>
              <w:jc w:val="left"/>
              <w:rPr>
                <w:rFonts w:hint="default" w:ascii="宋体" w:hAnsi="宋体"/>
                <w:szCs w:val="21"/>
                <w:u w:val="single"/>
              </w:rPr>
            </w:pPr>
          </w:p>
        </w:tc>
      </w:tr>
      <w:tr w14:paraId="3E431D7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876" w:hRule="atLeast"/>
        </w:trPr>
        <w:tc>
          <w:tcPr>
            <w:tcW w:w="1607" w:type="dxa"/>
            <w:tcBorders>
              <w:bottom w:val="single" w:color="auto" w:sz="2" w:space="0"/>
              <w:right w:val="single" w:color="auto" w:sz="2" w:space="0"/>
            </w:tcBorders>
            <w:vAlign w:val="center"/>
          </w:tcPr>
          <w:p w14:paraId="73733F85">
            <w:pPr>
              <w:keepNext w:val="0"/>
              <w:keepLines w:val="0"/>
              <w:suppressLineNumbers w:val="0"/>
              <w:adjustRightInd w:val="0"/>
              <w:snapToGrid w:val="0"/>
              <w:spacing w:before="0" w:beforeAutospacing="0" w:after="0" w:afterAutospacing="0"/>
              <w:ind w:left="0" w:right="0"/>
              <w:jc w:val="center"/>
              <w:rPr>
                <w:rFonts w:hint="default" w:ascii="宋体" w:hAnsi="宋体"/>
                <w:szCs w:val="21"/>
              </w:rPr>
            </w:pPr>
            <w:r>
              <w:rPr>
                <w:rFonts w:hint="eastAsia" w:ascii="宋体" w:hAnsi="宋体"/>
                <w:szCs w:val="21"/>
              </w:rPr>
              <w:t>第二节</w:t>
            </w:r>
          </w:p>
          <w:p w14:paraId="165B194D">
            <w:pPr>
              <w:keepNext w:val="0"/>
              <w:keepLines w:val="0"/>
              <w:suppressLineNumbers w:val="0"/>
              <w:adjustRightInd w:val="0"/>
              <w:snapToGrid w:val="0"/>
              <w:spacing w:before="0" w:beforeAutospacing="0" w:after="0" w:afterAutospacing="0"/>
              <w:ind w:left="0" w:right="0"/>
              <w:jc w:val="center"/>
              <w:rPr>
                <w:rFonts w:hint="default" w:ascii="宋体" w:hAnsi="宋体"/>
                <w:szCs w:val="21"/>
              </w:rPr>
            </w:pPr>
            <w:r>
              <w:rPr>
                <w:rFonts w:hint="eastAsia" w:ascii="宋体" w:hAnsi="宋体"/>
                <w:szCs w:val="21"/>
              </w:rPr>
              <w:t>第1</w:t>
            </w:r>
            <w:r>
              <w:rPr>
                <w:rFonts w:hint="eastAsia" w:ascii="宋体" w:hAnsi="宋体"/>
                <w:szCs w:val="21"/>
                <w:lang w:val="en-US" w:eastAsia="zh-CN"/>
              </w:rPr>
              <w:t>5</w:t>
            </w:r>
            <w:r>
              <w:rPr>
                <w:rFonts w:hint="eastAsia" w:ascii="宋体" w:hAnsi="宋体"/>
                <w:szCs w:val="21"/>
              </w:rPr>
              <w:t>.4</w:t>
            </w:r>
            <w:r>
              <w:rPr>
                <w:rFonts w:hint="eastAsia" w:ascii="宋体" w:hAnsi="宋体"/>
                <w:szCs w:val="21"/>
                <w:lang w:val="en-US" w:eastAsia="zh-CN"/>
              </w:rPr>
              <w:t>款</w:t>
            </w:r>
          </w:p>
        </w:tc>
        <w:tc>
          <w:tcPr>
            <w:tcW w:w="1742" w:type="dxa"/>
            <w:tcBorders>
              <w:left w:val="single" w:color="auto" w:sz="2" w:space="0"/>
              <w:bottom w:val="single" w:color="auto" w:sz="2" w:space="0"/>
              <w:right w:val="single" w:color="auto" w:sz="2" w:space="0"/>
            </w:tcBorders>
            <w:vAlign w:val="center"/>
          </w:tcPr>
          <w:p w14:paraId="11C6D328">
            <w:pPr>
              <w:keepNext w:val="0"/>
              <w:keepLines w:val="0"/>
              <w:suppressLineNumbers w:val="0"/>
              <w:adjustRightInd w:val="0"/>
              <w:snapToGrid w:val="0"/>
              <w:spacing w:before="0" w:beforeAutospacing="0" w:after="0" w:afterAutospacing="0"/>
              <w:ind w:left="0" w:right="0"/>
              <w:jc w:val="left"/>
              <w:rPr>
                <w:rFonts w:hint="default" w:ascii="宋体" w:hAnsi="宋体"/>
                <w:szCs w:val="21"/>
              </w:rPr>
            </w:pPr>
            <w:r>
              <w:rPr>
                <w:rFonts w:hint="eastAsia" w:ascii="宋体" w:hAnsi="宋体"/>
                <w:szCs w:val="21"/>
              </w:rPr>
              <w:t>其他违约责任</w:t>
            </w:r>
          </w:p>
        </w:tc>
        <w:tc>
          <w:tcPr>
            <w:tcW w:w="5170" w:type="dxa"/>
            <w:tcBorders>
              <w:left w:val="single" w:color="auto" w:sz="2" w:space="0"/>
              <w:bottom w:val="single" w:color="auto" w:sz="2" w:space="0"/>
            </w:tcBorders>
            <w:vAlign w:val="center"/>
          </w:tcPr>
          <w:p w14:paraId="4720B5EC">
            <w:pPr>
              <w:keepNext w:val="0"/>
              <w:keepLines w:val="0"/>
              <w:suppressLineNumbers w:val="0"/>
              <w:adjustRightInd w:val="0"/>
              <w:snapToGrid w:val="0"/>
              <w:spacing w:before="0" w:beforeAutospacing="0" w:after="0" w:afterAutospacing="0"/>
              <w:ind w:left="0" w:right="0"/>
              <w:jc w:val="left"/>
              <w:rPr>
                <w:rFonts w:hint="default" w:ascii="宋体" w:hAnsi="宋体"/>
                <w:szCs w:val="21"/>
                <w:u w:val="single"/>
              </w:rPr>
            </w:pPr>
          </w:p>
        </w:tc>
      </w:tr>
      <w:tr w14:paraId="594888D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90" w:hRule="atLeast"/>
        </w:trPr>
        <w:tc>
          <w:tcPr>
            <w:tcW w:w="1607" w:type="dxa"/>
            <w:tcBorders>
              <w:top w:val="single" w:color="auto" w:sz="2" w:space="0"/>
              <w:right w:val="single" w:color="auto" w:sz="2" w:space="0"/>
            </w:tcBorders>
            <w:vAlign w:val="center"/>
          </w:tcPr>
          <w:p w14:paraId="54941FF3">
            <w:pPr>
              <w:keepNext w:val="0"/>
              <w:keepLines w:val="0"/>
              <w:suppressLineNumbers w:val="0"/>
              <w:adjustRightInd w:val="0"/>
              <w:snapToGrid w:val="0"/>
              <w:spacing w:before="0" w:beforeAutospacing="0" w:after="0" w:afterAutospacing="0"/>
              <w:ind w:left="0" w:right="0"/>
              <w:jc w:val="center"/>
              <w:rPr>
                <w:rFonts w:hint="default" w:ascii="宋体" w:hAnsi="宋体"/>
                <w:szCs w:val="21"/>
              </w:rPr>
            </w:pPr>
            <w:r>
              <w:rPr>
                <w:rFonts w:hint="eastAsia" w:ascii="宋体" w:hAnsi="宋体"/>
                <w:szCs w:val="21"/>
              </w:rPr>
              <w:t>第二节</w:t>
            </w:r>
          </w:p>
          <w:p w14:paraId="13CB9EDB">
            <w:pPr>
              <w:keepNext w:val="0"/>
              <w:keepLines w:val="0"/>
              <w:suppressLineNumbers w:val="0"/>
              <w:adjustRightInd w:val="0"/>
              <w:snapToGrid w:val="0"/>
              <w:spacing w:before="0" w:beforeAutospacing="0" w:after="0" w:afterAutospacing="0"/>
              <w:ind w:left="0" w:right="0"/>
              <w:jc w:val="center"/>
              <w:rPr>
                <w:rFonts w:hint="default" w:ascii="宋体" w:hAnsi="宋体"/>
                <w:szCs w:val="21"/>
              </w:rPr>
            </w:pPr>
            <w:r>
              <w:rPr>
                <w:rFonts w:hint="eastAsia" w:ascii="宋体" w:hAnsi="宋体"/>
                <w:szCs w:val="21"/>
              </w:rPr>
              <w:t>第</w:t>
            </w:r>
            <w:r>
              <w:rPr>
                <w:rFonts w:hint="eastAsia" w:ascii="宋体" w:hAnsi="宋体"/>
                <w:szCs w:val="21"/>
                <w:lang w:val="en-US" w:eastAsia="zh-CN"/>
              </w:rPr>
              <w:t>19</w:t>
            </w:r>
            <w:r>
              <w:rPr>
                <w:rFonts w:hint="eastAsia" w:ascii="宋体" w:hAnsi="宋体"/>
                <w:szCs w:val="21"/>
              </w:rPr>
              <w:t>.2</w:t>
            </w:r>
            <w:r>
              <w:rPr>
                <w:rFonts w:hint="eastAsia" w:ascii="宋体" w:hAnsi="宋体"/>
                <w:szCs w:val="21"/>
                <w:lang w:val="en-US" w:eastAsia="zh-CN"/>
              </w:rPr>
              <w:t>款</w:t>
            </w:r>
          </w:p>
        </w:tc>
        <w:tc>
          <w:tcPr>
            <w:tcW w:w="1742" w:type="dxa"/>
            <w:tcBorders>
              <w:top w:val="single" w:color="auto" w:sz="2" w:space="0"/>
              <w:left w:val="single" w:color="auto" w:sz="2" w:space="0"/>
              <w:right w:val="single" w:color="auto" w:sz="2" w:space="0"/>
            </w:tcBorders>
            <w:vAlign w:val="center"/>
          </w:tcPr>
          <w:p w14:paraId="4E381506">
            <w:pPr>
              <w:keepNext w:val="0"/>
              <w:keepLines w:val="0"/>
              <w:suppressLineNumbers w:val="0"/>
              <w:adjustRightInd w:val="0"/>
              <w:snapToGrid w:val="0"/>
              <w:spacing w:before="0" w:beforeAutospacing="0" w:after="0" w:afterAutospacing="0"/>
              <w:ind w:left="0" w:right="0"/>
              <w:jc w:val="left"/>
              <w:rPr>
                <w:rFonts w:hint="default" w:ascii="宋体" w:hAnsi="宋体"/>
                <w:szCs w:val="21"/>
              </w:rPr>
            </w:pPr>
            <w:r>
              <w:rPr>
                <w:rFonts w:hint="eastAsia" w:ascii="宋体" w:hAnsi="宋体"/>
                <w:szCs w:val="21"/>
                <w:lang w:val="en-US" w:eastAsia="zh-CN"/>
              </w:rPr>
              <w:t>解决争议的方法</w:t>
            </w:r>
          </w:p>
        </w:tc>
        <w:tc>
          <w:tcPr>
            <w:tcW w:w="5170" w:type="dxa"/>
            <w:tcBorders>
              <w:top w:val="single" w:color="auto" w:sz="2" w:space="0"/>
              <w:left w:val="single" w:color="auto" w:sz="2" w:space="0"/>
            </w:tcBorders>
            <w:vAlign w:val="center"/>
          </w:tcPr>
          <w:p w14:paraId="48992131">
            <w:pPr>
              <w:keepNext w:val="0"/>
              <w:keepLines w:val="0"/>
              <w:suppressLineNumbers w:val="0"/>
              <w:autoSpaceDE w:val="0"/>
              <w:autoSpaceDN w:val="0"/>
              <w:adjustRightInd w:val="0"/>
              <w:snapToGrid w:val="0"/>
              <w:spacing w:before="0" w:beforeAutospacing="0" w:after="0" w:afterAutospacing="0" w:line="400" w:lineRule="exact"/>
              <w:ind w:left="0" w:right="0"/>
              <w:jc w:val="left"/>
              <w:rPr>
                <w:rFonts w:hint="eastAsia" w:ascii="宋体" w:hAnsi="宋体" w:eastAsia="宋体" w:cs="宋体"/>
                <w:b w:val="0"/>
                <w:bCs w:val="0"/>
                <w:iCs/>
                <w:szCs w:val="21"/>
              </w:rPr>
            </w:pPr>
            <w:r>
              <w:rPr>
                <w:rFonts w:hint="eastAsia" w:ascii="宋体" w:hAnsi="宋体" w:eastAsia="宋体" w:cs="宋体"/>
                <w:b w:val="0"/>
                <w:bCs w:val="0"/>
                <w:iCs/>
                <w:szCs w:val="21"/>
              </w:rPr>
              <w:t>因本合同及合同有关事项发生的争议，按下列第</w:t>
            </w:r>
            <w:r>
              <w:rPr>
                <w:rFonts w:hint="eastAsia" w:ascii="宋体" w:hAnsi="宋体" w:eastAsia="宋体" w:cs="宋体"/>
                <w:b w:val="0"/>
                <w:bCs w:val="0"/>
                <w:iCs/>
                <w:szCs w:val="21"/>
                <w:u w:val="single"/>
              </w:rPr>
              <w:t xml:space="preserve">   </w:t>
            </w:r>
            <w:r>
              <w:rPr>
                <w:rFonts w:hint="eastAsia" w:ascii="宋体" w:hAnsi="宋体" w:eastAsia="宋体" w:cs="宋体"/>
                <w:b w:val="0"/>
                <w:bCs w:val="0"/>
                <w:iCs/>
                <w:szCs w:val="21"/>
              </w:rPr>
              <w:t>种方式解决：</w:t>
            </w:r>
          </w:p>
          <w:p w14:paraId="2DF59B1D">
            <w:pPr>
              <w:keepNext w:val="0"/>
              <w:keepLines w:val="0"/>
              <w:suppressLineNumbers w:val="0"/>
              <w:autoSpaceDE w:val="0"/>
              <w:autoSpaceDN w:val="0"/>
              <w:adjustRightInd w:val="0"/>
              <w:snapToGrid w:val="0"/>
              <w:spacing w:before="0" w:beforeAutospacing="0" w:after="0" w:afterAutospacing="0" w:line="400" w:lineRule="exact"/>
              <w:ind w:left="0" w:right="0"/>
              <w:jc w:val="left"/>
              <w:rPr>
                <w:rFonts w:hint="eastAsia" w:ascii="宋体" w:hAnsi="宋体" w:eastAsia="宋体" w:cs="宋体"/>
                <w:b w:val="0"/>
                <w:bCs w:val="0"/>
                <w:iCs/>
                <w:szCs w:val="21"/>
              </w:rPr>
            </w:pPr>
            <w:r>
              <w:rPr>
                <w:rFonts w:hint="eastAsia" w:ascii="宋体" w:hAnsi="宋体" w:eastAsia="宋体" w:cs="宋体"/>
                <w:b w:val="0"/>
                <w:bCs w:val="0"/>
                <w:iCs/>
                <w:szCs w:val="21"/>
              </w:rPr>
              <w:t>（1）向</w:t>
            </w:r>
            <w:r>
              <w:rPr>
                <w:rFonts w:hint="eastAsia" w:ascii="宋体" w:hAnsi="宋体" w:eastAsia="宋体" w:cs="宋体"/>
                <w:b w:val="0"/>
                <w:bCs w:val="0"/>
                <w:iCs/>
                <w:szCs w:val="21"/>
                <w:u w:val="single"/>
              </w:rPr>
              <w:t xml:space="preserve">                    </w:t>
            </w:r>
            <w:r>
              <w:rPr>
                <w:rFonts w:hint="eastAsia" w:ascii="宋体" w:hAnsi="宋体" w:eastAsia="宋体" w:cs="宋体"/>
                <w:b w:val="0"/>
                <w:bCs w:val="0"/>
                <w:iCs/>
                <w:szCs w:val="21"/>
              </w:rPr>
              <w:t>仲裁委员会申请仲裁，仲裁地点为</w:t>
            </w:r>
            <w:r>
              <w:rPr>
                <w:rFonts w:hint="eastAsia" w:ascii="宋体" w:hAnsi="宋体" w:eastAsia="宋体" w:cs="宋体"/>
                <w:b w:val="0"/>
                <w:bCs w:val="0"/>
                <w:iCs/>
                <w:szCs w:val="21"/>
                <w:u w:val="single"/>
              </w:rPr>
              <w:t xml:space="preserve">           </w:t>
            </w:r>
            <w:r>
              <w:rPr>
                <w:rFonts w:hint="eastAsia" w:ascii="宋体" w:hAnsi="宋体" w:eastAsia="宋体" w:cs="宋体"/>
                <w:b w:val="0"/>
                <w:bCs w:val="0"/>
                <w:iCs/>
                <w:szCs w:val="21"/>
              </w:rPr>
              <w:t>；</w:t>
            </w:r>
          </w:p>
          <w:p w14:paraId="2B7AF17B">
            <w:pPr>
              <w:keepNext w:val="0"/>
              <w:keepLines w:val="0"/>
              <w:suppressLineNumbers w:val="0"/>
              <w:adjustRightInd w:val="0"/>
              <w:snapToGrid w:val="0"/>
              <w:spacing w:before="0" w:beforeAutospacing="0" w:after="0" w:afterAutospacing="0"/>
              <w:ind w:left="0" w:right="0" w:firstLine="0" w:firstLineChars="0"/>
              <w:jc w:val="left"/>
              <w:rPr>
                <w:rFonts w:hint="default" w:ascii="宋体" w:hAnsi="宋体"/>
                <w:szCs w:val="21"/>
                <w:u w:val="single"/>
              </w:rPr>
            </w:pPr>
            <w:r>
              <w:rPr>
                <w:rFonts w:hint="eastAsia" w:ascii="宋体" w:hAnsi="宋体" w:eastAsia="宋体" w:cs="宋体"/>
                <w:b w:val="0"/>
                <w:bCs w:val="0"/>
                <w:iCs/>
                <w:szCs w:val="21"/>
              </w:rPr>
              <w:t>（2）向</w:t>
            </w:r>
            <w:r>
              <w:rPr>
                <w:rFonts w:hint="eastAsia" w:ascii="宋体" w:hAnsi="宋体" w:eastAsia="宋体" w:cs="宋体"/>
                <w:b w:val="0"/>
                <w:bCs w:val="0"/>
                <w:iCs/>
                <w:szCs w:val="21"/>
                <w:u w:val="single"/>
              </w:rPr>
              <w:t xml:space="preserve">                    </w:t>
            </w:r>
            <w:r>
              <w:rPr>
                <w:rFonts w:hint="eastAsia" w:ascii="宋体" w:hAnsi="宋体" w:eastAsia="宋体" w:cs="宋体"/>
                <w:b w:val="0"/>
                <w:bCs w:val="0"/>
                <w:iCs/>
                <w:szCs w:val="21"/>
              </w:rPr>
              <w:t>人民法院起诉。</w:t>
            </w:r>
          </w:p>
        </w:tc>
      </w:tr>
      <w:tr w14:paraId="4586D1F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70" w:hRule="atLeast"/>
        </w:trPr>
        <w:tc>
          <w:tcPr>
            <w:tcW w:w="1607" w:type="dxa"/>
            <w:vAlign w:val="center"/>
          </w:tcPr>
          <w:p w14:paraId="687CCA5C">
            <w:pPr>
              <w:keepNext w:val="0"/>
              <w:keepLines w:val="0"/>
              <w:suppressLineNumbers w:val="0"/>
              <w:adjustRightInd w:val="0"/>
              <w:snapToGrid w:val="0"/>
              <w:spacing w:before="0" w:beforeAutospacing="0" w:after="0" w:afterAutospacing="0"/>
              <w:ind w:left="0" w:right="0"/>
              <w:jc w:val="center"/>
              <w:rPr>
                <w:rFonts w:hint="default" w:ascii="宋体" w:hAnsi="宋体"/>
                <w:szCs w:val="21"/>
              </w:rPr>
            </w:pPr>
            <w:r>
              <w:rPr>
                <w:rFonts w:hint="eastAsia" w:ascii="宋体" w:hAnsi="宋体"/>
                <w:szCs w:val="21"/>
              </w:rPr>
              <w:t>第二节</w:t>
            </w:r>
          </w:p>
          <w:p w14:paraId="62156AF0">
            <w:pPr>
              <w:keepNext w:val="0"/>
              <w:keepLines w:val="0"/>
              <w:suppressLineNumbers w:val="0"/>
              <w:adjustRightInd w:val="0"/>
              <w:snapToGrid w:val="0"/>
              <w:spacing w:before="0" w:beforeAutospacing="0" w:after="0" w:afterAutospacing="0"/>
              <w:ind w:left="0" w:right="0"/>
              <w:jc w:val="center"/>
              <w:rPr>
                <w:rFonts w:hint="default" w:ascii="宋体" w:hAnsi="宋体"/>
                <w:szCs w:val="21"/>
              </w:rPr>
            </w:pPr>
            <w:r>
              <w:rPr>
                <w:rFonts w:hint="eastAsia" w:ascii="宋体" w:hAnsi="宋体"/>
                <w:szCs w:val="21"/>
              </w:rPr>
              <w:t>第2</w:t>
            </w:r>
            <w:r>
              <w:rPr>
                <w:rFonts w:hint="eastAsia" w:ascii="宋体" w:hAnsi="宋体"/>
                <w:szCs w:val="21"/>
                <w:lang w:val="en-US" w:eastAsia="zh-CN"/>
              </w:rPr>
              <w:t>3.1</w:t>
            </w:r>
            <w:r>
              <w:rPr>
                <w:rFonts w:hint="eastAsia" w:ascii="宋体" w:hAnsi="宋体"/>
                <w:szCs w:val="21"/>
                <w:lang w:eastAsia="zh-CN"/>
              </w:rPr>
              <w:t>款</w:t>
            </w:r>
          </w:p>
        </w:tc>
        <w:tc>
          <w:tcPr>
            <w:tcW w:w="1742" w:type="dxa"/>
            <w:vAlign w:val="center"/>
          </w:tcPr>
          <w:p w14:paraId="2FCFEC23">
            <w:pPr>
              <w:keepNext w:val="0"/>
              <w:keepLines w:val="0"/>
              <w:suppressLineNumbers w:val="0"/>
              <w:adjustRightInd w:val="0"/>
              <w:snapToGrid w:val="0"/>
              <w:spacing w:before="0" w:beforeAutospacing="0" w:after="0" w:afterAutospacing="0"/>
              <w:ind w:left="0" w:right="0"/>
              <w:jc w:val="left"/>
              <w:rPr>
                <w:rFonts w:hint="default" w:ascii="宋体" w:hAnsi="宋体"/>
                <w:szCs w:val="21"/>
              </w:rPr>
            </w:pPr>
            <w:r>
              <w:rPr>
                <w:rFonts w:hint="eastAsia" w:ascii="宋体" w:hAnsi="宋体"/>
                <w:bCs/>
                <w:color w:val="auto"/>
                <w:szCs w:val="21"/>
                <w:highlight w:val="none"/>
                <w:lang w:eastAsia="zh-CN"/>
              </w:rPr>
              <w:t>其他专用条款</w:t>
            </w:r>
          </w:p>
        </w:tc>
        <w:tc>
          <w:tcPr>
            <w:tcW w:w="5170" w:type="dxa"/>
            <w:vAlign w:val="center"/>
          </w:tcPr>
          <w:p w14:paraId="05F868B1">
            <w:pPr>
              <w:keepNext w:val="0"/>
              <w:keepLines w:val="0"/>
              <w:suppressLineNumbers w:val="0"/>
              <w:adjustRightInd w:val="0"/>
              <w:snapToGrid w:val="0"/>
              <w:spacing w:before="0" w:beforeAutospacing="0" w:after="0" w:afterAutospacing="0"/>
              <w:ind w:left="0" w:right="0"/>
              <w:jc w:val="left"/>
              <w:rPr>
                <w:rFonts w:hint="default" w:ascii="宋体" w:hAnsi="宋体" w:eastAsia="宋体"/>
                <w:szCs w:val="21"/>
                <w:lang w:val="en-US" w:eastAsia="zh-CN"/>
              </w:rPr>
            </w:pPr>
          </w:p>
        </w:tc>
      </w:tr>
    </w:tbl>
    <w:p w14:paraId="6F20A151">
      <w:pPr>
        <w:pageBreakBefore w:val="0"/>
        <w:kinsoku/>
        <w:wordWrap/>
        <w:overflowPunct/>
        <w:topLinePunct w:val="0"/>
        <w:bidi w:val="0"/>
        <w:snapToGrid/>
        <w:spacing w:before="0" w:line="240" w:lineRule="atLeast"/>
        <w:ind w:left="1080" w:leftChars="257" w:hanging="540"/>
        <w:textAlignment w:val="auto"/>
        <w:outlineLvl w:val="9"/>
        <w:rPr>
          <w:rFonts w:hint="eastAsia" w:ascii="仿宋_GB2312" w:hAnsi="仿宋_GB2312" w:eastAsia="仿宋_GB2312" w:cs="仿宋_GB2312"/>
          <w:sz w:val="24"/>
        </w:rPr>
      </w:pPr>
    </w:p>
    <w:p w14:paraId="11137A48">
      <w:pPr>
        <w:pageBreakBefore w:val="0"/>
        <w:kinsoku/>
        <w:wordWrap/>
        <w:overflowPunct/>
        <w:topLinePunct w:val="0"/>
        <w:bidi w:val="0"/>
        <w:snapToGrid/>
        <w:textAlignment w:val="auto"/>
        <w:outlineLvl w:val="9"/>
        <w:rPr>
          <w:rFonts w:hint="eastAsia" w:ascii="仿宋_GB2312" w:hAnsi="仿宋_GB2312" w:eastAsia="仿宋_GB2312" w:cs="仿宋_GB2312"/>
        </w:rPr>
      </w:pPr>
    </w:p>
    <w:p w14:paraId="6828D499">
      <w:pPr>
        <w:pageBreakBefore w:val="0"/>
        <w:kinsoku/>
        <w:wordWrap/>
        <w:overflowPunct/>
        <w:topLinePunct w:val="0"/>
        <w:bidi w:val="0"/>
        <w:snapToGrid/>
        <w:spacing w:line="240" w:lineRule="atLeast"/>
        <w:textAlignment w:val="auto"/>
        <w:outlineLvl w:val="9"/>
        <w:rPr>
          <w:rFonts w:hint="eastAsia" w:ascii="仿宋_GB2312" w:hAnsi="仿宋_GB2312" w:eastAsia="仿宋_GB2312" w:cs="仿宋_GB2312"/>
        </w:rPr>
      </w:pPr>
    </w:p>
    <w:p w14:paraId="1BE99507">
      <w:pPr>
        <w:pStyle w:val="9"/>
        <w:pageBreakBefore w:val="0"/>
        <w:kinsoku/>
        <w:wordWrap/>
        <w:overflowPunct/>
        <w:topLinePunct w:val="0"/>
        <w:bidi w:val="0"/>
        <w:snapToGrid/>
        <w:spacing w:line="240" w:lineRule="atLeast"/>
        <w:textAlignment w:val="auto"/>
        <w:outlineLvl w:val="9"/>
        <w:rPr>
          <w:rFonts w:hint="eastAsia" w:ascii="仿宋_GB2312" w:hAnsi="仿宋_GB2312" w:eastAsia="仿宋_GB2312" w:cs="仿宋_GB2312"/>
          <w:sz w:val="28"/>
        </w:rPr>
      </w:pPr>
    </w:p>
    <w:sectPr>
      <w:headerReference r:id="rId18" w:type="default"/>
      <w:footerReference r:id="rId19" w:type="default"/>
      <w:pgSz w:w="11907" w:h="16840"/>
      <w:pgMar w:top="1474" w:right="1814" w:bottom="1474" w:left="1814" w:header="851" w:footer="851" w:gutter="0"/>
      <w:pgBorders>
        <w:top w:val="none" w:sz="0" w:space="0"/>
        <w:left w:val="none" w:sz="0" w:space="0"/>
        <w:bottom w:val="none" w:sz="0" w:space="0"/>
        <w:right w:val="none" w:sz="0" w:space="0"/>
      </w:pgBorders>
      <w:pgNumType w:fmt="decimal"/>
      <w:cols w:space="720" w:num="1"/>
      <w:docGrid w:linePitch="46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roman"/>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仿宋_GB2312">
    <w:panose1 w:val="02010609030101010101"/>
    <w:charset w:val="86"/>
    <w:family w:val="modern"/>
    <w:pitch w:val="default"/>
    <w:sig w:usb0="00000001" w:usb1="080E0000" w:usb2="00000000" w:usb3="00000000" w:csb0="00040000" w:csb1="00000000"/>
  </w:font>
  <w:font w:name="华文楷体">
    <w:panose1 w:val="02010600040101010101"/>
    <w:charset w:val="86"/>
    <w:family w:val="auto"/>
    <w:pitch w:val="default"/>
    <w:sig w:usb0="00000287" w:usb1="080F0000" w:usb2="00000000" w:usb3="00000000" w:csb0="0004009F" w:csb1="DFD70000"/>
  </w:font>
  <w:font w:name="方正仿宋简体">
    <w:altName w:val="微软雅黑"/>
    <w:panose1 w:val="03000509000000000000"/>
    <w:charset w:val="86"/>
    <w:family w:val="roman"/>
    <w:pitch w:val="default"/>
    <w:sig w:usb0="00000000" w:usb1="00000000" w:usb2="00000000" w:usb3="00000000" w:csb0="00040000" w:csb1="00000000"/>
  </w:font>
  <w:font w:name="微软雅黑">
    <w:panose1 w:val="020B0503020204020204"/>
    <w:charset w:val="86"/>
    <w:family w:val="swiss"/>
    <w:pitch w:val="default"/>
    <w:sig w:usb0="80000287" w:usb1="2ACF3C50" w:usb2="00000016" w:usb3="00000000" w:csb0="0004001F" w:csb1="00000000"/>
  </w:font>
  <w:font w:name="Tahoma">
    <w:panose1 w:val="020B0604030504040204"/>
    <w:charset w:val="00"/>
    <w:family w:val="swiss"/>
    <w:pitch w:val="default"/>
    <w:sig w:usb0="E1002EFF" w:usb1="C000605B" w:usb2="00000029" w:usb3="00000000" w:csb0="200101FF" w:csb1="20280000"/>
  </w:font>
  <w:font w:name="微软雅黑 Light">
    <w:panose1 w:val="020B0502040204020203"/>
    <w:charset w:val="86"/>
    <w:family w:val="swiss"/>
    <w:pitch w:val="default"/>
    <w:sig w:usb0="80000287" w:usb1="2ACF0010" w:usb2="00000016" w:usb3="00000000" w:csb0="0004001F" w:csb1="00000000"/>
  </w:font>
  <w:font w:name="方正仿宋_GBK">
    <w:altName w:val="Arial Unicode MS"/>
    <w:panose1 w:val="03000509000000000000"/>
    <w:charset w:val="86"/>
    <w:family w:val="auto"/>
    <w:pitch w:val="default"/>
    <w:sig w:usb0="00000000" w:usb1="00000000" w:usb2="00000000" w:usb3="00000000" w:csb0="00040000" w:csb1="00000000"/>
  </w:font>
  <w:font w:name="Arial Unicode MS">
    <w:panose1 w:val="020B0604020202020204"/>
    <w:charset w:val="86"/>
    <w:family w:val="auto"/>
    <w:pitch w:val="default"/>
    <w:sig w:usb0="FFFFFFFF" w:usb1="E9FFFFFF" w:usb2="0000003F" w:usb3="00000000" w:csb0="603F01FF" w:csb1="FFFF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modern"/>
    <w:pitch w:val="default"/>
    <w:sig w:usb0="800002BF" w:usb1="38CF7CFA" w:usb2="00000016" w:usb3="00000000" w:csb0="00040001" w:csb1="00000000"/>
  </w:font>
  <w:font w:name="Wingdings 2">
    <w:panose1 w:val="05020102010507070707"/>
    <w:charset w:val="02"/>
    <w:family w:val="auto"/>
    <w:pitch w:val="default"/>
    <w:sig w:usb0="00000000" w:usb1="00000000" w:usb2="00000000" w:usb3="00000000" w:csb0="80000000" w:csb1="00000000"/>
  </w:font>
  <w:font w:name="方正小标宋简体">
    <w:panose1 w:val="03000509000000000000"/>
    <w:charset w:val="86"/>
    <w:family w:val="auto"/>
    <w:pitch w:val="default"/>
    <w:sig w:usb0="00000001" w:usb1="080E0000" w:usb2="00000000" w:usb3="00000000" w:csb0="00040000" w:csb1="00000000"/>
  </w:font>
  <w:font w:name="华文中宋">
    <w:panose1 w:val="02010600040101010101"/>
    <w:charset w:val="86"/>
    <w:family w:val="auto"/>
    <w:pitch w:val="default"/>
    <w:sig w:usb0="00000287" w:usb1="080F0000" w:usb2="00000000" w:usb3="00000000" w:csb0="0004009F" w:csb1="DFD70000"/>
  </w:font>
  <w:font w:name="Microsoft Uighur">
    <w:altName w:val="Trebuchet MS"/>
    <w:panose1 w:val="02000000000000000000"/>
    <w:charset w:val="B2"/>
    <w:family w:val="auto"/>
    <w:pitch w:val="default"/>
    <w:sig w:usb0="00000000" w:usb1="00000000" w:usb2="00000008" w:usb3="00000000" w:csb0="00000041" w:csb1="00000000"/>
  </w:font>
  <w:font w:name="Trebuchet MS">
    <w:panose1 w:val="020B0603020202020204"/>
    <w:charset w:val="00"/>
    <w:family w:val="auto"/>
    <w:pitch w:val="default"/>
    <w:sig w:usb0="00000687" w:usb1="00000000" w:usb2="00000000" w:usb3="00000000" w:csb0="2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6C8029A">
    <w:pPr>
      <w:pStyle w:val="24"/>
      <w:ind w:right="360" w:firstLine="360"/>
      <w:jc w:val="right"/>
    </w:pPr>
    <w:r>
      <w:rPr>
        <w:sz w:val="18"/>
      </w:rP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114E59E">
                          <w:pPr>
                            <w:pStyle w:val="24"/>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WLh2QyAgAAYQ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9YuHZDICAABhBAAADgAAAAAAAAABACAAAAAfAQAAZHJzL2Uyb0RvYy54bWxQSwUG&#10;AAAAAAYABgBZAQAAwwUAAAAA&#10;">
              <v:fill on="f" focussize="0,0"/>
              <v:stroke on="f" weight="0.5pt"/>
              <v:imagedata o:title=""/>
              <o:lock v:ext="edit" aspectratio="f"/>
              <v:textbox inset="0mm,0mm,0mm,0mm" style="mso-fit-shape-to-text:t;">
                <w:txbxContent>
                  <w:p w14:paraId="5114E59E">
                    <w:pPr>
                      <w:pStyle w:val="24"/>
                    </w:pPr>
                    <w:r>
                      <w:fldChar w:fldCharType="begin"/>
                    </w:r>
                    <w:r>
                      <w:instrText xml:space="preserve"> PAGE  \* MERGEFORMAT </w:instrText>
                    </w:r>
                    <w:r>
                      <w:fldChar w:fldCharType="separate"/>
                    </w:r>
                    <w:r>
                      <w:t>1</w:t>
                    </w:r>
                    <w:r>
                      <w:fldChar w:fldCharType="end"/>
                    </w:r>
                  </w:p>
                </w:txbxContent>
              </v:textbox>
            </v:shape>
          </w:pict>
        </mc:Fallback>
      </mc:AlternateContent>
    </w:r>
  </w:p>
  <w:p w14:paraId="49DEA20C">
    <w:pPr>
      <w:pStyle w:val="24"/>
      <w:ind w:right="360" w:firstLine="360"/>
      <w:jc w:val="center"/>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20" name="文本框 2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7E2FBC32">
                          <w:pPr>
                            <w:pStyle w:val="24"/>
                            <w:rPr>
                              <w:rFonts w:hint="eastAsia" w:eastAsia="宋体"/>
                              <w:lang w:eastAsia="zh-CN"/>
                            </w:rPr>
                          </w:pP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A1TgzxyQEAAJsDAAAOAAAAAAAAAAEAIAAAAB4BAABkcnMvZTJvRG9j&#10;LnhtbFBLBQYAAAAABgAGAFkBAABZBQAAAAA=&#10;">
              <v:fill on="f" focussize="0,0"/>
              <v:stroke on="f"/>
              <v:imagedata o:title=""/>
              <o:lock v:ext="edit" aspectratio="f"/>
              <v:textbox inset="0mm,0mm,0mm,0mm" style="mso-fit-shape-to-text:t;">
                <w:txbxContent>
                  <w:p w14:paraId="7E2FBC32">
                    <w:pPr>
                      <w:pStyle w:val="24"/>
                      <w:rPr>
                        <w:rFonts w:hint="eastAsia" w:eastAsia="宋体"/>
                        <w:lang w:eastAsia="zh-CN"/>
                      </w:rPr>
                    </w:pP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24BD8A9">
    <w:pPr>
      <w:pStyle w:val="24"/>
      <w:ind w:right="360" w:firstLine="360"/>
      <w:jc w:val="right"/>
      <w:rPr>
        <w:rFonts w:hint="eastAsia"/>
      </w:rPr>
    </w:pPr>
    <w:r>
      <w:rPr>
        <w:sz w:val="18"/>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22" name="文本框 103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3AA1CC6B">
                          <w:pPr>
                            <w:pStyle w:val="24"/>
                          </w:pPr>
                          <w:r>
                            <w:fldChar w:fldCharType="begin"/>
                          </w:r>
                          <w:r>
                            <w:instrText xml:space="preserve"> PAGE  \* MERGEFORMAT </w:instrText>
                          </w:r>
                          <w:r>
                            <w:fldChar w:fldCharType="separate"/>
                          </w:r>
                          <w:r>
                            <w:t>1</w:t>
                          </w:r>
                          <w:r>
                            <w:fldChar w:fldCharType="end"/>
                          </w:r>
                        </w:p>
                      </w:txbxContent>
                    </wps:txbx>
                    <wps:bodyPr wrap="none" lIns="0" tIns="0" rIns="0" bIns="0" upright="0">
                      <a:spAutoFit/>
                    </wps:bodyPr>
                  </wps:wsp>
                </a:graphicData>
              </a:graphic>
            </wp:anchor>
          </w:drawing>
        </mc:Choice>
        <mc:Fallback>
          <w:pict>
            <v:shape id="文本框 103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">
              <v:fill on="f" focussize="0,0"/>
              <v:stroke on="f"/>
              <v:imagedata o:title=""/>
              <o:lock v:ext="edit" aspectratio="f"/>
              <v:textbox inset="0mm,0mm,0mm,0mm" style="mso-fit-shape-to-text:t;">
                <w:txbxContent>
                  <w:p w14:paraId="3AA1CC6B">
                    <w:pPr>
                      <w:pStyle w:val="24"/>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72EE77D">
    <w:pPr>
      <w:pStyle w:val="24"/>
      <w:ind w:right="360" w:firstLine="360"/>
      <w:jc w:val="right"/>
    </w:pPr>
    <w:r>
      <w:rPr>
        <w:sz w:val="18"/>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23" name="文本框 103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26EC0298">
                          <w:pPr>
                            <w:pStyle w:val="24"/>
                          </w:pPr>
                          <w:r>
                            <w:fldChar w:fldCharType="begin"/>
                          </w:r>
                          <w:r>
                            <w:instrText xml:space="preserve"> PAGE  \* MERGEFORMAT </w:instrText>
                          </w:r>
                          <w:r>
                            <w:fldChar w:fldCharType="separate"/>
                          </w:r>
                          <w:r>
                            <w:t>20</w:t>
                          </w:r>
                          <w:r>
                            <w:fldChar w:fldCharType="end"/>
                          </w:r>
                        </w:p>
                      </w:txbxContent>
                    </wps:txbx>
                    <wps:bodyPr wrap="none" lIns="0" tIns="0" rIns="0" bIns="0" upright="0">
                      <a:spAutoFit/>
                    </wps:bodyPr>
                  </wps:wsp>
                </a:graphicData>
              </a:graphic>
            </wp:anchor>
          </w:drawing>
        </mc:Choice>
        <mc:Fallback>
          <w:pict>
            <v:shape id="文本框 1037"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">
              <v:fill on="f" focussize="0,0"/>
              <v:stroke on="f"/>
              <v:imagedata o:title=""/>
              <o:lock v:ext="edit" aspectratio="f"/>
              <v:textbox inset="0mm,0mm,0mm,0mm" style="mso-fit-shape-to-text:t;">
                <w:txbxContent>
                  <w:p w14:paraId="26EC0298">
                    <w:pPr>
                      <w:pStyle w:val="24"/>
                    </w:pPr>
                    <w:r>
                      <w:fldChar w:fldCharType="begin"/>
                    </w:r>
                    <w:r>
                      <w:instrText xml:space="preserve"> PAGE  \* MERGEFORMAT </w:instrText>
                    </w:r>
                    <w:r>
                      <w:fldChar w:fldCharType="separate"/>
                    </w:r>
                    <w:r>
                      <w:t>20</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68B42A2">
    <w:pPr>
      <w:pStyle w:val="24"/>
      <w:jc w:val="center"/>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21" name="文本框 2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09382240">
                          <w:pPr>
                            <w:pStyle w:val="24"/>
                          </w:pPr>
                          <w:r>
                            <w:fldChar w:fldCharType="begin"/>
                          </w:r>
                          <w:r>
                            <w:instrText xml:space="preserve"> PAGE  \* MERGEFORMAT </w:instrText>
                          </w:r>
                          <w:r>
                            <w:fldChar w:fldCharType="separate"/>
                          </w:r>
                          <w:r>
                            <w:t>20</w:t>
                          </w:r>
                          <w:r>
                            <w:fldChar w:fldCharType="end"/>
                          </w:r>
                        </w:p>
                      </w:txbxContent>
                    </wps:txbx>
                    <wps:bodyPr wrap="none" lIns="0" tIns="0" rIns="0" bIns="0" upright="0">
                      <a:spAutoFit/>
                    </wps:bodyPr>
                  </wps:wsp>
                </a:graphicData>
              </a:graphic>
            </wp:anchor>
          </w:drawing>
        </mc:Choice>
        <mc:Fallback>
          <w:pict>
            <v:shape id="文本框 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">
              <v:fill on="f" focussize="0,0"/>
              <v:stroke on="f"/>
              <v:imagedata o:title=""/>
              <o:lock v:ext="edit" aspectratio="f"/>
              <v:textbox inset="0mm,0mm,0mm,0mm" style="mso-fit-shape-to-text:t;">
                <w:txbxContent>
                  <w:p w14:paraId="09382240">
                    <w:pPr>
                      <w:pStyle w:val="24"/>
                    </w:pPr>
                    <w:r>
                      <w:fldChar w:fldCharType="begin"/>
                    </w:r>
                    <w:r>
                      <w:instrText xml:space="preserve"> PAGE  \* MERGEFORMAT </w:instrText>
                    </w:r>
                    <w:r>
                      <w:fldChar w:fldCharType="separate"/>
                    </w:r>
                    <w:r>
                      <w:t>20</w:t>
                    </w:r>
                    <w:r>
                      <w:fldChar w:fldCharType="end"/>
                    </w:r>
                  </w:p>
                </w:txbxContent>
              </v:textbox>
            </v:shape>
          </w:pict>
        </mc:Fallback>
      </mc:AlternateContent>
    </w:r>
  </w:p>
  <w:p w14:paraId="29333CC4">
    <w:pPr>
      <w:pStyle w:val="24"/>
      <w:ind w:right="360"/>
      <w:jc w:val="right"/>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D0ED160">
    <w:pPr>
      <w:pStyle w:val="24"/>
      <w:jc w:val="center"/>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14935" cy="148590"/>
              <wp:effectExtent l="0" t="0" r="0" b="0"/>
              <wp:wrapNone/>
              <wp:docPr id="17" name="文本框 1027"/>
              <wp:cNvGraphicFramePr/>
              <a:graphic xmlns:a="http://schemas.openxmlformats.org/drawingml/2006/main">
                <a:graphicData uri="http://schemas.microsoft.com/office/word/2010/wordprocessingShape">
                  <wps:wsp>
                    <wps:cNvSpPr txBox="1"/>
                    <wps:spPr>
                      <a:xfrm>
                        <a:off x="0" y="0"/>
                        <a:ext cx="114935" cy="148590"/>
                      </a:xfrm>
                      <a:prstGeom prst="rect">
                        <a:avLst/>
                      </a:prstGeom>
                      <a:noFill/>
                      <a:ln>
                        <a:noFill/>
                      </a:ln>
                    </wps:spPr>
                    <wps:txbx>
                      <w:txbxContent>
                        <w:p w14:paraId="34F98576">
                          <w:pPr>
                            <w:pStyle w:val="24"/>
                            <w:jc w:val="center"/>
                          </w:pPr>
                          <w:r>
                            <w:fldChar w:fldCharType="begin"/>
                          </w:r>
                          <w:r>
                            <w:instrText xml:space="preserve">PAGE   \* MERGEFORMAT</w:instrText>
                          </w:r>
                          <w:r>
                            <w:fldChar w:fldCharType="separate"/>
                          </w:r>
                          <w:r>
                            <w:rPr>
                              <w:lang w:val="zh-CN"/>
                            </w:rPr>
                            <w:t>32</w:t>
                          </w:r>
                          <w:r>
                            <w:fldChar w:fldCharType="end"/>
                          </w:r>
                        </w:p>
                      </w:txbxContent>
                    </wps:txbx>
                    <wps:bodyPr wrap="none" lIns="0" tIns="0" rIns="0" bIns="0" upright="0">
                      <a:spAutoFit/>
                    </wps:bodyPr>
                  </wps:wsp>
                </a:graphicData>
              </a:graphic>
            </wp:anchor>
          </w:drawing>
        </mc:Choice>
        <mc:Fallback>
          <w:pict>
            <v:shape id="文本框 1027" o:spid="_x0000_s1026" o:spt="202" type="#_x0000_t202" style="position:absolute;left:0pt;margin-top:0pt;height:11.7pt;width:9.05pt;mso-position-horizontal:center;mso-position-horizontal-relative:margin;mso-wrap-style:none;z-index:251659264;mso-width-relative:page;mso-height-relative:page;" filled="f" stroked="f" coordsize="21600,21600" o:gfxdata="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&#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">
              <v:fill on="f" focussize="0,0"/>
              <v:stroke on="f"/>
              <v:imagedata o:title=""/>
              <o:lock v:ext="edit" aspectratio="f"/>
              <v:textbox inset="0mm,0mm,0mm,0mm" style="mso-fit-shape-to-text:t;">
                <w:txbxContent>
                  <w:p w14:paraId="34F98576">
                    <w:pPr>
                      <w:pStyle w:val="24"/>
                      <w:jc w:val="center"/>
                    </w:pPr>
                    <w:r>
                      <w:fldChar w:fldCharType="begin"/>
                    </w:r>
                    <w:r>
                      <w:instrText xml:space="preserve">PAGE   \* MERGEFORMAT</w:instrText>
                    </w:r>
                    <w:r>
                      <w:fldChar w:fldCharType="separate"/>
                    </w:r>
                    <w:r>
                      <w:rPr>
                        <w:lang w:val="zh-CN"/>
                      </w:rPr>
                      <w:t>32</w:t>
                    </w:r>
                    <w:r>
                      <w:fldChar w:fldCharType="end"/>
                    </w:r>
                  </w:p>
                </w:txbxContent>
              </v:textbox>
            </v:shape>
          </w:pict>
        </mc:Fallback>
      </mc:AlternateContent>
    </w:r>
  </w:p>
  <w:p w14:paraId="7BEC3229">
    <w:pPr>
      <w:pStyle w:val="24"/>
      <w:ind w:right="360"/>
      <w:jc w:val="right"/>
      <w:rPr>
        <w:rFonts w:hint="eastAsia"/>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F9766FE">
    <w:pPr>
      <w:pStyle w:val="24"/>
      <w:framePr w:wrap="around" w:vAnchor="text" w:hAnchor="margin" w:xAlign="center" w:y="1"/>
      <w:rPr>
        <w:rStyle w:val="42"/>
      </w:rPr>
    </w:pPr>
    <w:r>
      <w:fldChar w:fldCharType="begin"/>
    </w:r>
    <w:r>
      <w:rPr>
        <w:rStyle w:val="42"/>
      </w:rPr>
      <w:instrText xml:space="preserve">PAGE  </w:instrText>
    </w:r>
    <w:r>
      <w:fldChar w:fldCharType="end"/>
    </w:r>
  </w:p>
  <w:p w14:paraId="322CF36F">
    <w:pPr>
      <w:pStyle w:val="24"/>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3EA3A59">
    <w:pPr>
      <w:pStyle w:val="24"/>
    </w:pPr>
    <w:r>
      <w:rPr>
        <w:sz w:val="18"/>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9B43C33">
                          <w:pPr>
                            <w:pStyle w:val="24"/>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14:paraId="59B43C33">
                    <w:pPr>
                      <w:pStyle w:val="24"/>
                    </w:pPr>
                    <w:r>
                      <w:fldChar w:fldCharType="begin"/>
                    </w:r>
                    <w:r>
                      <w:instrText xml:space="preserve"> PAGE  \* MERGEFORMAT </w:instrText>
                    </w:r>
                    <w:r>
                      <w:fldChar w:fldCharType="separate"/>
                    </w:r>
                    <w:r>
                      <w:t>1</w:t>
                    </w:r>
                    <w:r>
                      <w:fldChar w:fldCharType="end"/>
                    </w:r>
                  </w:p>
                </w:txbxContent>
              </v:textbox>
            </v:shape>
          </w:pict>
        </mc:Fallback>
      </mc:AlternateContent>
    </w:r>
    <w:r>
      <w:rPr>
        <w:sz w:val="18"/>
      </w:rPr>
      <mc:AlternateContent>
        <mc:Choice Requires="wps">
          <w:drawing>
            <wp:anchor distT="0" distB="0" distL="114300" distR="114300" simplePos="0" relativeHeight="251665408" behindDoc="0" locked="0" layoutInCell="1" allowOverlap="1">
              <wp:simplePos x="0" y="0"/>
              <wp:positionH relativeFrom="margin">
                <wp:posOffset>-131445</wp:posOffset>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29620E80">
                          <w:pPr>
                            <w:pStyle w:val="24"/>
                            <w:rPr>
                              <w:rFonts w:hint="eastAsia" w:ascii="宋体" w:hAnsi="宋体" w:eastAsia="宋体" w:cs="宋体"/>
                              <w:b/>
                              <w:bCs/>
                              <w:sz w:val="28"/>
                              <w:szCs w:val="28"/>
                            </w:rPr>
                          </w:pPr>
                          <w:r>
                            <w:rPr>
                              <w:rFonts w:hint="eastAsia" w:ascii="宋体" w:hAnsi="宋体" w:eastAsia="宋体" w:cs="宋体"/>
                              <w:b/>
                              <w:bCs/>
                              <w:sz w:val="28"/>
                              <w:szCs w:val="28"/>
                            </w:rPr>
                            <w:t xml:space="preserve"> </w:t>
                          </w:r>
                        </w:p>
                        <w:p w14:paraId="065E8B90">
                          <w:pPr>
                            <w:pStyle w:val="24"/>
                            <w:rPr>
                              <w:rFonts w:hint="eastAsia" w:ascii="宋体" w:hAnsi="宋体" w:eastAsia="宋体" w:cs="宋体"/>
                              <w:b/>
                              <w:bCs/>
                              <w:sz w:val="28"/>
                              <w:szCs w:val="28"/>
                            </w:rPr>
                          </w:pPr>
                        </w:p>
                      </w:txbxContent>
                    </wps:txbx>
                    <wps:bodyPr wrap="none" lIns="0" tIns="0" rIns="0" bIns="0" upright="0">
                      <a:spAutoFit/>
                    </wps:bodyPr>
                  </wps:wsp>
                </a:graphicData>
              </a:graphic>
            </wp:anchor>
          </w:drawing>
        </mc:Choice>
        <mc:Fallback>
          <w:pict>
            <v:shape id="_x0000_s1026" o:spid="_x0000_s1026" o:spt="202" type="#_x0000_t202" style="position:absolute;left:0pt;margin-left:-10.35pt;margin-top:0pt;height:144pt;width:144pt;mso-position-horizontal-relative:margin;mso-wrap-style:none;z-index:251665408;mso-width-relative:page;mso-height-relative:page;" filled="f" stroked="f" coordsize="21600,21600" o:gfxdata="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">
              <v:fill on="f" focussize="0,0"/>
              <v:stroke on="f"/>
              <v:imagedata o:title=""/>
              <o:lock v:ext="edit" aspectratio="f"/>
              <v:textbox inset="0mm,0mm,0mm,0mm" style="mso-fit-shape-to-text:t;">
                <w:txbxContent>
                  <w:p w14:paraId="29620E80">
                    <w:pPr>
                      <w:pStyle w:val="24"/>
                      <w:rPr>
                        <w:rFonts w:hint="eastAsia" w:ascii="宋体" w:hAnsi="宋体" w:eastAsia="宋体" w:cs="宋体"/>
                        <w:b/>
                        <w:bCs/>
                        <w:sz w:val="28"/>
                        <w:szCs w:val="28"/>
                      </w:rPr>
                    </w:pPr>
                    <w:r>
                      <w:rPr>
                        <w:rFonts w:hint="eastAsia" w:ascii="宋体" w:hAnsi="宋体" w:eastAsia="宋体" w:cs="宋体"/>
                        <w:b/>
                        <w:bCs/>
                        <w:sz w:val="28"/>
                        <w:szCs w:val="28"/>
                      </w:rPr>
                      <w:t xml:space="preserve"> </w:t>
                    </w:r>
                  </w:p>
                  <w:p w14:paraId="065E8B90">
                    <w:pPr>
                      <w:pStyle w:val="24"/>
                      <w:rPr>
                        <w:rFonts w:hint="eastAsia" w:ascii="宋体" w:hAnsi="宋体" w:eastAsia="宋体" w:cs="宋体"/>
                        <w:b/>
                        <w:bCs/>
                        <w:sz w:val="28"/>
                        <w:szCs w:val="28"/>
                      </w:rPr>
                    </w:pP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8ECA471">
    <w:pPr>
      <w:pStyle w:val="24"/>
    </w:pPr>
    <w:r>
      <w:rPr>
        <w:sz w:val="18"/>
      </w:rPr>
      <mc:AlternateContent>
        <mc:Choice Requires="wps">
          <w:drawing>
            <wp:anchor distT="0" distB="0" distL="114300" distR="114300" simplePos="0" relativeHeight="251669504"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32E8A6A">
                          <w:pPr>
                            <w:pStyle w:val="24"/>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950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eXtc4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Hl7XOMQIAAGEEAAAOAAAAAAAAAAEAIAAAAB8BAABkcnMvZTJvRG9jLnhtbFBLBQYA&#10;AAAABgAGAFkBAADCBQAAAAA=&#10;">
              <v:fill on="f" focussize="0,0"/>
              <v:stroke on="f" weight="0.5pt"/>
              <v:imagedata o:title=""/>
              <o:lock v:ext="edit" aspectratio="f"/>
              <v:textbox inset="0mm,0mm,0mm,0mm" style="mso-fit-shape-to-text:t;">
                <w:txbxContent>
                  <w:p w14:paraId="332E8A6A">
                    <w:pPr>
                      <w:pStyle w:val="24"/>
                    </w:pPr>
                    <w:r>
                      <w:fldChar w:fldCharType="begin"/>
                    </w:r>
                    <w:r>
                      <w:instrText xml:space="preserve"> PAGE  \* MERGEFORMAT </w:instrText>
                    </w:r>
                    <w:r>
                      <w:fldChar w:fldCharType="separate"/>
                    </w:r>
                    <w:r>
                      <w:t>1</w:t>
                    </w:r>
                    <w:r>
                      <w:fldChar w:fldCharType="end"/>
                    </w:r>
                  </w:p>
                </w:txbxContent>
              </v:textbox>
            </v:shape>
          </w:pict>
        </mc:Fallback>
      </mc:AlternateContent>
    </w:r>
    <w:r>
      <w:rPr>
        <w:sz w:val="18"/>
      </w:rPr>
      <mc:AlternateContent>
        <mc:Choice Requires="wps">
          <w:drawing>
            <wp:anchor distT="0" distB="0" distL="114300" distR="114300" simplePos="0" relativeHeight="251668480" behindDoc="0" locked="0" layoutInCell="1" allowOverlap="1">
              <wp:simplePos x="0" y="0"/>
              <wp:positionH relativeFrom="margin">
                <wp:posOffset>-131445</wp:posOffset>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22143BDC">
                          <w:pPr>
                            <w:pStyle w:val="24"/>
                            <w:rPr>
                              <w:rFonts w:hint="eastAsia" w:ascii="宋体" w:hAnsi="宋体" w:eastAsia="宋体" w:cs="宋体"/>
                              <w:b/>
                              <w:bCs/>
                              <w:sz w:val="28"/>
                              <w:szCs w:val="28"/>
                            </w:rPr>
                          </w:pPr>
                          <w:r>
                            <w:rPr>
                              <w:rFonts w:hint="eastAsia" w:ascii="宋体" w:hAnsi="宋体" w:eastAsia="宋体" w:cs="宋体"/>
                              <w:b/>
                              <w:bCs/>
                              <w:sz w:val="28"/>
                              <w:szCs w:val="28"/>
                            </w:rPr>
                            <w:t xml:space="preserve"> </w:t>
                          </w:r>
                        </w:p>
                        <w:p w14:paraId="52182FCF">
                          <w:pPr>
                            <w:pStyle w:val="24"/>
                            <w:rPr>
                              <w:rFonts w:hint="eastAsia" w:ascii="宋体" w:hAnsi="宋体" w:eastAsia="宋体" w:cs="宋体"/>
                              <w:b/>
                              <w:bCs/>
                              <w:sz w:val="28"/>
                              <w:szCs w:val="28"/>
                            </w:rPr>
                          </w:pPr>
                        </w:p>
                      </w:txbxContent>
                    </wps:txbx>
                    <wps:bodyPr wrap="none" lIns="0" tIns="0" rIns="0" bIns="0" upright="0">
                      <a:spAutoFit/>
                    </wps:bodyPr>
                  </wps:wsp>
                </a:graphicData>
              </a:graphic>
            </wp:anchor>
          </w:drawing>
        </mc:Choice>
        <mc:Fallback>
          <w:pict>
            <v:shape id="_x0000_s1026" o:spid="_x0000_s1026" o:spt="202" type="#_x0000_t202" style="position:absolute;left:0pt;margin-left:-10.35pt;margin-top:0pt;height:144pt;width:144pt;mso-position-horizontal-relative:margin;mso-wrap-style:none;z-index:251668480;mso-width-relative:page;mso-height-relative:page;" filled="f" stroked="f" coordsize="21600,21600" o:gfxdata="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">
              <v:fill on="f" focussize="0,0"/>
              <v:stroke on="f"/>
              <v:imagedata o:title=""/>
              <o:lock v:ext="edit" aspectratio="f"/>
              <v:textbox inset="0mm,0mm,0mm,0mm" style="mso-fit-shape-to-text:t;">
                <w:txbxContent>
                  <w:p w14:paraId="22143BDC">
                    <w:pPr>
                      <w:pStyle w:val="24"/>
                      <w:rPr>
                        <w:rFonts w:hint="eastAsia" w:ascii="宋体" w:hAnsi="宋体" w:eastAsia="宋体" w:cs="宋体"/>
                        <w:b/>
                        <w:bCs/>
                        <w:sz w:val="28"/>
                        <w:szCs w:val="28"/>
                      </w:rPr>
                    </w:pPr>
                    <w:r>
                      <w:rPr>
                        <w:rFonts w:hint="eastAsia" w:ascii="宋体" w:hAnsi="宋体" w:eastAsia="宋体" w:cs="宋体"/>
                        <w:b/>
                        <w:bCs/>
                        <w:sz w:val="28"/>
                        <w:szCs w:val="28"/>
                      </w:rPr>
                      <w:t xml:space="preserve"> </w:t>
                    </w:r>
                  </w:p>
                  <w:p w14:paraId="52182FCF">
                    <w:pPr>
                      <w:pStyle w:val="24"/>
                      <w:rPr>
                        <w:rFonts w:hint="eastAsia" w:ascii="宋体" w:hAnsi="宋体" w:eastAsia="宋体" w:cs="宋体"/>
                        <w:b/>
                        <w:bCs/>
                        <w:sz w:val="28"/>
                        <w:szCs w:val="28"/>
                      </w:rPr>
                    </w:pP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267F2CA">
    <w:pPr>
      <w:pStyle w:val="24"/>
      <w:jc w:val="center"/>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14935" cy="148590"/>
              <wp:effectExtent l="0" t="0" r="0" b="0"/>
              <wp:wrapNone/>
              <wp:docPr id="19" name="文本框 1029"/>
              <wp:cNvGraphicFramePr/>
              <a:graphic xmlns:a="http://schemas.openxmlformats.org/drawingml/2006/main">
                <a:graphicData uri="http://schemas.microsoft.com/office/word/2010/wordprocessingShape">
                  <wps:wsp>
                    <wps:cNvSpPr txBox="1"/>
                    <wps:spPr>
                      <a:xfrm>
                        <a:off x="0" y="0"/>
                        <a:ext cx="114935" cy="148590"/>
                      </a:xfrm>
                      <a:prstGeom prst="rect">
                        <a:avLst/>
                      </a:prstGeom>
                      <a:noFill/>
                      <a:ln>
                        <a:noFill/>
                      </a:ln>
                    </wps:spPr>
                    <wps:txbx>
                      <w:txbxContent>
                        <w:p w14:paraId="04D67E08">
                          <w:pPr>
                            <w:pStyle w:val="24"/>
                            <w:jc w:val="center"/>
                          </w:pPr>
                          <w:r>
                            <w:fldChar w:fldCharType="begin"/>
                          </w:r>
                          <w:r>
                            <w:instrText xml:space="preserve">PAGE   \* MERGEFORMAT</w:instrText>
                          </w:r>
                          <w:r>
                            <w:fldChar w:fldCharType="separate"/>
                          </w:r>
                          <w:r>
                            <w:rPr>
                              <w:lang w:val="zh-CN"/>
                            </w:rPr>
                            <w:t>53</w:t>
                          </w:r>
                          <w:r>
                            <w:fldChar w:fldCharType="end"/>
                          </w:r>
                        </w:p>
                      </w:txbxContent>
                    </wps:txbx>
                    <wps:bodyPr wrap="none" lIns="0" tIns="0" rIns="0" bIns="0" upright="0">
                      <a:spAutoFit/>
                    </wps:bodyPr>
                  </wps:wsp>
                </a:graphicData>
              </a:graphic>
            </wp:anchor>
          </w:drawing>
        </mc:Choice>
        <mc:Fallback>
          <w:pict>
            <v:shape id="文本框 1029" o:spid="_x0000_s1026" o:spt="202" type="#_x0000_t202" style="position:absolute;left:0pt;margin-top:0pt;height:11.7pt;width:9.05pt;mso-position-horizontal:center;mso-position-horizontal-relative:margin;mso-wrap-style:none;z-index:251661312;mso-width-relative:page;mso-height-relative:page;" filled="f" stroked="f" coordsize="21600,21600" o:gfxdata="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">
              <v:fill on="f" focussize="0,0"/>
              <v:stroke on="f"/>
              <v:imagedata o:title=""/>
              <o:lock v:ext="edit" aspectratio="f"/>
              <v:textbox inset="0mm,0mm,0mm,0mm" style="mso-fit-shape-to-text:t;">
                <w:txbxContent>
                  <w:p w14:paraId="04D67E08">
                    <w:pPr>
                      <w:pStyle w:val="24"/>
                      <w:jc w:val="center"/>
                    </w:pPr>
                    <w:r>
                      <w:fldChar w:fldCharType="begin"/>
                    </w:r>
                    <w:r>
                      <w:instrText xml:space="preserve">PAGE   \* MERGEFORMAT</w:instrText>
                    </w:r>
                    <w:r>
                      <w:fldChar w:fldCharType="separate"/>
                    </w:r>
                    <w:r>
                      <w:rPr>
                        <w:lang w:val="zh-CN"/>
                      </w:rPr>
                      <w:t>53</w:t>
                    </w:r>
                    <w:r>
                      <w:fldChar w:fldCharType="end"/>
                    </w:r>
                  </w:p>
                </w:txbxContent>
              </v:textbox>
            </v:shape>
          </w:pict>
        </mc:Fallback>
      </mc:AlternateContent>
    </w:r>
  </w:p>
  <w:p w14:paraId="11D63ADB">
    <w:pPr>
      <w:pStyle w:val="24"/>
      <w:ind w:right="360"/>
      <w:jc w:val="right"/>
      <w:rPr>
        <w:rFonts w:hint="eastAsia"/>
      </w:rP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B3E23EE">
    <w:pPr>
      <w:pStyle w:val="25"/>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22DA5F5">
    <w:pPr>
      <w:pStyle w:val="25"/>
      <w:pBdr>
        <w:bottom w:val="none" w:color="auto" w:sz="0" w:space="0"/>
      </w:pBd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28EACCF">
    <w:pPr>
      <w:pStyle w:val="25"/>
      <w:pBdr>
        <w:bottom w:val="none" w:color="auto" w:sz="0" w:space="0"/>
      </w:pBd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6D5B00F">
    <w:pPr>
      <w:pStyle w:val="25"/>
      <w:pBdr>
        <w:bottom w:val="none" w:color="auto" w:sz="0" w:space="0"/>
      </w:pBd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9F625D6">
    <w:pPr>
      <w:pStyle w:val="25"/>
      <w:pBdr>
        <w:bottom w:val="none" w:color="auto" w:sz="0" w:space="0"/>
      </w:pBd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7BFF1E3">
    <w:pPr>
      <w:pStyle w:val="25"/>
      <w:pBdr>
        <w:bottom w:val="none" w:color="auto" w:sz="0" w:space="0"/>
      </w:pBd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F1FD1C8">
    <w:pPr>
      <w:pStyle w:val="15"/>
      <w:bidi w:val="0"/>
      <w:rPr>
        <w:rFonts w:hint="eastAsia"/>
        <w:lang w:eastAsia="zh-CN"/>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B63A46D">
    <w:pPr>
      <w:pStyle w:val="25"/>
      <w:pBdr>
        <w:bottom w:val="none" w:color="auto" w:sz="0" w:space="0"/>
      </w:pBdr>
      <w:jc w:val="right"/>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499A24D"/>
    <w:multiLevelType w:val="singleLevel"/>
    <w:tmpl w:val="9499A24D"/>
    <w:lvl w:ilvl="0" w:tentative="0">
      <w:start w:val="5"/>
      <w:numFmt w:val="chineseCounting"/>
      <w:suff w:val="space"/>
      <w:lvlText w:val="第%1章"/>
      <w:lvlJc w:val="left"/>
      <w:rPr>
        <w:rFonts w:hint="eastAsia"/>
      </w:rPr>
    </w:lvl>
  </w:abstractNum>
  <w:abstractNum w:abstractNumId="1">
    <w:nsid w:val="987D5522"/>
    <w:multiLevelType w:val="singleLevel"/>
    <w:tmpl w:val="987D5522"/>
    <w:lvl w:ilvl="0" w:tentative="0">
      <w:start w:val="1"/>
      <w:numFmt w:val="decimal"/>
      <w:lvlText w:val="%1."/>
      <w:lvlJc w:val="left"/>
      <w:pPr>
        <w:ind w:left="425" w:hanging="425"/>
      </w:pPr>
      <w:rPr>
        <w:rFonts w:hint="default"/>
      </w:rPr>
    </w:lvl>
  </w:abstractNum>
  <w:abstractNum w:abstractNumId="2">
    <w:nsid w:val="9AB08587"/>
    <w:multiLevelType w:val="singleLevel"/>
    <w:tmpl w:val="9AB08587"/>
    <w:lvl w:ilvl="0" w:tentative="0">
      <w:start w:val="1"/>
      <w:numFmt w:val="decimal"/>
      <w:lvlText w:val="%1."/>
      <w:lvlJc w:val="left"/>
      <w:pPr>
        <w:ind w:left="425" w:hanging="425"/>
      </w:pPr>
      <w:rPr>
        <w:rFonts w:hint="default"/>
      </w:rPr>
    </w:lvl>
  </w:abstractNum>
  <w:abstractNum w:abstractNumId="3">
    <w:nsid w:val="9F702306"/>
    <w:multiLevelType w:val="singleLevel"/>
    <w:tmpl w:val="9F702306"/>
    <w:lvl w:ilvl="0" w:tentative="0">
      <w:start w:val="1"/>
      <w:numFmt w:val="decimal"/>
      <w:lvlText w:val="%1."/>
      <w:lvlJc w:val="left"/>
      <w:pPr>
        <w:tabs>
          <w:tab w:val="left" w:pos="312"/>
        </w:tabs>
      </w:pPr>
    </w:lvl>
  </w:abstractNum>
  <w:abstractNum w:abstractNumId="4">
    <w:nsid w:val="BF6BC116"/>
    <w:multiLevelType w:val="singleLevel"/>
    <w:tmpl w:val="BF6BC116"/>
    <w:lvl w:ilvl="0" w:tentative="0">
      <w:start w:val="16"/>
      <w:numFmt w:val="decimal"/>
      <w:suff w:val="space"/>
      <w:lvlText w:val="%1."/>
      <w:lvlJc w:val="left"/>
    </w:lvl>
  </w:abstractNum>
  <w:abstractNum w:abstractNumId="5">
    <w:nsid w:val="C08D4645"/>
    <w:multiLevelType w:val="singleLevel"/>
    <w:tmpl w:val="C08D4645"/>
    <w:lvl w:ilvl="0" w:tentative="0">
      <w:start w:val="1"/>
      <w:numFmt w:val="decimal"/>
      <w:lvlText w:val="%1."/>
      <w:lvlJc w:val="left"/>
      <w:pPr>
        <w:tabs>
          <w:tab w:val="left" w:pos="312"/>
        </w:tabs>
      </w:pPr>
    </w:lvl>
  </w:abstractNum>
  <w:abstractNum w:abstractNumId="6">
    <w:nsid w:val="CFE7C3F8"/>
    <w:multiLevelType w:val="singleLevel"/>
    <w:tmpl w:val="CFE7C3F8"/>
    <w:lvl w:ilvl="0" w:tentative="0">
      <w:start w:val="1"/>
      <w:numFmt w:val="decimal"/>
      <w:suff w:val="nothing"/>
      <w:lvlText w:val="（%1）"/>
      <w:lvlJc w:val="left"/>
    </w:lvl>
  </w:abstractNum>
  <w:abstractNum w:abstractNumId="7">
    <w:nsid w:val="D4F06988"/>
    <w:multiLevelType w:val="multilevel"/>
    <w:tmpl w:val="D4F06988"/>
    <w:lvl w:ilvl="0" w:tentative="0">
      <w:start w:val="18"/>
      <w:numFmt w:val="decimal"/>
      <w:lvlText w:val="%1."/>
      <w:lvlJc w:val="left"/>
    </w:lvl>
    <w:lvl w:ilvl="1" w:tentative="0">
      <w:start w:val="1"/>
      <w:numFmt w:val="decimal"/>
      <w:lvlText w:val="%1.%2"/>
      <w:lvlJc w:val="left"/>
      <w:pPr>
        <w:tabs>
          <w:tab w:val="left" w:pos="312"/>
        </w:tabs>
        <w:ind w:left="0" w:firstLine="0"/>
      </w:pPr>
      <w:rPr>
        <w:rFonts w:hint="default"/>
      </w:rPr>
    </w:lvl>
    <w:lvl w:ilvl="2" w:tentative="0">
      <w:start w:val="1"/>
      <w:numFmt w:val="decimal"/>
      <w:lvlText w:val="%1.%2.%3"/>
      <w:lvlJc w:val="left"/>
      <w:pPr>
        <w:tabs>
          <w:tab w:val="left" w:pos="312"/>
        </w:tabs>
        <w:ind w:left="0" w:firstLine="0"/>
      </w:pPr>
      <w:rPr>
        <w:rFonts w:hint="default"/>
      </w:rPr>
    </w:lvl>
    <w:lvl w:ilvl="3" w:tentative="0">
      <w:start w:val="1"/>
      <w:numFmt w:val="decimal"/>
      <w:lvlText w:val="%1.%2.%3.%4"/>
      <w:lvlJc w:val="left"/>
      <w:pPr>
        <w:tabs>
          <w:tab w:val="left" w:pos="312"/>
        </w:tabs>
        <w:ind w:left="0" w:firstLine="0"/>
      </w:pPr>
      <w:rPr>
        <w:rFonts w:hint="default"/>
      </w:rPr>
    </w:lvl>
    <w:lvl w:ilvl="4" w:tentative="0">
      <w:start w:val="1"/>
      <w:numFmt w:val="decimal"/>
      <w:lvlText w:val="%1.%2.%3.%4.%5"/>
      <w:lvlJc w:val="left"/>
      <w:pPr>
        <w:tabs>
          <w:tab w:val="left" w:pos="312"/>
        </w:tabs>
        <w:ind w:left="0" w:firstLine="0"/>
      </w:pPr>
      <w:rPr>
        <w:rFonts w:hint="default"/>
      </w:rPr>
    </w:lvl>
    <w:lvl w:ilvl="5" w:tentative="0">
      <w:start w:val="1"/>
      <w:numFmt w:val="decimal"/>
      <w:lvlText w:val="%1.%2.%3.%4.%5.%6"/>
      <w:lvlJc w:val="left"/>
      <w:pPr>
        <w:tabs>
          <w:tab w:val="left" w:pos="312"/>
        </w:tabs>
        <w:ind w:left="0" w:firstLine="0"/>
      </w:pPr>
      <w:rPr>
        <w:rFonts w:hint="default"/>
      </w:rPr>
    </w:lvl>
    <w:lvl w:ilvl="6" w:tentative="0">
      <w:start w:val="1"/>
      <w:numFmt w:val="decimal"/>
      <w:lvlText w:val="%1.%2.%3.%4.%5.%6.%7"/>
      <w:lvlJc w:val="left"/>
      <w:pPr>
        <w:tabs>
          <w:tab w:val="left" w:pos="312"/>
        </w:tabs>
        <w:ind w:left="0" w:firstLine="0"/>
      </w:pPr>
      <w:rPr>
        <w:rFonts w:hint="default"/>
      </w:rPr>
    </w:lvl>
    <w:lvl w:ilvl="7" w:tentative="0">
      <w:start w:val="1"/>
      <w:numFmt w:val="decimal"/>
      <w:lvlText w:val="%1.%2.%3.%4.%5.%6.%7.%8"/>
      <w:lvlJc w:val="left"/>
      <w:pPr>
        <w:tabs>
          <w:tab w:val="left" w:pos="312"/>
        </w:tabs>
        <w:ind w:left="0" w:firstLine="0"/>
      </w:pPr>
      <w:rPr>
        <w:rFonts w:hint="default"/>
      </w:rPr>
    </w:lvl>
    <w:lvl w:ilvl="8" w:tentative="0">
      <w:start w:val="1"/>
      <w:numFmt w:val="decimal"/>
      <w:lvlText w:val="%1.%2.%3.%4.%5.%6.%7.%8.%9"/>
      <w:lvlJc w:val="left"/>
      <w:pPr>
        <w:tabs>
          <w:tab w:val="left" w:pos="312"/>
        </w:tabs>
        <w:ind w:left="0" w:firstLine="0"/>
      </w:pPr>
      <w:rPr>
        <w:rFonts w:hint="default"/>
      </w:rPr>
    </w:lvl>
  </w:abstractNum>
  <w:abstractNum w:abstractNumId="8">
    <w:nsid w:val="DDECD3BC"/>
    <w:multiLevelType w:val="singleLevel"/>
    <w:tmpl w:val="DDECD3BC"/>
    <w:lvl w:ilvl="0" w:tentative="0">
      <w:start w:val="6"/>
      <w:numFmt w:val="decimal"/>
      <w:suff w:val="space"/>
      <w:lvlText w:val="%1."/>
      <w:lvlJc w:val="left"/>
    </w:lvl>
  </w:abstractNum>
  <w:abstractNum w:abstractNumId="9">
    <w:nsid w:val="DE759F4B"/>
    <w:multiLevelType w:val="singleLevel"/>
    <w:tmpl w:val="DE759F4B"/>
    <w:lvl w:ilvl="0" w:tentative="0">
      <w:start w:val="2"/>
      <w:numFmt w:val="decimal"/>
      <w:suff w:val="space"/>
      <w:lvlText w:val="%1."/>
      <w:lvlJc w:val="left"/>
    </w:lvl>
  </w:abstractNum>
  <w:abstractNum w:abstractNumId="10">
    <w:nsid w:val="DEABE1DB"/>
    <w:multiLevelType w:val="singleLevel"/>
    <w:tmpl w:val="DEABE1DB"/>
    <w:lvl w:ilvl="0" w:tentative="0">
      <w:start w:val="23"/>
      <w:numFmt w:val="decimal"/>
      <w:suff w:val="space"/>
      <w:lvlText w:val="%1."/>
      <w:lvlJc w:val="left"/>
    </w:lvl>
  </w:abstractNum>
  <w:abstractNum w:abstractNumId="11">
    <w:nsid w:val="EA58F7FF"/>
    <w:multiLevelType w:val="singleLevel"/>
    <w:tmpl w:val="EA58F7FF"/>
    <w:lvl w:ilvl="0" w:tentative="0">
      <w:start w:val="8"/>
      <w:numFmt w:val="decimal"/>
      <w:suff w:val="nothing"/>
      <w:lvlText w:val="%1、"/>
      <w:lvlJc w:val="left"/>
      <w:pPr>
        <w:ind w:left="30"/>
      </w:pPr>
    </w:lvl>
  </w:abstractNum>
  <w:abstractNum w:abstractNumId="12">
    <w:nsid w:val="FFEFC674"/>
    <w:multiLevelType w:val="singleLevel"/>
    <w:tmpl w:val="FFEFC674"/>
    <w:lvl w:ilvl="0" w:tentative="0">
      <w:start w:val="1"/>
      <w:numFmt w:val="decimal"/>
      <w:suff w:val="nothing"/>
      <w:lvlText w:val="（%1）"/>
      <w:lvlJc w:val="left"/>
    </w:lvl>
  </w:abstractNum>
  <w:abstractNum w:abstractNumId="13">
    <w:nsid w:val="22EBCC1F"/>
    <w:multiLevelType w:val="singleLevel"/>
    <w:tmpl w:val="22EBCC1F"/>
    <w:lvl w:ilvl="0" w:tentative="0">
      <w:start w:val="1"/>
      <w:numFmt w:val="decimal"/>
      <w:lvlText w:val="%1."/>
      <w:lvlJc w:val="left"/>
      <w:pPr>
        <w:tabs>
          <w:tab w:val="left" w:pos="312"/>
        </w:tabs>
      </w:pPr>
    </w:lvl>
  </w:abstractNum>
  <w:abstractNum w:abstractNumId="14">
    <w:nsid w:val="24E409BB"/>
    <w:multiLevelType w:val="multilevel"/>
    <w:tmpl w:val="24E409BB"/>
    <w:lvl w:ilvl="0" w:tentative="0">
      <w:start w:val="1"/>
      <w:numFmt w:val="decimal"/>
      <w:pStyle w:val="86"/>
      <w:lvlText w:val="表%1："/>
      <w:lvlJc w:val="left"/>
      <w:pPr>
        <w:ind w:left="900" w:hanging="420"/>
      </w:pPr>
      <w:rPr>
        <w:rFonts w:hint="eastAsia"/>
        <w:b w:val="0"/>
      </w:rPr>
    </w:lvl>
    <w:lvl w:ilvl="1" w:tentative="0">
      <w:start w:val="1"/>
      <w:numFmt w:val="lowerLetter"/>
      <w:lvlText w:val="%2)"/>
      <w:lvlJc w:val="left"/>
      <w:pPr>
        <w:ind w:left="1320" w:hanging="420"/>
      </w:pPr>
    </w:lvl>
    <w:lvl w:ilvl="2" w:tentative="0">
      <w:start w:val="1"/>
      <w:numFmt w:val="lowerRoman"/>
      <w:lvlText w:val="%3."/>
      <w:lvlJc w:val="right"/>
      <w:pPr>
        <w:ind w:left="1740" w:hanging="420"/>
      </w:pPr>
    </w:lvl>
    <w:lvl w:ilvl="3" w:tentative="0">
      <w:start w:val="1"/>
      <w:numFmt w:val="decimal"/>
      <w:lvlText w:val="%4."/>
      <w:lvlJc w:val="left"/>
      <w:pPr>
        <w:ind w:left="2160" w:hanging="420"/>
      </w:pPr>
    </w:lvl>
    <w:lvl w:ilvl="4" w:tentative="0">
      <w:start w:val="1"/>
      <w:numFmt w:val="lowerLetter"/>
      <w:lvlText w:val="%5)"/>
      <w:lvlJc w:val="left"/>
      <w:pPr>
        <w:ind w:left="2580" w:hanging="420"/>
      </w:pPr>
    </w:lvl>
    <w:lvl w:ilvl="5" w:tentative="0">
      <w:start w:val="1"/>
      <w:numFmt w:val="lowerRoman"/>
      <w:lvlText w:val="%6."/>
      <w:lvlJc w:val="right"/>
      <w:pPr>
        <w:ind w:left="3000" w:hanging="420"/>
      </w:pPr>
    </w:lvl>
    <w:lvl w:ilvl="6" w:tentative="0">
      <w:start w:val="1"/>
      <w:numFmt w:val="decimal"/>
      <w:lvlText w:val="%7."/>
      <w:lvlJc w:val="left"/>
      <w:pPr>
        <w:ind w:left="3420" w:hanging="420"/>
      </w:pPr>
    </w:lvl>
    <w:lvl w:ilvl="7" w:tentative="0">
      <w:start w:val="1"/>
      <w:numFmt w:val="lowerLetter"/>
      <w:lvlText w:val="%8)"/>
      <w:lvlJc w:val="left"/>
      <w:pPr>
        <w:ind w:left="3840" w:hanging="420"/>
      </w:pPr>
    </w:lvl>
    <w:lvl w:ilvl="8" w:tentative="0">
      <w:start w:val="1"/>
      <w:numFmt w:val="lowerRoman"/>
      <w:lvlText w:val="%9."/>
      <w:lvlJc w:val="right"/>
      <w:pPr>
        <w:ind w:left="4260" w:hanging="420"/>
      </w:pPr>
    </w:lvl>
  </w:abstractNum>
  <w:abstractNum w:abstractNumId="15">
    <w:nsid w:val="25E9131D"/>
    <w:multiLevelType w:val="multilevel"/>
    <w:tmpl w:val="25E9131D"/>
    <w:lvl w:ilvl="0" w:tentative="0">
      <w:start w:val="1"/>
      <w:numFmt w:val="decimal"/>
      <w:lvlText w:val="%1"/>
      <w:lvlJc w:val="left"/>
      <w:pPr>
        <w:tabs>
          <w:tab w:val="left" w:pos="900"/>
        </w:tabs>
        <w:ind w:left="900" w:hanging="900"/>
      </w:pPr>
      <w:rPr>
        <w:rFonts w:hint="eastAsia"/>
      </w:rPr>
    </w:lvl>
    <w:lvl w:ilvl="1" w:tentative="0">
      <w:start w:val="1"/>
      <w:numFmt w:val="decimal"/>
      <w:lvlText w:val="%1.%2"/>
      <w:lvlJc w:val="left"/>
      <w:pPr>
        <w:tabs>
          <w:tab w:val="left" w:pos="900"/>
        </w:tabs>
        <w:ind w:left="900" w:hanging="900"/>
      </w:pPr>
      <w:rPr>
        <w:rFonts w:hint="eastAsia"/>
      </w:rPr>
    </w:lvl>
    <w:lvl w:ilvl="2" w:tentative="0">
      <w:start w:val="1"/>
      <w:numFmt w:val="decimal"/>
      <w:lvlText w:val="%1.%2.%3"/>
      <w:lvlJc w:val="left"/>
      <w:pPr>
        <w:tabs>
          <w:tab w:val="left" w:pos="900"/>
        </w:tabs>
        <w:ind w:left="900" w:hanging="900"/>
      </w:pPr>
      <w:rPr>
        <w:rFonts w:hint="eastAsia"/>
      </w:rPr>
    </w:lvl>
    <w:lvl w:ilvl="3" w:tentative="0">
      <w:start w:val="1"/>
      <w:numFmt w:val="decimal"/>
      <w:lvlText w:val="%1.%2.%3.%4"/>
      <w:lvlJc w:val="left"/>
      <w:pPr>
        <w:tabs>
          <w:tab w:val="left" w:pos="900"/>
        </w:tabs>
        <w:ind w:left="900" w:hanging="900"/>
      </w:pPr>
      <w:rPr>
        <w:rFonts w:hint="eastAsia"/>
      </w:rPr>
    </w:lvl>
    <w:lvl w:ilvl="4" w:tentative="0">
      <w:start w:val="1"/>
      <w:numFmt w:val="decimal"/>
      <w:lvlText w:val="%1.%2.%3.%4.%5"/>
      <w:lvlJc w:val="left"/>
      <w:pPr>
        <w:tabs>
          <w:tab w:val="left" w:pos="900"/>
        </w:tabs>
        <w:ind w:left="900" w:hanging="900"/>
      </w:pPr>
      <w:rPr>
        <w:rFonts w:hint="eastAsia"/>
      </w:rPr>
    </w:lvl>
    <w:lvl w:ilvl="5" w:tentative="0">
      <w:start w:val="1"/>
      <w:numFmt w:val="decimal"/>
      <w:lvlText w:val="%1.%2.%3.%4.%5.%6"/>
      <w:lvlJc w:val="left"/>
      <w:pPr>
        <w:tabs>
          <w:tab w:val="left" w:pos="900"/>
        </w:tabs>
        <w:ind w:left="900" w:hanging="900"/>
      </w:pPr>
      <w:rPr>
        <w:rFonts w:hint="eastAsia"/>
      </w:rPr>
    </w:lvl>
    <w:lvl w:ilvl="6" w:tentative="0">
      <w:start w:val="1"/>
      <w:numFmt w:val="decimal"/>
      <w:lvlText w:val="%1.%2.%3.%4.%5.%6.%7"/>
      <w:lvlJc w:val="left"/>
      <w:pPr>
        <w:tabs>
          <w:tab w:val="left" w:pos="900"/>
        </w:tabs>
        <w:ind w:left="900" w:hanging="900"/>
      </w:pPr>
      <w:rPr>
        <w:rFonts w:hint="eastAsia"/>
      </w:rPr>
    </w:lvl>
    <w:lvl w:ilvl="7" w:tentative="0">
      <w:start w:val="1"/>
      <w:numFmt w:val="decimal"/>
      <w:lvlText w:val="%1.%2.%3.%4.%5.%6.%7.%8"/>
      <w:lvlJc w:val="left"/>
      <w:pPr>
        <w:tabs>
          <w:tab w:val="left" w:pos="900"/>
        </w:tabs>
        <w:ind w:left="900" w:hanging="900"/>
      </w:pPr>
      <w:rPr>
        <w:rFonts w:hint="eastAsia"/>
      </w:rPr>
    </w:lvl>
    <w:lvl w:ilvl="8" w:tentative="0">
      <w:start w:val="1"/>
      <w:numFmt w:val="decimal"/>
      <w:lvlText w:val="%1.%2.%3.%4.%5.%6.%7.%8.%9"/>
      <w:lvlJc w:val="left"/>
      <w:pPr>
        <w:tabs>
          <w:tab w:val="left" w:pos="900"/>
        </w:tabs>
        <w:ind w:left="900" w:hanging="900"/>
      </w:pPr>
      <w:rPr>
        <w:rFonts w:hint="eastAsia"/>
      </w:rPr>
    </w:lvl>
  </w:abstractNum>
  <w:abstractNum w:abstractNumId="16">
    <w:nsid w:val="27D16057"/>
    <w:multiLevelType w:val="singleLevel"/>
    <w:tmpl w:val="27D16057"/>
    <w:lvl w:ilvl="0" w:tentative="0">
      <w:start w:val="1"/>
      <w:numFmt w:val="decimal"/>
      <w:lvlText w:val="%1."/>
      <w:lvlJc w:val="left"/>
      <w:pPr>
        <w:ind w:left="425" w:hanging="425"/>
      </w:pPr>
      <w:rPr>
        <w:rFonts w:hint="default"/>
      </w:rPr>
    </w:lvl>
  </w:abstractNum>
  <w:abstractNum w:abstractNumId="17">
    <w:nsid w:val="3EBB3C91"/>
    <w:multiLevelType w:val="multilevel"/>
    <w:tmpl w:val="3EBB3C91"/>
    <w:lvl w:ilvl="0" w:tentative="0">
      <w:start w:val="1"/>
      <w:numFmt w:val="chineseCountingThousand"/>
      <w:suff w:val="space"/>
      <w:lvlText w:val="%1. "/>
      <w:lvlJc w:val="left"/>
      <w:pPr>
        <w:ind w:left="907" w:hanging="907"/>
      </w:pPr>
      <w:rPr>
        <w:rFonts w:hint="eastAsia"/>
      </w:rPr>
    </w:lvl>
    <w:lvl w:ilvl="1" w:tentative="0">
      <w:start w:val="1"/>
      <w:numFmt w:val="decimal"/>
      <w:isLgl/>
      <w:suff w:val="space"/>
      <w:lvlText w:val="%1.%2 "/>
      <w:lvlJc w:val="left"/>
      <w:pPr>
        <w:ind w:left="794" w:hanging="794"/>
      </w:pPr>
    </w:lvl>
    <w:lvl w:ilvl="2" w:tentative="0">
      <w:start w:val="0"/>
      <w:numFmt w:val="none"/>
      <w:lvlText w:val=""/>
      <w:lvlJc w:val="left"/>
      <w:pPr>
        <w:tabs>
          <w:tab w:val="left" w:pos="360"/>
        </w:tabs>
      </w:pPr>
      <w:rPr>
        <w:rFonts w:cs="Times New Roman"/>
      </w:rPr>
    </w:lvl>
    <w:lvl w:ilvl="3" w:tentative="0">
      <w:start w:val="0"/>
      <w:numFmt w:val="none"/>
      <w:lvlText w:val=""/>
      <w:lvlJc w:val="left"/>
      <w:pPr>
        <w:tabs>
          <w:tab w:val="left" w:pos="360"/>
        </w:tabs>
      </w:pPr>
      <w:rPr>
        <w:rFonts w:cs="Times New Roman"/>
      </w:rPr>
    </w:lvl>
    <w:lvl w:ilvl="4" w:tentative="0">
      <w:start w:val="0"/>
      <w:numFmt w:val="decimal"/>
      <w:pStyle w:val="96"/>
      <w:lvlText w:val=""/>
      <w:lvlJc w:val="left"/>
      <w:rPr>
        <w:rFonts w:cs="Times New Roman"/>
      </w:rPr>
    </w:lvl>
    <w:lvl w:ilvl="5" w:tentative="0">
      <w:start w:val="0"/>
      <w:numFmt w:val="decimal"/>
      <w:lvlText w:val=""/>
      <w:lvlJc w:val="left"/>
      <w:rPr>
        <w:rFonts w:cs="Times New Roman"/>
      </w:rPr>
    </w:lvl>
    <w:lvl w:ilvl="6" w:tentative="0">
      <w:start w:val="0"/>
      <w:numFmt w:val="decimal"/>
      <w:lvlText w:val=""/>
      <w:lvlJc w:val="left"/>
      <w:rPr>
        <w:rFonts w:cs="Times New Roman"/>
      </w:rPr>
    </w:lvl>
    <w:lvl w:ilvl="7" w:tentative="0">
      <w:start w:val="0"/>
      <w:numFmt w:val="decimal"/>
      <w:lvlText w:val=""/>
      <w:lvlJc w:val="left"/>
      <w:rPr>
        <w:rFonts w:cs="Times New Roman"/>
      </w:rPr>
    </w:lvl>
    <w:lvl w:ilvl="8" w:tentative="0">
      <w:start w:val="0"/>
      <w:numFmt w:val="decimal"/>
      <w:lvlText w:val=""/>
      <w:lvlJc w:val="left"/>
      <w:rPr>
        <w:rFonts w:cs="Times New Roman"/>
      </w:rPr>
    </w:lvl>
  </w:abstractNum>
  <w:abstractNum w:abstractNumId="18">
    <w:nsid w:val="44DD0909"/>
    <w:multiLevelType w:val="multilevel"/>
    <w:tmpl w:val="44DD0909"/>
    <w:lvl w:ilvl="0" w:tentative="0">
      <w:start w:val="1"/>
      <w:numFmt w:val="decimal"/>
      <w:lvlText w:val="%1)"/>
      <w:lvlJc w:val="left"/>
      <w:pPr>
        <w:ind w:left="420" w:hanging="420"/>
      </w:pPr>
    </w:lvl>
    <w:lvl w:ilvl="1" w:tentative="0">
      <w:start w:val="1"/>
      <w:numFmt w:val="decimal"/>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9">
    <w:nsid w:val="5D61EC6D"/>
    <w:multiLevelType w:val="singleLevel"/>
    <w:tmpl w:val="5D61EC6D"/>
    <w:lvl w:ilvl="0" w:tentative="0">
      <w:start w:val="1"/>
      <w:numFmt w:val="decimal"/>
      <w:pStyle w:val="6"/>
      <w:lvlText w:val="%1."/>
      <w:lvlJc w:val="left"/>
      <w:pPr>
        <w:tabs>
          <w:tab w:val="left" w:pos="360"/>
        </w:tabs>
        <w:ind w:left="360" w:hanging="360"/>
      </w:pPr>
    </w:lvl>
  </w:abstractNum>
  <w:abstractNum w:abstractNumId="20">
    <w:nsid w:val="5F6D72B9"/>
    <w:multiLevelType w:val="singleLevel"/>
    <w:tmpl w:val="5F6D72B9"/>
    <w:lvl w:ilvl="0" w:tentative="0">
      <w:start w:val="1"/>
      <w:numFmt w:val="decimal"/>
      <w:suff w:val="nothing"/>
      <w:lvlText w:val="（%1）"/>
      <w:lvlJc w:val="left"/>
    </w:lvl>
  </w:abstractNum>
  <w:abstractNum w:abstractNumId="21">
    <w:nsid w:val="66E4770E"/>
    <w:multiLevelType w:val="multilevel"/>
    <w:tmpl w:val="66E4770E"/>
    <w:lvl w:ilvl="0" w:tentative="0">
      <w:start w:val="1"/>
      <w:numFmt w:val="decimal"/>
      <w:lvlText w:val="第%1章"/>
      <w:lvlJc w:val="left"/>
      <w:pPr>
        <w:tabs>
          <w:tab w:val="left" w:pos="1680"/>
        </w:tabs>
        <w:ind w:left="1680" w:hanging="1140"/>
      </w:pPr>
      <w:rPr>
        <w:rFonts w:hint="eastAsia"/>
      </w:rPr>
    </w:lvl>
    <w:lvl w:ilvl="1" w:tentative="0">
      <w:start w:val="1"/>
      <w:numFmt w:val="lowerLetter"/>
      <w:lvlText w:val="%2)"/>
      <w:lvlJc w:val="left"/>
      <w:pPr>
        <w:tabs>
          <w:tab w:val="left" w:pos="1380"/>
        </w:tabs>
        <w:ind w:left="1380" w:hanging="420"/>
      </w:pPr>
      <w:rPr>
        <w:rFonts w:hint="eastAsia"/>
      </w:rPr>
    </w:lvl>
    <w:lvl w:ilvl="2" w:tentative="0">
      <w:start w:val="1"/>
      <w:numFmt w:val="lowerRoman"/>
      <w:lvlText w:val="%3."/>
      <w:lvlJc w:val="right"/>
      <w:pPr>
        <w:tabs>
          <w:tab w:val="left" w:pos="1800"/>
        </w:tabs>
        <w:ind w:left="1800" w:hanging="420"/>
      </w:pPr>
      <w:rPr>
        <w:rFonts w:hint="eastAsia"/>
      </w:rPr>
    </w:lvl>
    <w:lvl w:ilvl="3" w:tentative="0">
      <w:start w:val="1"/>
      <w:numFmt w:val="decimal"/>
      <w:lvlText w:val="%4."/>
      <w:lvlJc w:val="left"/>
      <w:pPr>
        <w:tabs>
          <w:tab w:val="left" w:pos="2220"/>
        </w:tabs>
        <w:ind w:left="2220" w:hanging="420"/>
      </w:pPr>
      <w:rPr>
        <w:rFonts w:hint="eastAsia"/>
      </w:rPr>
    </w:lvl>
    <w:lvl w:ilvl="4" w:tentative="0">
      <w:start w:val="1"/>
      <w:numFmt w:val="lowerLetter"/>
      <w:lvlText w:val="%5)"/>
      <w:lvlJc w:val="left"/>
      <w:pPr>
        <w:tabs>
          <w:tab w:val="left" w:pos="2640"/>
        </w:tabs>
        <w:ind w:left="2640" w:hanging="420"/>
      </w:pPr>
      <w:rPr>
        <w:rFonts w:hint="eastAsia"/>
      </w:rPr>
    </w:lvl>
    <w:lvl w:ilvl="5" w:tentative="0">
      <w:start w:val="1"/>
      <w:numFmt w:val="lowerRoman"/>
      <w:lvlText w:val="%6."/>
      <w:lvlJc w:val="right"/>
      <w:pPr>
        <w:tabs>
          <w:tab w:val="left" w:pos="3060"/>
        </w:tabs>
        <w:ind w:left="3060" w:hanging="420"/>
      </w:pPr>
      <w:rPr>
        <w:rFonts w:hint="eastAsia"/>
      </w:rPr>
    </w:lvl>
    <w:lvl w:ilvl="6" w:tentative="0">
      <w:start w:val="1"/>
      <w:numFmt w:val="decimal"/>
      <w:lvlText w:val="%7."/>
      <w:lvlJc w:val="left"/>
      <w:pPr>
        <w:tabs>
          <w:tab w:val="left" w:pos="3480"/>
        </w:tabs>
        <w:ind w:left="3480" w:hanging="420"/>
      </w:pPr>
      <w:rPr>
        <w:rFonts w:hint="eastAsia"/>
      </w:rPr>
    </w:lvl>
    <w:lvl w:ilvl="7" w:tentative="0">
      <w:start w:val="1"/>
      <w:numFmt w:val="lowerLetter"/>
      <w:lvlText w:val="%8)"/>
      <w:lvlJc w:val="left"/>
      <w:pPr>
        <w:tabs>
          <w:tab w:val="left" w:pos="3900"/>
        </w:tabs>
        <w:ind w:left="3900" w:hanging="420"/>
      </w:pPr>
      <w:rPr>
        <w:rFonts w:hint="eastAsia"/>
      </w:rPr>
    </w:lvl>
    <w:lvl w:ilvl="8" w:tentative="0">
      <w:start w:val="1"/>
      <w:numFmt w:val="lowerRoman"/>
      <w:lvlText w:val="%9."/>
      <w:lvlJc w:val="right"/>
      <w:pPr>
        <w:tabs>
          <w:tab w:val="left" w:pos="4320"/>
        </w:tabs>
        <w:ind w:left="4320" w:hanging="420"/>
      </w:pPr>
      <w:rPr>
        <w:rFonts w:hint="eastAsia"/>
      </w:rPr>
    </w:lvl>
  </w:abstractNum>
  <w:abstractNum w:abstractNumId="22">
    <w:nsid w:val="78CB6F2C"/>
    <w:multiLevelType w:val="singleLevel"/>
    <w:tmpl w:val="78CB6F2C"/>
    <w:lvl w:ilvl="0" w:tentative="0">
      <w:start w:val="1"/>
      <w:numFmt w:val="decimal"/>
      <w:pStyle w:val="21"/>
      <w:lvlText w:val="%1."/>
      <w:lvlJc w:val="left"/>
      <w:pPr>
        <w:tabs>
          <w:tab w:val="left" w:pos="2040"/>
        </w:tabs>
        <w:ind w:left="2040" w:hanging="360"/>
      </w:pPr>
    </w:lvl>
  </w:abstractNum>
  <w:abstractNum w:abstractNumId="23">
    <w:nsid w:val="7A0F6431"/>
    <w:multiLevelType w:val="singleLevel"/>
    <w:tmpl w:val="7A0F6431"/>
    <w:lvl w:ilvl="0" w:tentative="0">
      <w:start w:val="1"/>
      <w:numFmt w:val="decimal"/>
      <w:suff w:val="space"/>
      <w:lvlText w:val="%1."/>
      <w:lvlJc w:val="left"/>
    </w:lvl>
  </w:abstractNum>
  <w:abstractNum w:abstractNumId="24">
    <w:nsid w:val="7B84DCAC"/>
    <w:multiLevelType w:val="singleLevel"/>
    <w:tmpl w:val="7B84DCAC"/>
    <w:lvl w:ilvl="0" w:tentative="0">
      <w:start w:val="1"/>
      <w:numFmt w:val="decimal"/>
      <w:lvlText w:val="%1."/>
      <w:lvlJc w:val="left"/>
      <w:pPr>
        <w:ind w:left="425" w:hanging="425"/>
      </w:pPr>
      <w:rPr>
        <w:rFonts w:hint="default"/>
      </w:rPr>
    </w:lvl>
  </w:abstractNum>
  <w:num w:numId="1">
    <w:abstractNumId w:val="19"/>
  </w:num>
  <w:num w:numId="2">
    <w:abstractNumId w:val="22"/>
  </w:num>
  <w:num w:numId="3">
    <w:abstractNumId w:val="14"/>
  </w:num>
  <w:num w:numId="4">
    <w:abstractNumId w:val="17"/>
  </w:num>
  <w:num w:numId="5">
    <w:abstractNumId w:val="15"/>
  </w:num>
  <w:num w:numId="6">
    <w:abstractNumId w:val="21"/>
  </w:num>
  <w:num w:numId="7">
    <w:abstractNumId w:val="7"/>
  </w:num>
  <w:num w:numId="8">
    <w:abstractNumId w:val="11"/>
  </w:num>
  <w:num w:numId="9">
    <w:abstractNumId w:val="20"/>
  </w:num>
  <w:num w:numId="10">
    <w:abstractNumId w:val="13"/>
  </w:num>
  <w:num w:numId="11">
    <w:abstractNumId w:val="0"/>
  </w:num>
  <w:num w:numId="12">
    <w:abstractNumId w:val="3"/>
  </w:num>
  <w:num w:numId="13">
    <w:abstractNumId w:val="5"/>
  </w:num>
  <w:num w:numId="14">
    <w:abstractNumId w:val="18"/>
  </w:num>
  <w:num w:numId="15">
    <w:abstractNumId w:val="24"/>
  </w:num>
  <w:num w:numId="16">
    <w:abstractNumId w:val="1"/>
  </w:num>
  <w:num w:numId="17">
    <w:abstractNumId w:val="16"/>
  </w:num>
  <w:num w:numId="18">
    <w:abstractNumId w:val="2"/>
  </w:num>
  <w:num w:numId="19">
    <w:abstractNumId w:val="23"/>
  </w:num>
  <w:num w:numId="20">
    <w:abstractNumId w:val="6"/>
  </w:num>
  <w:num w:numId="21">
    <w:abstractNumId w:val="12"/>
  </w:num>
  <w:num w:numId="22">
    <w:abstractNumId w:val="9"/>
  </w:num>
  <w:num w:numId="23">
    <w:abstractNumId w:val="8"/>
  </w:num>
  <w:num w:numId="24">
    <w:abstractNumId w:val="4"/>
  </w:num>
  <w:num w:numId="25">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60"/>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hyphenationZone w:val="360"/>
  <w:drawingGridVerticalSpacing w:val="156"/>
  <w:displayHorizontalDrawingGridEvery w:val="1"/>
  <w:displayVerticalDrawingGridEvery w:val="1"/>
  <w:noPunctuationKerning w:val="1"/>
  <w:characterSpacingControl w:val="compressPunctuation"/>
  <w:hdrShapeDefaults>
    <o:shapelayout v:ext="edit">
      <o:idmap v:ext="edit" data="2"/>
    </o:shapelayout>
  </w:hdrShapeDefaults>
  <w:compat>
    <w:spaceForUL/>
    <w:balanceSingleByteDoubleByteWidth/>
    <w:doNotLeaveBackslashAlone/>
    <w:ulTrailSpace/>
    <w:doNotExpandShiftReturn/>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ACTIVE" w:val="03年范本稿123.doc"/>
    <w:docVar w:name="commondata" w:val="eyJoZGlkIjoiYTg2MWU1NGFhNmU5NDk5ZDU1YmY2YjNjOWM0NTQ1MzAifQ=="/>
    <w:docVar w:name="VTCASE" w:val="4"/>
    <w:docVar w:name="VTCommandPending" w:val="NONE"/>
  </w:docVars>
  <w:rsids>
    <w:rsidRoot w:val="00172A27"/>
    <w:rsid w:val="000004CD"/>
    <w:rsid w:val="00001783"/>
    <w:rsid w:val="00001797"/>
    <w:rsid w:val="0000273B"/>
    <w:rsid w:val="00002DF7"/>
    <w:rsid w:val="000041A8"/>
    <w:rsid w:val="000055D7"/>
    <w:rsid w:val="0001529F"/>
    <w:rsid w:val="000157E2"/>
    <w:rsid w:val="0001697A"/>
    <w:rsid w:val="000169E1"/>
    <w:rsid w:val="00020D78"/>
    <w:rsid w:val="00021486"/>
    <w:rsid w:val="000214AD"/>
    <w:rsid w:val="00021AE8"/>
    <w:rsid w:val="00022E94"/>
    <w:rsid w:val="000313B5"/>
    <w:rsid w:val="00032835"/>
    <w:rsid w:val="00032B95"/>
    <w:rsid w:val="000333A8"/>
    <w:rsid w:val="000367B8"/>
    <w:rsid w:val="00042BA7"/>
    <w:rsid w:val="000434F9"/>
    <w:rsid w:val="00043533"/>
    <w:rsid w:val="00045D67"/>
    <w:rsid w:val="0004677C"/>
    <w:rsid w:val="0005172B"/>
    <w:rsid w:val="000538CC"/>
    <w:rsid w:val="000541C7"/>
    <w:rsid w:val="00054A8E"/>
    <w:rsid w:val="00055A71"/>
    <w:rsid w:val="00056583"/>
    <w:rsid w:val="00056932"/>
    <w:rsid w:val="00057BB2"/>
    <w:rsid w:val="0006019D"/>
    <w:rsid w:val="000612B3"/>
    <w:rsid w:val="00061B68"/>
    <w:rsid w:val="00063750"/>
    <w:rsid w:val="00065379"/>
    <w:rsid w:val="00066EBC"/>
    <w:rsid w:val="000673C5"/>
    <w:rsid w:val="00070907"/>
    <w:rsid w:val="00071285"/>
    <w:rsid w:val="000719AB"/>
    <w:rsid w:val="00072C53"/>
    <w:rsid w:val="00073852"/>
    <w:rsid w:val="00076670"/>
    <w:rsid w:val="0007684F"/>
    <w:rsid w:val="00076927"/>
    <w:rsid w:val="00080B56"/>
    <w:rsid w:val="00080C9B"/>
    <w:rsid w:val="00080FC7"/>
    <w:rsid w:val="00081D11"/>
    <w:rsid w:val="00083115"/>
    <w:rsid w:val="00087961"/>
    <w:rsid w:val="00093645"/>
    <w:rsid w:val="00096150"/>
    <w:rsid w:val="00096F54"/>
    <w:rsid w:val="000A31C4"/>
    <w:rsid w:val="000A3727"/>
    <w:rsid w:val="000A49C1"/>
    <w:rsid w:val="000A73EF"/>
    <w:rsid w:val="000A799B"/>
    <w:rsid w:val="000B3242"/>
    <w:rsid w:val="000B3392"/>
    <w:rsid w:val="000B362F"/>
    <w:rsid w:val="000B366A"/>
    <w:rsid w:val="000B51E6"/>
    <w:rsid w:val="000B6C50"/>
    <w:rsid w:val="000C092A"/>
    <w:rsid w:val="000C0AC9"/>
    <w:rsid w:val="000C0FDF"/>
    <w:rsid w:val="000C15AF"/>
    <w:rsid w:val="000C3524"/>
    <w:rsid w:val="000C5071"/>
    <w:rsid w:val="000C55ED"/>
    <w:rsid w:val="000C6F86"/>
    <w:rsid w:val="000D10E4"/>
    <w:rsid w:val="000D1613"/>
    <w:rsid w:val="000D19C1"/>
    <w:rsid w:val="000D4E69"/>
    <w:rsid w:val="000D5125"/>
    <w:rsid w:val="000D7812"/>
    <w:rsid w:val="000E1288"/>
    <w:rsid w:val="000E3784"/>
    <w:rsid w:val="000E37E0"/>
    <w:rsid w:val="000E47A0"/>
    <w:rsid w:val="000E597F"/>
    <w:rsid w:val="000E5BFC"/>
    <w:rsid w:val="000E694F"/>
    <w:rsid w:val="000E7158"/>
    <w:rsid w:val="000E74D4"/>
    <w:rsid w:val="000F2D05"/>
    <w:rsid w:val="000F2EEE"/>
    <w:rsid w:val="000F4234"/>
    <w:rsid w:val="000F6215"/>
    <w:rsid w:val="000F63C8"/>
    <w:rsid w:val="000F6581"/>
    <w:rsid w:val="00102417"/>
    <w:rsid w:val="001032CC"/>
    <w:rsid w:val="00103B53"/>
    <w:rsid w:val="00105B0B"/>
    <w:rsid w:val="0011024E"/>
    <w:rsid w:val="00112163"/>
    <w:rsid w:val="00114579"/>
    <w:rsid w:val="00115BF1"/>
    <w:rsid w:val="0012032C"/>
    <w:rsid w:val="001211EB"/>
    <w:rsid w:val="0012244B"/>
    <w:rsid w:val="001224B5"/>
    <w:rsid w:val="00122643"/>
    <w:rsid w:val="0012425B"/>
    <w:rsid w:val="001244F8"/>
    <w:rsid w:val="001247F0"/>
    <w:rsid w:val="001252D8"/>
    <w:rsid w:val="001257D4"/>
    <w:rsid w:val="00131E0D"/>
    <w:rsid w:val="0013242F"/>
    <w:rsid w:val="0013359E"/>
    <w:rsid w:val="001352B1"/>
    <w:rsid w:val="00135690"/>
    <w:rsid w:val="00135D8B"/>
    <w:rsid w:val="00137694"/>
    <w:rsid w:val="00141EAC"/>
    <w:rsid w:val="00143652"/>
    <w:rsid w:val="0014627C"/>
    <w:rsid w:val="0015142E"/>
    <w:rsid w:val="00157C74"/>
    <w:rsid w:val="00157D8E"/>
    <w:rsid w:val="00161678"/>
    <w:rsid w:val="00161D71"/>
    <w:rsid w:val="00162805"/>
    <w:rsid w:val="00165014"/>
    <w:rsid w:val="0017180F"/>
    <w:rsid w:val="001733C3"/>
    <w:rsid w:val="00173BFF"/>
    <w:rsid w:val="00174749"/>
    <w:rsid w:val="00174FCA"/>
    <w:rsid w:val="00175AFB"/>
    <w:rsid w:val="00176F12"/>
    <w:rsid w:val="001770BE"/>
    <w:rsid w:val="00177A3E"/>
    <w:rsid w:val="0018099E"/>
    <w:rsid w:val="00183E4B"/>
    <w:rsid w:val="00187B13"/>
    <w:rsid w:val="00187EB4"/>
    <w:rsid w:val="0019618B"/>
    <w:rsid w:val="00196952"/>
    <w:rsid w:val="00196FA0"/>
    <w:rsid w:val="001A0A50"/>
    <w:rsid w:val="001A3B44"/>
    <w:rsid w:val="001A3D9B"/>
    <w:rsid w:val="001A4571"/>
    <w:rsid w:val="001A5EEB"/>
    <w:rsid w:val="001A62A5"/>
    <w:rsid w:val="001B0D0D"/>
    <w:rsid w:val="001B2CF9"/>
    <w:rsid w:val="001B4216"/>
    <w:rsid w:val="001B49A4"/>
    <w:rsid w:val="001B521B"/>
    <w:rsid w:val="001B5CC8"/>
    <w:rsid w:val="001B6587"/>
    <w:rsid w:val="001C0582"/>
    <w:rsid w:val="001C058D"/>
    <w:rsid w:val="001C24DD"/>
    <w:rsid w:val="001C54C3"/>
    <w:rsid w:val="001C577E"/>
    <w:rsid w:val="001C73C5"/>
    <w:rsid w:val="001D027D"/>
    <w:rsid w:val="001D19F5"/>
    <w:rsid w:val="001D4A1E"/>
    <w:rsid w:val="001D70E9"/>
    <w:rsid w:val="001E181E"/>
    <w:rsid w:val="001E1DCD"/>
    <w:rsid w:val="001E4481"/>
    <w:rsid w:val="001E44EF"/>
    <w:rsid w:val="001E4671"/>
    <w:rsid w:val="001E6C1A"/>
    <w:rsid w:val="001E723E"/>
    <w:rsid w:val="001E7629"/>
    <w:rsid w:val="001E7846"/>
    <w:rsid w:val="001E7E8B"/>
    <w:rsid w:val="001F2D39"/>
    <w:rsid w:val="001F2F0B"/>
    <w:rsid w:val="001F3130"/>
    <w:rsid w:val="001F5903"/>
    <w:rsid w:val="001F7292"/>
    <w:rsid w:val="002001DC"/>
    <w:rsid w:val="002032B0"/>
    <w:rsid w:val="00203778"/>
    <w:rsid w:val="0020407A"/>
    <w:rsid w:val="00210885"/>
    <w:rsid w:val="00210AE7"/>
    <w:rsid w:val="002123C7"/>
    <w:rsid w:val="002124BD"/>
    <w:rsid w:val="00213411"/>
    <w:rsid w:val="00216D4F"/>
    <w:rsid w:val="00216E43"/>
    <w:rsid w:val="00220866"/>
    <w:rsid w:val="002231A4"/>
    <w:rsid w:val="00223245"/>
    <w:rsid w:val="00224447"/>
    <w:rsid w:val="00224A77"/>
    <w:rsid w:val="0022671D"/>
    <w:rsid w:val="0023090E"/>
    <w:rsid w:val="00231C64"/>
    <w:rsid w:val="00232763"/>
    <w:rsid w:val="00232C22"/>
    <w:rsid w:val="0023318A"/>
    <w:rsid w:val="002354CB"/>
    <w:rsid w:val="00236A9B"/>
    <w:rsid w:val="0023715B"/>
    <w:rsid w:val="00237592"/>
    <w:rsid w:val="00237C48"/>
    <w:rsid w:val="0024137B"/>
    <w:rsid w:val="002448BE"/>
    <w:rsid w:val="00244A0E"/>
    <w:rsid w:val="00244F73"/>
    <w:rsid w:val="00247F12"/>
    <w:rsid w:val="002501BB"/>
    <w:rsid w:val="0025021D"/>
    <w:rsid w:val="002509CA"/>
    <w:rsid w:val="00250C1D"/>
    <w:rsid w:val="00251A29"/>
    <w:rsid w:val="00251B89"/>
    <w:rsid w:val="00253615"/>
    <w:rsid w:val="00253950"/>
    <w:rsid w:val="00254F7E"/>
    <w:rsid w:val="0025569E"/>
    <w:rsid w:val="002564FE"/>
    <w:rsid w:val="002603EB"/>
    <w:rsid w:val="0026107E"/>
    <w:rsid w:val="00261FEB"/>
    <w:rsid w:val="00264327"/>
    <w:rsid w:val="002650F1"/>
    <w:rsid w:val="00266403"/>
    <w:rsid w:val="00266406"/>
    <w:rsid w:val="002672D6"/>
    <w:rsid w:val="002679CA"/>
    <w:rsid w:val="00272722"/>
    <w:rsid w:val="00273A5B"/>
    <w:rsid w:val="002745E7"/>
    <w:rsid w:val="002760AC"/>
    <w:rsid w:val="002764D1"/>
    <w:rsid w:val="00277370"/>
    <w:rsid w:val="00277935"/>
    <w:rsid w:val="00277E8E"/>
    <w:rsid w:val="00280DD6"/>
    <w:rsid w:val="00282496"/>
    <w:rsid w:val="00283033"/>
    <w:rsid w:val="002854DC"/>
    <w:rsid w:val="0028616B"/>
    <w:rsid w:val="00290CDE"/>
    <w:rsid w:val="00290DE2"/>
    <w:rsid w:val="00294626"/>
    <w:rsid w:val="0029463A"/>
    <w:rsid w:val="00294959"/>
    <w:rsid w:val="00294BAD"/>
    <w:rsid w:val="002959CC"/>
    <w:rsid w:val="002A0C27"/>
    <w:rsid w:val="002A2315"/>
    <w:rsid w:val="002A2732"/>
    <w:rsid w:val="002A3153"/>
    <w:rsid w:val="002A6C9C"/>
    <w:rsid w:val="002B6923"/>
    <w:rsid w:val="002C10AC"/>
    <w:rsid w:val="002C2AE8"/>
    <w:rsid w:val="002C2FF3"/>
    <w:rsid w:val="002C39D7"/>
    <w:rsid w:val="002C3A5A"/>
    <w:rsid w:val="002C4ABE"/>
    <w:rsid w:val="002C71EC"/>
    <w:rsid w:val="002C7548"/>
    <w:rsid w:val="002C780B"/>
    <w:rsid w:val="002C7E47"/>
    <w:rsid w:val="002D2C13"/>
    <w:rsid w:val="002D2FFB"/>
    <w:rsid w:val="002D4E0A"/>
    <w:rsid w:val="002D4E16"/>
    <w:rsid w:val="002D505C"/>
    <w:rsid w:val="002D5DF8"/>
    <w:rsid w:val="002E334D"/>
    <w:rsid w:val="002E486A"/>
    <w:rsid w:val="002E53C0"/>
    <w:rsid w:val="002E766C"/>
    <w:rsid w:val="002F02C8"/>
    <w:rsid w:val="002F03A7"/>
    <w:rsid w:val="002F0A07"/>
    <w:rsid w:val="002F2D5F"/>
    <w:rsid w:val="002F46DC"/>
    <w:rsid w:val="002F5145"/>
    <w:rsid w:val="002F5CB9"/>
    <w:rsid w:val="002F5E9B"/>
    <w:rsid w:val="002F683C"/>
    <w:rsid w:val="002F7C07"/>
    <w:rsid w:val="003010C9"/>
    <w:rsid w:val="00301C8C"/>
    <w:rsid w:val="00310C52"/>
    <w:rsid w:val="0031140B"/>
    <w:rsid w:val="00314E3D"/>
    <w:rsid w:val="0031538D"/>
    <w:rsid w:val="00316C1A"/>
    <w:rsid w:val="00317120"/>
    <w:rsid w:val="003171BB"/>
    <w:rsid w:val="0032100C"/>
    <w:rsid w:val="003212C2"/>
    <w:rsid w:val="00321921"/>
    <w:rsid w:val="00321926"/>
    <w:rsid w:val="003229FD"/>
    <w:rsid w:val="003239D3"/>
    <w:rsid w:val="00327707"/>
    <w:rsid w:val="00327B26"/>
    <w:rsid w:val="0033060D"/>
    <w:rsid w:val="003318F3"/>
    <w:rsid w:val="00331ECA"/>
    <w:rsid w:val="00333919"/>
    <w:rsid w:val="00334F3E"/>
    <w:rsid w:val="00337825"/>
    <w:rsid w:val="003379AF"/>
    <w:rsid w:val="00337C5C"/>
    <w:rsid w:val="00343E4C"/>
    <w:rsid w:val="00351949"/>
    <w:rsid w:val="003528B8"/>
    <w:rsid w:val="00352BC8"/>
    <w:rsid w:val="00355D82"/>
    <w:rsid w:val="00356CAF"/>
    <w:rsid w:val="003577A2"/>
    <w:rsid w:val="00360D5D"/>
    <w:rsid w:val="003612A6"/>
    <w:rsid w:val="003671F3"/>
    <w:rsid w:val="00367712"/>
    <w:rsid w:val="00367C88"/>
    <w:rsid w:val="00367DB2"/>
    <w:rsid w:val="00370B19"/>
    <w:rsid w:val="00371C8C"/>
    <w:rsid w:val="00373408"/>
    <w:rsid w:val="00373ABD"/>
    <w:rsid w:val="003748EB"/>
    <w:rsid w:val="00375DCD"/>
    <w:rsid w:val="00376F36"/>
    <w:rsid w:val="003800A6"/>
    <w:rsid w:val="0038151E"/>
    <w:rsid w:val="00381B28"/>
    <w:rsid w:val="00381CDD"/>
    <w:rsid w:val="00382580"/>
    <w:rsid w:val="00382FFA"/>
    <w:rsid w:val="0038357B"/>
    <w:rsid w:val="00383B0A"/>
    <w:rsid w:val="00383D5B"/>
    <w:rsid w:val="0038491D"/>
    <w:rsid w:val="0038570F"/>
    <w:rsid w:val="00387606"/>
    <w:rsid w:val="00391DD2"/>
    <w:rsid w:val="003925E1"/>
    <w:rsid w:val="00393D74"/>
    <w:rsid w:val="003943A7"/>
    <w:rsid w:val="00396A66"/>
    <w:rsid w:val="003A0E06"/>
    <w:rsid w:val="003A1A69"/>
    <w:rsid w:val="003A37B8"/>
    <w:rsid w:val="003A582F"/>
    <w:rsid w:val="003A6B72"/>
    <w:rsid w:val="003A724F"/>
    <w:rsid w:val="003A72BC"/>
    <w:rsid w:val="003B020F"/>
    <w:rsid w:val="003B3917"/>
    <w:rsid w:val="003B41D9"/>
    <w:rsid w:val="003B4356"/>
    <w:rsid w:val="003B5422"/>
    <w:rsid w:val="003B7293"/>
    <w:rsid w:val="003B7D7E"/>
    <w:rsid w:val="003C0EF3"/>
    <w:rsid w:val="003C38F2"/>
    <w:rsid w:val="003C53B2"/>
    <w:rsid w:val="003C592A"/>
    <w:rsid w:val="003C63D3"/>
    <w:rsid w:val="003C6422"/>
    <w:rsid w:val="003C6C9A"/>
    <w:rsid w:val="003D6961"/>
    <w:rsid w:val="003E2C77"/>
    <w:rsid w:val="003E2C89"/>
    <w:rsid w:val="003E3C14"/>
    <w:rsid w:val="003E56CB"/>
    <w:rsid w:val="003E6516"/>
    <w:rsid w:val="003E747A"/>
    <w:rsid w:val="003F0149"/>
    <w:rsid w:val="003F11BD"/>
    <w:rsid w:val="003F4748"/>
    <w:rsid w:val="003F61AC"/>
    <w:rsid w:val="003F6B46"/>
    <w:rsid w:val="00401267"/>
    <w:rsid w:val="00401B70"/>
    <w:rsid w:val="00402836"/>
    <w:rsid w:val="0040298F"/>
    <w:rsid w:val="0040367C"/>
    <w:rsid w:val="00404B23"/>
    <w:rsid w:val="00405154"/>
    <w:rsid w:val="004109B8"/>
    <w:rsid w:val="0041238C"/>
    <w:rsid w:val="00412829"/>
    <w:rsid w:val="0041314E"/>
    <w:rsid w:val="00414EDB"/>
    <w:rsid w:val="0041638E"/>
    <w:rsid w:val="004164DF"/>
    <w:rsid w:val="0042141B"/>
    <w:rsid w:val="00425FB2"/>
    <w:rsid w:val="004261AF"/>
    <w:rsid w:val="00426BB0"/>
    <w:rsid w:val="00427182"/>
    <w:rsid w:val="004277C9"/>
    <w:rsid w:val="00433AFF"/>
    <w:rsid w:val="00433EEA"/>
    <w:rsid w:val="00436ECF"/>
    <w:rsid w:val="004408B0"/>
    <w:rsid w:val="004408EE"/>
    <w:rsid w:val="00441C7F"/>
    <w:rsid w:val="00441E5E"/>
    <w:rsid w:val="0044524F"/>
    <w:rsid w:val="0044654E"/>
    <w:rsid w:val="004504F2"/>
    <w:rsid w:val="00450C1F"/>
    <w:rsid w:val="00451783"/>
    <w:rsid w:val="00455240"/>
    <w:rsid w:val="00455919"/>
    <w:rsid w:val="0045705D"/>
    <w:rsid w:val="00457AEF"/>
    <w:rsid w:val="0046046C"/>
    <w:rsid w:val="0046375D"/>
    <w:rsid w:val="0046404F"/>
    <w:rsid w:val="004663F3"/>
    <w:rsid w:val="00467553"/>
    <w:rsid w:val="00471F78"/>
    <w:rsid w:val="00473B94"/>
    <w:rsid w:val="00473DC2"/>
    <w:rsid w:val="0047556E"/>
    <w:rsid w:val="00475991"/>
    <w:rsid w:val="00475B13"/>
    <w:rsid w:val="00480D8D"/>
    <w:rsid w:val="004814E5"/>
    <w:rsid w:val="004827CD"/>
    <w:rsid w:val="00484641"/>
    <w:rsid w:val="004846F8"/>
    <w:rsid w:val="00485EFC"/>
    <w:rsid w:val="00490A94"/>
    <w:rsid w:val="004911E4"/>
    <w:rsid w:val="004912F4"/>
    <w:rsid w:val="004922BC"/>
    <w:rsid w:val="00492CE8"/>
    <w:rsid w:val="00493558"/>
    <w:rsid w:val="00493E23"/>
    <w:rsid w:val="00493EC9"/>
    <w:rsid w:val="00494ECE"/>
    <w:rsid w:val="00495251"/>
    <w:rsid w:val="00495B0C"/>
    <w:rsid w:val="004963A5"/>
    <w:rsid w:val="004970E5"/>
    <w:rsid w:val="004A1759"/>
    <w:rsid w:val="004A2275"/>
    <w:rsid w:val="004A3872"/>
    <w:rsid w:val="004A3AC0"/>
    <w:rsid w:val="004A42D0"/>
    <w:rsid w:val="004A46DF"/>
    <w:rsid w:val="004A4ED0"/>
    <w:rsid w:val="004A5218"/>
    <w:rsid w:val="004A6F61"/>
    <w:rsid w:val="004B0706"/>
    <w:rsid w:val="004B22B1"/>
    <w:rsid w:val="004B46E5"/>
    <w:rsid w:val="004B6542"/>
    <w:rsid w:val="004B72A3"/>
    <w:rsid w:val="004C1E33"/>
    <w:rsid w:val="004C6870"/>
    <w:rsid w:val="004D29A3"/>
    <w:rsid w:val="004D4D48"/>
    <w:rsid w:val="004D5250"/>
    <w:rsid w:val="004D5BF0"/>
    <w:rsid w:val="004D6AD9"/>
    <w:rsid w:val="004E0517"/>
    <w:rsid w:val="004E0C12"/>
    <w:rsid w:val="004E13F0"/>
    <w:rsid w:val="004E3576"/>
    <w:rsid w:val="004E3FF4"/>
    <w:rsid w:val="004E4854"/>
    <w:rsid w:val="004E5FCE"/>
    <w:rsid w:val="004E70C8"/>
    <w:rsid w:val="004F036B"/>
    <w:rsid w:val="004F052D"/>
    <w:rsid w:val="004F0E54"/>
    <w:rsid w:val="004F2798"/>
    <w:rsid w:val="004F38B5"/>
    <w:rsid w:val="004F7B7E"/>
    <w:rsid w:val="00501785"/>
    <w:rsid w:val="00503724"/>
    <w:rsid w:val="0050487A"/>
    <w:rsid w:val="00504E3C"/>
    <w:rsid w:val="00507AD5"/>
    <w:rsid w:val="0051115E"/>
    <w:rsid w:val="00513C5B"/>
    <w:rsid w:val="00513F7C"/>
    <w:rsid w:val="005149B8"/>
    <w:rsid w:val="005168FA"/>
    <w:rsid w:val="005175C0"/>
    <w:rsid w:val="00520001"/>
    <w:rsid w:val="00520037"/>
    <w:rsid w:val="00521717"/>
    <w:rsid w:val="0052391C"/>
    <w:rsid w:val="0052393A"/>
    <w:rsid w:val="0052438D"/>
    <w:rsid w:val="00530C3F"/>
    <w:rsid w:val="00532B1D"/>
    <w:rsid w:val="00533524"/>
    <w:rsid w:val="00534347"/>
    <w:rsid w:val="00540C55"/>
    <w:rsid w:val="00541E42"/>
    <w:rsid w:val="00542227"/>
    <w:rsid w:val="005422EB"/>
    <w:rsid w:val="00544156"/>
    <w:rsid w:val="0054426F"/>
    <w:rsid w:val="0054508F"/>
    <w:rsid w:val="00546F3A"/>
    <w:rsid w:val="005475C6"/>
    <w:rsid w:val="00550C61"/>
    <w:rsid w:val="00552FBA"/>
    <w:rsid w:val="005542B3"/>
    <w:rsid w:val="00554D9D"/>
    <w:rsid w:val="00555A82"/>
    <w:rsid w:val="00556C52"/>
    <w:rsid w:val="0056008C"/>
    <w:rsid w:val="00560CBD"/>
    <w:rsid w:val="0056396C"/>
    <w:rsid w:val="0057053B"/>
    <w:rsid w:val="00570A8A"/>
    <w:rsid w:val="00571BE1"/>
    <w:rsid w:val="0057268E"/>
    <w:rsid w:val="00573C95"/>
    <w:rsid w:val="005750B7"/>
    <w:rsid w:val="00577986"/>
    <w:rsid w:val="005801AF"/>
    <w:rsid w:val="005806C7"/>
    <w:rsid w:val="00582C8B"/>
    <w:rsid w:val="00582CA5"/>
    <w:rsid w:val="00582FE9"/>
    <w:rsid w:val="0058511B"/>
    <w:rsid w:val="005852AF"/>
    <w:rsid w:val="00586FF5"/>
    <w:rsid w:val="005912BC"/>
    <w:rsid w:val="00593D15"/>
    <w:rsid w:val="00597AA6"/>
    <w:rsid w:val="005A0332"/>
    <w:rsid w:val="005A1737"/>
    <w:rsid w:val="005A1914"/>
    <w:rsid w:val="005A1D6F"/>
    <w:rsid w:val="005A378B"/>
    <w:rsid w:val="005A3804"/>
    <w:rsid w:val="005A40B3"/>
    <w:rsid w:val="005B078D"/>
    <w:rsid w:val="005B1361"/>
    <w:rsid w:val="005B177D"/>
    <w:rsid w:val="005B337F"/>
    <w:rsid w:val="005B3B4A"/>
    <w:rsid w:val="005B4C3F"/>
    <w:rsid w:val="005B4C4C"/>
    <w:rsid w:val="005B7966"/>
    <w:rsid w:val="005C0341"/>
    <w:rsid w:val="005C3CDD"/>
    <w:rsid w:val="005D2B33"/>
    <w:rsid w:val="005D4B36"/>
    <w:rsid w:val="005D5B37"/>
    <w:rsid w:val="005D6D35"/>
    <w:rsid w:val="005E1062"/>
    <w:rsid w:val="005E12BD"/>
    <w:rsid w:val="005E132E"/>
    <w:rsid w:val="005E1F41"/>
    <w:rsid w:val="005E305E"/>
    <w:rsid w:val="005E3ECC"/>
    <w:rsid w:val="005E53A4"/>
    <w:rsid w:val="005E6AAE"/>
    <w:rsid w:val="005F1F63"/>
    <w:rsid w:val="005F324D"/>
    <w:rsid w:val="005F4C0F"/>
    <w:rsid w:val="006011F9"/>
    <w:rsid w:val="006016B0"/>
    <w:rsid w:val="00602247"/>
    <w:rsid w:val="00603A62"/>
    <w:rsid w:val="006054AE"/>
    <w:rsid w:val="00606661"/>
    <w:rsid w:val="00612A91"/>
    <w:rsid w:val="00612F6B"/>
    <w:rsid w:val="00615BD4"/>
    <w:rsid w:val="006176D9"/>
    <w:rsid w:val="0062063C"/>
    <w:rsid w:val="00621EEA"/>
    <w:rsid w:val="00622049"/>
    <w:rsid w:val="00625F86"/>
    <w:rsid w:val="006267AC"/>
    <w:rsid w:val="006275F8"/>
    <w:rsid w:val="00627E6B"/>
    <w:rsid w:val="00630C8F"/>
    <w:rsid w:val="0063126C"/>
    <w:rsid w:val="006321D9"/>
    <w:rsid w:val="00635ACD"/>
    <w:rsid w:val="006360BD"/>
    <w:rsid w:val="006433FA"/>
    <w:rsid w:val="0064448B"/>
    <w:rsid w:val="00645F9B"/>
    <w:rsid w:val="006462F4"/>
    <w:rsid w:val="00646C7B"/>
    <w:rsid w:val="006519B0"/>
    <w:rsid w:val="00653EEF"/>
    <w:rsid w:val="00655832"/>
    <w:rsid w:val="00656DB1"/>
    <w:rsid w:val="0065706C"/>
    <w:rsid w:val="006570F3"/>
    <w:rsid w:val="006574CA"/>
    <w:rsid w:val="00663087"/>
    <w:rsid w:val="00664AEC"/>
    <w:rsid w:val="0066644B"/>
    <w:rsid w:val="00666905"/>
    <w:rsid w:val="00666E6E"/>
    <w:rsid w:val="00667926"/>
    <w:rsid w:val="0066795B"/>
    <w:rsid w:val="00671B72"/>
    <w:rsid w:val="00672A07"/>
    <w:rsid w:val="00672A3D"/>
    <w:rsid w:val="00673284"/>
    <w:rsid w:val="00673C56"/>
    <w:rsid w:val="00674E3C"/>
    <w:rsid w:val="00680795"/>
    <w:rsid w:val="00684062"/>
    <w:rsid w:val="00684218"/>
    <w:rsid w:val="00684A17"/>
    <w:rsid w:val="00684A6C"/>
    <w:rsid w:val="0068548A"/>
    <w:rsid w:val="00686ACA"/>
    <w:rsid w:val="006904AF"/>
    <w:rsid w:val="00691347"/>
    <w:rsid w:val="00691E6C"/>
    <w:rsid w:val="00692FA7"/>
    <w:rsid w:val="00695821"/>
    <w:rsid w:val="0069607D"/>
    <w:rsid w:val="006960C5"/>
    <w:rsid w:val="006A05F8"/>
    <w:rsid w:val="006A0897"/>
    <w:rsid w:val="006A27B1"/>
    <w:rsid w:val="006A4246"/>
    <w:rsid w:val="006A56B9"/>
    <w:rsid w:val="006A64EB"/>
    <w:rsid w:val="006A7750"/>
    <w:rsid w:val="006A7FD4"/>
    <w:rsid w:val="006B0E91"/>
    <w:rsid w:val="006B1891"/>
    <w:rsid w:val="006B37AE"/>
    <w:rsid w:val="006B3C07"/>
    <w:rsid w:val="006B476E"/>
    <w:rsid w:val="006B7254"/>
    <w:rsid w:val="006B73B9"/>
    <w:rsid w:val="006C0F43"/>
    <w:rsid w:val="006C2D51"/>
    <w:rsid w:val="006C4083"/>
    <w:rsid w:val="006C4B81"/>
    <w:rsid w:val="006C517C"/>
    <w:rsid w:val="006C5CAA"/>
    <w:rsid w:val="006C6855"/>
    <w:rsid w:val="006C7F43"/>
    <w:rsid w:val="006D16F3"/>
    <w:rsid w:val="006D49E3"/>
    <w:rsid w:val="006D4C2C"/>
    <w:rsid w:val="006D62FF"/>
    <w:rsid w:val="006D750B"/>
    <w:rsid w:val="006E019F"/>
    <w:rsid w:val="006E18C4"/>
    <w:rsid w:val="006E3E50"/>
    <w:rsid w:val="006E402A"/>
    <w:rsid w:val="006E525F"/>
    <w:rsid w:val="006E58F6"/>
    <w:rsid w:val="006E74F5"/>
    <w:rsid w:val="006E7DCA"/>
    <w:rsid w:val="006F00D3"/>
    <w:rsid w:val="006F03B7"/>
    <w:rsid w:val="006F2035"/>
    <w:rsid w:val="006F28EE"/>
    <w:rsid w:val="006F42C2"/>
    <w:rsid w:val="006F602A"/>
    <w:rsid w:val="006F7412"/>
    <w:rsid w:val="00704E65"/>
    <w:rsid w:val="00707845"/>
    <w:rsid w:val="0071025E"/>
    <w:rsid w:val="007105A5"/>
    <w:rsid w:val="00710B8D"/>
    <w:rsid w:val="00711B21"/>
    <w:rsid w:val="00712CF9"/>
    <w:rsid w:val="00713024"/>
    <w:rsid w:val="00713EA1"/>
    <w:rsid w:val="00715D6B"/>
    <w:rsid w:val="00717F6B"/>
    <w:rsid w:val="007212F0"/>
    <w:rsid w:val="00722EC6"/>
    <w:rsid w:val="00723FF6"/>
    <w:rsid w:val="0072460B"/>
    <w:rsid w:val="007266A7"/>
    <w:rsid w:val="00726876"/>
    <w:rsid w:val="007269B1"/>
    <w:rsid w:val="00730DF7"/>
    <w:rsid w:val="0073114A"/>
    <w:rsid w:val="0073123A"/>
    <w:rsid w:val="00731306"/>
    <w:rsid w:val="007331F6"/>
    <w:rsid w:val="0073362F"/>
    <w:rsid w:val="00733A3E"/>
    <w:rsid w:val="00736999"/>
    <w:rsid w:val="00736B54"/>
    <w:rsid w:val="007402CA"/>
    <w:rsid w:val="00740605"/>
    <w:rsid w:val="00740FA5"/>
    <w:rsid w:val="00742D13"/>
    <w:rsid w:val="007440A8"/>
    <w:rsid w:val="00747B97"/>
    <w:rsid w:val="00747DD4"/>
    <w:rsid w:val="00751820"/>
    <w:rsid w:val="00751B20"/>
    <w:rsid w:val="00751B7E"/>
    <w:rsid w:val="00752AB2"/>
    <w:rsid w:val="00754193"/>
    <w:rsid w:val="007556C8"/>
    <w:rsid w:val="00756FA1"/>
    <w:rsid w:val="0075717F"/>
    <w:rsid w:val="0075734A"/>
    <w:rsid w:val="007605DF"/>
    <w:rsid w:val="0076244A"/>
    <w:rsid w:val="00762D9D"/>
    <w:rsid w:val="0076348B"/>
    <w:rsid w:val="00763FD6"/>
    <w:rsid w:val="0076431D"/>
    <w:rsid w:val="00766DE9"/>
    <w:rsid w:val="007678A5"/>
    <w:rsid w:val="00770841"/>
    <w:rsid w:val="00771F67"/>
    <w:rsid w:val="00772012"/>
    <w:rsid w:val="0077276C"/>
    <w:rsid w:val="0077418F"/>
    <w:rsid w:val="00774B93"/>
    <w:rsid w:val="00774C01"/>
    <w:rsid w:val="007756C4"/>
    <w:rsid w:val="007823C9"/>
    <w:rsid w:val="007835B7"/>
    <w:rsid w:val="007863E1"/>
    <w:rsid w:val="007910D3"/>
    <w:rsid w:val="0079336E"/>
    <w:rsid w:val="007A2F5A"/>
    <w:rsid w:val="007A5BD0"/>
    <w:rsid w:val="007B2F0F"/>
    <w:rsid w:val="007B4B46"/>
    <w:rsid w:val="007B539F"/>
    <w:rsid w:val="007B5E5F"/>
    <w:rsid w:val="007B6CA0"/>
    <w:rsid w:val="007B6F71"/>
    <w:rsid w:val="007C06F8"/>
    <w:rsid w:val="007C27E5"/>
    <w:rsid w:val="007C2E24"/>
    <w:rsid w:val="007C3F78"/>
    <w:rsid w:val="007C4B09"/>
    <w:rsid w:val="007C6167"/>
    <w:rsid w:val="007C6EB8"/>
    <w:rsid w:val="007C7809"/>
    <w:rsid w:val="007D0A7B"/>
    <w:rsid w:val="007D13B9"/>
    <w:rsid w:val="007D2774"/>
    <w:rsid w:val="007D687F"/>
    <w:rsid w:val="007D71F7"/>
    <w:rsid w:val="007E024C"/>
    <w:rsid w:val="007E065D"/>
    <w:rsid w:val="007E160E"/>
    <w:rsid w:val="007E1BDD"/>
    <w:rsid w:val="007E1DED"/>
    <w:rsid w:val="007E700C"/>
    <w:rsid w:val="007E7388"/>
    <w:rsid w:val="007F1BAF"/>
    <w:rsid w:val="007F1F1C"/>
    <w:rsid w:val="007F2277"/>
    <w:rsid w:val="007F433C"/>
    <w:rsid w:val="007F4428"/>
    <w:rsid w:val="008004B0"/>
    <w:rsid w:val="008045D9"/>
    <w:rsid w:val="0080469F"/>
    <w:rsid w:val="0080691F"/>
    <w:rsid w:val="00806C8A"/>
    <w:rsid w:val="0080702C"/>
    <w:rsid w:val="00807165"/>
    <w:rsid w:val="00807348"/>
    <w:rsid w:val="00810CFD"/>
    <w:rsid w:val="00812094"/>
    <w:rsid w:val="0081333B"/>
    <w:rsid w:val="008140D7"/>
    <w:rsid w:val="0081653B"/>
    <w:rsid w:val="00821DF6"/>
    <w:rsid w:val="00823CCC"/>
    <w:rsid w:val="0082598E"/>
    <w:rsid w:val="00827179"/>
    <w:rsid w:val="0083029A"/>
    <w:rsid w:val="00830426"/>
    <w:rsid w:val="00830E02"/>
    <w:rsid w:val="00831C83"/>
    <w:rsid w:val="00831E0A"/>
    <w:rsid w:val="008343C4"/>
    <w:rsid w:val="00835847"/>
    <w:rsid w:val="00835C6F"/>
    <w:rsid w:val="008367A9"/>
    <w:rsid w:val="00837429"/>
    <w:rsid w:val="0083745B"/>
    <w:rsid w:val="00840252"/>
    <w:rsid w:val="00840420"/>
    <w:rsid w:val="00842DE3"/>
    <w:rsid w:val="00844F5E"/>
    <w:rsid w:val="00846701"/>
    <w:rsid w:val="0085232F"/>
    <w:rsid w:val="00853DAF"/>
    <w:rsid w:val="008541F5"/>
    <w:rsid w:val="00854E2A"/>
    <w:rsid w:val="008550CD"/>
    <w:rsid w:val="00857E3A"/>
    <w:rsid w:val="00861135"/>
    <w:rsid w:val="00864495"/>
    <w:rsid w:val="0086449D"/>
    <w:rsid w:val="008651BC"/>
    <w:rsid w:val="00867059"/>
    <w:rsid w:val="00867A5A"/>
    <w:rsid w:val="008711B1"/>
    <w:rsid w:val="0087154D"/>
    <w:rsid w:val="00871FBA"/>
    <w:rsid w:val="00872119"/>
    <w:rsid w:val="008722FB"/>
    <w:rsid w:val="008772E2"/>
    <w:rsid w:val="00877EA2"/>
    <w:rsid w:val="00877F6D"/>
    <w:rsid w:val="008808CA"/>
    <w:rsid w:val="00883321"/>
    <w:rsid w:val="00884BE5"/>
    <w:rsid w:val="00887D93"/>
    <w:rsid w:val="00890912"/>
    <w:rsid w:val="00890D7D"/>
    <w:rsid w:val="008917B4"/>
    <w:rsid w:val="008933C7"/>
    <w:rsid w:val="008941B9"/>
    <w:rsid w:val="00894216"/>
    <w:rsid w:val="008959F9"/>
    <w:rsid w:val="00896786"/>
    <w:rsid w:val="00897413"/>
    <w:rsid w:val="008A118C"/>
    <w:rsid w:val="008A46DC"/>
    <w:rsid w:val="008A4806"/>
    <w:rsid w:val="008A4BF4"/>
    <w:rsid w:val="008A510D"/>
    <w:rsid w:val="008A5EDE"/>
    <w:rsid w:val="008A7A4E"/>
    <w:rsid w:val="008A7C4F"/>
    <w:rsid w:val="008B21B9"/>
    <w:rsid w:val="008B2FA8"/>
    <w:rsid w:val="008B3253"/>
    <w:rsid w:val="008B3F5C"/>
    <w:rsid w:val="008C020E"/>
    <w:rsid w:val="008C2C9D"/>
    <w:rsid w:val="008C2F9E"/>
    <w:rsid w:val="008C4BCD"/>
    <w:rsid w:val="008C51D0"/>
    <w:rsid w:val="008D03EA"/>
    <w:rsid w:val="008D16BD"/>
    <w:rsid w:val="008D17A7"/>
    <w:rsid w:val="008D2E91"/>
    <w:rsid w:val="008D58E2"/>
    <w:rsid w:val="008D6283"/>
    <w:rsid w:val="008D7FB0"/>
    <w:rsid w:val="008E050B"/>
    <w:rsid w:val="008E1010"/>
    <w:rsid w:val="008E259A"/>
    <w:rsid w:val="008E2C2E"/>
    <w:rsid w:val="008E3F04"/>
    <w:rsid w:val="008E72A8"/>
    <w:rsid w:val="008F03CE"/>
    <w:rsid w:val="008F0627"/>
    <w:rsid w:val="008F15EC"/>
    <w:rsid w:val="008F1FF1"/>
    <w:rsid w:val="008F2498"/>
    <w:rsid w:val="008F41FB"/>
    <w:rsid w:val="008F4B49"/>
    <w:rsid w:val="008F4FAB"/>
    <w:rsid w:val="008F5977"/>
    <w:rsid w:val="008F5C9B"/>
    <w:rsid w:val="00903338"/>
    <w:rsid w:val="009039C8"/>
    <w:rsid w:val="009049D8"/>
    <w:rsid w:val="00904BCF"/>
    <w:rsid w:val="00905B77"/>
    <w:rsid w:val="00906FD6"/>
    <w:rsid w:val="009079D0"/>
    <w:rsid w:val="00907DCD"/>
    <w:rsid w:val="009104AA"/>
    <w:rsid w:val="00914466"/>
    <w:rsid w:val="00915D8A"/>
    <w:rsid w:val="00917746"/>
    <w:rsid w:val="009209A5"/>
    <w:rsid w:val="00920F98"/>
    <w:rsid w:val="00922448"/>
    <w:rsid w:val="009228BB"/>
    <w:rsid w:val="00922FDA"/>
    <w:rsid w:val="00924172"/>
    <w:rsid w:val="009244DF"/>
    <w:rsid w:val="00927EF6"/>
    <w:rsid w:val="00930D45"/>
    <w:rsid w:val="00930E14"/>
    <w:rsid w:val="00930ECD"/>
    <w:rsid w:val="00933885"/>
    <w:rsid w:val="009338DA"/>
    <w:rsid w:val="00936E93"/>
    <w:rsid w:val="00937FDA"/>
    <w:rsid w:val="00947632"/>
    <w:rsid w:val="0094786C"/>
    <w:rsid w:val="00947B9F"/>
    <w:rsid w:val="00947FB4"/>
    <w:rsid w:val="00952D2F"/>
    <w:rsid w:val="00952D60"/>
    <w:rsid w:val="00952E44"/>
    <w:rsid w:val="00955447"/>
    <w:rsid w:val="00955A17"/>
    <w:rsid w:val="00957C50"/>
    <w:rsid w:val="00960E12"/>
    <w:rsid w:val="0096331F"/>
    <w:rsid w:val="00963914"/>
    <w:rsid w:val="00963A90"/>
    <w:rsid w:val="009729D8"/>
    <w:rsid w:val="00973A66"/>
    <w:rsid w:val="0097453F"/>
    <w:rsid w:val="00974577"/>
    <w:rsid w:val="00975045"/>
    <w:rsid w:val="00976670"/>
    <w:rsid w:val="00976BC3"/>
    <w:rsid w:val="00976E64"/>
    <w:rsid w:val="00977929"/>
    <w:rsid w:val="0098426D"/>
    <w:rsid w:val="009856EF"/>
    <w:rsid w:val="009875D9"/>
    <w:rsid w:val="00993B1F"/>
    <w:rsid w:val="00993F70"/>
    <w:rsid w:val="0099428D"/>
    <w:rsid w:val="00995932"/>
    <w:rsid w:val="00996D49"/>
    <w:rsid w:val="009A1C77"/>
    <w:rsid w:val="009A51E6"/>
    <w:rsid w:val="009A5BC5"/>
    <w:rsid w:val="009A61AA"/>
    <w:rsid w:val="009A747C"/>
    <w:rsid w:val="009A7DAC"/>
    <w:rsid w:val="009B2B6E"/>
    <w:rsid w:val="009B3C1F"/>
    <w:rsid w:val="009B7D7E"/>
    <w:rsid w:val="009C10F7"/>
    <w:rsid w:val="009C11B1"/>
    <w:rsid w:val="009C1722"/>
    <w:rsid w:val="009C6235"/>
    <w:rsid w:val="009C6E76"/>
    <w:rsid w:val="009D00B8"/>
    <w:rsid w:val="009D3E42"/>
    <w:rsid w:val="009D4581"/>
    <w:rsid w:val="009D682E"/>
    <w:rsid w:val="009E3023"/>
    <w:rsid w:val="009E40F9"/>
    <w:rsid w:val="009E48BC"/>
    <w:rsid w:val="009E5844"/>
    <w:rsid w:val="009E653F"/>
    <w:rsid w:val="009E7C9A"/>
    <w:rsid w:val="009F1CC4"/>
    <w:rsid w:val="009F4C6D"/>
    <w:rsid w:val="009F5062"/>
    <w:rsid w:val="009F5729"/>
    <w:rsid w:val="00A0043A"/>
    <w:rsid w:val="00A01D25"/>
    <w:rsid w:val="00A02277"/>
    <w:rsid w:val="00A02C8F"/>
    <w:rsid w:val="00A0624A"/>
    <w:rsid w:val="00A06830"/>
    <w:rsid w:val="00A076A0"/>
    <w:rsid w:val="00A10FF2"/>
    <w:rsid w:val="00A12892"/>
    <w:rsid w:val="00A149DF"/>
    <w:rsid w:val="00A1634D"/>
    <w:rsid w:val="00A16974"/>
    <w:rsid w:val="00A1707B"/>
    <w:rsid w:val="00A32694"/>
    <w:rsid w:val="00A33A18"/>
    <w:rsid w:val="00A33FA2"/>
    <w:rsid w:val="00A3470B"/>
    <w:rsid w:val="00A350BE"/>
    <w:rsid w:val="00A35C8A"/>
    <w:rsid w:val="00A36343"/>
    <w:rsid w:val="00A36638"/>
    <w:rsid w:val="00A36B9A"/>
    <w:rsid w:val="00A37737"/>
    <w:rsid w:val="00A4149B"/>
    <w:rsid w:val="00A51ECF"/>
    <w:rsid w:val="00A5335D"/>
    <w:rsid w:val="00A53EBD"/>
    <w:rsid w:val="00A56524"/>
    <w:rsid w:val="00A610B8"/>
    <w:rsid w:val="00A61208"/>
    <w:rsid w:val="00A62660"/>
    <w:rsid w:val="00A62D2C"/>
    <w:rsid w:val="00A64D6A"/>
    <w:rsid w:val="00A66A0F"/>
    <w:rsid w:val="00A67FB0"/>
    <w:rsid w:val="00A700BE"/>
    <w:rsid w:val="00A7038D"/>
    <w:rsid w:val="00A713C2"/>
    <w:rsid w:val="00A725C2"/>
    <w:rsid w:val="00A73440"/>
    <w:rsid w:val="00A75908"/>
    <w:rsid w:val="00A75D01"/>
    <w:rsid w:val="00A76B01"/>
    <w:rsid w:val="00A813D7"/>
    <w:rsid w:val="00A83BB1"/>
    <w:rsid w:val="00A87807"/>
    <w:rsid w:val="00A90332"/>
    <w:rsid w:val="00A94426"/>
    <w:rsid w:val="00A9734B"/>
    <w:rsid w:val="00A97D26"/>
    <w:rsid w:val="00AA06C5"/>
    <w:rsid w:val="00AA1669"/>
    <w:rsid w:val="00AA3A8E"/>
    <w:rsid w:val="00AA5BB8"/>
    <w:rsid w:val="00AA5D50"/>
    <w:rsid w:val="00AA6487"/>
    <w:rsid w:val="00AB001E"/>
    <w:rsid w:val="00AB1812"/>
    <w:rsid w:val="00AB2D04"/>
    <w:rsid w:val="00AB318B"/>
    <w:rsid w:val="00AB7D6A"/>
    <w:rsid w:val="00AC0A22"/>
    <w:rsid w:val="00AC3A3F"/>
    <w:rsid w:val="00AD190D"/>
    <w:rsid w:val="00AD2DAB"/>
    <w:rsid w:val="00AD5BFF"/>
    <w:rsid w:val="00AE0052"/>
    <w:rsid w:val="00AE1BBB"/>
    <w:rsid w:val="00AE2163"/>
    <w:rsid w:val="00AE2F4C"/>
    <w:rsid w:val="00AE3B4A"/>
    <w:rsid w:val="00AE4A87"/>
    <w:rsid w:val="00AE673D"/>
    <w:rsid w:val="00AE749B"/>
    <w:rsid w:val="00AF0629"/>
    <w:rsid w:val="00AF1BF1"/>
    <w:rsid w:val="00AF32B8"/>
    <w:rsid w:val="00AF3CB3"/>
    <w:rsid w:val="00AF531B"/>
    <w:rsid w:val="00AF5337"/>
    <w:rsid w:val="00AF53C2"/>
    <w:rsid w:val="00AF71F6"/>
    <w:rsid w:val="00AF78C6"/>
    <w:rsid w:val="00AF7C60"/>
    <w:rsid w:val="00B005C5"/>
    <w:rsid w:val="00B02305"/>
    <w:rsid w:val="00B02E23"/>
    <w:rsid w:val="00B05983"/>
    <w:rsid w:val="00B060D5"/>
    <w:rsid w:val="00B1175D"/>
    <w:rsid w:val="00B12731"/>
    <w:rsid w:val="00B12AA5"/>
    <w:rsid w:val="00B146BC"/>
    <w:rsid w:val="00B14DF1"/>
    <w:rsid w:val="00B15081"/>
    <w:rsid w:val="00B153B3"/>
    <w:rsid w:val="00B17CBB"/>
    <w:rsid w:val="00B20BBF"/>
    <w:rsid w:val="00B217CC"/>
    <w:rsid w:val="00B22797"/>
    <w:rsid w:val="00B2523F"/>
    <w:rsid w:val="00B25447"/>
    <w:rsid w:val="00B27097"/>
    <w:rsid w:val="00B271C9"/>
    <w:rsid w:val="00B31C57"/>
    <w:rsid w:val="00B32F09"/>
    <w:rsid w:val="00B33D96"/>
    <w:rsid w:val="00B33E36"/>
    <w:rsid w:val="00B34F0E"/>
    <w:rsid w:val="00B35F5F"/>
    <w:rsid w:val="00B36F78"/>
    <w:rsid w:val="00B3755E"/>
    <w:rsid w:val="00B404A6"/>
    <w:rsid w:val="00B40A63"/>
    <w:rsid w:val="00B41213"/>
    <w:rsid w:val="00B44C32"/>
    <w:rsid w:val="00B45C45"/>
    <w:rsid w:val="00B47277"/>
    <w:rsid w:val="00B475F2"/>
    <w:rsid w:val="00B56FB7"/>
    <w:rsid w:val="00B577A6"/>
    <w:rsid w:val="00B607BE"/>
    <w:rsid w:val="00B61E09"/>
    <w:rsid w:val="00B6274D"/>
    <w:rsid w:val="00B62B63"/>
    <w:rsid w:val="00B63F96"/>
    <w:rsid w:val="00B64C49"/>
    <w:rsid w:val="00B64D41"/>
    <w:rsid w:val="00B65758"/>
    <w:rsid w:val="00B66CB3"/>
    <w:rsid w:val="00B66D6E"/>
    <w:rsid w:val="00B67351"/>
    <w:rsid w:val="00B706C6"/>
    <w:rsid w:val="00B71917"/>
    <w:rsid w:val="00B71F65"/>
    <w:rsid w:val="00B7370A"/>
    <w:rsid w:val="00B739CF"/>
    <w:rsid w:val="00B7475F"/>
    <w:rsid w:val="00B80B07"/>
    <w:rsid w:val="00B8178C"/>
    <w:rsid w:val="00B81BF0"/>
    <w:rsid w:val="00B82E33"/>
    <w:rsid w:val="00B82ECB"/>
    <w:rsid w:val="00B8310B"/>
    <w:rsid w:val="00B83C8B"/>
    <w:rsid w:val="00B85BAF"/>
    <w:rsid w:val="00B90874"/>
    <w:rsid w:val="00B90BFA"/>
    <w:rsid w:val="00B93044"/>
    <w:rsid w:val="00B931B0"/>
    <w:rsid w:val="00B93ED9"/>
    <w:rsid w:val="00B95E2C"/>
    <w:rsid w:val="00BA2C17"/>
    <w:rsid w:val="00BA40F3"/>
    <w:rsid w:val="00BA5F6B"/>
    <w:rsid w:val="00BA6BD0"/>
    <w:rsid w:val="00BB0589"/>
    <w:rsid w:val="00BB1AF8"/>
    <w:rsid w:val="00BB2E2A"/>
    <w:rsid w:val="00BB4B39"/>
    <w:rsid w:val="00BB6ECF"/>
    <w:rsid w:val="00BB7271"/>
    <w:rsid w:val="00BC0C82"/>
    <w:rsid w:val="00BC3515"/>
    <w:rsid w:val="00BC59C2"/>
    <w:rsid w:val="00BD02CC"/>
    <w:rsid w:val="00BD22C7"/>
    <w:rsid w:val="00BD277B"/>
    <w:rsid w:val="00BD31A9"/>
    <w:rsid w:val="00BD530D"/>
    <w:rsid w:val="00BE205B"/>
    <w:rsid w:val="00BE264E"/>
    <w:rsid w:val="00BE4E80"/>
    <w:rsid w:val="00BE68B4"/>
    <w:rsid w:val="00BF11E3"/>
    <w:rsid w:val="00BF174F"/>
    <w:rsid w:val="00BF22DA"/>
    <w:rsid w:val="00C029B6"/>
    <w:rsid w:val="00C03B0F"/>
    <w:rsid w:val="00C03E68"/>
    <w:rsid w:val="00C05139"/>
    <w:rsid w:val="00C1115B"/>
    <w:rsid w:val="00C124B7"/>
    <w:rsid w:val="00C1658C"/>
    <w:rsid w:val="00C16745"/>
    <w:rsid w:val="00C16AB3"/>
    <w:rsid w:val="00C17224"/>
    <w:rsid w:val="00C17614"/>
    <w:rsid w:val="00C17685"/>
    <w:rsid w:val="00C20CBD"/>
    <w:rsid w:val="00C223A5"/>
    <w:rsid w:val="00C23A93"/>
    <w:rsid w:val="00C23BCF"/>
    <w:rsid w:val="00C2546E"/>
    <w:rsid w:val="00C2648A"/>
    <w:rsid w:val="00C2711D"/>
    <w:rsid w:val="00C275B4"/>
    <w:rsid w:val="00C310A0"/>
    <w:rsid w:val="00C33258"/>
    <w:rsid w:val="00C351DB"/>
    <w:rsid w:val="00C36A88"/>
    <w:rsid w:val="00C372C1"/>
    <w:rsid w:val="00C44141"/>
    <w:rsid w:val="00C45FC5"/>
    <w:rsid w:val="00C46E16"/>
    <w:rsid w:val="00C53EEF"/>
    <w:rsid w:val="00C54193"/>
    <w:rsid w:val="00C55A01"/>
    <w:rsid w:val="00C56A39"/>
    <w:rsid w:val="00C57DD6"/>
    <w:rsid w:val="00C607D5"/>
    <w:rsid w:val="00C62A8F"/>
    <w:rsid w:val="00C634E0"/>
    <w:rsid w:val="00C671BC"/>
    <w:rsid w:val="00C70919"/>
    <w:rsid w:val="00C759E4"/>
    <w:rsid w:val="00C75BEC"/>
    <w:rsid w:val="00C7791E"/>
    <w:rsid w:val="00C779D0"/>
    <w:rsid w:val="00C80D96"/>
    <w:rsid w:val="00C83560"/>
    <w:rsid w:val="00C836E3"/>
    <w:rsid w:val="00C83A19"/>
    <w:rsid w:val="00C84756"/>
    <w:rsid w:val="00C8527E"/>
    <w:rsid w:val="00C855D2"/>
    <w:rsid w:val="00C85B78"/>
    <w:rsid w:val="00C85E96"/>
    <w:rsid w:val="00C86FBD"/>
    <w:rsid w:val="00C9128F"/>
    <w:rsid w:val="00C91666"/>
    <w:rsid w:val="00C9219D"/>
    <w:rsid w:val="00C923D5"/>
    <w:rsid w:val="00C94E84"/>
    <w:rsid w:val="00CA0D9F"/>
    <w:rsid w:val="00CA18FB"/>
    <w:rsid w:val="00CA1BD1"/>
    <w:rsid w:val="00CA1CEF"/>
    <w:rsid w:val="00CB030A"/>
    <w:rsid w:val="00CB125C"/>
    <w:rsid w:val="00CB455B"/>
    <w:rsid w:val="00CB4D87"/>
    <w:rsid w:val="00CC4E6E"/>
    <w:rsid w:val="00CC6E0A"/>
    <w:rsid w:val="00CC7617"/>
    <w:rsid w:val="00CC7935"/>
    <w:rsid w:val="00CD17D1"/>
    <w:rsid w:val="00CD20F9"/>
    <w:rsid w:val="00CD5F39"/>
    <w:rsid w:val="00CD66FB"/>
    <w:rsid w:val="00CD67D5"/>
    <w:rsid w:val="00CE6D2A"/>
    <w:rsid w:val="00CE70E4"/>
    <w:rsid w:val="00CE7C1D"/>
    <w:rsid w:val="00CF0889"/>
    <w:rsid w:val="00CF2156"/>
    <w:rsid w:val="00CF41C5"/>
    <w:rsid w:val="00CF4D7B"/>
    <w:rsid w:val="00CF6914"/>
    <w:rsid w:val="00CF71FE"/>
    <w:rsid w:val="00CF7F30"/>
    <w:rsid w:val="00D003AF"/>
    <w:rsid w:val="00D0323A"/>
    <w:rsid w:val="00D049C3"/>
    <w:rsid w:val="00D04E6B"/>
    <w:rsid w:val="00D062A5"/>
    <w:rsid w:val="00D07715"/>
    <w:rsid w:val="00D106FE"/>
    <w:rsid w:val="00D10ED3"/>
    <w:rsid w:val="00D125E8"/>
    <w:rsid w:val="00D12D3B"/>
    <w:rsid w:val="00D13D7B"/>
    <w:rsid w:val="00D14535"/>
    <w:rsid w:val="00D15FDA"/>
    <w:rsid w:val="00D161B7"/>
    <w:rsid w:val="00D17C84"/>
    <w:rsid w:val="00D21A22"/>
    <w:rsid w:val="00D21ED8"/>
    <w:rsid w:val="00D22A32"/>
    <w:rsid w:val="00D23012"/>
    <w:rsid w:val="00D244E8"/>
    <w:rsid w:val="00D25D7C"/>
    <w:rsid w:val="00D26EC1"/>
    <w:rsid w:val="00D2709A"/>
    <w:rsid w:val="00D27EFB"/>
    <w:rsid w:val="00D30569"/>
    <w:rsid w:val="00D31F30"/>
    <w:rsid w:val="00D31F45"/>
    <w:rsid w:val="00D335BB"/>
    <w:rsid w:val="00D34B05"/>
    <w:rsid w:val="00D34CE8"/>
    <w:rsid w:val="00D35583"/>
    <w:rsid w:val="00D360B1"/>
    <w:rsid w:val="00D37504"/>
    <w:rsid w:val="00D37996"/>
    <w:rsid w:val="00D45D37"/>
    <w:rsid w:val="00D4725F"/>
    <w:rsid w:val="00D47EAE"/>
    <w:rsid w:val="00D54091"/>
    <w:rsid w:val="00D54B9A"/>
    <w:rsid w:val="00D54F2F"/>
    <w:rsid w:val="00D557F5"/>
    <w:rsid w:val="00D60619"/>
    <w:rsid w:val="00D61100"/>
    <w:rsid w:val="00D61C45"/>
    <w:rsid w:val="00D62AEF"/>
    <w:rsid w:val="00D62CE1"/>
    <w:rsid w:val="00D64AE1"/>
    <w:rsid w:val="00D64DD6"/>
    <w:rsid w:val="00D6587C"/>
    <w:rsid w:val="00D72C4E"/>
    <w:rsid w:val="00D756CA"/>
    <w:rsid w:val="00D77713"/>
    <w:rsid w:val="00D7798A"/>
    <w:rsid w:val="00D81645"/>
    <w:rsid w:val="00D8307B"/>
    <w:rsid w:val="00D8327C"/>
    <w:rsid w:val="00D836F7"/>
    <w:rsid w:val="00D84645"/>
    <w:rsid w:val="00D85D93"/>
    <w:rsid w:val="00D864F8"/>
    <w:rsid w:val="00D879A3"/>
    <w:rsid w:val="00D87AFF"/>
    <w:rsid w:val="00D87DBF"/>
    <w:rsid w:val="00D93123"/>
    <w:rsid w:val="00D95999"/>
    <w:rsid w:val="00DA2A76"/>
    <w:rsid w:val="00DA2AC1"/>
    <w:rsid w:val="00DA527C"/>
    <w:rsid w:val="00DA5B6B"/>
    <w:rsid w:val="00DA700C"/>
    <w:rsid w:val="00DB2EF0"/>
    <w:rsid w:val="00DB4640"/>
    <w:rsid w:val="00DB72D0"/>
    <w:rsid w:val="00DC115C"/>
    <w:rsid w:val="00DC44F4"/>
    <w:rsid w:val="00DD027E"/>
    <w:rsid w:val="00DD0447"/>
    <w:rsid w:val="00DD05BB"/>
    <w:rsid w:val="00DD63E4"/>
    <w:rsid w:val="00DD688C"/>
    <w:rsid w:val="00DD74A4"/>
    <w:rsid w:val="00DE2783"/>
    <w:rsid w:val="00DE27B8"/>
    <w:rsid w:val="00DE3D55"/>
    <w:rsid w:val="00DE5707"/>
    <w:rsid w:val="00DE70C6"/>
    <w:rsid w:val="00DF0DB1"/>
    <w:rsid w:val="00DF21A8"/>
    <w:rsid w:val="00DF3A84"/>
    <w:rsid w:val="00DF7C6E"/>
    <w:rsid w:val="00E01663"/>
    <w:rsid w:val="00E01A46"/>
    <w:rsid w:val="00E04FDE"/>
    <w:rsid w:val="00E07A39"/>
    <w:rsid w:val="00E103AB"/>
    <w:rsid w:val="00E104EF"/>
    <w:rsid w:val="00E125CB"/>
    <w:rsid w:val="00E13C7D"/>
    <w:rsid w:val="00E13EDF"/>
    <w:rsid w:val="00E146EE"/>
    <w:rsid w:val="00E165C9"/>
    <w:rsid w:val="00E17165"/>
    <w:rsid w:val="00E202E6"/>
    <w:rsid w:val="00E20E8D"/>
    <w:rsid w:val="00E21B3E"/>
    <w:rsid w:val="00E21F7E"/>
    <w:rsid w:val="00E224C3"/>
    <w:rsid w:val="00E226E3"/>
    <w:rsid w:val="00E22BB4"/>
    <w:rsid w:val="00E23B83"/>
    <w:rsid w:val="00E23FD1"/>
    <w:rsid w:val="00E25D87"/>
    <w:rsid w:val="00E27377"/>
    <w:rsid w:val="00E300EC"/>
    <w:rsid w:val="00E31E46"/>
    <w:rsid w:val="00E332F5"/>
    <w:rsid w:val="00E34AE2"/>
    <w:rsid w:val="00E37601"/>
    <w:rsid w:val="00E42235"/>
    <w:rsid w:val="00E43B3E"/>
    <w:rsid w:val="00E4414C"/>
    <w:rsid w:val="00E443BA"/>
    <w:rsid w:val="00E45FB7"/>
    <w:rsid w:val="00E470CE"/>
    <w:rsid w:val="00E47C61"/>
    <w:rsid w:val="00E50F94"/>
    <w:rsid w:val="00E52203"/>
    <w:rsid w:val="00E524C3"/>
    <w:rsid w:val="00E528C9"/>
    <w:rsid w:val="00E5462E"/>
    <w:rsid w:val="00E56A9C"/>
    <w:rsid w:val="00E62AD0"/>
    <w:rsid w:val="00E65605"/>
    <w:rsid w:val="00E65AFF"/>
    <w:rsid w:val="00E6767D"/>
    <w:rsid w:val="00E7411A"/>
    <w:rsid w:val="00E77371"/>
    <w:rsid w:val="00E77612"/>
    <w:rsid w:val="00E77A83"/>
    <w:rsid w:val="00E82888"/>
    <w:rsid w:val="00E85972"/>
    <w:rsid w:val="00E86053"/>
    <w:rsid w:val="00E90E9C"/>
    <w:rsid w:val="00E91247"/>
    <w:rsid w:val="00E919BF"/>
    <w:rsid w:val="00E9512C"/>
    <w:rsid w:val="00EA0077"/>
    <w:rsid w:val="00EA0E38"/>
    <w:rsid w:val="00EA1872"/>
    <w:rsid w:val="00EA604E"/>
    <w:rsid w:val="00EA6536"/>
    <w:rsid w:val="00EA6AA3"/>
    <w:rsid w:val="00EA7167"/>
    <w:rsid w:val="00EB0026"/>
    <w:rsid w:val="00EB0384"/>
    <w:rsid w:val="00EB39F8"/>
    <w:rsid w:val="00EB3AE8"/>
    <w:rsid w:val="00EB6196"/>
    <w:rsid w:val="00EB67F0"/>
    <w:rsid w:val="00EB6B0C"/>
    <w:rsid w:val="00EB6F46"/>
    <w:rsid w:val="00EC058C"/>
    <w:rsid w:val="00EC1BDE"/>
    <w:rsid w:val="00EC1F4B"/>
    <w:rsid w:val="00EC678A"/>
    <w:rsid w:val="00ED1413"/>
    <w:rsid w:val="00ED1663"/>
    <w:rsid w:val="00ED1981"/>
    <w:rsid w:val="00ED50F5"/>
    <w:rsid w:val="00ED6BE1"/>
    <w:rsid w:val="00ED7099"/>
    <w:rsid w:val="00ED7757"/>
    <w:rsid w:val="00EE027B"/>
    <w:rsid w:val="00EE13B8"/>
    <w:rsid w:val="00EE31DF"/>
    <w:rsid w:val="00EE4E73"/>
    <w:rsid w:val="00EE7916"/>
    <w:rsid w:val="00EF1C6E"/>
    <w:rsid w:val="00EF2C80"/>
    <w:rsid w:val="00EF3559"/>
    <w:rsid w:val="00EF4D3B"/>
    <w:rsid w:val="00EF6A34"/>
    <w:rsid w:val="00EF7579"/>
    <w:rsid w:val="00EF7950"/>
    <w:rsid w:val="00F00BE0"/>
    <w:rsid w:val="00F016BD"/>
    <w:rsid w:val="00F026F0"/>
    <w:rsid w:val="00F0680A"/>
    <w:rsid w:val="00F06ED0"/>
    <w:rsid w:val="00F12013"/>
    <w:rsid w:val="00F12999"/>
    <w:rsid w:val="00F13822"/>
    <w:rsid w:val="00F14565"/>
    <w:rsid w:val="00F14973"/>
    <w:rsid w:val="00F14A70"/>
    <w:rsid w:val="00F175A5"/>
    <w:rsid w:val="00F22AEF"/>
    <w:rsid w:val="00F230F1"/>
    <w:rsid w:val="00F27B8D"/>
    <w:rsid w:val="00F304FB"/>
    <w:rsid w:val="00F313F8"/>
    <w:rsid w:val="00F315AB"/>
    <w:rsid w:val="00F32692"/>
    <w:rsid w:val="00F33033"/>
    <w:rsid w:val="00F33F07"/>
    <w:rsid w:val="00F35871"/>
    <w:rsid w:val="00F35D52"/>
    <w:rsid w:val="00F35F8C"/>
    <w:rsid w:val="00F36C93"/>
    <w:rsid w:val="00F373E1"/>
    <w:rsid w:val="00F42574"/>
    <w:rsid w:val="00F45257"/>
    <w:rsid w:val="00F45ABB"/>
    <w:rsid w:val="00F45CA2"/>
    <w:rsid w:val="00F45D78"/>
    <w:rsid w:val="00F46154"/>
    <w:rsid w:val="00F46AD5"/>
    <w:rsid w:val="00F47DCD"/>
    <w:rsid w:val="00F506F1"/>
    <w:rsid w:val="00F50CA4"/>
    <w:rsid w:val="00F50CAA"/>
    <w:rsid w:val="00F50CE7"/>
    <w:rsid w:val="00F51438"/>
    <w:rsid w:val="00F5274D"/>
    <w:rsid w:val="00F52A8D"/>
    <w:rsid w:val="00F5301A"/>
    <w:rsid w:val="00F53110"/>
    <w:rsid w:val="00F549E7"/>
    <w:rsid w:val="00F5550D"/>
    <w:rsid w:val="00F618BB"/>
    <w:rsid w:val="00F6302F"/>
    <w:rsid w:val="00F67625"/>
    <w:rsid w:val="00F721E6"/>
    <w:rsid w:val="00F73A79"/>
    <w:rsid w:val="00F74C9D"/>
    <w:rsid w:val="00F76B14"/>
    <w:rsid w:val="00F81487"/>
    <w:rsid w:val="00F85F21"/>
    <w:rsid w:val="00F90CF5"/>
    <w:rsid w:val="00F91AD8"/>
    <w:rsid w:val="00F922B1"/>
    <w:rsid w:val="00F9432B"/>
    <w:rsid w:val="00FA1CBD"/>
    <w:rsid w:val="00FA56EF"/>
    <w:rsid w:val="00FA5D99"/>
    <w:rsid w:val="00FA6505"/>
    <w:rsid w:val="00FA72F6"/>
    <w:rsid w:val="00FB10A3"/>
    <w:rsid w:val="00FB1C83"/>
    <w:rsid w:val="00FB36D4"/>
    <w:rsid w:val="00FB3B0F"/>
    <w:rsid w:val="00FB510B"/>
    <w:rsid w:val="00FB5D1B"/>
    <w:rsid w:val="00FB75F9"/>
    <w:rsid w:val="00FB7C5A"/>
    <w:rsid w:val="00FC1C97"/>
    <w:rsid w:val="00FC26BF"/>
    <w:rsid w:val="00FC40B6"/>
    <w:rsid w:val="00FC423E"/>
    <w:rsid w:val="00FC523E"/>
    <w:rsid w:val="00FC574D"/>
    <w:rsid w:val="00FC6CE0"/>
    <w:rsid w:val="00FC7232"/>
    <w:rsid w:val="00FC7525"/>
    <w:rsid w:val="00FD1A30"/>
    <w:rsid w:val="00FD418F"/>
    <w:rsid w:val="00FD4365"/>
    <w:rsid w:val="00FD4D39"/>
    <w:rsid w:val="00FD4F52"/>
    <w:rsid w:val="00FD532F"/>
    <w:rsid w:val="00FE1EF3"/>
    <w:rsid w:val="00FE315D"/>
    <w:rsid w:val="00FE3182"/>
    <w:rsid w:val="00FE41E1"/>
    <w:rsid w:val="00FE4C92"/>
    <w:rsid w:val="00FE55F1"/>
    <w:rsid w:val="00FE5843"/>
    <w:rsid w:val="00FF213C"/>
    <w:rsid w:val="00FF4D81"/>
    <w:rsid w:val="00FF6F3D"/>
    <w:rsid w:val="00FF6F49"/>
    <w:rsid w:val="00FF75F5"/>
    <w:rsid w:val="01073C3A"/>
    <w:rsid w:val="010A3C9B"/>
    <w:rsid w:val="010D54EC"/>
    <w:rsid w:val="011376A2"/>
    <w:rsid w:val="01165FCD"/>
    <w:rsid w:val="01272D2B"/>
    <w:rsid w:val="012A3BF5"/>
    <w:rsid w:val="012B0079"/>
    <w:rsid w:val="013567F0"/>
    <w:rsid w:val="013B4ECC"/>
    <w:rsid w:val="013E61E2"/>
    <w:rsid w:val="01472656"/>
    <w:rsid w:val="014D4677"/>
    <w:rsid w:val="01592D24"/>
    <w:rsid w:val="0159301C"/>
    <w:rsid w:val="015C48BA"/>
    <w:rsid w:val="015E4AC8"/>
    <w:rsid w:val="015F37AB"/>
    <w:rsid w:val="016025FC"/>
    <w:rsid w:val="01627929"/>
    <w:rsid w:val="01635C49"/>
    <w:rsid w:val="016669EB"/>
    <w:rsid w:val="016B506A"/>
    <w:rsid w:val="017205E0"/>
    <w:rsid w:val="01722509"/>
    <w:rsid w:val="01775986"/>
    <w:rsid w:val="01811D96"/>
    <w:rsid w:val="01883E36"/>
    <w:rsid w:val="018E345A"/>
    <w:rsid w:val="018E7ABF"/>
    <w:rsid w:val="018F2513"/>
    <w:rsid w:val="0198796C"/>
    <w:rsid w:val="019A03EB"/>
    <w:rsid w:val="019E522D"/>
    <w:rsid w:val="01A5497A"/>
    <w:rsid w:val="01A91A6C"/>
    <w:rsid w:val="01B464A4"/>
    <w:rsid w:val="01B500FA"/>
    <w:rsid w:val="01B8299A"/>
    <w:rsid w:val="01B8411E"/>
    <w:rsid w:val="01BA224E"/>
    <w:rsid w:val="01BB3CD7"/>
    <w:rsid w:val="01C133B8"/>
    <w:rsid w:val="01C25065"/>
    <w:rsid w:val="01C270FB"/>
    <w:rsid w:val="01C40DDD"/>
    <w:rsid w:val="01C50397"/>
    <w:rsid w:val="01C80D8D"/>
    <w:rsid w:val="01C901A1"/>
    <w:rsid w:val="01CA7A55"/>
    <w:rsid w:val="01D11385"/>
    <w:rsid w:val="01D332BB"/>
    <w:rsid w:val="01E67010"/>
    <w:rsid w:val="01FC2277"/>
    <w:rsid w:val="01FE2FA9"/>
    <w:rsid w:val="02016B70"/>
    <w:rsid w:val="02070CCA"/>
    <w:rsid w:val="020F2171"/>
    <w:rsid w:val="021B7C4E"/>
    <w:rsid w:val="021C0B79"/>
    <w:rsid w:val="021D0846"/>
    <w:rsid w:val="02240F10"/>
    <w:rsid w:val="0233386D"/>
    <w:rsid w:val="023870D5"/>
    <w:rsid w:val="023C035E"/>
    <w:rsid w:val="02420FBA"/>
    <w:rsid w:val="024535A0"/>
    <w:rsid w:val="024B1C03"/>
    <w:rsid w:val="024F77E7"/>
    <w:rsid w:val="02560647"/>
    <w:rsid w:val="025D4B5C"/>
    <w:rsid w:val="0264378A"/>
    <w:rsid w:val="026515B7"/>
    <w:rsid w:val="026E6F9B"/>
    <w:rsid w:val="02730253"/>
    <w:rsid w:val="02762AF5"/>
    <w:rsid w:val="02794364"/>
    <w:rsid w:val="029329B0"/>
    <w:rsid w:val="029733A6"/>
    <w:rsid w:val="029C1009"/>
    <w:rsid w:val="02A242FC"/>
    <w:rsid w:val="02A3645B"/>
    <w:rsid w:val="02A62291"/>
    <w:rsid w:val="02B26E88"/>
    <w:rsid w:val="02B456C1"/>
    <w:rsid w:val="02BE0C02"/>
    <w:rsid w:val="02BE1C3B"/>
    <w:rsid w:val="02C46D9B"/>
    <w:rsid w:val="02C71F07"/>
    <w:rsid w:val="02CE7095"/>
    <w:rsid w:val="02CE7839"/>
    <w:rsid w:val="02D23086"/>
    <w:rsid w:val="02EB6A9B"/>
    <w:rsid w:val="02EC1789"/>
    <w:rsid w:val="02F200B2"/>
    <w:rsid w:val="02F3472A"/>
    <w:rsid w:val="02F778BD"/>
    <w:rsid w:val="02F804DD"/>
    <w:rsid w:val="030242D2"/>
    <w:rsid w:val="03031491"/>
    <w:rsid w:val="030376E3"/>
    <w:rsid w:val="030913AF"/>
    <w:rsid w:val="030A0A72"/>
    <w:rsid w:val="031158F5"/>
    <w:rsid w:val="03121468"/>
    <w:rsid w:val="031C2553"/>
    <w:rsid w:val="0325170D"/>
    <w:rsid w:val="03273969"/>
    <w:rsid w:val="033003B6"/>
    <w:rsid w:val="0336366B"/>
    <w:rsid w:val="033D20C5"/>
    <w:rsid w:val="03410097"/>
    <w:rsid w:val="0348748B"/>
    <w:rsid w:val="034877EC"/>
    <w:rsid w:val="037203C5"/>
    <w:rsid w:val="03726617"/>
    <w:rsid w:val="03731188"/>
    <w:rsid w:val="037B7D1A"/>
    <w:rsid w:val="03822C68"/>
    <w:rsid w:val="038826BA"/>
    <w:rsid w:val="038C7E40"/>
    <w:rsid w:val="038D16A3"/>
    <w:rsid w:val="03917DFD"/>
    <w:rsid w:val="03921B3D"/>
    <w:rsid w:val="039B0FB4"/>
    <w:rsid w:val="039B791C"/>
    <w:rsid w:val="039C3A61"/>
    <w:rsid w:val="039C6988"/>
    <w:rsid w:val="039F2BBC"/>
    <w:rsid w:val="03A03184"/>
    <w:rsid w:val="03A728D9"/>
    <w:rsid w:val="03A96A90"/>
    <w:rsid w:val="03AC7274"/>
    <w:rsid w:val="03AE3AF3"/>
    <w:rsid w:val="03B23CFC"/>
    <w:rsid w:val="03B6238C"/>
    <w:rsid w:val="03B66504"/>
    <w:rsid w:val="03B945D4"/>
    <w:rsid w:val="03B97685"/>
    <w:rsid w:val="03BE21D5"/>
    <w:rsid w:val="03C14004"/>
    <w:rsid w:val="03C328C1"/>
    <w:rsid w:val="03C815E0"/>
    <w:rsid w:val="03CB1288"/>
    <w:rsid w:val="03CE62F9"/>
    <w:rsid w:val="03D0482E"/>
    <w:rsid w:val="03D352ED"/>
    <w:rsid w:val="03D746CC"/>
    <w:rsid w:val="03D96AC5"/>
    <w:rsid w:val="03E00516"/>
    <w:rsid w:val="03E2554B"/>
    <w:rsid w:val="03F24223"/>
    <w:rsid w:val="03F64807"/>
    <w:rsid w:val="03FD25BA"/>
    <w:rsid w:val="04022B7C"/>
    <w:rsid w:val="04073203"/>
    <w:rsid w:val="040E4716"/>
    <w:rsid w:val="040F70CD"/>
    <w:rsid w:val="04106A25"/>
    <w:rsid w:val="0414147C"/>
    <w:rsid w:val="04145AE0"/>
    <w:rsid w:val="04161698"/>
    <w:rsid w:val="041C3D42"/>
    <w:rsid w:val="041F7D0F"/>
    <w:rsid w:val="04220CB2"/>
    <w:rsid w:val="0423034F"/>
    <w:rsid w:val="042A1D07"/>
    <w:rsid w:val="04322FF4"/>
    <w:rsid w:val="0438160E"/>
    <w:rsid w:val="043A7135"/>
    <w:rsid w:val="043F6F4A"/>
    <w:rsid w:val="04433CEA"/>
    <w:rsid w:val="04436F26"/>
    <w:rsid w:val="044625E2"/>
    <w:rsid w:val="044C4BAF"/>
    <w:rsid w:val="045C354F"/>
    <w:rsid w:val="045E2EE6"/>
    <w:rsid w:val="04671D69"/>
    <w:rsid w:val="046D7348"/>
    <w:rsid w:val="04784101"/>
    <w:rsid w:val="048221D3"/>
    <w:rsid w:val="0485012C"/>
    <w:rsid w:val="04894B8E"/>
    <w:rsid w:val="048E56D2"/>
    <w:rsid w:val="04904EE7"/>
    <w:rsid w:val="04977C3F"/>
    <w:rsid w:val="049A4077"/>
    <w:rsid w:val="04A24CDA"/>
    <w:rsid w:val="04AE6891"/>
    <w:rsid w:val="04B12FF3"/>
    <w:rsid w:val="04B6239F"/>
    <w:rsid w:val="04BA5556"/>
    <w:rsid w:val="04C133B2"/>
    <w:rsid w:val="04C7405C"/>
    <w:rsid w:val="04C74740"/>
    <w:rsid w:val="04CD4DAE"/>
    <w:rsid w:val="04D5330D"/>
    <w:rsid w:val="04D81DD4"/>
    <w:rsid w:val="04E23873"/>
    <w:rsid w:val="04E452F2"/>
    <w:rsid w:val="04E5148D"/>
    <w:rsid w:val="04EF43C3"/>
    <w:rsid w:val="04F445ED"/>
    <w:rsid w:val="04FA1A94"/>
    <w:rsid w:val="050414F1"/>
    <w:rsid w:val="05071955"/>
    <w:rsid w:val="050B36B6"/>
    <w:rsid w:val="050C0AB2"/>
    <w:rsid w:val="051E3875"/>
    <w:rsid w:val="0521087B"/>
    <w:rsid w:val="05280773"/>
    <w:rsid w:val="05287DA2"/>
    <w:rsid w:val="052A7579"/>
    <w:rsid w:val="0533125B"/>
    <w:rsid w:val="05357A3D"/>
    <w:rsid w:val="05397515"/>
    <w:rsid w:val="053A5640"/>
    <w:rsid w:val="053F077B"/>
    <w:rsid w:val="0541349F"/>
    <w:rsid w:val="05465740"/>
    <w:rsid w:val="054A088F"/>
    <w:rsid w:val="054E0D09"/>
    <w:rsid w:val="054E19AB"/>
    <w:rsid w:val="054F4EE9"/>
    <w:rsid w:val="055045C3"/>
    <w:rsid w:val="055422CC"/>
    <w:rsid w:val="05551EBD"/>
    <w:rsid w:val="05573D16"/>
    <w:rsid w:val="0560611A"/>
    <w:rsid w:val="05666772"/>
    <w:rsid w:val="05681C41"/>
    <w:rsid w:val="056B3FB1"/>
    <w:rsid w:val="056B77C2"/>
    <w:rsid w:val="056D353A"/>
    <w:rsid w:val="056F18F5"/>
    <w:rsid w:val="05886F4B"/>
    <w:rsid w:val="058A40EC"/>
    <w:rsid w:val="059419B1"/>
    <w:rsid w:val="05947554"/>
    <w:rsid w:val="05972365"/>
    <w:rsid w:val="05976809"/>
    <w:rsid w:val="05982629"/>
    <w:rsid w:val="059A3F79"/>
    <w:rsid w:val="05B55C7F"/>
    <w:rsid w:val="05B64EE1"/>
    <w:rsid w:val="05BA01C0"/>
    <w:rsid w:val="05C25634"/>
    <w:rsid w:val="05C42475"/>
    <w:rsid w:val="05C70E9C"/>
    <w:rsid w:val="05CA6B7F"/>
    <w:rsid w:val="05CF5FA2"/>
    <w:rsid w:val="05CF60C0"/>
    <w:rsid w:val="05D008D1"/>
    <w:rsid w:val="05D20121"/>
    <w:rsid w:val="05D35D8F"/>
    <w:rsid w:val="05D67331"/>
    <w:rsid w:val="05D9472B"/>
    <w:rsid w:val="05DB2AF1"/>
    <w:rsid w:val="05DE61E6"/>
    <w:rsid w:val="05E02296"/>
    <w:rsid w:val="05E20370"/>
    <w:rsid w:val="05E46CCB"/>
    <w:rsid w:val="05F65FAE"/>
    <w:rsid w:val="05F9149B"/>
    <w:rsid w:val="06050623"/>
    <w:rsid w:val="0607573C"/>
    <w:rsid w:val="060C1307"/>
    <w:rsid w:val="060C2D53"/>
    <w:rsid w:val="06137DBA"/>
    <w:rsid w:val="06227AEC"/>
    <w:rsid w:val="06230653"/>
    <w:rsid w:val="06261D04"/>
    <w:rsid w:val="062A0AEB"/>
    <w:rsid w:val="062E1625"/>
    <w:rsid w:val="062E4A77"/>
    <w:rsid w:val="062F259D"/>
    <w:rsid w:val="063848B4"/>
    <w:rsid w:val="06385D00"/>
    <w:rsid w:val="063B320A"/>
    <w:rsid w:val="06426C88"/>
    <w:rsid w:val="06455CC2"/>
    <w:rsid w:val="06543A2B"/>
    <w:rsid w:val="06547DB3"/>
    <w:rsid w:val="065A162A"/>
    <w:rsid w:val="065D1AC3"/>
    <w:rsid w:val="066A3FBC"/>
    <w:rsid w:val="0676641E"/>
    <w:rsid w:val="067803E8"/>
    <w:rsid w:val="06840B3B"/>
    <w:rsid w:val="06842580"/>
    <w:rsid w:val="068B5480"/>
    <w:rsid w:val="068C3E93"/>
    <w:rsid w:val="068F5597"/>
    <w:rsid w:val="069074E0"/>
    <w:rsid w:val="069B5F1B"/>
    <w:rsid w:val="06A50AB1"/>
    <w:rsid w:val="06A6607A"/>
    <w:rsid w:val="06A72A7B"/>
    <w:rsid w:val="06AB5586"/>
    <w:rsid w:val="06B26263"/>
    <w:rsid w:val="06BC02D5"/>
    <w:rsid w:val="06BD5DFB"/>
    <w:rsid w:val="06BE2F7D"/>
    <w:rsid w:val="06C06015"/>
    <w:rsid w:val="06C54CB0"/>
    <w:rsid w:val="06C82AA1"/>
    <w:rsid w:val="06C929F2"/>
    <w:rsid w:val="06CB44B7"/>
    <w:rsid w:val="06CC68D5"/>
    <w:rsid w:val="06CE0008"/>
    <w:rsid w:val="06D3658E"/>
    <w:rsid w:val="06D9077D"/>
    <w:rsid w:val="06D97623"/>
    <w:rsid w:val="06E31BBF"/>
    <w:rsid w:val="06E75DC0"/>
    <w:rsid w:val="06EE20B1"/>
    <w:rsid w:val="06EF3C21"/>
    <w:rsid w:val="06F40D4B"/>
    <w:rsid w:val="06FC0BC6"/>
    <w:rsid w:val="06FF12BF"/>
    <w:rsid w:val="070A3D66"/>
    <w:rsid w:val="07103A46"/>
    <w:rsid w:val="0711044D"/>
    <w:rsid w:val="07133C6D"/>
    <w:rsid w:val="07153E89"/>
    <w:rsid w:val="07177C01"/>
    <w:rsid w:val="071A4FFB"/>
    <w:rsid w:val="071B225A"/>
    <w:rsid w:val="071C0D73"/>
    <w:rsid w:val="071C3B6B"/>
    <w:rsid w:val="072150F3"/>
    <w:rsid w:val="07283BBC"/>
    <w:rsid w:val="073027E2"/>
    <w:rsid w:val="073A655C"/>
    <w:rsid w:val="074309F6"/>
    <w:rsid w:val="07446F84"/>
    <w:rsid w:val="07533514"/>
    <w:rsid w:val="07571DAC"/>
    <w:rsid w:val="07591FC8"/>
    <w:rsid w:val="075B63E2"/>
    <w:rsid w:val="076369A2"/>
    <w:rsid w:val="07670C63"/>
    <w:rsid w:val="076A48FE"/>
    <w:rsid w:val="07707E8A"/>
    <w:rsid w:val="07795D43"/>
    <w:rsid w:val="077C569C"/>
    <w:rsid w:val="077E558A"/>
    <w:rsid w:val="078419A4"/>
    <w:rsid w:val="07996A2F"/>
    <w:rsid w:val="079C79BB"/>
    <w:rsid w:val="079E1D00"/>
    <w:rsid w:val="079F0581"/>
    <w:rsid w:val="079F512A"/>
    <w:rsid w:val="07A64AE1"/>
    <w:rsid w:val="07A75DA3"/>
    <w:rsid w:val="07A80859"/>
    <w:rsid w:val="07A8164F"/>
    <w:rsid w:val="07A82607"/>
    <w:rsid w:val="07AD04B8"/>
    <w:rsid w:val="07AF4E93"/>
    <w:rsid w:val="07AF53CD"/>
    <w:rsid w:val="07B03628"/>
    <w:rsid w:val="07B1625B"/>
    <w:rsid w:val="07B44C1E"/>
    <w:rsid w:val="07C25D17"/>
    <w:rsid w:val="07C342D2"/>
    <w:rsid w:val="07C351BF"/>
    <w:rsid w:val="07C67E6D"/>
    <w:rsid w:val="07C844FE"/>
    <w:rsid w:val="07C8477D"/>
    <w:rsid w:val="07CA07CF"/>
    <w:rsid w:val="07CB6611"/>
    <w:rsid w:val="07CE1AA9"/>
    <w:rsid w:val="07D96E9C"/>
    <w:rsid w:val="07EF359B"/>
    <w:rsid w:val="07F573F8"/>
    <w:rsid w:val="07F6333F"/>
    <w:rsid w:val="07F67B80"/>
    <w:rsid w:val="07FC0BA5"/>
    <w:rsid w:val="08001F42"/>
    <w:rsid w:val="08002443"/>
    <w:rsid w:val="08071A24"/>
    <w:rsid w:val="08090382"/>
    <w:rsid w:val="08093C92"/>
    <w:rsid w:val="080E717D"/>
    <w:rsid w:val="081B0D7F"/>
    <w:rsid w:val="081B2CD8"/>
    <w:rsid w:val="081C06C0"/>
    <w:rsid w:val="081D1C51"/>
    <w:rsid w:val="081F2DF0"/>
    <w:rsid w:val="0822685D"/>
    <w:rsid w:val="08260360"/>
    <w:rsid w:val="082C3CF2"/>
    <w:rsid w:val="083149F2"/>
    <w:rsid w:val="083B330C"/>
    <w:rsid w:val="083D71F3"/>
    <w:rsid w:val="083F3D81"/>
    <w:rsid w:val="08400D74"/>
    <w:rsid w:val="08452B21"/>
    <w:rsid w:val="084560A8"/>
    <w:rsid w:val="08534B88"/>
    <w:rsid w:val="08534C69"/>
    <w:rsid w:val="0854453D"/>
    <w:rsid w:val="0859198F"/>
    <w:rsid w:val="08610BA9"/>
    <w:rsid w:val="086230FE"/>
    <w:rsid w:val="086A5B0F"/>
    <w:rsid w:val="08707DA5"/>
    <w:rsid w:val="0871490B"/>
    <w:rsid w:val="08752E31"/>
    <w:rsid w:val="08761B4F"/>
    <w:rsid w:val="087C22C3"/>
    <w:rsid w:val="087E2564"/>
    <w:rsid w:val="087F780C"/>
    <w:rsid w:val="08834C71"/>
    <w:rsid w:val="08861943"/>
    <w:rsid w:val="08862AD5"/>
    <w:rsid w:val="088B326F"/>
    <w:rsid w:val="089600B3"/>
    <w:rsid w:val="089B1B97"/>
    <w:rsid w:val="089F7EAE"/>
    <w:rsid w:val="08A76D63"/>
    <w:rsid w:val="08B916C1"/>
    <w:rsid w:val="08BD20E2"/>
    <w:rsid w:val="08C94DB5"/>
    <w:rsid w:val="08C94F2B"/>
    <w:rsid w:val="08CC1439"/>
    <w:rsid w:val="08D22EEA"/>
    <w:rsid w:val="08D51DF0"/>
    <w:rsid w:val="08D65C17"/>
    <w:rsid w:val="08D8695A"/>
    <w:rsid w:val="08D86F1C"/>
    <w:rsid w:val="08E104C7"/>
    <w:rsid w:val="08E8161A"/>
    <w:rsid w:val="08F062C2"/>
    <w:rsid w:val="08F32FFF"/>
    <w:rsid w:val="08F45398"/>
    <w:rsid w:val="08F95623"/>
    <w:rsid w:val="090327CA"/>
    <w:rsid w:val="090B19E1"/>
    <w:rsid w:val="090B6229"/>
    <w:rsid w:val="090D306A"/>
    <w:rsid w:val="090E0B90"/>
    <w:rsid w:val="0910646C"/>
    <w:rsid w:val="09136778"/>
    <w:rsid w:val="091C2C93"/>
    <w:rsid w:val="091E0127"/>
    <w:rsid w:val="091E5EEA"/>
    <w:rsid w:val="09235BFF"/>
    <w:rsid w:val="092C644B"/>
    <w:rsid w:val="09376435"/>
    <w:rsid w:val="09391815"/>
    <w:rsid w:val="093E3239"/>
    <w:rsid w:val="0946032A"/>
    <w:rsid w:val="094D16B8"/>
    <w:rsid w:val="0955120F"/>
    <w:rsid w:val="095742E5"/>
    <w:rsid w:val="0958005D"/>
    <w:rsid w:val="095C0FA5"/>
    <w:rsid w:val="096C5BEF"/>
    <w:rsid w:val="096F79DD"/>
    <w:rsid w:val="09815806"/>
    <w:rsid w:val="09824FE5"/>
    <w:rsid w:val="098A1CFD"/>
    <w:rsid w:val="098E4BBC"/>
    <w:rsid w:val="09975029"/>
    <w:rsid w:val="099D2709"/>
    <w:rsid w:val="09AC6517"/>
    <w:rsid w:val="09AF222A"/>
    <w:rsid w:val="09BB688D"/>
    <w:rsid w:val="09BD382D"/>
    <w:rsid w:val="09C1515D"/>
    <w:rsid w:val="09C33294"/>
    <w:rsid w:val="09C474A0"/>
    <w:rsid w:val="09CA5BC9"/>
    <w:rsid w:val="09D51D3F"/>
    <w:rsid w:val="09D53E6D"/>
    <w:rsid w:val="09DE00BB"/>
    <w:rsid w:val="09E15530"/>
    <w:rsid w:val="09E23FFF"/>
    <w:rsid w:val="09EB7B38"/>
    <w:rsid w:val="09F76E81"/>
    <w:rsid w:val="09F7767B"/>
    <w:rsid w:val="0A0070F2"/>
    <w:rsid w:val="0A011CDE"/>
    <w:rsid w:val="0A0377B9"/>
    <w:rsid w:val="0A0B3CFF"/>
    <w:rsid w:val="0A116B8A"/>
    <w:rsid w:val="0A19094E"/>
    <w:rsid w:val="0A1B2824"/>
    <w:rsid w:val="0A1B58FF"/>
    <w:rsid w:val="0A203115"/>
    <w:rsid w:val="0A20579E"/>
    <w:rsid w:val="0A262F18"/>
    <w:rsid w:val="0A3463D4"/>
    <w:rsid w:val="0A3F0598"/>
    <w:rsid w:val="0A40746F"/>
    <w:rsid w:val="0A4801D9"/>
    <w:rsid w:val="0A4D029C"/>
    <w:rsid w:val="0A4E3A53"/>
    <w:rsid w:val="0A502579"/>
    <w:rsid w:val="0A5108B3"/>
    <w:rsid w:val="0A530F50"/>
    <w:rsid w:val="0A594EA5"/>
    <w:rsid w:val="0A5A1036"/>
    <w:rsid w:val="0A64315D"/>
    <w:rsid w:val="0A6A6CD0"/>
    <w:rsid w:val="0A6D7B49"/>
    <w:rsid w:val="0A6E435A"/>
    <w:rsid w:val="0A7100C5"/>
    <w:rsid w:val="0A762E91"/>
    <w:rsid w:val="0A7862F4"/>
    <w:rsid w:val="0A7D7E85"/>
    <w:rsid w:val="0A7F0792"/>
    <w:rsid w:val="0A841679"/>
    <w:rsid w:val="0A89125A"/>
    <w:rsid w:val="0A917654"/>
    <w:rsid w:val="0A96708F"/>
    <w:rsid w:val="0A9D6DC0"/>
    <w:rsid w:val="0A9F3324"/>
    <w:rsid w:val="0AAF113F"/>
    <w:rsid w:val="0AB26674"/>
    <w:rsid w:val="0AB47515"/>
    <w:rsid w:val="0AB54FCC"/>
    <w:rsid w:val="0ABD78B6"/>
    <w:rsid w:val="0AC41A0D"/>
    <w:rsid w:val="0AC66C3F"/>
    <w:rsid w:val="0ACA2285"/>
    <w:rsid w:val="0AD11D45"/>
    <w:rsid w:val="0AD6392F"/>
    <w:rsid w:val="0ADB2FAB"/>
    <w:rsid w:val="0ADD081A"/>
    <w:rsid w:val="0AE007F1"/>
    <w:rsid w:val="0AE0655C"/>
    <w:rsid w:val="0AE903B8"/>
    <w:rsid w:val="0AEB11FD"/>
    <w:rsid w:val="0AEB708B"/>
    <w:rsid w:val="0AF025F3"/>
    <w:rsid w:val="0AF67D3D"/>
    <w:rsid w:val="0AFC3057"/>
    <w:rsid w:val="0AFF2E86"/>
    <w:rsid w:val="0B022976"/>
    <w:rsid w:val="0B040E69"/>
    <w:rsid w:val="0B093D05"/>
    <w:rsid w:val="0B0C10FF"/>
    <w:rsid w:val="0B1873A5"/>
    <w:rsid w:val="0B1A624D"/>
    <w:rsid w:val="0B210F78"/>
    <w:rsid w:val="0B27418B"/>
    <w:rsid w:val="0B2D79F3"/>
    <w:rsid w:val="0B3060B6"/>
    <w:rsid w:val="0B394485"/>
    <w:rsid w:val="0B3E0D72"/>
    <w:rsid w:val="0B3F14D4"/>
    <w:rsid w:val="0B403FCB"/>
    <w:rsid w:val="0B43574D"/>
    <w:rsid w:val="0B440D74"/>
    <w:rsid w:val="0B5A00BC"/>
    <w:rsid w:val="0B5C667D"/>
    <w:rsid w:val="0B5D1D8E"/>
    <w:rsid w:val="0B651B32"/>
    <w:rsid w:val="0B6C5DE7"/>
    <w:rsid w:val="0B6D6042"/>
    <w:rsid w:val="0B7462A1"/>
    <w:rsid w:val="0B7B3AA7"/>
    <w:rsid w:val="0B7D2A61"/>
    <w:rsid w:val="0B8C496B"/>
    <w:rsid w:val="0B973E2D"/>
    <w:rsid w:val="0B9D6951"/>
    <w:rsid w:val="0BA16641"/>
    <w:rsid w:val="0BAB0918"/>
    <w:rsid w:val="0BB04180"/>
    <w:rsid w:val="0BB25F6E"/>
    <w:rsid w:val="0BB3001E"/>
    <w:rsid w:val="0BB5398A"/>
    <w:rsid w:val="0BB57FB0"/>
    <w:rsid w:val="0BB8200C"/>
    <w:rsid w:val="0BBA1C2E"/>
    <w:rsid w:val="0BBB7B92"/>
    <w:rsid w:val="0BC21965"/>
    <w:rsid w:val="0BC53C2D"/>
    <w:rsid w:val="0BCA7F98"/>
    <w:rsid w:val="0BCF0AAA"/>
    <w:rsid w:val="0BD92EBB"/>
    <w:rsid w:val="0BDF05C2"/>
    <w:rsid w:val="0BE75D86"/>
    <w:rsid w:val="0BF9008E"/>
    <w:rsid w:val="0BF946AA"/>
    <w:rsid w:val="0C032502"/>
    <w:rsid w:val="0C0A63D9"/>
    <w:rsid w:val="0C0E2A4D"/>
    <w:rsid w:val="0C1666D9"/>
    <w:rsid w:val="0C283DFB"/>
    <w:rsid w:val="0C2A2367"/>
    <w:rsid w:val="0C3414B3"/>
    <w:rsid w:val="0C39411F"/>
    <w:rsid w:val="0C3A5296"/>
    <w:rsid w:val="0C430C9E"/>
    <w:rsid w:val="0C460641"/>
    <w:rsid w:val="0C4F3E77"/>
    <w:rsid w:val="0C517013"/>
    <w:rsid w:val="0C566AD6"/>
    <w:rsid w:val="0C567A7F"/>
    <w:rsid w:val="0C5B51F2"/>
    <w:rsid w:val="0C6D3E1F"/>
    <w:rsid w:val="0C727688"/>
    <w:rsid w:val="0C7317AD"/>
    <w:rsid w:val="0C7927C4"/>
    <w:rsid w:val="0C7A176F"/>
    <w:rsid w:val="0C7B29E0"/>
    <w:rsid w:val="0C7E39F0"/>
    <w:rsid w:val="0C7F03D9"/>
    <w:rsid w:val="0C81308E"/>
    <w:rsid w:val="0C8338B3"/>
    <w:rsid w:val="0C871385"/>
    <w:rsid w:val="0C890729"/>
    <w:rsid w:val="0C8A2925"/>
    <w:rsid w:val="0C8E0841"/>
    <w:rsid w:val="0C917B0E"/>
    <w:rsid w:val="0C933345"/>
    <w:rsid w:val="0C971286"/>
    <w:rsid w:val="0C9C7EF4"/>
    <w:rsid w:val="0C9D0CAA"/>
    <w:rsid w:val="0C9D782F"/>
    <w:rsid w:val="0CA912FB"/>
    <w:rsid w:val="0CAB1715"/>
    <w:rsid w:val="0CAC6BB6"/>
    <w:rsid w:val="0CAF61E6"/>
    <w:rsid w:val="0CB02EB1"/>
    <w:rsid w:val="0CB15605"/>
    <w:rsid w:val="0CB328B0"/>
    <w:rsid w:val="0CBF2C0D"/>
    <w:rsid w:val="0CC03C6B"/>
    <w:rsid w:val="0CC32409"/>
    <w:rsid w:val="0CC34F37"/>
    <w:rsid w:val="0CC7352F"/>
    <w:rsid w:val="0CC90A17"/>
    <w:rsid w:val="0CCD447F"/>
    <w:rsid w:val="0CD41746"/>
    <w:rsid w:val="0CD520F0"/>
    <w:rsid w:val="0CD757B5"/>
    <w:rsid w:val="0CDB347F"/>
    <w:rsid w:val="0CDF2F6F"/>
    <w:rsid w:val="0CE860F6"/>
    <w:rsid w:val="0CEA1C84"/>
    <w:rsid w:val="0CEA36C2"/>
    <w:rsid w:val="0CF51EF3"/>
    <w:rsid w:val="0CF6695B"/>
    <w:rsid w:val="0CF956B3"/>
    <w:rsid w:val="0D10137A"/>
    <w:rsid w:val="0D116EA1"/>
    <w:rsid w:val="0D1358BE"/>
    <w:rsid w:val="0D18464C"/>
    <w:rsid w:val="0D2070E4"/>
    <w:rsid w:val="0D261100"/>
    <w:rsid w:val="0D270A75"/>
    <w:rsid w:val="0D2E7A52"/>
    <w:rsid w:val="0D315EA9"/>
    <w:rsid w:val="0D3D5EE8"/>
    <w:rsid w:val="0D4B4161"/>
    <w:rsid w:val="0D564B17"/>
    <w:rsid w:val="0D594C75"/>
    <w:rsid w:val="0D613984"/>
    <w:rsid w:val="0D692839"/>
    <w:rsid w:val="0D6971CC"/>
    <w:rsid w:val="0D7F0D93"/>
    <w:rsid w:val="0D846A54"/>
    <w:rsid w:val="0D8579FA"/>
    <w:rsid w:val="0D86163D"/>
    <w:rsid w:val="0D864353"/>
    <w:rsid w:val="0D8858CE"/>
    <w:rsid w:val="0D8B6C53"/>
    <w:rsid w:val="0D8C093F"/>
    <w:rsid w:val="0D8C5089"/>
    <w:rsid w:val="0D8E6E37"/>
    <w:rsid w:val="0D915359"/>
    <w:rsid w:val="0D926B18"/>
    <w:rsid w:val="0D933B4A"/>
    <w:rsid w:val="0D99217A"/>
    <w:rsid w:val="0DAB03AE"/>
    <w:rsid w:val="0DAB36BA"/>
    <w:rsid w:val="0DB547BE"/>
    <w:rsid w:val="0DBA6BE6"/>
    <w:rsid w:val="0DBC7CFE"/>
    <w:rsid w:val="0DCB52A1"/>
    <w:rsid w:val="0DD028B8"/>
    <w:rsid w:val="0DD505F0"/>
    <w:rsid w:val="0DD759F4"/>
    <w:rsid w:val="0DDB31EB"/>
    <w:rsid w:val="0DDC74AE"/>
    <w:rsid w:val="0DDF0D4D"/>
    <w:rsid w:val="0DE27630"/>
    <w:rsid w:val="0DE764FE"/>
    <w:rsid w:val="0DEA3475"/>
    <w:rsid w:val="0DEA5E6A"/>
    <w:rsid w:val="0DED16BC"/>
    <w:rsid w:val="0DF14DE5"/>
    <w:rsid w:val="0DF465A6"/>
    <w:rsid w:val="0DF62C9E"/>
    <w:rsid w:val="0DFC36FB"/>
    <w:rsid w:val="0E0D7668"/>
    <w:rsid w:val="0E122ED0"/>
    <w:rsid w:val="0E15698D"/>
    <w:rsid w:val="0E226D74"/>
    <w:rsid w:val="0E2C4F13"/>
    <w:rsid w:val="0E2D1963"/>
    <w:rsid w:val="0E345CDC"/>
    <w:rsid w:val="0E3632B2"/>
    <w:rsid w:val="0E39795C"/>
    <w:rsid w:val="0E415DB3"/>
    <w:rsid w:val="0E4917B5"/>
    <w:rsid w:val="0E4A292A"/>
    <w:rsid w:val="0E4E2B96"/>
    <w:rsid w:val="0E545297"/>
    <w:rsid w:val="0E5611E1"/>
    <w:rsid w:val="0E567261"/>
    <w:rsid w:val="0E567341"/>
    <w:rsid w:val="0E65405D"/>
    <w:rsid w:val="0E700A64"/>
    <w:rsid w:val="0E7B0A75"/>
    <w:rsid w:val="0E7C47EE"/>
    <w:rsid w:val="0E7D1670"/>
    <w:rsid w:val="0E826757"/>
    <w:rsid w:val="0E83792A"/>
    <w:rsid w:val="0E8D4D50"/>
    <w:rsid w:val="0E8F2773"/>
    <w:rsid w:val="0E910299"/>
    <w:rsid w:val="0E910656"/>
    <w:rsid w:val="0E925E6F"/>
    <w:rsid w:val="0E93094D"/>
    <w:rsid w:val="0E941B37"/>
    <w:rsid w:val="0E982A8B"/>
    <w:rsid w:val="0E9B1118"/>
    <w:rsid w:val="0E9F0119"/>
    <w:rsid w:val="0EA425CF"/>
    <w:rsid w:val="0EAE38CF"/>
    <w:rsid w:val="0EB14497"/>
    <w:rsid w:val="0EB37705"/>
    <w:rsid w:val="0EB641F6"/>
    <w:rsid w:val="0EB66A2D"/>
    <w:rsid w:val="0EBB2C32"/>
    <w:rsid w:val="0EC83D6B"/>
    <w:rsid w:val="0ED572C9"/>
    <w:rsid w:val="0EDC1BCE"/>
    <w:rsid w:val="0EDF4DA4"/>
    <w:rsid w:val="0EE04D7C"/>
    <w:rsid w:val="0EE7435D"/>
    <w:rsid w:val="0EE77EB9"/>
    <w:rsid w:val="0EEC54CF"/>
    <w:rsid w:val="0EF52635"/>
    <w:rsid w:val="0EF820C6"/>
    <w:rsid w:val="0EFE3455"/>
    <w:rsid w:val="0F0D26CC"/>
    <w:rsid w:val="0F103F50"/>
    <w:rsid w:val="0F16079E"/>
    <w:rsid w:val="0F184ADA"/>
    <w:rsid w:val="0F225395"/>
    <w:rsid w:val="0F254285"/>
    <w:rsid w:val="0F254BC5"/>
    <w:rsid w:val="0F2B249C"/>
    <w:rsid w:val="0F360329"/>
    <w:rsid w:val="0F3A4D6F"/>
    <w:rsid w:val="0F3D21CF"/>
    <w:rsid w:val="0F451083"/>
    <w:rsid w:val="0F454FBA"/>
    <w:rsid w:val="0F4715A1"/>
    <w:rsid w:val="0F492E3F"/>
    <w:rsid w:val="0F4C0575"/>
    <w:rsid w:val="0F4C7B1C"/>
    <w:rsid w:val="0F590F9B"/>
    <w:rsid w:val="0F6862DA"/>
    <w:rsid w:val="0F793545"/>
    <w:rsid w:val="0F7A6F7F"/>
    <w:rsid w:val="0F9B20BE"/>
    <w:rsid w:val="0F9B3185"/>
    <w:rsid w:val="0FA1669B"/>
    <w:rsid w:val="0FAB5D62"/>
    <w:rsid w:val="0FAD2305"/>
    <w:rsid w:val="0FB84EA6"/>
    <w:rsid w:val="0FBF6D58"/>
    <w:rsid w:val="0FC1323B"/>
    <w:rsid w:val="0FC77080"/>
    <w:rsid w:val="0FCF5901"/>
    <w:rsid w:val="0FD053C6"/>
    <w:rsid w:val="0FD3668F"/>
    <w:rsid w:val="0FD76C15"/>
    <w:rsid w:val="0FE4089C"/>
    <w:rsid w:val="0FE43632"/>
    <w:rsid w:val="10066A65"/>
    <w:rsid w:val="100B66C4"/>
    <w:rsid w:val="100D18E1"/>
    <w:rsid w:val="101C54DD"/>
    <w:rsid w:val="10223133"/>
    <w:rsid w:val="102B64CB"/>
    <w:rsid w:val="102D3FF1"/>
    <w:rsid w:val="102E5D3B"/>
    <w:rsid w:val="10303AE2"/>
    <w:rsid w:val="103B5D52"/>
    <w:rsid w:val="103E2A4F"/>
    <w:rsid w:val="104717AF"/>
    <w:rsid w:val="105667BD"/>
    <w:rsid w:val="10597D75"/>
    <w:rsid w:val="106808C5"/>
    <w:rsid w:val="10685029"/>
    <w:rsid w:val="106A0648"/>
    <w:rsid w:val="106B203E"/>
    <w:rsid w:val="106B330D"/>
    <w:rsid w:val="1072324E"/>
    <w:rsid w:val="107407BA"/>
    <w:rsid w:val="107D54AD"/>
    <w:rsid w:val="10806E73"/>
    <w:rsid w:val="1082744F"/>
    <w:rsid w:val="108370EA"/>
    <w:rsid w:val="10861954"/>
    <w:rsid w:val="10876323"/>
    <w:rsid w:val="10893B2B"/>
    <w:rsid w:val="108A7B57"/>
    <w:rsid w:val="108C54C8"/>
    <w:rsid w:val="108E4479"/>
    <w:rsid w:val="1092654A"/>
    <w:rsid w:val="10A00598"/>
    <w:rsid w:val="10B42EE9"/>
    <w:rsid w:val="10B767FF"/>
    <w:rsid w:val="10C304B2"/>
    <w:rsid w:val="10CA5CE4"/>
    <w:rsid w:val="10CC46B3"/>
    <w:rsid w:val="10D56B2F"/>
    <w:rsid w:val="10D91A83"/>
    <w:rsid w:val="10DB1C9F"/>
    <w:rsid w:val="10E02E12"/>
    <w:rsid w:val="10E11B23"/>
    <w:rsid w:val="10E32902"/>
    <w:rsid w:val="10E87F18"/>
    <w:rsid w:val="10EF538B"/>
    <w:rsid w:val="10F04DD6"/>
    <w:rsid w:val="11021A8B"/>
    <w:rsid w:val="110411F6"/>
    <w:rsid w:val="1109680C"/>
    <w:rsid w:val="110D6ECE"/>
    <w:rsid w:val="1111121D"/>
    <w:rsid w:val="111156C1"/>
    <w:rsid w:val="11125C3A"/>
    <w:rsid w:val="1113591B"/>
    <w:rsid w:val="111A1606"/>
    <w:rsid w:val="11216397"/>
    <w:rsid w:val="112641CD"/>
    <w:rsid w:val="11267301"/>
    <w:rsid w:val="11312DC0"/>
    <w:rsid w:val="11336333"/>
    <w:rsid w:val="113439DF"/>
    <w:rsid w:val="11344F36"/>
    <w:rsid w:val="11366607"/>
    <w:rsid w:val="113C7F88"/>
    <w:rsid w:val="113E2EAB"/>
    <w:rsid w:val="114367DA"/>
    <w:rsid w:val="114701EB"/>
    <w:rsid w:val="11486D50"/>
    <w:rsid w:val="114C7DEF"/>
    <w:rsid w:val="11522D8A"/>
    <w:rsid w:val="11561326"/>
    <w:rsid w:val="115B06EA"/>
    <w:rsid w:val="115D74DB"/>
    <w:rsid w:val="115F467E"/>
    <w:rsid w:val="11612582"/>
    <w:rsid w:val="116577BB"/>
    <w:rsid w:val="11844481"/>
    <w:rsid w:val="11844ECA"/>
    <w:rsid w:val="118510CB"/>
    <w:rsid w:val="118848CF"/>
    <w:rsid w:val="118916FB"/>
    <w:rsid w:val="11894149"/>
    <w:rsid w:val="118C5FAD"/>
    <w:rsid w:val="118E2015"/>
    <w:rsid w:val="118F4F1D"/>
    <w:rsid w:val="118F74A0"/>
    <w:rsid w:val="11904838"/>
    <w:rsid w:val="119564CF"/>
    <w:rsid w:val="11991213"/>
    <w:rsid w:val="119D1E8A"/>
    <w:rsid w:val="119D3980"/>
    <w:rsid w:val="119E6913"/>
    <w:rsid w:val="119F4A7B"/>
    <w:rsid w:val="11A402E3"/>
    <w:rsid w:val="11B15B92"/>
    <w:rsid w:val="11B4612E"/>
    <w:rsid w:val="11BF511D"/>
    <w:rsid w:val="11C11380"/>
    <w:rsid w:val="11C15F24"/>
    <w:rsid w:val="11C4327C"/>
    <w:rsid w:val="11C73390"/>
    <w:rsid w:val="11CB0B28"/>
    <w:rsid w:val="11CB2ED9"/>
    <w:rsid w:val="11CD4312"/>
    <w:rsid w:val="11D353EB"/>
    <w:rsid w:val="11D41553"/>
    <w:rsid w:val="11D71DB4"/>
    <w:rsid w:val="11D774D6"/>
    <w:rsid w:val="11DA2CA1"/>
    <w:rsid w:val="11DB6BE3"/>
    <w:rsid w:val="11EA752B"/>
    <w:rsid w:val="11EE155E"/>
    <w:rsid w:val="11F528ED"/>
    <w:rsid w:val="11FC011F"/>
    <w:rsid w:val="11FD6207"/>
    <w:rsid w:val="12092462"/>
    <w:rsid w:val="120A03AC"/>
    <w:rsid w:val="120C17D7"/>
    <w:rsid w:val="120F250A"/>
    <w:rsid w:val="120F2891"/>
    <w:rsid w:val="12137217"/>
    <w:rsid w:val="12162319"/>
    <w:rsid w:val="12186591"/>
    <w:rsid w:val="121865DB"/>
    <w:rsid w:val="121D3BF2"/>
    <w:rsid w:val="121D403F"/>
    <w:rsid w:val="12261112"/>
    <w:rsid w:val="12276F00"/>
    <w:rsid w:val="122C61F2"/>
    <w:rsid w:val="12333415"/>
    <w:rsid w:val="12341308"/>
    <w:rsid w:val="124272D4"/>
    <w:rsid w:val="124420C5"/>
    <w:rsid w:val="12450BFD"/>
    <w:rsid w:val="12466F14"/>
    <w:rsid w:val="124B14A7"/>
    <w:rsid w:val="125F245C"/>
    <w:rsid w:val="126438E3"/>
    <w:rsid w:val="126927D9"/>
    <w:rsid w:val="126B216A"/>
    <w:rsid w:val="126D6927"/>
    <w:rsid w:val="127D3720"/>
    <w:rsid w:val="127D484C"/>
    <w:rsid w:val="12857766"/>
    <w:rsid w:val="128A0DD7"/>
    <w:rsid w:val="128B4BC4"/>
    <w:rsid w:val="128C1339"/>
    <w:rsid w:val="12902DF3"/>
    <w:rsid w:val="12905686"/>
    <w:rsid w:val="12937F81"/>
    <w:rsid w:val="129812CD"/>
    <w:rsid w:val="129A6A3B"/>
    <w:rsid w:val="129C76F3"/>
    <w:rsid w:val="129F7C67"/>
    <w:rsid w:val="12AF5192"/>
    <w:rsid w:val="12BB5397"/>
    <w:rsid w:val="12C215CD"/>
    <w:rsid w:val="12C57436"/>
    <w:rsid w:val="12D451A7"/>
    <w:rsid w:val="12D9220E"/>
    <w:rsid w:val="12DB2E78"/>
    <w:rsid w:val="12DB6887"/>
    <w:rsid w:val="12DB7D35"/>
    <w:rsid w:val="12E053C9"/>
    <w:rsid w:val="12E27315"/>
    <w:rsid w:val="12E5133B"/>
    <w:rsid w:val="12E666D9"/>
    <w:rsid w:val="12ED0C43"/>
    <w:rsid w:val="12F21444"/>
    <w:rsid w:val="12F40AC9"/>
    <w:rsid w:val="12F45803"/>
    <w:rsid w:val="12FE7BEE"/>
    <w:rsid w:val="13001549"/>
    <w:rsid w:val="13020825"/>
    <w:rsid w:val="13070C85"/>
    <w:rsid w:val="13082412"/>
    <w:rsid w:val="130B7EEE"/>
    <w:rsid w:val="13190AA8"/>
    <w:rsid w:val="1319260B"/>
    <w:rsid w:val="13201149"/>
    <w:rsid w:val="13280AA0"/>
    <w:rsid w:val="132A0BBC"/>
    <w:rsid w:val="132A0CBC"/>
    <w:rsid w:val="132C2F9D"/>
    <w:rsid w:val="132E255A"/>
    <w:rsid w:val="132F0080"/>
    <w:rsid w:val="132F62D2"/>
    <w:rsid w:val="13380DD8"/>
    <w:rsid w:val="13381102"/>
    <w:rsid w:val="133D47A7"/>
    <w:rsid w:val="1344521A"/>
    <w:rsid w:val="134C29E0"/>
    <w:rsid w:val="13577C09"/>
    <w:rsid w:val="135812DA"/>
    <w:rsid w:val="13631AD8"/>
    <w:rsid w:val="13636CE7"/>
    <w:rsid w:val="13645ACB"/>
    <w:rsid w:val="136515AA"/>
    <w:rsid w:val="136D066E"/>
    <w:rsid w:val="13705C9D"/>
    <w:rsid w:val="137361BF"/>
    <w:rsid w:val="1374007D"/>
    <w:rsid w:val="13782739"/>
    <w:rsid w:val="1379754E"/>
    <w:rsid w:val="138450F3"/>
    <w:rsid w:val="138A175B"/>
    <w:rsid w:val="138F6241"/>
    <w:rsid w:val="13906489"/>
    <w:rsid w:val="13955C19"/>
    <w:rsid w:val="13960100"/>
    <w:rsid w:val="1397044C"/>
    <w:rsid w:val="13A1536F"/>
    <w:rsid w:val="13A20852"/>
    <w:rsid w:val="13A30DD9"/>
    <w:rsid w:val="13A63768"/>
    <w:rsid w:val="13AC7DD3"/>
    <w:rsid w:val="13AF2F6F"/>
    <w:rsid w:val="13B26361"/>
    <w:rsid w:val="13B619EA"/>
    <w:rsid w:val="13B81E24"/>
    <w:rsid w:val="13C20EF5"/>
    <w:rsid w:val="13C21D5F"/>
    <w:rsid w:val="13C81B74"/>
    <w:rsid w:val="13CB5FFB"/>
    <w:rsid w:val="13CB67CA"/>
    <w:rsid w:val="13D30D8E"/>
    <w:rsid w:val="13D33102"/>
    <w:rsid w:val="13D94887"/>
    <w:rsid w:val="13DD77E3"/>
    <w:rsid w:val="13E23025"/>
    <w:rsid w:val="13E663A7"/>
    <w:rsid w:val="13E957B5"/>
    <w:rsid w:val="13F015BE"/>
    <w:rsid w:val="13F54664"/>
    <w:rsid w:val="140432BB"/>
    <w:rsid w:val="140A4D1D"/>
    <w:rsid w:val="140E5EE8"/>
    <w:rsid w:val="14164203"/>
    <w:rsid w:val="14171240"/>
    <w:rsid w:val="14184FB8"/>
    <w:rsid w:val="141A1AFC"/>
    <w:rsid w:val="141B7DAB"/>
    <w:rsid w:val="141D612B"/>
    <w:rsid w:val="141E383D"/>
    <w:rsid w:val="1422481E"/>
    <w:rsid w:val="14316568"/>
    <w:rsid w:val="14321134"/>
    <w:rsid w:val="143B4DE0"/>
    <w:rsid w:val="14412BB2"/>
    <w:rsid w:val="14423F54"/>
    <w:rsid w:val="144308BB"/>
    <w:rsid w:val="14467430"/>
    <w:rsid w:val="14497960"/>
    <w:rsid w:val="144A252F"/>
    <w:rsid w:val="144B2C98"/>
    <w:rsid w:val="144D6CB9"/>
    <w:rsid w:val="14551D69"/>
    <w:rsid w:val="14567DC8"/>
    <w:rsid w:val="145927AB"/>
    <w:rsid w:val="14634486"/>
    <w:rsid w:val="146B50E8"/>
    <w:rsid w:val="146F2D0E"/>
    <w:rsid w:val="147536A7"/>
    <w:rsid w:val="147541B9"/>
    <w:rsid w:val="14795A57"/>
    <w:rsid w:val="147A17CF"/>
    <w:rsid w:val="147C3697"/>
    <w:rsid w:val="148368D6"/>
    <w:rsid w:val="148E354E"/>
    <w:rsid w:val="14912EDB"/>
    <w:rsid w:val="14957C57"/>
    <w:rsid w:val="14963173"/>
    <w:rsid w:val="14975441"/>
    <w:rsid w:val="14987356"/>
    <w:rsid w:val="149C34F4"/>
    <w:rsid w:val="14A15F39"/>
    <w:rsid w:val="14A17A74"/>
    <w:rsid w:val="14A23D5A"/>
    <w:rsid w:val="14A376AA"/>
    <w:rsid w:val="14A51304"/>
    <w:rsid w:val="14B003A6"/>
    <w:rsid w:val="14B52807"/>
    <w:rsid w:val="14BF3B23"/>
    <w:rsid w:val="14C01D51"/>
    <w:rsid w:val="14C22B23"/>
    <w:rsid w:val="14C308DD"/>
    <w:rsid w:val="14C737E9"/>
    <w:rsid w:val="14C74097"/>
    <w:rsid w:val="14CA0061"/>
    <w:rsid w:val="14D712DA"/>
    <w:rsid w:val="14D83AA4"/>
    <w:rsid w:val="14DA1A69"/>
    <w:rsid w:val="14E0132F"/>
    <w:rsid w:val="14E05AD6"/>
    <w:rsid w:val="14EB5E8F"/>
    <w:rsid w:val="14EF5D19"/>
    <w:rsid w:val="14F13234"/>
    <w:rsid w:val="14FF6D92"/>
    <w:rsid w:val="150126F3"/>
    <w:rsid w:val="150744D3"/>
    <w:rsid w:val="150A7466"/>
    <w:rsid w:val="15170DCC"/>
    <w:rsid w:val="15211C4B"/>
    <w:rsid w:val="15230B72"/>
    <w:rsid w:val="153320AA"/>
    <w:rsid w:val="15371D4B"/>
    <w:rsid w:val="1542409B"/>
    <w:rsid w:val="15477053"/>
    <w:rsid w:val="1548367B"/>
    <w:rsid w:val="154E1966"/>
    <w:rsid w:val="154F5B2A"/>
    <w:rsid w:val="15505E42"/>
    <w:rsid w:val="15581B2C"/>
    <w:rsid w:val="1559194D"/>
    <w:rsid w:val="155C14A4"/>
    <w:rsid w:val="156027A9"/>
    <w:rsid w:val="1565471E"/>
    <w:rsid w:val="15655FDB"/>
    <w:rsid w:val="157460AE"/>
    <w:rsid w:val="157601E9"/>
    <w:rsid w:val="157955E3"/>
    <w:rsid w:val="157B469B"/>
    <w:rsid w:val="1582736D"/>
    <w:rsid w:val="15842F69"/>
    <w:rsid w:val="15863331"/>
    <w:rsid w:val="158C5316"/>
    <w:rsid w:val="158F4E06"/>
    <w:rsid w:val="159054BF"/>
    <w:rsid w:val="15950B46"/>
    <w:rsid w:val="159863B1"/>
    <w:rsid w:val="159A3BF9"/>
    <w:rsid w:val="159C2317"/>
    <w:rsid w:val="15A02C05"/>
    <w:rsid w:val="15A078BC"/>
    <w:rsid w:val="15A24B3A"/>
    <w:rsid w:val="15A73194"/>
    <w:rsid w:val="15AE733A"/>
    <w:rsid w:val="15B15BAD"/>
    <w:rsid w:val="15B42ABF"/>
    <w:rsid w:val="15B5037D"/>
    <w:rsid w:val="15B53281"/>
    <w:rsid w:val="15B77304"/>
    <w:rsid w:val="15C454E5"/>
    <w:rsid w:val="15CA5E3E"/>
    <w:rsid w:val="15CC0C9A"/>
    <w:rsid w:val="15CC451A"/>
    <w:rsid w:val="15D32F45"/>
    <w:rsid w:val="15D867AD"/>
    <w:rsid w:val="15E45152"/>
    <w:rsid w:val="15E9427A"/>
    <w:rsid w:val="15EA25B6"/>
    <w:rsid w:val="15F84071"/>
    <w:rsid w:val="15FC212E"/>
    <w:rsid w:val="15FD6214"/>
    <w:rsid w:val="160101E5"/>
    <w:rsid w:val="16021A3F"/>
    <w:rsid w:val="1603305E"/>
    <w:rsid w:val="16037FF8"/>
    <w:rsid w:val="160B1BD8"/>
    <w:rsid w:val="1610130F"/>
    <w:rsid w:val="16111CBF"/>
    <w:rsid w:val="16172083"/>
    <w:rsid w:val="161D33D4"/>
    <w:rsid w:val="16305BFD"/>
    <w:rsid w:val="1635134B"/>
    <w:rsid w:val="163952E0"/>
    <w:rsid w:val="1640457D"/>
    <w:rsid w:val="1647108A"/>
    <w:rsid w:val="16591947"/>
    <w:rsid w:val="16597293"/>
    <w:rsid w:val="165C118C"/>
    <w:rsid w:val="165C720B"/>
    <w:rsid w:val="16661C68"/>
    <w:rsid w:val="166718DF"/>
    <w:rsid w:val="16684AF4"/>
    <w:rsid w:val="16753FFC"/>
    <w:rsid w:val="167A18C1"/>
    <w:rsid w:val="167A7865"/>
    <w:rsid w:val="16863709"/>
    <w:rsid w:val="16976668"/>
    <w:rsid w:val="16A235F7"/>
    <w:rsid w:val="16A3214A"/>
    <w:rsid w:val="16AD3B86"/>
    <w:rsid w:val="16B010C4"/>
    <w:rsid w:val="16BB1E41"/>
    <w:rsid w:val="16BB73C0"/>
    <w:rsid w:val="16BC60CF"/>
    <w:rsid w:val="16BE31B2"/>
    <w:rsid w:val="16CE6F3C"/>
    <w:rsid w:val="16E34BC4"/>
    <w:rsid w:val="16EA5C33"/>
    <w:rsid w:val="16F511B2"/>
    <w:rsid w:val="16F93153"/>
    <w:rsid w:val="16FF780B"/>
    <w:rsid w:val="170149D2"/>
    <w:rsid w:val="1705161F"/>
    <w:rsid w:val="17077F43"/>
    <w:rsid w:val="17125CEF"/>
    <w:rsid w:val="17152E17"/>
    <w:rsid w:val="17172CC3"/>
    <w:rsid w:val="171955EB"/>
    <w:rsid w:val="171C5FB5"/>
    <w:rsid w:val="1720665E"/>
    <w:rsid w:val="17264519"/>
    <w:rsid w:val="172A1253"/>
    <w:rsid w:val="172B4C33"/>
    <w:rsid w:val="172F4AF3"/>
    <w:rsid w:val="173869C3"/>
    <w:rsid w:val="17400428"/>
    <w:rsid w:val="1740285C"/>
    <w:rsid w:val="17471E3D"/>
    <w:rsid w:val="174948DC"/>
    <w:rsid w:val="174A78E6"/>
    <w:rsid w:val="175207E1"/>
    <w:rsid w:val="17590DA7"/>
    <w:rsid w:val="175B58E8"/>
    <w:rsid w:val="175B7696"/>
    <w:rsid w:val="175E4D83"/>
    <w:rsid w:val="176169D2"/>
    <w:rsid w:val="176202D6"/>
    <w:rsid w:val="176564D4"/>
    <w:rsid w:val="17671DD7"/>
    <w:rsid w:val="176A328A"/>
    <w:rsid w:val="176B128C"/>
    <w:rsid w:val="176B2594"/>
    <w:rsid w:val="176E561B"/>
    <w:rsid w:val="17731AF7"/>
    <w:rsid w:val="17737CF8"/>
    <w:rsid w:val="17752EFE"/>
    <w:rsid w:val="17765D15"/>
    <w:rsid w:val="17797B1C"/>
    <w:rsid w:val="177B5642"/>
    <w:rsid w:val="177D6B97"/>
    <w:rsid w:val="17847813"/>
    <w:rsid w:val="17872E16"/>
    <w:rsid w:val="17877DBA"/>
    <w:rsid w:val="17983320"/>
    <w:rsid w:val="17987288"/>
    <w:rsid w:val="17992095"/>
    <w:rsid w:val="17AC29AB"/>
    <w:rsid w:val="17B9616B"/>
    <w:rsid w:val="17BA17F6"/>
    <w:rsid w:val="17BB323B"/>
    <w:rsid w:val="17BC1DD2"/>
    <w:rsid w:val="17BE7C25"/>
    <w:rsid w:val="17C54FD7"/>
    <w:rsid w:val="17C55D1A"/>
    <w:rsid w:val="17C61BD6"/>
    <w:rsid w:val="17DF02C7"/>
    <w:rsid w:val="17DF2075"/>
    <w:rsid w:val="17E44312"/>
    <w:rsid w:val="17F35B20"/>
    <w:rsid w:val="17F866CA"/>
    <w:rsid w:val="17FD6AAF"/>
    <w:rsid w:val="17FE578F"/>
    <w:rsid w:val="18027B12"/>
    <w:rsid w:val="18067C6B"/>
    <w:rsid w:val="18073411"/>
    <w:rsid w:val="180B5092"/>
    <w:rsid w:val="180D7666"/>
    <w:rsid w:val="180E041D"/>
    <w:rsid w:val="181267F9"/>
    <w:rsid w:val="181B5077"/>
    <w:rsid w:val="181D6492"/>
    <w:rsid w:val="18266F40"/>
    <w:rsid w:val="183449C5"/>
    <w:rsid w:val="183A52E7"/>
    <w:rsid w:val="183B3D13"/>
    <w:rsid w:val="183F2B14"/>
    <w:rsid w:val="1844493A"/>
    <w:rsid w:val="18445D64"/>
    <w:rsid w:val="184A0B34"/>
    <w:rsid w:val="184F0A04"/>
    <w:rsid w:val="18512CF7"/>
    <w:rsid w:val="18540FC5"/>
    <w:rsid w:val="185722F3"/>
    <w:rsid w:val="185808AC"/>
    <w:rsid w:val="185855DF"/>
    <w:rsid w:val="18585984"/>
    <w:rsid w:val="18624A54"/>
    <w:rsid w:val="18655195"/>
    <w:rsid w:val="186B0674"/>
    <w:rsid w:val="186C7681"/>
    <w:rsid w:val="1874541D"/>
    <w:rsid w:val="18752D8F"/>
    <w:rsid w:val="18772927"/>
    <w:rsid w:val="18782C66"/>
    <w:rsid w:val="187D188E"/>
    <w:rsid w:val="188213EC"/>
    <w:rsid w:val="18866995"/>
    <w:rsid w:val="18871F4D"/>
    <w:rsid w:val="188C77F1"/>
    <w:rsid w:val="18904498"/>
    <w:rsid w:val="18925B18"/>
    <w:rsid w:val="189747BD"/>
    <w:rsid w:val="189B32FD"/>
    <w:rsid w:val="18A01BF8"/>
    <w:rsid w:val="18A1429D"/>
    <w:rsid w:val="18A3471E"/>
    <w:rsid w:val="18B01DE4"/>
    <w:rsid w:val="18B352B0"/>
    <w:rsid w:val="18B52685"/>
    <w:rsid w:val="18C179CD"/>
    <w:rsid w:val="18CD3EF3"/>
    <w:rsid w:val="18D144BA"/>
    <w:rsid w:val="18D25736"/>
    <w:rsid w:val="18DE3ABF"/>
    <w:rsid w:val="18FF2603"/>
    <w:rsid w:val="19037FE5"/>
    <w:rsid w:val="190869B1"/>
    <w:rsid w:val="190F0738"/>
    <w:rsid w:val="19102702"/>
    <w:rsid w:val="19183767"/>
    <w:rsid w:val="191A5382"/>
    <w:rsid w:val="19202945"/>
    <w:rsid w:val="192835A8"/>
    <w:rsid w:val="192960CA"/>
    <w:rsid w:val="192B4DF7"/>
    <w:rsid w:val="192D223F"/>
    <w:rsid w:val="192D641F"/>
    <w:rsid w:val="192E4F24"/>
    <w:rsid w:val="1936705A"/>
    <w:rsid w:val="193A0433"/>
    <w:rsid w:val="193B3A70"/>
    <w:rsid w:val="193E101D"/>
    <w:rsid w:val="194B021E"/>
    <w:rsid w:val="194C2869"/>
    <w:rsid w:val="195425EF"/>
    <w:rsid w:val="195500C6"/>
    <w:rsid w:val="19563E00"/>
    <w:rsid w:val="19574DFB"/>
    <w:rsid w:val="19587488"/>
    <w:rsid w:val="19597C05"/>
    <w:rsid w:val="195A572B"/>
    <w:rsid w:val="196642EF"/>
    <w:rsid w:val="196E6E60"/>
    <w:rsid w:val="19702C51"/>
    <w:rsid w:val="19743E37"/>
    <w:rsid w:val="197E12A7"/>
    <w:rsid w:val="197E36EE"/>
    <w:rsid w:val="19804FB8"/>
    <w:rsid w:val="19831126"/>
    <w:rsid w:val="19860F09"/>
    <w:rsid w:val="199D6C68"/>
    <w:rsid w:val="19A14E4F"/>
    <w:rsid w:val="19A2756E"/>
    <w:rsid w:val="19AA1A62"/>
    <w:rsid w:val="19AA220F"/>
    <w:rsid w:val="19B2405E"/>
    <w:rsid w:val="19B52F66"/>
    <w:rsid w:val="19BA38E9"/>
    <w:rsid w:val="19BA6371"/>
    <w:rsid w:val="19C332D1"/>
    <w:rsid w:val="19C53F90"/>
    <w:rsid w:val="19C71EDF"/>
    <w:rsid w:val="19C83E7A"/>
    <w:rsid w:val="19D159ED"/>
    <w:rsid w:val="19E00942"/>
    <w:rsid w:val="19E27BFB"/>
    <w:rsid w:val="19EF24A3"/>
    <w:rsid w:val="19F66D1E"/>
    <w:rsid w:val="19F90D7B"/>
    <w:rsid w:val="19FB6F0E"/>
    <w:rsid w:val="1A005E51"/>
    <w:rsid w:val="1A0A7151"/>
    <w:rsid w:val="1A195147"/>
    <w:rsid w:val="1A1C00CA"/>
    <w:rsid w:val="1A1D5C27"/>
    <w:rsid w:val="1A1D5C9D"/>
    <w:rsid w:val="1A22292E"/>
    <w:rsid w:val="1A255D39"/>
    <w:rsid w:val="1A295A7D"/>
    <w:rsid w:val="1A297E93"/>
    <w:rsid w:val="1A2C70C8"/>
    <w:rsid w:val="1A2E4AFC"/>
    <w:rsid w:val="1A332204"/>
    <w:rsid w:val="1A3450F6"/>
    <w:rsid w:val="1A35096F"/>
    <w:rsid w:val="1A354F1E"/>
    <w:rsid w:val="1A37691F"/>
    <w:rsid w:val="1A391603"/>
    <w:rsid w:val="1A396071"/>
    <w:rsid w:val="1A3969F1"/>
    <w:rsid w:val="1A3A0B51"/>
    <w:rsid w:val="1A3C0945"/>
    <w:rsid w:val="1A3E5CD0"/>
    <w:rsid w:val="1A421918"/>
    <w:rsid w:val="1A450189"/>
    <w:rsid w:val="1A477835"/>
    <w:rsid w:val="1A4964D8"/>
    <w:rsid w:val="1A497C7A"/>
    <w:rsid w:val="1A4E02B5"/>
    <w:rsid w:val="1A4F3BD8"/>
    <w:rsid w:val="1A614980"/>
    <w:rsid w:val="1A6236C2"/>
    <w:rsid w:val="1A6B1272"/>
    <w:rsid w:val="1A7515F7"/>
    <w:rsid w:val="1A803582"/>
    <w:rsid w:val="1A877989"/>
    <w:rsid w:val="1A8824EC"/>
    <w:rsid w:val="1A8962C8"/>
    <w:rsid w:val="1A8973FF"/>
    <w:rsid w:val="1A8F2B01"/>
    <w:rsid w:val="1A9A04D5"/>
    <w:rsid w:val="1A9E1B46"/>
    <w:rsid w:val="1AAC54A3"/>
    <w:rsid w:val="1AB8095B"/>
    <w:rsid w:val="1ABB06B4"/>
    <w:rsid w:val="1ABC044C"/>
    <w:rsid w:val="1ABF25D9"/>
    <w:rsid w:val="1AC45552"/>
    <w:rsid w:val="1AC62840"/>
    <w:rsid w:val="1AD25EC1"/>
    <w:rsid w:val="1AD554DD"/>
    <w:rsid w:val="1AD5594E"/>
    <w:rsid w:val="1AD75285"/>
    <w:rsid w:val="1ADB5062"/>
    <w:rsid w:val="1ADE4866"/>
    <w:rsid w:val="1AE53476"/>
    <w:rsid w:val="1AE654C9"/>
    <w:rsid w:val="1AEB3B6C"/>
    <w:rsid w:val="1AED2CFB"/>
    <w:rsid w:val="1AF000F5"/>
    <w:rsid w:val="1AF23E6D"/>
    <w:rsid w:val="1AF51BB0"/>
    <w:rsid w:val="1AF6583C"/>
    <w:rsid w:val="1AFE6CB6"/>
    <w:rsid w:val="1B035027"/>
    <w:rsid w:val="1B0A6E37"/>
    <w:rsid w:val="1B1451F1"/>
    <w:rsid w:val="1B154000"/>
    <w:rsid w:val="1B182C82"/>
    <w:rsid w:val="1B273B62"/>
    <w:rsid w:val="1B2903BD"/>
    <w:rsid w:val="1B2925C2"/>
    <w:rsid w:val="1B2A5208"/>
    <w:rsid w:val="1B323058"/>
    <w:rsid w:val="1B3645F9"/>
    <w:rsid w:val="1B3812F1"/>
    <w:rsid w:val="1B386E6F"/>
    <w:rsid w:val="1B391A90"/>
    <w:rsid w:val="1B3C67E4"/>
    <w:rsid w:val="1B4D5D94"/>
    <w:rsid w:val="1B5561CE"/>
    <w:rsid w:val="1B5B3AB2"/>
    <w:rsid w:val="1B5E366F"/>
    <w:rsid w:val="1B60171F"/>
    <w:rsid w:val="1B610FF3"/>
    <w:rsid w:val="1B6463AA"/>
    <w:rsid w:val="1B740D26"/>
    <w:rsid w:val="1B7B66B5"/>
    <w:rsid w:val="1B7C407F"/>
    <w:rsid w:val="1B7F246B"/>
    <w:rsid w:val="1B8151F1"/>
    <w:rsid w:val="1B852BFA"/>
    <w:rsid w:val="1B8558A1"/>
    <w:rsid w:val="1B867F14"/>
    <w:rsid w:val="1B8B164F"/>
    <w:rsid w:val="1B8B5DC0"/>
    <w:rsid w:val="1B8D1DE8"/>
    <w:rsid w:val="1B9413C8"/>
    <w:rsid w:val="1BA52C13"/>
    <w:rsid w:val="1BA62EAA"/>
    <w:rsid w:val="1BAC6057"/>
    <w:rsid w:val="1BAD4238"/>
    <w:rsid w:val="1BB12D3A"/>
    <w:rsid w:val="1BB47375"/>
    <w:rsid w:val="1BB9498B"/>
    <w:rsid w:val="1BB97AB4"/>
    <w:rsid w:val="1BBB0703"/>
    <w:rsid w:val="1BC82D28"/>
    <w:rsid w:val="1BCC2D86"/>
    <w:rsid w:val="1BD230D2"/>
    <w:rsid w:val="1BD23C9F"/>
    <w:rsid w:val="1BD25A4D"/>
    <w:rsid w:val="1BD600BC"/>
    <w:rsid w:val="1BD85D53"/>
    <w:rsid w:val="1BDB3B08"/>
    <w:rsid w:val="1BDB6FF7"/>
    <w:rsid w:val="1BDC68CC"/>
    <w:rsid w:val="1BEB0A52"/>
    <w:rsid w:val="1BF314C7"/>
    <w:rsid w:val="1BF41580"/>
    <w:rsid w:val="1BF76248"/>
    <w:rsid w:val="1BFB41C6"/>
    <w:rsid w:val="1BFE4A94"/>
    <w:rsid w:val="1C0B3440"/>
    <w:rsid w:val="1C11378B"/>
    <w:rsid w:val="1C1222ED"/>
    <w:rsid w:val="1C1333C3"/>
    <w:rsid w:val="1C161DDD"/>
    <w:rsid w:val="1C183DA8"/>
    <w:rsid w:val="1C18644F"/>
    <w:rsid w:val="1C197B20"/>
    <w:rsid w:val="1C225E9B"/>
    <w:rsid w:val="1C225F98"/>
    <w:rsid w:val="1C24274C"/>
    <w:rsid w:val="1C272EF4"/>
    <w:rsid w:val="1C2A3ADB"/>
    <w:rsid w:val="1C346708"/>
    <w:rsid w:val="1C3D380E"/>
    <w:rsid w:val="1C443965"/>
    <w:rsid w:val="1C493F61"/>
    <w:rsid w:val="1C513DC0"/>
    <w:rsid w:val="1C595424"/>
    <w:rsid w:val="1C5A43C0"/>
    <w:rsid w:val="1C655F51"/>
    <w:rsid w:val="1C672254"/>
    <w:rsid w:val="1C6A3ED7"/>
    <w:rsid w:val="1C6C7C4F"/>
    <w:rsid w:val="1C6E187C"/>
    <w:rsid w:val="1C7233D8"/>
    <w:rsid w:val="1C8054A9"/>
    <w:rsid w:val="1C89080C"/>
    <w:rsid w:val="1C8D31D5"/>
    <w:rsid w:val="1C9200B7"/>
    <w:rsid w:val="1C96073B"/>
    <w:rsid w:val="1C985634"/>
    <w:rsid w:val="1CAC4530"/>
    <w:rsid w:val="1CB14D58"/>
    <w:rsid w:val="1CB42982"/>
    <w:rsid w:val="1CB533A4"/>
    <w:rsid w:val="1CB75B21"/>
    <w:rsid w:val="1CBA4E5F"/>
    <w:rsid w:val="1CBE637B"/>
    <w:rsid w:val="1CC16B7E"/>
    <w:rsid w:val="1CDB00C3"/>
    <w:rsid w:val="1CDF6673"/>
    <w:rsid w:val="1CE00D50"/>
    <w:rsid w:val="1CE65C54"/>
    <w:rsid w:val="1CE67BE5"/>
    <w:rsid w:val="1CF14E4C"/>
    <w:rsid w:val="1CF3211F"/>
    <w:rsid w:val="1CF57C45"/>
    <w:rsid w:val="1CFA34AD"/>
    <w:rsid w:val="1CFC0FD3"/>
    <w:rsid w:val="1D022362"/>
    <w:rsid w:val="1D060497"/>
    <w:rsid w:val="1D0B002A"/>
    <w:rsid w:val="1D1327C1"/>
    <w:rsid w:val="1D137517"/>
    <w:rsid w:val="1D181B85"/>
    <w:rsid w:val="1D28454F"/>
    <w:rsid w:val="1D320A97"/>
    <w:rsid w:val="1D353AC3"/>
    <w:rsid w:val="1D3541D9"/>
    <w:rsid w:val="1D3544E5"/>
    <w:rsid w:val="1D3E6FE0"/>
    <w:rsid w:val="1D417781"/>
    <w:rsid w:val="1D44297A"/>
    <w:rsid w:val="1D4454A0"/>
    <w:rsid w:val="1D4F2685"/>
    <w:rsid w:val="1D5030CD"/>
    <w:rsid w:val="1D510639"/>
    <w:rsid w:val="1D5670E5"/>
    <w:rsid w:val="1D5E190C"/>
    <w:rsid w:val="1D5F1562"/>
    <w:rsid w:val="1D622AE0"/>
    <w:rsid w:val="1D631052"/>
    <w:rsid w:val="1D6909E2"/>
    <w:rsid w:val="1D6D3C7F"/>
    <w:rsid w:val="1D740177"/>
    <w:rsid w:val="1D752B34"/>
    <w:rsid w:val="1D7A2484"/>
    <w:rsid w:val="1D7C66E4"/>
    <w:rsid w:val="1D835251"/>
    <w:rsid w:val="1D8411B0"/>
    <w:rsid w:val="1D862F12"/>
    <w:rsid w:val="1D8B2357"/>
    <w:rsid w:val="1D8C2C52"/>
    <w:rsid w:val="1DB25B36"/>
    <w:rsid w:val="1DB76D37"/>
    <w:rsid w:val="1DBB2EA1"/>
    <w:rsid w:val="1DBC654F"/>
    <w:rsid w:val="1DC3701C"/>
    <w:rsid w:val="1DC61C47"/>
    <w:rsid w:val="1DC674BF"/>
    <w:rsid w:val="1DD34259"/>
    <w:rsid w:val="1DD7559C"/>
    <w:rsid w:val="1DE173D0"/>
    <w:rsid w:val="1DE33F53"/>
    <w:rsid w:val="1DE35853"/>
    <w:rsid w:val="1DE45963"/>
    <w:rsid w:val="1DE873BA"/>
    <w:rsid w:val="1DF443A0"/>
    <w:rsid w:val="1DF63C75"/>
    <w:rsid w:val="1DFB4F2F"/>
    <w:rsid w:val="1DFC46F0"/>
    <w:rsid w:val="1DFF65CA"/>
    <w:rsid w:val="1E026ABD"/>
    <w:rsid w:val="1E09439F"/>
    <w:rsid w:val="1E096D85"/>
    <w:rsid w:val="1E0C3498"/>
    <w:rsid w:val="1E0F2F88"/>
    <w:rsid w:val="1E12416F"/>
    <w:rsid w:val="1E1C7EC6"/>
    <w:rsid w:val="1E1D38F7"/>
    <w:rsid w:val="1E2A19C5"/>
    <w:rsid w:val="1E2D1660"/>
    <w:rsid w:val="1E324813"/>
    <w:rsid w:val="1E326C77"/>
    <w:rsid w:val="1E34129B"/>
    <w:rsid w:val="1E376CEE"/>
    <w:rsid w:val="1E3D435B"/>
    <w:rsid w:val="1E3E2D25"/>
    <w:rsid w:val="1E4507E4"/>
    <w:rsid w:val="1E453EF4"/>
    <w:rsid w:val="1E4744D0"/>
    <w:rsid w:val="1E5452BA"/>
    <w:rsid w:val="1E5631F5"/>
    <w:rsid w:val="1E6037E4"/>
    <w:rsid w:val="1E6210B8"/>
    <w:rsid w:val="1E65704C"/>
    <w:rsid w:val="1E6973EB"/>
    <w:rsid w:val="1E731CD6"/>
    <w:rsid w:val="1E735005"/>
    <w:rsid w:val="1E7B061E"/>
    <w:rsid w:val="1E7D29AF"/>
    <w:rsid w:val="1E8229CB"/>
    <w:rsid w:val="1E917E41"/>
    <w:rsid w:val="1E9F430C"/>
    <w:rsid w:val="1EA414D5"/>
    <w:rsid w:val="1EA66689"/>
    <w:rsid w:val="1EAD17CE"/>
    <w:rsid w:val="1EBF49AE"/>
    <w:rsid w:val="1EC014EF"/>
    <w:rsid w:val="1EC35667"/>
    <w:rsid w:val="1EC5770B"/>
    <w:rsid w:val="1EC664F8"/>
    <w:rsid w:val="1EC85309"/>
    <w:rsid w:val="1ECF44C6"/>
    <w:rsid w:val="1ED85DF1"/>
    <w:rsid w:val="1EDA22B2"/>
    <w:rsid w:val="1EDA6951"/>
    <w:rsid w:val="1EDE4DF0"/>
    <w:rsid w:val="1EDF3CF2"/>
    <w:rsid w:val="1EE6729F"/>
    <w:rsid w:val="1EF25CE1"/>
    <w:rsid w:val="1EF563EE"/>
    <w:rsid w:val="1EF63B7C"/>
    <w:rsid w:val="1EFA3C38"/>
    <w:rsid w:val="1EFB6E67"/>
    <w:rsid w:val="1EFC5515"/>
    <w:rsid w:val="1F01285A"/>
    <w:rsid w:val="1F031515"/>
    <w:rsid w:val="1F067607"/>
    <w:rsid w:val="1F0B72E6"/>
    <w:rsid w:val="1F0C3771"/>
    <w:rsid w:val="1F0C56B5"/>
    <w:rsid w:val="1F130897"/>
    <w:rsid w:val="1F1A1BE5"/>
    <w:rsid w:val="1F204682"/>
    <w:rsid w:val="1F264A2D"/>
    <w:rsid w:val="1F270349"/>
    <w:rsid w:val="1F3407E0"/>
    <w:rsid w:val="1F366DDB"/>
    <w:rsid w:val="1F443106"/>
    <w:rsid w:val="1F444F2D"/>
    <w:rsid w:val="1F470BF3"/>
    <w:rsid w:val="1F49071C"/>
    <w:rsid w:val="1F563B47"/>
    <w:rsid w:val="1F570005"/>
    <w:rsid w:val="1F60778E"/>
    <w:rsid w:val="1F62037E"/>
    <w:rsid w:val="1F64141A"/>
    <w:rsid w:val="1F69529A"/>
    <w:rsid w:val="1F6C6450"/>
    <w:rsid w:val="1F6C705A"/>
    <w:rsid w:val="1F71321A"/>
    <w:rsid w:val="1F744CA1"/>
    <w:rsid w:val="1F745799"/>
    <w:rsid w:val="1F75198F"/>
    <w:rsid w:val="1F7F6672"/>
    <w:rsid w:val="1F882FF2"/>
    <w:rsid w:val="1F941997"/>
    <w:rsid w:val="1FA64EAA"/>
    <w:rsid w:val="1FB2006F"/>
    <w:rsid w:val="1FB75686"/>
    <w:rsid w:val="1FBA6F24"/>
    <w:rsid w:val="1FD06747"/>
    <w:rsid w:val="1FD2426D"/>
    <w:rsid w:val="1FD754CA"/>
    <w:rsid w:val="1FDE2C12"/>
    <w:rsid w:val="1FE10954"/>
    <w:rsid w:val="1FF77556"/>
    <w:rsid w:val="1FF91559"/>
    <w:rsid w:val="1FFB33E2"/>
    <w:rsid w:val="2003259A"/>
    <w:rsid w:val="200C3C23"/>
    <w:rsid w:val="200F101E"/>
    <w:rsid w:val="201071A3"/>
    <w:rsid w:val="20157DDB"/>
    <w:rsid w:val="20173C78"/>
    <w:rsid w:val="20180D66"/>
    <w:rsid w:val="201A33FC"/>
    <w:rsid w:val="20242EA5"/>
    <w:rsid w:val="20246950"/>
    <w:rsid w:val="202F16C0"/>
    <w:rsid w:val="20335C6D"/>
    <w:rsid w:val="20337402"/>
    <w:rsid w:val="20345DC5"/>
    <w:rsid w:val="203B2E3D"/>
    <w:rsid w:val="203E07CD"/>
    <w:rsid w:val="20447B15"/>
    <w:rsid w:val="2045770D"/>
    <w:rsid w:val="204D1B46"/>
    <w:rsid w:val="204F58BE"/>
    <w:rsid w:val="2052619B"/>
    <w:rsid w:val="205B18E7"/>
    <w:rsid w:val="20613B25"/>
    <w:rsid w:val="206155F1"/>
    <w:rsid w:val="2065034B"/>
    <w:rsid w:val="20686980"/>
    <w:rsid w:val="206876C4"/>
    <w:rsid w:val="206F2178"/>
    <w:rsid w:val="206F5F60"/>
    <w:rsid w:val="207249CE"/>
    <w:rsid w:val="2075613B"/>
    <w:rsid w:val="20790DF3"/>
    <w:rsid w:val="207B2B57"/>
    <w:rsid w:val="208345C7"/>
    <w:rsid w:val="208B380B"/>
    <w:rsid w:val="208C266E"/>
    <w:rsid w:val="2091095B"/>
    <w:rsid w:val="209130C4"/>
    <w:rsid w:val="20923866"/>
    <w:rsid w:val="209F5F09"/>
    <w:rsid w:val="20A0760C"/>
    <w:rsid w:val="20A2572D"/>
    <w:rsid w:val="20A756FA"/>
    <w:rsid w:val="20A92AAD"/>
    <w:rsid w:val="20AC72F7"/>
    <w:rsid w:val="20B135CD"/>
    <w:rsid w:val="20B350E6"/>
    <w:rsid w:val="20B379E1"/>
    <w:rsid w:val="20B56069"/>
    <w:rsid w:val="20B87907"/>
    <w:rsid w:val="20B95A12"/>
    <w:rsid w:val="20B9746F"/>
    <w:rsid w:val="20BC3458"/>
    <w:rsid w:val="20C4005A"/>
    <w:rsid w:val="20C46096"/>
    <w:rsid w:val="20C75D9C"/>
    <w:rsid w:val="20CE3668"/>
    <w:rsid w:val="20D06B4E"/>
    <w:rsid w:val="20D60162"/>
    <w:rsid w:val="20DA5ACF"/>
    <w:rsid w:val="20DB0876"/>
    <w:rsid w:val="20DB61CE"/>
    <w:rsid w:val="20E555F0"/>
    <w:rsid w:val="20F070A1"/>
    <w:rsid w:val="20F546B7"/>
    <w:rsid w:val="20FA6430"/>
    <w:rsid w:val="210C58D9"/>
    <w:rsid w:val="21121B12"/>
    <w:rsid w:val="211A5ECC"/>
    <w:rsid w:val="211F34E2"/>
    <w:rsid w:val="21262AC3"/>
    <w:rsid w:val="212815C2"/>
    <w:rsid w:val="212B0325"/>
    <w:rsid w:val="21311468"/>
    <w:rsid w:val="214147B8"/>
    <w:rsid w:val="21440C9E"/>
    <w:rsid w:val="21571CE1"/>
    <w:rsid w:val="21576677"/>
    <w:rsid w:val="215C4736"/>
    <w:rsid w:val="21647B81"/>
    <w:rsid w:val="21665293"/>
    <w:rsid w:val="216842D4"/>
    <w:rsid w:val="216A62BD"/>
    <w:rsid w:val="2172245A"/>
    <w:rsid w:val="21783FFD"/>
    <w:rsid w:val="217A4BBD"/>
    <w:rsid w:val="217E28FF"/>
    <w:rsid w:val="21894E00"/>
    <w:rsid w:val="218C6669"/>
    <w:rsid w:val="218E68BA"/>
    <w:rsid w:val="219015E6"/>
    <w:rsid w:val="21935C7E"/>
    <w:rsid w:val="219568DA"/>
    <w:rsid w:val="219E3D79"/>
    <w:rsid w:val="21A3266E"/>
    <w:rsid w:val="21A44E00"/>
    <w:rsid w:val="21AA585E"/>
    <w:rsid w:val="21B06830"/>
    <w:rsid w:val="21B17238"/>
    <w:rsid w:val="21B1734D"/>
    <w:rsid w:val="21B80F01"/>
    <w:rsid w:val="21BB6D14"/>
    <w:rsid w:val="21BF7FAF"/>
    <w:rsid w:val="21D02A2F"/>
    <w:rsid w:val="21D33621"/>
    <w:rsid w:val="21D442C0"/>
    <w:rsid w:val="21E92610"/>
    <w:rsid w:val="21EA5A33"/>
    <w:rsid w:val="21EB43DB"/>
    <w:rsid w:val="21F93D33"/>
    <w:rsid w:val="220060E6"/>
    <w:rsid w:val="220B1CB9"/>
    <w:rsid w:val="220E4EAD"/>
    <w:rsid w:val="22117BFE"/>
    <w:rsid w:val="22121826"/>
    <w:rsid w:val="22155EFF"/>
    <w:rsid w:val="221A5B54"/>
    <w:rsid w:val="221C56F1"/>
    <w:rsid w:val="221F6EDC"/>
    <w:rsid w:val="221F70D3"/>
    <w:rsid w:val="2221772E"/>
    <w:rsid w:val="22254A78"/>
    <w:rsid w:val="222618CF"/>
    <w:rsid w:val="22280ABD"/>
    <w:rsid w:val="222F26CC"/>
    <w:rsid w:val="22316FC2"/>
    <w:rsid w:val="22493D99"/>
    <w:rsid w:val="224B22A8"/>
    <w:rsid w:val="224F586A"/>
    <w:rsid w:val="22511DC1"/>
    <w:rsid w:val="225278E7"/>
    <w:rsid w:val="226006F6"/>
    <w:rsid w:val="226337D6"/>
    <w:rsid w:val="226440A0"/>
    <w:rsid w:val="22653662"/>
    <w:rsid w:val="22660D81"/>
    <w:rsid w:val="22665C45"/>
    <w:rsid w:val="22684249"/>
    <w:rsid w:val="226C6BFB"/>
    <w:rsid w:val="2271209A"/>
    <w:rsid w:val="227C004B"/>
    <w:rsid w:val="2280022A"/>
    <w:rsid w:val="228026A7"/>
    <w:rsid w:val="22821EED"/>
    <w:rsid w:val="22885B34"/>
    <w:rsid w:val="229654C7"/>
    <w:rsid w:val="2298179E"/>
    <w:rsid w:val="229A7114"/>
    <w:rsid w:val="229C639F"/>
    <w:rsid w:val="229E54C2"/>
    <w:rsid w:val="22A002A0"/>
    <w:rsid w:val="22A00653"/>
    <w:rsid w:val="22AE6704"/>
    <w:rsid w:val="22B43FFD"/>
    <w:rsid w:val="22B81E40"/>
    <w:rsid w:val="22BB639F"/>
    <w:rsid w:val="22BE5C90"/>
    <w:rsid w:val="22C11687"/>
    <w:rsid w:val="22C72B66"/>
    <w:rsid w:val="22CD2A7C"/>
    <w:rsid w:val="22CD5486"/>
    <w:rsid w:val="22D30BD4"/>
    <w:rsid w:val="22DD18A7"/>
    <w:rsid w:val="22DE117B"/>
    <w:rsid w:val="22E35196"/>
    <w:rsid w:val="22E3639B"/>
    <w:rsid w:val="22E42FC1"/>
    <w:rsid w:val="22E645D5"/>
    <w:rsid w:val="22EE7610"/>
    <w:rsid w:val="22F02220"/>
    <w:rsid w:val="22F377CF"/>
    <w:rsid w:val="22FB1D2D"/>
    <w:rsid w:val="22FC23C6"/>
    <w:rsid w:val="23013B93"/>
    <w:rsid w:val="2303453C"/>
    <w:rsid w:val="230554A1"/>
    <w:rsid w:val="230841CA"/>
    <w:rsid w:val="23151F68"/>
    <w:rsid w:val="23160915"/>
    <w:rsid w:val="231A6657"/>
    <w:rsid w:val="23207452"/>
    <w:rsid w:val="2322116E"/>
    <w:rsid w:val="23223C6C"/>
    <w:rsid w:val="23265576"/>
    <w:rsid w:val="23290EB6"/>
    <w:rsid w:val="232A43C0"/>
    <w:rsid w:val="232B0864"/>
    <w:rsid w:val="232F001E"/>
    <w:rsid w:val="233561B7"/>
    <w:rsid w:val="2338088B"/>
    <w:rsid w:val="23391B9D"/>
    <w:rsid w:val="233B100B"/>
    <w:rsid w:val="2343431C"/>
    <w:rsid w:val="23452D92"/>
    <w:rsid w:val="23496F3C"/>
    <w:rsid w:val="234D14F4"/>
    <w:rsid w:val="234D709F"/>
    <w:rsid w:val="235356C5"/>
    <w:rsid w:val="23560593"/>
    <w:rsid w:val="23581960"/>
    <w:rsid w:val="23620FC5"/>
    <w:rsid w:val="23621DAC"/>
    <w:rsid w:val="2364528E"/>
    <w:rsid w:val="236A7B8D"/>
    <w:rsid w:val="236C1F35"/>
    <w:rsid w:val="236C5FEB"/>
    <w:rsid w:val="23797927"/>
    <w:rsid w:val="237A5348"/>
    <w:rsid w:val="237D1C7F"/>
    <w:rsid w:val="237E7DB8"/>
    <w:rsid w:val="237F1ED6"/>
    <w:rsid w:val="238166D6"/>
    <w:rsid w:val="238A0302"/>
    <w:rsid w:val="238B4E5F"/>
    <w:rsid w:val="239161EE"/>
    <w:rsid w:val="239301B8"/>
    <w:rsid w:val="239445E5"/>
    <w:rsid w:val="2395665B"/>
    <w:rsid w:val="2396658E"/>
    <w:rsid w:val="23974DD6"/>
    <w:rsid w:val="239A59A6"/>
    <w:rsid w:val="239A7798"/>
    <w:rsid w:val="23A331E1"/>
    <w:rsid w:val="23A41335"/>
    <w:rsid w:val="23A6613D"/>
    <w:rsid w:val="23AE22F3"/>
    <w:rsid w:val="23BB0841"/>
    <w:rsid w:val="23C12F77"/>
    <w:rsid w:val="23D04F22"/>
    <w:rsid w:val="23D700CE"/>
    <w:rsid w:val="23DA2049"/>
    <w:rsid w:val="23DB504A"/>
    <w:rsid w:val="23E245CB"/>
    <w:rsid w:val="23EB6B1F"/>
    <w:rsid w:val="23F12686"/>
    <w:rsid w:val="23F23130"/>
    <w:rsid w:val="23F3787B"/>
    <w:rsid w:val="23F5124F"/>
    <w:rsid w:val="23F74D30"/>
    <w:rsid w:val="23F86267"/>
    <w:rsid w:val="23F9261E"/>
    <w:rsid w:val="24013373"/>
    <w:rsid w:val="24052D8D"/>
    <w:rsid w:val="240A66CC"/>
    <w:rsid w:val="240B2444"/>
    <w:rsid w:val="240F3CE2"/>
    <w:rsid w:val="24125580"/>
    <w:rsid w:val="24160839"/>
    <w:rsid w:val="241F7B88"/>
    <w:rsid w:val="24236105"/>
    <w:rsid w:val="242A1EAC"/>
    <w:rsid w:val="242B03F0"/>
    <w:rsid w:val="242B513C"/>
    <w:rsid w:val="243454F7"/>
    <w:rsid w:val="243674C1"/>
    <w:rsid w:val="244022FA"/>
    <w:rsid w:val="24454F64"/>
    <w:rsid w:val="24480FA2"/>
    <w:rsid w:val="2451029E"/>
    <w:rsid w:val="245D4646"/>
    <w:rsid w:val="246062EC"/>
    <w:rsid w:val="2463402E"/>
    <w:rsid w:val="246352E7"/>
    <w:rsid w:val="246851A0"/>
    <w:rsid w:val="246A3530"/>
    <w:rsid w:val="246C571E"/>
    <w:rsid w:val="247C4817"/>
    <w:rsid w:val="248144B4"/>
    <w:rsid w:val="2481772E"/>
    <w:rsid w:val="2484099C"/>
    <w:rsid w:val="248A3446"/>
    <w:rsid w:val="248B795C"/>
    <w:rsid w:val="249800AF"/>
    <w:rsid w:val="249A2145"/>
    <w:rsid w:val="24A73F1B"/>
    <w:rsid w:val="24A83C4D"/>
    <w:rsid w:val="24AF5470"/>
    <w:rsid w:val="24B44889"/>
    <w:rsid w:val="24BC213D"/>
    <w:rsid w:val="24C777BE"/>
    <w:rsid w:val="24C9586B"/>
    <w:rsid w:val="24CF521F"/>
    <w:rsid w:val="24CF79D2"/>
    <w:rsid w:val="24D16F6D"/>
    <w:rsid w:val="24D71789"/>
    <w:rsid w:val="24D80578"/>
    <w:rsid w:val="24DF44F3"/>
    <w:rsid w:val="24E2447B"/>
    <w:rsid w:val="24E46F1D"/>
    <w:rsid w:val="24E97062"/>
    <w:rsid w:val="24EA02AB"/>
    <w:rsid w:val="24EF41DA"/>
    <w:rsid w:val="24F36825"/>
    <w:rsid w:val="24F53414"/>
    <w:rsid w:val="24F8572F"/>
    <w:rsid w:val="24FE5B05"/>
    <w:rsid w:val="25034EC9"/>
    <w:rsid w:val="2503684F"/>
    <w:rsid w:val="250E5E4E"/>
    <w:rsid w:val="250F64BB"/>
    <w:rsid w:val="2519649B"/>
    <w:rsid w:val="25255003"/>
    <w:rsid w:val="25292B82"/>
    <w:rsid w:val="252C75A5"/>
    <w:rsid w:val="252E4DD5"/>
    <w:rsid w:val="253337A0"/>
    <w:rsid w:val="253A3606"/>
    <w:rsid w:val="253D4749"/>
    <w:rsid w:val="253F23A5"/>
    <w:rsid w:val="25445D9E"/>
    <w:rsid w:val="256964A6"/>
    <w:rsid w:val="256A1008"/>
    <w:rsid w:val="25706A02"/>
    <w:rsid w:val="25754019"/>
    <w:rsid w:val="25755DC7"/>
    <w:rsid w:val="25784F0B"/>
    <w:rsid w:val="257D111F"/>
    <w:rsid w:val="257E49F7"/>
    <w:rsid w:val="257F44D5"/>
    <w:rsid w:val="25826736"/>
    <w:rsid w:val="258431A3"/>
    <w:rsid w:val="258E6E89"/>
    <w:rsid w:val="25974421"/>
    <w:rsid w:val="25995EA7"/>
    <w:rsid w:val="259B281E"/>
    <w:rsid w:val="259C1B9A"/>
    <w:rsid w:val="25BC1C48"/>
    <w:rsid w:val="25BD07C5"/>
    <w:rsid w:val="25BD2F3F"/>
    <w:rsid w:val="25C11095"/>
    <w:rsid w:val="25D16C66"/>
    <w:rsid w:val="25D60786"/>
    <w:rsid w:val="25D81502"/>
    <w:rsid w:val="25D85E19"/>
    <w:rsid w:val="25E42F4C"/>
    <w:rsid w:val="25E73A1D"/>
    <w:rsid w:val="25E75AD1"/>
    <w:rsid w:val="25F0544D"/>
    <w:rsid w:val="25F10744"/>
    <w:rsid w:val="25F202CE"/>
    <w:rsid w:val="25F4180E"/>
    <w:rsid w:val="25F565E7"/>
    <w:rsid w:val="25F8054A"/>
    <w:rsid w:val="2604539D"/>
    <w:rsid w:val="260B672B"/>
    <w:rsid w:val="26123616"/>
    <w:rsid w:val="261453AF"/>
    <w:rsid w:val="261535AD"/>
    <w:rsid w:val="26196614"/>
    <w:rsid w:val="261D0BCB"/>
    <w:rsid w:val="262275D1"/>
    <w:rsid w:val="26233A75"/>
    <w:rsid w:val="262A0B05"/>
    <w:rsid w:val="262F10B6"/>
    <w:rsid w:val="26355556"/>
    <w:rsid w:val="263868B0"/>
    <w:rsid w:val="263B1B4E"/>
    <w:rsid w:val="263C0CF3"/>
    <w:rsid w:val="263D4A6F"/>
    <w:rsid w:val="264170ED"/>
    <w:rsid w:val="26435B6E"/>
    <w:rsid w:val="264A1001"/>
    <w:rsid w:val="264E6B6E"/>
    <w:rsid w:val="26630315"/>
    <w:rsid w:val="26655E3B"/>
    <w:rsid w:val="266D6297"/>
    <w:rsid w:val="266F4DBA"/>
    <w:rsid w:val="2671240D"/>
    <w:rsid w:val="26722306"/>
    <w:rsid w:val="26747E2C"/>
    <w:rsid w:val="267918E7"/>
    <w:rsid w:val="267923D7"/>
    <w:rsid w:val="268055BA"/>
    <w:rsid w:val="26815F25"/>
    <w:rsid w:val="26890D03"/>
    <w:rsid w:val="26946631"/>
    <w:rsid w:val="26977C9E"/>
    <w:rsid w:val="269C3827"/>
    <w:rsid w:val="269D0D44"/>
    <w:rsid w:val="26A32093"/>
    <w:rsid w:val="26A528FE"/>
    <w:rsid w:val="26AE5AC3"/>
    <w:rsid w:val="26B21D43"/>
    <w:rsid w:val="26B648E9"/>
    <w:rsid w:val="26B80F84"/>
    <w:rsid w:val="26B9229C"/>
    <w:rsid w:val="26BC4068"/>
    <w:rsid w:val="26C012C4"/>
    <w:rsid w:val="26C435C3"/>
    <w:rsid w:val="26C66878"/>
    <w:rsid w:val="26CA6E57"/>
    <w:rsid w:val="26CB6FCD"/>
    <w:rsid w:val="26CF57CC"/>
    <w:rsid w:val="26D44586"/>
    <w:rsid w:val="26E26EF3"/>
    <w:rsid w:val="26E7211D"/>
    <w:rsid w:val="26EB0D3E"/>
    <w:rsid w:val="27022042"/>
    <w:rsid w:val="270574F1"/>
    <w:rsid w:val="270916B6"/>
    <w:rsid w:val="270D0126"/>
    <w:rsid w:val="27122CC4"/>
    <w:rsid w:val="27135897"/>
    <w:rsid w:val="271E5FEA"/>
    <w:rsid w:val="271F4834"/>
    <w:rsid w:val="27233601"/>
    <w:rsid w:val="27316223"/>
    <w:rsid w:val="27382578"/>
    <w:rsid w:val="273875EC"/>
    <w:rsid w:val="273972E3"/>
    <w:rsid w:val="273B3F50"/>
    <w:rsid w:val="27402404"/>
    <w:rsid w:val="274845CD"/>
    <w:rsid w:val="274F1F56"/>
    <w:rsid w:val="274F7393"/>
    <w:rsid w:val="275000F4"/>
    <w:rsid w:val="275E0B6F"/>
    <w:rsid w:val="276C144B"/>
    <w:rsid w:val="276C29FF"/>
    <w:rsid w:val="27787DF0"/>
    <w:rsid w:val="277D5407"/>
    <w:rsid w:val="278422F1"/>
    <w:rsid w:val="278C0189"/>
    <w:rsid w:val="27922308"/>
    <w:rsid w:val="279407BB"/>
    <w:rsid w:val="279A668B"/>
    <w:rsid w:val="279A7F14"/>
    <w:rsid w:val="27A02EA3"/>
    <w:rsid w:val="27AC2787"/>
    <w:rsid w:val="27B13177"/>
    <w:rsid w:val="27B16315"/>
    <w:rsid w:val="27BB17AB"/>
    <w:rsid w:val="27C724D1"/>
    <w:rsid w:val="27C76682"/>
    <w:rsid w:val="27D25B05"/>
    <w:rsid w:val="27D41F54"/>
    <w:rsid w:val="27D43A86"/>
    <w:rsid w:val="27D43BB9"/>
    <w:rsid w:val="27DC212D"/>
    <w:rsid w:val="27E6002D"/>
    <w:rsid w:val="27E728EA"/>
    <w:rsid w:val="27EE6ABF"/>
    <w:rsid w:val="27F9199C"/>
    <w:rsid w:val="28022EB3"/>
    <w:rsid w:val="280B67EF"/>
    <w:rsid w:val="281B53B1"/>
    <w:rsid w:val="281F67DD"/>
    <w:rsid w:val="28221B0A"/>
    <w:rsid w:val="2836008F"/>
    <w:rsid w:val="283732BE"/>
    <w:rsid w:val="283B63ED"/>
    <w:rsid w:val="284101E2"/>
    <w:rsid w:val="28420162"/>
    <w:rsid w:val="284616E0"/>
    <w:rsid w:val="284E164D"/>
    <w:rsid w:val="28506677"/>
    <w:rsid w:val="2852568E"/>
    <w:rsid w:val="285F4B0C"/>
    <w:rsid w:val="286345FC"/>
    <w:rsid w:val="287038CD"/>
    <w:rsid w:val="28724264"/>
    <w:rsid w:val="2879582C"/>
    <w:rsid w:val="287979C1"/>
    <w:rsid w:val="288173EB"/>
    <w:rsid w:val="2883247D"/>
    <w:rsid w:val="28855A7D"/>
    <w:rsid w:val="2887303D"/>
    <w:rsid w:val="288B549B"/>
    <w:rsid w:val="288B76AF"/>
    <w:rsid w:val="288E06C4"/>
    <w:rsid w:val="28924F86"/>
    <w:rsid w:val="28951DB4"/>
    <w:rsid w:val="289B1FE8"/>
    <w:rsid w:val="28A344B6"/>
    <w:rsid w:val="28A77D66"/>
    <w:rsid w:val="28AF463F"/>
    <w:rsid w:val="28B32B44"/>
    <w:rsid w:val="28B409B4"/>
    <w:rsid w:val="28BE1833"/>
    <w:rsid w:val="28C826B1"/>
    <w:rsid w:val="28D26968"/>
    <w:rsid w:val="28D56B7C"/>
    <w:rsid w:val="28D67A85"/>
    <w:rsid w:val="28E576C1"/>
    <w:rsid w:val="28E57E54"/>
    <w:rsid w:val="28E82D54"/>
    <w:rsid w:val="28EE6DC5"/>
    <w:rsid w:val="28F161F4"/>
    <w:rsid w:val="28FF4167"/>
    <w:rsid w:val="29011A11"/>
    <w:rsid w:val="29053906"/>
    <w:rsid w:val="290A0F1C"/>
    <w:rsid w:val="290D0488"/>
    <w:rsid w:val="29111FBA"/>
    <w:rsid w:val="29147E0C"/>
    <w:rsid w:val="29155C17"/>
    <w:rsid w:val="291678C1"/>
    <w:rsid w:val="29253660"/>
    <w:rsid w:val="29303A19"/>
    <w:rsid w:val="29383ED6"/>
    <w:rsid w:val="293B2E83"/>
    <w:rsid w:val="293C4DCD"/>
    <w:rsid w:val="29400C7B"/>
    <w:rsid w:val="2940493E"/>
    <w:rsid w:val="29455AB0"/>
    <w:rsid w:val="29495532"/>
    <w:rsid w:val="29571884"/>
    <w:rsid w:val="29581C87"/>
    <w:rsid w:val="295F03B1"/>
    <w:rsid w:val="296323DA"/>
    <w:rsid w:val="29637D57"/>
    <w:rsid w:val="29647303"/>
    <w:rsid w:val="296C132E"/>
    <w:rsid w:val="29717D14"/>
    <w:rsid w:val="297665B1"/>
    <w:rsid w:val="29796309"/>
    <w:rsid w:val="297D7FC7"/>
    <w:rsid w:val="29892C42"/>
    <w:rsid w:val="298A3E0B"/>
    <w:rsid w:val="29986658"/>
    <w:rsid w:val="299B1B74"/>
    <w:rsid w:val="299C06DD"/>
    <w:rsid w:val="29A24CB1"/>
    <w:rsid w:val="29A54090"/>
    <w:rsid w:val="29AC5B2F"/>
    <w:rsid w:val="29B57536"/>
    <w:rsid w:val="29B669AE"/>
    <w:rsid w:val="29CD0E8D"/>
    <w:rsid w:val="29CF088F"/>
    <w:rsid w:val="29CF5F7B"/>
    <w:rsid w:val="29D07B2C"/>
    <w:rsid w:val="29DF7CB3"/>
    <w:rsid w:val="29E91347"/>
    <w:rsid w:val="29EB624B"/>
    <w:rsid w:val="29EE0EC5"/>
    <w:rsid w:val="2A017669"/>
    <w:rsid w:val="2A073D29"/>
    <w:rsid w:val="2A131163"/>
    <w:rsid w:val="2A1862D1"/>
    <w:rsid w:val="2A1B4A63"/>
    <w:rsid w:val="2A1C7A90"/>
    <w:rsid w:val="2A1F5A20"/>
    <w:rsid w:val="2A233028"/>
    <w:rsid w:val="2A257690"/>
    <w:rsid w:val="2A292902"/>
    <w:rsid w:val="2A2F67F8"/>
    <w:rsid w:val="2A314286"/>
    <w:rsid w:val="2A394081"/>
    <w:rsid w:val="2A3D56F9"/>
    <w:rsid w:val="2A3F0EAB"/>
    <w:rsid w:val="2A41271B"/>
    <w:rsid w:val="2A467D32"/>
    <w:rsid w:val="2A472991"/>
    <w:rsid w:val="2A4C3F78"/>
    <w:rsid w:val="2A4D10C0"/>
    <w:rsid w:val="2A575112"/>
    <w:rsid w:val="2A581813"/>
    <w:rsid w:val="2A5C441A"/>
    <w:rsid w:val="2A5F2BA2"/>
    <w:rsid w:val="2A61691A"/>
    <w:rsid w:val="2A64709E"/>
    <w:rsid w:val="2A6530A6"/>
    <w:rsid w:val="2A68012A"/>
    <w:rsid w:val="2A6902EE"/>
    <w:rsid w:val="2A701B55"/>
    <w:rsid w:val="2A703001"/>
    <w:rsid w:val="2A714723"/>
    <w:rsid w:val="2A7538D0"/>
    <w:rsid w:val="2A755B5E"/>
    <w:rsid w:val="2A7C3468"/>
    <w:rsid w:val="2A89181D"/>
    <w:rsid w:val="2A9233CE"/>
    <w:rsid w:val="2A942242"/>
    <w:rsid w:val="2A987BF0"/>
    <w:rsid w:val="2A9E191C"/>
    <w:rsid w:val="2AA352BD"/>
    <w:rsid w:val="2AAB5DE7"/>
    <w:rsid w:val="2AB05631"/>
    <w:rsid w:val="2AB42DD7"/>
    <w:rsid w:val="2AB7478C"/>
    <w:rsid w:val="2ABC7692"/>
    <w:rsid w:val="2ABE5B1A"/>
    <w:rsid w:val="2ABF25ED"/>
    <w:rsid w:val="2AC07B49"/>
    <w:rsid w:val="2AC65D97"/>
    <w:rsid w:val="2AC84BEB"/>
    <w:rsid w:val="2AC92B3B"/>
    <w:rsid w:val="2AD12683"/>
    <w:rsid w:val="2AD76BDC"/>
    <w:rsid w:val="2ADA20FA"/>
    <w:rsid w:val="2ADB2899"/>
    <w:rsid w:val="2ADE6B55"/>
    <w:rsid w:val="2AEA75FB"/>
    <w:rsid w:val="2AF53506"/>
    <w:rsid w:val="2AF8766C"/>
    <w:rsid w:val="2AFE060C"/>
    <w:rsid w:val="2B01009F"/>
    <w:rsid w:val="2B100B7A"/>
    <w:rsid w:val="2B10227B"/>
    <w:rsid w:val="2B1200BA"/>
    <w:rsid w:val="2B125E66"/>
    <w:rsid w:val="2B14220F"/>
    <w:rsid w:val="2B146847"/>
    <w:rsid w:val="2B1C6CE5"/>
    <w:rsid w:val="2B2068F9"/>
    <w:rsid w:val="2B234665"/>
    <w:rsid w:val="2B281C84"/>
    <w:rsid w:val="2B2A0255"/>
    <w:rsid w:val="2B2A3917"/>
    <w:rsid w:val="2B2A70F4"/>
    <w:rsid w:val="2B2F6A18"/>
    <w:rsid w:val="2B30453E"/>
    <w:rsid w:val="2B31412B"/>
    <w:rsid w:val="2B390CD3"/>
    <w:rsid w:val="2B3B716B"/>
    <w:rsid w:val="2B3F4E05"/>
    <w:rsid w:val="2B41648E"/>
    <w:rsid w:val="2B41674B"/>
    <w:rsid w:val="2B4353FD"/>
    <w:rsid w:val="2B4542AD"/>
    <w:rsid w:val="2B470C7F"/>
    <w:rsid w:val="2B481888"/>
    <w:rsid w:val="2B4A1AA4"/>
    <w:rsid w:val="2B4A3852"/>
    <w:rsid w:val="2B4D6981"/>
    <w:rsid w:val="2B5621EE"/>
    <w:rsid w:val="2B664F63"/>
    <w:rsid w:val="2B6A5CA2"/>
    <w:rsid w:val="2B713152"/>
    <w:rsid w:val="2B715282"/>
    <w:rsid w:val="2B784E2F"/>
    <w:rsid w:val="2B797C93"/>
    <w:rsid w:val="2B7F799F"/>
    <w:rsid w:val="2B826AF4"/>
    <w:rsid w:val="2B8925FB"/>
    <w:rsid w:val="2B8B23B1"/>
    <w:rsid w:val="2BA01329"/>
    <w:rsid w:val="2BA67150"/>
    <w:rsid w:val="2BAE3DE1"/>
    <w:rsid w:val="2BB02F3A"/>
    <w:rsid w:val="2BB22D4F"/>
    <w:rsid w:val="2BB54D24"/>
    <w:rsid w:val="2BB6737C"/>
    <w:rsid w:val="2BBD04C8"/>
    <w:rsid w:val="2BC55BDC"/>
    <w:rsid w:val="2BC83B7A"/>
    <w:rsid w:val="2BCD07E6"/>
    <w:rsid w:val="2BD02972"/>
    <w:rsid w:val="2BD77849"/>
    <w:rsid w:val="2BD870AF"/>
    <w:rsid w:val="2BE076DD"/>
    <w:rsid w:val="2BE95450"/>
    <w:rsid w:val="2BEB0855"/>
    <w:rsid w:val="2BEF61A7"/>
    <w:rsid w:val="2BF02408"/>
    <w:rsid w:val="2BF107DF"/>
    <w:rsid w:val="2BF16504"/>
    <w:rsid w:val="2BF176BE"/>
    <w:rsid w:val="2BF30862"/>
    <w:rsid w:val="2BF96603"/>
    <w:rsid w:val="2C0440A1"/>
    <w:rsid w:val="2C092A31"/>
    <w:rsid w:val="2C0E0D23"/>
    <w:rsid w:val="2C14691D"/>
    <w:rsid w:val="2C1A6AAD"/>
    <w:rsid w:val="2C1D30B4"/>
    <w:rsid w:val="2C1E7672"/>
    <w:rsid w:val="2C2643AF"/>
    <w:rsid w:val="2C266C4F"/>
    <w:rsid w:val="2C277295"/>
    <w:rsid w:val="2C2A60AA"/>
    <w:rsid w:val="2C2C2F57"/>
    <w:rsid w:val="2C2F4A08"/>
    <w:rsid w:val="2C337640"/>
    <w:rsid w:val="2C3C763E"/>
    <w:rsid w:val="2C491093"/>
    <w:rsid w:val="2C4B7CCD"/>
    <w:rsid w:val="2C4F5B54"/>
    <w:rsid w:val="2C506C46"/>
    <w:rsid w:val="2C5801F0"/>
    <w:rsid w:val="2C581F9E"/>
    <w:rsid w:val="2C5D5D51"/>
    <w:rsid w:val="2C6F6165"/>
    <w:rsid w:val="2C815051"/>
    <w:rsid w:val="2C860FAA"/>
    <w:rsid w:val="2C8903AA"/>
    <w:rsid w:val="2C8B0EFE"/>
    <w:rsid w:val="2C9A206F"/>
    <w:rsid w:val="2CA0486E"/>
    <w:rsid w:val="2CA43435"/>
    <w:rsid w:val="2CA46A1D"/>
    <w:rsid w:val="2CAD3C2C"/>
    <w:rsid w:val="2CBC077F"/>
    <w:rsid w:val="2CC325B8"/>
    <w:rsid w:val="2CC76232"/>
    <w:rsid w:val="2CCB2911"/>
    <w:rsid w:val="2CCD53D6"/>
    <w:rsid w:val="2CD820FE"/>
    <w:rsid w:val="2CD929F9"/>
    <w:rsid w:val="2CE46F77"/>
    <w:rsid w:val="2CE7482D"/>
    <w:rsid w:val="2CEA709A"/>
    <w:rsid w:val="2CF271A5"/>
    <w:rsid w:val="2CF5337D"/>
    <w:rsid w:val="2CFE48F4"/>
    <w:rsid w:val="2CFF6A31"/>
    <w:rsid w:val="2D0E6EFB"/>
    <w:rsid w:val="2D1068D6"/>
    <w:rsid w:val="2D117311"/>
    <w:rsid w:val="2D1E0A79"/>
    <w:rsid w:val="2D2514BE"/>
    <w:rsid w:val="2D2873DA"/>
    <w:rsid w:val="2D2D72E1"/>
    <w:rsid w:val="2D2E70D2"/>
    <w:rsid w:val="2D3133A6"/>
    <w:rsid w:val="2D364FBB"/>
    <w:rsid w:val="2D3927D7"/>
    <w:rsid w:val="2D395076"/>
    <w:rsid w:val="2D3D778B"/>
    <w:rsid w:val="2D3E6111"/>
    <w:rsid w:val="2D426A09"/>
    <w:rsid w:val="2D4D7629"/>
    <w:rsid w:val="2D501D8D"/>
    <w:rsid w:val="2D5233DA"/>
    <w:rsid w:val="2D606A7F"/>
    <w:rsid w:val="2D69305E"/>
    <w:rsid w:val="2D6A2228"/>
    <w:rsid w:val="2D6C5D01"/>
    <w:rsid w:val="2D762891"/>
    <w:rsid w:val="2D7A1A9E"/>
    <w:rsid w:val="2D7B2EBD"/>
    <w:rsid w:val="2D81074F"/>
    <w:rsid w:val="2D8400D7"/>
    <w:rsid w:val="2D851D9A"/>
    <w:rsid w:val="2D8C557A"/>
    <w:rsid w:val="2D8D7A26"/>
    <w:rsid w:val="2D960FD0"/>
    <w:rsid w:val="2D965BB7"/>
    <w:rsid w:val="2D9B7011"/>
    <w:rsid w:val="2D9D235F"/>
    <w:rsid w:val="2D9E3D73"/>
    <w:rsid w:val="2DA04A84"/>
    <w:rsid w:val="2DB16F20"/>
    <w:rsid w:val="2DB504EE"/>
    <w:rsid w:val="2DB674E1"/>
    <w:rsid w:val="2DBB27E5"/>
    <w:rsid w:val="2DC65C5D"/>
    <w:rsid w:val="2DDA215C"/>
    <w:rsid w:val="2DE07348"/>
    <w:rsid w:val="2DE62982"/>
    <w:rsid w:val="2DE643E9"/>
    <w:rsid w:val="2DEF06E0"/>
    <w:rsid w:val="2DF32344"/>
    <w:rsid w:val="2DF4654A"/>
    <w:rsid w:val="2DF47F4D"/>
    <w:rsid w:val="2DFC1570"/>
    <w:rsid w:val="2DFD6F0F"/>
    <w:rsid w:val="2E021854"/>
    <w:rsid w:val="2E057F04"/>
    <w:rsid w:val="2E0D592A"/>
    <w:rsid w:val="2E132621"/>
    <w:rsid w:val="2E151E3F"/>
    <w:rsid w:val="2E161F59"/>
    <w:rsid w:val="2E1B4E62"/>
    <w:rsid w:val="2E1B7727"/>
    <w:rsid w:val="2E254102"/>
    <w:rsid w:val="2E293ABE"/>
    <w:rsid w:val="2E2B796A"/>
    <w:rsid w:val="2E2B7DC3"/>
    <w:rsid w:val="2E2C476D"/>
    <w:rsid w:val="2E307A51"/>
    <w:rsid w:val="2E3305CD"/>
    <w:rsid w:val="2E3B7D7C"/>
    <w:rsid w:val="2E402CEA"/>
    <w:rsid w:val="2E461A7F"/>
    <w:rsid w:val="2E481E52"/>
    <w:rsid w:val="2E4E445D"/>
    <w:rsid w:val="2E514EF7"/>
    <w:rsid w:val="2E530C6F"/>
    <w:rsid w:val="2E552C39"/>
    <w:rsid w:val="2E56497E"/>
    <w:rsid w:val="2E5A23A2"/>
    <w:rsid w:val="2E5A2C24"/>
    <w:rsid w:val="2E631579"/>
    <w:rsid w:val="2E642E7C"/>
    <w:rsid w:val="2E725599"/>
    <w:rsid w:val="2E836346"/>
    <w:rsid w:val="2E856E72"/>
    <w:rsid w:val="2E876DD2"/>
    <w:rsid w:val="2E8D2093"/>
    <w:rsid w:val="2E8D20CC"/>
    <w:rsid w:val="2E8F0C1E"/>
    <w:rsid w:val="2E9142C3"/>
    <w:rsid w:val="2E9848D4"/>
    <w:rsid w:val="2EA21BDF"/>
    <w:rsid w:val="2EA45B5C"/>
    <w:rsid w:val="2EA66FF1"/>
    <w:rsid w:val="2EB40279"/>
    <w:rsid w:val="2EB8305E"/>
    <w:rsid w:val="2EB931C8"/>
    <w:rsid w:val="2EBD7F64"/>
    <w:rsid w:val="2EC267EC"/>
    <w:rsid w:val="2ED37A54"/>
    <w:rsid w:val="2ED57C77"/>
    <w:rsid w:val="2EDC2A13"/>
    <w:rsid w:val="2EDD7505"/>
    <w:rsid w:val="2EDE0726"/>
    <w:rsid w:val="2EE53A9F"/>
    <w:rsid w:val="2EE937FA"/>
    <w:rsid w:val="2EE95130"/>
    <w:rsid w:val="2EEA15D4"/>
    <w:rsid w:val="2EF064BE"/>
    <w:rsid w:val="2EF273D6"/>
    <w:rsid w:val="2EF950C1"/>
    <w:rsid w:val="2F065CE2"/>
    <w:rsid w:val="2F06678E"/>
    <w:rsid w:val="2F0B071C"/>
    <w:rsid w:val="2F192F50"/>
    <w:rsid w:val="2F1B1C13"/>
    <w:rsid w:val="2F1C72B3"/>
    <w:rsid w:val="2F25485A"/>
    <w:rsid w:val="2F287054"/>
    <w:rsid w:val="2F2D14C0"/>
    <w:rsid w:val="2F3565C7"/>
    <w:rsid w:val="2F3B1E2F"/>
    <w:rsid w:val="2F3E191F"/>
    <w:rsid w:val="2F4A0F22"/>
    <w:rsid w:val="2F4C5E70"/>
    <w:rsid w:val="2F526CA4"/>
    <w:rsid w:val="2F55438A"/>
    <w:rsid w:val="2F656EAC"/>
    <w:rsid w:val="2F754C15"/>
    <w:rsid w:val="2F7B10A8"/>
    <w:rsid w:val="2F802287"/>
    <w:rsid w:val="2F831840"/>
    <w:rsid w:val="2F844F3D"/>
    <w:rsid w:val="2F994DA8"/>
    <w:rsid w:val="2FA254F9"/>
    <w:rsid w:val="2FA41046"/>
    <w:rsid w:val="2FA55278"/>
    <w:rsid w:val="2FA554FB"/>
    <w:rsid w:val="2FA86D99"/>
    <w:rsid w:val="2FB219C5"/>
    <w:rsid w:val="2FB26301"/>
    <w:rsid w:val="2FBA2DF3"/>
    <w:rsid w:val="2FBE00EF"/>
    <w:rsid w:val="2FBF0D63"/>
    <w:rsid w:val="2FC42A76"/>
    <w:rsid w:val="2FD74D6F"/>
    <w:rsid w:val="2FDF6A9F"/>
    <w:rsid w:val="2FE074EB"/>
    <w:rsid w:val="2FE37ADC"/>
    <w:rsid w:val="2FE5304B"/>
    <w:rsid w:val="2FE60B2B"/>
    <w:rsid w:val="2FE7396B"/>
    <w:rsid w:val="2FEC21C6"/>
    <w:rsid w:val="2FF26DAD"/>
    <w:rsid w:val="2FF33A5F"/>
    <w:rsid w:val="2FF548BF"/>
    <w:rsid w:val="2FFA2E09"/>
    <w:rsid w:val="2FFD2195"/>
    <w:rsid w:val="30030473"/>
    <w:rsid w:val="30073A09"/>
    <w:rsid w:val="30087541"/>
    <w:rsid w:val="30087994"/>
    <w:rsid w:val="300C09A4"/>
    <w:rsid w:val="300D7D4A"/>
    <w:rsid w:val="301124FE"/>
    <w:rsid w:val="301362BF"/>
    <w:rsid w:val="30196CC1"/>
    <w:rsid w:val="301A5EE8"/>
    <w:rsid w:val="301E2267"/>
    <w:rsid w:val="303F4207"/>
    <w:rsid w:val="3041030B"/>
    <w:rsid w:val="30477C59"/>
    <w:rsid w:val="304A6497"/>
    <w:rsid w:val="304D15B2"/>
    <w:rsid w:val="304E10FA"/>
    <w:rsid w:val="30555B90"/>
    <w:rsid w:val="30560ED4"/>
    <w:rsid w:val="30560FD6"/>
    <w:rsid w:val="30566F5E"/>
    <w:rsid w:val="305C4D3A"/>
    <w:rsid w:val="306C4F60"/>
    <w:rsid w:val="307331E6"/>
    <w:rsid w:val="30747320"/>
    <w:rsid w:val="307A0252"/>
    <w:rsid w:val="307A4A48"/>
    <w:rsid w:val="307D423C"/>
    <w:rsid w:val="30801AC4"/>
    <w:rsid w:val="308472F3"/>
    <w:rsid w:val="3085774C"/>
    <w:rsid w:val="30896D00"/>
    <w:rsid w:val="308F3262"/>
    <w:rsid w:val="30907A25"/>
    <w:rsid w:val="30967C0A"/>
    <w:rsid w:val="30A12213"/>
    <w:rsid w:val="30B26421"/>
    <w:rsid w:val="30B71C9C"/>
    <w:rsid w:val="30BB2AFC"/>
    <w:rsid w:val="30BB45F6"/>
    <w:rsid w:val="30C20F8E"/>
    <w:rsid w:val="30C51C65"/>
    <w:rsid w:val="30CA5B74"/>
    <w:rsid w:val="30CC2310"/>
    <w:rsid w:val="30CF739B"/>
    <w:rsid w:val="30D27F68"/>
    <w:rsid w:val="30D75B88"/>
    <w:rsid w:val="30DB2A7E"/>
    <w:rsid w:val="30E402A4"/>
    <w:rsid w:val="30EA37B4"/>
    <w:rsid w:val="30EB33E1"/>
    <w:rsid w:val="30FF7CF9"/>
    <w:rsid w:val="310224D9"/>
    <w:rsid w:val="3105052E"/>
    <w:rsid w:val="31083D14"/>
    <w:rsid w:val="31097FB9"/>
    <w:rsid w:val="310B1688"/>
    <w:rsid w:val="311022F8"/>
    <w:rsid w:val="3115483F"/>
    <w:rsid w:val="311A0C0B"/>
    <w:rsid w:val="311C09E2"/>
    <w:rsid w:val="311E335C"/>
    <w:rsid w:val="311F548E"/>
    <w:rsid w:val="31263949"/>
    <w:rsid w:val="312E5CA5"/>
    <w:rsid w:val="313269FE"/>
    <w:rsid w:val="313F2A48"/>
    <w:rsid w:val="3143651B"/>
    <w:rsid w:val="31442AF1"/>
    <w:rsid w:val="314A3338"/>
    <w:rsid w:val="314D5E4A"/>
    <w:rsid w:val="31601136"/>
    <w:rsid w:val="31604AE0"/>
    <w:rsid w:val="316358C8"/>
    <w:rsid w:val="316407DE"/>
    <w:rsid w:val="31672B0C"/>
    <w:rsid w:val="31727387"/>
    <w:rsid w:val="3173071A"/>
    <w:rsid w:val="31750EFD"/>
    <w:rsid w:val="3189561E"/>
    <w:rsid w:val="318F7BBF"/>
    <w:rsid w:val="3193654E"/>
    <w:rsid w:val="319578A7"/>
    <w:rsid w:val="319737F6"/>
    <w:rsid w:val="319A4022"/>
    <w:rsid w:val="31A20E23"/>
    <w:rsid w:val="31A35A6A"/>
    <w:rsid w:val="31A67308"/>
    <w:rsid w:val="31A71FE7"/>
    <w:rsid w:val="31AC6F2B"/>
    <w:rsid w:val="31B0610C"/>
    <w:rsid w:val="31B41A25"/>
    <w:rsid w:val="31B81679"/>
    <w:rsid w:val="31B867DA"/>
    <w:rsid w:val="31BA7B5B"/>
    <w:rsid w:val="31BB7C0A"/>
    <w:rsid w:val="31BC1E2C"/>
    <w:rsid w:val="31BF1C2F"/>
    <w:rsid w:val="31C12394"/>
    <w:rsid w:val="31C257A3"/>
    <w:rsid w:val="31C97D2B"/>
    <w:rsid w:val="31D31F9C"/>
    <w:rsid w:val="31D45D2E"/>
    <w:rsid w:val="31D54EF7"/>
    <w:rsid w:val="31D90B18"/>
    <w:rsid w:val="31DB4E51"/>
    <w:rsid w:val="31E61BB4"/>
    <w:rsid w:val="31E75151"/>
    <w:rsid w:val="31F462C5"/>
    <w:rsid w:val="31F6028F"/>
    <w:rsid w:val="31F6203D"/>
    <w:rsid w:val="31FE41DB"/>
    <w:rsid w:val="31FE5396"/>
    <w:rsid w:val="31FE7C49"/>
    <w:rsid w:val="320504D2"/>
    <w:rsid w:val="32056724"/>
    <w:rsid w:val="320C5C58"/>
    <w:rsid w:val="320E382B"/>
    <w:rsid w:val="32100EDB"/>
    <w:rsid w:val="32140715"/>
    <w:rsid w:val="3217617A"/>
    <w:rsid w:val="3219616F"/>
    <w:rsid w:val="321A7C4C"/>
    <w:rsid w:val="321B5F48"/>
    <w:rsid w:val="321F32DC"/>
    <w:rsid w:val="32211855"/>
    <w:rsid w:val="32230959"/>
    <w:rsid w:val="32231817"/>
    <w:rsid w:val="322D65AF"/>
    <w:rsid w:val="3239017C"/>
    <w:rsid w:val="323D2A7A"/>
    <w:rsid w:val="324463DD"/>
    <w:rsid w:val="325568AA"/>
    <w:rsid w:val="32582CF8"/>
    <w:rsid w:val="325F16C7"/>
    <w:rsid w:val="3277271E"/>
    <w:rsid w:val="3277369F"/>
    <w:rsid w:val="327A3C22"/>
    <w:rsid w:val="327C4FD4"/>
    <w:rsid w:val="327D275F"/>
    <w:rsid w:val="327D699A"/>
    <w:rsid w:val="327E43F2"/>
    <w:rsid w:val="328733C1"/>
    <w:rsid w:val="328B4E7C"/>
    <w:rsid w:val="328D66C2"/>
    <w:rsid w:val="328E2276"/>
    <w:rsid w:val="32951856"/>
    <w:rsid w:val="3296312C"/>
    <w:rsid w:val="3296737C"/>
    <w:rsid w:val="32A2630E"/>
    <w:rsid w:val="32A4694B"/>
    <w:rsid w:val="32A61CB5"/>
    <w:rsid w:val="32AF7620"/>
    <w:rsid w:val="32B06E1C"/>
    <w:rsid w:val="32B5223D"/>
    <w:rsid w:val="32BC694A"/>
    <w:rsid w:val="32C16F34"/>
    <w:rsid w:val="32C53DFD"/>
    <w:rsid w:val="32C849EE"/>
    <w:rsid w:val="32C91500"/>
    <w:rsid w:val="32CA03CC"/>
    <w:rsid w:val="32CE4225"/>
    <w:rsid w:val="32D25EDA"/>
    <w:rsid w:val="32D745CC"/>
    <w:rsid w:val="32D91CD1"/>
    <w:rsid w:val="32E26A66"/>
    <w:rsid w:val="32E50160"/>
    <w:rsid w:val="32EB26A2"/>
    <w:rsid w:val="32F47C21"/>
    <w:rsid w:val="32FA249B"/>
    <w:rsid w:val="32FB2C8F"/>
    <w:rsid w:val="33030975"/>
    <w:rsid w:val="330B644E"/>
    <w:rsid w:val="331035D3"/>
    <w:rsid w:val="331166AE"/>
    <w:rsid w:val="33125DBA"/>
    <w:rsid w:val="331C5AD4"/>
    <w:rsid w:val="332D4F22"/>
    <w:rsid w:val="3335369A"/>
    <w:rsid w:val="33370AD2"/>
    <w:rsid w:val="33383C8F"/>
    <w:rsid w:val="333C277D"/>
    <w:rsid w:val="333F0E47"/>
    <w:rsid w:val="334175BB"/>
    <w:rsid w:val="33447C07"/>
    <w:rsid w:val="335137B3"/>
    <w:rsid w:val="335214F5"/>
    <w:rsid w:val="33523E52"/>
    <w:rsid w:val="33525999"/>
    <w:rsid w:val="33576B0C"/>
    <w:rsid w:val="335C6818"/>
    <w:rsid w:val="335C79B2"/>
    <w:rsid w:val="33660FEB"/>
    <w:rsid w:val="336F02F9"/>
    <w:rsid w:val="33752745"/>
    <w:rsid w:val="33775400"/>
    <w:rsid w:val="33783E67"/>
    <w:rsid w:val="3381002D"/>
    <w:rsid w:val="33817268"/>
    <w:rsid w:val="338437F6"/>
    <w:rsid w:val="33845BB1"/>
    <w:rsid w:val="33891E3E"/>
    <w:rsid w:val="338A688B"/>
    <w:rsid w:val="338F079F"/>
    <w:rsid w:val="3392223A"/>
    <w:rsid w:val="33925D96"/>
    <w:rsid w:val="339A2E9C"/>
    <w:rsid w:val="339C774A"/>
    <w:rsid w:val="339D7943"/>
    <w:rsid w:val="33A67A93"/>
    <w:rsid w:val="33AC29F8"/>
    <w:rsid w:val="33B32EF5"/>
    <w:rsid w:val="33B73531"/>
    <w:rsid w:val="33B757FC"/>
    <w:rsid w:val="33BB4608"/>
    <w:rsid w:val="33BF1F70"/>
    <w:rsid w:val="33CA60B1"/>
    <w:rsid w:val="33CE32A4"/>
    <w:rsid w:val="33E01235"/>
    <w:rsid w:val="33E35653"/>
    <w:rsid w:val="33E41DC1"/>
    <w:rsid w:val="33F120DC"/>
    <w:rsid w:val="33FD3130"/>
    <w:rsid w:val="33FD3B57"/>
    <w:rsid w:val="34015674"/>
    <w:rsid w:val="34081549"/>
    <w:rsid w:val="340824FC"/>
    <w:rsid w:val="34120C85"/>
    <w:rsid w:val="341669C7"/>
    <w:rsid w:val="341A2801"/>
    <w:rsid w:val="342403C0"/>
    <w:rsid w:val="342A06C4"/>
    <w:rsid w:val="34383FA7"/>
    <w:rsid w:val="343B6477"/>
    <w:rsid w:val="343F0DEA"/>
    <w:rsid w:val="34406C87"/>
    <w:rsid w:val="344336C6"/>
    <w:rsid w:val="34452887"/>
    <w:rsid w:val="344A48C2"/>
    <w:rsid w:val="34563267"/>
    <w:rsid w:val="345D2848"/>
    <w:rsid w:val="345E559A"/>
    <w:rsid w:val="346534AA"/>
    <w:rsid w:val="346644D8"/>
    <w:rsid w:val="34684D49"/>
    <w:rsid w:val="346A0AC1"/>
    <w:rsid w:val="346E4E8F"/>
    <w:rsid w:val="347100A1"/>
    <w:rsid w:val="34733E19"/>
    <w:rsid w:val="34811386"/>
    <w:rsid w:val="34824BD2"/>
    <w:rsid w:val="34833930"/>
    <w:rsid w:val="34846FB6"/>
    <w:rsid w:val="348C0A37"/>
    <w:rsid w:val="348F0527"/>
    <w:rsid w:val="3492236C"/>
    <w:rsid w:val="349A75F8"/>
    <w:rsid w:val="34A70F86"/>
    <w:rsid w:val="34A7237F"/>
    <w:rsid w:val="34B65F84"/>
    <w:rsid w:val="34B87A7E"/>
    <w:rsid w:val="34C24459"/>
    <w:rsid w:val="34C3707B"/>
    <w:rsid w:val="34CB3356"/>
    <w:rsid w:val="34CE72A2"/>
    <w:rsid w:val="34D0301A"/>
    <w:rsid w:val="34D67E92"/>
    <w:rsid w:val="34D8334B"/>
    <w:rsid w:val="34D84DA0"/>
    <w:rsid w:val="34E86F5F"/>
    <w:rsid w:val="34EB3E1C"/>
    <w:rsid w:val="34EE386D"/>
    <w:rsid w:val="34F07218"/>
    <w:rsid w:val="34F82570"/>
    <w:rsid w:val="34F8476F"/>
    <w:rsid w:val="34FA3BF3"/>
    <w:rsid w:val="35075781"/>
    <w:rsid w:val="35093D63"/>
    <w:rsid w:val="350D601C"/>
    <w:rsid w:val="35123632"/>
    <w:rsid w:val="351C1C63"/>
    <w:rsid w:val="351D5249"/>
    <w:rsid w:val="35284AFC"/>
    <w:rsid w:val="3529051C"/>
    <w:rsid w:val="352B46F4"/>
    <w:rsid w:val="35304680"/>
    <w:rsid w:val="35370A08"/>
    <w:rsid w:val="353C06AF"/>
    <w:rsid w:val="353D7F83"/>
    <w:rsid w:val="35404F5A"/>
    <w:rsid w:val="35414BC8"/>
    <w:rsid w:val="35465138"/>
    <w:rsid w:val="35483250"/>
    <w:rsid w:val="355157DD"/>
    <w:rsid w:val="3551651F"/>
    <w:rsid w:val="355359F9"/>
    <w:rsid w:val="355377A7"/>
    <w:rsid w:val="355552CD"/>
    <w:rsid w:val="35575782"/>
    <w:rsid w:val="355D31CB"/>
    <w:rsid w:val="35641C4D"/>
    <w:rsid w:val="35672BC1"/>
    <w:rsid w:val="356B5E37"/>
    <w:rsid w:val="356D1C71"/>
    <w:rsid w:val="35726A4B"/>
    <w:rsid w:val="35845BB2"/>
    <w:rsid w:val="35892CB9"/>
    <w:rsid w:val="358A08A4"/>
    <w:rsid w:val="358A1B36"/>
    <w:rsid w:val="35924A39"/>
    <w:rsid w:val="359279C8"/>
    <w:rsid w:val="359A7E3B"/>
    <w:rsid w:val="359D0A22"/>
    <w:rsid w:val="359D6079"/>
    <w:rsid w:val="359E6C74"/>
    <w:rsid w:val="35A11196"/>
    <w:rsid w:val="35B6520A"/>
    <w:rsid w:val="35B653DB"/>
    <w:rsid w:val="35B67A20"/>
    <w:rsid w:val="35B753AC"/>
    <w:rsid w:val="35B815BB"/>
    <w:rsid w:val="35BB0E36"/>
    <w:rsid w:val="35BF47A8"/>
    <w:rsid w:val="35CB3272"/>
    <w:rsid w:val="35D63513"/>
    <w:rsid w:val="35DE3514"/>
    <w:rsid w:val="35E14DB3"/>
    <w:rsid w:val="35E24015"/>
    <w:rsid w:val="35E92AEB"/>
    <w:rsid w:val="35F70D5C"/>
    <w:rsid w:val="35F76384"/>
    <w:rsid w:val="35FA37AB"/>
    <w:rsid w:val="35FB40C6"/>
    <w:rsid w:val="35FD0786"/>
    <w:rsid w:val="35FE3BB6"/>
    <w:rsid w:val="3601056A"/>
    <w:rsid w:val="3601366F"/>
    <w:rsid w:val="36014282"/>
    <w:rsid w:val="360607D9"/>
    <w:rsid w:val="36147966"/>
    <w:rsid w:val="36190C5C"/>
    <w:rsid w:val="362271FA"/>
    <w:rsid w:val="362A675A"/>
    <w:rsid w:val="362F1FC2"/>
    <w:rsid w:val="362F5D6F"/>
    <w:rsid w:val="363B3095"/>
    <w:rsid w:val="363D616D"/>
    <w:rsid w:val="36407D2B"/>
    <w:rsid w:val="364C2B74"/>
    <w:rsid w:val="364C5A56"/>
    <w:rsid w:val="365B2D75"/>
    <w:rsid w:val="365D064F"/>
    <w:rsid w:val="36603F29"/>
    <w:rsid w:val="366A72D8"/>
    <w:rsid w:val="366E78C2"/>
    <w:rsid w:val="366F616A"/>
    <w:rsid w:val="36723C5D"/>
    <w:rsid w:val="367515AA"/>
    <w:rsid w:val="367938FC"/>
    <w:rsid w:val="367A1BA6"/>
    <w:rsid w:val="367B5887"/>
    <w:rsid w:val="3680580C"/>
    <w:rsid w:val="36851E25"/>
    <w:rsid w:val="36951659"/>
    <w:rsid w:val="369B7657"/>
    <w:rsid w:val="369E2CA4"/>
    <w:rsid w:val="36A04C6E"/>
    <w:rsid w:val="36A91473"/>
    <w:rsid w:val="36B01289"/>
    <w:rsid w:val="36B9370E"/>
    <w:rsid w:val="36BB1AA7"/>
    <w:rsid w:val="36C72C95"/>
    <w:rsid w:val="36CB2139"/>
    <w:rsid w:val="36CC0EFA"/>
    <w:rsid w:val="36D861B6"/>
    <w:rsid w:val="36DA0180"/>
    <w:rsid w:val="36E36908"/>
    <w:rsid w:val="36E56469"/>
    <w:rsid w:val="36EE7787"/>
    <w:rsid w:val="36F31241"/>
    <w:rsid w:val="36F32FEF"/>
    <w:rsid w:val="36F56C63"/>
    <w:rsid w:val="36FC3260"/>
    <w:rsid w:val="370211A3"/>
    <w:rsid w:val="37040D59"/>
    <w:rsid w:val="37061F98"/>
    <w:rsid w:val="37070849"/>
    <w:rsid w:val="37125005"/>
    <w:rsid w:val="37144D14"/>
    <w:rsid w:val="3719601A"/>
    <w:rsid w:val="372068AC"/>
    <w:rsid w:val="37240668"/>
    <w:rsid w:val="372D427E"/>
    <w:rsid w:val="37313B18"/>
    <w:rsid w:val="373152BB"/>
    <w:rsid w:val="37332815"/>
    <w:rsid w:val="3734059B"/>
    <w:rsid w:val="374B4187"/>
    <w:rsid w:val="374C0952"/>
    <w:rsid w:val="37537F32"/>
    <w:rsid w:val="37555A58"/>
    <w:rsid w:val="375E1622"/>
    <w:rsid w:val="37665080"/>
    <w:rsid w:val="37667C65"/>
    <w:rsid w:val="37781747"/>
    <w:rsid w:val="378803FD"/>
    <w:rsid w:val="378A38CA"/>
    <w:rsid w:val="37937C15"/>
    <w:rsid w:val="3794631E"/>
    <w:rsid w:val="379A0692"/>
    <w:rsid w:val="379A5CEB"/>
    <w:rsid w:val="37A442EA"/>
    <w:rsid w:val="37B117D8"/>
    <w:rsid w:val="37B1317D"/>
    <w:rsid w:val="37B45D63"/>
    <w:rsid w:val="37B61FBB"/>
    <w:rsid w:val="37BE35FD"/>
    <w:rsid w:val="37BF2ACE"/>
    <w:rsid w:val="37CD33F9"/>
    <w:rsid w:val="37CE4033"/>
    <w:rsid w:val="37D20E57"/>
    <w:rsid w:val="37D3697D"/>
    <w:rsid w:val="37E172EC"/>
    <w:rsid w:val="37E37D94"/>
    <w:rsid w:val="37F11C3A"/>
    <w:rsid w:val="37F54B45"/>
    <w:rsid w:val="37F74639"/>
    <w:rsid w:val="380A0786"/>
    <w:rsid w:val="380A264F"/>
    <w:rsid w:val="38122E1D"/>
    <w:rsid w:val="381800EE"/>
    <w:rsid w:val="381A6B45"/>
    <w:rsid w:val="38296DA3"/>
    <w:rsid w:val="38390187"/>
    <w:rsid w:val="383D7C4C"/>
    <w:rsid w:val="383E78A0"/>
    <w:rsid w:val="384018DF"/>
    <w:rsid w:val="3848630F"/>
    <w:rsid w:val="384C6E5B"/>
    <w:rsid w:val="384D3BA4"/>
    <w:rsid w:val="385375DF"/>
    <w:rsid w:val="38586DF9"/>
    <w:rsid w:val="38594445"/>
    <w:rsid w:val="38595064"/>
    <w:rsid w:val="385A07E5"/>
    <w:rsid w:val="385B02F2"/>
    <w:rsid w:val="3867667F"/>
    <w:rsid w:val="386C2FE3"/>
    <w:rsid w:val="387716E2"/>
    <w:rsid w:val="38776900"/>
    <w:rsid w:val="38783A4D"/>
    <w:rsid w:val="387E5179"/>
    <w:rsid w:val="3887653F"/>
    <w:rsid w:val="388A1731"/>
    <w:rsid w:val="388C4906"/>
    <w:rsid w:val="388C7CC2"/>
    <w:rsid w:val="388F6D48"/>
    <w:rsid w:val="3894610C"/>
    <w:rsid w:val="389600D6"/>
    <w:rsid w:val="389A768B"/>
    <w:rsid w:val="389E008F"/>
    <w:rsid w:val="389F171F"/>
    <w:rsid w:val="38A50319"/>
    <w:rsid w:val="38A8296F"/>
    <w:rsid w:val="38A94C99"/>
    <w:rsid w:val="38B30DCB"/>
    <w:rsid w:val="38B36EDA"/>
    <w:rsid w:val="38C22C79"/>
    <w:rsid w:val="38C23AE1"/>
    <w:rsid w:val="38D6246F"/>
    <w:rsid w:val="38D767B8"/>
    <w:rsid w:val="38EA21D0"/>
    <w:rsid w:val="38EA70B9"/>
    <w:rsid w:val="38F00189"/>
    <w:rsid w:val="38F02197"/>
    <w:rsid w:val="38F31085"/>
    <w:rsid w:val="38F512A1"/>
    <w:rsid w:val="38F56CD1"/>
    <w:rsid w:val="38F670AA"/>
    <w:rsid w:val="38F75DA1"/>
    <w:rsid w:val="38FB3A07"/>
    <w:rsid w:val="390738EA"/>
    <w:rsid w:val="390A3CBC"/>
    <w:rsid w:val="390A4620"/>
    <w:rsid w:val="391536F1"/>
    <w:rsid w:val="39177F01"/>
    <w:rsid w:val="39202A26"/>
    <w:rsid w:val="3929719C"/>
    <w:rsid w:val="392F0891"/>
    <w:rsid w:val="39334C6D"/>
    <w:rsid w:val="393F2828"/>
    <w:rsid w:val="39477622"/>
    <w:rsid w:val="39494829"/>
    <w:rsid w:val="394E6C03"/>
    <w:rsid w:val="39564F30"/>
    <w:rsid w:val="395B383D"/>
    <w:rsid w:val="395D7AF6"/>
    <w:rsid w:val="39612290"/>
    <w:rsid w:val="396B5C66"/>
    <w:rsid w:val="396B77E3"/>
    <w:rsid w:val="396D20AF"/>
    <w:rsid w:val="39711E73"/>
    <w:rsid w:val="397505EE"/>
    <w:rsid w:val="39761BE7"/>
    <w:rsid w:val="39824642"/>
    <w:rsid w:val="39856390"/>
    <w:rsid w:val="39881992"/>
    <w:rsid w:val="398B39B3"/>
    <w:rsid w:val="398D7264"/>
    <w:rsid w:val="3995038E"/>
    <w:rsid w:val="399603D3"/>
    <w:rsid w:val="399E0063"/>
    <w:rsid w:val="39A3530D"/>
    <w:rsid w:val="39A97991"/>
    <w:rsid w:val="39AC56D7"/>
    <w:rsid w:val="39B27192"/>
    <w:rsid w:val="39B60B61"/>
    <w:rsid w:val="39BD78E5"/>
    <w:rsid w:val="39C84201"/>
    <w:rsid w:val="39C90037"/>
    <w:rsid w:val="39CB3DB0"/>
    <w:rsid w:val="39D07618"/>
    <w:rsid w:val="39D100D0"/>
    <w:rsid w:val="39D2303C"/>
    <w:rsid w:val="39D42CE7"/>
    <w:rsid w:val="39D4539A"/>
    <w:rsid w:val="39DD3AE3"/>
    <w:rsid w:val="39DE1D35"/>
    <w:rsid w:val="39E82BB3"/>
    <w:rsid w:val="39EB26A4"/>
    <w:rsid w:val="39F00926"/>
    <w:rsid w:val="39FE4ED9"/>
    <w:rsid w:val="3A006552"/>
    <w:rsid w:val="3A100AFC"/>
    <w:rsid w:val="3A122A6A"/>
    <w:rsid w:val="3A15259D"/>
    <w:rsid w:val="3A1A268F"/>
    <w:rsid w:val="3A1B73AC"/>
    <w:rsid w:val="3A1E65D5"/>
    <w:rsid w:val="3A225344"/>
    <w:rsid w:val="3A32580B"/>
    <w:rsid w:val="3A3B7187"/>
    <w:rsid w:val="3A3C70DA"/>
    <w:rsid w:val="3A445152"/>
    <w:rsid w:val="3A460281"/>
    <w:rsid w:val="3A4E7A36"/>
    <w:rsid w:val="3A5308B9"/>
    <w:rsid w:val="3A6078CE"/>
    <w:rsid w:val="3A617ED5"/>
    <w:rsid w:val="3A6D643D"/>
    <w:rsid w:val="3A700DC6"/>
    <w:rsid w:val="3A742699"/>
    <w:rsid w:val="3A7A7584"/>
    <w:rsid w:val="3A7D5A71"/>
    <w:rsid w:val="3A7D77A0"/>
    <w:rsid w:val="3A7F3A1E"/>
    <w:rsid w:val="3A8012DC"/>
    <w:rsid w:val="3A82338F"/>
    <w:rsid w:val="3A87225C"/>
    <w:rsid w:val="3A881CA1"/>
    <w:rsid w:val="3A886145"/>
    <w:rsid w:val="3A8E5D10"/>
    <w:rsid w:val="3A9B19D4"/>
    <w:rsid w:val="3AA05F85"/>
    <w:rsid w:val="3AA20FB4"/>
    <w:rsid w:val="3AA63444"/>
    <w:rsid w:val="3AA840F1"/>
    <w:rsid w:val="3AB6680E"/>
    <w:rsid w:val="3AB91397"/>
    <w:rsid w:val="3ABB568A"/>
    <w:rsid w:val="3ABF235F"/>
    <w:rsid w:val="3AC214F7"/>
    <w:rsid w:val="3AC30EEC"/>
    <w:rsid w:val="3AC3671E"/>
    <w:rsid w:val="3AC3717D"/>
    <w:rsid w:val="3AC52EF5"/>
    <w:rsid w:val="3AC95FA8"/>
    <w:rsid w:val="3ACF78CF"/>
    <w:rsid w:val="3AD153F6"/>
    <w:rsid w:val="3AD5061C"/>
    <w:rsid w:val="3ADE5CEC"/>
    <w:rsid w:val="3AE11A4E"/>
    <w:rsid w:val="3AF15A98"/>
    <w:rsid w:val="3AF64E5C"/>
    <w:rsid w:val="3AF759E3"/>
    <w:rsid w:val="3AF92B9E"/>
    <w:rsid w:val="3B00217F"/>
    <w:rsid w:val="3B0752BB"/>
    <w:rsid w:val="3B0C27E0"/>
    <w:rsid w:val="3B0F4170"/>
    <w:rsid w:val="3B10495E"/>
    <w:rsid w:val="3B2148DA"/>
    <w:rsid w:val="3B223EA3"/>
    <w:rsid w:val="3B2371FA"/>
    <w:rsid w:val="3B256D14"/>
    <w:rsid w:val="3B2A0FAA"/>
    <w:rsid w:val="3B2A13FF"/>
    <w:rsid w:val="3B2A4FB6"/>
    <w:rsid w:val="3B301742"/>
    <w:rsid w:val="3B31640C"/>
    <w:rsid w:val="3B3A2E3D"/>
    <w:rsid w:val="3B3A431D"/>
    <w:rsid w:val="3B4022B7"/>
    <w:rsid w:val="3B47390A"/>
    <w:rsid w:val="3B4937D1"/>
    <w:rsid w:val="3B4B6916"/>
    <w:rsid w:val="3B4D2EE2"/>
    <w:rsid w:val="3B4E41A0"/>
    <w:rsid w:val="3B537901"/>
    <w:rsid w:val="3B586A99"/>
    <w:rsid w:val="3B5A13DA"/>
    <w:rsid w:val="3B641B09"/>
    <w:rsid w:val="3B750477"/>
    <w:rsid w:val="3B7523A6"/>
    <w:rsid w:val="3B774511"/>
    <w:rsid w:val="3B7B52E1"/>
    <w:rsid w:val="3B8412CC"/>
    <w:rsid w:val="3B8C756F"/>
    <w:rsid w:val="3B8E0FB2"/>
    <w:rsid w:val="3B8F4DC4"/>
    <w:rsid w:val="3B9308FD"/>
    <w:rsid w:val="3B932D9C"/>
    <w:rsid w:val="3B974912"/>
    <w:rsid w:val="3B9A6D0A"/>
    <w:rsid w:val="3B9F1EDC"/>
    <w:rsid w:val="3BA8115D"/>
    <w:rsid w:val="3BB5491A"/>
    <w:rsid w:val="3BB67E4F"/>
    <w:rsid w:val="3BB80364"/>
    <w:rsid w:val="3BBB7E54"/>
    <w:rsid w:val="3BBC1E3F"/>
    <w:rsid w:val="3BBF5B96"/>
    <w:rsid w:val="3BC705CC"/>
    <w:rsid w:val="3BCA261C"/>
    <w:rsid w:val="3BD01B51"/>
    <w:rsid w:val="3BD26834"/>
    <w:rsid w:val="3BD31B77"/>
    <w:rsid w:val="3BD614A0"/>
    <w:rsid w:val="3BE253E0"/>
    <w:rsid w:val="3BE458BB"/>
    <w:rsid w:val="3BE66FA4"/>
    <w:rsid w:val="3BE77B7A"/>
    <w:rsid w:val="3BE8197F"/>
    <w:rsid w:val="3BF22098"/>
    <w:rsid w:val="3BF42D14"/>
    <w:rsid w:val="3C057030"/>
    <w:rsid w:val="3C0757E3"/>
    <w:rsid w:val="3C0C1780"/>
    <w:rsid w:val="3C0F15E4"/>
    <w:rsid w:val="3C19288C"/>
    <w:rsid w:val="3C1A7270"/>
    <w:rsid w:val="3C1B6C33"/>
    <w:rsid w:val="3C321FC3"/>
    <w:rsid w:val="3C3C194D"/>
    <w:rsid w:val="3C3F4DB4"/>
    <w:rsid w:val="3C4017A7"/>
    <w:rsid w:val="3C441D02"/>
    <w:rsid w:val="3C463BA4"/>
    <w:rsid w:val="3C474E66"/>
    <w:rsid w:val="3C47738E"/>
    <w:rsid w:val="3C4C0535"/>
    <w:rsid w:val="3C5067EE"/>
    <w:rsid w:val="3C5070D4"/>
    <w:rsid w:val="3C56614E"/>
    <w:rsid w:val="3C5C5A8B"/>
    <w:rsid w:val="3C5E6899"/>
    <w:rsid w:val="3C634773"/>
    <w:rsid w:val="3C7454B8"/>
    <w:rsid w:val="3C764B1D"/>
    <w:rsid w:val="3C767358"/>
    <w:rsid w:val="3C767618"/>
    <w:rsid w:val="3C7C5835"/>
    <w:rsid w:val="3C7C5FE2"/>
    <w:rsid w:val="3C86132C"/>
    <w:rsid w:val="3C886931"/>
    <w:rsid w:val="3C8B39EE"/>
    <w:rsid w:val="3C925059"/>
    <w:rsid w:val="3C9266AD"/>
    <w:rsid w:val="3C92687C"/>
    <w:rsid w:val="3C9B5C32"/>
    <w:rsid w:val="3C9E4263"/>
    <w:rsid w:val="3CA30328"/>
    <w:rsid w:val="3CA806D7"/>
    <w:rsid w:val="3CAC2C8B"/>
    <w:rsid w:val="3CAD03BB"/>
    <w:rsid w:val="3CAF5C0A"/>
    <w:rsid w:val="3CB1218A"/>
    <w:rsid w:val="3CB23005"/>
    <w:rsid w:val="3CB37A06"/>
    <w:rsid w:val="3CB96102"/>
    <w:rsid w:val="3CBA43FC"/>
    <w:rsid w:val="3CBA7213"/>
    <w:rsid w:val="3CBC3636"/>
    <w:rsid w:val="3CBD4815"/>
    <w:rsid w:val="3CBE2CA9"/>
    <w:rsid w:val="3CC03974"/>
    <w:rsid w:val="3CC16867"/>
    <w:rsid w:val="3CCE5FE8"/>
    <w:rsid w:val="3CDB63E1"/>
    <w:rsid w:val="3CDC6426"/>
    <w:rsid w:val="3CE00868"/>
    <w:rsid w:val="3CE11114"/>
    <w:rsid w:val="3CE21B3C"/>
    <w:rsid w:val="3CE77C76"/>
    <w:rsid w:val="3CE80C6A"/>
    <w:rsid w:val="3CED04E1"/>
    <w:rsid w:val="3CF25D94"/>
    <w:rsid w:val="3CF76797"/>
    <w:rsid w:val="3CF8135F"/>
    <w:rsid w:val="3CFD5C08"/>
    <w:rsid w:val="3D0B6E64"/>
    <w:rsid w:val="3D155987"/>
    <w:rsid w:val="3D1E1909"/>
    <w:rsid w:val="3D227BC2"/>
    <w:rsid w:val="3D235CB1"/>
    <w:rsid w:val="3D23732D"/>
    <w:rsid w:val="3D314871"/>
    <w:rsid w:val="3D361FC8"/>
    <w:rsid w:val="3D36750A"/>
    <w:rsid w:val="3D37130B"/>
    <w:rsid w:val="3D4B2F87"/>
    <w:rsid w:val="3D531AB5"/>
    <w:rsid w:val="3D573AAE"/>
    <w:rsid w:val="3D581DFE"/>
    <w:rsid w:val="3D5C3B63"/>
    <w:rsid w:val="3D630803"/>
    <w:rsid w:val="3D6437E1"/>
    <w:rsid w:val="3D6562C9"/>
    <w:rsid w:val="3D6663BC"/>
    <w:rsid w:val="3D6739D2"/>
    <w:rsid w:val="3D6D1400"/>
    <w:rsid w:val="3D77013B"/>
    <w:rsid w:val="3D86135D"/>
    <w:rsid w:val="3D885D7E"/>
    <w:rsid w:val="3D891FEB"/>
    <w:rsid w:val="3D894A1C"/>
    <w:rsid w:val="3D8A3BC0"/>
    <w:rsid w:val="3D8F52FC"/>
    <w:rsid w:val="3DA2751D"/>
    <w:rsid w:val="3DA75AC4"/>
    <w:rsid w:val="3DAE23B6"/>
    <w:rsid w:val="3DBC43B2"/>
    <w:rsid w:val="3DC456E6"/>
    <w:rsid w:val="3DCC00F6"/>
    <w:rsid w:val="3DDB1F8C"/>
    <w:rsid w:val="3DDC6AF7"/>
    <w:rsid w:val="3DE70243"/>
    <w:rsid w:val="3DE73F01"/>
    <w:rsid w:val="3DEE2762"/>
    <w:rsid w:val="3DEE38D9"/>
    <w:rsid w:val="3DF20CB5"/>
    <w:rsid w:val="3DF325B6"/>
    <w:rsid w:val="3DF37D79"/>
    <w:rsid w:val="3DFC4E7F"/>
    <w:rsid w:val="3DFC50D8"/>
    <w:rsid w:val="3DFF10F6"/>
    <w:rsid w:val="3DFF3AB5"/>
    <w:rsid w:val="3E045AE2"/>
    <w:rsid w:val="3E060061"/>
    <w:rsid w:val="3E0658F8"/>
    <w:rsid w:val="3E0C2BE9"/>
    <w:rsid w:val="3E0F73EF"/>
    <w:rsid w:val="3E1026D9"/>
    <w:rsid w:val="3E156929"/>
    <w:rsid w:val="3E18158D"/>
    <w:rsid w:val="3E1A323A"/>
    <w:rsid w:val="3E246F68"/>
    <w:rsid w:val="3E285C74"/>
    <w:rsid w:val="3E2A0315"/>
    <w:rsid w:val="3E2C5FFE"/>
    <w:rsid w:val="3E304B29"/>
    <w:rsid w:val="3E337968"/>
    <w:rsid w:val="3E3D7ECF"/>
    <w:rsid w:val="3E4634F9"/>
    <w:rsid w:val="3E4C3269"/>
    <w:rsid w:val="3E4D56DB"/>
    <w:rsid w:val="3E5352E3"/>
    <w:rsid w:val="3E5C1861"/>
    <w:rsid w:val="3E5F1E94"/>
    <w:rsid w:val="3E5F71BC"/>
    <w:rsid w:val="3E622809"/>
    <w:rsid w:val="3E661243"/>
    <w:rsid w:val="3E691DE9"/>
    <w:rsid w:val="3E714E1C"/>
    <w:rsid w:val="3E7212ED"/>
    <w:rsid w:val="3E75078E"/>
    <w:rsid w:val="3E772758"/>
    <w:rsid w:val="3E846C23"/>
    <w:rsid w:val="3E895FE7"/>
    <w:rsid w:val="3E8B6203"/>
    <w:rsid w:val="3E8F30B5"/>
    <w:rsid w:val="3E9977AD"/>
    <w:rsid w:val="3E9E1A93"/>
    <w:rsid w:val="3EAB7EAD"/>
    <w:rsid w:val="3EB86D71"/>
    <w:rsid w:val="3EBA619F"/>
    <w:rsid w:val="3EBB43E8"/>
    <w:rsid w:val="3EBC016B"/>
    <w:rsid w:val="3EBD0C5E"/>
    <w:rsid w:val="3EBD4B4D"/>
    <w:rsid w:val="3ECD4126"/>
    <w:rsid w:val="3ECD4B2F"/>
    <w:rsid w:val="3ED25BE0"/>
    <w:rsid w:val="3ED81F6F"/>
    <w:rsid w:val="3EDC080D"/>
    <w:rsid w:val="3EE50A86"/>
    <w:rsid w:val="3EE772F3"/>
    <w:rsid w:val="3EEA3997"/>
    <w:rsid w:val="3EF840CF"/>
    <w:rsid w:val="3EFC5866"/>
    <w:rsid w:val="3EFD4748"/>
    <w:rsid w:val="3EFE0737"/>
    <w:rsid w:val="3EFF60F3"/>
    <w:rsid w:val="3F012456"/>
    <w:rsid w:val="3F022944"/>
    <w:rsid w:val="3F080BC5"/>
    <w:rsid w:val="3F0A7BA0"/>
    <w:rsid w:val="3F0B3854"/>
    <w:rsid w:val="3F0C7B15"/>
    <w:rsid w:val="3F0F2990"/>
    <w:rsid w:val="3F116B6E"/>
    <w:rsid w:val="3F125943"/>
    <w:rsid w:val="3F30187A"/>
    <w:rsid w:val="3F3E6DD2"/>
    <w:rsid w:val="3F420918"/>
    <w:rsid w:val="3F482BD1"/>
    <w:rsid w:val="3F4B701E"/>
    <w:rsid w:val="3F4F7231"/>
    <w:rsid w:val="3F531224"/>
    <w:rsid w:val="3F5E4773"/>
    <w:rsid w:val="3F5F6316"/>
    <w:rsid w:val="3F652AD4"/>
    <w:rsid w:val="3F691733"/>
    <w:rsid w:val="3F6B1650"/>
    <w:rsid w:val="3F744EE9"/>
    <w:rsid w:val="3F7647BE"/>
    <w:rsid w:val="3F7D2FB5"/>
    <w:rsid w:val="3F817D6A"/>
    <w:rsid w:val="3F84750C"/>
    <w:rsid w:val="3F88684E"/>
    <w:rsid w:val="3F955530"/>
    <w:rsid w:val="3F982986"/>
    <w:rsid w:val="3F9D7F9C"/>
    <w:rsid w:val="3F9E3DB3"/>
    <w:rsid w:val="3FAF4912"/>
    <w:rsid w:val="3FB43D0E"/>
    <w:rsid w:val="3FB66F63"/>
    <w:rsid w:val="3FB672B0"/>
    <w:rsid w:val="3FB9677F"/>
    <w:rsid w:val="3FBC7FD8"/>
    <w:rsid w:val="3FC76427"/>
    <w:rsid w:val="3FD14F9A"/>
    <w:rsid w:val="3FD43EF0"/>
    <w:rsid w:val="3FD92723"/>
    <w:rsid w:val="3FDD382D"/>
    <w:rsid w:val="3FF12A08"/>
    <w:rsid w:val="3FF35E0E"/>
    <w:rsid w:val="3FF43934"/>
    <w:rsid w:val="3FFD6147"/>
    <w:rsid w:val="3FFF347E"/>
    <w:rsid w:val="40013BD9"/>
    <w:rsid w:val="40014803"/>
    <w:rsid w:val="400353AF"/>
    <w:rsid w:val="400D3374"/>
    <w:rsid w:val="400D69CF"/>
    <w:rsid w:val="400F3069"/>
    <w:rsid w:val="401F4E55"/>
    <w:rsid w:val="40235CA2"/>
    <w:rsid w:val="4029353B"/>
    <w:rsid w:val="402C1751"/>
    <w:rsid w:val="40316936"/>
    <w:rsid w:val="40354679"/>
    <w:rsid w:val="403B5D29"/>
    <w:rsid w:val="403F7753"/>
    <w:rsid w:val="405439D7"/>
    <w:rsid w:val="4057639D"/>
    <w:rsid w:val="4058162F"/>
    <w:rsid w:val="405E3BCF"/>
    <w:rsid w:val="406428A4"/>
    <w:rsid w:val="40672358"/>
    <w:rsid w:val="40687A87"/>
    <w:rsid w:val="406A72FF"/>
    <w:rsid w:val="407024AC"/>
    <w:rsid w:val="407336C7"/>
    <w:rsid w:val="40784565"/>
    <w:rsid w:val="407C559D"/>
    <w:rsid w:val="40876DA4"/>
    <w:rsid w:val="40960CFD"/>
    <w:rsid w:val="409A44DC"/>
    <w:rsid w:val="409F5C80"/>
    <w:rsid w:val="40A11BDC"/>
    <w:rsid w:val="40AA4AF3"/>
    <w:rsid w:val="40AE6587"/>
    <w:rsid w:val="40AF2D44"/>
    <w:rsid w:val="40B01F51"/>
    <w:rsid w:val="40B25CC9"/>
    <w:rsid w:val="40B437EF"/>
    <w:rsid w:val="40CC3AF6"/>
    <w:rsid w:val="40CD787E"/>
    <w:rsid w:val="40D419B4"/>
    <w:rsid w:val="40D67DD7"/>
    <w:rsid w:val="40D93256"/>
    <w:rsid w:val="40DB4CAC"/>
    <w:rsid w:val="40E1100B"/>
    <w:rsid w:val="40E33A83"/>
    <w:rsid w:val="40E57E4D"/>
    <w:rsid w:val="40EA5463"/>
    <w:rsid w:val="40EA7211"/>
    <w:rsid w:val="40ED6437"/>
    <w:rsid w:val="40F92D5C"/>
    <w:rsid w:val="40F95B78"/>
    <w:rsid w:val="41000A49"/>
    <w:rsid w:val="4105077F"/>
    <w:rsid w:val="41055DF9"/>
    <w:rsid w:val="41076015"/>
    <w:rsid w:val="410D23C6"/>
    <w:rsid w:val="410F0555"/>
    <w:rsid w:val="41100E9F"/>
    <w:rsid w:val="41110C42"/>
    <w:rsid w:val="411E335F"/>
    <w:rsid w:val="41203D8E"/>
    <w:rsid w:val="41250249"/>
    <w:rsid w:val="41281AE7"/>
    <w:rsid w:val="41320BB8"/>
    <w:rsid w:val="4135617F"/>
    <w:rsid w:val="41392BC6"/>
    <w:rsid w:val="413B24B7"/>
    <w:rsid w:val="41420656"/>
    <w:rsid w:val="41485AB3"/>
    <w:rsid w:val="414F4CC6"/>
    <w:rsid w:val="4152722B"/>
    <w:rsid w:val="4153106D"/>
    <w:rsid w:val="415616CC"/>
    <w:rsid w:val="41584164"/>
    <w:rsid w:val="41635215"/>
    <w:rsid w:val="4168559A"/>
    <w:rsid w:val="41811912"/>
    <w:rsid w:val="41821D4C"/>
    <w:rsid w:val="41842808"/>
    <w:rsid w:val="41843914"/>
    <w:rsid w:val="41872CB2"/>
    <w:rsid w:val="4189357C"/>
    <w:rsid w:val="418946B1"/>
    <w:rsid w:val="41894C7C"/>
    <w:rsid w:val="418C6142"/>
    <w:rsid w:val="41915007"/>
    <w:rsid w:val="419278A7"/>
    <w:rsid w:val="41965EDF"/>
    <w:rsid w:val="41983306"/>
    <w:rsid w:val="41A06362"/>
    <w:rsid w:val="41A27AEC"/>
    <w:rsid w:val="41AC3006"/>
    <w:rsid w:val="41B10084"/>
    <w:rsid w:val="41C75A56"/>
    <w:rsid w:val="41CE6B33"/>
    <w:rsid w:val="41CF4BE0"/>
    <w:rsid w:val="41D91034"/>
    <w:rsid w:val="41D9576C"/>
    <w:rsid w:val="41DA54D8"/>
    <w:rsid w:val="41E56B95"/>
    <w:rsid w:val="41E736CA"/>
    <w:rsid w:val="41EC6FB9"/>
    <w:rsid w:val="41F90EB2"/>
    <w:rsid w:val="41FF59B2"/>
    <w:rsid w:val="41FF74D8"/>
    <w:rsid w:val="42071D18"/>
    <w:rsid w:val="42094707"/>
    <w:rsid w:val="420C1409"/>
    <w:rsid w:val="420F4A55"/>
    <w:rsid w:val="42147F27"/>
    <w:rsid w:val="421A4FE3"/>
    <w:rsid w:val="421B7832"/>
    <w:rsid w:val="421B7986"/>
    <w:rsid w:val="421D6C58"/>
    <w:rsid w:val="42254A34"/>
    <w:rsid w:val="423B3A9C"/>
    <w:rsid w:val="423D5A66"/>
    <w:rsid w:val="42407479"/>
    <w:rsid w:val="42442951"/>
    <w:rsid w:val="42446DF5"/>
    <w:rsid w:val="42500768"/>
    <w:rsid w:val="4250579A"/>
    <w:rsid w:val="425B7C9B"/>
    <w:rsid w:val="425F7817"/>
    <w:rsid w:val="426B25D4"/>
    <w:rsid w:val="426C1D94"/>
    <w:rsid w:val="426F2480"/>
    <w:rsid w:val="42727E6C"/>
    <w:rsid w:val="42777040"/>
    <w:rsid w:val="4278084D"/>
    <w:rsid w:val="427C791C"/>
    <w:rsid w:val="4281763A"/>
    <w:rsid w:val="42845443"/>
    <w:rsid w:val="42847921"/>
    <w:rsid w:val="42890CAC"/>
    <w:rsid w:val="428B52AC"/>
    <w:rsid w:val="42935686"/>
    <w:rsid w:val="42937943"/>
    <w:rsid w:val="4294377D"/>
    <w:rsid w:val="429462ED"/>
    <w:rsid w:val="42973F4D"/>
    <w:rsid w:val="42A96C58"/>
    <w:rsid w:val="42AD50EE"/>
    <w:rsid w:val="42B61283"/>
    <w:rsid w:val="42BC7DDF"/>
    <w:rsid w:val="42C21024"/>
    <w:rsid w:val="42C77633"/>
    <w:rsid w:val="42C8332E"/>
    <w:rsid w:val="42CB43AC"/>
    <w:rsid w:val="42CF2B62"/>
    <w:rsid w:val="42D454E4"/>
    <w:rsid w:val="42D73854"/>
    <w:rsid w:val="42DD1545"/>
    <w:rsid w:val="42E4687E"/>
    <w:rsid w:val="42E90505"/>
    <w:rsid w:val="42E965E3"/>
    <w:rsid w:val="42ED6467"/>
    <w:rsid w:val="42EE734C"/>
    <w:rsid w:val="42F11D2D"/>
    <w:rsid w:val="42F462E9"/>
    <w:rsid w:val="42FB2570"/>
    <w:rsid w:val="4303525B"/>
    <w:rsid w:val="43056584"/>
    <w:rsid w:val="43060CE4"/>
    <w:rsid w:val="43067773"/>
    <w:rsid w:val="43072FA1"/>
    <w:rsid w:val="43076C51"/>
    <w:rsid w:val="43095949"/>
    <w:rsid w:val="430C7B0A"/>
    <w:rsid w:val="431151CC"/>
    <w:rsid w:val="4314692A"/>
    <w:rsid w:val="431A23EC"/>
    <w:rsid w:val="431F2F73"/>
    <w:rsid w:val="432509D4"/>
    <w:rsid w:val="432B288E"/>
    <w:rsid w:val="43336B06"/>
    <w:rsid w:val="433E65C2"/>
    <w:rsid w:val="43423147"/>
    <w:rsid w:val="43482915"/>
    <w:rsid w:val="434C1AC0"/>
    <w:rsid w:val="434D4854"/>
    <w:rsid w:val="434D4C26"/>
    <w:rsid w:val="434F5638"/>
    <w:rsid w:val="43504C92"/>
    <w:rsid w:val="4351680C"/>
    <w:rsid w:val="4353719E"/>
    <w:rsid w:val="4357356D"/>
    <w:rsid w:val="43574906"/>
    <w:rsid w:val="435766B4"/>
    <w:rsid w:val="435C3CCA"/>
    <w:rsid w:val="4365000D"/>
    <w:rsid w:val="436F1849"/>
    <w:rsid w:val="43706017"/>
    <w:rsid w:val="43724C1B"/>
    <w:rsid w:val="4376642B"/>
    <w:rsid w:val="437C32D0"/>
    <w:rsid w:val="437E00E5"/>
    <w:rsid w:val="437E2698"/>
    <w:rsid w:val="438020AF"/>
    <w:rsid w:val="43870F4B"/>
    <w:rsid w:val="438751EB"/>
    <w:rsid w:val="438A0837"/>
    <w:rsid w:val="439746B1"/>
    <w:rsid w:val="439B53F0"/>
    <w:rsid w:val="439D01B2"/>
    <w:rsid w:val="439E0787"/>
    <w:rsid w:val="439F3FDA"/>
    <w:rsid w:val="43A35D9D"/>
    <w:rsid w:val="43AD43B9"/>
    <w:rsid w:val="43C401ED"/>
    <w:rsid w:val="43C93609"/>
    <w:rsid w:val="43CC4B25"/>
    <w:rsid w:val="43D67F21"/>
    <w:rsid w:val="43DC14B4"/>
    <w:rsid w:val="43DF441D"/>
    <w:rsid w:val="43E22422"/>
    <w:rsid w:val="43F219B8"/>
    <w:rsid w:val="43F839F3"/>
    <w:rsid w:val="43F87E97"/>
    <w:rsid w:val="43FD65F5"/>
    <w:rsid w:val="440A14C9"/>
    <w:rsid w:val="44114C2F"/>
    <w:rsid w:val="441B41C3"/>
    <w:rsid w:val="44201AAB"/>
    <w:rsid w:val="44281D93"/>
    <w:rsid w:val="442E1B0B"/>
    <w:rsid w:val="442E4815"/>
    <w:rsid w:val="442F6191"/>
    <w:rsid w:val="44385BA8"/>
    <w:rsid w:val="44421DCC"/>
    <w:rsid w:val="444255B6"/>
    <w:rsid w:val="44492935"/>
    <w:rsid w:val="44500264"/>
    <w:rsid w:val="44511355"/>
    <w:rsid w:val="44584313"/>
    <w:rsid w:val="446077EA"/>
    <w:rsid w:val="446352D8"/>
    <w:rsid w:val="44654E01"/>
    <w:rsid w:val="44672928"/>
    <w:rsid w:val="446B7B19"/>
    <w:rsid w:val="44735770"/>
    <w:rsid w:val="447A2DD6"/>
    <w:rsid w:val="447F2366"/>
    <w:rsid w:val="44842520"/>
    <w:rsid w:val="44861D69"/>
    <w:rsid w:val="4488688E"/>
    <w:rsid w:val="448A72D9"/>
    <w:rsid w:val="44904CF7"/>
    <w:rsid w:val="44935882"/>
    <w:rsid w:val="44960F90"/>
    <w:rsid w:val="449776B0"/>
    <w:rsid w:val="449853D1"/>
    <w:rsid w:val="44A827BF"/>
    <w:rsid w:val="44AA218A"/>
    <w:rsid w:val="44AB0307"/>
    <w:rsid w:val="44B00772"/>
    <w:rsid w:val="44B22039"/>
    <w:rsid w:val="44B37276"/>
    <w:rsid w:val="44B40598"/>
    <w:rsid w:val="44C35AEB"/>
    <w:rsid w:val="44D101F3"/>
    <w:rsid w:val="44E31305"/>
    <w:rsid w:val="44E328F5"/>
    <w:rsid w:val="44E565B2"/>
    <w:rsid w:val="44E706D8"/>
    <w:rsid w:val="44E95B4F"/>
    <w:rsid w:val="44EA498B"/>
    <w:rsid w:val="44EF1B82"/>
    <w:rsid w:val="44F2263A"/>
    <w:rsid w:val="44F536A1"/>
    <w:rsid w:val="44F62D17"/>
    <w:rsid w:val="44F95521"/>
    <w:rsid w:val="44FC470A"/>
    <w:rsid w:val="4508406A"/>
    <w:rsid w:val="451707F1"/>
    <w:rsid w:val="45175B8B"/>
    <w:rsid w:val="451A619E"/>
    <w:rsid w:val="451D442B"/>
    <w:rsid w:val="451E56DB"/>
    <w:rsid w:val="453018B3"/>
    <w:rsid w:val="4530540F"/>
    <w:rsid w:val="453D1CD3"/>
    <w:rsid w:val="453E18DA"/>
    <w:rsid w:val="453F1EB7"/>
    <w:rsid w:val="45412F2E"/>
    <w:rsid w:val="454823E9"/>
    <w:rsid w:val="454D6DCC"/>
    <w:rsid w:val="45505AB1"/>
    <w:rsid w:val="455410BB"/>
    <w:rsid w:val="45646640"/>
    <w:rsid w:val="45660E30"/>
    <w:rsid w:val="456652D4"/>
    <w:rsid w:val="456D21BF"/>
    <w:rsid w:val="456F4A8E"/>
    <w:rsid w:val="457322A9"/>
    <w:rsid w:val="45792522"/>
    <w:rsid w:val="45797C51"/>
    <w:rsid w:val="457B590E"/>
    <w:rsid w:val="457E20F9"/>
    <w:rsid w:val="458A109C"/>
    <w:rsid w:val="45900B50"/>
    <w:rsid w:val="459360E3"/>
    <w:rsid w:val="45947D2C"/>
    <w:rsid w:val="459A27F1"/>
    <w:rsid w:val="45A12D06"/>
    <w:rsid w:val="45A168B6"/>
    <w:rsid w:val="45A378FA"/>
    <w:rsid w:val="45A71B75"/>
    <w:rsid w:val="45B137DB"/>
    <w:rsid w:val="45B8708B"/>
    <w:rsid w:val="45C36283"/>
    <w:rsid w:val="45C83059"/>
    <w:rsid w:val="45CD7DCC"/>
    <w:rsid w:val="45CE25AE"/>
    <w:rsid w:val="45CE6EB7"/>
    <w:rsid w:val="45CF69D6"/>
    <w:rsid w:val="45D70B74"/>
    <w:rsid w:val="45D95AA6"/>
    <w:rsid w:val="45E00BE3"/>
    <w:rsid w:val="45E5245F"/>
    <w:rsid w:val="45E87A97"/>
    <w:rsid w:val="45EA18E4"/>
    <w:rsid w:val="45EB510E"/>
    <w:rsid w:val="45EE4E64"/>
    <w:rsid w:val="45FC104C"/>
    <w:rsid w:val="45FC472A"/>
    <w:rsid w:val="46017AF3"/>
    <w:rsid w:val="46053E0B"/>
    <w:rsid w:val="460E5A16"/>
    <w:rsid w:val="460F3276"/>
    <w:rsid w:val="46142A03"/>
    <w:rsid w:val="461507BE"/>
    <w:rsid w:val="461B2714"/>
    <w:rsid w:val="46336D11"/>
    <w:rsid w:val="463A4797"/>
    <w:rsid w:val="464E0242"/>
    <w:rsid w:val="46504FEC"/>
    <w:rsid w:val="465876E0"/>
    <w:rsid w:val="465F6E8D"/>
    <w:rsid w:val="46674425"/>
    <w:rsid w:val="46696D45"/>
    <w:rsid w:val="46794B93"/>
    <w:rsid w:val="467F7D3C"/>
    <w:rsid w:val="468024D4"/>
    <w:rsid w:val="468123C6"/>
    <w:rsid w:val="46925B3C"/>
    <w:rsid w:val="469359EF"/>
    <w:rsid w:val="46935C55"/>
    <w:rsid w:val="46962F65"/>
    <w:rsid w:val="469B3245"/>
    <w:rsid w:val="46A165C4"/>
    <w:rsid w:val="46A63BDA"/>
    <w:rsid w:val="46A77952"/>
    <w:rsid w:val="46A97C84"/>
    <w:rsid w:val="46AE7B45"/>
    <w:rsid w:val="46B76181"/>
    <w:rsid w:val="46BB366A"/>
    <w:rsid w:val="46BF18F4"/>
    <w:rsid w:val="46C053D9"/>
    <w:rsid w:val="46C736D2"/>
    <w:rsid w:val="46CA6113"/>
    <w:rsid w:val="46CC1FB0"/>
    <w:rsid w:val="46CC73B9"/>
    <w:rsid w:val="46D52711"/>
    <w:rsid w:val="46D9526E"/>
    <w:rsid w:val="46DE4B0F"/>
    <w:rsid w:val="46E464B1"/>
    <w:rsid w:val="46E93AC7"/>
    <w:rsid w:val="46F2171D"/>
    <w:rsid w:val="46F41301"/>
    <w:rsid w:val="46F72688"/>
    <w:rsid w:val="46FC0EC1"/>
    <w:rsid w:val="46FC6C97"/>
    <w:rsid w:val="4712301E"/>
    <w:rsid w:val="471508EB"/>
    <w:rsid w:val="471B0693"/>
    <w:rsid w:val="47240FA3"/>
    <w:rsid w:val="472562C9"/>
    <w:rsid w:val="4728616E"/>
    <w:rsid w:val="472A632A"/>
    <w:rsid w:val="472E51F4"/>
    <w:rsid w:val="47380150"/>
    <w:rsid w:val="473D2DF8"/>
    <w:rsid w:val="47474276"/>
    <w:rsid w:val="474B11F0"/>
    <w:rsid w:val="47577FEC"/>
    <w:rsid w:val="475B3C8B"/>
    <w:rsid w:val="475F534E"/>
    <w:rsid w:val="476426E1"/>
    <w:rsid w:val="476B0988"/>
    <w:rsid w:val="47787145"/>
    <w:rsid w:val="477B2701"/>
    <w:rsid w:val="477D602D"/>
    <w:rsid w:val="477E06B3"/>
    <w:rsid w:val="478065F6"/>
    <w:rsid w:val="478101A3"/>
    <w:rsid w:val="47811F51"/>
    <w:rsid w:val="4792711E"/>
    <w:rsid w:val="47A201F7"/>
    <w:rsid w:val="47A65085"/>
    <w:rsid w:val="47AA1ED1"/>
    <w:rsid w:val="47AD4653"/>
    <w:rsid w:val="47B133C0"/>
    <w:rsid w:val="47B431C2"/>
    <w:rsid w:val="47BA73F4"/>
    <w:rsid w:val="47C00F0A"/>
    <w:rsid w:val="47C36D46"/>
    <w:rsid w:val="47C56E9C"/>
    <w:rsid w:val="47CD5197"/>
    <w:rsid w:val="47D51C4B"/>
    <w:rsid w:val="47D800C1"/>
    <w:rsid w:val="47DD13CD"/>
    <w:rsid w:val="47E86495"/>
    <w:rsid w:val="47E904B8"/>
    <w:rsid w:val="47F414CB"/>
    <w:rsid w:val="47F66832"/>
    <w:rsid w:val="47FE17F4"/>
    <w:rsid w:val="480137F1"/>
    <w:rsid w:val="4804468E"/>
    <w:rsid w:val="48084EF8"/>
    <w:rsid w:val="480B033B"/>
    <w:rsid w:val="48144882"/>
    <w:rsid w:val="481B05F8"/>
    <w:rsid w:val="481E3C44"/>
    <w:rsid w:val="481F03A7"/>
    <w:rsid w:val="481F608B"/>
    <w:rsid w:val="482414A4"/>
    <w:rsid w:val="48250CCA"/>
    <w:rsid w:val="482A5C0C"/>
    <w:rsid w:val="482A7B31"/>
    <w:rsid w:val="482F734F"/>
    <w:rsid w:val="48354D96"/>
    <w:rsid w:val="48356E78"/>
    <w:rsid w:val="483A5065"/>
    <w:rsid w:val="483D2C31"/>
    <w:rsid w:val="483F42E6"/>
    <w:rsid w:val="48413CDD"/>
    <w:rsid w:val="484535C9"/>
    <w:rsid w:val="484713ED"/>
    <w:rsid w:val="484719F0"/>
    <w:rsid w:val="48471B84"/>
    <w:rsid w:val="4849456D"/>
    <w:rsid w:val="484D2675"/>
    <w:rsid w:val="48547666"/>
    <w:rsid w:val="48580F04"/>
    <w:rsid w:val="485F6737"/>
    <w:rsid w:val="4860637D"/>
    <w:rsid w:val="4861685C"/>
    <w:rsid w:val="48620C02"/>
    <w:rsid w:val="48627FD5"/>
    <w:rsid w:val="48645AFB"/>
    <w:rsid w:val="48671739"/>
    <w:rsid w:val="486C56F6"/>
    <w:rsid w:val="48727F8C"/>
    <w:rsid w:val="4879296F"/>
    <w:rsid w:val="48821D18"/>
    <w:rsid w:val="488942EB"/>
    <w:rsid w:val="48914416"/>
    <w:rsid w:val="489772F0"/>
    <w:rsid w:val="489F79D0"/>
    <w:rsid w:val="48B226DD"/>
    <w:rsid w:val="48B84099"/>
    <w:rsid w:val="48BA42EE"/>
    <w:rsid w:val="48BA4C67"/>
    <w:rsid w:val="48BD7FEE"/>
    <w:rsid w:val="48C06AA9"/>
    <w:rsid w:val="48CD3E91"/>
    <w:rsid w:val="48CD7300"/>
    <w:rsid w:val="48D04F3E"/>
    <w:rsid w:val="48D50218"/>
    <w:rsid w:val="48D84B97"/>
    <w:rsid w:val="48DC77A6"/>
    <w:rsid w:val="48E21116"/>
    <w:rsid w:val="48EB5D96"/>
    <w:rsid w:val="48F454D3"/>
    <w:rsid w:val="48F51911"/>
    <w:rsid w:val="48F549A5"/>
    <w:rsid w:val="48F62D0F"/>
    <w:rsid w:val="48FA0636"/>
    <w:rsid w:val="48FF19A3"/>
    <w:rsid w:val="4900334A"/>
    <w:rsid w:val="49012624"/>
    <w:rsid w:val="4902065A"/>
    <w:rsid w:val="49025314"/>
    <w:rsid w:val="490A36AA"/>
    <w:rsid w:val="490C6B1F"/>
    <w:rsid w:val="49123A53"/>
    <w:rsid w:val="49136F55"/>
    <w:rsid w:val="491D5CAA"/>
    <w:rsid w:val="492C2EE6"/>
    <w:rsid w:val="49373210"/>
    <w:rsid w:val="49384950"/>
    <w:rsid w:val="493A2104"/>
    <w:rsid w:val="493C5DA8"/>
    <w:rsid w:val="494D6A9A"/>
    <w:rsid w:val="49583186"/>
    <w:rsid w:val="495A6636"/>
    <w:rsid w:val="495B677C"/>
    <w:rsid w:val="495C686D"/>
    <w:rsid w:val="495F44D9"/>
    <w:rsid w:val="49695393"/>
    <w:rsid w:val="497C0C22"/>
    <w:rsid w:val="49804BB7"/>
    <w:rsid w:val="498D25A4"/>
    <w:rsid w:val="499B1CFC"/>
    <w:rsid w:val="499B4B44"/>
    <w:rsid w:val="499E6C9B"/>
    <w:rsid w:val="499F2718"/>
    <w:rsid w:val="499F6DF8"/>
    <w:rsid w:val="49A25894"/>
    <w:rsid w:val="49A46880"/>
    <w:rsid w:val="49A66AFD"/>
    <w:rsid w:val="49A91EB8"/>
    <w:rsid w:val="49BC0E52"/>
    <w:rsid w:val="49CA5E32"/>
    <w:rsid w:val="49CB181C"/>
    <w:rsid w:val="49D15412"/>
    <w:rsid w:val="49D40583"/>
    <w:rsid w:val="49D42321"/>
    <w:rsid w:val="49D831E7"/>
    <w:rsid w:val="49D85376"/>
    <w:rsid w:val="49DA5439"/>
    <w:rsid w:val="49DB2099"/>
    <w:rsid w:val="49DC4A3A"/>
    <w:rsid w:val="49DC7913"/>
    <w:rsid w:val="49EA6B85"/>
    <w:rsid w:val="49EF1D7E"/>
    <w:rsid w:val="49F64E79"/>
    <w:rsid w:val="49FB60FD"/>
    <w:rsid w:val="4A0155CC"/>
    <w:rsid w:val="4A061D57"/>
    <w:rsid w:val="4A081734"/>
    <w:rsid w:val="4A0A6975"/>
    <w:rsid w:val="4A211429"/>
    <w:rsid w:val="4A2512BA"/>
    <w:rsid w:val="4A297B23"/>
    <w:rsid w:val="4A2C5B1A"/>
    <w:rsid w:val="4A301A0D"/>
    <w:rsid w:val="4A361719"/>
    <w:rsid w:val="4A373581"/>
    <w:rsid w:val="4A3C14DF"/>
    <w:rsid w:val="4A446F13"/>
    <w:rsid w:val="4A45195C"/>
    <w:rsid w:val="4A491A65"/>
    <w:rsid w:val="4A4C05C5"/>
    <w:rsid w:val="4A4D636F"/>
    <w:rsid w:val="4A5B2ED4"/>
    <w:rsid w:val="4A5F343D"/>
    <w:rsid w:val="4A5F5CA7"/>
    <w:rsid w:val="4A6C0C97"/>
    <w:rsid w:val="4A761B16"/>
    <w:rsid w:val="4A771C12"/>
    <w:rsid w:val="4A783AE0"/>
    <w:rsid w:val="4A840273"/>
    <w:rsid w:val="4A8A66BC"/>
    <w:rsid w:val="4A8E0901"/>
    <w:rsid w:val="4A8E3303"/>
    <w:rsid w:val="4A8F0E29"/>
    <w:rsid w:val="4A973912"/>
    <w:rsid w:val="4AA74514"/>
    <w:rsid w:val="4AB61E23"/>
    <w:rsid w:val="4AB8753E"/>
    <w:rsid w:val="4ABD4C72"/>
    <w:rsid w:val="4ABF3A6E"/>
    <w:rsid w:val="4AC4394C"/>
    <w:rsid w:val="4AC960E9"/>
    <w:rsid w:val="4AE271AB"/>
    <w:rsid w:val="4AE34555"/>
    <w:rsid w:val="4AE41B52"/>
    <w:rsid w:val="4AE44CD1"/>
    <w:rsid w:val="4AE831F9"/>
    <w:rsid w:val="4AE9338A"/>
    <w:rsid w:val="4AF62C56"/>
    <w:rsid w:val="4AF90FCD"/>
    <w:rsid w:val="4AFE1C0C"/>
    <w:rsid w:val="4B0C1599"/>
    <w:rsid w:val="4B0C3A7C"/>
    <w:rsid w:val="4B133808"/>
    <w:rsid w:val="4B1650A7"/>
    <w:rsid w:val="4B1677FE"/>
    <w:rsid w:val="4B2941CE"/>
    <w:rsid w:val="4B29505F"/>
    <w:rsid w:val="4B2B5A9B"/>
    <w:rsid w:val="4B2D49B8"/>
    <w:rsid w:val="4B435B6E"/>
    <w:rsid w:val="4B447E66"/>
    <w:rsid w:val="4B4842BF"/>
    <w:rsid w:val="4B4D13ED"/>
    <w:rsid w:val="4B571947"/>
    <w:rsid w:val="4B5F0442"/>
    <w:rsid w:val="4B622F35"/>
    <w:rsid w:val="4B6776B0"/>
    <w:rsid w:val="4B6F44D6"/>
    <w:rsid w:val="4B714C00"/>
    <w:rsid w:val="4B7F7C9E"/>
    <w:rsid w:val="4B807D59"/>
    <w:rsid w:val="4B8464B4"/>
    <w:rsid w:val="4B885FA4"/>
    <w:rsid w:val="4B8A4ED1"/>
    <w:rsid w:val="4B8C2783"/>
    <w:rsid w:val="4B8C3CD4"/>
    <w:rsid w:val="4B9D5082"/>
    <w:rsid w:val="4BA12BC2"/>
    <w:rsid w:val="4BA46423"/>
    <w:rsid w:val="4BA72EF2"/>
    <w:rsid w:val="4BB12126"/>
    <w:rsid w:val="4BB3758A"/>
    <w:rsid w:val="4BB90ED3"/>
    <w:rsid w:val="4BBF3803"/>
    <w:rsid w:val="4BC44B03"/>
    <w:rsid w:val="4BC65E9C"/>
    <w:rsid w:val="4BCA036B"/>
    <w:rsid w:val="4BCB72D6"/>
    <w:rsid w:val="4BCE3544"/>
    <w:rsid w:val="4BE227E0"/>
    <w:rsid w:val="4BE32B47"/>
    <w:rsid w:val="4BE854FF"/>
    <w:rsid w:val="4BEB1720"/>
    <w:rsid w:val="4BF17A7B"/>
    <w:rsid w:val="4BF947AC"/>
    <w:rsid w:val="4BFB49C8"/>
    <w:rsid w:val="4C000FCD"/>
    <w:rsid w:val="4C0118B3"/>
    <w:rsid w:val="4C037998"/>
    <w:rsid w:val="4C07162C"/>
    <w:rsid w:val="4C090165"/>
    <w:rsid w:val="4C0F3FD0"/>
    <w:rsid w:val="4C177328"/>
    <w:rsid w:val="4C190934"/>
    <w:rsid w:val="4C212431"/>
    <w:rsid w:val="4C2568E3"/>
    <w:rsid w:val="4C284772"/>
    <w:rsid w:val="4C2A69FF"/>
    <w:rsid w:val="4C2F4672"/>
    <w:rsid w:val="4C3451FF"/>
    <w:rsid w:val="4C3E203F"/>
    <w:rsid w:val="4C407EDE"/>
    <w:rsid w:val="4C4116A4"/>
    <w:rsid w:val="4C420EBA"/>
    <w:rsid w:val="4C4243A5"/>
    <w:rsid w:val="4C4A2448"/>
    <w:rsid w:val="4C4B3B1D"/>
    <w:rsid w:val="4C542EE9"/>
    <w:rsid w:val="4C5440D8"/>
    <w:rsid w:val="4C60663A"/>
    <w:rsid w:val="4C68556A"/>
    <w:rsid w:val="4C6922D6"/>
    <w:rsid w:val="4C69609D"/>
    <w:rsid w:val="4C744B0C"/>
    <w:rsid w:val="4C7622A1"/>
    <w:rsid w:val="4C7F5523"/>
    <w:rsid w:val="4C8347DF"/>
    <w:rsid w:val="4C856040"/>
    <w:rsid w:val="4C8F5111"/>
    <w:rsid w:val="4C91296C"/>
    <w:rsid w:val="4CA1570F"/>
    <w:rsid w:val="4CA34E17"/>
    <w:rsid w:val="4CA43AA8"/>
    <w:rsid w:val="4CB474AB"/>
    <w:rsid w:val="4CB6269D"/>
    <w:rsid w:val="4CBB4340"/>
    <w:rsid w:val="4CBD29E8"/>
    <w:rsid w:val="4CC410AE"/>
    <w:rsid w:val="4CC66C49"/>
    <w:rsid w:val="4CC83830"/>
    <w:rsid w:val="4CD6689C"/>
    <w:rsid w:val="4CEA1148"/>
    <w:rsid w:val="4CEC4B87"/>
    <w:rsid w:val="4CF626D0"/>
    <w:rsid w:val="4CF6285E"/>
    <w:rsid w:val="4CF7331D"/>
    <w:rsid w:val="4CF84A64"/>
    <w:rsid w:val="4CF96E8A"/>
    <w:rsid w:val="4CFB71C8"/>
    <w:rsid w:val="4D0A649B"/>
    <w:rsid w:val="4D0B08C1"/>
    <w:rsid w:val="4D135D42"/>
    <w:rsid w:val="4D1415F1"/>
    <w:rsid w:val="4D1C0151"/>
    <w:rsid w:val="4D227D33"/>
    <w:rsid w:val="4D275349"/>
    <w:rsid w:val="4D2910C1"/>
    <w:rsid w:val="4D2A6912"/>
    <w:rsid w:val="4D2D4D8D"/>
    <w:rsid w:val="4D36558C"/>
    <w:rsid w:val="4D365812"/>
    <w:rsid w:val="4D410F5D"/>
    <w:rsid w:val="4D422020"/>
    <w:rsid w:val="4D422183"/>
    <w:rsid w:val="4D43572F"/>
    <w:rsid w:val="4D4A1C9C"/>
    <w:rsid w:val="4D4A762C"/>
    <w:rsid w:val="4D4E0B28"/>
    <w:rsid w:val="4D510618"/>
    <w:rsid w:val="4D5325E2"/>
    <w:rsid w:val="4D62031F"/>
    <w:rsid w:val="4D635078"/>
    <w:rsid w:val="4D66702B"/>
    <w:rsid w:val="4D7021C3"/>
    <w:rsid w:val="4D785BA5"/>
    <w:rsid w:val="4D7C185B"/>
    <w:rsid w:val="4D9728D6"/>
    <w:rsid w:val="4D9B4F3A"/>
    <w:rsid w:val="4DA56DAE"/>
    <w:rsid w:val="4DA846DC"/>
    <w:rsid w:val="4DAB5F7A"/>
    <w:rsid w:val="4DB1508C"/>
    <w:rsid w:val="4DB27309"/>
    <w:rsid w:val="4DB7148A"/>
    <w:rsid w:val="4DB72B71"/>
    <w:rsid w:val="4DB76A14"/>
    <w:rsid w:val="4DB82C14"/>
    <w:rsid w:val="4DB94EA7"/>
    <w:rsid w:val="4DBD51A5"/>
    <w:rsid w:val="4DBD7A5B"/>
    <w:rsid w:val="4DC17508"/>
    <w:rsid w:val="4DC60DC4"/>
    <w:rsid w:val="4DC60F90"/>
    <w:rsid w:val="4DC94F61"/>
    <w:rsid w:val="4DD36241"/>
    <w:rsid w:val="4DD43956"/>
    <w:rsid w:val="4DD54163"/>
    <w:rsid w:val="4DD64831"/>
    <w:rsid w:val="4DD94895"/>
    <w:rsid w:val="4DE1199C"/>
    <w:rsid w:val="4DE17E3C"/>
    <w:rsid w:val="4DE33966"/>
    <w:rsid w:val="4DEB45C9"/>
    <w:rsid w:val="4DED52D5"/>
    <w:rsid w:val="4DF10F64"/>
    <w:rsid w:val="4DF3106E"/>
    <w:rsid w:val="4DF70283"/>
    <w:rsid w:val="4DF96CE5"/>
    <w:rsid w:val="4E0062C6"/>
    <w:rsid w:val="4E040623"/>
    <w:rsid w:val="4E0713EE"/>
    <w:rsid w:val="4E07671B"/>
    <w:rsid w:val="4E0827DB"/>
    <w:rsid w:val="4E0C080E"/>
    <w:rsid w:val="4E1E499E"/>
    <w:rsid w:val="4E1F24C4"/>
    <w:rsid w:val="4E296E9F"/>
    <w:rsid w:val="4E2A0C14"/>
    <w:rsid w:val="4E2E7D37"/>
    <w:rsid w:val="4E30022D"/>
    <w:rsid w:val="4E3221F7"/>
    <w:rsid w:val="4E3A10AC"/>
    <w:rsid w:val="4E3B2540"/>
    <w:rsid w:val="4E453CD9"/>
    <w:rsid w:val="4E470864"/>
    <w:rsid w:val="4E4B32B9"/>
    <w:rsid w:val="4E4D0DDF"/>
    <w:rsid w:val="4E4E4590"/>
    <w:rsid w:val="4E524648"/>
    <w:rsid w:val="4E56460A"/>
    <w:rsid w:val="4E654419"/>
    <w:rsid w:val="4E677DB0"/>
    <w:rsid w:val="4E6A4E82"/>
    <w:rsid w:val="4E6D64E5"/>
    <w:rsid w:val="4E6E523D"/>
    <w:rsid w:val="4E710F72"/>
    <w:rsid w:val="4E726219"/>
    <w:rsid w:val="4E7616EC"/>
    <w:rsid w:val="4E761FE7"/>
    <w:rsid w:val="4E870A66"/>
    <w:rsid w:val="4E9758EF"/>
    <w:rsid w:val="4EA00729"/>
    <w:rsid w:val="4EA14621"/>
    <w:rsid w:val="4EA21D87"/>
    <w:rsid w:val="4EAA1831"/>
    <w:rsid w:val="4EAA6232"/>
    <w:rsid w:val="4EAB30EF"/>
    <w:rsid w:val="4EAD5D22"/>
    <w:rsid w:val="4EBF7AA9"/>
    <w:rsid w:val="4EC310A1"/>
    <w:rsid w:val="4ECC7F56"/>
    <w:rsid w:val="4ECF17A1"/>
    <w:rsid w:val="4ED44DD5"/>
    <w:rsid w:val="4EDD5F8A"/>
    <w:rsid w:val="4EE06E3C"/>
    <w:rsid w:val="4EE265B6"/>
    <w:rsid w:val="4EE31744"/>
    <w:rsid w:val="4EE80B08"/>
    <w:rsid w:val="4EEE4370"/>
    <w:rsid w:val="4EF128D2"/>
    <w:rsid w:val="4EF363DD"/>
    <w:rsid w:val="4EF52CCE"/>
    <w:rsid w:val="4EF53B2A"/>
    <w:rsid w:val="4EF87D8C"/>
    <w:rsid w:val="4EFC1B46"/>
    <w:rsid w:val="4F027DCE"/>
    <w:rsid w:val="4F0414B8"/>
    <w:rsid w:val="4F051CCB"/>
    <w:rsid w:val="4F053468"/>
    <w:rsid w:val="4F087D02"/>
    <w:rsid w:val="4F0A0A7E"/>
    <w:rsid w:val="4F155DA1"/>
    <w:rsid w:val="4F1A3EF9"/>
    <w:rsid w:val="4F1E38A5"/>
    <w:rsid w:val="4F221EB4"/>
    <w:rsid w:val="4F2558B8"/>
    <w:rsid w:val="4F2953A8"/>
    <w:rsid w:val="4F2B0974"/>
    <w:rsid w:val="4F380E5F"/>
    <w:rsid w:val="4F446E41"/>
    <w:rsid w:val="4F4E2192"/>
    <w:rsid w:val="4F4F0B87"/>
    <w:rsid w:val="4F4F4302"/>
    <w:rsid w:val="4F533A98"/>
    <w:rsid w:val="4F574E93"/>
    <w:rsid w:val="4F5D14F6"/>
    <w:rsid w:val="4F5E38E0"/>
    <w:rsid w:val="4F73779A"/>
    <w:rsid w:val="4F822D0B"/>
    <w:rsid w:val="4F846A83"/>
    <w:rsid w:val="4F8839EA"/>
    <w:rsid w:val="4F8847C5"/>
    <w:rsid w:val="4F8C5937"/>
    <w:rsid w:val="4F8E5B53"/>
    <w:rsid w:val="4F904BD0"/>
    <w:rsid w:val="4F9071D6"/>
    <w:rsid w:val="4F9238A2"/>
    <w:rsid w:val="4F942D05"/>
    <w:rsid w:val="4F9608DF"/>
    <w:rsid w:val="4F98252E"/>
    <w:rsid w:val="4FB97DFA"/>
    <w:rsid w:val="4FBA49F2"/>
    <w:rsid w:val="4FC67DC3"/>
    <w:rsid w:val="4FC945C8"/>
    <w:rsid w:val="4FC96655"/>
    <w:rsid w:val="4FCF2411"/>
    <w:rsid w:val="4FD227CD"/>
    <w:rsid w:val="4FDC066D"/>
    <w:rsid w:val="4FE24E7E"/>
    <w:rsid w:val="4FF05EC6"/>
    <w:rsid w:val="4FF6732B"/>
    <w:rsid w:val="4FF97471"/>
    <w:rsid w:val="4FFA4F97"/>
    <w:rsid w:val="500122A6"/>
    <w:rsid w:val="500E459E"/>
    <w:rsid w:val="50100316"/>
    <w:rsid w:val="50105770"/>
    <w:rsid w:val="501A2F43"/>
    <w:rsid w:val="501D0A1A"/>
    <w:rsid w:val="501F19B2"/>
    <w:rsid w:val="50236F06"/>
    <w:rsid w:val="50306C0B"/>
    <w:rsid w:val="503B34AC"/>
    <w:rsid w:val="50461D9C"/>
    <w:rsid w:val="504D3319"/>
    <w:rsid w:val="505168CC"/>
    <w:rsid w:val="505C355C"/>
    <w:rsid w:val="505C7A00"/>
    <w:rsid w:val="50640C0D"/>
    <w:rsid w:val="50642410"/>
    <w:rsid w:val="506568B4"/>
    <w:rsid w:val="5070666E"/>
    <w:rsid w:val="50772144"/>
    <w:rsid w:val="508D5321"/>
    <w:rsid w:val="50902684"/>
    <w:rsid w:val="509C07D1"/>
    <w:rsid w:val="50A166C7"/>
    <w:rsid w:val="50B27620"/>
    <w:rsid w:val="50B62437"/>
    <w:rsid w:val="50B909AE"/>
    <w:rsid w:val="50BE4216"/>
    <w:rsid w:val="50C01D3C"/>
    <w:rsid w:val="50C57353"/>
    <w:rsid w:val="50D411F3"/>
    <w:rsid w:val="50D56791"/>
    <w:rsid w:val="50DF429E"/>
    <w:rsid w:val="50DF56DA"/>
    <w:rsid w:val="50E7376D"/>
    <w:rsid w:val="50E83041"/>
    <w:rsid w:val="50F22B5F"/>
    <w:rsid w:val="50FC089B"/>
    <w:rsid w:val="50FC0BE7"/>
    <w:rsid w:val="50FE06CE"/>
    <w:rsid w:val="51002139"/>
    <w:rsid w:val="5100482F"/>
    <w:rsid w:val="510936E3"/>
    <w:rsid w:val="51111267"/>
    <w:rsid w:val="51125918"/>
    <w:rsid w:val="51135C92"/>
    <w:rsid w:val="5114090E"/>
    <w:rsid w:val="51181B78"/>
    <w:rsid w:val="511824C9"/>
    <w:rsid w:val="51261749"/>
    <w:rsid w:val="51265A86"/>
    <w:rsid w:val="512814BC"/>
    <w:rsid w:val="512E0FE5"/>
    <w:rsid w:val="51355514"/>
    <w:rsid w:val="51366457"/>
    <w:rsid w:val="51387B25"/>
    <w:rsid w:val="513A094D"/>
    <w:rsid w:val="513D513B"/>
    <w:rsid w:val="5153670D"/>
    <w:rsid w:val="51581BED"/>
    <w:rsid w:val="515A76E6"/>
    <w:rsid w:val="51657F28"/>
    <w:rsid w:val="516746FA"/>
    <w:rsid w:val="516A1F01"/>
    <w:rsid w:val="51713037"/>
    <w:rsid w:val="517718D3"/>
    <w:rsid w:val="51785BFD"/>
    <w:rsid w:val="518A5EA7"/>
    <w:rsid w:val="518F15B2"/>
    <w:rsid w:val="518F7CDA"/>
    <w:rsid w:val="51927D44"/>
    <w:rsid w:val="51937451"/>
    <w:rsid w:val="51967731"/>
    <w:rsid w:val="519A3ACF"/>
    <w:rsid w:val="51A52CE0"/>
    <w:rsid w:val="51AD1913"/>
    <w:rsid w:val="51B03B5F"/>
    <w:rsid w:val="51BD0971"/>
    <w:rsid w:val="51BF1EDD"/>
    <w:rsid w:val="51BF6EE5"/>
    <w:rsid w:val="51C37AA6"/>
    <w:rsid w:val="51C5653E"/>
    <w:rsid w:val="51C56801"/>
    <w:rsid w:val="51C60107"/>
    <w:rsid w:val="51C6336A"/>
    <w:rsid w:val="51CB42A1"/>
    <w:rsid w:val="51CB4B2F"/>
    <w:rsid w:val="51CE0A29"/>
    <w:rsid w:val="51CE3F19"/>
    <w:rsid w:val="51D04201"/>
    <w:rsid w:val="51D17B94"/>
    <w:rsid w:val="51D60E4D"/>
    <w:rsid w:val="51D67189"/>
    <w:rsid w:val="51D6733E"/>
    <w:rsid w:val="51D84E64"/>
    <w:rsid w:val="51E45A9B"/>
    <w:rsid w:val="51EA645F"/>
    <w:rsid w:val="51EE62E1"/>
    <w:rsid w:val="52036805"/>
    <w:rsid w:val="520640FF"/>
    <w:rsid w:val="52067778"/>
    <w:rsid w:val="521265C8"/>
    <w:rsid w:val="521E3EAD"/>
    <w:rsid w:val="521F6F37"/>
    <w:rsid w:val="522462FB"/>
    <w:rsid w:val="5225721D"/>
    <w:rsid w:val="52257A13"/>
    <w:rsid w:val="52290AA3"/>
    <w:rsid w:val="52325405"/>
    <w:rsid w:val="523452F7"/>
    <w:rsid w:val="52366120"/>
    <w:rsid w:val="52376CB3"/>
    <w:rsid w:val="5243098E"/>
    <w:rsid w:val="52461B27"/>
    <w:rsid w:val="52514243"/>
    <w:rsid w:val="5253273C"/>
    <w:rsid w:val="525C7843"/>
    <w:rsid w:val="525F08B8"/>
    <w:rsid w:val="52691871"/>
    <w:rsid w:val="52693681"/>
    <w:rsid w:val="526B5CD8"/>
    <w:rsid w:val="526D4CD2"/>
    <w:rsid w:val="527103FC"/>
    <w:rsid w:val="52797615"/>
    <w:rsid w:val="527F2B6C"/>
    <w:rsid w:val="528943B0"/>
    <w:rsid w:val="528F2BC1"/>
    <w:rsid w:val="52950FA7"/>
    <w:rsid w:val="52955565"/>
    <w:rsid w:val="529671F9"/>
    <w:rsid w:val="529A792F"/>
    <w:rsid w:val="52A1794C"/>
    <w:rsid w:val="52A4759B"/>
    <w:rsid w:val="52A86F2C"/>
    <w:rsid w:val="52AC6DB4"/>
    <w:rsid w:val="52B35629"/>
    <w:rsid w:val="52BA0823"/>
    <w:rsid w:val="52C06024"/>
    <w:rsid w:val="52C079AC"/>
    <w:rsid w:val="52C12A5B"/>
    <w:rsid w:val="52C378C2"/>
    <w:rsid w:val="52CA718B"/>
    <w:rsid w:val="52CD6993"/>
    <w:rsid w:val="52D32AFD"/>
    <w:rsid w:val="52D617B9"/>
    <w:rsid w:val="52D970E6"/>
    <w:rsid w:val="52F00857"/>
    <w:rsid w:val="52F8737A"/>
    <w:rsid w:val="52FB0264"/>
    <w:rsid w:val="53047FA7"/>
    <w:rsid w:val="530D098C"/>
    <w:rsid w:val="53126848"/>
    <w:rsid w:val="53163E96"/>
    <w:rsid w:val="531D13E5"/>
    <w:rsid w:val="53223F99"/>
    <w:rsid w:val="532E7431"/>
    <w:rsid w:val="53327308"/>
    <w:rsid w:val="533407C0"/>
    <w:rsid w:val="53397B84"/>
    <w:rsid w:val="533A3EE7"/>
    <w:rsid w:val="533C34AD"/>
    <w:rsid w:val="53481136"/>
    <w:rsid w:val="53551842"/>
    <w:rsid w:val="5356406D"/>
    <w:rsid w:val="535964C7"/>
    <w:rsid w:val="535E75EB"/>
    <w:rsid w:val="5361219D"/>
    <w:rsid w:val="536A2433"/>
    <w:rsid w:val="536C2974"/>
    <w:rsid w:val="536F0D7E"/>
    <w:rsid w:val="53773037"/>
    <w:rsid w:val="53773A87"/>
    <w:rsid w:val="538057B3"/>
    <w:rsid w:val="539128D9"/>
    <w:rsid w:val="53943FB8"/>
    <w:rsid w:val="5396536E"/>
    <w:rsid w:val="53985279"/>
    <w:rsid w:val="539D6365"/>
    <w:rsid w:val="539F3171"/>
    <w:rsid w:val="53AD1371"/>
    <w:rsid w:val="53B1556A"/>
    <w:rsid w:val="53B4075B"/>
    <w:rsid w:val="53B552FC"/>
    <w:rsid w:val="53B8319F"/>
    <w:rsid w:val="53BD3DBF"/>
    <w:rsid w:val="53C07EE7"/>
    <w:rsid w:val="53C63DAA"/>
    <w:rsid w:val="53CC2DB6"/>
    <w:rsid w:val="53D36CC2"/>
    <w:rsid w:val="53DA2DA4"/>
    <w:rsid w:val="53DA46A2"/>
    <w:rsid w:val="53DA5E8D"/>
    <w:rsid w:val="53DC031D"/>
    <w:rsid w:val="53E3418C"/>
    <w:rsid w:val="53E416B0"/>
    <w:rsid w:val="53EA6308"/>
    <w:rsid w:val="53EC70D5"/>
    <w:rsid w:val="53EE447D"/>
    <w:rsid w:val="53F31939"/>
    <w:rsid w:val="53FA37B7"/>
    <w:rsid w:val="53FA7313"/>
    <w:rsid w:val="5408252E"/>
    <w:rsid w:val="541008E5"/>
    <w:rsid w:val="541C3918"/>
    <w:rsid w:val="541F19FF"/>
    <w:rsid w:val="54232EA1"/>
    <w:rsid w:val="54241585"/>
    <w:rsid w:val="54244390"/>
    <w:rsid w:val="542B3971"/>
    <w:rsid w:val="542B3A4F"/>
    <w:rsid w:val="542C383A"/>
    <w:rsid w:val="54300F87"/>
    <w:rsid w:val="543257FE"/>
    <w:rsid w:val="5433107F"/>
    <w:rsid w:val="54397E43"/>
    <w:rsid w:val="5441176C"/>
    <w:rsid w:val="54422A6C"/>
    <w:rsid w:val="544B4013"/>
    <w:rsid w:val="544B7B6F"/>
    <w:rsid w:val="54574766"/>
    <w:rsid w:val="545A650E"/>
    <w:rsid w:val="54674AE5"/>
    <w:rsid w:val="5475393B"/>
    <w:rsid w:val="547C16E9"/>
    <w:rsid w:val="547D6C93"/>
    <w:rsid w:val="54A11E85"/>
    <w:rsid w:val="54A13C33"/>
    <w:rsid w:val="54A220F5"/>
    <w:rsid w:val="54A31759"/>
    <w:rsid w:val="54A517D3"/>
    <w:rsid w:val="54B95421"/>
    <w:rsid w:val="54BD5556"/>
    <w:rsid w:val="54C03418"/>
    <w:rsid w:val="54CA13DC"/>
    <w:rsid w:val="54D67704"/>
    <w:rsid w:val="54E47161"/>
    <w:rsid w:val="54EE02B9"/>
    <w:rsid w:val="54EF499E"/>
    <w:rsid w:val="54F46459"/>
    <w:rsid w:val="54FC43A9"/>
    <w:rsid w:val="54FC43EB"/>
    <w:rsid w:val="54FE635C"/>
    <w:rsid w:val="55052B69"/>
    <w:rsid w:val="550D3F66"/>
    <w:rsid w:val="5512068D"/>
    <w:rsid w:val="55152958"/>
    <w:rsid w:val="55241A05"/>
    <w:rsid w:val="55316F72"/>
    <w:rsid w:val="553302D1"/>
    <w:rsid w:val="5536081F"/>
    <w:rsid w:val="55376345"/>
    <w:rsid w:val="553C4F80"/>
    <w:rsid w:val="553F6170"/>
    <w:rsid w:val="55466588"/>
    <w:rsid w:val="55470C7B"/>
    <w:rsid w:val="554B5D6F"/>
    <w:rsid w:val="55520C18"/>
    <w:rsid w:val="55545149"/>
    <w:rsid w:val="555B039D"/>
    <w:rsid w:val="555D0567"/>
    <w:rsid w:val="555D5F45"/>
    <w:rsid w:val="555E38D2"/>
    <w:rsid w:val="55630EE8"/>
    <w:rsid w:val="556C6910"/>
    <w:rsid w:val="556D03D4"/>
    <w:rsid w:val="557064C3"/>
    <w:rsid w:val="55707024"/>
    <w:rsid w:val="557B66C6"/>
    <w:rsid w:val="5584366E"/>
    <w:rsid w:val="558E2409"/>
    <w:rsid w:val="55920761"/>
    <w:rsid w:val="55973ECE"/>
    <w:rsid w:val="55992337"/>
    <w:rsid w:val="55992F6B"/>
    <w:rsid w:val="55B17149"/>
    <w:rsid w:val="55BC4CBA"/>
    <w:rsid w:val="55C15A64"/>
    <w:rsid w:val="55C23E61"/>
    <w:rsid w:val="55E013D5"/>
    <w:rsid w:val="55E71B19"/>
    <w:rsid w:val="55EA0EE1"/>
    <w:rsid w:val="55EE72FC"/>
    <w:rsid w:val="55F323A4"/>
    <w:rsid w:val="55FA184D"/>
    <w:rsid w:val="55FE7257"/>
    <w:rsid w:val="56005659"/>
    <w:rsid w:val="56064695"/>
    <w:rsid w:val="56094412"/>
    <w:rsid w:val="560E354A"/>
    <w:rsid w:val="561370A7"/>
    <w:rsid w:val="561B3DCB"/>
    <w:rsid w:val="561B3FE4"/>
    <w:rsid w:val="561E3510"/>
    <w:rsid w:val="561E4EBE"/>
    <w:rsid w:val="561F1F50"/>
    <w:rsid w:val="5620593A"/>
    <w:rsid w:val="562543F0"/>
    <w:rsid w:val="56262AA1"/>
    <w:rsid w:val="56293EE0"/>
    <w:rsid w:val="562B47FB"/>
    <w:rsid w:val="562E2336"/>
    <w:rsid w:val="563542E5"/>
    <w:rsid w:val="5648005A"/>
    <w:rsid w:val="56490CF2"/>
    <w:rsid w:val="564A110B"/>
    <w:rsid w:val="564B6549"/>
    <w:rsid w:val="56582A17"/>
    <w:rsid w:val="56590C81"/>
    <w:rsid w:val="565F1615"/>
    <w:rsid w:val="56632A88"/>
    <w:rsid w:val="56667A6A"/>
    <w:rsid w:val="566A1B90"/>
    <w:rsid w:val="566B1114"/>
    <w:rsid w:val="566B5A1D"/>
    <w:rsid w:val="566E2F7F"/>
    <w:rsid w:val="56720E5C"/>
    <w:rsid w:val="56751AFE"/>
    <w:rsid w:val="567A0BDF"/>
    <w:rsid w:val="568120CE"/>
    <w:rsid w:val="568A7507"/>
    <w:rsid w:val="56902633"/>
    <w:rsid w:val="56915824"/>
    <w:rsid w:val="569329E6"/>
    <w:rsid w:val="56951575"/>
    <w:rsid w:val="569F41A2"/>
    <w:rsid w:val="56A47A0A"/>
    <w:rsid w:val="56A812A9"/>
    <w:rsid w:val="56AB6F4A"/>
    <w:rsid w:val="56AE6596"/>
    <w:rsid w:val="56B02893"/>
    <w:rsid w:val="56B3305D"/>
    <w:rsid w:val="56B83E9E"/>
    <w:rsid w:val="56B87560"/>
    <w:rsid w:val="56BE4065"/>
    <w:rsid w:val="56C1680E"/>
    <w:rsid w:val="56C854A7"/>
    <w:rsid w:val="56C96584"/>
    <w:rsid w:val="56D140DA"/>
    <w:rsid w:val="56D22D87"/>
    <w:rsid w:val="56D26326"/>
    <w:rsid w:val="56D4483A"/>
    <w:rsid w:val="56E060B4"/>
    <w:rsid w:val="56E60023"/>
    <w:rsid w:val="56E911DB"/>
    <w:rsid w:val="56F040E7"/>
    <w:rsid w:val="56F75D8C"/>
    <w:rsid w:val="56FF0D89"/>
    <w:rsid w:val="57111A34"/>
    <w:rsid w:val="57184BFC"/>
    <w:rsid w:val="5719306B"/>
    <w:rsid w:val="571A3205"/>
    <w:rsid w:val="571C15DC"/>
    <w:rsid w:val="571C57F3"/>
    <w:rsid w:val="571E4278"/>
    <w:rsid w:val="571F0C91"/>
    <w:rsid w:val="57271A58"/>
    <w:rsid w:val="572C5589"/>
    <w:rsid w:val="572D5C52"/>
    <w:rsid w:val="572F671D"/>
    <w:rsid w:val="5737799E"/>
    <w:rsid w:val="573D533D"/>
    <w:rsid w:val="573E6686"/>
    <w:rsid w:val="57415259"/>
    <w:rsid w:val="57466D32"/>
    <w:rsid w:val="575656F2"/>
    <w:rsid w:val="575862EB"/>
    <w:rsid w:val="57596A47"/>
    <w:rsid w:val="575A2924"/>
    <w:rsid w:val="575F5169"/>
    <w:rsid w:val="57684119"/>
    <w:rsid w:val="576D2146"/>
    <w:rsid w:val="577218B7"/>
    <w:rsid w:val="57766A9F"/>
    <w:rsid w:val="57847164"/>
    <w:rsid w:val="578B197C"/>
    <w:rsid w:val="57984720"/>
    <w:rsid w:val="57986764"/>
    <w:rsid w:val="57995332"/>
    <w:rsid w:val="579F2C68"/>
    <w:rsid w:val="579F5A91"/>
    <w:rsid w:val="57BC1F55"/>
    <w:rsid w:val="57BD2122"/>
    <w:rsid w:val="57C06AC6"/>
    <w:rsid w:val="57C32112"/>
    <w:rsid w:val="57C87729"/>
    <w:rsid w:val="57D13B13"/>
    <w:rsid w:val="57D165DD"/>
    <w:rsid w:val="57D367F9"/>
    <w:rsid w:val="57DB56AE"/>
    <w:rsid w:val="57DC0E52"/>
    <w:rsid w:val="57DD603C"/>
    <w:rsid w:val="57DE7147"/>
    <w:rsid w:val="57E02CC4"/>
    <w:rsid w:val="57E20CBD"/>
    <w:rsid w:val="57E24C8E"/>
    <w:rsid w:val="57E50EE7"/>
    <w:rsid w:val="57E722A5"/>
    <w:rsid w:val="57E74053"/>
    <w:rsid w:val="57EB66BA"/>
    <w:rsid w:val="57F81B4E"/>
    <w:rsid w:val="57FF1AFC"/>
    <w:rsid w:val="5800013B"/>
    <w:rsid w:val="580B6F63"/>
    <w:rsid w:val="580C5E98"/>
    <w:rsid w:val="581C692D"/>
    <w:rsid w:val="58203745"/>
    <w:rsid w:val="5823635D"/>
    <w:rsid w:val="58254B7B"/>
    <w:rsid w:val="58311772"/>
    <w:rsid w:val="583567F1"/>
    <w:rsid w:val="5837673D"/>
    <w:rsid w:val="58596D41"/>
    <w:rsid w:val="585C42F0"/>
    <w:rsid w:val="585F1E3B"/>
    <w:rsid w:val="586C0EDF"/>
    <w:rsid w:val="58745ECC"/>
    <w:rsid w:val="587753D7"/>
    <w:rsid w:val="587C673A"/>
    <w:rsid w:val="587E5669"/>
    <w:rsid w:val="58814851"/>
    <w:rsid w:val="5882098E"/>
    <w:rsid w:val="588804B7"/>
    <w:rsid w:val="588A52B4"/>
    <w:rsid w:val="58921AD3"/>
    <w:rsid w:val="58975CCB"/>
    <w:rsid w:val="5898534D"/>
    <w:rsid w:val="58A1626E"/>
    <w:rsid w:val="58A27F7A"/>
    <w:rsid w:val="58AA5EF7"/>
    <w:rsid w:val="58C61EBA"/>
    <w:rsid w:val="58CA2B88"/>
    <w:rsid w:val="58CD3249"/>
    <w:rsid w:val="58D602C5"/>
    <w:rsid w:val="58DC7930"/>
    <w:rsid w:val="58DF6CF4"/>
    <w:rsid w:val="58E862D4"/>
    <w:rsid w:val="58E95BA9"/>
    <w:rsid w:val="58EA213A"/>
    <w:rsid w:val="58F44C79"/>
    <w:rsid w:val="58FC1D80"/>
    <w:rsid w:val="5904132B"/>
    <w:rsid w:val="590B665F"/>
    <w:rsid w:val="59101387"/>
    <w:rsid w:val="591066C2"/>
    <w:rsid w:val="591075D9"/>
    <w:rsid w:val="59157827"/>
    <w:rsid w:val="59176145"/>
    <w:rsid w:val="591921E1"/>
    <w:rsid w:val="59193D74"/>
    <w:rsid w:val="591B0C23"/>
    <w:rsid w:val="591C1ADA"/>
    <w:rsid w:val="591C7D2C"/>
    <w:rsid w:val="591F270D"/>
    <w:rsid w:val="592B01C6"/>
    <w:rsid w:val="592B3FE4"/>
    <w:rsid w:val="59301A29"/>
    <w:rsid w:val="5936432D"/>
    <w:rsid w:val="59372AC5"/>
    <w:rsid w:val="593E5EF4"/>
    <w:rsid w:val="594159E5"/>
    <w:rsid w:val="594400A5"/>
    <w:rsid w:val="594472A6"/>
    <w:rsid w:val="59460EC7"/>
    <w:rsid w:val="59471FF6"/>
    <w:rsid w:val="594A7657"/>
    <w:rsid w:val="594D6137"/>
    <w:rsid w:val="595324D4"/>
    <w:rsid w:val="5955429F"/>
    <w:rsid w:val="59561490"/>
    <w:rsid w:val="595F2875"/>
    <w:rsid w:val="595F6B3C"/>
    <w:rsid w:val="59683DC0"/>
    <w:rsid w:val="596E3941"/>
    <w:rsid w:val="59754791"/>
    <w:rsid w:val="59784A2A"/>
    <w:rsid w:val="597A1B52"/>
    <w:rsid w:val="59806A57"/>
    <w:rsid w:val="59872500"/>
    <w:rsid w:val="598B6C60"/>
    <w:rsid w:val="598D0C2A"/>
    <w:rsid w:val="599A7C6D"/>
    <w:rsid w:val="59A16CA2"/>
    <w:rsid w:val="59A33FA9"/>
    <w:rsid w:val="59A749CF"/>
    <w:rsid w:val="59AA17DC"/>
    <w:rsid w:val="59AE605B"/>
    <w:rsid w:val="59B13A03"/>
    <w:rsid w:val="59B22E18"/>
    <w:rsid w:val="59B44408"/>
    <w:rsid w:val="59BD32BD"/>
    <w:rsid w:val="59C8672D"/>
    <w:rsid w:val="59C90F05"/>
    <w:rsid w:val="59CD4A2B"/>
    <w:rsid w:val="59CE766A"/>
    <w:rsid w:val="59D14FBA"/>
    <w:rsid w:val="59D93E6F"/>
    <w:rsid w:val="59DD395F"/>
    <w:rsid w:val="59E135FA"/>
    <w:rsid w:val="59E16A51"/>
    <w:rsid w:val="59E74CAB"/>
    <w:rsid w:val="59F14D15"/>
    <w:rsid w:val="59F46D49"/>
    <w:rsid w:val="59FA7A62"/>
    <w:rsid w:val="5A0A3167"/>
    <w:rsid w:val="5A0B3DB7"/>
    <w:rsid w:val="5A116B9E"/>
    <w:rsid w:val="5A11717B"/>
    <w:rsid w:val="5A13112F"/>
    <w:rsid w:val="5A146C55"/>
    <w:rsid w:val="5A1B7FE4"/>
    <w:rsid w:val="5A292701"/>
    <w:rsid w:val="5A2D7975"/>
    <w:rsid w:val="5A342013"/>
    <w:rsid w:val="5A366631"/>
    <w:rsid w:val="5A374B89"/>
    <w:rsid w:val="5A3764E2"/>
    <w:rsid w:val="5A394E2D"/>
    <w:rsid w:val="5A3B68D8"/>
    <w:rsid w:val="5A3D61AC"/>
    <w:rsid w:val="5A4F7C8D"/>
    <w:rsid w:val="5A5A3FC0"/>
    <w:rsid w:val="5A5D23AA"/>
    <w:rsid w:val="5A644857"/>
    <w:rsid w:val="5A6E0A5B"/>
    <w:rsid w:val="5A6F20DD"/>
    <w:rsid w:val="5A706581"/>
    <w:rsid w:val="5A783688"/>
    <w:rsid w:val="5A7C3C82"/>
    <w:rsid w:val="5A7F454F"/>
    <w:rsid w:val="5A7F4A16"/>
    <w:rsid w:val="5A81253D"/>
    <w:rsid w:val="5A8156AB"/>
    <w:rsid w:val="5A820F0F"/>
    <w:rsid w:val="5A9410D3"/>
    <w:rsid w:val="5A9437AB"/>
    <w:rsid w:val="5A960E21"/>
    <w:rsid w:val="5A96184C"/>
    <w:rsid w:val="5A9750D9"/>
    <w:rsid w:val="5A9E0DF1"/>
    <w:rsid w:val="5AA4566E"/>
    <w:rsid w:val="5AA557F6"/>
    <w:rsid w:val="5AA659C5"/>
    <w:rsid w:val="5AB1347D"/>
    <w:rsid w:val="5AB23A35"/>
    <w:rsid w:val="5AB53F94"/>
    <w:rsid w:val="5AC421AA"/>
    <w:rsid w:val="5AC80EDD"/>
    <w:rsid w:val="5AD32AD7"/>
    <w:rsid w:val="5AE12FDB"/>
    <w:rsid w:val="5AE15225"/>
    <w:rsid w:val="5AE54C55"/>
    <w:rsid w:val="5AEB52E8"/>
    <w:rsid w:val="5AEE394A"/>
    <w:rsid w:val="5AF413B3"/>
    <w:rsid w:val="5AF71B60"/>
    <w:rsid w:val="5AFD5152"/>
    <w:rsid w:val="5B202DA7"/>
    <w:rsid w:val="5B220814"/>
    <w:rsid w:val="5B274449"/>
    <w:rsid w:val="5B280C0A"/>
    <w:rsid w:val="5B2829B8"/>
    <w:rsid w:val="5B2937BB"/>
    <w:rsid w:val="5B300B41"/>
    <w:rsid w:val="5B3300C0"/>
    <w:rsid w:val="5B346874"/>
    <w:rsid w:val="5B370E4D"/>
    <w:rsid w:val="5B371F8E"/>
    <w:rsid w:val="5B401F40"/>
    <w:rsid w:val="5B403DA0"/>
    <w:rsid w:val="5B451C46"/>
    <w:rsid w:val="5B462375"/>
    <w:rsid w:val="5B4A26E7"/>
    <w:rsid w:val="5B4F5DC4"/>
    <w:rsid w:val="5B4F7AA0"/>
    <w:rsid w:val="5B50416D"/>
    <w:rsid w:val="5B5E5ADA"/>
    <w:rsid w:val="5B5F1F57"/>
    <w:rsid w:val="5B6065F6"/>
    <w:rsid w:val="5B61236E"/>
    <w:rsid w:val="5B6D1C5E"/>
    <w:rsid w:val="5B7439DC"/>
    <w:rsid w:val="5B76550D"/>
    <w:rsid w:val="5B7C27D9"/>
    <w:rsid w:val="5B7E0124"/>
    <w:rsid w:val="5B835E40"/>
    <w:rsid w:val="5B8A3673"/>
    <w:rsid w:val="5B9015C6"/>
    <w:rsid w:val="5B903DD1"/>
    <w:rsid w:val="5B93137D"/>
    <w:rsid w:val="5BA95E07"/>
    <w:rsid w:val="5BAA261F"/>
    <w:rsid w:val="5BB05E54"/>
    <w:rsid w:val="5BB62E45"/>
    <w:rsid w:val="5BB8245A"/>
    <w:rsid w:val="5BBC6172"/>
    <w:rsid w:val="5BC85F49"/>
    <w:rsid w:val="5BDE46D4"/>
    <w:rsid w:val="5BE112DE"/>
    <w:rsid w:val="5BE508A9"/>
    <w:rsid w:val="5BEC3552"/>
    <w:rsid w:val="5BF74B6C"/>
    <w:rsid w:val="5BF907F8"/>
    <w:rsid w:val="5C007491"/>
    <w:rsid w:val="5C063EDE"/>
    <w:rsid w:val="5C1465D3"/>
    <w:rsid w:val="5C1645D3"/>
    <w:rsid w:val="5C180C7F"/>
    <w:rsid w:val="5C1B51DB"/>
    <w:rsid w:val="5C1F0D56"/>
    <w:rsid w:val="5C2068F5"/>
    <w:rsid w:val="5C383590"/>
    <w:rsid w:val="5C3914B8"/>
    <w:rsid w:val="5C393B54"/>
    <w:rsid w:val="5C3A6CDE"/>
    <w:rsid w:val="5C3E620B"/>
    <w:rsid w:val="5C3F5482"/>
    <w:rsid w:val="5C5872CD"/>
    <w:rsid w:val="5C597E89"/>
    <w:rsid w:val="5C5F065B"/>
    <w:rsid w:val="5C5F49CB"/>
    <w:rsid w:val="5C6277EC"/>
    <w:rsid w:val="5C652406"/>
    <w:rsid w:val="5C6D68F5"/>
    <w:rsid w:val="5C6E089F"/>
    <w:rsid w:val="5C6E4C16"/>
    <w:rsid w:val="5C7543CA"/>
    <w:rsid w:val="5C7942D9"/>
    <w:rsid w:val="5C7C6482"/>
    <w:rsid w:val="5C7E3117"/>
    <w:rsid w:val="5C83144D"/>
    <w:rsid w:val="5C85755D"/>
    <w:rsid w:val="5C881FC6"/>
    <w:rsid w:val="5C8A20DC"/>
    <w:rsid w:val="5C945012"/>
    <w:rsid w:val="5C997BE1"/>
    <w:rsid w:val="5C9C1D83"/>
    <w:rsid w:val="5CA22C3E"/>
    <w:rsid w:val="5CA31E2B"/>
    <w:rsid w:val="5CA32EE4"/>
    <w:rsid w:val="5CA6628A"/>
    <w:rsid w:val="5CAA4206"/>
    <w:rsid w:val="5CB169DD"/>
    <w:rsid w:val="5CB200B1"/>
    <w:rsid w:val="5CB70498"/>
    <w:rsid w:val="5CB81978"/>
    <w:rsid w:val="5CB863EB"/>
    <w:rsid w:val="5CBF1F61"/>
    <w:rsid w:val="5CC132EF"/>
    <w:rsid w:val="5CC44962"/>
    <w:rsid w:val="5CCE4FCE"/>
    <w:rsid w:val="5CD31C30"/>
    <w:rsid w:val="5CD65F70"/>
    <w:rsid w:val="5CEE378D"/>
    <w:rsid w:val="5CF224D6"/>
    <w:rsid w:val="5CFC5D8D"/>
    <w:rsid w:val="5CFE65C9"/>
    <w:rsid w:val="5CFF023F"/>
    <w:rsid w:val="5D007AA2"/>
    <w:rsid w:val="5D060EFB"/>
    <w:rsid w:val="5D0618EA"/>
    <w:rsid w:val="5D0C6AE9"/>
    <w:rsid w:val="5D0D0C29"/>
    <w:rsid w:val="5D1209D8"/>
    <w:rsid w:val="5D1615FD"/>
    <w:rsid w:val="5D1A0A26"/>
    <w:rsid w:val="5D2C5841"/>
    <w:rsid w:val="5D2E6280"/>
    <w:rsid w:val="5D3778BE"/>
    <w:rsid w:val="5D38332A"/>
    <w:rsid w:val="5D3923D5"/>
    <w:rsid w:val="5D3A4C25"/>
    <w:rsid w:val="5D3C099D"/>
    <w:rsid w:val="5D46181B"/>
    <w:rsid w:val="5D471B21"/>
    <w:rsid w:val="5D487342"/>
    <w:rsid w:val="5D5A45D1"/>
    <w:rsid w:val="5D5C09F8"/>
    <w:rsid w:val="5D5C433C"/>
    <w:rsid w:val="5D5D6704"/>
    <w:rsid w:val="5D6A78EC"/>
    <w:rsid w:val="5D6F0D72"/>
    <w:rsid w:val="5D6F2B20"/>
    <w:rsid w:val="5D7647EC"/>
    <w:rsid w:val="5D79574D"/>
    <w:rsid w:val="5D7C523D"/>
    <w:rsid w:val="5D7F0889"/>
    <w:rsid w:val="5D8233D2"/>
    <w:rsid w:val="5D834FA1"/>
    <w:rsid w:val="5D8738E6"/>
    <w:rsid w:val="5D882F9A"/>
    <w:rsid w:val="5D8D0191"/>
    <w:rsid w:val="5D8F4D1A"/>
    <w:rsid w:val="5D934290"/>
    <w:rsid w:val="5D9957EB"/>
    <w:rsid w:val="5D9B48C8"/>
    <w:rsid w:val="5D9C07F6"/>
    <w:rsid w:val="5DA11230"/>
    <w:rsid w:val="5DA90EAE"/>
    <w:rsid w:val="5DAD68CF"/>
    <w:rsid w:val="5DB80AF6"/>
    <w:rsid w:val="5DBA1FF8"/>
    <w:rsid w:val="5DBF0B82"/>
    <w:rsid w:val="5DCD5A99"/>
    <w:rsid w:val="5DCF3574"/>
    <w:rsid w:val="5DD24E5D"/>
    <w:rsid w:val="5DDB1F64"/>
    <w:rsid w:val="5DDB4A3D"/>
    <w:rsid w:val="5DDE1A54"/>
    <w:rsid w:val="5DDE7CB7"/>
    <w:rsid w:val="5DE316B6"/>
    <w:rsid w:val="5E06062B"/>
    <w:rsid w:val="5E0756C5"/>
    <w:rsid w:val="5E084D23"/>
    <w:rsid w:val="5E0C438B"/>
    <w:rsid w:val="5E0E1594"/>
    <w:rsid w:val="5E1D3356"/>
    <w:rsid w:val="5E1D3725"/>
    <w:rsid w:val="5E211941"/>
    <w:rsid w:val="5E2819E4"/>
    <w:rsid w:val="5E282CCF"/>
    <w:rsid w:val="5E2960AD"/>
    <w:rsid w:val="5E3157A3"/>
    <w:rsid w:val="5E32748A"/>
    <w:rsid w:val="5E3653EC"/>
    <w:rsid w:val="5E37668B"/>
    <w:rsid w:val="5E3E0745"/>
    <w:rsid w:val="5E416895"/>
    <w:rsid w:val="5E4E2F65"/>
    <w:rsid w:val="5E5A37D0"/>
    <w:rsid w:val="5E5B110F"/>
    <w:rsid w:val="5E6657AF"/>
    <w:rsid w:val="5E6A0F6E"/>
    <w:rsid w:val="5E720326"/>
    <w:rsid w:val="5E725E32"/>
    <w:rsid w:val="5E7555F7"/>
    <w:rsid w:val="5E767EDE"/>
    <w:rsid w:val="5E7A0A21"/>
    <w:rsid w:val="5E7D3261"/>
    <w:rsid w:val="5E8E0F1C"/>
    <w:rsid w:val="5E8E27B1"/>
    <w:rsid w:val="5E931FD7"/>
    <w:rsid w:val="5E981D92"/>
    <w:rsid w:val="5E9C51FA"/>
    <w:rsid w:val="5EAA57A2"/>
    <w:rsid w:val="5EAE2E11"/>
    <w:rsid w:val="5EB44121"/>
    <w:rsid w:val="5EB56FFB"/>
    <w:rsid w:val="5EBB1D95"/>
    <w:rsid w:val="5EC42D73"/>
    <w:rsid w:val="5EC7698C"/>
    <w:rsid w:val="5ECA750A"/>
    <w:rsid w:val="5ECC5C53"/>
    <w:rsid w:val="5ECD58CB"/>
    <w:rsid w:val="5ED17FF8"/>
    <w:rsid w:val="5ED20E77"/>
    <w:rsid w:val="5ED54C52"/>
    <w:rsid w:val="5ED864A3"/>
    <w:rsid w:val="5EDD61AF"/>
    <w:rsid w:val="5EDD6E26"/>
    <w:rsid w:val="5EE65064"/>
    <w:rsid w:val="5EEB267A"/>
    <w:rsid w:val="5EEE216B"/>
    <w:rsid w:val="5F066AF8"/>
    <w:rsid w:val="5F180506"/>
    <w:rsid w:val="5F191AFB"/>
    <w:rsid w:val="5F1D3B2D"/>
    <w:rsid w:val="5F1E3BC0"/>
    <w:rsid w:val="5F227813"/>
    <w:rsid w:val="5F2328FD"/>
    <w:rsid w:val="5F245B8C"/>
    <w:rsid w:val="5F2505CE"/>
    <w:rsid w:val="5F2569A8"/>
    <w:rsid w:val="5F322057"/>
    <w:rsid w:val="5F3412AF"/>
    <w:rsid w:val="5F395EA5"/>
    <w:rsid w:val="5F3E6C4E"/>
    <w:rsid w:val="5F443336"/>
    <w:rsid w:val="5F4B5EE4"/>
    <w:rsid w:val="5F4D6E91"/>
    <w:rsid w:val="5F4E6765"/>
    <w:rsid w:val="5F5250C9"/>
    <w:rsid w:val="5F537870"/>
    <w:rsid w:val="5F553F46"/>
    <w:rsid w:val="5F585836"/>
    <w:rsid w:val="5F593A88"/>
    <w:rsid w:val="5F5C79BE"/>
    <w:rsid w:val="5F5D4BFA"/>
    <w:rsid w:val="5F630659"/>
    <w:rsid w:val="5F637B5C"/>
    <w:rsid w:val="5F681F1D"/>
    <w:rsid w:val="5F6D2400"/>
    <w:rsid w:val="5F6D7533"/>
    <w:rsid w:val="5F707A36"/>
    <w:rsid w:val="5F8328B3"/>
    <w:rsid w:val="5F86738D"/>
    <w:rsid w:val="5F8759CF"/>
    <w:rsid w:val="5F8C7FB7"/>
    <w:rsid w:val="5F9217AD"/>
    <w:rsid w:val="5F92436A"/>
    <w:rsid w:val="5F94796C"/>
    <w:rsid w:val="5F9826B5"/>
    <w:rsid w:val="5F9F5213"/>
    <w:rsid w:val="5FA36AB1"/>
    <w:rsid w:val="5FA97E40"/>
    <w:rsid w:val="5FAA6092"/>
    <w:rsid w:val="5FAF1A3E"/>
    <w:rsid w:val="5FB05672"/>
    <w:rsid w:val="5FB52C88"/>
    <w:rsid w:val="5FB7050C"/>
    <w:rsid w:val="5FB777D9"/>
    <w:rsid w:val="5FBB1E15"/>
    <w:rsid w:val="5FBC4D33"/>
    <w:rsid w:val="5FBE3F64"/>
    <w:rsid w:val="5FBF3FC7"/>
    <w:rsid w:val="5FBF618C"/>
    <w:rsid w:val="5FC0018D"/>
    <w:rsid w:val="5FC133DB"/>
    <w:rsid w:val="5FCD1D80"/>
    <w:rsid w:val="5FCD40EC"/>
    <w:rsid w:val="5FD632A1"/>
    <w:rsid w:val="5FE70B7E"/>
    <w:rsid w:val="5FEB16C5"/>
    <w:rsid w:val="5FED2422"/>
    <w:rsid w:val="5FEF7F48"/>
    <w:rsid w:val="5FF1145E"/>
    <w:rsid w:val="5FF43BB0"/>
    <w:rsid w:val="5FFA36CB"/>
    <w:rsid w:val="5FFE63DD"/>
    <w:rsid w:val="60011A2A"/>
    <w:rsid w:val="600704CB"/>
    <w:rsid w:val="60163727"/>
    <w:rsid w:val="601C7169"/>
    <w:rsid w:val="601D2D62"/>
    <w:rsid w:val="60206354"/>
    <w:rsid w:val="602816AC"/>
    <w:rsid w:val="602C2F4B"/>
    <w:rsid w:val="602F4169"/>
    <w:rsid w:val="60340051"/>
    <w:rsid w:val="603718EF"/>
    <w:rsid w:val="603B2CD6"/>
    <w:rsid w:val="603E67DA"/>
    <w:rsid w:val="60451960"/>
    <w:rsid w:val="60476CE2"/>
    <w:rsid w:val="604A0AE1"/>
    <w:rsid w:val="604D3375"/>
    <w:rsid w:val="60525B05"/>
    <w:rsid w:val="605A5D15"/>
    <w:rsid w:val="605D1DF0"/>
    <w:rsid w:val="60647798"/>
    <w:rsid w:val="606869D0"/>
    <w:rsid w:val="607D76D3"/>
    <w:rsid w:val="60824919"/>
    <w:rsid w:val="60832F80"/>
    <w:rsid w:val="608369B9"/>
    <w:rsid w:val="60870181"/>
    <w:rsid w:val="60A71170"/>
    <w:rsid w:val="60AA74EF"/>
    <w:rsid w:val="60B0496C"/>
    <w:rsid w:val="60B1490C"/>
    <w:rsid w:val="60B62331"/>
    <w:rsid w:val="60B91793"/>
    <w:rsid w:val="60C346C6"/>
    <w:rsid w:val="60C42130"/>
    <w:rsid w:val="60C50CA9"/>
    <w:rsid w:val="60C52B4F"/>
    <w:rsid w:val="60C73328"/>
    <w:rsid w:val="60CE5DB0"/>
    <w:rsid w:val="60D010E1"/>
    <w:rsid w:val="60D50803"/>
    <w:rsid w:val="60D915D1"/>
    <w:rsid w:val="60E6447A"/>
    <w:rsid w:val="60EA0710"/>
    <w:rsid w:val="61024E93"/>
    <w:rsid w:val="6106379C"/>
    <w:rsid w:val="610C5241"/>
    <w:rsid w:val="610D284A"/>
    <w:rsid w:val="610F1105"/>
    <w:rsid w:val="61141727"/>
    <w:rsid w:val="61155A6F"/>
    <w:rsid w:val="6117207C"/>
    <w:rsid w:val="611F41B0"/>
    <w:rsid w:val="61205237"/>
    <w:rsid w:val="61205B92"/>
    <w:rsid w:val="6126611E"/>
    <w:rsid w:val="61275BC4"/>
    <w:rsid w:val="612B6850"/>
    <w:rsid w:val="613004E0"/>
    <w:rsid w:val="613B0F6B"/>
    <w:rsid w:val="614E072A"/>
    <w:rsid w:val="61515D28"/>
    <w:rsid w:val="61521585"/>
    <w:rsid w:val="61614E76"/>
    <w:rsid w:val="61665FE8"/>
    <w:rsid w:val="617030C9"/>
    <w:rsid w:val="6170330B"/>
    <w:rsid w:val="617678DB"/>
    <w:rsid w:val="617A1A94"/>
    <w:rsid w:val="617C0E5F"/>
    <w:rsid w:val="617C627B"/>
    <w:rsid w:val="617D6400"/>
    <w:rsid w:val="617E72D4"/>
    <w:rsid w:val="617F6FC1"/>
    <w:rsid w:val="618172C6"/>
    <w:rsid w:val="61821292"/>
    <w:rsid w:val="61845429"/>
    <w:rsid w:val="618A7729"/>
    <w:rsid w:val="61907472"/>
    <w:rsid w:val="61932948"/>
    <w:rsid w:val="619D39D4"/>
    <w:rsid w:val="619F75E8"/>
    <w:rsid w:val="61A057D0"/>
    <w:rsid w:val="61A42FB4"/>
    <w:rsid w:val="61A7655F"/>
    <w:rsid w:val="61A94127"/>
    <w:rsid w:val="61AB7E9F"/>
    <w:rsid w:val="61AE7D0E"/>
    <w:rsid w:val="61BC6A68"/>
    <w:rsid w:val="61BD4AD4"/>
    <w:rsid w:val="61C3302C"/>
    <w:rsid w:val="61C471B3"/>
    <w:rsid w:val="61D41829"/>
    <w:rsid w:val="61D70C94"/>
    <w:rsid w:val="61E67129"/>
    <w:rsid w:val="61E93520"/>
    <w:rsid w:val="61EE32A6"/>
    <w:rsid w:val="61F47A98"/>
    <w:rsid w:val="620219E0"/>
    <w:rsid w:val="6212388C"/>
    <w:rsid w:val="62156F75"/>
    <w:rsid w:val="62164897"/>
    <w:rsid w:val="621B515A"/>
    <w:rsid w:val="6221464B"/>
    <w:rsid w:val="622C0CEF"/>
    <w:rsid w:val="622C48C4"/>
    <w:rsid w:val="622F6646"/>
    <w:rsid w:val="623029B2"/>
    <w:rsid w:val="62326738"/>
    <w:rsid w:val="62344338"/>
    <w:rsid w:val="623847BE"/>
    <w:rsid w:val="623F2D7D"/>
    <w:rsid w:val="62480406"/>
    <w:rsid w:val="62495C62"/>
    <w:rsid w:val="62532B7D"/>
    <w:rsid w:val="625E1FC6"/>
    <w:rsid w:val="62624DA7"/>
    <w:rsid w:val="62652744"/>
    <w:rsid w:val="626A3C62"/>
    <w:rsid w:val="62704242"/>
    <w:rsid w:val="62721F7A"/>
    <w:rsid w:val="6274550B"/>
    <w:rsid w:val="627D236F"/>
    <w:rsid w:val="628030DA"/>
    <w:rsid w:val="628726BA"/>
    <w:rsid w:val="62960B4F"/>
    <w:rsid w:val="6299419B"/>
    <w:rsid w:val="629B7F14"/>
    <w:rsid w:val="62A554BB"/>
    <w:rsid w:val="62A600C2"/>
    <w:rsid w:val="62B35AD8"/>
    <w:rsid w:val="62BB2091"/>
    <w:rsid w:val="62BE41DA"/>
    <w:rsid w:val="62CC631F"/>
    <w:rsid w:val="62D33022"/>
    <w:rsid w:val="62D81168"/>
    <w:rsid w:val="62DF104A"/>
    <w:rsid w:val="62E22628"/>
    <w:rsid w:val="62E25FC4"/>
    <w:rsid w:val="62E70066"/>
    <w:rsid w:val="62E713AB"/>
    <w:rsid w:val="62F664D4"/>
    <w:rsid w:val="630048F7"/>
    <w:rsid w:val="63073570"/>
    <w:rsid w:val="630B32EB"/>
    <w:rsid w:val="630E06E5"/>
    <w:rsid w:val="631D033A"/>
    <w:rsid w:val="631D75C4"/>
    <w:rsid w:val="63215DB8"/>
    <w:rsid w:val="632320FF"/>
    <w:rsid w:val="63251ED3"/>
    <w:rsid w:val="632757F0"/>
    <w:rsid w:val="63293771"/>
    <w:rsid w:val="633A6571"/>
    <w:rsid w:val="633F29E1"/>
    <w:rsid w:val="63416D0D"/>
    <w:rsid w:val="634725DB"/>
    <w:rsid w:val="634C56B2"/>
    <w:rsid w:val="6353259C"/>
    <w:rsid w:val="635602DE"/>
    <w:rsid w:val="63576530"/>
    <w:rsid w:val="635B701A"/>
    <w:rsid w:val="63640C4D"/>
    <w:rsid w:val="63652925"/>
    <w:rsid w:val="6366358B"/>
    <w:rsid w:val="636E01E1"/>
    <w:rsid w:val="636E5628"/>
    <w:rsid w:val="63754353"/>
    <w:rsid w:val="637C665D"/>
    <w:rsid w:val="637E33DD"/>
    <w:rsid w:val="637F3617"/>
    <w:rsid w:val="637F4388"/>
    <w:rsid w:val="638210D3"/>
    <w:rsid w:val="63844E4C"/>
    <w:rsid w:val="638A0451"/>
    <w:rsid w:val="638A4F30"/>
    <w:rsid w:val="63952BB5"/>
    <w:rsid w:val="639C2195"/>
    <w:rsid w:val="63AD6150"/>
    <w:rsid w:val="63B14EF3"/>
    <w:rsid w:val="63B77B8E"/>
    <w:rsid w:val="63CB66EE"/>
    <w:rsid w:val="63D00091"/>
    <w:rsid w:val="63D55654"/>
    <w:rsid w:val="63D77671"/>
    <w:rsid w:val="63D84CF0"/>
    <w:rsid w:val="63DD41E3"/>
    <w:rsid w:val="63DF2082"/>
    <w:rsid w:val="63E24358"/>
    <w:rsid w:val="63E329D5"/>
    <w:rsid w:val="63EE6769"/>
    <w:rsid w:val="63F44F6B"/>
    <w:rsid w:val="63FF121A"/>
    <w:rsid w:val="64067E94"/>
    <w:rsid w:val="640A6CED"/>
    <w:rsid w:val="640C1667"/>
    <w:rsid w:val="640E2967"/>
    <w:rsid w:val="642406E1"/>
    <w:rsid w:val="64244518"/>
    <w:rsid w:val="6427071F"/>
    <w:rsid w:val="642C59E6"/>
    <w:rsid w:val="64323C66"/>
    <w:rsid w:val="6434679F"/>
    <w:rsid w:val="643B0233"/>
    <w:rsid w:val="643D3518"/>
    <w:rsid w:val="643E7EF6"/>
    <w:rsid w:val="64462101"/>
    <w:rsid w:val="644F52EB"/>
    <w:rsid w:val="645079A9"/>
    <w:rsid w:val="646C3332"/>
    <w:rsid w:val="646C5DBB"/>
    <w:rsid w:val="647A1F92"/>
    <w:rsid w:val="648A4ECF"/>
    <w:rsid w:val="648C4E8A"/>
    <w:rsid w:val="648E510E"/>
    <w:rsid w:val="648F6841"/>
    <w:rsid w:val="64942E6C"/>
    <w:rsid w:val="64955C62"/>
    <w:rsid w:val="64993BEF"/>
    <w:rsid w:val="649B39A5"/>
    <w:rsid w:val="649D67AE"/>
    <w:rsid w:val="64A05CB5"/>
    <w:rsid w:val="64A357A5"/>
    <w:rsid w:val="64AC63B6"/>
    <w:rsid w:val="64B93503"/>
    <w:rsid w:val="64BE130D"/>
    <w:rsid w:val="64C8419E"/>
    <w:rsid w:val="64C91E1B"/>
    <w:rsid w:val="64D241D9"/>
    <w:rsid w:val="64D50079"/>
    <w:rsid w:val="64E23781"/>
    <w:rsid w:val="64E92F4D"/>
    <w:rsid w:val="64EF7D9D"/>
    <w:rsid w:val="64F44FB0"/>
    <w:rsid w:val="64FB773A"/>
    <w:rsid w:val="65006754"/>
    <w:rsid w:val="650A4AEB"/>
    <w:rsid w:val="650B7681"/>
    <w:rsid w:val="65141DE9"/>
    <w:rsid w:val="651727CC"/>
    <w:rsid w:val="65195C25"/>
    <w:rsid w:val="651E4AE7"/>
    <w:rsid w:val="652266CA"/>
    <w:rsid w:val="6524091F"/>
    <w:rsid w:val="652E1513"/>
    <w:rsid w:val="653328BA"/>
    <w:rsid w:val="653E145C"/>
    <w:rsid w:val="654C3747"/>
    <w:rsid w:val="654D494E"/>
    <w:rsid w:val="65520FA5"/>
    <w:rsid w:val="655C5151"/>
    <w:rsid w:val="655F4C96"/>
    <w:rsid w:val="656211BC"/>
    <w:rsid w:val="65624253"/>
    <w:rsid w:val="656517F2"/>
    <w:rsid w:val="656F7435"/>
    <w:rsid w:val="65743348"/>
    <w:rsid w:val="657767E3"/>
    <w:rsid w:val="65786809"/>
    <w:rsid w:val="657B5DDA"/>
    <w:rsid w:val="657E3181"/>
    <w:rsid w:val="65833974"/>
    <w:rsid w:val="659B7048"/>
    <w:rsid w:val="65B512EC"/>
    <w:rsid w:val="65B718B3"/>
    <w:rsid w:val="65B813E2"/>
    <w:rsid w:val="65B83E1E"/>
    <w:rsid w:val="65BD52D0"/>
    <w:rsid w:val="65BF660F"/>
    <w:rsid w:val="65C12811"/>
    <w:rsid w:val="65D53696"/>
    <w:rsid w:val="65DA51F7"/>
    <w:rsid w:val="65DD6A95"/>
    <w:rsid w:val="65DE048F"/>
    <w:rsid w:val="65E41BD1"/>
    <w:rsid w:val="65E52F40"/>
    <w:rsid w:val="65E55800"/>
    <w:rsid w:val="65E90CE7"/>
    <w:rsid w:val="65E9368C"/>
    <w:rsid w:val="65E94B0A"/>
    <w:rsid w:val="661125BE"/>
    <w:rsid w:val="66113D6C"/>
    <w:rsid w:val="66173D55"/>
    <w:rsid w:val="661B2BD2"/>
    <w:rsid w:val="66210588"/>
    <w:rsid w:val="66244894"/>
    <w:rsid w:val="66291CDA"/>
    <w:rsid w:val="662D79CE"/>
    <w:rsid w:val="66312BF0"/>
    <w:rsid w:val="6635242D"/>
    <w:rsid w:val="66356B5C"/>
    <w:rsid w:val="663578A6"/>
    <w:rsid w:val="663743F7"/>
    <w:rsid w:val="663A5C95"/>
    <w:rsid w:val="66455E1D"/>
    <w:rsid w:val="66473AFB"/>
    <w:rsid w:val="664D7777"/>
    <w:rsid w:val="664E34EF"/>
    <w:rsid w:val="66527B78"/>
    <w:rsid w:val="665B1454"/>
    <w:rsid w:val="665E7BD6"/>
    <w:rsid w:val="666176C6"/>
    <w:rsid w:val="66672FCC"/>
    <w:rsid w:val="666A657B"/>
    <w:rsid w:val="666E595E"/>
    <w:rsid w:val="667016B7"/>
    <w:rsid w:val="66715A41"/>
    <w:rsid w:val="66725DEB"/>
    <w:rsid w:val="6681065E"/>
    <w:rsid w:val="668F7750"/>
    <w:rsid w:val="669B6734"/>
    <w:rsid w:val="669C24AC"/>
    <w:rsid w:val="66A07C3D"/>
    <w:rsid w:val="66B4419A"/>
    <w:rsid w:val="66B9509F"/>
    <w:rsid w:val="66C1744F"/>
    <w:rsid w:val="66C25E3E"/>
    <w:rsid w:val="66C96A6D"/>
    <w:rsid w:val="66CF2882"/>
    <w:rsid w:val="66D13048"/>
    <w:rsid w:val="66D32372"/>
    <w:rsid w:val="66D41C46"/>
    <w:rsid w:val="66D76166"/>
    <w:rsid w:val="66DE1A77"/>
    <w:rsid w:val="66E41372"/>
    <w:rsid w:val="66E75E1D"/>
    <w:rsid w:val="66F40537"/>
    <w:rsid w:val="66F66060"/>
    <w:rsid w:val="66F83B86"/>
    <w:rsid w:val="66F95B50"/>
    <w:rsid w:val="66FC2F4B"/>
    <w:rsid w:val="66FE3167"/>
    <w:rsid w:val="66FE4F15"/>
    <w:rsid w:val="67082894"/>
    <w:rsid w:val="67092F25"/>
    <w:rsid w:val="671100FB"/>
    <w:rsid w:val="67281F92"/>
    <w:rsid w:val="672D0AB3"/>
    <w:rsid w:val="673031F4"/>
    <w:rsid w:val="67313AC8"/>
    <w:rsid w:val="6732696D"/>
    <w:rsid w:val="673A7750"/>
    <w:rsid w:val="673A7B83"/>
    <w:rsid w:val="673B7F17"/>
    <w:rsid w:val="67422180"/>
    <w:rsid w:val="674748CF"/>
    <w:rsid w:val="67496777"/>
    <w:rsid w:val="67506B17"/>
    <w:rsid w:val="675813ED"/>
    <w:rsid w:val="675D1C3B"/>
    <w:rsid w:val="676034DA"/>
    <w:rsid w:val="676905E0"/>
    <w:rsid w:val="67696832"/>
    <w:rsid w:val="676B5DD8"/>
    <w:rsid w:val="67721686"/>
    <w:rsid w:val="6773320D"/>
    <w:rsid w:val="677745D8"/>
    <w:rsid w:val="6778579B"/>
    <w:rsid w:val="6780592A"/>
    <w:rsid w:val="67957D33"/>
    <w:rsid w:val="679A69EC"/>
    <w:rsid w:val="679B09B6"/>
    <w:rsid w:val="679C6C08"/>
    <w:rsid w:val="67AD3747"/>
    <w:rsid w:val="67AE16CA"/>
    <w:rsid w:val="67B11F87"/>
    <w:rsid w:val="67B724D0"/>
    <w:rsid w:val="67B756C3"/>
    <w:rsid w:val="67C55FCF"/>
    <w:rsid w:val="67CC1F33"/>
    <w:rsid w:val="67CE51C8"/>
    <w:rsid w:val="67D533B8"/>
    <w:rsid w:val="67D635BE"/>
    <w:rsid w:val="67D839B8"/>
    <w:rsid w:val="67DF6801"/>
    <w:rsid w:val="67E1286C"/>
    <w:rsid w:val="67F13E17"/>
    <w:rsid w:val="67F87BB6"/>
    <w:rsid w:val="67F931B2"/>
    <w:rsid w:val="67FA1B80"/>
    <w:rsid w:val="67FA2386"/>
    <w:rsid w:val="68024591"/>
    <w:rsid w:val="681E143E"/>
    <w:rsid w:val="681F5143"/>
    <w:rsid w:val="6820016A"/>
    <w:rsid w:val="6822175D"/>
    <w:rsid w:val="68262975"/>
    <w:rsid w:val="683A3D2B"/>
    <w:rsid w:val="683C3F47"/>
    <w:rsid w:val="683E1A6D"/>
    <w:rsid w:val="684D2A07"/>
    <w:rsid w:val="68505064"/>
    <w:rsid w:val="68516591"/>
    <w:rsid w:val="68560392"/>
    <w:rsid w:val="68580067"/>
    <w:rsid w:val="685B7F17"/>
    <w:rsid w:val="6865349E"/>
    <w:rsid w:val="68674585"/>
    <w:rsid w:val="68733608"/>
    <w:rsid w:val="6878082B"/>
    <w:rsid w:val="687A2D02"/>
    <w:rsid w:val="687E455F"/>
    <w:rsid w:val="688343BB"/>
    <w:rsid w:val="68865F84"/>
    <w:rsid w:val="688D705F"/>
    <w:rsid w:val="68970A5A"/>
    <w:rsid w:val="689A2794"/>
    <w:rsid w:val="68A369F2"/>
    <w:rsid w:val="68A60A48"/>
    <w:rsid w:val="68A9573D"/>
    <w:rsid w:val="68AD3D8C"/>
    <w:rsid w:val="68BD3C88"/>
    <w:rsid w:val="68C53F3C"/>
    <w:rsid w:val="68CB1E67"/>
    <w:rsid w:val="68D90AF0"/>
    <w:rsid w:val="68DA686F"/>
    <w:rsid w:val="68DB19C1"/>
    <w:rsid w:val="68DB4CE6"/>
    <w:rsid w:val="68E36170"/>
    <w:rsid w:val="68E819D9"/>
    <w:rsid w:val="68ED3493"/>
    <w:rsid w:val="68EE26FE"/>
    <w:rsid w:val="68F10571"/>
    <w:rsid w:val="68F13C0B"/>
    <w:rsid w:val="68F50862"/>
    <w:rsid w:val="68F760C0"/>
    <w:rsid w:val="68F93BE6"/>
    <w:rsid w:val="68F95994"/>
    <w:rsid w:val="68FB291F"/>
    <w:rsid w:val="69040B90"/>
    <w:rsid w:val="69062542"/>
    <w:rsid w:val="6909714A"/>
    <w:rsid w:val="69125A96"/>
    <w:rsid w:val="691427CE"/>
    <w:rsid w:val="69230C63"/>
    <w:rsid w:val="69252C2D"/>
    <w:rsid w:val="69281617"/>
    <w:rsid w:val="69284ADB"/>
    <w:rsid w:val="692A1F3E"/>
    <w:rsid w:val="692A379C"/>
    <w:rsid w:val="692B0CE1"/>
    <w:rsid w:val="692C5FB8"/>
    <w:rsid w:val="692D6520"/>
    <w:rsid w:val="693E3CEF"/>
    <w:rsid w:val="694767DE"/>
    <w:rsid w:val="694A4441"/>
    <w:rsid w:val="694B5740"/>
    <w:rsid w:val="69561038"/>
    <w:rsid w:val="6959151C"/>
    <w:rsid w:val="695B179B"/>
    <w:rsid w:val="69637ED3"/>
    <w:rsid w:val="69674FF3"/>
    <w:rsid w:val="696B0C22"/>
    <w:rsid w:val="69735746"/>
    <w:rsid w:val="697C3A7A"/>
    <w:rsid w:val="69814582"/>
    <w:rsid w:val="69821E2D"/>
    <w:rsid w:val="698330A4"/>
    <w:rsid w:val="6985699C"/>
    <w:rsid w:val="6986527A"/>
    <w:rsid w:val="698E78BA"/>
    <w:rsid w:val="698F5F67"/>
    <w:rsid w:val="69916B78"/>
    <w:rsid w:val="699851AD"/>
    <w:rsid w:val="69A23567"/>
    <w:rsid w:val="69A96D8B"/>
    <w:rsid w:val="69C74893"/>
    <w:rsid w:val="69C81B50"/>
    <w:rsid w:val="69CC12FA"/>
    <w:rsid w:val="69DC2FDF"/>
    <w:rsid w:val="69DF55A1"/>
    <w:rsid w:val="69E20612"/>
    <w:rsid w:val="69E20834"/>
    <w:rsid w:val="69EB7D82"/>
    <w:rsid w:val="69EC0ABA"/>
    <w:rsid w:val="69ED1E71"/>
    <w:rsid w:val="69F06D97"/>
    <w:rsid w:val="69F110E6"/>
    <w:rsid w:val="69F734E1"/>
    <w:rsid w:val="69F80DA9"/>
    <w:rsid w:val="69F83E9D"/>
    <w:rsid w:val="69FA5E67"/>
    <w:rsid w:val="6A007968"/>
    <w:rsid w:val="6A070584"/>
    <w:rsid w:val="6A0710F2"/>
    <w:rsid w:val="6A0823F8"/>
    <w:rsid w:val="6A0E546F"/>
    <w:rsid w:val="6A102F95"/>
    <w:rsid w:val="6A1036F2"/>
    <w:rsid w:val="6A125358"/>
    <w:rsid w:val="6A160FCF"/>
    <w:rsid w:val="6A170175"/>
    <w:rsid w:val="6A1B20C9"/>
    <w:rsid w:val="6A1F435F"/>
    <w:rsid w:val="6A264739"/>
    <w:rsid w:val="6A296146"/>
    <w:rsid w:val="6A2B6021"/>
    <w:rsid w:val="6A2D7FEB"/>
    <w:rsid w:val="6A3163B7"/>
    <w:rsid w:val="6A3273AF"/>
    <w:rsid w:val="6A3C4D50"/>
    <w:rsid w:val="6A411262"/>
    <w:rsid w:val="6A5601F1"/>
    <w:rsid w:val="6A627569"/>
    <w:rsid w:val="6A6629E8"/>
    <w:rsid w:val="6A7E11C4"/>
    <w:rsid w:val="6A7E25F5"/>
    <w:rsid w:val="6A7E297B"/>
    <w:rsid w:val="6A80789A"/>
    <w:rsid w:val="6A843983"/>
    <w:rsid w:val="6A846DCA"/>
    <w:rsid w:val="6A8614A9"/>
    <w:rsid w:val="6A876178"/>
    <w:rsid w:val="6A8F72B9"/>
    <w:rsid w:val="6A9635BE"/>
    <w:rsid w:val="6A9A404E"/>
    <w:rsid w:val="6A9A4F55"/>
    <w:rsid w:val="6A9E7FF6"/>
    <w:rsid w:val="6AA00147"/>
    <w:rsid w:val="6AA265C6"/>
    <w:rsid w:val="6AA61B8B"/>
    <w:rsid w:val="6AA74760"/>
    <w:rsid w:val="6AAB7F50"/>
    <w:rsid w:val="6AB37DC4"/>
    <w:rsid w:val="6AB853DB"/>
    <w:rsid w:val="6ABD1870"/>
    <w:rsid w:val="6ABE50E7"/>
    <w:rsid w:val="6ABF221F"/>
    <w:rsid w:val="6AC60B18"/>
    <w:rsid w:val="6AC65D4A"/>
    <w:rsid w:val="6ACB15B2"/>
    <w:rsid w:val="6ACF2E50"/>
    <w:rsid w:val="6AD14E1A"/>
    <w:rsid w:val="6AD31E30"/>
    <w:rsid w:val="6AD70146"/>
    <w:rsid w:val="6AD83A39"/>
    <w:rsid w:val="6ADD35FB"/>
    <w:rsid w:val="6ADF041C"/>
    <w:rsid w:val="6AE52304"/>
    <w:rsid w:val="6AE60F83"/>
    <w:rsid w:val="6AEF6DD3"/>
    <w:rsid w:val="6AF02956"/>
    <w:rsid w:val="6AF20FCD"/>
    <w:rsid w:val="6AF752E2"/>
    <w:rsid w:val="6AF865EC"/>
    <w:rsid w:val="6AFA518A"/>
    <w:rsid w:val="6AFC176B"/>
    <w:rsid w:val="6B2D55FF"/>
    <w:rsid w:val="6B341F03"/>
    <w:rsid w:val="6B3473C0"/>
    <w:rsid w:val="6B377C07"/>
    <w:rsid w:val="6B39476E"/>
    <w:rsid w:val="6B495161"/>
    <w:rsid w:val="6B4A0729"/>
    <w:rsid w:val="6B555AFB"/>
    <w:rsid w:val="6B574C6A"/>
    <w:rsid w:val="6B581098"/>
    <w:rsid w:val="6B611BFD"/>
    <w:rsid w:val="6B626F30"/>
    <w:rsid w:val="6B633408"/>
    <w:rsid w:val="6B6F325D"/>
    <w:rsid w:val="6B72093E"/>
    <w:rsid w:val="6B7A27A7"/>
    <w:rsid w:val="6B7D3E4B"/>
    <w:rsid w:val="6B7E4133"/>
    <w:rsid w:val="6B820631"/>
    <w:rsid w:val="6B880B52"/>
    <w:rsid w:val="6B8A4FC9"/>
    <w:rsid w:val="6B8B03B8"/>
    <w:rsid w:val="6B8B7EF1"/>
    <w:rsid w:val="6B8F0831"/>
    <w:rsid w:val="6B934A08"/>
    <w:rsid w:val="6B9D3CA9"/>
    <w:rsid w:val="6BA3608B"/>
    <w:rsid w:val="6BA918F3"/>
    <w:rsid w:val="6BAB4090"/>
    <w:rsid w:val="6BB12556"/>
    <w:rsid w:val="6BB46349"/>
    <w:rsid w:val="6BBA24B6"/>
    <w:rsid w:val="6BC60733"/>
    <w:rsid w:val="6BC92D18"/>
    <w:rsid w:val="6BCC6637"/>
    <w:rsid w:val="6BCE4EB6"/>
    <w:rsid w:val="6BCE6035"/>
    <w:rsid w:val="6BD34BC2"/>
    <w:rsid w:val="6BD53CC8"/>
    <w:rsid w:val="6BD64E50"/>
    <w:rsid w:val="6BD76AC6"/>
    <w:rsid w:val="6BE04BE9"/>
    <w:rsid w:val="6BE11055"/>
    <w:rsid w:val="6BEC1C93"/>
    <w:rsid w:val="6BEC2B2E"/>
    <w:rsid w:val="6BEF05AD"/>
    <w:rsid w:val="6BFC662E"/>
    <w:rsid w:val="6C0B2B1B"/>
    <w:rsid w:val="6C0C0A3F"/>
    <w:rsid w:val="6C1172AD"/>
    <w:rsid w:val="6C197835"/>
    <w:rsid w:val="6C1A634D"/>
    <w:rsid w:val="6C292A34"/>
    <w:rsid w:val="6C2C7E07"/>
    <w:rsid w:val="6C310293"/>
    <w:rsid w:val="6C37132C"/>
    <w:rsid w:val="6C3F109E"/>
    <w:rsid w:val="6C477D1E"/>
    <w:rsid w:val="6C491FA7"/>
    <w:rsid w:val="6C4C0AD1"/>
    <w:rsid w:val="6C4E5FF7"/>
    <w:rsid w:val="6C506213"/>
    <w:rsid w:val="6C551424"/>
    <w:rsid w:val="6C574CF9"/>
    <w:rsid w:val="6C586E75"/>
    <w:rsid w:val="6C5A7023"/>
    <w:rsid w:val="6C5D7FE5"/>
    <w:rsid w:val="6C6235E8"/>
    <w:rsid w:val="6C671EC3"/>
    <w:rsid w:val="6C6778AB"/>
    <w:rsid w:val="6C6E0447"/>
    <w:rsid w:val="6C72551B"/>
    <w:rsid w:val="6C744EE0"/>
    <w:rsid w:val="6C847041"/>
    <w:rsid w:val="6C87358B"/>
    <w:rsid w:val="6C8B2DA7"/>
    <w:rsid w:val="6C8E634F"/>
    <w:rsid w:val="6C933ED4"/>
    <w:rsid w:val="6C935742"/>
    <w:rsid w:val="6C976D17"/>
    <w:rsid w:val="6CA10E9D"/>
    <w:rsid w:val="6CA52EC7"/>
    <w:rsid w:val="6CAC5558"/>
    <w:rsid w:val="6CAD71C1"/>
    <w:rsid w:val="6CB546E3"/>
    <w:rsid w:val="6CB6520A"/>
    <w:rsid w:val="6CBB272A"/>
    <w:rsid w:val="6CC90D79"/>
    <w:rsid w:val="6CCB7647"/>
    <w:rsid w:val="6CDC0FAA"/>
    <w:rsid w:val="6CE47C9E"/>
    <w:rsid w:val="6CE55693"/>
    <w:rsid w:val="6CEB5F3B"/>
    <w:rsid w:val="6CED6176"/>
    <w:rsid w:val="6CF05300"/>
    <w:rsid w:val="6CF145E0"/>
    <w:rsid w:val="6CF2271D"/>
    <w:rsid w:val="6CF4562A"/>
    <w:rsid w:val="6CF7043C"/>
    <w:rsid w:val="6CFA1CDB"/>
    <w:rsid w:val="6CFC0CF8"/>
    <w:rsid w:val="6D036804"/>
    <w:rsid w:val="6D071698"/>
    <w:rsid w:val="6D0F39D8"/>
    <w:rsid w:val="6D11704A"/>
    <w:rsid w:val="6D125E56"/>
    <w:rsid w:val="6D1C4B34"/>
    <w:rsid w:val="6D1C7EA3"/>
    <w:rsid w:val="6D1E1003"/>
    <w:rsid w:val="6D1E5712"/>
    <w:rsid w:val="6D244591"/>
    <w:rsid w:val="6D254FA9"/>
    <w:rsid w:val="6D3B09DB"/>
    <w:rsid w:val="6D3C22F7"/>
    <w:rsid w:val="6D3F56BC"/>
    <w:rsid w:val="6D491C00"/>
    <w:rsid w:val="6D562ED0"/>
    <w:rsid w:val="6D5D43C7"/>
    <w:rsid w:val="6D6211D5"/>
    <w:rsid w:val="6D657A9C"/>
    <w:rsid w:val="6D7C64AC"/>
    <w:rsid w:val="6D7F14DA"/>
    <w:rsid w:val="6D853C9A"/>
    <w:rsid w:val="6D8D0186"/>
    <w:rsid w:val="6D953F91"/>
    <w:rsid w:val="6D9956BA"/>
    <w:rsid w:val="6DA87B9F"/>
    <w:rsid w:val="6DAA42AB"/>
    <w:rsid w:val="6DB1683D"/>
    <w:rsid w:val="6DB176F2"/>
    <w:rsid w:val="6DB30807"/>
    <w:rsid w:val="6DBF6CE2"/>
    <w:rsid w:val="6DC45C54"/>
    <w:rsid w:val="6DC5053A"/>
    <w:rsid w:val="6DC53107"/>
    <w:rsid w:val="6DC80F28"/>
    <w:rsid w:val="6DC96BAD"/>
    <w:rsid w:val="6DCE58E2"/>
    <w:rsid w:val="6DDF6A59"/>
    <w:rsid w:val="6DE07122"/>
    <w:rsid w:val="6DF67F9A"/>
    <w:rsid w:val="6DFC351E"/>
    <w:rsid w:val="6E004123"/>
    <w:rsid w:val="6E045BC2"/>
    <w:rsid w:val="6E0649EF"/>
    <w:rsid w:val="6E09025A"/>
    <w:rsid w:val="6E0B0BFD"/>
    <w:rsid w:val="6E0C1BB5"/>
    <w:rsid w:val="6E0F4548"/>
    <w:rsid w:val="6E1A6AD8"/>
    <w:rsid w:val="6E281527"/>
    <w:rsid w:val="6E292877"/>
    <w:rsid w:val="6E36203A"/>
    <w:rsid w:val="6E4A0A40"/>
    <w:rsid w:val="6E4A36FE"/>
    <w:rsid w:val="6E4A7A10"/>
    <w:rsid w:val="6E4D3223"/>
    <w:rsid w:val="6E4E0FC6"/>
    <w:rsid w:val="6E510956"/>
    <w:rsid w:val="6E5A4005"/>
    <w:rsid w:val="6E5F56C8"/>
    <w:rsid w:val="6E625129"/>
    <w:rsid w:val="6E6B10E2"/>
    <w:rsid w:val="6E720A33"/>
    <w:rsid w:val="6E751F61"/>
    <w:rsid w:val="6E762510"/>
    <w:rsid w:val="6E7F693B"/>
    <w:rsid w:val="6E825347"/>
    <w:rsid w:val="6E835AA8"/>
    <w:rsid w:val="6E8C2E06"/>
    <w:rsid w:val="6E95412F"/>
    <w:rsid w:val="6E965E0F"/>
    <w:rsid w:val="6E9C20B4"/>
    <w:rsid w:val="6EA16987"/>
    <w:rsid w:val="6EA46E41"/>
    <w:rsid w:val="6EAC5256"/>
    <w:rsid w:val="6EAE7348"/>
    <w:rsid w:val="6EAF557F"/>
    <w:rsid w:val="6EBB49FF"/>
    <w:rsid w:val="6EC16F54"/>
    <w:rsid w:val="6EC41959"/>
    <w:rsid w:val="6EC9744D"/>
    <w:rsid w:val="6ECB392F"/>
    <w:rsid w:val="6ED45E07"/>
    <w:rsid w:val="6ED6282D"/>
    <w:rsid w:val="6ED80C66"/>
    <w:rsid w:val="6EE16435"/>
    <w:rsid w:val="6EE7195F"/>
    <w:rsid w:val="6EE93378"/>
    <w:rsid w:val="6EEC0B65"/>
    <w:rsid w:val="6EEC72A1"/>
    <w:rsid w:val="6EF020B7"/>
    <w:rsid w:val="6EF72976"/>
    <w:rsid w:val="6EFA4214"/>
    <w:rsid w:val="6F002A48"/>
    <w:rsid w:val="6F045092"/>
    <w:rsid w:val="6F052ACB"/>
    <w:rsid w:val="6F0633EF"/>
    <w:rsid w:val="6F0E1DC6"/>
    <w:rsid w:val="6F1232E1"/>
    <w:rsid w:val="6F147F92"/>
    <w:rsid w:val="6F1654F2"/>
    <w:rsid w:val="6F200022"/>
    <w:rsid w:val="6F231513"/>
    <w:rsid w:val="6F2319BD"/>
    <w:rsid w:val="6F2E10F9"/>
    <w:rsid w:val="6F305C3A"/>
    <w:rsid w:val="6F351BAF"/>
    <w:rsid w:val="6F433E0D"/>
    <w:rsid w:val="6F441CAA"/>
    <w:rsid w:val="6F451933"/>
    <w:rsid w:val="6F484143"/>
    <w:rsid w:val="6F4C5049"/>
    <w:rsid w:val="6F4D07E7"/>
    <w:rsid w:val="6F574271"/>
    <w:rsid w:val="6F5778B8"/>
    <w:rsid w:val="6F593630"/>
    <w:rsid w:val="6F59718C"/>
    <w:rsid w:val="6F5E29F5"/>
    <w:rsid w:val="6F5F0DC5"/>
    <w:rsid w:val="6F662024"/>
    <w:rsid w:val="6F667AFB"/>
    <w:rsid w:val="6F6A3147"/>
    <w:rsid w:val="6F6A75EB"/>
    <w:rsid w:val="6F6D0E8A"/>
    <w:rsid w:val="6F750F26"/>
    <w:rsid w:val="6F7B72E9"/>
    <w:rsid w:val="6F7C73DF"/>
    <w:rsid w:val="6F7E4E45"/>
    <w:rsid w:val="6F8166E3"/>
    <w:rsid w:val="6F8445D4"/>
    <w:rsid w:val="6F8C58B1"/>
    <w:rsid w:val="6F8D5C1A"/>
    <w:rsid w:val="6F8E342E"/>
    <w:rsid w:val="6FA8133A"/>
    <w:rsid w:val="6FAA3530"/>
    <w:rsid w:val="6FB8153F"/>
    <w:rsid w:val="6FB846F5"/>
    <w:rsid w:val="6FB940CF"/>
    <w:rsid w:val="6FBA55F4"/>
    <w:rsid w:val="6FBB4C3C"/>
    <w:rsid w:val="6FBE084A"/>
    <w:rsid w:val="6FC34F4E"/>
    <w:rsid w:val="6FC42448"/>
    <w:rsid w:val="6FC82655"/>
    <w:rsid w:val="6FC85BE2"/>
    <w:rsid w:val="6FD27139"/>
    <w:rsid w:val="6FDD7E87"/>
    <w:rsid w:val="6FE44A4D"/>
    <w:rsid w:val="6FE74079"/>
    <w:rsid w:val="6FE87350"/>
    <w:rsid w:val="6FEA07C3"/>
    <w:rsid w:val="6FF01EE9"/>
    <w:rsid w:val="6FF43662"/>
    <w:rsid w:val="6FF454B4"/>
    <w:rsid w:val="6FF70753"/>
    <w:rsid w:val="7001163F"/>
    <w:rsid w:val="70042D2E"/>
    <w:rsid w:val="7005616D"/>
    <w:rsid w:val="700A7CDF"/>
    <w:rsid w:val="70194B6E"/>
    <w:rsid w:val="701A3C85"/>
    <w:rsid w:val="701B2694"/>
    <w:rsid w:val="701F6988"/>
    <w:rsid w:val="70242284"/>
    <w:rsid w:val="70271038"/>
    <w:rsid w:val="702754DC"/>
    <w:rsid w:val="70343755"/>
    <w:rsid w:val="70352F12"/>
    <w:rsid w:val="703B0F88"/>
    <w:rsid w:val="704C6A05"/>
    <w:rsid w:val="704F058F"/>
    <w:rsid w:val="704F558C"/>
    <w:rsid w:val="70575FF5"/>
    <w:rsid w:val="705F00BC"/>
    <w:rsid w:val="7061658F"/>
    <w:rsid w:val="70625EC0"/>
    <w:rsid w:val="7063761B"/>
    <w:rsid w:val="70691651"/>
    <w:rsid w:val="70695EF8"/>
    <w:rsid w:val="70726756"/>
    <w:rsid w:val="70750FBD"/>
    <w:rsid w:val="707A1135"/>
    <w:rsid w:val="70827219"/>
    <w:rsid w:val="70860CE0"/>
    <w:rsid w:val="70862027"/>
    <w:rsid w:val="708A455A"/>
    <w:rsid w:val="708A68F9"/>
    <w:rsid w:val="708D3467"/>
    <w:rsid w:val="708D610C"/>
    <w:rsid w:val="708F4D97"/>
    <w:rsid w:val="709243A0"/>
    <w:rsid w:val="70983CE4"/>
    <w:rsid w:val="70AE3508"/>
    <w:rsid w:val="70BE20AC"/>
    <w:rsid w:val="70C525FF"/>
    <w:rsid w:val="70C95B11"/>
    <w:rsid w:val="70CD2B48"/>
    <w:rsid w:val="70CD7E32"/>
    <w:rsid w:val="70D23E2B"/>
    <w:rsid w:val="70D64680"/>
    <w:rsid w:val="70DF1913"/>
    <w:rsid w:val="70E02726"/>
    <w:rsid w:val="70EB1819"/>
    <w:rsid w:val="70F00C3A"/>
    <w:rsid w:val="70F1729C"/>
    <w:rsid w:val="70F22AA4"/>
    <w:rsid w:val="71126EE7"/>
    <w:rsid w:val="7113780F"/>
    <w:rsid w:val="71153587"/>
    <w:rsid w:val="71196A51"/>
    <w:rsid w:val="711D27F9"/>
    <w:rsid w:val="71200232"/>
    <w:rsid w:val="71247ACE"/>
    <w:rsid w:val="71267542"/>
    <w:rsid w:val="713338E1"/>
    <w:rsid w:val="71422988"/>
    <w:rsid w:val="714E141B"/>
    <w:rsid w:val="715F786C"/>
    <w:rsid w:val="716167CC"/>
    <w:rsid w:val="71630796"/>
    <w:rsid w:val="71654E27"/>
    <w:rsid w:val="716A5681"/>
    <w:rsid w:val="71707E34"/>
    <w:rsid w:val="717A3FCB"/>
    <w:rsid w:val="717F6C52"/>
    <w:rsid w:val="718511BE"/>
    <w:rsid w:val="7185693C"/>
    <w:rsid w:val="7186244E"/>
    <w:rsid w:val="718B25C3"/>
    <w:rsid w:val="718B3849"/>
    <w:rsid w:val="718F3339"/>
    <w:rsid w:val="719477B9"/>
    <w:rsid w:val="719759F7"/>
    <w:rsid w:val="719A4503"/>
    <w:rsid w:val="719B7F30"/>
    <w:rsid w:val="719D577A"/>
    <w:rsid w:val="719E73CE"/>
    <w:rsid w:val="71A30B93"/>
    <w:rsid w:val="71A42199"/>
    <w:rsid w:val="71A43FE7"/>
    <w:rsid w:val="71A70106"/>
    <w:rsid w:val="71AE2D17"/>
    <w:rsid w:val="71B42DA0"/>
    <w:rsid w:val="71B44B4E"/>
    <w:rsid w:val="71C64EDD"/>
    <w:rsid w:val="71C92E07"/>
    <w:rsid w:val="71CB17A6"/>
    <w:rsid w:val="71CC00E9"/>
    <w:rsid w:val="71CD2C6D"/>
    <w:rsid w:val="71D13A0F"/>
    <w:rsid w:val="71D3049F"/>
    <w:rsid w:val="71D62D16"/>
    <w:rsid w:val="71D634A2"/>
    <w:rsid w:val="71D65918"/>
    <w:rsid w:val="71DD5D48"/>
    <w:rsid w:val="71E643AF"/>
    <w:rsid w:val="71E806D8"/>
    <w:rsid w:val="71EB41E4"/>
    <w:rsid w:val="71F6500C"/>
    <w:rsid w:val="71F77285"/>
    <w:rsid w:val="71FA2C4E"/>
    <w:rsid w:val="7200391E"/>
    <w:rsid w:val="720158B9"/>
    <w:rsid w:val="720C6738"/>
    <w:rsid w:val="72113D4E"/>
    <w:rsid w:val="721215DD"/>
    <w:rsid w:val="72160662"/>
    <w:rsid w:val="721A55BB"/>
    <w:rsid w:val="721B697B"/>
    <w:rsid w:val="721D26F3"/>
    <w:rsid w:val="72216D7F"/>
    <w:rsid w:val="7232196E"/>
    <w:rsid w:val="723932A5"/>
    <w:rsid w:val="7242215A"/>
    <w:rsid w:val="724E1E90"/>
    <w:rsid w:val="724F4D0B"/>
    <w:rsid w:val="726819D1"/>
    <w:rsid w:val="727A5D97"/>
    <w:rsid w:val="728F6212"/>
    <w:rsid w:val="729131C4"/>
    <w:rsid w:val="729329B5"/>
    <w:rsid w:val="729624A5"/>
    <w:rsid w:val="729802F2"/>
    <w:rsid w:val="72A9042B"/>
    <w:rsid w:val="72AA3A4C"/>
    <w:rsid w:val="72AB1549"/>
    <w:rsid w:val="72AB7029"/>
    <w:rsid w:val="72B13D0A"/>
    <w:rsid w:val="72B17117"/>
    <w:rsid w:val="72BC4572"/>
    <w:rsid w:val="72C54B39"/>
    <w:rsid w:val="72CC236B"/>
    <w:rsid w:val="72D34D7D"/>
    <w:rsid w:val="72E340AC"/>
    <w:rsid w:val="72E42717"/>
    <w:rsid w:val="72E43211"/>
    <w:rsid w:val="72F079F1"/>
    <w:rsid w:val="72F62F44"/>
    <w:rsid w:val="72F74868"/>
    <w:rsid w:val="72F83160"/>
    <w:rsid w:val="7300126B"/>
    <w:rsid w:val="73005B71"/>
    <w:rsid w:val="73027489"/>
    <w:rsid w:val="73047724"/>
    <w:rsid w:val="730729D3"/>
    <w:rsid w:val="730B4C41"/>
    <w:rsid w:val="73276A0C"/>
    <w:rsid w:val="73334198"/>
    <w:rsid w:val="733673D9"/>
    <w:rsid w:val="733C129F"/>
    <w:rsid w:val="733E6DC5"/>
    <w:rsid w:val="73444C4E"/>
    <w:rsid w:val="73447A7D"/>
    <w:rsid w:val="735000B1"/>
    <w:rsid w:val="73504851"/>
    <w:rsid w:val="73532145"/>
    <w:rsid w:val="735463C8"/>
    <w:rsid w:val="73576FF4"/>
    <w:rsid w:val="735924E2"/>
    <w:rsid w:val="735E01A5"/>
    <w:rsid w:val="736600CA"/>
    <w:rsid w:val="73661E78"/>
    <w:rsid w:val="73716FAA"/>
    <w:rsid w:val="737767F8"/>
    <w:rsid w:val="737B0530"/>
    <w:rsid w:val="737C282B"/>
    <w:rsid w:val="737E24ED"/>
    <w:rsid w:val="73844C49"/>
    <w:rsid w:val="7388115F"/>
    <w:rsid w:val="738B7B30"/>
    <w:rsid w:val="73955FA5"/>
    <w:rsid w:val="73983049"/>
    <w:rsid w:val="739A73D4"/>
    <w:rsid w:val="739C2A76"/>
    <w:rsid w:val="739F57E9"/>
    <w:rsid w:val="73A86934"/>
    <w:rsid w:val="73B07183"/>
    <w:rsid w:val="73B57E4B"/>
    <w:rsid w:val="73B82B73"/>
    <w:rsid w:val="73BA0F31"/>
    <w:rsid w:val="73C01AB0"/>
    <w:rsid w:val="73C130D8"/>
    <w:rsid w:val="73C53042"/>
    <w:rsid w:val="73D11C5C"/>
    <w:rsid w:val="73D17583"/>
    <w:rsid w:val="73D818B4"/>
    <w:rsid w:val="73DA4614"/>
    <w:rsid w:val="73DB0AB8"/>
    <w:rsid w:val="73F12089"/>
    <w:rsid w:val="73FC0A2E"/>
    <w:rsid w:val="73FC458A"/>
    <w:rsid w:val="7400051E"/>
    <w:rsid w:val="740663F7"/>
    <w:rsid w:val="741B7106"/>
    <w:rsid w:val="741E6BF6"/>
    <w:rsid w:val="74203020"/>
    <w:rsid w:val="742217E5"/>
    <w:rsid w:val="74261F54"/>
    <w:rsid w:val="744644EE"/>
    <w:rsid w:val="744A31B1"/>
    <w:rsid w:val="744D3B71"/>
    <w:rsid w:val="74544B29"/>
    <w:rsid w:val="745D18E8"/>
    <w:rsid w:val="745F3497"/>
    <w:rsid w:val="74640AAD"/>
    <w:rsid w:val="746662C7"/>
    <w:rsid w:val="74687E72"/>
    <w:rsid w:val="747C24C2"/>
    <w:rsid w:val="74850A24"/>
    <w:rsid w:val="748527D2"/>
    <w:rsid w:val="74876C4F"/>
    <w:rsid w:val="748A3080"/>
    <w:rsid w:val="748C0004"/>
    <w:rsid w:val="749067A4"/>
    <w:rsid w:val="74926778"/>
    <w:rsid w:val="74942A2F"/>
    <w:rsid w:val="749972FA"/>
    <w:rsid w:val="74A7099A"/>
    <w:rsid w:val="74A82EE2"/>
    <w:rsid w:val="74A90290"/>
    <w:rsid w:val="74B213F1"/>
    <w:rsid w:val="74B27B1B"/>
    <w:rsid w:val="74BB5783"/>
    <w:rsid w:val="74C61F60"/>
    <w:rsid w:val="74CC0400"/>
    <w:rsid w:val="74CD57F7"/>
    <w:rsid w:val="74CE23CA"/>
    <w:rsid w:val="74D418FF"/>
    <w:rsid w:val="74D82744"/>
    <w:rsid w:val="74DB0643"/>
    <w:rsid w:val="74DB208E"/>
    <w:rsid w:val="74E06D5C"/>
    <w:rsid w:val="74E7348C"/>
    <w:rsid w:val="74EC0A46"/>
    <w:rsid w:val="74EC589E"/>
    <w:rsid w:val="74F5036D"/>
    <w:rsid w:val="74F77D80"/>
    <w:rsid w:val="74FD05BA"/>
    <w:rsid w:val="74FD680C"/>
    <w:rsid w:val="750302DD"/>
    <w:rsid w:val="75033868"/>
    <w:rsid w:val="75041948"/>
    <w:rsid w:val="750C20C2"/>
    <w:rsid w:val="75150BB6"/>
    <w:rsid w:val="7522181F"/>
    <w:rsid w:val="75284813"/>
    <w:rsid w:val="752A3786"/>
    <w:rsid w:val="752E5AD3"/>
    <w:rsid w:val="75367E50"/>
    <w:rsid w:val="75393BB0"/>
    <w:rsid w:val="755661E3"/>
    <w:rsid w:val="755A1EB0"/>
    <w:rsid w:val="755C22DD"/>
    <w:rsid w:val="755C26BF"/>
    <w:rsid w:val="755D3B49"/>
    <w:rsid w:val="755D54FC"/>
    <w:rsid w:val="756E2093"/>
    <w:rsid w:val="7571335D"/>
    <w:rsid w:val="75717223"/>
    <w:rsid w:val="75735A9C"/>
    <w:rsid w:val="75752846"/>
    <w:rsid w:val="757549CA"/>
    <w:rsid w:val="75764564"/>
    <w:rsid w:val="757C043C"/>
    <w:rsid w:val="7587305D"/>
    <w:rsid w:val="758B7DA1"/>
    <w:rsid w:val="758D046E"/>
    <w:rsid w:val="758F0B16"/>
    <w:rsid w:val="759232B3"/>
    <w:rsid w:val="75924506"/>
    <w:rsid w:val="759929D8"/>
    <w:rsid w:val="759C0E51"/>
    <w:rsid w:val="75A003FD"/>
    <w:rsid w:val="75A12490"/>
    <w:rsid w:val="75A2127E"/>
    <w:rsid w:val="75A44ED9"/>
    <w:rsid w:val="75A924F0"/>
    <w:rsid w:val="75AB270C"/>
    <w:rsid w:val="75B47B1B"/>
    <w:rsid w:val="75B863E3"/>
    <w:rsid w:val="75BD1156"/>
    <w:rsid w:val="75BE243F"/>
    <w:rsid w:val="75C26938"/>
    <w:rsid w:val="75CA1286"/>
    <w:rsid w:val="75CC6EA4"/>
    <w:rsid w:val="75CF6FF0"/>
    <w:rsid w:val="75D03F20"/>
    <w:rsid w:val="75D576C6"/>
    <w:rsid w:val="75E27D6E"/>
    <w:rsid w:val="75E33C54"/>
    <w:rsid w:val="75EB2B08"/>
    <w:rsid w:val="75EF370E"/>
    <w:rsid w:val="75F25C45"/>
    <w:rsid w:val="75F662D7"/>
    <w:rsid w:val="75FA3731"/>
    <w:rsid w:val="75FE0C2A"/>
    <w:rsid w:val="760E2FC6"/>
    <w:rsid w:val="760E6331"/>
    <w:rsid w:val="760F102B"/>
    <w:rsid w:val="76134845"/>
    <w:rsid w:val="76143E0D"/>
    <w:rsid w:val="761A6E19"/>
    <w:rsid w:val="761E670E"/>
    <w:rsid w:val="761E7399"/>
    <w:rsid w:val="762229CE"/>
    <w:rsid w:val="76234EE1"/>
    <w:rsid w:val="76242BC3"/>
    <w:rsid w:val="762431F4"/>
    <w:rsid w:val="76255738"/>
    <w:rsid w:val="76263B40"/>
    <w:rsid w:val="762A335A"/>
    <w:rsid w:val="762A7AD4"/>
    <w:rsid w:val="762B0F1B"/>
    <w:rsid w:val="762D7DFA"/>
    <w:rsid w:val="762F0897"/>
    <w:rsid w:val="762F0C47"/>
    <w:rsid w:val="76310452"/>
    <w:rsid w:val="7635655C"/>
    <w:rsid w:val="763639DD"/>
    <w:rsid w:val="763922F4"/>
    <w:rsid w:val="763A311B"/>
    <w:rsid w:val="763C5295"/>
    <w:rsid w:val="763D0E36"/>
    <w:rsid w:val="763F59CD"/>
    <w:rsid w:val="7645409B"/>
    <w:rsid w:val="764741E2"/>
    <w:rsid w:val="764D347E"/>
    <w:rsid w:val="764D457D"/>
    <w:rsid w:val="765A0B7B"/>
    <w:rsid w:val="765E7C81"/>
    <w:rsid w:val="76631FBF"/>
    <w:rsid w:val="76676633"/>
    <w:rsid w:val="7669115C"/>
    <w:rsid w:val="766B7792"/>
    <w:rsid w:val="766E1913"/>
    <w:rsid w:val="76702DDE"/>
    <w:rsid w:val="76713672"/>
    <w:rsid w:val="76733229"/>
    <w:rsid w:val="767B647F"/>
    <w:rsid w:val="76805946"/>
    <w:rsid w:val="76920849"/>
    <w:rsid w:val="76955C78"/>
    <w:rsid w:val="76966F18"/>
    <w:rsid w:val="76991851"/>
    <w:rsid w:val="76A57BDA"/>
    <w:rsid w:val="76AC04E9"/>
    <w:rsid w:val="76B4739E"/>
    <w:rsid w:val="76B63116"/>
    <w:rsid w:val="76B96D59"/>
    <w:rsid w:val="76C05C49"/>
    <w:rsid w:val="76CA4E14"/>
    <w:rsid w:val="76D10343"/>
    <w:rsid w:val="76D2138C"/>
    <w:rsid w:val="76DA3C64"/>
    <w:rsid w:val="76DB70F1"/>
    <w:rsid w:val="76DE441B"/>
    <w:rsid w:val="76DF08BF"/>
    <w:rsid w:val="76E00193"/>
    <w:rsid w:val="76E62A28"/>
    <w:rsid w:val="76EB5504"/>
    <w:rsid w:val="76ED4113"/>
    <w:rsid w:val="76F65C09"/>
    <w:rsid w:val="76FB4FCD"/>
    <w:rsid w:val="770E0C1A"/>
    <w:rsid w:val="7711659E"/>
    <w:rsid w:val="7714207A"/>
    <w:rsid w:val="771B3980"/>
    <w:rsid w:val="771B741D"/>
    <w:rsid w:val="771F2A69"/>
    <w:rsid w:val="77271F99"/>
    <w:rsid w:val="772C6707"/>
    <w:rsid w:val="772F7464"/>
    <w:rsid w:val="7731208C"/>
    <w:rsid w:val="77343875"/>
    <w:rsid w:val="7735228D"/>
    <w:rsid w:val="773B361B"/>
    <w:rsid w:val="773D52C2"/>
    <w:rsid w:val="773F135E"/>
    <w:rsid w:val="77454A83"/>
    <w:rsid w:val="774B075C"/>
    <w:rsid w:val="774B7D02"/>
    <w:rsid w:val="774D3A2F"/>
    <w:rsid w:val="774F5A13"/>
    <w:rsid w:val="77526798"/>
    <w:rsid w:val="7756051D"/>
    <w:rsid w:val="775841CD"/>
    <w:rsid w:val="77594712"/>
    <w:rsid w:val="775C5FD7"/>
    <w:rsid w:val="775D5504"/>
    <w:rsid w:val="775F37AE"/>
    <w:rsid w:val="77641D1B"/>
    <w:rsid w:val="776459B8"/>
    <w:rsid w:val="77672662"/>
    <w:rsid w:val="77741395"/>
    <w:rsid w:val="777728A5"/>
    <w:rsid w:val="7778611F"/>
    <w:rsid w:val="77835F42"/>
    <w:rsid w:val="77883B43"/>
    <w:rsid w:val="77896DD2"/>
    <w:rsid w:val="778B063C"/>
    <w:rsid w:val="778B6351"/>
    <w:rsid w:val="778C3E77"/>
    <w:rsid w:val="77902BE1"/>
    <w:rsid w:val="7798538D"/>
    <w:rsid w:val="779B2934"/>
    <w:rsid w:val="779F004E"/>
    <w:rsid w:val="779F1DFC"/>
    <w:rsid w:val="77A348D5"/>
    <w:rsid w:val="77A634D1"/>
    <w:rsid w:val="77B5517C"/>
    <w:rsid w:val="77C36223"/>
    <w:rsid w:val="77C96B54"/>
    <w:rsid w:val="77CB73F2"/>
    <w:rsid w:val="77D25D2E"/>
    <w:rsid w:val="77D630EC"/>
    <w:rsid w:val="77D91686"/>
    <w:rsid w:val="77D96B89"/>
    <w:rsid w:val="77DC6BAC"/>
    <w:rsid w:val="77DE19E0"/>
    <w:rsid w:val="77E205AA"/>
    <w:rsid w:val="77E56A41"/>
    <w:rsid w:val="77E61C73"/>
    <w:rsid w:val="77F04406"/>
    <w:rsid w:val="77F076AB"/>
    <w:rsid w:val="77F57C6E"/>
    <w:rsid w:val="77F8360C"/>
    <w:rsid w:val="77F9150C"/>
    <w:rsid w:val="77FA5285"/>
    <w:rsid w:val="77FD7254"/>
    <w:rsid w:val="78001D9A"/>
    <w:rsid w:val="78006D3F"/>
    <w:rsid w:val="78017D0D"/>
    <w:rsid w:val="78063EEF"/>
    <w:rsid w:val="780B39D6"/>
    <w:rsid w:val="7813546A"/>
    <w:rsid w:val="78164F9D"/>
    <w:rsid w:val="781C5C85"/>
    <w:rsid w:val="781E5417"/>
    <w:rsid w:val="782169F2"/>
    <w:rsid w:val="78255245"/>
    <w:rsid w:val="782858B1"/>
    <w:rsid w:val="782A7F03"/>
    <w:rsid w:val="782B18E2"/>
    <w:rsid w:val="782F64FB"/>
    <w:rsid w:val="78347BEA"/>
    <w:rsid w:val="784A656D"/>
    <w:rsid w:val="784C1F84"/>
    <w:rsid w:val="785157C9"/>
    <w:rsid w:val="7859644F"/>
    <w:rsid w:val="785E19EB"/>
    <w:rsid w:val="78645796"/>
    <w:rsid w:val="786A67ED"/>
    <w:rsid w:val="78776825"/>
    <w:rsid w:val="787B4617"/>
    <w:rsid w:val="787E114F"/>
    <w:rsid w:val="78890E72"/>
    <w:rsid w:val="788F3C1F"/>
    <w:rsid w:val="78900DBA"/>
    <w:rsid w:val="78972AD3"/>
    <w:rsid w:val="789C01E0"/>
    <w:rsid w:val="789D27E0"/>
    <w:rsid w:val="789E2C69"/>
    <w:rsid w:val="78A81D4B"/>
    <w:rsid w:val="78AA387B"/>
    <w:rsid w:val="78AD6DCE"/>
    <w:rsid w:val="78B2790D"/>
    <w:rsid w:val="78B3563A"/>
    <w:rsid w:val="78B62C2E"/>
    <w:rsid w:val="78B76AB2"/>
    <w:rsid w:val="78C46F9F"/>
    <w:rsid w:val="78CA4C9D"/>
    <w:rsid w:val="78D14D12"/>
    <w:rsid w:val="78E026CC"/>
    <w:rsid w:val="78E07452"/>
    <w:rsid w:val="78E4494C"/>
    <w:rsid w:val="78EA70A7"/>
    <w:rsid w:val="78EC72C3"/>
    <w:rsid w:val="78EE0C4C"/>
    <w:rsid w:val="78FA311C"/>
    <w:rsid w:val="79052133"/>
    <w:rsid w:val="790A7963"/>
    <w:rsid w:val="79110AD8"/>
    <w:rsid w:val="79135755"/>
    <w:rsid w:val="791A55D0"/>
    <w:rsid w:val="79231027"/>
    <w:rsid w:val="7923708D"/>
    <w:rsid w:val="79256F3B"/>
    <w:rsid w:val="79292601"/>
    <w:rsid w:val="792B7DEB"/>
    <w:rsid w:val="79322641"/>
    <w:rsid w:val="79326B5C"/>
    <w:rsid w:val="7936596C"/>
    <w:rsid w:val="794C148D"/>
    <w:rsid w:val="794E3ADA"/>
    <w:rsid w:val="79541474"/>
    <w:rsid w:val="79556C16"/>
    <w:rsid w:val="79557CA7"/>
    <w:rsid w:val="79586E14"/>
    <w:rsid w:val="795F5CE7"/>
    <w:rsid w:val="79616DC4"/>
    <w:rsid w:val="79654980"/>
    <w:rsid w:val="79680055"/>
    <w:rsid w:val="7969603B"/>
    <w:rsid w:val="796E7CD8"/>
    <w:rsid w:val="7971028C"/>
    <w:rsid w:val="797D43BF"/>
    <w:rsid w:val="7982489B"/>
    <w:rsid w:val="79845D9F"/>
    <w:rsid w:val="79AD7D08"/>
    <w:rsid w:val="79AE27CB"/>
    <w:rsid w:val="79B76C11"/>
    <w:rsid w:val="79BC5797"/>
    <w:rsid w:val="79BD7604"/>
    <w:rsid w:val="79C002CB"/>
    <w:rsid w:val="79C35C72"/>
    <w:rsid w:val="79C45288"/>
    <w:rsid w:val="79CB058E"/>
    <w:rsid w:val="79CE0D8E"/>
    <w:rsid w:val="79CE63A9"/>
    <w:rsid w:val="79D20A2C"/>
    <w:rsid w:val="79DC704B"/>
    <w:rsid w:val="79E166FC"/>
    <w:rsid w:val="79E306C6"/>
    <w:rsid w:val="79E31BD0"/>
    <w:rsid w:val="79E34F82"/>
    <w:rsid w:val="79E54E2B"/>
    <w:rsid w:val="79E55C98"/>
    <w:rsid w:val="79E820BE"/>
    <w:rsid w:val="79EC40BD"/>
    <w:rsid w:val="79ED2075"/>
    <w:rsid w:val="79ED7113"/>
    <w:rsid w:val="79EF706B"/>
    <w:rsid w:val="79F07583"/>
    <w:rsid w:val="79F60312"/>
    <w:rsid w:val="79FC4231"/>
    <w:rsid w:val="79FC4D1F"/>
    <w:rsid w:val="7A0E1E10"/>
    <w:rsid w:val="7A1C6AFD"/>
    <w:rsid w:val="7A290E6C"/>
    <w:rsid w:val="7A2B59A2"/>
    <w:rsid w:val="7A2E4763"/>
    <w:rsid w:val="7A39286F"/>
    <w:rsid w:val="7A3B5EBC"/>
    <w:rsid w:val="7A453A61"/>
    <w:rsid w:val="7A460C55"/>
    <w:rsid w:val="7A47696D"/>
    <w:rsid w:val="7A57076C"/>
    <w:rsid w:val="7A591612"/>
    <w:rsid w:val="7A5C2D01"/>
    <w:rsid w:val="7A65462C"/>
    <w:rsid w:val="7A6A4943"/>
    <w:rsid w:val="7A805F15"/>
    <w:rsid w:val="7A862644"/>
    <w:rsid w:val="7A886B78"/>
    <w:rsid w:val="7A895914"/>
    <w:rsid w:val="7A920D69"/>
    <w:rsid w:val="7A96124D"/>
    <w:rsid w:val="7A970A5F"/>
    <w:rsid w:val="7A990D85"/>
    <w:rsid w:val="7AA10C0E"/>
    <w:rsid w:val="7AA1145D"/>
    <w:rsid w:val="7AA24C33"/>
    <w:rsid w:val="7AA377B5"/>
    <w:rsid w:val="7AB7185D"/>
    <w:rsid w:val="7AB7745D"/>
    <w:rsid w:val="7ABE4CF6"/>
    <w:rsid w:val="7ABF5752"/>
    <w:rsid w:val="7AC022EF"/>
    <w:rsid w:val="7AC35E02"/>
    <w:rsid w:val="7AC7799B"/>
    <w:rsid w:val="7AC85F87"/>
    <w:rsid w:val="7AC92AA5"/>
    <w:rsid w:val="7AC948CB"/>
    <w:rsid w:val="7AD031F2"/>
    <w:rsid w:val="7AD25691"/>
    <w:rsid w:val="7AD26045"/>
    <w:rsid w:val="7AD313B6"/>
    <w:rsid w:val="7AD54C77"/>
    <w:rsid w:val="7AD65B35"/>
    <w:rsid w:val="7ADE1882"/>
    <w:rsid w:val="7AE921C3"/>
    <w:rsid w:val="7AE94743"/>
    <w:rsid w:val="7AEE0F58"/>
    <w:rsid w:val="7AEE6E2A"/>
    <w:rsid w:val="7AF65772"/>
    <w:rsid w:val="7AF73D47"/>
    <w:rsid w:val="7AF914C0"/>
    <w:rsid w:val="7AFB0962"/>
    <w:rsid w:val="7AFE32DE"/>
    <w:rsid w:val="7B0F0542"/>
    <w:rsid w:val="7B116B6D"/>
    <w:rsid w:val="7B120866"/>
    <w:rsid w:val="7B1571BD"/>
    <w:rsid w:val="7B171802"/>
    <w:rsid w:val="7B1D086E"/>
    <w:rsid w:val="7B1D19B6"/>
    <w:rsid w:val="7B1D7C08"/>
    <w:rsid w:val="7B203254"/>
    <w:rsid w:val="7B242D44"/>
    <w:rsid w:val="7B256ABC"/>
    <w:rsid w:val="7B2D0704"/>
    <w:rsid w:val="7B2D1507"/>
    <w:rsid w:val="7B34132B"/>
    <w:rsid w:val="7B37738D"/>
    <w:rsid w:val="7B3A0C3E"/>
    <w:rsid w:val="7B4128F5"/>
    <w:rsid w:val="7B4350A0"/>
    <w:rsid w:val="7B467FC7"/>
    <w:rsid w:val="7B4927AB"/>
    <w:rsid w:val="7B4F7695"/>
    <w:rsid w:val="7B5A7DCD"/>
    <w:rsid w:val="7B5D0004"/>
    <w:rsid w:val="7B681A01"/>
    <w:rsid w:val="7B6F06F8"/>
    <w:rsid w:val="7B707D38"/>
    <w:rsid w:val="7B7317DB"/>
    <w:rsid w:val="7B747F60"/>
    <w:rsid w:val="7B754A79"/>
    <w:rsid w:val="7B7C2D28"/>
    <w:rsid w:val="7B853BB5"/>
    <w:rsid w:val="7B86410F"/>
    <w:rsid w:val="7B8F22CB"/>
    <w:rsid w:val="7B900F0C"/>
    <w:rsid w:val="7B9630A1"/>
    <w:rsid w:val="7B971768"/>
    <w:rsid w:val="7B9A3006"/>
    <w:rsid w:val="7BA06143"/>
    <w:rsid w:val="7BA429B4"/>
    <w:rsid w:val="7BA43E85"/>
    <w:rsid w:val="7BA64FCC"/>
    <w:rsid w:val="7BA75723"/>
    <w:rsid w:val="7BB34DAF"/>
    <w:rsid w:val="7BB87F79"/>
    <w:rsid w:val="7BBB21A7"/>
    <w:rsid w:val="7BBC0371"/>
    <w:rsid w:val="7BBC11CF"/>
    <w:rsid w:val="7BCE3D5E"/>
    <w:rsid w:val="7BD3539E"/>
    <w:rsid w:val="7BD45874"/>
    <w:rsid w:val="7BD77296"/>
    <w:rsid w:val="7BDC40FE"/>
    <w:rsid w:val="7BE10A38"/>
    <w:rsid w:val="7BE46CFD"/>
    <w:rsid w:val="7BE75B20"/>
    <w:rsid w:val="7BF035AF"/>
    <w:rsid w:val="7BF302A3"/>
    <w:rsid w:val="7BFA3AA5"/>
    <w:rsid w:val="7BFC5A6F"/>
    <w:rsid w:val="7BFE17E7"/>
    <w:rsid w:val="7BFF7C80"/>
    <w:rsid w:val="7C0115D3"/>
    <w:rsid w:val="7C0764D7"/>
    <w:rsid w:val="7C096CB3"/>
    <w:rsid w:val="7C0C0428"/>
    <w:rsid w:val="7C2D3DB3"/>
    <w:rsid w:val="7C302607"/>
    <w:rsid w:val="7C321491"/>
    <w:rsid w:val="7C340013"/>
    <w:rsid w:val="7C3C23DF"/>
    <w:rsid w:val="7C3D1311"/>
    <w:rsid w:val="7C3E0D7E"/>
    <w:rsid w:val="7C400253"/>
    <w:rsid w:val="7C464F3C"/>
    <w:rsid w:val="7C46760A"/>
    <w:rsid w:val="7C47478B"/>
    <w:rsid w:val="7C495AF7"/>
    <w:rsid w:val="7C4B4301"/>
    <w:rsid w:val="7C4E4BEE"/>
    <w:rsid w:val="7C5238E1"/>
    <w:rsid w:val="7C565733"/>
    <w:rsid w:val="7C5C7EEF"/>
    <w:rsid w:val="7C615057"/>
    <w:rsid w:val="7C65411C"/>
    <w:rsid w:val="7C6B01C3"/>
    <w:rsid w:val="7C745605"/>
    <w:rsid w:val="7C7B2E38"/>
    <w:rsid w:val="7C7C095E"/>
    <w:rsid w:val="7C8021FC"/>
    <w:rsid w:val="7C8154D1"/>
    <w:rsid w:val="7C8B0BA1"/>
    <w:rsid w:val="7C8E3FE1"/>
    <w:rsid w:val="7CA0042E"/>
    <w:rsid w:val="7CA54FF4"/>
    <w:rsid w:val="7CB10BC9"/>
    <w:rsid w:val="7CB42860"/>
    <w:rsid w:val="7CB42C75"/>
    <w:rsid w:val="7CB645AE"/>
    <w:rsid w:val="7CBB76D8"/>
    <w:rsid w:val="7CC14E75"/>
    <w:rsid w:val="7CC55E61"/>
    <w:rsid w:val="7CD3238B"/>
    <w:rsid w:val="7CDE5175"/>
    <w:rsid w:val="7CE16A13"/>
    <w:rsid w:val="7CE537E3"/>
    <w:rsid w:val="7CE73B3B"/>
    <w:rsid w:val="7CE93701"/>
    <w:rsid w:val="7CEE2024"/>
    <w:rsid w:val="7CF14EA8"/>
    <w:rsid w:val="7CF4552C"/>
    <w:rsid w:val="7CF52A51"/>
    <w:rsid w:val="7CF67D38"/>
    <w:rsid w:val="7CF77FE5"/>
    <w:rsid w:val="7CFF5FBA"/>
    <w:rsid w:val="7D00333D"/>
    <w:rsid w:val="7D010984"/>
    <w:rsid w:val="7D021F92"/>
    <w:rsid w:val="7D0270B5"/>
    <w:rsid w:val="7D081E5B"/>
    <w:rsid w:val="7D096D78"/>
    <w:rsid w:val="7D216992"/>
    <w:rsid w:val="7D231CB2"/>
    <w:rsid w:val="7D241A25"/>
    <w:rsid w:val="7D250C61"/>
    <w:rsid w:val="7D270829"/>
    <w:rsid w:val="7D2C7C8E"/>
    <w:rsid w:val="7D2E7895"/>
    <w:rsid w:val="7D342FE7"/>
    <w:rsid w:val="7D3644B4"/>
    <w:rsid w:val="7D3E5F5C"/>
    <w:rsid w:val="7D4703D0"/>
    <w:rsid w:val="7D4A6514"/>
    <w:rsid w:val="7D4B26CB"/>
    <w:rsid w:val="7D4C6582"/>
    <w:rsid w:val="7D555476"/>
    <w:rsid w:val="7D5D2BC7"/>
    <w:rsid w:val="7D615EBE"/>
    <w:rsid w:val="7D657644"/>
    <w:rsid w:val="7D6F3B9E"/>
    <w:rsid w:val="7D6F401F"/>
    <w:rsid w:val="7D7864E4"/>
    <w:rsid w:val="7D7B6E68"/>
    <w:rsid w:val="7D7D673C"/>
    <w:rsid w:val="7D88568C"/>
    <w:rsid w:val="7D8A2FE4"/>
    <w:rsid w:val="7D923D1C"/>
    <w:rsid w:val="7D962394"/>
    <w:rsid w:val="7D9A5540"/>
    <w:rsid w:val="7D9F3E03"/>
    <w:rsid w:val="7DA4016C"/>
    <w:rsid w:val="7DA97531"/>
    <w:rsid w:val="7DB8087D"/>
    <w:rsid w:val="7DBF424F"/>
    <w:rsid w:val="7DC10FCE"/>
    <w:rsid w:val="7DC425BD"/>
    <w:rsid w:val="7DC53CD9"/>
    <w:rsid w:val="7DC544D5"/>
    <w:rsid w:val="7DC8187F"/>
    <w:rsid w:val="7DCD1769"/>
    <w:rsid w:val="7DD02B52"/>
    <w:rsid w:val="7DD373C4"/>
    <w:rsid w:val="7DDE728D"/>
    <w:rsid w:val="7DE14B70"/>
    <w:rsid w:val="7DE2387B"/>
    <w:rsid w:val="7DE408FE"/>
    <w:rsid w:val="7DE83EAE"/>
    <w:rsid w:val="7DED0F15"/>
    <w:rsid w:val="7DED1B13"/>
    <w:rsid w:val="7DF0482B"/>
    <w:rsid w:val="7DF0526F"/>
    <w:rsid w:val="7DF45470"/>
    <w:rsid w:val="7DF45569"/>
    <w:rsid w:val="7DF63DA9"/>
    <w:rsid w:val="7E037699"/>
    <w:rsid w:val="7E044B9C"/>
    <w:rsid w:val="7E046E5D"/>
    <w:rsid w:val="7E066731"/>
    <w:rsid w:val="7E0B01EB"/>
    <w:rsid w:val="7E0E3838"/>
    <w:rsid w:val="7E126ABD"/>
    <w:rsid w:val="7E180C47"/>
    <w:rsid w:val="7E1D5C4C"/>
    <w:rsid w:val="7E2111B6"/>
    <w:rsid w:val="7E24305B"/>
    <w:rsid w:val="7E2474EB"/>
    <w:rsid w:val="7E2B3A6B"/>
    <w:rsid w:val="7E2E247B"/>
    <w:rsid w:val="7E425B4A"/>
    <w:rsid w:val="7E492AC2"/>
    <w:rsid w:val="7E4A1640"/>
    <w:rsid w:val="7E4E1E86"/>
    <w:rsid w:val="7E551332"/>
    <w:rsid w:val="7E5A1376"/>
    <w:rsid w:val="7E5A5B06"/>
    <w:rsid w:val="7E5F5E41"/>
    <w:rsid w:val="7E610830"/>
    <w:rsid w:val="7E631DD5"/>
    <w:rsid w:val="7E6E2E4D"/>
    <w:rsid w:val="7E706BE0"/>
    <w:rsid w:val="7E815D64"/>
    <w:rsid w:val="7E8A39A9"/>
    <w:rsid w:val="7E8B4029"/>
    <w:rsid w:val="7E923843"/>
    <w:rsid w:val="7E926217"/>
    <w:rsid w:val="7EA570B1"/>
    <w:rsid w:val="7EAC460E"/>
    <w:rsid w:val="7EAF0B77"/>
    <w:rsid w:val="7EB64ADA"/>
    <w:rsid w:val="7EBE6F11"/>
    <w:rsid w:val="7EC01132"/>
    <w:rsid w:val="7EC138A4"/>
    <w:rsid w:val="7EC16430"/>
    <w:rsid w:val="7EC40A46"/>
    <w:rsid w:val="7EC53C21"/>
    <w:rsid w:val="7EC62364"/>
    <w:rsid w:val="7ECE4CFB"/>
    <w:rsid w:val="7ED00AED"/>
    <w:rsid w:val="7ED846A5"/>
    <w:rsid w:val="7EDA1503"/>
    <w:rsid w:val="7EDB61EB"/>
    <w:rsid w:val="7EDF777D"/>
    <w:rsid w:val="7EE051D4"/>
    <w:rsid w:val="7EE30DF1"/>
    <w:rsid w:val="7EE8197C"/>
    <w:rsid w:val="7EE822DB"/>
    <w:rsid w:val="7EEA6202"/>
    <w:rsid w:val="7EF54663"/>
    <w:rsid w:val="7EFB1903"/>
    <w:rsid w:val="7F0300F7"/>
    <w:rsid w:val="7F066ECC"/>
    <w:rsid w:val="7F071BF9"/>
    <w:rsid w:val="7F17126F"/>
    <w:rsid w:val="7F182B1F"/>
    <w:rsid w:val="7F1932DF"/>
    <w:rsid w:val="7F1E5CFC"/>
    <w:rsid w:val="7F243866"/>
    <w:rsid w:val="7F322421"/>
    <w:rsid w:val="7F324B31"/>
    <w:rsid w:val="7F341F76"/>
    <w:rsid w:val="7F4219EB"/>
    <w:rsid w:val="7F421A90"/>
    <w:rsid w:val="7F45772D"/>
    <w:rsid w:val="7F5003CE"/>
    <w:rsid w:val="7F526375"/>
    <w:rsid w:val="7F5412AB"/>
    <w:rsid w:val="7F5D2259"/>
    <w:rsid w:val="7F5E1F5E"/>
    <w:rsid w:val="7F5F07EF"/>
    <w:rsid w:val="7F6012B7"/>
    <w:rsid w:val="7F6212F9"/>
    <w:rsid w:val="7F625BE9"/>
    <w:rsid w:val="7F700E9F"/>
    <w:rsid w:val="7F775A40"/>
    <w:rsid w:val="7F7A5538"/>
    <w:rsid w:val="7F7B6CAB"/>
    <w:rsid w:val="7F833D8D"/>
    <w:rsid w:val="7F873CA1"/>
    <w:rsid w:val="7F8C1817"/>
    <w:rsid w:val="7F8E5458"/>
    <w:rsid w:val="7F943438"/>
    <w:rsid w:val="7F954882"/>
    <w:rsid w:val="7F9F2CE0"/>
    <w:rsid w:val="7FAA52DD"/>
    <w:rsid w:val="7FB148E2"/>
    <w:rsid w:val="7FB7346C"/>
    <w:rsid w:val="7FB83A5B"/>
    <w:rsid w:val="7FB83B76"/>
    <w:rsid w:val="7FC45207"/>
    <w:rsid w:val="7FC65E22"/>
    <w:rsid w:val="7FCB5E84"/>
    <w:rsid w:val="7FCB682C"/>
    <w:rsid w:val="7FDD5BB8"/>
    <w:rsid w:val="7FE01204"/>
    <w:rsid w:val="7FE20049"/>
    <w:rsid w:val="7FED4FC7"/>
    <w:rsid w:val="7FEE3921"/>
    <w:rsid w:val="7FF539A2"/>
    <w:rsid w:val="7FFE54D1"/>
    <w:rsid w:val="7FFE6121"/>
    <w:rsid w:val="7FFF1AE9"/>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qFormat="1" w:unhideWhenUsed="0" w:uiPriority="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qFormat="1" w:unhideWhenUsed="0" w:uiPriority="99"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39" w:semiHidden="0" w:name="toc 2"/>
    <w:lsdException w:qFormat="1" w:unhideWhenUsed="0" w:uiPriority="39" w:semiHidden="0" w:name="toc 3"/>
    <w:lsdException w:qFormat="1" w:unhideWhenUsed="0" w:uiPriority="39" w:semiHidden="0" w:name="toc 4"/>
    <w:lsdException w:qFormat="1" w:unhideWhenUsed="0" w:uiPriority="39" w:semiHidden="0" w:name="toc 5"/>
    <w:lsdException w:qFormat="1" w:unhideWhenUsed="0" w:uiPriority="39" w:semiHidden="0" w:name="toc 6"/>
    <w:lsdException w:qFormat="1" w:unhideWhenUsed="0" w:uiPriority="39" w:semiHidden="0" w:name="toc 7"/>
    <w:lsdException w:qFormat="1" w:unhideWhenUsed="0" w:uiPriority="39" w:semiHidden="0" w:name="toc 8"/>
    <w:lsdException w:qFormat="1" w:unhideWhenUsed="0" w:uiPriority="39"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0" w:semiHidden="0" w:name="toa heading"/>
    <w:lsdException w:unhideWhenUsed="0" w:uiPriority="0" w:semiHidden="0" w:name="List"/>
    <w:lsdException w:unhideWhenUsed="0" w:uiPriority="0" w:semiHidden="0" w:name="List Bullet"/>
    <w:lsdException w:qFormat="1"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qFormat="1"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iPriority="99"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qFormat="1"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46"/>
    <w:qFormat/>
    <w:uiPriority w:val="0"/>
    <w:pPr>
      <w:keepNext/>
      <w:keepLines/>
      <w:autoSpaceDE w:val="0"/>
      <w:autoSpaceDN w:val="0"/>
      <w:adjustRightInd w:val="0"/>
      <w:spacing w:before="240" w:after="120" w:line="300" w:lineRule="auto"/>
      <w:jc w:val="center"/>
      <w:outlineLvl w:val="0"/>
    </w:pPr>
    <w:rPr>
      <w:rFonts w:ascii="宋体"/>
      <w:b/>
      <w:kern w:val="44"/>
      <w:sz w:val="32"/>
      <w:szCs w:val="20"/>
    </w:rPr>
  </w:style>
  <w:style w:type="paragraph" w:styleId="2">
    <w:name w:val="heading 2"/>
    <w:basedOn w:val="1"/>
    <w:next w:val="1"/>
    <w:link w:val="47"/>
    <w:qFormat/>
    <w:uiPriority w:val="0"/>
    <w:pPr>
      <w:keepNext/>
      <w:keepLines/>
      <w:autoSpaceDE w:val="0"/>
      <w:autoSpaceDN w:val="0"/>
      <w:adjustRightInd w:val="0"/>
      <w:spacing w:before="120" w:line="300" w:lineRule="auto"/>
      <w:jc w:val="center"/>
      <w:outlineLvl w:val="1"/>
    </w:pPr>
    <w:rPr>
      <w:rFonts w:ascii="Arial" w:hAnsi="Arial" w:eastAsia="黑体"/>
      <w:b/>
      <w:kern w:val="0"/>
      <w:sz w:val="30"/>
      <w:szCs w:val="20"/>
    </w:rPr>
  </w:style>
  <w:style w:type="paragraph" w:styleId="4">
    <w:name w:val="heading 3"/>
    <w:basedOn w:val="1"/>
    <w:next w:val="1"/>
    <w:link w:val="48"/>
    <w:qFormat/>
    <w:uiPriority w:val="0"/>
    <w:pPr>
      <w:keepNext/>
      <w:keepLines/>
      <w:autoSpaceDE w:val="0"/>
      <w:autoSpaceDN w:val="0"/>
      <w:adjustRightInd w:val="0"/>
      <w:spacing w:before="360" w:after="120"/>
      <w:jc w:val="left"/>
      <w:outlineLvl w:val="2"/>
    </w:pPr>
    <w:rPr>
      <w:rFonts w:ascii="宋体"/>
      <w:b/>
      <w:kern w:val="0"/>
      <w:sz w:val="24"/>
      <w:szCs w:val="20"/>
      <w:u w:val="single"/>
    </w:rPr>
  </w:style>
  <w:style w:type="character" w:default="1" w:styleId="40">
    <w:name w:val="Default Paragraph Font"/>
    <w:semiHidden/>
    <w:qFormat/>
    <w:uiPriority w:val="0"/>
  </w:style>
  <w:style w:type="table" w:default="1" w:styleId="38">
    <w:name w:val="Normal Table"/>
    <w:semiHidden/>
    <w:qFormat/>
    <w:uiPriority w:val="0"/>
    <w:pPr>
      <w:keepNext w:val="0"/>
      <w:keepLines w:val="0"/>
      <w:widowControl/>
      <w:suppressLineNumbers w:val="0"/>
      <w:spacing w:before="0" w:beforeAutospacing="0" w:after="0" w:afterAutospacing="0"/>
      <w:ind w:left="0" w:right="0"/>
    </w:pPr>
    <w:rPr>
      <w:rFonts w:hint="default" w:ascii="Times New Roman" w:hAnsi="Times New Roman" w:cs="Times New Roman"/>
      <w:sz w:val="20"/>
      <w:szCs w:val="20"/>
    </w:rPr>
    <w:tblPr>
      <w:tblCellMar>
        <w:top w:w="0" w:type="dxa"/>
        <w:left w:w="108" w:type="dxa"/>
        <w:bottom w:w="0" w:type="dxa"/>
        <w:right w:w="108" w:type="dxa"/>
      </w:tblCellMar>
    </w:tblPr>
  </w:style>
  <w:style w:type="paragraph" w:styleId="5">
    <w:name w:val="toc 7"/>
    <w:basedOn w:val="1"/>
    <w:next w:val="1"/>
    <w:qFormat/>
    <w:uiPriority w:val="39"/>
    <w:pPr>
      <w:ind w:left="2520" w:leftChars="1200"/>
    </w:pPr>
  </w:style>
  <w:style w:type="paragraph" w:styleId="6">
    <w:name w:val="List Number"/>
    <w:basedOn w:val="1"/>
    <w:next w:val="7"/>
    <w:qFormat/>
    <w:uiPriority w:val="0"/>
    <w:pPr>
      <w:numPr>
        <w:ilvl w:val="0"/>
        <w:numId w:val="1"/>
      </w:numPr>
    </w:pPr>
  </w:style>
  <w:style w:type="paragraph" w:styleId="7">
    <w:name w:val="Balloon Text"/>
    <w:basedOn w:val="1"/>
    <w:next w:val="8"/>
    <w:link w:val="53"/>
    <w:qFormat/>
    <w:uiPriority w:val="0"/>
    <w:rPr>
      <w:sz w:val="18"/>
      <w:szCs w:val="18"/>
    </w:rPr>
  </w:style>
  <w:style w:type="paragraph" w:styleId="8">
    <w:name w:val="toc 8"/>
    <w:basedOn w:val="1"/>
    <w:next w:val="1"/>
    <w:qFormat/>
    <w:uiPriority w:val="39"/>
    <w:pPr>
      <w:ind w:left="2940" w:leftChars="1400"/>
    </w:pPr>
  </w:style>
  <w:style w:type="paragraph" w:styleId="9">
    <w:name w:val="Normal Indent"/>
    <w:basedOn w:val="1"/>
    <w:next w:val="10"/>
    <w:qFormat/>
    <w:uiPriority w:val="0"/>
    <w:pPr>
      <w:autoSpaceDE w:val="0"/>
      <w:autoSpaceDN w:val="0"/>
      <w:adjustRightInd w:val="0"/>
      <w:ind w:firstLine="420"/>
      <w:jc w:val="left"/>
    </w:pPr>
    <w:rPr>
      <w:rFonts w:ascii="宋体"/>
      <w:kern w:val="0"/>
      <w:sz w:val="24"/>
      <w:szCs w:val="20"/>
    </w:rPr>
  </w:style>
  <w:style w:type="paragraph" w:styleId="10">
    <w:name w:val="toa heading"/>
    <w:basedOn w:val="1"/>
    <w:next w:val="1"/>
    <w:qFormat/>
    <w:uiPriority w:val="0"/>
    <w:pPr>
      <w:spacing w:before="120"/>
    </w:pPr>
    <w:rPr>
      <w:rFonts w:ascii="Cambria" w:hAnsi="Cambria"/>
      <w:sz w:val="24"/>
    </w:rPr>
  </w:style>
  <w:style w:type="paragraph" w:styleId="11">
    <w:name w:val="index 5"/>
    <w:basedOn w:val="1"/>
    <w:next w:val="1"/>
    <w:qFormat/>
    <w:uiPriority w:val="0"/>
    <w:pPr>
      <w:ind w:left="800" w:leftChars="800"/>
    </w:pPr>
    <w:rPr>
      <w:szCs w:val="20"/>
      <w:lang w:bidi="he-IL"/>
    </w:rPr>
  </w:style>
  <w:style w:type="paragraph" w:styleId="12">
    <w:name w:val="annotation text"/>
    <w:basedOn w:val="1"/>
    <w:link w:val="49"/>
    <w:qFormat/>
    <w:uiPriority w:val="99"/>
    <w:pPr>
      <w:jc w:val="left"/>
    </w:pPr>
  </w:style>
  <w:style w:type="paragraph" w:styleId="13">
    <w:name w:val="index 6"/>
    <w:basedOn w:val="1"/>
    <w:next w:val="1"/>
    <w:qFormat/>
    <w:uiPriority w:val="99"/>
    <w:pPr>
      <w:ind w:left="2100"/>
    </w:pPr>
  </w:style>
  <w:style w:type="paragraph" w:styleId="14">
    <w:name w:val="Body Text"/>
    <w:basedOn w:val="1"/>
    <w:next w:val="15"/>
    <w:link w:val="50"/>
    <w:qFormat/>
    <w:uiPriority w:val="0"/>
    <w:pPr>
      <w:tabs>
        <w:tab w:val="left" w:pos="567"/>
      </w:tabs>
      <w:spacing w:before="120" w:line="22" w:lineRule="atLeast"/>
    </w:pPr>
    <w:rPr>
      <w:rFonts w:ascii="宋体" w:hAnsi="宋体"/>
      <w:sz w:val="24"/>
    </w:rPr>
  </w:style>
  <w:style w:type="paragraph" w:styleId="15">
    <w:name w:val="toc 4"/>
    <w:basedOn w:val="1"/>
    <w:next w:val="1"/>
    <w:qFormat/>
    <w:uiPriority w:val="39"/>
    <w:pPr>
      <w:ind w:left="1260" w:leftChars="600"/>
    </w:pPr>
  </w:style>
  <w:style w:type="paragraph" w:styleId="16">
    <w:name w:val="Body Text Indent"/>
    <w:basedOn w:val="1"/>
    <w:qFormat/>
    <w:uiPriority w:val="0"/>
    <w:pPr>
      <w:spacing w:line="360" w:lineRule="auto"/>
      <w:ind w:firstLine="570"/>
    </w:pPr>
    <w:rPr>
      <w:sz w:val="24"/>
    </w:rPr>
  </w:style>
  <w:style w:type="paragraph" w:styleId="17">
    <w:name w:val="Block Text"/>
    <w:basedOn w:val="1"/>
    <w:qFormat/>
    <w:uiPriority w:val="0"/>
    <w:pPr>
      <w:spacing w:after="120"/>
      <w:ind w:left="1440" w:leftChars="700" w:right="700" w:rightChars="700"/>
    </w:pPr>
  </w:style>
  <w:style w:type="paragraph" w:styleId="18">
    <w:name w:val="toc 5"/>
    <w:basedOn w:val="1"/>
    <w:next w:val="1"/>
    <w:qFormat/>
    <w:uiPriority w:val="39"/>
    <w:pPr>
      <w:ind w:left="1680" w:leftChars="800"/>
    </w:pPr>
  </w:style>
  <w:style w:type="paragraph" w:styleId="19">
    <w:name w:val="toc 3"/>
    <w:basedOn w:val="1"/>
    <w:next w:val="1"/>
    <w:qFormat/>
    <w:uiPriority w:val="39"/>
    <w:pPr>
      <w:tabs>
        <w:tab w:val="left" w:pos="1260"/>
        <w:tab w:val="right" w:leader="dot" w:pos="8630"/>
      </w:tabs>
      <w:ind w:left="840" w:leftChars="400"/>
    </w:pPr>
  </w:style>
  <w:style w:type="paragraph" w:styleId="20">
    <w:name w:val="Plain Text"/>
    <w:basedOn w:val="1"/>
    <w:next w:val="21"/>
    <w:link w:val="51"/>
    <w:qFormat/>
    <w:uiPriority w:val="0"/>
    <w:rPr>
      <w:rFonts w:ascii="宋体" w:hAnsi="Courier New"/>
      <w:szCs w:val="20"/>
    </w:rPr>
  </w:style>
  <w:style w:type="paragraph" w:styleId="21">
    <w:name w:val="List Number 5"/>
    <w:basedOn w:val="1"/>
    <w:qFormat/>
    <w:uiPriority w:val="0"/>
    <w:pPr>
      <w:numPr>
        <w:ilvl w:val="0"/>
        <w:numId w:val="2"/>
      </w:numPr>
    </w:pPr>
  </w:style>
  <w:style w:type="paragraph" w:styleId="22">
    <w:name w:val="Date"/>
    <w:basedOn w:val="1"/>
    <w:next w:val="1"/>
    <w:link w:val="52"/>
    <w:qFormat/>
    <w:uiPriority w:val="0"/>
    <w:pPr>
      <w:ind w:left="100" w:leftChars="2500"/>
    </w:pPr>
    <w:rPr>
      <w:rFonts w:ascii="仿宋_GB2312" w:hAnsi="宋体" w:eastAsia="仿宋_GB2312"/>
      <w:color w:val="000000"/>
      <w:sz w:val="24"/>
    </w:rPr>
  </w:style>
  <w:style w:type="paragraph" w:styleId="23">
    <w:name w:val="Body Text Indent 2"/>
    <w:basedOn w:val="1"/>
    <w:qFormat/>
    <w:uiPriority w:val="0"/>
    <w:pPr>
      <w:ind w:firstLine="480" w:firstLineChars="200"/>
    </w:pPr>
    <w:rPr>
      <w:rFonts w:ascii="仿宋_GB2312" w:eastAsia="仿宋_GB2312"/>
      <w:sz w:val="24"/>
    </w:rPr>
  </w:style>
  <w:style w:type="paragraph" w:styleId="24">
    <w:name w:val="footer"/>
    <w:basedOn w:val="1"/>
    <w:link w:val="54"/>
    <w:qFormat/>
    <w:uiPriority w:val="99"/>
    <w:pPr>
      <w:tabs>
        <w:tab w:val="center" w:pos="4153"/>
        <w:tab w:val="right" w:pos="8306"/>
      </w:tabs>
      <w:autoSpaceDE w:val="0"/>
      <w:autoSpaceDN w:val="0"/>
      <w:adjustRightInd w:val="0"/>
      <w:snapToGrid w:val="0"/>
      <w:jc w:val="left"/>
    </w:pPr>
    <w:rPr>
      <w:rFonts w:ascii="宋体"/>
      <w:kern w:val="0"/>
      <w:sz w:val="18"/>
      <w:szCs w:val="20"/>
    </w:rPr>
  </w:style>
  <w:style w:type="paragraph" w:styleId="25">
    <w:name w:val="header"/>
    <w:basedOn w:val="1"/>
    <w:link w:val="55"/>
    <w:qFormat/>
    <w:uiPriority w:val="0"/>
    <w:pPr>
      <w:pBdr>
        <w:bottom w:val="single" w:color="auto" w:sz="6" w:space="1"/>
      </w:pBdr>
      <w:tabs>
        <w:tab w:val="center" w:pos="4153"/>
        <w:tab w:val="right" w:pos="8306"/>
      </w:tabs>
      <w:snapToGrid w:val="0"/>
      <w:jc w:val="center"/>
    </w:pPr>
    <w:rPr>
      <w:sz w:val="18"/>
      <w:szCs w:val="18"/>
    </w:rPr>
  </w:style>
  <w:style w:type="paragraph" w:styleId="26">
    <w:name w:val="toc 1"/>
    <w:basedOn w:val="1"/>
    <w:next w:val="1"/>
    <w:qFormat/>
    <w:uiPriority w:val="39"/>
  </w:style>
  <w:style w:type="paragraph" w:styleId="27">
    <w:name w:val="footnote text"/>
    <w:basedOn w:val="1"/>
    <w:qFormat/>
    <w:uiPriority w:val="0"/>
    <w:pPr>
      <w:snapToGrid w:val="0"/>
      <w:jc w:val="left"/>
    </w:pPr>
    <w:rPr>
      <w:sz w:val="18"/>
    </w:rPr>
  </w:style>
  <w:style w:type="paragraph" w:styleId="28">
    <w:name w:val="toc 6"/>
    <w:basedOn w:val="1"/>
    <w:next w:val="1"/>
    <w:qFormat/>
    <w:uiPriority w:val="39"/>
    <w:pPr>
      <w:ind w:left="2100" w:leftChars="1000"/>
    </w:pPr>
  </w:style>
  <w:style w:type="paragraph" w:styleId="29">
    <w:name w:val="Body Text Indent 3"/>
    <w:basedOn w:val="1"/>
    <w:qFormat/>
    <w:uiPriority w:val="0"/>
    <w:pPr>
      <w:autoSpaceDE w:val="0"/>
      <w:autoSpaceDN w:val="0"/>
      <w:adjustRightInd w:val="0"/>
      <w:spacing w:before="120" w:line="22" w:lineRule="atLeast"/>
      <w:ind w:left="720" w:firstLine="480"/>
      <w:jc w:val="left"/>
    </w:pPr>
    <w:rPr>
      <w:rFonts w:ascii="宋体"/>
      <w:kern w:val="0"/>
      <w:sz w:val="24"/>
      <w:szCs w:val="20"/>
    </w:rPr>
  </w:style>
  <w:style w:type="paragraph" w:styleId="30">
    <w:name w:val="toc 2"/>
    <w:basedOn w:val="1"/>
    <w:next w:val="1"/>
    <w:qFormat/>
    <w:uiPriority w:val="39"/>
    <w:pPr>
      <w:ind w:left="420" w:leftChars="200"/>
    </w:pPr>
  </w:style>
  <w:style w:type="paragraph" w:styleId="31">
    <w:name w:val="toc 9"/>
    <w:basedOn w:val="1"/>
    <w:next w:val="1"/>
    <w:qFormat/>
    <w:uiPriority w:val="39"/>
    <w:pPr>
      <w:ind w:left="3360" w:leftChars="1600"/>
    </w:pPr>
  </w:style>
  <w:style w:type="paragraph" w:styleId="32">
    <w:name w:val="Normal (Web)"/>
    <w:basedOn w:val="1"/>
    <w:next w:val="33"/>
    <w:qFormat/>
    <w:uiPriority w:val="0"/>
    <w:pPr>
      <w:spacing w:before="100" w:beforeAutospacing="1" w:after="100" w:afterAutospacing="1"/>
      <w:ind w:left="0" w:right="0"/>
      <w:jc w:val="left"/>
    </w:pPr>
    <w:rPr>
      <w:kern w:val="0"/>
      <w:sz w:val="24"/>
      <w:lang w:val="en-US" w:eastAsia="zh-CN" w:bidi="ar"/>
    </w:rPr>
  </w:style>
  <w:style w:type="paragraph" w:customStyle="1" w:styleId="33">
    <w:name w:val="目录 41"/>
    <w:next w:val="1"/>
    <w:qFormat/>
    <w:uiPriority w:val="0"/>
    <w:pPr>
      <w:wordWrap w:val="0"/>
      <w:ind w:left="1275"/>
      <w:jc w:val="both"/>
    </w:pPr>
    <w:rPr>
      <w:rFonts w:ascii="Times New Roman" w:hAnsi="Times New Roman" w:eastAsia="宋体" w:cs="Times New Roman"/>
      <w:sz w:val="21"/>
      <w:lang w:val="en-US" w:eastAsia="zh-CN" w:bidi="ar-SA"/>
    </w:rPr>
  </w:style>
  <w:style w:type="paragraph" w:styleId="34">
    <w:name w:val="index 1"/>
    <w:basedOn w:val="1"/>
    <w:next w:val="1"/>
    <w:semiHidden/>
    <w:qFormat/>
    <w:uiPriority w:val="0"/>
    <w:rPr>
      <w:szCs w:val="20"/>
    </w:rPr>
  </w:style>
  <w:style w:type="paragraph" w:styleId="35">
    <w:name w:val="annotation subject"/>
    <w:basedOn w:val="12"/>
    <w:next w:val="12"/>
    <w:link w:val="56"/>
    <w:qFormat/>
    <w:uiPriority w:val="0"/>
    <w:rPr>
      <w:b/>
      <w:bCs/>
    </w:rPr>
  </w:style>
  <w:style w:type="paragraph" w:styleId="36">
    <w:name w:val="Body Text First Indent"/>
    <w:basedOn w:val="14"/>
    <w:unhideWhenUsed/>
    <w:qFormat/>
    <w:uiPriority w:val="99"/>
    <w:pPr>
      <w:ind w:firstLine="420" w:firstLineChars="100"/>
    </w:pPr>
  </w:style>
  <w:style w:type="paragraph" w:styleId="37">
    <w:name w:val="Body Text First Indent 2"/>
    <w:basedOn w:val="16"/>
    <w:next w:val="1"/>
    <w:qFormat/>
    <w:uiPriority w:val="0"/>
    <w:pPr>
      <w:ind w:firstLine="420" w:firstLineChars="200"/>
    </w:pPr>
    <w:rPr>
      <w:rFonts w:ascii="Times New Roman" w:hAnsi="Times New Roman" w:eastAsia="宋体" w:cs="Times New Roman"/>
    </w:rPr>
  </w:style>
  <w:style w:type="table" w:styleId="39">
    <w:name w:val="Table Grid"/>
    <w:basedOn w:val="38"/>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41">
    <w:name w:val="Strong"/>
    <w:basedOn w:val="40"/>
    <w:qFormat/>
    <w:uiPriority w:val="0"/>
    <w:rPr>
      <w:b/>
    </w:rPr>
  </w:style>
  <w:style w:type="character" w:styleId="42">
    <w:name w:val="page number"/>
    <w:basedOn w:val="40"/>
    <w:qFormat/>
    <w:uiPriority w:val="0"/>
  </w:style>
  <w:style w:type="character" w:styleId="43">
    <w:name w:val="Hyperlink"/>
    <w:qFormat/>
    <w:uiPriority w:val="99"/>
    <w:rPr>
      <w:color w:val="0000FF"/>
      <w:u w:val="single"/>
    </w:rPr>
  </w:style>
  <w:style w:type="character" w:styleId="44">
    <w:name w:val="annotation reference"/>
    <w:qFormat/>
    <w:uiPriority w:val="99"/>
    <w:rPr>
      <w:sz w:val="21"/>
      <w:szCs w:val="21"/>
    </w:rPr>
  </w:style>
  <w:style w:type="paragraph" w:customStyle="1" w:styleId="45">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character" w:customStyle="1" w:styleId="46">
    <w:name w:val="标题 1 字符"/>
    <w:link w:val="3"/>
    <w:qFormat/>
    <w:uiPriority w:val="0"/>
    <w:rPr>
      <w:rFonts w:ascii="宋体"/>
      <w:b/>
      <w:kern w:val="44"/>
      <w:sz w:val="32"/>
    </w:rPr>
  </w:style>
  <w:style w:type="character" w:customStyle="1" w:styleId="47">
    <w:name w:val="标题 2 字符"/>
    <w:link w:val="2"/>
    <w:qFormat/>
    <w:uiPriority w:val="0"/>
    <w:rPr>
      <w:rFonts w:ascii="Arial" w:hAnsi="Arial" w:eastAsia="黑体"/>
      <w:b/>
      <w:sz w:val="30"/>
    </w:rPr>
  </w:style>
  <w:style w:type="character" w:customStyle="1" w:styleId="48">
    <w:name w:val="标题 3 字符"/>
    <w:link w:val="4"/>
    <w:qFormat/>
    <w:uiPriority w:val="0"/>
    <w:rPr>
      <w:rFonts w:ascii="宋体"/>
      <w:b/>
      <w:sz w:val="24"/>
      <w:u w:val="single"/>
    </w:rPr>
  </w:style>
  <w:style w:type="character" w:customStyle="1" w:styleId="49">
    <w:name w:val="批注文字 字符"/>
    <w:link w:val="12"/>
    <w:qFormat/>
    <w:uiPriority w:val="99"/>
    <w:rPr>
      <w:kern w:val="2"/>
      <w:sz w:val="21"/>
      <w:szCs w:val="24"/>
    </w:rPr>
  </w:style>
  <w:style w:type="character" w:customStyle="1" w:styleId="50">
    <w:name w:val="正文文本 字符"/>
    <w:link w:val="14"/>
    <w:qFormat/>
    <w:uiPriority w:val="0"/>
    <w:rPr>
      <w:rFonts w:ascii="宋体" w:hAnsi="宋体"/>
      <w:kern w:val="2"/>
      <w:sz w:val="24"/>
      <w:szCs w:val="24"/>
    </w:rPr>
  </w:style>
  <w:style w:type="character" w:customStyle="1" w:styleId="51">
    <w:name w:val="纯文本 字符"/>
    <w:link w:val="20"/>
    <w:qFormat/>
    <w:uiPriority w:val="0"/>
    <w:rPr>
      <w:rFonts w:ascii="宋体" w:hAnsi="Courier New"/>
      <w:kern w:val="2"/>
      <w:sz w:val="21"/>
    </w:rPr>
  </w:style>
  <w:style w:type="character" w:customStyle="1" w:styleId="52">
    <w:name w:val="日期 字符"/>
    <w:link w:val="22"/>
    <w:qFormat/>
    <w:uiPriority w:val="0"/>
    <w:rPr>
      <w:rFonts w:ascii="仿宋_GB2312" w:hAnsi="宋体" w:eastAsia="仿宋_GB2312"/>
      <w:color w:val="000000"/>
      <w:kern w:val="2"/>
      <w:sz w:val="24"/>
      <w:szCs w:val="24"/>
    </w:rPr>
  </w:style>
  <w:style w:type="character" w:customStyle="1" w:styleId="53">
    <w:name w:val="批注框文本 字符"/>
    <w:link w:val="7"/>
    <w:qFormat/>
    <w:uiPriority w:val="0"/>
    <w:rPr>
      <w:kern w:val="2"/>
      <w:sz w:val="18"/>
      <w:szCs w:val="18"/>
    </w:rPr>
  </w:style>
  <w:style w:type="character" w:customStyle="1" w:styleId="54">
    <w:name w:val="页脚 字符"/>
    <w:link w:val="24"/>
    <w:qFormat/>
    <w:uiPriority w:val="99"/>
    <w:rPr>
      <w:rFonts w:ascii="宋体"/>
      <w:sz w:val="18"/>
    </w:rPr>
  </w:style>
  <w:style w:type="character" w:customStyle="1" w:styleId="55">
    <w:name w:val="页眉 字符"/>
    <w:link w:val="25"/>
    <w:qFormat/>
    <w:uiPriority w:val="0"/>
    <w:rPr>
      <w:kern w:val="2"/>
      <w:sz w:val="18"/>
      <w:szCs w:val="18"/>
    </w:rPr>
  </w:style>
  <w:style w:type="character" w:customStyle="1" w:styleId="56">
    <w:name w:val="批注主题 字符"/>
    <w:link w:val="35"/>
    <w:qFormat/>
    <w:uiPriority w:val="0"/>
    <w:rPr>
      <w:b/>
      <w:bCs/>
      <w:kern w:val="2"/>
      <w:sz w:val="21"/>
      <w:szCs w:val="24"/>
    </w:rPr>
  </w:style>
  <w:style w:type="paragraph" w:customStyle="1" w:styleId="57">
    <w:name w:val="Style1"/>
    <w:basedOn w:val="1"/>
    <w:qFormat/>
    <w:uiPriority w:val="0"/>
    <w:pPr>
      <w:widowControl/>
      <w:tabs>
        <w:tab w:val="left" w:pos="-720"/>
      </w:tabs>
      <w:spacing w:after="120" w:afterLines="0"/>
    </w:pPr>
    <w:rPr>
      <w:rFonts w:ascii="Times New Roman" w:hAnsi="Times New Roman" w:eastAsia="宋体" w:cs="Times New Roman"/>
      <w:spacing w:val="-3"/>
      <w:kern w:val="0"/>
      <w:sz w:val="24"/>
      <w:szCs w:val="20"/>
      <w:lang w:val="en-AU" w:eastAsia="en-US"/>
    </w:rPr>
  </w:style>
  <w:style w:type="character" w:customStyle="1" w:styleId="58">
    <w:name w:val="font101"/>
    <w:basedOn w:val="40"/>
    <w:qFormat/>
    <w:uiPriority w:val="0"/>
    <w:rPr>
      <w:rFonts w:hint="eastAsia" w:ascii="宋体" w:hAnsi="宋体" w:eastAsia="宋体" w:cs="宋体"/>
      <w:b/>
      <w:color w:val="FF0000"/>
      <w:sz w:val="22"/>
      <w:szCs w:val="22"/>
      <w:u w:val="none"/>
    </w:rPr>
  </w:style>
  <w:style w:type="character" w:customStyle="1" w:styleId="59">
    <w:name w:val="正文缩进 Char1"/>
    <w:link w:val="60"/>
    <w:qFormat/>
    <w:uiPriority w:val="0"/>
    <w:rPr>
      <w:rFonts w:ascii="宋体"/>
      <w:sz w:val="24"/>
    </w:rPr>
  </w:style>
  <w:style w:type="paragraph" w:customStyle="1" w:styleId="60">
    <w:name w:val="正文缩进1"/>
    <w:basedOn w:val="1"/>
    <w:link w:val="59"/>
    <w:qFormat/>
    <w:uiPriority w:val="0"/>
    <w:pPr>
      <w:autoSpaceDE w:val="0"/>
      <w:autoSpaceDN w:val="0"/>
      <w:adjustRightInd w:val="0"/>
      <w:ind w:firstLine="420"/>
      <w:jc w:val="left"/>
    </w:pPr>
    <w:rPr>
      <w:rFonts w:ascii="宋体"/>
      <w:kern w:val="0"/>
      <w:sz w:val="24"/>
      <w:szCs w:val="20"/>
    </w:rPr>
  </w:style>
  <w:style w:type="character" w:customStyle="1" w:styleId="61">
    <w:name w:val="font61"/>
    <w:basedOn w:val="40"/>
    <w:qFormat/>
    <w:uiPriority w:val="0"/>
    <w:rPr>
      <w:rFonts w:hint="eastAsia" w:ascii="宋体" w:hAnsi="宋体" w:eastAsia="宋体" w:cs="宋体"/>
      <w:b/>
      <w:color w:val="FF0000"/>
      <w:sz w:val="20"/>
      <w:szCs w:val="20"/>
      <w:u w:val="none"/>
    </w:rPr>
  </w:style>
  <w:style w:type="character" w:customStyle="1" w:styleId="62">
    <w:name w:val="font51"/>
    <w:basedOn w:val="40"/>
    <w:qFormat/>
    <w:uiPriority w:val="0"/>
    <w:rPr>
      <w:rFonts w:hint="eastAsia" w:ascii="宋体" w:hAnsi="宋体" w:eastAsia="宋体" w:cs="宋体"/>
      <w:b/>
      <w:color w:val="000000"/>
      <w:sz w:val="20"/>
      <w:szCs w:val="20"/>
      <w:u w:val="none"/>
    </w:rPr>
  </w:style>
  <w:style w:type="character" w:customStyle="1" w:styleId="63">
    <w:name w:val="font21"/>
    <w:basedOn w:val="40"/>
    <w:qFormat/>
    <w:uiPriority w:val="0"/>
    <w:rPr>
      <w:rFonts w:hint="default" w:ascii="方正仿宋简体" w:hAnsi="方正仿宋简体" w:eastAsia="方正仿宋简体" w:cs="方正仿宋简体"/>
      <w:color w:val="000000"/>
      <w:sz w:val="20"/>
      <w:szCs w:val="20"/>
      <w:u w:val="none"/>
    </w:rPr>
  </w:style>
  <w:style w:type="character" w:customStyle="1" w:styleId="64">
    <w:name w:val="apple-style-span"/>
    <w:basedOn w:val="40"/>
    <w:qFormat/>
    <w:uiPriority w:val="0"/>
  </w:style>
  <w:style w:type="character" w:customStyle="1" w:styleId="65">
    <w:name w:val="10"/>
    <w:qFormat/>
    <w:uiPriority w:val="0"/>
    <w:rPr>
      <w:rFonts w:hint="default" w:ascii="Calibri" w:hAnsi="Calibri" w:cs="Calibri"/>
    </w:rPr>
  </w:style>
  <w:style w:type="character" w:customStyle="1" w:styleId="66">
    <w:name w:val="批注框文本 Char1"/>
    <w:semiHidden/>
    <w:qFormat/>
    <w:uiPriority w:val="99"/>
    <w:rPr>
      <w:kern w:val="2"/>
      <w:sz w:val="18"/>
      <w:szCs w:val="18"/>
    </w:rPr>
  </w:style>
  <w:style w:type="character" w:customStyle="1" w:styleId="67">
    <w:name w:val="font91"/>
    <w:basedOn w:val="40"/>
    <w:qFormat/>
    <w:uiPriority w:val="0"/>
    <w:rPr>
      <w:rFonts w:hint="eastAsia" w:ascii="宋体" w:hAnsi="宋体" w:eastAsia="宋体" w:cs="宋体"/>
      <w:color w:val="FF0000"/>
      <w:sz w:val="20"/>
      <w:szCs w:val="20"/>
      <w:u w:val="none"/>
    </w:rPr>
  </w:style>
  <w:style w:type="character" w:customStyle="1" w:styleId="68">
    <w:name w:val="批注主题 Char1"/>
    <w:semiHidden/>
    <w:qFormat/>
    <w:uiPriority w:val="99"/>
    <w:rPr>
      <w:b/>
      <w:bCs/>
      <w:kern w:val="2"/>
      <w:sz w:val="21"/>
      <w:szCs w:val="24"/>
    </w:rPr>
  </w:style>
  <w:style w:type="character" w:customStyle="1" w:styleId="69">
    <w:name w:val="font151"/>
    <w:qFormat/>
    <w:uiPriority w:val="0"/>
    <w:rPr>
      <w:rFonts w:hint="default" w:ascii="Times New Roman" w:hAnsi="Times New Roman" w:cs="Times New Roman"/>
      <w:color w:val="000000"/>
      <w:sz w:val="20"/>
      <w:szCs w:val="20"/>
      <w:u w:val="none"/>
    </w:rPr>
  </w:style>
  <w:style w:type="character" w:customStyle="1" w:styleId="70">
    <w:name w:val="15"/>
    <w:qFormat/>
    <w:uiPriority w:val="0"/>
    <w:rPr>
      <w:rFonts w:hint="default" w:ascii="Calibri" w:hAnsi="Calibri" w:cs="Calibri"/>
    </w:rPr>
  </w:style>
  <w:style w:type="character" w:customStyle="1" w:styleId="71">
    <w:name w:val="font31"/>
    <w:basedOn w:val="40"/>
    <w:qFormat/>
    <w:uiPriority w:val="0"/>
    <w:rPr>
      <w:rFonts w:hint="eastAsia" w:ascii="宋体" w:hAnsi="宋体" w:eastAsia="宋体" w:cs="宋体"/>
      <w:color w:val="000000"/>
      <w:sz w:val="24"/>
      <w:szCs w:val="24"/>
      <w:u w:val="none"/>
    </w:rPr>
  </w:style>
  <w:style w:type="character" w:customStyle="1" w:styleId="72">
    <w:name w:val="批注文字 Char1"/>
    <w:semiHidden/>
    <w:qFormat/>
    <w:uiPriority w:val="99"/>
    <w:rPr>
      <w:kern w:val="2"/>
      <w:sz w:val="21"/>
      <w:szCs w:val="24"/>
    </w:rPr>
  </w:style>
  <w:style w:type="character" w:customStyle="1" w:styleId="73">
    <w:name w:val="font71"/>
    <w:basedOn w:val="40"/>
    <w:qFormat/>
    <w:uiPriority w:val="0"/>
    <w:rPr>
      <w:rFonts w:hint="eastAsia" w:ascii="宋体" w:hAnsi="宋体" w:eastAsia="宋体" w:cs="宋体"/>
      <w:b/>
      <w:color w:val="000000"/>
      <w:sz w:val="22"/>
      <w:szCs w:val="22"/>
      <w:u w:val="none"/>
    </w:rPr>
  </w:style>
  <w:style w:type="character" w:customStyle="1" w:styleId="74">
    <w:name w:val="font41"/>
    <w:basedOn w:val="40"/>
    <w:qFormat/>
    <w:uiPriority w:val="0"/>
    <w:rPr>
      <w:rFonts w:hint="eastAsia" w:ascii="宋体" w:hAnsi="宋体" w:eastAsia="宋体" w:cs="宋体"/>
      <w:color w:val="000000"/>
      <w:sz w:val="20"/>
      <w:szCs w:val="20"/>
      <w:u w:val="none"/>
    </w:rPr>
  </w:style>
  <w:style w:type="character" w:customStyle="1" w:styleId="75">
    <w:name w:val="font01"/>
    <w:basedOn w:val="40"/>
    <w:qFormat/>
    <w:uiPriority w:val="0"/>
    <w:rPr>
      <w:rFonts w:ascii="宋体" w:hAnsi="宋体" w:eastAsia="宋体" w:cs="宋体"/>
      <w:color w:val="000000"/>
      <w:sz w:val="20"/>
      <w:szCs w:val="20"/>
      <w:u w:val="none"/>
    </w:rPr>
  </w:style>
  <w:style w:type="character" w:customStyle="1" w:styleId="76">
    <w:name w:val="页眉 Char1"/>
    <w:semiHidden/>
    <w:qFormat/>
    <w:uiPriority w:val="99"/>
    <w:rPr>
      <w:kern w:val="2"/>
      <w:sz w:val="18"/>
      <w:szCs w:val="18"/>
    </w:rPr>
  </w:style>
  <w:style w:type="character" w:customStyle="1" w:styleId="77">
    <w:name w:val="NormalCharacter"/>
    <w:link w:val="78"/>
    <w:semiHidden/>
    <w:qFormat/>
    <w:uiPriority w:val="0"/>
  </w:style>
  <w:style w:type="paragraph" w:customStyle="1" w:styleId="78">
    <w:name w:val="UserStyle_5"/>
    <w:basedOn w:val="1"/>
    <w:link w:val="77"/>
    <w:qFormat/>
    <w:uiPriority w:val="0"/>
    <w:pPr>
      <w:widowControl/>
      <w:spacing w:after="160" w:line="240" w:lineRule="exact"/>
      <w:jc w:val="left"/>
      <w:textAlignment w:val="baseline"/>
    </w:pPr>
  </w:style>
  <w:style w:type="character" w:customStyle="1" w:styleId="79">
    <w:name w:val="font141"/>
    <w:qFormat/>
    <w:uiPriority w:val="0"/>
    <w:rPr>
      <w:rFonts w:hint="eastAsia" w:ascii="宋体" w:hAnsi="宋体" w:eastAsia="宋体" w:cs="宋体"/>
      <w:color w:val="000000"/>
      <w:sz w:val="20"/>
      <w:szCs w:val="20"/>
      <w:u w:val="none"/>
    </w:rPr>
  </w:style>
  <w:style w:type="character" w:customStyle="1" w:styleId="80">
    <w:name w:val="font131"/>
    <w:basedOn w:val="40"/>
    <w:qFormat/>
    <w:uiPriority w:val="0"/>
    <w:rPr>
      <w:rFonts w:hint="eastAsia" w:ascii="宋体" w:hAnsi="宋体" w:eastAsia="宋体" w:cs="宋体"/>
      <w:b/>
      <w:bCs/>
      <w:color w:val="538DD5"/>
      <w:sz w:val="20"/>
      <w:szCs w:val="20"/>
      <w:u w:val="none"/>
    </w:rPr>
  </w:style>
  <w:style w:type="character" w:customStyle="1" w:styleId="81">
    <w:name w:val="font11"/>
    <w:basedOn w:val="40"/>
    <w:qFormat/>
    <w:uiPriority w:val="0"/>
    <w:rPr>
      <w:rFonts w:hint="default" w:ascii="方正仿宋简体" w:hAnsi="方正仿宋简体" w:eastAsia="方正仿宋简体" w:cs="方正仿宋简体"/>
      <w:color w:val="000000"/>
      <w:sz w:val="20"/>
      <w:szCs w:val="20"/>
      <w:u w:val="none"/>
      <w:vertAlign w:val="subscript"/>
    </w:rPr>
  </w:style>
  <w:style w:type="character" w:customStyle="1" w:styleId="82">
    <w:name w:val="纯文本 Char1"/>
    <w:link w:val="83"/>
    <w:qFormat/>
    <w:uiPriority w:val="0"/>
    <w:rPr>
      <w:rFonts w:ascii="宋体" w:hAnsi="Courier New"/>
    </w:rPr>
  </w:style>
  <w:style w:type="paragraph" w:customStyle="1" w:styleId="83">
    <w:name w:val="纯文本1"/>
    <w:basedOn w:val="1"/>
    <w:link w:val="82"/>
    <w:qFormat/>
    <w:uiPriority w:val="0"/>
    <w:rPr>
      <w:rFonts w:ascii="宋体" w:hAnsi="Courier New"/>
      <w:kern w:val="0"/>
      <w:sz w:val="20"/>
      <w:szCs w:val="20"/>
    </w:rPr>
  </w:style>
  <w:style w:type="paragraph" w:customStyle="1" w:styleId="84">
    <w:name w:val="样式"/>
    <w:qFormat/>
    <w:uiPriority w:val="0"/>
    <w:pPr>
      <w:widowControl w:val="0"/>
      <w:autoSpaceDE w:val="0"/>
      <w:autoSpaceDN w:val="0"/>
      <w:adjustRightInd w:val="0"/>
    </w:pPr>
    <w:rPr>
      <w:rFonts w:ascii="宋体" w:hAnsi="宋体" w:eastAsia="宋体" w:cs="宋体"/>
      <w:sz w:val="24"/>
      <w:szCs w:val="24"/>
      <w:lang w:val="en-US" w:eastAsia="zh-CN" w:bidi="ar-SA"/>
    </w:rPr>
  </w:style>
  <w:style w:type="paragraph" w:customStyle="1" w:styleId="85">
    <w:name w:val="正文首行缩进两字符"/>
    <w:basedOn w:val="1"/>
    <w:qFormat/>
    <w:uiPriority w:val="0"/>
    <w:pPr>
      <w:spacing w:line="360" w:lineRule="auto"/>
      <w:ind w:firstLine="200" w:firstLineChars="200"/>
    </w:pPr>
  </w:style>
  <w:style w:type="paragraph" w:customStyle="1" w:styleId="86">
    <w:name w:val="表名称"/>
    <w:basedOn w:val="9"/>
    <w:qFormat/>
    <w:uiPriority w:val="0"/>
    <w:pPr>
      <w:numPr>
        <w:ilvl w:val="0"/>
        <w:numId w:val="3"/>
      </w:numPr>
      <w:ind w:firstLine="0" w:firstLineChars="0"/>
      <w:jc w:val="center"/>
    </w:pPr>
  </w:style>
  <w:style w:type="paragraph" w:customStyle="1" w:styleId="87">
    <w:name w:val="Char"/>
    <w:basedOn w:val="1"/>
    <w:qFormat/>
    <w:uiPriority w:val="0"/>
    <w:pPr>
      <w:tabs>
        <w:tab w:val="left" w:pos="360"/>
      </w:tabs>
    </w:pPr>
    <w:rPr>
      <w:sz w:val="24"/>
    </w:rPr>
  </w:style>
  <w:style w:type="paragraph" w:customStyle="1" w:styleId="88">
    <w:name w:val="_Style 1"/>
    <w:qFormat/>
    <w:uiPriority w:val="99"/>
    <w:pPr>
      <w:widowControl w:val="0"/>
      <w:ind w:firstLine="200" w:firstLineChars="200"/>
      <w:jc w:val="both"/>
    </w:pPr>
    <w:rPr>
      <w:rFonts w:ascii="Times New Roman" w:hAnsi="Times New Roman" w:eastAsia="仿宋_GB2312" w:cs="Times New Roman"/>
      <w:kern w:val="2"/>
      <w:sz w:val="24"/>
      <w:szCs w:val="22"/>
      <w:lang w:val="en-US" w:eastAsia="zh-CN" w:bidi="ar-SA"/>
    </w:rPr>
  </w:style>
  <w:style w:type="paragraph" w:styleId="89">
    <w:name w:val="List Paragraph"/>
    <w:basedOn w:val="1"/>
    <w:qFormat/>
    <w:uiPriority w:val="34"/>
    <w:pPr>
      <w:ind w:firstLine="420" w:firstLineChars="200"/>
    </w:pPr>
  </w:style>
  <w:style w:type="paragraph" w:customStyle="1" w:styleId="90">
    <w:name w:val="图例"/>
    <w:basedOn w:val="1"/>
    <w:qFormat/>
    <w:uiPriority w:val="0"/>
    <w:pPr>
      <w:spacing w:before="120" w:beforeLines="0" w:after="120" w:afterLines="0" w:line="360" w:lineRule="auto"/>
      <w:jc w:val="center"/>
    </w:pPr>
    <w:rPr>
      <w:rFonts w:eastAsia="仿宋_GB2312"/>
      <w:b/>
      <w:sz w:val="24"/>
    </w:rPr>
  </w:style>
  <w:style w:type="paragraph" w:customStyle="1" w:styleId="91">
    <w:name w:val="首行缩进"/>
    <w:basedOn w:val="1"/>
    <w:qFormat/>
    <w:uiPriority w:val="0"/>
    <w:pPr>
      <w:ind w:firstLine="480" w:firstLineChars="200"/>
    </w:pPr>
    <w:rPr>
      <w:lang w:val="zh-CN"/>
    </w:rPr>
  </w:style>
  <w:style w:type="paragraph" w:customStyle="1" w:styleId="92">
    <w:name w:val="标书正文"/>
    <w:basedOn w:val="1"/>
    <w:qFormat/>
    <w:uiPriority w:val="0"/>
    <w:pPr>
      <w:spacing w:line="560" w:lineRule="exact"/>
      <w:ind w:firstLine="723" w:firstLineChars="200"/>
      <w:jc w:val="center"/>
    </w:pPr>
    <w:rPr>
      <w:rFonts w:ascii="仿宋_GB2312" w:eastAsia="仿宋_GB2312"/>
      <w:b/>
      <w:sz w:val="36"/>
    </w:rPr>
  </w:style>
  <w:style w:type="paragraph" w:customStyle="1" w:styleId="93">
    <w:name w:val="Default"/>
    <w:qFormat/>
    <w:uiPriority w:val="0"/>
    <w:pPr>
      <w:widowControl w:val="0"/>
      <w:autoSpaceDE w:val="0"/>
      <w:autoSpaceDN w:val="0"/>
    </w:pPr>
    <w:rPr>
      <w:rFonts w:ascii="宋体" w:hAnsi="Times New Roman" w:eastAsia="宋体" w:cs="宋体"/>
      <w:color w:val="000000"/>
      <w:sz w:val="24"/>
      <w:szCs w:val="24"/>
      <w:lang w:val="en-US" w:eastAsia="zh-CN" w:bidi="ar-SA"/>
    </w:rPr>
  </w:style>
  <w:style w:type="paragraph" w:customStyle="1" w:styleId="94">
    <w:name w:val="列出段落1"/>
    <w:basedOn w:val="1"/>
    <w:qFormat/>
    <w:uiPriority w:val="34"/>
    <w:pPr>
      <w:widowControl/>
      <w:ind w:firstLine="420" w:firstLineChars="200"/>
      <w:jc w:val="left"/>
    </w:pPr>
    <w:rPr>
      <w:kern w:val="0"/>
      <w:sz w:val="24"/>
    </w:rPr>
  </w:style>
  <w:style w:type="paragraph" w:customStyle="1" w:styleId="95">
    <w:name w:val="正文（绿盟科技）"/>
    <w:qFormat/>
    <w:uiPriority w:val="0"/>
    <w:pPr>
      <w:spacing w:line="300" w:lineRule="auto"/>
    </w:pPr>
    <w:rPr>
      <w:rFonts w:ascii="Arial" w:hAnsi="Arial" w:eastAsia="宋体" w:cs="黑体"/>
      <w:sz w:val="21"/>
      <w:szCs w:val="21"/>
      <w:lang w:val="en-US" w:eastAsia="zh-CN" w:bidi="ar-SA"/>
    </w:rPr>
  </w:style>
  <w:style w:type="paragraph" w:customStyle="1" w:styleId="96">
    <w:name w:val="标题 5（有编号）（绿盟科技）"/>
    <w:basedOn w:val="1"/>
    <w:next w:val="95"/>
    <w:qFormat/>
    <w:uiPriority w:val="0"/>
    <w:pPr>
      <w:keepNext/>
      <w:keepLines/>
      <w:numPr>
        <w:ilvl w:val="4"/>
        <w:numId w:val="4"/>
      </w:numPr>
      <w:spacing w:before="280" w:after="156" w:line="377" w:lineRule="auto"/>
      <w:jc w:val="left"/>
      <w:outlineLvl w:val="4"/>
    </w:pPr>
    <w:rPr>
      <w:rFonts w:ascii="Arial" w:hAnsi="Arial" w:eastAsia="黑体"/>
      <w:b/>
      <w:sz w:val="24"/>
      <w:szCs w:val="28"/>
    </w:rPr>
  </w:style>
  <w:style w:type="paragraph" w:customStyle="1" w:styleId="97">
    <w:name w:val="索引 11"/>
    <w:basedOn w:val="1"/>
    <w:next w:val="1"/>
    <w:qFormat/>
    <w:uiPriority w:val="0"/>
    <w:pPr>
      <w:spacing w:line="360" w:lineRule="auto"/>
    </w:pPr>
    <w:rPr>
      <w:rFonts w:ascii="仿宋_GB2312" w:eastAsia="仿宋_GB2312"/>
      <w:sz w:val="24"/>
      <w:szCs w:val="20"/>
    </w:rPr>
  </w:style>
  <w:style w:type="paragraph" w:customStyle="1" w:styleId="98">
    <w:name w:val="样式 样式 样式 左侧:  2 字符1 + 首行缩进:  2 字符1 + 首行缩进:  2 字符"/>
    <w:basedOn w:val="1"/>
    <w:qFormat/>
    <w:uiPriority w:val="0"/>
    <w:pPr>
      <w:widowControl/>
      <w:adjustRightInd w:val="0"/>
      <w:spacing w:before="60" w:beforeLines="0" w:after="120" w:afterLines="0" w:line="440" w:lineRule="atLeast"/>
      <w:ind w:firstLine="480"/>
      <w:textAlignment w:val="baseline"/>
    </w:pPr>
    <w:rPr>
      <w:sz w:val="24"/>
    </w:rPr>
  </w:style>
  <w:style w:type="paragraph" w:customStyle="1" w:styleId="99">
    <w:name w:val="WPS Plain"/>
    <w:qFormat/>
    <w:uiPriority w:val="0"/>
    <w:rPr>
      <w:rFonts w:ascii="Times New Roman" w:hAnsi="Times New Roman" w:eastAsia="宋体" w:cs="Times New Roman"/>
      <w:lang w:val="en-US" w:eastAsia="zh-CN" w:bidi="ar-SA"/>
    </w:rPr>
  </w:style>
  <w:style w:type="paragraph" w:customStyle="1" w:styleId="100">
    <w:name w:val="列出段落2"/>
    <w:basedOn w:val="1"/>
    <w:qFormat/>
    <w:uiPriority w:val="34"/>
    <w:pPr>
      <w:widowControl/>
      <w:adjustRightInd w:val="0"/>
      <w:snapToGrid w:val="0"/>
      <w:spacing w:after="200"/>
      <w:ind w:firstLine="420" w:firstLineChars="200"/>
      <w:jc w:val="left"/>
    </w:pPr>
    <w:rPr>
      <w:rFonts w:ascii="Tahoma" w:hAnsi="Tahoma" w:eastAsia="微软雅黑" w:cs="黑体"/>
      <w:kern w:val="0"/>
      <w:sz w:val="22"/>
    </w:rPr>
  </w:style>
  <w:style w:type="character" w:customStyle="1" w:styleId="101">
    <w:name w:val="font121"/>
    <w:basedOn w:val="40"/>
    <w:qFormat/>
    <w:uiPriority w:val="0"/>
    <w:rPr>
      <w:rFonts w:ascii="Arial" w:hAnsi="Arial" w:cs="Arial"/>
      <w:color w:val="000000"/>
      <w:sz w:val="24"/>
      <w:szCs w:val="24"/>
      <w:u w:val="none"/>
    </w:rPr>
  </w:style>
  <w:style w:type="character" w:customStyle="1" w:styleId="102">
    <w:name w:val="font81"/>
    <w:basedOn w:val="40"/>
    <w:qFormat/>
    <w:uiPriority w:val="0"/>
    <w:rPr>
      <w:rFonts w:hint="eastAsia" w:ascii="微软雅黑 Light" w:hAnsi="微软雅黑 Light" w:eastAsia="微软雅黑 Light" w:cs="微软雅黑 Light"/>
      <w:b/>
      <w:bCs/>
      <w:color w:val="000000"/>
      <w:sz w:val="24"/>
      <w:szCs w:val="24"/>
      <w:u w:val="none"/>
    </w:rPr>
  </w:style>
  <w:style w:type="character" w:customStyle="1" w:styleId="103">
    <w:name w:val="font111"/>
    <w:basedOn w:val="40"/>
    <w:qFormat/>
    <w:uiPriority w:val="0"/>
    <w:rPr>
      <w:rFonts w:hint="eastAsia" w:ascii="微软雅黑 Light" w:hAnsi="微软雅黑 Light" w:eastAsia="微软雅黑 Light" w:cs="微软雅黑 Light"/>
      <w:b/>
      <w:bCs/>
      <w:color w:val="000000"/>
      <w:sz w:val="24"/>
      <w:szCs w:val="24"/>
      <w:u w:val="none"/>
    </w:rPr>
  </w:style>
  <w:style w:type="character" w:customStyle="1" w:styleId="104">
    <w:name w:val="font112"/>
    <w:basedOn w:val="40"/>
    <w:qFormat/>
    <w:uiPriority w:val="0"/>
    <w:rPr>
      <w:rFonts w:hint="eastAsia" w:ascii="宋体" w:hAnsi="宋体" w:eastAsia="宋体" w:cs="宋体"/>
      <w:color w:val="000000"/>
      <w:sz w:val="20"/>
      <w:szCs w:val="20"/>
      <w:u w:val="none"/>
    </w:rPr>
  </w:style>
  <w:style w:type="table" w:customStyle="1" w:styleId="105">
    <w:name w:val="Table Normal"/>
    <w:unhideWhenUsed/>
    <w:qFormat/>
    <w:uiPriority w:val="0"/>
    <w:tblPr>
      <w:tblCellMar>
        <w:top w:w="0" w:type="dxa"/>
        <w:left w:w="0" w:type="dxa"/>
        <w:bottom w:w="0" w:type="dxa"/>
        <w:right w:w="0" w:type="dxa"/>
      </w:tblCellMar>
    </w:tblPr>
  </w:style>
  <w:style w:type="paragraph" w:customStyle="1" w:styleId="106">
    <w:name w:val="正文格式"/>
    <w:basedOn w:val="1"/>
    <w:qFormat/>
    <w:uiPriority w:val="99"/>
    <w:pPr>
      <w:widowControl/>
      <w:adjustRightInd w:val="0"/>
      <w:snapToGrid w:val="0"/>
      <w:spacing w:line="400" w:lineRule="atLeast"/>
      <w:ind w:firstLine="482"/>
      <w:textAlignment w:val="baseline"/>
    </w:pPr>
  </w:style>
  <w:style w:type="paragraph" w:customStyle="1" w:styleId="107">
    <w:name w:val="无间隔1"/>
    <w:qFormat/>
    <w:uiPriority w:val="0"/>
    <w:pPr>
      <w:spacing w:after="200" w:line="276" w:lineRule="auto"/>
    </w:pPr>
    <w:rPr>
      <w:rFonts w:ascii="Calibri" w:hAnsi="Calibri" w:eastAsia="宋体" w:cs="Times New Roman"/>
      <w:sz w:val="22"/>
      <w:szCs w:val="22"/>
      <w:lang w:val="en-US" w:eastAsia="zh-CN" w:bidi="ar-SA"/>
    </w:rPr>
  </w:style>
  <w:style w:type="paragraph" w:customStyle="1" w:styleId="108">
    <w:name w:val="Normal_0"/>
    <w:qFormat/>
    <w:uiPriority w:val="0"/>
    <w:rPr>
      <w:rFonts w:ascii="黑体" w:hAnsi="黑体" w:eastAsia="黑体" w:cs="Times New Roman"/>
      <w:b/>
      <w:sz w:val="32"/>
      <w:szCs w:val="24"/>
      <w:lang w:bidi="ar-SA"/>
    </w:rPr>
  </w:style>
  <w:style w:type="paragraph" w:customStyle="1" w:styleId="109">
    <w:name w:val="Table Paragraph"/>
    <w:basedOn w:val="1"/>
    <w:qFormat/>
    <w:uiPriority w:val="1"/>
    <w:pPr>
      <w:autoSpaceDE w:val="0"/>
      <w:autoSpaceDN w:val="0"/>
      <w:jc w:val="left"/>
    </w:pPr>
    <w:rPr>
      <w:rFonts w:ascii="宋体" w:hAnsi="宋体" w:cs="宋体"/>
      <w:kern w:val="0"/>
      <w:sz w:val="22"/>
      <w:szCs w:val="22"/>
      <w:lang w:eastAsia="en-US"/>
    </w:rPr>
  </w:style>
  <w:style w:type="character" w:customStyle="1" w:styleId="110">
    <w:name w:val="font122"/>
    <w:basedOn w:val="40"/>
    <w:qFormat/>
    <w:uiPriority w:val="0"/>
    <w:rPr>
      <w:rFonts w:hint="eastAsia" w:ascii="宋体" w:hAnsi="宋体" w:eastAsia="宋体" w:cs="宋体"/>
      <w:color w:val="000000"/>
      <w:sz w:val="20"/>
      <w:szCs w:val="20"/>
      <w:u w:val="none"/>
    </w:rPr>
  </w:style>
  <w:style w:type="character" w:customStyle="1" w:styleId="111">
    <w:name w:val="font12"/>
    <w:basedOn w:val="40"/>
    <w:qFormat/>
    <w:uiPriority w:val="0"/>
    <w:rPr>
      <w:rFonts w:hint="default" w:ascii="Times New Roman" w:hAnsi="Times New Roman" w:cs="Times New Roman"/>
      <w:color w:val="000000"/>
      <w:sz w:val="20"/>
      <w:szCs w:val="20"/>
      <w:u w:val="none"/>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footer" Target="footer3.xml"/><Relationship Id="rId7" Type="http://schemas.openxmlformats.org/officeDocument/2006/relationships/header" Target="header3.xml"/><Relationship Id="rId6" Type="http://schemas.openxmlformats.org/officeDocument/2006/relationships/footer" Target="footer2.xml"/><Relationship Id="rId5" Type="http://schemas.openxmlformats.org/officeDocument/2006/relationships/header" Target="header2.xml"/><Relationship Id="rId4" Type="http://schemas.openxmlformats.org/officeDocument/2006/relationships/footer" Target="footer1.xml"/><Relationship Id="rId3" Type="http://schemas.openxmlformats.org/officeDocument/2006/relationships/header" Target="header1.xml"/><Relationship Id="rId23" Type="http://schemas.openxmlformats.org/officeDocument/2006/relationships/fontTable" Target="fontTable.xml"/><Relationship Id="rId22" Type="http://schemas.openxmlformats.org/officeDocument/2006/relationships/numbering" Target="numbering.xml"/><Relationship Id="rId21" Type="http://schemas.openxmlformats.org/officeDocument/2006/relationships/customXml" Target="../customXml/item1.xml"/><Relationship Id="rId20" Type="http://schemas.openxmlformats.org/officeDocument/2006/relationships/theme" Target="theme/theme1.xml"/><Relationship Id="rId2" Type="http://schemas.openxmlformats.org/officeDocument/2006/relationships/settings" Target="settings.xml"/><Relationship Id="rId19" Type="http://schemas.openxmlformats.org/officeDocument/2006/relationships/footer" Target="footer9.xml"/><Relationship Id="rId18" Type="http://schemas.openxmlformats.org/officeDocument/2006/relationships/header" Target="header8.xml"/><Relationship Id="rId17" Type="http://schemas.openxmlformats.org/officeDocument/2006/relationships/footer" Target="footer8.xml"/><Relationship Id="rId16" Type="http://schemas.openxmlformats.org/officeDocument/2006/relationships/footer" Target="footer7.xml"/><Relationship Id="rId15" Type="http://schemas.openxmlformats.org/officeDocument/2006/relationships/header" Target="header7.xml"/><Relationship Id="rId14" Type="http://schemas.openxmlformats.org/officeDocument/2006/relationships/footer" Target="footer6.xml"/><Relationship Id="rId13" Type="http://schemas.openxmlformats.org/officeDocument/2006/relationships/footer" Target="footer5.xml"/><Relationship Id="rId12" Type="http://schemas.openxmlformats.org/officeDocument/2006/relationships/header" Target="header6.xml"/><Relationship Id="rId11" Type="http://schemas.openxmlformats.org/officeDocument/2006/relationships/header" Target="head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82</Pages>
  <Words>12855</Words>
  <Characters>13681</Characters>
  <Lines>269</Lines>
  <Paragraphs>75</Paragraphs>
  <TotalTime>1</TotalTime>
  <ScaleCrop>false</ScaleCrop>
  <LinksUpToDate>false</LinksUpToDate>
  <CharactersWithSpaces>14283</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2021-01-08T05:06:00Z</dcterms:created>
  <dc:creator>USER-</dc:creator>
  <cp:lastModifiedBy>Administrator</cp:lastModifiedBy>
  <cp:lastPrinted>2024-07-11T10:53:00Z</cp:lastPrinted>
  <dcterms:modified xsi:type="dcterms:W3CDTF">2025-04-21T05:47:09Z</dcterms:modified>
  <dc:title>02年杜范本稿</dc:title>
  <cp:revision>12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1E2B4D00F196426EB3F4E3FFD4ED4931_13</vt:lpwstr>
  </property>
  <property fmtid="{D5CDD505-2E9C-101B-9397-08002B2CF9AE}" pid="4" name="KSOTemplateDocerSaveRecord">
    <vt:lpwstr>eyJoZGlkIjoiYTg2MWU1NGFhNmU5NDk5ZDU1YmY2YjNjOWM0NTQ1MzAifQ==</vt:lpwstr>
  </property>
</Properties>
</file>